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ro-RO"/>
        </w:rPr>
        <w:id w:val="-1877152274"/>
        <w:docPartObj>
          <w:docPartGallery w:val="Table of Contents"/>
          <w:docPartUnique/>
        </w:docPartObj>
      </w:sdtPr>
      <w:sdtEndPr>
        <w:rPr>
          <w:rFonts w:ascii="Arial" w:hAnsi="Arial" w:cs="Arial"/>
          <w:b/>
          <w:bCs/>
          <w:noProof/>
          <w:sz w:val="24"/>
          <w:szCs w:val="24"/>
        </w:rPr>
      </w:sdtEndPr>
      <w:sdtContent>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jc w:val="center"/>
            <w:rPr>
              <w:b/>
              <w:bCs/>
              <w:sz w:val="40"/>
              <w:szCs w:val="40"/>
            </w:rPr>
          </w:pPr>
          <w:r w:rsidRPr="00857E54">
            <w:rPr>
              <w:b/>
              <w:bCs/>
              <w:sz w:val="40"/>
              <w:szCs w:val="40"/>
            </w:rPr>
            <w:t xml:space="preserve">Raport privind </w:t>
          </w:r>
          <w:r w:rsidR="00A442C4" w:rsidRPr="00857E54">
            <w:rPr>
              <w:b/>
              <w:bCs/>
              <w:sz w:val="40"/>
              <w:szCs w:val="40"/>
            </w:rPr>
            <w:t>situația</w:t>
          </w:r>
          <w:r w:rsidRPr="00857E54">
            <w:rPr>
              <w:b/>
              <w:bCs/>
              <w:sz w:val="40"/>
              <w:szCs w:val="40"/>
            </w:rPr>
            <w:t xml:space="preserve"> economică şi bugetară</w:t>
          </w:r>
        </w:p>
        <w:p w:rsidR="00F22950" w:rsidRPr="00857E54" w:rsidRDefault="00F22950" w:rsidP="00281576">
          <w:pPr>
            <w:keepNext/>
            <w:keepLines/>
            <w:jc w:val="center"/>
            <w:rPr>
              <w:b/>
              <w:bCs/>
              <w:sz w:val="40"/>
              <w:szCs w:val="40"/>
            </w:rPr>
          </w:pPr>
          <w:r w:rsidRPr="00857E54">
            <w:rPr>
              <w:b/>
              <w:bCs/>
              <w:sz w:val="40"/>
              <w:szCs w:val="40"/>
            </w:rPr>
            <w:t xml:space="preserve">pe primele </w:t>
          </w:r>
          <w:r w:rsidR="00A442C4" w:rsidRPr="00857E54">
            <w:rPr>
              <w:b/>
              <w:bCs/>
              <w:sz w:val="40"/>
              <w:szCs w:val="40"/>
            </w:rPr>
            <w:t>șase</w:t>
          </w:r>
          <w:r w:rsidRPr="00857E54">
            <w:rPr>
              <w:b/>
              <w:bCs/>
              <w:sz w:val="40"/>
              <w:szCs w:val="40"/>
            </w:rPr>
            <w:t xml:space="preserve"> luni ale anului </w:t>
          </w:r>
          <w:r w:rsidR="007B1A18" w:rsidRPr="00857E54">
            <w:rPr>
              <w:b/>
              <w:bCs/>
              <w:sz w:val="40"/>
              <w:szCs w:val="40"/>
            </w:rPr>
            <w:t>201</w:t>
          </w:r>
          <w:r w:rsidR="00DA0ACC" w:rsidRPr="00857E54">
            <w:rPr>
              <w:b/>
              <w:bCs/>
              <w:sz w:val="40"/>
              <w:szCs w:val="40"/>
            </w:rPr>
            <w:t>8</w:t>
          </w:r>
        </w:p>
        <w:p w:rsidR="00F22950" w:rsidRPr="00857E54" w:rsidRDefault="00F22950" w:rsidP="00281576">
          <w:pPr>
            <w:keepNext/>
            <w:keepLines/>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keepNext/>
            <w:keepLines/>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2548C2" w:rsidRPr="00857E54" w:rsidRDefault="002548C2" w:rsidP="00281576">
          <w:pPr>
            <w:keepNext/>
            <w:keepLines/>
          </w:pPr>
        </w:p>
        <w:p w:rsidR="002548C2" w:rsidRPr="00857E54" w:rsidRDefault="002548C2" w:rsidP="00281576">
          <w:pPr>
            <w:keepNext/>
            <w:keepLines/>
          </w:pPr>
        </w:p>
        <w:p w:rsidR="00782D90" w:rsidRPr="00857E54" w:rsidRDefault="00782D90" w:rsidP="00281576">
          <w:pPr>
            <w:keepNext/>
            <w:keepLines/>
          </w:pPr>
        </w:p>
        <w:p w:rsidR="002548C2" w:rsidRPr="00857E54" w:rsidRDefault="00782D90" w:rsidP="00281576">
          <w:pPr>
            <w:keepNext/>
            <w:keepLines/>
          </w:pPr>
          <w:r w:rsidRPr="00857E54">
            <w:br w:type="page"/>
          </w:r>
        </w:p>
        <w:p w:rsidR="002548C2" w:rsidRPr="00857E54" w:rsidRDefault="002548C2" w:rsidP="00281576">
          <w:pPr>
            <w:keepNext/>
            <w:keepLines/>
          </w:pPr>
        </w:p>
        <w:p w:rsidR="00F51EDE" w:rsidRPr="00857E54" w:rsidRDefault="00F51EDE" w:rsidP="00281576">
          <w:pPr>
            <w:keepNext/>
            <w:keepLines/>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F22950" w:rsidRPr="00857E54" w:rsidRDefault="00F22950" w:rsidP="00281576">
          <w:pPr>
            <w:pStyle w:val="TOCHeading"/>
            <w:rPr>
              <w:rFonts w:asciiTheme="minorHAnsi" w:eastAsiaTheme="minorHAnsi" w:hAnsiTheme="minorHAnsi" w:cstheme="minorBidi"/>
              <w:color w:val="auto"/>
              <w:sz w:val="22"/>
              <w:szCs w:val="22"/>
              <w:lang w:val="ro-RO"/>
            </w:rPr>
          </w:pPr>
        </w:p>
        <w:p w:rsidR="007C4F03" w:rsidRPr="00857E54" w:rsidRDefault="00601209" w:rsidP="00281576">
          <w:pPr>
            <w:pStyle w:val="TOCHeading"/>
            <w:rPr>
              <w:rFonts w:asciiTheme="minorHAnsi" w:hAnsiTheme="minorHAnsi" w:cs="Arial"/>
              <w:b/>
              <w:color w:val="auto"/>
              <w:sz w:val="36"/>
              <w:lang w:val="ro-RO"/>
            </w:rPr>
          </w:pPr>
          <w:r w:rsidRPr="00857E54">
            <w:rPr>
              <w:rFonts w:asciiTheme="minorHAnsi" w:hAnsiTheme="minorHAnsi" w:cs="Arial"/>
              <w:b/>
              <w:color w:val="auto"/>
              <w:lang w:val="ro-RO"/>
            </w:rPr>
            <w:t>Cuprins</w:t>
          </w:r>
        </w:p>
        <w:p w:rsidR="00601209" w:rsidRPr="00857E54" w:rsidRDefault="00601209" w:rsidP="00281576">
          <w:pPr>
            <w:keepNext/>
            <w:keepLines/>
          </w:pPr>
        </w:p>
        <w:p w:rsidR="004B06D1" w:rsidRPr="00857E54" w:rsidRDefault="005838E1" w:rsidP="00281576">
          <w:pPr>
            <w:pStyle w:val="TOC1"/>
            <w:keepNext/>
            <w:keepLines/>
            <w:spacing w:after="240"/>
            <w:rPr>
              <w:rFonts w:ascii="Arial" w:eastAsiaTheme="minorEastAsia" w:hAnsi="Arial" w:cs="Arial"/>
              <w:noProof/>
              <w:sz w:val="24"/>
              <w:szCs w:val="24"/>
              <w:lang w:eastAsia="ro-RO"/>
            </w:rPr>
          </w:pPr>
          <w:r w:rsidRPr="00857E54">
            <w:rPr>
              <w:rFonts w:ascii="Arial" w:hAnsi="Arial" w:cs="Arial"/>
              <w:sz w:val="24"/>
              <w:szCs w:val="24"/>
            </w:rPr>
            <w:fldChar w:fldCharType="begin"/>
          </w:r>
          <w:r w:rsidR="007C4F03" w:rsidRPr="00857E54">
            <w:rPr>
              <w:rFonts w:ascii="Arial" w:hAnsi="Arial" w:cs="Arial"/>
              <w:sz w:val="24"/>
              <w:szCs w:val="24"/>
            </w:rPr>
            <w:instrText xml:space="preserve"> TOC \o "1-3" \h \z \u </w:instrText>
          </w:r>
          <w:r w:rsidRPr="00857E54">
            <w:rPr>
              <w:rFonts w:ascii="Arial" w:hAnsi="Arial" w:cs="Arial"/>
              <w:sz w:val="24"/>
              <w:szCs w:val="24"/>
            </w:rPr>
            <w:fldChar w:fldCharType="separate"/>
          </w:r>
          <w:hyperlink w:anchor="_Toc520281760" w:history="1">
            <w:r w:rsidR="004B06D1" w:rsidRPr="00857E54">
              <w:rPr>
                <w:rStyle w:val="Hyperlink"/>
                <w:rFonts w:ascii="Arial" w:hAnsi="Arial" w:cs="Arial"/>
                <w:b/>
                <w:noProof/>
                <w:color w:val="auto"/>
                <w:sz w:val="24"/>
                <w:szCs w:val="24"/>
              </w:rPr>
              <w:t>I.</w:t>
            </w:r>
            <w:r w:rsidR="004B06D1" w:rsidRPr="00857E54">
              <w:rPr>
                <w:rFonts w:ascii="Arial" w:eastAsiaTheme="minorEastAsia" w:hAnsi="Arial" w:cs="Arial"/>
                <w:noProof/>
                <w:sz w:val="24"/>
                <w:szCs w:val="24"/>
                <w:lang w:eastAsia="ro-RO"/>
              </w:rPr>
              <w:tab/>
            </w:r>
            <w:r w:rsidR="004B06D1" w:rsidRPr="00857E54">
              <w:rPr>
                <w:rStyle w:val="Hyperlink"/>
                <w:rFonts w:ascii="Arial" w:hAnsi="Arial" w:cs="Arial"/>
                <w:b/>
                <w:noProof/>
                <w:color w:val="auto"/>
                <w:sz w:val="24"/>
                <w:szCs w:val="24"/>
              </w:rPr>
              <w:t>Evoluții macroeconomice recente ale economiei românești</w:t>
            </w:r>
            <w:r w:rsidR="004B06D1" w:rsidRPr="00857E54">
              <w:rPr>
                <w:rFonts w:ascii="Arial" w:hAnsi="Arial" w:cs="Arial"/>
                <w:noProof/>
                <w:webHidden/>
                <w:sz w:val="24"/>
                <w:szCs w:val="24"/>
              </w:rPr>
              <w:tab/>
            </w:r>
            <w:r w:rsidRPr="00857E54">
              <w:rPr>
                <w:rFonts w:ascii="Arial" w:hAnsi="Arial" w:cs="Arial"/>
                <w:noProof/>
                <w:webHidden/>
                <w:sz w:val="24"/>
                <w:szCs w:val="24"/>
              </w:rPr>
              <w:fldChar w:fldCharType="begin"/>
            </w:r>
            <w:r w:rsidR="004B06D1" w:rsidRPr="00857E54">
              <w:rPr>
                <w:rFonts w:ascii="Arial" w:hAnsi="Arial" w:cs="Arial"/>
                <w:noProof/>
                <w:webHidden/>
                <w:sz w:val="24"/>
                <w:szCs w:val="24"/>
              </w:rPr>
              <w:instrText xml:space="preserve"> PAGEREF _Toc520281760 \h </w:instrText>
            </w:r>
            <w:r w:rsidRPr="00857E54">
              <w:rPr>
                <w:rFonts w:ascii="Arial" w:hAnsi="Arial" w:cs="Arial"/>
                <w:noProof/>
                <w:webHidden/>
                <w:sz w:val="24"/>
                <w:szCs w:val="24"/>
              </w:rPr>
            </w:r>
            <w:r w:rsidRPr="00857E54">
              <w:rPr>
                <w:rFonts w:ascii="Arial" w:hAnsi="Arial" w:cs="Arial"/>
                <w:noProof/>
                <w:webHidden/>
                <w:sz w:val="24"/>
                <w:szCs w:val="24"/>
              </w:rPr>
              <w:fldChar w:fldCharType="separate"/>
            </w:r>
            <w:r w:rsidR="00D46822">
              <w:rPr>
                <w:rFonts w:ascii="Arial" w:hAnsi="Arial" w:cs="Arial"/>
                <w:noProof/>
                <w:webHidden/>
                <w:sz w:val="24"/>
                <w:szCs w:val="24"/>
              </w:rPr>
              <w:t>2</w:t>
            </w:r>
            <w:r w:rsidRPr="00857E54">
              <w:rPr>
                <w:rFonts w:ascii="Arial" w:hAnsi="Arial" w:cs="Arial"/>
                <w:noProof/>
                <w:webHidden/>
                <w:sz w:val="24"/>
                <w:szCs w:val="24"/>
              </w:rPr>
              <w:fldChar w:fldCharType="end"/>
            </w:r>
          </w:hyperlink>
        </w:p>
        <w:p w:rsidR="004B06D1" w:rsidRPr="00857E54" w:rsidRDefault="00B04F04" w:rsidP="00281576">
          <w:pPr>
            <w:pStyle w:val="TOC1"/>
            <w:keepNext/>
            <w:keepLines/>
            <w:spacing w:after="240"/>
            <w:rPr>
              <w:rFonts w:ascii="Arial" w:eastAsiaTheme="minorEastAsia" w:hAnsi="Arial" w:cs="Arial"/>
              <w:noProof/>
              <w:sz w:val="24"/>
              <w:szCs w:val="24"/>
              <w:lang w:eastAsia="ro-RO"/>
            </w:rPr>
          </w:pPr>
          <w:hyperlink w:anchor="_Toc520281761" w:history="1">
            <w:r w:rsidR="004B06D1" w:rsidRPr="00857E54">
              <w:rPr>
                <w:rStyle w:val="Hyperlink"/>
                <w:rFonts w:ascii="Arial" w:hAnsi="Arial" w:cs="Arial"/>
                <w:b/>
                <w:noProof/>
                <w:color w:val="auto"/>
                <w:sz w:val="24"/>
                <w:szCs w:val="24"/>
              </w:rPr>
              <w:t>II.</w:t>
            </w:r>
            <w:r w:rsidR="004B06D1" w:rsidRPr="00857E54">
              <w:rPr>
                <w:rFonts w:ascii="Arial" w:eastAsiaTheme="minorEastAsia" w:hAnsi="Arial" w:cs="Arial"/>
                <w:noProof/>
                <w:sz w:val="24"/>
                <w:szCs w:val="24"/>
                <w:lang w:eastAsia="ro-RO"/>
              </w:rPr>
              <w:tab/>
            </w:r>
            <w:r w:rsidR="004B06D1" w:rsidRPr="00857E54">
              <w:rPr>
                <w:rStyle w:val="Hyperlink"/>
                <w:rFonts w:ascii="Arial" w:hAnsi="Arial" w:cs="Arial"/>
                <w:b/>
                <w:noProof/>
                <w:color w:val="auto"/>
                <w:sz w:val="24"/>
                <w:szCs w:val="24"/>
              </w:rPr>
              <w:t>Politica fiscal-bugetară aferentă anului 2018</w:t>
            </w:r>
            <w:r w:rsidR="004B06D1" w:rsidRPr="00857E54">
              <w:rPr>
                <w:rFonts w:ascii="Arial" w:hAnsi="Arial" w:cs="Arial"/>
                <w:noProof/>
                <w:webHidden/>
                <w:sz w:val="24"/>
                <w:szCs w:val="24"/>
              </w:rPr>
              <w:tab/>
            </w:r>
            <w:r w:rsidR="005838E1" w:rsidRPr="00857E54">
              <w:rPr>
                <w:rFonts w:ascii="Arial" w:hAnsi="Arial" w:cs="Arial"/>
                <w:noProof/>
                <w:webHidden/>
                <w:sz w:val="24"/>
                <w:szCs w:val="24"/>
              </w:rPr>
              <w:fldChar w:fldCharType="begin"/>
            </w:r>
            <w:r w:rsidR="004B06D1" w:rsidRPr="00857E54">
              <w:rPr>
                <w:rFonts w:ascii="Arial" w:hAnsi="Arial" w:cs="Arial"/>
                <w:noProof/>
                <w:webHidden/>
                <w:sz w:val="24"/>
                <w:szCs w:val="24"/>
              </w:rPr>
              <w:instrText xml:space="preserve"> PAGEREF _Toc520281761 \h </w:instrText>
            </w:r>
            <w:r w:rsidR="005838E1" w:rsidRPr="00857E54">
              <w:rPr>
                <w:rFonts w:ascii="Arial" w:hAnsi="Arial" w:cs="Arial"/>
                <w:noProof/>
                <w:webHidden/>
                <w:sz w:val="24"/>
                <w:szCs w:val="24"/>
              </w:rPr>
            </w:r>
            <w:r w:rsidR="005838E1" w:rsidRPr="00857E54">
              <w:rPr>
                <w:rFonts w:ascii="Arial" w:hAnsi="Arial" w:cs="Arial"/>
                <w:noProof/>
                <w:webHidden/>
                <w:sz w:val="24"/>
                <w:szCs w:val="24"/>
              </w:rPr>
              <w:fldChar w:fldCharType="separate"/>
            </w:r>
            <w:r w:rsidR="00D46822">
              <w:rPr>
                <w:rFonts w:ascii="Arial" w:hAnsi="Arial" w:cs="Arial"/>
                <w:noProof/>
                <w:webHidden/>
                <w:sz w:val="24"/>
                <w:szCs w:val="24"/>
              </w:rPr>
              <w:t>9</w:t>
            </w:r>
            <w:r w:rsidR="005838E1" w:rsidRPr="00857E54">
              <w:rPr>
                <w:rFonts w:ascii="Arial" w:hAnsi="Arial" w:cs="Arial"/>
                <w:noProof/>
                <w:webHidden/>
                <w:sz w:val="24"/>
                <w:szCs w:val="24"/>
              </w:rPr>
              <w:fldChar w:fldCharType="end"/>
            </w:r>
          </w:hyperlink>
        </w:p>
        <w:p w:rsidR="004B06D1" w:rsidRPr="00857E54" w:rsidRDefault="00B04F04" w:rsidP="00281576">
          <w:pPr>
            <w:pStyle w:val="TOC1"/>
            <w:keepNext/>
            <w:keepLines/>
            <w:spacing w:after="240"/>
            <w:rPr>
              <w:rFonts w:ascii="Arial" w:eastAsiaTheme="minorEastAsia" w:hAnsi="Arial" w:cs="Arial"/>
              <w:noProof/>
              <w:sz w:val="24"/>
              <w:szCs w:val="24"/>
              <w:lang w:eastAsia="ro-RO"/>
            </w:rPr>
          </w:pPr>
          <w:hyperlink w:anchor="_Toc520281762" w:history="1">
            <w:r w:rsidR="004B06D1" w:rsidRPr="00857E54">
              <w:rPr>
                <w:rStyle w:val="Hyperlink"/>
                <w:rFonts w:ascii="Arial" w:hAnsi="Arial" w:cs="Arial"/>
                <w:b/>
                <w:noProof/>
                <w:color w:val="auto"/>
                <w:sz w:val="24"/>
                <w:szCs w:val="24"/>
              </w:rPr>
              <w:t>III.</w:t>
            </w:r>
            <w:r w:rsidR="004B06D1" w:rsidRPr="00857E54">
              <w:rPr>
                <w:rFonts w:ascii="Arial" w:eastAsiaTheme="minorEastAsia" w:hAnsi="Arial" w:cs="Arial"/>
                <w:noProof/>
                <w:sz w:val="24"/>
                <w:szCs w:val="24"/>
                <w:lang w:eastAsia="ro-RO"/>
              </w:rPr>
              <w:tab/>
            </w:r>
            <w:r w:rsidR="004B06D1" w:rsidRPr="00857E54">
              <w:rPr>
                <w:rStyle w:val="Hyperlink"/>
                <w:rFonts w:ascii="Arial" w:hAnsi="Arial" w:cs="Arial"/>
                <w:b/>
                <w:noProof/>
                <w:color w:val="auto"/>
                <w:sz w:val="24"/>
                <w:szCs w:val="24"/>
              </w:rPr>
              <w:t>Execuția bugetară pe primul semestru al anului 2018</w:t>
            </w:r>
            <w:r w:rsidR="004B06D1" w:rsidRPr="00857E54">
              <w:rPr>
                <w:rFonts w:ascii="Arial" w:hAnsi="Arial" w:cs="Arial"/>
                <w:noProof/>
                <w:webHidden/>
                <w:sz w:val="24"/>
                <w:szCs w:val="24"/>
              </w:rPr>
              <w:tab/>
            </w:r>
            <w:r w:rsidR="005838E1" w:rsidRPr="00857E54">
              <w:rPr>
                <w:rFonts w:ascii="Arial" w:hAnsi="Arial" w:cs="Arial"/>
                <w:noProof/>
                <w:webHidden/>
                <w:sz w:val="24"/>
                <w:szCs w:val="24"/>
              </w:rPr>
              <w:fldChar w:fldCharType="begin"/>
            </w:r>
            <w:r w:rsidR="004B06D1" w:rsidRPr="00857E54">
              <w:rPr>
                <w:rFonts w:ascii="Arial" w:hAnsi="Arial" w:cs="Arial"/>
                <w:noProof/>
                <w:webHidden/>
                <w:sz w:val="24"/>
                <w:szCs w:val="24"/>
              </w:rPr>
              <w:instrText xml:space="preserve"> PAGEREF _Toc520281762 \h </w:instrText>
            </w:r>
            <w:r w:rsidR="005838E1" w:rsidRPr="00857E54">
              <w:rPr>
                <w:rFonts w:ascii="Arial" w:hAnsi="Arial" w:cs="Arial"/>
                <w:noProof/>
                <w:webHidden/>
                <w:sz w:val="24"/>
                <w:szCs w:val="24"/>
              </w:rPr>
            </w:r>
            <w:r w:rsidR="005838E1" w:rsidRPr="00857E54">
              <w:rPr>
                <w:rFonts w:ascii="Arial" w:hAnsi="Arial" w:cs="Arial"/>
                <w:noProof/>
                <w:webHidden/>
                <w:sz w:val="24"/>
                <w:szCs w:val="24"/>
              </w:rPr>
              <w:fldChar w:fldCharType="separate"/>
            </w:r>
            <w:r w:rsidR="00D46822">
              <w:rPr>
                <w:rFonts w:ascii="Arial" w:hAnsi="Arial" w:cs="Arial"/>
                <w:noProof/>
                <w:webHidden/>
                <w:sz w:val="24"/>
                <w:szCs w:val="24"/>
              </w:rPr>
              <w:t>16</w:t>
            </w:r>
            <w:r w:rsidR="005838E1" w:rsidRPr="00857E54">
              <w:rPr>
                <w:rFonts w:ascii="Arial" w:hAnsi="Arial" w:cs="Arial"/>
                <w:noProof/>
                <w:webHidden/>
                <w:sz w:val="24"/>
                <w:szCs w:val="24"/>
              </w:rPr>
              <w:fldChar w:fldCharType="end"/>
            </w:r>
          </w:hyperlink>
        </w:p>
        <w:p w:rsidR="004B06D1" w:rsidRPr="00857E54" w:rsidRDefault="00B04F04" w:rsidP="00281576">
          <w:pPr>
            <w:pStyle w:val="TOC1"/>
            <w:keepNext/>
            <w:keepLines/>
            <w:spacing w:after="240"/>
            <w:rPr>
              <w:rFonts w:ascii="Arial" w:eastAsiaTheme="minorEastAsia" w:hAnsi="Arial" w:cs="Arial"/>
              <w:noProof/>
              <w:sz w:val="24"/>
              <w:szCs w:val="24"/>
              <w:lang w:eastAsia="ro-RO"/>
            </w:rPr>
          </w:pPr>
          <w:hyperlink w:anchor="_Toc520281763" w:history="1">
            <w:r w:rsidR="004B06D1" w:rsidRPr="00857E54">
              <w:rPr>
                <w:rStyle w:val="Hyperlink"/>
                <w:rFonts w:ascii="Arial" w:hAnsi="Arial" w:cs="Arial"/>
                <w:b/>
                <w:noProof/>
                <w:color w:val="auto"/>
                <w:sz w:val="24"/>
                <w:szCs w:val="24"/>
              </w:rPr>
              <w:t>IV.</w:t>
            </w:r>
            <w:r w:rsidR="004B06D1" w:rsidRPr="00857E54">
              <w:rPr>
                <w:rFonts w:ascii="Arial" w:eastAsiaTheme="minorEastAsia" w:hAnsi="Arial" w:cs="Arial"/>
                <w:noProof/>
                <w:sz w:val="24"/>
                <w:szCs w:val="24"/>
                <w:lang w:eastAsia="ro-RO"/>
              </w:rPr>
              <w:tab/>
            </w:r>
            <w:r w:rsidR="004B06D1" w:rsidRPr="00857E54">
              <w:rPr>
                <w:rStyle w:val="Hyperlink"/>
                <w:rFonts w:ascii="Arial" w:hAnsi="Arial" w:cs="Arial"/>
                <w:b/>
                <w:noProof/>
                <w:color w:val="auto"/>
                <w:sz w:val="24"/>
                <w:szCs w:val="24"/>
              </w:rPr>
              <w:t>Finanțarea deficitului bugetar şi datoria publică</w:t>
            </w:r>
            <w:r w:rsidR="004B06D1" w:rsidRPr="00857E54">
              <w:rPr>
                <w:rFonts w:ascii="Arial" w:hAnsi="Arial" w:cs="Arial"/>
                <w:noProof/>
                <w:webHidden/>
                <w:sz w:val="24"/>
                <w:szCs w:val="24"/>
              </w:rPr>
              <w:tab/>
            </w:r>
            <w:r w:rsidR="005838E1" w:rsidRPr="00857E54">
              <w:rPr>
                <w:rFonts w:ascii="Arial" w:hAnsi="Arial" w:cs="Arial"/>
                <w:noProof/>
                <w:webHidden/>
                <w:sz w:val="24"/>
                <w:szCs w:val="24"/>
              </w:rPr>
              <w:fldChar w:fldCharType="begin"/>
            </w:r>
            <w:r w:rsidR="004B06D1" w:rsidRPr="00857E54">
              <w:rPr>
                <w:rFonts w:ascii="Arial" w:hAnsi="Arial" w:cs="Arial"/>
                <w:noProof/>
                <w:webHidden/>
                <w:sz w:val="24"/>
                <w:szCs w:val="24"/>
              </w:rPr>
              <w:instrText xml:space="preserve"> PAGEREF _Toc520281763 \h </w:instrText>
            </w:r>
            <w:r w:rsidR="005838E1" w:rsidRPr="00857E54">
              <w:rPr>
                <w:rFonts w:ascii="Arial" w:hAnsi="Arial" w:cs="Arial"/>
                <w:noProof/>
                <w:webHidden/>
                <w:sz w:val="24"/>
                <w:szCs w:val="24"/>
              </w:rPr>
            </w:r>
            <w:r w:rsidR="005838E1" w:rsidRPr="00857E54">
              <w:rPr>
                <w:rFonts w:ascii="Arial" w:hAnsi="Arial" w:cs="Arial"/>
                <w:noProof/>
                <w:webHidden/>
                <w:sz w:val="24"/>
                <w:szCs w:val="24"/>
              </w:rPr>
              <w:fldChar w:fldCharType="separate"/>
            </w:r>
            <w:r w:rsidR="00D46822">
              <w:rPr>
                <w:rFonts w:ascii="Arial" w:hAnsi="Arial" w:cs="Arial"/>
                <w:noProof/>
                <w:webHidden/>
                <w:sz w:val="24"/>
                <w:szCs w:val="24"/>
              </w:rPr>
              <w:t>23</w:t>
            </w:r>
            <w:r w:rsidR="005838E1" w:rsidRPr="00857E54">
              <w:rPr>
                <w:rFonts w:ascii="Arial" w:hAnsi="Arial" w:cs="Arial"/>
                <w:noProof/>
                <w:webHidden/>
                <w:sz w:val="24"/>
                <w:szCs w:val="24"/>
              </w:rPr>
              <w:fldChar w:fldCharType="end"/>
            </w:r>
          </w:hyperlink>
        </w:p>
        <w:p w:rsidR="004B06D1" w:rsidRPr="00857E54" w:rsidRDefault="00B04F04" w:rsidP="00281576">
          <w:pPr>
            <w:pStyle w:val="TOC1"/>
            <w:keepNext/>
            <w:keepLines/>
            <w:spacing w:after="240"/>
            <w:rPr>
              <w:rFonts w:ascii="Arial" w:eastAsiaTheme="minorEastAsia" w:hAnsi="Arial" w:cs="Arial"/>
              <w:noProof/>
              <w:sz w:val="24"/>
              <w:szCs w:val="24"/>
              <w:lang w:eastAsia="ro-RO"/>
            </w:rPr>
          </w:pPr>
          <w:hyperlink w:anchor="_Toc520281764" w:history="1">
            <w:r w:rsidR="004B06D1" w:rsidRPr="00857E54">
              <w:rPr>
                <w:rStyle w:val="Hyperlink"/>
                <w:rFonts w:ascii="Arial" w:hAnsi="Arial" w:cs="Arial"/>
                <w:b/>
                <w:noProof/>
                <w:color w:val="auto"/>
                <w:sz w:val="24"/>
                <w:szCs w:val="24"/>
              </w:rPr>
              <w:t>V.</w:t>
            </w:r>
            <w:r w:rsidR="004B06D1" w:rsidRPr="00857E54">
              <w:rPr>
                <w:rFonts w:ascii="Arial" w:eastAsiaTheme="minorEastAsia" w:hAnsi="Arial" w:cs="Arial"/>
                <w:noProof/>
                <w:sz w:val="24"/>
                <w:szCs w:val="24"/>
                <w:lang w:eastAsia="ro-RO"/>
              </w:rPr>
              <w:tab/>
            </w:r>
            <w:r w:rsidR="004B06D1" w:rsidRPr="00857E54">
              <w:rPr>
                <w:rStyle w:val="Hyperlink"/>
                <w:rFonts w:ascii="Arial" w:hAnsi="Arial" w:cs="Arial"/>
                <w:b/>
                <w:noProof/>
                <w:color w:val="auto"/>
                <w:sz w:val="24"/>
                <w:szCs w:val="24"/>
              </w:rPr>
              <w:t>Absorbția fondurilor externe nerambursabile</w:t>
            </w:r>
            <w:r w:rsidR="004B06D1" w:rsidRPr="00857E54">
              <w:rPr>
                <w:rFonts w:ascii="Arial" w:hAnsi="Arial" w:cs="Arial"/>
                <w:noProof/>
                <w:webHidden/>
                <w:sz w:val="24"/>
                <w:szCs w:val="24"/>
              </w:rPr>
              <w:tab/>
            </w:r>
            <w:r w:rsidR="005838E1" w:rsidRPr="00857E54">
              <w:rPr>
                <w:rFonts w:ascii="Arial" w:hAnsi="Arial" w:cs="Arial"/>
                <w:noProof/>
                <w:webHidden/>
                <w:sz w:val="24"/>
                <w:szCs w:val="24"/>
              </w:rPr>
              <w:fldChar w:fldCharType="begin"/>
            </w:r>
            <w:r w:rsidR="004B06D1" w:rsidRPr="00857E54">
              <w:rPr>
                <w:rFonts w:ascii="Arial" w:hAnsi="Arial" w:cs="Arial"/>
                <w:noProof/>
                <w:webHidden/>
                <w:sz w:val="24"/>
                <w:szCs w:val="24"/>
              </w:rPr>
              <w:instrText xml:space="preserve"> PAGEREF _Toc520281764 \h </w:instrText>
            </w:r>
            <w:r w:rsidR="005838E1" w:rsidRPr="00857E54">
              <w:rPr>
                <w:rFonts w:ascii="Arial" w:hAnsi="Arial" w:cs="Arial"/>
                <w:noProof/>
                <w:webHidden/>
                <w:sz w:val="24"/>
                <w:szCs w:val="24"/>
              </w:rPr>
            </w:r>
            <w:r w:rsidR="005838E1" w:rsidRPr="00857E54">
              <w:rPr>
                <w:rFonts w:ascii="Arial" w:hAnsi="Arial" w:cs="Arial"/>
                <w:noProof/>
                <w:webHidden/>
                <w:sz w:val="24"/>
                <w:szCs w:val="24"/>
              </w:rPr>
              <w:fldChar w:fldCharType="separate"/>
            </w:r>
            <w:r w:rsidR="00D46822">
              <w:rPr>
                <w:rFonts w:ascii="Arial" w:hAnsi="Arial" w:cs="Arial"/>
                <w:noProof/>
                <w:webHidden/>
                <w:sz w:val="24"/>
                <w:szCs w:val="24"/>
              </w:rPr>
              <w:t>25</w:t>
            </w:r>
            <w:r w:rsidR="005838E1" w:rsidRPr="00857E54">
              <w:rPr>
                <w:rFonts w:ascii="Arial" w:hAnsi="Arial" w:cs="Arial"/>
                <w:noProof/>
                <w:webHidden/>
                <w:sz w:val="24"/>
                <w:szCs w:val="24"/>
              </w:rPr>
              <w:fldChar w:fldCharType="end"/>
            </w:r>
          </w:hyperlink>
        </w:p>
        <w:p w:rsidR="004B06D1" w:rsidRPr="00857E54" w:rsidRDefault="00B04F04" w:rsidP="00281576">
          <w:pPr>
            <w:pStyle w:val="TOC1"/>
            <w:keepNext/>
            <w:keepLines/>
            <w:spacing w:after="240"/>
            <w:rPr>
              <w:rFonts w:ascii="Arial" w:eastAsiaTheme="minorEastAsia" w:hAnsi="Arial" w:cs="Arial"/>
              <w:noProof/>
              <w:sz w:val="24"/>
              <w:szCs w:val="24"/>
              <w:lang w:eastAsia="ro-RO"/>
            </w:rPr>
          </w:pPr>
          <w:hyperlink w:anchor="_Toc520281765" w:history="1">
            <w:r w:rsidR="004B06D1" w:rsidRPr="00857E54">
              <w:rPr>
                <w:rStyle w:val="Hyperlink"/>
                <w:rFonts w:ascii="Arial" w:hAnsi="Arial" w:cs="Arial"/>
                <w:b/>
                <w:noProof/>
                <w:color w:val="auto"/>
                <w:sz w:val="24"/>
                <w:szCs w:val="24"/>
              </w:rPr>
              <w:t>Concluzii</w:t>
            </w:r>
            <w:r w:rsidR="004B06D1" w:rsidRPr="00857E54">
              <w:rPr>
                <w:rFonts w:ascii="Arial" w:hAnsi="Arial" w:cs="Arial"/>
                <w:noProof/>
                <w:webHidden/>
                <w:sz w:val="24"/>
                <w:szCs w:val="24"/>
              </w:rPr>
              <w:tab/>
            </w:r>
            <w:r w:rsidR="005838E1" w:rsidRPr="00857E54">
              <w:rPr>
                <w:rFonts w:ascii="Arial" w:hAnsi="Arial" w:cs="Arial"/>
                <w:noProof/>
                <w:webHidden/>
                <w:sz w:val="24"/>
                <w:szCs w:val="24"/>
              </w:rPr>
              <w:fldChar w:fldCharType="begin"/>
            </w:r>
            <w:r w:rsidR="004B06D1" w:rsidRPr="00857E54">
              <w:rPr>
                <w:rFonts w:ascii="Arial" w:hAnsi="Arial" w:cs="Arial"/>
                <w:noProof/>
                <w:webHidden/>
                <w:sz w:val="24"/>
                <w:szCs w:val="24"/>
              </w:rPr>
              <w:instrText xml:space="preserve"> PAGEREF _Toc520281765 \h </w:instrText>
            </w:r>
            <w:r w:rsidR="005838E1" w:rsidRPr="00857E54">
              <w:rPr>
                <w:rFonts w:ascii="Arial" w:hAnsi="Arial" w:cs="Arial"/>
                <w:noProof/>
                <w:webHidden/>
                <w:sz w:val="24"/>
                <w:szCs w:val="24"/>
              </w:rPr>
            </w:r>
            <w:r w:rsidR="005838E1" w:rsidRPr="00857E54">
              <w:rPr>
                <w:rFonts w:ascii="Arial" w:hAnsi="Arial" w:cs="Arial"/>
                <w:noProof/>
                <w:webHidden/>
                <w:sz w:val="24"/>
                <w:szCs w:val="24"/>
              </w:rPr>
              <w:fldChar w:fldCharType="separate"/>
            </w:r>
            <w:r w:rsidR="00D46822">
              <w:rPr>
                <w:rFonts w:ascii="Arial" w:hAnsi="Arial" w:cs="Arial"/>
                <w:noProof/>
                <w:webHidden/>
                <w:sz w:val="24"/>
                <w:szCs w:val="24"/>
              </w:rPr>
              <w:t>27</w:t>
            </w:r>
            <w:r w:rsidR="005838E1" w:rsidRPr="00857E54">
              <w:rPr>
                <w:rFonts w:ascii="Arial" w:hAnsi="Arial" w:cs="Arial"/>
                <w:noProof/>
                <w:webHidden/>
                <w:sz w:val="24"/>
                <w:szCs w:val="24"/>
              </w:rPr>
              <w:fldChar w:fldCharType="end"/>
            </w:r>
          </w:hyperlink>
        </w:p>
        <w:p w:rsidR="007C4F03" w:rsidRPr="00857E54" w:rsidRDefault="005838E1" w:rsidP="00281576">
          <w:pPr>
            <w:keepNext/>
            <w:keepLines/>
            <w:spacing w:line="480" w:lineRule="auto"/>
            <w:rPr>
              <w:rFonts w:ascii="Arial" w:hAnsi="Arial" w:cs="Arial"/>
              <w:sz w:val="24"/>
              <w:szCs w:val="24"/>
            </w:rPr>
          </w:pPr>
          <w:r w:rsidRPr="00857E54">
            <w:rPr>
              <w:rFonts w:ascii="Arial" w:hAnsi="Arial" w:cs="Arial"/>
              <w:b/>
              <w:bCs/>
              <w:noProof/>
              <w:sz w:val="24"/>
              <w:szCs w:val="24"/>
            </w:rPr>
            <w:fldChar w:fldCharType="end"/>
          </w:r>
        </w:p>
      </w:sdtContent>
    </w:sdt>
    <w:p w:rsidR="00386E53" w:rsidRPr="00857E54" w:rsidRDefault="00386E53" w:rsidP="00281576">
      <w:pPr>
        <w:keepNext/>
        <w:keepLines/>
      </w:pPr>
    </w:p>
    <w:p w:rsidR="007C4F03" w:rsidRPr="00857E54" w:rsidRDefault="007C4F03" w:rsidP="00281576">
      <w:pPr>
        <w:keepNext/>
        <w:keepLines/>
      </w:pPr>
    </w:p>
    <w:p w:rsidR="007C4F03" w:rsidRPr="00857E54" w:rsidRDefault="007C4F03" w:rsidP="00281576">
      <w:pPr>
        <w:keepNext/>
        <w:keepLines/>
      </w:pPr>
    </w:p>
    <w:p w:rsidR="007C4F03" w:rsidRPr="00857E54" w:rsidRDefault="007C4F03" w:rsidP="00281576">
      <w:pPr>
        <w:keepNext/>
        <w:keepLines/>
      </w:pPr>
    </w:p>
    <w:p w:rsidR="006407D7" w:rsidRPr="00857E54" w:rsidRDefault="006407D7" w:rsidP="00281576">
      <w:pPr>
        <w:keepNext/>
        <w:keepLines/>
      </w:pPr>
    </w:p>
    <w:p w:rsidR="007C4F03" w:rsidRPr="00857E54" w:rsidRDefault="007C4F03" w:rsidP="00281576">
      <w:pPr>
        <w:keepNext/>
        <w:keepLines/>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F96228" w:rsidRPr="00857E54" w:rsidRDefault="00F96228" w:rsidP="00281576">
      <w:pPr>
        <w:keepNext/>
        <w:keepLines/>
      </w:pPr>
      <w:r w:rsidRPr="00857E54">
        <w:br w:type="page"/>
      </w:r>
    </w:p>
    <w:p w:rsidR="007C4F03" w:rsidRPr="00857E54" w:rsidRDefault="00EE2635" w:rsidP="00281576">
      <w:pPr>
        <w:pStyle w:val="ListParagraph"/>
        <w:keepNext/>
        <w:keepLines/>
        <w:numPr>
          <w:ilvl w:val="0"/>
          <w:numId w:val="1"/>
        </w:numPr>
        <w:ind w:left="567" w:hanging="283"/>
        <w:outlineLvl w:val="0"/>
        <w:rPr>
          <w:rFonts w:cs="Arial"/>
          <w:b/>
          <w:sz w:val="28"/>
          <w:szCs w:val="28"/>
        </w:rPr>
      </w:pPr>
      <w:bookmarkStart w:id="0" w:name="_Toc299543078"/>
      <w:bookmarkStart w:id="1" w:name="_Toc425320856"/>
      <w:bookmarkStart w:id="2" w:name="_Toc456256932"/>
      <w:bookmarkStart w:id="3" w:name="_Toc456257456"/>
      <w:bookmarkStart w:id="4" w:name="_Toc456258314"/>
      <w:bookmarkStart w:id="5" w:name="_Toc456258418"/>
      <w:bookmarkStart w:id="6" w:name="_Toc520281760"/>
      <w:r w:rsidRPr="00857E54">
        <w:rPr>
          <w:rFonts w:cs="Arial"/>
          <w:b/>
          <w:sz w:val="28"/>
          <w:szCs w:val="28"/>
        </w:rPr>
        <w:lastRenderedPageBreak/>
        <w:t>Evoluții</w:t>
      </w:r>
      <w:r w:rsidR="007C4F03" w:rsidRPr="00857E54">
        <w:rPr>
          <w:rFonts w:cs="Arial"/>
          <w:b/>
          <w:sz w:val="28"/>
          <w:szCs w:val="28"/>
        </w:rPr>
        <w:t xml:space="preserve"> macroeconomice recente ale economiei </w:t>
      </w:r>
      <w:bookmarkEnd w:id="0"/>
      <w:bookmarkEnd w:id="1"/>
      <w:bookmarkEnd w:id="2"/>
      <w:bookmarkEnd w:id="3"/>
      <w:bookmarkEnd w:id="4"/>
      <w:bookmarkEnd w:id="5"/>
      <w:r w:rsidRPr="00857E54">
        <w:rPr>
          <w:rFonts w:cs="Arial"/>
          <w:b/>
          <w:sz w:val="28"/>
          <w:szCs w:val="28"/>
        </w:rPr>
        <w:t>românești</w:t>
      </w:r>
      <w:bookmarkEnd w:id="6"/>
    </w:p>
    <w:p w:rsidR="009D0987" w:rsidRPr="00857E54" w:rsidRDefault="009D0987" w:rsidP="00281576">
      <w:pPr>
        <w:pStyle w:val="ListParagraph"/>
        <w:keepNext/>
        <w:keepLines/>
        <w:ind w:left="567" w:firstLine="0"/>
        <w:outlineLvl w:val="0"/>
        <w:rPr>
          <w:rFonts w:cs="Arial"/>
          <w:b/>
          <w:sz w:val="28"/>
          <w:szCs w:val="28"/>
        </w:rPr>
      </w:pPr>
    </w:p>
    <w:p w:rsidR="006407D7" w:rsidRPr="00857E54" w:rsidRDefault="006407D7" w:rsidP="00281576">
      <w:pPr>
        <w:keepNext/>
        <w:keepLines/>
        <w:ind w:firstLine="708"/>
        <w:rPr>
          <w:rFonts w:ascii="Arial" w:eastAsia="Times New Roman" w:hAnsi="Arial" w:cs="Arial"/>
          <w:sz w:val="24"/>
          <w:szCs w:val="24"/>
        </w:rPr>
      </w:pPr>
      <w:r w:rsidRPr="00857E54">
        <w:rPr>
          <w:rFonts w:ascii="Arial" w:eastAsia="Times New Roman" w:hAnsi="Arial" w:cs="Arial"/>
          <w:sz w:val="24"/>
          <w:szCs w:val="24"/>
        </w:rPr>
        <w:t xml:space="preserve">În primul trimestru din anul 2018, economia românească a continuat ritmul susținut de creștere început în anul 2013, majorându-se cu 4,0% (serie brută) comparativ cu trimestrul I din 2017. Această </w:t>
      </w:r>
      <w:r w:rsidR="0088641E" w:rsidRPr="00857E54">
        <w:rPr>
          <w:rFonts w:ascii="Arial" w:eastAsia="Times New Roman" w:hAnsi="Arial" w:cs="Arial"/>
          <w:sz w:val="24"/>
          <w:szCs w:val="24"/>
        </w:rPr>
        <w:t>creștere</w:t>
      </w:r>
      <w:r w:rsidRPr="00857E54">
        <w:rPr>
          <w:rFonts w:ascii="Arial" w:eastAsia="Times New Roman" w:hAnsi="Arial" w:cs="Arial"/>
          <w:sz w:val="24"/>
          <w:szCs w:val="24"/>
        </w:rPr>
        <w:t xml:space="preserve"> situează România printre statele membre UE cu cel mai ridicat ritm de </w:t>
      </w:r>
      <w:r w:rsidR="0088641E" w:rsidRPr="00857E54">
        <w:rPr>
          <w:rFonts w:ascii="Arial" w:eastAsia="Times New Roman" w:hAnsi="Arial" w:cs="Arial"/>
          <w:sz w:val="24"/>
          <w:szCs w:val="24"/>
        </w:rPr>
        <w:t>creștere</w:t>
      </w:r>
      <w:r w:rsidRPr="00857E54">
        <w:rPr>
          <w:rFonts w:ascii="Arial" w:eastAsia="Times New Roman" w:hAnsi="Arial" w:cs="Arial"/>
          <w:sz w:val="24"/>
          <w:szCs w:val="24"/>
        </w:rPr>
        <w:t>.</w:t>
      </w:r>
    </w:p>
    <w:p w:rsidR="006407D7" w:rsidRPr="00857E54" w:rsidRDefault="006407D7" w:rsidP="00281576">
      <w:pPr>
        <w:keepNext/>
        <w:keepLines/>
        <w:ind w:firstLine="708"/>
        <w:rPr>
          <w:rFonts w:ascii="Arial" w:eastAsia="Times New Roman" w:hAnsi="Arial" w:cs="Arial"/>
          <w:sz w:val="24"/>
          <w:szCs w:val="24"/>
        </w:rPr>
      </w:pPr>
      <w:r w:rsidRPr="00857E54">
        <w:rPr>
          <w:rFonts w:ascii="Arial" w:eastAsia="Times New Roman" w:hAnsi="Arial" w:cs="Arial"/>
          <w:b/>
          <w:sz w:val="24"/>
          <w:szCs w:val="24"/>
        </w:rPr>
        <w:t>Cererea internă</w:t>
      </w:r>
      <w:r w:rsidRPr="00857E54">
        <w:rPr>
          <w:rFonts w:ascii="Arial" w:eastAsia="Times New Roman" w:hAnsi="Arial" w:cs="Arial"/>
          <w:sz w:val="24"/>
          <w:szCs w:val="24"/>
        </w:rPr>
        <w:t xml:space="preserve">, cu o contribuție la creșterea produsului intern brut de 5,8 procente,  s-a bazat, în principal, pe acumularea brută (formarea brută de capital), care s-au majorat cu 13,8% comparativ cu trimestrul I 2017, când a înregistrat o reducere de 0,1%. Pe componente, </w:t>
      </w:r>
      <w:r w:rsidR="0088641E" w:rsidRPr="00857E54">
        <w:rPr>
          <w:rFonts w:ascii="Arial" w:eastAsia="Times New Roman" w:hAnsi="Arial" w:cs="Arial"/>
          <w:sz w:val="24"/>
          <w:szCs w:val="24"/>
        </w:rPr>
        <w:t>investițiile</w:t>
      </w:r>
      <w:r w:rsidRPr="00857E54">
        <w:rPr>
          <w:rFonts w:ascii="Arial" w:eastAsia="Times New Roman" w:hAnsi="Arial" w:cs="Arial"/>
          <w:sz w:val="24"/>
          <w:szCs w:val="24"/>
        </w:rPr>
        <w:t xml:space="preserve"> brute (formarea brută de capital fix)  au crescut cu 6,3% </w:t>
      </w:r>
      <w:r w:rsidR="0088641E" w:rsidRPr="00857E54">
        <w:rPr>
          <w:rFonts w:ascii="Arial" w:eastAsia="Times New Roman" w:hAnsi="Arial" w:cs="Arial"/>
          <w:sz w:val="24"/>
          <w:szCs w:val="24"/>
        </w:rPr>
        <w:t>față</w:t>
      </w:r>
      <w:r w:rsidRPr="00857E54">
        <w:rPr>
          <w:rFonts w:ascii="Arial" w:eastAsia="Times New Roman" w:hAnsi="Arial" w:cs="Arial"/>
          <w:sz w:val="24"/>
          <w:szCs w:val="24"/>
        </w:rPr>
        <w:t xml:space="preserve"> de trimestrul I 2017, iar </w:t>
      </w:r>
      <w:r w:rsidR="0088641E" w:rsidRPr="00857E54">
        <w:rPr>
          <w:rFonts w:ascii="Arial" w:eastAsia="Times New Roman" w:hAnsi="Arial" w:cs="Arial"/>
          <w:sz w:val="24"/>
          <w:szCs w:val="24"/>
        </w:rPr>
        <w:t>variația</w:t>
      </w:r>
      <w:r w:rsidRPr="00857E54">
        <w:rPr>
          <w:rFonts w:ascii="Arial" w:eastAsia="Times New Roman" w:hAnsi="Arial" w:cs="Arial"/>
          <w:sz w:val="24"/>
          <w:szCs w:val="24"/>
        </w:rPr>
        <w:t xml:space="preserve"> stocurilor a înregistrat o </w:t>
      </w:r>
      <w:r w:rsidR="0088641E" w:rsidRPr="00857E54">
        <w:rPr>
          <w:rFonts w:ascii="Arial" w:eastAsia="Times New Roman" w:hAnsi="Arial" w:cs="Arial"/>
          <w:sz w:val="24"/>
          <w:szCs w:val="24"/>
        </w:rPr>
        <w:t>contribuție</w:t>
      </w:r>
      <w:r w:rsidRPr="00857E54">
        <w:rPr>
          <w:rFonts w:ascii="Arial" w:eastAsia="Times New Roman" w:hAnsi="Arial" w:cs="Arial"/>
          <w:sz w:val="24"/>
          <w:szCs w:val="24"/>
        </w:rPr>
        <w:t xml:space="preserve"> pozitivă de 1,7 procente. Această </w:t>
      </w:r>
      <w:r w:rsidR="0088641E" w:rsidRPr="00857E54">
        <w:rPr>
          <w:rFonts w:ascii="Arial" w:eastAsia="Times New Roman" w:hAnsi="Arial" w:cs="Arial"/>
          <w:sz w:val="24"/>
          <w:szCs w:val="24"/>
        </w:rPr>
        <w:t>evoluție</w:t>
      </w:r>
      <w:r w:rsidRPr="00857E54">
        <w:rPr>
          <w:rFonts w:ascii="Arial" w:eastAsia="Times New Roman" w:hAnsi="Arial" w:cs="Arial"/>
          <w:sz w:val="24"/>
          <w:szCs w:val="24"/>
        </w:rPr>
        <w:t xml:space="preserve"> a stocurilor este datorată </w:t>
      </w:r>
      <w:r w:rsidR="0088641E" w:rsidRPr="00857E54">
        <w:rPr>
          <w:rFonts w:ascii="Arial" w:eastAsia="Times New Roman" w:hAnsi="Arial" w:cs="Arial"/>
          <w:sz w:val="24"/>
          <w:szCs w:val="24"/>
        </w:rPr>
        <w:t>parțial</w:t>
      </w:r>
      <w:r w:rsidRPr="00857E54">
        <w:rPr>
          <w:rFonts w:ascii="Arial" w:eastAsia="Times New Roman" w:hAnsi="Arial" w:cs="Arial"/>
          <w:sz w:val="24"/>
          <w:szCs w:val="24"/>
        </w:rPr>
        <w:t xml:space="preserve"> </w:t>
      </w:r>
      <w:r w:rsidR="0088641E" w:rsidRPr="00857E54">
        <w:rPr>
          <w:rFonts w:ascii="Arial" w:eastAsia="Times New Roman" w:hAnsi="Arial" w:cs="Arial"/>
          <w:sz w:val="24"/>
          <w:szCs w:val="24"/>
        </w:rPr>
        <w:t>activității</w:t>
      </w:r>
      <w:r w:rsidRPr="00857E54">
        <w:rPr>
          <w:rFonts w:ascii="Arial" w:eastAsia="Times New Roman" w:hAnsi="Arial" w:cs="Arial"/>
          <w:sz w:val="24"/>
          <w:szCs w:val="24"/>
        </w:rPr>
        <w:t xml:space="preserve"> de reconstituire a stocurilor întrucât vine după două </w:t>
      </w:r>
      <w:r w:rsidR="0088641E" w:rsidRPr="00857E54">
        <w:rPr>
          <w:rFonts w:ascii="Arial" w:eastAsia="Times New Roman" w:hAnsi="Arial" w:cs="Arial"/>
          <w:sz w:val="24"/>
          <w:szCs w:val="24"/>
        </w:rPr>
        <w:t>contribuții</w:t>
      </w:r>
      <w:r w:rsidRPr="00857E54">
        <w:rPr>
          <w:rFonts w:ascii="Arial" w:eastAsia="Times New Roman" w:hAnsi="Arial" w:cs="Arial"/>
          <w:sz w:val="24"/>
          <w:szCs w:val="24"/>
        </w:rPr>
        <w:t xml:space="preserve"> negative a modificării stocurilor la </w:t>
      </w:r>
      <w:r w:rsidR="0088641E" w:rsidRPr="00857E54">
        <w:rPr>
          <w:rFonts w:ascii="Arial" w:eastAsia="Times New Roman" w:hAnsi="Arial" w:cs="Arial"/>
          <w:sz w:val="24"/>
          <w:szCs w:val="24"/>
        </w:rPr>
        <w:t>creșterea</w:t>
      </w:r>
      <w:r w:rsidRPr="00857E54">
        <w:rPr>
          <w:rFonts w:ascii="Arial" w:eastAsia="Times New Roman" w:hAnsi="Arial" w:cs="Arial"/>
          <w:sz w:val="24"/>
          <w:szCs w:val="24"/>
        </w:rPr>
        <w:t xml:space="preserve"> PIB de  -1,2 puncte procentuale în trimestrul al treilea şi -0,3 puncte procentuale în trimestrul al patrulea 2017.</w:t>
      </w:r>
    </w:p>
    <w:p w:rsidR="006407D7" w:rsidRPr="00857E54" w:rsidRDefault="006407D7" w:rsidP="00281576">
      <w:pPr>
        <w:keepNext/>
        <w:keepLines/>
        <w:ind w:firstLine="708"/>
        <w:rPr>
          <w:rFonts w:ascii="Arial" w:eastAsia="Times New Roman" w:hAnsi="Arial" w:cs="Arial"/>
          <w:sz w:val="24"/>
          <w:szCs w:val="24"/>
        </w:rPr>
      </w:pPr>
      <w:r w:rsidRPr="00857E54">
        <w:rPr>
          <w:rFonts w:ascii="Arial" w:eastAsia="Times New Roman" w:hAnsi="Arial" w:cs="Arial"/>
          <w:b/>
          <w:sz w:val="24"/>
          <w:szCs w:val="24"/>
        </w:rPr>
        <w:t xml:space="preserve">Consumul </w:t>
      </w:r>
      <w:r w:rsidR="0088641E" w:rsidRPr="00857E54">
        <w:rPr>
          <w:rFonts w:ascii="Arial" w:eastAsia="Times New Roman" w:hAnsi="Arial" w:cs="Arial"/>
          <w:b/>
          <w:sz w:val="24"/>
          <w:szCs w:val="24"/>
        </w:rPr>
        <w:t>populației</w:t>
      </w:r>
      <w:r w:rsidRPr="00857E54">
        <w:rPr>
          <w:rFonts w:ascii="Arial" w:eastAsia="Times New Roman" w:hAnsi="Arial" w:cs="Arial"/>
          <w:sz w:val="24"/>
          <w:szCs w:val="24"/>
        </w:rPr>
        <w:t xml:space="preserve">, pe fondul unei </w:t>
      </w:r>
      <w:r w:rsidR="0088641E" w:rsidRPr="00857E54">
        <w:rPr>
          <w:rFonts w:ascii="Arial" w:eastAsia="Times New Roman" w:hAnsi="Arial" w:cs="Arial"/>
          <w:sz w:val="24"/>
          <w:szCs w:val="24"/>
        </w:rPr>
        <w:t>inflații</w:t>
      </w:r>
      <w:r w:rsidRPr="00857E54">
        <w:rPr>
          <w:rFonts w:ascii="Arial" w:eastAsia="Times New Roman" w:hAnsi="Arial" w:cs="Arial"/>
          <w:sz w:val="24"/>
          <w:szCs w:val="24"/>
        </w:rPr>
        <w:t xml:space="preserve"> cu trend ascendent, a unei deteriorări a încrederii consumatorilor, dar  şi a unei politici monetare mai restrictive,  şi-a temperat </w:t>
      </w:r>
      <w:r w:rsidR="0088641E" w:rsidRPr="00857E54">
        <w:rPr>
          <w:rFonts w:ascii="Arial" w:eastAsia="Times New Roman" w:hAnsi="Arial" w:cs="Arial"/>
          <w:sz w:val="24"/>
          <w:szCs w:val="24"/>
        </w:rPr>
        <w:t>creșterea</w:t>
      </w:r>
      <w:r w:rsidRPr="00857E54">
        <w:rPr>
          <w:rFonts w:ascii="Arial" w:eastAsia="Times New Roman" w:hAnsi="Arial" w:cs="Arial"/>
          <w:sz w:val="24"/>
          <w:szCs w:val="24"/>
        </w:rPr>
        <w:t xml:space="preserve"> manifestată în ultimii 2 ani, majorându-se cu </w:t>
      </w:r>
      <w:r w:rsidR="00A627FC" w:rsidRPr="00857E54">
        <w:rPr>
          <w:rFonts w:ascii="Arial" w:eastAsia="Times New Roman" w:hAnsi="Arial" w:cs="Arial"/>
          <w:sz w:val="24"/>
          <w:szCs w:val="24"/>
        </w:rPr>
        <w:t>5,9</w:t>
      </w:r>
      <w:r w:rsidRPr="00857E54">
        <w:rPr>
          <w:rFonts w:ascii="Arial" w:eastAsia="Times New Roman" w:hAnsi="Arial" w:cs="Arial"/>
          <w:sz w:val="24"/>
          <w:szCs w:val="24"/>
        </w:rPr>
        <w:t xml:space="preserve">%, comparativ cu trimestrul I 2017. Totodată, consumul guvernamental (care include consumul individual şi consumul colectiv al </w:t>
      </w:r>
      <w:r w:rsidR="0088641E" w:rsidRPr="00857E54">
        <w:rPr>
          <w:rFonts w:ascii="Arial" w:eastAsia="Times New Roman" w:hAnsi="Arial" w:cs="Arial"/>
          <w:sz w:val="24"/>
          <w:szCs w:val="24"/>
        </w:rPr>
        <w:t>administrației</w:t>
      </w:r>
      <w:r w:rsidRPr="00857E54">
        <w:rPr>
          <w:rFonts w:ascii="Arial" w:eastAsia="Times New Roman" w:hAnsi="Arial" w:cs="Arial"/>
          <w:sz w:val="24"/>
          <w:szCs w:val="24"/>
        </w:rPr>
        <w:t xml:space="preserve"> publice) a scăzut cu 3,4%, ca urmare a reducerii cheltuielilor pentru consumul final individual al </w:t>
      </w:r>
      <w:r w:rsidR="0088641E" w:rsidRPr="00857E54">
        <w:rPr>
          <w:rFonts w:ascii="Arial" w:eastAsia="Times New Roman" w:hAnsi="Arial" w:cs="Arial"/>
          <w:sz w:val="24"/>
          <w:szCs w:val="24"/>
        </w:rPr>
        <w:t>administrațiilor</w:t>
      </w:r>
      <w:r w:rsidRPr="00857E54">
        <w:rPr>
          <w:rFonts w:ascii="Arial" w:eastAsia="Times New Roman" w:hAnsi="Arial" w:cs="Arial"/>
          <w:sz w:val="24"/>
          <w:szCs w:val="24"/>
        </w:rPr>
        <w:t xml:space="preserve"> publice cu 9,4%.</w:t>
      </w:r>
    </w:p>
    <w:p w:rsidR="009414F6" w:rsidRPr="00857E54" w:rsidRDefault="006407D7" w:rsidP="00281576">
      <w:pPr>
        <w:keepNext/>
        <w:keepLines/>
        <w:ind w:firstLine="708"/>
        <w:rPr>
          <w:rFonts w:ascii="Arial" w:eastAsia="Times New Roman" w:hAnsi="Arial" w:cs="Arial"/>
          <w:sz w:val="24"/>
          <w:szCs w:val="24"/>
        </w:rPr>
      </w:pPr>
      <w:r w:rsidRPr="00857E54">
        <w:rPr>
          <w:rFonts w:ascii="Arial" w:eastAsia="Times New Roman" w:hAnsi="Arial" w:cs="Arial"/>
          <w:sz w:val="24"/>
          <w:szCs w:val="24"/>
        </w:rPr>
        <w:t xml:space="preserve">In termeni reali, dinamica </w:t>
      </w:r>
      <w:r w:rsidRPr="00857E54">
        <w:rPr>
          <w:rFonts w:ascii="Arial" w:eastAsia="Times New Roman" w:hAnsi="Arial" w:cs="Arial"/>
          <w:b/>
          <w:sz w:val="24"/>
          <w:szCs w:val="24"/>
        </w:rPr>
        <w:t>importurilor de bunuri şi servicii</w:t>
      </w:r>
      <w:r w:rsidRPr="00857E54">
        <w:rPr>
          <w:rFonts w:ascii="Arial" w:eastAsia="Times New Roman" w:hAnsi="Arial" w:cs="Arial"/>
          <w:sz w:val="24"/>
          <w:szCs w:val="24"/>
        </w:rPr>
        <w:t xml:space="preserve"> (11,5%) a devansat-o pe cea a exporturilor de bunuri şi servicii (8,0%), exportul net înregistrând o contribuție negativă la creșterea produsului intern brut de 1,8 procente.</w:t>
      </w:r>
    </w:p>
    <w:p w:rsidR="002C735C" w:rsidRPr="00857E54" w:rsidRDefault="006407D7" w:rsidP="00281576">
      <w:pPr>
        <w:keepNext/>
        <w:keepLines/>
        <w:spacing w:before="120" w:after="0"/>
        <w:ind w:firstLine="0"/>
        <w:jc w:val="center"/>
        <w:rPr>
          <w:rFonts w:ascii="Arial" w:eastAsia="Times New Roman" w:hAnsi="Arial" w:cs="Arial"/>
          <w:sz w:val="24"/>
          <w:szCs w:val="24"/>
        </w:rPr>
      </w:pPr>
      <w:r w:rsidRPr="00857E54">
        <w:rPr>
          <w:rFonts w:ascii="Arial" w:eastAsia="Times New Roman" w:hAnsi="Arial" w:cs="Arial"/>
          <w:b/>
          <w:bCs/>
          <w:sz w:val="24"/>
          <w:szCs w:val="24"/>
        </w:rPr>
        <w:t>Contribuția la creșterea reală a PIB a elementelor de cheltuieli</w:t>
      </w:r>
    </w:p>
    <w:p w:rsidR="009414F6" w:rsidRPr="00857E54" w:rsidRDefault="00DD7EAE" w:rsidP="00281576">
      <w:pPr>
        <w:keepNext/>
        <w:keepLines/>
        <w:ind w:firstLine="708"/>
        <w:rPr>
          <w:rFonts w:eastAsia="Times New Roman" w:cs="Arial"/>
          <w:sz w:val="24"/>
          <w:szCs w:val="24"/>
        </w:rPr>
      </w:pPr>
      <w:r w:rsidRPr="00857E54">
        <w:rPr>
          <w:rFonts w:ascii="Arial" w:eastAsia="Times New Roman" w:hAnsi="Arial" w:cs="Arial"/>
          <w:noProof/>
          <w:sz w:val="24"/>
          <w:szCs w:val="24"/>
          <w:lang w:val="en-US"/>
        </w:rPr>
        <w:drawing>
          <wp:anchor distT="0" distB="7620" distL="114300" distR="117221" simplePos="0" relativeHeight="251660288" behindDoc="0" locked="0" layoutInCell="1" allowOverlap="1">
            <wp:simplePos x="0" y="0"/>
            <wp:positionH relativeFrom="column">
              <wp:posOffset>37465</wp:posOffset>
            </wp:positionH>
            <wp:positionV relativeFrom="paragraph">
              <wp:posOffset>208280</wp:posOffset>
            </wp:positionV>
            <wp:extent cx="5652770" cy="2819400"/>
            <wp:effectExtent l="0" t="0" r="5080" b="0"/>
            <wp:wrapSquare wrapText="bothSides"/>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407D7" w:rsidRPr="00857E54" w:rsidRDefault="006407D7" w:rsidP="00281576">
      <w:pPr>
        <w:keepNext/>
        <w:keepLines/>
        <w:spacing w:before="120" w:after="0"/>
        <w:ind w:firstLine="567"/>
        <w:rPr>
          <w:rFonts w:ascii="Arial" w:eastAsia="Times New Roman" w:hAnsi="Arial" w:cs="Arial"/>
          <w:sz w:val="24"/>
          <w:szCs w:val="24"/>
        </w:rPr>
      </w:pPr>
      <w:r w:rsidRPr="00857E54">
        <w:rPr>
          <w:rFonts w:ascii="Arial" w:eastAsia="Times New Roman" w:hAnsi="Arial" w:cs="Arial"/>
          <w:sz w:val="24"/>
          <w:szCs w:val="24"/>
        </w:rPr>
        <w:lastRenderedPageBreak/>
        <w:t xml:space="preserve">Pe sectoare de activitate sunt de remarcat </w:t>
      </w:r>
      <w:r w:rsidR="0088641E" w:rsidRPr="00857E54">
        <w:rPr>
          <w:rFonts w:ascii="Arial" w:eastAsia="Times New Roman" w:hAnsi="Arial" w:cs="Arial"/>
          <w:sz w:val="24"/>
          <w:szCs w:val="24"/>
        </w:rPr>
        <w:t>evoluțiile</w:t>
      </w:r>
      <w:r w:rsidRPr="00857E54">
        <w:rPr>
          <w:rFonts w:ascii="Arial" w:eastAsia="Times New Roman" w:hAnsi="Arial" w:cs="Arial"/>
          <w:sz w:val="24"/>
          <w:szCs w:val="24"/>
        </w:rPr>
        <w:t xml:space="preserve"> pozitive ale valorii adăugate brute din agricultură (6,7%), industrie (4,4%) şi servicii (3,3%), în timp ce în sectorul </w:t>
      </w:r>
      <w:r w:rsidR="0088641E" w:rsidRPr="00857E54">
        <w:rPr>
          <w:rFonts w:ascii="Arial" w:eastAsia="Times New Roman" w:hAnsi="Arial" w:cs="Arial"/>
          <w:sz w:val="24"/>
          <w:szCs w:val="24"/>
        </w:rPr>
        <w:t>construcțiilor</w:t>
      </w:r>
      <w:r w:rsidRPr="00857E54">
        <w:rPr>
          <w:rFonts w:ascii="Arial" w:eastAsia="Times New Roman" w:hAnsi="Arial" w:cs="Arial"/>
          <w:sz w:val="24"/>
          <w:szCs w:val="24"/>
        </w:rPr>
        <w:t xml:space="preserve"> aceasta s-a redus cu 2,1%. În ceea ce </w:t>
      </w:r>
      <w:r w:rsidR="0088641E" w:rsidRPr="00857E54">
        <w:rPr>
          <w:rFonts w:ascii="Arial" w:eastAsia="Times New Roman" w:hAnsi="Arial" w:cs="Arial"/>
          <w:sz w:val="24"/>
          <w:szCs w:val="24"/>
        </w:rPr>
        <w:t>privește contribuțiile</w:t>
      </w:r>
      <w:r w:rsidRPr="00857E54">
        <w:rPr>
          <w:rFonts w:ascii="Arial" w:eastAsia="Times New Roman" w:hAnsi="Arial" w:cs="Arial"/>
          <w:sz w:val="24"/>
          <w:szCs w:val="24"/>
        </w:rPr>
        <w:t xml:space="preserve"> la </w:t>
      </w:r>
      <w:r w:rsidR="0088641E" w:rsidRPr="00857E54">
        <w:rPr>
          <w:rFonts w:ascii="Arial" w:eastAsia="Times New Roman" w:hAnsi="Arial" w:cs="Arial"/>
          <w:sz w:val="24"/>
          <w:szCs w:val="24"/>
        </w:rPr>
        <w:t>creșterea</w:t>
      </w:r>
      <w:r w:rsidRPr="00857E54">
        <w:rPr>
          <w:rFonts w:ascii="Arial" w:eastAsia="Times New Roman" w:hAnsi="Arial" w:cs="Arial"/>
          <w:sz w:val="24"/>
          <w:szCs w:val="24"/>
        </w:rPr>
        <w:t xml:space="preserve"> reală a PIB se </w:t>
      </w:r>
      <w:r w:rsidR="0088641E" w:rsidRPr="00857E54">
        <w:rPr>
          <w:rFonts w:ascii="Arial" w:eastAsia="Times New Roman" w:hAnsi="Arial" w:cs="Arial"/>
          <w:sz w:val="24"/>
          <w:szCs w:val="24"/>
        </w:rPr>
        <w:t>detașează</w:t>
      </w:r>
      <w:r w:rsidRPr="00857E54">
        <w:rPr>
          <w:rFonts w:ascii="Arial" w:eastAsia="Times New Roman" w:hAnsi="Arial" w:cs="Arial"/>
          <w:sz w:val="24"/>
          <w:szCs w:val="24"/>
        </w:rPr>
        <w:t xml:space="preserve"> serviciile cu 2 puncte procentuale şi industria cu 1 punct procentual.  În cadrul serviciilor,  sunt de remarcat cu ritmuri de peste 5% </w:t>
      </w:r>
      <w:r w:rsidR="0088641E" w:rsidRPr="00857E54">
        <w:rPr>
          <w:rFonts w:ascii="Arial" w:eastAsia="Times New Roman" w:hAnsi="Arial" w:cs="Arial"/>
          <w:sz w:val="24"/>
          <w:szCs w:val="24"/>
        </w:rPr>
        <w:t>informațiile</w:t>
      </w:r>
      <w:r w:rsidRPr="00857E54">
        <w:rPr>
          <w:rFonts w:ascii="Arial" w:eastAsia="Times New Roman" w:hAnsi="Arial" w:cs="Arial"/>
          <w:sz w:val="24"/>
          <w:szCs w:val="24"/>
        </w:rPr>
        <w:t xml:space="preserve"> şi </w:t>
      </w:r>
      <w:r w:rsidR="0088641E" w:rsidRPr="00857E54">
        <w:rPr>
          <w:rFonts w:ascii="Arial" w:eastAsia="Times New Roman" w:hAnsi="Arial" w:cs="Arial"/>
          <w:sz w:val="24"/>
          <w:szCs w:val="24"/>
        </w:rPr>
        <w:t>comunicațiile</w:t>
      </w:r>
      <w:r w:rsidRPr="00857E54">
        <w:rPr>
          <w:rFonts w:ascii="Arial" w:eastAsia="Times New Roman" w:hAnsi="Arial" w:cs="Arial"/>
          <w:sz w:val="24"/>
          <w:szCs w:val="24"/>
        </w:rPr>
        <w:t xml:space="preserve"> cu 5,4%, </w:t>
      </w:r>
      <w:r w:rsidR="0088641E" w:rsidRPr="00857E54">
        <w:rPr>
          <w:rFonts w:ascii="Arial" w:eastAsia="Times New Roman" w:hAnsi="Arial" w:cs="Arial"/>
          <w:sz w:val="24"/>
          <w:szCs w:val="24"/>
        </w:rPr>
        <w:t>activitățile</w:t>
      </w:r>
      <w:r w:rsidRPr="00857E54">
        <w:rPr>
          <w:rFonts w:ascii="Arial" w:eastAsia="Times New Roman" w:hAnsi="Arial" w:cs="Arial"/>
          <w:sz w:val="24"/>
          <w:szCs w:val="24"/>
        </w:rPr>
        <w:t xml:space="preserve"> profesionale, </w:t>
      </w:r>
      <w:r w:rsidR="0088641E" w:rsidRPr="00857E54">
        <w:rPr>
          <w:rFonts w:ascii="Arial" w:eastAsia="Times New Roman" w:hAnsi="Arial" w:cs="Arial"/>
          <w:sz w:val="24"/>
          <w:szCs w:val="24"/>
        </w:rPr>
        <w:t>științifice</w:t>
      </w:r>
      <w:r w:rsidRPr="00857E54">
        <w:rPr>
          <w:rFonts w:ascii="Arial" w:eastAsia="Times New Roman" w:hAnsi="Arial" w:cs="Arial"/>
          <w:sz w:val="24"/>
          <w:szCs w:val="24"/>
        </w:rPr>
        <w:t xml:space="preserve"> şi tehnice; </w:t>
      </w:r>
      <w:r w:rsidR="0088641E" w:rsidRPr="00857E54">
        <w:rPr>
          <w:rFonts w:ascii="Arial" w:eastAsia="Times New Roman" w:hAnsi="Arial" w:cs="Arial"/>
          <w:sz w:val="24"/>
          <w:szCs w:val="24"/>
        </w:rPr>
        <w:t>activități</w:t>
      </w:r>
      <w:r w:rsidRPr="00857E54">
        <w:rPr>
          <w:rFonts w:ascii="Arial" w:eastAsia="Times New Roman" w:hAnsi="Arial" w:cs="Arial"/>
          <w:sz w:val="24"/>
          <w:szCs w:val="24"/>
        </w:rPr>
        <w:t xml:space="preserve"> de servicii administrative şi servicii suport cu 5,6% şi </w:t>
      </w:r>
      <w:r w:rsidR="0088641E" w:rsidRPr="00857E54">
        <w:rPr>
          <w:rFonts w:ascii="Arial" w:eastAsia="Times New Roman" w:hAnsi="Arial" w:cs="Arial"/>
          <w:sz w:val="24"/>
          <w:szCs w:val="24"/>
        </w:rPr>
        <w:t>activitățile</w:t>
      </w:r>
      <w:r w:rsidRPr="00857E54">
        <w:rPr>
          <w:rFonts w:ascii="Arial" w:eastAsia="Times New Roman" w:hAnsi="Arial" w:cs="Arial"/>
          <w:sz w:val="24"/>
          <w:szCs w:val="24"/>
        </w:rPr>
        <w:t xml:space="preserve"> de spectacole, culturale, recreative şi alte servicii cu 5,1%. Impozitele nete pe produs </w:t>
      </w:r>
      <w:r w:rsidR="00EC7AA2" w:rsidRPr="00857E54">
        <w:rPr>
          <w:rFonts w:ascii="Arial" w:eastAsia="Times New Roman" w:hAnsi="Arial" w:cs="Arial"/>
          <w:sz w:val="24"/>
          <w:szCs w:val="24"/>
        </w:rPr>
        <w:br/>
      </w:r>
      <w:r w:rsidRPr="00857E54">
        <w:rPr>
          <w:rFonts w:ascii="Arial" w:eastAsia="Times New Roman" w:hAnsi="Arial" w:cs="Arial"/>
          <w:sz w:val="24"/>
          <w:szCs w:val="24"/>
        </w:rPr>
        <w:t>s-au majorat cu 8,6%</w:t>
      </w:r>
      <w:r w:rsidR="00EC7AA2" w:rsidRPr="00857E54">
        <w:rPr>
          <w:rFonts w:ascii="Arial" w:eastAsia="Times New Roman" w:hAnsi="Arial" w:cs="Arial"/>
          <w:sz w:val="24"/>
          <w:szCs w:val="24"/>
        </w:rPr>
        <w:t>,</w:t>
      </w:r>
      <w:r w:rsidRPr="00857E54">
        <w:rPr>
          <w:rFonts w:ascii="Arial" w:eastAsia="Times New Roman" w:hAnsi="Arial" w:cs="Arial"/>
          <w:sz w:val="24"/>
          <w:szCs w:val="24"/>
        </w:rPr>
        <w:t xml:space="preserve"> </w:t>
      </w:r>
      <w:r w:rsidR="0088641E" w:rsidRPr="00857E54">
        <w:rPr>
          <w:rFonts w:ascii="Arial" w:eastAsia="Times New Roman" w:hAnsi="Arial" w:cs="Arial"/>
          <w:sz w:val="24"/>
          <w:szCs w:val="24"/>
        </w:rPr>
        <w:t>contribuția</w:t>
      </w:r>
      <w:r w:rsidRPr="00857E54">
        <w:rPr>
          <w:rFonts w:ascii="Arial" w:eastAsia="Times New Roman" w:hAnsi="Arial" w:cs="Arial"/>
          <w:sz w:val="24"/>
          <w:szCs w:val="24"/>
        </w:rPr>
        <w:t xml:space="preserve"> lor la </w:t>
      </w:r>
      <w:r w:rsidR="0088641E" w:rsidRPr="00857E54">
        <w:rPr>
          <w:rFonts w:ascii="Arial" w:eastAsia="Times New Roman" w:hAnsi="Arial" w:cs="Arial"/>
          <w:sz w:val="24"/>
          <w:szCs w:val="24"/>
        </w:rPr>
        <w:t>creșterea</w:t>
      </w:r>
      <w:r w:rsidRPr="00857E54">
        <w:rPr>
          <w:rFonts w:ascii="Arial" w:eastAsia="Times New Roman" w:hAnsi="Arial" w:cs="Arial"/>
          <w:sz w:val="24"/>
          <w:szCs w:val="24"/>
        </w:rPr>
        <w:t xml:space="preserve"> reală a PIB fiind de 0,9 puncte procentuale.</w:t>
      </w:r>
    </w:p>
    <w:p w:rsidR="006407D7" w:rsidRPr="00857E54" w:rsidRDefault="006407D7" w:rsidP="00281576">
      <w:pPr>
        <w:keepNext/>
        <w:keepLines/>
        <w:spacing w:before="120" w:after="240"/>
        <w:ind w:firstLine="0"/>
        <w:jc w:val="center"/>
        <w:rPr>
          <w:rFonts w:ascii="Arial" w:eastAsia="Times New Roman" w:hAnsi="Arial" w:cs="Arial"/>
          <w:sz w:val="24"/>
          <w:szCs w:val="24"/>
        </w:rPr>
      </w:pPr>
      <w:r w:rsidRPr="00857E54">
        <w:rPr>
          <w:rFonts w:ascii="Arial" w:eastAsia="Times New Roman" w:hAnsi="Arial" w:cs="Arial"/>
          <w:b/>
          <w:bCs/>
          <w:sz w:val="24"/>
          <w:szCs w:val="24"/>
        </w:rPr>
        <w:t>Contribuția la creșterea reală a PIB a elementelor de creare</w:t>
      </w:r>
    </w:p>
    <w:p w:rsidR="00281576" w:rsidRPr="00857E54" w:rsidRDefault="006407D7" w:rsidP="00281576">
      <w:pPr>
        <w:keepNext/>
        <w:keepLines/>
        <w:ind w:firstLine="0"/>
        <w:rPr>
          <w:rFonts w:ascii="Arial" w:eastAsia="Times New Roman" w:hAnsi="Arial" w:cs="Arial"/>
          <w:sz w:val="24"/>
          <w:szCs w:val="24"/>
        </w:rPr>
      </w:pPr>
      <w:r w:rsidRPr="00857E54">
        <w:rPr>
          <w:rFonts w:ascii="Arial" w:eastAsia="Times New Roman" w:hAnsi="Arial" w:cs="Arial"/>
          <w:noProof/>
          <w:sz w:val="24"/>
          <w:szCs w:val="24"/>
          <w:lang w:val="en-US"/>
        </w:rPr>
        <w:drawing>
          <wp:inline distT="0" distB="0" distL="0" distR="0">
            <wp:extent cx="5760720" cy="2385060"/>
            <wp:effectExtent l="0" t="0" r="11430" b="1524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1576" w:rsidRPr="00857E54" w:rsidRDefault="00281576" w:rsidP="00281576">
      <w:pPr>
        <w:keepNext/>
        <w:keepLines/>
        <w:ind w:firstLine="0"/>
        <w:rPr>
          <w:rFonts w:ascii="Arial" w:eastAsia="Times New Roman" w:hAnsi="Arial" w:cs="Arial"/>
          <w:sz w:val="24"/>
          <w:szCs w:val="24"/>
        </w:rPr>
      </w:pPr>
    </w:p>
    <w:p w:rsidR="006407D7" w:rsidRPr="00857E54" w:rsidRDefault="006407D7" w:rsidP="00281576">
      <w:pPr>
        <w:keepNext/>
        <w:keepLines/>
        <w:ind w:firstLine="0"/>
        <w:rPr>
          <w:rFonts w:ascii="Arial" w:eastAsia="Times New Roman" w:hAnsi="Arial" w:cs="Arial"/>
          <w:sz w:val="24"/>
          <w:szCs w:val="24"/>
        </w:rPr>
      </w:pPr>
      <w:r w:rsidRPr="00857E54">
        <w:rPr>
          <w:rFonts w:ascii="Arial" w:eastAsia="Times New Roman" w:hAnsi="Arial" w:cs="Arial"/>
          <w:sz w:val="24"/>
          <w:szCs w:val="24"/>
        </w:rPr>
        <w:t xml:space="preserve">La nivelul primelor 5 luni ale anului curent </w:t>
      </w:r>
      <w:r w:rsidRPr="00857E54">
        <w:rPr>
          <w:rFonts w:ascii="Arial" w:eastAsia="Times New Roman" w:hAnsi="Arial" w:cs="Arial"/>
          <w:b/>
          <w:sz w:val="24"/>
          <w:szCs w:val="24"/>
        </w:rPr>
        <w:t>volumul producției industriale</w:t>
      </w:r>
      <w:r w:rsidRPr="00857E54">
        <w:rPr>
          <w:rFonts w:ascii="Arial" w:eastAsia="Times New Roman" w:hAnsi="Arial" w:cs="Arial"/>
          <w:sz w:val="24"/>
          <w:szCs w:val="24"/>
        </w:rPr>
        <w:t xml:space="preserve"> s-a majorat  cu 4,0% față de aceeași perioadă din 2017. Este de remarcat creșterea semnificativă a cererii de bunuri de capital şi a celei de bunuri intermediare reflectate într-o majorare a producției pentru aceste categorii de bunuri cu 10,2%, respectiv 5,0%, în timp ce valorile cifrei de afaceri au  crescut cu 17,0%, respectiv  12,9%. </w:t>
      </w:r>
    </w:p>
    <w:p w:rsidR="006407D7" w:rsidRPr="00857E54" w:rsidRDefault="006407D7" w:rsidP="00281576">
      <w:pPr>
        <w:keepNext/>
        <w:keepLines/>
        <w:spacing w:before="120" w:after="0"/>
        <w:ind w:firstLine="709"/>
        <w:rPr>
          <w:rFonts w:ascii="Arial" w:eastAsia="Times New Roman" w:hAnsi="Arial" w:cs="Arial"/>
          <w:sz w:val="24"/>
          <w:szCs w:val="24"/>
        </w:rPr>
      </w:pPr>
      <w:r w:rsidRPr="00857E54">
        <w:rPr>
          <w:rFonts w:ascii="Arial" w:eastAsia="Times New Roman" w:hAnsi="Arial" w:cs="Arial"/>
          <w:sz w:val="24"/>
          <w:szCs w:val="24"/>
        </w:rPr>
        <w:t xml:space="preserve">În primul trimestru din 2018 majorarea </w:t>
      </w:r>
      <w:r w:rsidR="0088641E" w:rsidRPr="00857E54">
        <w:rPr>
          <w:rFonts w:ascii="Arial" w:eastAsia="Times New Roman" w:hAnsi="Arial" w:cs="Arial"/>
          <w:b/>
          <w:sz w:val="24"/>
          <w:szCs w:val="24"/>
        </w:rPr>
        <w:t>investițiilor</w:t>
      </w:r>
      <w:r w:rsidRPr="00857E54">
        <w:rPr>
          <w:rFonts w:ascii="Arial" w:eastAsia="Times New Roman" w:hAnsi="Arial" w:cs="Arial"/>
          <w:b/>
          <w:sz w:val="24"/>
          <w:szCs w:val="24"/>
        </w:rPr>
        <w:t xml:space="preserve"> nete</w:t>
      </w:r>
      <w:r w:rsidRPr="00857E54">
        <w:rPr>
          <w:rFonts w:ascii="Arial" w:eastAsia="Times New Roman" w:hAnsi="Arial" w:cs="Arial"/>
          <w:sz w:val="24"/>
          <w:szCs w:val="24"/>
        </w:rPr>
        <w:t xml:space="preserve"> s-a accelerat, ajungând la o dinamică de 14,3% comparativ cu trimestrul I 2017. Această </w:t>
      </w:r>
      <w:r w:rsidR="0088641E" w:rsidRPr="00857E54">
        <w:rPr>
          <w:rFonts w:ascii="Arial" w:eastAsia="Times New Roman" w:hAnsi="Arial" w:cs="Arial"/>
          <w:sz w:val="24"/>
          <w:szCs w:val="24"/>
        </w:rPr>
        <w:t>performanță</w:t>
      </w:r>
      <w:r w:rsidRPr="00857E54">
        <w:rPr>
          <w:rFonts w:ascii="Arial" w:eastAsia="Times New Roman" w:hAnsi="Arial" w:cs="Arial"/>
          <w:sz w:val="24"/>
          <w:szCs w:val="24"/>
        </w:rPr>
        <w:t xml:space="preserve"> s-a realizat ca urmare a </w:t>
      </w:r>
      <w:r w:rsidR="0088641E" w:rsidRPr="00857E54">
        <w:rPr>
          <w:rFonts w:ascii="Arial" w:eastAsia="Times New Roman" w:hAnsi="Arial" w:cs="Arial"/>
          <w:sz w:val="24"/>
          <w:szCs w:val="24"/>
        </w:rPr>
        <w:t>creșterii</w:t>
      </w:r>
      <w:r w:rsidRPr="00857E54">
        <w:rPr>
          <w:rFonts w:ascii="Arial" w:eastAsia="Times New Roman" w:hAnsi="Arial" w:cs="Arial"/>
          <w:sz w:val="24"/>
          <w:szCs w:val="24"/>
        </w:rPr>
        <w:t xml:space="preserve"> de 3,2 ori a </w:t>
      </w:r>
      <w:r w:rsidR="0088641E" w:rsidRPr="00857E54">
        <w:rPr>
          <w:rFonts w:ascii="Arial" w:eastAsia="Times New Roman" w:hAnsi="Arial" w:cs="Arial"/>
          <w:sz w:val="24"/>
          <w:szCs w:val="24"/>
        </w:rPr>
        <w:t>investițiilor</w:t>
      </w:r>
      <w:r w:rsidRPr="00857E54">
        <w:rPr>
          <w:rFonts w:ascii="Arial" w:eastAsia="Times New Roman" w:hAnsi="Arial" w:cs="Arial"/>
          <w:sz w:val="24"/>
          <w:szCs w:val="24"/>
        </w:rPr>
        <w:t xml:space="preserve"> din sectorul majoritar de stat.</w:t>
      </w:r>
    </w:p>
    <w:p w:rsidR="006407D7" w:rsidRPr="00857E54" w:rsidRDefault="006407D7" w:rsidP="00281576">
      <w:pPr>
        <w:keepNext/>
        <w:keepLines/>
        <w:spacing w:before="120" w:after="0"/>
        <w:rPr>
          <w:rFonts w:ascii="Arial" w:eastAsia="Times New Roman" w:hAnsi="Arial" w:cs="Arial"/>
          <w:sz w:val="24"/>
          <w:szCs w:val="24"/>
        </w:rPr>
      </w:pPr>
      <w:r w:rsidRPr="00857E54">
        <w:rPr>
          <w:rFonts w:ascii="Arial" w:eastAsia="Times New Roman" w:hAnsi="Arial" w:cs="Arial"/>
          <w:sz w:val="24"/>
          <w:szCs w:val="24"/>
        </w:rPr>
        <w:tab/>
      </w:r>
      <w:r w:rsidRPr="00857E54">
        <w:rPr>
          <w:rFonts w:ascii="Arial" w:eastAsia="Times New Roman" w:hAnsi="Arial" w:cs="Arial"/>
          <w:sz w:val="24"/>
          <w:szCs w:val="24"/>
        </w:rPr>
        <w:tab/>
      </w:r>
      <w:r w:rsidR="0088641E" w:rsidRPr="00857E54">
        <w:rPr>
          <w:rFonts w:ascii="Arial" w:eastAsia="Times New Roman" w:hAnsi="Arial" w:cs="Arial"/>
          <w:b/>
          <w:sz w:val="24"/>
          <w:szCs w:val="24"/>
        </w:rPr>
        <w:t>Investițiile</w:t>
      </w:r>
      <w:r w:rsidRPr="00857E54">
        <w:rPr>
          <w:rFonts w:ascii="Arial" w:eastAsia="Times New Roman" w:hAnsi="Arial" w:cs="Arial"/>
          <w:b/>
          <w:sz w:val="24"/>
          <w:szCs w:val="24"/>
        </w:rPr>
        <w:t xml:space="preserve"> nete</w:t>
      </w:r>
      <w:r w:rsidRPr="00857E54">
        <w:rPr>
          <w:rFonts w:ascii="Arial" w:eastAsia="Times New Roman" w:hAnsi="Arial" w:cs="Arial"/>
          <w:sz w:val="24"/>
          <w:szCs w:val="24"/>
        </w:rPr>
        <w:t xml:space="preserve"> în utilaje, pe total economie, au crescut cu 7,7%, reprezentând 41,7% din totalul </w:t>
      </w:r>
      <w:r w:rsidR="0088641E" w:rsidRPr="00857E54">
        <w:rPr>
          <w:rFonts w:ascii="Arial" w:eastAsia="Times New Roman" w:hAnsi="Arial" w:cs="Arial"/>
          <w:sz w:val="24"/>
          <w:szCs w:val="24"/>
        </w:rPr>
        <w:t>investițiilor</w:t>
      </w:r>
      <w:r w:rsidRPr="00857E54">
        <w:rPr>
          <w:rFonts w:ascii="Arial" w:eastAsia="Times New Roman" w:hAnsi="Arial" w:cs="Arial"/>
          <w:sz w:val="24"/>
          <w:szCs w:val="24"/>
        </w:rPr>
        <w:t xml:space="preserve">, în timp ce </w:t>
      </w:r>
      <w:r w:rsidR="0088641E" w:rsidRPr="00857E54">
        <w:rPr>
          <w:rFonts w:ascii="Arial" w:eastAsia="Times New Roman" w:hAnsi="Arial" w:cs="Arial"/>
          <w:sz w:val="24"/>
          <w:szCs w:val="24"/>
        </w:rPr>
        <w:t>construcțiile</w:t>
      </w:r>
      <w:r w:rsidRPr="00857E54">
        <w:rPr>
          <w:rFonts w:ascii="Arial" w:eastAsia="Times New Roman" w:hAnsi="Arial" w:cs="Arial"/>
          <w:sz w:val="24"/>
          <w:szCs w:val="24"/>
        </w:rPr>
        <w:t xml:space="preserve"> noi (39,7% din total) au înregistrat o scădere cu 3,8% </w:t>
      </w:r>
      <w:r w:rsidR="0088641E" w:rsidRPr="00857E54">
        <w:rPr>
          <w:rFonts w:ascii="Arial" w:eastAsia="Times New Roman" w:hAnsi="Arial" w:cs="Arial"/>
          <w:sz w:val="24"/>
          <w:szCs w:val="24"/>
        </w:rPr>
        <w:t>față</w:t>
      </w:r>
      <w:r w:rsidRPr="00857E54">
        <w:rPr>
          <w:rFonts w:ascii="Arial" w:eastAsia="Times New Roman" w:hAnsi="Arial" w:cs="Arial"/>
          <w:sz w:val="24"/>
          <w:szCs w:val="24"/>
        </w:rPr>
        <w:t xml:space="preserve"> de trimestrul I 2017.</w:t>
      </w:r>
    </w:p>
    <w:p w:rsidR="006407D7" w:rsidRPr="00857E54" w:rsidRDefault="006407D7" w:rsidP="00281576">
      <w:pPr>
        <w:keepNext/>
        <w:keepLines/>
        <w:spacing w:before="120" w:after="0"/>
        <w:ind w:firstLine="709"/>
        <w:rPr>
          <w:rFonts w:ascii="Arial" w:eastAsia="Times New Roman" w:hAnsi="Arial" w:cs="Arial"/>
          <w:sz w:val="24"/>
          <w:szCs w:val="24"/>
        </w:rPr>
      </w:pPr>
      <w:r w:rsidRPr="00857E54">
        <w:rPr>
          <w:rFonts w:ascii="Arial" w:eastAsia="Times New Roman" w:hAnsi="Arial" w:cs="Arial"/>
          <w:sz w:val="24"/>
          <w:szCs w:val="24"/>
        </w:rPr>
        <w:t xml:space="preserve">În luna mai 2018 </w:t>
      </w:r>
      <w:r w:rsidRPr="00857E54">
        <w:rPr>
          <w:rFonts w:ascii="Arial" w:eastAsia="Times New Roman" w:hAnsi="Arial" w:cs="Arial"/>
          <w:b/>
          <w:sz w:val="24"/>
          <w:szCs w:val="24"/>
        </w:rPr>
        <w:t xml:space="preserve">volumul lucrărilor de </w:t>
      </w:r>
      <w:r w:rsidR="0088641E" w:rsidRPr="00857E54">
        <w:rPr>
          <w:rFonts w:ascii="Arial" w:eastAsia="Times New Roman" w:hAnsi="Arial" w:cs="Arial"/>
          <w:b/>
          <w:sz w:val="24"/>
          <w:szCs w:val="24"/>
        </w:rPr>
        <w:t>construcții</w:t>
      </w:r>
      <w:r w:rsidRPr="00857E54">
        <w:rPr>
          <w:rFonts w:ascii="Arial" w:eastAsia="Times New Roman" w:hAnsi="Arial" w:cs="Arial"/>
          <w:sz w:val="24"/>
          <w:szCs w:val="24"/>
        </w:rPr>
        <w:t xml:space="preserve"> a revenit pe un trend ascendent (+1,2%) datorită </w:t>
      </w:r>
      <w:r w:rsidR="0088641E" w:rsidRPr="00857E54">
        <w:rPr>
          <w:rFonts w:ascii="Arial" w:eastAsia="Times New Roman" w:hAnsi="Arial" w:cs="Arial"/>
          <w:sz w:val="24"/>
          <w:szCs w:val="24"/>
        </w:rPr>
        <w:t>evoluției</w:t>
      </w:r>
      <w:r w:rsidRPr="00857E54">
        <w:rPr>
          <w:rFonts w:ascii="Arial" w:eastAsia="Times New Roman" w:hAnsi="Arial" w:cs="Arial"/>
          <w:sz w:val="24"/>
          <w:szCs w:val="24"/>
        </w:rPr>
        <w:t xml:space="preserve"> pozitive a </w:t>
      </w:r>
      <w:r w:rsidR="0088641E" w:rsidRPr="00857E54">
        <w:rPr>
          <w:rFonts w:ascii="Arial" w:eastAsia="Times New Roman" w:hAnsi="Arial" w:cs="Arial"/>
          <w:sz w:val="24"/>
          <w:szCs w:val="24"/>
        </w:rPr>
        <w:t>construcțiilor inginerești</w:t>
      </w:r>
      <w:r w:rsidRPr="00857E54">
        <w:rPr>
          <w:rFonts w:ascii="Arial" w:eastAsia="Times New Roman" w:hAnsi="Arial" w:cs="Arial"/>
          <w:sz w:val="24"/>
          <w:szCs w:val="24"/>
        </w:rPr>
        <w:t xml:space="preserve"> realizate în principal din fonduri bugetare (+23,7%). La nivelul primelor 5 luni volumul lucrărilor de </w:t>
      </w:r>
      <w:r w:rsidR="0088641E" w:rsidRPr="00857E54">
        <w:rPr>
          <w:rFonts w:ascii="Arial" w:eastAsia="Times New Roman" w:hAnsi="Arial" w:cs="Arial"/>
          <w:sz w:val="24"/>
          <w:szCs w:val="24"/>
        </w:rPr>
        <w:t>construcții</w:t>
      </w:r>
      <w:r w:rsidRPr="00857E54">
        <w:rPr>
          <w:rFonts w:ascii="Arial" w:eastAsia="Times New Roman" w:hAnsi="Arial" w:cs="Arial"/>
          <w:sz w:val="24"/>
          <w:szCs w:val="24"/>
        </w:rPr>
        <w:t xml:space="preserve"> a înregistrat o scădere de 1,3%, </w:t>
      </w:r>
      <w:r w:rsidR="0088641E" w:rsidRPr="00857E54">
        <w:rPr>
          <w:rFonts w:ascii="Arial" w:eastAsia="Times New Roman" w:hAnsi="Arial" w:cs="Arial"/>
          <w:sz w:val="24"/>
          <w:szCs w:val="24"/>
        </w:rPr>
        <w:t>deși</w:t>
      </w:r>
      <w:r w:rsidRPr="00857E54">
        <w:rPr>
          <w:rFonts w:ascii="Arial" w:eastAsia="Times New Roman" w:hAnsi="Arial" w:cs="Arial"/>
          <w:sz w:val="24"/>
          <w:szCs w:val="24"/>
        </w:rPr>
        <w:t xml:space="preserve"> în sectorul de </w:t>
      </w:r>
      <w:r w:rsidR="0088641E" w:rsidRPr="00857E54">
        <w:rPr>
          <w:rFonts w:ascii="Arial" w:eastAsia="Times New Roman" w:hAnsi="Arial" w:cs="Arial"/>
          <w:sz w:val="24"/>
          <w:szCs w:val="24"/>
        </w:rPr>
        <w:t>construcții inginerești</w:t>
      </w:r>
      <w:r w:rsidRPr="00857E54">
        <w:rPr>
          <w:rFonts w:ascii="Arial" w:eastAsia="Times New Roman" w:hAnsi="Arial" w:cs="Arial"/>
          <w:sz w:val="24"/>
          <w:szCs w:val="24"/>
        </w:rPr>
        <w:t xml:space="preserve"> şi clădiri </w:t>
      </w:r>
      <w:r w:rsidR="0088641E" w:rsidRPr="00857E54">
        <w:rPr>
          <w:rFonts w:ascii="Arial" w:eastAsia="Times New Roman" w:hAnsi="Arial" w:cs="Arial"/>
          <w:sz w:val="24"/>
          <w:szCs w:val="24"/>
        </w:rPr>
        <w:t>nerezidențiale</w:t>
      </w:r>
      <w:r w:rsidRPr="00857E54">
        <w:rPr>
          <w:rFonts w:ascii="Arial" w:eastAsia="Times New Roman" w:hAnsi="Arial" w:cs="Arial"/>
          <w:sz w:val="24"/>
          <w:szCs w:val="24"/>
        </w:rPr>
        <w:t xml:space="preserve"> activitatea s-a majorat cu 12,2% şi respectiv cu 3,9%.</w:t>
      </w:r>
    </w:p>
    <w:p w:rsidR="006407D7" w:rsidRPr="00857E54" w:rsidRDefault="006407D7" w:rsidP="00281576">
      <w:pPr>
        <w:keepNext/>
        <w:keepLines/>
        <w:spacing w:before="120" w:after="0"/>
        <w:ind w:firstLine="709"/>
        <w:rPr>
          <w:rFonts w:ascii="Arial" w:eastAsia="Times New Roman" w:hAnsi="Arial" w:cs="Arial"/>
          <w:sz w:val="24"/>
          <w:szCs w:val="24"/>
        </w:rPr>
      </w:pPr>
      <w:r w:rsidRPr="00857E54">
        <w:rPr>
          <w:rFonts w:ascii="Arial" w:eastAsia="Times New Roman" w:hAnsi="Arial" w:cs="Arial"/>
          <w:b/>
          <w:sz w:val="24"/>
          <w:szCs w:val="24"/>
        </w:rPr>
        <w:lastRenderedPageBreak/>
        <w:t>Volumul cifrei de afaceri pentru comerțul cu amănuntul</w:t>
      </w:r>
      <w:r w:rsidRPr="00857E54">
        <w:rPr>
          <w:rFonts w:ascii="Arial" w:eastAsia="Times New Roman" w:hAnsi="Arial" w:cs="Arial"/>
          <w:sz w:val="24"/>
          <w:szCs w:val="24"/>
        </w:rPr>
        <w:t xml:space="preserve"> s-a majorat în primele cinci luni ale anului 2018, comparativ aceeași perioadă din 2017, cu 6,4%, în principal datorită vânzărilor de produse nealimentare  (+7,2%) şi a comerțului cu amănuntul prin intermediul caselor de comenzi sau prin internet (+19,6%), dar şi </w:t>
      </w:r>
      <w:r w:rsidR="0088641E" w:rsidRPr="00857E54">
        <w:rPr>
          <w:rFonts w:ascii="Arial" w:eastAsia="Times New Roman" w:hAnsi="Arial" w:cs="Arial"/>
          <w:sz w:val="24"/>
          <w:szCs w:val="24"/>
        </w:rPr>
        <w:t>creșterilor</w:t>
      </w:r>
      <w:r w:rsidRPr="00857E54">
        <w:rPr>
          <w:rFonts w:ascii="Arial" w:eastAsia="Times New Roman" w:hAnsi="Arial" w:cs="Arial"/>
          <w:sz w:val="24"/>
          <w:szCs w:val="24"/>
        </w:rPr>
        <w:t xml:space="preserve"> din </w:t>
      </w:r>
      <w:r w:rsidR="0088641E" w:rsidRPr="00857E54">
        <w:rPr>
          <w:rFonts w:ascii="Arial" w:eastAsia="Times New Roman" w:hAnsi="Arial" w:cs="Arial"/>
          <w:sz w:val="24"/>
          <w:szCs w:val="24"/>
        </w:rPr>
        <w:t>comerțul</w:t>
      </w:r>
      <w:r w:rsidRPr="00857E54">
        <w:rPr>
          <w:rFonts w:ascii="Arial" w:eastAsia="Times New Roman" w:hAnsi="Arial" w:cs="Arial"/>
          <w:sz w:val="24"/>
          <w:szCs w:val="24"/>
        </w:rPr>
        <w:t xml:space="preserve"> cu produse farmaceutice, cosmetice şi parfumerie (+13,5%), precum şi mobilă, articole de iluminat, aparate electrice, articole de fierărie (+7,3%).</w:t>
      </w:r>
    </w:p>
    <w:p w:rsidR="006407D7" w:rsidRPr="00857E54" w:rsidRDefault="006407D7" w:rsidP="00281576">
      <w:pPr>
        <w:keepNext/>
        <w:keepLines/>
        <w:spacing w:before="120" w:after="0"/>
        <w:ind w:firstLine="709"/>
        <w:rPr>
          <w:rFonts w:ascii="Arial" w:eastAsia="Times New Roman" w:hAnsi="Arial" w:cs="Arial"/>
          <w:sz w:val="24"/>
          <w:szCs w:val="24"/>
        </w:rPr>
      </w:pPr>
      <w:r w:rsidRPr="00857E54">
        <w:rPr>
          <w:rFonts w:ascii="Arial" w:eastAsia="Times New Roman" w:hAnsi="Arial" w:cs="Arial"/>
          <w:sz w:val="24"/>
          <w:szCs w:val="24"/>
        </w:rPr>
        <w:t>Creșteri substanțiale s-au înregistrat, în această perioadă, şi în cazul mărfurilor alimentare (+7,0%), în special datorită vânzărilor în magazine specializate (+11,1%).</w:t>
      </w:r>
    </w:p>
    <w:p w:rsidR="006407D7" w:rsidRPr="00857E54" w:rsidRDefault="006407D7" w:rsidP="00281576">
      <w:pPr>
        <w:keepNext/>
        <w:keepLines/>
        <w:spacing w:before="120" w:after="0"/>
        <w:ind w:firstLine="709"/>
        <w:rPr>
          <w:rFonts w:ascii="Arial" w:eastAsia="Times New Roman" w:hAnsi="Arial" w:cs="Arial"/>
          <w:sz w:val="24"/>
          <w:szCs w:val="24"/>
        </w:rPr>
      </w:pPr>
      <w:r w:rsidRPr="00857E54">
        <w:rPr>
          <w:rFonts w:ascii="Arial" w:eastAsia="Times New Roman" w:hAnsi="Arial" w:cs="Arial"/>
          <w:b/>
          <w:sz w:val="24"/>
          <w:szCs w:val="24"/>
        </w:rPr>
        <w:t>Exporturile de bunuri</w:t>
      </w:r>
      <w:r w:rsidRPr="00857E54">
        <w:rPr>
          <w:rFonts w:ascii="Arial" w:eastAsia="Times New Roman" w:hAnsi="Arial" w:cs="Arial"/>
          <w:sz w:val="24"/>
          <w:szCs w:val="24"/>
        </w:rPr>
        <w:t xml:space="preserve"> au însumat în primele 5 luni ale anului 2018 valoarea de 28,1 mld. euro, înregistrând o </w:t>
      </w:r>
      <w:r w:rsidR="0088641E" w:rsidRPr="00857E54">
        <w:rPr>
          <w:rFonts w:ascii="Arial" w:eastAsia="Times New Roman" w:hAnsi="Arial" w:cs="Arial"/>
          <w:sz w:val="24"/>
          <w:szCs w:val="24"/>
        </w:rPr>
        <w:t>creștere</w:t>
      </w:r>
      <w:r w:rsidRPr="00857E54">
        <w:rPr>
          <w:rFonts w:ascii="Arial" w:eastAsia="Times New Roman" w:hAnsi="Arial" w:cs="Arial"/>
          <w:sz w:val="24"/>
          <w:szCs w:val="24"/>
        </w:rPr>
        <w:t xml:space="preserve"> cu 8,8% şi o valoare suplimentară de 2,3 mld. euro, față de perioada similară a anului anterior. Valoarea exporturilor intracomunitare de bunuri a înregistrat o creștere cu 10,2%, ponderea exportului destinat statelor UE în total exporturi reprezentând 76,7%. </w:t>
      </w:r>
      <w:r w:rsidRPr="00857E54">
        <w:rPr>
          <w:rFonts w:ascii="Arial" w:eastAsia="Times New Roman" w:hAnsi="Arial" w:cs="Arial"/>
          <w:b/>
          <w:sz w:val="24"/>
          <w:szCs w:val="24"/>
        </w:rPr>
        <w:t>Importurile de bunuri</w:t>
      </w:r>
      <w:r w:rsidRPr="00857E54">
        <w:rPr>
          <w:rFonts w:ascii="Arial" w:eastAsia="Times New Roman" w:hAnsi="Arial" w:cs="Arial"/>
          <w:sz w:val="24"/>
          <w:szCs w:val="24"/>
        </w:rPr>
        <w:t xml:space="preserve"> au crescut, în primele 5 luni ale anului  2018 cu 9,3%. Valoarea importurilor provenite din zona UE a înregistrat o creștere cu 8,2%, ajungând să reprezinte 75,3% din importurile românești. </w:t>
      </w:r>
    </w:p>
    <w:p w:rsidR="006407D7" w:rsidRPr="00857E54" w:rsidRDefault="006407D7" w:rsidP="00281576">
      <w:pPr>
        <w:keepNext/>
        <w:keepLines/>
        <w:spacing w:before="120" w:after="240"/>
        <w:ind w:firstLine="709"/>
        <w:rPr>
          <w:rFonts w:ascii="Arial" w:eastAsia="Times New Roman" w:hAnsi="Arial" w:cs="Arial"/>
          <w:b/>
          <w:bCs/>
        </w:rPr>
      </w:pPr>
      <w:r w:rsidRPr="00857E54">
        <w:rPr>
          <w:rFonts w:ascii="Arial" w:eastAsia="Times New Roman" w:hAnsi="Arial" w:cs="Arial"/>
          <w:sz w:val="24"/>
          <w:szCs w:val="24"/>
        </w:rPr>
        <w:t xml:space="preserve">În primele 5 luni din 2018, </w:t>
      </w:r>
      <w:r w:rsidRPr="00857E54">
        <w:rPr>
          <w:rFonts w:ascii="Arial" w:eastAsia="Times New Roman" w:hAnsi="Arial" w:cs="Arial"/>
          <w:b/>
          <w:sz w:val="24"/>
          <w:szCs w:val="24"/>
        </w:rPr>
        <w:t>contul curent al balanței de plăți</w:t>
      </w:r>
      <w:r w:rsidRPr="00857E54">
        <w:rPr>
          <w:rFonts w:ascii="Arial" w:eastAsia="Times New Roman" w:hAnsi="Arial" w:cs="Arial"/>
          <w:sz w:val="24"/>
          <w:szCs w:val="24"/>
        </w:rPr>
        <w:t xml:space="preserve"> s-a închis cu un deficit în valoare de 3.018 mil. euro mai mare cu 15,8% față de perioada corespunzătoare din anul 2017.  Investițiile străine directe au totalizat o valoare de 1.720 mil. euro, în </w:t>
      </w:r>
      <w:r w:rsidR="0088641E" w:rsidRPr="00857E54">
        <w:rPr>
          <w:rFonts w:ascii="Arial" w:eastAsia="Times New Roman" w:hAnsi="Arial" w:cs="Arial"/>
          <w:sz w:val="24"/>
          <w:szCs w:val="24"/>
        </w:rPr>
        <w:t>creștere</w:t>
      </w:r>
      <w:r w:rsidRPr="00857E54">
        <w:rPr>
          <w:rFonts w:ascii="Arial" w:eastAsia="Times New Roman" w:hAnsi="Arial" w:cs="Arial"/>
          <w:sz w:val="24"/>
          <w:szCs w:val="24"/>
        </w:rPr>
        <w:t xml:space="preserve"> cu 17,6% </w:t>
      </w:r>
      <w:r w:rsidR="0088641E" w:rsidRPr="00857E54">
        <w:rPr>
          <w:rFonts w:ascii="Arial" w:eastAsia="Times New Roman" w:hAnsi="Arial" w:cs="Arial"/>
          <w:sz w:val="24"/>
          <w:szCs w:val="24"/>
        </w:rPr>
        <w:t>față</w:t>
      </w:r>
      <w:r w:rsidRPr="00857E54">
        <w:rPr>
          <w:rFonts w:ascii="Arial" w:eastAsia="Times New Roman" w:hAnsi="Arial" w:cs="Arial"/>
          <w:sz w:val="24"/>
          <w:szCs w:val="24"/>
        </w:rPr>
        <w:t xml:space="preserve"> de </w:t>
      </w:r>
      <w:r w:rsidR="0088641E" w:rsidRPr="00857E54">
        <w:rPr>
          <w:rFonts w:ascii="Arial" w:eastAsia="Times New Roman" w:hAnsi="Arial" w:cs="Arial"/>
          <w:sz w:val="24"/>
          <w:szCs w:val="24"/>
        </w:rPr>
        <w:t>aceeași</w:t>
      </w:r>
      <w:r w:rsidRPr="00857E54">
        <w:rPr>
          <w:rFonts w:ascii="Arial" w:eastAsia="Times New Roman" w:hAnsi="Arial" w:cs="Arial"/>
          <w:sz w:val="24"/>
          <w:szCs w:val="24"/>
        </w:rPr>
        <w:t xml:space="preserve"> perioadă din 2017.</w:t>
      </w:r>
    </w:p>
    <w:p w:rsidR="006407D7" w:rsidRPr="00857E54" w:rsidRDefault="006407D7" w:rsidP="00281576">
      <w:pPr>
        <w:keepNext/>
        <w:keepLines/>
        <w:spacing w:before="120" w:after="0"/>
        <w:jc w:val="center"/>
        <w:rPr>
          <w:rFonts w:ascii="Arial" w:eastAsia="Times New Roman" w:hAnsi="Arial" w:cs="Arial"/>
          <w:b/>
          <w:bCs/>
          <w:sz w:val="24"/>
          <w:szCs w:val="24"/>
        </w:rPr>
      </w:pPr>
      <w:r w:rsidRPr="00857E54">
        <w:rPr>
          <w:rFonts w:ascii="Arial" w:eastAsia="Times New Roman" w:hAnsi="Arial" w:cs="Arial"/>
          <w:b/>
          <w:bCs/>
          <w:sz w:val="24"/>
          <w:szCs w:val="24"/>
        </w:rPr>
        <w:t>Evoluția comerțului exterior</w:t>
      </w:r>
    </w:p>
    <w:p w:rsidR="006407D7" w:rsidRPr="00857E54" w:rsidRDefault="006407D7" w:rsidP="00281576">
      <w:pPr>
        <w:keepNext/>
        <w:keepLines/>
        <w:spacing w:before="120" w:after="120"/>
        <w:jc w:val="center"/>
        <w:rPr>
          <w:rFonts w:ascii="Arial" w:eastAsia="Times New Roman" w:hAnsi="Arial" w:cs="Arial"/>
          <w:bCs/>
          <w:sz w:val="24"/>
          <w:szCs w:val="24"/>
        </w:rPr>
      </w:pPr>
      <w:r w:rsidRPr="00857E54">
        <w:rPr>
          <w:rFonts w:ascii="Arial" w:eastAsia="Times New Roman" w:hAnsi="Arial" w:cs="Arial"/>
          <w:bCs/>
          <w:sz w:val="24"/>
          <w:szCs w:val="24"/>
        </w:rPr>
        <w:t>Ianuarie – mai 2018</w:t>
      </w:r>
    </w:p>
    <w:p w:rsidR="006407D7" w:rsidRPr="00857E54" w:rsidRDefault="006407D7" w:rsidP="00281576">
      <w:pPr>
        <w:keepNext/>
        <w:keepLines/>
        <w:ind w:firstLine="0"/>
        <w:rPr>
          <w:rFonts w:eastAsia="Times New Roman" w:cs="Arial"/>
          <w:sz w:val="24"/>
          <w:szCs w:val="24"/>
        </w:rPr>
      </w:pPr>
      <w:r w:rsidRPr="00857E54">
        <w:rPr>
          <w:rFonts w:ascii="Calibri" w:eastAsia="Times New Roman" w:hAnsi="Calibri" w:cs="Times New Roman"/>
          <w:noProof/>
          <w:shd w:val="clear" w:color="auto" w:fill="DEEAF6" w:themeFill="accent1" w:themeFillTint="33"/>
          <w:lang w:val="en-US"/>
        </w:rPr>
        <w:drawing>
          <wp:inline distT="0" distB="0" distL="0" distR="0">
            <wp:extent cx="5760720" cy="3185160"/>
            <wp:effectExtent l="0" t="0" r="0" b="0"/>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07D7" w:rsidRPr="00857E54" w:rsidRDefault="001D0E4D" w:rsidP="00281576">
      <w:pPr>
        <w:keepNext/>
        <w:keepLines/>
        <w:spacing w:before="240" w:after="0"/>
        <w:ind w:firstLine="709"/>
        <w:rPr>
          <w:rFonts w:ascii="Arial" w:eastAsia="Times New Roman" w:hAnsi="Arial" w:cs="Arial"/>
          <w:sz w:val="24"/>
          <w:szCs w:val="24"/>
        </w:rPr>
      </w:pPr>
      <w:r w:rsidRPr="00857E54">
        <w:rPr>
          <w:rFonts w:ascii="Arial" w:eastAsia="Times New Roman" w:hAnsi="Arial" w:cs="Arial"/>
          <w:sz w:val="24"/>
          <w:szCs w:val="24"/>
        </w:rPr>
        <w:lastRenderedPageBreak/>
        <w:t>Creșterea</w:t>
      </w:r>
      <w:r w:rsidR="00281576" w:rsidRPr="00857E54">
        <w:rPr>
          <w:rFonts w:ascii="Arial" w:eastAsia="Times New Roman" w:hAnsi="Arial" w:cs="Arial"/>
          <w:sz w:val="24"/>
          <w:szCs w:val="24"/>
        </w:rPr>
        <w:t xml:space="preserve"> </w:t>
      </w:r>
      <w:r w:rsidRPr="00857E54">
        <w:rPr>
          <w:rFonts w:ascii="Arial" w:eastAsia="Times New Roman" w:hAnsi="Arial" w:cs="Arial"/>
          <w:b/>
          <w:sz w:val="24"/>
          <w:szCs w:val="24"/>
        </w:rPr>
        <w:t>prețurilor</w:t>
      </w:r>
      <w:r w:rsidR="006407D7" w:rsidRPr="00857E54">
        <w:rPr>
          <w:rFonts w:ascii="Arial" w:eastAsia="Times New Roman" w:hAnsi="Arial" w:cs="Arial"/>
          <w:b/>
          <w:sz w:val="24"/>
          <w:szCs w:val="24"/>
        </w:rPr>
        <w:t xml:space="preserve"> de consum</w:t>
      </w:r>
      <w:r w:rsidR="006407D7" w:rsidRPr="00857E54">
        <w:rPr>
          <w:rFonts w:ascii="Arial" w:eastAsia="Times New Roman" w:hAnsi="Arial" w:cs="Arial"/>
          <w:sz w:val="24"/>
          <w:szCs w:val="24"/>
        </w:rPr>
        <w:t xml:space="preserve"> şi-a continuat traiectoria </w:t>
      </w:r>
      <w:r w:rsidR="00FA6625" w:rsidRPr="00857E54">
        <w:rPr>
          <w:rFonts w:ascii="Arial" w:eastAsia="Times New Roman" w:hAnsi="Arial" w:cs="Arial"/>
          <w:sz w:val="24"/>
          <w:szCs w:val="24"/>
        </w:rPr>
        <w:t>ascendentă manifestată î</w:t>
      </w:r>
      <w:r w:rsidR="006407D7" w:rsidRPr="00857E54">
        <w:rPr>
          <w:rFonts w:ascii="Arial" w:eastAsia="Times New Roman" w:hAnsi="Arial" w:cs="Arial"/>
          <w:sz w:val="24"/>
          <w:szCs w:val="24"/>
        </w:rPr>
        <w:t xml:space="preserve">ncă din trimestrul IV 2017 şi în primul semestru al anului curent, </w:t>
      </w:r>
      <w:r w:rsidRPr="00857E54">
        <w:rPr>
          <w:rFonts w:ascii="Arial" w:eastAsia="Times New Roman" w:hAnsi="Arial" w:cs="Arial"/>
          <w:sz w:val="24"/>
          <w:szCs w:val="24"/>
        </w:rPr>
        <w:t>inflația</w:t>
      </w:r>
      <w:r w:rsidR="006407D7" w:rsidRPr="00857E54">
        <w:rPr>
          <w:rFonts w:ascii="Arial" w:eastAsia="Times New Roman" w:hAnsi="Arial" w:cs="Arial"/>
          <w:sz w:val="24"/>
          <w:szCs w:val="24"/>
        </w:rPr>
        <w:t xml:space="preserve"> anuală ajungând în luna iunie la valoarea de 5,40%. </w:t>
      </w:r>
      <w:r w:rsidRPr="00857E54">
        <w:rPr>
          <w:rFonts w:ascii="Arial" w:eastAsia="Times New Roman" w:hAnsi="Arial" w:cs="Arial"/>
          <w:sz w:val="24"/>
          <w:szCs w:val="24"/>
        </w:rPr>
        <w:t>Creșterea</w:t>
      </w:r>
      <w:r w:rsidR="006407D7" w:rsidRPr="00857E54">
        <w:rPr>
          <w:rFonts w:ascii="Arial" w:eastAsia="Times New Roman" w:hAnsi="Arial" w:cs="Arial"/>
          <w:sz w:val="24"/>
          <w:szCs w:val="24"/>
        </w:rPr>
        <w:t xml:space="preserve">  consemnată s-a datorat atât </w:t>
      </w:r>
      <w:r w:rsidRPr="00857E54">
        <w:rPr>
          <w:rFonts w:ascii="Arial" w:eastAsia="Times New Roman" w:hAnsi="Arial" w:cs="Arial"/>
          <w:sz w:val="24"/>
          <w:szCs w:val="24"/>
        </w:rPr>
        <w:t>depășirii</w:t>
      </w:r>
      <w:r w:rsidR="006407D7" w:rsidRPr="00857E54">
        <w:rPr>
          <w:rFonts w:ascii="Arial" w:eastAsia="Times New Roman" w:hAnsi="Arial" w:cs="Arial"/>
          <w:sz w:val="24"/>
          <w:szCs w:val="24"/>
        </w:rPr>
        <w:t xml:space="preserve"> efectului statistic asociat măsurilor de relaxare fiscală de la începutul anului 2017 (reducerea cotei de TVA şi eliminarea supra</w:t>
      </w:r>
      <w:r w:rsidR="00065E24" w:rsidRPr="00857E54">
        <w:rPr>
          <w:rFonts w:ascii="Arial" w:eastAsia="Times New Roman" w:hAnsi="Arial" w:cs="Arial"/>
          <w:sz w:val="24"/>
          <w:szCs w:val="24"/>
        </w:rPr>
        <w:t xml:space="preserve"> </w:t>
      </w:r>
      <w:r w:rsidR="006407D7" w:rsidRPr="00857E54">
        <w:rPr>
          <w:rFonts w:ascii="Arial" w:eastAsia="Times New Roman" w:hAnsi="Arial" w:cs="Arial"/>
          <w:sz w:val="24"/>
          <w:szCs w:val="24"/>
        </w:rPr>
        <w:t xml:space="preserve">accizei şi a unor taxe nefiscale), cât şi majorării </w:t>
      </w:r>
      <w:r w:rsidR="0088641E" w:rsidRPr="00857E54">
        <w:rPr>
          <w:rFonts w:ascii="Arial" w:eastAsia="Times New Roman" w:hAnsi="Arial" w:cs="Arial"/>
          <w:sz w:val="24"/>
          <w:szCs w:val="24"/>
        </w:rPr>
        <w:t>cotațiilor</w:t>
      </w:r>
      <w:r w:rsidR="00281576" w:rsidRPr="00857E54">
        <w:rPr>
          <w:rFonts w:ascii="Arial" w:eastAsia="Times New Roman" w:hAnsi="Arial" w:cs="Arial"/>
          <w:sz w:val="24"/>
          <w:szCs w:val="24"/>
        </w:rPr>
        <w:t xml:space="preserve"> </w:t>
      </w:r>
      <w:r w:rsidR="0088641E" w:rsidRPr="00857E54">
        <w:rPr>
          <w:rFonts w:ascii="Arial" w:eastAsia="Times New Roman" w:hAnsi="Arial" w:cs="Arial"/>
          <w:sz w:val="24"/>
          <w:szCs w:val="24"/>
        </w:rPr>
        <w:t>internaționale</w:t>
      </w:r>
      <w:r w:rsidR="006407D7" w:rsidRPr="00857E54">
        <w:rPr>
          <w:rFonts w:ascii="Arial" w:eastAsia="Times New Roman" w:hAnsi="Arial" w:cs="Arial"/>
          <w:sz w:val="24"/>
          <w:szCs w:val="24"/>
        </w:rPr>
        <w:t xml:space="preserve"> la </w:t>
      </w:r>
      <w:r w:rsidR="0088641E" w:rsidRPr="00857E54">
        <w:rPr>
          <w:rFonts w:ascii="Arial" w:eastAsia="Times New Roman" w:hAnsi="Arial" w:cs="Arial"/>
          <w:sz w:val="24"/>
          <w:szCs w:val="24"/>
        </w:rPr>
        <w:t>țiței</w:t>
      </w:r>
      <w:r w:rsidR="006407D7" w:rsidRPr="00857E54">
        <w:rPr>
          <w:rFonts w:ascii="Arial" w:eastAsia="Times New Roman" w:hAnsi="Arial" w:cs="Arial"/>
          <w:sz w:val="24"/>
          <w:szCs w:val="24"/>
        </w:rPr>
        <w:t xml:space="preserve"> (+62% în iunie 2018 </w:t>
      </w:r>
      <w:r w:rsidR="0088641E" w:rsidRPr="00857E54">
        <w:rPr>
          <w:rFonts w:ascii="Arial" w:eastAsia="Times New Roman" w:hAnsi="Arial" w:cs="Arial"/>
          <w:sz w:val="24"/>
          <w:szCs w:val="24"/>
        </w:rPr>
        <w:t>față</w:t>
      </w:r>
      <w:r w:rsidR="006407D7" w:rsidRPr="00857E54">
        <w:rPr>
          <w:rFonts w:ascii="Arial" w:eastAsia="Times New Roman" w:hAnsi="Arial" w:cs="Arial"/>
          <w:sz w:val="24"/>
          <w:szCs w:val="24"/>
        </w:rPr>
        <w:t xml:space="preserve"> de iunie 2017), dar şi la grupa de energie (energie electrică +17% şi gaze +10,1%). La acestea se adaugă continuarea </w:t>
      </w:r>
      <w:r w:rsidR="0088641E" w:rsidRPr="00857E54">
        <w:rPr>
          <w:rFonts w:ascii="Arial" w:eastAsia="Times New Roman" w:hAnsi="Arial" w:cs="Arial"/>
          <w:sz w:val="24"/>
          <w:szCs w:val="24"/>
        </w:rPr>
        <w:t>persistenței</w:t>
      </w:r>
      <w:r w:rsidR="006407D7" w:rsidRPr="00857E54">
        <w:rPr>
          <w:rFonts w:ascii="Arial" w:eastAsia="Times New Roman" w:hAnsi="Arial" w:cs="Arial"/>
          <w:sz w:val="24"/>
          <w:szCs w:val="24"/>
        </w:rPr>
        <w:t xml:space="preserve"> deficitelor de ofertă pe plan european pentru unele produse alimentare, cum ar fi ouăle şi untul, care s-au reflectat şi în </w:t>
      </w:r>
      <w:r w:rsidR="0088641E" w:rsidRPr="00857E54">
        <w:rPr>
          <w:rFonts w:ascii="Arial" w:eastAsia="Times New Roman" w:hAnsi="Arial" w:cs="Arial"/>
          <w:sz w:val="24"/>
          <w:szCs w:val="24"/>
        </w:rPr>
        <w:t>prețurile</w:t>
      </w:r>
      <w:r w:rsidR="00065E24" w:rsidRPr="00857E54">
        <w:rPr>
          <w:rFonts w:ascii="Arial" w:eastAsia="Times New Roman" w:hAnsi="Arial" w:cs="Arial"/>
          <w:sz w:val="24"/>
          <w:szCs w:val="24"/>
        </w:rPr>
        <w:t xml:space="preserve"> </w:t>
      </w:r>
      <w:r w:rsidR="0088641E" w:rsidRPr="00857E54">
        <w:rPr>
          <w:rFonts w:ascii="Arial" w:eastAsia="Times New Roman" w:hAnsi="Arial" w:cs="Arial"/>
          <w:sz w:val="24"/>
          <w:szCs w:val="24"/>
        </w:rPr>
        <w:t>naționale</w:t>
      </w:r>
      <w:r w:rsidR="006407D7" w:rsidRPr="00857E54">
        <w:rPr>
          <w:rFonts w:ascii="Arial" w:eastAsia="Times New Roman" w:hAnsi="Arial" w:cs="Arial"/>
          <w:sz w:val="24"/>
          <w:szCs w:val="24"/>
        </w:rPr>
        <w:t>.</w:t>
      </w:r>
    </w:p>
    <w:p w:rsidR="006407D7" w:rsidRPr="00857E54" w:rsidRDefault="006407D7" w:rsidP="00281576">
      <w:pPr>
        <w:keepNext/>
        <w:keepLines/>
        <w:spacing w:before="120" w:after="0"/>
        <w:rPr>
          <w:rFonts w:ascii="Arial" w:eastAsia="Times New Roman" w:hAnsi="Arial" w:cs="Arial"/>
          <w:sz w:val="24"/>
          <w:szCs w:val="24"/>
        </w:rPr>
      </w:pPr>
      <w:r w:rsidRPr="00857E54">
        <w:rPr>
          <w:rFonts w:ascii="Arial" w:eastAsia="Times New Roman" w:hAnsi="Arial" w:cs="Arial"/>
          <w:sz w:val="24"/>
          <w:szCs w:val="24"/>
        </w:rPr>
        <w:tab/>
      </w:r>
      <w:r w:rsidRPr="00857E54">
        <w:rPr>
          <w:rFonts w:ascii="Arial" w:eastAsia="Times New Roman" w:hAnsi="Arial" w:cs="Arial"/>
          <w:sz w:val="24"/>
          <w:szCs w:val="24"/>
        </w:rPr>
        <w:tab/>
        <w:t xml:space="preserve">O </w:t>
      </w:r>
      <w:r w:rsidR="0088641E" w:rsidRPr="00857E54">
        <w:rPr>
          <w:rFonts w:ascii="Arial" w:eastAsia="Times New Roman" w:hAnsi="Arial" w:cs="Arial"/>
          <w:sz w:val="24"/>
          <w:szCs w:val="24"/>
        </w:rPr>
        <w:t>contribuție</w:t>
      </w:r>
      <w:r w:rsidRPr="00857E54">
        <w:rPr>
          <w:rFonts w:ascii="Arial" w:eastAsia="Times New Roman" w:hAnsi="Arial" w:cs="Arial"/>
          <w:sz w:val="24"/>
          <w:szCs w:val="24"/>
        </w:rPr>
        <w:t xml:space="preserve"> similară a avut-o şi deprecierea monedei </w:t>
      </w:r>
      <w:r w:rsidR="0088641E" w:rsidRPr="00857E54">
        <w:rPr>
          <w:rFonts w:ascii="Arial" w:eastAsia="Times New Roman" w:hAnsi="Arial" w:cs="Arial"/>
          <w:sz w:val="24"/>
          <w:szCs w:val="24"/>
        </w:rPr>
        <w:t>naționale</w:t>
      </w:r>
      <w:r w:rsidRPr="00857E54">
        <w:rPr>
          <w:rFonts w:ascii="Arial" w:eastAsia="Times New Roman" w:hAnsi="Arial" w:cs="Arial"/>
          <w:sz w:val="24"/>
          <w:szCs w:val="24"/>
        </w:rPr>
        <w:t xml:space="preserve"> din primul semestru.</w:t>
      </w:r>
    </w:p>
    <w:p w:rsidR="006407D7" w:rsidRPr="00857E54" w:rsidRDefault="006407D7" w:rsidP="00281576">
      <w:pPr>
        <w:keepNext/>
        <w:keepLines/>
        <w:spacing w:before="120" w:after="0"/>
        <w:ind w:firstLine="709"/>
        <w:rPr>
          <w:rFonts w:ascii="Arial" w:eastAsia="Times New Roman" w:hAnsi="Arial" w:cs="Arial"/>
          <w:sz w:val="24"/>
          <w:szCs w:val="24"/>
        </w:rPr>
      </w:pPr>
      <w:r w:rsidRPr="00857E54">
        <w:rPr>
          <w:rFonts w:ascii="Arial" w:eastAsia="Times New Roman" w:hAnsi="Arial" w:cs="Arial"/>
          <w:sz w:val="24"/>
          <w:szCs w:val="24"/>
        </w:rPr>
        <w:t xml:space="preserve">În primele 6 luni ale anului comparativ cu perioada corespunzătoare a anului anterior prețurile de consum au înregistrat o </w:t>
      </w:r>
      <w:r w:rsidR="0088641E" w:rsidRPr="00857E54">
        <w:rPr>
          <w:rFonts w:ascii="Arial" w:eastAsia="Times New Roman" w:hAnsi="Arial" w:cs="Arial"/>
          <w:sz w:val="24"/>
          <w:szCs w:val="24"/>
        </w:rPr>
        <w:t>creștere</w:t>
      </w:r>
      <w:r w:rsidRPr="00857E54">
        <w:rPr>
          <w:rFonts w:ascii="Arial" w:eastAsia="Times New Roman" w:hAnsi="Arial" w:cs="Arial"/>
          <w:sz w:val="24"/>
          <w:szCs w:val="24"/>
        </w:rPr>
        <w:t xml:space="preserve"> de 5%. Creșterea cea mai pronunțată s-a înregistrat la mărfurile nealimentare (6,98%), urmată de prețurile mărfurilor alimentare (3,89%) şi de tarifele la servicii (2,47%).</w:t>
      </w:r>
    </w:p>
    <w:p w:rsidR="006407D7" w:rsidRPr="00857E54" w:rsidRDefault="006407D7" w:rsidP="00281576">
      <w:pPr>
        <w:keepNext/>
        <w:keepLines/>
        <w:jc w:val="center"/>
        <w:rPr>
          <w:rFonts w:ascii="Arial" w:eastAsia="Times New Roman" w:hAnsi="Arial" w:cs="Arial"/>
          <w:b/>
          <w:bCs/>
          <w:sz w:val="24"/>
          <w:szCs w:val="24"/>
        </w:rPr>
      </w:pPr>
    </w:p>
    <w:p w:rsidR="006407D7" w:rsidRPr="00857E54" w:rsidRDefault="006407D7" w:rsidP="00281576">
      <w:pPr>
        <w:keepNext/>
        <w:keepLines/>
        <w:jc w:val="center"/>
        <w:rPr>
          <w:rFonts w:ascii="Arial" w:eastAsia="Times New Roman" w:hAnsi="Arial" w:cs="Arial"/>
          <w:b/>
          <w:bCs/>
          <w:sz w:val="24"/>
          <w:szCs w:val="24"/>
        </w:rPr>
      </w:pPr>
      <w:r w:rsidRPr="00857E54">
        <w:rPr>
          <w:rFonts w:ascii="Arial" w:eastAsia="Times New Roman" w:hAnsi="Arial" w:cs="Arial"/>
          <w:b/>
          <w:bCs/>
          <w:sz w:val="24"/>
          <w:szCs w:val="24"/>
        </w:rPr>
        <w:t>Contribuții la rata anuală a inflației (%)</w:t>
      </w:r>
    </w:p>
    <w:p w:rsidR="006407D7" w:rsidRPr="00857E54" w:rsidRDefault="006407D7" w:rsidP="00281576">
      <w:pPr>
        <w:keepNext/>
        <w:keepLines/>
        <w:ind w:firstLine="0"/>
        <w:jc w:val="center"/>
        <w:rPr>
          <w:rFonts w:ascii="Calibri" w:eastAsia="Times New Roman" w:hAnsi="Calibri" w:cs="Times New Roman"/>
          <w:b/>
          <w:noProof/>
        </w:rPr>
      </w:pPr>
      <w:r w:rsidRPr="00857E54">
        <w:rPr>
          <w:rFonts w:ascii="Calibri" w:eastAsia="Times New Roman" w:hAnsi="Calibri" w:cs="Times New Roman"/>
          <w:noProof/>
          <w:lang w:val="en-US"/>
        </w:rPr>
        <w:drawing>
          <wp:inline distT="0" distB="0" distL="0" distR="0">
            <wp:extent cx="5760720" cy="2659286"/>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2651" cy="2669410"/>
                    </a:xfrm>
                    <a:prstGeom prst="rect">
                      <a:avLst/>
                    </a:prstGeom>
                    <a:noFill/>
                    <a:ln>
                      <a:noFill/>
                    </a:ln>
                  </pic:spPr>
                </pic:pic>
              </a:graphicData>
            </a:graphic>
          </wp:inline>
        </w:drawing>
      </w:r>
    </w:p>
    <w:p w:rsidR="00F51EDE" w:rsidRPr="00857E54" w:rsidRDefault="00F51EDE" w:rsidP="00281576">
      <w:pPr>
        <w:keepNext/>
        <w:keepLines/>
        <w:spacing w:before="240" w:after="120" w:line="276" w:lineRule="auto"/>
        <w:ind w:firstLine="709"/>
        <w:rPr>
          <w:rFonts w:ascii="Arial" w:eastAsia="Times New Roman" w:hAnsi="Arial" w:cs="Arial"/>
          <w:sz w:val="24"/>
          <w:szCs w:val="24"/>
        </w:rPr>
      </w:pPr>
      <w:r w:rsidRPr="00857E54">
        <w:rPr>
          <w:rFonts w:ascii="Arial" w:eastAsia="Times New Roman" w:hAnsi="Arial" w:cs="Arial"/>
          <w:b/>
          <w:sz w:val="24"/>
          <w:szCs w:val="24"/>
        </w:rPr>
        <w:t>Cursul mediu de schimb leu/euro</w:t>
      </w:r>
      <w:r w:rsidRPr="00857E54">
        <w:rPr>
          <w:rFonts w:ascii="Arial" w:eastAsia="Times New Roman" w:hAnsi="Arial" w:cs="Arial"/>
          <w:sz w:val="24"/>
          <w:szCs w:val="24"/>
        </w:rPr>
        <w:t xml:space="preserve"> s-a situat în primele 6 luni ale anului curent la valoarea de 4,6537 lei/euro, înregistrând o depreciere, în termeni nominali de 2,52% față de perioada corespunzătoare din 2017, în timp ce în termeni reali moneda </w:t>
      </w:r>
      <w:r w:rsidR="001D0E4D" w:rsidRPr="00857E54">
        <w:rPr>
          <w:rFonts w:ascii="Arial" w:eastAsia="Times New Roman" w:hAnsi="Arial" w:cs="Arial"/>
          <w:sz w:val="24"/>
          <w:szCs w:val="24"/>
        </w:rPr>
        <w:t>națională</w:t>
      </w:r>
      <w:r w:rsidRPr="00857E54">
        <w:rPr>
          <w:rFonts w:ascii="Arial" w:eastAsia="Times New Roman" w:hAnsi="Arial" w:cs="Arial"/>
          <w:sz w:val="24"/>
          <w:szCs w:val="24"/>
        </w:rPr>
        <w:t xml:space="preserve"> s-a apreciat cu 2,35%. În perioada ianuarie - iunie 2018 raportul euro/$ a fost de 1,21, cursul mediu al dolarului în această perioadă fiind de 3,8440 lei/$.</w:t>
      </w:r>
    </w:p>
    <w:p w:rsidR="00F51EDE" w:rsidRPr="00857E54" w:rsidRDefault="00F51EDE" w:rsidP="00281576">
      <w:pPr>
        <w:keepNext/>
        <w:keepLines/>
        <w:spacing w:before="120" w:after="0" w:line="276" w:lineRule="auto"/>
        <w:ind w:firstLine="709"/>
        <w:rPr>
          <w:rFonts w:ascii="Arial" w:eastAsia="Times New Roman" w:hAnsi="Arial" w:cs="Arial"/>
          <w:sz w:val="24"/>
          <w:szCs w:val="24"/>
        </w:rPr>
      </w:pPr>
      <w:r w:rsidRPr="00857E54">
        <w:rPr>
          <w:rFonts w:ascii="Arial" w:eastAsia="Times New Roman" w:hAnsi="Arial" w:cs="Arial"/>
          <w:b/>
          <w:bCs/>
          <w:sz w:val="24"/>
          <w:szCs w:val="24"/>
        </w:rPr>
        <w:t>Efectivul salariaților</w:t>
      </w:r>
      <w:r w:rsidRPr="00857E54">
        <w:rPr>
          <w:rFonts w:ascii="Arial" w:eastAsia="Times New Roman" w:hAnsi="Arial" w:cs="Arial"/>
          <w:sz w:val="24"/>
          <w:szCs w:val="24"/>
        </w:rPr>
        <w:t xml:space="preserve"> a avut o tendință constantă de creștere în primele 5 luni ale anului 2018 față de perioada corespunzătoare  din 2017. La sfârșitul lunii mai efectivul salariaților a fost mai mare cu 1,7% față de luna corespunzătoare anului 2017.</w:t>
      </w:r>
    </w:p>
    <w:p w:rsidR="00F51EDE" w:rsidRPr="00857E54" w:rsidRDefault="00F51EDE" w:rsidP="00281576">
      <w:pPr>
        <w:keepNext/>
        <w:keepLines/>
        <w:spacing w:before="120" w:after="0" w:line="276" w:lineRule="auto"/>
        <w:ind w:firstLine="709"/>
        <w:rPr>
          <w:rFonts w:ascii="Arial" w:eastAsia="Times New Roman" w:hAnsi="Arial" w:cs="Arial"/>
          <w:sz w:val="24"/>
          <w:szCs w:val="24"/>
        </w:rPr>
      </w:pPr>
      <w:r w:rsidRPr="00857E54">
        <w:rPr>
          <w:rFonts w:ascii="Arial" w:eastAsia="Times New Roman" w:hAnsi="Arial" w:cs="Arial"/>
          <w:b/>
          <w:bCs/>
          <w:sz w:val="24"/>
          <w:szCs w:val="24"/>
        </w:rPr>
        <w:lastRenderedPageBreak/>
        <w:t>Numărul mediu al salariaților</w:t>
      </w:r>
      <w:r w:rsidRPr="00857E54">
        <w:rPr>
          <w:rFonts w:ascii="Arial" w:eastAsia="Times New Roman" w:hAnsi="Arial" w:cs="Arial"/>
          <w:sz w:val="24"/>
          <w:szCs w:val="24"/>
        </w:rPr>
        <w:t xml:space="preserve"> (calculat ca media efectivelor lunare) în primele 5 luni ale anului 2018 a crescut cu 2,0% față de aceeași perioadă a anului 2017. Pe sectoare, creșterea în sectorul bugetar a fost de 2,3% şi în sectorul concurențial de 1,9% față de aceeași perioadă a anului 2017. Salariații din sectorul bugetar reprezentau 19,3 % din totalul salariaților din economie, în timp ce salariații din sectorul concurențial 80,7 %. </w:t>
      </w:r>
    </w:p>
    <w:p w:rsidR="00F51EDE" w:rsidRPr="00857E54" w:rsidRDefault="00F51EDE" w:rsidP="00281576">
      <w:pPr>
        <w:keepNext/>
        <w:keepLines/>
        <w:spacing w:before="120" w:after="0" w:line="276" w:lineRule="auto"/>
        <w:ind w:firstLine="709"/>
        <w:rPr>
          <w:rFonts w:ascii="Arial" w:eastAsia="Times New Roman" w:hAnsi="Arial" w:cs="Arial"/>
          <w:sz w:val="24"/>
          <w:szCs w:val="24"/>
        </w:rPr>
      </w:pPr>
      <w:r w:rsidRPr="00857E54">
        <w:rPr>
          <w:rFonts w:ascii="Arial" w:eastAsia="Times New Roman" w:hAnsi="Arial" w:cs="Arial"/>
          <w:b/>
          <w:bCs/>
          <w:sz w:val="24"/>
          <w:szCs w:val="24"/>
        </w:rPr>
        <w:t>În sectorul bugetar</w:t>
      </w:r>
      <w:r w:rsidRPr="00857E54">
        <w:rPr>
          <w:rFonts w:ascii="Arial" w:eastAsia="Times New Roman" w:hAnsi="Arial" w:cs="Arial"/>
          <w:sz w:val="24"/>
          <w:szCs w:val="24"/>
        </w:rPr>
        <w:t xml:space="preserve"> cele mai mari creșteri de salariați au fost în sănătate şi asistență socială cu aproximativ 5,0%. În administrația publică creșterea a fost de 2,4%, în timp ce în învățământ s-a înregistrat o scădere cu - 0,5%. Salariații din sectorul bugetar erau distribuiți astfel: 21,9% în administrația publică, 37,5% în activitățile de învățământ şi 40,6% în sănătate şi asistență socială.</w:t>
      </w:r>
    </w:p>
    <w:p w:rsidR="00F51EDE" w:rsidRPr="00857E54" w:rsidRDefault="00F51EDE" w:rsidP="00281576">
      <w:pPr>
        <w:keepNext/>
        <w:keepLines/>
        <w:spacing w:before="120" w:after="0" w:line="276" w:lineRule="auto"/>
        <w:ind w:firstLine="709"/>
        <w:rPr>
          <w:rFonts w:ascii="Arial" w:eastAsia="Times New Roman" w:hAnsi="Arial" w:cs="Arial"/>
          <w:sz w:val="24"/>
          <w:szCs w:val="24"/>
        </w:rPr>
      </w:pPr>
      <w:r w:rsidRPr="00857E54">
        <w:rPr>
          <w:rFonts w:ascii="Arial" w:eastAsia="Times New Roman" w:hAnsi="Arial" w:cs="Arial"/>
          <w:b/>
          <w:bCs/>
          <w:sz w:val="24"/>
          <w:szCs w:val="24"/>
        </w:rPr>
        <w:t xml:space="preserve">În sectorul concurențial </w:t>
      </w:r>
      <w:r w:rsidRPr="00857E54">
        <w:rPr>
          <w:rFonts w:ascii="Arial" w:eastAsia="Times New Roman" w:hAnsi="Arial" w:cs="Arial"/>
          <w:sz w:val="24"/>
          <w:szCs w:val="24"/>
        </w:rPr>
        <w:t>creșteri semnificative ale numărului de salariați, în primele 5 luni, au fost în</w:t>
      </w:r>
      <w:r w:rsidR="0088641E" w:rsidRPr="00857E54">
        <w:rPr>
          <w:rFonts w:ascii="Arial" w:eastAsia="Times New Roman" w:hAnsi="Arial" w:cs="Arial"/>
          <w:sz w:val="24"/>
          <w:szCs w:val="24"/>
        </w:rPr>
        <w:t xml:space="preserve"> </w:t>
      </w:r>
      <w:r w:rsidRPr="00857E54">
        <w:rPr>
          <w:rFonts w:ascii="Arial" w:eastAsia="Times New Roman" w:hAnsi="Arial" w:cs="Arial"/>
          <w:sz w:val="24"/>
          <w:szCs w:val="24"/>
        </w:rPr>
        <w:t>agricultură 3,3%, servicii comerciale (exclusiv sectorul bugetar) 3,0%, construcții 0,0%.</w:t>
      </w:r>
    </w:p>
    <w:p w:rsidR="00F51EDE" w:rsidRPr="00857E54" w:rsidRDefault="00F51EDE" w:rsidP="00281576">
      <w:pPr>
        <w:keepNext/>
        <w:keepLines/>
        <w:spacing w:before="120" w:after="0" w:line="276" w:lineRule="auto"/>
        <w:ind w:firstLine="709"/>
        <w:rPr>
          <w:rFonts w:ascii="Arial" w:eastAsia="Times New Roman" w:hAnsi="Arial" w:cs="Arial"/>
          <w:sz w:val="24"/>
          <w:szCs w:val="24"/>
        </w:rPr>
      </w:pPr>
      <w:r w:rsidRPr="00857E54">
        <w:rPr>
          <w:rFonts w:ascii="Arial" w:eastAsia="Times New Roman" w:hAnsi="Arial" w:cs="Arial"/>
          <w:sz w:val="24"/>
          <w:szCs w:val="24"/>
        </w:rPr>
        <w:t xml:space="preserve">Distribuția </w:t>
      </w:r>
      <w:r w:rsidRPr="00857E54">
        <w:rPr>
          <w:rFonts w:ascii="Arial" w:eastAsia="Times New Roman" w:hAnsi="Arial" w:cs="Arial"/>
          <w:b/>
          <w:bCs/>
          <w:sz w:val="24"/>
          <w:szCs w:val="24"/>
        </w:rPr>
        <w:t>salariaților pe activități economice</w:t>
      </w:r>
      <w:r w:rsidRPr="00857E54">
        <w:rPr>
          <w:rFonts w:ascii="Arial" w:eastAsia="Times New Roman" w:hAnsi="Arial" w:cs="Arial"/>
          <w:sz w:val="24"/>
          <w:szCs w:val="24"/>
        </w:rPr>
        <w:t xml:space="preserve"> în primele 5 luni ale anului ne arată că: 28,3% din totalul salariaților erau în industrie (din care 85,4% în industria prelucrătoare); 15,9% în comerț; 7,8% în construcții; 7,8% în sănătate şi asistență socială; 7,2% în învățământ; 5,4% în transporturi şi depozitare; 4,2% în administrație publică şi apărare; asigurări sociale din sistemul public; 2,3% în agricultură, silvicultură şi pescuit.</w:t>
      </w:r>
    </w:p>
    <w:p w:rsidR="00065E24" w:rsidRPr="00857E54" w:rsidRDefault="00F51EDE" w:rsidP="00281576">
      <w:pPr>
        <w:keepNext/>
        <w:keepLines/>
        <w:spacing w:before="120" w:after="0" w:line="276" w:lineRule="auto"/>
        <w:ind w:firstLine="709"/>
        <w:rPr>
          <w:rFonts w:ascii="Arial" w:eastAsia="Times New Roman" w:hAnsi="Arial" w:cs="Arial"/>
          <w:sz w:val="24"/>
          <w:szCs w:val="24"/>
        </w:rPr>
      </w:pPr>
      <w:r w:rsidRPr="00857E54">
        <w:rPr>
          <w:rFonts w:ascii="Arial" w:eastAsia="Times New Roman" w:hAnsi="Arial" w:cs="Arial"/>
          <w:b/>
          <w:bCs/>
          <w:sz w:val="24"/>
          <w:szCs w:val="24"/>
        </w:rPr>
        <w:t>Creșteri semnificative ale numărului mediu de salariați</w:t>
      </w:r>
      <w:r w:rsidRPr="00857E54">
        <w:rPr>
          <w:rFonts w:ascii="Arial" w:eastAsia="Times New Roman" w:hAnsi="Arial" w:cs="Arial"/>
          <w:sz w:val="24"/>
          <w:szCs w:val="24"/>
        </w:rPr>
        <w:t xml:space="preserve">, în primele 5 luni ale anului 2018, s-au înregistrat în următoarele activități economice: transporturi aeriene 13,6%; </w:t>
      </w:r>
      <w:r w:rsidR="001D0E4D" w:rsidRPr="00857E54">
        <w:rPr>
          <w:rFonts w:ascii="Arial" w:eastAsia="Times New Roman" w:hAnsi="Arial" w:cs="Arial"/>
          <w:sz w:val="24"/>
          <w:szCs w:val="24"/>
        </w:rPr>
        <w:t>activități</w:t>
      </w:r>
      <w:r w:rsidRPr="00857E54">
        <w:rPr>
          <w:rFonts w:ascii="Arial" w:eastAsia="Times New Roman" w:hAnsi="Arial" w:cs="Arial"/>
          <w:sz w:val="24"/>
          <w:szCs w:val="24"/>
        </w:rPr>
        <w:t xml:space="preserve"> de servicii în tehnologia informației; </w:t>
      </w:r>
      <w:r w:rsidR="001D0E4D" w:rsidRPr="00857E54">
        <w:rPr>
          <w:rFonts w:ascii="Arial" w:eastAsia="Times New Roman" w:hAnsi="Arial" w:cs="Arial"/>
          <w:sz w:val="24"/>
          <w:szCs w:val="24"/>
        </w:rPr>
        <w:t>activități</w:t>
      </w:r>
      <w:r w:rsidRPr="00857E54">
        <w:rPr>
          <w:rFonts w:ascii="Arial" w:eastAsia="Times New Roman" w:hAnsi="Arial" w:cs="Arial"/>
          <w:sz w:val="24"/>
          <w:szCs w:val="24"/>
        </w:rPr>
        <w:t xml:space="preserve"> de servicii informatice 13,5%; fabricarea produselor din tutun 11,7%; hoteluri şi restaurante 7,8%; fabricarea echipamentelor electrice 7,8%; fabricarea produselor din cauciuc şi mase plastice 7,7%; fabricarea calculatoarelor şi a produselor electronice şi optice 7,4%; industria produselor textile 5,3%; </w:t>
      </w:r>
      <w:r w:rsidR="001D0E4D" w:rsidRPr="00857E54">
        <w:rPr>
          <w:rFonts w:ascii="Arial" w:eastAsia="Times New Roman" w:hAnsi="Arial" w:cs="Arial"/>
          <w:sz w:val="24"/>
          <w:szCs w:val="24"/>
        </w:rPr>
        <w:t>activități</w:t>
      </w:r>
      <w:r w:rsidRPr="00857E54">
        <w:rPr>
          <w:rFonts w:ascii="Arial" w:eastAsia="Times New Roman" w:hAnsi="Arial" w:cs="Arial"/>
          <w:sz w:val="24"/>
          <w:szCs w:val="24"/>
        </w:rPr>
        <w:t xml:space="preserve"> profesionale </w:t>
      </w:r>
      <w:r w:rsidR="001D0E4D" w:rsidRPr="00857E54">
        <w:rPr>
          <w:rFonts w:ascii="Arial" w:eastAsia="Times New Roman" w:hAnsi="Arial" w:cs="Arial"/>
          <w:sz w:val="24"/>
          <w:szCs w:val="24"/>
        </w:rPr>
        <w:t>științifice</w:t>
      </w:r>
      <w:r w:rsidRPr="00857E54">
        <w:rPr>
          <w:rFonts w:ascii="Arial" w:eastAsia="Times New Roman" w:hAnsi="Arial" w:cs="Arial"/>
          <w:sz w:val="24"/>
          <w:szCs w:val="24"/>
        </w:rPr>
        <w:t xml:space="preserve"> şi tehnice 4,4%; fabricarea autovehiculelor de transport rutier, a remorcilor şi semiremorcilor 3,2%; </w:t>
      </w:r>
      <w:r w:rsidR="001D0E4D" w:rsidRPr="00857E54">
        <w:rPr>
          <w:rFonts w:ascii="Arial" w:eastAsia="Times New Roman" w:hAnsi="Arial" w:cs="Arial"/>
          <w:sz w:val="24"/>
          <w:szCs w:val="24"/>
        </w:rPr>
        <w:t>comerț</w:t>
      </w:r>
      <w:r w:rsidRPr="00857E54">
        <w:rPr>
          <w:rFonts w:ascii="Arial" w:eastAsia="Times New Roman" w:hAnsi="Arial" w:cs="Arial"/>
          <w:sz w:val="24"/>
          <w:szCs w:val="24"/>
        </w:rPr>
        <w:t xml:space="preserve"> cu ridicata şi cu amănuntul; repararea autovehiculelor şi motocicletelor 2,4%.</w:t>
      </w:r>
      <w:r w:rsidR="00065E24" w:rsidRPr="00857E54">
        <w:rPr>
          <w:rFonts w:ascii="Arial" w:eastAsia="Times New Roman" w:hAnsi="Arial" w:cs="Arial"/>
          <w:sz w:val="24"/>
          <w:szCs w:val="24"/>
        </w:rPr>
        <w:t xml:space="preserve"> </w:t>
      </w:r>
    </w:p>
    <w:p w:rsidR="00F51EDE" w:rsidRPr="00857E54" w:rsidRDefault="00F51EDE" w:rsidP="00281576">
      <w:pPr>
        <w:keepNext/>
        <w:keepLines/>
        <w:spacing w:before="120" w:after="0" w:line="276" w:lineRule="auto"/>
        <w:ind w:firstLine="709"/>
        <w:rPr>
          <w:rFonts w:ascii="Arial" w:eastAsia="Times New Roman" w:hAnsi="Arial" w:cs="Arial"/>
          <w:b/>
          <w:bCs/>
          <w:sz w:val="24"/>
          <w:szCs w:val="24"/>
        </w:rPr>
      </w:pPr>
      <w:r w:rsidRPr="00857E54">
        <w:rPr>
          <w:rFonts w:ascii="Arial" w:eastAsia="Times New Roman" w:hAnsi="Arial" w:cs="Arial"/>
          <w:sz w:val="24"/>
          <w:szCs w:val="24"/>
        </w:rPr>
        <w:t xml:space="preserve">În perioada ianuarie-mai 2018, comparativ cu ianuarie-mai 2017 </w:t>
      </w:r>
      <w:r w:rsidRPr="00857E54">
        <w:rPr>
          <w:rFonts w:ascii="Arial" w:eastAsia="Times New Roman" w:hAnsi="Arial" w:cs="Arial"/>
          <w:b/>
          <w:bCs/>
          <w:sz w:val="24"/>
          <w:szCs w:val="24"/>
        </w:rPr>
        <w:t>s-au creat 96,7 mii locuri de muncă în regim salarial.</w:t>
      </w:r>
      <w:r w:rsidR="00065E24" w:rsidRPr="00857E54">
        <w:rPr>
          <w:rFonts w:ascii="Arial" w:eastAsia="Times New Roman" w:hAnsi="Arial" w:cs="Arial"/>
          <w:b/>
          <w:bCs/>
          <w:sz w:val="24"/>
          <w:szCs w:val="24"/>
        </w:rPr>
        <w:t xml:space="preserve"> </w:t>
      </w:r>
    </w:p>
    <w:p w:rsidR="00F51EDE" w:rsidRPr="00857E54" w:rsidRDefault="00F51EDE" w:rsidP="00065E24">
      <w:pPr>
        <w:keepNext/>
        <w:keepLines/>
        <w:spacing w:after="0"/>
        <w:ind w:firstLine="0"/>
        <w:jc w:val="center"/>
        <w:rPr>
          <w:rFonts w:ascii="Arial" w:eastAsia="Times New Roman" w:hAnsi="Arial" w:cs="Arial"/>
          <w:b/>
          <w:sz w:val="24"/>
          <w:szCs w:val="24"/>
        </w:rPr>
      </w:pPr>
      <w:r w:rsidRPr="00857E54">
        <w:rPr>
          <w:rFonts w:ascii="Calibri" w:eastAsia="Times New Roman" w:hAnsi="Calibri" w:cs="Times New Roman"/>
          <w:noProof/>
          <w:lang w:val="en-US"/>
        </w:rPr>
        <w:drawing>
          <wp:inline distT="0" distB="0" distL="0" distR="0">
            <wp:extent cx="5272985" cy="1743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540" cy="1747556"/>
                    </a:xfrm>
                    <a:prstGeom prst="rect">
                      <a:avLst/>
                    </a:prstGeom>
                    <a:noFill/>
                    <a:ln>
                      <a:noFill/>
                    </a:ln>
                  </pic:spPr>
                </pic:pic>
              </a:graphicData>
            </a:graphic>
          </wp:inline>
        </w:drawing>
      </w:r>
    </w:p>
    <w:p w:rsidR="000D37E6" w:rsidRPr="00857E54" w:rsidRDefault="00F51EDE" w:rsidP="000D37E6">
      <w:pPr>
        <w:keepNext/>
        <w:keepLines/>
        <w:spacing w:after="0"/>
        <w:ind w:firstLine="709"/>
        <w:rPr>
          <w:rFonts w:ascii="Arial" w:eastAsia="Times New Roman" w:hAnsi="Arial" w:cs="Arial"/>
          <w:b/>
          <w:sz w:val="24"/>
          <w:szCs w:val="24"/>
        </w:rPr>
      </w:pPr>
      <w:proofErr w:type="spellStart"/>
      <w:r w:rsidRPr="00857E54">
        <w:rPr>
          <w:rFonts w:ascii="Calibri" w:eastAsia="Times New Roman" w:hAnsi="Calibri" w:cs="Times New Roman"/>
        </w:rPr>
        <w:t>Sursa:INS</w:t>
      </w:r>
      <w:proofErr w:type="spellEnd"/>
    </w:p>
    <w:p w:rsidR="00F51EDE" w:rsidRPr="00857E54" w:rsidRDefault="00F51EDE" w:rsidP="000D37E6">
      <w:pPr>
        <w:keepNext/>
        <w:keepLines/>
        <w:spacing w:after="0"/>
        <w:ind w:firstLine="426"/>
        <w:rPr>
          <w:rFonts w:ascii="Arial" w:eastAsia="Times New Roman" w:hAnsi="Arial" w:cs="Arial"/>
          <w:b/>
          <w:sz w:val="24"/>
          <w:szCs w:val="24"/>
        </w:rPr>
      </w:pPr>
      <w:r w:rsidRPr="00857E54">
        <w:rPr>
          <w:rFonts w:ascii="Arial" w:eastAsia="Times New Roman" w:hAnsi="Arial" w:cs="Arial"/>
          <w:sz w:val="24"/>
          <w:szCs w:val="24"/>
        </w:rPr>
        <w:lastRenderedPageBreak/>
        <w:t xml:space="preserve">Creșterea </w:t>
      </w:r>
      <w:r w:rsidRPr="00857E54">
        <w:rPr>
          <w:rFonts w:ascii="Arial" w:eastAsia="Times New Roman" w:hAnsi="Arial" w:cs="Arial"/>
          <w:b/>
          <w:sz w:val="24"/>
          <w:szCs w:val="24"/>
        </w:rPr>
        <w:t>salariului mediu brut în primele 5 luni</w:t>
      </w:r>
      <w:r w:rsidRPr="00857E54">
        <w:rPr>
          <w:rFonts w:ascii="Arial" w:eastAsia="Times New Roman" w:hAnsi="Arial" w:cs="Arial"/>
          <w:sz w:val="24"/>
          <w:szCs w:val="24"/>
        </w:rPr>
        <w:t xml:space="preserve"> ale anului 2018 nu a avut un efect negativ asupra </w:t>
      </w:r>
      <w:r w:rsidR="001D0E4D" w:rsidRPr="00857E54">
        <w:rPr>
          <w:rFonts w:ascii="Arial" w:eastAsia="Times New Roman" w:hAnsi="Arial" w:cs="Arial"/>
          <w:sz w:val="24"/>
          <w:szCs w:val="24"/>
        </w:rPr>
        <w:t>evoluției</w:t>
      </w:r>
      <w:r w:rsidRPr="00857E54">
        <w:rPr>
          <w:rFonts w:ascii="Arial" w:eastAsia="Times New Roman" w:hAnsi="Arial" w:cs="Arial"/>
          <w:sz w:val="24"/>
          <w:szCs w:val="24"/>
        </w:rPr>
        <w:t xml:space="preserve"> pozitive a numărului de salariați, acesta </w:t>
      </w:r>
      <w:proofErr w:type="spellStart"/>
      <w:r w:rsidRPr="00857E54">
        <w:rPr>
          <w:rFonts w:ascii="Arial" w:eastAsia="Times New Roman" w:hAnsi="Arial" w:cs="Arial"/>
          <w:sz w:val="24"/>
          <w:szCs w:val="24"/>
        </w:rPr>
        <w:t>continuându</w:t>
      </w:r>
      <w:proofErr w:type="spellEnd"/>
      <w:r w:rsidRPr="00857E54">
        <w:rPr>
          <w:rFonts w:ascii="Arial" w:eastAsia="Times New Roman" w:hAnsi="Arial" w:cs="Arial"/>
          <w:sz w:val="24"/>
          <w:szCs w:val="24"/>
        </w:rPr>
        <w:t>-şi tendința de creștere.</w:t>
      </w:r>
    </w:p>
    <w:p w:rsidR="00F51EDE" w:rsidRPr="00857E54" w:rsidRDefault="00F51EDE" w:rsidP="00281576">
      <w:pPr>
        <w:keepNext/>
        <w:keepLines/>
        <w:tabs>
          <w:tab w:val="left" w:pos="364"/>
        </w:tab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r>
      <w:r w:rsidR="001D0E4D" w:rsidRPr="00857E54">
        <w:rPr>
          <w:rFonts w:ascii="Arial" w:eastAsia="Times New Roman" w:hAnsi="Arial" w:cs="Arial"/>
          <w:sz w:val="24"/>
          <w:szCs w:val="24"/>
        </w:rPr>
        <w:t>Câștigul</w:t>
      </w:r>
      <w:r w:rsidRPr="00857E54">
        <w:rPr>
          <w:rFonts w:ascii="Arial" w:eastAsia="Times New Roman" w:hAnsi="Arial" w:cs="Arial"/>
          <w:sz w:val="24"/>
          <w:szCs w:val="24"/>
        </w:rPr>
        <w:t xml:space="preserve"> salarial mediu brut pe total economie, a fost în primele 5 luni ale anului 2018 de 4.353 lei. </w:t>
      </w:r>
      <w:r w:rsidR="001D0E4D" w:rsidRPr="00857E54">
        <w:rPr>
          <w:rFonts w:ascii="Arial" w:eastAsia="Times New Roman" w:hAnsi="Arial" w:cs="Arial"/>
          <w:sz w:val="24"/>
          <w:szCs w:val="24"/>
        </w:rPr>
        <w:t>Câștigul</w:t>
      </w:r>
      <w:r w:rsidRPr="00857E54">
        <w:rPr>
          <w:rFonts w:ascii="Arial" w:eastAsia="Times New Roman" w:hAnsi="Arial" w:cs="Arial"/>
          <w:sz w:val="24"/>
          <w:szCs w:val="24"/>
        </w:rPr>
        <w:t xml:space="preserve"> salarial mediu net s-a majorat cu 12,8%, fiind de 2.618 lei.</w:t>
      </w:r>
    </w:p>
    <w:p w:rsidR="00F51EDE" w:rsidRPr="00857E54" w:rsidRDefault="00F51EDE" w:rsidP="00281576">
      <w:pPr>
        <w:keepNext/>
        <w:keepLines/>
        <w:tabs>
          <w:tab w:val="left" w:pos="364"/>
        </w:tab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r>
      <w:r w:rsidR="001D0E4D" w:rsidRPr="00857E54">
        <w:rPr>
          <w:rFonts w:ascii="Arial" w:eastAsia="Times New Roman" w:hAnsi="Arial" w:cs="Arial"/>
          <w:b/>
          <w:sz w:val="24"/>
          <w:szCs w:val="24"/>
        </w:rPr>
        <w:t>Câștigul</w:t>
      </w:r>
      <w:r w:rsidRPr="00857E54">
        <w:rPr>
          <w:rFonts w:ascii="Arial" w:eastAsia="Times New Roman" w:hAnsi="Arial" w:cs="Arial"/>
          <w:b/>
          <w:sz w:val="24"/>
          <w:szCs w:val="24"/>
        </w:rPr>
        <w:t xml:space="preserve"> salarial mediu net</w:t>
      </w:r>
      <w:r w:rsidRPr="00857E54">
        <w:rPr>
          <w:rFonts w:ascii="Arial" w:eastAsia="Times New Roman" w:hAnsi="Arial" w:cs="Arial"/>
          <w:sz w:val="24"/>
          <w:szCs w:val="24"/>
        </w:rPr>
        <w:t xml:space="preserve"> a crescut comparativ cu perioada corespunzătoare a anului 2017, în următoarele </w:t>
      </w:r>
      <w:r w:rsidR="001D0E4D" w:rsidRPr="00857E54">
        <w:rPr>
          <w:rFonts w:ascii="Arial" w:eastAsia="Times New Roman" w:hAnsi="Arial" w:cs="Arial"/>
          <w:sz w:val="24"/>
          <w:szCs w:val="24"/>
        </w:rPr>
        <w:t>activități</w:t>
      </w:r>
      <w:r w:rsidRPr="00857E54">
        <w:rPr>
          <w:rFonts w:ascii="Arial" w:eastAsia="Times New Roman" w:hAnsi="Arial" w:cs="Arial"/>
          <w:sz w:val="24"/>
          <w:szCs w:val="24"/>
        </w:rPr>
        <w:t xml:space="preserve">: </w:t>
      </w:r>
      <w:r w:rsidR="001D0E4D" w:rsidRPr="00857E54">
        <w:rPr>
          <w:rFonts w:ascii="Arial" w:eastAsia="Times New Roman" w:hAnsi="Arial" w:cs="Arial"/>
          <w:sz w:val="24"/>
          <w:szCs w:val="24"/>
        </w:rPr>
        <w:t>extracția</w:t>
      </w:r>
      <w:r w:rsidRPr="00857E54">
        <w:rPr>
          <w:rFonts w:ascii="Arial" w:eastAsia="Times New Roman" w:hAnsi="Arial" w:cs="Arial"/>
          <w:sz w:val="24"/>
          <w:szCs w:val="24"/>
        </w:rPr>
        <w:t xml:space="preserve"> minereurilor metalifere (24,0%), sănătate şi </w:t>
      </w:r>
      <w:r w:rsidR="001D0E4D" w:rsidRPr="00857E54">
        <w:rPr>
          <w:rFonts w:ascii="Arial" w:eastAsia="Times New Roman" w:hAnsi="Arial" w:cs="Arial"/>
          <w:sz w:val="24"/>
          <w:szCs w:val="24"/>
        </w:rPr>
        <w:t>asistență</w:t>
      </w:r>
      <w:r w:rsidRPr="00857E54">
        <w:rPr>
          <w:rFonts w:ascii="Arial" w:eastAsia="Times New Roman" w:hAnsi="Arial" w:cs="Arial"/>
          <w:sz w:val="24"/>
          <w:szCs w:val="24"/>
        </w:rPr>
        <w:t xml:space="preserve"> socială (20,6%), fabricarea </w:t>
      </w:r>
      <w:r w:rsidR="001D0E4D" w:rsidRPr="00857E54">
        <w:rPr>
          <w:rFonts w:ascii="Arial" w:eastAsia="Times New Roman" w:hAnsi="Arial" w:cs="Arial"/>
          <w:sz w:val="24"/>
          <w:szCs w:val="24"/>
        </w:rPr>
        <w:t>băuturilor</w:t>
      </w:r>
      <w:r w:rsidRPr="00857E54">
        <w:rPr>
          <w:rFonts w:ascii="Arial" w:eastAsia="Times New Roman" w:hAnsi="Arial" w:cs="Arial"/>
          <w:sz w:val="24"/>
          <w:szCs w:val="24"/>
        </w:rPr>
        <w:t xml:space="preserve"> (18,8%), </w:t>
      </w:r>
      <w:r w:rsidR="001D0E4D" w:rsidRPr="00857E54">
        <w:rPr>
          <w:rFonts w:ascii="Arial" w:eastAsia="Times New Roman" w:hAnsi="Arial" w:cs="Arial"/>
          <w:sz w:val="24"/>
          <w:szCs w:val="24"/>
        </w:rPr>
        <w:t>administrație</w:t>
      </w:r>
      <w:r w:rsidRPr="00857E54">
        <w:rPr>
          <w:rFonts w:ascii="Arial" w:eastAsia="Times New Roman" w:hAnsi="Arial" w:cs="Arial"/>
          <w:sz w:val="24"/>
          <w:szCs w:val="24"/>
        </w:rPr>
        <w:t xml:space="preserve"> publică şi apărare (18,2%), </w:t>
      </w:r>
      <w:r w:rsidR="001D0E4D" w:rsidRPr="00857E54">
        <w:rPr>
          <w:rFonts w:ascii="Arial" w:eastAsia="Times New Roman" w:hAnsi="Arial" w:cs="Arial"/>
          <w:sz w:val="24"/>
          <w:szCs w:val="24"/>
        </w:rPr>
        <w:t>învățământ</w:t>
      </w:r>
      <w:r w:rsidRPr="00857E54">
        <w:rPr>
          <w:rFonts w:ascii="Arial" w:eastAsia="Times New Roman" w:hAnsi="Arial" w:cs="Arial"/>
          <w:sz w:val="24"/>
          <w:szCs w:val="24"/>
        </w:rPr>
        <w:t xml:space="preserve"> (14,7%), fabricarea hârtiei (13,0%), hoteluri si restaurante (12,7%), </w:t>
      </w:r>
      <w:r w:rsidR="001D0E4D" w:rsidRPr="00857E54">
        <w:rPr>
          <w:rFonts w:ascii="Arial" w:eastAsia="Times New Roman" w:hAnsi="Arial" w:cs="Arial"/>
          <w:sz w:val="24"/>
          <w:szCs w:val="24"/>
        </w:rPr>
        <w:t>activități</w:t>
      </w:r>
      <w:r w:rsidRPr="00857E54">
        <w:rPr>
          <w:rFonts w:ascii="Arial" w:eastAsia="Times New Roman" w:hAnsi="Arial" w:cs="Arial"/>
          <w:sz w:val="24"/>
          <w:szCs w:val="24"/>
        </w:rPr>
        <w:t xml:space="preserve"> de spectacole, culturale şi recreative (12,0%), prelucrarea lemnului (11,2%), fabricarea mobilei (11,6%).</w:t>
      </w:r>
    </w:p>
    <w:p w:rsidR="000D37E6" w:rsidRPr="00857E54" w:rsidRDefault="00F51EDE" w:rsidP="000D37E6">
      <w:pPr>
        <w:keepNext/>
        <w:keepLines/>
        <w:tabs>
          <w:tab w:val="left" w:pos="364"/>
        </w:tab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t xml:space="preserve">In sectorul bugetar, </w:t>
      </w:r>
      <w:r w:rsidR="001D0E4D" w:rsidRPr="00857E54">
        <w:rPr>
          <w:rFonts w:ascii="Arial" w:eastAsia="Times New Roman" w:hAnsi="Arial" w:cs="Arial"/>
          <w:sz w:val="24"/>
          <w:szCs w:val="24"/>
        </w:rPr>
        <w:t>creșterea</w:t>
      </w:r>
      <w:r w:rsidRPr="00857E54">
        <w:rPr>
          <w:rFonts w:ascii="Arial" w:eastAsia="Times New Roman" w:hAnsi="Arial" w:cs="Arial"/>
          <w:sz w:val="24"/>
          <w:szCs w:val="24"/>
        </w:rPr>
        <w:t xml:space="preserve"> medie a </w:t>
      </w:r>
      <w:r w:rsidR="001D0E4D" w:rsidRPr="00857E54">
        <w:rPr>
          <w:rFonts w:ascii="Arial" w:eastAsia="Times New Roman" w:hAnsi="Arial" w:cs="Arial"/>
          <w:b/>
          <w:sz w:val="24"/>
          <w:szCs w:val="24"/>
        </w:rPr>
        <w:t>câștigului</w:t>
      </w:r>
      <w:r w:rsidRPr="00857E54">
        <w:rPr>
          <w:rFonts w:ascii="Arial" w:eastAsia="Times New Roman" w:hAnsi="Arial" w:cs="Arial"/>
          <w:b/>
          <w:sz w:val="24"/>
          <w:szCs w:val="24"/>
        </w:rPr>
        <w:t xml:space="preserve"> salarial mediu net</w:t>
      </w:r>
      <w:r w:rsidRPr="00857E54">
        <w:rPr>
          <w:rFonts w:ascii="Arial" w:eastAsia="Times New Roman" w:hAnsi="Arial" w:cs="Arial"/>
          <w:sz w:val="24"/>
          <w:szCs w:val="24"/>
        </w:rPr>
        <w:t xml:space="preserve"> a fost de 19,2% comparativ cu </w:t>
      </w:r>
      <w:r w:rsidR="001D0E4D" w:rsidRPr="00857E54">
        <w:rPr>
          <w:rFonts w:ascii="Arial" w:eastAsia="Times New Roman" w:hAnsi="Arial" w:cs="Arial"/>
          <w:sz w:val="24"/>
          <w:szCs w:val="24"/>
        </w:rPr>
        <w:t>aceeași</w:t>
      </w:r>
      <w:r w:rsidRPr="00857E54">
        <w:rPr>
          <w:rFonts w:ascii="Arial" w:eastAsia="Times New Roman" w:hAnsi="Arial" w:cs="Arial"/>
          <w:sz w:val="24"/>
          <w:szCs w:val="24"/>
        </w:rPr>
        <w:t xml:space="preserve"> perioadă a anului 2017, în timp ce în sectorul </w:t>
      </w:r>
      <w:r w:rsidR="001D0E4D" w:rsidRPr="00857E54">
        <w:rPr>
          <w:rFonts w:ascii="Arial" w:eastAsia="Times New Roman" w:hAnsi="Arial" w:cs="Arial"/>
          <w:sz w:val="24"/>
          <w:szCs w:val="24"/>
        </w:rPr>
        <w:t>concurențial</w:t>
      </w:r>
      <w:r w:rsidRPr="00857E54">
        <w:rPr>
          <w:rFonts w:ascii="Arial" w:eastAsia="Times New Roman" w:hAnsi="Arial" w:cs="Arial"/>
          <w:sz w:val="24"/>
          <w:szCs w:val="24"/>
        </w:rPr>
        <w:t xml:space="preserve"> s-a majorat cu 10,9%.  În primele 5 luni 2018, câștigul salarial mediu net din </w:t>
      </w:r>
      <w:r w:rsidRPr="00857E54">
        <w:rPr>
          <w:rFonts w:ascii="Arial" w:eastAsia="Times New Roman" w:hAnsi="Arial" w:cs="Arial"/>
          <w:b/>
          <w:bCs/>
          <w:i/>
          <w:iCs/>
          <w:sz w:val="24"/>
          <w:szCs w:val="24"/>
        </w:rPr>
        <w:t>sectorul concurențial</w:t>
      </w:r>
      <w:r w:rsidRPr="00857E54">
        <w:rPr>
          <w:rFonts w:ascii="Arial" w:eastAsia="Times New Roman" w:hAnsi="Arial" w:cs="Arial"/>
          <w:sz w:val="24"/>
          <w:szCs w:val="24"/>
        </w:rPr>
        <w:t xml:space="preserve"> a ajuns să reprezinte 75,9% din câștigul salarial din sectorul bugetar față de 80,7% în aceeași perioadă a anului 2017.</w:t>
      </w:r>
    </w:p>
    <w:p w:rsidR="000D37E6" w:rsidRPr="00857E54" w:rsidRDefault="000D37E6" w:rsidP="000D37E6">
      <w:pPr>
        <w:keepNext/>
        <w:keepLines/>
        <w:tabs>
          <w:tab w:val="left" w:pos="364"/>
        </w:tab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r>
      <w:r w:rsidR="00F51EDE" w:rsidRPr="00857E54">
        <w:rPr>
          <w:rFonts w:ascii="Arial" w:eastAsia="Times New Roman" w:hAnsi="Arial" w:cs="Arial"/>
          <w:sz w:val="24"/>
          <w:szCs w:val="24"/>
        </w:rPr>
        <w:t xml:space="preserve">În termeni reali, pe total economie, </w:t>
      </w:r>
      <w:r w:rsidR="001D0E4D" w:rsidRPr="00857E54">
        <w:rPr>
          <w:rFonts w:ascii="Arial" w:eastAsia="Times New Roman" w:hAnsi="Arial" w:cs="Arial"/>
          <w:sz w:val="24"/>
          <w:szCs w:val="24"/>
        </w:rPr>
        <w:t>creșterea</w:t>
      </w:r>
      <w:r w:rsidRPr="00857E54">
        <w:rPr>
          <w:rFonts w:ascii="Arial" w:eastAsia="Times New Roman" w:hAnsi="Arial" w:cs="Arial"/>
          <w:sz w:val="24"/>
          <w:szCs w:val="24"/>
        </w:rPr>
        <w:t xml:space="preserve"> </w:t>
      </w:r>
      <w:r w:rsidR="001D0E4D" w:rsidRPr="00857E54">
        <w:rPr>
          <w:rFonts w:ascii="Arial" w:eastAsia="Times New Roman" w:hAnsi="Arial" w:cs="Arial"/>
          <w:sz w:val="24"/>
          <w:szCs w:val="24"/>
        </w:rPr>
        <w:t>câștigului</w:t>
      </w:r>
      <w:r w:rsidR="00F51EDE" w:rsidRPr="00857E54">
        <w:rPr>
          <w:rFonts w:ascii="Arial" w:eastAsia="Times New Roman" w:hAnsi="Arial" w:cs="Arial"/>
          <w:sz w:val="24"/>
          <w:szCs w:val="24"/>
        </w:rPr>
        <w:t xml:space="preserve"> salarial a fost de 7,5%. </w:t>
      </w:r>
      <w:r w:rsidR="001D0E4D" w:rsidRPr="00857E54">
        <w:rPr>
          <w:rFonts w:ascii="Arial" w:eastAsia="Times New Roman" w:hAnsi="Arial" w:cs="Arial"/>
          <w:b/>
          <w:sz w:val="24"/>
          <w:szCs w:val="24"/>
        </w:rPr>
        <w:t>Câștigul</w:t>
      </w:r>
      <w:r w:rsidR="00F51EDE" w:rsidRPr="00857E54">
        <w:rPr>
          <w:rFonts w:ascii="Arial" w:eastAsia="Times New Roman" w:hAnsi="Arial" w:cs="Arial"/>
          <w:b/>
          <w:sz w:val="24"/>
          <w:szCs w:val="24"/>
        </w:rPr>
        <w:t xml:space="preserve"> salarial real</w:t>
      </w:r>
      <w:r w:rsidR="00F51EDE" w:rsidRPr="00857E54">
        <w:rPr>
          <w:rFonts w:ascii="Arial" w:eastAsia="Times New Roman" w:hAnsi="Arial" w:cs="Arial"/>
          <w:sz w:val="24"/>
          <w:szCs w:val="24"/>
        </w:rPr>
        <w:t xml:space="preserve"> în sectorul bugetar a înregistrat o </w:t>
      </w:r>
      <w:r w:rsidR="001D0E4D" w:rsidRPr="00857E54">
        <w:rPr>
          <w:rFonts w:ascii="Arial" w:eastAsia="Times New Roman" w:hAnsi="Arial" w:cs="Arial"/>
          <w:sz w:val="24"/>
          <w:szCs w:val="24"/>
        </w:rPr>
        <w:t>creștere</w:t>
      </w:r>
      <w:r w:rsidR="00F51EDE" w:rsidRPr="00857E54">
        <w:rPr>
          <w:rFonts w:ascii="Arial" w:eastAsia="Times New Roman" w:hAnsi="Arial" w:cs="Arial"/>
          <w:sz w:val="24"/>
          <w:szCs w:val="24"/>
        </w:rPr>
        <w:t xml:space="preserve"> de 13,6%, iar în sectorul </w:t>
      </w:r>
      <w:r w:rsidR="001D0E4D" w:rsidRPr="00857E54">
        <w:rPr>
          <w:rFonts w:ascii="Arial" w:eastAsia="Times New Roman" w:hAnsi="Arial" w:cs="Arial"/>
          <w:sz w:val="24"/>
          <w:szCs w:val="24"/>
        </w:rPr>
        <w:t>concurențial</w:t>
      </w:r>
      <w:r w:rsidR="00F51EDE" w:rsidRPr="00857E54">
        <w:rPr>
          <w:rFonts w:ascii="Arial" w:eastAsia="Times New Roman" w:hAnsi="Arial" w:cs="Arial"/>
          <w:sz w:val="24"/>
          <w:szCs w:val="24"/>
        </w:rPr>
        <w:t xml:space="preserve"> de 5,7%.</w:t>
      </w:r>
    </w:p>
    <w:p w:rsidR="000D37E6" w:rsidRPr="00857E54" w:rsidRDefault="000D37E6" w:rsidP="000D37E6">
      <w:pPr>
        <w:keepNext/>
        <w:keepLines/>
        <w:tabs>
          <w:tab w:val="left" w:pos="364"/>
        </w:tab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r>
      <w:r w:rsidR="001D0E4D" w:rsidRPr="00857E54">
        <w:rPr>
          <w:rFonts w:ascii="Arial" w:eastAsia="Times New Roman" w:hAnsi="Arial" w:cs="Arial"/>
          <w:sz w:val="24"/>
          <w:szCs w:val="24"/>
        </w:rPr>
        <w:t>Începând</w:t>
      </w:r>
      <w:r w:rsidR="00F51EDE" w:rsidRPr="00857E54">
        <w:rPr>
          <w:rFonts w:ascii="Arial" w:eastAsia="Times New Roman" w:hAnsi="Arial" w:cs="Arial"/>
          <w:sz w:val="24"/>
          <w:szCs w:val="24"/>
        </w:rPr>
        <w:t xml:space="preserve"> cu data de 1 ianuarie 2018 prin  H.G. nr.846/2017 s-a stabilit </w:t>
      </w:r>
      <w:r w:rsidR="00F51EDE" w:rsidRPr="00857E54">
        <w:rPr>
          <w:rFonts w:ascii="Arial" w:eastAsia="Times New Roman" w:hAnsi="Arial" w:cs="Arial"/>
          <w:b/>
          <w:sz w:val="24"/>
          <w:szCs w:val="24"/>
        </w:rPr>
        <w:t xml:space="preserve">salariul de baza minim brut pe </w:t>
      </w:r>
      <w:r w:rsidR="001D0E4D" w:rsidRPr="00857E54">
        <w:rPr>
          <w:rFonts w:ascii="Arial" w:eastAsia="Times New Roman" w:hAnsi="Arial" w:cs="Arial"/>
          <w:b/>
          <w:sz w:val="24"/>
          <w:szCs w:val="24"/>
        </w:rPr>
        <w:t>țară</w:t>
      </w:r>
      <w:r w:rsidR="00F51EDE" w:rsidRPr="00857E54">
        <w:rPr>
          <w:rFonts w:ascii="Arial" w:eastAsia="Times New Roman" w:hAnsi="Arial" w:cs="Arial"/>
          <w:b/>
          <w:sz w:val="24"/>
          <w:szCs w:val="24"/>
        </w:rPr>
        <w:t xml:space="preserve"> garantat în plată la 1900 lei lunar</w:t>
      </w:r>
      <w:r w:rsidR="00F51EDE" w:rsidRPr="00857E54">
        <w:rPr>
          <w:rFonts w:ascii="Arial" w:eastAsia="Times New Roman" w:hAnsi="Arial" w:cs="Arial"/>
          <w:sz w:val="24"/>
          <w:szCs w:val="24"/>
        </w:rPr>
        <w:t xml:space="preserve">, în </w:t>
      </w:r>
      <w:r w:rsidR="001D0E4D" w:rsidRPr="00857E54">
        <w:rPr>
          <w:rFonts w:ascii="Arial" w:eastAsia="Times New Roman" w:hAnsi="Arial" w:cs="Arial"/>
          <w:sz w:val="24"/>
          <w:szCs w:val="24"/>
        </w:rPr>
        <w:t>creștere</w:t>
      </w:r>
      <w:r w:rsidR="00F51EDE" w:rsidRPr="00857E54">
        <w:rPr>
          <w:rFonts w:ascii="Arial" w:eastAsia="Times New Roman" w:hAnsi="Arial" w:cs="Arial"/>
          <w:sz w:val="24"/>
          <w:szCs w:val="24"/>
        </w:rPr>
        <w:t xml:space="preserve"> cu 32,6% comparativ cu </w:t>
      </w:r>
      <w:r w:rsidR="001D0E4D" w:rsidRPr="00857E54">
        <w:rPr>
          <w:rFonts w:ascii="Arial" w:eastAsia="Times New Roman" w:hAnsi="Arial" w:cs="Arial"/>
          <w:sz w:val="24"/>
          <w:szCs w:val="24"/>
        </w:rPr>
        <w:t>creșterea</w:t>
      </w:r>
      <w:r w:rsidR="00F51EDE" w:rsidRPr="00857E54">
        <w:rPr>
          <w:rFonts w:ascii="Arial" w:eastAsia="Times New Roman" w:hAnsi="Arial" w:cs="Arial"/>
          <w:sz w:val="24"/>
          <w:szCs w:val="24"/>
        </w:rPr>
        <w:t xml:space="preserve"> medie anuală din anul 2017.</w:t>
      </w:r>
    </w:p>
    <w:p w:rsidR="00F51EDE" w:rsidRPr="00857E54" w:rsidRDefault="000D37E6" w:rsidP="000D37E6">
      <w:pPr>
        <w:keepNext/>
        <w:keepLines/>
        <w:tabs>
          <w:tab w:val="left" w:pos="364"/>
        </w:tab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t>Î</w:t>
      </w:r>
      <w:r w:rsidR="00F51EDE" w:rsidRPr="00857E54">
        <w:rPr>
          <w:rFonts w:ascii="Arial" w:eastAsia="Times New Roman" w:hAnsi="Arial" w:cs="Arial"/>
          <w:sz w:val="24"/>
          <w:szCs w:val="24"/>
        </w:rPr>
        <w:t xml:space="preserve">n prima parte a anului 2018 s-au luat o serie de măsuri legislative în ceea ce </w:t>
      </w:r>
      <w:r w:rsidR="001D0E4D" w:rsidRPr="00857E54">
        <w:rPr>
          <w:rFonts w:ascii="Arial" w:eastAsia="Times New Roman" w:hAnsi="Arial" w:cs="Arial"/>
          <w:sz w:val="24"/>
          <w:szCs w:val="24"/>
        </w:rPr>
        <w:t>privește</w:t>
      </w:r>
      <w:r w:rsidR="00F51EDE" w:rsidRPr="00857E54">
        <w:rPr>
          <w:rFonts w:ascii="Arial" w:eastAsia="Times New Roman" w:hAnsi="Arial" w:cs="Arial"/>
          <w:sz w:val="24"/>
          <w:szCs w:val="24"/>
        </w:rPr>
        <w:t xml:space="preserve"> salarizarea, astfel:</w:t>
      </w:r>
    </w:p>
    <w:p w:rsidR="00F51EDE" w:rsidRPr="00857E54" w:rsidRDefault="00F51EDE" w:rsidP="00796829">
      <w:pPr>
        <w:keepNext/>
        <w:keepLines/>
        <w:numPr>
          <w:ilvl w:val="0"/>
          <w:numId w:val="29"/>
        </w:numPr>
        <w:spacing w:before="120" w:after="0"/>
        <w:ind w:left="777" w:hanging="357"/>
        <w:rPr>
          <w:rFonts w:ascii="Arial" w:eastAsia="Times New Roman" w:hAnsi="Arial" w:cs="Arial"/>
          <w:sz w:val="24"/>
          <w:szCs w:val="24"/>
        </w:rPr>
      </w:pPr>
      <w:r w:rsidRPr="00857E54">
        <w:rPr>
          <w:rFonts w:ascii="Arial" w:eastAsia="Times New Roman" w:hAnsi="Arial" w:cs="Arial"/>
          <w:sz w:val="24"/>
          <w:szCs w:val="24"/>
        </w:rPr>
        <w:t>O.U.G nr.41/2018 pentru modificarea şi completarea Legii cadru nr.153/2017 privind salarizarea personalului plătit din fonduri publice.</w:t>
      </w:r>
    </w:p>
    <w:p w:rsidR="001F1551" w:rsidRPr="00857E54" w:rsidRDefault="00F51EDE" w:rsidP="00796829">
      <w:pPr>
        <w:keepNext/>
        <w:keepLines/>
        <w:numPr>
          <w:ilvl w:val="0"/>
          <w:numId w:val="29"/>
        </w:numPr>
        <w:spacing w:before="120" w:after="0"/>
        <w:ind w:left="777" w:hanging="357"/>
        <w:rPr>
          <w:rFonts w:ascii="Arial" w:eastAsia="Times New Roman" w:hAnsi="Arial" w:cs="Arial"/>
          <w:sz w:val="24"/>
          <w:szCs w:val="24"/>
        </w:rPr>
      </w:pPr>
      <w:r w:rsidRPr="00857E54">
        <w:rPr>
          <w:rFonts w:ascii="Arial" w:eastAsia="Times New Roman" w:hAnsi="Arial" w:cs="Arial"/>
          <w:sz w:val="24"/>
          <w:szCs w:val="24"/>
        </w:rPr>
        <w:t xml:space="preserve">Legea nr.79/2018 privind aprobarea </w:t>
      </w:r>
      <w:r w:rsidR="001D0E4D" w:rsidRPr="00857E54">
        <w:rPr>
          <w:rFonts w:ascii="Arial" w:eastAsia="Times New Roman" w:hAnsi="Arial" w:cs="Arial"/>
          <w:sz w:val="24"/>
          <w:szCs w:val="24"/>
        </w:rPr>
        <w:t>Ordonanței</w:t>
      </w:r>
      <w:r w:rsidRPr="00857E54">
        <w:rPr>
          <w:rFonts w:ascii="Arial" w:eastAsia="Times New Roman" w:hAnsi="Arial" w:cs="Arial"/>
          <w:sz w:val="24"/>
          <w:szCs w:val="24"/>
        </w:rPr>
        <w:t xml:space="preserve"> de urgenta a Guvernului nr. 91/2017 pentru modificarea si completarea Legii-cadru nr. 153/2017 privind salarizarea personalului </w:t>
      </w:r>
      <w:r w:rsidR="001D0E4D" w:rsidRPr="00857E54">
        <w:rPr>
          <w:rFonts w:ascii="Arial" w:eastAsia="Times New Roman" w:hAnsi="Arial" w:cs="Arial"/>
          <w:sz w:val="24"/>
          <w:szCs w:val="24"/>
        </w:rPr>
        <w:t>plătit</w:t>
      </w:r>
      <w:r w:rsidRPr="00857E54">
        <w:rPr>
          <w:rFonts w:ascii="Arial" w:eastAsia="Times New Roman" w:hAnsi="Arial" w:cs="Arial"/>
          <w:sz w:val="24"/>
          <w:szCs w:val="24"/>
        </w:rPr>
        <w:t xml:space="preserve"> din fonduri publice.</w:t>
      </w:r>
    </w:p>
    <w:p w:rsidR="00C133ED" w:rsidRPr="00857E54" w:rsidRDefault="001F1551" w:rsidP="001F1551">
      <w:pPr>
        <w:keepNext/>
        <w:keepLine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r>
      <w:r w:rsidR="00C133ED" w:rsidRPr="00857E54">
        <w:rPr>
          <w:rFonts w:ascii="Arial" w:eastAsia="Times New Roman" w:hAnsi="Arial" w:cs="Arial"/>
          <w:b/>
          <w:bCs/>
          <w:i/>
          <w:iCs/>
          <w:sz w:val="24"/>
          <w:szCs w:val="24"/>
        </w:rPr>
        <w:t>Șomajul înregistrat</w:t>
      </w:r>
      <w:r w:rsidR="00C133ED" w:rsidRPr="00857E54">
        <w:rPr>
          <w:rFonts w:ascii="Arial" w:eastAsia="Times New Roman" w:hAnsi="Arial" w:cs="Arial"/>
          <w:sz w:val="24"/>
          <w:szCs w:val="24"/>
        </w:rPr>
        <w:t xml:space="preserve"> la nivel național a avut un trend descrescător începând cu luna septembrie 2017 când a fost de 4,20%, astfel rata șomajului înregistrat la sfârșitul lunii iunie 2018 a ajuns la 3,48%, mai mică cu 0,59 puncte procentuale față de perioada corespunzătoare a anului anterior. Numărul total al șomerilor înregistrați a scăzut fată de luna iunie 2017 cu 60,3 mii persoane (respectiv cu 16,5%). Din totalul șomerilor înregistrați, 51,1 mii persoane au fost șomeri indemnizați (16,8%) şi 253,2 mii persoane, șomeri neindemnizați (83,2%). Pe medii de rezidență numărul șomerilor înregistrați se prezintă astfel: 87,1 mii persoane în mediul urban (28,6%) şi 217,2 mii persoane în mediul rural (71,4%).</w:t>
      </w:r>
    </w:p>
    <w:p w:rsidR="00C133ED" w:rsidRPr="00857E54" w:rsidRDefault="00C133ED" w:rsidP="00C133ED">
      <w:pPr>
        <w:spacing w:before="240"/>
        <w:ind w:firstLine="0"/>
        <w:rPr>
          <w:rFonts w:eastAsia="Times New Roman"/>
        </w:rPr>
      </w:pPr>
    </w:p>
    <w:p w:rsidR="00F260A2" w:rsidRPr="00857E54" w:rsidRDefault="00F260A2" w:rsidP="00F260A2">
      <w:pPr>
        <w:spacing w:after="0"/>
        <w:ind w:firstLine="0"/>
        <w:rPr>
          <w:rFonts w:eastAsia="Times New Roman"/>
        </w:rPr>
      </w:pPr>
    </w:p>
    <w:p w:rsidR="001F1551" w:rsidRPr="00857E54" w:rsidRDefault="0029235E" w:rsidP="00F260A2">
      <w:pPr>
        <w:spacing w:after="0"/>
        <w:ind w:firstLine="0"/>
        <w:rPr>
          <w:rFonts w:eastAsia="Times New Roman"/>
        </w:rPr>
      </w:pPr>
      <w:r w:rsidRPr="00857E54">
        <w:rPr>
          <w:rFonts w:eastAsia="Times New Roman"/>
          <w:noProof/>
          <w:lang w:val="en-US"/>
        </w:rPr>
        <w:lastRenderedPageBreak/>
        <w:drawing>
          <wp:inline distT="0" distB="0" distL="0" distR="0">
            <wp:extent cx="5759450" cy="2953498"/>
            <wp:effectExtent l="19050" t="0" r="1270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235E" w:rsidRPr="00857E54" w:rsidRDefault="0029235E" w:rsidP="00C133ED">
      <w:pPr>
        <w:spacing w:after="0"/>
        <w:ind w:firstLine="0"/>
        <w:rPr>
          <w:rFonts w:eastAsia="Times New Roman"/>
        </w:rPr>
      </w:pPr>
    </w:p>
    <w:p w:rsidR="00C133ED" w:rsidRPr="00857E54" w:rsidRDefault="00C133ED" w:rsidP="00C133ED">
      <w:pPr>
        <w:spacing w:after="0"/>
        <w:ind w:firstLine="0"/>
        <w:rPr>
          <w:rFonts w:eastAsia="Times New Roman"/>
        </w:rPr>
      </w:pPr>
      <w:r w:rsidRPr="00857E54">
        <w:rPr>
          <w:rFonts w:eastAsia="Times New Roman"/>
        </w:rPr>
        <w:t>Sursa: ANOFM</w:t>
      </w:r>
    </w:p>
    <w:p w:rsidR="00F260A2" w:rsidRPr="00857E54" w:rsidRDefault="00F260A2" w:rsidP="00C133ED">
      <w:pPr>
        <w:keepNext/>
        <w:spacing w:before="120" w:after="0" w:line="276" w:lineRule="auto"/>
        <w:ind w:firstLine="709"/>
        <w:rPr>
          <w:rFonts w:ascii="Arial" w:eastAsia="Times New Roman" w:hAnsi="Arial" w:cs="Arial"/>
          <w:b/>
          <w:bCs/>
          <w:sz w:val="24"/>
          <w:szCs w:val="24"/>
        </w:rPr>
      </w:pPr>
    </w:p>
    <w:p w:rsidR="00C133ED" w:rsidRPr="00857E54" w:rsidRDefault="00C133ED" w:rsidP="00C133ED">
      <w:pPr>
        <w:keepNext/>
        <w:spacing w:before="120" w:after="0" w:line="276" w:lineRule="auto"/>
        <w:ind w:firstLine="709"/>
        <w:rPr>
          <w:rFonts w:ascii="Arial" w:eastAsia="Times New Roman" w:hAnsi="Arial" w:cs="Arial"/>
          <w:sz w:val="24"/>
          <w:szCs w:val="24"/>
        </w:rPr>
      </w:pPr>
      <w:r w:rsidRPr="00857E54">
        <w:rPr>
          <w:rFonts w:ascii="Arial" w:eastAsia="Times New Roman" w:hAnsi="Arial" w:cs="Arial"/>
          <w:b/>
          <w:bCs/>
          <w:sz w:val="24"/>
          <w:szCs w:val="24"/>
        </w:rPr>
        <w:t>Structura șomajului pe grupe de vârstă</w:t>
      </w:r>
      <w:r w:rsidRPr="00857E54">
        <w:rPr>
          <w:rFonts w:ascii="Arial" w:eastAsia="Times New Roman" w:hAnsi="Arial" w:cs="Arial"/>
          <w:sz w:val="24"/>
          <w:szCs w:val="24"/>
        </w:rPr>
        <w:t xml:space="preserve">  la nivelul lunii mai 2018 ne arată că șomerii din grupa de vârstă 40-49 ani reprezentau cea mai mare pondere (29,4%) din totalul șomerilor înregistrați </w:t>
      </w:r>
      <w:r w:rsidR="0088641E" w:rsidRPr="00857E54">
        <w:rPr>
          <w:rFonts w:ascii="Arial" w:eastAsia="Times New Roman" w:hAnsi="Arial" w:cs="Arial"/>
          <w:sz w:val="24"/>
          <w:szCs w:val="24"/>
        </w:rPr>
        <w:t>urmați</w:t>
      </w:r>
      <w:r w:rsidRPr="00857E54">
        <w:rPr>
          <w:rFonts w:ascii="Arial" w:eastAsia="Times New Roman" w:hAnsi="Arial" w:cs="Arial"/>
          <w:sz w:val="24"/>
          <w:szCs w:val="24"/>
        </w:rPr>
        <w:t xml:space="preserve"> de </w:t>
      </w:r>
      <w:r w:rsidR="0088641E" w:rsidRPr="00857E54">
        <w:rPr>
          <w:rFonts w:ascii="Arial" w:eastAsia="Times New Roman" w:hAnsi="Arial" w:cs="Arial"/>
          <w:sz w:val="24"/>
          <w:szCs w:val="24"/>
        </w:rPr>
        <w:t>șomerii</w:t>
      </w:r>
      <w:r w:rsidRPr="00857E54">
        <w:rPr>
          <w:rFonts w:ascii="Arial" w:eastAsia="Times New Roman" w:hAnsi="Arial" w:cs="Arial"/>
          <w:sz w:val="24"/>
          <w:szCs w:val="24"/>
        </w:rPr>
        <w:t xml:space="preserve"> din grupele de vârstă 30-39 ani şi peste 55 ani cu pondere de 19,5%.</w:t>
      </w:r>
    </w:p>
    <w:p w:rsidR="00C133ED" w:rsidRPr="00857E54" w:rsidRDefault="00C133ED" w:rsidP="00C133ED">
      <w:pPr>
        <w:keepNext/>
        <w:spacing w:before="120" w:after="0" w:line="276" w:lineRule="auto"/>
        <w:ind w:firstLine="709"/>
        <w:rPr>
          <w:rFonts w:ascii="Arial" w:eastAsia="Times New Roman" w:hAnsi="Arial" w:cs="Arial"/>
          <w:sz w:val="24"/>
          <w:szCs w:val="24"/>
        </w:rPr>
      </w:pPr>
      <w:r w:rsidRPr="00857E54">
        <w:rPr>
          <w:rFonts w:ascii="Arial" w:eastAsia="Times New Roman" w:hAnsi="Arial" w:cs="Arial"/>
          <w:sz w:val="24"/>
          <w:szCs w:val="24"/>
        </w:rPr>
        <w:t xml:space="preserve">Referitor la </w:t>
      </w:r>
      <w:r w:rsidRPr="00857E54">
        <w:rPr>
          <w:rFonts w:ascii="Arial" w:eastAsia="Times New Roman" w:hAnsi="Arial" w:cs="Arial"/>
          <w:b/>
          <w:bCs/>
          <w:sz w:val="24"/>
          <w:szCs w:val="24"/>
        </w:rPr>
        <w:t>structura șomajului după nivelul de instruire</w:t>
      </w:r>
      <w:r w:rsidRPr="00857E54">
        <w:rPr>
          <w:rFonts w:ascii="Arial" w:eastAsia="Times New Roman" w:hAnsi="Arial" w:cs="Arial"/>
          <w:sz w:val="24"/>
          <w:szCs w:val="24"/>
        </w:rPr>
        <w:t xml:space="preserve">, șomerii fără studii şi cei cu nivel de instruire primar, gimnazial şi profesional au ponderea cea mai mare în totalul șomerilor înregistrați (81%). Șomerii cu nivel de instruire liceal şi post-liceal reprezintă 13,4% din totalul șomerilor înregistrați, iar cei cu studii universitare 4,7 %. </w:t>
      </w:r>
    </w:p>
    <w:p w:rsidR="00C133ED" w:rsidRPr="00857E54" w:rsidRDefault="00C133ED" w:rsidP="00C133ED">
      <w:pPr>
        <w:keepNext/>
        <w:spacing w:before="120" w:after="0" w:line="276" w:lineRule="auto"/>
        <w:ind w:firstLine="709"/>
        <w:rPr>
          <w:rFonts w:ascii="Arial" w:eastAsia="Times New Roman" w:hAnsi="Arial" w:cs="Arial"/>
          <w:sz w:val="24"/>
          <w:szCs w:val="24"/>
        </w:rPr>
      </w:pPr>
      <w:r w:rsidRPr="00857E54">
        <w:rPr>
          <w:rFonts w:ascii="Arial" w:eastAsia="Times New Roman" w:hAnsi="Arial" w:cs="Arial"/>
          <w:sz w:val="24"/>
          <w:szCs w:val="24"/>
        </w:rPr>
        <w:t xml:space="preserve">În ceea ce privește </w:t>
      </w:r>
      <w:r w:rsidRPr="00857E54">
        <w:rPr>
          <w:rFonts w:ascii="Arial" w:eastAsia="Times New Roman" w:hAnsi="Arial" w:cs="Arial"/>
          <w:b/>
          <w:bCs/>
          <w:sz w:val="24"/>
          <w:szCs w:val="24"/>
        </w:rPr>
        <w:t>șomajul de lungă durată</w:t>
      </w:r>
      <w:r w:rsidRPr="00857E54">
        <w:rPr>
          <w:rFonts w:ascii="Arial" w:eastAsia="Times New Roman" w:hAnsi="Arial" w:cs="Arial"/>
          <w:sz w:val="24"/>
          <w:szCs w:val="24"/>
        </w:rPr>
        <w:t xml:space="preserve">, la sfârșitul lunii iunie 2018 se aflau înregistrați </w:t>
      </w:r>
      <w:r w:rsidRPr="00857E54">
        <w:rPr>
          <w:rFonts w:ascii="Arial" w:eastAsia="Times New Roman" w:hAnsi="Arial" w:cs="Arial"/>
          <w:b/>
          <w:bCs/>
          <w:sz w:val="24"/>
          <w:szCs w:val="24"/>
        </w:rPr>
        <w:t>11.651 tineri sub 25 de ani</w:t>
      </w:r>
      <w:r w:rsidRPr="00857E54">
        <w:rPr>
          <w:rFonts w:ascii="Arial" w:eastAsia="Times New Roman" w:hAnsi="Arial" w:cs="Arial"/>
          <w:sz w:val="24"/>
          <w:szCs w:val="24"/>
        </w:rPr>
        <w:t xml:space="preserve"> aflați în șomaj de peste 6 luni (ceea ce reprezintă 41,87% din totalul șomerilor sub 25 de ani) şi </w:t>
      </w:r>
      <w:r w:rsidRPr="00857E54">
        <w:rPr>
          <w:rFonts w:ascii="Arial" w:eastAsia="Times New Roman" w:hAnsi="Arial" w:cs="Arial"/>
          <w:b/>
          <w:bCs/>
          <w:sz w:val="24"/>
          <w:szCs w:val="24"/>
        </w:rPr>
        <w:t xml:space="preserve">128.487 adulți </w:t>
      </w:r>
      <w:r w:rsidRPr="00857E54">
        <w:rPr>
          <w:rFonts w:ascii="Arial" w:eastAsia="Times New Roman" w:hAnsi="Arial" w:cs="Arial"/>
          <w:sz w:val="24"/>
          <w:szCs w:val="24"/>
        </w:rPr>
        <w:t>aflați în șomaj de peste 12 luni, ponderea șomerilor de lungă durată în numărul total de șomeri fiind de 46,46%.</w:t>
      </w:r>
    </w:p>
    <w:p w:rsidR="00F51EDE" w:rsidRPr="00857E54" w:rsidRDefault="00F51EDE" w:rsidP="00C133ED">
      <w:pPr>
        <w:keepNext/>
        <w:keepLines/>
        <w:tabs>
          <w:tab w:val="left" w:pos="364"/>
        </w:tabs>
        <w:spacing w:before="120" w:after="0" w:line="276" w:lineRule="auto"/>
        <w:ind w:firstLine="0"/>
        <w:rPr>
          <w:rFonts w:ascii="Arial" w:eastAsia="Times New Roman" w:hAnsi="Arial" w:cs="Arial"/>
          <w:sz w:val="24"/>
          <w:szCs w:val="24"/>
        </w:rPr>
      </w:pPr>
      <w:r w:rsidRPr="00857E54">
        <w:rPr>
          <w:rFonts w:ascii="Arial" w:eastAsia="Times New Roman" w:hAnsi="Arial" w:cs="Arial"/>
          <w:sz w:val="24"/>
          <w:szCs w:val="24"/>
        </w:rPr>
        <w:tab/>
        <w:t xml:space="preserve">Rezultatele economice de până în prezent </w:t>
      </w:r>
      <w:r w:rsidR="0088641E" w:rsidRPr="00857E54">
        <w:rPr>
          <w:rFonts w:ascii="Arial" w:eastAsia="Times New Roman" w:hAnsi="Arial" w:cs="Arial"/>
          <w:sz w:val="24"/>
          <w:szCs w:val="24"/>
        </w:rPr>
        <w:t>susțin</w:t>
      </w:r>
      <w:r w:rsidRPr="00857E54">
        <w:rPr>
          <w:rFonts w:ascii="Arial" w:eastAsia="Times New Roman" w:hAnsi="Arial" w:cs="Arial"/>
          <w:sz w:val="24"/>
          <w:szCs w:val="24"/>
        </w:rPr>
        <w:t xml:space="preserve"> posibilitatea realizării creșterii economice de 5,5% utilizată la fundamentarea legii bugetului de stat pentru anul 2018 şi un produs intern brut în valoare nominală de 945 miliarde lei, </w:t>
      </w:r>
      <w:r w:rsidR="0088641E" w:rsidRPr="00857E54">
        <w:rPr>
          <w:rFonts w:ascii="Arial" w:eastAsia="Times New Roman" w:hAnsi="Arial" w:cs="Arial"/>
          <w:sz w:val="24"/>
          <w:szCs w:val="24"/>
        </w:rPr>
        <w:t>față</w:t>
      </w:r>
      <w:r w:rsidRPr="00857E54">
        <w:rPr>
          <w:rFonts w:ascii="Arial" w:eastAsia="Times New Roman" w:hAnsi="Arial" w:cs="Arial"/>
          <w:sz w:val="24"/>
          <w:szCs w:val="24"/>
        </w:rPr>
        <w:t xml:space="preserve"> de 907,9 miliarde lei cât s-a estimat inițial. </w:t>
      </w:r>
    </w:p>
    <w:p w:rsidR="00F51EDE" w:rsidRPr="00857E54" w:rsidRDefault="00F51EDE" w:rsidP="00281576">
      <w:pPr>
        <w:keepNext/>
        <w:keepLines/>
        <w:spacing w:before="120" w:after="0" w:line="276" w:lineRule="auto"/>
        <w:ind w:firstLine="708"/>
        <w:rPr>
          <w:rFonts w:ascii="Arial" w:eastAsia="Times New Roman" w:hAnsi="Arial" w:cs="Arial"/>
          <w:sz w:val="24"/>
          <w:szCs w:val="24"/>
        </w:rPr>
      </w:pPr>
      <w:r w:rsidRPr="00857E54">
        <w:rPr>
          <w:rFonts w:ascii="Arial" w:eastAsia="Times New Roman" w:hAnsi="Arial" w:cs="Arial"/>
          <w:sz w:val="24"/>
          <w:szCs w:val="24"/>
        </w:rPr>
        <w:br w:type="page"/>
      </w:r>
    </w:p>
    <w:p w:rsidR="0056154D" w:rsidRPr="00857E54" w:rsidRDefault="002548C2" w:rsidP="00281576">
      <w:pPr>
        <w:pStyle w:val="ListParagraph"/>
        <w:keepNext/>
        <w:keepLines/>
        <w:numPr>
          <w:ilvl w:val="0"/>
          <w:numId w:val="1"/>
        </w:numPr>
        <w:tabs>
          <w:tab w:val="left" w:pos="7371"/>
        </w:tabs>
        <w:ind w:left="567" w:hanging="283"/>
        <w:outlineLvl w:val="0"/>
        <w:rPr>
          <w:rFonts w:cs="Arial"/>
          <w:b/>
          <w:sz w:val="28"/>
          <w:szCs w:val="28"/>
        </w:rPr>
      </w:pPr>
      <w:bookmarkStart w:id="7" w:name="_Toc456256933"/>
      <w:bookmarkStart w:id="8" w:name="_Toc456257457"/>
      <w:bookmarkStart w:id="9" w:name="_Toc456258315"/>
      <w:bookmarkStart w:id="10" w:name="_Toc456258420"/>
      <w:bookmarkStart w:id="11" w:name="_Toc520281761"/>
      <w:r w:rsidRPr="00857E54">
        <w:rPr>
          <w:rFonts w:cs="Arial"/>
          <w:b/>
          <w:sz w:val="28"/>
          <w:szCs w:val="28"/>
        </w:rPr>
        <w:lastRenderedPageBreak/>
        <w:t>P</w:t>
      </w:r>
      <w:r w:rsidR="00E3087D" w:rsidRPr="00857E54">
        <w:rPr>
          <w:rFonts w:cs="Arial"/>
          <w:b/>
          <w:sz w:val="28"/>
          <w:szCs w:val="28"/>
        </w:rPr>
        <w:t xml:space="preserve">olitica fiscal-bugetară </w:t>
      </w:r>
      <w:r w:rsidR="00191D8D" w:rsidRPr="00857E54">
        <w:rPr>
          <w:rFonts w:cs="Arial"/>
          <w:b/>
          <w:sz w:val="28"/>
          <w:szCs w:val="28"/>
        </w:rPr>
        <w:t>aferentă</w:t>
      </w:r>
      <w:r w:rsidR="00E3087D" w:rsidRPr="00857E54">
        <w:rPr>
          <w:rFonts w:cs="Arial"/>
          <w:b/>
          <w:sz w:val="28"/>
          <w:szCs w:val="28"/>
        </w:rPr>
        <w:t xml:space="preserve"> anul</w:t>
      </w:r>
      <w:r w:rsidR="00191D8D" w:rsidRPr="00857E54">
        <w:rPr>
          <w:rFonts w:cs="Arial"/>
          <w:b/>
          <w:sz w:val="28"/>
          <w:szCs w:val="28"/>
        </w:rPr>
        <w:t>ui</w:t>
      </w:r>
      <w:bookmarkEnd w:id="7"/>
      <w:bookmarkEnd w:id="8"/>
      <w:bookmarkEnd w:id="9"/>
      <w:bookmarkEnd w:id="10"/>
      <w:r w:rsidR="00E3539E" w:rsidRPr="00857E54">
        <w:rPr>
          <w:rFonts w:cs="Arial"/>
          <w:b/>
          <w:sz w:val="28"/>
          <w:szCs w:val="28"/>
        </w:rPr>
        <w:t>201</w:t>
      </w:r>
      <w:r w:rsidR="00CA2597" w:rsidRPr="00857E54">
        <w:rPr>
          <w:rFonts w:cs="Arial"/>
          <w:b/>
          <w:sz w:val="28"/>
          <w:szCs w:val="28"/>
        </w:rPr>
        <w:t>8</w:t>
      </w:r>
      <w:bookmarkEnd w:id="11"/>
    </w:p>
    <w:p w:rsidR="00D6065B" w:rsidRPr="00857E54" w:rsidRDefault="00D6065B" w:rsidP="00281576">
      <w:pPr>
        <w:pStyle w:val="ListParagraph"/>
        <w:keepNext/>
        <w:keepLines/>
        <w:ind w:left="567"/>
        <w:outlineLvl w:val="0"/>
        <w:rPr>
          <w:rFonts w:cs="Arial"/>
          <w:b/>
          <w:sz w:val="28"/>
          <w:szCs w:val="28"/>
        </w:rPr>
      </w:pPr>
    </w:p>
    <w:p w:rsidR="000651AF" w:rsidRPr="00857E54" w:rsidRDefault="00D56048" w:rsidP="00281576">
      <w:pPr>
        <w:keepNext/>
        <w:keepLines/>
        <w:ind w:firstLine="680"/>
        <w:rPr>
          <w:rFonts w:ascii="Arial" w:hAnsi="Arial" w:cs="Arial"/>
          <w:sz w:val="24"/>
          <w:szCs w:val="24"/>
        </w:rPr>
      </w:pPr>
      <w:r w:rsidRPr="00857E54">
        <w:rPr>
          <w:rFonts w:ascii="Arial" w:hAnsi="Arial" w:cs="Arial"/>
          <w:sz w:val="24"/>
          <w:szCs w:val="24"/>
        </w:rPr>
        <w:t>Construcția bug</w:t>
      </w:r>
      <w:r w:rsidR="000651AF" w:rsidRPr="00857E54">
        <w:rPr>
          <w:rFonts w:ascii="Arial" w:hAnsi="Arial" w:cs="Arial"/>
          <w:sz w:val="24"/>
          <w:szCs w:val="24"/>
        </w:rPr>
        <w:t xml:space="preserve">etară pe anul </w:t>
      </w:r>
      <w:r w:rsidR="00E3539E" w:rsidRPr="00857E54">
        <w:rPr>
          <w:rFonts w:ascii="Arial" w:hAnsi="Arial" w:cs="Arial"/>
          <w:sz w:val="24"/>
          <w:szCs w:val="24"/>
        </w:rPr>
        <w:t>201</w:t>
      </w:r>
      <w:r w:rsidR="00CA2597" w:rsidRPr="00857E54">
        <w:rPr>
          <w:rFonts w:ascii="Arial" w:hAnsi="Arial" w:cs="Arial"/>
          <w:sz w:val="24"/>
          <w:szCs w:val="24"/>
        </w:rPr>
        <w:t>8</w:t>
      </w:r>
      <w:r w:rsidR="00D46822">
        <w:rPr>
          <w:rFonts w:ascii="Arial" w:hAnsi="Arial" w:cs="Arial"/>
          <w:sz w:val="24"/>
          <w:szCs w:val="24"/>
        </w:rPr>
        <w:t xml:space="preserve"> </w:t>
      </w:r>
      <w:r w:rsidR="000651AF" w:rsidRPr="00857E54">
        <w:rPr>
          <w:rFonts w:ascii="Arial" w:hAnsi="Arial" w:cs="Arial"/>
          <w:sz w:val="24"/>
          <w:szCs w:val="24"/>
        </w:rPr>
        <w:t>a avut la bază următoarele obiective:</w:t>
      </w:r>
    </w:p>
    <w:p w:rsidR="0047248B" w:rsidRPr="00857E54" w:rsidRDefault="0047248B" w:rsidP="00281576">
      <w:pPr>
        <w:keepNext/>
        <w:keepLines/>
        <w:tabs>
          <w:tab w:val="left" w:pos="3402"/>
        </w:tabs>
        <w:ind w:firstLine="680"/>
        <w:rPr>
          <w:rFonts w:ascii="Arial" w:hAnsi="Arial" w:cs="Arial"/>
          <w:sz w:val="24"/>
          <w:szCs w:val="24"/>
          <w:highlight w:val="yellow"/>
        </w:rPr>
      </w:pPr>
    </w:p>
    <w:p w:rsidR="00AF7D33" w:rsidRPr="00857E54" w:rsidRDefault="00AF7D33" w:rsidP="00281576">
      <w:pPr>
        <w:keepNext/>
        <w:keepLines/>
        <w:numPr>
          <w:ilvl w:val="0"/>
          <w:numId w:val="26"/>
        </w:numPr>
        <w:spacing w:before="120" w:after="100" w:line="269" w:lineRule="auto"/>
        <w:rPr>
          <w:rFonts w:ascii="Arial" w:eastAsia="Calibri" w:hAnsi="Arial" w:cs="Arial"/>
          <w:sz w:val="24"/>
          <w:szCs w:val="24"/>
        </w:rPr>
      </w:pPr>
      <w:r w:rsidRPr="00857E54">
        <w:rPr>
          <w:rFonts w:ascii="Arial" w:eastAsia="Calibri" w:hAnsi="Arial" w:cs="Arial"/>
          <w:sz w:val="24"/>
          <w:szCs w:val="24"/>
        </w:rPr>
        <w:t xml:space="preserve">Stimularea, continuarea, consolidarea și menținerea unei creșteri economice inteligente, sustenabile și incluzive, de natură a furniza premisele consolidării unui stat puternic, </w:t>
      </w:r>
      <w:proofErr w:type="spellStart"/>
      <w:r w:rsidRPr="00857E54">
        <w:rPr>
          <w:rFonts w:ascii="Arial" w:eastAsia="Calibri" w:hAnsi="Arial" w:cs="Arial"/>
          <w:sz w:val="24"/>
          <w:szCs w:val="24"/>
        </w:rPr>
        <w:t>proactiv</w:t>
      </w:r>
      <w:proofErr w:type="spellEnd"/>
      <w:r w:rsidRPr="00857E54">
        <w:rPr>
          <w:rFonts w:ascii="Arial" w:eastAsia="Calibri" w:hAnsi="Arial" w:cs="Arial"/>
          <w:sz w:val="24"/>
          <w:szCs w:val="24"/>
        </w:rPr>
        <w:t xml:space="preserve"> și a unei societăți echilibrate, pentru a mări încrederea investitorilor în economia românească;              </w:t>
      </w:r>
    </w:p>
    <w:p w:rsidR="00AF7D33" w:rsidRPr="00857E54" w:rsidRDefault="00AF7D33" w:rsidP="00281576">
      <w:pPr>
        <w:keepNext/>
        <w:keepLines/>
        <w:numPr>
          <w:ilvl w:val="0"/>
          <w:numId w:val="26"/>
        </w:numPr>
        <w:spacing w:before="120" w:after="100" w:line="269" w:lineRule="auto"/>
        <w:rPr>
          <w:rFonts w:ascii="Arial" w:eastAsia="Calibri" w:hAnsi="Arial" w:cs="Arial"/>
          <w:sz w:val="24"/>
          <w:szCs w:val="24"/>
        </w:rPr>
      </w:pPr>
      <w:r w:rsidRPr="00857E54">
        <w:rPr>
          <w:rFonts w:ascii="Arial" w:eastAsia="Calibri" w:hAnsi="Arial" w:cs="Arial"/>
          <w:sz w:val="24"/>
          <w:szCs w:val="24"/>
        </w:rPr>
        <w:t xml:space="preserve">Alocarea unor sume importante pentru susținerea  investițiilor publice prin prioritizarea investițiilor publice semnificative pentru asigurarea infrastructurii şi serviciilor, pentru îmbunătățirea </w:t>
      </w:r>
      <w:r w:rsidR="0088641E" w:rsidRPr="00857E54">
        <w:rPr>
          <w:rFonts w:ascii="Arial" w:eastAsia="Calibri" w:hAnsi="Arial" w:cs="Arial"/>
          <w:sz w:val="24"/>
          <w:szCs w:val="24"/>
        </w:rPr>
        <w:t>calității vieții</w:t>
      </w:r>
      <w:r w:rsidRPr="00857E54">
        <w:rPr>
          <w:rFonts w:ascii="Arial" w:eastAsia="Calibri" w:hAnsi="Arial" w:cs="Arial"/>
          <w:sz w:val="24"/>
          <w:szCs w:val="24"/>
        </w:rPr>
        <w:t xml:space="preserve">, cu efect multiplicator şi aport direct la formarea brută de capital fix; </w:t>
      </w:r>
    </w:p>
    <w:p w:rsidR="00AF7D33" w:rsidRPr="00857E54" w:rsidRDefault="00AF7D33" w:rsidP="00281576">
      <w:pPr>
        <w:keepNext/>
        <w:keepLines/>
        <w:numPr>
          <w:ilvl w:val="0"/>
          <w:numId w:val="26"/>
        </w:numPr>
        <w:spacing w:before="120" w:after="100" w:line="269" w:lineRule="auto"/>
        <w:rPr>
          <w:rFonts w:ascii="Arial" w:eastAsia="Calibri" w:hAnsi="Arial" w:cs="Arial"/>
          <w:sz w:val="24"/>
          <w:szCs w:val="24"/>
        </w:rPr>
      </w:pPr>
      <w:r w:rsidRPr="00857E54">
        <w:rPr>
          <w:rFonts w:ascii="Arial" w:eastAsia="Calibri" w:hAnsi="Arial" w:cs="Arial"/>
          <w:sz w:val="24"/>
          <w:szCs w:val="24"/>
        </w:rPr>
        <w:t xml:space="preserve">Crearea unei politici fiscale predictibile pentru susținerea </w:t>
      </w:r>
      <w:r w:rsidRPr="00857E54">
        <w:rPr>
          <w:rFonts w:ascii="Arial" w:eastAsia="Calibri" w:hAnsi="Arial" w:cs="Arial"/>
          <w:sz w:val="24"/>
          <w:szCs w:val="24"/>
          <w:lang w:eastAsia="ro-RO"/>
        </w:rPr>
        <w:t xml:space="preserve">mediului de afaceri și stimularea investițiilor în sectoarele cu valoare adăugată ridicată, </w:t>
      </w:r>
      <w:r w:rsidRPr="00857E54">
        <w:rPr>
          <w:rFonts w:ascii="Arial" w:eastAsia="Calibri" w:hAnsi="Arial" w:cs="Arial"/>
          <w:sz w:val="24"/>
          <w:szCs w:val="24"/>
        </w:rPr>
        <w:t>simplificarea fiscalității și fluidizarea proceselor interne,  pentru a crea  premisa unei creșteri economice sustenabile;</w:t>
      </w:r>
    </w:p>
    <w:p w:rsidR="00AF7D33" w:rsidRPr="00857E54" w:rsidRDefault="00AF7D33" w:rsidP="00281576">
      <w:pPr>
        <w:keepNext/>
        <w:keepLines/>
        <w:numPr>
          <w:ilvl w:val="0"/>
          <w:numId w:val="26"/>
        </w:numPr>
        <w:spacing w:after="160" w:line="259" w:lineRule="auto"/>
        <w:rPr>
          <w:rFonts w:ascii="Arial" w:hAnsi="Arial" w:cs="Arial"/>
          <w:sz w:val="24"/>
          <w:szCs w:val="24"/>
        </w:rPr>
      </w:pPr>
      <w:r w:rsidRPr="00857E54">
        <w:rPr>
          <w:rFonts w:ascii="Arial" w:hAnsi="Arial" w:cs="Arial"/>
          <w:sz w:val="24"/>
          <w:szCs w:val="24"/>
        </w:rPr>
        <w:t>Măsuri adoptate de Guvern privind stimularea consumului prin adoptarea unor măsuri salariale, sociale pentru asigurarea protecției sociale și securității sociale pentru persoane vârstnice, pensionari  și categoriile cele mai vulnerabile.</w:t>
      </w:r>
    </w:p>
    <w:p w:rsidR="00AF7D33" w:rsidRPr="00857E54" w:rsidRDefault="00AF7D33" w:rsidP="00281576">
      <w:pPr>
        <w:keepNext/>
        <w:keepLines/>
        <w:numPr>
          <w:ilvl w:val="0"/>
          <w:numId w:val="26"/>
        </w:numPr>
        <w:spacing w:before="120" w:after="100" w:line="269" w:lineRule="auto"/>
        <w:rPr>
          <w:rFonts w:ascii="Arial" w:eastAsia="Calibri" w:hAnsi="Arial" w:cs="Arial"/>
          <w:sz w:val="24"/>
          <w:szCs w:val="24"/>
        </w:rPr>
      </w:pPr>
      <w:r w:rsidRPr="00857E54">
        <w:rPr>
          <w:rFonts w:ascii="Arial" w:eastAsia="Calibri" w:hAnsi="Arial" w:cs="Arial"/>
          <w:sz w:val="24"/>
          <w:szCs w:val="24"/>
        </w:rPr>
        <w:t xml:space="preserve">Dezvoltarea şi diversificarea instrumentelor de management ale datoriei publice;  </w:t>
      </w:r>
    </w:p>
    <w:p w:rsidR="00AF7D33" w:rsidRPr="00857E54" w:rsidRDefault="00AF7D33" w:rsidP="00281576">
      <w:pPr>
        <w:keepNext/>
        <w:keepLines/>
        <w:numPr>
          <w:ilvl w:val="0"/>
          <w:numId w:val="26"/>
        </w:numPr>
        <w:autoSpaceDE w:val="0"/>
        <w:autoSpaceDN w:val="0"/>
        <w:adjustRightInd w:val="0"/>
        <w:spacing w:before="120" w:after="100" w:line="280" w:lineRule="exact"/>
        <w:rPr>
          <w:rFonts w:ascii="Arial" w:hAnsi="Arial" w:cs="Arial"/>
          <w:sz w:val="24"/>
          <w:szCs w:val="24"/>
        </w:rPr>
      </w:pPr>
      <w:r w:rsidRPr="00857E54">
        <w:rPr>
          <w:rFonts w:ascii="Arial" w:eastAsia="Calibri" w:hAnsi="Arial" w:cs="Arial"/>
          <w:sz w:val="24"/>
          <w:szCs w:val="24"/>
        </w:rPr>
        <w:t>Îmbunătățirea, aplicarea și consolidarea guvernanței bugetare, creșterea transparenței bugetare și  eficientizarea cheltuielilor publice.</w:t>
      </w:r>
    </w:p>
    <w:p w:rsidR="0047248B" w:rsidRPr="00857E54" w:rsidRDefault="0047248B" w:rsidP="00281576">
      <w:pPr>
        <w:pStyle w:val="ListParagraph"/>
        <w:keepNext/>
        <w:keepLines/>
        <w:tabs>
          <w:tab w:val="left" w:pos="851"/>
        </w:tabs>
        <w:ind w:left="1418" w:firstLine="0"/>
        <w:contextualSpacing w:val="0"/>
        <w:rPr>
          <w:rFonts w:ascii="Arial" w:hAnsi="Arial" w:cs="Arial"/>
          <w:sz w:val="24"/>
          <w:szCs w:val="24"/>
        </w:rPr>
      </w:pPr>
    </w:p>
    <w:p w:rsidR="002E7CD9" w:rsidRPr="00857E54" w:rsidRDefault="002E7CD9" w:rsidP="00281576">
      <w:pPr>
        <w:pStyle w:val="ListParagraph"/>
        <w:keepNext/>
        <w:keepLines/>
        <w:tabs>
          <w:tab w:val="left" w:pos="851"/>
        </w:tabs>
        <w:ind w:left="1418" w:firstLine="0"/>
        <w:contextualSpacing w:val="0"/>
        <w:rPr>
          <w:rFonts w:ascii="Arial" w:hAnsi="Arial" w:cs="Arial"/>
          <w:sz w:val="24"/>
          <w:szCs w:val="24"/>
        </w:rPr>
      </w:pPr>
    </w:p>
    <w:p w:rsidR="00E3539E" w:rsidRPr="00857E54" w:rsidRDefault="007C4F03" w:rsidP="00281576">
      <w:pPr>
        <w:keepNext/>
        <w:keepLines/>
        <w:ind w:firstLine="680"/>
        <w:rPr>
          <w:rFonts w:ascii="Arial" w:hAnsi="Arial" w:cs="Arial"/>
          <w:b/>
          <w:bCs/>
          <w:sz w:val="24"/>
          <w:szCs w:val="24"/>
        </w:rPr>
      </w:pPr>
      <w:r w:rsidRPr="00857E54">
        <w:rPr>
          <w:rFonts w:ascii="Arial" w:hAnsi="Arial" w:cs="Arial"/>
          <w:b/>
          <w:bCs/>
          <w:sz w:val="24"/>
          <w:szCs w:val="24"/>
        </w:rPr>
        <w:t xml:space="preserve">Principalele măsuri </w:t>
      </w:r>
      <w:r w:rsidR="008A09B8" w:rsidRPr="00857E54">
        <w:rPr>
          <w:rFonts w:ascii="Arial" w:hAnsi="Arial" w:cs="Arial"/>
          <w:b/>
          <w:bCs/>
          <w:sz w:val="24"/>
          <w:szCs w:val="24"/>
        </w:rPr>
        <w:t>avute în vedere la elabora</w:t>
      </w:r>
      <w:r w:rsidR="001D00F4" w:rsidRPr="00857E54">
        <w:rPr>
          <w:rFonts w:ascii="Arial" w:hAnsi="Arial" w:cs="Arial"/>
          <w:b/>
          <w:bCs/>
          <w:sz w:val="24"/>
          <w:szCs w:val="24"/>
        </w:rPr>
        <w:t xml:space="preserve">rea </w:t>
      </w:r>
      <w:r w:rsidRPr="00857E54">
        <w:rPr>
          <w:rFonts w:ascii="Arial" w:hAnsi="Arial" w:cs="Arial"/>
          <w:b/>
          <w:bCs/>
          <w:sz w:val="24"/>
          <w:szCs w:val="24"/>
        </w:rPr>
        <w:t>bugetul</w:t>
      </w:r>
      <w:r w:rsidR="001D00F4" w:rsidRPr="00857E54">
        <w:rPr>
          <w:rFonts w:ascii="Arial" w:hAnsi="Arial" w:cs="Arial"/>
          <w:b/>
          <w:bCs/>
          <w:sz w:val="24"/>
          <w:szCs w:val="24"/>
        </w:rPr>
        <w:t>ui</w:t>
      </w:r>
      <w:r w:rsidRPr="00857E54">
        <w:rPr>
          <w:rFonts w:ascii="Arial" w:hAnsi="Arial" w:cs="Arial"/>
          <w:b/>
          <w:bCs/>
          <w:sz w:val="24"/>
          <w:szCs w:val="24"/>
        </w:rPr>
        <w:t xml:space="preserve"> pe anul </w:t>
      </w:r>
      <w:r w:rsidR="00DC7F79" w:rsidRPr="00857E54">
        <w:rPr>
          <w:rFonts w:ascii="Arial" w:hAnsi="Arial" w:cs="Arial"/>
          <w:b/>
          <w:bCs/>
          <w:sz w:val="24"/>
          <w:szCs w:val="24"/>
        </w:rPr>
        <w:t>201</w:t>
      </w:r>
      <w:r w:rsidR="00F83D86" w:rsidRPr="00857E54">
        <w:rPr>
          <w:rFonts w:ascii="Arial" w:hAnsi="Arial" w:cs="Arial"/>
          <w:b/>
          <w:bCs/>
          <w:sz w:val="24"/>
          <w:szCs w:val="24"/>
        </w:rPr>
        <w:t>8</w:t>
      </w:r>
      <w:r w:rsidRPr="00857E54">
        <w:rPr>
          <w:rFonts w:ascii="Arial" w:hAnsi="Arial" w:cs="Arial"/>
          <w:b/>
          <w:bCs/>
          <w:sz w:val="24"/>
          <w:szCs w:val="24"/>
        </w:rPr>
        <w:t>:</w:t>
      </w:r>
    </w:p>
    <w:p w:rsidR="00F8763B" w:rsidRPr="00857E54" w:rsidRDefault="00F8763B" w:rsidP="00281576">
      <w:pPr>
        <w:keepNext/>
        <w:keepLines/>
        <w:ind w:firstLine="680"/>
        <w:rPr>
          <w:rFonts w:ascii="Arial" w:hAnsi="Arial" w:cs="Arial"/>
          <w:b/>
          <w:bCs/>
          <w:sz w:val="24"/>
          <w:szCs w:val="24"/>
        </w:rPr>
      </w:pPr>
    </w:p>
    <w:p w:rsidR="00EC3D46" w:rsidRPr="00857E54" w:rsidRDefault="006F6943" w:rsidP="00281576">
      <w:pPr>
        <w:pStyle w:val="ListParagraph"/>
        <w:keepNext/>
        <w:keepLines/>
        <w:numPr>
          <w:ilvl w:val="0"/>
          <w:numId w:val="7"/>
        </w:numPr>
        <w:ind w:left="1208" w:hanging="357"/>
        <w:contextualSpacing w:val="0"/>
        <w:rPr>
          <w:rFonts w:ascii="Arial" w:hAnsi="Arial" w:cs="Arial"/>
          <w:bCs/>
          <w:sz w:val="24"/>
          <w:szCs w:val="24"/>
        </w:rPr>
      </w:pPr>
      <w:r w:rsidRPr="00857E54">
        <w:rPr>
          <w:rFonts w:ascii="Arial" w:eastAsia="Times New Roman" w:hAnsi="Arial" w:cs="Arial"/>
          <w:bCs/>
          <w:kern w:val="1"/>
          <w:sz w:val="24"/>
          <w:szCs w:val="24"/>
        </w:rPr>
        <w:t>Introducerea sistemul de plată defalcată a TVA-ului de la 1 ianuarie 2018, acesta va fi aplicat obligatoriu doar pentru firmele publice și private aflate în insolvență sau care înregistrează obligații fiscale restante reprezentând TVA, în timp ce celelalte companii pot alege să aplice sistemul opțional</w:t>
      </w:r>
      <w:r w:rsidR="00BD4E32" w:rsidRPr="00857E54">
        <w:rPr>
          <w:rFonts w:ascii="Arial" w:eastAsia="Times New Roman" w:hAnsi="Arial" w:cs="Arial"/>
          <w:bCs/>
          <w:kern w:val="1"/>
          <w:sz w:val="24"/>
          <w:szCs w:val="24"/>
        </w:rPr>
        <w:t>;</w:t>
      </w:r>
    </w:p>
    <w:p w:rsidR="00F83D86" w:rsidRPr="00857E54" w:rsidRDefault="00F83D86" w:rsidP="00281576">
      <w:pPr>
        <w:pStyle w:val="ListParagraph"/>
        <w:keepNext/>
        <w:keepLines/>
        <w:numPr>
          <w:ilvl w:val="0"/>
          <w:numId w:val="7"/>
        </w:numPr>
        <w:tabs>
          <w:tab w:val="left" w:pos="993"/>
        </w:tabs>
        <w:ind w:left="1208" w:hanging="357"/>
        <w:rPr>
          <w:rFonts w:ascii="Arial" w:hAnsi="Arial" w:cs="Arial"/>
          <w:kern w:val="1"/>
          <w:sz w:val="24"/>
          <w:szCs w:val="24"/>
          <w:lang w:eastAsia="zh-CN"/>
        </w:rPr>
      </w:pPr>
      <w:r w:rsidRPr="00857E54">
        <w:rPr>
          <w:rFonts w:ascii="Arial" w:hAnsi="Arial" w:cs="Arial"/>
          <w:kern w:val="1"/>
          <w:sz w:val="24"/>
          <w:szCs w:val="24"/>
          <w:lang w:eastAsia="zh-CN"/>
        </w:rPr>
        <w:t>Reducerea cotei de impo</w:t>
      </w:r>
      <w:r w:rsidR="001539BB" w:rsidRPr="00857E54">
        <w:rPr>
          <w:rFonts w:ascii="Arial" w:hAnsi="Arial" w:cs="Arial"/>
          <w:kern w:val="1"/>
          <w:sz w:val="24"/>
          <w:szCs w:val="24"/>
          <w:lang w:eastAsia="zh-CN"/>
        </w:rPr>
        <w:t>zit pe venit de la 16% la 10 %;</w:t>
      </w:r>
    </w:p>
    <w:p w:rsidR="007F4DCB" w:rsidRPr="00857E54" w:rsidRDefault="006F6943" w:rsidP="00281576">
      <w:pPr>
        <w:pStyle w:val="ListParagraph"/>
        <w:keepNext/>
        <w:keepLines/>
        <w:numPr>
          <w:ilvl w:val="0"/>
          <w:numId w:val="7"/>
        </w:numPr>
        <w:tabs>
          <w:tab w:val="left" w:pos="993"/>
        </w:tabs>
        <w:ind w:left="1208" w:hanging="357"/>
        <w:rPr>
          <w:rFonts w:ascii="Arial" w:hAnsi="Arial" w:cs="Arial"/>
          <w:kern w:val="1"/>
          <w:sz w:val="24"/>
          <w:szCs w:val="24"/>
          <w:lang w:eastAsia="zh-CN"/>
        </w:rPr>
      </w:pPr>
      <w:r w:rsidRPr="00857E54">
        <w:rPr>
          <w:rFonts w:ascii="Arial" w:hAnsi="Arial" w:cs="Arial"/>
          <w:kern w:val="1"/>
          <w:sz w:val="24"/>
          <w:szCs w:val="24"/>
          <w:lang w:eastAsia="zh-CN"/>
        </w:rPr>
        <w:t>Majorarea nivelului accizei la țigarete începând cu data de 1 aprilie 2018 de la 439,94 lei/1.000 de țigarete la 448,74  lei/1.000 de țigarete</w:t>
      </w:r>
      <w:r w:rsidR="007F4DCB" w:rsidRPr="00857E54">
        <w:rPr>
          <w:rFonts w:ascii="Arial" w:hAnsi="Arial" w:cs="Arial"/>
          <w:kern w:val="1"/>
          <w:sz w:val="24"/>
          <w:szCs w:val="24"/>
          <w:lang w:eastAsia="zh-CN"/>
        </w:rPr>
        <w:t>;</w:t>
      </w:r>
    </w:p>
    <w:p w:rsidR="00DA3E29" w:rsidRPr="00857E54" w:rsidRDefault="00F83D86" w:rsidP="00281576">
      <w:pPr>
        <w:pStyle w:val="ListParagraph"/>
        <w:keepNext/>
        <w:keepLines/>
        <w:numPr>
          <w:ilvl w:val="0"/>
          <w:numId w:val="7"/>
        </w:numPr>
        <w:tabs>
          <w:tab w:val="left" w:pos="993"/>
        </w:tabs>
        <w:ind w:left="1208" w:hanging="357"/>
        <w:contextualSpacing w:val="0"/>
        <w:rPr>
          <w:rFonts w:ascii="Arial" w:hAnsi="Arial" w:cs="Arial"/>
          <w:kern w:val="1"/>
          <w:sz w:val="24"/>
          <w:szCs w:val="24"/>
          <w:lang w:eastAsia="zh-CN"/>
        </w:rPr>
      </w:pPr>
      <w:r w:rsidRPr="00857E54">
        <w:rPr>
          <w:rFonts w:ascii="Arial" w:hAnsi="Arial" w:cs="Arial"/>
          <w:kern w:val="1"/>
          <w:sz w:val="24"/>
          <w:szCs w:val="24"/>
          <w:lang w:eastAsia="zh-CN"/>
        </w:rPr>
        <w:t>Reducerea cotei totale a contribuțiilor sociale obligatorii, per total cu 2 puncte procentuale, de la 39,25% la 37,25%</w:t>
      </w:r>
      <w:r w:rsidR="00BD4E32" w:rsidRPr="00857E54">
        <w:rPr>
          <w:rFonts w:ascii="Arial" w:hAnsi="Arial" w:cs="Arial"/>
          <w:kern w:val="1"/>
          <w:sz w:val="24"/>
          <w:szCs w:val="24"/>
          <w:lang w:eastAsia="zh-CN"/>
        </w:rPr>
        <w:t>;</w:t>
      </w:r>
    </w:p>
    <w:p w:rsidR="008A5038" w:rsidRPr="00857E54" w:rsidRDefault="005C0BC2" w:rsidP="00281576">
      <w:pPr>
        <w:pStyle w:val="ListParagraph"/>
        <w:keepNext/>
        <w:keepLines/>
        <w:numPr>
          <w:ilvl w:val="0"/>
          <w:numId w:val="7"/>
        </w:numPr>
        <w:tabs>
          <w:tab w:val="left" w:pos="993"/>
        </w:tabs>
        <w:ind w:left="1208" w:hanging="357"/>
        <w:contextualSpacing w:val="0"/>
        <w:rPr>
          <w:rFonts w:ascii="Arial" w:hAnsi="Arial" w:cs="Arial"/>
          <w:kern w:val="1"/>
          <w:sz w:val="24"/>
          <w:szCs w:val="24"/>
          <w:lang w:eastAsia="zh-CN"/>
        </w:rPr>
      </w:pPr>
      <w:r w:rsidRPr="00857E54">
        <w:rPr>
          <w:rFonts w:ascii="Arial" w:hAnsi="Arial" w:cs="Arial"/>
          <w:kern w:val="1"/>
          <w:sz w:val="24"/>
          <w:szCs w:val="24"/>
          <w:lang w:eastAsia="zh-CN"/>
        </w:rPr>
        <w:t>S</w:t>
      </w:r>
      <w:r w:rsidR="00F83D86" w:rsidRPr="00857E54">
        <w:rPr>
          <w:rFonts w:ascii="Arial" w:hAnsi="Arial" w:cs="Arial"/>
          <w:kern w:val="1"/>
          <w:sz w:val="24"/>
          <w:szCs w:val="24"/>
          <w:lang w:eastAsia="zh-CN"/>
        </w:rPr>
        <w:t xml:space="preserve">tabilirea în sarcina angajatorilor a </w:t>
      </w:r>
      <w:r w:rsidR="00DA3E29" w:rsidRPr="00857E54">
        <w:rPr>
          <w:rFonts w:ascii="Arial" w:hAnsi="Arial" w:cs="Arial"/>
          <w:kern w:val="1"/>
          <w:sz w:val="24"/>
          <w:szCs w:val="24"/>
          <w:lang w:eastAsia="zh-CN"/>
        </w:rPr>
        <w:t>contribuției</w:t>
      </w:r>
      <w:r w:rsidR="00F83D86" w:rsidRPr="00857E54">
        <w:rPr>
          <w:rFonts w:ascii="Arial" w:hAnsi="Arial" w:cs="Arial"/>
          <w:kern w:val="1"/>
          <w:sz w:val="24"/>
          <w:szCs w:val="24"/>
          <w:lang w:eastAsia="zh-CN"/>
        </w:rPr>
        <w:t xml:space="preserve"> asiguratorii pentru muncă în cotă de 2,25%  pentru veniturile din salarii și asimilate salariilor;</w:t>
      </w:r>
    </w:p>
    <w:p w:rsidR="00DA3E29" w:rsidRPr="00857E54" w:rsidRDefault="005C0BC2" w:rsidP="00281576">
      <w:pPr>
        <w:pStyle w:val="ListParagraph"/>
        <w:keepNext/>
        <w:keepLines/>
        <w:numPr>
          <w:ilvl w:val="0"/>
          <w:numId w:val="9"/>
        </w:numPr>
        <w:autoSpaceDE w:val="0"/>
        <w:ind w:left="1276" w:hanging="425"/>
        <w:contextualSpacing w:val="0"/>
        <w:rPr>
          <w:rFonts w:ascii="Arial" w:eastAsia="Times New Roman" w:hAnsi="Arial" w:cs="Arial"/>
          <w:kern w:val="1"/>
          <w:sz w:val="24"/>
          <w:szCs w:val="24"/>
          <w:lang w:eastAsia="zh-CN"/>
        </w:rPr>
      </w:pPr>
      <w:r w:rsidRPr="00857E54">
        <w:rPr>
          <w:rFonts w:ascii="Arial" w:eastAsia="Times New Roman" w:hAnsi="Arial" w:cs="Arial"/>
          <w:kern w:val="1"/>
          <w:sz w:val="24"/>
          <w:szCs w:val="24"/>
          <w:lang w:eastAsia="zh-CN"/>
        </w:rPr>
        <w:t>T</w:t>
      </w:r>
      <w:r w:rsidR="00F83D86" w:rsidRPr="00857E54">
        <w:rPr>
          <w:rFonts w:ascii="Arial" w:eastAsia="Times New Roman" w:hAnsi="Arial" w:cs="Arial"/>
          <w:kern w:val="1"/>
          <w:sz w:val="24"/>
          <w:szCs w:val="24"/>
          <w:lang w:eastAsia="zh-CN"/>
        </w:rPr>
        <w:t>ransferul sarcinii fiscale a obligațiilor privind contribuțiile sociale obligatorii datorate de angajator la angajat, în cazul veniturilor din salarii și asimilate salariilor</w:t>
      </w:r>
      <w:r w:rsidRPr="00857E54">
        <w:rPr>
          <w:rFonts w:ascii="Arial" w:eastAsia="Times New Roman" w:hAnsi="Arial" w:cs="Arial"/>
          <w:kern w:val="1"/>
          <w:sz w:val="24"/>
          <w:szCs w:val="24"/>
          <w:lang w:eastAsia="zh-CN"/>
        </w:rPr>
        <w:t>;</w:t>
      </w:r>
    </w:p>
    <w:p w:rsidR="005C0BC2" w:rsidRPr="00857E54" w:rsidRDefault="006F6943" w:rsidP="00281576">
      <w:pPr>
        <w:pStyle w:val="ListParagraph"/>
        <w:keepNext/>
        <w:keepLines/>
        <w:numPr>
          <w:ilvl w:val="0"/>
          <w:numId w:val="9"/>
        </w:numPr>
        <w:autoSpaceDE w:val="0"/>
        <w:ind w:left="1276" w:hanging="425"/>
        <w:contextualSpacing w:val="0"/>
        <w:rPr>
          <w:rFonts w:ascii="Arial" w:eastAsia="Times New Roman" w:hAnsi="Arial" w:cs="Arial"/>
          <w:kern w:val="1"/>
          <w:sz w:val="24"/>
          <w:szCs w:val="24"/>
          <w:lang w:eastAsia="zh-CN"/>
        </w:rPr>
      </w:pPr>
      <w:r w:rsidRPr="00857E54">
        <w:rPr>
          <w:rFonts w:ascii="Arial" w:eastAsia="Times New Roman" w:hAnsi="Arial" w:cs="Arial"/>
          <w:kern w:val="1"/>
          <w:sz w:val="24"/>
          <w:szCs w:val="24"/>
          <w:lang w:eastAsia="zh-CN"/>
        </w:rPr>
        <w:lastRenderedPageBreak/>
        <w:t>Reducerea cotei de transfer către pilonul II de la 5,1% la 3,75% începând cu 1 ianuarie 2018</w:t>
      </w:r>
      <w:r w:rsidR="007F4DCB" w:rsidRPr="00857E54">
        <w:rPr>
          <w:rFonts w:ascii="Arial" w:eastAsia="Times New Roman" w:hAnsi="Arial" w:cs="Arial"/>
          <w:kern w:val="1"/>
          <w:sz w:val="24"/>
          <w:szCs w:val="24"/>
          <w:lang w:eastAsia="zh-CN"/>
        </w:rPr>
        <w:t>;</w:t>
      </w:r>
    </w:p>
    <w:p w:rsidR="005C0BC2" w:rsidRPr="00857E54" w:rsidRDefault="005C0BC2" w:rsidP="00281576">
      <w:pPr>
        <w:pStyle w:val="ListParagraph"/>
        <w:keepNext/>
        <w:keepLines/>
        <w:numPr>
          <w:ilvl w:val="0"/>
          <w:numId w:val="9"/>
        </w:numPr>
        <w:ind w:left="1276" w:hanging="425"/>
        <w:rPr>
          <w:rFonts w:ascii="Arial" w:eastAsia="Times New Roman" w:hAnsi="Arial" w:cs="Arial"/>
          <w:kern w:val="1"/>
          <w:sz w:val="24"/>
          <w:szCs w:val="24"/>
          <w:lang w:eastAsia="zh-CN"/>
        </w:rPr>
      </w:pPr>
      <w:r w:rsidRPr="00857E54">
        <w:rPr>
          <w:rFonts w:ascii="Arial" w:eastAsia="Times New Roman" w:hAnsi="Arial" w:cs="Arial"/>
          <w:kern w:val="1"/>
          <w:sz w:val="24"/>
          <w:szCs w:val="24"/>
          <w:lang w:eastAsia="zh-CN"/>
        </w:rPr>
        <w:t>Implementarea Legii–cadru nr. 153/2017 privind salarizarea personalului plătit din fonduri publice;</w:t>
      </w:r>
    </w:p>
    <w:p w:rsidR="005C0BC2" w:rsidRPr="00857E54" w:rsidRDefault="005C0BC2" w:rsidP="00281576">
      <w:pPr>
        <w:pStyle w:val="ListParagraph"/>
        <w:keepNext/>
        <w:keepLines/>
        <w:numPr>
          <w:ilvl w:val="0"/>
          <w:numId w:val="9"/>
        </w:numPr>
        <w:autoSpaceDE w:val="0"/>
        <w:autoSpaceDN w:val="0"/>
        <w:adjustRightInd w:val="0"/>
        <w:ind w:left="1208" w:hanging="357"/>
        <w:rPr>
          <w:rFonts w:ascii="Arial" w:eastAsia="Times New Roman" w:hAnsi="Arial" w:cs="Arial"/>
          <w:kern w:val="1"/>
          <w:sz w:val="24"/>
          <w:szCs w:val="24"/>
          <w:lang w:eastAsia="zh-CN"/>
        </w:rPr>
      </w:pPr>
      <w:r w:rsidRPr="00857E54">
        <w:rPr>
          <w:rFonts w:ascii="Arial" w:eastAsia="Times New Roman" w:hAnsi="Arial" w:cs="Arial"/>
          <w:kern w:val="1"/>
          <w:sz w:val="24"/>
          <w:szCs w:val="24"/>
          <w:lang w:eastAsia="zh-CN"/>
        </w:rPr>
        <w:t>Acordarea de vouchere de vacanță în cuantum de 1.450 lei pentru un salariat;</w:t>
      </w:r>
    </w:p>
    <w:p w:rsidR="007C0390" w:rsidRPr="00857E54" w:rsidRDefault="005C0BC2" w:rsidP="00281576">
      <w:pPr>
        <w:pStyle w:val="ListParagraph"/>
        <w:keepNext/>
        <w:keepLines/>
        <w:numPr>
          <w:ilvl w:val="0"/>
          <w:numId w:val="9"/>
        </w:numPr>
        <w:shd w:val="clear" w:color="auto" w:fill="FFFFFF"/>
        <w:autoSpaceDE w:val="0"/>
        <w:autoSpaceDN w:val="0"/>
        <w:adjustRightInd w:val="0"/>
        <w:ind w:left="1208" w:hanging="357"/>
        <w:contextualSpacing w:val="0"/>
        <w:textAlignment w:val="baseline"/>
        <w:rPr>
          <w:rFonts w:ascii="Arial" w:eastAsia="Times New Roman" w:hAnsi="Arial" w:cs="Arial"/>
          <w:sz w:val="24"/>
          <w:szCs w:val="24"/>
        </w:rPr>
      </w:pPr>
      <w:r w:rsidRPr="00857E54">
        <w:rPr>
          <w:rFonts w:ascii="Arial" w:eastAsia="Calibri" w:hAnsi="Arial" w:cs="Arial"/>
          <w:sz w:val="24"/>
          <w:szCs w:val="24"/>
        </w:rPr>
        <w:t>C</w:t>
      </w:r>
      <w:r w:rsidR="007C0390" w:rsidRPr="00857E54">
        <w:rPr>
          <w:rFonts w:ascii="Arial" w:eastAsia="Calibri" w:hAnsi="Arial" w:cs="Arial"/>
          <w:sz w:val="24"/>
          <w:szCs w:val="24"/>
        </w:rPr>
        <w:t>reșterea salariul</w:t>
      </w:r>
      <w:r w:rsidR="00D46822">
        <w:rPr>
          <w:rFonts w:ascii="Arial" w:eastAsia="Calibri" w:hAnsi="Arial" w:cs="Arial"/>
          <w:sz w:val="24"/>
          <w:szCs w:val="24"/>
        </w:rPr>
        <w:t>ui</w:t>
      </w:r>
      <w:r w:rsidR="007C0390" w:rsidRPr="00857E54">
        <w:rPr>
          <w:rFonts w:ascii="Arial" w:eastAsia="Calibri" w:hAnsi="Arial" w:cs="Arial"/>
          <w:sz w:val="24"/>
          <w:szCs w:val="24"/>
        </w:rPr>
        <w:t xml:space="preserve"> de bază minim brut pe </w:t>
      </w:r>
      <w:r w:rsidR="00BA2D78" w:rsidRPr="00857E54">
        <w:rPr>
          <w:rFonts w:ascii="Arial" w:eastAsia="Calibri" w:hAnsi="Arial" w:cs="Arial"/>
          <w:sz w:val="24"/>
          <w:szCs w:val="24"/>
        </w:rPr>
        <w:t>țară</w:t>
      </w:r>
      <w:r w:rsidR="007C0390" w:rsidRPr="00857E54">
        <w:rPr>
          <w:rFonts w:ascii="Arial" w:eastAsia="Calibri" w:hAnsi="Arial" w:cs="Arial"/>
          <w:sz w:val="24"/>
          <w:szCs w:val="24"/>
        </w:rPr>
        <w:t xml:space="preserve"> garantat în plată, î</w:t>
      </w:r>
      <w:r w:rsidR="00E3539E" w:rsidRPr="00857E54">
        <w:rPr>
          <w:rFonts w:ascii="Arial" w:eastAsia="Calibri" w:hAnsi="Arial" w:cs="Arial"/>
          <w:sz w:val="24"/>
          <w:szCs w:val="24"/>
        </w:rPr>
        <w:t xml:space="preserve">ncepând cu data de 1 </w:t>
      </w:r>
      <w:r w:rsidRPr="00857E54">
        <w:rPr>
          <w:rFonts w:ascii="Arial" w:eastAsia="Calibri" w:hAnsi="Arial" w:cs="Arial"/>
          <w:sz w:val="24"/>
          <w:szCs w:val="24"/>
        </w:rPr>
        <w:t>ianuarie</w:t>
      </w:r>
      <w:r w:rsidR="00E3539E" w:rsidRPr="00857E54">
        <w:rPr>
          <w:rFonts w:ascii="Arial" w:eastAsia="Calibri" w:hAnsi="Arial" w:cs="Arial"/>
          <w:sz w:val="24"/>
          <w:szCs w:val="24"/>
        </w:rPr>
        <w:t xml:space="preserve"> 201</w:t>
      </w:r>
      <w:r w:rsidRPr="00857E54">
        <w:rPr>
          <w:rFonts w:ascii="Arial" w:eastAsia="Calibri" w:hAnsi="Arial" w:cs="Arial"/>
          <w:sz w:val="24"/>
          <w:szCs w:val="24"/>
        </w:rPr>
        <w:t>8</w:t>
      </w:r>
      <w:r w:rsidR="00E3539E" w:rsidRPr="00857E54">
        <w:rPr>
          <w:rFonts w:ascii="Arial" w:eastAsia="Calibri" w:hAnsi="Arial" w:cs="Arial"/>
          <w:sz w:val="24"/>
          <w:szCs w:val="24"/>
        </w:rPr>
        <w:t xml:space="preserve">, </w:t>
      </w:r>
      <w:r w:rsidR="007C0390" w:rsidRPr="00857E54">
        <w:rPr>
          <w:rFonts w:ascii="Arial" w:eastAsia="Calibri" w:hAnsi="Arial" w:cs="Arial"/>
          <w:sz w:val="24"/>
          <w:szCs w:val="24"/>
        </w:rPr>
        <w:t>la 1.</w:t>
      </w:r>
      <w:r w:rsidRPr="00857E54">
        <w:rPr>
          <w:rFonts w:ascii="Arial" w:eastAsia="Calibri" w:hAnsi="Arial" w:cs="Arial"/>
          <w:sz w:val="24"/>
          <w:szCs w:val="24"/>
        </w:rPr>
        <w:t>900</w:t>
      </w:r>
      <w:r w:rsidR="007C0390" w:rsidRPr="00857E54">
        <w:rPr>
          <w:rFonts w:ascii="Arial" w:eastAsia="Calibri" w:hAnsi="Arial" w:cs="Arial"/>
          <w:sz w:val="24"/>
          <w:szCs w:val="24"/>
        </w:rPr>
        <w:t xml:space="preserve"> lei lunar</w:t>
      </w:r>
      <w:r w:rsidR="00BD4E32" w:rsidRPr="00857E54">
        <w:rPr>
          <w:rFonts w:ascii="Arial" w:eastAsia="Calibri" w:hAnsi="Arial" w:cs="Arial"/>
          <w:sz w:val="24"/>
          <w:szCs w:val="24"/>
        </w:rPr>
        <w:t>;</w:t>
      </w:r>
    </w:p>
    <w:p w:rsidR="005C0BC2" w:rsidRPr="00857E54" w:rsidRDefault="007F4DCB" w:rsidP="00281576">
      <w:pPr>
        <w:pStyle w:val="ListParagraph"/>
        <w:keepNext/>
        <w:keepLines/>
        <w:numPr>
          <w:ilvl w:val="0"/>
          <w:numId w:val="9"/>
        </w:numPr>
        <w:ind w:left="1276" w:hanging="425"/>
        <w:rPr>
          <w:rFonts w:ascii="Arial" w:eastAsia="Times New Roman" w:hAnsi="Arial" w:cs="Arial"/>
          <w:bCs/>
          <w:sz w:val="24"/>
          <w:szCs w:val="24"/>
        </w:rPr>
      </w:pPr>
      <w:r w:rsidRPr="00857E54">
        <w:rPr>
          <w:rFonts w:ascii="Arial" w:eastAsia="Times New Roman" w:hAnsi="Arial" w:cs="Arial"/>
          <w:bCs/>
          <w:sz w:val="24"/>
          <w:szCs w:val="24"/>
        </w:rPr>
        <w:t>M</w:t>
      </w:r>
      <w:r w:rsidR="005C0BC2" w:rsidRPr="00857E54">
        <w:rPr>
          <w:rFonts w:ascii="Arial" w:eastAsia="Times New Roman" w:hAnsi="Arial" w:cs="Arial"/>
          <w:bCs/>
          <w:sz w:val="24"/>
          <w:szCs w:val="24"/>
        </w:rPr>
        <w:t xml:space="preserve">ajorarea </w:t>
      </w:r>
      <w:r w:rsidRPr="00857E54">
        <w:rPr>
          <w:rFonts w:ascii="Arial" w:eastAsia="Times New Roman" w:hAnsi="Arial" w:cs="Arial"/>
          <w:bCs/>
          <w:sz w:val="24"/>
          <w:szCs w:val="24"/>
        </w:rPr>
        <w:t>i</w:t>
      </w:r>
      <w:r w:rsidR="005C0BC2" w:rsidRPr="00857E54">
        <w:rPr>
          <w:rFonts w:ascii="Arial" w:eastAsia="Times New Roman" w:hAnsi="Arial" w:cs="Arial"/>
          <w:bCs/>
          <w:sz w:val="24"/>
          <w:szCs w:val="24"/>
        </w:rPr>
        <w:t>ndemnizației sociale pentru pensionari la 640 lei în perioada 1 iulie - 31 decembrie 2018;</w:t>
      </w:r>
    </w:p>
    <w:p w:rsidR="00AD228D" w:rsidRPr="00857E54" w:rsidRDefault="007F4DCB" w:rsidP="00281576">
      <w:pPr>
        <w:pStyle w:val="ListParagraph"/>
        <w:keepNext/>
        <w:keepLines/>
        <w:numPr>
          <w:ilvl w:val="0"/>
          <w:numId w:val="9"/>
        </w:numPr>
        <w:shd w:val="clear" w:color="auto" w:fill="FFFFFF"/>
        <w:autoSpaceDE w:val="0"/>
        <w:autoSpaceDN w:val="0"/>
        <w:adjustRightInd w:val="0"/>
        <w:ind w:left="1276" w:hanging="425"/>
        <w:contextualSpacing w:val="0"/>
        <w:textAlignment w:val="baseline"/>
        <w:rPr>
          <w:rFonts w:ascii="Arial" w:eastAsia="Times New Roman" w:hAnsi="Arial" w:cs="Arial"/>
          <w:sz w:val="24"/>
          <w:szCs w:val="24"/>
        </w:rPr>
      </w:pPr>
      <w:r w:rsidRPr="00857E54">
        <w:rPr>
          <w:rFonts w:ascii="Arial" w:eastAsia="Times New Roman" w:hAnsi="Arial" w:cs="Arial"/>
          <w:bCs/>
          <w:sz w:val="24"/>
          <w:szCs w:val="24"/>
        </w:rPr>
        <w:t>M</w:t>
      </w:r>
      <w:r w:rsidR="00F213DC" w:rsidRPr="00857E54">
        <w:rPr>
          <w:rFonts w:ascii="Arial" w:eastAsia="Times New Roman" w:hAnsi="Arial" w:cs="Arial"/>
          <w:bCs/>
          <w:sz w:val="24"/>
          <w:szCs w:val="24"/>
        </w:rPr>
        <w:t xml:space="preserve">ajorarea, </w:t>
      </w:r>
      <w:r w:rsidR="00E3539E" w:rsidRPr="00857E54">
        <w:rPr>
          <w:rFonts w:ascii="Arial" w:eastAsia="Times New Roman" w:hAnsi="Arial" w:cs="Arial"/>
          <w:bCs/>
          <w:sz w:val="24"/>
          <w:szCs w:val="24"/>
        </w:rPr>
        <w:t>începând cu data de 1 iulie 201</w:t>
      </w:r>
      <w:r w:rsidR="005C0BC2" w:rsidRPr="00857E54">
        <w:rPr>
          <w:rFonts w:ascii="Arial" w:eastAsia="Times New Roman" w:hAnsi="Arial" w:cs="Arial"/>
          <w:bCs/>
          <w:sz w:val="24"/>
          <w:szCs w:val="24"/>
        </w:rPr>
        <w:t>8</w:t>
      </w:r>
      <w:r w:rsidR="00E3539E" w:rsidRPr="00857E54">
        <w:rPr>
          <w:rFonts w:ascii="Arial" w:eastAsia="Times New Roman" w:hAnsi="Arial" w:cs="Arial"/>
          <w:bCs/>
          <w:sz w:val="24"/>
          <w:szCs w:val="24"/>
        </w:rPr>
        <w:t xml:space="preserve">, </w:t>
      </w:r>
      <w:r w:rsidR="00F213DC" w:rsidRPr="00857E54">
        <w:rPr>
          <w:rFonts w:ascii="Arial" w:eastAsia="Times New Roman" w:hAnsi="Arial" w:cs="Arial"/>
          <w:bCs/>
          <w:sz w:val="24"/>
          <w:szCs w:val="24"/>
        </w:rPr>
        <w:t xml:space="preserve">a </w:t>
      </w:r>
      <w:r w:rsidR="00E3539E" w:rsidRPr="00857E54">
        <w:rPr>
          <w:rFonts w:ascii="Arial" w:eastAsia="Times New Roman" w:hAnsi="Arial" w:cs="Arial"/>
          <w:bCs/>
          <w:sz w:val="24"/>
          <w:szCs w:val="24"/>
        </w:rPr>
        <w:t>valo</w:t>
      </w:r>
      <w:r w:rsidR="00F213DC" w:rsidRPr="00857E54">
        <w:rPr>
          <w:rFonts w:ascii="Arial" w:eastAsia="Times New Roman" w:hAnsi="Arial" w:cs="Arial"/>
          <w:bCs/>
          <w:sz w:val="24"/>
          <w:szCs w:val="24"/>
        </w:rPr>
        <w:t>rii</w:t>
      </w:r>
      <w:r w:rsidR="00E3539E" w:rsidRPr="00857E54">
        <w:rPr>
          <w:rFonts w:ascii="Arial" w:eastAsia="Times New Roman" w:hAnsi="Arial" w:cs="Arial"/>
          <w:bCs/>
          <w:sz w:val="24"/>
          <w:szCs w:val="24"/>
        </w:rPr>
        <w:t xml:space="preserve"> punctului de pensie </w:t>
      </w:r>
      <w:r w:rsidR="00BD4E32" w:rsidRPr="00857E54">
        <w:rPr>
          <w:rFonts w:ascii="Arial" w:eastAsia="Times New Roman" w:hAnsi="Arial" w:cs="Arial"/>
          <w:bCs/>
          <w:sz w:val="24"/>
          <w:szCs w:val="24"/>
        </w:rPr>
        <w:t>la  1</w:t>
      </w:r>
      <w:r w:rsidR="005C0BC2" w:rsidRPr="00857E54">
        <w:rPr>
          <w:rFonts w:ascii="Arial" w:eastAsia="Times New Roman" w:hAnsi="Arial" w:cs="Arial"/>
          <w:bCs/>
          <w:sz w:val="24"/>
          <w:szCs w:val="24"/>
        </w:rPr>
        <w:t>1</w:t>
      </w:r>
      <w:r w:rsidR="00BD4E32" w:rsidRPr="00857E54">
        <w:rPr>
          <w:rFonts w:ascii="Arial" w:eastAsia="Times New Roman" w:hAnsi="Arial" w:cs="Arial"/>
          <w:bCs/>
          <w:sz w:val="24"/>
          <w:szCs w:val="24"/>
        </w:rPr>
        <w:t>00 lei;</w:t>
      </w:r>
    </w:p>
    <w:p w:rsidR="001539BB" w:rsidRPr="00857E54" w:rsidRDefault="001539BB" w:rsidP="00281576">
      <w:pPr>
        <w:pStyle w:val="ListParagraph"/>
        <w:keepNext/>
        <w:keepLines/>
        <w:shd w:val="clear" w:color="auto" w:fill="FFFFFF"/>
        <w:autoSpaceDE w:val="0"/>
        <w:autoSpaceDN w:val="0"/>
        <w:adjustRightInd w:val="0"/>
        <w:ind w:left="1276" w:firstLine="0"/>
        <w:contextualSpacing w:val="0"/>
        <w:textAlignment w:val="baseline"/>
        <w:rPr>
          <w:rFonts w:ascii="Arial" w:eastAsia="Times New Roman" w:hAnsi="Arial" w:cs="Arial"/>
          <w:sz w:val="24"/>
          <w:szCs w:val="24"/>
        </w:rPr>
      </w:pPr>
    </w:p>
    <w:p w:rsidR="005C0BC2" w:rsidRPr="00857E54" w:rsidRDefault="00E01344" w:rsidP="00281576">
      <w:pPr>
        <w:pStyle w:val="ListParagraph"/>
        <w:keepNext/>
        <w:keepLines/>
        <w:numPr>
          <w:ilvl w:val="0"/>
          <w:numId w:val="9"/>
        </w:numPr>
        <w:shd w:val="clear" w:color="auto" w:fill="FFFFFF"/>
        <w:tabs>
          <w:tab w:val="left" w:pos="1276"/>
        </w:tabs>
        <w:ind w:firstLine="131"/>
        <w:textAlignment w:val="baseline"/>
        <w:rPr>
          <w:rFonts w:ascii="Arial" w:eastAsia="Times New Roman" w:hAnsi="Arial" w:cs="Arial"/>
          <w:bCs/>
          <w:sz w:val="24"/>
          <w:szCs w:val="24"/>
        </w:rPr>
      </w:pPr>
      <w:r>
        <w:rPr>
          <w:rFonts w:ascii="Arial" w:eastAsia="Times New Roman" w:hAnsi="Arial" w:cs="Arial"/>
          <w:bCs/>
          <w:sz w:val="24"/>
          <w:szCs w:val="24"/>
        </w:rPr>
        <w:t>Mă</w:t>
      </w:r>
      <w:r w:rsidR="005C0BC2" w:rsidRPr="00857E54">
        <w:rPr>
          <w:rFonts w:ascii="Arial" w:eastAsia="Times New Roman" w:hAnsi="Arial" w:cs="Arial"/>
          <w:bCs/>
          <w:sz w:val="24"/>
          <w:szCs w:val="24"/>
        </w:rPr>
        <w:t>suri de limitare a cheltuielilor bugetare:</w:t>
      </w:r>
    </w:p>
    <w:p w:rsidR="005C0BC2" w:rsidRPr="00857E54" w:rsidRDefault="005C0BC2" w:rsidP="00281576">
      <w:pPr>
        <w:pStyle w:val="ListParagraph"/>
        <w:keepNext/>
        <w:keepLines/>
        <w:numPr>
          <w:ilvl w:val="0"/>
          <w:numId w:val="4"/>
        </w:numPr>
        <w:shd w:val="clear" w:color="auto" w:fill="FFFFFF"/>
        <w:tabs>
          <w:tab w:val="left" w:pos="1843"/>
          <w:tab w:val="left" w:pos="2127"/>
        </w:tabs>
        <w:ind w:left="1560" w:firstLine="0"/>
        <w:textAlignment w:val="baseline"/>
        <w:rPr>
          <w:rFonts w:ascii="Arial" w:eastAsia="Times New Roman" w:hAnsi="Arial" w:cs="Arial"/>
          <w:bCs/>
          <w:sz w:val="24"/>
          <w:szCs w:val="24"/>
        </w:rPr>
      </w:pPr>
      <w:r w:rsidRPr="00857E54">
        <w:rPr>
          <w:rFonts w:ascii="Arial" w:eastAsia="Times New Roman" w:hAnsi="Arial" w:cs="Arial"/>
          <w:bCs/>
          <w:sz w:val="24"/>
          <w:szCs w:val="24"/>
        </w:rPr>
        <w:t>compensare munca suplimentara numai cu timp liber corespunzător;</w:t>
      </w:r>
    </w:p>
    <w:p w:rsidR="005C0BC2" w:rsidRPr="00857E54" w:rsidRDefault="005C0BC2" w:rsidP="00281576">
      <w:pPr>
        <w:keepNext/>
        <w:keepLines/>
        <w:numPr>
          <w:ilvl w:val="0"/>
          <w:numId w:val="4"/>
        </w:numPr>
        <w:shd w:val="clear" w:color="auto" w:fill="FFFFFF"/>
        <w:tabs>
          <w:tab w:val="left" w:pos="1843"/>
          <w:tab w:val="left" w:pos="2127"/>
        </w:tabs>
        <w:ind w:left="1560" w:firstLine="0"/>
        <w:textAlignment w:val="baseline"/>
        <w:rPr>
          <w:rFonts w:ascii="Arial" w:eastAsia="Times New Roman" w:hAnsi="Arial" w:cs="Arial"/>
          <w:bCs/>
          <w:sz w:val="24"/>
          <w:szCs w:val="24"/>
        </w:rPr>
      </w:pPr>
      <w:r w:rsidRPr="00857E54">
        <w:rPr>
          <w:rFonts w:ascii="Arial" w:eastAsia="Times New Roman" w:hAnsi="Arial" w:cs="Arial"/>
          <w:bCs/>
          <w:sz w:val="24"/>
          <w:szCs w:val="24"/>
        </w:rPr>
        <w:t>neacordarea de tichete cadou, premii, a indemnizațiilor de hrană și a indemnizației de vacanță prevăzute de Legea-cadru nr. 153/2017;</w:t>
      </w:r>
    </w:p>
    <w:p w:rsidR="005C0BC2" w:rsidRPr="00857E54" w:rsidRDefault="005C0BC2" w:rsidP="00281576">
      <w:pPr>
        <w:keepNext/>
        <w:keepLines/>
        <w:numPr>
          <w:ilvl w:val="0"/>
          <w:numId w:val="4"/>
        </w:numPr>
        <w:shd w:val="clear" w:color="auto" w:fill="FFFFFF"/>
        <w:tabs>
          <w:tab w:val="left" w:pos="1843"/>
          <w:tab w:val="left" w:pos="2127"/>
        </w:tabs>
        <w:ind w:left="1560" w:firstLine="0"/>
        <w:textAlignment w:val="baseline"/>
        <w:rPr>
          <w:rFonts w:ascii="Arial" w:eastAsia="Times New Roman" w:hAnsi="Arial" w:cs="Arial"/>
          <w:bCs/>
          <w:sz w:val="24"/>
          <w:szCs w:val="24"/>
        </w:rPr>
      </w:pPr>
      <w:r w:rsidRPr="00857E54">
        <w:rPr>
          <w:rFonts w:ascii="Arial" w:eastAsia="Times New Roman" w:hAnsi="Arial" w:cs="Arial"/>
          <w:bCs/>
          <w:sz w:val="24"/>
          <w:szCs w:val="24"/>
        </w:rPr>
        <w:t>neacordarea de ajutoare sau plăți compensatorii la pensionare;</w:t>
      </w:r>
    </w:p>
    <w:p w:rsidR="005C0BC2" w:rsidRPr="00857E54" w:rsidRDefault="005C0BC2" w:rsidP="00281576">
      <w:pPr>
        <w:keepNext/>
        <w:keepLines/>
        <w:numPr>
          <w:ilvl w:val="0"/>
          <w:numId w:val="4"/>
        </w:numPr>
        <w:shd w:val="clear" w:color="auto" w:fill="FFFFFF"/>
        <w:tabs>
          <w:tab w:val="left" w:pos="1843"/>
          <w:tab w:val="left" w:pos="2127"/>
        </w:tabs>
        <w:ind w:left="1560" w:firstLine="0"/>
        <w:textAlignment w:val="baseline"/>
        <w:rPr>
          <w:rFonts w:ascii="Arial" w:eastAsia="Times New Roman" w:hAnsi="Arial" w:cs="Arial"/>
          <w:bCs/>
          <w:sz w:val="24"/>
          <w:szCs w:val="24"/>
        </w:rPr>
      </w:pPr>
      <w:r w:rsidRPr="00857E54">
        <w:rPr>
          <w:rFonts w:ascii="Arial" w:eastAsia="Times New Roman" w:hAnsi="Arial" w:cs="Arial"/>
          <w:bCs/>
          <w:sz w:val="24"/>
          <w:szCs w:val="24"/>
        </w:rPr>
        <w:t>menținerea anumitor categorii de drepturi de care beneficiază personalul militar, polițiștii și funcționarii publici cu statut special din sistemul administrației penitenciare, care nu fac parte din solda lunară brută/salariul brut, la nivelul lunii decembrie 2017;</w:t>
      </w:r>
    </w:p>
    <w:p w:rsidR="005C0BC2" w:rsidRPr="00857E54" w:rsidRDefault="005C0BC2" w:rsidP="00281576">
      <w:pPr>
        <w:keepNext/>
        <w:keepLines/>
        <w:numPr>
          <w:ilvl w:val="0"/>
          <w:numId w:val="4"/>
        </w:numPr>
        <w:shd w:val="clear" w:color="auto" w:fill="FFFFFF"/>
        <w:tabs>
          <w:tab w:val="left" w:pos="1843"/>
          <w:tab w:val="left" w:pos="2127"/>
        </w:tabs>
        <w:ind w:left="1560" w:firstLine="0"/>
        <w:textAlignment w:val="baseline"/>
        <w:rPr>
          <w:rFonts w:ascii="Arial" w:eastAsia="Times New Roman" w:hAnsi="Arial" w:cs="Arial"/>
          <w:bCs/>
          <w:sz w:val="24"/>
          <w:szCs w:val="24"/>
        </w:rPr>
      </w:pPr>
      <w:r w:rsidRPr="00857E54">
        <w:rPr>
          <w:rFonts w:ascii="Arial" w:eastAsia="Times New Roman" w:hAnsi="Arial" w:cs="Arial"/>
          <w:bCs/>
          <w:sz w:val="24"/>
          <w:szCs w:val="24"/>
        </w:rPr>
        <w:t>în anul 2018, ordonatorii de credite ai instituțiilor și autorităților publice ale administrației centrale vor trebui să reducă cheltuielile cu bunurile și serviciile aferente întreținerii și funcționării instituției cu 10% comparativ cu plățile efectuate pe anul 2017 pentru aceste naturi de cheltuieli, cu anumite excepții;</w:t>
      </w:r>
    </w:p>
    <w:p w:rsidR="005C0BC2" w:rsidRPr="00857E54" w:rsidRDefault="005C0BC2" w:rsidP="00281576">
      <w:pPr>
        <w:keepNext/>
        <w:keepLines/>
        <w:numPr>
          <w:ilvl w:val="0"/>
          <w:numId w:val="4"/>
        </w:numPr>
        <w:shd w:val="clear" w:color="auto" w:fill="FFFFFF"/>
        <w:tabs>
          <w:tab w:val="left" w:pos="1843"/>
          <w:tab w:val="left" w:pos="2127"/>
        </w:tabs>
        <w:ind w:left="1560" w:firstLine="0"/>
        <w:textAlignment w:val="baseline"/>
        <w:rPr>
          <w:rFonts w:ascii="Arial" w:eastAsia="Times New Roman" w:hAnsi="Arial" w:cs="Arial"/>
          <w:bCs/>
          <w:sz w:val="24"/>
          <w:szCs w:val="24"/>
        </w:rPr>
      </w:pPr>
      <w:r w:rsidRPr="00857E54">
        <w:rPr>
          <w:rFonts w:ascii="Arial" w:eastAsia="Times New Roman" w:hAnsi="Arial" w:cs="Arial"/>
          <w:bCs/>
          <w:sz w:val="24"/>
          <w:szCs w:val="24"/>
        </w:rPr>
        <w:t>în anul 2018 ordonatorii de credite ai instituțiilor și autorităților publice ale administrației centrale nu vor achiziționa autoturisme și mobilier, cu anumite excepții;</w:t>
      </w:r>
    </w:p>
    <w:p w:rsidR="005C0BC2" w:rsidRPr="00857E54" w:rsidRDefault="005C0BC2" w:rsidP="00281576">
      <w:pPr>
        <w:keepNext/>
        <w:keepLines/>
        <w:numPr>
          <w:ilvl w:val="0"/>
          <w:numId w:val="4"/>
        </w:numPr>
        <w:shd w:val="clear" w:color="auto" w:fill="FFFFFF"/>
        <w:tabs>
          <w:tab w:val="left" w:pos="1843"/>
          <w:tab w:val="left" w:pos="2127"/>
        </w:tabs>
        <w:ind w:left="1560" w:firstLine="0"/>
        <w:textAlignment w:val="baseline"/>
        <w:rPr>
          <w:rFonts w:ascii="Arial" w:eastAsia="Times New Roman" w:hAnsi="Arial" w:cs="Arial"/>
          <w:bCs/>
          <w:sz w:val="24"/>
          <w:szCs w:val="24"/>
        </w:rPr>
      </w:pPr>
      <w:r w:rsidRPr="00857E54">
        <w:rPr>
          <w:rFonts w:ascii="Arial" w:eastAsia="Times New Roman" w:hAnsi="Arial" w:cs="Arial"/>
          <w:bCs/>
          <w:sz w:val="24"/>
          <w:szCs w:val="24"/>
        </w:rPr>
        <w:t>blocarea ocupării posturilor vacante din instituțiile publice ale administrației centrale.</w:t>
      </w:r>
    </w:p>
    <w:p w:rsidR="00F8763B" w:rsidRPr="00857E54" w:rsidRDefault="00F8763B" w:rsidP="00281576">
      <w:pPr>
        <w:keepNext/>
        <w:keepLines/>
        <w:shd w:val="clear" w:color="auto" w:fill="FFFFFF"/>
        <w:tabs>
          <w:tab w:val="left" w:pos="1843"/>
          <w:tab w:val="left" w:pos="2127"/>
        </w:tabs>
        <w:ind w:left="1560" w:firstLine="0"/>
        <w:textAlignment w:val="baseline"/>
        <w:rPr>
          <w:rFonts w:ascii="Arial" w:eastAsia="Times New Roman" w:hAnsi="Arial" w:cs="Arial"/>
          <w:bCs/>
          <w:sz w:val="24"/>
          <w:szCs w:val="24"/>
        </w:rPr>
      </w:pPr>
    </w:p>
    <w:p w:rsidR="007C4F03" w:rsidRPr="00857E54" w:rsidRDefault="00593AD9" w:rsidP="00281576">
      <w:pPr>
        <w:keepNext/>
        <w:keepLines/>
        <w:ind w:firstLine="680"/>
        <w:rPr>
          <w:rFonts w:ascii="Arial" w:hAnsi="Arial" w:cs="Arial"/>
          <w:b/>
          <w:bCs/>
          <w:sz w:val="24"/>
          <w:szCs w:val="24"/>
        </w:rPr>
      </w:pPr>
      <w:r w:rsidRPr="00857E54">
        <w:rPr>
          <w:rFonts w:ascii="Arial" w:hAnsi="Arial" w:cs="Arial"/>
          <w:b/>
          <w:bCs/>
          <w:sz w:val="24"/>
          <w:szCs w:val="24"/>
        </w:rPr>
        <w:t>Principalele m</w:t>
      </w:r>
      <w:r w:rsidR="007C4F03" w:rsidRPr="00857E54">
        <w:rPr>
          <w:rFonts w:ascii="Arial" w:hAnsi="Arial" w:cs="Arial"/>
          <w:b/>
          <w:bCs/>
          <w:sz w:val="24"/>
          <w:szCs w:val="24"/>
        </w:rPr>
        <w:t xml:space="preserve">ăsuri </w:t>
      </w:r>
      <w:r w:rsidRPr="00857E54">
        <w:rPr>
          <w:rFonts w:ascii="Arial" w:hAnsi="Arial" w:cs="Arial"/>
          <w:b/>
          <w:bCs/>
          <w:sz w:val="24"/>
          <w:szCs w:val="24"/>
        </w:rPr>
        <w:t>legislative ce vor sta la baza elaborării rectificării bugetare</w:t>
      </w:r>
      <w:r w:rsidR="007C4F03" w:rsidRPr="00857E54">
        <w:rPr>
          <w:rFonts w:ascii="Arial" w:hAnsi="Arial" w:cs="Arial"/>
          <w:b/>
          <w:bCs/>
          <w:sz w:val="24"/>
          <w:szCs w:val="24"/>
        </w:rPr>
        <w:t>:</w:t>
      </w:r>
    </w:p>
    <w:p w:rsidR="00F8763B" w:rsidRPr="00857E54" w:rsidRDefault="00F8763B" w:rsidP="00281576">
      <w:pPr>
        <w:keepNext/>
        <w:keepLines/>
        <w:ind w:firstLine="680"/>
        <w:rPr>
          <w:rFonts w:ascii="Arial" w:hAnsi="Arial" w:cs="Arial"/>
          <w:b/>
          <w:bCs/>
          <w:sz w:val="24"/>
          <w:szCs w:val="24"/>
        </w:rPr>
      </w:pPr>
    </w:p>
    <w:p w:rsidR="00593AD9" w:rsidRPr="00857E54" w:rsidRDefault="00DF66E3" w:rsidP="00281576">
      <w:pPr>
        <w:keepNext/>
        <w:keepLines/>
        <w:spacing w:before="120" w:after="120"/>
        <w:ind w:left="72" w:firstLine="1080"/>
        <w:rPr>
          <w:rFonts w:ascii="Arial" w:hAnsi="Arial" w:cs="Arial"/>
          <w:bCs/>
          <w:sz w:val="24"/>
          <w:szCs w:val="24"/>
        </w:rPr>
      </w:pPr>
      <w:r w:rsidRPr="00857E54">
        <w:rPr>
          <w:rFonts w:ascii="Arial" w:hAnsi="Arial" w:cs="Arial"/>
          <w:bCs/>
          <w:sz w:val="24"/>
          <w:szCs w:val="24"/>
        </w:rPr>
        <w:t>Pe partea de venituri</w:t>
      </w:r>
      <w:r w:rsidR="00593AD9" w:rsidRPr="00857E54">
        <w:rPr>
          <w:rFonts w:ascii="Arial" w:hAnsi="Arial" w:cs="Arial"/>
          <w:bCs/>
          <w:sz w:val="24"/>
          <w:szCs w:val="24"/>
        </w:rPr>
        <w:t>:</w:t>
      </w:r>
    </w:p>
    <w:p w:rsidR="00593AD9" w:rsidRPr="00857E54" w:rsidRDefault="00DA3E29" w:rsidP="00281576">
      <w:pPr>
        <w:keepNext/>
        <w:keepLines/>
        <w:numPr>
          <w:ilvl w:val="0"/>
          <w:numId w:val="31"/>
        </w:numPr>
        <w:spacing w:before="120" w:after="0" w:line="276" w:lineRule="auto"/>
        <w:ind w:left="498"/>
        <w:rPr>
          <w:rFonts w:ascii="Arial" w:eastAsia="Times New Roman" w:hAnsi="Arial" w:cs="Arial"/>
          <w:sz w:val="24"/>
          <w:szCs w:val="24"/>
        </w:rPr>
      </w:pPr>
      <w:r w:rsidRPr="00857E54">
        <w:rPr>
          <w:rFonts w:ascii="Arial" w:eastAsia="Times New Roman" w:hAnsi="Arial" w:cs="Arial"/>
          <w:b/>
          <w:sz w:val="24"/>
          <w:szCs w:val="24"/>
          <w:lang w:eastAsia="ro-RO"/>
        </w:rPr>
        <w:t>Ordonanță</w:t>
      </w:r>
      <w:r w:rsidR="00593AD9" w:rsidRPr="00857E54">
        <w:rPr>
          <w:rFonts w:ascii="Arial" w:eastAsia="Times New Roman" w:hAnsi="Arial" w:cs="Arial"/>
          <w:b/>
          <w:sz w:val="24"/>
          <w:szCs w:val="24"/>
          <w:lang w:eastAsia="ro-RO"/>
        </w:rPr>
        <w:t xml:space="preserve"> de </w:t>
      </w:r>
      <w:r w:rsidRPr="00857E54">
        <w:rPr>
          <w:rFonts w:ascii="Arial" w:eastAsia="Times New Roman" w:hAnsi="Arial" w:cs="Arial"/>
          <w:b/>
          <w:sz w:val="24"/>
          <w:szCs w:val="24"/>
          <w:lang w:eastAsia="ro-RO"/>
        </w:rPr>
        <w:t>urgență</w:t>
      </w:r>
      <w:r w:rsidR="00593AD9" w:rsidRPr="00857E54">
        <w:rPr>
          <w:rFonts w:ascii="Arial" w:eastAsia="Times New Roman" w:hAnsi="Arial" w:cs="Arial"/>
          <w:b/>
          <w:sz w:val="24"/>
          <w:szCs w:val="24"/>
          <w:lang w:eastAsia="ro-RO"/>
        </w:rPr>
        <w:t xml:space="preserve"> a Guvernului nr. 25/2018 privind modificarea şi completarea unor acte normative, precum şi pentru aprobarea unor măsuri fiscal-bugetare, </w:t>
      </w:r>
      <w:r w:rsidR="00593AD9" w:rsidRPr="00857E54">
        <w:rPr>
          <w:rFonts w:ascii="Arial" w:eastAsia="Times New Roman" w:hAnsi="Arial" w:cs="Arial"/>
          <w:sz w:val="24"/>
          <w:szCs w:val="24"/>
          <w:lang w:eastAsia="ro-RO"/>
        </w:rPr>
        <w:t>potrivit căreia</w:t>
      </w:r>
      <w:r w:rsidR="00593AD9" w:rsidRPr="00857E54">
        <w:rPr>
          <w:rFonts w:ascii="Arial" w:eastAsia="Times New Roman" w:hAnsi="Arial" w:cs="Arial"/>
          <w:b/>
          <w:sz w:val="24"/>
          <w:szCs w:val="24"/>
          <w:lang w:eastAsia="ro-RO"/>
        </w:rPr>
        <w:t>:</w:t>
      </w:r>
    </w:p>
    <w:p w:rsidR="00593AD9" w:rsidRPr="00857E54" w:rsidRDefault="00593AD9" w:rsidP="00281576">
      <w:pPr>
        <w:keepNext/>
        <w:keepLines/>
        <w:numPr>
          <w:ilvl w:val="0"/>
          <w:numId w:val="30"/>
        </w:numPr>
        <w:autoSpaceDE w:val="0"/>
        <w:autoSpaceDN w:val="0"/>
        <w:adjustRightInd w:val="0"/>
        <w:spacing w:before="120" w:after="0" w:line="276" w:lineRule="auto"/>
        <w:ind w:left="1065"/>
        <w:rPr>
          <w:rFonts w:ascii="Arial" w:eastAsia="Times New Roman" w:hAnsi="Arial" w:cs="Arial"/>
          <w:sz w:val="24"/>
          <w:szCs w:val="24"/>
          <w:lang w:eastAsia="ro-RO"/>
        </w:rPr>
      </w:pPr>
      <w:r w:rsidRPr="00857E54">
        <w:rPr>
          <w:rFonts w:ascii="Arial" w:eastAsia="Times New Roman" w:hAnsi="Arial" w:cs="Arial"/>
          <w:sz w:val="24"/>
          <w:szCs w:val="24"/>
          <w:lang w:eastAsia="ro-RO"/>
        </w:rPr>
        <w:t xml:space="preserve">se instituie posibilitatea pentru microîntreprinderi de a opta să aplice prevederile titlului II - "Impozitul pe profit" din Codul fiscal, cu îndeplinirea concomitentă a unor </w:t>
      </w:r>
      <w:r w:rsidR="00DA3E29" w:rsidRPr="00857E54">
        <w:rPr>
          <w:rFonts w:ascii="Arial" w:eastAsia="Times New Roman" w:hAnsi="Arial" w:cs="Arial"/>
          <w:sz w:val="24"/>
          <w:szCs w:val="24"/>
          <w:lang w:eastAsia="ro-RO"/>
        </w:rPr>
        <w:t>condiții</w:t>
      </w:r>
      <w:r w:rsidRPr="00857E54">
        <w:rPr>
          <w:rFonts w:ascii="Arial" w:eastAsia="Times New Roman" w:hAnsi="Arial" w:cs="Arial"/>
          <w:sz w:val="24"/>
          <w:szCs w:val="24"/>
          <w:lang w:eastAsia="ro-RO"/>
        </w:rPr>
        <w:t xml:space="preserve"> legate de valoarea capitalului social şi a numărului de </w:t>
      </w:r>
      <w:r w:rsidR="00DA3E29" w:rsidRPr="00857E54">
        <w:rPr>
          <w:rFonts w:ascii="Arial" w:eastAsia="Times New Roman" w:hAnsi="Arial" w:cs="Arial"/>
          <w:sz w:val="24"/>
          <w:szCs w:val="24"/>
          <w:lang w:eastAsia="ro-RO"/>
        </w:rPr>
        <w:t>salariați</w:t>
      </w:r>
      <w:r w:rsidRPr="00857E54">
        <w:rPr>
          <w:rFonts w:ascii="Arial" w:eastAsia="Times New Roman" w:hAnsi="Arial" w:cs="Arial"/>
          <w:sz w:val="24"/>
          <w:szCs w:val="24"/>
          <w:lang w:eastAsia="ro-RO"/>
        </w:rPr>
        <w:t>;</w:t>
      </w:r>
    </w:p>
    <w:p w:rsidR="00593AD9" w:rsidRPr="00857E54" w:rsidRDefault="00593AD9" w:rsidP="00281576">
      <w:pPr>
        <w:keepNext/>
        <w:keepLines/>
        <w:numPr>
          <w:ilvl w:val="0"/>
          <w:numId w:val="30"/>
        </w:numPr>
        <w:autoSpaceDE w:val="0"/>
        <w:autoSpaceDN w:val="0"/>
        <w:adjustRightInd w:val="0"/>
        <w:spacing w:before="120" w:after="0" w:line="276" w:lineRule="auto"/>
        <w:ind w:left="1065"/>
        <w:rPr>
          <w:rFonts w:ascii="Arial" w:eastAsia="Times New Roman" w:hAnsi="Arial" w:cs="Arial"/>
          <w:sz w:val="24"/>
          <w:szCs w:val="24"/>
          <w:lang w:eastAsia="ro-RO"/>
        </w:rPr>
      </w:pPr>
      <w:r w:rsidRPr="00857E54">
        <w:rPr>
          <w:rFonts w:ascii="Arial" w:eastAsia="Times New Roman" w:hAnsi="Arial" w:cs="Arial"/>
          <w:sz w:val="24"/>
          <w:szCs w:val="24"/>
          <w:lang w:eastAsia="ro-RO"/>
        </w:rPr>
        <w:lastRenderedPageBreak/>
        <w:t xml:space="preserve">se introduce posibilitatea pentru microîntreprinderi de a efectua sponsorizări pentru </w:t>
      </w:r>
      <w:r w:rsidR="00DA3E29" w:rsidRPr="00857E54">
        <w:rPr>
          <w:rFonts w:ascii="Arial" w:eastAsia="Times New Roman" w:hAnsi="Arial" w:cs="Arial"/>
          <w:sz w:val="24"/>
          <w:szCs w:val="24"/>
          <w:lang w:eastAsia="ro-RO"/>
        </w:rPr>
        <w:t>susținerea</w:t>
      </w:r>
      <w:r w:rsidR="0088641E" w:rsidRPr="00857E54">
        <w:rPr>
          <w:rFonts w:ascii="Arial" w:eastAsia="Times New Roman" w:hAnsi="Arial" w:cs="Arial"/>
          <w:sz w:val="24"/>
          <w:szCs w:val="24"/>
          <w:lang w:eastAsia="ro-RO"/>
        </w:rPr>
        <w:t xml:space="preserve"> </w:t>
      </w:r>
      <w:r w:rsidR="00DA3E29" w:rsidRPr="00857E54">
        <w:rPr>
          <w:rFonts w:ascii="Arial" w:eastAsia="Times New Roman" w:hAnsi="Arial" w:cs="Arial"/>
          <w:sz w:val="24"/>
          <w:szCs w:val="24"/>
          <w:lang w:eastAsia="ro-RO"/>
        </w:rPr>
        <w:t>entităților</w:t>
      </w:r>
      <w:r w:rsidRPr="00857E54">
        <w:rPr>
          <w:rFonts w:ascii="Arial" w:eastAsia="Times New Roman" w:hAnsi="Arial" w:cs="Arial"/>
          <w:sz w:val="24"/>
          <w:szCs w:val="24"/>
          <w:lang w:eastAsia="ro-RO"/>
        </w:rPr>
        <w:t xml:space="preserve"> nonprofit şi a </w:t>
      </w:r>
      <w:r w:rsidR="00DA3E29" w:rsidRPr="00857E54">
        <w:rPr>
          <w:rFonts w:ascii="Arial" w:eastAsia="Times New Roman" w:hAnsi="Arial" w:cs="Arial"/>
          <w:sz w:val="24"/>
          <w:szCs w:val="24"/>
          <w:lang w:eastAsia="ro-RO"/>
        </w:rPr>
        <w:t>unităților</w:t>
      </w:r>
      <w:r w:rsidRPr="00857E54">
        <w:rPr>
          <w:rFonts w:ascii="Arial" w:eastAsia="Times New Roman" w:hAnsi="Arial" w:cs="Arial"/>
          <w:sz w:val="24"/>
          <w:szCs w:val="24"/>
          <w:lang w:eastAsia="ro-RO"/>
        </w:rPr>
        <w:t xml:space="preserve"> de cult care sunt furnizori de servicii sociale </w:t>
      </w:r>
      <w:r w:rsidR="00DA3E29" w:rsidRPr="00857E54">
        <w:rPr>
          <w:rFonts w:ascii="Arial" w:eastAsia="Times New Roman" w:hAnsi="Arial" w:cs="Arial"/>
          <w:sz w:val="24"/>
          <w:szCs w:val="24"/>
          <w:lang w:eastAsia="ro-RO"/>
        </w:rPr>
        <w:t>acreditați</w:t>
      </w:r>
      <w:r w:rsidRPr="00857E54">
        <w:rPr>
          <w:rFonts w:ascii="Arial" w:eastAsia="Times New Roman" w:hAnsi="Arial" w:cs="Arial"/>
          <w:sz w:val="24"/>
          <w:szCs w:val="24"/>
          <w:lang w:eastAsia="ro-RO"/>
        </w:rPr>
        <w:t xml:space="preserve"> cu cel </w:t>
      </w:r>
      <w:r w:rsidR="00DA3E29" w:rsidRPr="00857E54">
        <w:rPr>
          <w:rFonts w:ascii="Arial" w:eastAsia="Times New Roman" w:hAnsi="Arial" w:cs="Arial"/>
          <w:sz w:val="24"/>
          <w:szCs w:val="24"/>
          <w:lang w:eastAsia="ro-RO"/>
        </w:rPr>
        <w:t>puțin</w:t>
      </w:r>
      <w:r w:rsidRPr="00857E54">
        <w:rPr>
          <w:rFonts w:ascii="Arial" w:eastAsia="Times New Roman" w:hAnsi="Arial" w:cs="Arial"/>
          <w:sz w:val="24"/>
          <w:szCs w:val="24"/>
          <w:lang w:eastAsia="ro-RO"/>
        </w:rPr>
        <w:t xml:space="preserve"> un serviciu social </w:t>
      </w:r>
      <w:r w:rsidR="00DA3E29" w:rsidRPr="00857E54">
        <w:rPr>
          <w:rFonts w:ascii="Arial" w:eastAsia="Times New Roman" w:hAnsi="Arial" w:cs="Arial"/>
          <w:sz w:val="24"/>
          <w:szCs w:val="24"/>
          <w:lang w:eastAsia="ro-RO"/>
        </w:rPr>
        <w:t>licențiat</w:t>
      </w:r>
      <w:r w:rsidRPr="00857E54">
        <w:rPr>
          <w:rFonts w:ascii="Arial" w:eastAsia="Times New Roman" w:hAnsi="Arial" w:cs="Arial"/>
          <w:sz w:val="24"/>
          <w:szCs w:val="24"/>
          <w:lang w:eastAsia="ro-RO"/>
        </w:rPr>
        <w:t xml:space="preserve"> și majorarea cotei ce poate fi distribuită din impozitul pe venit datorat către aceste entități, la 3,5%;</w:t>
      </w:r>
    </w:p>
    <w:p w:rsidR="00593AD9" w:rsidRPr="00857E54" w:rsidRDefault="00593AD9" w:rsidP="00281576">
      <w:pPr>
        <w:keepNext/>
        <w:keepLines/>
        <w:numPr>
          <w:ilvl w:val="0"/>
          <w:numId w:val="30"/>
        </w:numPr>
        <w:autoSpaceDE w:val="0"/>
        <w:autoSpaceDN w:val="0"/>
        <w:adjustRightInd w:val="0"/>
        <w:spacing w:before="120" w:after="0" w:line="276" w:lineRule="auto"/>
        <w:ind w:left="1065"/>
        <w:rPr>
          <w:rFonts w:ascii="Arial" w:eastAsia="Times New Roman" w:hAnsi="Arial" w:cs="Arial"/>
          <w:sz w:val="24"/>
          <w:szCs w:val="24"/>
          <w:lang w:eastAsia="ro-RO"/>
        </w:rPr>
      </w:pPr>
      <w:r w:rsidRPr="00857E54">
        <w:rPr>
          <w:rFonts w:ascii="Arial" w:eastAsia="Times New Roman" w:hAnsi="Arial" w:cs="Arial"/>
          <w:sz w:val="24"/>
          <w:szCs w:val="24"/>
          <w:lang w:eastAsia="ro-RO"/>
        </w:rPr>
        <w:t xml:space="preserve"> se prevede simplificarea sistemului actual privind impozitarea veniturilor realizate din contracte de activitate sportivă.</w:t>
      </w:r>
    </w:p>
    <w:p w:rsidR="00593AD9" w:rsidRPr="00857E54" w:rsidRDefault="00593AD9" w:rsidP="00281576">
      <w:pPr>
        <w:keepNext/>
        <w:keepLines/>
        <w:autoSpaceDE w:val="0"/>
        <w:autoSpaceDN w:val="0"/>
        <w:adjustRightInd w:val="0"/>
        <w:spacing w:after="0" w:line="276" w:lineRule="auto"/>
        <w:ind w:firstLine="0"/>
        <w:rPr>
          <w:rFonts w:ascii="Arial" w:eastAsia="Times New Roman" w:hAnsi="Arial" w:cs="Arial"/>
          <w:sz w:val="24"/>
          <w:szCs w:val="24"/>
        </w:rPr>
      </w:pPr>
    </w:p>
    <w:p w:rsidR="00593AD9" w:rsidRPr="00857E54" w:rsidRDefault="00593AD9" w:rsidP="00281576">
      <w:pPr>
        <w:keepNext/>
        <w:keepLines/>
        <w:numPr>
          <w:ilvl w:val="0"/>
          <w:numId w:val="31"/>
        </w:numPr>
        <w:spacing w:before="120" w:after="0" w:line="276" w:lineRule="auto"/>
        <w:ind w:left="498"/>
        <w:rPr>
          <w:rFonts w:ascii="Arial" w:eastAsia="Times New Roman" w:hAnsi="Arial" w:cs="Arial"/>
          <w:kern w:val="1"/>
          <w:sz w:val="24"/>
          <w:szCs w:val="24"/>
          <w:lang w:eastAsia="zh-CN"/>
        </w:rPr>
      </w:pPr>
      <w:r w:rsidRPr="00857E54">
        <w:rPr>
          <w:rFonts w:ascii="Arial" w:eastAsia="Times New Roman" w:hAnsi="Arial" w:cs="Arial"/>
          <w:b/>
          <w:kern w:val="1"/>
          <w:sz w:val="24"/>
          <w:szCs w:val="24"/>
          <w:lang w:eastAsia="zh-CN"/>
        </w:rPr>
        <w:t>Ordonanța de urgență a Guvernului nr. 18/2018  privind adoptarea unor măsuri fiscal-bugetare şi pentru modificarea şi completarea unor acte normative, aprobată cu modificări prin Legea nr. 145/2018</w:t>
      </w:r>
      <w:r w:rsidRPr="00857E54">
        <w:rPr>
          <w:rFonts w:ascii="Arial" w:eastAsia="Times New Roman" w:hAnsi="Arial" w:cs="Arial"/>
          <w:kern w:val="1"/>
          <w:sz w:val="24"/>
          <w:szCs w:val="24"/>
          <w:lang w:eastAsia="zh-CN"/>
        </w:rPr>
        <w:t>, care prevede:</w:t>
      </w:r>
    </w:p>
    <w:p w:rsidR="00593AD9" w:rsidRPr="00857E54" w:rsidRDefault="00593AD9" w:rsidP="00281576">
      <w:pPr>
        <w:keepNext/>
        <w:keepLines/>
        <w:numPr>
          <w:ilvl w:val="0"/>
          <w:numId w:val="30"/>
        </w:numPr>
        <w:autoSpaceDE w:val="0"/>
        <w:autoSpaceDN w:val="0"/>
        <w:adjustRightInd w:val="0"/>
        <w:spacing w:before="120" w:after="0" w:line="276" w:lineRule="auto"/>
        <w:ind w:left="1065"/>
        <w:rPr>
          <w:rFonts w:ascii="Arial" w:eastAsia="Times New Roman" w:hAnsi="Arial" w:cs="Arial"/>
          <w:sz w:val="24"/>
          <w:szCs w:val="24"/>
          <w:lang w:eastAsia="ro-RO"/>
        </w:rPr>
      </w:pPr>
      <w:r w:rsidRPr="00857E54">
        <w:rPr>
          <w:rFonts w:ascii="Arial" w:eastAsia="Times New Roman" w:hAnsi="Arial" w:cs="Arial"/>
          <w:sz w:val="24"/>
          <w:szCs w:val="24"/>
          <w:lang w:eastAsia="ro-RO"/>
        </w:rPr>
        <w:t xml:space="preserve">revizuirea sistemului actual privind impozitarea veniturilor realizate din </w:t>
      </w:r>
      <w:r w:rsidR="00DA3E29" w:rsidRPr="00857E54">
        <w:rPr>
          <w:rFonts w:ascii="Arial" w:eastAsia="Times New Roman" w:hAnsi="Arial" w:cs="Arial"/>
          <w:sz w:val="24"/>
          <w:szCs w:val="24"/>
          <w:lang w:eastAsia="ro-RO"/>
        </w:rPr>
        <w:t>activități</w:t>
      </w:r>
      <w:r w:rsidRPr="00857E54">
        <w:rPr>
          <w:rFonts w:ascii="Arial" w:eastAsia="Times New Roman" w:hAnsi="Arial" w:cs="Arial"/>
          <w:sz w:val="24"/>
          <w:szCs w:val="24"/>
          <w:lang w:eastAsia="ro-RO"/>
        </w:rPr>
        <w:t xml:space="preserve"> economice de persoanele fizice, prin eliminarea </w:t>
      </w:r>
      <w:r w:rsidR="00DA3E29" w:rsidRPr="00857E54">
        <w:rPr>
          <w:rFonts w:ascii="Arial" w:eastAsia="Times New Roman" w:hAnsi="Arial" w:cs="Arial"/>
          <w:sz w:val="24"/>
          <w:szCs w:val="24"/>
          <w:lang w:eastAsia="ro-RO"/>
        </w:rPr>
        <w:t>plăților</w:t>
      </w:r>
      <w:r w:rsidRPr="00857E54">
        <w:rPr>
          <w:rFonts w:ascii="Arial" w:eastAsia="Times New Roman" w:hAnsi="Arial" w:cs="Arial"/>
          <w:sz w:val="24"/>
          <w:szCs w:val="24"/>
          <w:lang w:eastAsia="ro-RO"/>
        </w:rPr>
        <w:t xml:space="preserve"> anticipate şi instituirea unui singur termen de plată pentru a răspunde </w:t>
      </w:r>
      <w:r w:rsidR="00DA3E29" w:rsidRPr="00857E54">
        <w:rPr>
          <w:rFonts w:ascii="Arial" w:eastAsia="Times New Roman" w:hAnsi="Arial" w:cs="Arial"/>
          <w:sz w:val="24"/>
          <w:szCs w:val="24"/>
          <w:lang w:eastAsia="ro-RO"/>
        </w:rPr>
        <w:t>exigențelor</w:t>
      </w:r>
      <w:r w:rsidRPr="00857E54">
        <w:rPr>
          <w:rFonts w:ascii="Arial" w:eastAsia="Times New Roman" w:hAnsi="Arial" w:cs="Arial"/>
          <w:sz w:val="24"/>
          <w:szCs w:val="24"/>
          <w:lang w:eastAsia="ro-RO"/>
        </w:rPr>
        <w:t xml:space="preserve"> privind administrarea eficientă a sistemului fiscal;</w:t>
      </w:r>
    </w:p>
    <w:p w:rsidR="00593AD9" w:rsidRPr="00857E54" w:rsidRDefault="00593AD9" w:rsidP="00281576">
      <w:pPr>
        <w:keepNext/>
        <w:keepLines/>
        <w:numPr>
          <w:ilvl w:val="0"/>
          <w:numId w:val="30"/>
        </w:numPr>
        <w:autoSpaceDE w:val="0"/>
        <w:autoSpaceDN w:val="0"/>
        <w:adjustRightInd w:val="0"/>
        <w:spacing w:before="120" w:after="0" w:line="276" w:lineRule="auto"/>
        <w:ind w:left="1065"/>
        <w:rPr>
          <w:rFonts w:ascii="Arial" w:eastAsia="Times New Roman" w:hAnsi="Arial" w:cs="Arial"/>
          <w:sz w:val="24"/>
          <w:szCs w:val="24"/>
          <w:lang w:eastAsia="ro-RO"/>
        </w:rPr>
      </w:pPr>
      <w:r w:rsidRPr="00857E54">
        <w:rPr>
          <w:rFonts w:ascii="Arial" w:eastAsia="Times New Roman" w:hAnsi="Arial" w:cs="Arial"/>
          <w:sz w:val="24"/>
          <w:szCs w:val="24"/>
          <w:lang w:eastAsia="ro-RO"/>
        </w:rPr>
        <w:t xml:space="preserve">punerea în </w:t>
      </w:r>
      <w:r w:rsidR="00DA3E29" w:rsidRPr="00857E54">
        <w:rPr>
          <w:rFonts w:ascii="Arial" w:eastAsia="Times New Roman" w:hAnsi="Arial" w:cs="Arial"/>
          <w:sz w:val="24"/>
          <w:szCs w:val="24"/>
          <w:lang w:eastAsia="ro-RO"/>
        </w:rPr>
        <w:t>concordanță</w:t>
      </w:r>
      <w:r w:rsidRPr="00857E54">
        <w:rPr>
          <w:rFonts w:ascii="Arial" w:eastAsia="Times New Roman" w:hAnsi="Arial" w:cs="Arial"/>
          <w:sz w:val="24"/>
          <w:szCs w:val="24"/>
          <w:lang w:eastAsia="ro-RO"/>
        </w:rPr>
        <w:t xml:space="preserve"> cu noile reglementări din Legea nr. 227/2015 privind Codul fiscal, cu modificările şi completările ulterioare, referitoare la calitatea de asigurat în sistemul de asigurări sociale de sănătate şi pentru respectarea dreptului persoanelor asigurate care realizează venituri din </w:t>
      </w:r>
      <w:r w:rsidR="00DA3E29" w:rsidRPr="00857E54">
        <w:rPr>
          <w:rFonts w:ascii="Arial" w:eastAsia="Times New Roman" w:hAnsi="Arial" w:cs="Arial"/>
          <w:sz w:val="24"/>
          <w:szCs w:val="24"/>
          <w:lang w:eastAsia="ro-RO"/>
        </w:rPr>
        <w:t>activități</w:t>
      </w:r>
      <w:r w:rsidRPr="00857E54">
        <w:rPr>
          <w:rFonts w:ascii="Arial" w:eastAsia="Times New Roman" w:hAnsi="Arial" w:cs="Arial"/>
          <w:sz w:val="24"/>
          <w:szCs w:val="24"/>
          <w:lang w:eastAsia="ro-RO"/>
        </w:rPr>
        <w:t xml:space="preserve"> independente, drepturi de proprietate intelectuală, cedarea </w:t>
      </w:r>
      <w:r w:rsidR="00DA3E29" w:rsidRPr="00857E54">
        <w:rPr>
          <w:rFonts w:ascii="Arial" w:eastAsia="Times New Roman" w:hAnsi="Arial" w:cs="Arial"/>
          <w:sz w:val="24"/>
          <w:szCs w:val="24"/>
          <w:lang w:eastAsia="ro-RO"/>
        </w:rPr>
        <w:t>folosinței</w:t>
      </w:r>
      <w:r w:rsidRPr="00857E54">
        <w:rPr>
          <w:rFonts w:ascii="Arial" w:eastAsia="Times New Roman" w:hAnsi="Arial" w:cs="Arial"/>
          <w:sz w:val="24"/>
          <w:szCs w:val="24"/>
          <w:lang w:eastAsia="ro-RO"/>
        </w:rPr>
        <w:t xml:space="preserve"> bunurilor, agricultură, silvicultură, piscicultură, asocieri cu persoane juridice, </w:t>
      </w:r>
      <w:r w:rsidR="00DA3E29" w:rsidRPr="00857E54">
        <w:rPr>
          <w:rFonts w:ascii="Arial" w:eastAsia="Times New Roman" w:hAnsi="Arial" w:cs="Arial"/>
          <w:sz w:val="24"/>
          <w:szCs w:val="24"/>
          <w:lang w:eastAsia="ro-RO"/>
        </w:rPr>
        <w:t>investiții</w:t>
      </w:r>
      <w:r w:rsidRPr="00857E54">
        <w:rPr>
          <w:rFonts w:ascii="Arial" w:eastAsia="Times New Roman" w:hAnsi="Arial" w:cs="Arial"/>
          <w:sz w:val="24"/>
          <w:szCs w:val="24"/>
          <w:lang w:eastAsia="ro-RO"/>
        </w:rPr>
        <w:t xml:space="preserve"> şi alte surse la servicii medicale, medicamente şi dispozitive medicale, în </w:t>
      </w:r>
      <w:r w:rsidR="00DA3E29" w:rsidRPr="00857E54">
        <w:rPr>
          <w:rFonts w:ascii="Arial" w:eastAsia="Times New Roman" w:hAnsi="Arial" w:cs="Arial"/>
          <w:sz w:val="24"/>
          <w:szCs w:val="24"/>
          <w:lang w:eastAsia="ro-RO"/>
        </w:rPr>
        <w:t>funcție</w:t>
      </w:r>
      <w:r w:rsidRPr="00857E54">
        <w:rPr>
          <w:rFonts w:ascii="Arial" w:eastAsia="Times New Roman" w:hAnsi="Arial" w:cs="Arial"/>
          <w:sz w:val="24"/>
          <w:szCs w:val="24"/>
          <w:lang w:eastAsia="ro-RO"/>
        </w:rPr>
        <w:t xml:space="preserve"> de termenul de depunere a </w:t>
      </w:r>
      <w:r w:rsidR="00DA3E29" w:rsidRPr="00857E54">
        <w:rPr>
          <w:rFonts w:ascii="Arial" w:eastAsia="Times New Roman" w:hAnsi="Arial" w:cs="Arial"/>
          <w:sz w:val="24"/>
          <w:szCs w:val="24"/>
          <w:lang w:eastAsia="ro-RO"/>
        </w:rPr>
        <w:t>declarațiilor</w:t>
      </w:r>
      <w:r w:rsidRPr="00857E54">
        <w:rPr>
          <w:rFonts w:ascii="Arial" w:eastAsia="Times New Roman" w:hAnsi="Arial" w:cs="Arial"/>
          <w:sz w:val="24"/>
          <w:szCs w:val="24"/>
          <w:lang w:eastAsia="ro-RO"/>
        </w:rPr>
        <w:t xml:space="preserve"> şi de plată a </w:t>
      </w:r>
      <w:r w:rsidR="00DA3E29" w:rsidRPr="00857E54">
        <w:rPr>
          <w:rFonts w:ascii="Arial" w:eastAsia="Times New Roman" w:hAnsi="Arial" w:cs="Arial"/>
          <w:sz w:val="24"/>
          <w:szCs w:val="24"/>
          <w:lang w:eastAsia="ro-RO"/>
        </w:rPr>
        <w:t>contribuțiilor</w:t>
      </w:r>
      <w:r w:rsidRPr="00857E54">
        <w:rPr>
          <w:rFonts w:ascii="Arial" w:eastAsia="Times New Roman" w:hAnsi="Arial" w:cs="Arial"/>
          <w:sz w:val="24"/>
          <w:szCs w:val="24"/>
          <w:lang w:eastAsia="ro-RO"/>
        </w:rPr>
        <w:t xml:space="preserve"> de asigurări sociale de sănătate.</w:t>
      </w:r>
    </w:p>
    <w:p w:rsidR="00174F48" w:rsidRPr="00857E54" w:rsidRDefault="00174F48" w:rsidP="00281576">
      <w:pPr>
        <w:pStyle w:val="ListParagraph"/>
        <w:keepNext/>
        <w:keepLines/>
        <w:spacing w:after="0"/>
        <w:ind w:left="1395" w:firstLine="0"/>
        <w:contextualSpacing w:val="0"/>
        <w:rPr>
          <w:rFonts w:ascii="Arial" w:hAnsi="Arial" w:cs="Arial"/>
          <w:bCs/>
          <w:sz w:val="24"/>
          <w:szCs w:val="24"/>
        </w:rPr>
      </w:pPr>
    </w:p>
    <w:p w:rsidR="003A0173" w:rsidRPr="00857E54" w:rsidRDefault="003A0173" w:rsidP="00281576">
      <w:pPr>
        <w:keepNext/>
        <w:keepLines/>
        <w:ind w:firstLine="680"/>
        <w:rPr>
          <w:rFonts w:ascii="Arial" w:hAnsi="Arial" w:cs="Arial"/>
          <w:bCs/>
          <w:sz w:val="24"/>
          <w:szCs w:val="24"/>
        </w:rPr>
      </w:pPr>
    </w:p>
    <w:p w:rsidR="00DF66E3" w:rsidRPr="00857E54" w:rsidRDefault="00DF66E3" w:rsidP="00281576">
      <w:pPr>
        <w:keepNext/>
        <w:keepLines/>
        <w:ind w:firstLine="680"/>
        <w:rPr>
          <w:rFonts w:ascii="Arial" w:hAnsi="Arial" w:cs="Arial"/>
          <w:bCs/>
          <w:sz w:val="24"/>
          <w:szCs w:val="24"/>
        </w:rPr>
      </w:pPr>
      <w:r w:rsidRPr="00857E54">
        <w:rPr>
          <w:rFonts w:ascii="Arial" w:hAnsi="Arial" w:cs="Arial"/>
          <w:bCs/>
          <w:sz w:val="24"/>
          <w:szCs w:val="24"/>
        </w:rPr>
        <w:t>Pe partea de cheltuieli</w:t>
      </w:r>
      <w:r w:rsidR="00593AD9" w:rsidRPr="00857E54">
        <w:rPr>
          <w:rFonts w:ascii="Arial" w:hAnsi="Arial" w:cs="Arial"/>
          <w:bCs/>
          <w:sz w:val="24"/>
          <w:szCs w:val="24"/>
        </w:rPr>
        <w:t>:</w:t>
      </w:r>
    </w:p>
    <w:p w:rsidR="00593AD9" w:rsidRPr="00857E54" w:rsidRDefault="00593AD9" w:rsidP="00281576">
      <w:pPr>
        <w:keepNext/>
        <w:keepLines/>
        <w:spacing w:line="276" w:lineRule="auto"/>
        <w:ind w:firstLine="680"/>
        <w:rPr>
          <w:rFonts w:ascii="Arial" w:hAnsi="Arial" w:cs="Arial"/>
          <w:bCs/>
          <w:sz w:val="24"/>
          <w:szCs w:val="24"/>
        </w:rPr>
      </w:pPr>
    </w:p>
    <w:p w:rsidR="00F41DA0" w:rsidRPr="00857E54" w:rsidRDefault="00F41DA0" w:rsidP="00281576">
      <w:pPr>
        <w:keepNext/>
        <w:keepLines/>
        <w:numPr>
          <w:ilvl w:val="0"/>
          <w:numId w:val="32"/>
        </w:numPr>
        <w:spacing w:before="120" w:after="0"/>
        <w:ind w:left="498" w:hanging="426"/>
        <w:rPr>
          <w:rFonts w:ascii="Arial" w:hAnsi="Arial" w:cs="Arial"/>
          <w:sz w:val="24"/>
          <w:szCs w:val="24"/>
        </w:rPr>
      </w:pPr>
      <w:r w:rsidRPr="00857E54">
        <w:rPr>
          <w:rFonts w:ascii="Arial" w:hAnsi="Arial"/>
          <w:b/>
          <w:sz w:val="24"/>
          <w:szCs w:val="24"/>
        </w:rPr>
        <w:t xml:space="preserve">Ordonanța de urgență a Guvernului nr.91/2017 </w:t>
      </w:r>
      <w:r w:rsidRPr="00857E54">
        <w:rPr>
          <w:rFonts w:ascii="Arial" w:hAnsi="Arial" w:cs="Arial"/>
          <w:b/>
          <w:sz w:val="24"/>
          <w:szCs w:val="24"/>
          <w:lang w:eastAsia="ro-RO"/>
        </w:rPr>
        <w:t xml:space="preserve">pentru modificarea şi completarea Legii-cadru nr. 153/2017 privind salarizarea personalului plătit din fonduri publice </w:t>
      </w:r>
      <w:r w:rsidRPr="00857E54">
        <w:rPr>
          <w:rFonts w:ascii="Arial" w:hAnsi="Arial" w:cs="Arial"/>
          <w:sz w:val="24"/>
          <w:szCs w:val="24"/>
          <w:lang w:eastAsia="ro-RO"/>
        </w:rPr>
        <w:t xml:space="preserve">potrivit căreia </w:t>
      </w:r>
      <w:r w:rsidRPr="00857E54">
        <w:rPr>
          <w:rStyle w:val="Emphasis"/>
          <w:rFonts w:ascii="Arial" w:hAnsi="Arial" w:cs="Arial"/>
          <w:i w:val="0"/>
          <w:sz w:val="24"/>
          <w:szCs w:val="24"/>
          <w:shd w:val="clear" w:color="auto" w:fill="FFFFFF"/>
        </w:rPr>
        <w:t xml:space="preserve">se acordă </w:t>
      </w:r>
      <w:r w:rsidRPr="00857E54">
        <w:rPr>
          <w:rFonts w:ascii="Arial" w:hAnsi="Arial" w:cs="Arial"/>
          <w:sz w:val="24"/>
          <w:szCs w:val="24"/>
        </w:rPr>
        <w:t>majorări de drepturi salariale pentru personalul din sistemul sanitar (acordarea indemnizației de hrană, prorogarea până în luna martie a.c. a termenului de încadrare a sporurilor acordate în procentul max.30% din suma salariilor de bază);</w:t>
      </w:r>
    </w:p>
    <w:p w:rsidR="00F41DA0" w:rsidRPr="00857E54" w:rsidRDefault="00F41DA0" w:rsidP="00281576">
      <w:pPr>
        <w:keepNext/>
        <w:keepLines/>
        <w:numPr>
          <w:ilvl w:val="0"/>
          <w:numId w:val="32"/>
        </w:numPr>
        <w:spacing w:before="120" w:after="0"/>
        <w:ind w:left="498" w:hanging="426"/>
        <w:rPr>
          <w:rFonts w:ascii="Arial" w:hAnsi="Arial" w:cs="Arial"/>
          <w:sz w:val="24"/>
          <w:szCs w:val="24"/>
        </w:rPr>
      </w:pPr>
      <w:r w:rsidRPr="00857E54">
        <w:rPr>
          <w:rFonts w:ascii="Arial" w:hAnsi="Arial"/>
          <w:b/>
          <w:sz w:val="24"/>
          <w:szCs w:val="24"/>
        </w:rPr>
        <w:t xml:space="preserve">Legea nr.274/2017 </w:t>
      </w:r>
      <w:r w:rsidRPr="00857E54">
        <w:rPr>
          <w:rFonts w:ascii="Arial" w:hAnsi="Arial" w:cs="Arial"/>
          <w:b/>
          <w:sz w:val="24"/>
          <w:szCs w:val="24"/>
          <w:lang w:eastAsia="ro-RO"/>
        </w:rPr>
        <w:t xml:space="preserve">pentru aprobarea Ordonanței de urgență a Guvernului nr. 62/2017 privind completarea art. II din Legea nr. 152/2017 pentru aprobarea Ordonanței de urgență a Guvernului nr. 99/2016 privind unele măsuri pentru salarizarea personalului plătit din fonduri publice, prorogarea unor termene, precum şi unele măsuri fiscal-bugetare </w:t>
      </w:r>
      <w:r w:rsidRPr="00857E54">
        <w:rPr>
          <w:rFonts w:ascii="Arial" w:hAnsi="Arial" w:cs="Arial"/>
          <w:sz w:val="24"/>
          <w:szCs w:val="24"/>
          <w:lang w:eastAsia="ro-RO"/>
        </w:rPr>
        <w:t>potrivit căreia se acordă majorări salariale astfel:</w:t>
      </w:r>
    </w:p>
    <w:p w:rsidR="00F41DA0" w:rsidRPr="00857E54" w:rsidRDefault="00F41DA0" w:rsidP="00281576">
      <w:pPr>
        <w:keepNext/>
        <w:keepLines/>
        <w:numPr>
          <w:ilvl w:val="0"/>
          <w:numId w:val="36"/>
        </w:numPr>
        <w:autoSpaceDE w:val="0"/>
        <w:autoSpaceDN w:val="0"/>
        <w:adjustRightInd w:val="0"/>
        <w:spacing w:before="120" w:after="0"/>
        <w:rPr>
          <w:rFonts w:ascii="Arial" w:hAnsi="Arial" w:cs="Arial"/>
          <w:sz w:val="24"/>
          <w:szCs w:val="24"/>
          <w:lang w:eastAsia="ro-RO"/>
        </w:rPr>
      </w:pPr>
      <w:r w:rsidRPr="00857E54">
        <w:rPr>
          <w:rFonts w:ascii="Arial" w:hAnsi="Arial" w:cs="Arial"/>
          <w:sz w:val="24"/>
          <w:szCs w:val="24"/>
          <w:lang w:eastAsia="ro-RO"/>
        </w:rPr>
        <w:t xml:space="preserve">30% </w:t>
      </w:r>
      <w:r w:rsidRPr="00857E54">
        <w:rPr>
          <w:rFonts w:ascii="Arial" w:hAnsi="Arial" w:cs="Arial"/>
          <w:sz w:val="24"/>
          <w:szCs w:val="24"/>
        </w:rPr>
        <w:t xml:space="preserve">a salariilor personalului Academiei Oamenilor de Știință din România, cluburilor sportive universitare, Institutului Cultural Român, Secretariatului de Stat pentru Culte, instituții de spectacol; </w:t>
      </w:r>
    </w:p>
    <w:p w:rsidR="00F41DA0" w:rsidRPr="00857E54" w:rsidRDefault="00F41DA0" w:rsidP="00281576">
      <w:pPr>
        <w:keepNext/>
        <w:keepLines/>
        <w:numPr>
          <w:ilvl w:val="0"/>
          <w:numId w:val="36"/>
        </w:numPr>
        <w:autoSpaceDE w:val="0"/>
        <w:autoSpaceDN w:val="0"/>
        <w:adjustRightInd w:val="0"/>
        <w:spacing w:before="120" w:after="0"/>
        <w:rPr>
          <w:rFonts w:ascii="Arial" w:hAnsi="Arial" w:cs="Arial"/>
          <w:sz w:val="24"/>
          <w:szCs w:val="24"/>
          <w:lang w:eastAsia="ro-RO"/>
        </w:rPr>
      </w:pPr>
      <w:r w:rsidRPr="00857E54">
        <w:rPr>
          <w:rFonts w:ascii="Arial" w:hAnsi="Arial" w:cs="Arial"/>
          <w:sz w:val="24"/>
          <w:szCs w:val="24"/>
        </w:rPr>
        <w:lastRenderedPageBreak/>
        <w:t>15% a  salariilor a personalului Ministerului Muncii și Justiției Sociale;</w:t>
      </w:r>
    </w:p>
    <w:p w:rsidR="00F41DA0" w:rsidRPr="00857E54" w:rsidRDefault="00F41DA0" w:rsidP="00281576">
      <w:pPr>
        <w:keepNext/>
        <w:keepLines/>
        <w:numPr>
          <w:ilvl w:val="0"/>
          <w:numId w:val="36"/>
        </w:numPr>
        <w:autoSpaceDE w:val="0"/>
        <w:autoSpaceDN w:val="0"/>
        <w:adjustRightInd w:val="0"/>
        <w:spacing w:before="120" w:after="0"/>
        <w:rPr>
          <w:rFonts w:ascii="Arial" w:hAnsi="Arial" w:cs="Arial"/>
          <w:sz w:val="24"/>
          <w:szCs w:val="24"/>
          <w:lang w:eastAsia="ro-RO"/>
        </w:rPr>
      </w:pPr>
      <w:r w:rsidRPr="00857E54">
        <w:rPr>
          <w:rFonts w:ascii="Arial" w:hAnsi="Arial" w:cs="Arial"/>
          <w:sz w:val="24"/>
          <w:szCs w:val="24"/>
        </w:rPr>
        <w:t>35% a salariilor personalului implicat în Programul Național de Dezvoltare Locală;</w:t>
      </w:r>
    </w:p>
    <w:p w:rsidR="00593AD9" w:rsidRPr="00857E54" w:rsidRDefault="00593AD9" w:rsidP="00281576">
      <w:pPr>
        <w:keepNext/>
        <w:keepLines/>
        <w:numPr>
          <w:ilvl w:val="0"/>
          <w:numId w:val="32"/>
        </w:numPr>
        <w:autoSpaceDE w:val="0"/>
        <w:autoSpaceDN w:val="0"/>
        <w:adjustRightInd w:val="0"/>
        <w:spacing w:before="120" w:after="0" w:line="276" w:lineRule="auto"/>
        <w:ind w:left="498" w:hanging="426"/>
        <w:rPr>
          <w:rFonts w:ascii="Arial" w:eastAsia="Times New Roman" w:hAnsi="Arial" w:cs="Arial"/>
          <w:sz w:val="24"/>
          <w:szCs w:val="24"/>
          <w:lang w:eastAsia="ro-RO"/>
        </w:rPr>
      </w:pPr>
      <w:r w:rsidRPr="00857E54">
        <w:rPr>
          <w:rFonts w:ascii="Arial" w:eastAsia="Times New Roman" w:hAnsi="Arial" w:cs="Arial"/>
          <w:b/>
          <w:sz w:val="24"/>
          <w:szCs w:val="24"/>
        </w:rPr>
        <w:t xml:space="preserve">Legea nr.79/2018 </w:t>
      </w:r>
      <w:r w:rsidRPr="00857E54">
        <w:rPr>
          <w:rFonts w:ascii="Arial" w:eastAsia="Times New Roman" w:hAnsi="Arial" w:cs="Arial"/>
          <w:b/>
          <w:sz w:val="24"/>
          <w:szCs w:val="24"/>
          <w:lang w:eastAsia="ro-RO"/>
        </w:rPr>
        <w:t xml:space="preserve">privind aprobarea </w:t>
      </w:r>
      <w:r w:rsidR="00DA3E29" w:rsidRPr="00857E54">
        <w:rPr>
          <w:rFonts w:ascii="Arial" w:eastAsia="Times New Roman" w:hAnsi="Arial" w:cs="Arial"/>
          <w:b/>
          <w:sz w:val="24"/>
          <w:szCs w:val="24"/>
          <w:lang w:eastAsia="ro-RO"/>
        </w:rPr>
        <w:t>Ordonanței</w:t>
      </w:r>
      <w:r w:rsidRPr="00857E54">
        <w:rPr>
          <w:rFonts w:ascii="Arial" w:eastAsia="Times New Roman" w:hAnsi="Arial" w:cs="Arial"/>
          <w:b/>
          <w:sz w:val="24"/>
          <w:szCs w:val="24"/>
          <w:lang w:eastAsia="ro-RO"/>
        </w:rPr>
        <w:t xml:space="preserve"> de </w:t>
      </w:r>
      <w:r w:rsidR="00DA3E29" w:rsidRPr="00857E54">
        <w:rPr>
          <w:rFonts w:ascii="Arial" w:eastAsia="Times New Roman" w:hAnsi="Arial" w:cs="Arial"/>
          <w:b/>
          <w:sz w:val="24"/>
          <w:szCs w:val="24"/>
          <w:lang w:eastAsia="ro-RO"/>
        </w:rPr>
        <w:t>urgență</w:t>
      </w:r>
      <w:r w:rsidRPr="00857E54">
        <w:rPr>
          <w:rFonts w:ascii="Arial" w:eastAsia="Times New Roman" w:hAnsi="Arial" w:cs="Arial"/>
          <w:b/>
          <w:sz w:val="24"/>
          <w:szCs w:val="24"/>
          <w:lang w:eastAsia="ro-RO"/>
        </w:rPr>
        <w:t xml:space="preserve"> a Guvernului nr. 91/2017 pentru modificarea şi completarea Legii-cadru nr. 153/2017 privind salarizarea personalului plătit din fonduri publice </w:t>
      </w:r>
      <w:r w:rsidRPr="00857E54">
        <w:rPr>
          <w:rFonts w:ascii="Arial" w:eastAsia="Times New Roman" w:hAnsi="Arial" w:cs="Arial"/>
          <w:sz w:val="24"/>
          <w:szCs w:val="24"/>
          <w:lang w:eastAsia="ro-RO"/>
        </w:rPr>
        <w:t>prin care s-au aprobat:</w:t>
      </w:r>
    </w:p>
    <w:p w:rsidR="00593AD9" w:rsidRPr="00857E54" w:rsidRDefault="00593AD9" w:rsidP="00281576">
      <w:pPr>
        <w:keepNext/>
        <w:keepLines/>
        <w:numPr>
          <w:ilvl w:val="0"/>
          <w:numId w:val="34"/>
        </w:numPr>
        <w:autoSpaceDE w:val="0"/>
        <w:autoSpaceDN w:val="0"/>
        <w:adjustRightInd w:val="0"/>
        <w:spacing w:before="120" w:after="0" w:line="276" w:lineRule="auto"/>
        <w:ind w:left="639" w:hanging="141"/>
        <w:rPr>
          <w:rFonts w:ascii="Arial" w:eastAsia="Times New Roman" w:hAnsi="Arial" w:cs="Arial"/>
          <w:sz w:val="24"/>
          <w:szCs w:val="24"/>
          <w:lang w:eastAsia="ro-RO"/>
        </w:rPr>
      </w:pPr>
      <w:r w:rsidRPr="00857E54">
        <w:rPr>
          <w:rFonts w:ascii="Arial" w:eastAsia="Times New Roman" w:hAnsi="Arial" w:cs="Arial"/>
          <w:sz w:val="24"/>
          <w:szCs w:val="24"/>
        </w:rPr>
        <w:t xml:space="preserve">Majorarea salariului de bază cu 15% pentru complexitatea muncii pentru personalul din cadrul aparatului </w:t>
      </w:r>
      <w:r w:rsidR="00DA3E29" w:rsidRPr="00857E54">
        <w:rPr>
          <w:rFonts w:ascii="Arial" w:eastAsia="Times New Roman" w:hAnsi="Arial" w:cs="Arial"/>
          <w:sz w:val="24"/>
          <w:szCs w:val="24"/>
        </w:rPr>
        <w:t>Administrației</w:t>
      </w:r>
      <w:r w:rsidR="007A2B25" w:rsidRPr="00857E54">
        <w:rPr>
          <w:rFonts w:ascii="Arial" w:eastAsia="Times New Roman" w:hAnsi="Arial" w:cs="Arial"/>
          <w:sz w:val="24"/>
          <w:szCs w:val="24"/>
        </w:rPr>
        <w:t xml:space="preserve"> </w:t>
      </w:r>
      <w:r w:rsidR="00DA3E29" w:rsidRPr="00857E54">
        <w:rPr>
          <w:rFonts w:ascii="Arial" w:eastAsia="Times New Roman" w:hAnsi="Arial" w:cs="Arial"/>
          <w:sz w:val="24"/>
          <w:szCs w:val="24"/>
        </w:rPr>
        <w:t>Prezidențiale</w:t>
      </w:r>
      <w:r w:rsidRPr="00857E54">
        <w:rPr>
          <w:rFonts w:ascii="Arial" w:eastAsia="Times New Roman" w:hAnsi="Arial" w:cs="Arial"/>
          <w:sz w:val="24"/>
          <w:szCs w:val="24"/>
        </w:rPr>
        <w:t xml:space="preserve">, Secretariatului General al Guvernului, personalul din serviciile publice deconcentrate ale </w:t>
      </w:r>
      <w:r w:rsidR="00DA3E29" w:rsidRPr="00857E54">
        <w:rPr>
          <w:rFonts w:ascii="Arial" w:eastAsia="Times New Roman" w:hAnsi="Arial" w:cs="Arial"/>
          <w:sz w:val="24"/>
          <w:szCs w:val="24"/>
        </w:rPr>
        <w:t>instituțiilor</w:t>
      </w:r>
      <w:r w:rsidRPr="00857E54">
        <w:rPr>
          <w:rFonts w:ascii="Arial" w:eastAsia="Times New Roman" w:hAnsi="Arial" w:cs="Arial"/>
          <w:sz w:val="24"/>
          <w:szCs w:val="24"/>
        </w:rPr>
        <w:t xml:space="preserve"> din subordinea Ministerului </w:t>
      </w:r>
      <w:r w:rsidR="00DA3E29" w:rsidRPr="00857E54">
        <w:rPr>
          <w:rFonts w:ascii="Arial" w:eastAsia="Times New Roman" w:hAnsi="Arial" w:cs="Arial"/>
          <w:sz w:val="24"/>
          <w:szCs w:val="24"/>
        </w:rPr>
        <w:t>Sănătății</w:t>
      </w:r>
      <w:r w:rsidRPr="00857E54">
        <w:rPr>
          <w:rFonts w:ascii="Arial" w:eastAsia="Times New Roman" w:hAnsi="Arial" w:cs="Arial"/>
          <w:sz w:val="24"/>
          <w:szCs w:val="24"/>
        </w:rPr>
        <w:t xml:space="preserve"> și Ministerului </w:t>
      </w:r>
      <w:r w:rsidR="00DA3E29" w:rsidRPr="00857E54">
        <w:rPr>
          <w:rFonts w:ascii="Arial" w:eastAsia="Times New Roman" w:hAnsi="Arial" w:cs="Arial"/>
          <w:sz w:val="24"/>
          <w:szCs w:val="24"/>
        </w:rPr>
        <w:t>Educației</w:t>
      </w:r>
      <w:r w:rsidR="007A2B25" w:rsidRPr="00857E54">
        <w:rPr>
          <w:rFonts w:ascii="Arial" w:eastAsia="Times New Roman" w:hAnsi="Arial" w:cs="Arial"/>
          <w:sz w:val="24"/>
          <w:szCs w:val="24"/>
        </w:rPr>
        <w:t xml:space="preserve"> </w:t>
      </w:r>
      <w:r w:rsidR="00DA3E29" w:rsidRPr="00857E54">
        <w:rPr>
          <w:rFonts w:ascii="Arial" w:eastAsia="Times New Roman" w:hAnsi="Arial" w:cs="Arial"/>
          <w:sz w:val="24"/>
          <w:szCs w:val="24"/>
        </w:rPr>
        <w:t>Naționale</w:t>
      </w:r>
      <w:r w:rsidRPr="00857E54">
        <w:rPr>
          <w:rFonts w:ascii="Arial" w:eastAsia="Times New Roman" w:hAnsi="Arial" w:cs="Arial"/>
          <w:sz w:val="24"/>
          <w:szCs w:val="24"/>
        </w:rPr>
        <w:t xml:space="preserve">, personalul de specialitate din cadrul </w:t>
      </w:r>
      <w:r w:rsidR="00DA3E29" w:rsidRPr="00857E54">
        <w:rPr>
          <w:rFonts w:ascii="Arial" w:eastAsia="Times New Roman" w:hAnsi="Arial" w:cs="Arial"/>
          <w:sz w:val="24"/>
          <w:szCs w:val="24"/>
        </w:rPr>
        <w:t>Curții</w:t>
      </w:r>
      <w:r w:rsidRPr="00857E54">
        <w:rPr>
          <w:rFonts w:ascii="Arial" w:eastAsia="Times New Roman" w:hAnsi="Arial" w:cs="Arial"/>
          <w:sz w:val="24"/>
          <w:szCs w:val="24"/>
        </w:rPr>
        <w:t xml:space="preserve"> de Conturi și personalul </w:t>
      </w:r>
      <w:r w:rsidR="00DA3E29" w:rsidRPr="00857E54">
        <w:rPr>
          <w:rFonts w:ascii="Arial" w:eastAsia="Times New Roman" w:hAnsi="Arial" w:cs="Arial"/>
          <w:sz w:val="24"/>
          <w:szCs w:val="24"/>
        </w:rPr>
        <w:t>Agenției</w:t>
      </w:r>
      <w:r w:rsidR="007A2B25" w:rsidRPr="00857E54">
        <w:rPr>
          <w:rFonts w:ascii="Arial" w:eastAsia="Times New Roman" w:hAnsi="Arial" w:cs="Arial"/>
          <w:sz w:val="24"/>
          <w:szCs w:val="24"/>
        </w:rPr>
        <w:t xml:space="preserve"> </w:t>
      </w:r>
      <w:r w:rsidR="00DA3E29" w:rsidRPr="00857E54">
        <w:rPr>
          <w:rFonts w:ascii="Arial" w:eastAsia="Times New Roman" w:hAnsi="Arial" w:cs="Arial"/>
          <w:sz w:val="24"/>
          <w:szCs w:val="24"/>
        </w:rPr>
        <w:t>Naționale</w:t>
      </w:r>
      <w:r w:rsidRPr="00857E54">
        <w:rPr>
          <w:rFonts w:ascii="Arial" w:eastAsia="Times New Roman" w:hAnsi="Arial" w:cs="Arial"/>
          <w:sz w:val="24"/>
          <w:szCs w:val="24"/>
        </w:rPr>
        <w:t xml:space="preserve"> pentru Integritate;</w:t>
      </w:r>
    </w:p>
    <w:p w:rsidR="00593AD9" w:rsidRPr="00857E54" w:rsidRDefault="00593AD9" w:rsidP="00281576">
      <w:pPr>
        <w:keepNext/>
        <w:keepLines/>
        <w:numPr>
          <w:ilvl w:val="0"/>
          <w:numId w:val="34"/>
        </w:numPr>
        <w:autoSpaceDE w:val="0"/>
        <w:autoSpaceDN w:val="0"/>
        <w:adjustRightInd w:val="0"/>
        <w:spacing w:before="120" w:after="0" w:line="276" w:lineRule="auto"/>
        <w:ind w:left="639" w:hanging="141"/>
        <w:rPr>
          <w:rFonts w:ascii="Arial" w:eastAsia="Times New Roman" w:hAnsi="Arial" w:cs="Arial"/>
          <w:sz w:val="24"/>
          <w:szCs w:val="24"/>
          <w:lang w:eastAsia="ro-RO"/>
        </w:rPr>
      </w:pPr>
      <w:r w:rsidRPr="00857E54">
        <w:rPr>
          <w:rFonts w:ascii="Arial" w:eastAsia="Times New Roman" w:hAnsi="Arial" w:cs="Arial"/>
          <w:sz w:val="24"/>
          <w:szCs w:val="24"/>
        </w:rPr>
        <w:t xml:space="preserve">Majorarea salariului de bază de 10% pentru complexitatea muncii pentru personalul Consiliului </w:t>
      </w:r>
      <w:r w:rsidR="00DA3E29" w:rsidRPr="00857E54">
        <w:rPr>
          <w:rFonts w:ascii="Arial" w:eastAsia="Times New Roman" w:hAnsi="Arial" w:cs="Arial"/>
          <w:sz w:val="24"/>
          <w:szCs w:val="24"/>
        </w:rPr>
        <w:t>Concurenței</w:t>
      </w:r>
      <w:r w:rsidRPr="00857E54">
        <w:rPr>
          <w:rFonts w:ascii="Arial" w:eastAsia="Times New Roman" w:hAnsi="Arial" w:cs="Arial"/>
          <w:sz w:val="24"/>
          <w:szCs w:val="24"/>
        </w:rPr>
        <w:t xml:space="preserve"> și Oficiului </w:t>
      </w:r>
      <w:r w:rsidR="00DA3E29" w:rsidRPr="00857E54">
        <w:rPr>
          <w:rFonts w:ascii="Arial" w:eastAsia="Times New Roman" w:hAnsi="Arial" w:cs="Arial"/>
          <w:sz w:val="24"/>
          <w:szCs w:val="24"/>
        </w:rPr>
        <w:t>Național</w:t>
      </w:r>
      <w:r w:rsidRPr="00857E54">
        <w:rPr>
          <w:rFonts w:ascii="Arial" w:eastAsia="Times New Roman" w:hAnsi="Arial" w:cs="Arial"/>
          <w:sz w:val="24"/>
          <w:szCs w:val="24"/>
        </w:rPr>
        <w:t xml:space="preserve"> de Prevenire şi Combatere a Spălării Banilor;</w:t>
      </w:r>
    </w:p>
    <w:p w:rsidR="00593AD9" w:rsidRPr="00857E54" w:rsidRDefault="00593AD9" w:rsidP="00281576">
      <w:pPr>
        <w:keepNext/>
        <w:keepLines/>
        <w:numPr>
          <w:ilvl w:val="0"/>
          <w:numId w:val="34"/>
        </w:numPr>
        <w:autoSpaceDE w:val="0"/>
        <w:autoSpaceDN w:val="0"/>
        <w:adjustRightInd w:val="0"/>
        <w:spacing w:before="120" w:after="0" w:line="276" w:lineRule="auto"/>
        <w:ind w:left="639" w:hanging="141"/>
        <w:rPr>
          <w:rFonts w:ascii="Arial" w:eastAsia="Times New Roman" w:hAnsi="Arial" w:cs="Arial"/>
          <w:sz w:val="24"/>
          <w:szCs w:val="24"/>
          <w:lang w:eastAsia="ro-RO"/>
        </w:rPr>
      </w:pPr>
      <w:r w:rsidRPr="00857E54">
        <w:rPr>
          <w:rFonts w:ascii="Arial" w:eastAsia="Times New Roman" w:hAnsi="Arial" w:cs="Arial"/>
          <w:sz w:val="24"/>
          <w:szCs w:val="24"/>
        </w:rPr>
        <w:t xml:space="preserve">Dublarea salariilor de bază ale personalului din cadrul Institutului </w:t>
      </w:r>
      <w:r w:rsidR="00DA3E29" w:rsidRPr="00857E54">
        <w:rPr>
          <w:rFonts w:ascii="Arial" w:eastAsia="Times New Roman" w:hAnsi="Arial" w:cs="Arial"/>
          <w:sz w:val="24"/>
          <w:szCs w:val="24"/>
        </w:rPr>
        <w:t>Național</w:t>
      </w:r>
      <w:r w:rsidRPr="00857E54">
        <w:rPr>
          <w:rFonts w:ascii="Arial" w:eastAsia="Times New Roman" w:hAnsi="Arial" w:cs="Arial"/>
          <w:sz w:val="24"/>
          <w:szCs w:val="24"/>
        </w:rPr>
        <w:t xml:space="preserve"> pentru Studierea Holocaustului din România «Elie Wiesel»;</w:t>
      </w:r>
    </w:p>
    <w:p w:rsidR="00593AD9" w:rsidRPr="00857E54" w:rsidRDefault="00593AD9" w:rsidP="00281576">
      <w:pPr>
        <w:keepNext/>
        <w:keepLines/>
        <w:numPr>
          <w:ilvl w:val="0"/>
          <w:numId w:val="34"/>
        </w:numPr>
        <w:autoSpaceDE w:val="0"/>
        <w:autoSpaceDN w:val="0"/>
        <w:adjustRightInd w:val="0"/>
        <w:spacing w:before="120" w:after="0" w:line="276" w:lineRule="auto"/>
        <w:ind w:left="639" w:hanging="141"/>
        <w:rPr>
          <w:rFonts w:ascii="Arial" w:eastAsia="Times New Roman" w:hAnsi="Arial" w:cs="Arial"/>
          <w:sz w:val="24"/>
          <w:szCs w:val="24"/>
          <w:lang w:eastAsia="ro-RO"/>
        </w:rPr>
      </w:pPr>
      <w:r w:rsidRPr="00857E54">
        <w:rPr>
          <w:rFonts w:ascii="Arial" w:eastAsia="Times New Roman" w:hAnsi="Arial" w:cs="Arial"/>
          <w:sz w:val="24"/>
          <w:szCs w:val="24"/>
        </w:rPr>
        <w:t xml:space="preserve">Acordarea unei </w:t>
      </w:r>
      <w:r w:rsidR="00DA3E29" w:rsidRPr="00857E54">
        <w:rPr>
          <w:rFonts w:ascii="Arial" w:eastAsia="Times New Roman" w:hAnsi="Arial" w:cs="Arial"/>
          <w:sz w:val="24"/>
          <w:szCs w:val="24"/>
        </w:rPr>
        <w:t>indemnizații</w:t>
      </w:r>
      <w:r w:rsidRPr="00857E54">
        <w:rPr>
          <w:rFonts w:ascii="Arial" w:eastAsia="Times New Roman" w:hAnsi="Arial" w:cs="Arial"/>
          <w:sz w:val="24"/>
          <w:szCs w:val="24"/>
        </w:rPr>
        <w:t xml:space="preserve"> de 10% din solda de </w:t>
      </w:r>
      <w:r w:rsidR="00DA3E29" w:rsidRPr="00857E54">
        <w:rPr>
          <w:rFonts w:ascii="Arial" w:eastAsia="Times New Roman" w:hAnsi="Arial" w:cs="Arial"/>
          <w:sz w:val="24"/>
          <w:szCs w:val="24"/>
        </w:rPr>
        <w:t>funcție</w:t>
      </w:r>
      <w:r w:rsidRPr="00857E54">
        <w:rPr>
          <w:rFonts w:ascii="Arial" w:eastAsia="Times New Roman" w:hAnsi="Arial" w:cs="Arial"/>
          <w:sz w:val="24"/>
          <w:szCs w:val="24"/>
        </w:rPr>
        <w:t xml:space="preserve"> pentru jandarmii participanți la misiuni de asigurare şi restabilire a ordinii publice, precum şi de combatere a </w:t>
      </w:r>
      <w:r w:rsidR="00DA3E29" w:rsidRPr="00857E54">
        <w:rPr>
          <w:rFonts w:ascii="Arial" w:eastAsia="Times New Roman" w:hAnsi="Arial" w:cs="Arial"/>
          <w:sz w:val="24"/>
          <w:szCs w:val="24"/>
        </w:rPr>
        <w:t>infracționalității</w:t>
      </w:r>
      <w:r w:rsidRPr="00857E54">
        <w:rPr>
          <w:rFonts w:ascii="Arial" w:eastAsia="Times New Roman" w:hAnsi="Arial" w:cs="Arial"/>
          <w:sz w:val="24"/>
          <w:szCs w:val="24"/>
        </w:rPr>
        <w:t xml:space="preserve"> în zona de responsabilitate teritorială și pentru membrii grupelor de </w:t>
      </w:r>
      <w:r w:rsidR="00DA3E29" w:rsidRPr="00857E54">
        <w:rPr>
          <w:rFonts w:ascii="Arial" w:eastAsia="Times New Roman" w:hAnsi="Arial" w:cs="Arial"/>
          <w:sz w:val="24"/>
          <w:szCs w:val="24"/>
        </w:rPr>
        <w:t>intervenție</w:t>
      </w:r>
      <w:r w:rsidRPr="00857E54">
        <w:rPr>
          <w:rFonts w:ascii="Arial" w:eastAsia="Times New Roman" w:hAnsi="Arial" w:cs="Arial"/>
          <w:sz w:val="24"/>
          <w:szCs w:val="24"/>
        </w:rPr>
        <w:t>;</w:t>
      </w:r>
    </w:p>
    <w:p w:rsidR="00593AD9" w:rsidRPr="00857E54" w:rsidRDefault="00593AD9" w:rsidP="00281576">
      <w:pPr>
        <w:keepNext/>
        <w:keepLines/>
        <w:numPr>
          <w:ilvl w:val="0"/>
          <w:numId w:val="34"/>
        </w:numPr>
        <w:autoSpaceDE w:val="0"/>
        <w:autoSpaceDN w:val="0"/>
        <w:adjustRightInd w:val="0"/>
        <w:spacing w:before="120" w:after="0" w:line="276" w:lineRule="auto"/>
        <w:ind w:left="639" w:hanging="141"/>
        <w:rPr>
          <w:rFonts w:ascii="Arial" w:eastAsia="Times New Roman" w:hAnsi="Arial" w:cs="Arial"/>
          <w:sz w:val="24"/>
          <w:szCs w:val="24"/>
          <w:lang w:eastAsia="ro-RO"/>
        </w:rPr>
      </w:pPr>
      <w:r w:rsidRPr="00857E54">
        <w:rPr>
          <w:rFonts w:ascii="Arial" w:eastAsia="Times New Roman" w:hAnsi="Arial" w:cs="Arial"/>
          <w:sz w:val="24"/>
          <w:szCs w:val="24"/>
          <w:lang w:eastAsia="ro-RO"/>
        </w:rPr>
        <w:t xml:space="preserve">Plata orelor </w:t>
      </w:r>
      <w:r w:rsidRPr="00857E54">
        <w:rPr>
          <w:rFonts w:ascii="Arial" w:eastAsia="Times New Roman" w:hAnsi="Arial" w:cs="Arial"/>
          <w:sz w:val="24"/>
          <w:szCs w:val="24"/>
        </w:rPr>
        <w:t xml:space="preserve">suplimentare </w:t>
      </w:r>
      <w:r w:rsidR="00DA3E29" w:rsidRPr="00857E54">
        <w:rPr>
          <w:rFonts w:ascii="Arial" w:eastAsia="Times New Roman" w:hAnsi="Arial" w:cs="Arial"/>
          <w:sz w:val="24"/>
          <w:szCs w:val="24"/>
        </w:rPr>
        <w:t>efectuate</w:t>
      </w:r>
      <w:r w:rsidRPr="00857E54">
        <w:rPr>
          <w:rFonts w:ascii="Arial" w:eastAsia="Times New Roman" w:hAnsi="Arial" w:cs="Arial"/>
          <w:sz w:val="24"/>
          <w:szCs w:val="24"/>
        </w:rPr>
        <w:t xml:space="preserve"> în afara programului normal de lucru pentru </w:t>
      </w:r>
      <w:r w:rsidRPr="00857E54">
        <w:rPr>
          <w:rFonts w:ascii="Arial" w:eastAsia="Times New Roman" w:hAnsi="Arial" w:cs="Arial"/>
          <w:sz w:val="24"/>
          <w:szCs w:val="24"/>
          <w:lang w:eastAsia="ro-RO"/>
        </w:rPr>
        <w:t xml:space="preserve">personalul cu statut special care are </w:t>
      </w:r>
      <w:r w:rsidR="00DA3E29" w:rsidRPr="00857E54">
        <w:rPr>
          <w:rFonts w:ascii="Arial" w:eastAsia="Times New Roman" w:hAnsi="Arial" w:cs="Arial"/>
          <w:sz w:val="24"/>
          <w:szCs w:val="24"/>
          <w:lang w:eastAsia="ro-RO"/>
        </w:rPr>
        <w:t>atribuții</w:t>
      </w:r>
      <w:r w:rsidRPr="00857E54">
        <w:rPr>
          <w:rFonts w:ascii="Arial" w:eastAsia="Times New Roman" w:hAnsi="Arial" w:cs="Arial"/>
          <w:sz w:val="24"/>
          <w:szCs w:val="24"/>
          <w:lang w:eastAsia="ro-RO"/>
        </w:rPr>
        <w:t xml:space="preserve"> pentru </w:t>
      </w:r>
      <w:r w:rsidR="00DA3E29" w:rsidRPr="00857E54">
        <w:rPr>
          <w:rFonts w:ascii="Arial" w:eastAsia="Times New Roman" w:hAnsi="Arial" w:cs="Arial"/>
          <w:sz w:val="24"/>
          <w:szCs w:val="24"/>
          <w:lang w:eastAsia="ro-RO"/>
        </w:rPr>
        <w:t>desfășurarea</w:t>
      </w:r>
      <w:r w:rsidR="007A2B25" w:rsidRPr="00857E54">
        <w:rPr>
          <w:rFonts w:ascii="Arial" w:eastAsia="Times New Roman" w:hAnsi="Arial" w:cs="Arial"/>
          <w:sz w:val="24"/>
          <w:szCs w:val="24"/>
          <w:lang w:eastAsia="ro-RO"/>
        </w:rPr>
        <w:t xml:space="preserve"> </w:t>
      </w:r>
      <w:r w:rsidR="00DA3E29" w:rsidRPr="00857E54">
        <w:rPr>
          <w:rFonts w:ascii="Arial" w:eastAsia="Times New Roman" w:hAnsi="Arial" w:cs="Arial"/>
          <w:sz w:val="24"/>
          <w:szCs w:val="24"/>
          <w:lang w:eastAsia="ro-RO"/>
        </w:rPr>
        <w:t>activităților</w:t>
      </w:r>
      <w:r w:rsidRPr="00857E54">
        <w:rPr>
          <w:rFonts w:ascii="Arial" w:eastAsia="Times New Roman" w:hAnsi="Arial" w:cs="Arial"/>
          <w:sz w:val="24"/>
          <w:szCs w:val="24"/>
          <w:lang w:eastAsia="ro-RO"/>
        </w:rPr>
        <w:t xml:space="preserve"> deosebite cu caracter operativ sau neprevăzut în domeniul ordinii şi </w:t>
      </w:r>
      <w:r w:rsidR="00DA3E29" w:rsidRPr="00857E54">
        <w:rPr>
          <w:rFonts w:ascii="Arial" w:eastAsia="Times New Roman" w:hAnsi="Arial" w:cs="Arial"/>
          <w:sz w:val="24"/>
          <w:szCs w:val="24"/>
          <w:lang w:eastAsia="ro-RO"/>
        </w:rPr>
        <w:t>siguranței</w:t>
      </w:r>
      <w:r w:rsidRPr="00857E54">
        <w:rPr>
          <w:rFonts w:ascii="Arial" w:eastAsia="Times New Roman" w:hAnsi="Arial" w:cs="Arial"/>
          <w:sz w:val="24"/>
          <w:szCs w:val="24"/>
          <w:lang w:eastAsia="ro-RO"/>
        </w:rPr>
        <w:t xml:space="preserve"> publice, în respectarea regimului frontierei de stat a României, în </w:t>
      </w:r>
      <w:r w:rsidR="00DA3E29" w:rsidRPr="00857E54">
        <w:rPr>
          <w:rFonts w:ascii="Arial" w:eastAsia="Times New Roman" w:hAnsi="Arial" w:cs="Arial"/>
          <w:sz w:val="24"/>
          <w:szCs w:val="24"/>
          <w:lang w:eastAsia="ro-RO"/>
        </w:rPr>
        <w:t>situații</w:t>
      </w:r>
      <w:r w:rsidRPr="00857E54">
        <w:rPr>
          <w:rFonts w:ascii="Arial" w:eastAsia="Times New Roman" w:hAnsi="Arial" w:cs="Arial"/>
          <w:sz w:val="24"/>
          <w:szCs w:val="24"/>
          <w:lang w:eastAsia="ro-RO"/>
        </w:rPr>
        <w:t xml:space="preserve"> de </w:t>
      </w:r>
      <w:r w:rsidR="00DA3E29" w:rsidRPr="00857E54">
        <w:rPr>
          <w:rFonts w:ascii="Arial" w:eastAsia="Times New Roman" w:hAnsi="Arial" w:cs="Arial"/>
          <w:sz w:val="24"/>
          <w:szCs w:val="24"/>
          <w:lang w:eastAsia="ro-RO"/>
        </w:rPr>
        <w:t>urgență</w:t>
      </w:r>
      <w:r w:rsidRPr="00857E54">
        <w:rPr>
          <w:rFonts w:ascii="Arial" w:eastAsia="Times New Roman" w:hAnsi="Arial" w:cs="Arial"/>
          <w:sz w:val="24"/>
          <w:szCs w:val="24"/>
          <w:lang w:eastAsia="ro-RO"/>
        </w:rPr>
        <w:t xml:space="preserve">, în personalizarea, emiterea şi </w:t>
      </w:r>
      <w:r w:rsidR="00DA3E29" w:rsidRPr="00857E54">
        <w:rPr>
          <w:rFonts w:ascii="Arial" w:eastAsia="Times New Roman" w:hAnsi="Arial" w:cs="Arial"/>
          <w:sz w:val="24"/>
          <w:szCs w:val="24"/>
          <w:lang w:eastAsia="ro-RO"/>
        </w:rPr>
        <w:t>evidența</w:t>
      </w:r>
      <w:r w:rsidRPr="00857E54">
        <w:rPr>
          <w:rFonts w:ascii="Arial" w:eastAsia="Times New Roman" w:hAnsi="Arial" w:cs="Arial"/>
          <w:sz w:val="24"/>
          <w:szCs w:val="24"/>
          <w:lang w:eastAsia="ro-RO"/>
        </w:rPr>
        <w:t xml:space="preserve"> generală a documentelor de identitate şi a </w:t>
      </w:r>
      <w:r w:rsidR="00DA3E29" w:rsidRPr="00857E54">
        <w:rPr>
          <w:rFonts w:ascii="Arial" w:eastAsia="Times New Roman" w:hAnsi="Arial" w:cs="Arial"/>
          <w:sz w:val="24"/>
          <w:szCs w:val="24"/>
          <w:lang w:eastAsia="ro-RO"/>
        </w:rPr>
        <w:t>pașapoartelor</w:t>
      </w:r>
      <w:r w:rsidRPr="00857E54">
        <w:rPr>
          <w:rFonts w:ascii="Arial" w:eastAsia="Times New Roman" w:hAnsi="Arial" w:cs="Arial"/>
          <w:sz w:val="24"/>
          <w:szCs w:val="24"/>
          <w:lang w:eastAsia="ro-RO"/>
        </w:rPr>
        <w:t xml:space="preserve"> simple, în emiterea şi </w:t>
      </w:r>
      <w:r w:rsidR="00DA3E29" w:rsidRPr="00857E54">
        <w:rPr>
          <w:rFonts w:ascii="Arial" w:eastAsia="Times New Roman" w:hAnsi="Arial" w:cs="Arial"/>
          <w:sz w:val="24"/>
          <w:szCs w:val="24"/>
          <w:lang w:eastAsia="ro-RO"/>
        </w:rPr>
        <w:t>evidența</w:t>
      </w:r>
      <w:r w:rsidRPr="00857E54">
        <w:rPr>
          <w:rFonts w:ascii="Arial" w:eastAsia="Times New Roman" w:hAnsi="Arial" w:cs="Arial"/>
          <w:sz w:val="24"/>
          <w:szCs w:val="24"/>
          <w:lang w:eastAsia="ro-RO"/>
        </w:rPr>
        <w:t xml:space="preserve"> permiselor de conducere şi a certificatelor de înmatriculare ale autovehiculelor rutiere, precum şi de către </w:t>
      </w:r>
      <w:r w:rsidR="00DA3E29" w:rsidRPr="00857E54">
        <w:rPr>
          <w:rFonts w:ascii="Arial" w:eastAsia="Times New Roman" w:hAnsi="Arial" w:cs="Arial"/>
          <w:sz w:val="24"/>
          <w:szCs w:val="24"/>
          <w:lang w:eastAsia="ro-RO"/>
        </w:rPr>
        <w:t>funcționarii</w:t>
      </w:r>
      <w:r w:rsidRPr="00857E54">
        <w:rPr>
          <w:rFonts w:ascii="Arial" w:eastAsia="Times New Roman" w:hAnsi="Arial" w:cs="Arial"/>
          <w:sz w:val="24"/>
          <w:szCs w:val="24"/>
          <w:lang w:eastAsia="ro-RO"/>
        </w:rPr>
        <w:t xml:space="preserve"> publici cu statut special din sistemul </w:t>
      </w:r>
      <w:r w:rsidR="00DA3E29" w:rsidRPr="00857E54">
        <w:rPr>
          <w:rFonts w:ascii="Arial" w:eastAsia="Times New Roman" w:hAnsi="Arial" w:cs="Arial"/>
          <w:sz w:val="24"/>
          <w:szCs w:val="24"/>
          <w:lang w:eastAsia="ro-RO"/>
        </w:rPr>
        <w:t>administrației</w:t>
      </w:r>
      <w:r w:rsidRPr="00857E54">
        <w:rPr>
          <w:rFonts w:ascii="Arial" w:eastAsia="Times New Roman" w:hAnsi="Arial" w:cs="Arial"/>
          <w:sz w:val="24"/>
          <w:szCs w:val="24"/>
          <w:lang w:eastAsia="ro-RO"/>
        </w:rPr>
        <w:t xml:space="preserve"> penitenciare.</w:t>
      </w:r>
    </w:p>
    <w:p w:rsidR="00593AD9" w:rsidRPr="00857E54" w:rsidRDefault="00593AD9" w:rsidP="00281576">
      <w:pPr>
        <w:keepNext/>
        <w:keepLines/>
        <w:numPr>
          <w:ilvl w:val="0"/>
          <w:numId w:val="32"/>
        </w:numPr>
        <w:autoSpaceDE w:val="0"/>
        <w:autoSpaceDN w:val="0"/>
        <w:adjustRightInd w:val="0"/>
        <w:spacing w:before="120" w:after="0" w:line="276" w:lineRule="auto"/>
        <w:ind w:left="498" w:hanging="426"/>
        <w:rPr>
          <w:rFonts w:ascii="Arial" w:eastAsia="Times New Roman" w:hAnsi="Arial" w:cs="Arial"/>
          <w:sz w:val="24"/>
          <w:szCs w:val="24"/>
          <w:lang w:eastAsia="ro-RO"/>
        </w:rPr>
      </w:pPr>
      <w:r w:rsidRPr="00857E54">
        <w:rPr>
          <w:rFonts w:ascii="Arial" w:eastAsia="Times New Roman" w:hAnsi="Arial" w:cs="Arial"/>
          <w:b/>
          <w:sz w:val="24"/>
          <w:szCs w:val="24"/>
        </w:rPr>
        <w:t xml:space="preserve">Legea nr.80/2018 </w:t>
      </w:r>
      <w:r w:rsidRPr="00857E54">
        <w:rPr>
          <w:rFonts w:ascii="Arial" w:eastAsia="Times New Roman" w:hAnsi="Arial" w:cs="Arial"/>
          <w:b/>
          <w:sz w:val="24"/>
          <w:szCs w:val="24"/>
          <w:lang w:eastAsia="ro-RO"/>
        </w:rPr>
        <w:t xml:space="preserve">privind aprobarea </w:t>
      </w:r>
      <w:r w:rsidR="00DA3E29" w:rsidRPr="00857E54">
        <w:rPr>
          <w:rFonts w:ascii="Arial" w:eastAsia="Times New Roman" w:hAnsi="Arial" w:cs="Arial"/>
          <w:b/>
          <w:sz w:val="24"/>
          <w:szCs w:val="24"/>
          <w:lang w:eastAsia="ro-RO"/>
        </w:rPr>
        <w:t>Ordonanței</w:t>
      </w:r>
      <w:r w:rsidRPr="00857E54">
        <w:rPr>
          <w:rFonts w:ascii="Arial" w:eastAsia="Times New Roman" w:hAnsi="Arial" w:cs="Arial"/>
          <w:b/>
          <w:sz w:val="24"/>
          <w:szCs w:val="24"/>
          <w:lang w:eastAsia="ro-RO"/>
        </w:rPr>
        <w:t xml:space="preserve"> de </w:t>
      </w:r>
      <w:r w:rsidR="00DA3E29" w:rsidRPr="00857E54">
        <w:rPr>
          <w:rFonts w:ascii="Arial" w:eastAsia="Times New Roman" w:hAnsi="Arial" w:cs="Arial"/>
          <w:b/>
          <w:sz w:val="24"/>
          <w:szCs w:val="24"/>
          <w:lang w:eastAsia="ro-RO"/>
        </w:rPr>
        <w:t>urgență</w:t>
      </w:r>
      <w:r w:rsidRPr="00857E54">
        <w:rPr>
          <w:rFonts w:ascii="Arial" w:eastAsia="Times New Roman" w:hAnsi="Arial" w:cs="Arial"/>
          <w:b/>
          <w:sz w:val="24"/>
          <w:szCs w:val="24"/>
          <w:lang w:eastAsia="ro-RO"/>
        </w:rPr>
        <w:t xml:space="preserve"> a Guvernului nr. 90/2017 privind unele măsuri fiscal-bugetare, modificarea şi completarea unor acte normative şi prorogarea unor termene </w:t>
      </w:r>
      <w:r w:rsidRPr="00857E54">
        <w:rPr>
          <w:rFonts w:ascii="Arial" w:eastAsia="Times New Roman" w:hAnsi="Arial" w:cs="Arial"/>
          <w:sz w:val="24"/>
          <w:szCs w:val="24"/>
          <w:lang w:eastAsia="ro-RO"/>
        </w:rPr>
        <w:t>prin care s-au aprobat</w:t>
      </w:r>
      <w:r w:rsidRPr="00857E54">
        <w:rPr>
          <w:rFonts w:ascii="Arial" w:eastAsia="Times New Roman" w:hAnsi="Arial" w:cs="Arial"/>
          <w:b/>
          <w:sz w:val="24"/>
          <w:szCs w:val="24"/>
          <w:lang w:eastAsia="ro-RO"/>
        </w:rPr>
        <w:t>:</w:t>
      </w:r>
    </w:p>
    <w:p w:rsidR="000D2C11" w:rsidRPr="00857E54" w:rsidRDefault="00593AD9" w:rsidP="00281576">
      <w:pPr>
        <w:keepNext/>
        <w:keepLines/>
        <w:numPr>
          <w:ilvl w:val="0"/>
          <w:numId w:val="33"/>
        </w:numPr>
        <w:autoSpaceDE w:val="0"/>
        <w:autoSpaceDN w:val="0"/>
        <w:adjustRightInd w:val="0"/>
        <w:spacing w:before="120" w:after="0" w:line="276" w:lineRule="auto"/>
        <w:ind w:left="781" w:hanging="283"/>
        <w:rPr>
          <w:rFonts w:ascii="Arial" w:eastAsia="Times New Roman" w:hAnsi="Arial" w:cs="Arial"/>
          <w:sz w:val="24"/>
          <w:szCs w:val="24"/>
        </w:rPr>
      </w:pPr>
      <w:r w:rsidRPr="00857E54">
        <w:rPr>
          <w:rFonts w:ascii="Arial" w:eastAsia="Times New Roman" w:hAnsi="Arial" w:cs="Arial"/>
          <w:sz w:val="24"/>
          <w:szCs w:val="24"/>
        </w:rPr>
        <w:t xml:space="preserve">Majorarea cu 20% a salariilor personalului civil din cadrul </w:t>
      </w:r>
      <w:r w:rsidR="00DA3E29" w:rsidRPr="00857E54">
        <w:rPr>
          <w:rFonts w:ascii="Arial" w:eastAsia="Times New Roman" w:hAnsi="Arial" w:cs="Arial"/>
          <w:sz w:val="24"/>
          <w:szCs w:val="24"/>
        </w:rPr>
        <w:t>instituțiilor</w:t>
      </w:r>
      <w:r w:rsidRPr="00857E54">
        <w:rPr>
          <w:rFonts w:ascii="Arial" w:eastAsia="Times New Roman" w:hAnsi="Arial" w:cs="Arial"/>
          <w:sz w:val="24"/>
          <w:szCs w:val="24"/>
        </w:rPr>
        <w:t xml:space="preserve"> publice de spectacole sau concerte aflate în subordinea </w:t>
      </w:r>
      <w:r w:rsidR="00DA3E29" w:rsidRPr="00857E54">
        <w:rPr>
          <w:rFonts w:ascii="Arial" w:eastAsia="Times New Roman" w:hAnsi="Arial" w:cs="Arial"/>
          <w:sz w:val="24"/>
          <w:szCs w:val="24"/>
        </w:rPr>
        <w:t>instituțiilor</w:t>
      </w:r>
      <w:r w:rsidRPr="00857E54">
        <w:rPr>
          <w:rFonts w:ascii="Arial" w:eastAsia="Times New Roman" w:hAnsi="Arial" w:cs="Arial"/>
          <w:sz w:val="24"/>
          <w:szCs w:val="24"/>
        </w:rPr>
        <w:t xml:space="preserve"> publice de apărare, ordine publică şi </w:t>
      </w:r>
      <w:r w:rsidR="00DA3E29" w:rsidRPr="00857E54">
        <w:rPr>
          <w:rFonts w:ascii="Arial" w:eastAsia="Times New Roman" w:hAnsi="Arial" w:cs="Arial"/>
          <w:sz w:val="24"/>
          <w:szCs w:val="24"/>
        </w:rPr>
        <w:t>siguranță</w:t>
      </w:r>
      <w:r w:rsidR="007A2B25" w:rsidRPr="00857E54">
        <w:rPr>
          <w:rFonts w:ascii="Arial" w:eastAsia="Times New Roman" w:hAnsi="Arial" w:cs="Arial"/>
          <w:sz w:val="24"/>
          <w:szCs w:val="24"/>
        </w:rPr>
        <w:t xml:space="preserve"> </w:t>
      </w:r>
      <w:r w:rsidR="00DA3E29" w:rsidRPr="00857E54">
        <w:rPr>
          <w:rFonts w:ascii="Arial" w:eastAsia="Times New Roman" w:hAnsi="Arial" w:cs="Arial"/>
          <w:sz w:val="24"/>
          <w:szCs w:val="24"/>
        </w:rPr>
        <w:t>națională</w:t>
      </w:r>
      <w:r w:rsidRPr="00857E54">
        <w:rPr>
          <w:rFonts w:ascii="Arial" w:eastAsia="Times New Roman" w:hAnsi="Arial" w:cs="Arial"/>
          <w:sz w:val="24"/>
          <w:szCs w:val="24"/>
        </w:rPr>
        <w:t>;</w:t>
      </w:r>
    </w:p>
    <w:p w:rsidR="00593AD9" w:rsidRPr="00857E54" w:rsidRDefault="00593AD9" w:rsidP="00281576">
      <w:pPr>
        <w:keepNext/>
        <w:keepLines/>
        <w:numPr>
          <w:ilvl w:val="0"/>
          <w:numId w:val="33"/>
        </w:numPr>
        <w:autoSpaceDE w:val="0"/>
        <w:autoSpaceDN w:val="0"/>
        <w:adjustRightInd w:val="0"/>
        <w:spacing w:before="120" w:after="0" w:line="276" w:lineRule="auto"/>
        <w:ind w:left="781" w:hanging="283"/>
        <w:rPr>
          <w:rFonts w:ascii="Arial" w:eastAsia="Times New Roman" w:hAnsi="Arial" w:cs="Arial"/>
          <w:sz w:val="24"/>
          <w:szCs w:val="24"/>
        </w:rPr>
      </w:pPr>
      <w:r w:rsidRPr="00857E54">
        <w:rPr>
          <w:rFonts w:ascii="Arial" w:eastAsia="Times New Roman" w:hAnsi="Arial" w:cs="Arial"/>
          <w:sz w:val="24"/>
          <w:szCs w:val="24"/>
        </w:rPr>
        <w:t xml:space="preserve">Majorarea cu 20% a salariilor </w:t>
      </w:r>
      <w:r w:rsidRPr="00857E54">
        <w:rPr>
          <w:rFonts w:ascii="Arial" w:eastAsia="Times New Roman" w:hAnsi="Arial" w:cs="Arial"/>
          <w:sz w:val="24"/>
          <w:szCs w:val="24"/>
          <w:lang w:eastAsia="ro-RO"/>
        </w:rPr>
        <w:t xml:space="preserve">personalului din cadrul </w:t>
      </w:r>
      <w:r w:rsidR="00DA3E29" w:rsidRPr="00857E54">
        <w:rPr>
          <w:rFonts w:ascii="Arial" w:eastAsia="Times New Roman" w:hAnsi="Arial" w:cs="Arial"/>
          <w:sz w:val="24"/>
          <w:szCs w:val="24"/>
          <w:lang w:eastAsia="ro-RO"/>
        </w:rPr>
        <w:t>Agenției</w:t>
      </w:r>
      <w:r w:rsidRPr="00857E54">
        <w:rPr>
          <w:rFonts w:ascii="Arial" w:eastAsia="Times New Roman" w:hAnsi="Arial" w:cs="Arial"/>
          <w:sz w:val="24"/>
          <w:szCs w:val="24"/>
          <w:lang w:eastAsia="ro-RO"/>
        </w:rPr>
        <w:t xml:space="preserve"> Române de Asigurare a </w:t>
      </w:r>
      <w:r w:rsidR="00DA3E29" w:rsidRPr="00857E54">
        <w:rPr>
          <w:rFonts w:ascii="Arial" w:eastAsia="Times New Roman" w:hAnsi="Arial" w:cs="Arial"/>
          <w:sz w:val="24"/>
          <w:szCs w:val="24"/>
          <w:lang w:eastAsia="ro-RO"/>
        </w:rPr>
        <w:t>Calității</w:t>
      </w:r>
      <w:r w:rsidRPr="00857E54">
        <w:rPr>
          <w:rFonts w:ascii="Arial" w:eastAsia="Times New Roman" w:hAnsi="Arial" w:cs="Arial"/>
          <w:sz w:val="24"/>
          <w:szCs w:val="24"/>
          <w:lang w:eastAsia="ro-RO"/>
        </w:rPr>
        <w:t xml:space="preserve"> în </w:t>
      </w:r>
      <w:r w:rsidR="00DA3E29" w:rsidRPr="00857E54">
        <w:rPr>
          <w:rFonts w:ascii="Arial" w:eastAsia="Times New Roman" w:hAnsi="Arial" w:cs="Arial"/>
          <w:sz w:val="24"/>
          <w:szCs w:val="24"/>
          <w:lang w:eastAsia="ro-RO"/>
        </w:rPr>
        <w:t>Învățământul</w:t>
      </w:r>
      <w:r w:rsidRPr="00857E54">
        <w:rPr>
          <w:rFonts w:ascii="Arial" w:eastAsia="Times New Roman" w:hAnsi="Arial" w:cs="Arial"/>
          <w:sz w:val="24"/>
          <w:szCs w:val="24"/>
          <w:lang w:eastAsia="ro-RO"/>
        </w:rPr>
        <w:t xml:space="preserve"> Superior;</w:t>
      </w:r>
    </w:p>
    <w:p w:rsidR="00593AD9" w:rsidRPr="00857E54" w:rsidRDefault="00593AD9" w:rsidP="00281576">
      <w:pPr>
        <w:keepNext/>
        <w:keepLines/>
        <w:numPr>
          <w:ilvl w:val="0"/>
          <w:numId w:val="33"/>
        </w:numPr>
        <w:autoSpaceDE w:val="0"/>
        <w:autoSpaceDN w:val="0"/>
        <w:adjustRightInd w:val="0"/>
        <w:spacing w:before="120" w:after="0" w:line="276" w:lineRule="auto"/>
        <w:ind w:left="781" w:hanging="283"/>
        <w:rPr>
          <w:rFonts w:ascii="Arial" w:eastAsia="Times New Roman" w:hAnsi="Arial" w:cs="Arial"/>
          <w:sz w:val="24"/>
          <w:szCs w:val="24"/>
        </w:rPr>
      </w:pPr>
      <w:r w:rsidRPr="00857E54">
        <w:rPr>
          <w:rFonts w:ascii="Arial" w:eastAsia="Times New Roman" w:hAnsi="Arial" w:cs="Arial"/>
          <w:sz w:val="24"/>
          <w:szCs w:val="24"/>
        </w:rPr>
        <w:lastRenderedPageBreak/>
        <w:t xml:space="preserve">Exceptarea de la măsura de blocare a posturilor vacante din cadrul </w:t>
      </w:r>
      <w:r w:rsidR="00CF4AAA" w:rsidRPr="00857E54">
        <w:rPr>
          <w:rFonts w:ascii="Arial" w:eastAsia="Times New Roman" w:hAnsi="Arial" w:cs="Arial"/>
          <w:sz w:val="24"/>
          <w:szCs w:val="24"/>
        </w:rPr>
        <w:t>instituțiilor</w:t>
      </w:r>
      <w:r w:rsidRPr="00857E54">
        <w:rPr>
          <w:rFonts w:ascii="Arial" w:eastAsia="Times New Roman" w:hAnsi="Arial" w:cs="Arial"/>
          <w:sz w:val="24"/>
          <w:szCs w:val="24"/>
        </w:rPr>
        <w:t xml:space="preserve"> de </w:t>
      </w:r>
      <w:r w:rsidR="00CF4AAA" w:rsidRPr="00857E54">
        <w:rPr>
          <w:rFonts w:ascii="Arial" w:eastAsia="Times New Roman" w:hAnsi="Arial" w:cs="Arial"/>
          <w:sz w:val="24"/>
          <w:szCs w:val="24"/>
        </w:rPr>
        <w:t>învățământ</w:t>
      </w:r>
      <w:r w:rsidRPr="00857E54">
        <w:rPr>
          <w:rFonts w:ascii="Arial" w:eastAsia="Times New Roman" w:hAnsi="Arial" w:cs="Arial"/>
          <w:sz w:val="24"/>
          <w:szCs w:val="24"/>
        </w:rPr>
        <w:t xml:space="preserve"> superior şi institutele de cercetare, din </w:t>
      </w:r>
      <w:r w:rsidR="00CF4AAA" w:rsidRPr="00857E54">
        <w:rPr>
          <w:rFonts w:ascii="Arial" w:eastAsia="Times New Roman" w:hAnsi="Arial" w:cs="Arial"/>
          <w:sz w:val="24"/>
          <w:szCs w:val="24"/>
        </w:rPr>
        <w:t>instituțiile</w:t>
      </w:r>
      <w:r w:rsidRPr="00857E54">
        <w:rPr>
          <w:rFonts w:ascii="Arial" w:eastAsia="Times New Roman" w:hAnsi="Arial" w:cs="Arial"/>
          <w:sz w:val="24"/>
          <w:szCs w:val="24"/>
        </w:rPr>
        <w:t xml:space="preserve"> din cadrul </w:t>
      </w:r>
      <w:r w:rsidR="00CF4AAA" w:rsidRPr="00857E54">
        <w:rPr>
          <w:rFonts w:ascii="Arial" w:eastAsia="Times New Roman" w:hAnsi="Arial" w:cs="Arial"/>
          <w:sz w:val="24"/>
          <w:szCs w:val="24"/>
        </w:rPr>
        <w:t>autorității</w:t>
      </w:r>
      <w:r w:rsidR="007A2B25" w:rsidRPr="00857E54">
        <w:rPr>
          <w:rFonts w:ascii="Arial" w:eastAsia="Times New Roman" w:hAnsi="Arial" w:cs="Arial"/>
          <w:sz w:val="24"/>
          <w:szCs w:val="24"/>
        </w:rPr>
        <w:t xml:space="preserve"> </w:t>
      </w:r>
      <w:r w:rsidR="00CF4AAA" w:rsidRPr="00857E54">
        <w:rPr>
          <w:rFonts w:ascii="Arial" w:eastAsia="Times New Roman" w:hAnsi="Arial" w:cs="Arial"/>
          <w:sz w:val="24"/>
          <w:szCs w:val="24"/>
        </w:rPr>
        <w:t>judecătorești</w:t>
      </w:r>
      <w:r w:rsidRPr="00857E54">
        <w:rPr>
          <w:rFonts w:ascii="Arial" w:eastAsia="Times New Roman" w:hAnsi="Arial" w:cs="Arial"/>
          <w:sz w:val="24"/>
          <w:szCs w:val="24"/>
        </w:rPr>
        <w:t xml:space="preserve">, </w:t>
      </w:r>
      <w:r w:rsidR="00CF4AAA" w:rsidRPr="00857E54">
        <w:rPr>
          <w:rFonts w:ascii="Arial" w:eastAsia="Times New Roman" w:hAnsi="Arial" w:cs="Arial"/>
          <w:sz w:val="24"/>
          <w:szCs w:val="24"/>
        </w:rPr>
        <w:t>Administrația</w:t>
      </w:r>
      <w:r w:rsidR="007A2B25" w:rsidRPr="00857E54">
        <w:rPr>
          <w:rFonts w:ascii="Arial" w:eastAsia="Times New Roman" w:hAnsi="Arial" w:cs="Arial"/>
          <w:sz w:val="24"/>
          <w:szCs w:val="24"/>
        </w:rPr>
        <w:t xml:space="preserve"> </w:t>
      </w:r>
      <w:r w:rsidR="00CF4AAA" w:rsidRPr="00857E54">
        <w:rPr>
          <w:rFonts w:ascii="Arial" w:eastAsia="Times New Roman" w:hAnsi="Arial" w:cs="Arial"/>
          <w:sz w:val="24"/>
          <w:szCs w:val="24"/>
        </w:rPr>
        <w:t>Națională</w:t>
      </w:r>
      <w:r w:rsidRPr="00857E54">
        <w:rPr>
          <w:rFonts w:ascii="Arial" w:eastAsia="Times New Roman" w:hAnsi="Arial" w:cs="Arial"/>
          <w:sz w:val="24"/>
          <w:szCs w:val="24"/>
        </w:rPr>
        <w:t xml:space="preserve"> a Penitenciarelor şi serviciile publice de </w:t>
      </w:r>
      <w:r w:rsidR="00CF4AAA" w:rsidRPr="00857E54">
        <w:rPr>
          <w:rFonts w:ascii="Arial" w:eastAsia="Times New Roman" w:hAnsi="Arial" w:cs="Arial"/>
          <w:sz w:val="24"/>
          <w:szCs w:val="24"/>
        </w:rPr>
        <w:t>ambulanță</w:t>
      </w:r>
      <w:r w:rsidRPr="00857E54">
        <w:rPr>
          <w:rFonts w:ascii="Arial" w:eastAsia="Times New Roman" w:hAnsi="Arial" w:cs="Arial"/>
          <w:sz w:val="24"/>
          <w:szCs w:val="24"/>
        </w:rPr>
        <w:t>;</w:t>
      </w:r>
    </w:p>
    <w:p w:rsidR="00593AD9" w:rsidRPr="00857E54" w:rsidRDefault="00593AD9" w:rsidP="00281576">
      <w:pPr>
        <w:keepNext/>
        <w:keepLines/>
        <w:numPr>
          <w:ilvl w:val="0"/>
          <w:numId w:val="32"/>
        </w:numPr>
        <w:autoSpaceDE w:val="0"/>
        <w:autoSpaceDN w:val="0"/>
        <w:adjustRightInd w:val="0"/>
        <w:spacing w:before="120" w:after="0" w:line="276" w:lineRule="auto"/>
        <w:ind w:left="498" w:hanging="426"/>
        <w:rPr>
          <w:rFonts w:ascii="Arial" w:eastAsia="Times New Roman" w:hAnsi="Arial" w:cs="Arial"/>
          <w:sz w:val="24"/>
          <w:szCs w:val="24"/>
          <w:lang w:eastAsia="ro-RO"/>
        </w:rPr>
      </w:pPr>
      <w:r w:rsidRPr="00857E54">
        <w:rPr>
          <w:rFonts w:ascii="Arial" w:eastAsia="Times New Roman" w:hAnsi="Arial" w:cs="Arial"/>
          <w:b/>
          <w:sz w:val="24"/>
          <w:szCs w:val="24"/>
          <w:lang w:eastAsia="ro-RO"/>
        </w:rPr>
        <w:t xml:space="preserve">Ordonanța de urgență a Guvernului nr.41/2018 </w:t>
      </w:r>
      <w:r w:rsidRPr="00857E54">
        <w:rPr>
          <w:rFonts w:ascii="Arial" w:eastAsia="Times New Roman" w:hAnsi="Arial" w:cs="Arial"/>
          <w:b/>
          <w:sz w:val="24"/>
          <w:szCs w:val="24"/>
          <w:lang w:eastAsia="zh-CN"/>
        </w:rPr>
        <w:t>pentru modificarea şi completarea Legii-cadru nr. 153/2017 privind salarizarea personalului plătit din fonduri publice</w:t>
      </w:r>
      <w:r w:rsidRPr="00857E54">
        <w:rPr>
          <w:rFonts w:ascii="Arial" w:eastAsia="Times New Roman" w:hAnsi="Arial" w:cs="Arial"/>
          <w:sz w:val="24"/>
          <w:szCs w:val="24"/>
          <w:lang w:eastAsia="zh-CN"/>
        </w:rPr>
        <w:t>, prin care s-au aprobat:</w:t>
      </w:r>
    </w:p>
    <w:p w:rsidR="00593AD9" w:rsidRPr="00857E54" w:rsidRDefault="00593AD9" w:rsidP="00281576">
      <w:pPr>
        <w:keepNext/>
        <w:keepLines/>
        <w:numPr>
          <w:ilvl w:val="0"/>
          <w:numId w:val="35"/>
        </w:numPr>
        <w:autoSpaceDE w:val="0"/>
        <w:autoSpaceDN w:val="0"/>
        <w:adjustRightInd w:val="0"/>
        <w:spacing w:before="120" w:after="0" w:line="276" w:lineRule="auto"/>
        <w:rPr>
          <w:rFonts w:ascii="Arial" w:eastAsia="Times New Roman" w:hAnsi="Arial" w:cs="Arial"/>
          <w:sz w:val="24"/>
          <w:szCs w:val="24"/>
          <w:lang w:eastAsia="ro-RO"/>
        </w:rPr>
      </w:pPr>
      <w:r w:rsidRPr="00857E54">
        <w:rPr>
          <w:rFonts w:ascii="Arial" w:eastAsia="Times New Roman" w:hAnsi="Arial" w:cs="Arial"/>
          <w:sz w:val="24"/>
          <w:szCs w:val="24"/>
          <w:lang w:eastAsia="ro-RO"/>
        </w:rPr>
        <w:t xml:space="preserve">Majorarea </w:t>
      </w:r>
      <w:r w:rsidRPr="00857E54">
        <w:rPr>
          <w:rFonts w:ascii="Arial" w:eastAsia="Times New Roman" w:hAnsi="Arial" w:cs="Arial"/>
          <w:sz w:val="24"/>
          <w:szCs w:val="24"/>
          <w:lang w:eastAsia="zh-CN"/>
        </w:rPr>
        <w:t>cu 20% a salariilor pentru inspectorii școlari;</w:t>
      </w:r>
    </w:p>
    <w:p w:rsidR="00593AD9" w:rsidRPr="00857E54" w:rsidRDefault="00593AD9" w:rsidP="00281576">
      <w:pPr>
        <w:keepNext/>
        <w:keepLines/>
        <w:numPr>
          <w:ilvl w:val="0"/>
          <w:numId w:val="35"/>
        </w:numPr>
        <w:autoSpaceDE w:val="0"/>
        <w:autoSpaceDN w:val="0"/>
        <w:adjustRightInd w:val="0"/>
        <w:spacing w:before="120" w:after="0" w:line="276" w:lineRule="auto"/>
        <w:rPr>
          <w:rFonts w:ascii="Arial" w:eastAsia="Times New Roman" w:hAnsi="Arial" w:cs="Arial"/>
          <w:sz w:val="24"/>
          <w:szCs w:val="24"/>
          <w:lang w:eastAsia="ro-RO"/>
        </w:rPr>
      </w:pPr>
      <w:r w:rsidRPr="00857E54">
        <w:rPr>
          <w:rFonts w:ascii="Arial" w:eastAsia="Times New Roman" w:hAnsi="Arial" w:cs="Arial"/>
          <w:sz w:val="24"/>
          <w:szCs w:val="24"/>
          <w:lang w:eastAsia="zh-CN"/>
        </w:rPr>
        <w:t>Măsuri pentru menținerea în plată a nivelului salarial aferent lunii februarie 2018 pentru pe</w:t>
      </w:r>
      <w:r w:rsidR="003A0173" w:rsidRPr="00857E54">
        <w:rPr>
          <w:rFonts w:ascii="Arial" w:eastAsia="Times New Roman" w:hAnsi="Arial" w:cs="Arial"/>
          <w:sz w:val="24"/>
          <w:szCs w:val="24"/>
          <w:lang w:eastAsia="zh-CN"/>
        </w:rPr>
        <w:t>rsonalul de specialitate medico-</w:t>
      </w:r>
      <w:r w:rsidRPr="00857E54">
        <w:rPr>
          <w:rFonts w:ascii="Arial" w:eastAsia="Times New Roman" w:hAnsi="Arial" w:cs="Arial"/>
          <w:sz w:val="24"/>
          <w:szCs w:val="24"/>
          <w:lang w:eastAsia="zh-CN"/>
        </w:rPr>
        <w:t>sanitară;</w:t>
      </w:r>
    </w:p>
    <w:p w:rsidR="00F41DA0" w:rsidRPr="00857E54" w:rsidRDefault="00F41DA0" w:rsidP="00281576">
      <w:pPr>
        <w:keepNext/>
        <w:keepLines/>
        <w:numPr>
          <w:ilvl w:val="0"/>
          <w:numId w:val="35"/>
        </w:numPr>
        <w:autoSpaceDE w:val="0"/>
        <w:autoSpaceDN w:val="0"/>
        <w:adjustRightInd w:val="0"/>
        <w:spacing w:before="120" w:after="0" w:line="276" w:lineRule="auto"/>
        <w:rPr>
          <w:rFonts w:ascii="Arial" w:eastAsia="Times New Roman" w:hAnsi="Arial" w:cs="Arial"/>
          <w:sz w:val="24"/>
          <w:szCs w:val="24"/>
          <w:lang w:eastAsia="ro-RO"/>
        </w:rPr>
      </w:pPr>
      <w:r w:rsidRPr="00857E54">
        <w:rPr>
          <w:rFonts w:ascii="Arial" w:hAnsi="Arial" w:cs="Arial"/>
          <w:sz w:val="24"/>
          <w:szCs w:val="24"/>
          <w:lang w:eastAsia="ro-RO"/>
        </w:rPr>
        <w:t xml:space="preserve">Acordarea </w:t>
      </w:r>
      <w:r w:rsidRPr="00857E54">
        <w:rPr>
          <w:rFonts w:ascii="Arial" w:hAnsi="Arial" w:cs="Arial"/>
          <w:sz w:val="24"/>
          <w:szCs w:val="24"/>
          <w:lang w:eastAsia="zh-CN"/>
        </w:rPr>
        <w:t>sporului de 100% pentru</w:t>
      </w:r>
      <w:r w:rsidRPr="00857E54">
        <w:rPr>
          <w:rFonts w:ascii="Arial" w:hAnsi="Arial" w:cs="Arial"/>
          <w:sz w:val="24"/>
          <w:szCs w:val="24"/>
          <w:lang w:eastAsia="ro-RO"/>
        </w:rPr>
        <w:t xml:space="preserve"> munca prestată de personalul din unitățile sanitare, de asistență socială şi de </w:t>
      </w:r>
      <w:r w:rsidR="005D7EDA" w:rsidRPr="00857E54">
        <w:rPr>
          <w:rFonts w:ascii="Arial" w:hAnsi="Arial" w:cs="Arial"/>
          <w:sz w:val="24"/>
          <w:szCs w:val="24"/>
          <w:lang w:eastAsia="ro-RO"/>
        </w:rPr>
        <w:t xml:space="preserve">asistență </w:t>
      </w:r>
      <w:proofErr w:type="spellStart"/>
      <w:r w:rsidRPr="00857E54">
        <w:rPr>
          <w:rFonts w:ascii="Arial" w:hAnsi="Arial" w:cs="Arial"/>
          <w:sz w:val="24"/>
          <w:szCs w:val="24"/>
          <w:lang w:eastAsia="ro-RO"/>
        </w:rPr>
        <w:t>medico</w:t>
      </w:r>
      <w:proofErr w:type="spellEnd"/>
      <w:r w:rsidRPr="00857E54">
        <w:rPr>
          <w:rFonts w:ascii="Arial" w:hAnsi="Arial" w:cs="Arial"/>
          <w:sz w:val="24"/>
          <w:szCs w:val="24"/>
          <w:lang w:eastAsia="ro-RO"/>
        </w:rPr>
        <w:t>-socială, în vederea asigurării continuității activității, în afara procentului total de 30% pentru sporuri stabilit prin Legea-cadru privind salarizarea personalului plătit din fonduri publice, nr. 153/2017</w:t>
      </w:r>
    </w:p>
    <w:p w:rsidR="00593AD9" w:rsidRPr="00857E54" w:rsidRDefault="00593AD9" w:rsidP="00281576">
      <w:pPr>
        <w:keepNext/>
        <w:keepLines/>
        <w:numPr>
          <w:ilvl w:val="0"/>
          <w:numId w:val="35"/>
        </w:numPr>
        <w:autoSpaceDE w:val="0"/>
        <w:autoSpaceDN w:val="0"/>
        <w:adjustRightInd w:val="0"/>
        <w:spacing w:before="120" w:after="0" w:line="276" w:lineRule="auto"/>
        <w:rPr>
          <w:rFonts w:ascii="Arial" w:eastAsia="Times New Roman" w:hAnsi="Arial" w:cs="Arial"/>
          <w:sz w:val="24"/>
          <w:szCs w:val="24"/>
          <w:lang w:eastAsia="ro-RO"/>
        </w:rPr>
      </w:pPr>
      <w:r w:rsidRPr="00857E54">
        <w:rPr>
          <w:rFonts w:ascii="Arial" w:eastAsia="Times New Roman" w:hAnsi="Arial" w:cs="Arial"/>
          <w:sz w:val="24"/>
          <w:szCs w:val="24"/>
          <w:lang w:eastAsia="ro-RO"/>
        </w:rPr>
        <w:t xml:space="preserve">Acordarea </w:t>
      </w:r>
      <w:r w:rsidRPr="00857E54">
        <w:rPr>
          <w:rFonts w:ascii="Arial" w:eastAsia="Times New Roman" w:hAnsi="Arial" w:cs="Arial"/>
          <w:sz w:val="24"/>
          <w:szCs w:val="24"/>
          <w:lang w:eastAsia="zh-CN"/>
        </w:rPr>
        <w:t>indemnizației de hrană pentru personalul din universitățile de stat.</w:t>
      </w:r>
    </w:p>
    <w:p w:rsidR="00593AD9" w:rsidRPr="00857E54" w:rsidRDefault="00593AD9" w:rsidP="00281576">
      <w:pPr>
        <w:keepNext/>
        <w:keepLines/>
        <w:numPr>
          <w:ilvl w:val="0"/>
          <w:numId w:val="32"/>
        </w:numPr>
        <w:spacing w:before="120" w:after="0" w:line="276" w:lineRule="auto"/>
        <w:ind w:left="498" w:hanging="426"/>
        <w:rPr>
          <w:rFonts w:ascii="Arial" w:eastAsia="Times New Roman" w:hAnsi="Arial" w:cs="Arial"/>
          <w:iCs/>
          <w:sz w:val="24"/>
          <w:szCs w:val="24"/>
          <w:shd w:val="clear" w:color="auto" w:fill="FFFFFF"/>
        </w:rPr>
      </w:pPr>
      <w:r w:rsidRPr="00857E54">
        <w:rPr>
          <w:rFonts w:ascii="Arial" w:eastAsia="Times New Roman" w:hAnsi="Arial" w:cs="Arial"/>
          <w:b/>
          <w:iCs/>
          <w:sz w:val="24"/>
          <w:szCs w:val="24"/>
          <w:shd w:val="clear" w:color="auto" w:fill="FFFFFF"/>
        </w:rPr>
        <w:t xml:space="preserve">Ordonanța de urgență a Guvernului nr.25/2018 </w:t>
      </w:r>
      <w:r w:rsidRPr="00857E54">
        <w:rPr>
          <w:rFonts w:ascii="Arial" w:eastAsia="Times New Roman" w:hAnsi="Arial" w:cs="Arial"/>
          <w:b/>
          <w:sz w:val="24"/>
          <w:szCs w:val="24"/>
        </w:rPr>
        <w:t>privind modificarea şi completarea unor acte normative, precum şi pentru aprobarea unor măsuri fiscal-bugetare</w:t>
      </w:r>
      <w:r w:rsidRPr="00857E54">
        <w:rPr>
          <w:rFonts w:ascii="Arial" w:eastAsia="Times New Roman" w:hAnsi="Arial" w:cs="Arial"/>
          <w:sz w:val="24"/>
          <w:szCs w:val="24"/>
        </w:rPr>
        <w:t xml:space="preserve">, potrivit căreia sumele datorate bugetului de stat de către </w:t>
      </w:r>
      <w:r w:rsidR="00CF4AAA" w:rsidRPr="00857E54">
        <w:rPr>
          <w:rFonts w:ascii="Arial" w:eastAsia="Times New Roman" w:hAnsi="Arial" w:cs="Arial"/>
          <w:sz w:val="24"/>
          <w:szCs w:val="24"/>
        </w:rPr>
        <w:t>unitățile</w:t>
      </w:r>
      <w:r w:rsidRPr="00857E54">
        <w:rPr>
          <w:rFonts w:ascii="Arial" w:eastAsia="Times New Roman" w:hAnsi="Arial" w:cs="Arial"/>
          <w:sz w:val="24"/>
          <w:szCs w:val="24"/>
        </w:rPr>
        <w:t xml:space="preserve"> de </w:t>
      </w:r>
      <w:r w:rsidR="00CF4AAA" w:rsidRPr="00857E54">
        <w:rPr>
          <w:rFonts w:ascii="Arial" w:eastAsia="Times New Roman" w:hAnsi="Arial" w:cs="Arial"/>
          <w:sz w:val="24"/>
          <w:szCs w:val="24"/>
        </w:rPr>
        <w:t>învățământ</w:t>
      </w:r>
      <w:r w:rsidRPr="00857E54">
        <w:rPr>
          <w:rFonts w:ascii="Arial" w:eastAsia="Times New Roman" w:hAnsi="Arial" w:cs="Arial"/>
          <w:sz w:val="24"/>
          <w:szCs w:val="24"/>
        </w:rPr>
        <w:t xml:space="preserve"> preuniversitar de stat, pentru personalul cu handicap neîncadrat se asigură de la bugetul de stat, prin bugetul Ministerului </w:t>
      </w:r>
      <w:r w:rsidR="00CF4AAA" w:rsidRPr="00857E54">
        <w:rPr>
          <w:rFonts w:ascii="Arial" w:eastAsia="Times New Roman" w:hAnsi="Arial" w:cs="Arial"/>
          <w:sz w:val="24"/>
          <w:szCs w:val="24"/>
        </w:rPr>
        <w:t>Educației</w:t>
      </w:r>
      <w:r w:rsidR="005D7EDA" w:rsidRPr="00857E54">
        <w:rPr>
          <w:rFonts w:ascii="Arial" w:eastAsia="Times New Roman" w:hAnsi="Arial" w:cs="Arial"/>
          <w:sz w:val="24"/>
          <w:szCs w:val="24"/>
        </w:rPr>
        <w:t xml:space="preserve"> </w:t>
      </w:r>
      <w:r w:rsidR="00CF4AAA" w:rsidRPr="00857E54">
        <w:rPr>
          <w:rFonts w:ascii="Arial" w:eastAsia="Times New Roman" w:hAnsi="Arial" w:cs="Arial"/>
          <w:sz w:val="24"/>
          <w:szCs w:val="24"/>
        </w:rPr>
        <w:t>Naționale</w:t>
      </w:r>
      <w:r w:rsidRPr="00857E54">
        <w:rPr>
          <w:rFonts w:ascii="Arial" w:eastAsia="Times New Roman" w:hAnsi="Arial" w:cs="Arial"/>
          <w:sz w:val="24"/>
          <w:szCs w:val="24"/>
        </w:rPr>
        <w:t>;</w:t>
      </w:r>
    </w:p>
    <w:p w:rsidR="001069C2" w:rsidRPr="00857E54" w:rsidRDefault="00593AD9" w:rsidP="00281576">
      <w:pPr>
        <w:keepNext/>
        <w:keepLines/>
        <w:numPr>
          <w:ilvl w:val="0"/>
          <w:numId w:val="32"/>
        </w:numPr>
        <w:spacing w:before="120" w:after="0" w:line="276" w:lineRule="auto"/>
        <w:ind w:left="498" w:hanging="426"/>
        <w:rPr>
          <w:rFonts w:ascii="Arial" w:hAnsi="Arial" w:cs="Arial"/>
          <w:b/>
          <w:bCs/>
          <w:sz w:val="24"/>
          <w:szCs w:val="24"/>
        </w:rPr>
      </w:pPr>
      <w:r w:rsidRPr="00857E54">
        <w:rPr>
          <w:rFonts w:ascii="Arial" w:eastAsia="Times New Roman" w:hAnsi="Arial" w:cs="Arial"/>
          <w:b/>
          <w:iCs/>
          <w:sz w:val="24"/>
          <w:szCs w:val="24"/>
          <w:shd w:val="clear" w:color="auto" w:fill="FFFFFF"/>
        </w:rPr>
        <w:t xml:space="preserve">Ordinul ministrului sănătății şi al ministrului dezvoltării regionale, </w:t>
      </w:r>
      <w:r w:rsidR="00CF4AAA" w:rsidRPr="00857E54">
        <w:rPr>
          <w:rFonts w:ascii="Arial" w:eastAsia="Times New Roman" w:hAnsi="Arial" w:cs="Arial"/>
          <w:b/>
          <w:iCs/>
          <w:sz w:val="24"/>
          <w:szCs w:val="24"/>
          <w:shd w:val="clear" w:color="auto" w:fill="FFFFFF"/>
        </w:rPr>
        <w:t>administrației</w:t>
      </w:r>
      <w:r w:rsidRPr="00857E54">
        <w:rPr>
          <w:rFonts w:ascii="Arial" w:eastAsia="Times New Roman" w:hAnsi="Arial" w:cs="Arial"/>
          <w:b/>
          <w:iCs/>
          <w:sz w:val="24"/>
          <w:szCs w:val="24"/>
          <w:shd w:val="clear" w:color="auto" w:fill="FFFFFF"/>
        </w:rPr>
        <w:t xml:space="preserve"> publice şi fondurilor europene nr. 1484/7310/2017</w:t>
      </w:r>
      <w:r w:rsidRPr="00857E54">
        <w:rPr>
          <w:rFonts w:ascii="Arial" w:eastAsia="Times New Roman" w:hAnsi="Arial" w:cs="Arial"/>
          <w:sz w:val="24"/>
          <w:szCs w:val="24"/>
        </w:rPr>
        <w:t xml:space="preserve"> prin care s-a aprobat majorarea tarifelor orare pentru medici de familie și </w:t>
      </w:r>
      <w:r w:rsidR="00CF4AAA" w:rsidRPr="00857E54">
        <w:rPr>
          <w:rFonts w:ascii="Arial" w:eastAsia="Times New Roman" w:hAnsi="Arial" w:cs="Arial"/>
          <w:sz w:val="24"/>
          <w:szCs w:val="24"/>
        </w:rPr>
        <w:t>asistenți</w:t>
      </w:r>
      <w:r w:rsidRPr="00857E54">
        <w:rPr>
          <w:rFonts w:ascii="Arial" w:eastAsia="Times New Roman" w:hAnsi="Arial" w:cs="Arial"/>
          <w:sz w:val="24"/>
          <w:szCs w:val="24"/>
        </w:rPr>
        <w:t xml:space="preserve"> medicali care asigură activitatea în centre de </w:t>
      </w:r>
      <w:r w:rsidR="00CF4AAA" w:rsidRPr="00857E54">
        <w:rPr>
          <w:rFonts w:ascii="Arial" w:eastAsia="Times New Roman" w:hAnsi="Arial" w:cs="Arial"/>
          <w:sz w:val="24"/>
          <w:szCs w:val="24"/>
        </w:rPr>
        <w:t>permanență</w:t>
      </w:r>
      <w:r w:rsidRPr="00857E54">
        <w:rPr>
          <w:rFonts w:ascii="Arial" w:eastAsia="Times New Roman" w:hAnsi="Arial" w:cs="Arial"/>
          <w:sz w:val="24"/>
          <w:szCs w:val="24"/>
        </w:rPr>
        <w:t>.</w:t>
      </w:r>
    </w:p>
    <w:p w:rsidR="003A0173" w:rsidRPr="00857E54" w:rsidRDefault="003A0173" w:rsidP="00281576">
      <w:pPr>
        <w:keepNext/>
        <w:keepLines/>
        <w:ind w:firstLine="680"/>
        <w:jc w:val="center"/>
        <w:rPr>
          <w:rFonts w:ascii="Arial" w:hAnsi="Arial" w:cs="Arial"/>
          <w:b/>
          <w:bCs/>
          <w:sz w:val="24"/>
          <w:szCs w:val="24"/>
        </w:rPr>
      </w:pPr>
    </w:p>
    <w:p w:rsidR="00E01344" w:rsidRDefault="00E01344">
      <w:pPr>
        <w:rPr>
          <w:rFonts w:ascii="Arial" w:hAnsi="Arial" w:cs="Arial"/>
          <w:b/>
          <w:bCs/>
          <w:sz w:val="24"/>
          <w:szCs w:val="24"/>
        </w:rPr>
      </w:pPr>
      <w:r>
        <w:rPr>
          <w:rFonts w:ascii="Arial" w:hAnsi="Arial" w:cs="Arial"/>
          <w:b/>
          <w:bCs/>
          <w:sz w:val="24"/>
          <w:szCs w:val="24"/>
        </w:rPr>
        <w:br w:type="page"/>
      </w:r>
    </w:p>
    <w:p w:rsidR="00593AD9" w:rsidRPr="00857E54" w:rsidRDefault="001069C2" w:rsidP="00281576">
      <w:pPr>
        <w:keepNext/>
        <w:keepLines/>
        <w:ind w:firstLine="680"/>
        <w:jc w:val="center"/>
        <w:rPr>
          <w:rFonts w:ascii="Arial" w:hAnsi="Arial" w:cs="Arial"/>
          <w:b/>
          <w:bCs/>
          <w:sz w:val="24"/>
          <w:szCs w:val="24"/>
        </w:rPr>
      </w:pPr>
      <w:r w:rsidRPr="00857E54">
        <w:rPr>
          <w:rFonts w:ascii="Arial" w:hAnsi="Arial" w:cs="Arial"/>
          <w:b/>
          <w:bCs/>
          <w:sz w:val="24"/>
          <w:szCs w:val="24"/>
        </w:rPr>
        <w:lastRenderedPageBreak/>
        <w:t xml:space="preserve">Măsuri destinate îmbunătățirii nivelului de colectare a veniturilor bugetare avute în vedere de către Agenția Națională de Administrare Fiscală </w:t>
      </w:r>
    </w:p>
    <w:p w:rsidR="00684CFD" w:rsidRPr="00857E54" w:rsidRDefault="00684CFD" w:rsidP="00281576">
      <w:pPr>
        <w:keepNext/>
        <w:keepLines/>
        <w:ind w:firstLine="0"/>
        <w:rPr>
          <w:rFonts w:ascii="Arial" w:hAnsi="Arial" w:cs="Arial"/>
          <w:sz w:val="24"/>
          <w:szCs w:val="24"/>
        </w:rPr>
      </w:pPr>
    </w:p>
    <w:p w:rsidR="001069C2" w:rsidRPr="00857E54" w:rsidRDefault="001069C2" w:rsidP="00281576">
      <w:pPr>
        <w:keepNext/>
        <w:keepLines/>
        <w:spacing w:line="276" w:lineRule="auto"/>
        <w:ind w:firstLine="0"/>
        <w:rPr>
          <w:rFonts w:ascii="Arial" w:hAnsi="Arial" w:cs="Arial"/>
          <w:sz w:val="24"/>
          <w:szCs w:val="24"/>
        </w:rPr>
      </w:pPr>
      <w:r w:rsidRPr="00857E54">
        <w:rPr>
          <w:rFonts w:ascii="Arial" w:hAnsi="Arial" w:cs="Arial"/>
          <w:sz w:val="24"/>
          <w:szCs w:val="24"/>
        </w:rPr>
        <w:t>În semestrul II al anului 2018, vor</w:t>
      </w:r>
      <w:r w:rsidR="003939C7" w:rsidRPr="00857E54">
        <w:rPr>
          <w:rFonts w:ascii="Arial" w:hAnsi="Arial" w:cs="Arial"/>
          <w:sz w:val="24"/>
          <w:szCs w:val="24"/>
        </w:rPr>
        <w:t xml:space="preserve"> </w:t>
      </w:r>
      <w:r w:rsidRPr="00857E54">
        <w:rPr>
          <w:rFonts w:ascii="Arial" w:hAnsi="Arial" w:cs="Arial"/>
          <w:sz w:val="24"/>
          <w:szCs w:val="24"/>
        </w:rPr>
        <w:t>fi implementate/desfășurate următoarele măsuri/acțiuni :</w:t>
      </w:r>
    </w:p>
    <w:p w:rsidR="001069C2" w:rsidRPr="00857E54" w:rsidRDefault="001069C2" w:rsidP="00281576">
      <w:pPr>
        <w:keepNext/>
        <w:keepLines/>
        <w:spacing w:line="276" w:lineRule="auto"/>
        <w:ind w:firstLine="0"/>
        <w:rPr>
          <w:rFonts w:ascii="Arial" w:hAnsi="Arial" w:cs="Arial"/>
          <w:sz w:val="24"/>
          <w:szCs w:val="24"/>
        </w:rPr>
      </w:pPr>
    </w:p>
    <w:p w:rsidR="001069C2" w:rsidRPr="00857E54" w:rsidRDefault="001069C2" w:rsidP="00281576">
      <w:pPr>
        <w:pStyle w:val="ListParagraph"/>
        <w:keepNext/>
        <w:keepLines/>
        <w:numPr>
          <w:ilvl w:val="0"/>
          <w:numId w:val="40"/>
        </w:numPr>
        <w:spacing w:line="276" w:lineRule="auto"/>
        <w:ind w:firstLine="0"/>
        <w:rPr>
          <w:rFonts w:ascii="Arial" w:hAnsi="Arial" w:cs="Arial"/>
          <w:sz w:val="24"/>
          <w:szCs w:val="24"/>
        </w:rPr>
      </w:pPr>
      <w:r w:rsidRPr="00857E54">
        <w:rPr>
          <w:rFonts w:ascii="Arial" w:hAnsi="Arial" w:cs="Arial"/>
          <w:sz w:val="24"/>
          <w:szCs w:val="24"/>
        </w:rPr>
        <w:t xml:space="preserve">Creșterea eficienței activității de inspecție fiscală, în sensul identificării de noi zone și domenii de risc fiscal, prin identificarea de noi criterii de risc și redefinirea criteriilor de risc fiscal existente și utilizate în prezent. Îmbunătățirea analizei de risc în ceea ce privește impozitul pe profit (cu accent pe tranzacțiile între persoane afiliate) şi taxa pe valoarea adăugată. Dintre criteriile de risc care vor fi utilizate pentru efectuarea analizei de risc în vederea stabilirii nivelului de risc exemplificăm următoarele: </w:t>
      </w:r>
    </w:p>
    <w:p w:rsidR="001069C2" w:rsidRPr="00857E54" w:rsidRDefault="001069C2" w:rsidP="00281576">
      <w:pPr>
        <w:pStyle w:val="ListParagraph"/>
        <w:keepNext/>
        <w:keepLines/>
        <w:numPr>
          <w:ilvl w:val="0"/>
          <w:numId w:val="42"/>
        </w:numPr>
        <w:spacing w:line="276" w:lineRule="auto"/>
        <w:ind w:left="1068"/>
        <w:rPr>
          <w:rFonts w:ascii="Arial" w:hAnsi="Arial" w:cs="Arial"/>
          <w:sz w:val="24"/>
          <w:szCs w:val="24"/>
        </w:rPr>
      </w:pPr>
      <w:r w:rsidRPr="00857E54">
        <w:rPr>
          <w:rFonts w:ascii="Arial" w:hAnsi="Arial" w:cs="Arial"/>
          <w:sz w:val="24"/>
          <w:szCs w:val="24"/>
        </w:rPr>
        <w:t xml:space="preserve">neconcordanțe privind diferențele de taxă pe valoarea adăugată pentru anii 2017/2018; </w:t>
      </w:r>
    </w:p>
    <w:p w:rsidR="001069C2" w:rsidRPr="00857E54" w:rsidRDefault="001069C2" w:rsidP="00281576">
      <w:pPr>
        <w:pStyle w:val="ListParagraph"/>
        <w:keepNext/>
        <w:keepLines/>
        <w:numPr>
          <w:ilvl w:val="0"/>
          <w:numId w:val="42"/>
        </w:numPr>
        <w:spacing w:line="276" w:lineRule="auto"/>
        <w:ind w:left="1068"/>
        <w:rPr>
          <w:rFonts w:ascii="Arial" w:hAnsi="Arial" w:cs="Arial"/>
          <w:sz w:val="24"/>
          <w:szCs w:val="24"/>
        </w:rPr>
      </w:pPr>
      <w:r w:rsidRPr="00857E54">
        <w:rPr>
          <w:rFonts w:ascii="Arial" w:hAnsi="Arial" w:cs="Arial"/>
          <w:sz w:val="24"/>
          <w:szCs w:val="24"/>
        </w:rPr>
        <w:t xml:space="preserve">neconcordanțe între impozitul pe profit declarat în situațiile financiare anuale și cel declarat în Declarația privind impozitul pe profit (D101); </w:t>
      </w:r>
    </w:p>
    <w:p w:rsidR="001069C2" w:rsidRPr="00857E54" w:rsidRDefault="001069C2" w:rsidP="00281576">
      <w:pPr>
        <w:pStyle w:val="ListParagraph"/>
        <w:keepNext/>
        <w:keepLines/>
        <w:numPr>
          <w:ilvl w:val="0"/>
          <w:numId w:val="42"/>
        </w:numPr>
        <w:spacing w:line="276" w:lineRule="auto"/>
        <w:ind w:left="1068"/>
        <w:rPr>
          <w:rFonts w:ascii="Arial" w:hAnsi="Arial" w:cs="Arial"/>
          <w:sz w:val="24"/>
          <w:szCs w:val="24"/>
        </w:rPr>
      </w:pPr>
      <w:r w:rsidRPr="00857E54">
        <w:rPr>
          <w:rFonts w:ascii="Arial" w:hAnsi="Arial" w:cs="Arial"/>
          <w:sz w:val="24"/>
          <w:szCs w:val="24"/>
        </w:rPr>
        <w:t>livrări intracomunitare către contribuabilii care au CIF invalid;</w:t>
      </w:r>
    </w:p>
    <w:p w:rsidR="001069C2" w:rsidRPr="00857E54" w:rsidRDefault="001069C2" w:rsidP="00281576">
      <w:pPr>
        <w:pStyle w:val="ListParagraph"/>
        <w:keepNext/>
        <w:keepLines/>
        <w:numPr>
          <w:ilvl w:val="0"/>
          <w:numId w:val="42"/>
        </w:numPr>
        <w:spacing w:line="276" w:lineRule="auto"/>
        <w:ind w:left="1068"/>
        <w:rPr>
          <w:rFonts w:ascii="Arial" w:hAnsi="Arial" w:cs="Arial"/>
          <w:sz w:val="24"/>
          <w:szCs w:val="24"/>
        </w:rPr>
      </w:pPr>
      <w:r w:rsidRPr="00857E54">
        <w:rPr>
          <w:rFonts w:ascii="Arial" w:hAnsi="Arial" w:cs="Arial"/>
          <w:sz w:val="24"/>
          <w:szCs w:val="24"/>
        </w:rPr>
        <w:t>tranzacții privind livrările/achizițiile făcute pe teritoriul național de contribuabilii care nu au declarate conturi bancare;</w:t>
      </w:r>
    </w:p>
    <w:p w:rsidR="001069C2" w:rsidRPr="00857E54" w:rsidRDefault="001069C2" w:rsidP="00281576">
      <w:pPr>
        <w:pStyle w:val="ListParagraph"/>
        <w:keepNext/>
        <w:keepLines/>
        <w:numPr>
          <w:ilvl w:val="0"/>
          <w:numId w:val="42"/>
        </w:numPr>
        <w:spacing w:line="276" w:lineRule="auto"/>
        <w:ind w:left="1068"/>
        <w:rPr>
          <w:rFonts w:ascii="Arial" w:hAnsi="Arial" w:cs="Arial"/>
          <w:sz w:val="24"/>
          <w:szCs w:val="24"/>
        </w:rPr>
      </w:pPr>
      <w:r w:rsidRPr="00857E54">
        <w:rPr>
          <w:rFonts w:ascii="Arial" w:hAnsi="Arial" w:cs="Arial"/>
          <w:sz w:val="24"/>
          <w:szCs w:val="24"/>
        </w:rPr>
        <w:t>contribuabilii care efectuează operațiuni de import și la care taxa pe valoarea adăugată  colectată este mai mică decât taxa pe valoarea adăugată plătită în vamă;</w:t>
      </w:r>
    </w:p>
    <w:p w:rsidR="001069C2" w:rsidRPr="00857E54" w:rsidRDefault="001069C2" w:rsidP="00281576">
      <w:pPr>
        <w:pStyle w:val="ListParagraph"/>
        <w:keepNext/>
        <w:keepLines/>
        <w:numPr>
          <w:ilvl w:val="0"/>
          <w:numId w:val="42"/>
        </w:numPr>
        <w:spacing w:line="276" w:lineRule="auto"/>
        <w:ind w:left="1068"/>
        <w:rPr>
          <w:rFonts w:ascii="Arial" w:hAnsi="Arial" w:cs="Arial"/>
          <w:sz w:val="24"/>
          <w:szCs w:val="24"/>
        </w:rPr>
      </w:pPr>
      <w:r w:rsidRPr="00857E54">
        <w:rPr>
          <w:rFonts w:ascii="Arial" w:hAnsi="Arial" w:cs="Arial"/>
          <w:sz w:val="24"/>
          <w:szCs w:val="24"/>
        </w:rPr>
        <w:t>tranzacții între persoane afiliate - analiza prețurilor de transfer.</w:t>
      </w:r>
    </w:p>
    <w:p w:rsidR="001069C2" w:rsidRPr="00857E54" w:rsidRDefault="001069C2" w:rsidP="00281576">
      <w:pPr>
        <w:pStyle w:val="ListParagraph"/>
        <w:keepNext/>
        <w:keepLines/>
        <w:numPr>
          <w:ilvl w:val="0"/>
          <w:numId w:val="40"/>
        </w:numPr>
        <w:spacing w:line="276" w:lineRule="auto"/>
        <w:ind w:firstLine="0"/>
        <w:rPr>
          <w:rFonts w:ascii="Arial" w:hAnsi="Arial" w:cs="Arial"/>
          <w:sz w:val="24"/>
          <w:szCs w:val="24"/>
        </w:rPr>
      </w:pPr>
      <w:r w:rsidRPr="00857E54">
        <w:rPr>
          <w:rFonts w:ascii="Arial" w:hAnsi="Arial" w:cs="Arial"/>
          <w:sz w:val="24"/>
          <w:szCs w:val="24"/>
        </w:rPr>
        <w:t>Reducerea ponderii inspecțiilor fiscale pentru soluționarea deconturilor cu sume negative de taxă pe valoarea adăugată cu opțiune de rambursare, prin diminuarea numărului de deconturi cu sume negative de taxă pe valoarea adăugată soluționate cu control anticipat. În acest sens s-a inițiat procesul de modificare a O.P.</w:t>
      </w:r>
      <w:r w:rsidR="000D2C11" w:rsidRPr="00857E54">
        <w:rPr>
          <w:rFonts w:ascii="Arial" w:hAnsi="Arial" w:cs="Arial"/>
          <w:sz w:val="24"/>
          <w:szCs w:val="24"/>
        </w:rPr>
        <w:t>ANAF</w:t>
      </w:r>
      <w:r w:rsidRPr="00857E54">
        <w:rPr>
          <w:rFonts w:ascii="Arial" w:hAnsi="Arial" w:cs="Arial"/>
          <w:sz w:val="24"/>
          <w:szCs w:val="24"/>
        </w:rPr>
        <w:t xml:space="preserve">nr.3699/2015 pentru aprobarea “Procedurii de soluționare a deconturilor cu sume negative de taxă pe valoarea adăugată cu opțiune de rambursare și pentru aprobarea modelului și conținutului unor formulare”.    </w:t>
      </w:r>
    </w:p>
    <w:p w:rsidR="001069C2" w:rsidRPr="00857E54" w:rsidRDefault="001069C2" w:rsidP="00281576">
      <w:pPr>
        <w:keepNext/>
        <w:keepLines/>
        <w:spacing w:line="276" w:lineRule="auto"/>
        <w:ind w:firstLine="0"/>
        <w:rPr>
          <w:rFonts w:ascii="Arial" w:hAnsi="Arial" w:cs="Arial"/>
          <w:sz w:val="24"/>
          <w:szCs w:val="24"/>
        </w:rPr>
      </w:pPr>
      <w:r w:rsidRPr="00857E54">
        <w:rPr>
          <w:rFonts w:ascii="Arial" w:hAnsi="Arial" w:cs="Arial"/>
          <w:sz w:val="24"/>
          <w:szCs w:val="24"/>
        </w:rPr>
        <w:tab/>
        <w:t xml:space="preserve">Astfel, fondul de timp disponibil va fi utilizat în vederea efectuării de inspecții fiscale la contribuabilii cu risc fiscal ridicat, în special la nivelul DGRFP București ;  </w:t>
      </w:r>
    </w:p>
    <w:p w:rsidR="001069C2" w:rsidRPr="00857E54" w:rsidRDefault="001069C2" w:rsidP="00281576">
      <w:pPr>
        <w:keepNext/>
        <w:keepLines/>
        <w:spacing w:line="276" w:lineRule="auto"/>
        <w:ind w:firstLine="0"/>
        <w:rPr>
          <w:rFonts w:ascii="Arial" w:hAnsi="Arial" w:cs="Arial"/>
          <w:sz w:val="24"/>
          <w:szCs w:val="24"/>
        </w:rPr>
      </w:pPr>
    </w:p>
    <w:p w:rsidR="001069C2" w:rsidRPr="00857E54" w:rsidRDefault="001069C2" w:rsidP="00281576">
      <w:pPr>
        <w:pStyle w:val="ListParagraph"/>
        <w:keepNext/>
        <w:keepLines/>
        <w:numPr>
          <w:ilvl w:val="0"/>
          <w:numId w:val="40"/>
        </w:numPr>
        <w:spacing w:after="120" w:line="276" w:lineRule="auto"/>
        <w:ind w:firstLine="0"/>
        <w:contextualSpacing w:val="0"/>
        <w:rPr>
          <w:rFonts w:ascii="Arial" w:hAnsi="Arial" w:cs="Arial"/>
          <w:sz w:val="24"/>
          <w:szCs w:val="24"/>
        </w:rPr>
      </w:pPr>
      <w:r w:rsidRPr="00857E54">
        <w:rPr>
          <w:rFonts w:ascii="Arial" w:hAnsi="Arial" w:cs="Arial"/>
          <w:sz w:val="24"/>
          <w:szCs w:val="24"/>
        </w:rPr>
        <w:t>Creșterea rezultatelor inspecțiilor fiscale prin desfășurarea următoarele acțiuni:</w:t>
      </w:r>
    </w:p>
    <w:p w:rsidR="001069C2" w:rsidRPr="00857E54" w:rsidRDefault="001069C2" w:rsidP="00281576">
      <w:pPr>
        <w:pStyle w:val="ListParagraph"/>
        <w:keepNext/>
        <w:keepLines/>
        <w:numPr>
          <w:ilvl w:val="0"/>
          <w:numId w:val="43"/>
        </w:numPr>
        <w:spacing w:line="276" w:lineRule="auto"/>
        <w:ind w:left="1418" w:hanging="284"/>
        <w:rPr>
          <w:rFonts w:ascii="Arial" w:hAnsi="Arial" w:cs="Arial"/>
          <w:sz w:val="24"/>
          <w:szCs w:val="24"/>
        </w:rPr>
      </w:pPr>
      <w:r w:rsidRPr="00857E54">
        <w:rPr>
          <w:rFonts w:ascii="Arial" w:hAnsi="Arial" w:cs="Arial"/>
          <w:sz w:val="24"/>
          <w:szCs w:val="24"/>
        </w:rPr>
        <w:t>selectarea şi programarea pentru inspecție fiscală a unui număr mai mare de contribuabili mari şi contribuabili mijlocii, inclusiv prin acordarea de delegări de competență altor structuri de inspecție fiscală;</w:t>
      </w:r>
    </w:p>
    <w:p w:rsidR="001069C2" w:rsidRPr="00857E54" w:rsidRDefault="001069C2" w:rsidP="00281576">
      <w:pPr>
        <w:pStyle w:val="ListParagraph"/>
        <w:keepNext/>
        <w:keepLines/>
        <w:numPr>
          <w:ilvl w:val="0"/>
          <w:numId w:val="43"/>
        </w:numPr>
        <w:spacing w:line="276" w:lineRule="auto"/>
        <w:ind w:left="1418" w:hanging="284"/>
        <w:rPr>
          <w:rFonts w:ascii="Arial" w:hAnsi="Arial" w:cs="Arial"/>
          <w:sz w:val="24"/>
          <w:szCs w:val="24"/>
        </w:rPr>
      </w:pPr>
      <w:r w:rsidRPr="00857E54">
        <w:rPr>
          <w:rFonts w:ascii="Arial" w:hAnsi="Arial" w:cs="Arial"/>
          <w:sz w:val="24"/>
          <w:szCs w:val="24"/>
        </w:rPr>
        <w:lastRenderedPageBreak/>
        <w:t>finalizarea și implementarea noului sistem de proceduri utilizat de organele de inspecție fiscală, care va conduce la un tratament unitar în ce privește soluționarea diverselor situații și spețe întâlnite cu ocazia controalelor, la creșterea nivelului de pregătire profesională al inspectorilor fiscali, inclusiv dobândirea de abilități specifice activității de control, la transparentizarea procesului de inspecție fiscală și creșterea încrederii reciproce între contribuabil și inspectorii fiscali;</w:t>
      </w:r>
    </w:p>
    <w:p w:rsidR="001069C2" w:rsidRPr="00857E54" w:rsidRDefault="001069C2" w:rsidP="00281576">
      <w:pPr>
        <w:pStyle w:val="ListParagraph"/>
        <w:keepNext/>
        <w:keepLines/>
        <w:numPr>
          <w:ilvl w:val="0"/>
          <w:numId w:val="43"/>
        </w:numPr>
        <w:spacing w:line="276" w:lineRule="auto"/>
        <w:ind w:left="1418" w:hanging="284"/>
        <w:rPr>
          <w:rFonts w:ascii="Arial" w:hAnsi="Arial" w:cs="Arial"/>
          <w:sz w:val="24"/>
          <w:szCs w:val="24"/>
        </w:rPr>
      </w:pPr>
      <w:r w:rsidRPr="00857E54">
        <w:rPr>
          <w:rFonts w:ascii="Arial" w:hAnsi="Arial" w:cs="Arial"/>
          <w:sz w:val="24"/>
          <w:szCs w:val="24"/>
        </w:rPr>
        <w:t>îmbunătățirea colaborării cu Direcția Generală Antifraudă Fiscală în sensul valorificării mai eficiente, de către ambele structuri, a constatărilor rezultate urmare controalelor efectuate precum și a datelor și informațiilor deținute.</w:t>
      </w:r>
    </w:p>
    <w:p w:rsidR="001069C2" w:rsidRPr="00857E54" w:rsidRDefault="001069C2" w:rsidP="00281576">
      <w:pPr>
        <w:pStyle w:val="ListParagraph"/>
        <w:keepNext/>
        <w:keepLines/>
        <w:numPr>
          <w:ilvl w:val="0"/>
          <w:numId w:val="43"/>
        </w:numPr>
        <w:spacing w:line="276" w:lineRule="auto"/>
        <w:ind w:left="1418" w:hanging="284"/>
        <w:rPr>
          <w:rFonts w:ascii="Arial" w:hAnsi="Arial" w:cs="Arial"/>
          <w:sz w:val="24"/>
          <w:szCs w:val="24"/>
        </w:rPr>
      </w:pPr>
      <w:r w:rsidRPr="00857E54">
        <w:rPr>
          <w:rFonts w:ascii="Arial" w:hAnsi="Arial" w:cs="Arial"/>
          <w:sz w:val="24"/>
          <w:szCs w:val="24"/>
        </w:rPr>
        <w:t>continuarea sesiunilor de instruire a personalului cu atribuții de inspecție fiscală pe problematici care vizează îmbunătățirea analizei de risc utilizată în vederea selectării contribuabililor pentru inspecție fiscală, a controlului electronic și activității privind prețurile de transfer, utilizarea noului sistem de proceduri de control, precum și actualizarea/îmbunătățirea bazelor de date utilizate în activitatea de inspecție fiscală etc.</w:t>
      </w:r>
    </w:p>
    <w:p w:rsidR="004A08DA" w:rsidRPr="00857E54" w:rsidRDefault="004A08DA" w:rsidP="00281576">
      <w:pPr>
        <w:pStyle w:val="ListParagraph"/>
        <w:keepNext/>
        <w:keepLines/>
        <w:numPr>
          <w:ilvl w:val="0"/>
          <w:numId w:val="49"/>
        </w:numPr>
        <w:spacing w:after="120" w:line="276" w:lineRule="auto"/>
        <w:ind w:left="709" w:hanging="709"/>
        <w:rPr>
          <w:rFonts w:ascii="Arial" w:hAnsi="Arial" w:cs="Arial"/>
          <w:sz w:val="24"/>
          <w:szCs w:val="24"/>
        </w:rPr>
      </w:pPr>
      <w:r w:rsidRPr="00857E54">
        <w:rPr>
          <w:rFonts w:ascii="Arial" w:hAnsi="Arial" w:cs="Arial"/>
          <w:sz w:val="24"/>
          <w:szCs w:val="24"/>
        </w:rPr>
        <w:t>D</w:t>
      </w:r>
      <w:r w:rsidR="001069C2" w:rsidRPr="00857E54">
        <w:rPr>
          <w:rFonts w:ascii="Arial" w:hAnsi="Arial" w:cs="Arial"/>
          <w:sz w:val="24"/>
          <w:szCs w:val="24"/>
        </w:rPr>
        <w:t>ezvoltarea şi perfecționarea aplicațiilor informatice destinate inspecției fiscale.</w:t>
      </w:r>
    </w:p>
    <w:p w:rsidR="00603266" w:rsidRPr="00857E54" w:rsidRDefault="00603266" w:rsidP="00281576">
      <w:pPr>
        <w:pStyle w:val="ListParagraph"/>
        <w:keepNext/>
        <w:keepLines/>
        <w:numPr>
          <w:ilvl w:val="0"/>
          <w:numId w:val="49"/>
        </w:numPr>
        <w:spacing w:after="120" w:line="276" w:lineRule="auto"/>
        <w:ind w:left="709" w:hanging="709"/>
        <w:rPr>
          <w:rFonts w:ascii="Arial" w:hAnsi="Arial" w:cs="Arial"/>
          <w:sz w:val="24"/>
          <w:szCs w:val="24"/>
        </w:rPr>
      </w:pPr>
      <w:r w:rsidRPr="00857E54">
        <w:rPr>
          <w:rFonts w:ascii="Arial" w:hAnsi="Arial" w:cs="Arial"/>
          <w:sz w:val="24"/>
          <w:szCs w:val="24"/>
        </w:rPr>
        <w:t>Organizarea de sesiuni de îndrumare și asistență pe pagina Facebook a Agenției Naționale de Administrare Fiscală care să vizeze următoarele teme:</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eșalonarea la plată a obligațiilor fiscale;</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modalitățile de stingere a obligațiilor fiscale prin plată și compensare;</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modalitățile de plată a obligațiilor fiscale;</w:t>
      </w:r>
    </w:p>
    <w:p w:rsidR="00603266" w:rsidRPr="00857E54" w:rsidRDefault="00603266" w:rsidP="00281576">
      <w:pPr>
        <w:pStyle w:val="ListParagraph"/>
        <w:keepNext/>
        <w:keepLines/>
        <w:numPr>
          <w:ilvl w:val="0"/>
          <w:numId w:val="49"/>
        </w:numPr>
        <w:spacing w:after="120" w:line="276" w:lineRule="auto"/>
        <w:ind w:left="709" w:hanging="709"/>
        <w:rPr>
          <w:rFonts w:ascii="Arial" w:hAnsi="Arial" w:cs="Arial"/>
          <w:sz w:val="24"/>
          <w:szCs w:val="24"/>
        </w:rPr>
      </w:pPr>
      <w:r w:rsidRPr="00857E54">
        <w:rPr>
          <w:rFonts w:ascii="Arial" w:hAnsi="Arial" w:cs="Arial"/>
          <w:sz w:val="24"/>
          <w:szCs w:val="24"/>
        </w:rPr>
        <w:t>Transmiterea de instrucțiuni unităților fiscale în vederea organizării unor întâlniri cu contribuabilii care să vizeze următoarele tematici:</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eșalonarea la plată a obligațiilor fiscale;</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modalitățile de stingere a obligațiilor fiscale și modalitățile de efectuare a plăților;</w:t>
      </w:r>
    </w:p>
    <w:p w:rsidR="00603266" w:rsidRPr="00857E54" w:rsidRDefault="00603266" w:rsidP="00281576">
      <w:pPr>
        <w:pStyle w:val="ListParagraph"/>
        <w:keepNext/>
        <w:keepLines/>
        <w:numPr>
          <w:ilvl w:val="0"/>
          <w:numId w:val="49"/>
        </w:numPr>
        <w:spacing w:after="120" w:line="276" w:lineRule="auto"/>
        <w:ind w:left="709" w:hanging="709"/>
        <w:rPr>
          <w:rFonts w:ascii="Arial" w:hAnsi="Arial" w:cs="Arial"/>
          <w:sz w:val="24"/>
          <w:szCs w:val="24"/>
        </w:rPr>
      </w:pPr>
      <w:r w:rsidRPr="00857E54">
        <w:rPr>
          <w:rFonts w:ascii="Arial" w:hAnsi="Arial" w:cs="Arial"/>
          <w:sz w:val="24"/>
          <w:szCs w:val="24"/>
        </w:rPr>
        <w:t xml:space="preserve">Transmiterea de instrucțiuni unităților fiscale pentru a distribui materialele informative ce sunt disponibile pe </w:t>
      </w:r>
      <w:proofErr w:type="spellStart"/>
      <w:r w:rsidRPr="00857E54">
        <w:rPr>
          <w:rFonts w:ascii="Arial" w:hAnsi="Arial" w:cs="Arial"/>
          <w:sz w:val="24"/>
          <w:szCs w:val="24"/>
        </w:rPr>
        <w:t>SITE-ul</w:t>
      </w:r>
      <w:proofErr w:type="spellEnd"/>
      <w:r w:rsidRPr="00857E54">
        <w:rPr>
          <w:rFonts w:ascii="Arial" w:hAnsi="Arial" w:cs="Arial"/>
          <w:sz w:val="24"/>
          <w:szCs w:val="24"/>
        </w:rPr>
        <w:t xml:space="preserve"> Agenției Naționale de Administrare Fiscală participanților la întâlnirile organizate, respectiv:</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broșura privind modalitățile de efectuare a plăților către Agenția Națională de Administrare Fiscală;</w:t>
      </w:r>
    </w:p>
    <w:p w:rsidR="00603266" w:rsidRPr="00857E54" w:rsidRDefault="00603266" w:rsidP="00281576">
      <w:pPr>
        <w:pStyle w:val="ListParagraph"/>
        <w:keepNext/>
        <w:keepLines/>
        <w:numPr>
          <w:ilvl w:val="0"/>
          <w:numId w:val="45"/>
        </w:numPr>
        <w:spacing w:after="120" w:line="276" w:lineRule="auto"/>
        <w:ind w:left="1843" w:hanging="284"/>
        <w:contextualSpacing w:val="0"/>
        <w:rPr>
          <w:rFonts w:ascii="Arial" w:hAnsi="Arial" w:cs="Arial"/>
          <w:sz w:val="24"/>
          <w:szCs w:val="24"/>
        </w:rPr>
      </w:pPr>
      <w:r w:rsidRPr="00857E54">
        <w:rPr>
          <w:rFonts w:ascii="Arial" w:hAnsi="Arial" w:cs="Arial"/>
          <w:sz w:val="24"/>
          <w:szCs w:val="24"/>
        </w:rPr>
        <w:t>broșura privind eșalonarea la plată;</w:t>
      </w:r>
    </w:p>
    <w:p w:rsidR="00603266" w:rsidRPr="00857E54" w:rsidRDefault="00603266" w:rsidP="00281576">
      <w:pPr>
        <w:pStyle w:val="ListParagraph"/>
        <w:keepNext/>
        <w:keepLines/>
        <w:numPr>
          <w:ilvl w:val="0"/>
          <w:numId w:val="49"/>
        </w:numPr>
        <w:spacing w:after="120" w:line="276" w:lineRule="auto"/>
        <w:ind w:left="709" w:hanging="709"/>
        <w:rPr>
          <w:rFonts w:ascii="Arial" w:hAnsi="Arial" w:cs="Arial"/>
          <w:sz w:val="24"/>
          <w:szCs w:val="24"/>
        </w:rPr>
      </w:pPr>
      <w:r w:rsidRPr="00857E54">
        <w:rPr>
          <w:rFonts w:ascii="Arial" w:hAnsi="Arial" w:cs="Arial"/>
          <w:sz w:val="24"/>
          <w:szCs w:val="24"/>
        </w:rPr>
        <w:t>Elaborarea unor broșuri privind:</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calculul de dobânzi, penalități de întârziere și penalități de nedeclarare datorate de contribuabili;</w:t>
      </w:r>
    </w:p>
    <w:p w:rsidR="00603266" w:rsidRPr="00857E54" w:rsidRDefault="00603266" w:rsidP="00281576">
      <w:pPr>
        <w:pStyle w:val="ListParagraph"/>
        <w:keepNext/>
        <w:keepLines/>
        <w:numPr>
          <w:ilvl w:val="0"/>
          <w:numId w:val="45"/>
        </w:numPr>
        <w:spacing w:after="120" w:line="276" w:lineRule="auto"/>
        <w:ind w:left="1843" w:hanging="283"/>
        <w:rPr>
          <w:rFonts w:ascii="Arial" w:hAnsi="Arial" w:cs="Arial"/>
          <w:sz w:val="24"/>
          <w:szCs w:val="24"/>
        </w:rPr>
      </w:pPr>
      <w:r w:rsidRPr="00857E54">
        <w:rPr>
          <w:rFonts w:ascii="Arial" w:hAnsi="Arial" w:cs="Arial"/>
          <w:sz w:val="24"/>
          <w:szCs w:val="24"/>
        </w:rPr>
        <w:t>compensarea obligațiilor fiscale.</w:t>
      </w:r>
    </w:p>
    <w:p w:rsidR="000D2C11" w:rsidRPr="00857E54" w:rsidRDefault="000D2C11" w:rsidP="00281576">
      <w:pPr>
        <w:keepNext/>
        <w:keepLines/>
        <w:rPr>
          <w:rFonts w:ascii="Arial" w:hAnsi="Arial" w:cs="Arial"/>
          <w:sz w:val="24"/>
          <w:szCs w:val="24"/>
        </w:rPr>
      </w:pPr>
    </w:p>
    <w:p w:rsidR="00AD76A1" w:rsidRDefault="00AD76A1">
      <w:pPr>
        <w:rPr>
          <w:rFonts w:ascii="Arial" w:hAnsi="Arial" w:cs="Arial"/>
          <w:sz w:val="24"/>
          <w:szCs w:val="24"/>
        </w:rPr>
      </w:pPr>
      <w:r>
        <w:rPr>
          <w:rFonts w:ascii="Arial" w:hAnsi="Arial" w:cs="Arial"/>
          <w:sz w:val="24"/>
          <w:szCs w:val="24"/>
        </w:rPr>
        <w:br w:type="page"/>
      </w:r>
    </w:p>
    <w:p w:rsidR="00B945E2" w:rsidRPr="00857E54" w:rsidRDefault="00B945E2" w:rsidP="00281576">
      <w:pPr>
        <w:keepNext/>
        <w:keepLines/>
        <w:rPr>
          <w:rFonts w:ascii="Arial" w:hAnsi="Arial" w:cs="Arial"/>
          <w:sz w:val="24"/>
          <w:szCs w:val="24"/>
        </w:rPr>
      </w:pPr>
    </w:p>
    <w:p w:rsidR="0056154D" w:rsidRPr="00857E54" w:rsidRDefault="00E3087D" w:rsidP="00281576">
      <w:pPr>
        <w:pStyle w:val="ListParagraph"/>
        <w:keepNext/>
        <w:keepLines/>
        <w:numPr>
          <w:ilvl w:val="0"/>
          <w:numId w:val="1"/>
        </w:numPr>
        <w:ind w:left="567" w:hanging="283"/>
        <w:outlineLvl w:val="0"/>
        <w:rPr>
          <w:rFonts w:cs="Arial"/>
          <w:b/>
          <w:sz w:val="28"/>
          <w:szCs w:val="28"/>
        </w:rPr>
      </w:pPr>
      <w:bookmarkStart w:id="12" w:name="_Toc299543080"/>
      <w:bookmarkStart w:id="13" w:name="_Toc425320858"/>
      <w:bookmarkStart w:id="14" w:name="_Toc425428327"/>
      <w:bookmarkStart w:id="15" w:name="_Toc456256137"/>
      <w:bookmarkStart w:id="16" w:name="_Toc456256934"/>
      <w:bookmarkStart w:id="17" w:name="_Toc456257458"/>
      <w:bookmarkStart w:id="18" w:name="_Toc456258316"/>
      <w:bookmarkStart w:id="19" w:name="_Toc456258421"/>
      <w:bookmarkStart w:id="20" w:name="_Toc520281762"/>
      <w:r w:rsidRPr="00857E54">
        <w:rPr>
          <w:rFonts w:cs="Arial"/>
          <w:b/>
          <w:sz w:val="28"/>
          <w:szCs w:val="28"/>
        </w:rPr>
        <w:t xml:space="preserve">Execuția bugetară pe </w:t>
      </w:r>
      <w:r w:rsidR="00BD4E32" w:rsidRPr="00857E54">
        <w:rPr>
          <w:rFonts w:cs="Arial"/>
          <w:b/>
          <w:sz w:val="28"/>
          <w:szCs w:val="28"/>
        </w:rPr>
        <w:t xml:space="preserve">primul semestru al </w:t>
      </w:r>
      <w:r w:rsidRPr="00857E54">
        <w:rPr>
          <w:rFonts w:cs="Arial"/>
          <w:b/>
          <w:sz w:val="28"/>
          <w:szCs w:val="28"/>
        </w:rPr>
        <w:t>anului</w:t>
      </w:r>
      <w:bookmarkEnd w:id="12"/>
      <w:bookmarkEnd w:id="13"/>
      <w:bookmarkEnd w:id="14"/>
      <w:bookmarkEnd w:id="15"/>
      <w:bookmarkEnd w:id="16"/>
      <w:bookmarkEnd w:id="17"/>
      <w:bookmarkEnd w:id="18"/>
      <w:bookmarkEnd w:id="19"/>
      <w:r w:rsidR="00D46822">
        <w:rPr>
          <w:rFonts w:cs="Arial"/>
          <w:b/>
          <w:sz w:val="28"/>
          <w:szCs w:val="28"/>
        </w:rPr>
        <w:t xml:space="preserve"> </w:t>
      </w:r>
      <w:r w:rsidR="00DD17E0" w:rsidRPr="00857E54">
        <w:rPr>
          <w:rFonts w:cs="Arial"/>
          <w:b/>
          <w:sz w:val="28"/>
          <w:szCs w:val="28"/>
        </w:rPr>
        <w:t>2018</w:t>
      </w:r>
      <w:bookmarkEnd w:id="20"/>
    </w:p>
    <w:p w:rsidR="009D0987" w:rsidRPr="00857E54" w:rsidRDefault="009D0987" w:rsidP="00281576">
      <w:pPr>
        <w:pStyle w:val="ListParagraph"/>
        <w:keepNext/>
        <w:keepLines/>
        <w:ind w:left="567" w:firstLine="0"/>
        <w:outlineLvl w:val="0"/>
        <w:rPr>
          <w:rFonts w:cs="Arial"/>
          <w:b/>
          <w:sz w:val="28"/>
          <w:szCs w:val="28"/>
        </w:rPr>
      </w:pPr>
    </w:p>
    <w:p w:rsidR="007C4F03" w:rsidRPr="00857E54" w:rsidRDefault="007C4F03" w:rsidP="00281576">
      <w:pPr>
        <w:keepNext/>
        <w:keepLines/>
        <w:ind w:firstLine="680"/>
        <w:rPr>
          <w:rFonts w:ascii="Arial" w:hAnsi="Arial" w:cs="Arial"/>
          <w:sz w:val="24"/>
          <w:szCs w:val="24"/>
        </w:rPr>
      </w:pPr>
      <w:r w:rsidRPr="00857E54">
        <w:rPr>
          <w:rFonts w:ascii="Arial" w:hAnsi="Arial" w:cs="Arial"/>
          <w:sz w:val="24"/>
          <w:szCs w:val="24"/>
        </w:rPr>
        <w:t xml:space="preserve">Conform datelor operative, execuția bugetului general consolidat pe </w:t>
      </w:r>
      <w:r w:rsidR="00105A75" w:rsidRPr="00857E54">
        <w:rPr>
          <w:rFonts w:ascii="Arial" w:hAnsi="Arial" w:cs="Arial"/>
          <w:sz w:val="24"/>
          <w:szCs w:val="24"/>
        </w:rPr>
        <w:t>primul semestru al</w:t>
      </w:r>
      <w:r w:rsidRPr="00857E54">
        <w:rPr>
          <w:rFonts w:ascii="Arial" w:hAnsi="Arial" w:cs="Arial"/>
          <w:sz w:val="24"/>
          <w:szCs w:val="24"/>
        </w:rPr>
        <w:t xml:space="preserve"> anului </w:t>
      </w:r>
      <w:r w:rsidR="00DD17E0" w:rsidRPr="00857E54">
        <w:rPr>
          <w:rFonts w:ascii="Arial" w:hAnsi="Arial" w:cs="Arial"/>
          <w:sz w:val="24"/>
          <w:szCs w:val="24"/>
        </w:rPr>
        <w:t xml:space="preserve">2018 </w:t>
      </w:r>
      <w:r w:rsidRPr="00857E54">
        <w:rPr>
          <w:rFonts w:ascii="Arial" w:hAnsi="Arial" w:cs="Arial"/>
          <w:sz w:val="24"/>
          <w:szCs w:val="24"/>
        </w:rPr>
        <w:t xml:space="preserve">(Anexa nr. 1 şi Anexa nr. 2) s-a încheiat cu un </w:t>
      </w:r>
      <w:r w:rsidR="009F4875" w:rsidRPr="00857E54">
        <w:rPr>
          <w:rFonts w:ascii="Arial" w:hAnsi="Arial" w:cs="Arial"/>
          <w:b/>
          <w:bCs/>
          <w:sz w:val="24"/>
          <w:szCs w:val="24"/>
        </w:rPr>
        <w:t>deficit</w:t>
      </w:r>
      <w:r w:rsidR="00CF7F6B" w:rsidRPr="00857E54">
        <w:rPr>
          <w:rFonts w:ascii="Arial" w:hAnsi="Arial" w:cs="Arial"/>
          <w:b/>
          <w:bCs/>
          <w:sz w:val="24"/>
          <w:szCs w:val="24"/>
        </w:rPr>
        <w:t xml:space="preserve"> </w:t>
      </w:r>
      <w:r w:rsidRPr="00857E54">
        <w:rPr>
          <w:rFonts w:ascii="Arial" w:hAnsi="Arial" w:cs="Arial"/>
          <w:sz w:val="24"/>
          <w:szCs w:val="24"/>
        </w:rPr>
        <w:t xml:space="preserve">de </w:t>
      </w:r>
      <w:r w:rsidR="00DD17E0" w:rsidRPr="00857E54">
        <w:rPr>
          <w:rFonts w:ascii="Arial" w:hAnsi="Arial" w:cs="Arial"/>
          <w:sz w:val="24"/>
          <w:szCs w:val="24"/>
        </w:rPr>
        <w:t>14.965,3</w:t>
      </w:r>
      <w:r w:rsidRPr="00857E54">
        <w:rPr>
          <w:rFonts w:ascii="Arial" w:hAnsi="Arial" w:cs="Arial"/>
          <w:sz w:val="24"/>
          <w:szCs w:val="24"/>
        </w:rPr>
        <w:t xml:space="preserve"> milioane lei (</w:t>
      </w:r>
      <w:r w:rsidR="00DD17E0" w:rsidRPr="00857E54">
        <w:rPr>
          <w:rFonts w:ascii="Arial" w:hAnsi="Arial" w:cs="Arial"/>
          <w:sz w:val="24"/>
          <w:szCs w:val="24"/>
        </w:rPr>
        <w:t>1,6</w:t>
      </w:r>
      <w:r w:rsidRPr="00857E54">
        <w:rPr>
          <w:rFonts w:ascii="Arial" w:hAnsi="Arial" w:cs="Arial"/>
          <w:sz w:val="24"/>
          <w:szCs w:val="24"/>
        </w:rPr>
        <w:t xml:space="preserve">% din PIB), în condițiile în care pentru perioada analizată a fost stabilită ca țintă </w:t>
      </w:r>
      <w:r w:rsidR="00183827" w:rsidRPr="00857E54">
        <w:rPr>
          <w:rFonts w:ascii="Arial" w:hAnsi="Arial" w:cs="Arial"/>
          <w:sz w:val="24"/>
          <w:szCs w:val="24"/>
        </w:rPr>
        <w:t xml:space="preserve">inițială </w:t>
      </w:r>
      <w:r w:rsidRPr="00857E54">
        <w:rPr>
          <w:rFonts w:ascii="Arial" w:hAnsi="Arial" w:cs="Arial"/>
          <w:sz w:val="24"/>
          <w:szCs w:val="24"/>
        </w:rPr>
        <w:t xml:space="preserve">un </w:t>
      </w:r>
      <w:r w:rsidRPr="00857E54">
        <w:rPr>
          <w:rFonts w:ascii="Arial" w:hAnsi="Arial" w:cs="Arial"/>
          <w:b/>
          <w:sz w:val="24"/>
          <w:szCs w:val="24"/>
        </w:rPr>
        <w:t xml:space="preserve">deficit </w:t>
      </w:r>
      <w:r w:rsidRPr="00857E54">
        <w:rPr>
          <w:rFonts w:ascii="Arial" w:hAnsi="Arial" w:cs="Arial"/>
          <w:sz w:val="24"/>
          <w:szCs w:val="24"/>
        </w:rPr>
        <w:t xml:space="preserve">bugetar de </w:t>
      </w:r>
      <w:r w:rsidR="00DD17E0" w:rsidRPr="00857E54">
        <w:rPr>
          <w:rFonts w:ascii="Arial" w:hAnsi="Arial" w:cs="Arial"/>
          <w:sz w:val="24"/>
          <w:szCs w:val="24"/>
        </w:rPr>
        <w:t>2,2</w:t>
      </w:r>
      <w:r w:rsidR="00384D95" w:rsidRPr="00857E54">
        <w:rPr>
          <w:rFonts w:ascii="Arial" w:hAnsi="Arial" w:cs="Arial"/>
          <w:sz w:val="24"/>
          <w:szCs w:val="24"/>
        </w:rPr>
        <w:t>% din PIB</w:t>
      </w:r>
      <w:r w:rsidRPr="00857E54">
        <w:rPr>
          <w:rFonts w:ascii="Arial" w:hAnsi="Arial" w:cs="Arial"/>
          <w:sz w:val="24"/>
          <w:szCs w:val="24"/>
        </w:rPr>
        <w:t>.</w:t>
      </w:r>
    </w:p>
    <w:p w:rsidR="00105A75" w:rsidRPr="00857E54" w:rsidRDefault="007C4F03" w:rsidP="00281576">
      <w:pPr>
        <w:keepNext/>
        <w:keepLines/>
        <w:ind w:firstLine="680"/>
        <w:rPr>
          <w:rFonts w:ascii="Arial" w:hAnsi="Arial" w:cs="Arial"/>
          <w:bCs/>
          <w:sz w:val="24"/>
          <w:szCs w:val="24"/>
        </w:rPr>
      </w:pPr>
      <w:r w:rsidRPr="00857E54">
        <w:rPr>
          <w:rFonts w:ascii="Arial" w:hAnsi="Arial" w:cs="Arial"/>
          <w:b/>
          <w:sz w:val="24"/>
          <w:szCs w:val="24"/>
        </w:rPr>
        <w:t>Veniturile bugetului general consolidat</w:t>
      </w:r>
      <w:r w:rsidRPr="00857E54">
        <w:rPr>
          <w:rFonts w:ascii="Arial" w:hAnsi="Arial" w:cs="Arial"/>
          <w:sz w:val="24"/>
          <w:szCs w:val="24"/>
        </w:rPr>
        <w:t xml:space="preserve"> au fost în sumă de </w:t>
      </w:r>
      <w:r w:rsidR="00DD17E0" w:rsidRPr="00857E54">
        <w:rPr>
          <w:rFonts w:ascii="Arial" w:hAnsi="Arial" w:cs="Arial"/>
          <w:b/>
          <w:sz w:val="24"/>
          <w:szCs w:val="24"/>
        </w:rPr>
        <w:t>132.043,9</w:t>
      </w:r>
      <w:r w:rsidRPr="00857E54">
        <w:rPr>
          <w:rFonts w:ascii="Arial" w:hAnsi="Arial" w:cs="Arial"/>
          <w:b/>
          <w:sz w:val="24"/>
          <w:szCs w:val="24"/>
        </w:rPr>
        <w:t xml:space="preserve"> milioane lei</w:t>
      </w:r>
      <w:r w:rsidRPr="00857E54">
        <w:rPr>
          <w:rFonts w:ascii="Arial" w:hAnsi="Arial" w:cs="Arial"/>
          <w:sz w:val="24"/>
          <w:szCs w:val="24"/>
        </w:rPr>
        <w:t xml:space="preserve">, cu </w:t>
      </w:r>
      <w:r w:rsidR="00DD17E0" w:rsidRPr="00857E54">
        <w:rPr>
          <w:rFonts w:ascii="Arial" w:hAnsi="Arial" w:cs="Arial"/>
          <w:sz w:val="24"/>
          <w:szCs w:val="24"/>
        </w:rPr>
        <w:t>12,6</w:t>
      </w:r>
      <w:r w:rsidR="009F4875" w:rsidRPr="00857E54">
        <w:rPr>
          <w:rFonts w:ascii="Arial" w:hAnsi="Arial" w:cs="Arial"/>
          <w:sz w:val="24"/>
          <w:szCs w:val="24"/>
        </w:rPr>
        <w:t xml:space="preserve">% mai </w:t>
      </w:r>
      <w:r w:rsidR="00C3380F" w:rsidRPr="00857E54">
        <w:rPr>
          <w:rFonts w:ascii="Arial" w:hAnsi="Arial" w:cs="Arial"/>
          <w:sz w:val="24"/>
          <w:szCs w:val="24"/>
        </w:rPr>
        <w:t xml:space="preserve">mari </w:t>
      </w:r>
      <w:r w:rsidRPr="00857E54">
        <w:rPr>
          <w:rFonts w:ascii="Arial" w:hAnsi="Arial" w:cs="Arial"/>
          <w:sz w:val="24"/>
          <w:szCs w:val="24"/>
        </w:rPr>
        <w:t>comparativ cu aceeași perioadă a anului</w:t>
      </w:r>
      <w:r w:rsidRPr="00857E54">
        <w:rPr>
          <w:rFonts w:ascii="Arial" w:hAnsi="Arial" w:cs="Arial"/>
          <w:bCs/>
          <w:sz w:val="24"/>
          <w:szCs w:val="24"/>
        </w:rPr>
        <w:t xml:space="preserve"> precedent şi </w:t>
      </w:r>
      <w:r w:rsidR="00105A75" w:rsidRPr="00857E54">
        <w:rPr>
          <w:rFonts w:ascii="Arial" w:hAnsi="Arial" w:cs="Arial"/>
          <w:bCs/>
          <w:sz w:val="24"/>
          <w:szCs w:val="24"/>
        </w:rPr>
        <w:t xml:space="preserve">cu </w:t>
      </w:r>
      <w:r w:rsidRPr="00857E54">
        <w:rPr>
          <w:rFonts w:ascii="Arial" w:hAnsi="Arial" w:cs="Arial"/>
          <w:bCs/>
          <w:sz w:val="24"/>
          <w:szCs w:val="24"/>
        </w:rPr>
        <w:t xml:space="preserve">un grad de realizare al programului de încasări pe primul semestru de </w:t>
      </w:r>
      <w:r w:rsidR="00DD17E0" w:rsidRPr="00857E54">
        <w:rPr>
          <w:rFonts w:ascii="Arial" w:hAnsi="Arial" w:cs="Arial"/>
          <w:b/>
          <w:bCs/>
          <w:sz w:val="24"/>
          <w:szCs w:val="24"/>
        </w:rPr>
        <w:t>96,3</w:t>
      </w:r>
      <w:r w:rsidRPr="00857E54">
        <w:rPr>
          <w:rFonts w:ascii="Arial" w:hAnsi="Arial" w:cs="Arial"/>
          <w:b/>
          <w:bCs/>
          <w:sz w:val="24"/>
          <w:szCs w:val="24"/>
        </w:rPr>
        <w:t>%</w:t>
      </w:r>
      <w:r w:rsidRPr="00857E54">
        <w:rPr>
          <w:rFonts w:ascii="Arial" w:hAnsi="Arial" w:cs="Arial"/>
          <w:bCs/>
          <w:sz w:val="24"/>
          <w:szCs w:val="24"/>
        </w:rPr>
        <w:t xml:space="preserve">. </w:t>
      </w:r>
    </w:p>
    <w:p w:rsidR="007C4F03" w:rsidRPr="00857E54" w:rsidRDefault="007E5C0F" w:rsidP="00281576">
      <w:pPr>
        <w:keepNext/>
        <w:keepLines/>
        <w:ind w:firstLine="680"/>
        <w:rPr>
          <w:rFonts w:ascii="Arial" w:hAnsi="Arial" w:cs="Arial"/>
          <w:bCs/>
          <w:sz w:val="24"/>
          <w:szCs w:val="24"/>
        </w:rPr>
      </w:pPr>
      <w:r w:rsidRPr="00857E54">
        <w:rPr>
          <w:rFonts w:ascii="Arial" w:hAnsi="Arial" w:cs="Arial"/>
          <w:bCs/>
          <w:sz w:val="24"/>
          <w:szCs w:val="24"/>
        </w:rPr>
        <w:t>V</w:t>
      </w:r>
      <w:r w:rsidR="003E5810" w:rsidRPr="00857E54">
        <w:rPr>
          <w:rFonts w:ascii="Arial" w:hAnsi="Arial" w:cs="Arial"/>
          <w:bCs/>
          <w:sz w:val="24"/>
          <w:szCs w:val="24"/>
        </w:rPr>
        <w:t>eniturile bugetului general consolidat</w:t>
      </w:r>
      <w:r w:rsidRPr="00857E54">
        <w:rPr>
          <w:rFonts w:ascii="Arial" w:hAnsi="Arial" w:cs="Arial"/>
          <w:bCs/>
          <w:sz w:val="24"/>
          <w:szCs w:val="24"/>
        </w:rPr>
        <w:t>, ca procent în PIB,</w:t>
      </w:r>
      <w:r w:rsidR="003E5810" w:rsidRPr="00857E54">
        <w:rPr>
          <w:rFonts w:ascii="Arial" w:hAnsi="Arial" w:cs="Arial"/>
          <w:bCs/>
          <w:sz w:val="24"/>
          <w:szCs w:val="24"/>
        </w:rPr>
        <w:t xml:space="preserve"> au crescut în perioada analizată cu 0,</w:t>
      </w:r>
      <w:r w:rsidR="00DD17E0" w:rsidRPr="00857E54">
        <w:rPr>
          <w:rFonts w:ascii="Arial" w:hAnsi="Arial" w:cs="Arial"/>
          <w:bCs/>
          <w:sz w:val="24"/>
          <w:szCs w:val="24"/>
        </w:rPr>
        <w:t xml:space="preserve">5 </w:t>
      </w:r>
      <w:r w:rsidR="003E5810" w:rsidRPr="00857E54">
        <w:rPr>
          <w:rFonts w:ascii="Arial" w:hAnsi="Arial" w:cs="Arial"/>
          <w:bCs/>
          <w:sz w:val="24"/>
          <w:szCs w:val="24"/>
        </w:rPr>
        <w:t xml:space="preserve">puncte procentuale comparativ cu aceeași perioadă a anului anterior de la </w:t>
      </w:r>
      <w:r w:rsidR="00DD17E0" w:rsidRPr="00857E54">
        <w:rPr>
          <w:rFonts w:ascii="Arial" w:hAnsi="Arial" w:cs="Arial"/>
          <w:bCs/>
          <w:sz w:val="24"/>
          <w:szCs w:val="24"/>
        </w:rPr>
        <w:t>13,7</w:t>
      </w:r>
      <w:r w:rsidR="003E5810" w:rsidRPr="00857E54">
        <w:rPr>
          <w:rFonts w:ascii="Arial" w:hAnsi="Arial" w:cs="Arial"/>
          <w:bCs/>
          <w:sz w:val="24"/>
          <w:szCs w:val="24"/>
        </w:rPr>
        <w:t xml:space="preserve">% în PIB în </w:t>
      </w:r>
      <w:r w:rsidR="00CF4AAA" w:rsidRPr="00857E54">
        <w:rPr>
          <w:rFonts w:ascii="Arial" w:hAnsi="Arial" w:cs="Arial"/>
          <w:bCs/>
          <w:sz w:val="24"/>
          <w:szCs w:val="24"/>
        </w:rPr>
        <w:t>semestru</w:t>
      </w:r>
      <w:r w:rsidR="00CF7F6B" w:rsidRPr="00857E54">
        <w:rPr>
          <w:rFonts w:ascii="Arial" w:hAnsi="Arial" w:cs="Arial"/>
          <w:bCs/>
          <w:sz w:val="24"/>
          <w:szCs w:val="24"/>
        </w:rPr>
        <w:t xml:space="preserve"> </w:t>
      </w:r>
      <w:proofErr w:type="spellStart"/>
      <w:r w:rsidR="00CF4AAA" w:rsidRPr="00857E54">
        <w:rPr>
          <w:rFonts w:ascii="Arial" w:hAnsi="Arial" w:cs="Arial"/>
          <w:bCs/>
          <w:sz w:val="24"/>
          <w:szCs w:val="24"/>
        </w:rPr>
        <w:t>l</w:t>
      </w:r>
      <w:r w:rsidR="00105A75" w:rsidRPr="00857E54">
        <w:rPr>
          <w:rFonts w:ascii="Arial" w:hAnsi="Arial" w:cs="Arial"/>
          <w:bCs/>
          <w:sz w:val="24"/>
          <w:szCs w:val="24"/>
        </w:rPr>
        <w:t>I</w:t>
      </w:r>
      <w:proofErr w:type="spellEnd"/>
      <w:r w:rsidR="00105A75" w:rsidRPr="00857E54">
        <w:rPr>
          <w:rFonts w:ascii="Arial" w:hAnsi="Arial" w:cs="Arial"/>
          <w:bCs/>
          <w:sz w:val="24"/>
          <w:szCs w:val="24"/>
        </w:rPr>
        <w:t xml:space="preserve"> </w:t>
      </w:r>
      <w:r w:rsidR="00DD17E0" w:rsidRPr="00857E54">
        <w:rPr>
          <w:rFonts w:ascii="Arial" w:hAnsi="Arial" w:cs="Arial"/>
          <w:bCs/>
          <w:sz w:val="24"/>
          <w:szCs w:val="24"/>
        </w:rPr>
        <w:t xml:space="preserve">2017 </w:t>
      </w:r>
      <w:r w:rsidR="003E5810" w:rsidRPr="00857E54">
        <w:rPr>
          <w:rFonts w:ascii="Arial" w:hAnsi="Arial" w:cs="Arial"/>
          <w:bCs/>
          <w:sz w:val="24"/>
          <w:szCs w:val="24"/>
        </w:rPr>
        <w:t>la 14,</w:t>
      </w:r>
      <w:r w:rsidR="00DD17E0" w:rsidRPr="00857E54">
        <w:rPr>
          <w:rFonts w:ascii="Arial" w:hAnsi="Arial" w:cs="Arial"/>
          <w:bCs/>
          <w:sz w:val="24"/>
          <w:szCs w:val="24"/>
        </w:rPr>
        <w:t>2</w:t>
      </w:r>
      <w:r w:rsidR="003E5810" w:rsidRPr="00857E54">
        <w:rPr>
          <w:rFonts w:ascii="Arial" w:hAnsi="Arial" w:cs="Arial"/>
          <w:bCs/>
          <w:sz w:val="24"/>
          <w:szCs w:val="24"/>
        </w:rPr>
        <w:t xml:space="preserve">% din PIB în semestrul I </w:t>
      </w:r>
      <w:r w:rsidR="00DD17E0" w:rsidRPr="00857E54">
        <w:rPr>
          <w:rFonts w:ascii="Arial" w:hAnsi="Arial" w:cs="Arial"/>
          <w:bCs/>
          <w:sz w:val="24"/>
          <w:szCs w:val="24"/>
        </w:rPr>
        <w:t>2018</w:t>
      </w:r>
      <w:r w:rsidR="003E5810" w:rsidRPr="00857E54">
        <w:rPr>
          <w:rFonts w:ascii="Arial" w:hAnsi="Arial" w:cs="Arial"/>
          <w:bCs/>
          <w:sz w:val="24"/>
          <w:szCs w:val="24"/>
        </w:rPr>
        <w:t>.</w:t>
      </w:r>
    </w:p>
    <w:p w:rsidR="007C4F03" w:rsidRPr="00857E54" w:rsidRDefault="007C4F03" w:rsidP="00281576">
      <w:pPr>
        <w:keepNext/>
        <w:keepLines/>
        <w:ind w:firstLine="680"/>
        <w:rPr>
          <w:rFonts w:ascii="Arial" w:hAnsi="Arial" w:cs="Arial"/>
          <w:bCs/>
          <w:sz w:val="24"/>
          <w:szCs w:val="24"/>
        </w:rPr>
      </w:pPr>
      <w:r w:rsidRPr="00857E54">
        <w:rPr>
          <w:rFonts w:ascii="Arial" w:hAnsi="Arial" w:cs="Arial"/>
          <w:b/>
          <w:bCs/>
          <w:sz w:val="24"/>
          <w:szCs w:val="24"/>
        </w:rPr>
        <w:t>Veniturile încasate din economia internă</w:t>
      </w:r>
      <w:r w:rsidRPr="00857E54">
        <w:rPr>
          <w:rFonts w:ascii="Arial" w:hAnsi="Arial" w:cs="Arial"/>
          <w:bCs/>
          <w:sz w:val="24"/>
          <w:szCs w:val="24"/>
        </w:rPr>
        <w:t xml:space="preserve"> (fără fonduri de la Uniunea Europeană pre </w:t>
      </w:r>
      <w:r w:rsidR="00A86D78" w:rsidRPr="00857E54">
        <w:rPr>
          <w:rFonts w:ascii="Arial" w:hAnsi="Arial" w:cs="Arial"/>
          <w:bCs/>
          <w:sz w:val="24"/>
          <w:szCs w:val="24"/>
        </w:rPr>
        <w:t>ș</w:t>
      </w:r>
      <w:r w:rsidRPr="00857E54">
        <w:rPr>
          <w:rFonts w:ascii="Arial" w:hAnsi="Arial" w:cs="Arial"/>
          <w:bCs/>
          <w:sz w:val="24"/>
          <w:szCs w:val="24"/>
        </w:rPr>
        <w:t xml:space="preserve">i post-aderare) au fost în sumă de </w:t>
      </w:r>
      <w:r w:rsidR="00DD17E0" w:rsidRPr="00857E54">
        <w:rPr>
          <w:rFonts w:ascii="Arial" w:hAnsi="Arial" w:cs="Arial"/>
          <w:bCs/>
          <w:sz w:val="24"/>
          <w:szCs w:val="24"/>
        </w:rPr>
        <w:t xml:space="preserve">125.125,3 </w:t>
      </w:r>
      <w:r w:rsidRPr="00857E54">
        <w:rPr>
          <w:rFonts w:ascii="Arial" w:hAnsi="Arial" w:cs="Arial"/>
          <w:bCs/>
          <w:sz w:val="24"/>
          <w:szCs w:val="24"/>
        </w:rPr>
        <w:t>milioane lei (</w:t>
      </w:r>
      <w:r w:rsidR="00C3380F" w:rsidRPr="00857E54">
        <w:rPr>
          <w:rFonts w:ascii="Arial" w:hAnsi="Arial" w:cs="Arial"/>
          <w:bCs/>
          <w:sz w:val="24"/>
          <w:szCs w:val="24"/>
        </w:rPr>
        <w:t>13,</w:t>
      </w:r>
      <w:r w:rsidR="00DD17E0" w:rsidRPr="00857E54">
        <w:rPr>
          <w:rFonts w:ascii="Arial" w:hAnsi="Arial" w:cs="Arial"/>
          <w:bCs/>
          <w:sz w:val="24"/>
          <w:szCs w:val="24"/>
        </w:rPr>
        <w:t>5</w:t>
      </w:r>
      <w:r w:rsidRPr="00857E54">
        <w:rPr>
          <w:rFonts w:ascii="Arial" w:hAnsi="Arial" w:cs="Arial"/>
          <w:bCs/>
          <w:sz w:val="24"/>
          <w:szCs w:val="24"/>
        </w:rPr>
        <w:t xml:space="preserve">% din PIB), cu </w:t>
      </w:r>
      <w:r w:rsidR="00DD17E0" w:rsidRPr="00857E54">
        <w:rPr>
          <w:rFonts w:ascii="Arial" w:hAnsi="Arial" w:cs="Arial"/>
          <w:bCs/>
          <w:sz w:val="24"/>
          <w:szCs w:val="24"/>
        </w:rPr>
        <w:t>12</w:t>
      </w:r>
      <w:r w:rsidR="006F4BE5" w:rsidRPr="00857E54">
        <w:rPr>
          <w:rFonts w:ascii="Arial" w:hAnsi="Arial" w:cs="Arial"/>
          <w:bCs/>
          <w:sz w:val="24"/>
          <w:szCs w:val="24"/>
        </w:rPr>
        <w:t>,1</w:t>
      </w:r>
      <w:r w:rsidRPr="00857E54">
        <w:rPr>
          <w:rFonts w:ascii="Arial" w:hAnsi="Arial" w:cs="Arial"/>
          <w:bCs/>
          <w:sz w:val="24"/>
          <w:szCs w:val="24"/>
        </w:rPr>
        <w:t xml:space="preserve">% mai </w:t>
      </w:r>
      <w:r w:rsidR="0047638C" w:rsidRPr="00857E54">
        <w:rPr>
          <w:rFonts w:ascii="Arial" w:hAnsi="Arial" w:cs="Arial"/>
          <w:bCs/>
          <w:sz w:val="24"/>
          <w:szCs w:val="24"/>
        </w:rPr>
        <w:t xml:space="preserve">mari </w:t>
      </w:r>
      <w:r w:rsidRPr="00857E54">
        <w:rPr>
          <w:rFonts w:ascii="Arial" w:hAnsi="Arial" w:cs="Arial"/>
          <w:bCs/>
          <w:sz w:val="24"/>
          <w:szCs w:val="24"/>
        </w:rPr>
        <w:t xml:space="preserve">comparativ cu încasările semestrului I </w:t>
      </w:r>
      <w:r w:rsidR="00DD17E0" w:rsidRPr="00857E54">
        <w:rPr>
          <w:rFonts w:ascii="Arial" w:hAnsi="Arial" w:cs="Arial"/>
          <w:bCs/>
          <w:sz w:val="24"/>
          <w:szCs w:val="24"/>
        </w:rPr>
        <w:t xml:space="preserve">2017 </w:t>
      </w:r>
      <w:r w:rsidRPr="00857E54">
        <w:rPr>
          <w:rFonts w:ascii="Arial" w:hAnsi="Arial" w:cs="Arial"/>
          <w:bCs/>
          <w:sz w:val="24"/>
          <w:szCs w:val="24"/>
        </w:rPr>
        <w:t xml:space="preserve">şi un grad de </w:t>
      </w:r>
      <w:r w:rsidR="005275F7" w:rsidRPr="00857E54">
        <w:rPr>
          <w:rFonts w:ascii="Arial" w:hAnsi="Arial" w:cs="Arial"/>
          <w:bCs/>
          <w:sz w:val="24"/>
          <w:szCs w:val="24"/>
        </w:rPr>
        <w:t>realizare a</w:t>
      </w:r>
      <w:r w:rsidRPr="00857E54">
        <w:rPr>
          <w:rFonts w:ascii="Arial" w:hAnsi="Arial" w:cs="Arial"/>
          <w:bCs/>
          <w:sz w:val="24"/>
          <w:szCs w:val="24"/>
        </w:rPr>
        <w:t xml:space="preserve"> programul semestrial </w:t>
      </w:r>
      <w:r w:rsidR="00D853E1" w:rsidRPr="00857E54">
        <w:rPr>
          <w:rFonts w:ascii="Arial" w:hAnsi="Arial" w:cs="Arial"/>
          <w:bCs/>
          <w:sz w:val="24"/>
          <w:szCs w:val="24"/>
        </w:rPr>
        <w:t xml:space="preserve">de </w:t>
      </w:r>
      <w:r w:rsidR="00DD17E0" w:rsidRPr="00857E54">
        <w:rPr>
          <w:rFonts w:ascii="Arial" w:hAnsi="Arial" w:cs="Arial"/>
          <w:bCs/>
          <w:sz w:val="24"/>
          <w:szCs w:val="24"/>
        </w:rPr>
        <w:t>100,5</w:t>
      </w:r>
      <w:r w:rsidRPr="00857E54">
        <w:rPr>
          <w:rFonts w:ascii="Arial" w:hAnsi="Arial" w:cs="Arial"/>
          <w:bCs/>
          <w:sz w:val="24"/>
          <w:szCs w:val="24"/>
        </w:rPr>
        <w:t xml:space="preserve">%.  </w:t>
      </w:r>
    </w:p>
    <w:p w:rsidR="00927413" w:rsidRPr="00857E54" w:rsidRDefault="00C265A3" w:rsidP="00281576">
      <w:pPr>
        <w:keepNext/>
        <w:keepLines/>
        <w:ind w:firstLine="680"/>
        <w:rPr>
          <w:rFonts w:ascii="Arial" w:hAnsi="Arial" w:cs="Arial"/>
          <w:bCs/>
          <w:sz w:val="24"/>
          <w:szCs w:val="24"/>
        </w:rPr>
      </w:pPr>
      <w:r w:rsidRPr="00857E54">
        <w:rPr>
          <w:rFonts w:ascii="Arial" w:hAnsi="Arial" w:cs="Arial"/>
          <w:bCs/>
          <w:sz w:val="24"/>
          <w:szCs w:val="24"/>
        </w:rPr>
        <w:t>V</w:t>
      </w:r>
      <w:r w:rsidR="007C4F03" w:rsidRPr="00857E54">
        <w:rPr>
          <w:rFonts w:ascii="Arial" w:hAnsi="Arial" w:cs="Arial"/>
          <w:bCs/>
          <w:sz w:val="24"/>
          <w:szCs w:val="24"/>
        </w:rPr>
        <w:t>eniturile încasate din economia internă</w:t>
      </w:r>
      <w:r w:rsidRPr="00857E54">
        <w:rPr>
          <w:rFonts w:ascii="Arial" w:hAnsi="Arial" w:cs="Arial"/>
          <w:bCs/>
          <w:sz w:val="24"/>
          <w:szCs w:val="24"/>
        </w:rPr>
        <w:t>, ca procent în PIB,</w:t>
      </w:r>
      <w:r w:rsidR="00CF7F6B" w:rsidRPr="00857E54">
        <w:rPr>
          <w:rFonts w:ascii="Arial" w:hAnsi="Arial" w:cs="Arial"/>
          <w:bCs/>
          <w:sz w:val="24"/>
          <w:szCs w:val="24"/>
        </w:rPr>
        <w:t xml:space="preserve"> </w:t>
      </w:r>
      <w:r w:rsidR="00DD17E0" w:rsidRPr="00857E54">
        <w:rPr>
          <w:rFonts w:ascii="Arial" w:hAnsi="Arial" w:cs="Arial"/>
          <w:bCs/>
          <w:sz w:val="24"/>
          <w:szCs w:val="24"/>
        </w:rPr>
        <w:t>au crescut cu 0,5</w:t>
      </w:r>
      <w:r w:rsidR="007C4F03" w:rsidRPr="00857E54">
        <w:rPr>
          <w:rFonts w:ascii="Arial" w:hAnsi="Arial" w:cs="Arial"/>
          <w:bCs/>
          <w:sz w:val="24"/>
          <w:szCs w:val="24"/>
        </w:rPr>
        <w:t xml:space="preserve">puncte procentuale de la </w:t>
      </w:r>
      <w:r w:rsidR="00DD17E0" w:rsidRPr="00857E54">
        <w:rPr>
          <w:rFonts w:ascii="Arial" w:hAnsi="Arial" w:cs="Arial"/>
          <w:bCs/>
          <w:sz w:val="24"/>
          <w:szCs w:val="24"/>
        </w:rPr>
        <w:t>13,0</w:t>
      </w:r>
      <w:r w:rsidR="007C4F03" w:rsidRPr="00857E54">
        <w:rPr>
          <w:rFonts w:ascii="Arial" w:hAnsi="Arial" w:cs="Arial"/>
          <w:bCs/>
          <w:sz w:val="24"/>
          <w:szCs w:val="24"/>
        </w:rPr>
        <w:t>% din PIB</w:t>
      </w:r>
      <w:r w:rsidRPr="00857E54">
        <w:rPr>
          <w:rFonts w:ascii="Arial" w:hAnsi="Arial" w:cs="Arial"/>
          <w:bCs/>
          <w:sz w:val="24"/>
          <w:szCs w:val="24"/>
        </w:rPr>
        <w:t>,</w:t>
      </w:r>
      <w:r w:rsidR="007C4F03" w:rsidRPr="00857E54">
        <w:rPr>
          <w:rFonts w:ascii="Arial" w:hAnsi="Arial" w:cs="Arial"/>
          <w:bCs/>
          <w:sz w:val="24"/>
          <w:szCs w:val="24"/>
        </w:rPr>
        <w:t xml:space="preserve"> cât au reprezentat în semestrul I </w:t>
      </w:r>
      <w:r w:rsidR="00DD17E0" w:rsidRPr="00857E54">
        <w:rPr>
          <w:rFonts w:ascii="Arial" w:hAnsi="Arial" w:cs="Arial"/>
          <w:bCs/>
          <w:sz w:val="24"/>
          <w:szCs w:val="24"/>
        </w:rPr>
        <w:t xml:space="preserve">2017 </w:t>
      </w:r>
      <w:r w:rsidR="007C4F03" w:rsidRPr="00857E54">
        <w:rPr>
          <w:rFonts w:ascii="Arial" w:hAnsi="Arial" w:cs="Arial"/>
          <w:bCs/>
          <w:sz w:val="24"/>
          <w:szCs w:val="24"/>
        </w:rPr>
        <w:t xml:space="preserve">la </w:t>
      </w:r>
      <w:r w:rsidR="006F4BE5" w:rsidRPr="00857E54">
        <w:rPr>
          <w:rFonts w:ascii="Arial" w:hAnsi="Arial" w:cs="Arial"/>
          <w:bCs/>
          <w:sz w:val="24"/>
          <w:szCs w:val="24"/>
        </w:rPr>
        <w:t>13,</w:t>
      </w:r>
      <w:r w:rsidR="00DD17E0" w:rsidRPr="00857E54">
        <w:rPr>
          <w:rFonts w:ascii="Arial" w:hAnsi="Arial" w:cs="Arial"/>
          <w:bCs/>
          <w:sz w:val="24"/>
          <w:szCs w:val="24"/>
        </w:rPr>
        <w:t>5</w:t>
      </w:r>
      <w:r w:rsidR="007C4F03" w:rsidRPr="00857E54">
        <w:rPr>
          <w:rFonts w:ascii="Arial" w:hAnsi="Arial" w:cs="Arial"/>
          <w:bCs/>
          <w:sz w:val="24"/>
          <w:szCs w:val="24"/>
        </w:rPr>
        <w:t xml:space="preserve">% din PIB în semestrul I </w:t>
      </w:r>
      <w:r w:rsidR="00DD17E0" w:rsidRPr="00857E54">
        <w:rPr>
          <w:rFonts w:ascii="Arial" w:hAnsi="Arial" w:cs="Arial"/>
          <w:bCs/>
          <w:sz w:val="24"/>
          <w:szCs w:val="24"/>
        </w:rPr>
        <w:t>2018</w:t>
      </w:r>
      <w:r w:rsidR="007C4F03" w:rsidRPr="00857E54">
        <w:rPr>
          <w:rFonts w:ascii="Arial" w:hAnsi="Arial" w:cs="Arial"/>
          <w:bCs/>
          <w:sz w:val="24"/>
          <w:szCs w:val="24"/>
        </w:rPr>
        <w:t xml:space="preserve">. </w:t>
      </w:r>
    </w:p>
    <w:p w:rsidR="002E7CD9" w:rsidRPr="00857E54" w:rsidRDefault="002E7CD9" w:rsidP="00281576">
      <w:pPr>
        <w:keepNext/>
        <w:keepLines/>
        <w:ind w:firstLine="680"/>
        <w:rPr>
          <w:rFonts w:ascii="Arial" w:hAnsi="Arial" w:cs="Arial"/>
          <w:bCs/>
          <w:sz w:val="24"/>
          <w:szCs w:val="24"/>
        </w:rPr>
      </w:pPr>
    </w:p>
    <w:p w:rsidR="007C4F03" w:rsidRPr="00857E54" w:rsidRDefault="00DD17E0" w:rsidP="00281576">
      <w:pPr>
        <w:keepNext/>
        <w:keepLines/>
        <w:ind w:firstLine="0"/>
        <w:rPr>
          <w:bCs/>
        </w:rPr>
      </w:pPr>
      <w:r w:rsidRPr="00857E54">
        <w:rPr>
          <w:bCs/>
          <w:noProof/>
          <w:lang w:val="en-US"/>
        </w:rPr>
        <w:drawing>
          <wp:inline distT="0" distB="0" distL="0" distR="0">
            <wp:extent cx="5759870" cy="29633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3707" cy="2975597"/>
                    </a:xfrm>
                    <a:prstGeom prst="rect">
                      <a:avLst/>
                    </a:prstGeom>
                    <a:noFill/>
                  </pic:spPr>
                </pic:pic>
              </a:graphicData>
            </a:graphic>
          </wp:inline>
        </w:drawing>
      </w:r>
    </w:p>
    <w:p w:rsidR="002E7CD9" w:rsidRPr="00857E54" w:rsidRDefault="005275F7" w:rsidP="00281576">
      <w:pPr>
        <w:keepNext/>
        <w:keepLines/>
        <w:spacing w:before="240"/>
        <w:rPr>
          <w:rFonts w:ascii="Arial" w:hAnsi="Arial" w:cs="Arial"/>
          <w:sz w:val="24"/>
          <w:szCs w:val="24"/>
        </w:rPr>
      </w:pPr>
      <w:r w:rsidRPr="00857E54">
        <w:rPr>
          <w:rFonts w:cs="Arial"/>
          <w:b/>
          <w:bCs/>
          <w:sz w:val="24"/>
          <w:szCs w:val="24"/>
        </w:rPr>
        <w:tab/>
      </w:r>
      <w:r w:rsidR="00243CA2" w:rsidRPr="00857E54">
        <w:rPr>
          <w:rFonts w:cs="Arial"/>
          <w:b/>
          <w:bCs/>
          <w:sz w:val="24"/>
          <w:szCs w:val="24"/>
        </w:rPr>
        <w:tab/>
      </w:r>
      <w:r w:rsidR="007C4F03" w:rsidRPr="00857E54">
        <w:rPr>
          <w:rFonts w:ascii="Arial" w:hAnsi="Arial" w:cs="Arial"/>
          <w:b/>
          <w:bCs/>
          <w:sz w:val="24"/>
          <w:szCs w:val="24"/>
        </w:rPr>
        <w:t>Veniturile fiscale</w:t>
      </w:r>
      <w:r w:rsidR="007C4F03" w:rsidRPr="00857E54">
        <w:rPr>
          <w:rFonts w:ascii="Arial" w:hAnsi="Arial" w:cs="Arial"/>
          <w:sz w:val="24"/>
          <w:szCs w:val="24"/>
        </w:rPr>
        <w:t xml:space="preserve"> au fost în sumă de </w:t>
      </w:r>
      <w:r w:rsidR="00E040A3" w:rsidRPr="00857E54">
        <w:rPr>
          <w:rFonts w:ascii="Arial" w:hAnsi="Arial" w:cs="Arial"/>
          <w:b/>
          <w:sz w:val="24"/>
          <w:szCs w:val="24"/>
        </w:rPr>
        <w:t>67</w:t>
      </w:r>
      <w:r w:rsidR="007679CE" w:rsidRPr="00857E54">
        <w:rPr>
          <w:rFonts w:ascii="Arial" w:hAnsi="Arial" w:cs="Arial"/>
          <w:b/>
          <w:sz w:val="24"/>
          <w:szCs w:val="24"/>
        </w:rPr>
        <w:t>.</w:t>
      </w:r>
      <w:r w:rsidR="00E040A3" w:rsidRPr="00857E54">
        <w:rPr>
          <w:rFonts w:ascii="Arial" w:hAnsi="Arial" w:cs="Arial"/>
          <w:b/>
          <w:sz w:val="24"/>
          <w:szCs w:val="24"/>
        </w:rPr>
        <w:t>951,6</w:t>
      </w:r>
      <w:r w:rsidR="007C4F03" w:rsidRPr="00857E54">
        <w:rPr>
          <w:rFonts w:ascii="Arial" w:hAnsi="Arial" w:cs="Arial"/>
          <w:b/>
          <w:sz w:val="24"/>
          <w:szCs w:val="24"/>
        </w:rPr>
        <w:t xml:space="preserve"> milioane lei</w:t>
      </w:r>
      <w:r w:rsidR="007C4F03" w:rsidRPr="00857E54">
        <w:rPr>
          <w:rFonts w:ascii="Arial" w:hAnsi="Arial" w:cs="Arial"/>
          <w:sz w:val="24"/>
          <w:szCs w:val="24"/>
        </w:rPr>
        <w:t xml:space="preserve">, </w:t>
      </w:r>
      <w:r w:rsidR="009364F0" w:rsidRPr="00857E54">
        <w:rPr>
          <w:rFonts w:ascii="Arial" w:hAnsi="Arial" w:cs="Arial"/>
          <w:sz w:val="24"/>
          <w:szCs w:val="24"/>
        </w:rPr>
        <w:t xml:space="preserve">cu </w:t>
      </w:r>
      <w:r w:rsidR="00E040A3" w:rsidRPr="00857E54">
        <w:rPr>
          <w:rFonts w:ascii="Arial" w:hAnsi="Arial" w:cs="Arial"/>
          <w:sz w:val="24"/>
          <w:szCs w:val="24"/>
        </w:rPr>
        <w:t>0</w:t>
      </w:r>
      <w:r w:rsidR="006F4BE5" w:rsidRPr="00857E54">
        <w:rPr>
          <w:rFonts w:ascii="Arial" w:hAnsi="Arial" w:cs="Arial"/>
          <w:sz w:val="24"/>
          <w:szCs w:val="24"/>
        </w:rPr>
        <w:t>,1</w:t>
      </w:r>
      <w:r w:rsidR="007C4F03" w:rsidRPr="00857E54">
        <w:rPr>
          <w:rFonts w:ascii="Arial" w:hAnsi="Arial" w:cs="Arial"/>
          <w:bCs/>
          <w:sz w:val="24"/>
          <w:szCs w:val="24"/>
        </w:rPr>
        <w:t>%</w:t>
      </w:r>
      <w:r w:rsidR="009364F0" w:rsidRPr="00857E54">
        <w:rPr>
          <w:rFonts w:ascii="Arial" w:hAnsi="Arial" w:cs="Arial"/>
          <w:sz w:val="24"/>
          <w:szCs w:val="24"/>
        </w:rPr>
        <w:t xml:space="preserve">mai mici </w:t>
      </w:r>
      <w:r w:rsidR="007C4F03" w:rsidRPr="00857E54">
        <w:rPr>
          <w:rFonts w:ascii="Arial" w:hAnsi="Arial" w:cs="Arial"/>
          <w:sz w:val="24"/>
          <w:szCs w:val="24"/>
        </w:rPr>
        <w:t xml:space="preserve">comparativ cu perioada similară din anul precedent </w:t>
      </w:r>
      <w:r w:rsidR="00A86D78" w:rsidRPr="00857E54">
        <w:rPr>
          <w:rFonts w:ascii="Arial" w:hAnsi="Arial" w:cs="Arial"/>
          <w:sz w:val="24"/>
          <w:szCs w:val="24"/>
        </w:rPr>
        <w:t>ș</w:t>
      </w:r>
      <w:r w:rsidR="007C4F03" w:rsidRPr="00857E54">
        <w:rPr>
          <w:rFonts w:ascii="Arial" w:hAnsi="Arial" w:cs="Arial"/>
          <w:sz w:val="24"/>
          <w:szCs w:val="24"/>
        </w:rPr>
        <w:t xml:space="preserve">i s-au realizat în </w:t>
      </w:r>
      <w:r w:rsidR="00183827" w:rsidRPr="00857E54">
        <w:rPr>
          <w:rFonts w:ascii="Arial" w:hAnsi="Arial" w:cs="Arial"/>
          <w:sz w:val="24"/>
          <w:szCs w:val="24"/>
        </w:rPr>
        <w:t>proporție</w:t>
      </w:r>
      <w:r w:rsidR="007C4F03" w:rsidRPr="00857E54">
        <w:rPr>
          <w:rFonts w:ascii="Arial" w:hAnsi="Arial" w:cs="Arial"/>
          <w:sz w:val="24"/>
          <w:szCs w:val="24"/>
        </w:rPr>
        <w:t xml:space="preserve"> de </w:t>
      </w:r>
      <w:r w:rsidR="00E040A3" w:rsidRPr="00857E54">
        <w:rPr>
          <w:rFonts w:ascii="Arial" w:hAnsi="Arial" w:cs="Arial"/>
          <w:sz w:val="24"/>
          <w:szCs w:val="24"/>
        </w:rPr>
        <w:t>96,0</w:t>
      </w:r>
      <w:r w:rsidR="007C4F03" w:rsidRPr="00857E54">
        <w:rPr>
          <w:rFonts w:ascii="Arial" w:hAnsi="Arial" w:cs="Arial"/>
          <w:sz w:val="24"/>
          <w:szCs w:val="24"/>
        </w:rPr>
        <w:t>%.</w:t>
      </w:r>
    </w:p>
    <w:p w:rsidR="007C4F03" w:rsidRPr="00857E54" w:rsidRDefault="007C4F03" w:rsidP="00281576">
      <w:pPr>
        <w:keepNext/>
        <w:keepLines/>
        <w:ind w:firstLine="567"/>
        <w:rPr>
          <w:rFonts w:ascii="Arial" w:hAnsi="Arial" w:cs="Arial"/>
          <w:sz w:val="24"/>
          <w:szCs w:val="24"/>
        </w:rPr>
      </w:pPr>
      <w:r w:rsidRPr="00857E54">
        <w:rPr>
          <w:rFonts w:ascii="Arial" w:hAnsi="Arial" w:cs="Arial"/>
          <w:sz w:val="24"/>
          <w:szCs w:val="24"/>
        </w:rPr>
        <w:t xml:space="preserve">În structură veniturile fiscale au avut următoarea </w:t>
      </w:r>
      <w:r w:rsidR="00183827" w:rsidRPr="00857E54">
        <w:rPr>
          <w:rFonts w:ascii="Arial" w:hAnsi="Arial" w:cs="Arial"/>
          <w:sz w:val="24"/>
          <w:szCs w:val="24"/>
        </w:rPr>
        <w:t>evoluție</w:t>
      </w:r>
      <w:r w:rsidRPr="00857E54">
        <w:rPr>
          <w:rFonts w:ascii="Arial" w:hAnsi="Arial" w:cs="Arial"/>
          <w:sz w:val="24"/>
          <w:szCs w:val="24"/>
        </w:rPr>
        <w:t>:</w:t>
      </w:r>
    </w:p>
    <w:p w:rsidR="00736262" w:rsidRPr="00857E54" w:rsidRDefault="007C4F03" w:rsidP="00281576">
      <w:pPr>
        <w:keepNext/>
        <w:keepLines/>
        <w:ind w:firstLine="567"/>
        <w:rPr>
          <w:rFonts w:ascii="Arial" w:hAnsi="Arial" w:cs="Arial"/>
          <w:sz w:val="24"/>
          <w:szCs w:val="24"/>
        </w:rPr>
      </w:pPr>
      <w:r w:rsidRPr="00857E54">
        <w:rPr>
          <w:rFonts w:ascii="Arial" w:hAnsi="Arial" w:cs="Arial"/>
          <w:sz w:val="24"/>
          <w:szCs w:val="24"/>
        </w:rPr>
        <w:t>Încasările din</w:t>
      </w:r>
      <w:r w:rsidRPr="00857E54">
        <w:rPr>
          <w:rFonts w:ascii="Arial" w:hAnsi="Arial" w:cs="Arial"/>
          <w:b/>
          <w:sz w:val="24"/>
          <w:szCs w:val="24"/>
        </w:rPr>
        <w:t xml:space="preserve"> impozitul pe profit</w:t>
      </w:r>
      <w:r w:rsidR="00992663">
        <w:rPr>
          <w:rFonts w:ascii="Arial" w:hAnsi="Arial" w:cs="Arial"/>
          <w:b/>
          <w:sz w:val="24"/>
          <w:szCs w:val="24"/>
        </w:rPr>
        <w:t xml:space="preserve"> </w:t>
      </w:r>
      <w:r w:rsidR="00E040A3" w:rsidRPr="00857E54">
        <w:rPr>
          <w:rFonts w:ascii="Arial" w:hAnsi="Arial" w:cs="Arial"/>
          <w:sz w:val="24"/>
          <w:szCs w:val="24"/>
        </w:rPr>
        <w:t xml:space="preserve">au fost cu 1,3% mai mari </w:t>
      </w:r>
      <w:r w:rsidRPr="00857E54">
        <w:rPr>
          <w:rFonts w:ascii="Arial" w:hAnsi="Arial" w:cs="Arial"/>
          <w:bCs/>
          <w:sz w:val="24"/>
          <w:szCs w:val="24"/>
        </w:rPr>
        <w:t xml:space="preserve">comparativ cu </w:t>
      </w:r>
      <w:r w:rsidR="00F63836" w:rsidRPr="00857E54">
        <w:rPr>
          <w:rFonts w:ascii="Arial" w:hAnsi="Arial" w:cs="Arial"/>
          <w:bCs/>
          <w:sz w:val="24"/>
          <w:szCs w:val="24"/>
        </w:rPr>
        <w:t>aceeași perioadă a anului</w:t>
      </w:r>
      <w:r w:rsidRPr="00857E54">
        <w:rPr>
          <w:rFonts w:ascii="Arial" w:hAnsi="Arial" w:cs="Arial"/>
          <w:sz w:val="24"/>
          <w:szCs w:val="24"/>
        </w:rPr>
        <w:t>,</w:t>
      </w:r>
      <w:r w:rsidR="00CF7F6B" w:rsidRPr="00857E54">
        <w:rPr>
          <w:rFonts w:ascii="Arial" w:hAnsi="Arial" w:cs="Arial"/>
          <w:sz w:val="24"/>
          <w:szCs w:val="24"/>
        </w:rPr>
        <w:t xml:space="preserve"> </w:t>
      </w:r>
      <w:r w:rsidRPr="00857E54">
        <w:rPr>
          <w:rFonts w:ascii="Arial" w:hAnsi="Arial" w:cs="Arial"/>
          <w:sz w:val="24"/>
          <w:szCs w:val="24"/>
        </w:rPr>
        <w:t xml:space="preserve">în timp ce gradul de realizare al programului de încasări a fost de </w:t>
      </w:r>
      <w:r w:rsidR="00E040A3" w:rsidRPr="00857E54">
        <w:rPr>
          <w:rFonts w:ascii="Arial" w:hAnsi="Arial" w:cs="Arial"/>
          <w:sz w:val="24"/>
          <w:szCs w:val="24"/>
        </w:rPr>
        <w:t>99,5</w:t>
      </w:r>
      <w:r w:rsidR="00F065DE" w:rsidRPr="00857E54">
        <w:rPr>
          <w:rFonts w:ascii="Arial" w:hAnsi="Arial" w:cs="Arial"/>
          <w:sz w:val="24"/>
          <w:szCs w:val="24"/>
        </w:rPr>
        <w:t xml:space="preserve">%. </w:t>
      </w:r>
    </w:p>
    <w:p w:rsidR="00736262" w:rsidRPr="00857E54" w:rsidRDefault="00736262" w:rsidP="00281576">
      <w:pPr>
        <w:keepNext/>
        <w:keepLines/>
        <w:ind w:firstLine="567"/>
        <w:rPr>
          <w:rFonts w:ascii="Arial" w:hAnsi="Arial" w:cs="Arial"/>
          <w:sz w:val="24"/>
          <w:szCs w:val="24"/>
        </w:rPr>
      </w:pPr>
      <w:r w:rsidRPr="00857E54">
        <w:rPr>
          <w:rFonts w:ascii="Arial" w:hAnsi="Arial" w:cs="Arial"/>
          <w:sz w:val="24"/>
          <w:szCs w:val="24"/>
        </w:rPr>
        <w:lastRenderedPageBreak/>
        <w:t>Evoluția încasărilor din impozitului pe profit la bu</w:t>
      </w:r>
      <w:r w:rsidR="00927413" w:rsidRPr="00857E54">
        <w:rPr>
          <w:rFonts w:ascii="Arial" w:hAnsi="Arial" w:cs="Arial"/>
          <w:sz w:val="24"/>
          <w:szCs w:val="24"/>
        </w:rPr>
        <w:t>g</w:t>
      </w:r>
      <w:r w:rsidRPr="00857E54">
        <w:rPr>
          <w:rFonts w:ascii="Arial" w:hAnsi="Arial" w:cs="Arial"/>
          <w:sz w:val="24"/>
          <w:szCs w:val="24"/>
        </w:rPr>
        <w:t>etul de stat, în structură, este următoarea:</w:t>
      </w:r>
    </w:p>
    <w:p w:rsidR="00736262" w:rsidRPr="00857E54" w:rsidRDefault="00736262" w:rsidP="00281576">
      <w:pPr>
        <w:pStyle w:val="ListParagraph"/>
        <w:keepNext/>
        <w:keepLines/>
        <w:numPr>
          <w:ilvl w:val="0"/>
          <w:numId w:val="38"/>
        </w:numPr>
        <w:rPr>
          <w:rFonts w:ascii="Arial" w:hAnsi="Arial" w:cs="Arial"/>
          <w:sz w:val="24"/>
          <w:szCs w:val="24"/>
        </w:rPr>
      </w:pPr>
      <w:r w:rsidRPr="00857E54">
        <w:rPr>
          <w:rFonts w:ascii="Arial" w:hAnsi="Arial" w:cs="Arial"/>
          <w:sz w:val="24"/>
          <w:szCs w:val="24"/>
        </w:rPr>
        <w:t>impozitul pe profit virat de agenții economici  prezintă o dinamică negativă în semestrul I 2018 comparativ aceeași perioadă a anului precedent, încasările î</w:t>
      </w:r>
      <w:r w:rsidR="00CF4AAA" w:rsidRPr="00857E54">
        <w:rPr>
          <w:rFonts w:ascii="Arial" w:hAnsi="Arial" w:cs="Arial"/>
          <w:sz w:val="24"/>
          <w:szCs w:val="24"/>
        </w:rPr>
        <w:t>nregistrând un nivel de 6,9 miliarde</w:t>
      </w:r>
      <w:r w:rsidRPr="00857E54">
        <w:rPr>
          <w:rFonts w:ascii="Arial" w:hAnsi="Arial" w:cs="Arial"/>
          <w:sz w:val="24"/>
          <w:szCs w:val="24"/>
        </w:rPr>
        <w:t xml:space="preserve"> lei, mai puțin cu 0,05 </w:t>
      </w:r>
      <w:r w:rsidR="00CF4AAA" w:rsidRPr="00857E54">
        <w:rPr>
          <w:rFonts w:ascii="Arial" w:hAnsi="Arial" w:cs="Arial"/>
          <w:sz w:val="24"/>
          <w:szCs w:val="24"/>
        </w:rPr>
        <w:t>miliarde</w:t>
      </w:r>
      <w:r w:rsidRPr="00857E54">
        <w:rPr>
          <w:rFonts w:ascii="Arial" w:hAnsi="Arial" w:cs="Arial"/>
          <w:sz w:val="24"/>
          <w:szCs w:val="24"/>
        </w:rPr>
        <w:t xml:space="preserve"> lei comparativ cu anul precedent. </w:t>
      </w:r>
    </w:p>
    <w:p w:rsidR="00736262" w:rsidRPr="00857E54" w:rsidRDefault="00736262" w:rsidP="00281576">
      <w:pPr>
        <w:keepNext/>
        <w:keepLines/>
        <w:ind w:firstLine="567"/>
        <w:rPr>
          <w:rFonts w:ascii="Arial" w:hAnsi="Arial" w:cs="Arial"/>
          <w:sz w:val="24"/>
          <w:szCs w:val="24"/>
        </w:rPr>
      </w:pPr>
      <w:r w:rsidRPr="00857E54">
        <w:rPr>
          <w:rFonts w:ascii="Arial" w:hAnsi="Arial" w:cs="Arial"/>
          <w:sz w:val="24"/>
          <w:szCs w:val="24"/>
        </w:rPr>
        <w:t xml:space="preserve">Dinamica încasărilor a fost influențată în principal de majorarea limitei de încadrare în sistemul de impunere al microîntreprinderilor de la 500.000 euro la 1.000.000 euro. Modificarea plafonului de încadrare a contribuabililor a generat modificări în structura încasărilor reflectate în diminuarea nivelului încasărilor din impozitul pe profit și majorarea nivelului încasărilor din impozitul pe venitul microîntreprinderilor. Astfel, încasările din impozitul pe venitul microîntreprinderilor în semestrul I 2018 au fost de 1,0 </w:t>
      </w:r>
      <w:r w:rsidR="00CF4AAA" w:rsidRPr="00857E54">
        <w:rPr>
          <w:rFonts w:ascii="Arial" w:hAnsi="Arial" w:cs="Arial"/>
          <w:sz w:val="24"/>
          <w:szCs w:val="24"/>
        </w:rPr>
        <w:t>miliard de</w:t>
      </w:r>
      <w:r w:rsidRPr="00857E54">
        <w:rPr>
          <w:rFonts w:ascii="Arial" w:hAnsi="Arial" w:cs="Arial"/>
          <w:sz w:val="24"/>
          <w:szCs w:val="24"/>
        </w:rPr>
        <w:t xml:space="preserve"> lei,  prezentând o creștere cu 0,5 </w:t>
      </w:r>
      <w:r w:rsidR="00CF4AAA" w:rsidRPr="00857E54">
        <w:rPr>
          <w:rFonts w:ascii="Arial" w:hAnsi="Arial" w:cs="Arial"/>
          <w:sz w:val="24"/>
          <w:szCs w:val="24"/>
        </w:rPr>
        <w:t>miliarde</w:t>
      </w:r>
      <w:r w:rsidRPr="00857E54">
        <w:rPr>
          <w:rFonts w:ascii="Arial" w:hAnsi="Arial" w:cs="Arial"/>
          <w:sz w:val="24"/>
          <w:szCs w:val="24"/>
        </w:rPr>
        <w:t xml:space="preserve"> lei (+111,8%) comparativ cu aceeași perioadă a anului precedent.</w:t>
      </w:r>
    </w:p>
    <w:p w:rsidR="00CF4AAA" w:rsidRPr="00857E54" w:rsidRDefault="00736262" w:rsidP="00281576">
      <w:pPr>
        <w:keepNext/>
        <w:keepLines/>
        <w:ind w:firstLine="567"/>
        <w:rPr>
          <w:rFonts w:ascii="Arial" w:hAnsi="Arial" w:cs="Arial"/>
          <w:sz w:val="24"/>
          <w:szCs w:val="24"/>
        </w:rPr>
      </w:pPr>
      <w:r w:rsidRPr="00857E54">
        <w:rPr>
          <w:rFonts w:ascii="Arial" w:hAnsi="Arial" w:cs="Arial"/>
          <w:sz w:val="24"/>
          <w:szCs w:val="24"/>
        </w:rPr>
        <w:t>De asemenea, încasările au fost influențate negativ ș</w:t>
      </w:r>
      <w:r w:rsidR="00CF4AAA" w:rsidRPr="00857E54">
        <w:rPr>
          <w:rFonts w:ascii="Arial" w:hAnsi="Arial" w:cs="Arial"/>
          <w:sz w:val="24"/>
          <w:szCs w:val="24"/>
        </w:rPr>
        <w:t>i de următorii factori</w:t>
      </w:r>
      <w:r w:rsidRPr="00857E54">
        <w:rPr>
          <w:rFonts w:ascii="Arial" w:hAnsi="Arial" w:cs="Arial"/>
          <w:sz w:val="24"/>
          <w:szCs w:val="24"/>
        </w:rPr>
        <w:t>:</w:t>
      </w:r>
    </w:p>
    <w:p w:rsidR="00CF4AAA" w:rsidRPr="00857E54" w:rsidRDefault="00736262" w:rsidP="00281576">
      <w:pPr>
        <w:pStyle w:val="ListParagraph"/>
        <w:keepNext/>
        <w:keepLines/>
        <w:numPr>
          <w:ilvl w:val="0"/>
          <w:numId w:val="37"/>
        </w:numPr>
        <w:rPr>
          <w:rFonts w:ascii="Arial" w:hAnsi="Arial" w:cs="Arial"/>
          <w:sz w:val="24"/>
          <w:szCs w:val="24"/>
        </w:rPr>
      </w:pPr>
      <w:r w:rsidRPr="00857E54">
        <w:rPr>
          <w:rFonts w:ascii="Arial" w:hAnsi="Arial" w:cs="Arial"/>
          <w:sz w:val="24"/>
          <w:szCs w:val="24"/>
        </w:rPr>
        <w:t>acordarea bonificației de 5% pentru impozitul pe profit/pe veniturile microîntreprinderilor aferent trimestrului IV al anului fiscal 2017 pentru cei care au opt</w:t>
      </w:r>
      <w:r w:rsidR="00927413" w:rsidRPr="00857E54">
        <w:rPr>
          <w:rFonts w:ascii="Arial" w:hAnsi="Arial" w:cs="Arial"/>
          <w:sz w:val="24"/>
          <w:szCs w:val="24"/>
        </w:rPr>
        <w:t>at pentru plata defalcată a TVA;</w:t>
      </w:r>
    </w:p>
    <w:p w:rsidR="00736262" w:rsidRPr="00857E54" w:rsidRDefault="00CF4AAA" w:rsidP="00281576">
      <w:pPr>
        <w:pStyle w:val="ListParagraph"/>
        <w:keepNext/>
        <w:keepLines/>
        <w:numPr>
          <w:ilvl w:val="0"/>
          <w:numId w:val="37"/>
        </w:numPr>
        <w:rPr>
          <w:rFonts w:ascii="Arial" w:hAnsi="Arial" w:cs="Arial"/>
          <w:sz w:val="24"/>
          <w:szCs w:val="24"/>
        </w:rPr>
      </w:pPr>
      <w:r w:rsidRPr="00857E54">
        <w:rPr>
          <w:rFonts w:ascii="Arial" w:hAnsi="Arial" w:cs="Arial"/>
          <w:sz w:val="24"/>
          <w:szCs w:val="24"/>
        </w:rPr>
        <w:t>i</w:t>
      </w:r>
      <w:r w:rsidR="00736262" w:rsidRPr="00857E54">
        <w:rPr>
          <w:rFonts w:ascii="Arial" w:hAnsi="Arial" w:cs="Arial"/>
          <w:sz w:val="24"/>
          <w:szCs w:val="24"/>
        </w:rPr>
        <w:t>ntroducerea impozitului specific asupra unor activități  din sectorul HORECA</w:t>
      </w:r>
      <w:r w:rsidR="00927413" w:rsidRPr="00857E54">
        <w:rPr>
          <w:rFonts w:ascii="Arial" w:hAnsi="Arial" w:cs="Arial"/>
          <w:sz w:val="24"/>
          <w:szCs w:val="24"/>
        </w:rPr>
        <w:t>.</w:t>
      </w:r>
    </w:p>
    <w:p w:rsidR="00927413" w:rsidRPr="00857E54" w:rsidRDefault="00736262" w:rsidP="00281576">
      <w:pPr>
        <w:pStyle w:val="ListParagraph"/>
        <w:keepNext/>
        <w:keepLines/>
        <w:numPr>
          <w:ilvl w:val="0"/>
          <w:numId w:val="38"/>
        </w:numPr>
        <w:tabs>
          <w:tab w:val="left" w:pos="426"/>
        </w:tabs>
        <w:rPr>
          <w:rFonts w:ascii="Arial" w:hAnsi="Arial" w:cs="Arial"/>
          <w:bCs/>
          <w:sz w:val="24"/>
          <w:szCs w:val="24"/>
        </w:rPr>
      </w:pPr>
      <w:r w:rsidRPr="00857E54">
        <w:rPr>
          <w:rFonts w:ascii="Arial" w:hAnsi="Arial" w:cs="Arial"/>
          <w:sz w:val="24"/>
          <w:szCs w:val="24"/>
        </w:rPr>
        <w:t xml:space="preserve">impozitul pe profit virat de băncile comerciale prezintă un trend crescător în primul semestru al anului 2018 comparativ cu primul semestru al anului precedent, cu un nivel al încasărilor de 0,4 </w:t>
      </w:r>
      <w:r w:rsidR="00AD76A1">
        <w:rPr>
          <w:rFonts w:ascii="Arial" w:hAnsi="Arial" w:cs="Arial"/>
          <w:sz w:val="24"/>
          <w:szCs w:val="24"/>
        </w:rPr>
        <w:t>miliarde</w:t>
      </w:r>
      <w:r w:rsidRPr="00857E54">
        <w:rPr>
          <w:rFonts w:ascii="Arial" w:hAnsi="Arial" w:cs="Arial"/>
          <w:sz w:val="24"/>
          <w:szCs w:val="24"/>
        </w:rPr>
        <w:t xml:space="preserve"> lei (+54,1%). Evoluția favorabilă a profitabilității acestui sector s-a menținut în primul trimestru al anului 2018, într-un cadru marcat de ratele dobânzilor în moneda națională în creștere, reducerea continuă a ratei creditelor neperformante, un ritm susținut de creștere a creditării și altele. </w:t>
      </w:r>
    </w:p>
    <w:p w:rsidR="00A13D67" w:rsidRPr="00857E54" w:rsidRDefault="00927413" w:rsidP="00281576">
      <w:pPr>
        <w:keepNext/>
        <w:keepLines/>
        <w:tabs>
          <w:tab w:val="left" w:pos="426"/>
        </w:tabs>
        <w:ind w:firstLine="0"/>
        <w:rPr>
          <w:rFonts w:ascii="Arial" w:hAnsi="Arial" w:cs="Arial"/>
          <w:bCs/>
          <w:sz w:val="24"/>
          <w:szCs w:val="24"/>
        </w:rPr>
      </w:pPr>
      <w:r w:rsidRPr="00857E54">
        <w:rPr>
          <w:rFonts w:ascii="Arial" w:hAnsi="Arial" w:cs="Arial"/>
          <w:sz w:val="24"/>
          <w:szCs w:val="24"/>
        </w:rPr>
        <w:tab/>
      </w:r>
      <w:r w:rsidR="007C4F03" w:rsidRPr="00857E54">
        <w:rPr>
          <w:rFonts w:ascii="Arial" w:hAnsi="Arial" w:cs="Arial"/>
          <w:sz w:val="24"/>
          <w:szCs w:val="24"/>
        </w:rPr>
        <w:t>Încasările din</w:t>
      </w:r>
      <w:r w:rsidR="007C4F03" w:rsidRPr="00857E54">
        <w:rPr>
          <w:rFonts w:ascii="Arial" w:hAnsi="Arial" w:cs="Arial"/>
          <w:b/>
          <w:sz w:val="24"/>
          <w:szCs w:val="24"/>
        </w:rPr>
        <w:t xml:space="preserve"> impozitul pe venit </w:t>
      </w:r>
      <w:r w:rsidR="002C4AF9" w:rsidRPr="00857E54">
        <w:rPr>
          <w:rFonts w:ascii="Arial" w:hAnsi="Arial" w:cs="Arial"/>
          <w:sz w:val="24"/>
          <w:szCs w:val="24"/>
        </w:rPr>
        <w:t xml:space="preserve">au totalizat </w:t>
      </w:r>
      <w:r w:rsidR="00E040A3" w:rsidRPr="00857E54">
        <w:rPr>
          <w:rFonts w:ascii="Arial" w:hAnsi="Arial" w:cs="Arial"/>
          <w:sz w:val="24"/>
          <w:szCs w:val="24"/>
        </w:rPr>
        <w:t>11.669,3</w:t>
      </w:r>
      <w:r w:rsidR="002C4AF9" w:rsidRPr="00857E54">
        <w:rPr>
          <w:rFonts w:ascii="Arial" w:hAnsi="Arial" w:cs="Arial"/>
          <w:sz w:val="24"/>
          <w:szCs w:val="24"/>
        </w:rPr>
        <w:t xml:space="preserve"> milioane lei</w:t>
      </w:r>
      <w:r w:rsidR="00D46822">
        <w:rPr>
          <w:rFonts w:ascii="Arial" w:hAnsi="Arial" w:cs="Arial"/>
          <w:sz w:val="24"/>
          <w:szCs w:val="24"/>
        </w:rPr>
        <w:t xml:space="preserve"> </w:t>
      </w:r>
      <w:r w:rsidR="002C4AF9" w:rsidRPr="00857E54">
        <w:rPr>
          <w:rFonts w:ascii="Arial" w:hAnsi="Arial" w:cs="Arial"/>
          <w:sz w:val="24"/>
          <w:szCs w:val="24"/>
        </w:rPr>
        <w:t>(1,</w:t>
      </w:r>
      <w:r w:rsidR="00E040A3" w:rsidRPr="00857E54">
        <w:rPr>
          <w:rFonts w:ascii="Arial" w:hAnsi="Arial" w:cs="Arial"/>
          <w:sz w:val="24"/>
          <w:szCs w:val="24"/>
        </w:rPr>
        <w:t>3</w:t>
      </w:r>
      <w:r w:rsidR="002C4AF9" w:rsidRPr="00857E54">
        <w:rPr>
          <w:rFonts w:ascii="Arial" w:hAnsi="Arial" w:cs="Arial"/>
          <w:sz w:val="24"/>
          <w:szCs w:val="24"/>
        </w:rPr>
        <w:t xml:space="preserve">% din PIB), </w:t>
      </w:r>
      <w:r w:rsidR="007C4F03" w:rsidRPr="00857E54">
        <w:rPr>
          <w:rFonts w:ascii="Arial" w:hAnsi="Arial" w:cs="Arial"/>
          <w:sz w:val="24"/>
          <w:szCs w:val="24"/>
        </w:rPr>
        <w:t xml:space="preserve">s-au realizat în proporție de </w:t>
      </w:r>
      <w:r w:rsidR="00E040A3" w:rsidRPr="00857E54">
        <w:rPr>
          <w:rFonts w:ascii="Arial" w:hAnsi="Arial" w:cs="Arial"/>
          <w:sz w:val="24"/>
          <w:szCs w:val="24"/>
        </w:rPr>
        <w:t>110,2</w:t>
      </w:r>
      <w:r w:rsidR="00D853E1" w:rsidRPr="00857E54">
        <w:rPr>
          <w:rFonts w:ascii="Arial" w:hAnsi="Arial" w:cs="Arial"/>
          <w:sz w:val="24"/>
          <w:szCs w:val="24"/>
        </w:rPr>
        <w:t>%</w:t>
      </w:r>
      <w:r w:rsidR="009364F0" w:rsidRPr="00857E54">
        <w:rPr>
          <w:rFonts w:ascii="Arial" w:hAnsi="Arial" w:cs="Arial"/>
          <w:sz w:val="24"/>
          <w:szCs w:val="24"/>
        </w:rPr>
        <w:t>,</w:t>
      </w:r>
      <w:r w:rsidR="007C4F03" w:rsidRPr="00857E54">
        <w:rPr>
          <w:rFonts w:ascii="Arial" w:hAnsi="Arial" w:cs="Arial"/>
          <w:sz w:val="24"/>
          <w:szCs w:val="24"/>
        </w:rPr>
        <w:t xml:space="preserve"> înregistrând comparativ cu</w:t>
      </w:r>
      <w:r w:rsidR="00CF7F6B" w:rsidRPr="00857E54">
        <w:rPr>
          <w:rFonts w:ascii="Arial" w:hAnsi="Arial" w:cs="Arial"/>
          <w:sz w:val="24"/>
          <w:szCs w:val="24"/>
        </w:rPr>
        <w:t xml:space="preserve"> </w:t>
      </w:r>
      <w:r w:rsidR="007C4F03" w:rsidRPr="00857E54">
        <w:rPr>
          <w:rFonts w:ascii="Arial" w:hAnsi="Arial" w:cs="Arial"/>
          <w:sz w:val="24"/>
          <w:szCs w:val="24"/>
        </w:rPr>
        <w:t xml:space="preserve">aceeași perioadă a anului precedent o </w:t>
      </w:r>
      <w:r w:rsidR="00E040A3" w:rsidRPr="00857E54">
        <w:rPr>
          <w:rFonts w:ascii="Arial" w:hAnsi="Arial" w:cs="Arial"/>
          <w:sz w:val="24"/>
          <w:szCs w:val="24"/>
        </w:rPr>
        <w:t xml:space="preserve">scădere </w:t>
      </w:r>
      <w:r w:rsidR="007C4F03" w:rsidRPr="00857E54">
        <w:rPr>
          <w:rFonts w:ascii="Arial" w:hAnsi="Arial" w:cs="Arial"/>
          <w:sz w:val="24"/>
          <w:szCs w:val="24"/>
        </w:rPr>
        <w:t xml:space="preserve">cu </w:t>
      </w:r>
      <w:r w:rsidR="00E040A3" w:rsidRPr="00857E54">
        <w:rPr>
          <w:rFonts w:ascii="Arial" w:hAnsi="Arial" w:cs="Arial"/>
          <w:bCs/>
          <w:sz w:val="24"/>
          <w:szCs w:val="24"/>
        </w:rPr>
        <w:t>21</w:t>
      </w:r>
      <w:r w:rsidR="002C4AF9" w:rsidRPr="00857E54">
        <w:rPr>
          <w:rFonts w:ascii="Arial" w:hAnsi="Arial" w:cs="Arial"/>
          <w:bCs/>
          <w:sz w:val="24"/>
          <w:szCs w:val="24"/>
        </w:rPr>
        <w:t>,5</w:t>
      </w:r>
      <w:r w:rsidR="00A13D67" w:rsidRPr="00857E54">
        <w:rPr>
          <w:rFonts w:ascii="Arial" w:hAnsi="Arial" w:cs="Arial"/>
          <w:bCs/>
          <w:sz w:val="24"/>
          <w:szCs w:val="24"/>
        </w:rPr>
        <w:t>%.</w:t>
      </w:r>
    </w:p>
    <w:p w:rsidR="0013047C" w:rsidRPr="00857E54" w:rsidRDefault="00736262" w:rsidP="00281576">
      <w:pPr>
        <w:keepNext/>
        <w:keepLines/>
        <w:ind w:firstLine="680"/>
        <w:rPr>
          <w:rFonts w:ascii="Arial" w:hAnsi="Arial" w:cs="Arial"/>
          <w:sz w:val="24"/>
          <w:szCs w:val="24"/>
        </w:rPr>
      </w:pPr>
      <w:r w:rsidRPr="00857E54">
        <w:rPr>
          <w:rFonts w:ascii="Arial" w:hAnsi="Arial" w:cs="Arial"/>
          <w:sz w:val="24"/>
          <w:szCs w:val="24"/>
        </w:rPr>
        <w:t xml:space="preserve">Diminuarea încasărilor comparativ cu anul anterior a fost </w:t>
      </w:r>
      <w:r w:rsidR="0013047C" w:rsidRPr="00857E54">
        <w:rPr>
          <w:rFonts w:ascii="Arial" w:hAnsi="Arial" w:cs="Arial"/>
          <w:sz w:val="24"/>
          <w:szCs w:val="24"/>
        </w:rPr>
        <w:t>influențată în principal de reducerea cotei de impozitare de la 16% la 10% în condițiile transferului contribuțiilor de la angajator la angajat</w:t>
      </w:r>
      <w:r w:rsidR="0013047C" w:rsidRPr="00857E54">
        <w:rPr>
          <w:rFonts w:ascii="Arial" w:hAnsi="Arial" w:cs="Arial"/>
          <w:sz w:val="24"/>
          <w:szCs w:val="24"/>
          <w:vertAlign w:val="superscript"/>
        </w:rPr>
        <w:footnoteReference w:id="1"/>
      </w:r>
      <w:r w:rsidR="0013047C" w:rsidRPr="00857E54">
        <w:rPr>
          <w:rFonts w:ascii="Arial" w:hAnsi="Arial" w:cs="Arial"/>
          <w:sz w:val="24"/>
          <w:szCs w:val="24"/>
        </w:rPr>
        <w:t xml:space="preserve">. </w:t>
      </w:r>
    </w:p>
    <w:p w:rsidR="0013047C" w:rsidRPr="00857E54" w:rsidRDefault="0013047C" w:rsidP="00281576">
      <w:pPr>
        <w:keepNext/>
        <w:keepLines/>
        <w:ind w:firstLine="680"/>
        <w:rPr>
          <w:rFonts w:ascii="Arial" w:hAnsi="Arial" w:cs="Arial"/>
          <w:sz w:val="24"/>
          <w:szCs w:val="24"/>
        </w:rPr>
      </w:pPr>
      <w:r w:rsidRPr="00857E54">
        <w:rPr>
          <w:rFonts w:ascii="Arial" w:hAnsi="Arial" w:cs="Arial"/>
          <w:sz w:val="24"/>
          <w:szCs w:val="24"/>
        </w:rPr>
        <w:t xml:space="preserve">Încasările din impozitul pe venituri din salarii reprezintă aproximativ 80% din totalul încasărilor din impozitul pe venit și ating nivelul de 9,4 </w:t>
      </w:r>
      <w:r w:rsidR="00966841" w:rsidRPr="00857E54">
        <w:rPr>
          <w:rFonts w:ascii="Arial" w:hAnsi="Arial" w:cs="Arial"/>
          <w:sz w:val="24"/>
          <w:szCs w:val="24"/>
        </w:rPr>
        <w:t>miliarde</w:t>
      </w:r>
      <w:r w:rsidRPr="00857E54">
        <w:rPr>
          <w:rFonts w:ascii="Arial" w:hAnsi="Arial" w:cs="Arial"/>
          <w:sz w:val="24"/>
          <w:szCs w:val="24"/>
        </w:rPr>
        <w:t xml:space="preserve"> lei (-22%, comparativ cu aceeași perioadă a anului precedent).</w:t>
      </w:r>
    </w:p>
    <w:p w:rsidR="0013047C" w:rsidRPr="00857E54" w:rsidRDefault="0013047C" w:rsidP="00281576">
      <w:pPr>
        <w:keepNext/>
        <w:keepLines/>
        <w:ind w:firstLine="680"/>
        <w:rPr>
          <w:rFonts w:ascii="Arial" w:hAnsi="Arial" w:cs="Arial"/>
          <w:sz w:val="24"/>
          <w:szCs w:val="24"/>
        </w:rPr>
      </w:pPr>
      <w:r w:rsidRPr="00857E54">
        <w:rPr>
          <w:rFonts w:ascii="Arial" w:hAnsi="Arial" w:cs="Arial"/>
          <w:sz w:val="24"/>
          <w:szCs w:val="24"/>
        </w:rPr>
        <w:t>Dinamica veniturilor din salarii este influențată de indicatorii de pe piața muncii.</w:t>
      </w:r>
    </w:p>
    <w:p w:rsidR="0013047C" w:rsidRPr="00857E54" w:rsidRDefault="0013047C" w:rsidP="00281576">
      <w:pPr>
        <w:keepNext/>
        <w:keepLines/>
        <w:ind w:firstLine="680"/>
        <w:rPr>
          <w:rFonts w:ascii="Arial" w:hAnsi="Arial" w:cs="Arial"/>
          <w:sz w:val="24"/>
          <w:szCs w:val="24"/>
        </w:rPr>
      </w:pPr>
      <w:r w:rsidRPr="00857E54">
        <w:rPr>
          <w:rFonts w:ascii="Arial" w:hAnsi="Arial" w:cs="Arial"/>
          <w:sz w:val="24"/>
          <w:szCs w:val="24"/>
        </w:rPr>
        <w:t xml:space="preserve">Evoluția câștigului salarial mediu brut pe primele cinci luni ale anului 2018 este de 35,09% comparativ cu aceeași perioadă a anului precedent, înregistrându-se o dinamică pozitivă față de cea utilizată la fundamentarea bugetului pe anul 2018 (respectiv 27,4%). Evoluția câștigului salarial mediu brut la începutul anului curent, comparativ cu luna decembrie 2017, reflectă faptul că angajatorii au crescut în medie câștigurile salariale brute pentru a menține cel puțin constant câștigul salarial net, în noile condiții legislative privind transferul contribuțiilor de la angajator către angajați și a creșterii </w:t>
      </w:r>
      <w:r w:rsidR="00AD76A1">
        <w:rPr>
          <w:rFonts w:ascii="Arial" w:hAnsi="Arial" w:cs="Arial"/>
          <w:sz w:val="24"/>
          <w:szCs w:val="24"/>
        </w:rPr>
        <w:t>salariului minim brut pe țară (</w:t>
      </w:r>
      <w:r w:rsidRPr="00857E54">
        <w:rPr>
          <w:rFonts w:ascii="Arial" w:hAnsi="Arial" w:cs="Arial"/>
          <w:sz w:val="24"/>
          <w:szCs w:val="24"/>
        </w:rPr>
        <w:t>de la 1450 lei la 1900 lei).</w:t>
      </w:r>
    </w:p>
    <w:p w:rsidR="0013047C" w:rsidRPr="00857E54" w:rsidRDefault="0013047C" w:rsidP="00281576">
      <w:pPr>
        <w:keepNext/>
        <w:keepLines/>
        <w:ind w:firstLine="680"/>
        <w:rPr>
          <w:rFonts w:ascii="Arial" w:hAnsi="Arial" w:cs="Arial"/>
          <w:sz w:val="24"/>
          <w:szCs w:val="24"/>
        </w:rPr>
      </w:pPr>
      <w:r w:rsidRPr="00857E54">
        <w:rPr>
          <w:rFonts w:ascii="Arial" w:hAnsi="Arial" w:cs="Arial"/>
          <w:sz w:val="24"/>
          <w:szCs w:val="24"/>
        </w:rPr>
        <w:lastRenderedPageBreak/>
        <w:t>Astfel, evoluția câștigului salarial mediu net pe primele cinci luni ale anului 2018 este de 12,79% comparativ cu aceeași perioadă a anului precedent, înregistrându-se o dinamică pozitivă față de cea utilizată la fundamentarea bugetului pe anul 2018 (respectiv 11%).</w:t>
      </w:r>
    </w:p>
    <w:p w:rsidR="0013047C" w:rsidRPr="00857E54" w:rsidRDefault="0013047C" w:rsidP="00281576">
      <w:pPr>
        <w:keepNext/>
        <w:keepLines/>
        <w:ind w:firstLine="680"/>
        <w:rPr>
          <w:rFonts w:ascii="Arial" w:hAnsi="Arial" w:cs="Arial"/>
          <w:sz w:val="24"/>
          <w:szCs w:val="24"/>
        </w:rPr>
      </w:pPr>
      <w:r w:rsidRPr="00857E54">
        <w:rPr>
          <w:rFonts w:ascii="Arial" w:hAnsi="Arial" w:cs="Arial"/>
          <w:sz w:val="24"/>
          <w:szCs w:val="24"/>
        </w:rPr>
        <w:t>Totuși, dinamica pozitivă a câștigului salarial mediu net este parțial contrabalansată de o creștere inferioară a numărului mediu de salariați comparativ cu dinamica utilizată la elaborarea bugetului pe anul 2018 (respectiv 4,3%).</w:t>
      </w:r>
      <w:r w:rsidRPr="00857E54">
        <w:rPr>
          <w:rFonts w:ascii="Arial" w:hAnsi="Arial" w:cs="Arial"/>
          <w:sz w:val="24"/>
          <w:szCs w:val="24"/>
        </w:rPr>
        <w:tab/>
      </w:r>
    </w:p>
    <w:p w:rsidR="0013047C" w:rsidRPr="00857E54" w:rsidRDefault="0013047C" w:rsidP="00281576">
      <w:pPr>
        <w:keepNext/>
        <w:keepLines/>
        <w:ind w:firstLine="680"/>
        <w:rPr>
          <w:rFonts w:ascii="Arial" w:hAnsi="Arial" w:cs="Arial"/>
          <w:sz w:val="24"/>
          <w:szCs w:val="24"/>
        </w:rPr>
      </w:pPr>
      <w:r w:rsidRPr="00857E54">
        <w:rPr>
          <w:rFonts w:ascii="Arial" w:hAnsi="Arial" w:cs="Arial"/>
          <w:sz w:val="24"/>
          <w:szCs w:val="24"/>
        </w:rPr>
        <w:t>Comparativ cu aceeași perioadă a anului precedent au înregistrat o evoluție negativă :</w:t>
      </w:r>
    </w:p>
    <w:p w:rsidR="0013047C" w:rsidRPr="00857E54" w:rsidRDefault="0013047C" w:rsidP="00281576">
      <w:pPr>
        <w:keepNext/>
        <w:keepLines/>
        <w:tabs>
          <w:tab w:val="left" w:pos="851"/>
        </w:tabs>
        <w:ind w:firstLine="680"/>
        <w:rPr>
          <w:rFonts w:ascii="Arial" w:hAnsi="Arial" w:cs="Arial"/>
          <w:sz w:val="24"/>
          <w:szCs w:val="24"/>
        </w:rPr>
      </w:pPr>
      <w:r w:rsidRPr="00857E54">
        <w:rPr>
          <w:rFonts w:ascii="Arial" w:hAnsi="Arial" w:cs="Arial"/>
          <w:sz w:val="24"/>
          <w:szCs w:val="24"/>
        </w:rPr>
        <w:t>-</w:t>
      </w:r>
      <w:r w:rsidRPr="00857E54">
        <w:rPr>
          <w:rFonts w:ascii="Arial" w:hAnsi="Arial" w:cs="Arial"/>
          <w:sz w:val="24"/>
          <w:szCs w:val="24"/>
        </w:rPr>
        <w:tab/>
        <w:t>încasările din impozitul pe veniturile din dividende (-18%), reducere datorată bazei ridicate aferentă anului 2017 când reducerea substanțială a cotei de impozitare de la 16% la 5% a creat premisele unei creșteri a cotelor de profit repartizate ca dividende</w:t>
      </w:r>
      <w:r w:rsidR="00927413" w:rsidRPr="00857E54">
        <w:rPr>
          <w:rFonts w:ascii="Arial" w:hAnsi="Arial" w:cs="Arial"/>
          <w:sz w:val="24"/>
          <w:szCs w:val="24"/>
        </w:rPr>
        <w:t>;</w:t>
      </w:r>
    </w:p>
    <w:p w:rsidR="00927413" w:rsidRPr="00857E54" w:rsidRDefault="0013047C" w:rsidP="00281576">
      <w:pPr>
        <w:keepNext/>
        <w:keepLines/>
        <w:tabs>
          <w:tab w:val="left" w:pos="851"/>
        </w:tabs>
        <w:ind w:firstLine="680"/>
        <w:rPr>
          <w:rFonts w:ascii="Arial" w:hAnsi="Arial" w:cs="Arial"/>
          <w:sz w:val="24"/>
          <w:szCs w:val="24"/>
        </w:rPr>
      </w:pPr>
      <w:r w:rsidRPr="00857E54">
        <w:rPr>
          <w:rFonts w:ascii="Arial" w:hAnsi="Arial" w:cs="Arial"/>
          <w:sz w:val="24"/>
          <w:szCs w:val="24"/>
        </w:rPr>
        <w:t>-</w:t>
      </w:r>
      <w:r w:rsidRPr="00857E54">
        <w:rPr>
          <w:rFonts w:ascii="Arial" w:hAnsi="Arial" w:cs="Arial"/>
          <w:sz w:val="24"/>
          <w:szCs w:val="24"/>
        </w:rPr>
        <w:tab/>
        <w:t>încasările din impozitul pe veniturile din pensii (-29%).</w:t>
      </w:r>
    </w:p>
    <w:p w:rsidR="00E65423" w:rsidRPr="00857E54" w:rsidRDefault="007C4F03" w:rsidP="00796829">
      <w:pPr>
        <w:keepNext/>
        <w:keepLines/>
        <w:tabs>
          <w:tab w:val="left" w:pos="851"/>
        </w:tabs>
        <w:ind w:firstLine="680"/>
        <w:rPr>
          <w:rFonts w:ascii="Arial" w:hAnsi="Arial" w:cs="Arial"/>
          <w:sz w:val="24"/>
          <w:szCs w:val="24"/>
        </w:rPr>
      </w:pPr>
      <w:r w:rsidRPr="00857E54">
        <w:rPr>
          <w:rFonts w:ascii="Arial" w:hAnsi="Arial" w:cs="Arial"/>
          <w:sz w:val="24"/>
          <w:szCs w:val="24"/>
        </w:rPr>
        <w:t>Încasările din impozitele</w:t>
      </w:r>
      <w:r w:rsidR="00CF7F6B" w:rsidRPr="00857E54">
        <w:rPr>
          <w:rFonts w:ascii="Arial" w:hAnsi="Arial" w:cs="Arial"/>
          <w:sz w:val="24"/>
          <w:szCs w:val="24"/>
        </w:rPr>
        <w:t xml:space="preserve"> </w:t>
      </w:r>
      <w:r w:rsidR="00A86D78" w:rsidRPr="00857E54">
        <w:rPr>
          <w:rFonts w:ascii="Arial" w:hAnsi="Arial" w:cs="Arial"/>
          <w:b/>
          <w:bCs/>
          <w:sz w:val="24"/>
          <w:szCs w:val="24"/>
        </w:rPr>
        <w:t>ș</w:t>
      </w:r>
      <w:r w:rsidRPr="00857E54">
        <w:rPr>
          <w:rFonts w:ascii="Arial" w:hAnsi="Arial" w:cs="Arial"/>
          <w:b/>
          <w:bCs/>
          <w:sz w:val="24"/>
          <w:szCs w:val="24"/>
        </w:rPr>
        <w:t>i taxele pe proprietate</w:t>
      </w:r>
      <w:r w:rsidR="00CF7F6B" w:rsidRPr="00857E54">
        <w:rPr>
          <w:rFonts w:ascii="Arial" w:hAnsi="Arial" w:cs="Arial"/>
          <w:b/>
          <w:bCs/>
          <w:sz w:val="24"/>
          <w:szCs w:val="24"/>
        </w:rPr>
        <w:t xml:space="preserve"> </w:t>
      </w:r>
      <w:r w:rsidR="00A9347D" w:rsidRPr="00857E54">
        <w:rPr>
          <w:rFonts w:ascii="Arial" w:hAnsi="Arial" w:cs="Arial"/>
          <w:bCs/>
          <w:sz w:val="24"/>
          <w:szCs w:val="24"/>
        </w:rPr>
        <w:t xml:space="preserve">au totalizat </w:t>
      </w:r>
      <w:r w:rsidR="00E040A3" w:rsidRPr="00857E54">
        <w:rPr>
          <w:rFonts w:ascii="Arial" w:hAnsi="Arial" w:cs="Arial"/>
          <w:bCs/>
          <w:sz w:val="24"/>
          <w:szCs w:val="24"/>
        </w:rPr>
        <w:t xml:space="preserve">3.791,4 milioane lei </w:t>
      </w:r>
      <w:r w:rsidR="00937CD4" w:rsidRPr="00857E54">
        <w:rPr>
          <w:rFonts w:ascii="Arial" w:hAnsi="Arial" w:cs="Arial"/>
          <w:bCs/>
          <w:sz w:val="24"/>
          <w:szCs w:val="24"/>
        </w:rPr>
        <w:t>(0,4% din PIB)</w:t>
      </w:r>
      <w:r w:rsidR="00A9347D" w:rsidRPr="00857E54">
        <w:rPr>
          <w:rFonts w:ascii="Arial" w:hAnsi="Arial" w:cs="Arial"/>
          <w:bCs/>
          <w:sz w:val="24"/>
          <w:szCs w:val="24"/>
        </w:rPr>
        <w:t xml:space="preserve"> cu </w:t>
      </w:r>
      <w:r w:rsidR="00E04FC0" w:rsidRPr="00857E54">
        <w:rPr>
          <w:rFonts w:ascii="Arial" w:hAnsi="Arial" w:cs="Arial"/>
          <w:bCs/>
          <w:sz w:val="24"/>
          <w:szCs w:val="24"/>
        </w:rPr>
        <w:t>5,</w:t>
      </w:r>
      <w:r w:rsidR="00E040A3" w:rsidRPr="00857E54">
        <w:rPr>
          <w:rFonts w:ascii="Arial" w:hAnsi="Arial" w:cs="Arial"/>
          <w:bCs/>
          <w:sz w:val="24"/>
          <w:szCs w:val="24"/>
        </w:rPr>
        <w:t>9</w:t>
      </w:r>
      <w:r w:rsidR="00A9347D" w:rsidRPr="00857E54">
        <w:rPr>
          <w:rFonts w:ascii="Arial" w:hAnsi="Arial" w:cs="Arial"/>
          <w:bCs/>
          <w:sz w:val="24"/>
          <w:szCs w:val="24"/>
        </w:rPr>
        <w:t xml:space="preserve">% mai </w:t>
      </w:r>
      <w:r w:rsidR="00E040A3" w:rsidRPr="00857E54">
        <w:rPr>
          <w:rFonts w:ascii="Arial" w:hAnsi="Arial" w:cs="Arial"/>
          <w:bCs/>
          <w:sz w:val="24"/>
          <w:szCs w:val="24"/>
        </w:rPr>
        <w:t xml:space="preserve">mari </w:t>
      </w:r>
      <w:r w:rsidRPr="00857E54">
        <w:rPr>
          <w:rFonts w:ascii="Arial" w:hAnsi="Arial" w:cs="Arial"/>
          <w:sz w:val="24"/>
          <w:szCs w:val="24"/>
        </w:rPr>
        <w:t xml:space="preserve">comparativ cu semestrul I al anului </w:t>
      </w:r>
      <w:r w:rsidR="00E040A3" w:rsidRPr="00857E54">
        <w:rPr>
          <w:rFonts w:ascii="Arial" w:hAnsi="Arial" w:cs="Arial"/>
          <w:sz w:val="24"/>
          <w:szCs w:val="24"/>
        </w:rPr>
        <w:t>2017</w:t>
      </w:r>
      <w:r w:rsidRPr="00857E54">
        <w:rPr>
          <w:rFonts w:ascii="Arial" w:hAnsi="Arial" w:cs="Arial"/>
          <w:sz w:val="24"/>
          <w:szCs w:val="24"/>
        </w:rPr>
        <w:t xml:space="preserve">, gradul de realizare al programului de încasări fiind de </w:t>
      </w:r>
      <w:r w:rsidR="00E040A3" w:rsidRPr="00857E54">
        <w:rPr>
          <w:rFonts w:ascii="Arial" w:hAnsi="Arial" w:cs="Arial"/>
          <w:sz w:val="24"/>
          <w:szCs w:val="24"/>
        </w:rPr>
        <w:t>97,3</w:t>
      </w:r>
      <w:r w:rsidRPr="00857E54">
        <w:rPr>
          <w:rFonts w:ascii="Arial" w:hAnsi="Arial" w:cs="Arial"/>
          <w:sz w:val="24"/>
          <w:szCs w:val="24"/>
        </w:rPr>
        <w:t>%.</w:t>
      </w:r>
      <w:r w:rsidR="00F465D6">
        <w:rPr>
          <w:rFonts w:ascii="Arial" w:hAnsi="Arial" w:cs="Arial"/>
          <w:sz w:val="24"/>
          <w:szCs w:val="24"/>
        </w:rPr>
        <w:t xml:space="preserve"> </w:t>
      </w:r>
      <w:r w:rsidR="00E04FC0" w:rsidRPr="00857E54">
        <w:rPr>
          <w:rFonts w:ascii="Arial" w:hAnsi="Arial" w:cs="Arial"/>
          <w:sz w:val="24"/>
          <w:szCs w:val="24"/>
        </w:rPr>
        <w:t xml:space="preserve">Încasările din impozite și taxe pe proprietate la </w:t>
      </w:r>
      <w:r w:rsidR="0074137E" w:rsidRPr="00857E54">
        <w:rPr>
          <w:rFonts w:ascii="Arial" w:hAnsi="Arial" w:cs="Arial"/>
          <w:sz w:val="24"/>
          <w:szCs w:val="24"/>
        </w:rPr>
        <w:t xml:space="preserve">bugetele locale </w:t>
      </w:r>
      <w:r w:rsidR="00E04FC0" w:rsidRPr="00857E54">
        <w:rPr>
          <w:rFonts w:ascii="Arial" w:hAnsi="Arial" w:cs="Arial"/>
          <w:sz w:val="24"/>
          <w:szCs w:val="24"/>
        </w:rPr>
        <w:t xml:space="preserve">au înregistrat o creștere cu </w:t>
      </w:r>
      <w:r w:rsidR="00F2056F" w:rsidRPr="00857E54">
        <w:rPr>
          <w:rFonts w:ascii="Arial" w:hAnsi="Arial" w:cs="Arial"/>
          <w:sz w:val="24"/>
          <w:szCs w:val="24"/>
        </w:rPr>
        <w:t>8,4</w:t>
      </w:r>
      <w:r w:rsidR="00E04FC0" w:rsidRPr="00857E54">
        <w:rPr>
          <w:rFonts w:ascii="Arial" w:hAnsi="Arial" w:cs="Arial"/>
          <w:sz w:val="24"/>
          <w:szCs w:val="24"/>
        </w:rPr>
        <w:t>% comparativ cu anul anterior</w:t>
      </w:r>
      <w:r w:rsidR="00937CD4" w:rsidRPr="00857E54">
        <w:rPr>
          <w:rFonts w:ascii="Arial" w:hAnsi="Arial" w:cs="Arial"/>
          <w:sz w:val="24"/>
          <w:szCs w:val="24"/>
        </w:rPr>
        <w:t xml:space="preserve">. </w:t>
      </w:r>
    </w:p>
    <w:p w:rsidR="000875A8" w:rsidRPr="00857E54" w:rsidRDefault="007C4F03" w:rsidP="00281576">
      <w:pPr>
        <w:keepNext/>
        <w:keepLines/>
        <w:ind w:firstLine="680"/>
        <w:rPr>
          <w:rFonts w:ascii="Arial" w:hAnsi="Arial" w:cs="Arial"/>
          <w:sz w:val="24"/>
          <w:szCs w:val="24"/>
        </w:rPr>
      </w:pPr>
      <w:r w:rsidRPr="00857E54">
        <w:rPr>
          <w:rFonts w:ascii="Arial" w:hAnsi="Arial" w:cs="Arial"/>
          <w:sz w:val="24"/>
          <w:szCs w:val="24"/>
        </w:rPr>
        <w:t xml:space="preserve">Încasările din </w:t>
      </w:r>
      <w:r w:rsidRPr="00857E54">
        <w:rPr>
          <w:rFonts w:ascii="Arial" w:hAnsi="Arial" w:cs="Arial"/>
          <w:b/>
          <w:bCs/>
          <w:sz w:val="24"/>
          <w:szCs w:val="24"/>
        </w:rPr>
        <w:t>taxa pe valoarea adăugată</w:t>
      </w:r>
      <w:r w:rsidR="00CF7F6B" w:rsidRPr="00857E54">
        <w:rPr>
          <w:rFonts w:ascii="Arial" w:hAnsi="Arial" w:cs="Arial"/>
          <w:b/>
          <w:bCs/>
          <w:sz w:val="24"/>
          <w:szCs w:val="24"/>
        </w:rPr>
        <w:t xml:space="preserve"> </w:t>
      </w:r>
      <w:r w:rsidR="00937CD4" w:rsidRPr="00857E54">
        <w:rPr>
          <w:rFonts w:ascii="Arial" w:hAnsi="Arial" w:cs="Arial"/>
          <w:sz w:val="24"/>
          <w:szCs w:val="24"/>
        </w:rPr>
        <w:t xml:space="preserve">au totalizat </w:t>
      </w:r>
      <w:r w:rsidR="00E040A3" w:rsidRPr="00857E54">
        <w:rPr>
          <w:rFonts w:ascii="Arial" w:hAnsi="Arial" w:cs="Arial"/>
          <w:sz w:val="24"/>
          <w:szCs w:val="24"/>
        </w:rPr>
        <w:t>26.774</w:t>
      </w:r>
      <w:r w:rsidR="00F2056F" w:rsidRPr="00857E54">
        <w:rPr>
          <w:rFonts w:ascii="Arial" w:hAnsi="Arial" w:cs="Arial"/>
          <w:sz w:val="24"/>
          <w:szCs w:val="24"/>
        </w:rPr>
        <w:t>,</w:t>
      </w:r>
      <w:r w:rsidR="00E040A3" w:rsidRPr="00857E54">
        <w:rPr>
          <w:rFonts w:ascii="Arial" w:hAnsi="Arial" w:cs="Arial"/>
          <w:sz w:val="24"/>
          <w:szCs w:val="24"/>
        </w:rPr>
        <w:t>7</w:t>
      </w:r>
      <w:r w:rsidR="00937CD4" w:rsidRPr="00857E54">
        <w:rPr>
          <w:rFonts w:ascii="Arial" w:hAnsi="Arial" w:cs="Arial"/>
          <w:sz w:val="24"/>
          <w:szCs w:val="24"/>
        </w:rPr>
        <w:t xml:space="preserve"> milioane lei (</w:t>
      </w:r>
      <w:r w:rsidR="00E040A3" w:rsidRPr="00857E54">
        <w:rPr>
          <w:rFonts w:ascii="Arial" w:hAnsi="Arial" w:cs="Arial"/>
          <w:sz w:val="24"/>
          <w:szCs w:val="24"/>
        </w:rPr>
        <w:t>2,9</w:t>
      </w:r>
      <w:r w:rsidR="00937CD4" w:rsidRPr="00857E54">
        <w:rPr>
          <w:rFonts w:ascii="Arial" w:hAnsi="Arial" w:cs="Arial"/>
          <w:sz w:val="24"/>
          <w:szCs w:val="24"/>
        </w:rPr>
        <w:t xml:space="preserve">% din PIB) cu </w:t>
      </w:r>
      <w:r w:rsidR="00E040A3" w:rsidRPr="00857E54">
        <w:rPr>
          <w:rFonts w:ascii="Arial" w:hAnsi="Arial" w:cs="Arial"/>
          <w:sz w:val="24"/>
          <w:szCs w:val="24"/>
        </w:rPr>
        <w:t>5,9</w:t>
      </w:r>
      <w:r w:rsidR="00937CD4" w:rsidRPr="00857E54">
        <w:rPr>
          <w:rFonts w:ascii="Arial" w:hAnsi="Arial" w:cs="Arial"/>
          <w:sz w:val="24"/>
          <w:szCs w:val="24"/>
        </w:rPr>
        <w:t xml:space="preserve">% </w:t>
      </w:r>
      <w:r w:rsidR="00E040A3" w:rsidRPr="00857E54">
        <w:rPr>
          <w:rFonts w:ascii="Arial" w:hAnsi="Arial" w:cs="Arial"/>
          <w:sz w:val="24"/>
          <w:szCs w:val="24"/>
        </w:rPr>
        <w:t xml:space="preserve">mai mari comparativ cu  </w:t>
      </w:r>
      <w:r w:rsidR="00937CD4" w:rsidRPr="00857E54">
        <w:rPr>
          <w:rFonts w:ascii="Arial" w:hAnsi="Arial" w:cs="Arial"/>
          <w:sz w:val="24"/>
          <w:szCs w:val="24"/>
        </w:rPr>
        <w:t xml:space="preserve">cele înregistrate în aceeași perioadă a anului precedent, gradul de realizare al programului de încasări fiind de </w:t>
      </w:r>
      <w:r w:rsidR="00E040A3" w:rsidRPr="00857E54">
        <w:rPr>
          <w:rFonts w:ascii="Arial" w:hAnsi="Arial" w:cs="Arial"/>
          <w:sz w:val="24"/>
          <w:szCs w:val="24"/>
        </w:rPr>
        <w:t>92,6</w:t>
      </w:r>
      <w:r w:rsidR="00937CD4" w:rsidRPr="00857E54">
        <w:rPr>
          <w:rFonts w:ascii="Arial" w:hAnsi="Arial" w:cs="Arial"/>
          <w:sz w:val="24"/>
          <w:szCs w:val="24"/>
        </w:rPr>
        <w:t xml:space="preserve">%. </w:t>
      </w:r>
    </w:p>
    <w:p w:rsidR="00A052E0" w:rsidRPr="00857E54" w:rsidRDefault="00A052E0" w:rsidP="00281576">
      <w:pPr>
        <w:keepNext/>
        <w:keepLines/>
        <w:ind w:firstLine="680"/>
        <w:rPr>
          <w:rFonts w:ascii="Arial" w:hAnsi="Arial" w:cs="Arial"/>
          <w:sz w:val="24"/>
          <w:szCs w:val="24"/>
        </w:rPr>
      </w:pPr>
      <w:r w:rsidRPr="00857E54">
        <w:rPr>
          <w:rFonts w:ascii="Arial" w:hAnsi="Arial" w:cs="Arial"/>
          <w:sz w:val="24"/>
          <w:szCs w:val="24"/>
        </w:rPr>
        <w:t xml:space="preserve">Evoluția încasărilor din taxa pe valoarea adăugată a fost realizată pe fondul creșterii volumului cifrei de afaceri pentru comerțul cu amănuntul (cu </w:t>
      </w:r>
      <w:r w:rsidR="00966841" w:rsidRPr="00857E54">
        <w:rPr>
          <w:rFonts w:ascii="Arial" w:hAnsi="Arial" w:cs="Arial"/>
          <w:sz w:val="24"/>
          <w:szCs w:val="24"/>
        </w:rPr>
        <w:t>excepția</w:t>
      </w:r>
      <w:r w:rsidR="00CF7F6B" w:rsidRPr="00857E54">
        <w:rPr>
          <w:rFonts w:ascii="Arial" w:hAnsi="Arial" w:cs="Arial"/>
          <w:sz w:val="24"/>
          <w:szCs w:val="24"/>
        </w:rPr>
        <w:t xml:space="preserve"> </w:t>
      </w:r>
      <w:r w:rsidR="00966841" w:rsidRPr="00857E54">
        <w:rPr>
          <w:rFonts w:ascii="Arial" w:hAnsi="Arial" w:cs="Arial"/>
          <w:sz w:val="24"/>
          <w:szCs w:val="24"/>
        </w:rPr>
        <w:t>comerțului</w:t>
      </w:r>
      <w:r w:rsidRPr="00857E54">
        <w:rPr>
          <w:rFonts w:ascii="Arial" w:hAnsi="Arial" w:cs="Arial"/>
          <w:sz w:val="24"/>
          <w:szCs w:val="24"/>
        </w:rPr>
        <w:t xml:space="preserve"> cu autovehicule şi motociclete), serie brută, cu 6,4% pe primele cinci luni ale anului 2018, comparativ cu perioada similară din 2017. În primul trimestru al anului 2018 evoluția PIB-ului nominal indică o creștere de 10%, comparativ cu perioada similară a anului trecut. De asemenea, în termeni de preț, rata medie anuală a inflației, aceasta a continuat să crească până la 3,6% în iunie 2018, de la 1,3 % în luna decembrie 2017.</w:t>
      </w:r>
    </w:p>
    <w:p w:rsidR="002E7CD9" w:rsidRPr="00857E54" w:rsidRDefault="00A052E0" w:rsidP="00281576">
      <w:pPr>
        <w:keepNext/>
        <w:keepLines/>
        <w:ind w:firstLine="680"/>
        <w:rPr>
          <w:rFonts w:ascii="Arial" w:hAnsi="Arial" w:cs="Arial"/>
          <w:sz w:val="24"/>
          <w:szCs w:val="24"/>
        </w:rPr>
      </w:pPr>
      <w:r w:rsidRPr="00857E54">
        <w:rPr>
          <w:rFonts w:ascii="Arial" w:hAnsi="Arial" w:cs="Arial"/>
          <w:sz w:val="24"/>
          <w:szCs w:val="24"/>
        </w:rPr>
        <w:t xml:space="preserve">Referitor la valoarea schimburilor </w:t>
      </w:r>
      <w:proofErr w:type="spellStart"/>
      <w:r w:rsidRPr="00857E54">
        <w:rPr>
          <w:rFonts w:ascii="Arial" w:hAnsi="Arial" w:cs="Arial"/>
          <w:sz w:val="24"/>
          <w:szCs w:val="24"/>
        </w:rPr>
        <w:t>extracomunitare</w:t>
      </w:r>
      <w:proofErr w:type="spellEnd"/>
      <w:r w:rsidRPr="00857E54">
        <w:rPr>
          <w:rFonts w:ascii="Arial" w:hAnsi="Arial" w:cs="Arial"/>
          <w:sz w:val="24"/>
          <w:szCs w:val="24"/>
        </w:rPr>
        <w:t xml:space="preserve"> de bunuri (Extra-UE28) aceasta a crescut cu 15,8% la importuri  și cu 7,3% la exporturi (la valori exprimate în lei) în primele cinci luni ale anului 2018 comparativ cu perioada similară a anului precedent.</w:t>
      </w:r>
    </w:p>
    <w:p w:rsidR="003B4EA0" w:rsidRPr="00857E54" w:rsidRDefault="00310CE6" w:rsidP="00281576">
      <w:pPr>
        <w:keepNext/>
        <w:keepLines/>
        <w:ind w:firstLine="680"/>
        <w:rPr>
          <w:rFonts w:ascii="Arial" w:hAnsi="Arial" w:cs="Arial"/>
          <w:sz w:val="24"/>
          <w:szCs w:val="24"/>
        </w:rPr>
      </w:pPr>
      <w:r w:rsidRPr="00857E54">
        <w:rPr>
          <w:rFonts w:ascii="Arial" w:hAnsi="Arial" w:cs="Arial"/>
          <w:sz w:val="24"/>
          <w:szCs w:val="24"/>
        </w:rPr>
        <w:t xml:space="preserve">Încasările din </w:t>
      </w:r>
      <w:r w:rsidRPr="00857E54">
        <w:rPr>
          <w:rFonts w:ascii="Arial" w:hAnsi="Arial" w:cs="Arial"/>
          <w:b/>
          <w:sz w:val="24"/>
          <w:szCs w:val="24"/>
        </w:rPr>
        <w:t>accize</w:t>
      </w:r>
      <w:r w:rsidRPr="00857E54">
        <w:rPr>
          <w:rFonts w:ascii="Arial" w:hAnsi="Arial" w:cs="Arial"/>
          <w:sz w:val="24"/>
          <w:szCs w:val="24"/>
        </w:rPr>
        <w:t xml:space="preserve"> au însumat </w:t>
      </w:r>
      <w:r w:rsidR="00E040A3" w:rsidRPr="00857E54">
        <w:rPr>
          <w:rFonts w:ascii="Arial" w:hAnsi="Arial" w:cs="Arial"/>
          <w:sz w:val="24"/>
          <w:szCs w:val="24"/>
        </w:rPr>
        <w:t>13.132,3</w:t>
      </w:r>
      <w:r w:rsidRPr="00857E54">
        <w:rPr>
          <w:rFonts w:ascii="Arial" w:hAnsi="Arial" w:cs="Arial"/>
          <w:sz w:val="24"/>
          <w:szCs w:val="24"/>
        </w:rPr>
        <w:t xml:space="preserve"> milioane lei</w:t>
      </w:r>
      <w:r w:rsidR="00F465D6">
        <w:rPr>
          <w:rFonts w:ascii="Arial" w:hAnsi="Arial" w:cs="Arial"/>
          <w:sz w:val="24"/>
          <w:szCs w:val="24"/>
        </w:rPr>
        <w:t xml:space="preserve"> </w:t>
      </w:r>
      <w:r w:rsidR="003B4EA0" w:rsidRPr="00857E54">
        <w:rPr>
          <w:rFonts w:ascii="Arial" w:hAnsi="Arial" w:cs="Arial"/>
          <w:sz w:val="24"/>
          <w:szCs w:val="24"/>
        </w:rPr>
        <w:t>(1,</w:t>
      </w:r>
      <w:r w:rsidR="00E040A3" w:rsidRPr="00857E54">
        <w:rPr>
          <w:rFonts w:ascii="Arial" w:hAnsi="Arial" w:cs="Arial"/>
          <w:sz w:val="24"/>
          <w:szCs w:val="24"/>
        </w:rPr>
        <w:t>4</w:t>
      </w:r>
      <w:r w:rsidR="003B4EA0" w:rsidRPr="00857E54">
        <w:rPr>
          <w:rFonts w:ascii="Arial" w:hAnsi="Arial" w:cs="Arial"/>
          <w:sz w:val="24"/>
          <w:szCs w:val="24"/>
        </w:rPr>
        <w:t>% din PIB)</w:t>
      </w:r>
      <w:r w:rsidRPr="00857E54">
        <w:rPr>
          <w:rFonts w:ascii="Arial" w:hAnsi="Arial" w:cs="Arial"/>
          <w:sz w:val="24"/>
          <w:szCs w:val="24"/>
        </w:rPr>
        <w:t xml:space="preserve">, situându-se cu </w:t>
      </w:r>
      <w:r w:rsidR="00E040A3" w:rsidRPr="00857E54">
        <w:rPr>
          <w:rFonts w:ascii="Arial" w:hAnsi="Arial" w:cs="Arial"/>
          <w:sz w:val="24"/>
          <w:szCs w:val="24"/>
        </w:rPr>
        <w:t>7,6</w:t>
      </w:r>
      <w:r w:rsidRPr="00857E54">
        <w:rPr>
          <w:rFonts w:ascii="Arial" w:hAnsi="Arial" w:cs="Arial"/>
          <w:sz w:val="24"/>
          <w:szCs w:val="24"/>
        </w:rPr>
        <w:t>% sub nivelul programat inițial</w:t>
      </w:r>
      <w:r w:rsidR="00F465D6">
        <w:rPr>
          <w:rFonts w:ascii="Arial" w:hAnsi="Arial" w:cs="Arial"/>
          <w:sz w:val="24"/>
          <w:szCs w:val="24"/>
        </w:rPr>
        <w:t>,</w:t>
      </w:r>
      <w:r w:rsidRPr="00857E54">
        <w:rPr>
          <w:rFonts w:ascii="Arial" w:hAnsi="Arial" w:cs="Arial"/>
          <w:sz w:val="24"/>
          <w:szCs w:val="24"/>
        </w:rPr>
        <w:t xml:space="preserve"> </w:t>
      </w:r>
      <w:r w:rsidR="00E040A3" w:rsidRPr="00857E54">
        <w:rPr>
          <w:rFonts w:ascii="Arial" w:hAnsi="Arial" w:cs="Arial"/>
          <w:sz w:val="24"/>
          <w:szCs w:val="24"/>
        </w:rPr>
        <w:t xml:space="preserve">dar cu 9,9% mai mari comparativ cu </w:t>
      </w:r>
      <w:r w:rsidRPr="00857E54">
        <w:rPr>
          <w:rFonts w:ascii="Arial" w:hAnsi="Arial" w:cs="Arial"/>
          <w:sz w:val="24"/>
          <w:szCs w:val="24"/>
        </w:rPr>
        <w:t xml:space="preserve"> încasările din aceeași perioadă a anului precedent</w:t>
      </w:r>
      <w:r w:rsidR="00E040A3" w:rsidRPr="00857E54">
        <w:rPr>
          <w:rFonts w:ascii="Arial" w:hAnsi="Arial" w:cs="Arial"/>
          <w:sz w:val="24"/>
          <w:szCs w:val="24"/>
        </w:rPr>
        <w:t>.</w:t>
      </w:r>
    </w:p>
    <w:p w:rsidR="00A052E0" w:rsidRPr="00857E54" w:rsidRDefault="00A052E0" w:rsidP="00281576">
      <w:pPr>
        <w:keepNext/>
        <w:keepLines/>
        <w:ind w:firstLine="680"/>
        <w:rPr>
          <w:rFonts w:ascii="Arial" w:hAnsi="Arial" w:cs="Arial"/>
          <w:sz w:val="24"/>
          <w:szCs w:val="24"/>
        </w:rPr>
      </w:pPr>
      <w:r w:rsidRPr="00857E54">
        <w:rPr>
          <w:rFonts w:ascii="Arial" w:hAnsi="Arial" w:cs="Arial"/>
          <w:sz w:val="24"/>
          <w:szCs w:val="24"/>
        </w:rPr>
        <w:t>Comparativ cu perioada similară din anul anterior</w:t>
      </w:r>
      <w:r w:rsidR="009063D5">
        <w:rPr>
          <w:rFonts w:ascii="Arial" w:hAnsi="Arial" w:cs="Arial"/>
          <w:sz w:val="24"/>
          <w:szCs w:val="24"/>
        </w:rPr>
        <w:t>,</w:t>
      </w:r>
      <w:r w:rsidRPr="00857E54">
        <w:rPr>
          <w:rFonts w:ascii="Arial" w:hAnsi="Arial" w:cs="Arial"/>
          <w:sz w:val="24"/>
          <w:szCs w:val="24"/>
        </w:rPr>
        <w:t xml:space="preserve"> accizele din produse energetice au crescut cu 19,4%, cele din tutun cu 2,7%, iar cele din alcool au crescut cu 2,6%.</w:t>
      </w:r>
    </w:p>
    <w:p w:rsidR="00927413" w:rsidRPr="00857E54" w:rsidRDefault="00A052E0" w:rsidP="00281576">
      <w:pPr>
        <w:keepNext/>
        <w:keepLines/>
        <w:ind w:firstLine="680"/>
        <w:rPr>
          <w:rFonts w:ascii="Arial" w:hAnsi="Arial" w:cs="Arial"/>
          <w:sz w:val="24"/>
          <w:szCs w:val="24"/>
        </w:rPr>
      </w:pPr>
      <w:r w:rsidRPr="00857E54">
        <w:rPr>
          <w:rFonts w:ascii="Arial" w:hAnsi="Arial" w:cs="Arial"/>
          <w:sz w:val="24"/>
          <w:szCs w:val="24"/>
        </w:rPr>
        <w:t xml:space="preserve">Evoluția consumului de carburanți pe primele cinci luni ale anului 2018 înregistrează o creștere de 4,3% comparativ cu perioada similară a anului 2017. Creșterea încasărilor din accize la produsele energetice este influențată de majorarea  de la 15 septembrie 2017 și 1 octombrie 2017 a nivelului accizelor cu rate cuprinse între 16,4% și 21,1% la produsele energetice. </w:t>
      </w:r>
    </w:p>
    <w:p w:rsidR="003B4EA0" w:rsidRPr="00857E54" w:rsidRDefault="00441939" w:rsidP="00281576">
      <w:pPr>
        <w:keepNext/>
        <w:keepLines/>
        <w:ind w:firstLine="680"/>
        <w:rPr>
          <w:rFonts w:ascii="Arial" w:hAnsi="Arial" w:cs="Arial"/>
          <w:sz w:val="24"/>
          <w:szCs w:val="24"/>
        </w:rPr>
      </w:pPr>
      <w:r w:rsidRPr="00857E54">
        <w:rPr>
          <w:rFonts w:ascii="Arial" w:hAnsi="Arial" w:cs="Arial"/>
          <w:sz w:val="24"/>
          <w:szCs w:val="24"/>
        </w:rPr>
        <w:lastRenderedPageBreak/>
        <w:t xml:space="preserve">Încasările din </w:t>
      </w:r>
      <w:r w:rsidRPr="00857E54">
        <w:rPr>
          <w:rFonts w:ascii="Arial" w:hAnsi="Arial" w:cs="Arial"/>
          <w:b/>
          <w:sz w:val="24"/>
          <w:szCs w:val="24"/>
        </w:rPr>
        <w:t>alte impozite și taxe pe bunuri și servicii</w:t>
      </w:r>
      <w:r w:rsidR="00CF7F6B" w:rsidRPr="00857E54">
        <w:rPr>
          <w:rFonts w:ascii="Arial" w:hAnsi="Arial" w:cs="Arial"/>
          <w:b/>
          <w:sz w:val="24"/>
          <w:szCs w:val="24"/>
        </w:rPr>
        <w:t xml:space="preserve"> </w:t>
      </w:r>
      <w:r w:rsidR="0095144E" w:rsidRPr="00857E54">
        <w:rPr>
          <w:rFonts w:ascii="Arial" w:hAnsi="Arial" w:cs="Arial"/>
          <w:sz w:val="24"/>
          <w:szCs w:val="24"/>
        </w:rPr>
        <w:t xml:space="preserve">au însumat </w:t>
      </w:r>
      <w:r w:rsidR="00E040A3" w:rsidRPr="00857E54">
        <w:rPr>
          <w:rFonts w:ascii="Arial" w:hAnsi="Arial" w:cs="Arial"/>
          <w:sz w:val="24"/>
          <w:szCs w:val="24"/>
        </w:rPr>
        <w:t>1.835,1</w:t>
      </w:r>
      <w:r w:rsidR="0095144E" w:rsidRPr="00857E54">
        <w:rPr>
          <w:rFonts w:ascii="Arial" w:hAnsi="Arial" w:cs="Arial"/>
          <w:sz w:val="24"/>
          <w:szCs w:val="24"/>
        </w:rPr>
        <w:t xml:space="preserve"> milioane lei</w:t>
      </w:r>
      <w:r w:rsidR="00F465D6">
        <w:rPr>
          <w:rFonts w:ascii="Arial" w:hAnsi="Arial" w:cs="Arial"/>
          <w:sz w:val="24"/>
          <w:szCs w:val="24"/>
        </w:rPr>
        <w:t xml:space="preserve"> </w:t>
      </w:r>
      <w:r w:rsidR="0095144E" w:rsidRPr="00857E54">
        <w:rPr>
          <w:rFonts w:ascii="Arial" w:hAnsi="Arial" w:cs="Arial"/>
          <w:sz w:val="24"/>
          <w:szCs w:val="24"/>
        </w:rPr>
        <w:t>(0,2% din PIB</w:t>
      </w:r>
      <w:r w:rsidR="003B4EA0" w:rsidRPr="00857E54">
        <w:rPr>
          <w:rFonts w:ascii="Arial" w:hAnsi="Arial" w:cs="Arial"/>
          <w:sz w:val="24"/>
          <w:szCs w:val="24"/>
        </w:rPr>
        <w:t>)</w:t>
      </w:r>
      <w:r w:rsidRPr="00857E54">
        <w:rPr>
          <w:rFonts w:ascii="Arial" w:hAnsi="Arial" w:cs="Arial"/>
          <w:sz w:val="24"/>
          <w:szCs w:val="24"/>
        </w:rPr>
        <w:t xml:space="preserve"> cu </w:t>
      </w:r>
      <w:r w:rsidR="00E040A3" w:rsidRPr="00857E54">
        <w:rPr>
          <w:rFonts w:ascii="Arial" w:hAnsi="Arial" w:cs="Arial"/>
          <w:sz w:val="24"/>
          <w:szCs w:val="24"/>
        </w:rPr>
        <w:t>9,0%</w:t>
      </w:r>
      <w:r w:rsidRPr="00857E54">
        <w:rPr>
          <w:rFonts w:ascii="Arial" w:hAnsi="Arial" w:cs="Arial"/>
          <w:sz w:val="24"/>
          <w:szCs w:val="24"/>
        </w:rPr>
        <w:t xml:space="preserve">% </w:t>
      </w:r>
      <w:r w:rsidR="003B4EA0" w:rsidRPr="00857E54">
        <w:rPr>
          <w:rFonts w:ascii="Arial" w:hAnsi="Arial" w:cs="Arial"/>
          <w:sz w:val="24"/>
          <w:szCs w:val="24"/>
        </w:rPr>
        <w:t>mai mari comparativ cu acee</w:t>
      </w:r>
      <w:r w:rsidR="0095144E" w:rsidRPr="00857E54">
        <w:rPr>
          <w:rFonts w:ascii="Arial" w:hAnsi="Arial" w:cs="Arial"/>
          <w:sz w:val="24"/>
          <w:szCs w:val="24"/>
        </w:rPr>
        <w:t xml:space="preserve">ași perioadă a anului anterior, gradul de realizare al programului de încasări fiind de </w:t>
      </w:r>
      <w:r w:rsidR="00E040A3" w:rsidRPr="00857E54">
        <w:rPr>
          <w:rFonts w:ascii="Arial" w:hAnsi="Arial" w:cs="Arial"/>
          <w:sz w:val="24"/>
          <w:szCs w:val="24"/>
        </w:rPr>
        <w:t>89,9</w:t>
      </w:r>
      <w:r w:rsidR="006B1124" w:rsidRPr="00857E54">
        <w:rPr>
          <w:rFonts w:ascii="Arial" w:hAnsi="Arial" w:cs="Arial"/>
          <w:sz w:val="24"/>
          <w:szCs w:val="24"/>
        </w:rPr>
        <w:t xml:space="preserve">%. </w:t>
      </w:r>
    </w:p>
    <w:p w:rsidR="007C4F03" w:rsidRPr="00857E54" w:rsidRDefault="007C4F03" w:rsidP="00281576">
      <w:pPr>
        <w:keepNext/>
        <w:keepLines/>
        <w:ind w:firstLine="680"/>
        <w:rPr>
          <w:rFonts w:ascii="Arial" w:hAnsi="Arial" w:cs="Arial"/>
          <w:sz w:val="24"/>
          <w:szCs w:val="24"/>
        </w:rPr>
      </w:pPr>
      <w:r w:rsidRPr="00857E54">
        <w:rPr>
          <w:rFonts w:ascii="Arial" w:hAnsi="Arial" w:cs="Arial"/>
          <w:sz w:val="24"/>
          <w:szCs w:val="24"/>
        </w:rPr>
        <w:t xml:space="preserve">Încasările din </w:t>
      </w:r>
      <w:r w:rsidRPr="00857E54">
        <w:rPr>
          <w:rFonts w:ascii="Arial" w:hAnsi="Arial" w:cs="Arial"/>
          <w:b/>
          <w:sz w:val="24"/>
          <w:szCs w:val="24"/>
        </w:rPr>
        <w:t>impozitul pe comerțul exterior şi tranzacțiile internaționale</w:t>
      </w:r>
      <w:r w:rsidRPr="00857E54">
        <w:rPr>
          <w:rFonts w:ascii="Arial" w:hAnsi="Arial" w:cs="Arial"/>
          <w:sz w:val="24"/>
          <w:szCs w:val="24"/>
        </w:rPr>
        <w:t xml:space="preserve"> au crescut cu </w:t>
      </w:r>
      <w:r w:rsidR="00E040A3" w:rsidRPr="00857E54">
        <w:rPr>
          <w:rFonts w:ascii="Arial" w:hAnsi="Arial" w:cs="Arial"/>
          <w:sz w:val="24"/>
          <w:szCs w:val="24"/>
        </w:rPr>
        <w:t>6,7</w:t>
      </w:r>
      <w:r w:rsidRPr="00857E54">
        <w:rPr>
          <w:rFonts w:ascii="Arial" w:hAnsi="Arial" w:cs="Arial"/>
          <w:sz w:val="24"/>
          <w:szCs w:val="24"/>
        </w:rPr>
        <w:t>% comparativ aceeași perioadă a anului precedent,</w:t>
      </w:r>
      <w:r w:rsidR="00CF7F6B" w:rsidRPr="00857E54">
        <w:rPr>
          <w:rFonts w:ascii="Arial" w:hAnsi="Arial" w:cs="Arial"/>
          <w:sz w:val="24"/>
          <w:szCs w:val="24"/>
        </w:rPr>
        <w:t xml:space="preserve"> </w:t>
      </w:r>
      <w:r w:rsidR="00847368" w:rsidRPr="00857E54">
        <w:rPr>
          <w:rFonts w:ascii="Arial" w:hAnsi="Arial" w:cs="Arial"/>
          <w:sz w:val="24"/>
          <w:szCs w:val="24"/>
        </w:rPr>
        <w:t>în condițiile în care importurile de bunuri din zona extra-comunitară au crescut cu 15,8%, în timp ce gradul de realizare al programului de încasări a fost de 93,8% (-0,05 mld. lei).</w:t>
      </w:r>
    </w:p>
    <w:p w:rsidR="00970F67" w:rsidRPr="00857E54" w:rsidRDefault="007C4F03" w:rsidP="00281576">
      <w:pPr>
        <w:keepNext/>
        <w:keepLines/>
        <w:ind w:firstLine="680"/>
        <w:rPr>
          <w:rFonts w:ascii="Arial" w:hAnsi="Arial" w:cs="Arial"/>
          <w:sz w:val="24"/>
          <w:szCs w:val="24"/>
        </w:rPr>
      </w:pPr>
      <w:r w:rsidRPr="00857E54">
        <w:rPr>
          <w:rFonts w:ascii="Arial" w:hAnsi="Arial" w:cs="Arial"/>
          <w:sz w:val="24"/>
          <w:szCs w:val="24"/>
        </w:rPr>
        <w:t xml:space="preserve">Încasările din </w:t>
      </w:r>
      <w:r w:rsidRPr="00857E54">
        <w:rPr>
          <w:rFonts w:ascii="Arial" w:hAnsi="Arial" w:cs="Arial"/>
          <w:b/>
          <w:sz w:val="24"/>
          <w:szCs w:val="24"/>
        </w:rPr>
        <w:t>taxa pe utilizarea bunurilor, autorizarea utilizării bunurilor sau pe desfășurarea de activități</w:t>
      </w:r>
      <w:r w:rsidR="00CF7F6B" w:rsidRPr="00857E54">
        <w:rPr>
          <w:rFonts w:ascii="Arial" w:hAnsi="Arial" w:cs="Arial"/>
          <w:b/>
          <w:sz w:val="24"/>
          <w:szCs w:val="24"/>
        </w:rPr>
        <w:t xml:space="preserve"> </w:t>
      </w:r>
      <w:r w:rsidR="006B1124" w:rsidRPr="00857E54">
        <w:rPr>
          <w:rFonts w:ascii="Arial" w:hAnsi="Arial" w:cs="Arial"/>
          <w:sz w:val="24"/>
          <w:szCs w:val="24"/>
        </w:rPr>
        <w:t>s-</w:t>
      </w:r>
      <w:r w:rsidRPr="00857E54">
        <w:rPr>
          <w:rFonts w:ascii="Arial" w:hAnsi="Arial" w:cs="Arial"/>
          <w:sz w:val="24"/>
          <w:szCs w:val="24"/>
        </w:rPr>
        <w:t xml:space="preserve">au </w:t>
      </w:r>
      <w:r w:rsidR="006B1124" w:rsidRPr="00857E54">
        <w:rPr>
          <w:rFonts w:ascii="Arial" w:hAnsi="Arial" w:cs="Arial"/>
          <w:sz w:val="24"/>
          <w:szCs w:val="24"/>
        </w:rPr>
        <w:t xml:space="preserve">diminuat cu </w:t>
      </w:r>
      <w:r w:rsidR="008B5F61" w:rsidRPr="00857E54">
        <w:rPr>
          <w:rFonts w:ascii="Arial" w:hAnsi="Arial" w:cs="Arial"/>
          <w:sz w:val="24"/>
          <w:szCs w:val="24"/>
        </w:rPr>
        <w:t>26,8</w:t>
      </w:r>
      <w:r w:rsidRPr="00857E54">
        <w:rPr>
          <w:rFonts w:ascii="Arial" w:hAnsi="Arial" w:cs="Arial"/>
          <w:sz w:val="24"/>
          <w:szCs w:val="24"/>
        </w:rPr>
        <w:t xml:space="preserve">% comparativ cu semestrul I al anului </w:t>
      </w:r>
      <w:r w:rsidR="008B5F61" w:rsidRPr="00857E54">
        <w:rPr>
          <w:rFonts w:ascii="Arial" w:hAnsi="Arial" w:cs="Arial"/>
          <w:sz w:val="24"/>
          <w:szCs w:val="24"/>
        </w:rPr>
        <w:t>2017</w:t>
      </w:r>
      <w:r w:rsidRPr="00857E54">
        <w:rPr>
          <w:rFonts w:ascii="Arial" w:hAnsi="Arial" w:cs="Arial"/>
          <w:sz w:val="24"/>
          <w:szCs w:val="24"/>
        </w:rPr>
        <w:t xml:space="preserve">, programul de încasări realizându-se în proporție de </w:t>
      </w:r>
      <w:r w:rsidR="008B5F61" w:rsidRPr="00857E54">
        <w:rPr>
          <w:rFonts w:ascii="Arial" w:hAnsi="Arial" w:cs="Arial"/>
          <w:sz w:val="24"/>
          <w:szCs w:val="24"/>
        </w:rPr>
        <w:t>75,4</w:t>
      </w:r>
      <w:r w:rsidR="006B1124" w:rsidRPr="00857E54">
        <w:rPr>
          <w:rFonts w:ascii="Arial" w:hAnsi="Arial" w:cs="Arial"/>
          <w:sz w:val="24"/>
          <w:szCs w:val="24"/>
        </w:rPr>
        <w:t>%.</w:t>
      </w:r>
    </w:p>
    <w:p w:rsidR="00970F67" w:rsidRPr="00857E54" w:rsidRDefault="00970F67" w:rsidP="00281576">
      <w:pPr>
        <w:keepNext/>
        <w:keepLines/>
        <w:ind w:firstLine="680"/>
        <w:rPr>
          <w:rFonts w:ascii="Arial" w:hAnsi="Arial" w:cs="Arial"/>
          <w:sz w:val="24"/>
          <w:szCs w:val="24"/>
        </w:rPr>
      </w:pPr>
      <w:r w:rsidRPr="00857E54">
        <w:rPr>
          <w:rFonts w:ascii="Arial" w:hAnsi="Arial" w:cs="Arial"/>
          <w:sz w:val="24"/>
          <w:szCs w:val="24"/>
        </w:rPr>
        <w:t xml:space="preserve">Diminuarea încasărilor din taxa pe utilizarea bunurilor, autorizarea utilizării bunurilor sau pe desfășurarea de activități s-a datorat </w:t>
      </w:r>
      <w:r w:rsidR="00847368" w:rsidRPr="00857E54">
        <w:rPr>
          <w:rFonts w:ascii="Arial" w:hAnsi="Arial" w:cs="Arial"/>
          <w:sz w:val="24"/>
          <w:szCs w:val="24"/>
        </w:rPr>
        <w:t>restituirilor aferente taxelor pe poluare pentru autovehicule.</w:t>
      </w:r>
    </w:p>
    <w:p w:rsidR="007C4F03" w:rsidRPr="00857E54" w:rsidRDefault="007C4F03" w:rsidP="00281576">
      <w:pPr>
        <w:keepNext/>
        <w:keepLines/>
        <w:ind w:firstLine="680"/>
        <w:rPr>
          <w:rFonts w:ascii="Arial" w:hAnsi="Arial" w:cs="Arial"/>
          <w:sz w:val="24"/>
          <w:szCs w:val="24"/>
        </w:rPr>
      </w:pPr>
      <w:r w:rsidRPr="00857E54">
        <w:rPr>
          <w:rFonts w:ascii="Arial" w:hAnsi="Arial" w:cs="Arial"/>
          <w:b/>
          <w:sz w:val="24"/>
          <w:szCs w:val="24"/>
        </w:rPr>
        <w:t>Contribuțiile de asigurări</w:t>
      </w:r>
      <w:r w:rsidRPr="00857E54">
        <w:rPr>
          <w:rFonts w:ascii="Arial" w:hAnsi="Arial" w:cs="Arial"/>
          <w:sz w:val="24"/>
          <w:szCs w:val="24"/>
        </w:rPr>
        <w:t xml:space="preserve"> colectate la bugetul general consolidat au fost în sumă de </w:t>
      </w:r>
      <w:r w:rsidR="008B5F61" w:rsidRPr="00857E54">
        <w:rPr>
          <w:rFonts w:ascii="Arial" w:hAnsi="Arial" w:cs="Arial"/>
          <w:sz w:val="24"/>
          <w:szCs w:val="24"/>
        </w:rPr>
        <w:t>46.811,8</w:t>
      </w:r>
      <w:r w:rsidRPr="00857E54">
        <w:rPr>
          <w:rFonts w:ascii="Arial" w:hAnsi="Arial" w:cs="Arial"/>
          <w:sz w:val="24"/>
          <w:szCs w:val="24"/>
        </w:rPr>
        <w:t xml:space="preserve"> milioane lei</w:t>
      </w:r>
      <w:r w:rsidR="009063D5">
        <w:rPr>
          <w:rFonts w:ascii="Arial" w:hAnsi="Arial" w:cs="Arial"/>
          <w:sz w:val="24"/>
          <w:szCs w:val="24"/>
        </w:rPr>
        <w:t xml:space="preserve"> </w:t>
      </w:r>
      <w:r w:rsidR="0091264D" w:rsidRPr="00857E54">
        <w:rPr>
          <w:rFonts w:ascii="Arial" w:hAnsi="Arial" w:cs="Arial"/>
          <w:sz w:val="24"/>
          <w:szCs w:val="24"/>
        </w:rPr>
        <w:t>(</w:t>
      </w:r>
      <w:r w:rsidR="008B5F61" w:rsidRPr="00857E54">
        <w:rPr>
          <w:rFonts w:ascii="Arial" w:hAnsi="Arial" w:cs="Arial"/>
          <w:sz w:val="24"/>
          <w:szCs w:val="24"/>
        </w:rPr>
        <w:t>5,0</w:t>
      </w:r>
      <w:r w:rsidR="0091264D" w:rsidRPr="00857E54">
        <w:rPr>
          <w:rFonts w:ascii="Arial" w:hAnsi="Arial" w:cs="Arial"/>
          <w:sz w:val="24"/>
          <w:szCs w:val="24"/>
        </w:rPr>
        <w:t>%</w:t>
      </w:r>
      <w:r w:rsidR="003B4EA0" w:rsidRPr="00857E54">
        <w:rPr>
          <w:rFonts w:ascii="Arial" w:hAnsi="Arial" w:cs="Arial"/>
          <w:sz w:val="24"/>
          <w:szCs w:val="24"/>
        </w:rPr>
        <w:t xml:space="preserve"> din PIB</w:t>
      </w:r>
      <w:r w:rsidR="0091264D" w:rsidRPr="00857E54">
        <w:rPr>
          <w:rFonts w:ascii="Arial" w:hAnsi="Arial" w:cs="Arial"/>
          <w:sz w:val="24"/>
          <w:szCs w:val="24"/>
        </w:rPr>
        <w:t>)</w:t>
      </w:r>
      <w:r w:rsidRPr="00857E54">
        <w:rPr>
          <w:rFonts w:ascii="Arial" w:hAnsi="Arial" w:cs="Arial"/>
          <w:sz w:val="24"/>
          <w:szCs w:val="24"/>
        </w:rPr>
        <w:t xml:space="preserve">, cu </w:t>
      </w:r>
      <w:r w:rsidR="008B5F61" w:rsidRPr="00857E54">
        <w:rPr>
          <w:rFonts w:ascii="Arial" w:hAnsi="Arial" w:cs="Arial"/>
          <w:bCs/>
          <w:sz w:val="24"/>
          <w:szCs w:val="24"/>
        </w:rPr>
        <w:t>36,8</w:t>
      </w:r>
      <w:r w:rsidRPr="00857E54">
        <w:rPr>
          <w:rFonts w:ascii="Arial" w:hAnsi="Arial" w:cs="Arial"/>
          <w:bCs/>
          <w:sz w:val="24"/>
          <w:szCs w:val="24"/>
        </w:rPr>
        <w:t>%</w:t>
      </w:r>
      <w:r w:rsidR="00F465D6">
        <w:rPr>
          <w:rFonts w:ascii="Arial" w:hAnsi="Arial" w:cs="Arial"/>
          <w:bCs/>
          <w:sz w:val="24"/>
          <w:szCs w:val="24"/>
        </w:rPr>
        <w:t xml:space="preserve"> </w:t>
      </w:r>
      <w:r w:rsidR="009D6D45" w:rsidRPr="00857E54">
        <w:rPr>
          <w:rFonts w:ascii="Arial" w:hAnsi="Arial" w:cs="Arial"/>
          <w:sz w:val="24"/>
          <w:szCs w:val="24"/>
        </w:rPr>
        <w:t xml:space="preserve">mai mari comparativ cu </w:t>
      </w:r>
      <w:r w:rsidRPr="00857E54">
        <w:rPr>
          <w:rFonts w:ascii="Arial" w:hAnsi="Arial" w:cs="Arial"/>
          <w:sz w:val="24"/>
          <w:szCs w:val="24"/>
        </w:rPr>
        <w:t xml:space="preserve">încasările înregistrate în aceeași perioadă a anului precedent, gradul de realizare al programului de încasări fiind de </w:t>
      </w:r>
      <w:r w:rsidR="008B5F61" w:rsidRPr="00857E54">
        <w:rPr>
          <w:rFonts w:ascii="Arial" w:hAnsi="Arial" w:cs="Arial"/>
          <w:sz w:val="24"/>
          <w:szCs w:val="24"/>
        </w:rPr>
        <w:t>106,9</w:t>
      </w:r>
      <w:r w:rsidRPr="00857E54">
        <w:rPr>
          <w:rFonts w:ascii="Arial" w:hAnsi="Arial" w:cs="Arial"/>
          <w:sz w:val="24"/>
          <w:szCs w:val="24"/>
        </w:rPr>
        <w:t xml:space="preserve">%. </w:t>
      </w:r>
    </w:p>
    <w:p w:rsidR="00711E39" w:rsidRPr="00857E54" w:rsidRDefault="007C4F03" w:rsidP="00281576">
      <w:pPr>
        <w:keepNext/>
        <w:keepLines/>
        <w:ind w:firstLine="680"/>
        <w:rPr>
          <w:rFonts w:ascii="Arial" w:hAnsi="Arial" w:cs="Arial"/>
          <w:sz w:val="24"/>
          <w:szCs w:val="24"/>
        </w:rPr>
      </w:pPr>
      <w:r w:rsidRPr="00857E54">
        <w:rPr>
          <w:rFonts w:ascii="Arial" w:hAnsi="Arial" w:cs="Arial"/>
          <w:sz w:val="24"/>
          <w:szCs w:val="24"/>
        </w:rPr>
        <w:t xml:space="preserve">Comparativ cu semestrul I </w:t>
      </w:r>
      <w:r w:rsidR="008B5F61" w:rsidRPr="00857E54">
        <w:rPr>
          <w:rFonts w:ascii="Arial" w:hAnsi="Arial" w:cs="Arial"/>
          <w:sz w:val="24"/>
          <w:szCs w:val="24"/>
        </w:rPr>
        <w:t xml:space="preserve">2017 </w:t>
      </w:r>
      <w:r w:rsidRPr="00857E54">
        <w:rPr>
          <w:rFonts w:ascii="Arial" w:hAnsi="Arial" w:cs="Arial"/>
          <w:sz w:val="24"/>
          <w:szCs w:val="24"/>
        </w:rPr>
        <w:t>s-au înregistrat creșteri ale încasărilor</w:t>
      </w:r>
      <w:r w:rsidR="0066026C" w:rsidRPr="00857E54">
        <w:rPr>
          <w:rFonts w:ascii="Arial" w:hAnsi="Arial" w:cs="Arial"/>
          <w:sz w:val="24"/>
          <w:szCs w:val="24"/>
        </w:rPr>
        <w:t>,</w:t>
      </w:r>
      <w:r w:rsidR="00CF7F6B" w:rsidRPr="00857E54">
        <w:rPr>
          <w:rFonts w:ascii="Arial" w:hAnsi="Arial" w:cs="Arial"/>
          <w:sz w:val="24"/>
          <w:szCs w:val="24"/>
        </w:rPr>
        <w:t xml:space="preserve"> </w:t>
      </w:r>
      <w:r w:rsidR="005C6217" w:rsidRPr="00857E54">
        <w:rPr>
          <w:rFonts w:ascii="Arial" w:hAnsi="Arial" w:cs="Arial"/>
          <w:sz w:val="24"/>
          <w:szCs w:val="24"/>
        </w:rPr>
        <w:t>atât în cazul bugetului asigurărilor sociale de stat</w:t>
      </w:r>
      <w:r w:rsidR="009063D5">
        <w:rPr>
          <w:rFonts w:ascii="Arial" w:hAnsi="Arial" w:cs="Arial"/>
          <w:sz w:val="24"/>
          <w:szCs w:val="24"/>
        </w:rPr>
        <w:t xml:space="preserve"> </w:t>
      </w:r>
      <w:r w:rsidR="005C6217" w:rsidRPr="00857E54">
        <w:rPr>
          <w:rFonts w:ascii="Arial" w:hAnsi="Arial" w:cs="Arial"/>
          <w:sz w:val="24"/>
          <w:szCs w:val="24"/>
        </w:rPr>
        <w:t>(+</w:t>
      </w:r>
      <w:r w:rsidR="008B5F61" w:rsidRPr="00857E54">
        <w:rPr>
          <w:rFonts w:ascii="Arial" w:hAnsi="Arial" w:cs="Arial"/>
          <w:sz w:val="24"/>
          <w:szCs w:val="24"/>
        </w:rPr>
        <w:t>33,7</w:t>
      </w:r>
      <w:r w:rsidR="005C6217" w:rsidRPr="00857E54">
        <w:rPr>
          <w:rFonts w:ascii="Arial" w:hAnsi="Arial" w:cs="Arial"/>
          <w:sz w:val="24"/>
          <w:szCs w:val="24"/>
        </w:rPr>
        <w:t>%)</w:t>
      </w:r>
      <w:r w:rsidR="0066026C" w:rsidRPr="00857E54">
        <w:rPr>
          <w:rFonts w:ascii="Arial" w:hAnsi="Arial" w:cs="Arial"/>
          <w:sz w:val="24"/>
          <w:szCs w:val="24"/>
        </w:rPr>
        <w:t>,</w:t>
      </w:r>
      <w:r w:rsidR="005C6217" w:rsidRPr="00857E54">
        <w:rPr>
          <w:rFonts w:ascii="Arial" w:hAnsi="Arial" w:cs="Arial"/>
          <w:sz w:val="24"/>
          <w:szCs w:val="24"/>
        </w:rPr>
        <w:t xml:space="preserve"> cât și </w:t>
      </w:r>
      <w:r w:rsidRPr="00857E54">
        <w:rPr>
          <w:rFonts w:ascii="Arial" w:hAnsi="Arial" w:cs="Arial"/>
          <w:sz w:val="24"/>
          <w:szCs w:val="24"/>
        </w:rPr>
        <w:t>în cazul bugetului asigurărilor pentru șomaj (+</w:t>
      </w:r>
      <w:r w:rsidR="008B5F61" w:rsidRPr="00857E54">
        <w:rPr>
          <w:rFonts w:ascii="Arial" w:hAnsi="Arial" w:cs="Arial"/>
          <w:sz w:val="24"/>
          <w:szCs w:val="24"/>
        </w:rPr>
        <w:t>3,9</w:t>
      </w:r>
      <w:r w:rsidRPr="00857E54">
        <w:rPr>
          <w:rFonts w:ascii="Arial" w:hAnsi="Arial" w:cs="Arial"/>
          <w:sz w:val="24"/>
          <w:szCs w:val="24"/>
        </w:rPr>
        <w:t>%) și a bugetul</w:t>
      </w:r>
      <w:r w:rsidR="0066026C" w:rsidRPr="00857E54">
        <w:rPr>
          <w:rFonts w:ascii="Arial" w:hAnsi="Arial" w:cs="Arial"/>
          <w:sz w:val="24"/>
          <w:szCs w:val="24"/>
        </w:rPr>
        <w:t>ui</w:t>
      </w:r>
      <w:r w:rsidRPr="00857E54">
        <w:rPr>
          <w:rFonts w:ascii="Arial" w:hAnsi="Arial" w:cs="Arial"/>
          <w:sz w:val="24"/>
          <w:szCs w:val="24"/>
        </w:rPr>
        <w:t xml:space="preserve"> fondului național unic de asigurări sociale de sănătate (+</w:t>
      </w:r>
      <w:r w:rsidR="008B5F61" w:rsidRPr="00857E54">
        <w:rPr>
          <w:rFonts w:ascii="Arial" w:hAnsi="Arial" w:cs="Arial"/>
          <w:sz w:val="24"/>
          <w:szCs w:val="24"/>
        </w:rPr>
        <w:t>26,6</w:t>
      </w:r>
      <w:r w:rsidRPr="00857E54">
        <w:rPr>
          <w:rFonts w:ascii="Arial" w:hAnsi="Arial" w:cs="Arial"/>
          <w:sz w:val="24"/>
          <w:szCs w:val="24"/>
        </w:rPr>
        <w:t>%)</w:t>
      </w:r>
      <w:r w:rsidR="005C6217" w:rsidRPr="00857E54">
        <w:rPr>
          <w:rFonts w:ascii="Arial" w:hAnsi="Arial" w:cs="Arial"/>
          <w:sz w:val="24"/>
          <w:szCs w:val="24"/>
        </w:rPr>
        <w:t>.</w:t>
      </w:r>
    </w:p>
    <w:p w:rsidR="00847368" w:rsidRPr="00857E54" w:rsidRDefault="00847368" w:rsidP="00281576">
      <w:pPr>
        <w:keepNext/>
        <w:keepLines/>
        <w:ind w:firstLine="680"/>
        <w:rPr>
          <w:rFonts w:ascii="Arial" w:hAnsi="Arial" w:cs="Arial"/>
          <w:sz w:val="24"/>
          <w:szCs w:val="24"/>
        </w:rPr>
      </w:pPr>
      <w:r w:rsidRPr="00857E54">
        <w:rPr>
          <w:rFonts w:ascii="Arial" w:hAnsi="Arial" w:cs="Arial"/>
          <w:sz w:val="24"/>
          <w:szCs w:val="24"/>
        </w:rPr>
        <w:t>Încasările din contribuțiile de asigurări în primul semestru al anului 2018 au fost influențate de creșterea efectivului de salariați din economie, a câștigului salarial mediu brut, a salariului minim pe economie, de reducerea și transferul contribuțiilor sociale din sarcina angajatorului în sarcina angajatului, de introducerea în sarcina angajatorului a contribuției asiguratorie pentru muncă reprezentând 2,25%, precum și de alte schimbări legislative:</w:t>
      </w:r>
    </w:p>
    <w:p w:rsidR="00847368" w:rsidRPr="00857E54" w:rsidRDefault="00847368" w:rsidP="00281576">
      <w:pPr>
        <w:keepNext/>
        <w:keepLines/>
        <w:tabs>
          <w:tab w:val="left" w:pos="851"/>
        </w:tabs>
        <w:ind w:firstLine="680"/>
        <w:rPr>
          <w:rFonts w:ascii="Arial" w:hAnsi="Arial" w:cs="Arial"/>
          <w:sz w:val="24"/>
          <w:szCs w:val="24"/>
        </w:rPr>
      </w:pPr>
      <w:r w:rsidRPr="00857E54">
        <w:rPr>
          <w:rFonts w:ascii="Arial" w:hAnsi="Arial" w:cs="Arial"/>
          <w:sz w:val="24"/>
          <w:szCs w:val="24"/>
        </w:rPr>
        <w:t>-</w:t>
      </w:r>
      <w:r w:rsidRPr="00857E54">
        <w:rPr>
          <w:rFonts w:ascii="Arial" w:hAnsi="Arial" w:cs="Arial"/>
          <w:sz w:val="24"/>
          <w:szCs w:val="24"/>
        </w:rPr>
        <w:tab/>
        <w:t xml:space="preserve">majorarea vărsămintelor de la persoane juridice pentru persoane cu handicap neîncadrate la nivelul unui salariu de bază minim brut pe </w:t>
      </w:r>
      <w:r w:rsidR="00966841" w:rsidRPr="00857E54">
        <w:rPr>
          <w:rFonts w:ascii="Arial" w:hAnsi="Arial" w:cs="Arial"/>
          <w:sz w:val="24"/>
          <w:szCs w:val="24"/>
        </w:rPr>
        <w:t>țară</w:t>
      </w:r>
      <w:r w:rsidRPr="00857E54">
        <w:rPr>
          <w:rFonts w:ascii="Arial" w:hAnsi="Arial" w:cs="Arial"/>
          <w:sz w:val="24"/>
          <w:szCs w:val="24"/>
        </w:rPr>
        <w:t xml:space="preserve"> garantat în plată (în primul semestru al anului 2017, vărsămintele reprezentau 50% din salariul minim brut pe țară garantat în plată)</w:t>
      </w:r>
      <w:r w:rsidR="00966841" w:rsidRPr="00857E54">
        <w:rPr>
          <w:rFonts w:ascii="Arial" w:hAnsi="Arial" w:cs="Arial"/>
          <w:sz w:val="24"/>
          <w:szCs w:val="24"/>
        </w:rPr>
        <w:t>;</w:t>
      </w:r>
    </w:p>
    <w:p w:rsidR="00927413" w:rsidRPr="00857E54" w:rsidRDefault="00847368" w:rsidP="00281576">
      <w:pPr>
        <w:keepNext/>
        <w:keepLines/>
        <w:tabs>
          <w:tab w:val="left" w:pos="851"/>
        </w:tabs>
        <w:ind w:firstLine="680"/>
        <w:rPr>
          <w:rFonts w:ascii="Arial" w:hAnsi="Arial" w:cs="Arial"/>
          <w:sz w:val="24"/>
          <w:szCs w:val="24"/>
        </w:rPr>
      </w:pPr>
      <w:r w:rsidRPr="00857E54">
        <w:rPr>
          <w:rFonts w:ascii="Arial" w:hAnsi="Arial" w:cs="Arial"/>
          <w:sz w:val="24"/>
          <w:szCs w:val="24"/>
        </w:rPr>
        <w:t>-</w:t>
      </w:r>
      <w:r w:rsidRPr="00857E54">
        <w:rPr>
          <w:rFonts w:ascii="Arial" w:hAnsi="Arial" w:cs="Arial"/>
          <w:sz w:val="24"/>
          <w:szCs w:val="24"/>
        </w:rPr>
        <w:tab/>
        <w:t>modificarea regimului de declarare și plată pentru persoanele fizice care realizează venituri din activități independente</w:t>
      </w:r>
      <w:r w:rsidR="00927413" w:rsidRPr="00857E54">
        <w:rPr>
          <w:rFonts w:ascii="Arial" w:hAnsi="Arial" w:cs="Arial"/>
          <w:sz w:val="24"/>
          <w:szCs w:val="24"/>
        </w:rPr>
        <w:t>.</w:t>
      </w:r>
    </w:p>
    <w:p w:rsidR="00927413" w:rsidRPr="00857E54" w:rsidRDefault="00847368" w:rsidP="00281576">
      <w:pPr>
        <w:keepNext/>
        <w:keepLines/>
        <w:tabs>
          <w:tab w:val="left" w:pos="851"/>
        </w:tabs>
        <w:ind w:firstLine="680"/>
        <w:rPr>
          <w:rFonts w:ascii="Arial" w:hAnsi="Arial" w:cs="Arial"/>
          <w:sz w:val="24"/>
          <w:szCs w:val="24"/>
        </w:rPr>
      </w:pPr>
      <w:r w:rsidRPr="00857E54">
        <w:rPr>
          <w:rFonts w:ascii="Arial" w:hAnsi="Arial" w:cs="Arial"/>
          <w:sz w:val="24"/>
          <w:szCs w:val="24"/>
        </w:rPr>
        <w:t xml:space="preserve"> Comparativ cu programul semestrial încasările din contribuțiile de asigurări au fost superioare programului de încasări, și anume: bugetul de stat (117,1%), bugetul asigurărilor sociale de stat (107,0%), a bugetul fondului național unic de asigurări sociale de sănătate (104,2%) și bugetul asigurărilor pentru șomaj (108,5%).</w:t>
      </w:r>
    </w:p>
    <w:p w:rsidR="00A344D2" w:rsidRPr="00857E54" w:rsidRDefault="007C4F03" w:rsidP="00281576">
      <w:pPr>
        <w:keepNext/>
        <w:keepLines/>
        <w:tabs>
          <w:tab w:val="left" w:pos="851"/>
        </w:tabs>
        <w:ind w:firstLine="680"/>
        <w:rPr>
          <w:rFonts w:ascii="Arial" w:hAnsi="Arial" w:cs="Arial"/>
          <w:sz w:val="24"/>
          <w:szCs w:val="24"/>
        </w:rPr>
      </w:pPr>
      <w:r w:rsidRPr="00857E54">
        <w:rPr>
          <w:rFonts w:ascii="Arial" w:hAnsi="Arial" w:cs="Arial"/>
          <w:b/>
          <w:bCs/>
          <w:sz w:val="24"/>
          <w:szCs w:val="24"/>
        </w:rPr>
        <w:t>Veniturile nefiscale</w:t>
      </w:r>
      <w:r w:rsidR="00CF7F6B" w:rsidRPr="00857E54">
        <w:rPr>
          <w:rFonts w:ascii="Arial" w:hAnsi="Arial" w:cs="Arial"/>
          <w:b/>
          <w:bCs/>
          <w:sz w:val="24"/>
          <w:szCs w:val="24"/>
        </w:rPr>
        <w:t xml:space="preserve"> </w:t>
      </w:r>
      <w:r w:rsidR="008B4FEA" w:rsidRPr="00857E54">
        <w:rPr>
          <w:rFonts w:ascii="Arial" w:hAnsi="Arial" w:cs="Arial"/>
          <w:sz w:val="24"/>
          <w:szCs w:val="24"/>
        </w:rPr>
        <w:t xml:space="preserve">încasate în primul semestru al anului </w:t>
      </w:r>
      <w:r w:rsidR="008B5F61" w:rsidRPr="00857E54">
        <w:rPr>
          <w:rFonts w:ascii="Arial" w:hAnsi="Arial" w:cs="Arial"/>
          <w:sz w:val="24"/>
          <w:szCs w:val="24"/>
        </w:rPr>
        <w:t xml:space="preserve">2018 </w:t>
      </w:r>
      <w:r w:rsidR="008B4FEA" w:rsidRPr="00857E54">
        <w:rPr>
          <w:rFonts w:ascii="Arial" w:hAnsi="Arial" w:cs="Arial"/>
          <w:sz w:val="24"/>
          <w:szCs w:val="24"/>
        </w:rPr>
        <w:t xml:space="preserve">au totalizat </w:t>
      </w:r>
      <w:r w:rsidR="008B5F61" w:rsidRPr="00857E54">
        <w:rPr>
          <w:rFonts w:ascii="Arial" w:hAnsi="Arial" w:cs="Arial"/>
          <w:sz w:val="24"/>
          <w:szCs w:val="24"/>
        </w:rPr>
        <w:t>10.416,4</w:t>
      </w:r>
      <w:r w:rsidR="008B4FEA" w:rsidRPr="00857E54">
        <w:rPr>
          <w:rFonts w:ascii="Arial" w:hAnsi="Arial" w:cs="Arial"/>
          <w:sz w:val="24"/>
          <w:szCs w:val="24"/>
        </w:rPr>
        <w:t xml:space="preserve"> milioane lei (1,1% din PIB), cu </w:t>
      </w:r>
      <w:r w:rsidR="008B5F61" w:rsidRPr="00857E54">
        <w:rPr>
          <w:rFonts w:ascii="Arial" w:hAnsi="Arial" w:cs="Arial"/>
          <w:sz w:val="24"/>
          <w:szCs w:val="24"/>
        </w:rPr>
        <w:t>10,2</w:t>
      </w:r>
      <w:r w:rsidR="008B4FEA" w:rsidRPr="00857E54">
        <w:rPr>
          <w:rFonts w:ascii="Arial" w:hAnsi="Arial" w:cs="Arial"/>
          <w:sz w:val="24"/>
          <w:szCs w:val="24"/>
        </w:rPr>
        <w:t xml:space="preserve">% </w:t>
      </w:r>
      <w:r w:rsidR="00196744" w:rsidRPr="00857E54">
        <w:rPr>
          <w:rFonts w:ascii="Arial" w:hAnsi="Arial" w:cs="Arial"/>
          <w:sz w:val="24"/>
          <w:szCs w:val="24"/>
        </w:rPr>
        <w:t xml:space="preserve">peste </w:t>
      </w:r>
      <w:r w:rsidR="008B4FEA" w:rsidRPr="00857E54">
        <w:rPr>
          <w:rFonts w:ascii="Arial" w:hAnsi="Arial" w:cs="Arial"/>
          <w:sz w:val="24"/>
          <w:szCs w:val="24"/>
        </w:rPr>
        <w:t xml:space="preserve">programul de încasări aferent semestrului I și cu </w:t>
      </w:r>
      <w:r w:rsidR="008B5F61" w:rsidRPr="00857E54">
        <w:rPr>
          <w:rFonts w:ascii="Arial" w:hAnsi="Arial" w:cs="Arial"/>
          <w:sz w:val="24"/>
          <w:szCs w:val="24"/>
        </w:rPr>
        <w:t>13,0</w:t>
      </w:r>
      <w:r w:rsidR="008B4FEA" w:rsidRPr="00857E54">
        <w:rPr>
          <w:rFonts w:ascii="Arial" w:hAnsi="Arial" w:cs="Arial"/>
          <w:sz w:val="24"/>
          <w:szCs w:val="24"/>
        </w:rPr>
        <w:t xml:space="preserve">% mai </w:t>
      </w:r>
      <w:r w:rsidR="00196744" w:rsidRPr="00857E54">
        <w:rPr>
          <w:rFonts w:ascii="Arial" w:hAnsi="Arial" w:cs="Arial"/>
          <w:sz w:val="24"/>
          <w:szCs w:val="24"/>
        </w:rPr>
        <w:t xml:space="preserve">mari </w:t>
      </w:r>
      <w:r w:rsidRPr="00857E54">
        <w:rPr>
          <w:rFonts w:ascii="Arial" w:hAnsi="Arial" w:cs="Arial"/>
          <w:sz w:val="24"/>
          <w:szCs w:val="24"/>
        </w:rPr>
        <w:t xml:space="preserve">comparativ cu încasările semestrul I </w:t>
      </w:r>
      <w:r w:rsidR="008B5F61" w:rsidRPr="00857E54">
        <w:rPr>
          <w:rFonts w:ascii="Arial" w:hAnsi="Arial" w:cs="Arial"/>
          <w:sz w:val="24"/>
          <w:szCs w:val="24"/>
        </w:rPr>
        <w:t>2017</w:t>
      </w:r>
      <w:r w:rsidR="008B4FEA" w:rsidRPr="00857E54">
        <w:rPr>
          <w:rFonts w:ascii="Arial" w:hAnsi="Arial" w:cs="Arial"/>
          <w:sz w:val="24"/>
          <w:szCs w:val="24"/>
        </w:rPr>
        <w:t xml:space="preserve">. </w:t>
      </w:r>
    </w:p>
    <w:p w:rsidR="00827AEF" w:rsidRPr="00857E54" w:rsidRDefault="00FE0BCB" w:rsidP="00281576">
      <w:pPr>
        <w:keepNext/>
        <w:keepLines/>
        <w:ind w:firstLine="680"/>
        <w:rPr>
          <w:rFonts w:ascii="Arial" w:hAnsi="Arial" w:cs="Arial"/>
          <w:sz w:val="24"/>
          <w:szCs w:val="24"/>
        </w:rPr>
      </w:pPr>
      <w:r w:rsidRPr="00857E54">
        <w:rPr>
          <w:rFonts w:ascii="Arial" w:hAnsi="Arial" w:cs="Arial"/>
          <w:sz w:val="24"/>
          <w:szCs w:val="24"/>
        </w:rPr>
        <w:t xml:space="preserve">Evoluția pozitivă a încasărilor </w:t>
      </w:r>
      <w:r w:rsidR="007C4F03" w:rsidRPr="00857E54">
        <w:rPr>
          <w:rFonts w:ascii="Arial" w:hAnsi="Arial" w:cs="Arial"/>
          <w:sz w:val="24"/>
          <w:szCs w:val="24"/>
        </w:rPr>
        <w:t>în cazul veniturilor nefiscale</w:t>
      </w:r>
      <w:r w:rsidR="00A344D2" w:rsidRPr="00857E54">
        <w:rPr>
          <w:rFonts w:ascii="Arial" w:hAnsi="Arial" w:cs="Arial"/>
          <w:sz w:val="24"/>
          <w:szCs w:val="24"/>
        </w:rPr>
        <w:t>,</w:t>
      </w:r>
      <w:r w:rsidR="00CF7F6B" w:rsidRPr="00857E54">
        <w:rPr>
          <w:rFonts w:ascii="Arial" w:hAnsi="Arial" w:cs="Arial"/>
          <w:sz w:val="24"/>
          <w:szCs w:val="24"/>
        </w:rPr>
        <w:t xml:space="preserve"> </w:t>
      </w:r>
      <w:r w:rsidRPr="00857E54">
        <w:rPr>
          <w:rFonts w:ascii="Arial" w:hAnsi="Arial" w:cs="Arial"/>
          <w:sz w:val="24"/>
          <w:szCs w:val="24"/>
        </w:rPr>
        <w:t>comparativ cu programul de încasări</w:t>
      </w:r>
      <w:r w:rsidR="00A344D2" w:rsidRPr="00857E54">
        <w:rPr>
          <w:rFonts w:ascii="Arial" w:hAnsi="Arial" w:cs="Arial"/>
          <w:sz w:val="24"/>
          <w:szCs w:val="24"/>
        </w:rPr>
        <w:t>,</w:t>
      </w:r>
      <w:r w:rsidR="00CF7F6B" w:rsidRPr="00857E54">
        <w:rPr>
          <w:rFonts w:ascii="Arial" w:hAnsi="Arial" w:cs="Arial"/>
          <w:sz w:val="24"/>
          <w:szCs w:val="24"/>
        </w:rPr>
        <w:t xml:space="preserve"> </w:t>
      </w:r>
      <w:r w:rsidR="00807335" w:rsidRPr="00857E54">
        <w:rPr>
          <w:rFonts w:ascii="Arial" w:hAnsi="Arial" w:cs="Arial"/>
          <w:sz w:val="24"/>
          <w:szCs w:val="24"/>
        </w:rPr>
        <w:t xml:space="preserve">s-a datorat în principal creșterii înregistrate în cazul veniturilor din proprietate </w:t>
      </w:r>
      <w:r w:rsidR="00A344D2" w:rsidRPr="00857E54">
        <w:rPr>
          <w:rFonts w:ascii="Arial" w:hAnsi="Arial" w:cs="Arial"/>
          <w:sz w:val="24"/>
          <w:szCs w:val="24"/>
        </w:rPr>
        <w:t>la bugetul de stat</w:t>
      </w:r>
      <w:r w:rsidR="00827AEF" w:rsidRPr="00857E54">
        <w:rPr>
          <w:rFonts w:ascii="Arial" w:hAnsi="Arial" w:cs="Arial"/>
          <w:sz w:val="24"/>
          <w:szCs w:val="24"/>
        </w:rPr>
        <w:t>.</w:t>
      </w:r>
    </w:p>
    <w:p w:rsidR="00827AEF" w:rsidRPr="00857E54" w:rsidRDefault="00827AEF" w:rsidP="00281576">
      <w:pPr>
        <w:keepNext/>
        <w:keepLines/>
        <w:ind w:firstLine="680"/>
        <w:rPr>
          <w:rFonts w:ascii="Arial" w:hAnsi="Arial" w:cs="Arial"/>
          <w:sz w:val="24"/>
          <w:szCs w:val="24"/>
        </w:rPr>
      </w:pPr>
      <w:r w:rsidRPr="00857E54">
        <w:rPr>
          <w:rFonts w:ascii="Arial" w:hAnsi="Arial" w:cs="Arial"/>
          <w:sz w:val="24"/>
          <w:szCs w:val="24"/>
        </w:rPr>
        <w:lastRenderedPageBreak/>
        <w:t xml:space="preserve">Veniturile din proprietate ale bugetului de stat, care reprezintă cca. 75% din veniturile nefiscale ale acestui buget au crescut cu 21% (+0,6 </w:t>
      </w:r>
      <w:r w:rsidR="00966841" w:rsidRPr="00857E54">
        <w:rPr>
          <w:rFonts w:ascii="Arial" w:hAnsi="Arial" w:cs="Arial"/>
          <w:sz w:val="24"/>
          <w:szCs w:val="24"/>
        </w:rPr>
        <w:t xml:space="preserve">miliarde </w:t>
      </w:r>
      <w:r w:rsidRPr="00857E54">
        <w:rPr>
          <w:rFonts w:ascii="Arial" w:hAnsi="Arial" w:cs="Arial"/>
          <w:sz w:val="24"/>
          <w:szCs w:val="24"/>
        </w:rPr>
        <w:t xml:space="preserve">lei) comparativ aceeași perioadă a anului precedent. Evoluția pozitivă a fost influențată de încasările aferente veniturilor din vânzarea certificatelor de emisii de gaze cu efect de seră care au înregistrat o creștere de 155% (+0,2 </w:t>
      </w:r>
      <w:r w:rsidR="00966841" w:rsidRPr="00857E54">
        <w:rPr>
          <w:rFonts w:ascii="Arial" w:hAnsi="Arial" w:cs="Arial"/>
          <w:sz w:val="24"/>
          <w:szCs w:val="24"/>
        </w:rPr>
        <w:t>miliarde</w:t>
      </w:r>
      <w:r w:rsidRPr="00857E54">
        <w:rPr>
          <w:rFonts w:ascii="Arial" w:hAnsi="Arial" w:cs="Arial"/>
          <w:sz w:val="24"/>
          <w:szCs w:val="24"/>
        </w:rPr>
        <w:t xml:space="preserve"> lei) comparativ cu aceeași perioadă a anului precedent  și de încasările aferente altor venituri din proprietate unde s-a înregistrat o creștere cu 0,4 </w:t>
      </w:r>
      <w:r w:rsidR="00966841" w:rsidRPr="00857E54">
        <w:rPr>
          <w:rFonts w:ascii="Arial" w:hAnsi="Arial" w:cs="Arial"/>
          <w:sz w:val="24"/>
          <w:szCs w:val="24"/>
        </w:rPr>
        <w:t>miliarde</w:t>
      </w:r>
      <w:r w:rsidRPr="00857E54">
        <w:rPr>
          <w:rFonts w:ascii="Arial" w:hAnsi="Arial" w:cs="Arial"/>
          <w:sz w:val="24"/>
          <w:szCs w:val="24"/>
        </w:rPr>
        <w:t xml:space="preserve"> lei comparativ cu aceeași perioadă a anului precedent, datorită încasării în luna februarie a.c. a unor venituri datorate bugetului de stat în urma renunțării la acordul petrolier cu ANRM de către un titular conform Legii nr. 238/2004 art.40 alin.(1) lit. b). </w:t>
      </w:r>
    </w:p>
    <w:p w:rsidR="00AD76A1" w:rsidRDefault="007C4F03" w:rsidP="00AD76A1">
      <w:pPr>
        <w:ind w:right="-57" w:firstLine="720"/>
        <w:rPr>
          <w:rFonts w:ascii="Arial" w:hAnsi="Arial" w:cs="Arial"/>
          <w:sz w:val="24"/>
          <w:szCs w:val="24"/>
        </w:rPr>
      </w:pPr>
      <w:r w:rsidRPr="00F465D6">
        <w:rPr>
          <w:rFonts w:ascii="Arial" w:hAnsi="Arial" w:cs="Arial"/>
          <w:sz w:val="24"/>
          <w:szCs w:val="24"/>
        </w:rPr>
        <w:t>Sumele rambursate de U</w:t>
      </w:r>
      <w:r w:rsidR="00992663" w:rsidRPr="00F465D6">
        <w:rPr>
          <w:rFonts w:ascii="Arial" w:hAnsi="Arial" w:cs="Arial"/>
          <w:sz w:val="24"/>
          <w:szCs w:val="24"/>
        </w:rPr>
        <w:t xml:space="preserve">niunea </w:t>
      </w:r>
      <w:r w:rsidRPr="00F465D6">
        <w:rPr>
          <w:rFonts w:ascii="Arial" w:hAnsi="Arial" w:cs="Arial"/>
          <w:sz w:val="24"/>
          <w:szCs w:val="24"/>
        </w:rPr>
        <w:t>E</w:t>
      </w:r>
      <w:r w:rsidR="00992663" w:rsidRPr="00F465D6">
        <w:rPr>
          <w:rFonts w:ascii="Arial" w:hAnsi="Arial" w:cs="Arial"/>
          <w:sz w:val="24"/>
          <w:szCs w:val="24"/>
        </w:rPr>
        <w:t>uropeană</w:t>
      </w:r>
      <w:r w:rsidRPr="00F465D6">
        <w:rPr>
          <w:rFonts w:ascii="Arial" w:hAnsi="Arial" w:cs="Arial"/>
          <w:sz w:val="24"/>
          <w:szCs w:val="24"/>
        </w:rPr>
        <w:t xml:space="preserve"> în contul plăților efectuate </w:t>
      </w:r>
      <w:r w:rsidR="00406434" w:rsidRPr="00F465D6">
        <w:rPr>
          <w:rFonts w:ascii="Arial" w:hAnsi="Arial" w:cs="Arial"/>
          <w:sz w:val="24"/>
          <w:szCs w:val="24"/>
        </w:rPr>
        <w:t xml:space="preserve">au totalizat </w:t>
      </w:r>
      <w:r w:rsidR="008B5F61" w:rsidRPr="00F465D6">
        <w:rPr>
          <w:rFonts w:ascii="Arial" w:hAnsi="Arial" w:cs="Arial"/>
          <w:sz w:val="24"/>
          <w:szCs w:val="24"/>
        </w:rPr>
        <w:t>6.918,6</w:t>
      </w:r>
      <w:r w:rsidR="008671A9" w:rsidRPr="00F465D6">
        <w:rPr>
          <w:rFonts w:ascii="Arial" w:hAnsi="Arial" w:cs="Arial"/>
          <w:sz w:val="24"/>
          <w:szCs w:val="24"/>
        </w:rPr>
        <w:t xml:space="preserve"> </w:t>
      </w:r>
      <w:r w:rsidR="00406434" w:rsidRPr="00F465D6">
        <w:rPr>
          <w:rFonts w:ascii="Arial" w:hAnsi="Arial" w:cs="Arial"/>
          <w:sz w:val="24"/>
          <w:szCs w:val="24"/>
        </w:rPr>
        <w:t>milioane lei</w:t>
      </w:r>
      <w:r w:rsidR="008671A9" w:rsidRPr="00F465D6">
        <w:rPr>
          <w:rFonts w:ascii="Arial" w:hAnsi="Arial" w:cs="Arial"/>
          <w:sz w:val="24"/>
          <w:szCs w:val="24"/>
        </w:rPr>
        <w:t xml:space="preserve"> </w:t>
      </w:r>
      <w:r w:rsidR="00406434" w:rsidRPr="00F465D6">
        <w:rPr>
          <w:rFonts w:ascii="Arial" w:hAnsi="Arial" w:cs="Arial"/>
          <w:sz w:val="24"/>
          <w:szCs w:val="24"/>
        </w:rPr>
        <w:t xml:space="preserve">(0,7% din PIB), din care </w:t>
      </w:r>
      <w:r w:rsidR="000F490F" w:rsidRPr="00F465D6">
        <w:rPr>
          <w:rFonts w:ascii="Arial" w:hAnsi="Arial" w:cs="Arial"/>
          <w:sz w:val="24"/>
          <w:szCs w:val="24"/>
        </w:rPr>
        <w:t>5.666,4</w:t>
      </w:r>
      <w:r w:rsidR="00406434" w:rsidRPr="00F465D6">
        <w:rPr>
          <w:rFonts w:ascii="Arial" w:hAnsi="Arial" w:cs="Arial"/>
          <w:sz w:val="24"/>
          <w:szCs w:val="24"/>
        </w:rPr>
        <w:t xml:space="preserve"> milioane lei reprezintă sume aferente fondurilor externe nerambursabile pentru finanțarea proiectelor din domeniul agriculturii</w:t>
      </w:r>
      <w:r w:rsidR="00992663" w:rsidRPr="00F465D6">
        <w:rPr>
          <w:rFonts w:ascii="Arial" w:hAnsi="Arial" w:cs="Arial"/>
          <w:sz w:val="24"/>
          <w:szCs w:val="24"/>
        </w:rPr>
        <w:t>, fiind în creștere</w:t>
      </w:r>
      <w:r w:rsidR="009A0BD2" w:rsidRPr="00F465D6">
        <w:rPr>
          <w:rFonts w:ascii="Arial" w:hAnsi="Arial" w:cs="Arial"/>
          <w:sz w:val="24"/>
          <w:szCs w:val="24"/>
        </w:rPr>
        <w:t xml:space="preserve"> cu 22,8% </w:t>
      </w:r>
      <w:r w:rsidR="00992663" w:rsidRPr="00F465D6">
        <w:rPr>
          <w:rFonts w:ascii="Arial" w:hAnsi="Arial" w:cs="Arial"/>
          <w:sz w:val="24"/>
          <w:szCs w:val="24"/>
        </w:rPr>
        <w:t>față</w:t>
      </w:r>
      <w:r w:rsidR="009A0BD2" w:rsidRPr="00F465D6">
        <w:rPr>
          <w:rFonts w:ascii="Arial" w:hAnsi="Arial" w:cs="Arial"/>
          <w:sz w:val="24"/>
          <w:szCs w:val="24"/>
        </w:rPr>
        <w:t xml:space="preserve"> de </w:t>
      </w:r>
      <w:r w:rsidR="00992663" w:rsidRPr="00F465D6">
        <w:rPr>
          <w:rFonts w:ascii="Arial" w:hAnsi="Arial" w:cs="Arial"/>
          <w:sz w:val="24"/>
          <w:szCs w:val="24"/>
        </w:rPr>
        <w:t>aceeași</w:t>
      </w:r>
      <w:r w:rsidR="009A0BD2" w:rsidRPr="00F465D6">
        <w:rPr>
          <w:rFonts w:ascii="Arial" w:hAnsi="Arial" w:cs="Arial"/>
          <w:sz w:val="24"/>
          <w:szCs w:val="24"/>
        </w:rPr>
        <w:t xml:space="preserve"> perioadă a anului precedent.</w:t>
      </w:r>
    </w:p>
    <w:p w:rsidR="00AD76A1" w:rsidRDefault="007C4F03" w:rsidP="00AD76A1">
      <w:pPr>
        <w:ind w:right="-57" w:firstLine="720"/>
        <w:rPr>
          <w:rFonts w:ascii="Arial" w:hAnsi="Arial" w:cs="Arial"/>
          <w:sz w:val="24"/>
          <w:szCs w:val="24"/>
        </w:rPr>
      </w:pPr>
      <w:r w:rsidRPr="00857E54">
        <w:rPr>
          <w:rFonts w:ascii="Arial" w:hAnsi="Arial" w:cs="Arial"/>
          <w:b/>
          <w:bCs/>
          <w:sz w:val="24"/>
          <w:szCs w:val="24"/>
        </w:rPr>
        <w:t>Cheltuielile bugetului general consolidat</w:t>
      </w:r>
      <w:r w:rsidR="00CF7F6B" w:rsidRPr="00857E54">
        <w:rPr>
          <w:rFonts w:ascii="Arial" w:hAnsi="Arial" w:cs="Arial"/>
          <w:b/>
          <w:bCs/>
          <w:sz w:val="24"/>
          <w:szCs w:val="24"/>
        </w:rPr>
        <w:t xml:space="preserve"> </w:t>
      </w:r>
      <w:r w:rsidRPr="00857E54">
        <w:rPr>
          <w:rFonts w:ascii="Arial" w:hAnsi="Arial" w:cs="Arial"/>
          <w:sz w:val="24"/>
          <w:szCs w:val="24"/>
        </w:rPr>
        <w:t xml:space="preserve">în sumă de </w:t>
      </w:r>
      <w:r w:rsidR="008B5F61" w:rsidRPr="00857E54">
        <w:rPr>
          <w:rFonts w:ascii="Arial" w:hAnsi="Arial" w:cs="Arial"/>
          <w:b/>
          <w:sz w:val="24"/>
          <w:szCs w:val="24"/>
        </w:rPr>
        <w:t>147.009,2</w:t>
      </w:r>
      <w:r w:rsidR="00135155" w:rsidRPr="00857E54">
        <w:rPr>
          <w:rFonts w:ascii="Arial" w:hAnsi="Arial" w:cs="Arial"/>
          <w:b/>
          <w:sz w:val="24"/>
          <w:szCs w:val="24"/>
        </w:rPr>
        <w:t xml:space="preserve"> milioane  lei </w:t>
      </w:r>
      <w:r w:rsidR="00B8712E" w:rsidRPr="00857E54">
        <w:rPr>
          <w:rFonts w:ascii="Arial" w:hAnsi="Arial" w:cs="Arial"/>
          <w:b/>
          <w:sz w:val="24"/>
          <w:szCs w:val="24"/>
        </w:rPr>
        <w:t>(15,</w:t>
      </w:r>
      <w:r w:rsidR="008B5F61" w:rsidRPr="00857E54">
        <w:rPr>
          <w:rFonts w:ascii="Arial" w:hAnsi="Arial" w:cs="Arial"/>
          <w:b/>
          <w:sz w:val="24"/>
          <w:szCs w:val="24"/>
        </w:rPr>
        <w:t>8</w:t>
      </w:r>
      <w:r w:rsidR="00B8712E" w:rsidRPr="00857E54">
        <w:rPr>
          <w:rFonts w:ascii="Arial" w:hAnsi="Arial" w:cs="Arial"/>
          <w:b/>
          <w:sz w:val="24"/>
          <w:szCs w:val="24"/>
        </w:rPr>
        <w:t>% din PIB)</w:t>
      </w:r>
      <w:r w:rsidRPr="00857E54">
        <w:rPr>
          <w:rFonts w:ascii="Arial" w:hAnsi="Arial" w:cs="Arial"/>
          <w:sz w:val="24"/>
          <w:szCs w:val="24"/>
        </w:rPr>
        <w:t xml:space="preserve">, au crescut în termeni nominali cu </w:t>
      </w:r>
      <w:r w:rsidR="008B5F61" w:rsidRPr="00857E54">
        <w:rPr>
          <w:rFonts w:ascii="Arial" w:hAnsi="Arial" w:cs="Arial"/>
          <w:sz w:val="24"/>
          <w:szCs w:val="24"/>
        </w:rPr>
        <w:t>19</w:t>
      </w:r>
      <w:r w:rsidR="00B8712E" w:rsidRPr="00857E54">
        <w:rPr>
          <w:rFonts w:ascii="Arial" w:hAnsi="Arial" w:cs="Arial"/>
          <w:sz w:val="24"/>
          <w:szCs w:val="24"/>
        </w:rPr>
        <w:t>,0</w:t>
      </w:r>
      <w:r w:rsidRPr="00857E54">
        <w:rPr>
          <w:rFonts w:ascii="Arial" w:hAnsi="Arial" w:cs="Arial"/>
          <w:sz w:val="24"/>
          <w:szCs w:val="24"/>
        </w:rPr>
        <w:t xml:space="preserve">% </w:t>
      </w:r>
      <w:r w:rsidR="00593732" w:rsidRPr="00857E54">
        <w:rPr>
          <w:rFonts w:ascii="Arial" w:hAnsi="Arial" w:cs="Arial"/>
          <w:sz w:val="24"/>
          <w:szCs w:val="24"/>
        </w:rPr>
        <w:t>față</w:t>
      </w:r>
      <w:r w:rsidRPr="00857E54">
        <w:rPr>
          <w:rFonts w:ascii="Arial" w:hAnsi="Arial" w:cs="Arial"/>
          <w:sz w:val="24"/>
          <w:szCs w:val="24"/>
        </w:rPr>
        <w:t xml:space="preserve"> de </w:t>
      </w:r>
      <w:r w:rsidR="00593732" w:rsidRPr="00857E54">
        <w:rPr>
          <w:rFonts w:ascii="Arial" w:hAnsi="Arial" w:cs="Arial"/>
          <w:sz w:val="24"/>
          <w:szCs w:val="24"/>
        </w:rPr>
        <w:t>aceeași</w:t>
      </w:r>
      <w:r w:rsidRPr="00857E54">
        <w:rPr>
          <w:rFonts w:ascii="Arial" w:hAnsi="Arial" w:cs="Arial"/>
          <w:sz w:val="24"/>
          <w:szCs w:val="24"/>
        </w:rPr>
        <w:t xml:space="preserve"> perioadă a anului precedent, gradul de </w:t>
      </w:r>
      <w:r w:rsidR="00135155" w:rsidRPr="00857E54">
        <w:rPr>
          <w:rFonts w:ascii="Arial" w:hAnsi="Arial" w:cs="Arial"/>
          <w:sz w:val="24"/>
          <w:szCs w:val="24"/>
        </w:rPr>
        <w:t>realizare</w:t>
      </w:r>
      <w:r w:rsidRPr="00857E54">
        <w:rPr>
          <w:rFonts w:ascii="Arial" w:hAnsi="Arial" w:cs="Arial"/>
          <w:sz w:val="24"/>
          <w:szCs w:val="24"/>
        </w:rPr>
        <w:t xml:space="preserve"> al acestora fiind de </w:t>
      </w:r>
      <w:r w:rsidR="008B5F61" w:rsidRPr="00857E54">
        <w:rPr>
          <w:rFonts w:ascii="Arial" w:hAnsi="Arial" w:cs="Arial"/>
          <w:sz w:val="24"/>
          <w:szCs w:val="24"/>
        </w:rPr>
        <w:t>93,2</w:t>
      </w:r>
      <w:r w:rsidRPr="00857E54">
        <w:rPr>
          <w:rFonts w:ascii="Arial" w:hAnsi="Arial" w:cs="Arial"/>
          <w:sz w:val="24"/>
          <w:szCs w:val="24"/>
        </w:rPr>
        <w:t>%.</w:t>
      </w:r>
    </w:p>
    <w:p w:rsidR="0044034D" w:rsidRDefault="0044034D" w:rsidP="0044034D">
      <w:pPr>
        <w:ind w:right="-57" w:firstLine="720"/>
        <w:rPr>
          <w:rFonts w:ascii="Arial" w:hAnsi="Arial" w:cs="Arial"/>
          <w:bCs/>
          <w:sz w:val="24"/>
          <w:szCs w:val="24"/>
        </w:rPr>
      </w:pPr>
    </w:p>
    <w:p w:rsidR="0044034D" w:rsidRDefault="00135155" w:rsidP="0044034D">
      <w:pPr>
        <w:ind w:right="-57" w:firstLine="720"/>
        <w:rPr>
          <w:rFonts w:ascii="Arial" w:hAnsi="Arial" w:cs="Arial"/>
          <w:bCs/>
          <w:sz w:val="24"/>
          <w:szCs w:val="24"/>
        </w:rPr>
      </w:pPr>
      <w:r w:rsidRPr="00857E54">
        <w:rPr>
          <w:rFonts w:ascii="Arial" w:hAnsi="Arial" w:cs="Arial"/>
          <w:bCs/>
          <w:sz w:val="24"/>
          <w:szCs w:val="24"/>
        </w:rPr>
        <w:t>Acestea, c</w:t>
      </w:r>
      <w:r w:rsidR="007C4F03" w:rsidRPr="00857E54">
        <w:rPr>
          <w:rFonts w:ascii="Arial" w:hAnsi="Arial" w:cs="Arial"/>
          <w:bCs/>
          <w:sz w:val="24"/>
          <w:szCs w:val="24"/>
        </w:rPr>
        <w:t>a pondere în PIB</w:t>
      </w:r>
      <w:r w:rsidRPr="00857E54">
        <w:rPr>
          <w:rFonts w:ascii="Arial" w:hAnsi="Arial" w:cs="Arial"/>
          <w:bCs/>
          <w:sz w:val="24"/>
          <w:szCs w:val="24"/>
        </w:rPr>
        <w:t>,</w:t>
      </w:r>
      <w:r w:rsidR="007C4F03" w:rsidRPr="00857E54">
        <w:rPr>
          <w:rFonts w:ascii="Arial" w:hAnsi="Arial" w:cs="Arial"/>
          <w:bCs/>
          <w:sz w:val="24"/>
          <w:szCs w:val="24"/>
        </w:rPr>
        <w:t xml:space="preserve"> au înregistrat o </w:t>
      </w:r>
      <w:r w:rsidR="00B8712E" w:rsidRPr="00857E54">
        <w:rPr>
          <w:rFonts w:ascii="Arial" w:hAnsi="Arial" w:cs="Arial"/>
          <w:bCs/>
          <w:sz w:val="24"/>
          <w:szCs w:val="24"/>
        </w:rPr>
        <w:t xml:space="preserve">creștere </w:t>
      </w:r>
      <w:r w:rsidR="007C4F03" w:rsidRPr="00857E54">
        <w:rPr>
          <w:rFonts w:ascii="Arial" w:hAnsi="Arial" w:cs="Arial"/>
          <w:bCs/>
          <w:sz w:val="24"/>
          <w:szCs w:val="24"/>
        </w:rPr>
        <w:t xml:space="preserve">cu </w:t>
      </w:r>
      <w:r w:rsidR="008B5F61" w:rsidRPr="00857E54">
        <w:rPr>
          <w:rFonts w:ascii="Arial" w:hAnsi="Arial" w:cs="Arial"/>
          <w:bCs/>
          <w:sz w:val="24"/>
          <w:szCs w:val="24"/>
        </w:rPr>
        <w:t>1</w:t>
      </w:r>
      <w:r w:rsidR="007C4F03" w:rsidRPr="00857E54">
        <w:rPr>
          <w:rFonts w:ascii="Arial" w:hAnsi="Arial" w:cs="Arial"/>
          <w:bCs/>
          <w:sz w:val="24"/>
          <w:szCs w:val="24"/>
        </w:rPr>
        <w:t>,</w:t>
      </w:r>
      <w:r w:rsidR="00B8712E" w:rsidRPr="00857E54">
        <w:rPr>
          <w:rFonts w:ascii="Arial" w:hAnsi="Arial" w:cs="Arial"/>
          <w:bCs/>
          <w:sz w:val="24"/>
          <w:szCs w:val="24"/>
        </w:rPr>
        <w:t xml:space="preserve">4 </w:t>
      </w:r>
      <w:r w:rsidR="007C4F03" w:rsidRPr="00857E54">
        <w:rPr>
          <w:rFonts w:ascii="Arial" w:hAnsi="Arial" w:cs="Arial"/>
          <w:bCs/>
          <w:sz w:val="24"/>
          <w:szCs w:val="24"/>
        </w:rPr>
        <w:t xml:space="preserve">puncte procentuale de la </w:t>
      </w:r>
      <w:r w:rsidR="006F3E60" w:rsidRPr="00857E54">
        <w:rPr>
          <w:rFonts w:ascii="Arial" w:hAnsi="Arial" w:cs="Arial"/>
          <w:bCs/>
          <w:sz w:val="24"/>
          <w:szCs w:val="24"/>
        </w:rPr>
        <w:t>14</w:t>
      </w:r>
      <w:r w:rsidR="007C4F03" w:rsidRPr="00857E54">
        <w:rPr>
          <w:rFonts w:ascii="Arial" w:hAnsi="Arial" w:cs="Arial"/>
          <w:bCs/>
          <w:sz w:val="24"/>
          <w:szCs w:val="24"/>
        </w:rPr>
        <w:t>,</w:t>
      </w:r>
      <w:r w:rsidR="008B5F61" w:rsidRPr="00857E54">
        <w:rPr>
          <w:rFonts w:ascii="Arial" w:hAnsi="Arial" w:cs="Arial"/>
          <w:bCs/>
          <w:sz w:val="24"/>
          <w:szCs w:val="24"/>
        </w:rPr>
        <w:t>4</w:t>
      </w:r>
      <w:r w:rsidR="007C4F03" w:rsidRPr="00857E54">
        <w:rPr>
          <w:rFonts w:ascii="Arial" w:hAnsi="Arial" w:cs="Arial"/>
          <w:bCs/>
          <w:sz w:val="24"/>
          <w:szCs w:val="24"/>
        </w:rPr>
        <w:t xml:space="preserve">% din PIB în semestrul I </w:t>
      </w:r>
      <w:r w:rsidR="008B5F61" w:rsidRPr="00857E54">
        <w:rPr>
          <w:rFonts w:ascii="Arial" w:hAnsi="Arial" w:cs="Arial"/>
          <w:bCs/>
          <w:sz w:val="24"/>
          <w:szCs w:val="24"/>
        </w:rPr>
        <w:t xml:space="preserve">2017 </w:t>
      </w:r>
      <w:r w:rsidR="007C4F03" w:rsidRPr="00857E54">
        <w:rPr>
          <w:rFonts w:ascii="Arial" w:hAnsi="Arial" w:cs="Arial"/>
          <w:bCs/>
          <w:sz w:val="24"/>
          <w:szCs w:val="24"/>
        </w:rPr>
        <w:t xml:space="preserve">la </w:t>
      </w:r>
      <w:r w:rsidR="00B8712E" w:rsidRPr="00857E54">
        <w:rPr>
          <w:rFonts w:ascii="Arial" w:hAnsi="Arial" w:cs="Arial"/>
          <w:bCs/>
          <w:sz w:val="24"/>
          <w:szCs w:val="24"/>
        </w:rPr>
        <w:t>15,</w:t>
      </w:r>
      <w:r w:rsidR="008B5F61" w:rsidRPr="00857E54">
        <w:rPr>
          <w:rFonts w:ascii="Arial" w:hAnsi="Arial" w:cs="Arial"/>
          <w:bCs/>
          <w:sz w:val="24"/>
          <w:szCs w:val="24"/>
        </w:rPr>
        <w:t>8</w:t>
      </w:r>
      <w:r w:rsidR="007C4F03" w:rsidRPr="00857E54">
        <w:rPr>
          <w:rFonts w:ascii="Arial" w:hAnsi="Arial" w:cs="Arial"/>
          <w:bCs/>
          <w:sz w:val="24"/>
          <w:szCs w:val="24"/>
        </w:rPr>
        <w:t xml:space="preserve">% din PIB în semestrul I </w:t>
      </w:r>
      <w:r w:rsidR="008B5F61" w:rsidRPr="00857E54">
        <w:rPr>
          <w:rFonts w:ascii="Arial" w:hAnsi="Arial" w:cs="Arial"/>
          <w:bCs/>
          <w:sz w:val="24"/>
          <w:szCs w:val="24"/>
        </w:rPr>
        <w:t>2018</w:t>
      </w:r>
      <w:r w:rsidR="007C4F03" w:rsidRPr="00857E54">
        <w:rPr>
          <w:rFonts w:ascii="Arial" w:hAnsi="Arial" w:cs="Arial"/>
          <w:bCs/>
          <w:sz w:val="24"/>
          <w:szCs w:val="24"/>
        </w:rPr>
        <w:t>.</w:t>
      </w:r>
    </w:p>
    <w:p w:rsidR="0044034D" w:rsidRDefault="0044034D" w:rsidP="0044034D">
      <w:pPr>
        <w:ind w:right="-57" w:firstLine="720"/>
        <w:rPr>
          <w:rFonts w:ascii="Arial" w:hAnsi="Arial" w:cs="Arial"/>
          <w:bCs/>
          <w:sz w:val="24"/>
          <w:szCs w:val="24"/>
        </w:rPr>
      </w:pPr>
      <w:r w:rsidRPr="00857E54">
        <w:rPr>
          <w:rFonts w:ascii="Arial" w:hAnsi="Arial" w:cs="Arial"/>
          <w:bCs/>
          <w:noProof/>
          <w:sz w:val="24"/>
          <w:szCs w:val="24"/>
          <w:lang w:val="en-US"/>
        </w:rPr>
        <w:drawing>
          <wp:anchor distT="0" distB="0" distL="114300" distR="114300" simplePos="0" relativeHeight="251661312" behindDoc="0" locked="0" layoutInCell="1" allowOverlap="1" wp14:anchorId="475D8910" wp14:editId="6A60106A">
            <wp:simplePos x="0" y="0"/>
            <wp:positionH relativeFrom="column">
              <wp:posOffset>-171</wp:posOffset>
            </wp:positionH>
            <wp:positionV relativeFrom="paragraph">
              <wp:posOffset>270017</wp:posOffset>
            </wp:positionV>
            <wp:extent cx="5725160" cy="2762250"/>
            <wp:effectExtent l="0" t="0" r="889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2762250"/>
                    </a:xfrm>
                    <a:prstGeom prst="rect">
                      <a:avLst/>
                    </a:prstGeom>
                    <a:noFill/>
                  </pic:spPr>
                </pic:pic>
              </a:graphicData>
            </a:graphic>
          </wp:anchor>
        </w:drawing>
      </w:r>
    </w:p>
    <w:p w:rsidR="0044034D" w:rsidRDefault="0044034D" w:rsidP="0044034D">
      <w:pPr>
        <w:ind w:right="-57" w:firstLine="720"/>
        <w:jc w:val="left"/>
        <w:rPr>
          <w:rFonts w:ascii="Arial" w:hAnsi="Arial" w:cs="Arial"/>
          <w:bCs/>
          <w:sz w:val="24"/>
          <w:szCs w:val="24"/>
        </w:rPr>
      </w:pPr>
    </w:p>
    <w:p w:rsidR="0044034D" w:rsidRDefault="0044034D" w:rsidP="0044034D">
      <w:pPr>
        <w:ind w:right="-57" w:firstLine="720"/>
        <w:rPr>
          <w:rFonts w:ascii="Arial" w:hAnsi="Arial" w:cs="Arial"/>
          <w:b/>
          <w:sz w:val="24"/>
          <w:szCs w:val="24"/>
        </w:rPr>
      </w:pPr>
    </w:p>
    <w:p w:rsidR="00E44448" w:rsidRPr="00857E54" w:rsidRDefault="007C4F03" w:rsidP="0044034D">
      <w:pPr>
        <w:ind w:right="-57" w:firstLine="720"/>
        <w:rPr>
          <w:rFonts w:ascii="Arial" w:hAnsi="Arial" w:cs="Arial"/>
          <w:bCs/>
          <w:sz w:val="24"/>
          <w:szCs w:val="24"/>
        </w:rPr>
      </w:pPr>
      <w:r w:rsidRPr="00857E54">
        <w:rPr>
          <w:rFonts w:ascii="Arial" w:hAnsi="Arial" w:cs="Arial"/>
          <w:b/>
          <w:sz w:val="24"/>
          <w:szCs w:val="24"/>
        </w:rPr>
        <w:t>Cheltuielile de personal</w:t>
      </w:r>
      <w:r w:rsidRPr="00857E54">
        <w:rPr>
          <w:rFonts w:ascii="Arial" w:hAnsi="Arial" w:cs="Arial"/>
          <w:bCs/>
          <w:sz w:val="24"/>
          <w:szCs w:val="24"/>
        </w:rPr>
        <w:t xml:space="preserve"> au fost în sumă de </w:t>
      </w:r>
      <w:r w:rsidR="00060926" w:rsidRPr="00857E54">
        <w:rPr>
          <w:rFonts w:ascii="Arial" w:hAnsi="Arial" w:cs="Arial"/>
          <w:bCs/>
          <w:sz w:val="24"/>
          <w:szCs w:val="24"/>
        </w:rPr>
        <w:t xml:space="preserve">41.342,9 </w:t>
      </w:r>
      <w:r w:rsidRPr="00857E54">
        <w:rPr>
          <w:rFonts w:ascii="Arial" w:hAnsi="Arial" w:cs="Arial"/>
          <w:bCs/>
          <w:sz w:val="24"/>
          <w:szCs w:val="24"/>
        </w:rPr>
        <w:t>milioane lei</w:t>
      </w:r>
      <w:r w:rsidR="00F465D6">
        <w:rPr>
          <w:rFonts w:ascii="Arial" w:hAnsi="Arial" w:cs="Arial"/>
          <w:bCs/>
          <w:sz w:val="24"/>
          <w:szCs w:val="24"/>
        </w:rPr>
        <w:t xml:space="preserve"> </w:t>
      </w:r>
      <w:r w:rsidRPr="00857E54">
        <w:rPr>
          <w:rFonts w:ascii="Arial" w:hAnsi="Arial" w:cs="Arial"/>
          <w:bCs/>
          <w:sz w:val="24"/>
          <w:szCs w:val="24"/>
        </w:rPr>
        <w:t xml:space="preserve">în creștere cu </w:t>
      </w:r>
      <w:r w:rsidR="00060926" w:rsidRPr="00857E54">
        <w:rPr>
          <w:rFonts w:ascii="Arial" w:hAnsi="Arial" w:cs="Arial"/>
          <w:bCs/>
          <w:sz w:val="24"/>
          <w:szCs w:val="24"/>
        </w:rPr>
        <w:t>24,4</w:t>
      </w:r>
      <w:r w:rsidRPr="00857E54">
        <w:rPr>
          <w:rFonts w:ascii="Arial" w:hAnsi="Arial" w:cs="Arial"/>
          <w:bCs/>
          <w:sz w:val="24"/>
          <w:szCs w:val="24"/>
        </w:rPr>
        <w:t xml:space="preserve">% comparativ cu semestru I </w:t>
      </w:r>
      <w:r w:rsidR="00060926" w:rsidRPr="00857E54">
        <w:rPr>
          <w:rFonts w:ascii="Arial" w:hAnsi="Arial" w:cs="Arial"/>
          <w:bCs/>
          <w:sz w:val="24"/>
          <w:szCs w:val="24"/>
        </w:rPr>
        <w:t xml:space="preserve">2017 </w:t>
      </w:r>
      <w:r w:rsidRPr="00857E54">
        <w:rPr>
          <w:rFonts w:ascii="Arial" w:hAnsi="Arial" w:cs="Arial"/>
          <w:bCs/>
          <w:sz w:val="24"/>
          <w:szCs w:val="24"/>
        </w:rPr>
        <w:t xml:space="preserve">fiind </w:t>
      </w:r>
      <w:r w:rsidR="00135155" w:rsidRPr="00857E54">
        <w:rPr>
          <w:rFonts w:ascii="Arial" w:hAnsi="Arial" w:cs="Arial"/>
          <w:bCs/>
          <w:sz w:val="24"/>
          <w:szCs w:val="24"/>
        </w:rPr>
        <w:t>realizate</w:t>
      </w:r>
      <w:r w:rsidRPr="00857E54">
        <w:rPr>
          <w:rFonts w:ascii="Arial" w:hAnsi="Arial" w:cs="Arial"/>
          <w:bCs/>
          <w:sz w:val="24"/>
          <w:szCs w:val="24"/>
        </w:rPr>
        <w:t xml:space="preserve"> în proporție de </w:t>
      </w:r>
      <w:r w:rsidR="00060926" w:rsidRPr="00857E54">
        <w:rPr>
          <w:rFonts w:ascii="Arial" w:hAnsi="Arial" w:cs="Arial"/>
          <w:bCs/>
          <w:sz w:val="24"/>
          <w:szCs w:val="24"/>
        </w:rPr>
        <w:t>101,8</w:t>
      </w:r>
      <w:r w:rsidRPr="00857E54">
        <w:rPr>
          <w:rFonts w:ascii="Arial" w:hAnsi="Arial" w:cs="Arial"/>
          <w:bCs/>
          <w:sz w:val="24"/>
          <w:szCs w:val="24"/>
        </w:rPr>
        <w:t xml:space="preserve">%. </w:t>
      </w:r>
      <w:r w:rsidR="00F1564F" w:rsidRPr="00857E54">
        <w:rPr>
          <w:rFonts w:ascii="Arial" w:hAnsi="Arial" w:cs="Arial"/>
          <w:bCs/>
          <w:sz w:val="24"/>
          <w:szCs w:val="24"/>
        </w:rPr>
        <w:t xml:space="preserve">Depășirea nivelului </w:t>
      </w:r>
      <w:r w:rsidR="008807C7" w:rsidRPr="00857E54">
        <w:rPr>
          <w:rFonts w:ascii="Arial" w:hAnsi="Arial" w:cs="Arial"/>
          <w:bCs/>
          <w:sz w:val="24"/>
          <w:szCs w:val="24"/>
        </w:rPr>
        <w:t xml:space="preserve">estimat pe primul semestrul </w:t>
      </w:r>
      <w:r w:rsidR="007A127B" w:rsidRPr="00857E54">
        <w:rPr>
          <w:rFonts w:ascii="Arial" w:hAnsi="Arial" w:cs="Arial"/>
          <w:bCs/>
          <w:sz w:val="24"/>
          <w:szCs w:val="24"/>
        </w:rPr>
        <w:t>I</w:t>
      </w:r>
      <w:r w:rsidR="00F1564F" w:rsidRPr="00857E54">
        <w:rPr>
          <w:rFonts w:ascii="Arial" w:hAnsi="Arial" w:cs="Arial"/>
          <w:bCs/>
          <w:sz w:val="24"/>
          <w:szCs w:val="24"/>
        </w:rPr>
        <w:t xml:space="preserve"> în cazul cheltuielilor de personal s-a datorat creșterilor față de nivelul </w:t>
      </w:r>
      <w:r w:rsidR="00B53BB3" w:rsidRPr="00857E54">
        <w:rPr>
          <w:rFonts w:ascii="Arial" w:hAnsi="Arial" w:cs="Arial"/>
          <w:bCs/>
          <w:sz w:val="24"/>
          <w:szCs w:val="24"/>
        </w:rPr>
        <w:t>estimat</w:t>
      </w:r>
      <w:r w:rsidR="00CA6E98" w:rsidRPr="00857E54">
        <w:rPr>
          <w:rFonts w:ascii="Arial" w:hAnsi="Arial" w:cs="Arial"/>
          <w:bCs/>
          <w:sz w:val="24"/>
          <w:szCs w:val="24"/>
        </w:rPr>
        <w:t xml:space="preserve"> aferent bugetelor</w:t>
      </w:r>
      <w:r w:rsidR="00F1564F" w:rsidRPr="00857E54">
        <w:rPr>
          <w:rFonts w:ascii="Arial" w:hAnsi="Arial" w:cs="Arial"/>
          <w:bCs/>
          <w:sz w:val="24"/>
          <w:szCs w:val="24"/>
        </w:rPr>
        <w:t xml:space="preserve"> locale (+6,4%), precum și în cazul bugetelor </w:t>
      </w:r>
      <w:r w:rsidR="007A127B" w:rsidRPr="00857E54">
        <w:rPr>
          <w:rFonts w:ascii="Arial" w:hAnsi="Arial" w:cs="Arial"/>
          <w:bCs/>
          <w:sz w:val="24"/>
          <w:szCs w:val="24"/>
        </w:rPr>
        <w:t>instituțiilor</w:t>
      </w:r>
      <w:r w:rsidR="00F1564F" w:rsidRPr="00857E54">
        <w:rPr>
          <w:rFonts w:ascii="Arial" w:hAnsi="Arial" w:cs="Arial"/>
          <w:bCs/>
          <w:sz w:val="24"/>
          <w:szCs w:val="24"/>
        </w:rPr>
        <w:t>/</w:t>
      </w:r>
      <w:r w:rsidR="007A127B" w:rsidRPr="00857E54">
        <w:rPr>
          <w:rFonts w:ascii="Arial" w:hAnsi="Arial" w:cs="Arial"/>
          <w:bCs/>
          <w:sz w:val="24"/>
          <w:szCs w:val="24"/>
        </w:rPr>
        <w:t>activităților</w:t>
      </w:r>
      <w:r w:rsidR="00CF7F6B" w:rsidRPr="00857E54">
        <w:rPr>
          <w:rFonts w:ascii="Arial" w:hAnsi="Arial" w:cs="Arial"/>
          <w:bCs/>
          <w:sz w:val="24"/>
          <w:szCs w:val="24"/>
        </w:rPr>
        <w:t xml:space="preserve"> </w:t>
      </w:r>
      <w:r w:rsidR="007A127B" w:rsidRPr="00857E54">
        <w:rPr>
          <w:rFonts w:ascii="Arial" w:hAnsi="Arial" w:cs="Arial"/>
          <w:bCs/>
          <w:sz w:val="24"/>
          <w:szCs w:val="24"/>
        </w:rPr>
        <w:t>finanțate integral ș</w:t>
      </w:r>
      <w:r w:rsidR="00F1564F" w:rsidRPr="00857E54">
        <w:rPr>
          <w:rFonts w:ascii="Arial" w:hAnsi="Arial" w:cs="Arial"/>
          <w:bCs/>
          <w:sz w:val="24"/>
          <w:szCs w:val="24"/>
        </w:rPr>
        <w:t xml:space="preserve">i/sau </w:t>
      </w:r>
      <w:r w:rsidR="007A127B" w:rsidRPr="00857E54">
        <w:rPr>
          <w:rFonts w:ascii="Arial" w:hAnsi="Arial" w:cs="Arial"/>
          <w:bCs/>
          <w:sz w:val="24"/>
          <w:szCs w:val="24"/>
        </w:rPr>
        <w:t>parțial</w:t>
      </w:r>
      <w:r w:rsidR="00F1564F" w:rsidRPr="00857E54">
        <w:rPr>
          <w:rFonts w:ascii="Arial" w:hAnsi="Arial" w:cs="Arial"/>
          <w:bCs/>
          <w:sz w:val="24"/>
          <w:szCs w:val="24"/>
        </w:rPr>
        <w:t xml:space="preserve"> din venituri proprii</w:t>
      </w:r>
      <w:r w:rsidR="00F465D6">
        <w:rPr>
          <w:rFonts w:ascii="Arial" w:hAnsi="Arial" w:cs="Arial"/>
          <w:bCs/>
          <w:sz w:val="24"/>
          <w:szCs w:val="24"/>
        </w:rPr>
        <w:t xml:space="preserve"> </w:t>
      </w:r>
      <w:r w:rsidR="00F1564F" w:rsidRPr="00857E54">
        <w:rPr>
          <w:rFonts w:ascii="Arial" w:hAnsi="Arial" w:cs="Arial"/>
          <w:bCs/>
          <w:sz w:val="24"/>
          <w:szCs w:val="24"/>
        </w:rPr>
        <w:t>(+15,2%)</w:t>
      </w:r>
      <w:r w:rsidR="00B945E2" w:rsidRPr="00857E54">
        <w:rPr>
          <w:rFonts w:ascii="Arial" w:hAnsi="Arial" w:cs="Arial"/>
          <w:bCs/>
          <w:sz w:val="24"/>
          <w:szCs w:val="24"/>
        </w:rPr>
        <w:t>, creșterea fiind, în special, de la unitățile sanitare din subordinea administrației locale și centrale,  ținând cont de măsurile aprobate după aprobarea legii bugetului de stat pentru salarizarea personalului din unitățile sanitare</w:t>
      </w:r>
      <w:r w:rsidR="00F1564F" w:rsidRPr="00857E54">
        <w:rPr>
          <w:rFonts w:ascii="Arial" w:hAnsi="Arial" w:cs="Arial"/>
          <w:bCs/>
          <w:sz w:val="24"/>
          <w:szCs w:val="24"/>
        </w:rPr>
        <w:t>.</w:t>
      </w:r>
    </w:p>
    <w:p w:rsidR="001E0833" w:rsidRPr="00857E54" w:rsidRDefault="002906CC" w:rsidP="00281576">
      <w:pPr>
        <w:keepNext/>
        <w:keepLines/>
        <w:ind w:firstLine="680"/>
        <w:rPr>
          <w:rFonts w:ascii="Arial" w:hAnsi="Arial" w:cs="Arial"/>
          <w:bCs/>
          <w:sz w:val="24"/>
          <w:szCs w:val="24"/>
        </w:rPr>
      </w:pPr>
      <w:r w:rsidRPr="00857E54">
        <w:rPr>
          <w:rFonts w:ascii="Arial" w:hAnsi="Arial" w:cs="Arial"/>
          <w:bCs/>
          <w:sz w:val="24"/>
          <w:szCs w:val="24"/>
        </w:rPr>
        <w:lastRenderedPageBreak/>
        <w:t>C</w:t>
      </w:r>
      <w:r w:rsidR="001E0833" w:rsidRPr="00857E54">
        <w:rPr>
          <w:rFonts w:ascii="Arial" w:hAnsi="Arial" w:cs="Arial"/>
          <w:bCs/>
          <w:sz w:val="24"/>
          <w:szCs w:val="24"/>
        </w:rPr>
        <w:t>heltuielile de personal</w:t>
      </w:r>
      <w:r w:rsidRPr="00857E54">
        <w:rPr>
          <w:rFonts w:ascii="Arial" w:hAnsi="Arial" w:cs="Arial"/>
          <w:bCs/>
          <w:sz w:val="24"/>
          <w:szCs w:val="24"/>
        </w:rPr>
        <w:t>, ca procent în PIB,</w:t>
      </w:r>
      <w:r w:rsidR="001E0833" w:rsidRPr="00857E54">
        <w:rPr>
          <w:rFonts w:ascii="Arial" w:hAnsi="Arial" w:cs="Arial"/>
          <w:bCs/>
          <w:sz w:val="24"/>
          <w:szCs w:val="24"/>
        </w:rPr>
        <w:t xml:space="preserve"> au crescut cu 0,</w:t>
      </w:r>
      <w:r w:rsidR="00060926" w:rsidRPr="00857E54">
        <w:rPr>
          <w:rFonts w:ascii="Arial" w:hAnsi="Arial" w:cs="Arial"/>
          <w:bCs/>
          <w:sz w:val="24"/>
          <w:szCs w:val="24"/>
        </w:rPr>
        <w:t xml:space="preserve">5 </w:t>
      </w:r>
      <w:r w:rsidR="001E0833" w:rsidRPr="00857E54">
        <w:rPr>
          <w:rFonts w:ascii="Arial" w:hAnsi="Arial" w:cs="Arial"/>
          <w:bCs/>
          <w:sz w:val="24"/>
          <w:szCs w:val="24"/>
        </w:rPr>
        <w:t>puncte procentuale de la 3,</w:t>
      </w:r>
      <w:r w:rsidR="00060926" w:rsidRPr="00857E54">
        <w:rPr>
          <w:rFonts w:ascii="Arial" w:hAnsi="Arial" w:cs="Arial"/>
          <w:bCs/>
          <w:sz w:val="24"/>
          <w:szCs w:val="24"/>
        </w:rPr>
        <w:t>9</w:t>
      </w:r>
      <w:r w:rsidR="001E0833" w:rsidRPr="00857E54">
        <w:rPr>
          <w:rFonts w:ascii="Arial" w:hAnsi="Arial" w:cs="Arial"/>
          <w:bCs/>
          <w:sz w:val="24"/>
          <w:szCs w:val="24"/>
        </w:rPr>
        <w:t xml:space="preserve">% din PIB cât au fost în semestrul I </w:t>
      </w:r>
      <w:r w:rsidR="00060926" w:rsidRPr="00857E54">
        <w:rPr>
          <w:rFonts w:ascii="Arial" w:hAnsi="Arial" w:cs="Arial"/>
          <w:bCs/>
          <w:sz w:val="24"/>
          <w:szCs w:val="24"/>
        </w:rPr>
        <w:t xml:space="preserve">2017 </w:t>
      </w:r>
      <w:r w:rsidR="001E0833" w:rsidRPr="00857E54">
        <w:rPr>
          <w:rFonts w:ascii="Arial" w:hAnsi="Arial" w:cs="Arial"/>
          <w:bCs/>
          <w:sz w:val="24"/>
          <w:szCs w:val="24"/>
        </w:rPr>
        <w:t xml:space="preserve">la </w:t>
      </w:r>
      <w:r w:rsidR="00060926" w:rsidRPr="00857E54">
        <w:rPr>
          <w:rFonts w:ascii="Arial" w:hAnsi="Arial" w:cs="Arial"/>
          <w:bCs/>
          <w:sz w:val="24"/>
          <w:szCs w:val="24"/>
        </w:rPr>
        <w:t>4,4</w:t>
      </w:r>
      <w:r w:rsidR="001E0833" w:rsidRPr="00857E54">
        <w:rPr>
          <w:rFonts w:ascii="Arial" w:hAnsi="Arial" w:cs="Arial"/>
          <w:bCs/>
          <w:sz w:val="24"/>
          <w:szCs w:val="24"/>
        </w:rPr>
        <w:t xml:space="preserve"> % din PIB în semestrul I </w:t>
      </w:r>
      <w:r w:rsidR="00060926" w:rsidRPr="00857E54">
        <w:rPr>
          <w:rFonts w:ascii="Arial" w:hAnsi="Arial" w:cs="Arial"/>
          <w:bCs/>
          <w:sz w:val="24"/>
          <w:szCs w:val="24"/>
        </w:rPr>
        <w:t>2018</w:t>
      </w:r>
      <w:r w:rsidR="001E0833" w:rsidRPr="00857E54">
        <w:rPr>
          <w:rFonts w:ascii="Arial" w:hAnsi="Arial" w:cs="Arial"/>
          <w:bCs/>
          <w:sz w:val="24"/>
          <w:szCs w:val="24"/>
        </w:rPr>
        <w:t>.</w:t>
      </w:r>
    </w:p>
    <w:p w:rsidR="00927413" w:rsidRPr="00857E54" w:rsidRDefault="00E44448" w:rsidP="00281576">
      <w:pPr>
        <w:keepNext/>
        <w:keepLines/>
        <w:ind w:firstLine="680"/>
        <w:rPr>
          <w:rFonts w:ascii="Arial" w:hAnsi="Arial" w:cs="Arial"/>
          <w:bCs/>
          <w:sz w:val="24"/>
          <w:szCs w:val="24"/>
        </w:rPr>
      </w:pPr>
      <w:r w:rsidRPr="00857E54">
        <w:rPr>
          <w:rFonts w:ascii="Arial" w:hAnsi="Arial" w:cs="Arial"/>
          <w:bCs/>
          <w:sz w:val="24"/>
          <w:szCs w:val="24"/>
        </w:rPr>
        <w:t xml:space="preserve">Creșterea cheltuielilor de personal comparativ cu semestrul I </w:t>
      </w:r>
      <w:r w:rsidR="00060926" w:rsidRPr="00857E54">
        <w:rPr>
          <w:rFonts w:ascii="Arial" w:hAnsi="Arial" w:cs="Arial"/>
          <w:bCs/>
          <w:sz w:val="24"/>
          <w:szCs w:val="24"/>
        </w:rPr>
        <w:t xml:space="preserve">2017 </w:t>
      </w:r>
      <w:r w:rsidRPr="00857E54">
        <w:rPr>
          <w:rFonts w:ascii="Arial" w:hAnsi="Arial" w:cs="Arial"/>
          <w:bCs/>
          <w:sz w:val="24"/>
          <w:szCs w:val="24"/>
        </w:rPr>
        <w:t xml:space="preserve">a fost determinată </w:t>
      </w:r>
      <w:r w:rsidR="00C36EA2" w:rsidRPr="00857E54">
        <w:rPr>
          <w:rFonts w:ascii="Arial" w:hAnsi="Arial" w:cs="Arial"/>
          <w:bCs/>
          <w:sz w:val="24"/>
          <w:szCs w:val="24"/>
        </w:rPr>
        <w:t>de majorările salariale acordate în anul 2017, dar și de majorarea salariilor în sectorul bugetar ca urmare a aplicării Legii cadru nr. 153/2017, privind salarizarea personalului plătit din fonduri pu</w:t>
      </w:r>
      <w:r w:rsidR="0028202A" w:rsidRPr="00857E54">
        <w:rPr>
          <w:rFonts w:ascii="Arial" w:hAnsi="Arial" w:cs="Arial"/>
          <w:bCs/>
          <w:sz w:val="24"/>
          <w:szCs w:val="24"/>
        </w:rPr>
        <w:t>blice, precum și creșterea salariul de bază minim brut pe țară garantat în plată, începând cu data de 1 ianuarie 2018, la 1.900 lei lunar.</w:t>
      </w:r>
    </w:p>
    <w:p w:rsidR="007C4F03" w:rsidRPr="00857E54" w:rsidRDefault="007C4F03" w:rsidP="00281576">
      <w:pPr>
        <w:keepNext/>
        <w:keepLines/>
        <w:ind w:firstLine="680"/>
        <w:rPr>
          <w:rFonts w:ascii="Arial" w:hAnsi="Arial" w:cs="Arial"/>
          <w:bCs/>
          <w:sz w:val="24"/>
          <w:szCs w:val="24"/>
        </w:rPr>
      </w:pPr>
      <w:r w:rsidRPr="00857E54">
        <w:rPr>
          <w:rFonts w:ascii="Arial" w:hAnsi="Arial" w:cs="Arial"/>
          <w:b/>
          <w:bCs/>
          <w:sz w:val="24"/>
          <w:szCs w:val="24"/>
        </w:rPr>
        <w:t>Cheltuielile cu bunuri şi servicii</w:t>
      </w:r>
      <w:r w:rsidR="00CF7F6B" w:rsidRPr="00857E54">
        <w:rPr>
          <w:rFonts w:ascii="Arial" w:hAnsi="Arial" w:cs="Arial"/>
          <w:b/>
          <w:bCs/>
          <w:sz w:val="24"/>
          <w:szCs w:val="24"/>
        </w:rPr>
        <w:t xml:space="preserve"> </w:t>
      </w:r>
      <w:r w:rsidR="001E0833" w:rsidRPr="00857E54">
        <w:rPr>
          <w:rFonts w:ascii="Arial" w:hAnsi="Arial" w:cs="Arial"/>
          <w:bCs/>
          <w:sz w:val="24"/>
          <w:szCs w:val="24"/>
        </w:rPr>
        <w:t xml:space="preserve">au totalizat </w:t>
      </w:r>
      <w:r w:rsidR="00060926" w:rsidRPr="00857E54">
        <w:rPr>
          <w:rFonts w:ascii="Arial" w:hAnsi="Arial" w:cs="Arial"/>
          <w:bCs/>
          <w:sz w:val="24"/>
          <w:szCs w:val="24"/>
        </w:rPr>
        <w:t>19.281,5</w:t>
      </w:r>
      <w:r w:rsidR="001E0833" w:rsidRPr="00857E54">
        <w:rPr>
          <w:rFonts w:ascii="Arial" w:hAnsi="Arial" w:cs="Arial"/>
          <w:bCs/>
          <w:sz w:val="24"/>
          <w:szCs w:val="24"/>
        </w:rPr>
        <w:t xml:space="preserve"> milioane lei în creștere cu </w:t>
      </w:r>
      <w:r w:rsidR="00060926" w:rsidRPr="00857E54">
        <w:rPr>
          <w:rFonts w:ascii="Arial" w:hAnsi="Arial" w:cs="Arial"/>
          <w:bCs/>
          <w:sz w:val="24"/>
          <w:szCs w:val="24"/>
        </w:rPr>
        <w:t>9</w:t>
      </w:r>
      <w:r w:rsidR="001E0833" w:rsidRPr="00857E54">
        <w:rPr>
          <w:rFonts w:ascii="Arial" w:hAnsi="Arial" w:cs="Arial"/>
          <w:bCs/>
          <w:sz w:val="24"/>
          <w:szCs w:val="24"/>
        </w:rPr>
        <w:t>,9</w:t>
      </w:r>
      <w:r w:rsidRPr="00857E54">
        <w:rPr>
          <w:rFonts w:ascii="Arial" w:hAnsi="Arial" w:cs="Arial"/>
          <w:bCs/>
          <w:sz w:val="24"/>
          <w:szCs w:val="24"/>
        </w:rPr>
        <w:t xml:space="preserve">% față de aceeași perioadă a anului precedent şi s-au </w:t>
      </w:r>
      <w:r w:rsidR="00135155" w:rsidRPr="00857E54">
        <w:rPr>
          <w:rFonts w:ascii="Arial" w:hAnsi="Arial" w:cs="Arial"/>
          <w:bCs/>
          <w:sz w:val="24"/>
          <w:szCs w:val="24"/>
        </w:rPr>
        <w:t>realizat</w:t>
      </w:r>
      <w:r w:rsidRPr="00857E54">
        <w:rPr>
          <w:rFonts w:ascii="Arial" w:hAnsi="Arial" w:cs="Arial"/>
          <w:bCs/>
          <w:sz w:val="24"/>
          <w:szCs w:val="24"/>
        </w:rPr>
        <w:t xml:space="preserve"> în proporție de </w:t>
      </w:r>
      <w:r w:rsidR="00060926" w:rsidRPr="00857E54">
        <w:rPr>
          <w:rFonts w:ascii="Arial" w:hAnsi="Arial" w:cs="Arial"/>
          <w:bCs/>
          <w:sz w:val="24"/>
          <w:szCs w:val="24"/>
        </w:rPr>
        <w:t>110,3</w:t>
      </w:r>
      <w:r w:rsidRPr="00857E54">
        <w:rPr>
          <w:rFonts w:ascii="Arial" w:hAnsi="Arial" w:cs="Arial"/>
          <w:bCs/>
          <w:sz w:val="24"/>
          <w:szCs w:val="24"/>
        </w:rPr>
        <w:t xml:space="preserve">%. </w:t>
      </w:r>
      <w:r w:rsidR="00060926" w:rsidRPr="00857E54">
        <w:rPr>
          <w:rFonts w:ascii="Arial" w:hAnsi="Arial" w:cs="Arial"/>
          <w:bCs/>
          <w:sz w:val="24"/>
          <w:szCs w:val="24"/>
        </w:rPr>
        <w:t xml:space="preserve">Depășirea nivelului </w:t>
      </w:r>
      <w:r w:rsidR="006C1E1F" w:rsidRPr="00857E54">
        <w:rPr>
          <w:rFonts w:ascii="Arial" w:hAnsi="Arial" w:cs="Arial"/>
          <w:bCs/>
          <w:sz w:val="24"/>
          <w:szCs w:val="24"/>
        </w:rPr>
        <w:t>estimat</w:t>
      </w:r>
      <w:r w:rsidR="00CF7F6B" w:rsidRPr="00857E54">
        <w:rPr>
          <w:rFonts w:ascii="Arial" w:hAnsi="Arial" w:cs="Arial"/>
          <w:bCs/>
          <w:sz w:val="24"/>
          <w:szCs w:val="24"/>
        </w:rPr>
        <w:t xml:space="preserve"> </w:t>
      </w:r>
      <w:r w:rsidR="00966F56" w:rsidRPr="00857E54">
        <w:rPr>
          <w:rFonts w:ascii="Arial" w:hAnsi="Arial" w:cs="Arial"/>
          <w:bCs/>
          <w:sz w:val="24"/>
          <w:szCs w:val="24"/>
        </w:rPr>
        <w:t xml:space="preserve">în cazul cheltuielilor cu bunuri și servicii s-a datorat creșterilor față de nivelul </w:t>
      </w:r>
      <w:r w:rsidR="006C1E1F" w:rsidRPr="00857E54">
        <w:rPr>
          <w:rFonts w:ascii="Arial" w:hAnsi="Arial" w:cs="Arial"/>
          <w:bCs/>
          <w:sz w:val="24"/>
          <w:szCs w:val="24"/>
        </w:rPr>
        <w:t>estimat</w:t>
      </w:r>
      <w:r w:rsidR="00CF7F6B" w:rsidRPr="00857E54">
        <w:rPr>
          <w:rFonts w:ascii="Arial" w:hAnsi="Arial" w:cs="Arial"/>
          <w:bCs/>
          <w:sz w:val="24"/>
          <w:szCs w:val="24"/>
        </w:rPr>
        <w:t xml:space="preserve"> </w:t>
      </w:r>
      <w:r w:rsidR="003A4DF3" w:rsidRPr="00857E54">
        <w:rPr>
          <w:rFonts w:ascii="Arial" w:hAnsi="Arial" w:cs="Arial"/>
          <w:bCs/>
          <w:sz w:val="24"/>
          <w:szCs w:val="24"/>
        </w:rPr>
        <w:t>aferent bugetelor</w:t>
      </w:r>
      <w:r w:rsidR="00966F56" w:rsidRPr="00857E54">
        <w:rPr>
          <w:rFonts w:ascii="Arial" w:hAnsi="Arial" w:cs="Arial"/>
          <w:bCs/>
          <w:sz w:val="24"/>
          <w:szCs w:val="24"/>
        </w:rPr>
        <w:t xml:space="preserve"> locale (+15,8%), precum și în cazul bugetelor </w:t>
      </w:r>
      <w:r w:rsidR="003A4DF3" w:rsidRPr="00857E54">
        <w:rPr>
          <w:rFonts w:ascii="Arial" w:hAnsi="Arial" w:cs="Arial"/>
          <w:bCs/>
          <w:sz w:val="24"/>
          <w:szCs w:val="24"/>
        </w:rPr>
        <w:t>instituțiilor</w:t>
      </w:r>
      <w:r w:rsidR="00966F56" w:rsidRPr="00857E54">
        <w:rPr>
          <w:rFonts w:ascii="Arial" w:hAnsi="Arial" w:cs="Arial"/>
          <w:bCs/>
          <w:sz w:val="24"/>
          <w:szCs w:val="24"/>
        </w:rPr>
        <w:t>/</w:t>
      </w:r>
      <w:r w:rsidR="003A4DF3" w:rsidRPr="00857E54">
        <w:rPr>
          <w:rFonts w:ascii="Arial" w:hAnsi="Arial" w:cs="Arial"/>
          <w:bCs/>
          <w:sz w:val="24"/>
          <w:szCs w:val="24"/>
        </w:rPr>
        <w:t>activităților</w:t>
      </w:r>
      <w:r w:rsidR="00CF7F6B" w:rsidRPr="00857E54">
        <w:rPr>
          <w:rFonts w:ascii="Arial" w:hAnsi="Arial" w:cs="Arial"/>
          <w:bCs/>
          <w:sz w:val="24"/>
          <w:szCs w:val="24"/>
        </w:rPr>
        <w:t xml:space="preserve"> </w:t>
      </w:r>
      <w:r w:rsidR="003A4DF3" w:rsidRPr="00857E54">
        <w:rPr>
          <w:rFonts w:ascii="Arial" w:hAnsi="Arial" w:cs="Arial"/>
          <w:bCs/>
          <w:sz w:val="24"/>
          <w:szCs w:val="24"/>
        </w:rPr>
        <w:t>finanțate integral ș</w:t>
      </w:r>
      <w:r w:rsidR="00966F56" w:rsidRPr="00857E54">
        <w:rPr>
          <w:rFonts w:ascii="Arial" w:hAnsi="Arial" w:cs="Arial"/>
          <w:bCs/>
          <w:sz w:val="24"/>
          <w:szCs w:val="24"/>
        </w:rPr>
        <w:t xml:space="preserve">i/sau </w:t>
      </w:r>
      <w:r w:rsidR="003A4DF3" w:rsidRPr="00857E54">
        <w:rPr>
          <w:rFonts w:ascii="Arial" w:hAnsi="Arial" w:cs="Arial"/>
          <w:bCs/>
          <w:sz w:val="24"/>
          <w:szCs w:val="24"/>
        </w:rPr>
        <w:t>parțial</w:t>
      </w:r>
      <w:r w:rsidR="00966F56" w:rsidRPr="00857E54">
        <w:rPr>
          <w:rFonts w:ascii="Arial" w:hAnsi="Arial" w:cs="Arial"/>
          <w:bCs/>
          <w:sz w:val="24"/>
          <w:szCs w:val="24"/>
        </w:rPr>
        <w:t xml:space="preserve"> din venituri proprii(+36,7%).</w:t>
      </w:r>
    </w:p>
    <w:p w:rsidR="007C4F03" w:rsidRPr="00857E54" w:rsidRDefault="007C4F03" w:rsidP="00281576">
      <w:pPr>
        <w:keepNext/>
        <w:keepLines/>
        <w:ind w:firstLine="680"/>
        <w:rPr>
          <w:rFonts w:ascii="Arial" w:hAnsi="Arial" w:cs="Arial"/>
          <w:bCs/>
          <w:sz w:val="24"/>
          <w:szCs w:val="24"/>
        </w:rPr>
      </w:pPr>
      <w:r w:rsidRPr="00857E54">
        <w:rPr>
          <w:rFonts w:ascii="Arial" w:hAnsi="Arial" w:cs="Arial"/>
          <w:sz w:val="24"/>
          <w:szCs w:val="24"/>
        </w:rPr>
        <w:t>Cheltui</w:t>
      </w:r>
      <w:r w:rsidRPr="00857E54">
        <w:rPr>
          <w:rFonts w:ascii="Arial" w:hAnsi="Arial" w:cs="Arial"/>
          <w:bCs/>
          <w:sz w:val="24"/>
          <w:szCs w:val="24"/>
        </w:rPr>
        <w:t xml:space="preserve">elile cu </w:t>
      </w:r>
      <w:r w:rsidRPr="00857E54">
        <w:rPr>
          <w:rFonts w:ascii="Arial" w:hAnsi="Arial" w:cs="Arial"/>
          <w:b/>
          <w:bCs/>
          <w:sz w:val="24"/>
          <w:szCs w:val="24"/>
        </w:rPr>
        <w:t xml:space="preserve">dobânzile </w:t>
      </w:r>
      <w:r w:rsidRPr="00857E54">
        <w:rPr>
          <w:rFonts w:ascii="Arial" w:hAnsi="Arial" w:cs="Arial"/>
          <w:sz w:val="24"/>
          <w:szCs w:val="24"/>
        </w:rPr>
        <w:t xml:space="preserve">au înregistrat o </w:t>
      </w:r>
      <w:r w:rsidR="00966F56" w:rsidRPr="00857E54">
        <w:rPr>
          <w:rFonts w:ascii="Arial" w:hAnsi="Arial" w:cs="Arial"/>
          <w:sz w:val="24"/>
          <w:szCs w:val="24"/>
        </w:rPr>
        <w:t xml:space="preserve">creștere </w:t>
      </w:r>
      <w:r w:rsidRPr="00857E54">
        <w:rPr>
          <w:rFonts w:ascii="Arial" w:hAnsi="Arial" w:cs="Arial"/>
          <w:bCs/>
          <w:sz w:val="24"/>
          <w:szCs w:val="24"/>
        </w:rPr>
        <w:t xml:space="preserve">cu </w:t>
      </w:r>
      <w:r w:rsidR="00966F56" w:rsidRPr="00857E54">
        <w:rPr>
          <w:rFonts w:ascii="Arial" w:hAnsi="Arial" w:cs="Arial"/>
          <w:bCs/>
          <w:sz w:val="24"/>
          <w:szCs w:val="24"/>
        </w:rPr>
        <w:t>21,7</w:t>
      </w:r>
      <w:r w:rsidRPr="00857E54">
        <w:rPr>
          <w:rFonts w:ascii="Arial" w:hAnsi="Arial" w:cs="Arial"/>
          <w:bCs/>
          <w:sz w:val="24"/>
          <w:szCs w:val="24"/>
        </w:rPr>
        <w:t>%</w:t>
      </w:r>
      <w:r w:rsidR="00966F56" w:rsidRPr="00857E54">
        <w:rPr>
          <w:rFonts w:ascii="Arial" w:hAnsi="Arial" w:cs="Arial"/>
          <w:bCs/>
          <w:sz w:val="24"/>
          <w:szCs w:val="24"/>
        </w:rPr>
        <w:t xml:space="preserve"> comparativ cu </w:t>
      </w:r>
      <w:r w:rsidR="00B148E5" w:rsidRPr="00857E54">
        <w:rPr>
          <w:rFonts w:ascii="Arial" w:hAnsi="Arial" w:cs="Arial"/>
          <w:bCs/>
          <w:sz w:val="24"/>
          <w:szCs w:val="24"/>
        </w:rPr>
        <w:t>p</w:t>
      </w:r>
      <w:r w:rsidR="003A4DF3" w:rsidRPr="00857E54">
        <w:rPr>
          <w:rFonts w:ascii="Arial" w:hAnsi="Arial" w:cs="Arial"/>
          <w:bCs/>
          <w:sz w:val="24"/>
          <w:szCs w:val="24"/>
        </w:rPr>
        <w:t>rimul semestru</w:t>
      </w:r>
      <w:r w:rsidR="00966F56" w:rsidRPr="00857E54">
        <w:rPr>
          <w:rFonts w:ascii="Arial" w:hAnsi="Arial" w:cs="Arial"/>
          <w:bCs/>
          <w:sz w:val="24"/>
          <w:szCs w:val="24"/>
        </w:rPr>
        <w:t xml:space="preserve"> al anului 2017</w:t>
      </w:r>
      <w:r w:rsidRPr="00857E54">
        <w:rPr>
          <w:rFonts w:ascii="Arial" w:hAnsi="Arial" w:cs="Arial"/>
          <w:bCs/>
          <w:sz w:val="24"/>
          <w:szCs w:val="24"/>
        </w:rPr>
        <w:t xml:space="preserve">, gradul de </w:t>
      </w:r>
      <w:r w:rsidR="004F494F" w:rsidRPr="00857E54">
        <w:rPr>
          <w:rFonts w:ascii="Arial" w:hAnsi="Arial" w:cs="Arial"/>
          <w:bCs/>
          <w:sz w:val="24"/>
          <w:szCs w:val="24"/>
        </w:rPr>
        <w:t xml:space="preserve">realizare pe semestrul I </w:t>
      </w:r>
      <w:r w:rsidRPr="00857E54">
        <w:rPr>
          <w:rFonts w:ascii="Arial" w:hAnsi="Arial" w:cs="Arial"/>
          <w:bCs/>
          <w:sz w:val="24"/>
          <w:szCs w:val="24"/>
        </w:rPr>
        <w:t xml:space="preserve">fiind de </w:t>
      </w:r>
      <w:r w:rsidR="00966F56" w:rsidRPr="00857E54">
        <w:rPr>
          <w:rFonts w:ascii="Arial" w:hAnsi="Arial" w:cs="Arial"/>
          <w:bCs/>
          <w:sz w:val="24"/>
          <w:szCs w:val="24"/>
        </w:rPr>
        <w:t>90,5</w:t>
      </w:r>
      <w:r w:rsidRPr="00857E54">
        <w:rPr>
          <w:rFonts w:ascii="Arial" w:hAnsi="Arial" w:cs="Arial"/>
          <w:bCs/>
          <w:sz w:val="24"/>
          <w:szCs w:val="24"/>
        </w:rPr>
        <w:t>%.</w:t>
      </w:r>
    </w:p>
    <w:p w:rsidR="00B148E5" w:rsidRPr="00857E54" w:rsidRDefault="000D2C11" w:rsidP="00281576">
      <w:pPr>
        <w:keepNext/>
        <w:keepLines/>
        <w:ind w:firstLine="680"/>
        <w:rPr>
          <w:rFonts w:ascii="Arial" w:hAnsi="Arial" w:cs="Arial"/>
          <w:bCs/>
          <w:sz w:val="24"/>
          <w:szCs w:val="24"/>
        </w:rPr>
      </w:pPr>
      <w:r w:rsidRPr="00857E54">
        <w:rPr>
          <w:rFonts w:ascii="Arial" w:hAnsi="Arial" w:cs="Arial"/>
          <w:bCs/>
          <w:sz w:val="24"/>
          <w:szCs w:val="24"/>
        </w:rPr>
        <w:t>C</w:t>
      </w:r>
      <w:r w:rsidR="00B148E5" w:rsidRPr="00857E54">
        <w:rPr>
          <w:rFonts w:ascii="Arial" w:hAnsi="Arial" w:cs="Arial"/>
          <w:bCs/>
          <w:sz w:val="24"/>
          <w:szCs w:val="24"/>
        </w:rPr>
        <w:t xml:space="preserve">reșterea cheltuielilor cu dobânzile s-a produs în condițiile în care în lunile aprilie si iunie 2018 s-au înregistrat vârfuri de plata a </w:t>
      </w:r>
      <w:r w:rsidR="003A4DF3" w:rsidRPr="00857E54">
        <w:rPr>
          <w:rFonts w:ascii="Arial" w:hAnsi="Arial" w:cs="Arial"/>
          <w:bCs/>
          <w:sz w:val="24"/>
          <w:szCs w:val="24"/>
        </w:rPr>
        <w:t>dobânzilor</w:t>
      </w:r>
      <w:r w:rsidR="00B148E5" w:rsidRPr="00857E54">
        <w:rPr>
          <w:rFonts w:ascii="Arial" w:hAnsi="Arial" w:cs="Arial"/>
          <w:bCs/>
          <w:sz w:val="24"/>
          <w:szCs w:val="24"/>
        </w:rPr>
        <w:t xml:space="preserve"> avându-se </w:t>
      </w:r>
      <w:r w:rsidR="00C177AA" w:rsidRPr="00857E54">
        <w:rPr>
          <w:rFonts w:ascii="Arial" w:hAnsi="Arial" w:cs="Arial"/>
          <w:bCs/>
          <w:sz w:val="24"/>
          <w:szCs w:val="24"/>
        </w:rPr>
        <w:t>î</w:t>
      </w:r>
      <w:r w:rsidR="00B148E5" w:rsidRPr="00857E54">
        <w:rPr>
          <w:rFonts w:ascii="Arial" w:hAnsi="Arial" w:cs="Arial"/>
          <w:bCs/>
          <w:sz w:val="24"/>
          <w:szCs w:val="24"/>
        </w:rPr>
        <w:t xml:space="preserve">n vedere acumularea datelor de plata a </w:t>
      </w:r>
      <w:r w:rsidR="003A4DF3" w:rsidRPr="00857E54">
        <w:rPr>
          <w:rFonts w:ascii="Arial" w:hAnsi="Arial" w:cs="Arial"/>
          <w:bCs/>
          <w:sz w:val="24"/>
          <w:szCs w:val="24"/>
        </w:rPr>
        <w:t>dobânzilor</w:t>
      </w:r>
      <w:r w:rsidR="00B148E5" w:rsidRPr="00857E54">
        <w:rPr>
          <w:rFonts w:ascii="Arial" w:hAnsi="Arial" w:cs="Arial"/>
          <w:bCs/>
          <w:sz w:val="24"/>
          <w:szCs w:val="24"/>
        </w:rPr>
        <w:t xml:space="preserve"> aferente mai multor t</w:t>
      </w:r>
      <w:r w:rsidR="002F6A9D" w:rsidRPr="00857E54">
        <w:rPr>
          <w:rFonts w:ascii="Arial" w:hAnsi="Arial" w:cs="Arial"/>
          <w:bCs/>
          <w:sz w:val="24"/>
          <w:szCs w:val="24"/>
        </w:rPr>
        <w:t xml:space="preserve">itluri de stat de tip </w:t>
      </w:r>
      <w:proofErr w:type="spellStart"/>
      <w:r w:rsidR="002F6A9D" w:rsidRPr="00857E54">
        <w:rPr>
          <w:rFonts w:ascii="Arial" w:hAnsi="Arial" w:cs="Arial"/>
          <w:bCs/>
          <w:sz w:val="24"/>
          <w:szCs w:val="24"/>
        </w:rPr>
        <w:t>benchmark</w:t>
      </w:r>
      <w:proofErr w:type="spellEnd"/>
      <w:r w:rsidR="002F6A9D" w:rsidRPr="00857E54">
        <w:rPr>
          <w:rFonts w:ascii="Arial" w:hAnsi="Arial" w:cs="Arial"/>
          <w:bCs/>
          <w:sz w:val="24"/>
          <w:szCs w:val="24"/>
        </w:rPr>
        <w:t>,</w:t>
      </w:r>
      <w:r w:rsidR="00CF7F6B" w:rsidRPr="00857E54">
        <w:rPr>
          <w:rFonts w:ascii="Arial" w:hAnsi="Arial" w:cs="Arial"/>
          <w:bCs/>
          <w:sz w:val="24"/>
          <w:szCs w:val="24"/>
        </w:rPr>
        <w:t xml:space="preserve"> </w:t>
      </w:r>
      <w:r w:rsidR="002F6A9D" w:rsidRPr="00857E54">
        <w:rPr>
          <w:rFonts w:ascii="Arial" w:hAnsi="Arial" w:cs="Arial"/>
          <w:bCs/>
          <w:sz w:val="24"/>
          <w:szCs w:val="24"/>
        </w:rPr>
        <w:t>iar in semestru al II al anului 2018 este previzionat un vârf al plaților de dobânzi în luna octombrie.</w:t>
      </w:r>
    </w:p>
    <w:p w:rsidR="000B0BE3" w:rsidRDefault="000B0BE3" w:rsidP="00281576">
      <w:pPr>
        <w:keepNext/>
        <w:keepLines/>
        <w:ind w:firstLine="680"/>
        <w:rPr>
          <w:rFonts w:ascii="Arial" w:hAnsi="Arial" w:cs="Arial"/>
          <w:bCs/>
          <w:sz w:val="24"/>
          <w:szCs w:val="24"/>
        </w:rPr>
      </w:pPr>
      <w:r w:rsidRPr="00857E54">
        <w:rPr>
          <w:rFonts w:ascii="Arial" w:hAnsi="Arial" w:cs="Arial"/>
          <w:bCs/>
          <w:sz w:val="24"/>
          <w:szCs w:val="24"/>
        </w:rPr>
        <w:t xml:space="preserve">Cheltuielile cu </w:t>
      </w:r>
      <w:r w:rsidR="00593732" w:rsidRPr="00857E54">
        <w:rPr>
          <w:rFonts w:ascii="Arial" w:hAnsi="Arial" w:cs="Arial"/>
          <w:b/>
          <w:bCs/>
          <w:sz w:val="24"/>
          <w:szCs w:val="24"/>
        </w:rPr>
        <w:t>subvențiile</w:t>
      </w:r>
      <w:r w:rsidR="00CF7F6B" w:rsidRPr="00857E54">
        <w:rPr>
          <w:rFonts w:ascii="Arial" w:hAnsi="Arial" w:cs="Arial"/>
          <w:b/>
          <w:bCs/>
          <w:sz w:val="24"/>
          <w:szCs w:val="24"/>
        </w:rPr>
        <w:t xml:space="preserve"> </w:t>
      </w:r>
      <w:r w:rsidR="001E0833" w:rsidRPr="00857E54">
        <w:rPr>
          <w:rFonts w:ascii="Arial" w:hAnsi="Arial" w:cs="Arial"/>
          <w:bCs/>
          <w:sz w:val="24"/>
          <w:szCs w:val="24"/>
        </w:rPr>
        <w:t xml:space="preserve">au însumat </w:t>
      </w:r>
      <w:r w:rsidR="00966F56" w:rsidRPr="00857E54">
        <w:rPr>
          <w:rFonts w:ascii="Arial" w:hAnsi="Arial" w:cs="Arial"/>
          <w:bCs/>
          <w:sz w:val="24"/>
          <w:szCs w:val="24"/>
        </w:rPr>
        <w:t>3.737,9</w:t>
      </w:r>
      <w:r w:rsidR="001E0833" w:rsidRPr="00857E54">
        <w:rPr>
          <w:rFonts w:ascii="Arial" w:hAnsi="Arial" w:cs="Arial"/>
          <w:bCs/>
          <w:sz w:val="24"/>
          <w:szCs w:val="24"/>
        </w:rPr>
        <w:t xml:space="preserve"> milioane lei (0,4% din PIB)</w:t>
      </w:r>
      <w:r w:rsidRPr="00857E54">
        <w:rPr>
          <w:rFonts w:ascii="Arial" w:hAnsi="Arial" w:cs="Arial"/>
          <w:bCs/>
          <w:sz w:val="24"/>
          <w:szCs w:val="24"/>
        </w:rPr>
        <w:t xml:space="preserve"> cu </w:t>
      </w:r>
      <w:r w:rsidR="00966F56" w:rsidRPr="00857E54">
        <w:rPr>
          <w:rFonts w:ascii="Arial" w:hAnsi="Arial" w:cs="Arial"/>
          <w:bCs/>
          <w:sz w:val="24"/>
          <w:szCs w:val="24"/>
        </w:rPr>
        <w:t>4,1</w:t>
      </w:r>
      <w:r w:rsidRPr="00857E54">
        <w:rPr>
          <w:rFonts w:ascii="Arial" w:hAnsi="Arial" w:cs="Arial"/>
          <w:bCs/>
          <w:sz w:val="24"/>
          <w:szCs w:val="24"/>
        </w:rPr>
        <w:t xml:space="preserve">% mai </w:t>
      </w:r>
      <w:r w:rsidR="00A344D2" w:rsidRPr="00857E54">
        <w:rPr>
          <w:rFonts w:ascii="Arial" w:hAnsi="Arial" w:cs="Arial"/>
          <w:bCs/>
          <w:sz w:val="24"/>
          <w:szCs w:val="24"/>
        </w:rPr>
        <w:t>mari</w:t>
      </w:r>
      <w:r w:rsidRPr="00857E54">
        <w:rPr>
          <w:rFonts w:ascii="Arial" w:hAnsi="Arial" w:cs="Arial"/>
          <w:bCs/>
          <w:sz w:val="24"/>
          <w:szCs w:val="24"/>
        </w:rPr>
        <w:t xml:space="preserve"> com</w:t>
      </w:r>
      <w:r w:rsidR="00593732" w:rsidRPr="00857E54">
        <w:rPr>
          <w:rFonts w:ascii="Arial" w:hAnsi="Arial" w:cs="Arial"/>
          <w:bCs/>
          <w:sz w:val="24"/>
          <w:szCs w:val="24"/>
        </w:rPr>
        <w:t>parativ cu aceeași perioadă a</w:t>
      </w:r>
      <w:r w:rsidRPr="00857E54">
        <w:rPr>
          <w:rFonts w:ascii="Arial" w:hAnsi="Arial" w:cs="Arial"/>
          <w:bCs/>
          <w:sz w:val="24"/>
          <w:szCs w:val="24"/>
        </w:rPr>
        <w:t xml:space="preserve"> anului anterior</w:t>
      </w:r>
      <w:r w:rsidR="00966F56" w:rsidRPr="00857E54">
        <w:rPr>
          <w:rFonts w:ascii="Arial" w:hAnsi="Arial" w:cs="Arial"/>
          <w:bCs/>
          <w:sz w:val="24"/>
          <w:szCs w:val="24"/>
        </w:rPr>
        <w:t>,</w:t>
      </w:r>
      <w:r w:rsidRPr="00857E54">
        <w:rPr>
          <w:rFonts w:ascii="Arial" w:hAnsi="Arial" w:cs="Arial"/>
          <w:bCs/>
          <w:sz w:val="24"/>
          <w:szCs w:val="24"/>
        </w:rPr>
        <w:t xml:space="preserve"> gradul de </w:t>
      </w:r>
      <w:r w:rsidR="004F494F" w:rsidRPr="00857E54">
        <w:rPr>
          <w:rFonts w:ascii="Arial" w:hAnsi="Arial" w:cs="Arial"/>
          <w:bCs/>
          <w:sz w:val="24"/>
          <w:szCs w:val="24"/>
        </w:rPr>
        <w:t xml:space="preserve">realizare </w:t>
      </w:r>
      <w:r w:rsidRPr="00857E54">
        <w:rPr>
          <w:rFonts w:ascii="Arial" w:hAnsi="Arial" w:cs="Arial"/>
          <w:bCs/>
          <w:sz w:val="24"/>
          <w:szCs w:val="24"/>
        </w:rPr>
        <w:t xml:space="preserve"> fiind de </w:t>
      </w:r>
      <w:r w:rsidR="00966F56" w:rsidRPr="00857E54">
        <w:rPr>
          <w:rFonts w:ascii="Arial" w:hAnsi="Arial" w:cs="Arial"/>
          <w:bCs/>
          <w:sz w:val="24"/>
          <w:szCs w:val="24"/>
        </w:rPr>
        <w:t>88,6</w:t>
      </w:r>
      <w:r w:rsidR="00197AF4" w:rsidRPr="00857E54">
        <w:rPr>
          <w:rFonts w:ascii="Arial" w:hAnsi="Arial" w:cs="Arial"/>
          <w:bCs/>
          <w:sz w:val="24"/>
          <w:szCs w:val="24"/>
        </w:rPr>
        <w:t>%</w:t>
      </w:r>
      <w:r w:rsidRPr="00857E54">
        <w:rPr>
          <w:rFonts w:ascii="Arial" w:hAnsi="Arial" w:cs="Arial"/>
          <w:bCs/>
          <w:sz w:val="24"/>
          <w:szCs w:val="24"/>
        </w:rPr>
        <w:t>.</w:t>
      </w:r>
    </w:p>
    <w:p w:rsidR="006D4230" w:rsidRPr="00857E54" w:rsidRDefault="006D4230" w:rsidP="00281576">
      <w:pPr>
        <w:keepNext/>
        <w:keepLines/>
        <w:ind w:firstLine="680"/>
        <w:rPr>
          <w:rFonts w:ascii="Arial" w:hAnsi="Arial" w:cs="Arial"/>
          <w:bCs/>
          <w:sz w:val="24"/>
          <w:szCs w:val="24"/>
        </w:rPr>
      </w:pPr>
      <w:r w:rsidRPr="00857E54">
        <w:rPr>
          <w:rFonts w:ascii="Arial" w:hAnsi="Arial" w:cs="Arial"/>
          <w:bCs/>
          <w:sz w:val="24"/>
          <w:szCs w:val="24"/>
        </w:rPr>
        <w:t>Creșterea cheltuielilor cu subvențiile comparativ cu aceeași perioadă a anului anterior s-a datorat în principal plăților</w:t>
      </w:r>
      <w:r w:rsidR="00CF7F6B" w:rsidRPr="00857E54">
        <w:rPr>
          <w:rFonts w:ascii="Arial" w:hAnsi="Arial" w:cs="Arial"/>
          <w:bCs/>
          <w:sz w:val="24"/>
          <w:szCs w:val="24"/>
        </w:rPr>
        <w:t xml:space="preserve"> </w:t>
      </w:r>
      <w:r w:rsidR="00E67A5A" w:rsidRPr="00857E54">
        <w:rPr>
          <w:rFonts w:ascii="Arial" w:hAnsi="Arial" w:cs="Arial"/>
          <w:bCs/>
          <w:sz w:val="24"/>
          <w:szCs w:val="24"/>
        </w:rPr>
        <w:t xml:space="preserve">efectuate pentru sprijinirea producătorilor agricoli și de subvențiile acordate pentru susținerea transportului feroviar public de călători și a transportului cu metroul. </w:t>
      </w:r>
    </w:p>
    <w:p w:rsidR="00105A75" w:rsidRPr="00857E54" w:rsidRDefault="007C4F03" w:rsidP="00281576">
      <w:pPr>
        <w:keepNext/>
        <w:keepLines/>
        <w:spacing w:before="120"/>
        <w:ind w:firstLine="680"/>
        <w:rPr>
          <w:rFonts w:ascii="Arial" w:hAnsi="Arial" w:cs="Arial"/>
          <w:bCs/>
          <w:sz w:val="24"/>
          <w:szCs w:val="24"/>
        </w:rPr>
      </w:pPr>
      <w:r w:rsidRPr="00857E54">
        <w:rPr>
          <w:rFonts w:ascii="Arial" w:hAnsi="Arial" w:cs="Arial"/>
          <w:bCs/>
          <w:sz w:val="24"/>
          <w:szCs w:val="24"/>
        </w:rPr>
        <w:t xml:space="preserve">Cheltuielile cu </w:t>
      </w:r>
      <w:r w:rsidRPr="00857E54">
        <w:rPr>
          <w:rFonts w:ascii="Arial" w:hAnsi="Arial" w:cs="Arial"/>
          <w:b/>
          <w:bCs/>
          <w:sz w:val="24"/>
          <w:szCs w:val="24"/>
        </w:rPr>
        <w:t>asistența socială</w:t>
      </w:r>
      <w:r w:rsidRPr="00857E54">
        <w:rPr>
          <w:rFonts w:ascii="Arial" w:hAnsi="Arial" w:cs="Arial"/>
          <w:bCs/>
          <w:sz w:val="24"/>
          <w:szCs w:val="24"/>
        </w:rPr>
        <w:t xml:space="preserve"> au înregistrat o creștere de </w:t>
      </w:r>
      <w:r w:rsidR="00966F56" w:rsidRPr="00857E54">
        <w:rPr>
          <w:rFonts w:ascii="Arial" w:hAnsi="Arial" w:cs="Arial"/>
          <w:bCs/>
          <w:sz w:val="24"/>
          <w:szCs w:val="24"/>
        </w:rPr>
        <w:t>13,9</w:t>
      </w:r>
      <w:r w:rsidRPr="00857E54">
        <w:rPr>
          <w:rFonts w:ascii="Arial" w:hAnsi="Arial" w:cs="Arial"/>
          <w:bCs/>
          <w:sz w:val="24"/>
          <w:szCs w:val="24"/>
        </w:rPr>
        <w:t xml:space="preserve">% comparativ cu primul semestru al anului </w:t>
      </w:r>
      <w:r w:rsidR="00966F56" w:rsidRPr="00857E54">
        <w:rPr>
          <w:rFonts w:ascii="Arial" w:hAnsi="Arial" w:cs="Arial"/>
          <w:bCs/>
          <w:sz w:val="24"/>
          <w:szCs w:val="24"/>
        </w:rPr>
        <w:t xml:space="preserve">2017 </w:t>
      </w:r>
      <w:r w:rsidRPr="00857E54">
        <w:rPr>
          <w:rFonts w:ascii="Arial" w:hAnsi="Arial" w:cs="Arial"/>
          <w:bCs/>
          <w:sz w:val="24"/>
          <w:szCs w:val="24"/>
        </w:rPr>
        <w:t xml:space="preserve">şi au fost </w:t>
      </w:r>
      <w:r w:rsidR="004F494F" w:rsidRPr="00857E54">
        <w:rPr>
          <w:rFonts w:ascii="Arial" w:hAnsi="Arial" w:cs="Arial"/>
          <w:bCs/>
          <w:sz w:val="24"/>
          <w:szCs w:val="24"/>
        </w:rPr>
        <w:t xml:space="preserve">realizate </w:t>
      </w:r>
      <w:r w:rsidRPr="00857E54">
        <w:rPr>
          <w:rFonts w:ascii="Arial" w:hAnsi="Arial" w:cs="Arial"/>
          <w:bCs/>
          <w:sz w:val="24"/>
          <w:szCs w:val="24"/>
        </w:rPr>
        <w:t xml:space="preserve">în proporție de </w:t>
      </w:r>
      <w:r w:rsidR="00966F56" w:rsidRPr="00857E54">
        <w:rPr>
          <w:rFonts w:ascii="Arial" w:hAnsi="Arial" w:cs="Arial"/>
          <w:bCs/>
          <w:sz w:val="24"/>
          <w:szCs w:val="24"/>
        </w:rPr>
        <w:t>99,6</w:t>
      </w:r>
      <w:r w:rsidRPr="00857E54">
        <w:rPr>
          <w:rFonts w:ascii="Arial" w:hAnsi="Arial" w:cs="Arial"/>
          <w:bCs/>
          <w:sz w:val="24"/>
          <w:szCs w:val="24"/>
        </w:rPr>
        <w:t>%</w:t>
      </w:r>
      <w:r w:rsidR="004F494F" w:rsidRPr="00857E54">
        <w:rPr>
          <w:rFonts w:ascii="Arial" w:hAnsi="Arial" w:cs="Arial"/>
          <w:bCs/>
          <w:sz w:val="24"/>
          <w:szCs w:val="24"/>
        </w:rPr>
        <w:t xml:space="preserve"> față de estimarea pentru primul semestru</w:t>
      </w:r>
      <w:r w:rsidRPr="00857E54">
        <w:rPr>
          <w:rFonts w:ascii="Arial" w:hAnsi="Arial" w:cs="Arial"/>
          <w:bCs/>
          <w:sz w:val="24"/>
          <w:szCs w:val="24"/>
        </w:rPr>
        <w:t xml:space="preserve">. </w:t>
      </w:r>
    </w:p>
    <w:p w:rsidR="00927413" w:rsidRPr="00857E54" w:rsidRDefault="009063D5" w:rsidP="00281576">
      <w:pPr>
        <w:keepNext/>
        <w:keepLines/>
        <w:spacing w:before="120"/>
        <w:ind w:firstLine="680"/>
        <w:rPr>
          <w:rFonts w:ascii="Arial" w:hAnsi="Arial" w:cs="Arial"/>
          <w:bCs/>
          <w:sz w:val="24"/>
          <w:szCs w:val="24"/>
        </w:rPr>
      </w:pPr>
      <w:r>
        <w:rPr>
          <w:rFonts w:ascii="Arial" w:hAnsi="Arial" w:cs="Arial"/>
          <w:bCs/>
          <w:sz w:val="24"/>
          <w:szCs w:val="24"/>
        </w:rPr>
        <w:t>Evoluția cheltuielilor</w:t>
      </w:r>
      <w:r w:rsidR="00E67A5A" w:rsidRPr="00857E54">
        <w:rPr>
          <w:rFonts w:ascii="Arial" w:hAnsi="Arial" w:cs="Arial"/>
          <w:bCs/>
          <w:sz w:val="24"/>
          <w:szCs w:val="24"/>
        </w:rPr>
        <w:t xml:space="preserve"> cu asistența socială comparativ cu aceeași perioadă a anului precedent a fost influențată, </w:t>
      </w:r>
      <w:r w:rsidR="003A4DF3" w:rsidRPr="00857E54">
        <w:rPr>
          <w:rFonts w:ascii="Arial" w:hAnsi="Arial" w:cs="Arial"/>
          <w:bCs/>
          <w:sz w:val="24"/>
          <w:szCs w:val="24"/>
        </w:rPr>
        <w:t xml:space="preserve">în principal, de majorarea cu 9% a punctului de pensie de la 1 iulie 2017, ajungând la 1000 lei și de devansarea sumei (1,3 miliarde lei) pentru plata a 50% din cheltuielile cu pensiile pentru luna iulie care se distribuie prin </w:t>
      </w:r>
      <w:r w:rsidR="002C7092" w:rsidRPr="00857E54">
        <w:rPr>
          <w:rFonts w:ascii="Arial" w:hAnsi="Arial" w:cs="Arial"/>
          <w:bCs/>
          <w:sz w:val="24"/>
          <w:szCs w:val="24"/>
        </w:rPr>
        <w:t xml:space="preserve">C.N </w:t>
      </w:r>
      <w:r w:rsidR="003A4DF3" w:rsidRPr="00857E54">
        <w:rPr>
          <w:rFonts w:ascii="Arial" w:hAnsi="Arial" w:cs="Arial"/>
          <w:bCs/>
          <w:sz w:val="24"/>
          <w:szCs w:val="24"/>
        </w:rPr>
        <w:t>Poșta Română</w:t>
      </w:r>
      <w:r w:rsidR="002C7092" w:rsidRPr="00857E54">
        <w:rPr>
          <w:rFonts w:ascii="Arial" w:hAnsi="Arial" w:cs="Arial"/>
          <w:bCs/>
          <w:sz w:val="24"/>
          <w:szCs w:val="24"/>
        </w:rPr>
        <w:t xml:space="preserve"> S.A</w:t>
      </w:r>
      <w:r w:rsidR="003A4DF3" w:rsidRPr="00857E54">
        <w:rPr>
          <w:rFonts w:ascii="Arial" w:hAnsi="Arial" w:cs="Arial"/>
          <w:bCs/>
          <w:sz w:val="24"/>
          <w:szCs w:val="24"/>
        </w:rPr>
        <w:t>, precum și majorarea și modificarea modalității de stabilire a indemnizației lunare pentru creșterea copilului și stimulentul de inserție.</w:t>
      </w:r>
    </w:p>
    <w:p w:rsidR="003D547F" w:rsidRPr="00857E54" w:rsidRDefault="003D547F" w:rsidP="00281576">
      <w:pPr>
        <w:keepNext/>
        <w:keepLines/>
        <w:spacing w:before="120"/>
        <w:ind w:firstLine="680"/>
        <w:rPr>
          <w:rFonts w:ascii="Arial" w:eastAsia="Arial" w:hAnsi="Arial" w:cs="Arial"/>
          <w:sz w:val="24"/>
          <w:szCs w:val="24"/>
          <w:shd w:val="clear" w:color="auto" w:fill="FFFFFF"/>
        </w:rPr>
      </w:pPr>
      <w:r w:rsidRPr="00857E54">
        <w:rPr>
          <w:rFonts w:ascii="Arial" w:eastAsia="Arial" w:hAnsi="Arial" w:cs="Arial"/>
          <w:sz w:val="24"/>
          <w:szCs w:val="24"/>
          <w:shd w:val="clear" w:color="auto" w:fill="FFFFFF"/>
        </w:rPr>
        <w:t xml:space="preserve">Cheltuielile cu </w:t>
      </w:r>
      <w:r w:rsidR="00A344D2" w:rsidRPr="00857E54">
        <w:rPr>
          <w:rFonts w:ascii="Arial" w:eastAsia="Arial" w:hAnsi="Arial" w:cs="Arial"/>
          <w:b/>
          <w:sz w:val="24"/>
          <w:szCs w:val="24"/>
          <w:shd w:val="clear" w:color="auto" w:fill="FFFFFF"/>
        </w:rPr>
        <w:t>a</w:t>
      </w:r>
      <w:r w:rsidRPr="00857E54">
        <w:rPr>
          <w:rFonts w:ascii="Arial" w:eastAsia="Arial" w:hAnsi="Arial" w:cs="Arial"/>
          <w:b/>
          <w:sz w:val="24"/>
          <w:szCs w:val="24"/>
          <w:shd w:val="clear" w:color="auto" w:fill="FFFFFF"/>
        </w:rPr>
        <w:t>lte transferuri</w:t>
      </w:r>
      <w:r w:rsidRPr="00857E54">
        <w:rPr>
          <w:rFonts w:ascii="Arial" w:eastAsia="Arial" w:hAnsi="Arial" w:cs="Arial"/>
          <w:sz w:val="24"/>
          <w:szCs w:val="24"/>
          <w:shd w:val="clear" w:color="auto" w:fill="FFFFFF"/>
        </w:rPr>
        <w:t xml:space="preserve"> au fost în sumă de </w:t>
      </w:r>
      <w:r w:rsidR="00966F56" w:rsidRPr="00857E54">
        <w:rPr>
          <w:rFonts w:ascii="Arial" w:eastAsia="Arial" w:hAnsi="Arial" w:cs="Arial"/>
          <w:sz w:val="24"/>
          <w:szCs w:val="24"/>
          <w:shd w:val="clear" w:color="auto" w:fill="FFFFFF"/>
        </w:rPr>
        <w:t>6.734,2</w:t>
      </w:r>
      <w:r w:rsidRPr="00857E54">
        <w:rPr>
          <w:rFonts w:ascii="Arial" w:eastAsia="Arial" w:hAnsi="Arial" w:cs="Arial"/>
          <w:sz w:val="24"/>
          <w:szCs w:val="24"/>
          <w:shd w:val="clear" w:color="auto" w:fill="FFFFFF"/>
        </w:rPr>
        <w:t xml:space="preserve"> milioane le</w:t>
      </w:r>
      <w:r w:rsidR="008D6F4B" w:rsidRPr="00857E54">
        <w:rPr>
          <w:rFonts w:ascii="Arial" w:eastAsia="Arial" w:hAnsi="Arial" w:cs="Arial"/>
          <w:sz w:val="24"/>
          <w:szCs w:val="24"/>
          <w:shd w:val="clear" w:color="auto" w:fill="FFFFFF"/>
        </w:rPr>
        <w:t>i</w:t>
      </w:r>
      <w:r w:rsidR="008D3109">
        <w:rPr>
          <w:rFonts w:ascii="Arial" w:eastAsia="Arial" w:hAnsi="Arial" w:cs="Arial"/>
          <w:sz w:val="24"/>
          <w:szCs w:val="24"/>
          <w:shd w:val="clear" w:color="auto" w:fill="FFFFFF"/>
        </w:rPr>
        <w:t xml:space="preserve"> </w:t>
      </w:r>
      <w:r w:rsidR="00346FFE" w:rsidRPr="00857E54">
        <w:rPr>
          <w:rFonts w:ascii="Arial" w:eastAsia="Arial" w:hAnsi="Arial" w:cs="Arial"/>
          <w:sz w:val="24"/>
          <w:szCs w:val="24"/>
          <w:shd w:val="clear" w:color="auto" w:fill="FFFFFF"/>
        </w:rPr>
        <w:t>(0,</w:t>
      </w:r>
      <w:r w:rsidR="00966F56" w:rsidRPr="00857E54">
        <w:rPr>
          <w:rFonts w:ascii="Arial" w:eastAsia="Arial" w:hAnsi="Arial" w:cs="Arial"/>
          <w:sz w:val="24"/>
          <w:szCs w:val="24"/>
          <w:shd w:val="clear" w:color="auto" w:fill="FFFFFF"/>
        </w:rPr>
        <w:t>7</w:t>
      </w:r>
      <w:r w:rsidR="00346FFE" w:rsidRPr="00857E54">
        <w:rPr>
          <w:rFonts w:ascii="Arial" w:eastAsia="Arial" w:hAnsi="Arial" w:cs="Arial"/>
          <w:sz w:val="24"/>
          <w:szCs w:val="24"/>
          <w:shd w:val="clear" w:color="auto" w:fill="FFFFFF"/>
        </w:rPr>
        <w:t xml:space="preserve">% din PIB) </w:t>
      </w:r>
      <w:r w:rsidRPr="00857E54">
        <w:rPr>
          <w:rFonts w:ascii="Arial" w:eastAsia="Arial" w:hAnsi="Arial" w:cs="Arial"/>
          <w:sz w:val="24"/>
          <w:szCs w:val="24"/>
          <w:shd w:val="clear" w:color="auto" w:fill="FFFFFF"/>
        </w:rPr>
        <w:t xml:space="preserve">au fost cu </w:t>
      </w:r>
      <w:r w:rsidR="00966F56" w:rsidRPr="00857E54">
        <w:rPr>
          <w:rFonts w:ascii="Arial" w:eastAsia="Arial" w:hAnsi="Arial" w:cs="Arial"/>
          <w:sz w:val="24"/>
          <w:szCs w:val="24"/>
          <w:shd w:val="clear" w:color="auto" w:fill="FFFFFF"/>
        </w:rPr>
        <w:t>9,5</w:t>
      </w:r>
      <w:r w:rsidRPr="00857E54">
        <w:rPr>
          <w:rFonts w:ascii="Arial" w:eastAsia="Arial" w:hAnsi="Arial" w:cs="Arial"/>
          <w:sz w:val="24"/>
          <w:szCs w:val="24"/>
          <w:shd w:val="clear" w:color="auto" w:fill="FFFFFF"/>
        </w:rPr>
        <w:t xml:space="preserve">% mai </w:t>
      </w:r>
      <w:r w:rsidR="00346FFE" w:rsidRPr="00857E54">
        <w:rPr>
          <w:rFonts w:ascii="Arial" w:eastAsia="Arial" w:hAnsi="Arial" w:cs="Arial"/>
          <w:sz w:val="24"/>
          <w:szCs w:val="24"/>
          <w:shd w:val="clear" w:color="auto" w:fill="FFFFFF"/>
        </w:rPr>
        <w:t xml:space="preserve">mari </w:t>
      </w:r>
      <w:r w:rsidRPr="00857E54">
        <w:rPr>
          <w:rFonts w:ascii="Arial" w:eastAsia="Arial" w:hAnsi="Arial" w:cs="Arial"/>
          <w:sz w:val="24"/>
          <w:szCs w:val="24"/>
          <w:shd w:val="clear" w:color="auto" w:fill="FFFFFF"/>
        </w:rPr>
        <w:t xml:space="preserve">decât plățile efectuate </w:t>
      </w:r>
      <w:r w:rsidR="00346FFE" w:rsidRPr="00857E54">
        <w:rPr>
          <w:rFonts w:ascii="Arial" w:eastAsia="Arial" w:hAnsi="Arial" w:cs="Arial"/>
          <w:sz w:val="24"/>
          <w:szCs w:val="24"/>
          <w:shd w:val="clear" w:color="auto" w:fill="FFFFFF"/>
        </w:rPr>
        <w:t xml:space="preserve">în semestrul I </w:t>
      </w:r>
      <w:r w:rsidR="00966F56" w:rsidRPr="00857E54">
        <w:rPr>
          <w:rFonts w:ascii="Arial" w:eastAsia="Arial" w:hAnsi="Arial" w:cs="Arial"/>
          <w:sz w:val="24"/>
          <w:szCs w:val="24"/>
          <w:shd w:val="clear" w:color="auto" w:fill="FFFFFF"/>
        </w:rPr>
        <w:t>2017</w:t>
      </w:r>
      <w:r w:rsidR="0057610D" w:rsidRPr="00857E54">
        <w:rPr>
          <w:rFonts w:ascii="Arial" w:eastAsia="Arial" w:hAnsi="Arial" w:cs="Arial"/>
          <w:sz w:val="24"/>
          <w:szCs w:val="24"/>
          <w:shd w:val="clear" w:color="auto" w:fill="FFFFFF"/>
        </w:rPr>
        <w:t>.</w:t>
      </w:r>
    </w:p>
    <w:p w:rsidR="0056394B" w:rsidRPr="00857E54" w:rsidRDefault="007C4F03" w:rsidP="003A0173">
      <w:pPr>
        <w:keepNext/>
        <w:keepLines/>
        <w:ind w:firstLine="0"/>
        <w:rPr>
          <w:rFonts w:cs="Arial"/>
          <w:sz w:val="24"/>
          <w:szCs w:val="24"/>
        </w:rPr>
      </w:pPr>
      <w:r w:rsidRPr="00857E54">
        <w:rPr>
          <w:rFonts w:ascii="Arial" w:hAnsi="Arial" w:cs="Arial"/>
          <w:bCs/>
          <w:sz w:val="24"/>
          <w:szCs w:val="24"/>
        </w:rPr>
        <w:tab/>
        <w:t xml:space="preserve">Cheltuielile pentru </w:t>
      </w:r>
      <w:r w:rsidRPr="00857E54">
        <w:rPr>
          <w:rFonts w:ascii="Arial" w:hAnsi="Arial" w:cs="Arial"/>
          <w:b/>
          <w:bCs/>
          <w:sz w:val="24"/>
          <w:szCs w:val="24"/>
        </w:rPr>
        <w:t>investiții</w:t>
      </w:r>
      <w:r w:rsidRPr="00857E54">
        <w:rPr>
          <w:rFonts w:ascii="Arial" w:hAnsi="Arial" w:cs="Arial"/>
          <w:bCs/>
          <w:sz w:val="24"/>
          <w:szCs w:val="24"/>
        </w:rPr>
        <w:t xml:space="preserve">, care includ cheltuielile de capital, precum și cele aferente programelor de dezvoltare finanțate din surse interne și externe, </w:t>
      </w:r>
      <w:r w:rsidR="00346FFE" w:rsidRPr="00857E54">
        <w:rPr>
          <w:rFonts w:ascii="Arial" w:hAnsi="Arial" w:cs="Arial"/>
          <w:bCs/>
          <w:sz w:val="24"/>
          <w:szCs w:val="24"/>
        </w:rPr>
        <w:t xml:space="preserve">au însumat </w:t>
      </w:r>
      <w:r w:rsidR="00E67A5A" w:rsidRPr="00857E54">
        <w:rPr>
          <w:rFonts w:ascii="Arial" w:hAnsi="Arial" w:cs="Arial"/>
          <w:bCs/>
          <w:sz w:val="24"/>
          <w:szCs w:val="24"/>
        </w:rPr>
        <w:t>9.101,1</w:t>
      </w:r>
      <w:r w:rsidR="00346FFE" w:rsidRPr="00857E54">
        <w:rPr>
          <w:rFonts w:ascii="Arial" w:hAnsi="Arial" w:cs="Arial"/>
          <w:bCs/>
          <w:sz w:val="24"/>
          <w:szCs w:val="24"/>
        </w:rPr>
        <w:t xml:space="preserve">milioanelei, respectiv </w:t>
      </w:r>
      <w:r w:rsidR="00E67A5A" w:rsidRPr="00857E54">
        <w:rPr>
          <w:rFonts w:ascii="Arial" w:hAnsi="Arial" w:cs="Arial"/>
          <w:bCs/>
          <w:sz w:val="24"/>
          <w:szCs w:val="24"/>
        </w:rPr>
        <w:t>1.0</w:t>
      </w:r>
      <w:r w:rsidR="00346FFE" w:rsidRPr="00857E54">
        <w:rPr>
          <w:rFonts w:ascii="Arial" w:hAnsi="Arial" w:cs="Arial"/>
          <w:bCs/>
          <w:sz w:val="24"/>
          <w:szCs w:val="24"/>
        </w:rPr>
        <w:t xml:space="preserve">% din PIB, </w:t>
      </w:r>
      <w:r w:rsidR="0057610D" w:rsidRPr="00857E54">
        <w:rPr>
          <w:rFonts w:ascii="Arial" w:hAnsi="Arial" w:cs="Arial"/>
          <w:bCs/>
          <w:sz w:val="24"/>
          <w:szCs w:val="24"/>
        </w:rPr>
        <w:t xml:space="preserve">cu </w:t>
      </w:r>
      <w:r w:rsidR="00E67A5A" w:rsidRPr="00857E54">
        <w:rPr>
          <w:rFonts w:ascii="Arial" w:hAnsi="Arial" w:cs="Arial"/>
          <w:bCs/>
          <w:sz w:val="24"/>
          <w:szCs w:val="24"/>
        </w:rPr>
        <w:t>51,2% mai mari decât cele aferente semestrului I 2017.</w:t>
      </w:r>
    </w:p>
    <w:p w:rsidR="00F91A24" w:rsidRPr="00857E54" w:rsidRDefault="00684CFD" w:rsidP="00281576">
      <w:pPr>
        <w:keepNext/>
        <w:keepLines/>
        <w:ind w:firstLine="708"/>
        <w:rPr>
          <w:rFonts w:ascii="Arial" w:hAnsi="Arial" w:cs="Arial"/>
          <w:sz w:val="24"/>
          <w:szCs w:val="24"/>
        </w:rPr>
      </w:pPr>
      <w:r w:rsidRPr="00857E54">
        <w:rPr>
          <w:rFonts w:ascii="Arial" w:hAnsi="Arial" w:cs="Arial"/>
          <w:sz w:val="24"/>
          <w:szCs w:val="24"/>
        </w:rPr>
        <w:t xml:space="preserve">La </w:t>
      </w:r>
      <w:r w:rsidR="00FE0C7D" w:rsidRPr="00857E54">
        <w:rPr>
          <w:rFonts w:ascii="Arial" w:hAnsi="Arial" w:cs="Arial"/>
          <w:sz w:val="24"/>
          <w:szCs w:val="24"/>
        </w:rPr>
        <w:t xml:space="preserve">sfârșitul primului semestru a.c. se înregistrează un </w:t>
      </w:r>
      <w:r w:rsidR="00FE0C7D" w:rsidRPr="00857E54">
        <w:rPr>
          <w:rFonts w:ascii="Arial" w:hAnsi="Arial" w:cs="Arial"/>
          <w:b/>
          <w:bCs/>
          <w:sz w:val="24"/>
          <w:szCs w:val="24"/>
        </w:rPr>
        <w:t xml:space="preserve">deficit primar </w:t>
      </w:r>
      <w:r w:rsidR="00FE0C7D" w:rsidRPr="00857E54">
        <w:rPr>
          <w:rFonts w:ascii="Arial" w:hAnsi="Arial" w:cs="Arial"/>
          <w:bCs/>
          <w:sz w:val="24"/>
          <w:szCs w:val="24"/>
        </w:rPr>
        <w:t>(soldul bugetar exclusiv cheltuielile cu dobânzile)</w:t>
      </w:r>
      <w:r w:rsidR="00FE0C7D" w:rsidRPr="00857E54">
        <w:rPr>
          <w:rFonts w:ascii="Arial" w:hAnsi="Arial" w:cs="Arial"/>
          <w:sz w:val="24"/>
          <w:szCs w:val="24"/>
        </w:rPr>
        <w:t xml:space="preserve"> de 0,</w:t>
      </w:r>
      <w:r w:rsidR="00F1564F" w:rsidRPr="00857E54">
        <w:rPr>
          <w:rFonts w:ascii="Arial" w:hAnsi="Arial" w:cs="Arial"/>
          <w:sz w:val="24"/>
          <w:szCs w:val="24"/>
        </w:rPr>
        <w:t>8</w:t>
      </w:r>
      <w:r w:rsidR="00FE0C7D" w:rsidRPr="00857E54">
        <w:rPr>
          <w:rFonts w:ascii="Arial" w:hAnsi="Arial" w:cs="Arial"/>
          <w:sz w:val="24"/>
          <w:szCs w:val="24"/>
        </w:rPr>
        <w:t xml:space="preserve">% din PIB </w:t>
      </w:r>
      <w:r w:rsidR="00344803" w:rsidRPr="00857E54">
        <w:rPr>
          <w:rFonts w:ascii="Arial" w:hAnsi="Arial" w:cs="Arial"/>
          <w:sz w:val="24"/>
          <w:szCs w:val="24"/>
        </w:rPr>
        <w:t xml:space="preserve">față de un deficit primar prevăzut pentru această perioadă de </w:t>
      </w:r>
      <w:r w:rsidR="00F1564F" w:rsidRPr="00857E54">
        <w:rPr>
          <w:rFonts w:ascii="Arial" w:hAnsi="Arial" w:cs="Arial"/>
          <w:sz w:val="24"/>
          <w:szCs w:val="24"/>
        </w:rPr>
        <w:t>1,3</w:t>
      </w:r>
      <w:r w:rsidR="00344803" w:rsidRPr="00857E54">
        <w:rPr>
          <w:rFonts w:ascii="Arial" w:hAnsi="Arial" w:cs="Arial"/>
          <w:sz w:val="24"/>
          <w:szCs w:val="24"/>
        </w:rPr>
        <w:t>% din PIB</w:t>
      </w:r>
      <w:r w:rsidR="00593AD9" w:rsidRPr="00857E54">
        <w:rPr>
          <w:rFonts w:ascii="Arial" w:hAnsi="Arial" w:cs="Arial"/>
          <w:sz w:val="24"/>
          <w:szCs w:val="24"/>
        </w:rPr>
        <w:t>.</w:t>
      </w:r>
    </w:p>
    <w:tbl>
      <w:tblPr>
        <w:tblW w:w="9109" w:type="dxa"/>
        <w:tblLook w:val="04A0" w:firstRow="1" w:lastRow="0" w:firstColumn="1" w:lastColumn="0" w:noHBand="0" w:noVBand="1"/>
      </w:tblPr>
      <w:tblGrid>
        <w:gridCol w:w="4930"/>
        <w:gridCol w:w="1384"/>
        <w:gridCol w:w="1409"/>
        <w:gridCol w:w="1386"/>
      </w:tblGrid>
      <w:tr w:rsidR="009F540F" w:rsidRPr="009F540F" w:rsidTr="004643B9">
        <w:trPr>
          <w:trHeight w:val="301"/>
        </w:trPr>
        <w:tc>
          <w:tcPr>
            <w:tcW w:w="4930" w:type="dxa"/>
            <w:tcBorders>
              <w:top w:val="nil"/>
              <w:left w:val="nil"/>
              <w:bottom w:val="nil"/>
              <w:right w:val="nil"/>
            </w:tcBorders>
            <w:shd w:val="clear" w:color="000000" w:fill="FFFFFF"/>
            <w:noWrap/>
            <w:vAlign w:val="bottom"/>
            <w:hideMark/>
          </w:tcPr>
          <w:p w:rsidR="009F540F" w:rsidRDefault="009F540F" w:rsidP="009F540F">
            <w:pPr>
              <w:spacing w:after="0"/>
              <w:ind w:firstLine="0"/>
              <w:jc w:val="left"/>
              <w:rPr>
                <w:rFonts w:ascii="Calibri" w:eastAsia="Times New Roman" w:hAnsi="Calibri" w:cs="Times New Roman"/>
                <w:color w:val="000000"/>
                <w:lang w:eastAsia="ro-RO"/>
              </w:rPr>
            </w:pPr>
          </w:p>
          <w:p w:rsidR="004643B9" w:rsidRDefault="004643B9" w:rsidP="009F540F">
            <w:pPr>
              <w:spacing w:after="0"/>
              <w:ind w:firstLine="0"/>
              <w:jc w:val="left"/>
              <w:rPr>
                <w:rFonts w:ascii="Calibri" w:eastAsia="Times New Roman" w:hAnsi="Calibri" w:cs="Times New Roman"/>
                <w:color w:val="000000"/>
                <w:lang w:eastAsia="ro-RO"/>
              </w:rPr>
            </w:pPr>
          </w:p>
          <w:p w:rsidR="004643B9" w:rsidRDefault="004643B9" w:rsidP="009F540F">
            <w:pPr>
              <w:spacing w:after="0"/>
              <w:ind w:firstLine="0"/>
              <w:jc w:val="left"/>
              <w:rPr>
                <w:rFonts w:ascii="Calibri" w:eastAsia="Times New Roman" w:hAnsi="Calibri" w:cs="Times New Roman"/>
                <w:color w:val="000000"/>
                <w:lang w:eastAsia="ro-RO"/>
              </w:rPr>
            </w:pPr>
          </w:p>
          <w:p w:rsidR="004643B9" w:rsidRPr="009F540F" w:rsidRDefault="004643B9" w:rsidP="009F540F">
            <w:pPr>
              <w:spacing w:after="0"/>
              <w:ind w:firstLine="0"/>
              <w:jc w:val="left"/>
              <w:rPr>
                <w:rFonts w:ascii="Calibri" w:eastAsia="Times New Roman" w:hAnsi="Calibri" w:cs="Times New Roman"/>
                <w:color w:val="000000"/>
                <w:lang w:eastAsia="ro-RO"/>
              </w:rPr>
            </w:pPr>
          </w:p>
        </w:tc>
        <w:tc>
          <w:tcPr>
            <w:tcW w:w="1384" w:type="dxa"/>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lastRenderedPageBreak/>
              <w:t> </w:t>
            </w:r>
          </w:p>
        </w:tc>
        <w:tc>
          <w:tcPr>
            <w:tcW w:w="1409" w:type="dxa"/>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c>
          <w:tcPr>
            <w:tcW w:w="1386" w:type="dxa"/>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r>
      <w:tr w:rsidR="009F540F" w:rsidRPr="009F540F" w:rsidTr="009F540F">
        <w:trPr>
          <w:trHeight w:val="301"/>
        </w:trPr>
        <w:tc>
          <w:tcPr>
            <w:tcW w:w="9109" w:type="dxa"/>
            <w:gridSpan w:val="4"/>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center"/>
              <w:rPr>
                <w:rFonts w:ascii="Calibri" w:eastAsia="Times New Roman" w:hAnsi="Calibri" w:cs="Times New Roman"/>
                <w:b/>
                <w:bCs/>
                <w:color w:val="000000"/>
                <w:lang w:eastAsia="ro-RO"/>
              </w:rPr>
            </w:pPr>
            <w:r w:rsidRPr="009F540F">
              <w:rPr>
                <w:rFonts w:ascii="Calibri" w:eastAsia="Times New Roman" w:hAnsi="Calibri" w:cs="Times New Roman"/>
                <w:b/>
                <w:bCs/>
                <w:color w:val="000000"/>
                <w:lang w:eastAsia="ro-RO"/>
              </w:rPr>
              <w:lastRenderedPageBreak/>
              <w:t>Plafoane privind soldul bugetar pe principalele bugete componente 2018</w:t>
            </w:r>
          </w:p>
        </w:tc>
      </w:tr>
      <w:tr w:rsidR="009F540F" w:rsidRPr="009F540F" w:rsidTr="004643B9">
        <w:trPr>
          <w:trHeight w:val="316"/>
        </w:trPr>
        <w:tc>
          <w:tcPr>
            <w:tcW w:w="4930" w:type="dxa"/>
            <w:tcBorders>
              <w:top w:val="nil"/>
              <w:left w:val="nil"/>
              <w:bottom w:val="double" w:sz="6" w:space="0" w:color="auto"/>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c>
          <w:tcPr>
            <w:tcW w:w="1384" w:type="dxa"/>
            <w:tcBorders>
              <w:top w:val="nil"/>
              <w:left w:val="nil"/>
              <w:bottom w:val="double" w:sz="6" w:space="0" w:color="auto"/>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c>
          <w:tcPr>
            <w:tcW w:w="1409" w:type="dxa"/>
            <w:tcBorders>
              <w:top w:val="nil"/>
              <w:left w:val="nil"/>
              <w:bottom w:val="double" w:sz="6" w:space="0" w:color="auto"/>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c>
          <w:tcPr>
            <w:tcW w:w="1386" w:type="dxa"/>
            <w:tcBorders>
              <w:top w:val="nil"/>
              <w:left w:val="nil"/>
              <w:bottom w:val="double" w:sz="6" w:space="0" w:color="auto"/>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r>
      <w:tr w:rsidR="009F540F" w:rsidRPr="009F540F" w:rsidTr="004643B9">
        <w:trPr>
          <w:trHeight w:val="799"/>
        </w:trPr>
        <w:tc>
          <w:tcPr>
            <w:tcW w:w="4930" w:type="dxa"/>
            <w:tcBorders>
              <w:top w:val="nil"/>
              <w:left w:val="nil"/>
              <w:bottom w:val="double" w:sz="6" w:space="0" w:color="auto"/>
              <w:right w:val="nil"/>
            </w:tcBorders>
            <w:shd w:val="clear" w:color="EBF1DE" w:fill="DCE6F1"/>
            <w:noWrap/>
            <w:vAlign w:val="bottom"/>
            <w:hideMark/>
          </w:tcPr>
          <w:p w:rsidR="009F540F" w:rsidRPr="009F540F" w:rsidRDefault="009F540F" w:rsidP="009F540F">
            <w:pPr>
              <w:spacing w:after="0"/>
              <w:ind w:firstLine="0"/>
              <w:jc w:val="left"/>
              <w:rPr>
                <w:rFonts w:ascii="Arial" w:eastAsia="Times New Roman" w:hAnsi="Arial" w:cs="Arial"/>
                <w:b/>
                <w:bCs/>
                <w:color w:val="000000"/>
                <w:sz w:val="20"/>
                <w:szCs w:val="20"/>
                <w:lang w:eastAsia="ro-RO"/>
              </w:rPr>
            </w:pPr>
            <w:r w:rsidRPr="009F540F">
              <w:rPr>
                <w:rFonts w:ascii="Arial" w:eastAsia="Times New Roman" w:hAnsi="Arial" w:cs="Arial"/>
                <w:b/>
                <w:bCs/>
                <w:color w:val="000000"/>
                <w:sz w:val="20"/>
                <w:szCs w:val="20"/>
                <w:lang w:eastAsia="ro-RO"/>
              </w:rPr>
              <w:t> </w:t>
            </w:r>
          </w:p>
        </w:tc>
        <w:tc>
          <w:tcPr>
            <w:tcW w:w="1384" w:type="dxa"/>
            <w:tcBorders>
              <w:top w:val="nil"/>
              <w:left w:val="nil"/>
              <w:bottom w:val="double" w:sz="6" w:space="0" w:color="auto"/>
              <w:right w:val="nil"/>
            </w:tcBorders>
            <w:shd w:val="clear" w:color="EBF1DE" w:fill="DCE6F1"/>
            <w:vAlign w:val="center"/>
            <w:hideMark/>
          </w:tcPr>
          <w:p w:rsidR="009F540F" w:rsidRPr="009F540F" w:rsidRDefault="009F540F" w:rsidP="009F540F">
            <w:pPr>
              <w:spacing w:after="0"/>
              <w:ind w:firstLine="0"/>
              <w:jc w:val="center"/>
              <w:rPr>
                <w:rFonts w:ascii="Arial" w:eastAsia="Times New Roman" w:hAnsi="Arial" w:cs="Arial"/>
                <w:b/>
                <w:bCs/>
                <w:color w:val="000000"/>
                <w:sz w:val="20"/>
                <w:szCs w:val="20"/>
                <w:lang w:eastAsia="ro-RO"/>
              </w:rPr>
            </w:pPr>
            <w:r w:rsidRPr="009F540F">
              <w:rPr>
                <w:rFonts w:ascii="Arial" w:eastAsia="Times New Roman" w:hAnsi="Arial" w:cs="Arial"/>
                <w:b/>
                <w:bCs/>
                <w:color w:val="000000"/>
                <w:sz w:val="20"/>
                <w:szCs w:val="20"/>
                <w:lang w:eastAsia="ro-RO"/>
              </w:rPr>
              <w:t xml:space="preserve">Buget </w:t>
            </w:r>
            <w:r w:rsidR="00450537" w:rsidRPr="009F540F">
              <w:rPr>
                <w:rFonts w:ascii="Arial" w:eastAsia="Times New Roman" w:hAnsi="Arial" w:cs="Arial"/>
                <w:b/>
                <w:bCs/>
                <w:color w:val="000000"/>
                <w:sz w:val="20"/>
                <w:szCs w:val="20"/>
                <w:lang w:eastAsia="ro-RO"/>
              </w:rPr>
              <w:t>inițial</w:t>
            </w:r>
          </w:p>
        </w:tc>
        <w:tc>
          <w:tcPr>
            <w:tcW w:w="1409" w:type="dxa"/>
            <w:tcBorders>
              <w:top w:val="nil"/>
              <w:left w:val="nil"/>
              <w:bottom w:val="double" w:sz="6" w:space="0" w:color="auto"/>
              <w:right w:val="nil"/>
            </w:tcBorders>
            <w:shd w:val="clear" w:color="EBF1DE" w:fill="DCE6F1"/>
            <w:vAlign w:val="center"/>
            <w:hideMark/>
          </w:tcPr>
          <w:p w:rsidR="009F540F" w:rsidRPr="009F540F" w:rsidRDefault="009F540F" w:rsidP="009F540F">
            <w:pPr>
              <w:spacing w:after="0"/>
              <w:ind w:firstLine="0"/>
              <w:jc w:val="center"/>
              <w:rPr>
                <w:rFonts w:ascii="Arial" w:eastAsia="Times New Roman" w:hAnsi="Arial" w:cs="Arial"/>
                <w:b/>
                <w:bCs/>
                <w:color w:val="000000"/>
                <w:sz w:val="20"/>
                <w:szCs w:val="20"/>
                <w:lang w:eastAsia="ro-RO"/>
              </w:rPr>
            </w:pPr>
            <w:r w:rsidRPr="009F540F">
              <w:rPr>
                <w:rFonts w:ascii="Arial" w:eastAsia="Times New Roman" w:hAnsi="Arial" w:cs="Arial"/>
                <w:b/>
                <w:bCs/>
                <w:color w:val="000000"/>
                <w:sz w:val="20"/>
                <w:szCs w:val="20"/>
                <w:lang w:eastAsia="ro-RO"/>
              </w:rPr>
              <w:t>Realizări semestrul I 2018</w:t>
            </w:r>
          </w:p>
        </w:tc>
        <w:tc>
          <w:tcPr>
            <w:tcW w:w="1386" w:type="dxa"/>
            <w:tcBorders>
              <w:top w:val="nil"/>
              <w:left w:val="nil"/>
              <w:bottom w:val="double" w:sz="6" w:space="0" w:color="auto"/>
              <w:right w:val="nil"/>
            </w:tcBorders>
            <w:shd w:val="clear" w:color="EBF1DE" w:fill="DCE6F1"/>
            <w:vAlign w:val="center"/>
            <w:hideMark/>
          </w:tcPr>
          <w:p w:rsidR="009F540F" w:rsidRPr="009F540F" w:rsidRDefault="009F540F" w:rsidP="009F540F">
            <w:pPr>
              <w:spacing w:after="0"/>
              <w:ind w:firstLine="0"/>
              <w:jc w:val="center"/>
              <w:rPr>
                <w:rFonts w:ascii="Arial" w:eastAsia="Times New Roman" w:hAnsi="Arial" w:cs="Arial"/>
                <w:b/>
                <w:bCs/>
                <w:color w:val="000000"/>
                <w:sz w:val="20"/>
                <w:szCs w:val="20"/>
                <w:lang w:eastAsia="ro-RO"/>
              </w:rPr>
            </w:pPr>
            <w:r w:rsidRPr="009F540F">
              <w:rPr>
                <w:rFonts w:ascii="Arial" w:eastAsia="Times New Roman" w:hAnsi="Arial" w:cs="Arial"/>
                <w:b/>
                <w:bCs/>
                <w:color w:val="000000"/>
                <w:sz w:val="20"/>
                <w:szCs w:val="20"/>
                <w:lang w:eastAsia="ro-RO"/>
              </w:rPr>
              <w:t>Estimări 2018</w:t>
            </w:r>
          </w:p>
        </w:tc>
      </w:tr>
      <w:tr w:rsidR="009F540F" w:rsidRPr="009F540F" w:rsidTr="004643B9">
        <w:trPr>
          <w:trHeight w:val="316"/>
        </w:trPr>
        <w:tc>
          <w:tcPr>
            <w:tcW w:w="4930" w:type="dxa"/>
            <w:tcBorders>
              <w:top w:val="nil"/>
              <w:left w:val="nil"/>
              <w:bottom w:val="nil"/>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Sold buget general consolidat (% din PIB)</w:t>
            </w:r>
          </w:p>
        </w:tc>
        <w:tc>
          <w:tcPr>
            <w:tcW w:w="1384"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sz w:val="20"/>
                <w:szCs w:val="20"/>
                <w:lang w:eastAsia="ro-RO"/>
              </w:rPr>
            </w:pPr>
            <w:r w:rsidRPr="009F540F">
              <w:rPr>
                <w:rFonts w:ascii="Arial" w:eastAsia="Times New Roman" w:hAnsi="Arial" w:cs="Arial"/>
                <w:sz w:val="20"/>
                <w:szCs w:val="20"/>
                <w:lang w:eastAsia="ro-RO"/>
              </w:rPr>
              <w:t>-2,97%</w:t>
            </w:r>
          </w:p>
        </w:tc>
        <w:tc>
          <w:tcPr>
            <w:tcW w:w="1409"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sz w:val="20"/>
                <w:szCs w:val="20"/>
                <w:lang w:eastAsia="ro-RO"/>
              </w:rPr>
            </w:pPr>
            <w:r w:rsidRPr="009F540F">
              <w:rPr>
                <w:rFonts w:ascii="Arial" w:eastAsia="Times New Roman" w:hAnsi="Arial" w:cs="Arial"/>
                <w:sz w:val="20"/>
                <w:szCs w:val="20"/>
                <w:lang w:eastAsia="ro-RO"/>
              </w:rPr>
              <w:t>-1,61%</w:t>
            </w:r>
          </w:p>
        </w:tc>
        <w:tc>
          <w:tcPr>
            <w:tcW w:w="1386"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sz w:val="20"/>
                <w:szCs w:val="20"/>
                <w:lang w:eastAsia="ro-RO"/>
              </w:rPr>
            </w:pPr>
            <w:r w:rsidRPr="009F540F">
              <w:rPr>
                <w:rFonts w:ascii="Arial" w:eastAsia="Times New Roman" w:hAnsi="Arial" w:cs="Arial"/>
                <w:sz w:val="20"/>
                <w:szCs w:val="20"/>
                <w:lang w:eastAsia="ro-RO"/>
              </w:rPr>
              <w:t>-2,97%</w:t>
            </w:r>
          </w:p>
        </w:tc>
      </w:tr>
      <w:tr w:rsidR="009F540F" w:rsidRPr="009F540F" w:rsidTr="004643B9">
        <w:trPr>
          <w:trHeight w:val="512"/>
        </w:trPr>
        <w:tc>
          <w:tcPr>
            <w:tcW w:w="4930" w:type="dxa"/>
            <w:tcBorders>
              <w:top w:val="nil"/>
              <w:left w:val="nil"/>
              <w:bottom w:val="nil"/>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Sold primar al bugetului general consolidat (mil. lei)</w:t>
            </w:r>
          </w:p>
        </w:tc>
        <w:tc>
          <w:tcPr>
            <w:tcW w:w="1384"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-14.862,8</w:t>
            </w:r>
          </w:p>
        </w:tc>
        <w:tc>
          <w:tcPr>
            <w:tcW w:w="1409"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-7.601,3</w:t>
            </w:r>
          </w:p>
        </w:tc>
        <w:tc>
          <w:tcPr>
            <w:tcW w:w="1386"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-15.972,3</w:t>
            </w:r>
          </w:p>
        </w:tc>
      </w:tr>
      <w:tr w:rsidR="009F540F" w:rsidRPr="009F540F" w:rsidTr="004643B9">
        <w:trPr>
          <w:trHeight w:val="422"/>
        </w:trPr>
        <w:tc>
          <w:tcPr>
            <w:tcW w:w="4930" w:type="dxa"/>
            <w:tcBorders>
              <w:top w:val="nil"/>
              <w:left w:val="nil"/>
              <w:bottom w:val="nil"/>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Sold buget general consolidat (mil. lei)</w:t>
            </w:r>
          </w:p>
        </w:tc>
        <w:tc>
          <w:tcPr>
            <w:tcW w:w="1384"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-26.959,6</w:t>
            </w:r>
          </w:p>
        </w:tc>
        <w:tc>
          <w:tcPr>
            <w:tcW w:w="1409"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-14.965,3</w:t>
            </w:r>
          </w:p>
        </w:tc>
        <w:tc>
          <w:tcPr>
            <w:tcW w:w="1386"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-28.066,5</w:t>
            </w:r>
          </w:p>
        </w:tc>
      </w:tr>
      <w:tr w:rsidR="009F540F" w:rsidRPr="009F540F" w:rsidTr="004643B9">
        <w:trPr>
          <w:trHeight w:val="301"/>
        </w:trPr>
        <w:tc>
          <w:tcPr>
            <w:tcW w:w="4930" w:type="dxa"/>
            <w:tcBorders>
              <w:top w:val="nil"/>
              <w:left w:val="nil"/>
              <w:bottom w:val="nil"/>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Sold buget de stat (mil. lei)</w:t>
            </w:r>
          </w:p>
        </w:tc>
        <w:tc>
          <w:tcPr>
            <w:tcW w:w="1384"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-35.776,4</w:t>
            </w:r>
          </w:p>
        </w:tc>
        <w:tc>
          <w:tcPr>
            <w:tcW w:w="1409"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-21.165,6</w:t>
            </w:r>
          </w:p>
        </w:tc>
        <w:tc>
          <w:tcPr>
            <w:tcW w:w="1386"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-38.144,4</w:t>
            </w:r>
          </w:p>
        </w:tc>
      </w:tr>
      <w:tr w:rsidR="009F540F" w:rsidRPr="009F540F" w:rsidTr="004643B9">
        <w:trPr>
          <w:trHeight w:val="377"/>
        </w:trPr>
        <w:tc>
          <w:tcPr>
            <w:tcW w:w="4930" w:type="dxa"/>
            <w:tcBorders>
              <w:top w:val="nil"/>
              <w:left w:val="nil"/>
              <w:bottom w:val="nil"/>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 xml:space="preserve">Sold buget </w:t>
            </w:r>
            <w:r w:rsidR="00450537" w:rsidRPr="009F540F">
              <w:rPr>
                <w:rFonts w:ascii="Arial" w:eastAsia="Times New Roman" w:hAnsi="Arial" w:cs="Arial"/>
                <w:color w:val="000000"/>
                <w:sz w:val="20"/>
                <w:szCs w:val="20"/>
                <w:lang w:eastAsia="ro-RO"/>
              </w:rPr>
              <w:t>asigurări</w:t>
            </w:r>
            <w:r w:rsidRPr="009F540F">
              <w:rPr>
                <w:rFonts w:ascii="Arial" w:eastAsia="Times New Roman" w:hAnsi="Arial" w:cs="Arial"/>
                <w:color w:val="000000"/>
                <w:sz w:val="20"/>
                <w:szCs w:val="20"/>
                <w:lang w:eastAsia="ro-RO"/>
              </w:rPr>
              <w:t xml:space="preserve"> sociale de stat (mil. lei)</w:t>
            </w:r>
          </w:p>
        </w:tc>
        <w:tc>
          <w:tcPr>
            <w:tcW w:w="1384"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191,1</w:t>
            </w:r>
          </w:p>
        </w:tc>
        <w:tc>
          <w:tcPr>
            <w:tcW w:w="1409"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-775,4</w:t>
            </w:r>
          </w:p>
        </w:tc>
        <w:tc>
          <w:tcPr>
            <w:tcW w:w="1386"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236,0</w:t>
            </w:r>
          </w:p>
        </w:tc>
      </w:tr>
      <w:tr w:rsidR="009F540F" w:rsidRPr="009F540F" w:rsidTr="004643B9">
        <w:trPr>
          <w:trHeight w:val="527"/>
        </w:trPr>
        <w:tc>
          <w:tcPr>
            <w:tcW w:w="4930" w:type="dxa"/>
            <w:tcBorders>
              <w:top w:val="nil"/>
              <w:left w:val="nil"/>
              <w:bottom w:val="nil"/>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 xml:space="preserve">Sold bugetul fondului pentru </w:t>
            </w:r>
            <w:r w:rsidR="00450537" w:rsidRPr="009F540F">
              <w:rPr>
                <w:rFonts w:ascii="Arial" w:eastAsia="Times New Roman" w:hAnsi="Arial" w:cs="Arial"/>
                <w:color w:val="000000"/>
                <w:sz w:val="20"/>
                <w:szCs w:val="20"/>
                <w:lang w:eastAsia="ro-RO"/>
              </w:rPr>
              <w:t>asigurări</w:t>
            </w:r>
            <w:r w:rsidRPr="009F540F">
              <w:rPr>
                <w:rFonts w:ascii="Arial" w:eastAsia="Times New Roman" w:hAnsi="Arial" w:cs="Arial"/>
                <w:color w:val="000000"/>
                <w:sz w:val="20"/>
                <w:szCs w:val="20"/>
                <w:lang w:eastAsia="ro-RO"/>
              </w:rPr>
              <w:t xml:space="preserve"> de </w:t>
            </w:r>
            <w:r w:rsidR="00450537" w:rsidRPr="009F540F">
              <w:rPr>
                <w:rFonts w:ascii="Arial" w:eastAsia="Times New Roman" w:hAnsi="Arial" w:cs="Arial"/>
                <w:color w:val="000000"/>
                <w:sz w:val="20"/>
                <w:szCs w:val="20"/>
                <w:lang w:eastAsia="ro-RO"/>
              </w:rPr>
              <w:t>sănătate</w:t>
            </w:r>
            <w:r w:rsidRPr="009F540F">
              <w:rPr>
                <w:rFonts w:ascii="Arial" w:eastAsia="Times New Roman" w:hAnsi="Arial" w:cs="Arial"/>
                <w:color w:val="000000"/>
                <w:sz w:val="20"/>
                <w:szCs w:val="20"/>
                <w:lang w:eastAsia="ro-RO"/>
              </w:rPr>
              <w:t xml:space="preserve"> (mil. lei)</w:t>
            </w:r>
          </w:p>
        </w:tc>
        <w:tc>
          <w:tcPr>
            <w:tcW w:w="1384"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245,2</w:t>
            </w:r>
          </w:p>
        </w:tc>
        <w:tc>
          <w:tcPr>
            <w:tcW w:w="1409"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-474,2</w:t>
            </w:r>
          </w:p>
        </w:tc>
        <w:tc>
          <w:tcPr>
            <w:tcW w:w="1386"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888,1</w:t>
            </w:r>
          </w:p>
        </w:tc>
      </w:tr>
      <w:tr w:rsidR="009F540F" w:rsidRPr="009F540F" w:rsidTr="004643B9">
        <w:trPr>
          <w:trHeight w:val="361"/>
        </w:trPr>
        <w:tc>
          <w:tcPr>
            <w:tcW w:w="4930" w:type="dxa"/>
            <w:tcBorders>
              <w:top w:val="nil"/>
              <w:left w:val="nil"/>
              <w:bottom w:val="nil"/>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 xml:space="preserve">Sold bugetul fondului pentru </w:t>
            </w:r>
            <w:r w:rsidR="00450537" w:rsidRPr="009F540F">
              <w:rPr>
                <w:rFonts w:ascii="Arial" w:eastAsia="Times New Roman" w:hAnsi="Arial" w:cs="Arial"/>
                <w:color w:val="000000"/>
                <w:sz w:val="20"/>
                <w:szCs w:val="20"/>
                <w:lang w:eastAsia="ro-RO"/>
              </w:rPr>
              <w:t>șomaj</w:t>
            </w:r>
            <w:r w:rsidRPr="009F540F">
              <w:rPr>
                <w:rFonts w:ascii="Arial" w:eastAsia="Times New Roman" w:hAnsi="Arial" w:cs="Arial"/>
                <w:color w:val="000000"/>
                <w:sz w:val="20"/>
                <w:szCs w:val="20"/>
                <w:lang w:eastAsia="ro-RO"/>
              </w:rPr>
              <w:t xml:space="preserve"> (mil. lei)</w:t>
            </w:r>
          </w:p>
        </w:tc>
        <w:tc>
          <w:tcPr>
            <w:tcW w:w="1384"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1.133,2</w:t>
            </w:r>
          </w:p>
        </w:tc>
        <w:tc>
          <w:tcPr>
            <w:tcW w:w="1409"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624,2</w:t>
            </w:r>
          </w:p>
        </w:tc>
        <w:tc>
          <w:tcPr>
            <w:tcW w:w="1386" w:type="dxa"/>
            <w:tcBorders>
              <w:top w:val="nil"/>
              <w:left w:val="nil"/>
              <w:bottom w:val="nil"/>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1.324,9</w:t>
            </w:r>
          </w:p>
        </w:tc>
      </w:tr>
      <w:tr w:rsidR="009F540F" w:rsidRPr="009F540F" w:rsidTr="004643B9">
        <w:trPr>
          <w:trHeight w:val="527"/>
        </w:trPr>
        <w:tc>
          <w:tcPr>
            <w:tcW w:w="4930" w:type="dxa"/>
            <w:tcBorders>
              <w:top w:val="nil"/>
              <w:left w:val="nil"/>
              <w:bottom w:val="double" w:sz="6" w:space="0" w:color="auto"/>
              <w:right w:val="nil"/>
            </w:tcBorders>
            <w:shd w:val="clear" w:color="000000" w:fill="FFFFFF"/>
            <w:vAlign w:val="center"/>
            <w:hideMark/>
          </w:tcPr>
          <w:p w:rsidR="009F540F" w:rsidRPr="009F540F" w:rsidRDefault="009F540F" w:rsidP="009F540F">
            <w:pPr>
              <w:spacing w:after="0"/>
              <w:ind w:firstLine="0"/>
              <w:jc w:val="lef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 xml:space="preserve">Sold bugetul </w:t>
            </w:r>
            <w:r w:rsidR="00450537" w:rsidRPr="009F540F">
              <w:rPr>
                <w:rFonts w:ascii="Arial" w:eastAsia="Times New Roman" w:hAnsi="Arial" w:cs="Arial"/>
                <w:color w:val="000000"/>
                <w:sz w:val="20"/>
                <w:szCs w:val="20"/>
                <w:lang w:eastAsia="ro-RO"/>
              </w:rPr>
              <w:t>instituțiilor</w:t>
            </w:r>
            <w:r w:rsidRPr="009F540F">
              <w:rPr>
                <w:rFonts w:ascii="Arial" w:eastAsia="Times New Roman" w:hAnsi="Arial" w:cs="Arial"/>
                <w:color w:val="000000"/>
                <w:sz w:val="20"/>
                <w:szCs w:val="20"/>
                <w:lang w:eastAsia="ro-RO"/>
              </w:rPr>
              <w:t xml:space="preserve"> </w:t>
            </w:r>
            <w:r w:rsidR="00450537" w:rsidRPr="009F540F">
              <w:rPr>
                <w:rFonts w:ascii="Arial" w:eastAsia="Times New Roman" w:hAnsi="Arial" w:cs="Arial"/>
                <w:color w:val="000000"/>
                <w:sz w:val="20"/>
                <w:szCs w:val="20"/>
                <w:lang w:eastAsia="ro-RO"/>
              </w:rPr>
              <w:t>finanțe</w:t>
            </w:r>
            <w:r w:rsidRPr="009F540F">
              <w:rPr>
                <w:rFonts w:ascii="Arial" w:eastAsia="Times New Roman" w:hAnsi="Arial" w:cs="Arial"/>
                <w:color w:val="000000"/>
                <w:sz w:val="20"/>
                <w:szCs w:val="20"/>
                <w:lang w:eastAsia="ro-RO"/>
              </w:rPr>
              <w:t xml:space="preserve"> din venituri proprii (mil. lei)</w:t>
            </w:r>
          </w:p>
        </w:tc>
        <w:tc>
          <w:tcPr>
            <w:tcW w:w="1384" w:type="dxa"/>
            <w:tcBorders>
              <w:top w:val="nil"/>
              <w:left w:val="nil"/>
              <w:bottom w:val="double" w:sz="6" w:space="0" w:color="auto"/>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2.300,0</w:t>
            </w:r>
          </w:p>
        </w:tc>
        <w:tc>
          <w:tcPr>
            <w:tcW w:w="1409" w:type="dxa"/>
            <w:tcBorders>
              <w:top w:val="nil"/>
              <w:left w:val="nil"/>
              <w:bottom w:val="double" w:sz="6" w:space="0" w:color="auto"/>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775,5</w:t>
            </w:r>
          </w:p>
        </w:tc>
        <w:tc>
          <w:tcPr>
            <w:tcW w:w="1386" w:type="dxa"/>
            <w:tcBorders>
              <w:top w:val="nil"/>
              <w:left w:val="nil"/>
              <w:bottom w:val="double" w:sz="6" w:space="0" w:color="auto"/>
              <w:right w:val="nil"/>
            </w:tcBorders>
            <w:shd w:val="clear" w:color="000000" w:fill="FFFFFF"/>
            <w:noWrap/>
            <w:vAlign w:val="center"/>
            <w:hideMark/>
          </w:tcPr>
          <w:p w:rsidR="009F540F" w:rsidRPr="009F540F" w:rsidRDefault="009F540F" w:rsidP="009F540F">
            <w:pPr>
              <w:spacing w:after="0"/>
              <w:ind w:firstLine="0"/>
              <w:jc w:val="right"/>
              <w:rPr>
                <w:rFonts w:ascii="Arial" w:eastAsia="Times New Roman" w:hAnsi="Arial" w:cs="Arial"/>
                <w:color w:val="000000"/>
                <w:sz w:val="20"/>
                <w:szCs w:val="20"/>
                <w:lang w:eastAsia="ro-RO"/>
              </w:rPr>
            </w:pPr>
            <w:r w:rsidRPr="009F540F">
              <w:rPr>
                <w:rFonts w:ascii="Arial" w:eastAsia="Times New Roman" w:hAnsi="Arial" w:cs="Arial"/>
                <w:color w:val="000000"/>
                <w:sz w:val="20"/>
                <w:szCs w:val="20"/>
                <w:lang w:eastAsia="ro-RO"/>
              </w:rPr>
              <w:t>2.090,0</w:t>
            </w:r>
          </w:p>
        </w:tc>
      </w:tr>
      <w:tr w:rsidR="009F540F" w:rsidRPr="009F540F" w:rsidTr="004643B9">
        <w:trPr>
          <w:trHeight w:val="316"/>
        </w:trPr>
        <w:tc>
          <w:tcPr>
            <w:tcW w:w="4930" w:type="dxa"/>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c>
          <w:tcPr>
            <w:tcW w:w="1384" w:type="dxa"/>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c>
          <w:tcPr>
            <w:tcW w:w="1409" w:type="dxa"/>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c>
          <w:tcPr>
            <w:tcW w:w="1386" w:type="dxa"/>
            <w:tcBorders>
              <w:top w:val="nil"/>
              <w:left w:val="nil"/>
              <w:bottom w:val="nil"/>
              <w:right w:val="nil"/>
            </w:tcBorders>
            <w:shd w:val="clear" w:color="000000" w:fill="FFFFFF"/>
            <w:noWrap/>
            <w:vAlign w:val="bottom"/>
            <w:hideMark/>
          </w:tcPr>
          <w:p w:rsidR="009F540F" w:rsidRPr="009F540F" w:rsidRDefault="009F540F" w:rsidP="009F540F">
            <w:pPr>
              <w:spacing w:after="0"/>
              <w:ind w:firstLine="0"/>
              <w:jc w:val="left"/>
              <w:rPr>
                <w:rFonts w:ascii="Calibri" w:eastAsia="Times New Roman" w:hAnsi="Calibri" w:cs="Times New Roman"/>
                <w:color w:val="000000"/>
                <w:lang w:eastAsia="ro-RO"/>
              </w:rPr>
            </w:pPr>
            <w:r w:rsidRPr="009F540F">
              <w:rPr>
                <w:rFonts w:ascii="Calibri" w:eastAsia="Times New Roman" w:hAnsi="Calibri" w:cs="Times New Roman"/>
                <w:color w:val="000000"/>
                <w:lang w:eastAsia="ro-RO"/>
              </w:rPr>
              <w:t> </w:t>
            </w:r>
          </w:p>
        </w:tc>
      </w:tr>
    </w:tbl>
    <w:p w:rsidR="003A0173" w:rsidRPr="00857E54" w:rsidRDefault="003A0173" w:rsidP="00281576">
      <w:pPr>
        <w:keepNext/>
        <w:keepLines/>
        <w:ind w:firstLine="0"/>
        <w:rPr>
          <w:rFonts w:ascii="Arial" w:hAnsi="Arial" w:cs="Arial"/>
          <w:sz w:val="24"/>
          <w:szCs w:val="24"/>
        </w:rPr>
      </w:pPr>
    </w:p>
    <w:tbl>
      <w:tblPr>
        <w:tblW w:w="9434" w:type="dxa"/>
        <w:tblLook w:val="04A0" w:firstRow="1" w:lastRow="0" w:firstColumn="1" w:lastColumn="0" w:noHBand="0" w:noVBand="1"/>
      </w:tblPr>
      <w:tblGrid>
        <w:gridCol w:w="1099"/>
        <w:gridCol w:w="1081"/>
        <w:gridCol w:w="1081"/>
        <w:gridCol w:w="1081"/>
        <w:gridCol w:w="1081"/>
        <w:gridCol w:w="1081"/>
        <w:gridCol w:w="1081"/>
        <w:gridCol w:w="1082"/>
        <w:gridCol w:w="767"/>
      </w:tblGrid>
      <w:tr w:rsidR="00857E54" w:rsidRPr="00857E54" w:rsidTr="008A700D">
        <w:trPr>
          <w:trHeight w:val="511"/>
        </w:trPr>
        <w:tc>
          <w:tcPr>
            <w:tcW w:w="9434" w:type="dxa"/>
            <w:gridSpan w:val="9"/>
            <w:tcBorders>
              <w:top w:val="nil"/>
              <w:left w:val="nil"/>
              <w:bottom w:val="nil"/>
              <w:right w:val="nil"/>
            </w:tcBorders>
            <w:shd w:val="clear" w:color="CCCCFF" w:fill="FFFFFF"/>
            <w:noWrap/>
            <w:vAlign w:val="center"/>
            <w:hideMark/>
          </w:tcPr>
          <w:p w:rsidR="00553F89" w:rsidRPr="00857E54" w:rsidRDefault="008A700D" w:rsidP="00281576">
            <w:pPr>
              <w:keepNext/>
              <w:keepLines/>
              <w:spacing w:after="0"/>
              <w:ind w:firstLine="0"/>
              <w:jc w:val="center"/>
              <w:rPr>
                <w:rFonts w:ascii="Arial" w:eastAsia="Times New Roman" w:hAnsi="Arial" w:cs="Arial"/>
                <w:b/>
                <w:bCs/>
                <w:lang w:eastAsia="ro-RO"/>
              </w:rPr>
            </w:pPr>
            <w:r w:rsidRPr="00857E54">
              <w:br w:type="page"/>
            </w:r>
            <w:r w:rsidR="00553F89" w:rsidRPr="00857E54">
              <w:rPr>
                <w:rFonts w:ascii="Arial" w:eastAsia="Times New Roman" w:hAnsi="Arial" w:cs="Arial"/>
                <w:b/>
                <w:bCs/>
                <w:lang w:eastAsia="ro-RO"/>
              </w:rPr>
              <w:t>PLĂŢI RESTANTE</w:t>
            </w:r>
          </w:p>
        </w:tc>
      </w:tr>
      <w:tr w:rsidR="00857E54" w:rsidRPr="00857E54" w:rsidTr="008A700D">
        <w:trPr>
          <w:trHeight w:val="285"/>
        </w:trPr>
        <w:tc>
          <w:tcPr>
            <w:tcW w:w="1099" w:type="dxa"/>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left"/>
              <w:rPr>
                <w:rFonts w:ascii="Arial" w:eastAsia="Times New Roman" w:hAnsi="Arial" w:cs="Arial"/>
                <w:sz w:val="20"/>
                <w:szCs w:val="20"/>
                <w:lang w:eastAsia="ro-RO"/>
              </w:rPr>
            </w:pPr>
            <w:r w:rsidRPr="00857E54">
              <w:rPr>
                <w:rFonts w:ascii="Arial" w:eastAsia="Times New Roman" w:hAnsi="Arial" w:cs="Arial"/>
                <w:sz w:val="20"/>
                <w:szCs w:val="20"/>
                <w:lang w:eastAsia="ro-RO"/>
              </w:rPr>
              <w:t> </w:t>
            </w:r>
          </w:p>
        </w:tc>
        <w:tc>
          <w:tcPr>
            <w:tcW w:w="1081" w:type="dxa"/>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center"/>
              <w:rPr>
                <w:rFonts w:ascii="Arial" w:eastAsia="Times New Roman" w:hAnsi="Arial" w:cs="Arial"/>
                <w:b/>
                <w:bCs/>
                <w:sz w:val="20"/>
                <w:szCs w:val="20"/>
                <w:lang w:eastAsia="ro-RO"/>
              </w:rPr>
            </w:pPr>
            <w:r w:rsidRPr="00857E54">
              <w:rPr>
                <w:rFonts w:ascii="Arial" w:eastAsia="Times New Roman" w:hAnsi="Arial" w:cs="Arial"/>
                <w:b/>
                <w:bCs/>
                <w:sz w:val="20"/>
                <w:szCs w:val="20"/>
                <w:lang w:eastAsia="ro-RO"/>
              </w:rPr>
              <w:t> </w:t>
            </w:r>
          </w:p>
        </w:tc>
        <w:tc>
          <w:tcPr>
            <w:tcW w:w="1081" w:type="dxa"/>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center"/>
              <w:rPr>
                <w:rFonts w:ascii="Arial" w:eastAsia="Times New Roman" w:hAnsi="Arial" w:cs="Arial"/>
                <w:b/>
                <w:bCs/>
                <w:sz w:val="20"/>
                <w:szCs w:val="20"/>
                <w:lang w:eastAsia="ro-RO"/>
              </w:rPr>
            </w:pPr>
            <w:r w:rsidRPr="00857E54">
              <w:rPr>
                <w:rFonts w:ascii="Arial" w:eastAsia="Times New Roman" w:hAnsi="Arial" w:cs="Arial"/>
                <w:b/>
                <w:bCs/>
                <w:sz w:val="20"/>
                <w:szCs w:val="20"/>
                <w:lang w:eastAsia="ro-RO"/>
              </w:rPr>
              <w:t> </w:t>
            </w:r>
          </w:p>
        </w:tc>
        <w:tc>
          <w:tcPr>
            <w:tcW w:w="1081" w:type="dxa"/>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center"/>
              <w:rPr>
                <w:rFonts w:ascii="Arial" w:eastAsia="Times New Roman" w:hAnsi="Arial" w:cs="Arial"/>
                <w:b/>
                <w:bCs/>
                <w:sz w:val="20"/>
                <w:szCs w:val="20"/>
                <w:lang w:eastAsia="ro-RO"/>
              </w:rPr>
            </w:pPr>
            <w:r w:rsidRPr="00857E54">
              <w:rPr>
                <w:rFonts w:ascii="Arial" w:eastAsia="Times New Roman" w:hAnsi="Arial" w:cs="Arial"/>
                <w:b/>
                <w:bCs/>
                <w:sz w:val="20"/>
                <w:szCs w:val="20"/>
                <w:lang w:eastAsia="ro-RO"/>
              </w:rPr>
              <w:t> </w:t>
            </w:r>
          </w:p>
        </w:tc>
        <w:tc>
          <w:tcPr>
            <w:tcW w:w="1081" w:type="dxa"/>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center"/>
              <w:rPr>
                <w:rFonts w:ascii="Arial" w:eastAsia="Times New Roman" w:hAnsi="Arial" w:cs="Arial"/>
                <w:b/>
                <w:bCs/>
                <w:sz w:val="20"/>
                <w:szCs w:val="20"/>
                <w:lang w:eastAsia="ro-RO"/>
              </w:rPr>
            </w:pPr>
            <w:r w:rsidRPr="00857E54">
              <w:rPr>
                <w:rFonts w:ascii="Arial" w:eastAsia="Times New Roman" w:hAnsi="Arial" w:cs="Arial"/>
                <w:b/>
                <w:bCs/>
                <w:sz w:val="20"/>
                <w:szCs w:val="20"/>
                <w:lang w:eastAsia="ro-RO"/>
              </w:rPr>
              <w:t> </w:t>
            </w:r>
          </w:p>
        </w:tc>
        <w:tc>
          <w:tcPr>
            <w:tcW w:w="1081" w:type="dxa"/>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right"/>
              <w:rPr>
                <w:rFonts w:ascii="Arial" w:eastAsia="Times New Roman" w:hAnsi="Arial" w:cs="Arial"/>
                <w:sz w:val="20"/>
                <w:szCs w:val="20"/>
                <w:lang w:eastAsia="ro-RO"/>
              </w:rPr>
            </w:pPr>
            <w:r w:rsidRPr="00857E54">
              <w:rPr>
                <w:rFonts w:ascii="Arial" w:eastAsia="Times New Roman" w:hAnsi="Arial" w:cs="Arial"/>
                <w:sz w:val="20"/>
                <w:szCs w:val="20"/>
                <w:lang w:eastAsia="ro-RO"/>
              </w:rPr>
              <w:t> </w:t>
            </w:r>
          </w:p>
        </w:tc>
        <w:tc>
          <w:tcPr>
            <w:tcW w:w="1081" w:type="dxa"/>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right"/>
              <w:rPr>
                <w:rFonts w:ascii="Arial" w:eastAsia="Times New Roman" w:hAnsi="Arial" w:cs="Arial"/>
                <w:sz w:val="20"/>
                <w:szCs w:val="20"/>
                <w:lang w:eastAsia="ro-RO"/>
              </w:rPr>
            </w:pPr>
            <w:r w:rsidRPr="00857E54">
              <w:rPr>
                <w:rFonts w:ascii="Arial" w:eastAsia="Times New Roman" w:hAnsi="Arial" w:cs="Arial"/>
                <w:sz w:val="20"/>
                <w:szCs w:val="20"/>
                <w:lang w:eastAsia="ro-RO"/>
              </w:rPr>
              <w:t> </w:t>
            </w:r>
          </w:p>
        </w:tc>
        <w:tc>
          <w:tcPr>
            <w:tcW w:w="1849" w:type="dxa"/>
            <w:gridSpan w:val="2"/>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right"/>
              <w:rPr>
                <w:rFonts w:ascii="Arial" w:eastAsia="Times New Roman" w:hAnsi="Arial" w:cs="Arial"/>
                <w:sz w:val="18"/>
                <w:szCs w:val="18"/>
                <w:lang w:eastAsia="ro-RO"/>
              </w:rPr>
            </w:pPr>
            <w:r w:rsidRPr="00857E54">
              <w:rPr>
                <w:rFonts w:ascii="Arial" w:eastAsia="Times New Roman" w:hAnsi="Arial" w:cs="Arial"/>
                <w:sz w:val="18"/>
                <w:szCs w:val="18"/>
                <w:lang w:eastAsia="ro-RO"/>
              </w:rPr>
              <w:t>milioane lei</w:t>
            </w:r>
          </w:p>
        </w:tc>
      </w:tr>
      <w:tr w:rsidR="00857E54" w:rsidRPr="00857E54" w:rsidTr="008A700D">
        <w:trPr>
          <w:trHeight w:val="520"/>
        </w:trPr>
        <w:tc>
          <w:tcPr>
            <w:tcW w:w="1099" w:type="dxa"/>
            <w:tcBorders>
              <w:top w:val="double" w:sz="6" w:space="0" w:color="auto"/>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 </w:t>
            </w:r>
          </w:p>
        </w:tc>
        <w:tc>
          <w:tcPr>
            <w:tcW w:w="2162" w:type="dxa"/>
            <w:gridSpan w:val="2"/>
            <w:tcBorders>
              <w:top w:val="double" w:sz="6" w:space="0" w:color="auto"/>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Bugetul de Stat şi</w:t>
            </w:r>
            <w:r w:rsidRPr="00857E54">
              <w:rPr>
                <w:rFonts w:ascii="Arial" w:eastAsia="Times New Roman" w:hAnsi="Arial" w:cs="Arial"/>
                <w:b/>
                <w:bCs/>
                <w:sz w:val="18"/>
                <w:szCs w:val="18"/>
                <w:lang w:eastAsia="ro-RO"/>
              </w:rPr>
              <w:br/>
              <w:t xml:space="preserve"> Autonome</w:t>
            </w:r>
          </w:p>
        </w:tc>
        <w:tc>
          <w:tcPr>
            <w:tcW w:w="2162" w:type="dxa"/>
            <w:gridSpan w:val="2"/>
            <w:tcBorders>
              <w:top w:val="double" w:sz="6" w:space="0" w:color="auto"/>
              <w:left w:val="nil"/>
              <w:bottom w:val="double" w:sz="6" w:space="0" w:color="auto"/>
              <w:right w:val="nil"/>
            </w:tcBorders>
            <w:shd w:val="clear" w:color="000000" w:fill="DCE6F1"/>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Bugete Locale</w:t>
            </w:r>
          </w:p>
        </w:tc>
        <w:tc>
          <w:tcPr>
            <w:tcW w:w="2162" w:type="dxa"/>
            <w:gridSpan w:val="2"/>
            <w:tcBorders>
              <w:top w:val="double" w:sz="6" w:space="0" w:color="auto"/>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 xml:space="preserve">Bugetul Asigurărilor </w:t>
            </w:r>
            <w:r w:rsidRPr="00857E54">
              <w:rPr>
                <w:rFonts w:ascii="Arial" w:eastAsia="Times New Roman" w:hAnsi="Arial" w:cs="Arial"/>
                <w:b/>
                <w:bCs/>
                <w:sz w:val="18"/>
                <w:szCs w:val="18"/>
                <w:lang w:eastAsia="ro-RO"/>
              </w:rPr>
              <w:br/>
              <w:t>Sociale</w:t>
            </w:r>
          </w:p>
        </w:tc>
        <w:tc>
          <w:tcPr>
            <w:tcW w:w="1849" w:type="dxa"/>
            <w:gridSpan w:val="2"/>
            <w:tcBorders>
              <w:top w:val="double" w:sz="6" w:space="0" w:color="auto"/>
              <w:left w:val="nil"/>
              <w:bottom w:val="double" w:sz="6" w:space="0" w:color="auto"/>
              <w:right w:val="nil"/>
            </w:tcBorders>
            <w:shd w:val="clear" w:color="000000" w:fill="DCE6F1"/>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TOTAL</w:t>
            </w:r>
          </w:p>
        </w:tc>
      </w:tr>
      <w:tr w:rsidR="00857E54" w:rsidRPr="00857E54" w:rsidTr="008A700D">
        <w:trPr>
          <w:trHeight w:val="520"/>
        </w:trPr>
        <w:tc>
          <w:tcPr>
            <w:tcW w:w="1099"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w:t>
            </w:r>
          </w:p>
        </w:tc>
        <w:tc>
          <w:tcPr>
            <w:tcW w:w="1081"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xml:space="preserve">30 iunie </w:t>
            </w:r>
            <w:r w:rsidRPr="00857E54">
              <w:rPr>
                <w:rFonts w:ascii="Arial" w:eastAsia="Times New Roman" w:hAnsi="Arial" w:cs="Arial"/>
                <w:sz w:val="18"/>
                <w:szCs w:val="18"/>
                <w:lang w:eastAsia="ro-RO"/>
              </w:rPr>
              <w:br/>
              <w:t>2017</w:t>
            </w:r>
          </w:p>
        </w:tc>
        <w:tc>
          <w:tcPr>
            <w:tcW w:w="1081"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xml:space="preserve">30 iunie </w:t>
            </w:r>
            <w:r w:rsidRPr="00857E54">
              <w:rPr>
                <w:rFonts w:ascii="Arial" w:eastAsia="Times New Roman" w:hAnsi="Arial" w:cs="Arial"/>
                <w:sz w:val="18"/>
                <w:szCs w:val="18"/>
                <w:lang w:eastAsia="ro-RO"/>
              </w:rPr>
              <w:br/>
              <w:t>2018</w:t>
            </w:r>
          </w:p>
        </w:tc>
        <w:tc>
          <w:tcPr>
            <w:tcW w:w="1081"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30  iunie</w:t>
            </w:r>
            <w:r w:rsidRPr="00857E54">
              <w:rPr>
                <w:rFonts w:ascii="Arial" w:eastAsia="Times New Roman" w:hAnsi="Arial" w:cs="Arial"/>
                <w:sz w:val="18"/>
                <w:szCs w:val="18"/>
                <w:lang w:eastAsia="ro-RO"/>
              </w:rPr>
              <w:br/>
              <w:t>2017</w:t>
            </w:r>
          </w:p>
        </w:tc>
        <w:tc>
          <w:tcPr>
            <w:tcW w:w="1081"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30 iunie</w:t>
            </w:r>
            <w:r w:rsidRPr="00857E54">
              <w:rPr>
                <w:rFonts w:ascii="Arial" w:eastAsia="Times New Roman" w:hAnsi="Arial" w:cs="Arial"/>
                <w:sz w:val="18"/>
                <w:szCs w:val="18"/>
                <w:lang w:eastAsia="ro-RO"/>
              </w:rPr>
              <w:br/>
              <w:t>2018</w:t>
            </w:r>
          </w:p>
        </w:tc>
        <w:tc>
          <w:tcPr>
            <w:tcW w:w="1081"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30 iunie</w:t>
            </w:r>
            <w:r w:rsidRPr="00857E54">
              <w:rPr>
                <w:rFonts w:ascii="Arial" w:eastAsia="Times New Roman" w:hAnsi="Arial" w:cs="Arial"/>
                <w:sz w:val="18"/>
                <w:szCs w:val="18"/>
                <w:lang w:eastAsia="ro-RO"/>
              </w:rPr>
              <w:br/>
              <w:t>2017</w:t>
            </w:r>
          </w:p>
        </w:tc>
        <w:tc>
          <w:tcPr>
            <w:tcW w:w="1081"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30 iunie</w:t>
            </w:r>
            <w:r w:rsidRPr="00857E54">
              <w:rPr>
                <w:rFonts w:ascii="Arial" w:eastAsia="Times New Roman" w:hAnsi="Arial" w:cs="Arial"/>
                <w:sz w:val="18"/>
                <w:szCs w:val="18"/>
                <w:lang w:eastAsia="ro-RO"/>
              </w:rPr>
              <w:br/>
              <w:t>2018</w:t>
            </w:r>
          </w:p>
        </w:tc>
        <w:tc>
          <w:tcPr>
            <w:tcW w:w="1082"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xml:space="preserve">30 iunie </w:t>
            </w:r>
            <w:r w:rsidRPr="00857E54">
              <w:rPr>
                <w:rFonts w:ascii="Arial" w:eastAsia="Times New Roman" w:hAnsi="Arial" w:cs="Arial"/>
                <w:sz w:val="18"/>
                <w:szCs w:val="18"/>
                <w:lang w:eastAsia="ro-RO"/>
              </w:rPr>
              <w:br/>
              <w:t>2017</w:t>
            </w:r>
          </w:p>
        </w:tc>
        <w:tc>
          <w:tcPr>
            <w:tcW w:w="767" w:type="dxa"/>
            <w:tcBorders>
              <w:top w:val="nil"/>
              <w:left w:val="nil"/>
              <w:bottom w:val="double" w:sz="6" w:space="0" w:color="auto"/>
              <w:right w:val="nil"/>
            </w:tcBorders>
            <w:shd w:val="clear" w:color="000000" w:fill="DCE6F1"/>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xml:space="preserve">30 iunie </w:t>
            </w:r>
            <w:r w:rsidRPr="00857E54">
              <w:rPr>
                <w:rFonts w:ascii="Arial" w:eastAsia="Times New Roman" w:hAnsi="Arial" w:cs="Arial"/>
                <w:sz w:val="18"/>
                <w:szCs w:val="18"/>
                <w:lang w:eastAsia="ro-RO"/>
              </w:rPr>
              <w:br/>
              <w:t>2018</w:t>
            </w:r>
          </w:p>
        </w:tc>
      </w:tr>
      <w:tr w:rsidR="00857E54" w:rsidRPr="00857E54" w:rsidTr="008A700D">
        <w:trPr>
          <w:trHeight w:val="309"/>
        </w:trPr>
        <w:tc>
          <w:tcPr>
            <w:tcW w:w="1099" w:type="dxa"/>
            <w:tcBorders>
              <w:top w:val="nil"/>
              <w:left w:val="nil"/>
              <w:bottom w:val="nil"/>
              <w:right w:val="nil"/>
            </w:tcBorders>
            <w:shd w:val="clear" w:color="000000" w:fill="FFFFFF"/>
            <w:vAlign w:val="center"/>
            <w:hideMark/>
          </w:tcPr>
          <w:p w:rsidR="00553F89" w:rsidRPr="00857E54" w:rsidRDefault="003A4DF3" w:rsidP="00281576">
            <w:pPr>
              <w:keepNext/>
              <w:keepLines/>
              <w:spacing w:after="0"/>
              <w:ind w:firstLine="0"/>
              <w:jc w:val="left"/>
              <w:rPr>
                <w:rFonts w:ascii="Arial" w:eastAsia="Times New Roman" w:hAnsi="Arial" w:cs="Arial"/>
                <w:sz w:val="18"/>
                <w:szCs w:val="18"/>
                <w:lang w:eastAsia="ro-RO"/>
              </w:rPr>
            </w:pPr>
            <w:r w:rsidRPr="00857E54">
              <w:rPr>
                <w:rFonts w:ascii="Arial" w:eastAsia="Times New Roman" w:hAnsi="Arial" w:cs="Arial"/>
                <w:sz w:val="18"/>
                <w:szCs w:val="18"/>
                <w:lang w:eastAsia="ro-RO"/>
              </w:rPr>
              <w:t>plăți</w:t>
            </w:r>
            <w:r w:rsidR="00553F89" w:rsidRPr="00857E54">
              <w:rPr>
                <w:rFonts w:ascii="Arial" w:eastAsia="Times New Roman" w:hAnsi="Arial" w:cs="Arial"/>
                <w:sz w:val="18"/>
                <w:szCs w:val="18"/>
                <w:lang w:eastAsia="ro-RO"/>
              </w:rPr>
              <w:t xml:space="preserve"> restante</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82,52</w:t>
            </w:r>
          </w:p>
        </w:tc>
        <w:tc>
          <w:tcPr>
            <w:tcW w:w="1081" w:type="dxa"/>
            <w:tcBorders>
              <w:top w:val="nil"/>
              <w:left w:val="nil"/>
              <w:bottom w:val="nil"/>
              <w:right w:val="nil"/>
            </w:tcBorders>
            <w:shd w:val="clear" w:color="000000" w:fill="FFFFFF"/>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131,14</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566,91</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588,84</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3,45</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5,40</w:t>
            </w:r>
          </w:p>
        </w:tc>
        <w:tc>
          <w:tcPr>
            <w:tcW w:w="1082"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652,88</w:t>
            </w:r>
          </w:p>
        </w:tc>
        <w:tc>
          <w:tcPr>
            <w:tcW w:w="767"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725,38</w:t>
            </w:r>
          </w:p>
        </w:tc>
      </w:tr>
      <w:tr w:rsidR="00857E54" w:rsidRPr="00857E54" w:rsidTr="008A700D">
        <w:trPr>
          <w:trHeight w:val="309"/>
        </w:trPr>
        <w:tc>
          <w:tcPr>
            <w:tcW w:w="1099" w:type="dxa"/>
            <w:tcBorders>
              <w:top w:val="nil"/>
              <w:left w:val="nil"/>
              <w:bottom w:val="nil"/>
              <w:right w:val="nil"/>
            </w:tcBorders>
            <w:shd w:val="clear" w:color="000000" w:fill="FFFFFF"/>
            <w:vAlign w:val="bottom"/>
            <w:hideMark/>
          </w:tcPr>
          <w:p w:rsidR="00553F89" w:rsidRPr="00857E54" w:rsidRDefault="00553F89" w:rsidP="00281576">
            <w:pPr>
              <w:keepNext/>
              <w:keepLines/>
              <w:spacing w:after="0"/>
              <w:ind w:firstLine="0"/>
              <w:rPr>
                <w:rFonts w:ascii="Arial" w:eastAsia="Times New Roman" w:hAnsi="Arial" w:cs="Arial"/>
                <w:sz w:val="18"/>
                <w:szCs w:val="18"/>
                <w:lang w:val="en-US" w:eastAsia="ro-RO"/>
              </w:rPr>
            </w:pPr>
            <w:r w:rsidRPr="00857E54">
              <w:rPr>
                <w:rFonts w:ascii="Arial" w:eastAsia="Times New Roman" w:hAnsi="Arial" w:cs="Arial"/>
                <w:sz w:val="18"/>
                <w:szCs w:val="18"/>
                <w:lang w:eastAsia="ro-RO"/>
              </w:rPr>
              <w:t>din care</w:t>
            </w:r>
            <w:r w:rsidR="003A4DF3" w:rsidRPr="00857E54">
              <w:rPr>
                <w:rFonts w:ascii="Arial" w:eastAsia="Times New Roman" w:hAnsi="Arial" w:cs="Arial"/>
                <w:sz w:val="18"/>
                <w:szCs w:val="18"/>
                <w:lang w:val="en-US" w:eastAsia="ro-RO"/>
              </w:rPr>
              <w:t>:</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w:t>
            </w:r>
          </w:p>
        </w:tc>
        <w:tc>
          <w:tcPr>
            <w:tcW w:w="1081"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 </w:t>
            </w:r>
          </w:p>
        </w:tc>
        <w:tc>
          <w:tcPr>
            <w:tcW w:w="1082"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 </w:t>
            </w:r>
          </w:p>
        </w:tc>
        <w:tc>
          <w:tcPr>
            <w:tcW w:w="767"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 </w:t>
            </w:r>
          </w:p>
        </w:tc>
      </w:tr>
      <w:tr w:rsidR="00857E54" w:rsidRPr="00857E54" w:rsidTr="008A700D">
        <w:trPr>
          <w:trHeight w:val="309"/>
        </w:trPr>
        <w:tc>
          <w:tcPr>
            <w:tcW w:w="1099"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left"/>
              <w:rPr>
                <w:rFonts w:ascii="Arial" w:eastAsia="Times New Roman" w:hAnsi="Arial" w:cs="Arial"/>
                <w:sz w:val="18"/>
                <w:szCs w:val="18"/>
                <w:lang w:eastAsia="ro-RO"/>
              </w:rPr>
            </w:pPr>
            <w:r w:rsidRPr="00857E54">
              <w:rPr>
                <w:rFonts w:ascii="Arial" w:eastAsia="Times New Roman" w:hAnsi="Arial" w:cs="Arial"/>
                <w:sz w:val="18"/>
                <w:szCs w:val="18"/>
                <w:lang w:eastAsia="ro-RO"/>
              </w:rPr>
              <w:t>arierate</w:t>
            </w:r>
          </w:p>
        </w:tc>
        <w:tc>
          <w:tcPr>
            <w:tcW w:w="1081"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27,12</w:t>
            </w:r>
          </w:p>
        </w:tc>
        <w:tc>
          <w:tcPr>
            <w:tcW w:w="1081"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47,94</w:t>
            </w:r>
          </w:p>
        </w:tc>
        <w:tc>
          <w:tcPr>
            <w:tcW w:w="1081"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181,42</w:t>
            </w:r>
          </w:p>
        </w:tc>
        <w:tc>
          <w:tcPr>
            <w:tcW w:w="1081"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184,98</w:t>
            </w:r>
          </w:p>
        </w:tc>
        <w:tc>
          <w:tcPr>
            <w:tcW w:w="1081"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0,00</w:t>
            </w:r>
          </w:p>
        </w:tc>
        <w:tc>
          <w:tcPr>
            <w:tcW w:w="1081"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sz w:val="18"/>
                <w:szCs w:val="18"/>
                <w:lang w:eastAsia="ro-RO"/>
              </w:rPr>
            </w:pPr>
            <w:r w:rsidRPr="00857E54">
              <w:rPr>
                <w:rFonts w:ascii="Arial" w:eastAsia="Times New Roman" w:hAnsi="Arial" w:cs="Arial"/>
                <w:sz w:val="18"/>
                <w:szCs w:val="18"/>
                <w:lang w:eastAsia="ro-RO"/>
              </w:rPr>
              <w:t>0,00</w:t>
            </w:r>
          </w:p>
        </w:tc>
        <w:tc>
          <w:tcPr>
            <w:tcW w:w="1082"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208,54</w:t>
            </w:r>
          </w:p>
        </w:tc>
        <w:tc>
          <w:tcPr>
            <w:tcW w:w="767" w:type="dxa"/>
            <w:tcBorders>
              <w:top w:val="nil"/>
              <w:left w:val="nil"/>
              <w:bottom w:val="double" w:sz="6" w:space="0" w:color="auto"/>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232,93</w:t>
            </w:r>
          </w:p>
        </w:tc>
      </w:tr>
      <w:tr w:rsidR="00857E54" w:rsidRPr="00857E54" w:rsidTr="008A700D">
        <w:trPr>
          <w:trHeight w:val="226"/>
        </w:trPr>
        <w:tc>
          <w:tcPr>
            <w:tcW w:w="8667" w:type="dxa"/>
            <w:gridSpan w:val="8"/>
            <w:tcBorders>
              <w:top w:val="nil"/>
              <w:left w:val="nil"/>
              <w:bottom w:val="nil"/>
              <w:right w:val="nil"/>
            </w:tcBorders>
            <w:shd w:val="clear" w:color="000000" w:fill="FFFFFF"/>
            <w:noWrap/>
            <w:vAlign w:val="bottom"/>
            <w:hideMark/>
          </w:tcPr>
          <w:p w:rsidR="00553F89" w:rsidRPr="00857E54" w:rsidRDefault="00553F89" w:rsidP="00281576">
            <w:pPr>
              <w:keepNext/>
              <w:keepLines/>
              <w:spacing w:after="0"/>
              <w:ind w:firstLine="0"/>
              <w:jc w:val="left"/>
              <w:rPr>
                <w:rFonts w:ascii="Arial" w:eastAsia="Times New Roman" w:hAnsi="Arial" w:cs="Arial"/>
                <w:i/>
                <w:iCs/>
                <w:sz w:val="16"/>
                <w:szCs w:val="16"/>
                <w:lang w:eastAsia="ro-RO"/>
              </w:rPr>
            </w:pPr>
            <w:r w:rsidRPr="00857E54">
              <w:rPr>
                <w:rFonts w:ascii="Arial" w:eastAsia="Times New Roman" w:hAnsi="Arial" w:cs="Arial"/>
                <w:i/>
                <w:iCs/>
                <w:sz w:val="16"/>
                <w:szCs w:val="16"/>
                <w:lang w:eastAsia="ro-RO"/>
              </w:rPr>
              <w:t xml:space="preserve">NOTA: Include arieratele conform </w:t>
            </w:r>
            <w:r w:rsidR="003A4DF3" w:rsidRPr="00857E54">
              <w:rPr>
                <w:rFonts w:ascii="Arial" w:eastAsia="Times New Roman" w:hAnsi="Arial" w:cs="Arial"/>
                <w:i/>
                <w:iCs/>
                <w:sz w:val="16"/>
                <w:szCs w:val="16"/>
                <w:lang w:eastAsia="ro-RO"/>
              </w:rPr>
              <w:t>definiției</w:t>
            </w:r>
            <w:r w:rsidRPr="00857E54">
              <w:rPr>
                <w:rFonts w:ascii="Arial" w:eastAsia="Times New Roman" w:hAnsi="Arial" w:cs="Arial"/>
                <w:i/>
                <w:iCs/>
                <w:sz w:val="16"/>
                <w:szCs w:val="16"/>
                <w:lang w:eastAsia="ro-RO"/>
              </w:rPr>
              <w:t xml:space="preserve"> din acordul cu FMI (plăti restante peste 90 zile)</w:t>
            </w:r>
          </w:p>
        </w:tc>
        <w:tc>
          <w:tcPr>
            <w:tcW w:w="767" w:type="dxa"/>
            <w:tcBorders>
              <w:top w:val="nil"/>
              <w:left w:val="nil"/>
              <w:bottom w:val="nil"/>
              <w:right w:val="nil"/>
            </w:tcBorders>
            <w:shd w:val="clear" w:color="000000" w:fill="FFFFFF"/>
            <w:noWrap/>
            <w:vAlign w:val="center"/>
            <w:hideMark/>
          </w:tcPr>
          <w:p w:rsidR="00553F89" w:rsidRPr="00857E54" w:rsidRDefault="00553F89" w:rsidP="00281576">
            <w:pPr>
              <w:keepNext/>
              <w:keepLines/>
              <w:spacing w:after="0"/>
              <w:ind w:firstLine="0"/>
              <w:jc w:val="center"/>
              <w:rPr>
                <w:rFonts w:ascii="Arial" w:eastAsia="Times New Roman" w:hAnsi="Arial" w:cs="Arial"/>
                <w:b/>
                <w:bCs/>
                <w:sz w:val="18"/>
                <w:szCs w:val="18"/>
                <w:lang w:eastAsia="ro-RO"/>
              </w:rPr>
            </w:pPr>
            <w:r w:rsidRPr="00857E54">
              <w:rPr>
                <w:rFonts w:ascii="Arial" w:eastAsia="Times New Roman" w:hAnsi="Arial" w:cs="Arial"/>
                <w:b/>
                <w:bCs/>
                <w:sz w:val="18"/>
                <w:szCs w:val="18"/>
                <w:lang w:eastAsia="ro-RO"/>
              </w:rPr>
              <w:t> </w:t>
            </w:r>
          </w:p>
        </w:tc>
      </w:tr>
    </w:tbl>
    <w:p w:rsidR="008A700D" w:rsidRPr="00857E54" w:rsidRDefault="008A700D" w:rsidP="00281576">
      <w:pPr>
        <w:keepNext/>
        <w:keepLines/>
        <w:rPr>
          <w:rFonts w:ascii="Arial" w:hAnsi="Arial" w:cs="Arial"/>
          <w:b/>
          <w:sz w:val="24"/>
          <w:szCs w:val="24"/>
        </w:rPr>
      </w:pPr>
    </w:p>
    <w:p w:rsidR="00E01344" w:rsidRDefault="00E01344" w:rsidP="00281576">
      <w:pPr>
        <w:keepNext/>
        <w:keepLines/>
        <w:ind w:firstLine="284"/>
        <w:rPr>
          <w:rFonts w:ascii="Arial" w:hAnsi="Arial" w:cs="Arial"/>
          <w:b/>
          <w:sz w:val="24"/>
          <w:szCs w:val="24"/>
        </w:rPr>
      </w:pPr>
    </w:p>
    <w:p w:rsidR="008A700D" w:rsidRPr="00857E54" w:rsidRDefault="008A700D" w:rsidP="00281576">
      <w:pPr>
        <w:keepNext/>
        <w:keepLines/>
        <w:ind w:firstLine="284"/>
      </w:pPr>
      <w:r w:rsidRPr="00857E54">
        <w:rPr>
          <w:rFonts w:ascii="Arial" w:hAnsi="Arial" w:cs="Arial"/>
          <w:b/>
          <w:sz w:val="24"/>
          <w:szCs w:val="24"/>
        </w:rPr>
        <w:t>Stocul</w:t>
      </w:r>
      <w:r w:rsidRPr="00857E54">
        <w:rPr>
          <w:rFonts w:ascii="Arial" w:hAnsi="Arial" w:cs="Arial"/>
          <w:sz w:val="24"/>
          <w:szCs w:val="24"/>
        </w:rPr>
        <w:t xml:space="preserve"> plăților restante raportate la data de 30 iunie 2018 a fost în sumă totală de 725,4 milioane lei, cu 11,1% peste nivelul înregistrat la data de 30 iunie 2017. Arieratele (plățile restante peste 90 de zile) înregistrate la data de 30 iunie 2018 au fost în sumă de 232,9 milioane lei,  în creștere cu 11,7% comparativ cu cele înregistrate la data de 30 iunie 2017 pe fondul creșterii arieratelor atât în administrația locală, cât și la nivelul administrației centrale. Arieratele din administrația locală au reprezentat 79,4% din totalul arieratelor înregistrate la 30 iunie 2018.</w:t>
      </w:r>
    </w:p>
    <w:p w:rsidR="007C4F03" w:rsidRPr="00857E54" w:rsidRDefault="008A700D" w:rsidP="00281576">
      <w:pPr>
        <w:pStyle w:val="ListParagraph"/>
        <w:keepNext/>
        <w:keepLines/>
        <w:numPr>
          <w:ilvl w:val="0"/>
          <w:numId w:val="1"/>
        </w:numPr>
        <w:rPr>
          <w:rFonts w:cs="Arial"/>
          <w:b/>
          <w:sz w:val="28"/>
          <w:szCs w:val="28"/>
        </w:rPr>
      </w:pPr>
      <w:r w:rsidRPr="00857E54">
        <w:br w:type="page"/>
      </w:r>
      <w:bookmarkStart w:id="21" w:name="_Ref394150346"/>
      <w:bookmarkStart w:id="22" w:name="_Toc425320861"/>
      <w:bookmarkStart w:id="23" w:name="_Toc425428330"/>
      <w:bookmarkStart w:id="24" w:name="_Toc456256140"/>
      <w:bookmarkStart w:id="25" w:name="_Toc456256937"/>
      <w:bookmarkStart w:id="26" w:name="_Toc456257461"/>
      <w:bookmarkStart w:id="27" w:name="_Toc456258319"/>
      <w:bookmarkStart w:id="28" w:name="_Toc456258424"/>
      <w:bookmarkStart w:id="29" w:name="_Toc520281763"/>
      <w:r w:rsidR="00E3087D" w:rsidRPr="00857E54">
        <w:rPr>
          <w:rFonts w:cs="Arial"/>
          <w:b/>
          <w:sz w:val="28"/>
          <w:szCs w:val="28"/>
        </w:rPr>
        <w:lastRenderedPageBreak/>
        <w:t>Finanțarea deficitului bugetar şi datoria publică</w:t>
      </w:r>
      <w:bookmarkEnd w:id="21"/>
      <w:bookmarkEnd w:id="22"/>
      <w:bookmarkEnd w:id="23"/>
      <w:bookmarkEnd w:id="24"/>
      <w:bookmarkEnd w:id="25"/>
      <w:bookmarkEnd w:id="26"/>
      <w:bookmarkEnd w:id="27"/>
      <w:bookmarkEnd w:id="28"/>
      <w:bookmarkEnd w:id="29"/>
    </w:p>
    <w:p w:rsidR="00155F43" w:rsidRPr="00857E54" w:rsidRDefault="00155F43" w:rsidP="00281576">
      <w:pPr>
        <w:pStyle w:val="ListParagraph"/>
        <w:keepNext/>
        <w:keepLines/>
        <w:ind w:left="567"/>
        <w:outlineLvl w:val="0"/>
        <w:rPr>
          <w:rFonts w:cs="Arial"/>
          <w:b/>
          <w:sz w:val="24"/>
          <w:szCs w:val="24"/>
        </w:rPr>
      </w:pPr>
    </w:p>
    <w:p w:rsidR="007C4F03" w:rsidRPr="00857E54" w:rsidRDefault="007C4F03" w:rsidP="00450537">
      <w:pPr>
        <w:keepNext/>
        <w:keepLines/>
        <w:spacing w:before="120" w:after="100" w:afterAutospacing="1"/>
        <w:ind w:firstLine="0"/>
        <w:rPr>
          <w:rFonts w:cs="Arial"/>
          <w:b/>
          <w:sz w:val="24"/>
          <w:szCs w:val="24"/>
        </w:rPr>
      </w:pPr>
      <w:bookmarkStart w:id="30" w:name="RANGE!B1:I9"/>
      <w:bookmarkEnd w:id="30"/>
      <w:r w:rsidRPr="00857E54">
        <w:rPr>
          <w:rFonts w:cs="Arial"/>
          <w:b/>
          <w:sz w:val="24"/>
          <w:szCs w:val="24"/>
        </w:rPr>
        <w:t>IV.1 Datoria publică</w:t>
      </w:r>
    </w:p>
    <w:p w:rsidR="00DA0ACC" w:rsidRPr="00857E54" w:rsidRDefault="00DA0ACC" w:rsidP="00281576">
      <w:pPr>
        <w:keepNext/>
        <w:keepLines/>
        <w:widowControl w:val="0"/>
        <w:ind w:firstLine="720"/>
        <w:rPr>
          <w:rFonts w:ascii="Arial" w:eastAsia="Calibri" w:hAnsi="Arial" w:cs="Arial"/>
          <w:sz w:val="24"/>
          <w:szCs w:val="24"/>
        </w:rPr>
      </w:pPr>
      <w:r w:rsidRPr="00857E54">
        <w:rPr>
          <w:rFonts w:ascii="Arial" w:eastAsia="Calibri" w:hAnsi="Arial" w:cs="Arial"/>
          <w:sz w:val="24"/>
          <w:szCs w:val="24"/>
        </w:rPr>
        <w:t>Datoria guvernamentală conform metodologiei UE s-a situat la data de 30 aprilie 2018 la un nivel de 34,9% din PIB în scădere față de nivelul de 35,0% din PIB, cât s-a înregistrat la sfârșitul anului 2017, sub plafonul de 40% din PIB stabilit prin Legea nr.269/2017 pentru aprobarea plafoanelor unor indicatori specificați în cadrul fiscal-bugetar pe anul 2018.</w:t>
      </w:r>
    </w:p>
    <w:p w:rsidR="00DA0ACC" w:rsidRPr="00857E54" w:rsidRDefault="00DA0ACC" w:rsidP="00281576">
      <w:pPr>
        <w:keepNext/>
        <w:keepLines/>
        <w:widowControl w:val="0"/>
        <w:ind w:firstLine="720"/>
        <w:rPr>
          <w:rFonts w:ascii="Arial" w:eastAsia="Calibri" w:hAnsi="Arial" w:cs="Arial"/>
          <w:sz w:val="24"/>
          <w:szCs w:val="24"/>
        </w:rPr>
      </w:pPr>
      <w:r w:rsidRPr="00857E54">
        <w:rPr>
          <w:rFonts w:ascii="Arial" w:eastAsia="Calibri" w:hAnsi="Arial" w:cs="Arial"/>
          <w:sz w:val="24"/>
          <w:szCs w:val="24"/>
        </w:rPr>
        <w:t xml:space="preserve">Din datoria </w:t>
      </w:r>
      <w:r w:rsidR="003A4DF3" w:rsidRPr="00857E54">
        <w:rPr>
          <w:rFonts w:ascii="Arial" w:eastAsia="Calibri" w:hAnsi="Arial" w:cs="Arial"/>
          <w:sz w:val="24"/>
          <w:szCs w:val="24"/>
        </w:rPr>
        <w:t>guvernamentală</w:t>
      </w:r>
      <w:r w:rsidRPr="00857E54">
        <w:rPr>
          <w:rFonts w:ascii="Arial" w:eastAsia="Calibri" w:hAnsi="Arial" w:cs="Arial"/>
          <w:sz w:val="24"/>
          <w:szCs w:val="24"/>
        </w:rPr>
        <w:t xml:space="preserve">, la 30 aprilie 2018, datoria internă a reprezentat 17,9% din PIB, iar datoria externă a fost de 17,0% din PIB. </w:t>
      </w:r>
    </w:p>
    <w:p w:rsidR="00DA0ACC" w:rsidRPr="00857E54" w:rsidRDefault="00DA0ACC" w:rsidP="00281576">
      <w:pPr>
        <w:keepNext/>
        <w:keepLines/>
        <w:widowControl w:val="0"/>
        <w:ind w:firstLine="720"/>
        <w:rPr>
          <w:rFonts w:ascii="Arial" w:eastAsia="Calibri" w:hAnsi="Arial" w:cs="Arial"/>
          <w:bCs/>
          <w:sz w:val="24"/>
          <w:szCs w:val="24"/>
        </w:rPr>
      </w:pPr>
      <w:r w:rsidRPr="00857E54">
        <w:rPr>
          <w:rFonts w:ascii="Arial" w:eastAsia="Calibri" w:hAnsi="Arial" w:cs="Arial"/>
          <w:bCs/>
          <w:sz w:val="24"/>
          <w:szCs w:val="24"/>
        </w:rPr>
        <w:t>Conform datelor publicate de EUROSTAT,</w:t>
      </w:r>
      <w:r w:rsidRPr="00857E54">
        <w:rPr>
          <w:rFonts w:ascii="Arial" w:eastAsia="Calibri" w:hAnsi="Arial" w:cs="Times New Roman"/>
          <w:bCs/>
          <w:sz w:val="24"/>
          <w:szCs w:val="24"/>
          <w:vertAlign w:val="superscript"/>
        </w:rPr>
        <w:footnoteReference w:id="2"/>
      </w:r>
      <w:r w:rsidRPr="00857E54">
        <w:rPr>
          <w:rFonts w:ascii="Arial" w:eastAsia="Calibri" w:hAnsi="Arial" w:cs="Arial"/>
          <w:bCs/>
          <w:sz w:val="24"/>
          <w:szCs w:val="24"/>
        </w:rPr>
        <w:t xml:space="preserve"> România a înregistrat, la finele anului 2017, un nivel al datoriei guvernamentale în produsul intern brut  (35,0%) sub media datoriei publice guvernamentale pentru zona euro (EA 19) (86,7% din PIB), dar şi sub media datoriei guvernamentale pentru UE28 (81,6% din PIB).</w:t>
      </w:r>
    </w:p>
    <w:p w:rsidR="00DA0ACC" w:rsidRPr="00857E54" w:rsidRDefault="00DA0ACC" w:rsidP="00281576">
      <w:pPr>
        <w:keepNext/>
        <w:keepLines/>
        <w:widowControl w:val="0"/>
        <w:ind w:firstLine="720"/>
        <w:rPr>
          <w:rFonts w:ascii="Arial" w:eastAsia="Calibri" w:hAnsi="Arial" w:cs="Arial"/>
          <w:b/>
          <w:bCs/>
          <w:sz w:val="24"/>
          <w:szCs w:val="24"/>
        </w:rPr>
      </w:pPr>
      <w:r w:rsidRPr="00857E54">
        <w:rPr>
          <w:rFonts w:ascii="Arial" w:eastAsia="Times New Roman" w:hAnsi="Arial" w:cs="Arial"/>
          <w:sz w:val="24"/>
          <w:szCs w:val="24"/>
        </w:rPr>
        <w:t>Astfel, la sfârșitul lui 2017,</w:t>
      </w:r>
      <w:r w:rsidRPr="00857E54">
        <w:rPr>
          <w:rFonts w:ascii="Arial" w:eastAsia="Calibri" w:hAnsi="Arial" w:cs="Arial"/>
          <w:bCs/>
          <w:sz w:val="24"/>
          <w:szCs w:val="24"/>
        </w:rPr>
        <w:t>România s-a situat pe locul 5 între statele membre UE cu cel mai scăzut nivel de îndatorare după Estonia (9,0%), Luxemburg (23,0%), Bulgaria (25,4%) și Republica Cehă (34,6%).</w:t>
      </w:r>
    </w:p>
    <w:p w:rsidR="00DA0ACC" w:rsidRPr="00857E54" w:rsidRDefault="00DA0ACC" w:rsidP="00281576">
      <w:pPr>
        <w:keepNext/>
        <w:keepLines/>
        <w:widowControl w:val="0"/>
        <w:ind w:firstLine="720"/>
        <w:rPr>
          <w:rFonts w:ascii="Arial" w:eastAsia="Calibri" w:hAnsi="Arial" w:cs="Arial"/>
          <w:bCs/>
          <w:sz w:val="24"/>
          <w:szCs w:val="24"/>
        </w:rPr>
      </w:pPr>
      <w:r w:rsidRPr="00857E54">
        <w:rPr>
          <w:rFonts w:ascii="Arial" w:eastAsia="Calibri" w:hAnsi="Arial" w:cs="Arial"/>
          <w:bCs/>
          <w:sz w:val="24"/>
          <w:szCs w:val="24"/>
        </w:rPr>
        <w:t xml:space="preserve">Un număr de 15 state membre au înregistrat, la finele anului 2017, un nivel al datoriei publice guvernamentale în PIB de peste 60% din PIB cele mai  ridicate niveluri înregistrându-se în Grecia (178,6%), Italia (131,8%), Portugalia (125,7%), Belgia (103,1%) și Spania (98,3%). </w:t>
      </w:r>
    </w:p>
    <w:p w:rsidR="00197AF4" w:rsidRPr="00857E54" w:rsidRDefault="00197AF4" w:rsidP="00281576">
      <w:pPr>
        <w:pStyle w:val="ListParagraph"/>
        <w:keepNext/>
        <w:keepLines/>
        <w:widowControl w:val="0"/>
        <w:ind w:left="0" w:firstLine="680"/>
        <w:rPr>
          <w:rFonts w:cs="Arial"/>
          <w:sz w:val="24"/>
          <w:szCs w:val="24"/>
        </w:rPr>
      </w:pPr>
    </w:p>
    <w:p w:rsidR="007C4F03" w:rsidRPr="00857E54" w:rsidRDefault="007C4F03" w:rsidP="00450537">
      <w:pPr>
        <w:keepNext/>
        <w:keepLines/>
        <w:tabs>
          <w:tab w:val="left" w:pos="0"/>
        </w:tabs>
        <w:spacing w:before="120" w:after="100" w:afterAutospacing="1"/>
        <w:ind w:firstLine="0"/>
        <w:rPr>
          <w:rFonts w:ascii="Arial" w:hAnsi="Arial" w:cs="Arial"/>
          <w:b/>
          <w:sz w:val="24"/>
          <w:szCs w:val="24"/>
        </w:rPr>
      </w:pPr>
      <w:r w:rsidRPr="00857E54">
        <w:rPr>
          <w:rFonts w:ascii="Arial" w:hAnsi="Arial" w:cs="Arial"/>
          <w:b/>
          <w:sz w:val="24"/>
          <w:szCs w:val="24"/>
        </w:rPr>
        <w:t>IV.2 Finanțarea deficitului bugetar</w:t>
      </w:r>
    </w:p>
    <w:p w:rsidR="00DA0ACC" w:rsidRPr="00857E54" w:rsidRDefault="007C4F03" w:rsidP="00281576">
      <w:pPr>
        <w:keepNext/>
        <w:keepLines/>
        <w:ind w:firstLine="426"/>
        <w:rPr>
          <w:rFonts w:ascii="Arial" w:eastAsia="MS Mincho" w:hAnsi="Arial" w:cs="Arial"/>
          <w:sz w:val="24"/>
          <w:szCs w:val="24"/>
          <w:lang w:eastAsia="ja-JP"/>
        </w:rPr>
      </w:pPr>
      <w:r w:rsidRPr="00857E54">
        <w:rPr>
          <w:rFonts w:cs="Arial"/>
          <w:sz w:val="24"/>
          <w:szCs w:val="24"/>
        </w:rPr>
        <w:tab/>
      </w:r>
      <w:r w:rsidR="00DA0ACC" w:rsidRPr="00857E54">
        <w:rPr>
          <w:rFonts w:ascii="Arial" w:eastAsia="MS Mincho" w:hAnsi="Arial" w:cs="Arial"/>
          <w:sz w:val="24"/>
          <w:szCs w:val="24"/>
          <w:lang w:eastAsia="ja-JP"/>
        </w:rPr>
        <w:t>Finanțarea deficitului bugetar în primele 6 luni ale anului  2018 s-a realizat în principal din surse interne prin emisiuni de titluri de stat lansate pe piața internă și în completare din surse externe. Sursele necesare refinanțării datoriei publice guvernamentale s-au asigurat de pe piețele pe care s-au emis aceste datorii şi din rezerva financiară în valută la dispoziția Trezoreriei Statului care la sfârșitul lunii iunie  2018</w:t>
      </w:r>
      <w:r w:rsidR="008D3109">
        <w:rPr>
          <w:rFonts w:ascii="Arial" w:eastAsia="MS Mincho" w:hAnsi="Arial" w:cs="Arial"/>
          <w:sz w:val="24"/>
          <w:szCs w:val="24"/>
          <w:lang w:eastAsia="ja-JP"/>
        </w:rPr>
        <w:t xml:space="preserve"> </w:t>
      </w:r>
      <w:r w:rsidR="00DA0ACC" w:rsidRPr="00857E54">
        <w:rPr>
          <w:rFonts w:ascii="Arial" w:eastAsia="MS Mincho" w:hAnsi="Arial" w:cs="Arial"/>
          <w:sz w:val="24"/>
          <w:szCs w:val="24"/>
          <w:lang w:eastAsia="ja-JP"/>
        </w:rPr>
        <w:t>acoperea</w:t>
      </w:r>
      <w:r w:rsidR="008D3109">
        <w:rPr>
          <w:rFonts w:ascii="Arial" w:eastAsia="MS Mincho" w:hAnsi="Arial" w:cs="Arial"/>
          <w:sz w:val="24"/>
          <w:szCs w:val="24"/>
          <w:lang w:eastAsia="ja-JP"/>
        </w:rPr>
        <w:t xml:space="preserve"> </w:t>
      </w:r>
      <w:r w:rsidR="00DA0ACC" w:rsidRPr="00857E54">
        <w:rPr>
          <w:rFonts w:ascii="Arial" w:eastAsia="MS Mincho" w:hAnsi="Arial" w:cs="Arial"/>
          <w:sz w:val="24"/>
          <w:szCs w:val="24"/>
          <w:lang w:eastAsia="ja-JP"/>
        </w:rPr>
        <w:t>2,6luni</w:t>
      </w:r>
      <w:r w:rsidR="008D3109">
        <w:rPr>
          <w:rFonts w:ascii="Arial" w:eastAsia="MS Mincho" w:hAnsi="Arial" w:cs="Arial"/>
          <w:sz w:val="24"/>
          <w:szCs w:val="24"/>
          <w:lang w:eastAsia="ja-JP"/>
        </w:rPr>
        <w:t xml:space="preserve"> </w:t>
      </w:r>
      <w:bookmarkStart w:id="31" w:name="_GoBack"/>
      <w:bookmarkEnd w:id="31"/>
      <w:r w:rsidR="00DA0ACC" w:rsidRPr="00857E54">
        <w:rPr>
          <w:rFonts w:ascii="Arial" w:eastAsia="MS Mincho" w:hAnsi="Arial" w:cs="Arial"/>
          <w:sz w:val="24"/>
          <w:szCs w:val="24"/>
          <w:lang w:eastAsia="ja-JP"/>
        </w:rPr>
        <w:t xml:space="preserve">din necesarul brut de finanțare. </w:t>
      </w:r>
    </w:p>
    <w:p w:rsidR="00DA0ACC" w:rsidRPr="00857E54" w:rsidRDefault="00DA0ACC" w:rsidP="00281576">
      <w:pPr>
        <w:keepNext/>
        <w:keepLines/>
        <w:autoSpaceDE w:val="0"/>
        <w:autoSpaceDN w:val="0"/>
        <w:adjustRightInd w:val="0"/>
        <w:spacing w:after="0"/>
        <w:ind w:firstLine="360"/>
        <w:rPr>
          <w:rFonts w:ascii="Arial" w:eastAsia="Calibri" w:hAnsi="Arial" w:cs="Arial"/>
          <w:sz w:val="24"/>
          <w:szCs w:val="24"/>
          <w:lang w:eastAsia="ro-RO"/>
        </w:rPr>
      </w:pPr>
    </w:p>
    <w:p w:rsidR="00DA0ACC" w:rsidRPr="00857E54" w:rsidRDefault="00DA0ACC" w:rsidP="00281576">
      <w:pPr>
        <w:keepNext/>
        <w:keepLines/>
        <w:autoSpaceDE w:val="0"/>
        <w:autoSpaceDN w:val="0"/>
        <w:adjustRightInd w:val="0"/>
        <w:spacing w:after="0"/>
        <w:ind w:firstLine="360"/>
        <w:rPr>
          <w:rFonts w:ascii="Arial" w:eastAsia="Calibri" w:hAnsi="Arial" w:cs="Arial"/>
          <w:sz w:val="24"/>
          <w:szCs w:val="24"/>
          <w:lang w:eastAsia="ro-RO"/>
        </w:rPr>
      </w:pPr>
      <w:r w:rsidRPr="00857E54">
        <w:rPr>
          <w:rFonts w:ascii="Arial" w:eastAsia="MS Mincho" w:hAnsi="Arial" w:cs="Arial"/>
          <w:sz w:val="24"/>
          <w:szCs w:val="24"/>
          <w:lang w:eastAsia="ja-JP"/>
        </w:rPr>
        <w:t>Instrumentele de datorie în anul 2018 pentru finanțarea deficitului bugetar şi refinanțarea datoriei publice au fost:</w:t>
      </w:r>
    </w:p>
    <w:p w:rsidR="00DA0ACC" w:rsidRPr="00857E54" w:rsidRDefault="00DA0ACC" w:rsidP="00281576">
      <w:pPr>
        <w:pStyle w:val="ListParagraph"/>
        <w:keepNext/>
        <w:keepLines/>
        <w:numPr>
          <w:ilvl w:val="0"/>
          <w:numId w:val="39"/>
        </w:numPr>
        <w:autoSpaceDE w:val="0"/>
        <w:autoSpaceDN w:val="0"/>
        <w:adjustRightInd w:val="0"/>
        <w:spacing w:after="0"/>
        <w:rPr>
          <w:rFonts w:ascii="Arial" w:eastAsia="Calibri" w:hAnsi="Arial" w:cs="Arial"/>
          <w:sz w:val="24"/>
          <w:szCs w:val="24"/>
          <w:lang w:eastAsia="ro-RO"/>
        </w:rPr>
      </w:pPr>
      <w:r w:rsidRPr="00857E54">
        <w:rPr>
          <w:rFonts w:ascii="Arial" w:eastAsia="Calibri" w:hAnsi="Arial" w:cs="Arial"/>
          <w:sz w:val="24"/>
          <w:szCs w:val="24"/>
          <w:lang w:eastAsia="ro-RO"/>
        </w:rPr>
        <w:t xml:space="preserve">emisiunile de titluri de stat denominate în lei, pe piața internă, în valoare de 18,1 miliarde lei. Astfel, s-au emis certificate de trezorerie cu scadența de până la 1 an în sumă de  1,4 miliarde lei şi obligațiuni de stat de tip </w:t>
      </w:r>
      <w:proofErr w:type="spellStart"/>
      <w:r w:rsidRPr="00857E54">
        <w:rPr>
          <w:rFonts w:ascii="Arial" w:eastAsia="Calibri" w:hAnsi="Arial" w:cs="Arial"/>
          <w:sz w:val="24"/>
          <w:szCs w:val="24"/>
          <w:lang w:eastAsia="ro-RO"/>
        </w:rPr>
        <w:t>benchmark</w:t>
      </w:r>
      <w:proofErr w:type="spellEnd"/>
      <w:r w:rsidRPr="00857E54">
        <w:rPr>
          <w:rFonts w:ascii="Arial" w:eastAsia="Calibri" w:hAnsi="Arial" w:cs="Arial"/>
          <w:sz w:val="24"/>
          <w:szCs w:val="24"/>
          <w:lang w:eastAsia="ro-RO"/>
        </w:rPr>
        <w:t xml:space="preserve"> în valoare de 16,7 miliarde lei, conform calendarului anunțat. </w:t>
      </w:r>
    </w:p>
    <w:p w:rsidR="00DA0ACC" w:rsidRPr="00857E54" w:rsidRDefault="00DA0ACC" w:rsidP="00281576">
      <w:pPr>
        <w:pStyle w:val="ListParagraph"/>
        <w:keepNext/>
        <w:keepLines/>
        <w:numPr>
          <w:ilvl w:val="0"/>
          <w:numId w:val="39"/>
        </w:numPr>
        <w:autoSpaceDE w:val="0"/>
        <w:autoSpaceDN w:val="0"/>
        <w:adjustRightInd w:val="0"/>
        <w:spacing w:after="0"/>
        <w:rPr>
          <w:rFonts w:ascii="Arial" w:eastAsia="Calibri" w:hAnsi="Arial" w:cs="Arial"/>
          <w:sz w:val="24"/>
          <w:szCs w:val="24"/>
          <w:lang w:eastAsia="ro-RO"/>
        </w:rPr>
      </w:pPr>
      <w:r w:rsidRPr="00857E54">
        <w:rPr>
          <w:rFonts w:ascii="Arial" w:eastAsia="Calibri" w:hAnsi="Arial" w:cs="Arial"/>
          <w:sz w:val="24"/>
          <w:szCs w:val="24"/>
          <w:lang w:eastAsia="ro-RO"/>
        </w:rPr>
        <w:t>emisiunile de titluri de stat denominate în euro, pe piața internă, în valoare de 251 milioane euro.</w:t>
      </w:r>
    </w:p>
    <w:p w:rsidR="00DA0ACC" w:rsidRPr="00857E54" w:rsidRDefault="00DA0ACC" w:rsidP="00281576">
      <w:pPr>
        <w:pStyle w:val="ListParagraph"/>
        <w:keepNext/>
        <w:keepLines/>
        <w:numPr>
          <w:ilvl w:val="0"/>
          <w:numId w:val="39"/>
        </w:numPr>
        <w:autoSpaceDE w:val="0"/>
        <w:autoSpaceDN w:val="0"/>
        <w:adjustRightInd w:val="0"/>
        <w:spacing w:after="0"/>
        <w:rPr>
          <w:rFonts w:ascii="Arial" w:eastAsia="MS Mincho" w:hAnsi="Arial" w:cs="Arial"/>
          <w:sz w:val="24"/>
          <w:szCs w:val="24"/>
          <w:lang w:eastAsia="ja-JP"/>
        </w:rPr>
      </w:pPr>
      <w:r w:rsidRPr="00857E54">
        <w:rPr>
          <w:rFonts w:ascii="Arial" w:eastAsia="MS Mincho" w:hAnsi="Arial" w:cs="Arial"/>
          <w:sz w:val="24"/>
          <w:szCs w:val="24"/>
          <w:lang w:eastAsia="ja-JP"/>
        </w:rPr>
        <w:t>emisiunile de euroobligațiuni lansate pe piețele externe de capital.</w:t>
      </w:r>
    </w:p>
    <w:p w:rsidR="00E042CB" w:rsidRPr="00857E54" w:rsidRDefault="00E042CB" w:rsidP="00281576">
      <w:pPr>
        <w:keepNext/>
        <w:keepLines/>
        <w:spacing w:after="0"/>
        <w:ind w:firstLine="360"/>
        <w:rPr>
          <w:rFonts w:ascii="Arial" w:eastAsia="Times New Roman" w:hAnsi="Arial" w:cs="Arial"/>
          <w:sz w:val="24"/>
          <w:szCs w:val="24"/>
          <w:lang w:eastAsia="zh-CN"/>
        </w:rPr>
      </w:pPr>
    </w:p>
    <w:p w:rsidR="00DA0ACC" w:rsidRPr="00857E54" w:rsidRDefault="00DA0ACC" w:rsidP="00281576">
      <w:pPr>
        <w:keepNext/>
        <w:keepLines/>
        <w:spacing w:after="0"/>
        <w:ind w:firstLine="360"/>
        <w:rPr>
          <w:rFonts w:ascii="Arial" w:eastAsia="Times New Roman" w:hAnsi="Arial" w:cs="Arial"/>
          <w:sz w:val="24"/>
          <w:szCs w:val="24"/>
          <w:lang w:eastAsia="zh-CN"/>
        </w:rPr>
      </w:pPr>
      <w:r w:rsidRPr="00857E54">
        <w:rPr>
          <w:rFonts w:ascii="Arial" w:eastAsia="Times New Roman" w:hAnsi="Arial" w:cs="Arial"/>
          <w:sz w:val="24"/>
          <w:szCs w:val="24"/>
          <w:lang w:eastAsia="zh-CN"/>
        </w:rPr>
        <w:lastRenderedPageBreak/>
        <w:t>Anul 2018 a debutat la începutul lunii februarie 2018 cu lansarea primei emisiuni externe, în două tranșe, denominate în Euro, cu maturități de 12 și 20 de ani, cupoane de 2,500% și 3,375%, cu o valoare totală de 2 miliarde Euro, din care 0,75 miliarde Euro pentru tranșa de 12 ani și 1,25 miliarde Euro pentru tranșa de 20 ani. În luna iunie 2018 a fost lansată o emisiune nouă în USD cu maturitate de 30 de ani și cupon de 5,125%, în valoare de 1,2 mld. USD, împreună cu prima tranzacție de răscumpărare anticipată parțială a unor obligațiuni existente în USD cu scadență 2022, cupon 6,75% realizata de statul roman.</w:t>
      </w:r>
    </w:p>
    <w:p w:rsidR="00DA0ACC" w:rsidRPr="00857E54" w:rsidRDefault="00DA0ACC" w:rsidP="00281576">
      <w:pPr>
        <w:keepNext/>
        <w:keepLines/>
        <w:spacing w:before="100" w:beforeAutospacing="1" w:after="100" w:afterAutospacing="1"/>
        <w:ind w:firstLine="567"/>
        <w:rPr>
          <w:rFonts w:ascii="Arial" w:eastAsia="MS Mincho" w:hAnsi="Arial" w:cs="Arial"/>
          <w:sz w:val="24"/>
          <w:szCs w:val="24"/>
          <w:lang w:eastAsia="ja-JP"/>
        </w:rPr>
      </w:pPr>
      <w:r w:rsidRPr="00857E54">
        <w:rPr>
          <w:rFonts w:ascii="Arial" w:eastAsia="MS Mincho" w:hAnsi="Arial" w:cs="Arial"/>
          <w:sz w:val="24"/>
          <w:szCs w:val="24"/>
          <w:lang w:eastAsia="ja-JP"/>
        </w:rPr>
        <w:t xml:space="preserve">Garanțiile guvernamentale acordate de Ministerul Finanțelor Publice în primele șase luni ale anului 2018 au fost în valoare de aproximativ 657,9 mil. lei, în limita plafonului de 6.000 mil. lei </w:t>
      </w:r>
      <w:r w:rsidRPr="00857E54">
        <w:rPr>
          <w:rFonts w:ascii="Arial" w:eastAsia="Calibri" w:hAnsi="Arial" w:cs="Arial"/>
          <w:sz w:val="24"/>
          <w:szCs w:val="24"/>
        </w:rPr>
        <w:t xml:space="preserve">stabilit prin </w:t>
      </w:r>
      <w:r w:rsidRPr="00857E54">
        <w:rPr>
          <w:rFonts w:ascii="Arial" w:eastAsia="Calibri" w:hAnsi="Arial" w:cs="Arial"/>
          <w:i/>
          <w:sz w:val="24"/>
          <w:szCs w:val="24"/>
        </w:rPr>
        <w:t>Legea nr. 269/2017 pentru aprobarea plafoanelor unor indicatori specificați în cadrul fiscal-bugetar pe anul 2018</w:t>
      </w:r>
      <w:r w:rsidRPr="00857E54">
        <w:rPr>
          <w:rFonts w:ascii="Arial" w:eastAsia="Calibri" w:hAnsi="Arial" w:cs="Arial"/>
          <w:sz w:val="24"/>
          <w:szCs w:val="24"/>
        </w:rPr>
        <w:t>.</w:t>
      </w:r>
    </w:p>
    <w:p w:rsidR="00DA0ACC" w:rsidRPr="00857E54" w:rsidRDefault="00DA0ACC" w:rsidP="00281576">
      <w:pPr>
        <w:keepNext/>
        <w:keepLines/>
        <w:spacing w:before="100" w:beforeAutospacing="1" w:after="100" w:afterAutospacing="1"/>
        <w:ind w:firstLine="567"/>
        <w:rPr>
          <w:rFonts w:ascii="Arial" w:eastAsia="MS Mincho" w:hAnsi="Arial" w:cs="Arial"/>
          <w:sz w:val="24"/>
          <w:szCs w:val="24"/>
          <w:lang w:eastAsia="ja-JP"/>
        </w:rPr>
      </w:pPr>
      <w:r w:rsidRPr="00857E54">
        <w:rPr>
          <w:rFonts w:ascii="Arial" w:eastAsia="MS Mincho" w:hAnsi="Arial" w:cs="Arial"/>
          <w:sz w:val="24"/>
          <w:szCs w:val="24"/>
          <w:lang w:eastAsia="ja-JP"/>
        </w:rPr>
        <w:t xml:space="preserve">În ceea ce privește tragerile autorizate pentru a fi efectuate în anul 2018 din finanțările rambursabile contractate sau care urmau să fie contractate de către unitățile/subdiviziunile administrativ-teritoriale, acestea au fost în valoare de 1.200 milioane lei, nefiind depășit plafonul anual de 1.200 milioane lei, aprobat prin Legea nr. 269/2017 şi Hotărârea </w:t>
      </w:r>
      <w:r w:rsidRPr="00857E54">
        <w:rPr>
          <w:rFonts w:ascii="Arial" w:eastAsia="MS Mincho" w:hAnsi="Arial" w:cs="Arial"/>
          <w:i/>
          <w:sz w:val="24"/>
          <w:szCs w:val="24"/>
          <w:lang w:eastAsia="ja-JP"/>
        </w:rPr>
        <w:t xml:space="preserve">Guvernului nr. 887/2017 privind aprobarea limitelor anuale, aferente anilor 2018, 2019 și 2020, pentru </w:t>
      </w:r>
      <w:r w:rsidR="00E042CB" w:rsidRPr="00857E54">
        <w:rPr>
          <w:rFonts w:ascii="Arial" w:eastAsia="MS Mincho" w:hAnsi="Arial" w:cs="Arial"/>
          <w:i/>
          <w:sz w:val="24"/>
          <w:szCs w:val="24"/>
          <w:lang w:eastAsia="ja-JP"/>
        </w:rPr>
        <w:t>finanțările</w:t>
      </w:r>
      <w:r w:rsidRPr="00857E54">
        <w:rPr>
          <w:rFonts w:ascii="Arial" w:eastAsia="MS Mincho" w:hAnsi="Arial" w:cs="Arial"/>
          <w:i/>
          <w:sz w:val="24"/>
          <w:szCs w:val="24"/>
          <w:lang w:eastAsia="ja-JP"/>
        </w:rPr>
        <w:t xml:space="preserve"> rambursabile care pot fi contractate şi pentru tragerile din </w:t>
      </w:r>
      <w:r w:rsidR="00E042CB" w:rsidRPr="00857E54">
        <w:rPr>
          <w:rFonts w:ascii="Arial" w:eastAsia="MS Mincho" w:hAnsi="Arial" w:cs="Arial"/>
          <w:i/>
          <w:sz w:val="24"/>
          <w:szCs w:val="24"/>
          <w:lang w:eastAsia="ja-JP"/>
        </w:rPr>
        <w:t>finanțările</w:t>
      </w:r>
      <w:r w:rsidRPr="00857E54">
        <w:rPr>
          <w:rFonts w:ascii="Arial" w:eastAsia="MS Mincho" w:hAnsi="Arial" w:cs="Arial"/>
          <w:i/>
          <w:sz w:val="24"/>
          <w:szCs w:val="24"/>
          <w:lang w:eastAsia="ja-JP"/>
        </w:rPr>
        <w:t xml:space="preserve"> rambursabile contractate sau care urmează a fi contractate de </w:t>
      </w:r>
      <w:r w:rsidR="00E042CB" w:rsidRPr="00857E54">
        <w:rPr>
          <w:rFonts w:ascii="Arial" w:eastAsia="MS Mincho" w:hAnsi="Arial" w:cs="Arial"/>
          <w:i/>
          <w:sz w:val="24"/>
          <w:szCs w:val="24"/>
          <w:lang w:eastAsia="ja-JP"/>
        </w:rPr>
        <w:t>unitățile</w:t>
      </w:r>
      <w:r w:rsidRPr="00857E54">
        <w:rPr>
          <w:rFonts w:ascii="Arial" w:eastAsia="MS Mincho" w:hAnsi="Arial" w:cs="Arial"/>
          <w:i/>
          <w:sz w:val="24"/>
          <w:szCs w:val="24"/>
          <w:lang w:eastAsia="ja-JP"/>
        </w:rPr>
        <w:t>/subdiviziunile administrativ-teritoriale</w:t>
      </w:r>
      <w:r w:rsidRPr="00857E54">
        <w:rPr>
          <w:rFonts w:ascii="Arial" w:eastAsia="MS Mincho" w:hAnsi="Arial" w:cs="Arial"/>
          <w:sz w:val="24"/>
          <w:szCs w:val="24"/>
          <w:lang w:eastAsia="ja-JP"/>
        </w:rPr>
        <w:t>. Finanțările rambursabile autorizate în semestrul I al anului 2018 pentru a fi contractate de unitățile/subdiviziunile administrativ-teritoriale pentru realizarea de investiții publice de interes local au fost în valoare de 756,96 milioane lei, în limita plafonului de 1.200 milioane lei stabilit prin Legea nr. 269/2017.</w:t>
      </w:r>
    </w:p>
    <w:p w:rsidR="00DA0ACC" w:rsidRPr="00857E54" w:rsidRDefault="00DA0ACC" w:rsidP="00281576">
      <w:pPr>
        <w:keepNext/>
        <w:keepLines/>
        <w:spacing w:before="100" w:beforeAutospacing="1" w:after="100" w:afterAutospacing="1"/>
        <w:ind w:firstLine="0"/>
        <w:rPr>
          <w:rFonts w:ascii="Arial" w:eastAsia="MS Mincho" w:hAnsi="Arial" w:cs="Arial"/>
          <w:sz w:val="24"/>
          <w:szCs w:val="24"/>
          <w:lang w:eastAsia="ja-JP"/>
        </w:rPr>
      </w:pPr>
    </w:p>
    <w:p w:rsidR="00423DE6" w:rsidRPr="00857E54" w:rsidRDefault="00423DE6" w:rsidP="00281576">
      <w:pPr>
        <w:keepNext/>
        <w:keepLines/>
        <w:rPr>
          <w:sz w:val="24"/>
          <w:szCs w:val="24"/>
        </w:rPr>
      </w:pPr>
      <w:r w:rsidRPr="00857E54">
        <w:rPr>
          <w:sz w:val="24"/>
          <w:szCs w:val="24"/>
        </w:rPr>
        <w:br w:type="page"/>
      </w:r>
    </w:p>
    <w:p w:rsidR="007C4F03" w:rsidRPr="00857E54" w:rsidRDefault="00E3087D" w:rsidP="00281576">
      <w:pPr>
        <w:pStyle w:val="ListParagraph"/>
        <w:keepNext/>
        <w:keepLines/>
        <w:numPr>
          <w:ilvl w:val="0"/>
          <w:numId w:val="1"/>
        </w:numPr>
        <w:ind w:left="567" w:hanging="283"/>
        <w:outlineLvl w:val="0"/>
        <w:rPr>
          <w:rFonts w:cs="Arial"/>
          <w:b/>
          <w:sz w:val="28"/>
          <w:szCs w:val="28"/>
        </w:rPr>
      </w:pPr>
      <w:bookmarkStart w:id="32" w:name="_Toc425320862"/>
      <w:bookmarkStart w:id="33" w:name="_Toc456256938"/>
      <w:bookmarkStart w:id="34" w:name="_Toc456257462"/>
      <w:bookmarkStart w:id="35" w:name="_Toc456258320"/>
      <w:bookmarkStart w:id="36" w:name="_Toc456258425"/>
      <w:bookmarkStart w:id="37" w:name="_Toc520281764"/>
      <w:r w:rsidRPr="00857E54">
        <w:rPr>
          <w:rFonts w:cs="Arial"/>
          <w:b/>
          <w:sz w:val="28"/>
          <w:szCs w:val="28"/>
        </w:rPr>
        <w:lastRenderedPageBreak/>
        <w:t>Absorbția fondurilor externe nerambursabile</w:t>
      </w:r>
      <w:bookmarkEnd w:id="32"/>
      <w:bookmarkEnd w:id="33"/>
      <w:bookmarkEnd w:id="34"/>
      <w:bookmarkEnd w:id="35"/>
      <w:bookmarkEnd w:id="36"/>
      <w:bookmarkEnd w:id="37"/>
    </w:p>
    <w:p w:rsidR="007E60D5" w:rsidRPr="00857E54" w:rsidRDefault="007E60D5" w:rsidP="00281576">
      <w:pPr>
        <w:keepNext/>
        <w:keepLines/>
        <w:spacing w:after="0" w:line="276" w:lineRule="auto"/>
        <w:ind w:firstLine="720"/>
        <w:rPr>
          <w:rFonts w:ascii="Arial" w:eastAsia="Times New Roman" w:hAnsi="Arial" w:cs="Arial"/>
          <w:sz w:val="24"/>
          <w:szCs w:val="24"/>
        </w:rPr>
      </w:pPr>
      <w:bookmarkStart w:id="38" w:name="_Toc425320863"/>
      <w:bookmarkStart w:id="39" w:name="_Toc425321145"/>
      <w:bookmarkStart w:id="40" w:name="_Toc425428331"/>
      <w:bookmarkStart w:id="41" w:name="_Toc456256141"/>
      <w:bookmarkStart w:id="42" w:name="_Toc456256939"/>
      <w:bookmarkStart w:id="43" w:name="_Toc456257463"/>
      <w:bookmarkStart w:id="44" w:name="_Toc456258321"/>
      <w:bookmarkStart w:id="45" w:name="_Toc456258373"/>
      <w:bookmarkStart w:id="46" w:name="_Toc456258426"/>
      <w:r w:rsidRPr="00857E54">
        <w:rPr>
          <w:rFonts w:ascii="Arial" w:eastAsia="Times New Roman" w:hAnsi="Arial" w:cs="Arial"/>
          <w:sz w:val="24"/>
          <w:szCs w:val="24"/>
        </w:rPr>
        <w:t xml:space="preserve">Sumele primite de România de la bugetul UE, în primul semestru al anului 2018, sunt de 2.434,14 milioane euro. </w:t>
      </w:r>
    </w:p>
    <w:p w:rsidR="00994357" w:rsidRPr="00857E54" w:rsidRDefault="00994357" w:rsidP="00281576">
      <w:pPr>
        <w:keepNext/>
        <w:keepLines/>
        <w:spacing w:after="0" w:line="276" w:lineRule="auto"/>
        <w:ind w:firstLine="720"/>
        <w:rPr>
          <w:rFonts w:ascii="Arial" w:eastAsia="Times New Roman" w:hAnsi="Arial" w:cs="Arial"/>
          <w:sz w:val="24"/>
          <w:szCs w:val="24"/>
        </w:rPr>
      </w:pPr>
      <w:r w:rsidRPr="00857E54">
        <w:rPr>
          <w:rFonts w:ascii="Arial" w:eastAsia="Times New Roman" w:hAnsi="Arial" w:cs="Arial"/>
          <w:sz w:val="24"/>
          <w:szCs w:val="24"/>
        </w:rPr>
        <w:t>Avansurile primite din CFM 2014-2020 în primele 6 luni ale anului 2018 sunt de 30,40 milioane euro (80,11%), iar rambursările (inclusiv sumele primite din FEGA) sunt de 2.403,74 milioane euro (41,52%).</w:t>
      </w:r>
    </w:p>
    <w:p w:rsidR="00994357" w:rsidRPr="00857E54" w:rsidRDefault="00994357" w:rsidP="00281576">
      <w:pPr>
        <w:keepNext/>
        <w:keepLines/>
        <w:spacing w:after="0" w:line="276" w:lineRule="auto"/>
        <w:ind w:firstLine="720"/>
        <w:rPr>
          <w:rFonts w:ascii="Arial" w:eastAsia="Times New Roman" w:hAnsi="Arial" w:cs="Arial"/>
          <w:sz w:val="24"/>
          <w:szCs w:val="24"/>
        </w:rPr>
      </w:pPr>
      <w:r w:rsidRPr="00857E54">
        <w:rPr>
          <w:rFonts w:ascii="Arial" w:eastAsia="Times New Roman" w:hAnsi="Arial" w:cs="Arial"/>
          <w:sz w:val="24"/>
          <w:szCs w:val="24"/>
        </w:rPr>
        <w:t xml:space="preserve">Din punct de vedere al absorbției, cele mai bune rezultate au fost înregistrate de FEGA prin intermediul căruia au fost atrase 1.623,63 milioane euro (76,38%), urmată de fondurile de dezvoltare rurală şi pescuit (FEADR și FEPAM) cu 544,26 milioane euro (43,39%). </w:t>
      </w:r>
    </w:p>
    <w:p w:rsidR="00994357" w:rsidRPr="00857E54" w:rsidRDefault="00994357" w:rsidP="00281576">
      <w:pPr>
        <w:keepNext/>
        <w:keepLines/>
        <w:spacing w:after="0" w:line="276" w:lineRule="auto"/>
        <w:ind w:firstLine="720"/>
        <w:rPr>
          <w:rFonts w:ascii="Arial" w:eastAsia="Times New Roman" w:hAnsi="Arial" w:cs="Arial"/>
          <w:sz w:val="24"/>
          <w:szCs w:val="24"/>
        </w:rPr>
      </w:pPr>
      <w:r w:rsidRPr="00857E54">
        <w:rPr>
          <w:rFonts w:ascii="Arial" w:eastAsia="Times New Roman" w:hAnsi="Arial" w:cs="Arial"/>
          <w:sz w:val="24"/>
          <w:szCs w:val="24"/>
        </w:rPr>
        <w:t>În ceea ce privește încasările cumulate din ambele CFM, fonduri structurale și de coeziune – FSC se situează pe primul loc cu 20.098,19 milioane euro, urmate de plățile directe către fermieri, acordate din Fondul European pentru Garantare Agricolă - FEGA cu 12.295,55 milioane euro.</w:t>
      </w:r>
    </w:p>
    <w:tbl>
      <w:tblPr>
        <w:tblW w:w="9606" w:type="dxa"/>
        <w:tblInd w:w="-117" w:type="dxa"/>
        <w:tblLayout w:type="fixed"/>
        <w:tblLook w:val="04A0" w:firstRow="1" w:lastRow="0" w:firstColumn="1" w:lastColumn="0" w:noHBand="0" w:noVBand="1"/>
      </w:tblPr>
      <w:tblGrid>
        <w:gridCol w:w="108"/>
        <w:gridCol w:w="4362"/>
        <w:gridCol w:w="108"/>
        <w:gridCol w:w="926"/>
        <w:gridCol w:w="416"/>
        <w:gridCol w:w="1026"/>
        <w:gridCol w:w="108"/>
        <w:gridCol w:w="898"/>
        <w:gridCol w:w="108"/>
        <w:gridCol w:w="1438"/>
        <w:gridCol w:w="108"/>
      </w:tblGrid>
      <w:tr w:rsidR="00857E54" w:rsidRPr="00857E54" w:rsidTr="00152A7A">
        <w:trPr>
          <w:gridBefore w:val="1"/>
          <w:wBefore w:w="108" w:type="dxa"/>
          <w:trHeight w:val="581"/>
        </w:trPr>
        <w:tc>
          <w:tcPr>
            <w:tcW w:w="9498" w:type="dxa"/>
            <w:gridSpan w:val="10"/>
            <w:tcBorders>
              <w:top w:val="nil"/>
              <w:left w:val="nil"/>
              <w:bottom w:val="nil"/>
              <w:right w:val="nil"/>
            </w:tcBorders>
            <w:shd w:val="clear" w:color="auto" w:fill="auto"/>
            <w:vAlign w:val="bottom"/>
            <w:hideMark/>
          </w:tcPr>
          <w:p w:rsidR="00E042CB" w:rsidRPr="00857E54" w:rsidRDefault="00E042CB" w:rsidP="00281576">
            <w:pPr>
              <w:keepNext/>
              <w:keepLines/>
              <w:spacing w:after="0"/>
              <w:ind w:firstLine="0"/>
              <w:jc w:val="center"/>
              <w:rPr>
                <w:rFonts w:ascii="Arial" w:eastAsia="Times New Roman" w:hAnsi="Arial" w:cs="Arial"/>
                <w:b/>
                <w:bCs/>
                <w:sz w:val="20"/>
                <w:szCs w:val="20"/>
              </w:rPr>
            </w:pPr>
          </w:p>
          <w:p w:rsidR="00E042CB" w:rsidRPr="00857E54" w:rsidRDefault="00E042CB" w:rsidP="00281576">
            <w:pPr>
              <w:keepNext/>
              <w:keepLines/>
              <w:spacing w:after="0"/>
              <w:ind w:firstLine="0"/>
              <w:jc w:val="center"/>
              <w:rPr>
                <w:rFonts w:ascii="Arial" w:eastAsia="Times New Roman" w:hAnsi="Arial" w:cs="Arial"/>
                <w:b/>
                <w:bCs/>
                <w:sz w:val="20"/>
                <w:szCs w:val="20"/>
              </w:rPr>
            </w:pPr>
          </w:p>
          <w:p w:rsidR="007E60D5" w:rsidRPr="00857E54" w:rsidRDefault="00152A7A" w:rsidP="00281576">
            <w:pPr>
              <w:keepNext/>
              <w:keepLines/>
              <w:spacing w:after="0"/>
              <w:ind w:firstLine="0"/>
              <w:jc w:val="center"/>
              <w:rPr>
                <w:rFonts w:ascii="Arial" w:eastAsia="Times New Roman" w:hAnsi="Arial" w:cs="Arial"/>
                <w:b/>
                <w:bCs/>
                <w:sz w:val="20"/>
                <w:szCs w:val="20"/>
                <w:lang w:eastAsia="ro-RO"/>
              </w:rPr>
            </w:pPr>
            <w:r w:rsidRPr="00857E54">
              <w:rPr>
                <w:rFonts w:ascii="Arial" w:eastAsia="Times New Roman" w:hAnsi="Arial" w:cs="Arial"/>
                <w:b/>
                <w:bCs/>
                <w:sz w:val="20"/>
                <w:szCs w:val="20"/>
              </w:rPr>
              <w:t>Evoluția</w:t>
            </w:r>
            <w:r w:rsidR="007E60D5" w:rsidRPr="00857E54">
              <w:rPr>
                <w:rFonts w:ascii="Arial" w:eastAsia="Times New Roman" w:hAnsi="Arial" w:cs="Arial"/>
                <w:b/>
                <w:bCs/>
                <w:sz w:val="20"/>
                <w:szCs w:val="20"/>
              </w:rPr>
              <w:t xml:space="preserve"> fluxurilor financiare dintre România şi Uniunea Europeană</w:t>
            </w:r>
            <w:r w:rsidR="007E60D5" w:rsidRPr="00857E54">
              <w:rPr>
                <w:rFonts w:ascii="Arial" w:eastAsia="Times New Roman" w:hAnsi="Arial" w:cs="Arial"/>
                <w:b/>
                <w:bCs/>
                <w:sz w:val="20"/>
                <w:szCs w:val="20"/>
              </w:rPr>
              <w:br/>
              <w:t>( BALANŢA FINANCIARĂ NETĂ)</w:t>
            </w:r>
          </w:p>
        </w:tc>
      </w:tr>
      <w:tr w:rsidR="00857E54" w:rsidRPr="00857E54" w:rsidTr="00152A7A">
        <w:trPr>
          <w:gridBefore w:val="1"/>
          <w:wBefore w:w="108" w:type="dxa"/>
          <w:trHeight w:val="346"/>
        </w:trPr>
        <w:tc>
          <w:tcPr>
            <w:tcW w:w="9498" w:type="dxa"/>
            <w:gridSpan w:val="10"/>
            <w:tcBorders>
              <w:top w:val="nil"/>
              <w:left w:val="nil"/>
              <w:bottom w:val="nil"/>
              <w:right w:val="nil"/>
            </w:tcBorders>
            <w:shd w:val="clear" w:color="auto" w:fill="auto"/>
            <w:vAlign w:val="bottom"/>
            <w:hideMark/>
          </w:tcPr>
          <w:p w:rsidR="007E60D5" w:rsidRPr="00857E54" w:rsidRDefault="007E60D5" w:rsidP="00281576">
            <w:pPr>
              <w:keepNext/>
              <w:keepLines/>
              <w:spacing w:after="0"/>
              <w:ind w:firstLine="0"/>
              <w:jc w:val="center"/>
              <w:rPr>
                <w:rFonts w:ascii="Arial" w:eastAsia="Times New Roman" w:hAnsi="Arial" w:cs="Arial"/>
                <w:b/>
                <w:bCs/>
                <w:sz w:val="20"/>
                <w:szCs w:val="20"/>
              </w:rPr>
            </w:pPr>
            <w:r w:rsidRPr="00857E54">
              <w:rPr>
                <w:rFonts w:ascii="Arial" w:eastAsia="Times New Roman" w:hAnsi="Arial" w:cs="Arial"/>
                <w:b/>
                <w:bCs/>
                <w:sz w:val="20"/>
                <w:szCs w:val="20"/>
              </w:rPr>
              <w:t>la 30.06.2018</w:t>
            </w:r>
          </w:p>
        </w:tc>
      </w:tr>
      <w:tr w:rsidR="00857E54" w:rsidRPr="00857E54" w:rsidTr="00152A7A">
        <w:trPr>
          <w:gridBefore w:val="1"/>
          <w:wBefore w:w="108" w:type="dxa"/>
          <w:trHeight w:val="350"/>
        </w:trPr>
        <w:tc>
          <w:tcPr>
            <w:tcW w:w="4470" w:type="dxa"/>
            <w:gridSpan w:val="2"/>
            <w:tcBorders>
              <w:top w:val="nil"/>
              <w:left w:val="nil"/>
              <w:bottom w:val="nil"/>
              <w:right w:val="nil"/>
            </w:tcBorders>
            <w:shd w:val="clear" w:color="auto" w:fill="auto"/>
            <w:noWrap/>
            <w:vAlign w:val="bottom"/>
            <w:hideMark/>
          </w:tcPr>
          <w:p w:rsidR="00AB659D" w:rsidRPr="00857E54" w:rsidRDefault="00AB659D" w:rsidP="00281576">
            <w:pPr>
              <w:keepNext/>
              <w:keepLines/>
              <w:spacing w:after="0"/>
              <w:ind w:firstLine="0"/>
              <w:jc w:val="left"/>
              <w:rPr>
                <w:rFonts w:ascii="Arial" w:eastAsia="Times New Roman" w:hAnsi="Arial" w:cs="Arial"/>
                <w:i/>
                <w:sz w:val="20"/>
                <w:szCs w:val="20"/>
              </w:rPr>
            </w:pPr>
          </w:p>
          <w:p w:rsidR="00AB659D" w:rsidRPr="00857E54" w:rsidRDefault="00AB659D" w:rsidP="00281576">
            <w:pPr>
              <w:keepNext/>
              <w:keepLines/>
              <w:spacing w:after="0"/>
              <w:ind w:firstLine="0"/>
              <w:jc w:val="left"/>
              <w:rPr>
                <w:rFonts w:ascii="Arial" w:eastAsia="Times New Roman" w:hAnsi="Arial" w:cs="Arial"/>
                <w:i/>
                <w:sz w:val="20"/>
                <w:szCs w:val="20"/>
              </w:rPr>
            </w:pPr>
          </w:p>
          <w:p w:rsidR="00AB659D" w:rsidRPr="00857E54" w:rsidRDefault="00AB659D" w:rsidP="00281576">
            <w:pPr>
              <w:keepNext/>
              <w:keepLines/>
              <w:spacing w:after="0"/>
              <w:ind w:firstLine="0"/>
              <w:jc w:val="left"/>
              <w:rPr>
                <w:rFonts w:ascii="Arial" w:eastAsia="Times New Roman" w:hAnsi="Arial" w:cs="Arial"/>
                <w:i/>
                <w:sz w:val="20"/>
                <w:szCs w:val="20"/>
              </w:rPr>
            </w:pPr>
            <w:r w:rsidRPr="00857E54">
              <w:rPr>
                <w:rFonts w:ascii="Arial" w:eastAsia="Times New Roman" w:hAnsi="Arial" w:cs="Arial"/>
                <w:b/>
                <w:bCs/>
                <w:sz w:val="20"/>
                <w:szCs w:val="20"/>
              </w:rPr>
              <w:t>CFM</w:t>
            </w:r>
            <w:r w:rsidR="00F43428" w:rsidRPr="00857E54">
              <w:rPr>
                <w:rFonts w:ascii="Arial" w:hAnsi="Arial" w:cs="Arial"/>
                <w:b/>
                <w:bCs/>
                <w:sz w:val="20"/>
                <w:szCs w:val="20"/>
                <w:vertAlign w:val="superscript"/>
              </w:rPr>
              <w:t>*)</w:t>
            </w:r>
            <w:r w:rsidRPr="00857E54">
              <w:rPr>
                <w:rFonts w:ascii="Arial" w:eastAsia="Times New Roman" w:hAnsi="Arial" w:cs="Arial"/>
                <w:b/>
                <w:bCs/>
                <w:sz w:val="20"/>
                <w:szCs w:val="20"/>
              </w:rPr>
              <w:t xml:space="preserve"> 2014-2020</w:t>
            </w:r>
          </w:p>
        </w:tc>
        <w:tc>
          <w:tcPr>
            <w:tcW w:w="1342" w:type="dxa"/>
            <w:gridSpan w:val="2"/>
            <w:tcBorders>
              <w:top w:val="nil"/>
              <w:left w:val="nil"/>
              <w:bottom w:val="nil"/>
              <w:right w:val="nil"/>
            </w:tcBorders>
            <w:shd w:val="clear" w:color="auto" w:fill="auto"/>
            <w:noWrap/>
            <w:vAlign w:val="bottom"/>
            <w:hideMark/>
          </w:tcPr>
          <w:p w:rsidR="007E60D5" w:rsidRPr="00857E54" w:rsidRDefault="007E60D5" w:rsidP="00281576">
            <w:pPr>
              <w:keepNext/>
              <w:keepLines/>
              <w:spacing w:after="0"/>
              <w:ind w:firstLine="0"/>
              <w:jc w:val="left"/>
              <w:rPr>
                <w:rFonts w:ascii="Arial" w:eastAsia="Times New Roman"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7E60D5" w:rsidRPr="00857E54" w:rsidRDefault="007E60D5" w:rsidP="00281576">
            <w:pPr>
              <w:keepNext/>
              <w:keepLines/>
              <w:spacing w:after="0"/>
              <w:ind w:firstLine="0"/>
              <w:jc w:val="left"/>
              <w:rPr>
                <w:rFonts w:ascii="Times New Roman" w:eastAsia="Times New Roman" w:hAnsi="Times New Roman" w:cs="Times New Roman"/>
                <w:sz w:val="20"/>
                <w:szCs w:val="20"/>
              </w:rPr>
            </w:pPr>
          </w:p>
        </w:tc>
        <w:tc>
          <w:tcPr>
            <w:tcW w:w="1006" w:type="dxa"/>
            <w:gridSpan w:val="2"/>
            <w:tcBorders>
              <w:top w:val="nil"/>
              <w:left w:val="nil"/>
              <w:bottom w:val="nil"/>
              <w:right w:val="nil"/>
            </w:tcBorders>
            <w:shd w:val="clear" w:color="auto" w:fill="auto"/>
            <w:noWrap/>
            <w:vAlign w:val="bottom"/>
            <w:hideMark/>
          </w:tcPr>
          <w:p w:rsidR="007E60D5" w:rsidRPr="00857E54" w:rsidRDefault="007E60D5" w:rsidP="00281576">
            <w:pPr>
              <w:keepNext/>
              <w:keepLines/>
              <w:spacing w:after="0"/>
              <w:ind w:firstLine="0"/>
              <w:jc w:val="left"/>
              <w:rPr>
                <w:rFonts w:ascii="Arial" w:eastAsia="Times New Roman" w:hAnsi="Arial" w:cs="Arial"/>
                <w:sz w:val="20"/>
                <w:szCs w:val="20"/>
              </w:rPr>
            </w:pPr>
          </w:p>
        </w:tc>
        <w:tc>
          <w:tcPr>
            <w:tcW w:w="1546" w:type="dxa"/>
            <w:gridSpan w:val="2"/>
            <w:tcBorders>
              <w:top w:val="nil"/>
              <w:left w:val="nil"/>
              <w:bottom w:val="nil"/>
              <w:right w:val="nil"/>
            </w:tcBorders>
            <w:shd w:val="clear" w:color="auto" w:fill="auto"/>
            <w:noWrap/>
            <w:vAlign w:val="bottom"/>
            <w:hideMark/>
          </w:tcPr>
          <w:p w:rsidR="007E60D5" w:rsidRPr="00857E54" w:rsidRDefault="00152A7A" w:rsidP="00281576">
            <w:pPr>
              <w:keepNext/>
              <w:keepLines/>
              <w:spacing w:after="0"/>
              <w:ind w:firstLine="0"/>
              <w:jc w:val="left"/>
              <w:rPr>
                <w:rFonts w:ascii="Arial" w:eastAsia="Times New Roman" w:hAnsi="Arial" w:cs="Arial"/>
                <w:sz w:val="20"/>
                <w:szCs w:val="20"/>
              </w:rPr>
            </w:pPr>
            <w:r w:rsidRPr="00857E54">
              <w:rPr>
                <w:rFonts w:ascii="Arial" w:eastAsia="Times New Roman" w:hAnsi="Arial" w:cs="Arial"/>
                <w:sz w:val="20"/>
                <w:szCs w:val="20"/>
              </w:rPr>
              <w:t>milioane euro</w:t>
            </w:r>
          </w:p>
        </w:tc>
      </w:tr>
      <w:bookmarkEnd w:id="38"/>
      <w:bookmarkEnd w:id="39"/>
      <w:bookmarkEnd w:id="40"/>
      <w:bookmarkEnd w:id="41"/>
      <w:bookmarkEnd w:id="42"/>
      <w:bookmarkEnd w:id="43"/>
      <w:bookmarkEnd w:id="44"/>
      <w:bookmarkEnd w:id="45"/>
      <w:bookmarkEnd w:id="46"/>
      <w:tr w:rsidR="00857E54" w:rsidRPr="00857E54" w:rsidTr="00152A7A">
        <w:trPr>
          <w:gridAfter w:val="1"/>
          <w:wAfter w:w="108" w:type="dxa"/>
          <w:trHeight w:val="802"/>
        </w:trPr>
        <w:tc>
          <w:tcPr>
            <w:tcW w:w="4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center"/>
              <w:rPr>
                <w:rFonts w:ascii="Arial" w:hAnsi="Arial" w:cs="Arial"/>
                <w:bCs/>
                <w:sz w:val="20"/>
                <w:szCs w:val="20"/>
              </w:rPr>
            </w:pPr>
            <w:r w:rsidRPr="00857E54">
              <w:rPr>
                <w:rFonts w:ascii="Arial" w:hAnsi="Arial" w:cs="Arial"/>
                <w:bCs/>
                <w:sz w:val="20"/>
                <w:szCs w:val="20"/>
              </w:rPr>
              <w:t>Denumire</w:t>
            </w:r>
          </w:p>
        </w:tc>
        <w:tc>
          <w:tcPr>
            <w:tcW w:w="1034"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52A7A" w:rsidRPr="00857E54" w:rsidRDefault="00AB659D" w:rsidP="00281576">
            <w:pPr>
              <w:keepNext/>
              <w:keepLines/>
              <w:ind w:hanging="71"/>
              <w:jc w:val="center"/>
              <w:rPr>
                <w:rFonts w:ascii="Arial" w:hAnsi="Arial" w:cs="Arial"/>
                <w:bCs/>
                <w:sz w:val="20"/>
                <w:szCs w:val="20"/>
              </w:rPr>
            </w:pPr>
            <w:r w:rsidRPr="00857E54">
              <w:rPr>
                <w:rFonts w:ascii="Arial" w:hAnsi="Arial" w:cs="Arial"/>
                <w:bCs/>
                <w:sz w:val="20"/>
                <w:szCs w:val="20"/>
              </w:rPr>
              <w:t>Estimări</w:t>
            </w:r>
          </w:p>
          <w:p w:rsidR="00AB659D" w:rsidRPr="00857E54" w:rsidRDefault="00AB659D" w:rsidP="00281576">
            <w:pPr>
              <w:keepNext/>
              <w:keepLines/>
              <w:jc w:val="center"/>
              <w:rPr>
                <w:rFonts w:ascii="Arial" w:hAnsi="Arial" w:cs="Arial"/>
                <w:bCs/>
                <w:sz w:val="20"/>
                <w:szCs w:val="20"/>
              </w:rPr>
            </w:pPr>
            <w:r w:rsidRPr="00857E54">
              <w:rPr>
                <w:rFonts w:ascii="Arial" w:hAnsi="Arial" w:cs="Arial"/>
                <w:bCs/>
                <w:sz w:val="20"/>
                <w:szCs w:val="20"/>
              </w:rPr>
              <w:t>2018</w:t>
            </w:r>
          </w:p>
        </w:tc>
        <w:tc>
          <w:tcPr>
            <w:tcW w:w="2448" w:type="dxa"/>
            <w:gridSpan w:val="4"/>
            <w:tcBorders>
              <w:top w:val="single" w:sz="4" w:space="0" w:color="auto"/>
              <w:left w:val="nil"/>
              <w:bottom w:val="single" w:sz="4" w:space="0" w:color="auto"/>
              <w:right w:val="single" w:sz="4" w:space="0" w:color="000000"/>
            </w:tcBorders>
            <w:shd w:val="clear" w:color="auto" w:fill="auto"/>
            <w:vAlign w:val="center"/>
            <w:hideMark/>
          </w:tcPr>
          <w:p w:rsidR="00AB659D" w:rsidRPr="00857E54" w:rsidRDefault="00AB659D" w:rsidP="00281576">
            <w:pPr>
              <w:keepNext/>
              <w:keepLines/>
              <w:ind w:left="-113" w:firstLine="113"/>
              <w:jc w:val="center"/>
              <w:rPr>
                <w:rFonts w:ascii="Arial" w:hAnsi="Arial" w:cs="Arial"/>
                <w:bCs/>
                <w:sz w:val="20"/>
                <w:szCs w:val="20"/>
              </w:rPr>
            </w:pPr>
            <w:r w:rsidRPr="00857E54">
              <w:rPr>
                <w:rFonts w:ascii="Arial" w:hAnsi="Arial" w:cs="Arial"/>
                <w:bCs/>
                <w:sz w:val="20"/>
                <w:szCs w:val="20"/>
              </w:rPr>
              <w:t>Realizat 2018 (30.06.2018)</w:t>
            </w:r>
          </w:p>
        </w:tc>
        <w:tc>
          <w:tcPr>
            <w:tcW w:w="154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2A7A" w:rsidRPr="00857E54" w:rsidRDefault="00AB659D" w:rsidP="00281576">
            <w:pPr>
              <w:keepNext/>
              <w:keepLines/>
              <w:jc w:val="center"/>
              <w:rPr>
                <w:rFonts w:ascii="Arial" w:hAnsi="Arial" w:cs="Arial"/>
                <w:bCs/>
                <w:sz w:val="20"/>
                <w:szCs w:val="20"/>
              </w:rPr>
            </w:pPr>
            <w:r w:rsidRPr="00857E54">
              <w:rPr>
                <w:rFonts w:ascii="Arial" w:hAnsi="Arial" w:cs="Arial"/>
                <w:bCs/>
                <w:sz w:val="20"/>
                <w:szCs w:val="20"/>
              </w:rPr>
              <w:t xml:space="preserve">Realizat </w:t>
            </w:r>
          </w:p>
          <w:p w:rsidR="00152A7A" w:rsidRPr="00857E54" w:rsidRDefault="00AB659D" w:rsidP="00281576">
            <w:pPr>
              <w:keepNext/>
              <w:keepLines/>
              <w:jc w:val="center"/>
              <w:rPr>
                <w:rFonts w:ascii="Arial" w:hAnsi="Arial" w:cs="Arial"/>
                <w:bCs/>
                <w:sz w:val="20"/>
                <w:szCs w:val="20"/>
              </w:rPr>
            </w:pPr>
            <w:r w:rsidRPr="00857E54">
              <w:rPr>
                <w:rFonts w:ascii="Arial" w:hAnsi="Arial" w:cs="Arial"/>
                <w:bCs/>
                <w:sz w:val="20"/>
                <w:szCs w:val="20"/>
              </w:rPr>
              <w:t>2007-2018</w:t>
            </w:r>
          </w:p>
          <w:p w:rsidR="00AB659D" w:rsidRPr="00857E54" w:rsidRDefault="00AB659D" w:rsidP="00281576">
            <w:pPr>
              <w:keepNext/>
              <w:keepLines/>
              <w:jc w:val="center"/>
              <w:rPr>
                <w:rFonts w:ascii="Arial" w:hAnsi="Arial" w:cs="Arial"/>
                <w:bCs/>
                <w:sz w:val="20"/>
                <w:szCs w:val="20"/>
              </w:rPr>
            </w:pPr>
            <w:r w:rsidRPr="00857E54">
              <w:rPr>
                <w:rFonts w:ascii="Arial" w:hAnsi="Arial" w:cs="Arial"/>
                <w:bCs/>
                <w:sz w:val="20"/>
                <w:szCs w:val="20"/>
              </w:rPr>
              <w:t>(30.06.2018)</w:t>
            </w:r>
          </w:p>
        </w:tc>
      </w:tr>
      <w:tr w:rsidR="00857E54" w:rsidRPr="00857E54" w:rsidTr="00152A7A">
        <w:trPr>
          <w:gridAfter w:val="1"/>
          <w:wAfter w:w="108" w:type="dxa"/>
          <w:trHeight w:val="304"/>
        </w:trPr>
        <w:tc>
          <w:tcPr>
            <w:tcW w:w="4470" w:type="dxa"/>
            <w:gridSpan w:val="2"/>
            <w:vMerge/>
            <w:tcBorders>
              <w:top w:val="single" w:sz="4" w:space="0" w:color="auto"/>
              <w:left w:val="single" w:sz="4" w:space="0" w:color="auto"/>
              <w:bottom w:val="single" w:sz="4" w:space="0" w:color="auto"/>
              <w:right w:val="single" w:sz="4" w:space="0" w:color="auto"/>
            </w:tcBorders>
            <w:vAlign w:val="center"/>
            <w:hideMark/>
          </w:tcPr>
          <w:p w:rsidR="00AB659D" w:rsidRPr="00857E54" w:rsidRDefault="00AB659D" w:rsidP="00281576">
            <w:pPr>
              <w:keepNext/>
              <w:keepLines/>
              <w:rPr>
                <w:rFonts w:ascii="Arial" w:hAnsi="Arial" w:cs="Arial"/>
                <w:b/>
                <w:bCs/>
                <w:sz w:val="20"/>
                <w:szCs w:val="20"/>
              </w:rPr>
            </w:pPr>
          </w:p>
        </w:tc>
        <w:tc>
          <w:tcPr>
            <w:tcW w:w="1034" w:type="dxa"/>
            <w:gridSpan w:val="2"/>
            <w:vMerge/>
            <w:tcBorders>
              <w:top w:val="single" w:sz="4" w:space="0" w:color="000000"/>
              <w:left w:val="single" w:sz="4" w:space="0" w:color="auto"/>
              <w:bottom w:val="single" w:sz="4" w:space="0" w:color="000000"/>
              <w:right w:val="single" w:sz="4" w:space="0" w:color="000000"/>
            </w:tcBorders>
            <w:vAlign w:val="center"/>
            <w:hideMark/>
          </w:tcPr>
          <w:p w:rsidR="00AB659D" w:rsidRPr="00857E54" w:rsidRDefault="00AB659D" w:rsidP="00281576">
            <w:pPr>
              <w:keepNext/>
              <w:keepLines/>
              <w:rPr>
                <w:rFonts w:ascii="Arial" w:hAnsi="Arial" w:cs="Arial"/>
                <w:b/>
                <w:bCs/>
                <w:sz w:val="20"/>
                <w:szCs w:val="20"/>
              </w:rPr>
            </w:pPr>
          </w:p>
        </w:tc>
        <w:tc>
          <w:tcPr>
            <w:tcW w:w="1442" w:type="dxa"/>
            <w:gridSpan w:val="2"/>
            <w:tcBorders>
              <w:top w:val="nil"/>
              <w:left w:val="nil"/>
              <w:bottom w:val="single" w:sz="4" w:space="0" w:color="000000"/>
              <w:right w:val="single" w:sz="4" w:space="0" w:color="000000"/>
            </w:tcBorders>
            <w:shd w:val="clear" w:color="auto" w:fill="auto"/>
            <w:vAlign w:val="center"/>
            <w:hideMark/>
          </w:tcPr>
          <w:p w:rsidR="00AB659D" w:rsidRPr="00857E54" w:rsidRDefault="00152A7A" w:rsidP="00281576">
            <w:pPr>
              <w:keepNext/>
              <w:keepLines/>
              <w:ind w:firstLine="0"/>
              <w:jc w:val="center"/>
              <w:rPr>
                <w:rFonts w:ascii="Arial" w:hAnsi="Arial" w:cs="Arial"/>
                <w:bCs/>
                <w:sz w:val="20"/>
                <w:szCs w:val="20"/>
              </w:rPr>
            </w:pPr>
            <w:r w:rsidRPr="00857E54">
              <w:rPr>
                <w:rFonts w:ascii="Arial" w:hAnsi="Arial" w:cs="Arial"/>
                <w:bCs/>
                <w:sz w:val="20"/>
                <w:szCs w:val="20"/>
              </w:rPr>
              <w:t>milioane</w:t>
            </w:r>
            <w:r w:rsidR="00AB659D" w:rsidRPr="00857E54">
              <w:rPr>
                <w:rFonts w:ascii="Arial" w:hAnsi="Arial" w:cs="Arial"/>
                <w:bCs/>
                <w:sz w:val="20"/>
                <w:szCs w:val="20"/>
              </w:rPr>
              <w:t xml:space="preserve"> euro</w:t>
            </w:r>
          </w:p>
        </w:tc>
        <w:tc>
          <w:tcPr>
            <w:tcW w:w="1006" w:type="dxa"/>
            <w:gridSpan w:val="2"/>
            <w:tcBorders>
              <w:top w:val="nil"/>
              <w:left w:val="nil"/>
              <w:bottom w:val="single" w:sz="4" w:space="0" w:color="000000"/>
              <w:right w:val="single" w:sz="4" w:space="0" w:color="000000"/>
            </w:tcBorders>
            <w:shd w:val="clear" w:color="auto" w:fill="auto"/>
            <w:vAlign w:val="center"/>
            <w:hideMark/>
          </w:tcPr>
          <w:p w:rsidR="00AB659D" w:rsidRPr="00857E54" w:rsidRDefault="00AB659D" w:rsidP="00281576">
            <w:pPr>
              <w:keepNext/>
              <w:keepLines/>
              <w:jc w:val="center"/>
              <w:rPr>
                <w:rFonts w:ascii="Arial" w:hAnsi="Arial" w:cs="Arial"/>
                <w:bCs/>
                <w:sz w:val="20"/>
                <w:szCs w:val="20"/>
              </w:rPr>
            </w:pPr>
            <w:r w:rsidRPr="00857E54">
              <w:rPr>
                <w:rFonts w:ascii="Arial" w:hAnsi="Arial" w:cs="Arial"/>
                <w:bCs/>
                <w:sz w:val="20"/>
                <w:szCs w:val="20"/>
              </w:rPr>
              <w:t>%</w:t>
            </w:r>
          </w:p>
        </w:tc>
        <w:tc>
          <w:tcPr>
            <w:tcW w:w="1546" w:type="dxa"/>
            <w:gridSpan w:val="2"/>
            <w:vMerge/>
            <w:tcBorders>
              <w:top w:val="single" w:sz="4" w:space="0" w:color="auto"/>
              <w:left w:val="single" w:sz="4" w:space="0" w:color="auto"/>
              <w:bottom w:val="single" w:sz="4" w:space="0" w:color="000000"/>
              <w:right w:val="single" w:sz="4" w:space="0" w:color="auto"/>
            </w:tcBorders>
            <w:vAlign w:val="center"/>
            <w:hideMark/>
          </w:tcPr>
          <w:p w:rsidR="00AB659D" w:rsidRPr="00857E54" w:rsidRDefault="00AB659D" w:rsidP="00281576">
            <w:pPr>
              <w:keepNext/>
              <w:keepLines/>
              <w:rPr>
                <w:rFonts w:ascii="Arial" w:hAnsi="Arial" w:cs="Arial"/>
                <w:b/>
                <w:bCs/>
                <w:sz w:val="20"/>
                <w:szCs w:val="20"/>
              </w:rPr>
            </w:pPr>
          </w:p>
        </w:tc>
      </w:tr>
      <w:tr w:rsidR="00857E54" w:rsidRPr="00857E54" w:rsidTr="00E834D0">
        <w:trPr>
          <w:gridAfter w:val="1"/>
          <w:wAfter w:w="108" w:type="dxa"/>
          <w:trHeight w:val="444"/>
        </w:trPr>
        <w:tc>
          <w:tcPr>
            <w:tcW w:w="4470" w:type="dxa"/>
            <w:gridSpan w:val="2"/>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hideMark/>
          </w:tcPr>
          <w:p w:rsidR="00AB659D" w:rsidRPr="00857E54" w:rsidRDefault="00AB659D" w:rsidP="00281576">
            <w:pPr>
              <w:keepNext/>
              <w:keepLines/>
              <w:rPr>
                <w:rFonts w:ascii="Arial" w:hAnsi="Arial" w:cs="Arial"/>
                <w:b/>
                <w:bCs/>
                <w:sz w:val="20"/>
                <w:szCs w:val="20"/>
                <w:lang w:val="fr-FR"/>
              </w:rPr>
            </w:pPr>
            <w:r w:rsidRPr="00857E54">
              <w:rPr>
                <w:rFonts w:ascii="Arial" w:hAnsi="Arial" w:cs="Arial"/>
                <w:b/>
                <w:bCs/>
                <w:sz w:val="20"/>
                <w:szCs w:val="20"/>
                <w:lang w:val="fr-FR"/>
              </w:rPr>
              <w:t xml:space="preserve">I. SUME PRIMITE DE LA BUGETUL UE </w:t>
            </w:r>
            <w:r w:rsidRPr="00857E54">
              <w:rPr>
                <w:rFonts w:ascii="Arial" w:hAnsi="Arial" w:cs="Arial"/>
                <w:sz w:val="20"/>
                <w:szCs w:val="20"/>
                <w:lang w:val="fr-FR"/>
              </w:rPr>
              <w:t>(A+B+C+D)</w:t>
            </w:r>
          </w:p>
        </w:tc>
        <w:tc>
          <w:tcPr>
            <w:tcW w:w="1034"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5.827,17</w:t>
            </w:r>
          </w:p>
        </w:tc>
        <w:tc>
          <w:tcPr>
            <w:tcW w:w="1442"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AB659D" w:rsidRPr="00857E54" w:rsidRDefault="00AB659D" w:rsidP="00281576">
            <w:pPr>
              <w:keepNext/>
              <w:keepLines/>
              <w:ind w:left="29"/>
              <w:jc w:val="right"/>
              <w:rPr>
                <w:rFonts w:ascii="Arial" w:hAnsi="Arial" w:cs="Arial"/>
                <w:b/>
                <w:bCs/>
                <w:sz w:val="20"/>
                <w:szCs w:val="20"/>
              </w:rPr>
            </w:pPr>
            <w:r w:rsidRPr="00857E54">
              <w:rPr>
                <w:rFonts w:ascii="Arial" w:hAnsi="Arial" w:cs="Arial"/>
                <w:b/>
                <w:bCs/>
                <w:sz w:val="20"/>
                <w:szCs w:val="20"/>
              </w:rPr>
              <w:t>2.434,14</w:t>
            </w:r>
          </w:p>
        </w:tc>
        <w:tc>
          <w:tcPr>
            <w:tcW w:w="1006"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41,77%</w:t>
            </w:r>
          </w:p>
        </w:tc>
        <w:tc>
          <w:tcPr>
            <w:tcW w:w="1546"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11.053,95</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i/>
                <w:iCs/>
                <w:sz w:val="20"/>
                <w:szCs w:val="20"/>
              </w:rPr>
            </w:pPr>
            <w:r w:rsidRPr="00857E54">
              <w:rPr>
                <w:rFonts w:ascii="Arial" w:hAnsi="Arial" w:cs="Arial"/>
                <w:b/>
                <w:bCs/>
                <w:i/>
                <w:iCs/>
                <w:sz w:val="20"/>
                <w:szCs w:val="20"/>
              </w:rPr>
              <w:t xml:space="preserve">i) </w:t>
            </w:r>
            <w:r w:rsidRPr="00857E54">
              <w:rPr>
                <w:rFonts w:ascii="Arial" w:hAnsi="Arial" w:cs="Arial"/>
                <w:sz w:val="20"/>
                <w:szCs w:val="20"/>
              </w:rPr>
              <w:t xml:space="preserve">Avansuri </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37,95</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30,40</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80,11%</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1.897,75</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i/>
                <w:iCs/>
                <w:sz w:val="20"/>
                <w:szCs w:val="20"/>
              </w:rPr>
            </w:pPr>
            <w:r w:rsidRPr="00857E54">
              <w:rPr>
                <w:rFonts w:ascii="Arial" w:hAnsi="Arial" w:cs="Arial"/>
                <w:b/>
                <w:bCs/>
                <w:i/>
                <w:iCs/>
                <w:sz w:val="20"/>
                <w:szCs w:val="20"/>
              </w:rPr>
              <w:t>ii)</w:t>
            </w:r>
            <w:r w:rsidR="00152A7A" w:rsidRPr="00857E54">
              <w:rPr>
                <w:rFonts w:ascii="Arial" w:hAnsi="Arial" w:cs="Arial"/>
                <w:sz w:val="20"/>
                <w:szCs w:val="20"/>
              </w:rPr>
              <w:t>Rambursări</w:t>
            </w:r>
            <w:r w:rsidRPr="00857E54">
              <w:rPr>
                <w:rFonts w:ascii="Arial" w:hAnsi="Arial" w:cs="Arial"/>
                <w:sz w:val="20"/>
                <w:szCs w:val="20"/>
              </w:rPr>
              <w:t xml:space="preserve"> (inclusiv FEGA)</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5.789,22</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2.403,74</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41,52%</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9.156,20</w:t>
            </w:r>
          </w:p>
        </w:tc>
      </w:tr>
      <w:tr w:rsidR="00857E54" w:rsidRPr="00857E54" w:rsidTr="00E834D0">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AB659D" w:rsidRPr="00857E54" w:rsidRDefault="00AB659D" w:rsidP="00281576">
            <w:pPr>
              <w:keepNext/>
              <w:keepLines/>
              <w:ind w:firstLineChars="100" w:firstLine="201"/>
              <w:rPr>
                <w:rFonts w:ascii="Arial" w:hAnsi="Arial" w:cs="Arial"/>
                <w:b/>
                <w:bCs/>
                <w:sz w:val="20"/>
                <w:szCs w:val="20"/>
              </w:rPr>
            </w:pPr>
            <w:r w:rsidRPr="00857E54">
              <w:rPr>
                <w:rFonts w:ascii="Arial" w:hAnsi="Arial" w:cs="Arial"/>
                <w:b/>
                <w:bCs/>
                <w:sz w:val="20"/>
                <w:szCs w:val="20"/>
              </w:rPr>
              <w:t xml:space="preserve">A. Fonduri structurale si de coeziune (FSC), </w:t>
            </w:r>
            <w:r w:rsidRPr="00857E54">
              <w:rPr>
                <w:rFonts w:ascii="Arial" w:hAnsi="Arial" w:cs="Arial"/>
                <w:sz w:val="20"/>
                <w:szCs w:val="20"/>
              </w:rPr>
              <w:t>din care:</w:t>
            </w:r>
          </w:p>
        </w:tc>
        <w:tc>
          <w:tcPr>
            <w:tcW w:w="10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2.288,54</w:t>
            </w:r>
          </w:p>
        </w:tc>
        <w:tc>
          <w:tcPr>
            <w:tcW w:w="1442"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188,58</w:t>
            </w:r>
          </w:p>
        </w:tc>
        <w:tc>
          <w:tcPr>
            <w:tcW w:w="100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8,24%</w:t>
            </w:r>
          </w:p>
        </w:tc>
        <w:tc>
          <w:tcPr>
            <w:tcW w:w="154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2.843,93</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sz w:val="20"/>
                <w:szCs w:val="20"/>
              </w:rPr>
            </w:pPr>
            <w:r w:rsidRPr="00857E54">
              <w:rPr>
                <w:rFonts w:ascii="Arial" w:hAnsi="Arial" w:cs="Arial"/>
                <w:b/>
                <w:bCs/>
                <w:sz w:val="20"/>
                <w:szCs w:val="20"/>
              </w:rPr>
              <w:t>a)</w:t>
            </w:r>
            <w:r w:rsidRPr="00857E54">
              <w:rPr>
                <w:rFonts w:ascii="Arial" w:hAnsi="Arial" w:cs="Arial"/>
                <w:sz w:val="20"/>
                <w:szCs w:val="20"/>
              </w:rPr>
              <w:t xml:space="preserve"> Avansuri din FSC</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30,20</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24,00</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79,48%</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1.535,00</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sz w:val="20"/>
                <w:szCs w:val="20"/>
              </w:rPr>
            </w:pPr>
            <w:r w:rsidRPr="00857E54">
              <w:rPr>
                <w:rFonts w:ascii="Arial" w:hAnsi="Arial" w:cs="Arial"/>
                <w:b/>
                <w:bCs/>
                <w:sz w:val="20"/>
                <w:szCs w:val="20"/>
              </w:rPr>
              <w:t>b)</w:t>
            </w:r>
            <w:r w:rsidR="00152A7A" w:rsidRPr="00857E54">
              <w:rPr>
                <w:rFonts w:ascii="Arial" w:hAnsi="Arial" w:cs="Arial"/>
                <w:sz w:val="20"/>
                <w:szCs w:val="20"/>
              </w:rPr>
              <w:t>Rambursări</w:t>
            </w:r>
            <w:r w:rsidRPr="00857E54">
              <w:rPr>
                <w:rFonts w:ascii="Arial" w:hAnsi="Arial" w:cs="Arial"/>
                <w:sz w:val="20"/>
                <w:szCs w:val="20"/>
              </w:rPr>
              <w:t xml:space="preserve"> din FSC</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2.258,34</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164,57</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7,29%</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1.308,93</w:t>
            </w:r>
          </w:p>
        </w:tc>
      </w:tr>
      <w:tr w:rsidR="00857E54" w:rsidRPr="00857E54" w:rsidTr="00E834D0">
        <w:trPr>
          <w:gridAfter w:val="1"/>
          <w:wAfter w:w="108" w:type="dxa"/>
          <w:trHeight w:val="512"/>
        </w:trPr>
        <w:tc>
          <w:tcPr>
            <w:tcW w:w="4470" w:type="dxa"/>
            <w:gridSpan w:val="2"/>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AB659D" w:rsidRPr="00857E54" w:rsidRDefault="00AB659D" w:rsidP="00281576">
            <w:pPr>
              <w:keepNext/>
              <w:keepLines/>
              <w:ind w:firstLineChars="100" w:firstLine="201"/>
              <w:rPr>
                <w:rFonts w:ascii="Arial" w:hAnsi="Arial" w:cs="Arial"/>
                <w:b/>
                <w:bCs/>
                <w:sz w:val="20"/>
                <w:szCs w:val="20"/>
              </w:rPr>
            </w:pPr>
            <w:r w:rsidRPr="00857E54">
              <w:rPr>
                <w:rFonts w:ascii="Arial" w:hAnsi="Arial" w:cs="Arial"/>
                <w:b/>
                <w:bCs/>
                <w:sz w:val="20"/>
                <w:szCs w:val="20"/>
              </w:rPr>
              <w:t xml:space="preserve">B. Fonduri pentru dezvoltare rurala si pescuit (FEADR+FEPAM), </w:t>
            </w:r>
            <w:r w:rsidRPr="00857E54">
              <w:rPr>
                <w:rFonts w:ascii="Arial" w:hAnsi="Arial" w:cs="Arial"/>
                <w:sz w:val="20"/>
                <w:szCs w:val="20"/>
              </w:rPr>
              <w:t>din care:</w:t>
            </w:r>
          </w:p>
        </w:tc>
        <w:tc>
          <w:tcPr>
            <w:tcW w:w="10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1.254,41</w:t>
            </w:r>
          </w:p>
        </w:tc>
        <w:tc>
          <w:tcPr>
            <w:tcW w:w="1442"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544,26</w:t>
            </w:r>
          </w:p>
        </w:tc>
        <w:tc>
          <w:tcPr>
            <w:tcW w:w="100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43,39%</w:t>
            </w:r>
          </w:p>
        </w:tc>
        <w:tc>
          <w:tcPr>
            <w:tcW w:w="154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2.923,79</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sz w:val="20"/>
                <w:szCs w:val="20"/>
              </w:rPr>
            </w:pPr>
            <w:r w:rsidRPr="00857E54">
              <w:rPr>
                <w:rFonts w:ascii="Arial" w:hAnsi="Arial" w:cs="Arial"/>
                <w:b/>
                <w:bCs/>
                <w:sz w:val="20"/>
                <w:szCs w:val="20"/>
              </w:rPr>
              <w:t>a)</w:t>
            </w:r>
            <w:r w:rsidRPr="00857E54">
              <w:rPr>
                <w:rFonts w:ascii="Arial" w:hAnsi="Arial" w:cs="Arial"/>
                <w:sz w:val="20"/>
                <w:szCs w:val="20"/>
              </w:rPr>
              <w:t xml:space="preserve"> Avansuri (FEADR+FEPAM)</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0,20</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0,20</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100,00%</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335,81</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sz w:val="20"/>
                <w:szCs w:val="20"/>
              </w:rPr>
            </w:pPr>
            <w:r w:rsidRPr="00857E54">
              <w:rPr>
                <w:rFonts w:ascii="Arial" w:hAnsi="Arial" w:cs="Arial"/>
                <w:b/>
                <w:bCs/>
                <w:sz w:val="20"/>
                <w:szCs w:val="20"/>
              </w:rPr>
              <w:t>b)</w:t>
            </w:r>
            <w:r w:rsidR="00152A7A" w:rsidRPr="00857E54">
              <w:rPr>
                <w:rFonts w:ascii="Arial" w:hAnsi="Arial" w:cs="Arial"/>
                <w:sz w:val="20"/>
                <w:szCs w:val="20"/>
              </w:rPr>
              <w:t>Rambursări</w:t>
            </w:r>
            <w:r w:rsidRPr="00857E54">
              <w:rPr>
                <w:rFonts w:ascii="Arial" w:hAnsi="Arial" w:cs="Arial"/>
                <w:sz w:val="20"/>
                <w:szCs w:val="20"/>
              </w:rPr>
              <w:t xml:space="preserve">  (FEADR+FEPAM)</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1.254,22</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544,06</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43,38%</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2.587,99</w:t>
            </w:r>
          </w:p>
        </w:tc>
      </w:tr>
      <w:tr w:rsidR="00857E54" w:rsidRPr="00857E54" w:rsidTr="00E834D0">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AB659D" w:rsidRPr="00857E54" w:rsidRDefault="00AB659D" w:rsidP="00281576">
            <w:pPr>
              <w:keepNext/>
              <w:keepLines/>
              <w:ind w:firstLineChars="100" w:firstLine="201"/>
              <w:rPr>
                <w:rFonts w:ascii="Arial" w:hAnsi="Arial" w:cs="Arial"/>
                <w:b/>
                <w:bCs/>
                <w:sz w:val="20"/>
                <w:szCs w:val="20"/>
              </w:rPr>
            </w:pPr>
            <w:r w:rsidRPr="00857E54">
              <w:rPr>
                <w:rFonts w:ascii="Arial" w:hAnsi="Arial" w:cs="Arial"/>
                <w:b/>
                <w:bCs/>
                <w:sz w:val="20"/>
                <w:szCs w:val="20"/>
              </w:rPr>
              <w:t>C. Fondul European pentru Garantare Agricola (FEGA)</w:t>
            </w:r>
          </w:p>
        </w:tc>
        <w:tc>
          <w:tcPr>
            <w:tcW w:w="10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2.125,80</w:t>
            </w:r>
          </w:p>
        </w:tc>
        <w:tc>
          <w:tcPr>
            <w:tcW w:w="1442"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1.623,63</w:t>
            </w:r>
          </w:p>
        </w:tc>
        <w:tc>
          <w:tcPr>
            <w:tcW w:w="100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76,38%</w:t>
            </w:r>
          </w:p>
        </w:tc>
        <w:tc>
          <w:tcPr>
            <w:tcW w:w="154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4.636,73</w:t>
            </w:r>
          </w:p>
        </w:tc>
      </w:tr>
      <w:tr w:rsidR="00857E54" w:rsidRPr="00857E54" w:rsidTr="00E834D0">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AB659D" w:rsidRPr="00857E54" w:rsidRDefault="00AB659D" w:rsidP="00281576">
            <w:pPr>
              <w:keepNext/>
              <w:keepLines/>
              <w:ind w:firstLineChars="100" w:firstLine="201"/>
              <w:rPr>
                <w:rFonts w:ascii="Arial" w:hAnsi="Arial" w:cs="Arial"/>
                <w:b/>
                <w:bCs/>
                <w:sz w:val="20"/>
                <w:szCs w:val="20"/>
              </w:rPr>
            </w:pPr>
            <w:r w:rsidRPr="00857E54">
              <w:rPr>
                <w:rFonts w:ascii="Arial" w:hAnsi="Arial" w:cs="Arial"/>
                <w:b/>
                <w:bCs/>
                <w:sz w:val="20"/>
                <w:szCs w:val="20"/>
              </w:rPr>
              <w:t xml:space="preserve">D. Altele (post-aderare), </w:t>
            </w:r>
            <w:r w:rsidRPr="00857E54">
              <w:rPr>
                <w:rFonts w:ascii="Arial" w:hAnsi="Arial" w:cs="Arial"/>
                <w:sz w:val="20"/>
                <w:szCs w:val="20"/>
              </w:rPr>
              <w:t xml:space="preserve">din care: </w:t>
            </w:r>
          </w:p>
        </w:tc>
        <w:tc>
          <w:tcPr>
            <w:tcW w:w="10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158,42</w:t>
            </w:r>
          </w:p>
        </w:tc>
        <w:tc>
          <w:tcPr>
            <w:tcW w:w="1442"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77,68</w:t>
            </w:r>
          </w:p>
        </w:tc>
        <w:tc>
          <w:tcPr>
            <w:tcW w:w="100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49,03%</w:t>
            </w:r>
          </w:p>
        </w:tc>
        <w:tc>
          <w:tcPr>
            <w:tcW w:w="154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AB659D" w:rsidRPr="00857E54" w:rsidRDefault="00AB659D" w:rsidP="00281576">
            <w:pPr>
              <w:keepNext/>
              <w:keepLines/>
              <w:jc w:val="right"/>
              <w:rPr>
                <w:rFonts w:ascii="Arial" w:hAnsi="Arial" w:cs="Arial"/>
                <w:b/>
                <w:bCs/>
                <w:sz w:val="20"/>
                <w:szCs w:val="20"/>
              </w:rPr>
            </w:pPr>
            <w:r w:rsidRPr="00857E54">
              <w:rPr>
                <w:rFonts w:ascii="Arial" w:hAnsi="Arial" w:cs="Arial"/>
                <w:b/>
                <w:bCs/>
                <w:sz w:val="20"/>
                <w:szCs w:val="20"/>
              </w:rPr>
              <w:t>649,50</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i/>
                <w:iCs/>
                <w:sz w:val="20"/>
                <w:szCs w:val="20"/>
              </w:rPr>
            </w:pPr>
            <w:r w:rsidRPr="00857E54">
              <w:rPr>
                <w:rFonts w:ascii="Arial" w:hAnsi="Arial" w:cs="Arial"/>
                <w:b/>
                <w:bCs/>
                <w:i/>
                <w:iCs/>
                <w:sz w:val="20"/>
                <w:szCs w:val="20"/>
              </w:rPr>
              <w:t xml:space="preserve">a) </w:t>
            </w:r>
            <w:r w:rsidRPr="00857E54">
              <w:rPr>
                <w:rFonts w:ascii="Arial" w:hAnsi="Arial" w:cs="Arial"/>
                <w:sz w:val="20"/>
                <w:szCs w:val="20"/>
              </w:rPr>
              <w:t xml:space="preserve">Avansuri </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7,55</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6,20</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82,11%</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26,95</w:t>
            </w:r>
          </w:p>
        </w:tc>
      </w:tr>
      <w:tr w:rsidR="00857E54" w:rsidRPr="00857E54" w:rsidTr="00152A7A">
        <w:trPr>
          <w:gridAfter w:val="1"/>
          <w:wAfter w:w="108" w:type="dxa"/>
          <w:trHeight w:val="346"/>
        </w:trPr>
        <w:tc>
          <w:tcPr>
            <w:tcW w:w="4470" w:type="dxa"/>
            <w:gridSpan w:val="2"/>
            <w:tcBorders>
              <w:top w:val="nil"/>
              <w:left w:val="single" w:sz="4" w:space="0" w:color="000000"/>
              <w:bottom w:val="single" w:sz="4" w:space="0" w:color="000000"/>
              <w:right w:val="single" w:sz="4" w:space="0" w:color="000000"/>
            </w:tcBorders>
            <w:shd w:val="clear" w:color="auto" w:fill="auto"/>
            <w:vAlign w:val="center"/>
            <w:hideMark/>
          </w:tcPr>
          <w:p w:rsidR="00AB659D" w:rsidRPr="00857E54" w:rsidRDefault="00AB659D" w:rsidP="00281576">
            <w:pPr>
              <w:keepNext/>
              <w:keepLines/>
              <w:ind w:firstLineChars="300" w:firstLine="602"/>
              <w:rPr>
                <w:rFonts w:ascii="Arial" w:hAnsi="Arial" w:cs="Arial"/>
                <w:b/>
                <w:bCs/>
                <w:i/>
                <w:iCs/>
                <w:sz w:val="20"/>
                <w:szCs w:val="20"/>
              </w:rPr>
            </w:pPr>
            <w:r w:rsidRPr="00857E54">
              <w:rPr>
                <w:rFonts w:ascii="Arial" w:hAnsi="Arial" w:cs="Arial"/>
                <w:b/>
                <w:bCs/>
                <w:i/>
                <w:iCs/>
                <w:sz w:val="20"/>
                <w:szCs w:val="20"/>
              </w:rPr>
              <w:t>b)</w:t>
            </w:r>
            <w:r w:rsidR="00152A7A" w:rsidRPr="00857E54">
              <w:rPr>
                <w:rFonts w:ascii="Arial" w:hAnsi="Arial" w:cs="Arial"/>
                <w:sz w:val="20"/>
                <w:szCs w:val="20"/>
              </w:rPr>
              <w:t>Rambursări</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150,86</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71,47</w:t>
            </w:r>
          </w:p>
        </w:tc>
        <w:tc>
          <w:tcPr>
            <w:tcW w:w="1006" w:type="dxa"/>
            <w:gridSpan w:val="2"/>
            <w:tcBorders>
              <w:top w:val="nil"/>
              <w:left w:val="nil"/>
              <w:bottom w:val="single" w:sz="4" w:space="0" w:color="auto"/>
              <w:right w:val="single" w:sz="4" w:space="0" w:color="auto"/>
            </w:tcBorders>
            <w:shd w:val="clear" w:color="CCCCFF" w:fill="FFFFFF"/>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47,38%</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AB659D" w:rsidRPr="00857E54" w:rsidRDefault="00AB659D" w:rsidP="00281576">
            <w:pPr>
              <w:keepNext/>
              <w:keepLines/>
              <w:jc w:val="right"/>
              <w:rPr>
                <w:rFonts w:ascii="Arial" w:hAnsi="Arial" w:cs="Arial"/>
                <w:sz w:val="20"/>
                <w:szCs w:val="20"/>
              </w:rPr>
            </w:pPr>
            <w:r w:rsidRPr="00857E54">
              <w:rPr>
                <w:rFonts w:ascii="Arial" w:hAnsi="Arial" w:cs="Arial"/>
                <w:sz w:val="20"/>
                <w:szCs w:val="20"/>
              </w:rPr>
              <w:t>622,56</w:t>
            </w:r>
          </w:p>
        </w:tc>
      </w:tr>
    </w:tbl>
    <w:p w:rsidR="00410C9F" w:rsidRPr="00857E54" w:rsidRDefault="00410C9F" w:rsidP="00281576">
      <w:pPr>
        <w:keepNext/>
        <w:keepLines/>
        <w:spacing w:after="0" w:line="276" w:lineRule="auto"/>
        <w:ind w:firstLine="720"/>
        <w:rPr>
          <w:rFonts w:ascii="Arial" w:eastAsia="Times New Roman" w:hAnsi="Arial" w:cs="Arial"/>
          <w:sz w:val="24"/>
          <w:szCs w:val="24"/>
        </w:rPr>
      </w:pPr>
    </w:p>
    <w:p w:rsidR="00240A85" w:rsidRPr="00857E54" w:rsidRDefault="00240A85" w:rsidP="00281576">
      <w:pPr>
        <w:keepNext/>
        <w:keepLines/>
        <w:rPr>
          <w:rFonts w:ascii="Arial" w:eastAsia="Times New Roman" w:hAnsi="Arial" w:cs="Arial"/>
          <w:sz w:val="24"/>
          <w:szCs w:val="24"/>
        </w:rPr>
      </w:pPr>
    </w:p>
    <w:p w:rsidR="003A0173" w:rsidRPr="00857E54" w:rsidRDefault="003A0173" w:rsidP="00281576">
      <w:pPr>
        <w:keepNext/>
        <w:keepLines/>
        <w:rPr>
          <w:rFonts w:ascii="Arial" w:eastAsia="Times New Roman" w:hAnsi="Arial" w:cs="Arial"/>
          <w:sz w:val="24"/>
          <w:szCs w:val="24"/>
        </w:rPr>
      </w:pPr>
    </w:p>
    <w:p w:rsidR="003A0173" w:rsidRPr="00857E54" w:rsidRDefault="003A0173" w:rsidP="00281576">
      <w:pPr>
        <w:keepNext/>
        <w:keepLines/>
        <w:rPr>
          <w:rFonts w:ascii="Arial" w:eastAsia="Times New Roman" w:hAnsi="Arial" w:cs="Arial"/>
          <w:sz w:val="24"/>
          <w:szCs w:val="24"/>
        </w:rPr>
      </w:pPr>
    </w:p>
    <w:tbl>
      <w:tblPr>
        <w:tblW w:w="9498" w:type="dxa"/>
        <w:tblInd w:w="-19" w:type="dxa"/>
        <w:tblLayout w:type="fixed"/>
        <w:tblLook w:val="04A0" w:firstRow="1" w:lastRow="0" w:firstColumn="1" w:lastColumn="0" w:noHBand="0" w:noVBand="1"/>
      </w:tblPr>
      <w:tblGrid>
        <w:gridCol w:w="4470"/>
        <w:gridCol w:w="1342"/>
        <w:gridCol w:w="1134"/>
        <w:gridCol w:w="1006"/>
        <w:gridCol w:w="1546"/>
      </w:tblGrid>
      <w:tr w:rsidR="00857E54" w:rsidRPr="00857E54" w:rsidTr="00240A85">
        <w:trPr>
          <w:trHeight w:val="80"/>
        </w:trPr>
        <w:tc>
          <w:tcPr>
            <w:tcW w:w="4470" w:type="dxa"/>
            <w:tcBorders>
              <w:top w:val="nil"/>
              <w:left w:val="nil"/>
              <w:bottom w:val="single" w:sz="4" w:space="0" w:color="auto"/>
              <w:right w:val="nil"/>
            </w:tcBorders>
            <w:shd w:val="clear" w:color="auto" w:fill="auto"/>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p>
          <w:p w:rsidR="00240A85" w:rsidRPr="00857E54" w:rsidRDefault="00240A85" w:rsidP="00281576">
            <w:pPr>
              <w:keepNext/>
              <w:keepLines/>
              <w:spacing w:after="0"/>
              <w:ind w:firstLine="0"/>
              <w:jc w:val="left"/>
              <w:rPr>
                <w:rFonts w:ascii="Arial" w:eastAsia="Times New Roman" w:hAnsi="Arial" w:cs="Arial"/>
                <w:b/>
                <w:bCs/>
                <w:sz w:val="20"/>
                <w:szCs w:val="20"/>
              </w:rPr>
            </w:pPr>
            <w:r w:rsidRPr="00857E54">
              <w:rPr>
                <w:rFonts w:ascii="Arial" w:eastAsia="Times New Roman" w:hAnsi="Arial" w:cs="Arial"/>
                <w:b/>
                <w:bCs/>
                <w:sz w:val="20"/>
                <w:szCs w:val="20"/>
              </w:rPr>
              <w:t>SOLD - CFM 2007-2013 + CFM 2014-2020</w:t>
            </w:r>
          </w:p>
        </w:tc>
        <w:tc>
          <w:tcPr>
            <w:tcW w:w="1342" w:type="dxa"/>
            <w:tcBorders>
              <w:top w:val="nil"/>
              <w:left w:val="nil"/>
              <w:bottom w:val="single" w:sz="4" w:space="0" w:color="auto"/>
              <w:right w:val="nil"/>
            </w:tcBorders>
            <w:shd w:val="clear" w:color="auto" w:fill="auto"/>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p>
        </w:tc>
        <w:tc>
          <w:tcPr>
            <w:tcW w:w="1134" w:type="dxa"/>
            <w:tcBorders>
              <w:top w:val="nil"/>
              <w:left w:val="nil"/>
              <w:bottom w:val="single" w:sz="4" w:space="0" w:color="auto"/>
              <w:right w:val="nil"/>
            </w:tcBorders>
            <w:shd w:val="clear" w:color="auto" w:fill="auto"/>
            <w:vAlign w:val="center"/>
            <w:hideMark/>
          </w:tcPr>
          <w:p w:rsidR="00240A85" w:rsidRPr="00857E54" w:rsidRDefault="00240A85" w:rsidP="00281576">
            <w:pPr>
              <w:keepNext/>
              <w:keepLines/>
              <w:spacing w:after="0"/>
              <w:ind w:firstLine="0"/>
              <w:jc w:val="center"/>
              <w:rPr>
                <w:rFonts w:ascii="Times New Roman" w:eastAsia="Times New Roman" w:hAnsi="Times New Roman" w:cs="Times New Roman"/>
                <w:sz w:val="20"/>
                <w:szCs w:val="20"/>
              </w:rPr>
            </w:pPr>
          </w:p>
        </w:tc>
        <w:tc>
          <w:tcPr>
            <w:tcW w:w="1006" w:type="dxa"/>
            <w:tcBorders>
              <w:top w:val="nil"/>
              <w:left w:val="nil"/>
              <w:bottom w:val="single" w:sz="4" w:space="0" w:color="auto"/>
              <w:right w:val="nil"/>
            </w:tcBorders>
            <w:shd w:val="clear" w:color="auto" w:fill="auto"/>
            <w:vAlign w:val="center"/>
            <w:hideMark/>
          </w:tcPr>
          <w:p w:rsidR="00240A85" w:rsidRPr="00857E54" w:rsidRDefault="00240A85" w:rsidP="00281576">
            <w:pPr>
              <w:keepNext/>
              <w:keepLines/>
              <w:spacing w:after="0"/>
              <w:ind w:firstLine="0"/>
              <w:jc w:val="center"/>
              <w:rPr>
                <w:rFonts w:ascii="Times New Roman" w:eastAsia="Times New Roman" w:hAnsi="Times New Roman" w:cs="Times New Roman"/>
                <w:sz w:val="20"/>
                <w:szCs w:val="20"/>
              </w:rPr>
            </w:pPr>
          </w:p>
        </w:tc>
        <w:tc>
          <w:tcPr>
            <w:tcW w:w="1546" w:type="dxa"/>
            <w:tcBorders>
              <w:top w:val="nil"/>
              <w:left w:val="nil"/>
              <w:bottom w:val="single" w:sz="4" w:space="0" w:color="auto"/>
              <w:right w:val="nil"/>
            </w:tcBorders>
            <w:shd w:val="clear" w:color="auto" w:fill="auto"/>
            <w:noWrap/>
            <w:vAlign w:val="bottom"/>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milioane euro</w:t>
            </w:r>
          </w:p>
        </w:tc>
      </w:tr>
      <w:tr w:rsidR="00857E54" w:rsidRPr="00857E54" w:rsidTr="00240A85">
        <w:trPr>
          <w:trHeight w:val="802"/>
        </w:trPr>
        <w:tc>
          <w:tcPr>
            <w:tcW w:w="4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0"/>
              <w:jc w:val="center"/>
              <w:rPr>
                <w:rFonts w:ascii="Arial" w:eastAsia="Times New Roman" w:hAnsi="Arial" w:cs="Arial"/>
                <w:b/>
                <w:bCs/>
                <w:sz w:val="20"/>
                <w:szCs w:val="20"/>
              </w:rPr>
            </w:pPr>
            <w:r w:rsidRPr="00857E54">
              <w:rPr>
                <w:rFonts w:ascii="Arial" w:eastAsia="Times New Roman" w:hAnsi="Arial" w:cs="Arial"/>
                <w:b/>
                <w:bCs/>
                <w:sz w:val="20"/>
                <w:szCs w:val="20"/>
              </w:rPr>
              <w:t>Denumire</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0"/>
              <w:jc w:val="center"/>
              <w:rPr>
                <w:rFonts w:ascii="Arial" w:eastAsia="Times New Roman" w:hAnsi="Arial" w:cs="Arial"/>
                <w:b/>
                <w:bCs/>
                <w:sz w:val="20"/>
                <w:szCs w:val="20"/>
              </w:rPr>
            </w:pPr>
            <w:r w:rsidRPr="00857E54">
              <w:rPr>
                <w:rFonts w:ascii="Arial" w:eastAsia="Times New Roman" w:hAnsi="Arial" w:cs="Arial"/>
                <w:b/>
                <w:bCs/>
                <w:sz w:val="20"/>
                <w:szCs w:val="20"/>
              </w:rPr>
              <w:t>Estimări</w:t>
            </w:r>
            <w:r w:rsidRPr="00857E54">
              <w:rPr>
                <w:rFonts w:ascii="Arial" w:eastAsia="Times New Roman" w:hAnsi="Arial" w:cs="Arial"/>
                <w:b/>
                <w:bCs/>
                <w:sz w:val="20"/>
                <w:szCs w:val="20"/>
              </w:rPr>
              <w:br/>
              <w:t>2018</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0"/>
              <w:jc w:val="center"/>
              <w:rPr>
                <w:rFonts w:ascii="Arial" w:eastAsia="Times New Roman" w:hAnsi="Arial" w:cs="Arial"/>
                <w:b/>
                <w:bCs/>
                <w:sz w:val="20"/>
                <w:szCs w:val="20"/>
              </w:rPr>
            </w:pPr>
            <w:r w:rsidRPr="00857E54">
              <w:rPr>
                <w:rFonts w:ascii="Arial" w:eastAsia="Times New Roman" w:hAnsi="Arial" w:cs="Arial"/>
                <w:b/>
                <w:bCs/>
                <w:sz w:val="20"/>
                <w:szCs w:val="20"/>
              </w:rPr>
              <w:t xml:space="preserve">Realizat 2018 </w:t>
            </w:r>
            <w:r w:rsidRPr="00857E54">
              <w:rPr>
                <w:rFonts w:ascii="Arial" w:eastAsia="Times New Roman" w:hAnsi="Arial" w:cs="Arial"/>
                <w:b/>
                <w:bCs/>
                <w:sz w:val="20"/>
                <w:szCs w:val="20"/>
              </w:rPr>
              <w:br/>
              <w:t>(30.06.2018)</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0"/>
              <w:jc w:val="center"/>
              <w:rPr>
                <w:rFonts w:ascii="Arial" w:eastAsia="Times New Roman" w:hAnsi="Arial" w:cs="Arial"/>
                <w:b/>
                <w:bCs/>
                <w:sz w:val="20"/>
                <w:szCs w:val="20"/>
              </w:rPr>
            </w:pPr>
            <w:r w:rsidRPr="00857E54">
              <w:rPr>
                <w:rFonts w:ascii="Arial" w:eastAsia="Times New Roman" w:hAnsi="Arial" w:cs="Arial"/>
                <w:b/>
                <w:bCs/>
                <w:sz w:val="20"/>
                <w:szCs w:val="20"/>
              </w:rPr>
              <w:t>Realizat</w:t>
            </w:r>
            <w:r w:rsidRPr="00857E54">
              <w:rPr>
                <w:rFonts w:ascii="Arial" w:eastAsia="Times New Roman" w:hAnsi="Arial" w:cs="Arial"/>
                <w:b/>
                <w:bCs/>
                <w:sz w:val="20"/>
                <w:szCs w:val="20"/>
              </w:rPr>
              <w:br/>
              <w:t xml:space="preserve"> 2007-2018</w:t>
            </w:r>
            <w:r w:rsidRPr="00857E54">
              <w:rPr>
                <w:rFonts w:ascii="Arial" w:eastAsia="Times New Roman" w:hAnsi="Arial" w:cs="Arial"/>
                <w:b/>
                <w:bCs/>
                <w:sz w:val="20"/>
                <w:szCs w:val="20"/>
              </w:rPr>
              <w:br/>
              <w:t>(30.06.2018)</w:t>
            </w:r>
          </w:p>
        </w:tc>
      </w:tr>
      <w:tr w:rsidR="00857E54" w:rsidRPr="00857E54" w:rsidTr="00240A85">
        <w:trPr>
          <w:trHeight w:val="501"/>
        </w:trPr>
        <w:tc>
          <w:tcPr>
            <w:tcW w:w="4470" w:type="dxa"/>
            <w:vMerge/>
            <w:tcBorders>
              <w:top w:val="single" w:sz="4" w:space="0" w:color="auto"/>
              <w:left w:val="single" w:sz="4" w:space="0" w:color="auto"/>
              <w:bottom w:val="single" w:sz="4" w:space="0" w:color="auto"/>
              <w:right w:val="single" w:sz="4" w:space="0" w:color="auto"/>
            </w:tcBorders>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0"/>
              <w:jc w:val="center"/>
              <w:rPr>
                <w:rFonts w:ascii="Arial" w:eastAsia="Times New Roman" w:hAnsi="Arial" w:cs="Arial"/>
                <w:bCs/>
                <w:sz w:val="20"/>
                <w:szCs w:val="20"/>
              </w:rPr>
            </w:pPr>
            <w:r w:rsidRPr="00857E54">
              <w:rPr>
                <w:rFonts w:ascii="Arial" w:eastAsia="Times New Roman" w:hAnsi="Arial" w:cs="Arial"/>
                <w:bCs/>
                <w:sz w:val="20"/>
                <w:szCs w:val="20"/>
              </w:rPr>
              <w:t>mil. euro</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0"/>
              <w:jc w:val="center"/>
              <w:rPr>
                <w:rFonts w:ascii="Arial" w:eastAsia="Times New Roman" w:hAnsi="Arial" w:cs="Arial"/>
                <w:bCs/>
                <w:sz w:val="20"/>
                <w:szCs w:val="20"/>
              </w:rPr>
            </w:pPr>
            <w:r w:rsidRPr="00857E54">
              <w:rPr>
                <w:rFonts w:ascii="Arial" w:eastAsia="Times New Roman" w:hAnsi="Arial" w:cs="Arial"/>
                <w:bCs/>
                <w:sz w:val="20"/>
                <w:szCs w:val="20"/>
              </w:rPr>
              <w:t>%</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p>
        </w:tc>
      </w:tr>
      <w:tr w:rsidR="00857E54" w:rsidRPr="00857E54" w:rsidTr="00240A85">
        <w:trPr>
          <w:trHeight w:val="448"/>
        </w:trPr>
        <w:tc>
          <w:tcPr>
            <w:tcW w:w="44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r w:rsidRPr="00857E54">
              <w:rPr>
                <w:rFonts w:ascii="Arial" w:eastAsia="Times New Roman" w:hAnsi="Arial" w:cs="Arial"/>
                <w:b/>
                <w:bCs/>
                <w:sz w:val="20"/>
                <w:szCs w:val="20"/>
              </w:rPr>
              <w:t xml:space="preserve">I. SUME PRIMITE DE LA BUGETUL UE </w:t>
            </w:r>
            <w:r w:rsidRPr="00857E54">
              <w:rPr>
                <w:rFonts w:ascii="Arial" w:eastAsia="Times New Roman" w:hAnsi="Arial" w:cs="Arial"/>
                <w:sz w:val="20"/>
                <w:szCs w:val="20"/>
              </w:rPr>
              <w:t>(A+B)</w:t>
            </w:r>
          </w:p>
        </w:tc>
        <w:tc>
          <w:tcPr>
            <w:tcW w:w="13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5.827,17</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2.434,14</w:t>
            </w:r>
          </w:p>
        </w:tc>
        <w:tc>
          <w:tcPr>
            <w:tcW w:w="100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41,77%</w:t>
            </w:r>
          </w:p>
        </w:tc>
        <w:tc>
          <w:tcPr>
            <w:tcW w:w="154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48.120,06</w:t>
            </w:r>
          </w:p>
        </w:tc>
      </w:tr>
      <w:tr w:rsidR="00857E54" w:rsidRPr="00857E54" w:rsidTr="00240A85">
        <w:trPr>
          <w:trHeight w:val="373"/>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Chars="100" w:firstLine="200"/>
              <w:jc w:val="left"/>
              <w:rPr>
                <w:rFonts w:ascii="Arial" w:eastAsia="Times New Roman" w:hAnsi="Arial" w:cs="Arial"/>
                <w:sz w:val="20"/>
                <w:szCs w:val="20"/>
              </w:rPr>
            </w:pPr>
            <w:r w:rsidRPr="00857E54">
              <w:rPr>
                <w:rFonts w:ascii="Arial" w:eastAsia="Times New Roman" w:hAnsi="Arial" w:cs="Arial"/>
                <w:sz w:val="20"/>
                <w:szCs w:val="20"/>
              </w:rPr>
              <w:t>A. SUME PRIMITE DE LA BUGETUL UE din CFM 2007-2013</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0,00</w:t>
            </w:r>
          </w:p>
        </w:tc>
        <w:tc>
          <w:tcPr>
            <w:tcW w:w="1006"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37.066,11</w:t>
            </w:r>
          </w:p>
        </w:tc>
      </w:tr>
      <w:tr w:rsidR="00857E54" w:rsidRPr="00857E54" w:rsidTr="00240A85">
        <w:trPr>
          <w:trHeight w:val="373"/>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A85" w:rsidRPr="00857E54" w:rsidRDefault="00240A85" w:rsidP="00281576">
            <w:pPr>
              <w:keepNext/>
              <w:keepLines/>
              <w:spacing w:after="0"/>
              <w:ind w:firstLineChars="100" w:firstLine="200"/>
              <w:jc w:val="left"/>
              <w:rPr>
                <w:rFonts w:ascii="Arial" w:eastAsia="Times New Roman" w:hAnsi="Arial" w:cs="Arial"/>
                <w:sz w:val="20"/>
                <w:szCs w:val="20"/>
              </w:rPr>
            </w:pPr>
            <w:r w:rsidRPr="00857E54">
              <w:rPr>
                <w:rFonts w:ascii="Arial" w:eastAsia="Times New Roman" w:hAnsi="Arial" w:cs="Arial"/>
                <w:sz w:val="20"/>
                <w:szCs w:val="20"/>
              </w:rPr>
              <w:t>B. SUME PRIMITE DE LA BUGETUL UE din CFM 2014-2020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5.827,17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2.434,14</w:t>
            </w:r>
          </w:p>
        </w:tc>
        <w:tc>
          <w:tcPr>
            <w:tcW w:w="1006"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41,77%</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A85" w:rsidRPr="00857E54" w:rsidRDefault="00240A85" w:rsidP="00281576">
            <w:pPr>
              <w:keepNext/>
              <w:keepLines/>
              <w:spacing w:after="0"/>
              <w:ind w:firstLine="0"/>
              <w:jc w:val="right"/>
              <w:rPr>
                <w:rFonts w:ascii="Arial" w:eastAsia="Times New Roman" w:hAnsi="Arial" w:cs="Arial"/>
                <w:sz w:val="20"/>
                <w:szCs w:val="20"/>
              </w:rPr>
            </w:pPr>
            <w:r w:rsidRPr="00857E54">
              <w:rPr>
                <w:rFonts w:ascii="Arial" w:eastAsia="Times New Roman" w:hAnsi="Arial" w:cs="Arial"/>
                <w:sz w:val="20"/>
                <w:szCs w:val="20"/>
              </w:rPr>
              <w:t>11.053,95</w:t>
            </w:r>
          </w:p>
        </w:tc>
      </w:tr>
      <w:tr w:rsidR="00857E54" w:rsidRPr="00857E54" w:rsidTr="00240A85">
        <w:trPr>
          <w:trHeight w:val="448"/>
        </w:trPr>
        <w:tc>
          <w:tcPr>
            <w:tcW w:w="44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r w:rsidRPr="00857E54">
              <w:rPr>
                <w:rFonts w:ascii="Arial" w:eastAsia="Times New Roman" w:hAnsi="Arial" w:cs="Arial"/>
                <w:b/>
                <w:bCs/>
                <w:sz w:val="20"/>
                <w:szCs w:val="20"/>
              </w:rPr>
              <w:t>II. SUME PLATITE CATRE BUGETUL UE</w:t>
            </w:r>
          </w:p>
        </w:tc>
        <w:tc>
          <w:tcPr>
            <w:tcW w:w="1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1.488,46</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806,69</w:t>
            </w:r>
          </w:p>
        </w:tc>
        <w:tc>
          <w:tcPr>
            <w:tcW w:w="100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54,20%</w:t>
            </w:r>
          </w:p>
        </w:tc>
        <w:tc>
          <w:tcPr>
            <w:tcW w:w="154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16.089,00</w:t>
            </w:r>
          </w:p>
        </w:tc>
      </w:tr>
      <w:tr w:rsidR="00857E54" w:rsidRPr="00857E54" w:rsidTr="00240A85">
        <w:trPr>
          <w:trHeight w:val="448"/>
        </w:trPr>
        <w:tc>
          <w:tcPr>
            <w:tcW w:w="44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40A85" w:rsidRPr="00857E54" w:rsidRDefault="00240A85" w:rsidP="00281576">
            <w:pPr>
              <w:keepNext/>
              <w:keepLines/>
              <w:spacing w:after="0"/>
              <w:ind w:firstLine="0"/>
              <w:jc w:val="left"/>
              <w:rPr>
                <w:rFonts w:ascii="Arial" w:eastAsia="Times New Roman" w:hAnsi="Arial" w:cs="Arial"/>
                <w:b/>
                <w:bCs/>
                <w:sz w:val="20"/>
                <w:szCs w:val="20"/>
              </w:rPr>
            </w:pPr>
            <w:r w:rsidRPr="00857E54">
              <w:rPr>
                <w:rFonts w:ascii="Arial" w:eastAsia="Times New Roman" w:hAnsi="Arial" w:cs="Arial"/>
                <w:b/>
                <w:bCs/>
                <w:sz w:val="20"/>
                <w:szCs w:val="20"/>
              </w:rPr>
              <w:t>III. SOLDUL FLUXURILOR = I - II</w:t>
            </w:r>
          </w:p>
        </w:tc>
        <w:tc>
          <w:tcPr>
            <w:tcW w:w="13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4.338,71</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1.627,46</w:t>
            </w:r>
          </w:p>
        </w:tc>
        <w:tc>
          <w:tcPr>
            <w:tcW w:w="1006"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37,51%</w:t>
            </w:r>
          </w:p>
        </w:tc>
        <w:tc>
          <w:tcPr>
            <w:tcW w:w="1546"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240A85" w:rsidRPr="00857E54" w:rsidRDefault="00240A85" w:rsidP="00281576">
            <w:pPr>
              <w:keepNext/>
              <w:keepLines/>
              <w:spacing w:after="0"/>
              <w:ind w:firstLine="0"/>
              <w:jc w:val="right"/>
              <w:rPr>
                <w:rFonts w:ascii="Arial" w:eastAsia="Times New Roman" w:hAnsi="Arial" w:cs="Arial"/>
                <w:b/>
                <w:bCs/>
                <w:sz w:val="20"/>
                <w:szCs w:val="20"/>
              </w:rPr>
            </w:pPr>
            <w:r w:rsidRPr="00857E54">
              <w:rPr>
                <w:rFonts w:ascii="Arial" w:eastAsia="Times New Roman" w:hAnsi="Arial" w:cs="Arial"/>
                <w:b/>
                <w:bCs/>
                <w:sz w:val="20"/>
                <w:szCs w:val="20"/>
              </w:rPr>
              <w:t>32.031,06</w:t>
            </w:r>
          </w:p>
        </w:tc>
      </w:tr>
    </w:tbl>
    <w:p w:rsidR="00240A85" w:rsidRPr="00857E54" w:rsidRDefault="00240A85" w:rsidP="00281576">
      <w:pPr>
        <w:keepNext/>
        <w:keepLines/>
        <w:spacing w:after="0"/>
        <w:ind w:firstLine="0"/>
        <w:jc w:val="left"/>
        <w:rPr>
          <w:rFonts w:ascii="Arial" w:eastAsia="Times New Roman" w:hAnsi="Arial" w:cs="Arial"/>
          <w:i/>
          <w:sz w:val="20"/>
          <w:szCs w:val="20"/>
        </w:rPr>
      </w:pPr>
      <w:r w:rsidRPr="00857E54">
        <w:rPr>
          <w:rFonts w:ascii="Arial" w:eastAsia="Times New Roman" w:hAnsi="Arial" w:cs="Arial"/>
          <w:i/>
          <w:sz w:val="20"/>
          <w:szCs w:val="20"/>
        </w:rPr>
        <w:t>*) Cadrul financiar multianual</w:t>
      </w:r>
    </w:p>
    <w:p w:rsidR="00994357" w:rsidRPr="00857E54" w:rsidRDefault="00994357" w:rsidP="00281576">
      <w:pPr>
        <w:keepNext/>
        <w:keepLines/>
        <w:rPr>
          <w:rFonts w:ascii="Arial" w:eastAsia="Times New Roman" w:hAnsi="Arial" w:cs="Arial"/>
          <w:sz w:val="24"/>
          <w:szCs w:val="24"/>
        </w:rPr>
      </w:pPr>
      <w:r w:rsidRPr="00857E54">
        <w:rPr>
          <w:rFonts w:ascii="Arial" w:eastAsia="Times New Roman" w:hAnsi="Arial" w:cs="Arial"/>
          <w:sz w:val="24"/>
          <w:szCs w:val="24"/>
        </w:rPr>
        <w:br w:type="page"/>
      </w:r>
    </w:p>
    <w:p w:rsidR="007C4F03" w:rsidRPr="00857E54" w:rsidRDefault="007C4F03" w:rsidP="00281576">
      <w:pPr>
        <w:pStyle w:val="Heading1"/>
        <w:ind w:left="369" w:firstLine="708"/>
        <w:rPr>
          <w:rFonts w:asciiTheme="minorHAnsi" w:hAnsiTheme="minorHAnsi" w:cs="Arial"/>
          <w:b/>
          <w:color w:val="auto"/>
          <w:sz w:val="28"/>
          <w:szCs w:val="28"/>
        </w:rPr>
      </w:pPr>
      <w:bookmarkStart w:id="47" w:name="_Toc520281765"/>
      <w:r w:rsidRPr="00857E54">
        <w:rPr>
          <w:rFonts w:asciiTheme="minorHAnsi" w:hAnsiTheme="minorHAnsi" w:cs="Arial"/>
          <w:b/>
          <w:color w:val="auto"/>
          <w:sz w:val="28"/>
          <w:szCs w:val="28"/>
        </w:rPr>
        <w:lastRenderedPageBreak/>
        <w:t>Concluzii</w:t>
      </w:r>
      <w:bookmarkEnd w:id="47"/>
    </w:p>
    <w:p w:rsidR="00A16A2C" w:rsidRPr="00857E54" w:rsidRDefault="00A16A2C" w:rsidP="00281576">
      <w:pPr>
        <w:pStyle w:val="ListParagraph"/>
        <w:keepNext/>
        <w:keepLines/>
        <w:numPr>
          <w:ilvl w:val="1"/>
          <w:numId w:val="3"/>
        </w:numPr>
        <w:spacing w:before="240" w:after="0" w:line="276" w:lineRule="auto"/>
        <w:ind w:left="1434" w:hanging="357"/>
        <w:contextualSpacing w:val="0"/>
        <w:rPr>
          <w:rFonts w:ascii="Arial" w:eastAsia="Times New Roman" w:hAnsi="Arial" w:cs="Arial"/>
          <w:sz w:val="24"/>
          <w:szCs w:val="24"/>
        </w:rPr>
      </w:pPr>
      <w:r w:rsidRPr="00857E54">
        <w:rPr>
          <w:rFonts w:ascii="Arial" w:eastAsia="Times New Roman" w:hAnsi="Arial" w:cs="Arial"/>
          <w:sz w:val="24"/>
          <w:szCs w:val="24"/>
        </w:rPr>
        <w:t xml:space="preserve">În primul trimestru din anul 2018, economia românească a continuat ritmul susținut de creștere început în anul 2013, majorându-se cu 4,0% (serie brută) comparativ cu trimestrul I din 2017. Această </w:t>
      </w:r>
      <w:r w:rsidR="00E042CB" w:rsidRPr="00857E54">
        <w:rPr>
          <w:rFonts w:ascii="Arial" w:eastAsia="Times New Roman" w:hAnsi="Arial" w:cs="Arial"/>
          <w:sz w:val="24"/>
          <w:szCs w:val="24"/>
        </w:rPr>
        <w:t>creștere</w:t>
      </w:r>
      <w:r w:rsidRPr="00857E54">
        <w:rPr>
          <w:rFonts w:ascii="Arial" w:eastAsia="Times New Roman" w:hAnsi="Arial" w:cs="Arial"/>
          <w:sz w:val="24"/>
          <w:szCs w:val="24"/>
        </w:rPr>
        <w:t xml:space="preserve"> situează România printre statele membre UE cu cel mai ridicat ritm de </w:t>
      </w:r>
      <w:r w:rsidR="00E042CB" w:rsidRPr="00857E54">
        <w:rPr>
          <w:rFonts w:ascii="Arial" w:eastAsia="Times New Roman" w:hAnsi="Arial" w:cs="Arial"/>
          <w:sz w:val="24"/>
          <w:szCs w:val="24"/>
        </w:rPr>
        <w:t>creștere</w:t>
      </w:r>
      <w:r w:rsidRPr="00857E54">
        <w:rPr>
          <w:rFonts w:ascii="Arial" w:eastAsia="Times New Roman" w:hAnsi="Arial" w:cs="Arial"/>
          <w:sz w:val="24"/>
          <w:szCs w:val="24"/>
        </w:rPr>
        <w:t>.</w:t>
      </w:r>
    </w:p>
    <w:p w:rsidR="00A26E1A" w:rsidRPr="00857E54" w:rsidRDefault="00A26E1A" w:rsidP="00281576">
      <w:pPr>
        <w:pStyle w:val="ListParagraph"/>
        <w:keepNext/>
        <w:keepLines/>
        <w:numPr>
          <w:ilvl w:val="1"/>
          <w:numId w:val="3"/>
        </w:numPr>
        <w:spacing w:before="240" w:after="0" w:line="276" w:lineRule="auto"/>
        <w:contextualSpacing w:val="0"/>
        <w:rPr>
          <w:rFonts w:ascii="Arial" w:eastAsia="Times New Roman" w:hAnsi="Arial" w:cs="Arial"/>
          <w:sz w:val="24"/>
          <w:szCs w:val="24"/>
        </w:rPr>
      </w:pPr>
      <w:r w:rsidRPr="00857E54">
        <w:rPr>
          <w:rFonts w:ascii="Arial" w:eastAsia="Times New Roman" w:hAnsi="Arial" w:cs="Arial"/>
          <w:sz w:val="24"/>
          <w:szCs w:val="24"/>
        </w:rPr>
        <w:t>Soldul bugetului general consolidat la semestrul I 201</w:t>
      </w:r>
      <w:r w:rsidR="00A16A2C" w:rsidRPr="00857E54">
        <w:rPr>
          <w:rFonts w:ascii="Arial" w:eastAsia="Times New Roman" w:hAnsi="Arial" w:cs="Arial"/>
          <w:sz w:val="24"/>
          <w:szCs w:val="24"/>
        </w:rPr>
        <w:t>8</w:t>
      </w:r>
      <w:r w:rsidRPr="00857E54">
        <w:rPr>
          <w:rFonts w:ascii="Arial" w:eastAsia="Times New Roman" w:hAnsi="Arial" w:cs="Arial"/>
          <w:sz w:val="24"/>
          <w:szCs w:val="24"/>
        </w:rPr>
        <w:t xml:space="preserve"> s-a încadrat în ținta stabilită.</w:t>
      </w:r>
    </w:p>
    <w:p w:rsidR="00A26E1A" w:rsidRPr="00857E54" w:rsidRDefault="00A16A2C" w:rsidP="00281576">
      <w:pPr>
        <w:pStyle w:val="ListParagraph"/>
        <w:keepNext/>
        <w:keepLines/>
        <w:numPr>
          <w:ilvl w:val="1"/>
          <w:numId w:val="3"/>
        </w:numPr>
        <w:spacing w:before="240" w:after="0" w:line="276" w:lineRule="auto"/>
        <w:contextualSpacing w:val="0"/>
        <w:rPr>
          <w:rFonts w:ascii="Arial" w:eastAsia="Times New Roman" w:hAnsi="Arial" w:cs="Arial"/>
          <w:sz w:val="24"/>
          <w:szCs w:val="24"/>
        </w:rPr>
      </w:pPr>
      <w:r w:rsidRPr="00857E54">
        <w:rPr>
          <w:rFonts w:ascii="Arial" w:eastAsia="Times New Roman" w:hAnsi="Arial" w:cs="Arial"/>
          <w:sz w:val="24"/>
          <w:szCs w:val="24"/>
        </w:rPr>
        <w:t xml:space="preserve">Datoria guvernamentală conform metodologiei UE s-a situat la data de 30 aprilie 2018 la un nivel de 34,9% din PIB în scădere față de nivelul de 35,0% din PIB, cât s-a înregistrat la sfârșitul anului 2017, sub plafonul de 40% din PIB stabilit prin Legea nr.269/2017 pentru aprobarea plafoanelor unor indicatori specificați în cadrul fiscal-bugetar pe anul 2018. </w:t>
      </w:r>
    </w:p>
    <w:p w:rsidR="00A26E1A" w:rsidRPr="00857E54" w:rsidRDefault="00A26E1A" w:rsidP="00281576">
      <w:pPr>
        <w:pStyle w:val="ListParagraph"/>
        <w:keepNext/>
        <w:keepLines/>
        <w:numPr>
          <w:ilvl w:val="1"/>
          <w:numId w:val="3"/>
        </w:numPr>
        <w:spacing w:before="240" w:after="240" w:line="276" w:lineRule="auto"/>
        <w:ind w:left="1434" w:hanging="357"/>
        <w:contextualSpacing w:val="0"/>
        <w:rPr>
          <w:rFonts w:ascii="Arial" w:hAnsi="Arial" w:cs="Arial"/>
          <w:sz w:val="24"/>
          <w:szCs w:val="24"/>
        </w:rPr>
      </w:pPr>
      <w:r w:rsidRPr="00857E54">
        <w:rPr>
          <w:rFonts w:ascii="Arial" w:hAnsi="Arial" w:cs="Arial"/>
          <w:sz w:val="24"/>
          <w:szCs w:val="24"/>
        </w:rPr>
        <w:t>Veniturile bugetului general consolidat au fost superioare încasărilor din perioada similară a anului anterior, atât în termeni nominali cât și ca raport în PIB</w:t>
      </w:r>
      <w:r w:rsidR="00E042CB" w:rsidRPr="00857E54">
        <w:rPr>
          <w:rFonts w:ascii="Arial" w:hAnsi="Arial" w:cs="Arial"/>
          <w:sz w:val="24"/>
          <w:szCs w:val="24"/>
        </w:rPr>
        <w:t>.</w:t>
      </w:r>
    </w:p>
    <w:p w:rsidR="00992663" w:rsidRPr="00992663" w:rsidRDefault="00D47F4F" w:rsidP="00992663">
      <w:pPr>
        <w:pStyle w:val="ListParagraph"/>
        <w:keepNext/>
        <w:keepLines/>
        <w:numPr>
          <w:ilvl w:val="1"/>
          <w:numId w:val="3"/>
        </w:numPr>
        <w:spacing w:before="240" w:after="0" w:line="276" w:lineRule="auto"/>
        <w:contextualSpacing w:val="0"/>
        <w:rPr>
          <w:rFonts w:ascii="Arial" w:eastAsia="Times New Roman" w:hAnsi="Arial" w:cs="Arial"/>
          <w:sz w:val="24"/>
          <w:szCs w:val="24"/>
        </w:rPr>
      </w:pPr>
      <w:proofErr w:type="spellStart"/>
      <w:r w:rsidRPr="00992663">
        <w:rPr>
          <w:rFonts w:ascii="Arial" w:eastAsia="Times New Roman" w:hAnsi="Arial" w:cs="Arial"/>
          <w:sz w:val="24"/>
          <w:szCs w:val="24"/>
        </w:rPr>
        <w:t>Absorbţia</w:t>
      </w:r>
      <w:proofErr w:type="spellEnd"/>
      <w:r w:rsidRPr="00992663">
        <w:rPr>
          <w:rFonts w:ascii="Arial" w:eastAsia="Times New Roman" w:hAnsi="Arial" w:cs="Arial"/>
          <w:sz w:val="24"/>
          <w:szCs w:val="24"/>
        </w:rPr>
        <w:t xml:space="preserve"> fondurilor externe nerambursabile reprezintă una dintre </w:t>
      </w:r>
      <w:proofErr w:type="spellStart"/>
      <w:r w:rsidRPr="00992663">
        <w:rPr>
          <w:rFonts w:ascii="Arial" w:eastAsia="Times New Roman" w:hAnsi="Arial" w:cs="Arial"/>
          <w:sz w:val="24"/>
          <w:szCs w:val="24"/>
        </w:rPr>
        <w:t>priorităţile</w:t>
      </w:r>
      <w:proofErr w:type="spellEnd"/>
      <w:r w:rsidRPr="00992663">
        <w:rPr>
          <w:rFonts w:ascii="Arial" w:eastAsia="Times New Roman" w:hAnsi="Arial" w:cs="Arial"/>
          <w:sz w:val="24"/>
          <w:szCs w:val="24"/>
        </w:rPr>
        <w:t xml:space="preserve"> Guvernului României. Alocarea </w:t>
      </w:r>
      <w:proofErr w:type="spellStart"/>
      <w:r w:rsidRPr="00992663">
        <w:rPr>
          <w:rFonts w:ascii="Arial" w:eastAsia="Times New Roman" w:hAnsi="Arial" w:cs="Arial"/>
          <w:sz w:val="24"/>
          <w:szCs w:val="24"/>
        </w:rPr>
        <w:t>substanţială</w:t>
      </w:r>
      <w:proofErr w:type="spellEnd"/>
      <w:r w:rsidRPr="00992663">
        <w:rPr>
          <w:rFonts w:ascii="Arial" w:eastAsia="Times New Roman" w:hAnsi="Arial" w:cs="Arial"/>
          <w:sz w:val="24"/>
          <w:szCs w:val="24"/>
        </w:rPr>
        <w:t xml:space="preserve"> de fonduri din partea Uniunii Europene trebuie valorificată optim, reprezentând un element central al </w:t>
      </w:r>
      <w:proofErr w:type="spellStart"/>
      <w:r w:rsidRPr="00992663">
        <w:rPr>
          <w:rFonts w:ascii="Arial" w:eastAsia="Times New Roman" w:hAnsi="Arial" w:cs="Arial"/>
          <w:sz w:val="24"/>
          <w:szCs w:val="24"/>
        </w:rPr>
        <w:t>sustenabilităţii</w:t>
      </w:r>
      <w:proofErr w:type="spellEnd"/>
      <w:r w:rsidRPr="00992663">
        <w:rPr>
          <w:rFonts w:ascii="Arial" w:eastAsia="Times New Roman" w:hAnsi="Arial" w:cs="Arial"/>
          <w:sz w:val="24"/>
          <w:szCs w:val="24"/>
        </w:rPr>
        <w:t xml:space="preserve"> bugetare prin prisma strategiei </w:t>
      </w:r>
      <w:proofErr w:type="spellStart"/>
      <w:r w:rsidRPr="00992663">
        <w:rPr>
          <w:rFonts w:ascii="Arial" w:eastAsia="Times New Roman" w:hAnsi="Arial" w:cs="Arial"/>
          <w:sz w:val="24"/>
          <w:szCs w:val="24"/>
        </w:rPr>
        <w:t>investiţionale</w:t>
      </w:r>
      <w:proofErr w:type="spellEnd"/>
      <w:r w:rsidRPr="00992663">
        <w:rPr>
          <w:rFonts w:ascii="Arial" w:eastAsia="Times New Roman" w:hAnsi="Arial" w:cs="Arial"/>
          <w:sz w:val="24"/>
          <w:szCs w:val="24"/>
        </w:rPr>
        <w:t xml:space="preserve"> şi a caracterului ne</w:t>
      </w:r>
      <w:r w:rsidR="00992663" w:rsidRPr="00992663">
        <w:rPr>
          <w:rFonts w:ascii="Arial" w:eastAsia="Times New Roman" w:hAnsi="Arial" w:cs="Arial"/>
          <w:sz w:val="24"/>
          <w:szCs w:val="24"/>
        </w:rPr>
        <w:t>rambursabil al acestor fonduri. Î</w:t>
      </w:r>
      <w:r w:rsidRPr="00992663">
        <w:rPr>
          <w:rFonts w:ascii="Arial" w:eastAsia="Times New Roman" w:hAnsi="Arial" w:cs="Arial"/>
          <w:sz w:val="24"/>
          <w:szCs w:val="24"/>
        </w:rPr>
        <w:t>n acest sens</w:t>
      </w:r>
      <w:r w:rsidR="00992663" w:rsidRPr="00992663">
        <w:rPr>
          <w:rFonts w:ascii="Arial" w:eastAsia="Times New Roman" w:hAnsi="Arial" w:cs="Arial"/>
          <w:sz w:val="24"/>
          <w:szCs w:val="24"/>
        </w:rPr>
        <w:t>,</w:t>
      </w:r>
      <w:r w:rsidRPr="00992663">
        <w:rPr>
          <w:rFonts w:ascii="Arial" w:eastAsia="Times New Roman" w:hAnsi="Arial" w:cs="Arial"/>
          <w:sz w:val="24"/>
          <w:szCs w:val="24"/>
        </w:rPr>
        <w:t xml:space="preserve"> considerăm că ordonatorii principali de credite trebuie să acorde o atenție deosebită și să întreprindă toate eforturile în vederea utilizării creditelor bu</w:t>
      </w:r>
      <w:r w:rsidR="00992663" w:rsidRPr="00992663">
        <w:rPr>
          <w:rFonts w:ascii="Arial" w:eastAsia="Times New Roman" w:hAnsi="Arial" w:cs="Arial"/>
          <w:sz w:val="24"/>
          <w:szCs w:val="24"/>
        </w:rPr>
        <w:t>getare</w:t>
      </w:r>
      <w:r w:rsidRPr="00992663">
        <w:rPr>
          <w:rFonts w:ascii="Arial" w:eastAsia="Times New Roman" w:hAnsi="Arial" w:cs="Arial"/>
          <w:sz w:val="24"/>
          <w:szCs w:val="24"/>
        </w:rPr>
        <w:t xml:space="preserve"> alocate cu ace</w:t>
      </w:r>
      <w:r w:rsidR="00992663" w:rsidRPr="00992663">
        <w:rPr>
          <w:rFonts w:ascii="Arial" w:eastAsia="Times New Roman" w:hAnsi="Arial" w:cs="Arial"/>
          <w:sz w:val="24"/>
          <w:szCs w:val="24"/>
        </w:rPr>
        <w:t>a</w:t>
      </w:r>
      <w:r w:rsidRPr="00992663">
        <w:rPr>
          <w:rFonts w:ascii="Arial" w:eastAsia="Times New Roman" w:hAnsi="Arial" w:cs="Arial"/>
          <w:sz w:val="24"/>
          <w:szCs w:val="24"/>
        </w:rPr>
        <w:t>stă destinație</w:t>
      </w:r>
      <w:r w:rsidR="00BB6124" w:rsidRPr="00992663">
        <w:rPr>
          <w:rFonts w:ascii="Arial" w:eastAsia="Times New Roman" w:hAnsi="Arial" w:cs="Arial"/>
          <w:sz w:val="24"/>
          <w:szCs w:val="24"/>
        </w:rPr>
        <w:t>.</w:t>
      </w:r>
    </w:p>
    <w:p w:rsidR="00A16A2C" w:rsidRPr="00857E54" w:rsidRDefault="00A26E1A" w:rsidP="00281576">
      <w:pPr>
        <w:pStyle w:val="ListParagraph"/>
        <w:keepNext/>
        <w:keepLines/>
        <w:numPr>
          <w:ilvl w:val="0"/>
          <w:numId w:val="3"/>
        </w:numPr>
        <w:spacing w:before="240" w:after="240" w:line="276" w:lineRule="auto"/>
        <w:ind w:left="1418" w:hanging="284"/>
        <w:contextualSpacing w:val="0"/>
        <w:rPr>
          <w:rFonts w:ascii="Arial" w:hAnsi="Arial" w:cs="Arial"/>
          <w:sz w:val="24"/>
          <w:szCs w:val="24"/>
        </w:rPr>
      </w:pPr>
      <w:r w:rsidRPr="00857E54">
        <w:rPr>
          <w:rFonts w:ascii="Arial" w:hAnsi="Arial" w:cs="Arial"/>
          <w:sz w:val="24"/>
          <w:szCs w:val="24"/>
        </w:rPr>
        <w:t xml:space="preserve">Cheltuielile bugetului general consolidat au fost cu </w:t>
      </w:r>
      <w:r w:rsidR="00A16A2C" w:rsidRPr="00857E54">
        <w:rPr>
          <w:rFonts w:ascii="Arial" w:hAnsi="Arial" w:cs="Arial"/>
          <w:sz w:val="24"/>
          <w:szCs w:val="24"/>
        </w:rPr>
        <w:t>19</w:t>
      </w:r>
      <w:r w:rsidRPr="00857E54">
        <w:rPr>
          <w:rFonts w:ascii="Arial" w:hAnsi="Arial" w:cs="Arial"/>
          <w:sz w:val="24"/>
          <w:szCs w:val="24"/>
        </w:rPr>
        <w:t>% mai mari comparativ cu aceeași perioadă a anului anterior</w:t>
      </w:r>
      <w:r w:rsidR="00992663">
        <w:rPr>
          <w:rFonts w:ascii="Arial" w:hAnsi="Arial" w:cs="Arial"/>
          <w:sz w:val="24"/>
          <w:szCs w:val="24"/>
        </w:rPr>
        <w:t>,</w:t>
      </w:r>
      <w:r w:rsidRPr="00857E54">
        <w:rPr>
          <w:rFonts w:ascii="Arial" w:hAnsi="Arial" w:cs="Arial"/>
          <w:sz w:val="24"/>
          <w:szCs w:val="24"/>
        </w:rPr>
        <w:t xml:space="preserve"> si</w:t>
      </w:r>
      <w:r w:rsidR="00D97300" w:rsidRPr="00857E54">
        <w:rPr>
          <w:rFonts w:ascii="Arial" w:hAnsi="Arial" w:cs="Arial"/>
          <w:sz w:val="24"/>
          <w:szCs w:val="24"/>
        </w:rPr>
        <w:t>tuându-se sub nivelul programat.</w:t>
      </w:r>
    </w:p>
    <w:p w:rsidR="008A65A5" w:rsidRPr="00857E54" w:rsidRDefault="00A26E1A" w:rsidP="00281576">
      <w:pPr>
        <w:pStyle w:val="ListParagraph"/>
        <w:keepNext/>
        <w:keepLines/>
        <w:numPr>
          <w:ilvl w:val="0"/>
          <w:numId w:val="3"/>
        </w:numPr>
        <w:spacing w:before="240" w:after="240" w:line="276" w:lineRule="auto"/>
        <w:ind w:left="1418" w:hanging="284"/>
        <w:contextualSpacing w:val="0"/>
        <w:rPr>
          <w:rFonts w:ascii="Arial" w:hAnsi="Arial" w:cs="Arial"/>
          <w:sz w:val="24"/>
          <w:szCs w:val="24"/>
        </w:rPr>
      </w:pPr>
      <w:r w:rsidRPr="00857E54">
        <w:rPr>
          <w:rFonts w:ascii="Arial" w:hAnsi="Arial" w:cs="Arial"/>
          <w:sz w:val="24"/>
          <w:szCs w:val="24"/>
        </w:rPr>
        <w:t xml:space="preserve">Cheltuielile efectuate pentru investiții au fost </w:t>
      </w:r>
      <w:r w:rsidR="008A65A5" w:rsidRPr="00857E54">
        <w:rPr>
          <w:rFonts w:ascii="Arial" w:hAnsi="Arial" w:cs="Arial"/>
          <w:bCs/>
          <w:sz w:val="24"/>
          <w:szCs w:val="24"/>
        </w:rPr>
        <w:t>cu 51,2% mai mari decât cele aferente semestrului I 2017.</w:t>
      </w:r>
    </w:p>
    <w:p w:rsidR="00A26E1A" w:rsidRPr="00857E54" w:rsidRDefault="00A26E1A" w:rsidP="00281576">
      <w:pPr>
        <w:pStyle w:val="ListParagraph"/>
        <w:keepNext/>
        <w:keepLines/>
        <w:numPr>
          <w:ilvl w:val="0"/>
          <w:numId w:val="3"/>
        </w:numPr>
        <w:spacing w:line="276" w:lineRule="auto"/>
        <w:ind w:left="1418" w:hanging="284"/>
        <w:contextualSpacing w:val="0"/>
        <w:rPr>
          <w:rFonts w:ascii="Arial" w:hAnsi="Arial" w:cs="Arial"/>
          <w:sz w:val="24"/>
          <w:szCs w:val="24"/>
        </w:rPr>
      </w:pPr>
      <w:r w:rsidRPr="00857E54">
        <w:rPr>
          <w:rFonts w:ascii="Arial" w:hAnsi="Arial" w:cs="Arial"/>
          <w:sz w:val="24"/>
          <w:szCs w:val="24"/>
        </w:rPr>
        <w:t>Extrapolând trendul veniturilor și al cheltuielilor potrivit datelor operative și luând în calcul măsurile suplimentare care au fost aprobate</w:t>
      </w:r>
      <w:r w:rsidR="00CF7F6B" w:rsidRPr="00857E54">
        <w:rPr>
          <w:rFonts w:ascii="Arial" w:hAnsi="Arial" w:cs="Arial"/>
          <w:sz w:val="24"/>
          <w:szCs w:val="24"/>
        </w:rPr>
        <w:t xml:space="preserve"> </w:t>
      </w:r>
      <w:r w:rsidRPr="00857E54">
        <w:rPr>
          <w:rFonts w:ascii="Arial" w:hAnsi="Arial" w:cs="Arial"/>
          <w:sz w:val="24"/>
          <w:szCs w:val="24"/>
        </w:rPr>
        <w:t>după adoptarea legilor bugetare anuale, estimăm că deficitul bugetar anual se va menține în țintă inițială de 2,9</w:t>
      </w:r>
      <w:r w:rsidR="001D6AFE" w:rsidRPr="00857E54">
        <w:rPr>
          <w:rFonts w:ascii="Arial" w:hAnsi="Arial" w:cs="Arial"/>
          <w:sz w:val="24"/>
          <w:szCs w:val="24"/>
        </w:rPr>
        <w:t>7</w:t>
      </w:r>
      <w:r w:rsidRPr="00857E54">
        <w:rPr>
          <w:rFonts w:ascii="Arial" w:hAnsi="Arial" w:cs="Arial"/>
          <w:sz w:val="24"/>
          <w:szCs w:val="24"/>
        </w:rPr>
        <w:t>% din PIB.</w:t>
      </w:r>
    </w:p>
    <w:p w:rsidR="00FC465F" w:rsidRPr="00D46822" w:rsidRDefault="00FC465F" w:rsidP="00281576">
      <w:pPr>
        <w:keepNext/>
        <w:keepLines/>
        <w:ind w:firstLine="0"/>
        <w:rPr>
          <w:rFonts w:ascii="Arial" w:hAnsi="Arial" w:cs="Arial"/>
          <w:sz w:val="24"/>
          <w:szCs w:val="24"/>
        </w:rPr>
      </w:pPr>
    </w:p>
    <w:p w:rsidR="00FC465F" w:rsidRPr="00D46822" w:rsidRDefault="00FC465F" w:rsidP="00281576">
      <w:pPr>
        <w:keepNext/>
        <w:keepLines/>
        <w:ind w:firstLine="0"/>
        <w:rPr>
          <w:rFonts w:ascii="Arial" w:hAnsi="Arial" w:cs="Arial"/>
          <w:sz w:val="24"/>
          <w:szCs w:val="24"/>
        </w:rPr>
      </w:pPr>
    </w:p>
    <w:sectPr w:rsidR="00FC465F" w:rsidRPr="00D46822" w:rsidSect="008A700D">
      <w:headerReference w:type="default" r:id="rId16"/>
      <w:footerReference w:type="default" r:id="rId17"/>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04" w:rsidRDefault="00B04F04" w:rsidP="007C4F03">
      <w:pPr>
        <w:spacing w:after="0"/>
      </w:pPr>
      <w:r>
        <w:separator/>
      </w:r>
    </w:p>
  </w:endnote>
  <w:endnote w:type="continuationSeparator" w:id="0">
    <w:p w:rsidR="00B04F04" w:rsidRDefault="00B04F04" w:rsidP="007C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018929"/>
      <w:docPartObj>
        <w:docPartGallery w:val="Page Numbers (Bottom of Page)"/>
        <w:docPartUnique/>
      </w:docPartObj>
    </w:sdtPr>
    <w:sdtEndPr>
      <w:rPr>
        <w:noProof/>
      </w:rPr>
    </w:sdtEndPr>
    <w:sdtContent>
      <w:p w:rsidR="00F465D6" w:rsidRDefault="00F465D6">
        <w:pPr>
          <w:pStyle w:val="Footer"/>
          <w:jc w:val="center"/>
        </w:pPr>
        <w:r>
          <w:fldChar w:fldCharType="begin"/>
        </w:r>
        <w:r>
          <w:instrText xml:space="preserve"> PAGE   \* MERGEFORMAT </w:instrText>
        </w:r>
        <w:r>
          <w:fldChar w:fldCharType="separate"/>
        </w:r>
        <w:r w:rsidR="008D3109">
          <w:rPr>
            <w:noProof/>
          </w:rPr>
          <w:t>27</w:t>
        </w:r>
        <w:r>
          <w:rPr>
            <w:noProof/>
          </w:rPr>
          <w:fldChar w:fldCharType="end"/>
        </w:r>
      </w:p>
    </w:sdtContent>
  </w:sdt>
  <w:p w:rsidR="00F465D6" w:rsidRDefault="00F46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04" w:rsidRDefault="00B04F04" w:rsidP="007C4F03">
      <w:pPr>
        <w:spacing w:after="0"/>
      </w:pPr>
      <w:r>
        <w:separator/>
      </w:r>
    </w:p>
  </w:footnote>
  <w:footnote w:type="continuationSeparator" w:id="0">
    <w:p w:rsidR="00B04F04" w:rsidRDefault="00B04F04" w:rsidP="007C4F03">
      <w:pPr>
        <w:spacing w:after="0"/>
      </w:pPr>
      <w:r>
        <w:continuationSeparator/>
      </w:r>
    </w:p>
  </w:footnote>
  <w:footnote w:id="1">
    <w:p w:rsidR="00F465D6" w:rsidRPr="00912370" w:rsidRDefault="00F465D6" w:rsidP="0013047C">
      <w:pPr>
        <w:pStyle w:val="FootnoteText"/>
      </w:pPr>
      <w:r>
        <w:rPr>
          <w:rStyle w:val="FootnoteReference"/>
        </w:rPr>
        <w:footnoteRef/>
      </w:r>
      <w:r>
        <w:t xml:space="preserve"> OUG nr. 79/2017</w:t>
      </w:r>
    </w:p>
  </w:footnote>
  <w:footnote w:id="2">
    <w:p w:rsidR="00F465D6" w:rsidRPr="00AB0CFF" w:rsidRDefault="00F465D6" w:rsidP="00DA0ACC">
      <w:pPr>
        <w:pStyle w:val="FootnoteText"/>
      </w:pPr>
      <w:r>
        <w:rPr>
          <w:rStyle w:val="FootnoteReference"/>
        </w:rPr>
        <w:footnoteRef/>
      </w:r>
      <w:r w:rsidRPr="006D37D7">
        <w:t xml:space="preserve">Comunicat </w:t>
      </w:r>
      <w:proofErr w:type="spellStart"/>
      <w:r w:rsidRPr="006D37D7">
        <w:t>Eurostat</w:t>
      </w:r>
      <w:proofErr w:type="spellEnd"/>
      <w:r w:rsidRPr="006D37D7">
        <w:t xml:space="preserve"> nr</w:t>
      </w:r>
      <w:r>
        <w:t>.69/2018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5D6" w:rsidRDefault="00F465D6">
    <w:pPr>
      <w:pStyle w:val="Header"/>
    </w:pPr>
    <w:r>
      <w:rPr>
        <w:noProof/>
        <w:lang w:val="en-US"/>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9450"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5D6" w:rsidRPr="00072D0B" w:rsidRDefault="00B04F04" w:rsidP="00395F32">
                          <w:pPr>
                            <w:pStyle w:val="Header"/>
                            <w:jc w:val="center"/>
                            <w:rPr>
                              <w:rStyle w:val="Emphasis"/>
                            </w:rPr>
                          </w:pPr>
                          <w:sdt>
                            <w:sdtPr>
                              <w:rPr>
                                <w:rStyle w:val="Emphasis"/>
                              </w:rPr>
                              <w:alias w:val="Title"/>
                              <w:tag w:val=""/>
                              <w:id w:val="-77979458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F465D6">
                                <w:rPr>
                                  <w:rStyle w:val="Emphasis"/>
                                </w:rPr>
                                <w:t>Raport privind situația economică și bugetară</w:t>
                              </w:r>
                            </w:sdtContent>
                          </w:sdt>
                          <w:r w:rsidR="00F465D6">
                            <w:rPr>
                              <w:rStyle w:val="Emphasis"/>
                            </w:rPr>
                            <w:t xml:space="preserve"> pe </w:t>
                          </w:r>
                          <w:r w:rsidR="00F465D6" w:rsidRPr="00072D0B">
                            <w:rPr>
                              <w:rStyle w:val="Emphasis"/>
                            </w:rPr>
                            <w:t xml:space="preserve"> primele șase luni ale anului 201</w:t>
                          </w:r>
                          <w:r w:rsidR="00F465D6">
                            <w:rPr>
                              <w:rStyle w:val="Emphasi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53.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" o:allowoverlap="f" fillcolor="#5b9bd5 [3204]" stroked="f" strokeweight="1pt">
              <v:path arrowok="t"/>
              <v:textbox style="mso-fit-shape-to-text:t">
                <w:txbxContent>
                  <w:p w:rsidR="00F465D6" w:rsidRPr="00072D0B" w:rsidRDefault="00F465D6" w:rsidP="00395F32">
                    <w:pPr>
                      <w:pStyle w:val="Header"/>
                      <w:jc w:val="center"/>
                      <w:rPr>
                        <w:rStyle w:val="Emphasis"/>
                      </w:rPr>
                    </w:pPr>
                    <w:sdt>
                      <w:sdtPr>
                        <w:rPr>
                          <w:rStyle w:val="Emphasis"/>
                        </w:rPr>
                        <w:alias w:val="Title"/>
                        <w:tag w:val=""/>
                        <w:id w:val="-779794582"/>
                        <w:dataBinding w:prefixMappings="xmlns:ns0='http://purl.org/dc/elements/1.1/' xmlns:ns1='http://schemas.openxmlformats.org/package/2006/metadata/core-properties' " w:xpath="/ns1:coreProperties[1]/ns0:title[1]" w:storeItemID="{6C3C8BC8-F283-45AE-878A-BAB7291924A1}"/>
                        <w:text/>
                      </w:sdtPr>
                      <w:sdtContent>
                        <w:r>
                          <w:rPr>
                            <w:rStyle w:val="Emphasis"/>
                          </w:rPr>
                          <w:t>Raport privind situația economică și bugetară</w:t>
                        </w:r>
                      </w:sdtContent>
                    </w:sdt>
                    <w:r>
                      <w:rPr>
                        <w:rStyle w:val="Emphasis"/>
                      </w:rPr>
                      <w:t xml:space="preserve"> pe </w:t>
                    </w:r>
                    <w:r w:rsidRPr="00072D0B">
                      <w:rPr>
                        <w:rStyle w:val="Emphasis"/>
                      </w:rPr>
                      <w:t xml:space="preserve"> primele șase luni ale anului 201</w:t>
                    </w:r>
                    <w:r>
                      <w:rPr>
                        <w:rStyle w:val="Emphasis"/>
                      </w:rPr>
                      <w:t>8</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E07"/>
      </v:shape>
    </w:pict>
  </w:numPicBullet>
  <w:abstractNum w:abstractNumId="0">
    <w:nsid w:val="00000001"/>
    <w:multiLevelType w:val="singleLevel"/>
    <w:tmpl w:val="EF6C9ADC"/>
    <w:name w:val="WW8Num1"/>
    <w:lvl w:ilvl="0">
      <w:start w:val="1"/>
      <w:numFmt w:val="bullet"/>
      <w:lvlText w:val=""/>
      <w:lvlJc w:val="left"/>
      <w:pPr>
        <w:tabs>
          <w:tab w:val="num" w:pos="0"/>
        </w:tabs>
        <w:ind w:left="794" w:hanging="434"/>
      </w:pPr>
      <w:rPr>
        <w:rFonts w:ascii="Symbol" w:hAnsi="Symbol" w:cs="Symbol" w:hint="default"/>
        <w:color w:val="auto"/>
        <w:sz w:val="24"/>
        <w:szCs w:val="24"/>
        <w:lang w:val="ro-RO" w:eastAsia="ja-JP"/>
      </w:rPr>
    </w:lvl>
  </w:abstractNum>
  <w:abstractNum w:abstractNumId="1">
    <w:nsid w:val="00000010"/>
    <w:multiLevelType w:val="multilevel"/>
    <w:tmpl w:val="00000010"/>
    <w:name w:val="WW8Num16"/>
    <w:lvl w:ilvl="0">
      <w:start w:val="1"/>
      <w:numFmt w:val="bullet"/>
      <w:lvlText w:val=""/>
      <w:lvlJc w:val="left"/>
      <w:pPr>
        <w:tabs>
          <w:tab w:val="num" w:pos="0"/>
        </w:tabs>
        <w:ind w:left="644" w:hanging="360"/>
      </w:pPr>
      <w:rPr>
        <w:rFonts w:ascii="Wingdings" w:hAnsi="Wingdings" w:cs="OpenSymbol"/>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shd w:val="clear" w:color="auto" w:fill="auto"/>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shd w:val="clear" w:color="auto" w:fill="auto"/>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3">
    <w:nsid w:val="094D019E"/>
    <w:multiLevelType w:val="hybridMultilevel"/>
    <w:tmpl w:val="3ECEE53A"/>
    <w:lvl w:ilvl="0" w:tplc="0418000D">
      <w:start w:val="1"/>
      <w:numFmt w:val="bullet"/>
      <w:lvlText w:val=""/>
      <w:lvlJc w:val="left"/>
      <w:pPr>
        <w:ind w:left="2196" w:hanging="360"/>
      </w:pPr>
      <w:rPr>
        <w:rFonts w:ascii="Wingdings" w:hAnsi="Wingdings" w:hint="default"/>
      </w:rPr>
    </w:lvl>
    <w:lvl w:ilvl="1" w:tplc="04180003" w:tentative="1">
      <w:start w:val="1"/>
      <w:numFmt w:val="bullet"/>
      <w:lvlText w:val="o"/>
      <w:lvlJc w:val="left"/>
      <w:pPr>
        <w:ind w:left="2916" w:hanging="360"/>
      </w:pPr>
      <w:rPr>
        <w:rFonts w:ascii="Courier New" w:hAnsi="Courier New" w:cs="Courier New" w:hint="default"/>
      </w:rPr>
    </w:lvl>
    <w:lvl w:ilvl="2" w:tplc="04180005" w:tentative="1">
      <w:start w:val="1"/>
      <w:numFmt w:val="bullet"/>
      <w:lvlText w:val=""/>
      <w:lvlJc w:val="left"/>
      <w:pPr>
        <w:ind w:left="3636" w:hanging="360"/>
      </w:pPr>
      <w:rPr>
        <w:rFonts w:ascii="Wingdings" w:hAnsi="Wingdings" w:hint="default"/>
      </w:rPr>
    </w:lvl>
    <w:lvl w:ilvl="3" w:tplc="04180001" w:tentative="1">
      <w:start w:val="1"/>
      <w:numFmt w:val="bullet"/>
      <w:lvlText w:val=""/>
      <w:lvlJc w:val="left"/>
      <w:pPr>
        <w:ind w:left="4356" w:hanging="360"/>
      </w:pPr>
      <w:rPr>
        <w:rFonts w:ascii="Symbol" w:hAnsi="Symbol" w:hint="default"/>
      </w:rPr>
    </w:lvl>
    <w:lvl w:ilvl="4" w:tplc="04180003" w:tentative="1">
      <w:start w:val="1"/>
      <w:numFmt w:val="bullet"/>
      <w:lvlText w:val="o"/>
      <w:lvlJc w:val="left"/>
      <w:pPr>
        <w:ind w:left="5076" w:hanging="360"/>
      </w:pPr>
      <w:rPr>
        <w:rFonts w:ascii="Courier New" w:hAnsi="Courier New" w:cs="Courier New" w:hint="default"/>
      </w:rPr>
    </w:lvl>
    <w:lvl w:ilvl="5" w:tplc="04180005" w:tentative="1">
      <w:start w:val="1"/>
      <w:numFmt w:val="bullet"/>
      <w:lvlText w:val=""/>
      <w:lvlJc w:val="left"/>
      <w:pPr>
        <w:ind w:left="5796" w:hanging="360"/>
      </w:pPr>
      <w:rPr>
        <w:rFonts w:ascii="Wingdings" w:hAnsi="Wingdings" w:hint="default"/>
      </w:rPr>
    </w:lvl>
    <w:lvl w:ilvl="6" w:tplc="04180001" w:tentative="1">
      <w:start w:val="1"/>
      <w:numFmt w:val="bullet"/>
      <w:lvlText w:val=""/>
      <w:lvlJc w:val="left"/>
      <w:pPr>
        <w:ind w:left="6516" w:hanging="360"/>
      </w:pPr>
      <w:rPr>
        <w:rFonts w:ascii="Symbol" w:hAnsi="Symbol" w:hint="default"/>
      </w:rPr>
    </w:lvl>
    <w:lvl w:ilvl="7" w:tplc="04180003" w:tentative="1">
      <w:start w:val="1"/>
      <w:numFmt w:val="bullet"/>
      <w:lvlText w:val="o"/>
      <w:lvlJc w:val="left"/>
      <w:pPr>
        <w:ind w:left="7236" w:hanging="360"/>
      </w:pPr>
      <w:rPr>
        <w:rFonts w:ascii="Courier New" w:hAnsi="Courier New" w:cs="Courier New" w:hint="default"/>
      </w:rPr>
    </w:lvl>
    <w:lvl w:ilvl="8" w:tplc="04180005" w:tentative="1">
      <w:start w:val="1"/>
      <w:numFmt w:val="bullet"/>
      <w:lvlText w:val=""/>
      <w:lvlJc w:val="left"/>
      <w:pPr>
        <w:ind w:left="7956" w:hanging="360"/>
      </w:pPr>
      <w:rPr>
        <w:rFonts w:ascii="Wingdings" w:hAnsi="Wingdings" w:hint="default"/>
      </w:rPr>
    </w:lvl>
  </w:abstractNum>
  <w:abstractNum w:abstractNumId="4">
    <w:nsid w:val="0C1664BC"/>
    <w:multiLevelType w:val="hybridMultilevel"/>
    <w:tmpl w:val="DABE46BE"/>
    <w:lvl w:ilvl="0" w:tplc="5B8A16EA">
      <w:start w:val="1"/>
      <w:numFmt w:val="bullet"/>
      <w:lvlText w:val="•"/>
      <w:lvlJc w:val="left"/>
      <w:pPr>
        <w:tabs>
          <w:tab w:val="num" w:pos="720"/>
        </w:tabs>
        <w:ind w:left="720" w:hanging="360"/>
      </w:pPr>
      <w:rPr>
        <w:rFonts w:ascii="Times New Roman" w:hAnsi="Times New Roman" w:hint="default"/>
      </w:rPr>
    </w:lvl>
    <w:lvl w:ilvl="1" w:tplc="667E71EA" w:tentative="1">
      <w:start w:val="1"/>
      <w:numFmt w:val="bullet"/>
      <w:lvlText w:val="•"/>
      <w:lvlJc w:val="left"/>
      <w:pPr>
        <w:tabs>
          <w:tab w:val="num" w:pos="1440"/>
        </w:tabs>
        <w:ind w:left="1440" w:hanging="360"/>
      </w:pPr>
      <w:rPr>
        <w:rFonts w:ascii="Times New Roman" w:hAnsi="Times New Roman" w:hint="default"/>
      </w:rPr>
    </w:lvl>
    <w:lvl w:ilvl="2" w:tplc="A8705B70" w:tentative="1">
      <w:start w:val="1"/>
      <w:numFmt w:val="bullet"/>
      <w:lvlText w:val="•"/>
      <w:lvlJc w:val="left"/>
      <w:pPr>
        <w:tabs>
          <w:tab w:val="num" w:pos="2160"/>
        </w:tabs>
        <w:ind w:left="2160" w:hanging="360"/>
      </w:pPr>
      <w:rPr>
        <w:rFonts w:ascii="Times New Roman" w:hAnsi="Times New Roman" w:hint="default"/>
      </w:rPr>
    </w:lvl>
    <w:lvl w:ilvl="3" w:tplc="2F8ED91A" w:tentative="1">
      <w:start w:val="1"/>
      <w:numFmt w:val="bullet"/>
      <w:lvlText w:val="•"/>
      <w:lvlJc w:val="left"/>
      <w:pPr>
        <w:tabs>
          <w:tab w:val="num" w:pos="2880"/>
        </w:tabs>
        <w:ind w:left="2880" w:hanging="360"/>
      </w:pPr>
      <w:rPr>
        <w:rFonts w:ascii="Times New Roman" w:hAnsi="Times New Roman" w:hint="default"/>
      </w:rPr>
    </w:lvl>
    <w:lvl w:ilvl="4" w:tplc="457AB212" w:tentative="1">
      <w:start w:val="1"/>
      <w:numFmt w:val="bullet"/>
      <w:lvlText w:val="•"/>
      <w:lvlJc w:val="left"/>
      <w:pPr>
        <w:tabs>
          <w:tab w:val="num" w:pos="3600"/>
        </w:tabs>
        <w:ind w:left="3600" w:hanging="360"/>
      </w:pPr>
      <w:rPr>
        <w:rFonts w:ascii="Times New Roman" w:hAnsi="Times New Roman" w:hint="default"/>
      </w:rPr>
    </w:lvl>
    <w:lvl w:ilvl="5" w:tplc="EBEC57BA" w:tentative="1">
      <w:start w:val="1"/>
      <w:numFmt w:val="bullet"/>
      <w:lvlText w:val="•"/>
      <w:lvlJc w:val="left"/>
      <w:pPr>
        <w:tabs>
          <w:tab w:val="num" w:pos="4320"/>
        </w:tabs>
        <w:ind w:left="4320" w:hanging="360"/>
      </w:pPr>
      <w:rPr>
        <w:rFonts w:ascii="Times New Roman" w:hAnsi="Times New Roman" w:hint="default"/>
      </w:rPr>
    </w:lvl>
    <w:lvl w:ilvl="6" w:tplc="ED902F5A" w:tentative="1">
      <w:start w:val="1"/>
      <w:numFmt w:val="bullet"/>
      <w:lvlText w:val="•"/>
      <w:lvlJc w:val="left"/>
      <w:pPr>
        <w:tabs>
          <w:tab w:val="num" w:pos="5040"/>
        </w:tabs>
        <w:ind w:left="5040" w:hanging="360"/>
      </w:pPr>
      <w:rPr>
        <w:rFonts w:ascii="Times New Roman" w:hAnsi="Times New Roman" w:hint="default"/>
      </w:rPr>
    </w:lvl>
    <w:lvl w:ilvl="7" w:tplc="D8C0B7E4" w:tentative="1">
      <w:start w:val="1"/>
      <w:numFmt w:val="bullet"/>
      <w:lvlText w:val="•"/>
      <w:lvlJc w:val="left"/>
      <w:pPr>
        <w:tabs>
          <w:tab w:val="num" w:pos="5760"/>
        </w:tabs>
        <w:ind w:left="5760" w:hanging="360"/>
      </w:pPr>
      <w:rPr>
        <w:rFonts w:ascii="Times New Roman" w:hAnsi="Times New Roman" w:hint="default"/>
      </w:rPr>
    </w:lvl>
    <w:lvl w:ilvl="8" w:tplc="41025B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683067"/>
    <w:multiLevelType w:val="hybridMultilevel"/>
    <w:tmpl w:val="29E23362"/>
    <w:lvl w:ilvl="0" w:tplc="78A4C95A">
      <w:start w:val="1"/>
      <w:numFmt w:val="bullet"/>
      <w:lvlText w:val=""/>
      <w:lvlJc w:val="left"/>
      <w:pPr>
        <w:ind w:left="0" w:hanging="360"/>
      </w:pPr>
      <w:rPr>
        <w:rFonts w:ascii="Wingdings" w:hAnsi="Wingdings" w:cs="Wingdings" w:hint="default"/>
        <w:color w:val="auto"/>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D0B0FFD"/>
    <w:multiLevelType w:val="hybridMultilevel"/>
    <w:tmpl w:val="DDA2474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6735E"/>
    <w:multiLevelType w:val="hybridMultilevel"/>
    <w:tmpl w:val="4DF2C77E"/>
    <w:lvl w:ilvl="0" w:tplc="09D69A02">
      <w:start w:val="1"/>
      <w:numFmt w:val="bullet"/>
      <w:lvlText w:val="-"/>
      <w:lvlJc w:val="left"/>
      <w:pPr>
        <w:ind w:left="1760" w:hanging="360"/>
      </w:pPr>
      <w:rPr>
        <w:rFonts w:ascii="Arial" w:eastAsia="Times New Roman" w:hAnsi="Arial" w:cs="Arial" w:hint="default"/>
      </w:rPr>
    </w:lvl>
    <w:lvl w:ilvl="1" w:tplc="04180003" w:tentative="1">
      <w:start w:val="1"/>
      <w:numFmt w:val="bullet"/>
      <w:lvlText w:val="o"/>
      <w:lvlJc w:val="left"/>
      <w:pPr>
        <w:ind w:left="2480" w:hanging="360"/>
      </w:pPr>
      <w:rPr>
        <w:rFonts w:ascii="Courier New" w:hAnsi="Courier New" w:cs="Courier New" w:hint="default"/>
      </w:rPr>
    </w:lvl>
    <w:lvl w:ilvl="2" w:tplc="04180005" w:tentative="1">
      <w:start w:val="1"/>
      <w:numFmt w:val="bullet"/>
      <w:lvlText w:val=""/>
      <w:lvlJc w:val="left"/>
      <w:pPr>
        <w:ind w:left="3200" w:hanging="360"/>
      </w:pPr>
      <w:rPr>
        <w:rFonts w:ascii="Wingdings" w:hAnsi="Wingdings" w:hint="default"/>
      </w:rPr>
    </w:lvl>
    <w:lvl w:ilvl="3" w:tplc="04180001" w:tentative="1">
      <w:start w:val="1"/>
      <w:numFmt w:val="bullet"/>
      <w:lvlText w:val=""/>
      <w:lvlJc w:val="left"/>
      <w:pPr>
        <w:ind w:left="3920" w:hanging="360"/>
      </w:pPr>
      <w:rPr>
        <w:rFonts w:ascii="Symbol" w:hAnsi="Symbol" w:hint="default"/>
      </w:rPr>
    </w:lvl>
    <w:lvl w:ilvl="4" w:tplc="04180003" w:tentative="1">
      <w:start w:val="1"/>
      <w:numFmt w:val="bullet"/>
      <w:lvlText w:val="o"/>
      <w:lvlJc w:val="left"/>
      <w:pPr>
        <w:ind w:left="4640" w:hanging="360"/>
      </w:pPr>
      <w:rPr>
        <w:rFonts w:ascii="Courier New" w:hAnsi="Courier New" w:cs="Courier New" w:hint="default"/>
      </w:rPr>
    </w:lvl>
    <w:lvl w:ilvl="5" w:tplc="04180005" w:tentative="1">
      <w:start w:val="1"/>
      <w:numFmt w:val="bullet"/>
      <w:lvlText w:val=""/>
      <w:lvlJc w:val="left"/>
      <w:pPr>
        <w:ind w:left="5360" w:hanging="360"/>
      </w:pPr>
      <w:rPr>
        <w:rFonts w:ascii="Wingdings" w:hAnsi="Wingdings" w:hint="default"/>
      </w:rPr>
    </w:lvl>
    <w:lvl w:ilvl="6" w:tplc="04180001" w:tentative="1">
      <w:start w:val="1"/>
      <w:numFmt w:val="bullet"/>
      <w:lvlText w:val=""/>
      <w:lvlJc w:val="left"/>
      <w:pPr>
        <w:ind w:left="6080" w:hanging="360"/>
      </w:pPr>
      <w:rPr>
        <w:rFonts w:ascii="Symbol" w:hAnsi="Symbol" w:hint="default"/>
      </w:rPr>
    </w:lvl>
    <w:lvl w:ilvl="7" w:tplc="04180003" w:tentative="1">
      <w:start w:val="1"/>
      <w:numFmt w:val="bullet"/>
      <w:lvlText w:val="o"/>
      <w:lvlJc w:val="left"/>
      <w:pPr>
        <w:ind w:left="6800" w:hanging="360"/>
      </w:pPr>
      <w:rPr>
        <w:rFonts w:ascii="Courier New" w:hAnsi="Courier New" w:cs="Courier New" w:hint="default"/>
      </w:rPr>
    </w:lvl>
    <w:lvl w:ilvl="8" w:tplc="04180005" w:tentative="1">
      <w:start w:val="1"/>
      <w:numFmt w:val="bullet"/>
      <w:lvlText w:val=""/>
      <w:lvlJc w:val="left"/>
      <w:pPr>
        <w:ind w:left="7520" w:hanging="360"/>
      </w:pPr>
      <w:rPr>
        <w:rFonts w:ascii="Wingdings" w:hAnsi="Wingdings" w:hint="default"/>
      </w:rPr>
    </w:lvl>
  </w:abstractNum>
  <w:abstractNum w:abstractNumId="8">
    <w:nsid w:val="11BF7C46"/>
    <w:multiLevelType w:val="hybridMultilevel"/>
    <w:tmpl w:val="DBA60D48"/>
    <w:lvl w:ilvl="0" w:tplc="0418000B">
      <w:start w:val="1"/>
      <w:numFmt w:val="bullet"/>
      <w:lvlText w:val=""/>
      <w:lvlJc w:val="left"/>
      <w:pPr>
        <w:ind w:left="363" w:hanging="360"/>
      </w:pPr>
      <w:rPr>
        <w:rFonts w:ascii="Wingdings" w:hAnsi="Wingdings" w:hint="default"/>
      </w:rPr>
    </w:lvl>
    <w:lvl w:ilvl="1" w:tplc="04180003" w:tentative="1">
      <w:start w:val="1"/>
      <w:numFmt w:val="bullet"/>
      <w:lvlText w:val="o"/>
      <w:lvlJc w:val="left"/>
      <w:pPr>
        <w:ind w:left="1083" w:hanging="360"/>
      </w:pPr>
      <w:rPr>
        <w:rFonts w:ascii="Courier New" w:hAnsi="Courier New" w:cs="Courier New" w:hint="default"/>
      </w:rPr>
    </w:lvl>
    <w:lvl w:ilvl="2" w:tplc="04180005" w:tentative="1">
      <w:start w:val="1"/>
      <w:numFmt w:val="bullet"/>
      <w:lvlText w:val=""/>
      <w:lvlJc w:val="left"/>
      <w:pPr>
        <w:ind w:left="1803" w:hanging="360"/>
      </w:pPr>
      <w:rPr>
        <w:rFonts w:ascii="Wingdings" w:hAnsi="Wingdings" w:hint="default"/>
      </w:rPr>
    </w:lvl>
    <w:lvl w:ilvl="3" w:tplc="04180001" w:tentative="1">
      <w:start w:val="1"/>
      <w:numFmt w:val="bullet"/>
      <w:lvlText w:val=""/>
      <w:lvlJc w:val="left"/>
      <w:pPr>
        <w:ind w:left="2523" w:hanging="360"/>
      </w:pPr>
      <w:rPr>
        <w:rFonts w:ascii="Symbol" w:hAnsi="Symbol" w:hint="default"/>
      </w:rPr>
    </w:lvl>
    <w:lvl w:ilvl="4" w:tplc="04180003" w:tentative="1">
      <w:start w:val="1"/>
      <w:numFmt w:val="bullet"/>
      <w:lvlText w:val="o"/>
      <w:lvlJc w:val="left"/>
      <w:pPr>
        <w:ind w:left="3243" w:hanging="360"/>
      </w:pPr>
      <w:rPr>
        <w:rFonts w:ascii="Courier New" w:hAnsi="Courier New" w:cs="Courier New" w:hint="default"/>
      </w:rPr>
    </w:lvl>
    <w:lvl w:ilvl="5" w:tplc="04180005" w:tentative="1">
      <w:start w:val="1"/>
      <w:numFmt w:val="bullet"/>
      <w:lvlText w:val=""/>
      <w:lvlJc w:val="left"/>
      <w:pPr>
        <w:ind w:left="3963" w:hanging="360"/>
      </w:pPr>
      <w:rPr>
        <w:rFonts w:ascii="Wingdings" w:hAnsi="Wingdings" w:hint="default"/>
      </w:rPr>
    </w:lvl>
    <w:lvl w:ilvl="6" w:tplc="04180001" w:tentative="1">
      <w:start w:val="1"/>
      <w:numFmt w:val="bullet"/>
      <w:lvlText w:val=""/>
      <w:lvlJc w:val="left"/>
      <w:pPr>
        <w:ind w:left="4683" w:hanging="360"/>
      </w:pPr>
      <w:rPr>
        <w:rFonts w:ascii="Symbol" w:hAnsi="Symbol" w:hint="default"/>
      </w:rPr>
    </w:lvl>
    <w:lvl w:ilvl="7" w:tplc="04180003" w:tentative="1">
      <w:start w:val="1"/>
      <w:numFmt w:val="bullet"/>
      <w:lvlText w:val="o"/>
      <w:lvlJc w:val="left"/>
      <w:pPr>
        <w:ind w:left="5403" w:hanging="360"/>
      </w:pPr>
      <w:rPr>
        <w:rFonts w:ascii="Courier New" w:hAnsi="Courier New" w:cs="Courier New" w:hint="default"/>
      </w:rPr>
    </w:lvl>
    <w:lvl w:ilvl="8" w:tplc="04180005" w:tentative="1">
      <w:start w:val="1"/>
      <w:numFmt w:val="bullet"/>
      <w:lvlText w:val=""/>
      <w:lvlJc w:val="left"/>
      <w:pPr>
        <w:ind w:left="6123" w:hanging="360"/>
      </w:pPr>
      <w:rPr>
        <w:rFonts w:ascii="Wingdings" w:hAnsi="Wingdings" w:hint="default"/>
      </w:rPr>
    </w:lvl>
  </w:abstractNum>
  <w:abstractNum w:abstractNumId="9">
    <w:nsid w:val="12E92B9B"/>
    <w:multiLevelType w:val="hybridMultilevel"/>
    <w:tmpl w:val="7E4EE77A"/>
    <w:lvl w:ilvl="0" w:tplc="0418000D">
      <w:start w:val="1"/>
      <w:numFmt w:val="bullet"/>
      <w:lvlText w:val=""/>
      <w:lvlJc w:val="left"/>
      <w:pPr>
        <w:ind w:left="1920" w:hanging="360"/>
      </w:pPr>
      <w:rPr>
        <w:rFonts w:ascii="Wingdings" w:hAnsi="Wingdings"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0">
    <w:nsid w:val="14D56553"/>
    <w:multiLevelType w:val="hybridMultilevel"/>
    <w:tmpl w:val="CE24EA7E"/>
    <w:lvl w:ilvl="0" w:tplc="6502598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42699"/>
    <w:multiLevelType w:val="hybridMultilevel"/>
    <w:tmpl w:val="367EE67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18F51A3A"/>
    <w:multiLevelType w:val="hybridMultilevel"/>
    <w:tmpl w:val="B72A5F74"/>
    <w:lvl w:ilvl="0" w:tplc="09D69A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929E3"/>
    <w:multiLevelType w:val="hybridMultilevel"/>
    <w:tmpl w:val="40BE2C1A"/>
    <w:lvl w:ilvl="0" w:tplc="6502598E">
      <w:numFmt w:val="bullet"/>
      <w:lvlText w:val="-"/>
      <w:lvlJc w:val="left"/>
      <w:pPr>
        <w:ind w:left="1512" w:hanging="360"/>
      </w:pPr>
      <w:rPr>
        <w:rFonts w:ascii="Times New Roman" w:eastAsia="Times New Roman" w:hAnsi="Times New Roman" w:cs="Times New Roman" w:hint="default"/>
        <w:b/>
      </w:rPr>
    </w:lvl>
    <w:lvl w:ilvl="1" w:tplc="04180019" w:tentative="1">
      <w:start w:val="1"/>
      <w:numFmt w:val="lowerLetter"/>
      <w:lvlText w:val="%2."/>
      <w:lvlJc w:val="left"/>
      <w:pPr>
        <w:ind w:left="2232" w:hanging="360"/>
      </w:pPr>
    </w:lvl>
    <w:lvl w:ilvl="2" w:tplc="0418001B" w:tentative="1">
      <w:start w:val="1"/>
      <w:numFmt w:val="lowerRoman"/>
      <w:lvlText w:val="%3."/>
      <w:lvlJc w:val="right"/>
      <w:pPr>
        <w:ind w:left="2952" w:hanging="180"/>
      </w:pPr>
    </w:lvl>
    <w:lvl w:ilvl="3" w:tplc="0418000F" w:tentative="1">
      <w:start w:val="1"/>
      <w:numFmt w:val="decimal"/>
      <w:lvlText w:val="%4."/>
      <w:lvlJc w:val="left"/>
      <w:pPr>
        <w:ind w:left="3672" w:hanging="360"/>
      </w:pPr>
    </w:lvl>
    <w:lvl w:ilvl="4" w:tplc="04180019" w:tentative="1">
      <w:start w:val="1"/>
      <w:numFmt w:val="lowerLetter"/>
      <w:lvlText w:val="%5."/>
      <w:lvlJc w:val="left"/>
      <w:pPr>
        <w:ind w:left="4392" w:hanging="360"/>
      </w:pPr>
    </w:lvl>
    <w:lvl w:ilvl="5" w:tplc="0418001B" w:tentative="1">
      <w:start w:val="1"/>
      <w:numFmt w:val="lowerRoman"/>
      <w:lvlText w:val="%6."/>
      <w:lvlJc w:val="right"/>
      <w:pPr>
        <w:ind w:left="5112" w:hanging="180"/>
      </w:pPr>
    </w:lvl>
    <w:lvl w:ilvl="6" w:tplc="0418000F" w:tentative="1">
      <w:start w:val="1"/>
      <w:numFmt w:val="decimal"/>
      <w:lvlText w:val="%7."/>
      <w:lvlJc w:val="left"/>
      <w:pPr>
        <w:ind w:left="5832" w:hanging="360"/>
      </w:pPr>
    </w:lvl>
    <w:lvl w:ilvl="7" w:tplc="04180019" w:tentative="1">
      <w:start w:val="1"/>
      <w:numFmt w:val="lowerLetter"/>
      <w:lvlText w:val="%8."/>
      <w:lvlJc w:val="left"/>
      <w:pPr>
        <w:ind w:left="6552" w:hanging="360"/>
      </w:pPr>
    </w:lvl>
    <w:lvl w:ilvl="8" w:tplc="0418001B" w:tentative="1">
      <w:start w:val="1"/>
      <w:numFmt w:val="lowerRoman"/>
      <w:lvlText w:val="%9."/>
      <w:lvlJc w:val="right"/>
      <w:pPr>
        <w:ind w:left="7272" w:hanging="180"/>
      </w:pPr>
    </w:lvl>
  </w:abstractNum>
  <w:abstractNum w:abstractNumId="14">
    <w:nsid w:val="1F2F00C2"/>
    <w:multiLevelType w:val="hybridMultilevel"/>
    <w:tmpl w:val="8B5EFB8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4300EDC"/>
    <w:multiLevelType w:val="hybridMultilevel"/>
    <w:tmpl w:val="6632F196"/>
    <w:lvl w:ilvl="0" w:tplc="DF30B266">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63D30BB"/>
    <w:multiLevelType w:val="hybridMultilevel"/>
    <w:tmpl w:val="407AE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651FC3"/>
    <w:multiLevelType w:val="hybridMultilevel"/>
    <w:tmpl w:val="6840D45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F2D19"/>
    <w:multiLevelType w:val="hybridMultilevel"/>
    <w:tmpl w:val="77C89D06"/>
    <w:lvl w:ilvl="0" w:tplc="79E6D0EA">
      <w:start w:val="1"/>
      <w:numFmt w:val="bullet"/>
      <w:lvlText w:val=""/>
      <w:lvlJc w:val="left"/>
      <w:pPr>
        <w:ind w:left="1440" w:hanging="360"/>
      </w:pPr>
      <w:rPr>
        <w:rFonts w:ascii="Wingdings" w:hAnsi="Wingdings" w:hint="default"/>
        <w:color w:val="auto"/>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CB433D5"/>
    <w:multiLevelType w:val="hybridMultilevel"/>
    <w:tmpl w:val="ACC47EA0"/>
    <w:lvl w:ilvl="0" w:tplc="0418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09615BB"/>
    <w:multiLevelType w:val="hybridMultilevel"/>
    <w:tmpl w:val="A6A6DBEE"/>
    <w:lvl w:ilvl="0" w:tplc="C464E902">
      <w:start w:val="1"/>
      <w:numFmt w:val="bullet"/>
      <w:lvlText w:val="•"/>
      <w:lvlJc w:val="left"/>
      <w:pPr>
        <w:tabs>
          <w:tab w:val="num" w:pos="720"/>
        </w:tabs>
        <w:ind w:left="720" w:hanging="360"/>
      </w:pPr>
      <w:rPr>
        <w:rFonts w:ascii="Times New Roman" w:hAnsi="Times New Roman" w:hint="default"/>
      </w:rPr>
    </w:lvl>
    <w:lvl w:ilvl="1" w:tplc="9696950C" w:tentative="1">
      <w:start w:val="1"/>
      <w:numFmt w:val="bullet"/>
      <w:lvlText w:val="•"/>
      <w:lvlJc w:val="left"/>
      <w:pPr>
        <w:tabs>
          <w:tab w:val="num" w:pos="1440"/>
        </w:tabs>
        <w:ind w:left="1440" w:hanging="360"/>
      </w:pPr>
      <w:rPr>
        <w:rFonts w:ascii="Times New Roman" w:hAnsi="Times New Roman" w:hint="default"/>
      </w:rPr>
    </w:lvl>
    <w:lvl w:ilvl="2" w:tplc="7006276A" w:tentative="1">
      <w:start w:val="1"/>
      <w:numFmt w:val="bullet"/>
      <w:lvlText w:val="•"/>
      <w:lvlJc w:val="left"/>
      <w:pPr>
        <w:tabs>
          <w:tab w:val="num" w:pos="2160"/>
        </w:tabs>
        <w:ind w:left="2160" w:hanging="360"/>
      </w:pPr>
      <w:rPr>
        <w:rFonts w:ascii="Times New Roman" w:hAnsi="Times New Roman" w:hint="default"/>
      </w:rPr>
    </w:lvl>
    <w:lvl w:ilvl="3" w:tplc="64E05EEA">
      <w:numFmt w:val="bullet"/>
      <w:lvlText w:val="–"/>
      <w:lvlJc w:val="left"/>
      <w:pPr>
        <w:tabs>
          <w:tab w:val="num" w:pos="2880"/>
        </w:tabs>
        <w:ind w:left="2880" w:hanging="360"/>
      </w:pPr>
      <w:rPr>
        <w:rFonts w:ascii="Times New Roman" w:hAnsi="Times New Roman" w:hint="default"/>
      </w:rPr>
    </w:lvl>
    <w:lvl w:ilvl="4" w:tplc="C7D6F50E" w:tentative="1">
      <w:start w:val="1"/>
      <w:numFmt w:val="bullet"/>
      <w:lvlText w:val="•"/>
      <w:lvlJc w:val="left"/>
      <w:pPr>
        <w:tabs>
          <w:tab w:val="num" w:pos="3600"/>
        </w:tabs>
        <w:ind w:left="3600" w:hanging="360"/>
      </w:pPr>
      <w:rPr>
        <w:rFonts w:ascii="Times New Roman" w:hAnsi="Times New Roman" w:hint="default"/>
      </w:rPr>
    </w:lvl>
    <w:lvl w:ilvl="5" w:tplc="C6B253EE" w:tentative="1">
      <w:start w:val="1"/>
      <w:numFmt w:val="bullet"/>
      <w:lvlText w:val="•"/>
      <w:lvlJc w:val="left"/>
      <w:pPr>
        <w:tabs>
          <w:tab w:val="num" w:pos="4320"/>
        </w:tabs>
        <w:ind w:left="4320" w:hanging="360"/>
      </w:pPr>
      <w:rPr>
        <w:rFonts w:ascii="Times New Roman" w:hAnsi="Times New Roman" w:hint="default"/>
      </w:rPr>
    </w:lvl>
    <w:lvl w:ilvl="6" w:tplc="4DB23F7A" w:tentative="1">
      <w:start w:val="1"/>
      <w:numFmt w:val="bullet"/>
      <w:lvlText w:val="•"/>
      <w:lvlJc w:val="left"/>
      <w:pPr>
        <w:tabs>
          <w:tab w:val="num" w:pos="5040"/>
        </w:tabs>
        <w:ind w:left="5040" w:hanging="360"/>
      </w:pPr>
      <w:rPr>
        <w:rFonts w:ascii="Times New Roman" w:hAnsi="Times New Roman" w:hint="default"/>
      </w:rPr>
    </w:lvl>
    <w:lvl w:ilvl="7" w:tplc="99CA6DD0" w:tentative="1">
      <w:start w:val="1"/>
      <w:numFmt w:val="bullet"/>
      <w:lvlText w:val="•"/>
      <w:lvlJc w:val="left"/>
      <w:pPr>
        <w:tabs>
          <w:tab w:val="num" w:pos="5760"/>
        </w:tabs>
        <w:ind w:left="5760" w:hanging="360"/>
      </w:pPr>
      <w:rPr>
        <w:rFonts w:ascii="Times New Roman" w:hAnsi="Times New Roman" w:hint="default"/>
      </w:rPr>
    </w:lvl>
    <w:lvl w:ilvl="8" w:tplc="3A80BE7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2FF2BE6"/>
    <w:multiLevelType w:val="hybridMultilevel"/>
    <w:tmpl w:val="15D63584"/>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33975838"/>
    <w:multiLevelType w:val="hybridMultilevel"/>
    <w:tmpl w:val="1720751A"/>
    <w:lvl w:ilvl="0" w:tplc="05D62D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8E15373"/>
    <w:multiLevelType w:val="hybridMultilevel"/>
    <w:tmpl w:val="FD5667C2"/>
    <w:lvl w:ilvl="0" w:tplc="6502598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3304548"/>
    <w:multiLevelType w:val="hybridMultilevel"/>
    <w:tmpl w:val="90F81C3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3F95FD3"/>
    <w:multiLevelType w:val="hybridMultilevel"/>
    <w:tmpl w:val="5066EDD6"/>
    <w:lvl w:ilvl="0" w:tplc="7D5004EC">
      <w:start w:val="1"/>
      <w:numFmt w:val="decimal"/>
      <w:lvlText w:val="%1."/>
      <w:lvlJc w:val="left"/>
      <w:pPr>
        <w:ind w:left="1512" w:hanging="360"/>
      </w:pPr>
      <w:rPr>
        <w:rFonts w:cs="Times New Roman" w:hint="default"/>
        <w:b/>
      </w:rPr>
    </w:lvl>
    <w:lvl w:ilvl="1" w:tplc="04180019" w:tentative="1">
      <w:start w:val="1"/>
      <w:numFmt w:val="lowerLetter"/>
      <w:lvlText w:val="%2."/>
      <w:lvlJc w:val="left"/>
      <w:pPr>
        <w:ind w:left="2232" w:hanging="360"/>
      </w:pPr>
    </w:lvl>
    <w:lvl w:ilvl="2" w:tplc="0418001B" w:tentative="1">
      <w:start w:val="1"/>
      <w:numFmt w:val="lowerRoman"/>
      <w:lvlText w:val="%3."/>
      <w:lvlJc w:val="right"/>
      <w:pPr>
        <w:ind w:left="2952" w:hanging="180"/>
      </w:pPr>
    </w:lvl>
    <w:lvl w:ilvl="3" w:tplc="0418000F" w:tentative="1">
      <w:start w:val="1"/>
      <w:numFmt w:val="decimal"/>
      <w:lvlText w:val="%4."/>
      <w:lvlJc w:val="left"/>
      <w:pPr>
        <w:ind w:left="3672" w:hanging="360"/>
      </w:pPr>
    </w:lvl>
    <w:lvl w:ilvl="4" w:tplc="04180019" w:tentative="1">
      <w:start w:val="1"/>
      <w:numFmt w:val="lowerLetter"/>
      <w:lvlText w:val="%5."/>
      <w:lvlJc w:val="left"/>
      <w:pPr>
        <w:ind w:left="4392" w:hanging="360"/>
      </w:pPr>
    </w:lvl>
    <w:lvl w:ilvl="5" w:tplc="0418001B" w:tentative="1">
      <w:start w:val="1"/>
      <w:numFmt w:val="lowerRoman"/>
      <w:lvlText w:val="%6."/>
      <w:lvlJc w:val="right"/>
      <w:pPr>
        <w:ind w:left="5112" w:hanging="180"/>
      </w:pPr>
    </w:lvl>
    <w:lvl w:ilvl="6" w:tplc="0418000F" w:tentative="1">
      <w:start w:val="1"/>
      <w:numFmt w:val="decimal"/>
      <w:lvlText w:val="%7."/>
      <w:lvlJc w:val="left"/>
      <w:pPr>
        <w:ind w:left="5832" w:hanging="360"/>
      </w:pPr>
    </w:lvl>
    <w:lvl w:ilvl="7" w:tplc="04180019" w:tentative="1">
      <w:start w:val="1"/>
      <w:numFmt w:val="lowerLetter"/>
      <w:lvlText w:val="%8."/>
      <w:lvlJc w:val="left"/>
      <w:pPr>
        <w:ind w:left="6552" w:hanging="360"/>
      </w:pPr>
    </w:lvl>
    <w:lvl w:ilvl="8" w:tplc="0418001B" w:tentative="1">
      <w:start w:val="1"/>
      <w:numFmt w:val="lowerRoman"/>
      <w:lvlText w:val="%9."/>
      <w:lvlJc w:val="right"/>
      <w:pPr>
        <w:ind w:left="7272" w:hanging="180"/>
      </w:pPr>
    </w:lvl>
  </w:abstractNum>
  <w:abstractNum w:abstractNumId="26">
    <w:nsid w:val="4A9D2B5C"/>
    <w:multiLevelType w:val="hybridMultilevel"/>
    <w:tmpl w:val="7D1E6D0A"/>
    <w:lvl w:ilvl="0" w:tplc="D55CD0B6">
      <w:start w:val="1"/>
      <w:numFmt w:val="bullet"/>
      <w:lvlText w:val="-"/>
      <w:lvlJc w:val="left"/>
      <w:pPr>
        <w:ind w:left="858" w:hanging="360"/>
      </w:pPr>
      <w:rPr>
        <w:rFonts w:ascii="Arial" w:eastAsia="Times New Roman" w:hAnsi="Arial" w:cs="Arial" w:hint="default"/>
      </w:rPr>
    </w:lvl>
    <w:lvl w:ilvl="1" w:tplc="04180003" w:tentative="1">
      <w:start w:val="1"/>
      <w:numFmt w:val="bullet"/>
      <w:lvlText w:val="o"/>
      <w:lvlJc w:val="left"/>
      <w:pPr>
        <w:ind w:left="1578" w:hanging="360"/>
      </w:pPr>
      <w:rPr>
        <w:rFonts w:ascii="Courier New" w:hAnsi="Courier New" w:cs="Courier New" w:hint="default"/>
      </w:rPr>
    </w:lvl>
    <w:lvl w:ilvl="2" w:tplc="04180005" w:tentative="1">
      <w:start w:val="1"/>
      <w:numFmt w:val="bullet"/>
      <w:lvlText w:val=""/>
      <w:lvlJc w:val="left"/>
      <w:pPr>
        <w:ind w:left="2298" w:hanging="360"/>
      </w:pPr>
      <w:rPr>
        <w:rFonts w:ascii="Wingdings" w:hAnsi="Wingdings" w:hint="default"/>
      </w:rPr>
    </w:lvl>
    <w:lvl w:ilvl="3" w:tplc="04180001" w:tentative="1">
      <w:start w:val="1"/>
      <w:numFmt w:val="bullet"/>
      <w:lvlText w:val=""/>
      <w:lvlJc w:val="left"/>
      <w:pPr>
        <w:ind w:left="3018" w:hanging="360"/>
      </w:pPr>
      <w:rPr>
        <w:rFonts w:ascii="Symbol" w:hAnsi="Symbol" w:hint="default"/>
      </w:rPr>
    </w:lvl>
    <w:lvl w:ilvl="4" w:tplc="04180003" w:tentative="1">
      <w:start w:val="1"/>
      <w:numFmt w:val="bullet"/>
      <w:lvlText w:val="o"/>
      <w:lvlJc w:val="left"/>
      <w:pPr>
        <w:ind w:left="3738" w:hanging="360"/>
      </w:pPr>
      <w:rPr>
        <w:rFonts w:ascii="Courier New" w:hAnsi="Courier New" w:cs="Courier New" w:hint="default"/>
      </w:rPr>
    </w:lvl>
    <w:lvl w:ilvl="5" w:tplc="04180005" w:tentative="1">
      <w:start w:val="1"/>
      <w:numFmt w:val="bullet"/>
      <w:lvlText w:val=""/>
      <w:lvlJc w:val="left"/>
      <w:pPr>
        <w:ind w:left="4458" w:hanging="360"/>
      </w:pPr>
      <w:rPr>
        <w:rFonts w:ascii="Wingdings" w:hAnsi="Wingdings" w:hint="default"/>
      </w:rPr>
    </w:lvl>
    <w:lvl w:ilvl="6" w:tplc="04180001" w:tentative="1">
      <w:start w:val="1"/>
      <w:numFmt w:val="bullet"/>
      <w:lvlText w:val=""/>
      <w:lvlJc w:val="left"/>
      <w:pPr>
        <w:ind w:left="5178" w:hanging="360"/>
      </w:pPr>
      <w:rPr>
        <w:rFonts w:ascii="Symbol" w:hAnsi="Symbol" w:hint="default"/>
      </w:rPr>
    </w:lvl>
    <w:lvl w:ilvl="7" w:tplc="04180003" w:tentative="1">
      <w:start w:val="1"/>
      <w:numFmt w:val="bullet"/>
      <w:lvlText w:val="o"/>
      <w:lvlJc w:val="left"/>
      <w:pPr>
        <w:ind w:left="5898" w:hanging="360"/>
      </w:pPr>
      <w:rPr>
        <w:rFonts w:ascii="Courier New" w:hAnsi="Courier New" w:cs="Courier New" w:hint="default"/>
      </w:rPr>
    </w:lvl>
    <w:lvl w:ilvl="8" w:tplc="04180005" w:tentative="1">
      <w:start w:val="1"/>
      <w:numFmt w:val="bullet"/>
      <w:lvlText w:val=""/>
      <w:lvlJc w:val="left"/>
      <w:pPr>
        <w:ind w:left="6618" w:hanging="360"/>
      </w:pPr>
      <w:rPr>
        <w:rFonts w:ascii="Wingdings" w:hAnsi="Wingdings" w:hint="default"/>
      </w:rPr>
    </w:lvl>
  </w:abstractNum>
  <w:abstractNum w:abstractNumId="27">
    <w:nsid w:val="4AA02E76"/>
    <w:multiLevelType w:val="hybridMultilevel"/>
    <w:tmpl w:val="51302C76"/>
    <w:lvl w:ilvl="0" w:tplc="09D69A02">
      <w:start w:val="1"/>
      <w:numFmt w:val="bullet"/>
      <w:lvlText w:val="-"/>
      <w:lvlJc w:val="left"/>
      <w:pPr>
        <w:ind w:left="1400" w:hanging="360"/>
      </w:pPr>
      <w:rPr>
        <w:rFonts w:ascii="Arial" w:eastAsia="Times New Roman" w:hAnsi="Arial" w:cs="Arial" w:hint="default"/>
        <w:color w:val="auto"/>
        <w:sz w:val="22"/>
      </w:rPr>
    </w:lvl>
    <w:lvl w:ilvl="1" w:tplc="04180003"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28">
    <w:nsid w:val="4B485739"/>
    <w:multiLevelType w:val="hybridMultilevel"/>
    <w:tmpl w:val="FCE809D0"/>
    <w:lvl w:ilvl="0" w:tplc="0E146122">
      <w:start w:val="81"/>
      <w:numFmt w:val="bullet"/>
      <w:lvlText w:val="-"/>
      <w:lvlJc w:val="left"/>
      <w:pPr>
        <w:ind w:left="1440" w:hanging="360"/>
      </w:pPr>
      <w:rPr>
        <w:rFonts w:ascii="Calibri" w:eastAsia="Times New Roman" w:hAnsi="Calibri"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4B8A2266"/>
    <w:multiLevelType w:val="hybridMultilevel"/>
    <w:tmpl w:val="5EA69276"/>
    <w:lvl w:ilvl="0" w:tplc="0418000D">
      <w:start w:val="1"/>
      <w:numFmt w:val="bullet"/>
      <w:lvlText w:val=""/>
      <w:lvlJc w:val="left"/>
      <w:pPr>
        <w:ind w:left="2120" w:hanging="360"/>
      </w:pPr>
      <w:rPr>
        <w:rFonts w:ascii="Wingdings" w:hAnsi="Wingdings" w:hint="default"/>
      </w:rPr>
    </w:lvl>
    <w:lvl w:ilvl="1" w:tplc="04180003" w:tentative="1">
      <w:start w:val="1"/>
      <w:numFmt w:val="bullet"/>
      <w:lvlText w:val="o"/>
      <w:lvlJc w:val="left"/>
      <w:pPr>
        <w:ind w:left="2840" w:hanging="360"/>
      </w:pPr>
      <w:rPr>
        <w:rFonts w:ascii="Courier New" w:hAnsi="Courier New" w:cs="Courier New" w:hint="default"/>
      </w:rPr>
    </w:lvl>
    <w:lvl w:ilvl="2" w:tplc="04180005" w:tentative="1">
      <w:start w:val="1"/>
      <w:numFmt w:val="bullet"/>
      <w:lvlText w:val=""/>
      <w:lvlJc w:val="left"/>
      <w:pPr>
        <w:ind w:left="3560" w:hanging="360"/>
      </w:pPr>
      <w:rPr>
        <w:rFonts w:ascii="Wingdings" w:hAnsi="Wingdings" w:hint="default"/>
      </w:rPr>
    </w:lvl>
    <w:lvl w:ilvl="3" w:tplc="04180001" w:tentative="1">
      <w:start w:val="1"/>
      <w:numFmt w:val="bullet"/>
      <w:lvlText w:val=""/>
      <w:lvlJc w:val="left"/>
      <w:pPr>
        <w:ind w:left="4280" w:hanging="360"/>
      </w:pPr>
      <w:rPr>
        <w:rFonts w:ascii="Symbol" w:hAnsi="Symbol" w:hint="default"/>
      </w:rPr>
    </w:lvl>
    <w:lvl w:ilvl="4" w:tplc="04180003" w:tentative="1">
      <w:start w:val="1"/>
      <w:numFmt w:val="bullet"/>
      <w:lvlText w:val="o"/>
      <w:lvlJc w:val="left"/>
      <w:pPr>
        <w:ind w:left="5000" w:hanging="360"/>
      </w:pPr>
      <w:rPr>
        <w:rFonts w:ascii="Courier New" w:hAnsi="Courier New" w:cs="Courier New" w:hint="default"/>
      </w:rPr>
    </w:lvl>
    <w:lvl w:ilvl="5" w:tplc="04180005" w:tentative="1">
      <w:start w:val="1"/>
      <w:numFmt w:val="bullet"/>
      <w:lvlText w:val=""/>
      <w:lvlJc w:val="left"/>
      <w:pPr>
        <w:ind w:left="5720" w:hanging="360"/>
      </w:pPr>
      <w:rPr>
        <w:rFonts w:ascii="Wingdings" w:hAnsi="Wingdings" w:hint="default"/>
      </w:rPr>
    </w:lvl>
    <w:lvl w:ilvl="6" w:tplc="04180001" w:tentative="1">
      <w:start w:val="1"/>
      <w:numFmt w:val="bullet"/>
      <w:lvlText w:val=""/>
      <w:lvlJc w:val="left"/>
      <w:pPr>
        <w:ind w:left="6440" w:hanging="360"/>
      </w:pPr>
      <w:rPr>
        <w:rFonts w:ascii="Symbol" w:hAnsi="Symbol" w:hint="default"/>
      </w:rPr>
    </w:lvl>
    <w:lvl w:ilvl="7" w:tplc="04180003" w:tentative="1">
      <w:start w:val="1"/>
      <w:numFmt w:val="bullet"/>
      <w:lvlText w:val="o"/>
      <w:lvlJc w:val="left"/>
      <w:pPr>
        <w:ind w:left="7160" w:hanging="360"/>
      </w:pPr>
      <w:rPr>
        <w:rFonts w:ascii="Courier New" w:hAnsi="Courier New" w:cs="Courier New" w:hint="default"/>
      </w:rPr>
    </w:lvl>
    <w:lvl w:ilvl="8" w:tplc="04180005" w:tentative="1">
      <w:start w:val="1"/>
      <w:numFmt w:val="bullet"/>
      <w:lvlText w:val=""/>
      <w:lvlJc w:val="left"/>
      <w:pPr>
        <w:ind w:left="7880" w:hanging="360"/>
      </w:pPr>
      <w:rPr>
        <w:rFonts w:ascii="Wingdings" w:hAnsi="Wingdings" w:hint="default"/>
      </w:rPr>
    </w:lvl>
  </w:abstractNum>
  <w:abstractNum w:abstractNumId="30">
    <w:nsid w:val="501D2A09"/>
    <w:multiLevelType w:val="hybridMultilevel"/>
    <w:tmpl w:val="5066EDD6"/>
    <w:lvl w:ilvl="0" w:tplc="7D5004EC">
      <w:start w:val="1"/>
      <w:numFmt w:val="decimal"/>
      <w:lvlText w:val="%1."/>
      <w:lvlJc w:val="left"/>
      <w:pPr>
        <w:ind w:left="1512" w:hanging="360"/>
      </w:pPr>
      <w:rPr>
        <w:rFonts w:cs="Times New Roman" w:hint="default"/>
        <w:b/>
      </w:rPr>
    </w:lvl>
    <w:lvl w:ilvl="1" w:tplc="04180019" w:tentative="1">
      <w:start w:val="1"/>
      <w:numFmt w:val="lowerLetter"/>
      <w:lvlText w:val="%2."/>
      <w:lvlJc w:val="left"/>
      <w:pPr>
        <w:ind w:left="2232" w:hanging="360"/>
      </w:pPr>
    </w:lvl>
    <w:lvl w:ilvl="2" w:tplc="0418001B" w:tentative="1">
      <w:start w:val="1"/>
      <w:numFmt w:val="lowerRoman"/>
      <w:lvlText w:val="%3."/>
      <w:lvlJc w:val="right"/>
      <w:pPr>
        <w:ind w:left="2952" w:hanging="180"/>
      </w:pPr>
    </w:lvl>
    <w:lvl w:ilvl="3" w:tplc="0418000F" w:tentative="1">
      <w:start w:val="1"/>
      <w:numFmt w:val="decimal"/>
      <w:lvlText w:val="%4."/>
      <w:lvlJc w:val="left"/>
      <w:pPr>
        <w:ind w:left="3672" w:hanging="360"/>
      </w:pPr>
    </w:lvl>
    <w:lvl w:ilvl="4" w:tplc="04180019" w:tentative="1">
      <w:start w:val="1"/>
      <w:numFmt w:val="lowerLetter"/>
      <w:lvlText w:val="%5."/>
      <w:lvlJc w:val="left"/>
      <w:pPr>
        <w:ind w:left="4392" w:hanging="360"/>
      </w:pPr>
    </w:lvl>
    <w:lvl w:ilvl="5" w:tplc="0418001B" w:tentative="1">
      <w:start w:val="1"/>
      <w:numFmt w:val="lowerRoman"/>
      <w:lvlText w:val="%6."/>
      <w:lvlJc w:val="right"/>
      <w:pPr>
        <w:ind w:left="5112" w:hanging="180"/>
      </w:pPr>
    </w:lvl>
    <w:lvl w:ilvl="6" w:tplc="0418000F" w:tentative="1">
      <w:start w:val="1"/>
      <w:numFmt w:val="decimal"/>
      <w:lvlText w:val="%7."/>
      <w:lvlJc w:val="left"/>
      <w:pPr>
        <w:ind w:left="5832" w:hanging="360"/>
      </w:pPr>
    </w:lvl>
    <w:lvl w:ilvl="7" w:tplc="04180019" w:tentative="1">
      <w:start w:val="1"/>
      <w:numFmt w:val="lowerLetter"/>
      <w:lvlText w:val="%8."/>
      <w:lvlJc w:val="left"/>
      <w:pPr>
        <w:ind w:left="6552" w:hanging="360"/>
      </w:pPr>
    </w:lvl>
    <w:lvl w:ilvl="8" w:tplc="0418001B" w:tentative="1">
      <w:start w:val="1"/>
      <w:numFmt w:val="lowerRoman"/>
      <w:lvlText w:val="%9."/>
      <w:lvlJc w:val="right"/>
      <w:pPr>
        <w:ind w:left="7272" w:hanging="180"/>
      </w:pPr>
    </w:lvl>
  </w:abstractNum>
  <w:abstractNum w:abstractNumId="31">
    <w:nsid w:val="51CE24D7"/>
    <w:multiLevelType w:val="hybridMultilevel"/>
    <w:tmpl w:val="666CB770"/>
    <w:lvl w:ilvl="0" w:tplc="0418000B">
      <w:start w:val="1"/>
      <w:numFmt w:val="bullet"/>
      <w:lvlText w:val=""/>
      <w:lvlJc w:val="left"/>
      <w:pPr>
        <w:ind w:left="1760" w:hanging="360"/>
      </w:pPr>
      <w:rPr>
        <w:rFonts w:ascii="Wingdings" w:hAnsi="Wingdings" w:hint="default"/>
      </w:rPr>
    </w:lvl>
    <w:lvl w:ilvl="1" w:tplc="04180003" w:tentative="1">
      <w:start w:val="1"/>
      <w:numFmt w:val="bullet"/>
      <w:lvlText w:val="o"/>
      <w:lvlJc w:val="left"/>
      <w:pPr>
        <w:ind w:left="2480" w:hanging="360"/>
      </w:pPr>
      <w:rPr>
        <w:rFonts w:ascii="Courier New" w:hAnsi="Courier New" w:cs="Courier New" w:hint="default"/>
      </w:rPr>
    </w:lvl>
    <w:lvl w:ilvl="2" w:tplc="04180005" w:tentative="1">
      <w:start w:val="1"/>
      <w:numFmt w:val="bullet"/>
      <w:lvlText w:val=""/>
      <w:lvlJc w:val="left"/>
      <w:pPr>
        <w:ind w:left="3200" w:hanging="360"/>
      </w:pPr>
      <w:rPr>
        <w:rFonts w:ascii="Wingdings" w:hAnsi="Wingdings" w:hint="default"/>
      </w:rPr>
    </w:lvl>
    <w:lvl w:ilvl="3" w:tplc="04180001" w:tentative="1">
      <w:start w:val="1"/>
      <w:numFmt w:val="bullet"/>
      <w:lvlText w:val=""/>
      <w:lvlJc w:val="left"/>
      <w:pPr>
        <w:ind w:left="3920" w:hanging="360"/>
      </w:pPr>
      <w:rPr>
        <w:rFonts w:ascii="Symbol" w:hAnsi="Symbol" w:hint="default"/>
      </w:rPr>
    </w:lvl>
    <w:lvl w:ilvl="4" w:tplc="04180003" w:tentative="1">
      <w:start w:val="1"/>
      <w:numFmt w:val="bullet"/>
      <w:lvlText w:val="o"/>
      <w:lvlJc w:val="left"/>
      <w:pPr>
        <w:ind w:left="4640" w:hanging="360"/>
      </w:pPr>
      <w:rPr>
        <w:rFonts w:ascii="Courier New" w:hAnsi="Courier New" w:cs="Courier New" w:hint="default"/>
      </w:rPr>
    </w:lvl>
    <w:lvl w:ilvl="5" w:tplc="04180005" w:tentative="1">
      <w:start w:val="1"/>
      <w:numFmt w:val="bullet"/>
      <w:lvlText w:val=""/>
      <w:lvlJc w:val="left"/>
      <w:pPr>
        <w:ind w:left="5360" w:hanging="360"/>
      </w:pPr>
      <w:rPr>
        <w:rFonts w:ascii="Wingdings" w:hAnsi="Wingdings" w:hint="default"/>
      </w:rPr>
    </w:lvl>
    <w:lvl w:ilvl="6" w:tplc="04180001" w:tentative="1">
      <w:start w:val="1"/>
      <w:numFmt w:val="bullet"/>
      <w:lvlText w:val=""/>
      <w:lvlJc w:val="left"/>
      <w:pPr>
        <w:ind w:left="6080" w:hanging="360"/>
      </w:pPr>
      <w:rPr>
        <w:rFonts w:ascii="Symbol" w:hAnsi="Symbol" w:hint="default"/>
      </w:rPr>
    </w:lvl>
    <w:lvl w:ilvl="7" w:tplc="04180003" w:tentative="1">
      <w:start w:val="1"/>
      <w:numFmt w:val="bullet"/>
      <w:lvlText w:val="o"/>
      <w:lvlJc w:val="left"/>
      <w:pPr>
        <w:ind w:left="6800" w:hanging="360"/>
      </w:pPr>
      <w:rPr>
        <w:rFonts w:ascii="Courier New" w:hAnsi="Courier New" w:cs="Courier New" w:hint="default"/>
      </w:rPr>
    </w:lvl>
    <w:lvl w:ilvl="8" w:tplc="04180005" w:tentative="1">
      <w:start w:val="1"/>
      <w:numFmt w:val="bullet"/>
      <w:lvlText w:val=""/>
      <w:lvlJc w:val="left"/>
      <w:pPr>
        <w:ind w:left="7520" w:hanging="360"/>
      </w:pPr>
      <w:rPr>
        <w:rFonts w:ascii="Wingdings" w:hAnsi="Wingdings" w:hint="default"/>
      </w:rPr>
    </w:lvl>
  </w:abstractNum>
  <w:abstractNum w:abstractNumId="32">
    <w:nsid w:val="526E1A7B"/>
    <w:multiLevelType w:val="hybridMultilevel"/>
    <w:tmpl w:val="819A529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96708B1"/>
    <w:multiLevelType w:val="hybridMultilevel"/>
    <w:tmpl w:val="F0F45174"/>
    <w:lvl w:ilvl="0" w:tplc="9C40BEDE">
      <w:start w:val="6"/>
      <w:numFmt w:val="bullet"/>
      <w:lvlText w:val="-"/>
      <w:lvlJc w:val="left"/>
      <w:pPr>
        <w:ind w:left="858" w:hanging="360"/>
      </w:pPr>
      <w:rPr>
        <w:rFonts w:ascii="Arial" w:eastAsia="Times New Roman" w:hAnsi="Arial" w:cs="Arial" w:hint="default"/>
        <w:b/>
      </w:rPr>
    </w:lvl>
    <w:lvl w:ilvl="1" w:tplc="04180003" w:tentative="1">
      <w:start w:val="1"/>
      <w:numFmt w:val="bullet"/>
      <w:lvlText w:val="o"/>
      <w:lvlJc w:val="left"/>
      <w:pPr>
        <w:ind w:left="1578" w:hanging="360"/>
      </w:pPr>
      <w:rPr>
        <w:rFonts w:ascii="Courier New" w:hAnsi="Courier New" w:cs="Courier New" w:hint="default"/>
      </w:rPr>
    </w:lvl>
    <w:lvl w:ilvl="2" w:tplc="04180005" w:tentative="1">
      <w:start w:val="1"/>
      <w:numFmt w:val="bullet"/>
      <w:lvlText w:val=""/>
      <w:lvlJc w:val="left"/>
      <w:pPr>
        <w:ind w:left="2298" w:hanging="360"/>
      </w:pPr>
      <w:rPr>
        <w:rFonts w:ascii="Wingdings" w:hAnsi="Wingdings" w:hint="default"/>
      </w:rPr>
    </w:lvl>
    <w:lvl w:ilvl="3" w:tplc="04180001" w:tentative="1">
      <w:start w:val="1"/>
      <w:numFmt w:val="bullet"/>
      <w:lvlText w:val=""/>
      <w:lvlJc w:val="left"/>
      <w:pPr>
        <w:ind w:left="3018" w:hanging="360"/>
      </w:pPr>
      <w:rPr>
        <w:rFonts w:ascii="Symbol" w:hAnsi="Symbol" w:hint="default"/>
      </w:rPr>
    </w:lvl>
    <w:lvl w:ilvl="4" w:tplc="04180003" w:tentative="1">
      <w:start w:val="1"/>
      <w:numFmt w:val="bullet"/>
      <w:lvlText w:val="o"/>
      <w:lvlJc w:val="left"/>
      <w:pPr>
        <w:ind w:left="3738" w:hanging="360"/>
      </w:pPr>
      <w:rPr>
        <w:rFonts w:ascii="Courier New" w:hAnsi="Courier New" w:cs="Courier New" w:hint="default"/>
      </w:rPr>
    </w:lvl>
    <w:lvl w:ilvl="5" w:tplc="04180005" w:tentative="1">
      <w:start w:val="1"/>
      <w:numFmt w:val="bullet"/>
      <w:lvlText w:val=""/>
      <w:lvlJc w:val="left"/>
      <w:pPr>
        <w:ind w:left="4458" w:hanging="360"/>
      </w:pPr>
      <w:rPr>
        <w:rFonts w:ascii="Wingdings" w:hAnsi="Wingdings" w:hint="default"/>
      </w:rPr>
    </w:lvl>
    <w:lvl w:ilvl="6" w:tplc="04180001" w:tentative="1">
      <w:start w:val="1"/>
      <w:numFmt w:val="bullet"/>
      <w:lvlText w:val=""/>
      <w:lvlJc w:val="left"/>
      <w:pPr>
        <w:ind w:left="5178" w:hanging="360"/>
      </w:pPr>
      <w:rPr>
        <w:rFonts w:ascii="Symbol" w:hAnsi="Symbol" w:hint="default"/>
      </w:rPr>
    </w:lvl>
    <w:lvl w:ilvl="7" w:tplc="04180003" w:tentative="1">
      <w:start w:val="1"/>
      <w:numFmt w:val="bullet"/>
      <w:lvlText w:val="o"/>
      <w:lvlJc w:val="left"/>
      <w:pPr>
        <w:ind w:left="5898" w:hanging="360"/>
      </w:pPr>
      <w:rPr>
        <w:rFonts w:ascii="Courier New" w:hAnsi="Courier New" w:cs="Courier New" w:hint="default"/>
      </w:rPr>
    </w:lvl>
    <w:lvl w:ilvl="8" w:tplc="04180005" w:tentative="1">
      <w:start w:val="1"/>
      <w:numFmt w:val="bullet"/>
      <w:lvlText w:val=""/>
      <w:lvlJc w:val="left"/>
      <w:pPr>
        <w:ind w:left="6618" w:hanging="360"/>
      </w:pPr>
      <w:rPr>
        <w:rFonts w:ascii="Wingdings" w:hAnsi="Wingdings" w:hint="default"/>
      </w:rPr>
    </w:lvl>
  </w:abstractNum>
  <w:abstractNum w:abstractNumId="34">
    <w:nsid w:val="5E1D3834"/>
    <w:multiLevelType w:val="hybridMultilevel"/>
    <w:tmpl w:val="17BA9092"/>
    <w:lvl w:ilvl="0" w:tplc="0418000D">
      <w:start w:val="1"/>
      <w:numFmt w:val="bullet"/>
      <w:lvlText w:val=""/>
      <w:lvlJc w:val="left"/>
      <w:pPr>
        <w:ind w:left="2120" w:hanging="360"/>
      </w:pPr>
      <w:rPr>
        <w:rFonts w:ascii="Wingdings" w:hAnsi="Wingdings" w:hint="default"/>
      </w:rPr>
    </w:lvl>
    <w:lvl w:ilvl="1" w:tplc="04180003" w:tentative="1">
      <w:start w:val="1"/>
      <w:numFmt w:val="bullet"/>
      <w:lvlText w:val="o"/>
      <w:lvlJc w:val="left"/>
      <w:pPr>
        <w:ind w:left="2840" w:hanging="360"/>
      </w:pPr>
      <w:rPr>
        <w:rFonts w:ascii="Courier New" w:hAnsi="Courier New" w:cs="Courier New" w:hint="default"/>
      </w:rPr>
    </w:lvl>
    <w:lvl w:ilvl="2" w:tplc="04180005" w:tentative="1">
      <w:start w:val="1"/>
      <w:numFmt w:val="bullet"/>
      <w:lvlText w:val=""/>
      <w:lvlJc w:val="left"/>
      <w:pPr>
        <w:ind w:left="3560" w:hanging="360"/>
      </w:pPr>
      <w:rPr>
        <w:rFonts w:ascii="Wingdings" w:hAnsi="Wingdings" w:hint="default"/>
      </w:rPr>
    </w:lvl>
    <w:lvl w:ilvl="3" w:tplc="04180001" w:tentative="1">
      <w:start w:val="1"/>
      <w:numFmt w:val="bullet"/>
      <w:lvlText w:val=""/>
      <w:lvlJc w:val="left"/>
      <w:pPr>
        <w:ind w:left="4280" w:hanging="360"/>
      </w:pPr>
      <w:rPr>
        <w:rFonts w:ascii="Symbol" w:hAnsi="Symbol" w:hint="default"/>
      </w:rPr>
    </w:lvl>
    <w:lvl w:ilvl="4" w:tplc="04180003" w:tentative="1">
      <w:start w:val="1"/>
      <w:numFmt w:val="bullet"/>
      <w:lvlText w:val="o"/>
      <w:lvlJc w:val="left"/>
      <w:pPr>
        <w:ind w:left="5000" w:hanging="360"/>
      </w:pPr>
      <w:rPr>
        <w:rFonts w:ascii="Courier New" w:hAnsi="Courier New" w:cs="Courier New" w:hint="default"/>
      </w:rPr>
    </w:lvl>
    <w:lvl w:ilvl="5" w:tplc="04180005" w:tentative="1">
      <w:start w:val="1"/>
      <w:numFmt w:val="bullet"/>
      <w:lvlText w:val=""/>
      <w:lvlJc w:val="left"/>
      <w:pPr>
        <w:ind w:left="5720" w:hanging="360"/>
      </w:pPr>
      <w:rPr>
        <w:rFonts w:ascii="Wingdings" w:hAnsi="Wingdings" w:hint="default"/>
      </w:rPr>
    </w:lvl>
    <w:lvl w:ilvl="6" w:tplc="04180001" w:tentative="1">
      <w:start w:val="1"/>
      <w:numFmt w:val="bullet"/>
      <w:lvlText w:val=""/>
      <w:lvlJc w:val="left"/>
      <w:pPr>
        <w:ind w:left="6440" w:hanging="360"/>
      </w:pPr>
      <w:rPr>
        <w:rFonts w:ascii="Symbol" w:hAnsi="Symbol" w:hint="default"/>
      </w:rPr>
    </w:lvl>
    <w:lvl w:ilvl="7" w:tplc="04180003" w:tentative="1">
      <w:start w:val="1"/>
      <w:numFmt w:val="bullet"/>
      <w:lvlText w:val="o"/>
      <w:lvlJc w:val="left"/>
      <w:pPr>
        <w:ind w:left="7160" w:hanging="360"/>
      </w:pPr>
      <w:rPr>
        <w:rFonts w:ascii="Courier New" w:hAnsi="Courier New" w:cs="Courier New" w:hint="default"/>
      </w:rPr>
    </w:lvl>
    <w:lvl w:ilvl="8" w:tplc="04180005" w:tentative="1">
      <w:start w:val="1"/>
      <w:numFmt w:val="bullet"/>
      <w:lvlText w:val=""/>
      <w:lvlJc w:val="left"/>
      <w:pPr>
        <w:ind w:left="7880" w:hanging="360"/>
      </w:pPr>
      <w:rPr>
        <w:rFonts w:ascii="Wingdings" w:hAnsi="Wingdings" w:hint="default"/>
      </w:rPr>
    </w:lvl>
  </w:abstractNum>
  <w:abstractNum w:abstractNumId="35">
    <w:nsid w:val="5FCB3520"/>
    <w:multiLevelType w:val="hybridMultilevel"/>
    <w:tmpl w:val="A678C5BC"/>
    <w:lvl w:ilvl="0" w:tplc="09D69A02">
      <w:start w:val="1"/>
      <w:numFmt w:val="bullet"/>
      <w:lvlText w:val="-"/>
      <w:lvlJc w:val="left"/>
      <w:pPr>
        <w:ind w:left="2988" w:hanging="360"/>
      </w:pPr>
      <w:rPr>
        <w:rFonts w:ascii="Arial" w:eastAsia="Times New Roman" w:hAnsi="Arial" w:cs="Arial" w:hint="default"/>
      </w:rPr>
    </w:lvl>
    <w:lvl w:ilvl="1" w:tplc="04180003" w:tentative="1">
      <w:start w:val="1"/>
      <w:numFmt w:val="bullet"/>
      <w:lvlText w:val="o"/>
      <w:lvlJc w:val="left"/>
      <w:pPr>
        <w:ind w:left="3708" w:hanging="360"/>
      </w:pPr>
      <w:rPr>
        <w:rFonts w:ascii="Courier New" w:hAnsi="Courier New" w:cs="Courier New" w:hint="default"/>
      </w:rPr>
    </w:lvl>
    <w:lvl w:ilvl="2" w:tplc="04180005" w:tentative="1">
      <w:start w:val="1"/>
      <w:numFmt w:val="bullet"/>
      <w:lvlText w:val=""/>
      <w:lvlJc w:val="left"/>
      <w:pPr>
        <w:ind w:left="4428" w:hanging="360"/>
      </w:pPr>
      <w:rPr>
        <w:rFonts w:ascii="Wingdings" w:hAnsi="Wingdings" w:hint="default"/>
      </w:rPr>
    </w:lvl>
    <w:lvl w:ilvl="3" w:tplc="04180001" w:tentative="1">
      <w:start w:val="1"/>
      <w:numFmt w:val="bullet"/>
      <w:lvlText w:val=""/>
      <w:lvlJc w:val="left"/>
      <w:pPr>
        <w:ind w:left="5148" w:hanging="360"/>
      </w:pPr>
      <w:rPr>
        <w:rFonts w:ascii="Symbol" w:hAnsi="Symbol" w:hint="default"/>
      </w:rPr>
    </w:lvl>
    <w:lvl w:ilvl="4" w:tplc="04180003" w:tentative="1">
      <w:start w:val="1"/>
      <w:numFmt w:val="bullet"/>
      <w:lvlText w:val="o"/>
      <w:lvlJc w:val="left"/>
      <w:pPr>
        <w:ind w:left="5868" w:hanging="360"/>
      </w:pPr>
      <w:rPr>
        <w:rFonts w:ascii="Courier New" w:hAnsi="Courier New" w:cs="Courier New" w:hint="default"/>
      </w:rPr>
    </w:lvl>
    <w:lvl w:ilvl="5" w:tplc="04180005" w:tentative="1">
      <w:start w:val="1"/>
      <w:numFmt w:val="bullet"/>
      <w:lvlText w:val=""/>
      <w:lvlJc w:val="left"/>
      <w:pPr>
        <w:ind w:left="6588" w:hanging="360"/>
      </w:pPr>
      <w:rPr>
        <w:rFonts w:ascii="Wingdings" w:hAnsi="Wingdings" w:hint="default"/>
      </w:rPr>
    </w:lvl>
    <w:lvl w:ilvl="6" w:tplc="04180001" w:tentative="1">
      <w:start w:val="1"/>
      <w:numFmt w:val="bullet"/>
      <w:lvlText w:val=""/>
      <w:lvlJc w:val="left"/>
      <w:pPr>
        <w:ind w:left="7308" w:hanging="360"/>
      </w:pPr>
      <w:rPr>
        <w:rFonts w:ascii="Symbol" w:hAnsi="Symbol" w:hint="default"/>
      </w:rPr>
    </w:lvl>
    <w:lvl w:ilvl="7" w:tplc="04180003" w:tentative="1">
      <w:start w:val="1"/>
      <w:numFmt w:val="bullet"/>
      <w:lvlText w:val="o"/>
      <w:lvlJc w:val="left"/>
      <w:pPr>
        <w:ind w:left="8028" w:hanging="360"/>
      </w:pPr>
      <w:rPr>
        <w:rFonts w:ascii="Courier New" w:hAnsi="Courier New" w:cs="Courier New" w:hint="default"/>
      </w:rPr>
    </w:lvl>
    <w:lvl w:ilvl="8" w:tplc="04180005" w:tentative="1">
      <w:start w:val="1"/>
      <w:numFmt w:val="bullet"/>
      <w:lvlText w:val=""/>
      <w:lvlJc w:val="left"/>
      <w:pPr>
        <w:ind w:left="8748" w:hanging="360"/>
      </w:pPr>
      <w:rPr>
        <w:rFonts w:ascii="Wingdings" w:hAnsi="Wingdings" w:hint="default"/>
      </w:rPr>
    </w:lvl>
  </w:abstractNum>
  <w:abstractNum w:abstractNumId="36">
    <w:nsid w:val="6255188A"/>
    <w:multiLevelType w:val="hybridMultilevel"/>
    <w:tmpl w:val="16BA46DA"/>
    <w:lvl w:ilvl="0" w:tplc="04180009">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nsid w:val="63C835D7"/>
    <w:multiLevelType w:val="hybridMultilevel"/>
    <w:tmpl w:val="B3B0FFDE"/>
    <w:lvl w:ilvl="0" w:tplc="0418000D">
      <w:start w:val="1"/>
      <w:numFmt w:val="bullet"/>
      <w:lvlText w:val=""/>
      <w:lvlJc w:val="left"/>
      <w:pPr>
        <w:ind w:left="2496" w:hanging="360"/>
      </w:pPr>
      <w:rPr>
        <w:rFonts w:ascii="Wingdings" w:hAnsi="Wingdings" w:hint="default"/>
      </w:rPr>
    </w:lvl>
    <w:lvl w:ilvl="1" w:tplc="04180003" w:tentative="1">
      <w:start w:val="1"/>
      <w:numFmt w:val="bullet"/>
      <w:lvlText w:val="o"/>
      <w:lvlJc w:val="left"/>
      <w:pPr>
        <w:ind w:left="3216" w:hanging="360"/>
      </w:pPr>
      <w:rPr>
        <w:rFonts w:ascii="Courier New" w:hAnsi="Courier New" w:cs="Courier New" w:hint="default"/>
      </w:rPr>
    </w:lvl>
    <w:lvl w:ilvl="2" w:tplc="04180005" w:tentative="1">
      <w:start w:val="1"/>
      <w:numFmt w:val="bullet"/>
      <w:lvlText w:val=""/>
      <w:lvlJc w:val="left"/>
      <w:pPr>
        <w:ind w:left="3936" w:hanging="360"/>
      </w:pPr>
      <w:rPr>
        <w:rFonts w:ascii="Wingdings" w:hAnsi="Wingdings" w:hint="default"/>
      </w:rPr>
    </w:lvl>
    <w:lvl w:ilvl="3" w:tplc="04180001" w:tentative="1">
      <w:start w:val="1"/>
      <w:numFmt w:val="bullet"/>
      <w:lvlText w:val=""/>
      <w:lvlJc w:val="left"/>
      <w:pPr>
        <w:ind w:left="4656" w:hanging="360"/>
      </w:pPr>
      <w:rPr>
        <w:rFonts w:ascii="Symbol" w:hAnsi="Symbol" w:hint="default"/>
      </w:rPr>
    </w:lvl>
    <w:lvl w:ilvl="4" w:tplc="04180003" w:tentative="1">
      <w:start w:val="1"/>
      <w:numFmt w:val="bullet"/>
      <w:lvlText w:val="o"/>
      <w:lvlJc w:val="left"/>
      <w:pPr>
        <w:ind w:left="5376" w:hanging="360"/>
      </w:pPr>
      <w:rPr>
        <w:rFonts w:ascii="Courier New" w:hAnsi="Courier New" w:cs="Courier New" w:hint="default"/>
      </w:rPr>
    </w:lvl>
    <w:lvl w:ilvl="5" w:tplc="04180005" w:tentative="1">
      <w:start w:val="1"/>
      <w:numFmt w:val="bullet"/>
      <w:lvlText w:val=""/>
      <w:lvlJc w:val="left"/>
      <w:pPr>
        <w:ind w:left="6096" w:hanging="360"/>
      </w:pPr>
      <w:rPr>
        <w:rFonts w:ascii="Wingdings" w:hAnsi="Wingdings" w:hint="default"/>
      </w:rPr>
    </w:lvl>
    <w:lvl w:ilvl="6" w:tplc="04180001" w:tentative="1">
      <w:start w:val="1"/>
      <w:numFmt w:val="bullet"/>
      <w:lvlText w:val=""/>
      <w:lvlJc w:val="left"/>
      <w:pPr>
        <w:ind w:left="6816" w:hanging="360"/>
      </w:pPr>
      <w:rPr>
        <w:rFonts w:ascii="Symbol" w:hAnsi="Symbol" w:hint="default"/>
      </w:rPr>
    </w:lvl>
    <w:lvl w:ilvl="7" w:tplc="04180003" w:tentative="1">
      <w:start w:val="1"/>
      <w:numFmt w:val="bullet"/>
      <w:lvlText w:val="o"/>
      <w:lvlJc w:val="left"/>
      <w:pPr>
        <w:ind w:left="7536" w:hanging="360"/>
      </w:pPr>
      <w:rPr>
        <w:rFonts w:ascii="Courier New" w:hAnsi="Courier New" w:cs="Courier New" w:hint="default"/>
      </w:rPr>
    </w:lvl>
    <w:lvl w:ilvl="8" w:tplc="04180005" w:tentative="1">
      <w:start w:val="1"/>
      <w:numFmt w:val="bullet"/>
      <w:lvlText w:val=""/>
      <w:lvlJc w:val="left"/>
      <w:pPr>
        <w:ind w:left="8256" w:hanging="360"/>
      </w:pPr>
      <w:rPr>
        <w:rFonts w:ascii="Wingdings" w:hAnsi="Wingdings" w:hint="default"/>
      </w:rPr>
    </w:lvl>
  </w:abstractNum>
  <w:abstractNum w:abstractNumId="38">
    <w:nsid w:val="645C6C60"/>
    <w:multiLevelType w:val="hybridMultilevel"/>
    <w:tmpl w:val="E3FCFA00"/>
    <w:lvl w:ilvl="0" w:tplc="603EB578">
      <w:start w:val="81"/>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5D90F97"/>
    <w:multiLevelType w:val="multilevel"/>
    <w:tmpl w:val="25465316"/>
    <w:lvl w:ilvl="0">
      <w:start w:val="81"/>
      <w:numFmt w:val="bullet"/>
      <w:lvlText w:val="-"/>
      <w:lvlJc w:val="left"/>
      <w:pPr>
        <w:tabs>
          <w:tab w:val="num" w:pos="1440"/>
        </w:tabs>
        <w:ind w:left="1440" w:hanging="360"/>
      </w:pPr>
      <w:rPr>
        <w:rFonts w:ascii="Arial" w:eastAsia="Times New Roman" w:hAnsi="Arial" w:cs="Arial" w:hint="default"/>
        <w:szCs w:val="24"/>
      </w:rPr>
    </w:lvl>
    <w:lvl w:ilvl="1">
      <w:start w:val="1"/>
      <w:numFmt w:val="bullet"/>
      <w:lvlText w:val=""/>
      <w:lvlJc w:val="left"/>
      <w:pPr>
        <w:tabs>
          <w:tab w:val="num" w:pos="1800"/>
        </w:tabs>
        <w:ind w:left="1800" w:hanging="360"/>
      </w:pPr>
      <w:rPr>
        <w:rFonts w:ascii="Wingdings" w:hAnsi="Wingdings" w:cs="OpenSymbol"/>
        <w:szCs w:val="24"/>
      </w:rPr>
    </w:lvl>
    <w:lvl w:ilvl="2">
      <w:start w:val="1"/>
      <w:numFmt w:val="bullet"/>
      <w:lvlText w:val=""/>
      <w:lvlJc w:val="left"/>
      <w:pPr>
        <w:tabs>
          <w:tab w:val="num" w:pos="2160"/>
        </w:tabs>
        <w:ind w:left="2160" w:hanging="360"/>
      </w:pPr>
      <w:rPr>
        <w:rFonts w:ascii="Wingdings" w:hAnsi="Wingdings" w:cs="OpenSymbol"/>
        <w:szCs w:val="24"/>
      </w:rPr>
    </w:lvl>
    <w:lvl w:ilvl="3">
      <w:start w:val="1"/>
      <w:numFmt w:val="bullet"/>
      <w:lvlText w:val=""/>
      <w:lvlJc w:val="left"/>
      <w:pPr>
        <w:tabs>
          <w:tab w:val="num" w:pos="2520"/>
        </w:tabs>
        <w:ind w:left="2520" w:hanging="360"/>
      </w:pPr>
      <w:rPr>
        <w:rFonts w:ascii="Wingdings" w:hAnsi="Wingdings" w:cs="OpenSymbol"/>
        <w:szCs w:val="24"/>
      </w:rPr>
    </w:lvl>
    <w:lvl w:ilvl="4">
      <w:start w:val="1"/>
      <w:numFmt w:val="bullet"/>
      <w:lvlText w:val=""/>
      <w:lvlJc w:val="left"/>
      <w:pPr>
        <w:tabs>
          <w:tab w:val="num" w:pos="2880"/>
        </w:tabs>
        <w:ind w:left="2880" w:hanging="360"/>
      </w:pPr>
      <w:rPr>
        <w:rFonts w:ascii="Wingdings" w:hAnsi="Wingdings" w:cs="OpenSymbol"/>
        <w:szCs w:val="24"/>
      </w:rPr>
    </w:lvl>
    <w:lvl w:ilvl="5">
      <w:start w:val="1"/>
      <w:numFmt w:val="bullet"/>
      <w:lvlText w:val=""/>
      <w:lvlJc w:val="left"/>
      <w:pPr>
        <w:tabs>
          <w:tab w:val="num" w:pos="3240"/>
        </w:tabs>
        <w:ind w:left="3240" w:hanging="360"/>
      </w:pPr>
      <w:rPr>
        <w:rFonts w:ascii="Wingdings" w:hAnsi="Wingdings" w:cs="OpenSymbol"/>
        <w:szCs w:val="24"/>
      </w:rPr>
    </w:lvl>
    <w:lvl w:ilvl="6">
      <w:start w:val="1"/>
      <w:numFmt w:val="bullet"/>
      <w:lvlText w:val=""/>
      <w:lvlJc w:val="left"/>
      <w:pPr>
        <w:tabs>
          <w:tab w:val="num" w:pos="3600"/>
        </w:tabs>
        <w:ind w:left="3600" w:hanging="360"/>
      </w:pPr>
      <w:rPr>
        <w:rFonts w:ascii="Wingdings" w:hAnsi="Wingdings" w:cs="OpenSymbol"/>
        <w:szCs w:val="24"/>
      </w:rPr>
    </w:lvl>
    <w:lvl w:ilvl="7">
      <w:start w:val="1"/>
      <w:numFmt w:val="bullet"/>
      <w:lvlText w:val=""/>
      <w:lvlJc w:val="left"/>
      <w:pPr>
        <w:tabs>
          <w:tab w:val="num" w:pos="3960"/>
        </w:tabs>
        <w:ind w:left="3960" w:hanging="360"/>
      </w:pPr>
      <w:rPr>
        <w:rFonts w:ascii="Wingdings" w:hAnsi="Wingdings" w:cs="OpenSymbol"/>
        <w:szCs w:val="24"/>
      </w:rPr>
    </w:lvl>
    <w:lvl w:ilvl="8">
      <w:start w:val="1"/>
      <w:numFmt w:val="bullet"/>
      <w:lvlText w:val=""/>
      <w:lvlJc w:val="left"/>
      <w:pPr>
        <w:tabs>
          <w:tab w:val="num" w:pos="4320"/>
        </w:tabs>
        <w:ind w:left="4320" w:hanging="360"/>
      </w:pPr>
      <w:rPr>
        <w:rFonts w:ascii="Wingdings" w:hAnsi="Wingdings" w:cs="OpenSymbol"/>
        <w:szCs w:val="24"/>
      </w:rPr>
    </w:lvl>
  </w:abstractNum>
  <w:abstractNum w:abstractNumId="40">
    <w:nsid w:val="68A13FB4"/>
    <w:multiLevelType w:val="hybridMultilevel"/>
    <w:tmpl w:val="5E38132C"/>
    <w:lvl w:ilvl="0" w:tplc="09D69A02">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E26B94"/>
    <w:multiLevelType w:val="hybridMultilevel"/>
    <w:tmpl w:val="06507F3A"/>
    <w:lvl w:ilvl="0" w:tplc="04180009">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2">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B990FBE"/>
    <w:multiLevelType w:val="hybridMultilevel"/>
    <w:tmpl w:val="F5AC796A"/>
    <w:lvl w:ilvl="0" w:tplc="04180013">
      <w:start w:val="1"/>
      <w:numFmt w:val="upperRoman"/>
      <w:lvlText w:val="%1."/>
      <w:lvlJc w:val="right"/>
      <w:pPr>
        <w:ind w:left="720" w:hanging="360"/>
      </w:pPr>
    </w:lvl>
    <w:lvl w:ilvl="1" w:tplc="69685C0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C1A7F90"/>
    <w:multiLevelType w:val="hybridMultilevel"/>
    <w:tmpl w:val="54F0D104"/>
    <w:lvl w:ilvl="0" w:tplc="04180017">
      <w:start w:val="1"/>
      <w:numFmt w:val="lowerLetter"/>
      <w:lvlText w:val="%1)"/>
      <w:lvlJc w:val="left"/>
      <w:pPr>
        <w:ind w:left="1287" w:hanging="360"/>
      </w:pPr>
    </w:lvl>
    <w:lvl w:ilvl="1" w:tplc="04180019">
      <w:start w:val="1"/>
      <w:numFmt w:val="lowerLetter"/>
      <w:lvlText w:val="%2."/>
      <w:lvlJc w:val="left"/>
      <w:pPr>
        <w:ind w:left="2007" w:hanging="360"/>
      </w:pPr>
    </w:lvl>
    <w:lvl w:ilvl="2" w:tplc="04180009">
      <w:start w:val="1"/>
      <w:numFmt w:val="bullet"/>
      <w:lvlText w:val=""/>
      <w:lvlJc w:val="left"/>
      <w:pPr>
        <w:ind w:left="2907" w:hanging="360"/>
      </w:pPr>
      <w:rPr>
        <w:rFonts w:ascii="Wingdings" w:hAnsi="Wingdings" w:hint="default"/>
        <w:color w:val="auto"/>
        <w:sz w:val="22"/>
      </w:rPr>
    </w:lvl>
    <w:lvl w:ilvl="3" w:tplc="CC0C61D2">
      <w:start w:val="4"/>
      <w:numFmt w:val="decimal"/>
      <w:lvlText w:val="%4."/>
      <w:lvlJc w:val="left"/>
      <w:pPr>
        <w:ind w:left="3447" w:hanging="360"/>
      </w:pPr>
      <w:rPr>
        <w:rFonts w:hint="default"/>
      </w:r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5">
    <w:nsid w:val="6D9E26F0"/>
    <w:multiLevelType w:val="hybridMultilevel"/>
    <w:tmpl w:val="E6B67F00"/>
    <w:lvl w:ilvl="0" w:tplc="09D69A02">
      <w:start w:val="1"/>
      <w:numFmt w:val="bullet"/>
      <w:lvlText w:val="-"/>
      <w:lvlJc w:val="left"/>
      <w:pPr>
        <w:ind w:left="1760" w:hanging="360"/>
      </w:pPr>
      <w:rPr>
        <w:rFonts w:ascii="Arial" w:eastAsia="Times New Roman" w:hAnsi="Arial" w:cs="Arial" w:hint="default"/>
      </w:rPr>
    </w:lvl>
    <w:lvl w:ilvl="1" w:tplc="04180003" w:tentative="1">
      <w:start w:val="1"/>
      <w:numFmt w:val="bullet"/>
      <w:lvlText w:val="o"/>
      <w:lvlJc w:val="left"/>
      <w:pPr>
        <w:ind w:left="2480" w:hanging="360"/>
      </w:pPr>
      <w:rPr>
        <w:rFonts w:ascii="Courier New" w:hAnsi="Courier New" w:cs="Courier New" w:hint="default"/>
      </w:rPr>
    </w:lvl>
    <w:lvl w:ilvl="2" w:tplc="04180005" w:tentative="1">
      <w:start w:val="1"/>
      <w:numFmt w:val="bullet"/>
      <w:lvlText w:val=""/>
      <w:lvlJc w:val="left"/>
      <w:pPr>
        <w:ind w:left="3200" w:hanging="360"/>
      </w:pPr>
      <w:rPr>
        <w:rFonts w:ascii="Wingdings" w:hAnsi="Wingdings" w:hint="default"/>
      </w:rPr>
    </w:lvl>
    <w:lvl w:ilvl="3" w:tplc="04180001" w:tentative="1">
      <w:start w:val="1"/>
      <w:numFmt w:val="bullet"/>
      <w:lvlText w:val=""/>
      <w:lvlJc w:val="left"/>
      <w:pPr>
        <w:ind w:left="3920" w:hanging="360"/>
      </w:pPr>
      <w:rPr>
        <w:rFonts w:ascii="Symbol" w:hAnsi="Symbol" w:hint="default"/>
      </w:rPr>
    </w:lvl>
    <w:lvl w:ilvl="4" w:tplc="04180003" w:tentative="1">
      <w:start w:val="1"/>
      <w:numFmt w:val="bullet"/>
      <w:lvlText w:val="o"/>
      <w:lvlJc w:val="left"/>
      <w:pPr>
        <w:ind w:left="4640" w:hanging="360"/>
      </w:pPr>
      <w:rPr>
        <w:rFonts w:ascii="Courier New" w:hAnsi="Courier New" w:cs="Courier New" w:hint="default"/>
      </w:rPr>
    </w:lvl>
    <w:lvl w:ilvl="5" w:tplc="04180005" w:tentative="1">
      <w:start w:val="1"/>
      <w:numFmt w:val="bullet"/>
      <w:lvlText w:val=""/>
      <w:lvlJc w:val="left"/>
      <w:pPr>
        <w:ind w:left="5360" w:hanging="360"/>
      </w:pPr>
      <w:rPr>
        <w:rFonts w:ascii="Wingdings" w:hAnsi="Wingdings" w:hint="default"/>
      </w:rPr>
    </w:lvl>
    <w:lvl w:ilvl="6" w:tplc="04180001" w:tentative="1">
      <w:start w:val="1"/>
      <w:numFmt w:val="bullet"/>
      <w:lvlText w:val=""/>
      <w:lvlJc w:val="left"/>
      <w:pPr>
        <w:ind w:left="6080" w:hanging="360"/>
      </w:pPr>
      <w:rPr>
        <w:rFonts w:ascii="Symbol" w:hAnsi="Symbol" w:hint="default"/>
      </w:rPr>
    </w:lvl>
    <w:lvl w:ilvl="7" w:tplc="04180003" w:tentative="1">
      <w:start w:val="1"/>
      <w:numFmt w:val="bullet"/>
      <w:lvlText w:val="o"/>
      <w:lvlJc w:val="left"/>
      <w:pPr>
        <w:ind w:left="6800" w:hanging="360"/>
      </w:pPr>
      <w:rPr>
        <w:rFonts w:ascii="Courier New" w:hAnsi="Courier New" w:cs="Courier New" w:hint="default"/>
      </w:rPr>
    </w:lvl>
    <w:lvl w:ilvl="8" w:tplc="04180005" w:tentative="1">
      <w:start w:val="1"/>
      <w:numFmt w:val="bullet"/>
      <w:lvlText w:val=""/>
      <w:lvlJc w:val="left"/>
      <w:pPr>
        <w:ind w:left="7520" w:hanging="360"/>
      </w:pPr>
      <w:rPr>
        <w:rFonts w:ascii="Wingdings" w:hAnsi="Wingdings" w:hint="default"/>
      </w:rPr>
    </w:lvl>
  </w:abstractNum>
  <w:abstractNum w:abstractNumId="46">
    <w:nsid w:val="6FF1415B"/>
    <w:multiLevelType w:val="hybridMultilevel"/>
    <w:tmpl w:val="B9B845FC"/>
    <w:lvl w:ilvl="0" w:tplc="0418000B">
      <w:start w:val="1"/>
      <w:numFmt w:val="bullet"/>
      <w:lvlText w:val=""/>
      <w:lvlJc w:val="left"/>
      <w:pPr>
        <w:ind w:left="1400" w:hanging="360"/>
      </w:pPr>
      <w:rPr>
        <w:rFonts w:ascii="Wingdings" w:hAnsi="Wingdings" w:hint="default"/>
        <w:color w:val="auto"/>
        <w:sz w:val="22"/>
      </w:rPr>
    </w:lvl>
    <w:lvl w:ilvl="1" w:tplc="04180003"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47">
    <w:nsid w:val="70203FF1"/>
    <w:multiLevelType w:val="multilevel"/>
    <w:tmpl w:val="07221670"/>
    <w:lvl w:ilvl="0">
      <w:start w:val="1"/>
      <w:numFmt w:val="bullet"/>
      <w:lvlText w:val=""/>
      <w:lvlJc w:val="left"/>
      <w:pPr>
        <w:tabs>
          <w:tab w:val="num" w:pos="1440"/>
        </w:tabs>
        <w:ind w:left="1440" w:hanging="360"/>
      </w:pPr>
      <w:rPr>
        <w:rFonts w:ascii="Wingdings" w:hAnsi="Wingdings" w:hint="default"/>
        <w:szCs w:val="24"/>
      </w:rPr>
    </w:lvl>
    <w:lvl w:ilvl="1">
      <w:start w:val="1"/>
      <w:numFmt w:val="bullet"/>
      <w:lvlText w:val=""/>
      <w:lvlJc w:val="left"/>
      <w:pPr>
        <w:tabs>
          <w:tab w:val="num" w:pos="1800"/>
        </w:tabs>
        <w:ind w:left="1800" w:hanging="360"/>
      </w:pPr>
      <w:rPr>
        <w:rFonts w:ascii="Wingdings" w:hAnsi="Wingdings" w:cs="OpenSymbol"/>
        <w:szCs w:val="24"/>
      </w:rPr>
    </w:lvl>
    <w:lvl w:ilvl="2">
      <w:start w:val="1"/>
      <w:numFmt w:val="bullet"/>
      <w:lvlText w:val=""/>
      <w:lvlJc w:val="left"/>
      <w:pPr>
        <w:tabs>
          <w:tab w:val="num" w:pos="2160"/>
        </w:tabs>
        <w:ind w:left="2160" w:hanging="360"/>
      </w:pPr>
      <w:rPr>
        <w:rFonts w:ascii="Wingdings" w:hAnsi="Wingdings" w:cs="OpenSymbol"/>
        <w:szCs w:val="24"/>
      </w:rPr>
    </w:lvl>
    <w:lvl w:ilvl="3">
      <w:start w:val="1"/>
      <w:numFmt w:val="bullet"/>
      <w:lvlText w:val=""/>
      <w:lvlJc w:val="left"/>
      <w:pPr>
        <w:tabs>
          <w:tab w:val="num" w:pos="2520"/>
        </w:tabs>
        <w:ind w:left="2520" w:hanging="360"/>
      </w:pPr>
      <w:rPr>
        <w:rFonts w:ascii="Wingdings" w:hAnsi="Wingdings" w:cs="OpenSymbol"/>
        <w:szCs w:val="24"/>
      </w:rPr>
    </w:lvl>
    <w:lvl w:ilvl="4">
      <w:start w:val="1"/>
      <w:numFmt w:val="bullet"/>
      <w:lvlText w:val=""/>
      <w:lvlJc w:val="left"/>
      <w:pPr>
        <w:tabs>
          <w:tab w:val="num" w:pos="2880"/>
        </w:tabs>
        <w:ind w:left="2880" w:hanging="360"/>
      </w:pPr>
      <w:rPr>
        <w:rFonts w:ascii="Wingdings" w:hAnsi="Wingdings" w:cs="OpenSymbol"/>
        <w:szCs w:val="24"/>
      </w:rPr>
    </w:lvl>
    <w:lvl w:ilvl="5">
      <w:start w:val="1"/>
      <w:numFmt w:val="bullet"/>
      <w:lvlText w:val=""/>
      <w:lvlJc w:val="left"/>
      <w:pPr>
        <w:tabs>
          <w:tab w:val="num" w:pos="3240"/>
        </w:tabs>
        <w:ind w:left="3240" w:hanging="360"/>
      </w:pPr>
      <w:rPr>
        <w:rFonts w:ascii="Wingdings" w:hAnsi="Wingdings" w:cs="OpenSymbol"/>
        <w:szCs w:val="24"/>
      </w:rPr>
    </w:lvl>
    <w:lvl w:ilvl="6">
      <w:start w:val="1"/>
      <w:numFmt w:val="bullet"/>
      <w:lvlText w:val=""/>
      <w:lvlJc w:val="left"/>
      <w:pPr>
        <w:tabs>
          <w:tab w:val="num" w:pos="3600"/>
        </w:tabs>
        <w:ind w:left="3600" w:hanging="360"/>
      </w:pPr>
      <w:rPr>
        <w:rFonts w:ascii="Wingdings" w:hAnsi="Wingdings" w:cs="OpenSymbol"/>
        <w:szCs w:val="24"/>
      </w:rPr>
    </w:lvl>
    <w:lvl w:ilvl="7">
      <w:start w:val="1"/>
      <w:numFmt w:val="bullet"/>
      <w:lvlText w:val=""/>
      <w:lvlJc w:val="left"/>
      <w:pPr>
        <w:tabs>
          <w:tab w:val="num" w:pos="3960"/>
        </w:tabs>
        <w:ind w:left="3960" w:hanging="360"/>
      </w:pPr>
      <w:rPr>
        <w:rFonts w:ascii="Wingdings" w:hAnsi="Wingdings" w:cs="OpenSymbol"/>
        <w:szCs w:val="24"/>
      </w:rPr>
    </w:lvl>
    <w:lvl w:ilvl="8">
      <w:start w:val="1"/>
      <w:numFmt w:val="bullet"/>
      <w:lvlText w:val=""/>
      <w:lvlJc w:val="left"/>
      <w:pPr>
        <w:tabs>
          <w:tab w:val="num" w:pos="4320"/>
        </w:tabs>
        <w:ind w:left="4320" w:hanging="360"/>
      </w:pPr>
      <w:rPr>
        <w:rFonts w:ascii="Wingdings" w:hAnsi="Wingdings" w:cs="OpenSymbol"/>
        <w:szCs w:val="24"/>
      </w:rPr>
    </w:lvl>
  </w:abstractNum>
  <w:abstractNum w:abstractNumId="48">
    <w:nsid w:val="712E34EA"/>
    <w:multiLevelType w:val="hybridMultilevel"/>
    <w:tmpl w:val="F2D204A4"/>
    <w:lvl w:ilvl="0" w:tplc="62D87C26">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9">
    <w:nsid w:val="74DC5F61"/>
    <w:multiLevelType w:val="hybridMultilevel"/>
    <w:tmpl w:val="E6A2614E"/>
    <w:lvl w:ilvl="0" w:tplc="09D69A02">
      <w:start w:val="1"/>
      <w:numFmt w:val="bullet"/>
      <w:lvlText w:val="-"/>
      <w:lvlJc w:val="left"/>
      <w:pPr>
        <w:ind w:left="858" w:hanging="360"/>
      </w:pPr>
      <w:rPr>
        <w:rFonts w:ascii="Arial" w:eastAsia="Times New Roman" w:hAnsi="Arial" w:cs="Arial" w:hint="default"/>
      </w:rPr>
    </w:lvl>
    <w:lvl w:ilvl="1" w:tplc="04180003" w:tentative="1">
      <w:start w:val="1"/>
      <w:numFmt w:val="bullet"/>
      <w:lvlText w:val="o"/>
      <w:lvlJc w:val="left"/>
      <w:pPr>
        <w:ind w:left="1578" w:hanging="360"/>
      </w:pPr>
      <w:rPr>
        <w:rFonts w:ascii="Courier New" w:hAnsi="Courier New" w:cs="Courier New" w:hint="default"/>
      </w:rPr>
    </w:lvl>
    <w:lvl w:ilvl="2" w:tplc="04180005" w:tentative="1">
      <w:start w:val="1"/>
      <w:numFmt w:val="bullet"/>
      <w:lvlText w:val=""/>
      <w:lvlJc w:val="left"/>
      <w:pPr>
        <w:ind w:left="2298" w:hanging="360"/>
      </w:pPr>
      <w:rPr>
        <w:rFonts w:ascii="Wingdings" w:hAnsi="Wingdings" w:hint="default"/>
      </w:rPr>
    </w:lvl>
    <w:lvl w:ilvl="3" w:tplc="04180001" w:tentative="1">
      <w:start w:val="1"/>
      <w:numFmt w:val="bullet"/>
      <w:lvlText w:val=""/>
      <w:lvlJc w:val="left"/>
      <w:pPr>
        <w:ind w:left="3018" w:hanging="360"/>
      </w:pPr>
      <w:rPr>
        <w:rFonts w:ascii="Symbol" w:hAnsi="Symbol" w:hint="default"/>
      </w:rPr>
    </w:lvl>
    <w:lvl w:ilvl="4" w:tplc="04180003" w:tentative="1">
      <w:start w:val="1"/>
      <w:numFmt w:val="bullet"/>
      <w:lvlText w:val="o"/>
      <w:lvlJc w:val="left"/>
      <w:pPr>
        <w:ind w:left="3738" w:hanging="360"/>
      </w:pPr>
      <w:rPr>
        <w:rFonts w:ascii="Courier New" w:hAnsi="Courier New" w:cs="Courier New" w:hint="default"/>
      </w:rPr>
    </w:lvl>
    <w:lvl w:ilvl="5" w:tplc="04180005" w:tentative="1">
      <w:start w:val="1"/>
      <w:numFmt w:val="bullet"/>
      <w:lvlText w:val=""/>
      <w:lvlJc w:val="left"/>
      <w:pPr>
        <w:ind w:left="4458" w:hanging="360"/>
      </w:pPr>
      <w:rPr>
        <w:rFonts w:ascii="Wingdings" w:hAnsi="Wingdings" w:hint="default"/>
      </w:rPr>
    </w:lvl>
    <w:lvl w:ilvl="6" w:tplc="04180001" w:tentative="1">
      <w:start w:val="1"/>
      <w:numFmt w:val="bullet"/>
      <w:lvlText w:val=""/>
      <w:lvlJc w:val="left"/>
      <w:pPr>
        <w:ind w:left="5178" w:hanging="360"/>
      </w:pPr>
      <w:rPr>
        <w:rFonts w:ascii="Symbol" w:hAnsi="Symbol" w:hint="default"/>
      </w:rPr>
    </w:lvl>
    <w:lvl w:ilvl="7" w:tplc="04180003" w:tentative="1">
      <w:start w:val="1"/>
      <w:numFmt w:val="bullet"/>
      <w:lvlText w:val="o"/>
      <w:lvlJc w:val="left"/>
      <w:pPr>
        <w:ind w:left="5898" w:hanging="360"/>
      </w:pPr>
      <w:rPr>
        <w:rFonts w:ascii="Courier New" w:hAnsi="Courier New" w:cs="Courier New" w:hint="default"/>
      </w:rPr>
    </w:lvl>
    <w:lvl w:ilvl="8" w:tplc="04180005" w:tentative="1">
      <w:start w:val="1"/>
      <w:numFmt w:val="bullet"/>
      <w:lvlText w:val=""/>
      <w:lvlJc w:val="left"/>
      <w:pPr>
        <w:ind w:left="6618" w:hanging="360"/>
      </w:pPr>
      <w:rPr>
        <w:rFonts w:ascii="Wingdings" w:hAnsi="Wingdings" w:hint="default"/>
      </w:rPr>
    </w:lvl>
  </w:abstractNum>
  <w:abstractNum w:abstractNumId="50">
    <w:nsid w:val="796C00BF"/>
    <w:multiLevelType w:val="hybridMultilevel"/>
    <w:tmpl w:val="D6784B8A"/>
    <w:lvl w:ilvl="0" w:tplc="0418000D">
      <w:start w:val="1"/>
      <w:numFmt w:val="bullet"/>
      <w:lvlText w:val=""/>
      <w:lvlJc w:val="left"/>
      <w:pPr>
        <w:ind w:left="2120" w:hanging="360"/>
      </w:pPr>
      <w:rPr>
        <w:rFonts w:ascii="Wingdings" w:hAnsi="Wingdings" w:hint="default"/>
      </w:rPr>
    </w:lvl>
    <w:lvl w:ilvl="1" w:tplc="DF30B266">
      <w:numFmt w:val="bullet"/>
      <w:lvlText w:val="-"/>
      <w:lvlJc w:val="left"/>
      <w:pPr>
        <w:ind w:left="2840" w:hanging="360"/>
      </w:pPr>
      <w:rPr>
        <w:rFonts w:ascii="Arial" w:eastAsiaTheme="minorHAnsi" w:hAnsi="Arial" w:cs="Arial" w:hint="default"/>
      </w:rPr>
    </w:lvl>
    <w:lvl w:ilvl="2" w:tplc="04180005" w:tentative="1">
      <w:start w:val="1"/>
      <w:numFmt w:val="bullet"/>
      <w:lvlText w:val=""/>
      <w:lvlJc w:val="left"/>
      <w:pPr>
        <w:ind w:left="3560" w:hanging="360"/>
      </w:pPr>
      <w:rPr>
        <w:rFonts w:ascii="Wingdings" w:hAnsi="Wingdings" w:hint="default"/>
      </w:rPr>
    </w:lvl>
    <w:lvl w:ilvl="3" w:tplc="04180001" w:tentative="1">
      <w:start w:val="1"/>
      <w:numFmt w:val="bullet"/>
      <w:lvlText w:val=""/>
      <w:lvlJc w:val="left"/>
      <w:pPr>
        <w:ind w:left="4280" w:hanging="360"/>
      </w:pPr>
      <w:rPr>
        <w:rFonts w:ascii="Symbol" w:hAnsi="Symbol" w:hint="default"/>
      </w:rPr>
    </w:lvl>
    <w:lvl w:ilvl="4" w:tplc="04180003" w:tentative="1">
      <w:start w:val="1"/>
      <w:numFmt w:val="bullet"/>
      <w:lvlText w:val="o"/>
      <w:lvlJc w:val="left"/>
      <w:pPr>
        <w:ind w:left="5000" w:hanging="360"/>
      </w:pPr>
      <w:rPr>
        <w:rFonts w:ascii="Courier New" w:hAnsi="Courier New" w:cs="Courier New" w:hint="default"/>
      </w:rPr>
    </w:lvl>
    <w:lvl w:ilvl="5" w:tplc="04180005" w:tentative="1">
      <w:start w:val="1"/>
      <w:numFmt w:val="bullet"/>
      <w:lvlText w:val=""/>
      <w:lvlJc w:val="left"/>
      <w:pPr>
        <w:ind w:left="5720" w:hanging="360"/>
      </w:pPr>
      <w:rPr>
        <w:rFonts w:ascii="Wingdings" w:hAnsi="Wingdings" w:hint="default"/>
      </w:rPr>
    </w:lvl>
    <w:lvl w:ilvl="6" w:tplc="04180001" w:tentative="1">
      <w:start w:val="1"/>
      <w:numFmt w:val="bullet"/>
      <w:lvlText w:val=""/>
      <w:lvlJc w:val="left"/>
      <w:pPr>
        <w:ind w:left="6440" w:hanging="360"/>
      </w:pPr>
      <w:rPr>
        <w:rFonts w:ascii="Symbol" w:hAnsi="Symbol" w:hint="default"/>
      </w:rPr>
    </w:lvl>
    <w:lvl w:ilvl="7" w:tplc="04180003" w:tentative="1">
      <w:start w:val="1"/>
      <w:numFmt w:val="bullet"/>
      <w:lvlText w:val="o"/>
      <w:lvlJc w:val="left"/>
      <w:pPr>
        <w:ind w:left="7160" w:hanging="360"/>
      </w:pPr>
      <w:rPr>
        <w:rFonts w:ascii="Courier New" w:hAnsi="Courier New" w:cs="Courier New" w:hint="default"/>
      </w:rPr>
    </w:lvl>
    <w:lvl w:ilvl="8" w:tplc="04180005" w:tentative="1">
      <w:start w:val="1"/>
      <w:numFmt w:val="bullet"/>
      <w:lvlText w:val=""/>
      <w:lvlJc w:val="left"/>
      <w:pPr>
        <w:ind w:left="7880" w:hanging="360"/>
      </w:pPr>
      <w:rPr>
        <w:rFonts w:ascii="Wingdings" w:hAnsi="Wingdings" w:hint="default"/>
      </w:rPr>
    </w:lvl>
  </w:abstractNum>
  <w:abstractNum w:abstractNumId="51">
    <w:nsid w:val="7AAD0054"/>
    <w:multiLevelType w:val="hybridMultilevel"/>
    <w:tmpl w:val="7D8014CC"/>
    <w:lvl w:ilvl="0" w:tplc="04180009">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43"/>
  </w:num>
  <w:num w:numId="2">
    <w:abstractNumId w:val="44"/>
  </w:num>
  <w:num w:numId="3">
    <w:abstractNumId w:val="42"/>
  </w:num>
  <w:num w:numId="4">
    <w:abstractNumId w:val="6"/>
  </w:num>
  <w:num w:numId="5">
    <w:abstractNumId w:val="47"/>
  </w:num>
  <w:num w:numId="6">
    <w:abstractNumId w:val="38"/>
  </w:num>
  <w:num w:numId="7">
    <w:abstractNumId w:val="32"/>
  </w:num>
  <w:num w:numId="8">
    <w:abstractNumId w:val="41"/>
  </w:num>
  <w:num w:numId="9">
    <w:abstractNumId w:val="24"/>
  </w:num>
  <w:num w:numId="10">
    <w:abstractNumId w:val="36"/>
  </w:num>
  <w:num w:numId="11">
    <w:abstractNumId w:val="51"/>
  </w:num>
  <w:num w:numId="12">
    <w:abstractNumId w:val="21"/>
  </w:num>
  <w:num w:numId="13">
    <w:abstractNumId w:val="39"/>
  </w:num>
  <w:num w:numId="14">
    <w:abstractNumId w:val="46"/>
  </w:num>
  <w:num w:numId="15">
    <w:abstractNumId w:val="16"/>
  </w:num>
  <w:num w:numId="16">
    <w:abstractNumId w:val="18"/>
  </w:num>
  <w:num w:numId="17">
    <w:abstractNumId w:val="4"/>
  </w:num>
  <w:num w:numId="18">
    <w:abstractNumId w:val="20"/>
  </w:num>
  <w:num w:numId="19">
    <w:abstractNumId w:val="37"/>
  </w:num>
  <w:num w:numId="20">
    <w:abstractNumId w:val="50"/>
  </w:num>
  <w:num w:numId="21">
    <w:abstractNumId w:val="31"/>
  </w:num>
  <w:num w:numId="22">
    <w:abstractNumId w:val="9"/>
  </w:num>
  <w:num w:numId="23">
    <w:abstractNumId w:val="34"/>
  </w:num>
  <w:num w:numId="24">
    <w:abstractNumId w:val="3"/>
  </w:num>
  <w:num w:numId="25">
    <w:abstractNumId w:val="29"/>
  </w:num>
  <w:num w:numId="26">
    <w:abstractNumId w:val="22"/>
  </w:num>
  <w:num w:numId="27">
    <w:abstractNumId w:val="11"/>
  </w:num>
  <w:num w:numId="28">
    <w:abstractNumId w:val="28"/>
  </w:num>
  <w:num w:numId="29">
    <w:abstractNumId w:val="48"/>
  </w:num>
  <w:num w:numId="30">
    <w:abstractNumId w:val="13"/>
  </w:num>
  <w:num w:numId="31">
    <w:abstractNumId w:val="25"/>
  </w:num>
  <w:num w:numId="32">
    <w:abstractNumId w:val="30"/>
  </w:num>
  <w:num w:numId="33">
    <w:abstractNumId w:val="49"/>
  </w:num>
  <w:num w:numId="34">
    <w:abstractNumId w:val="26"/>
  </w:num>
  <w:num w:numId="35">
    <w:abstractNumId w:val="23"/>
  </w:num>
  <w:num w:numId="36">
    <w:abstractNumId w:val="33"/>
  </w:num>
  <w:num w:numId="37">
    <w:abstractNumId w:val="15"/>
  </w:num>
  <w:num w:numId="38">
    <w:abstractNumId w:val="19"/>
  </w:num>
  <w:num w:numId="39">
    <w:abstractNumId w:val="17"/>
  </w:num>
  <w:num w:numId="40">
    <w:abstractNumId w:val="5"/>
  </w:num>
  <w:num w:numId="41">
    <w:abstractNumId w:val="10"/>
  </w:num>
  <w:num w:numId="42">
    <w:abstractNumId w:val="40"/>
  </w:num>
  <w:num w:numId="43">
    <w:abstractNumId w:val="12"/>
  </w:num>
  <w:num w:numId="44">
    <w:abstractNumId w:val="8"/>
  </w:num>
  <w:num w:numId="45">
    <w:abstractNumId w:val="35"/>
  </w:num>
  <w:num w:numId="46">
    <w:abstractNumId w:val="45"/>
  </w:num>
  <w:num w:numId="47">
    <w:abstractNumId w:val="7"/>
  </w:num>
  <w:num w:numId="48">
    <w:abstractNumId w:val="27"/>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4"/>
    <w:rsid w:val="00000B46"/>
    <w:rsid w:val="00004284"/>
    <w:rsid w:val="00006DDD"/>
    <w:rsid w:val="00006FE6"/>
    <w:rsid w:val="0002178B"/>
    <w:rsid w:val="00041F1F"/>
    <w:rsid w:val="00041FC6"/>
    <w:rsid w:val="0005391F"/>
    <w:rsid w:val="00060926"/>
    <w:rsid w:val="00060B8F"/>
    <w:rsid w:val="000651AF"/>
    <w:rsid w:val="0006566D"/>
    <w:rsid w:val="00065E24"/>
    <w:rsid w:val="00065F94"/>
    <w:rsid w:val="00066A53"/>
    <w:rsid w:val="00072D0B"/>
    <w:rsid w:val="00082A16"/>
    <w:rsid w:val="00083123"/>
    <w:rsid w:val="000875A8"/>
    <w:rsid w:val="000A187F"/>
    <w:rsid w:val="000A467F"/>
    <w:rsid w:val="000B0BE3"/>
    <w:rsid w:val="000B4020"/>
    <w:rsid w:val="000B6552"/>
    <w:rsid w:val="000C0D1E"/>
    <w:rsid w:val="000C50E2"/>
    <w:rsid w:val="000D2C11"/>
    <w:rsid w:val="000D37E6"/>
    <w:rsid w:val="000D46FB"/>
    <w:rsid w:val="000D4824"/>
    <w:rsid w:val="000F1076"/>
    <w:rsid w:val="000F490F"/>
    <w:rsid w:val="00103FD9"/>
    <w:rsid w:val="00105A75"/>
    <w:rsid w:val="001069C2"/>
    <w:rsid w:val="0013047C"/>
    <w:rsid w:val="00135155"/>
    <w:rsid w:val="00144AEE"/>
    <w:rsid w:val="001465BE"/>
    <w:rsid w:val="00147BBC"/>
    <w:rsid w:val="00152A7A"/>
    <w:rsid w:val="001539BB"/>
    <w:rsid w:val="00154D8A"/>
    <w:rsid w:val="00155877"/>
    <w:rsid w:val="00155F43"/>
    <w:rsid w:val="001678F2"/>
    <w:rsid w:val="00170CA1"/>
    <w:rsid w:val="00174F48"/>
    <w:rsid w:val="0017578C"/>
    <w:rsid w:val="00176922"/>
    <w:rsid w:val="00180D48"/>
    <w:rsid w:val="00183827"/>
    <w:rsid w:val="001854D7"/>
    <w:rsid w:val="00191D8D"/>
    <w:rsid w:val="00196744"/>
    <w:rsid w:val="00197AF4"/>
    <w:rsid w:val="001A1773"/>
    <w:rsid w:val="001B0710"/>
    <w:rsid w:val="001B7BED"/>
    <w:rsid w:val="001C550F"/>
    <w:rsid w:val="001C7589"/>
    <w:rsid w:val="001D00F4"/>
    <w:rsid w:val="001D0E4D"/>
    <w:rsid w:val="001D1F40"/>
    <w:rsid w:val="001D6AFE"/>
    <w:rsid w:val="001E0833"/>
    <w:rsid w:val="001E1FAC"/>
    <w:rsid w:val="001E319D"/>
    <w:rsid w:val="001E31E7"/>
    <w:rsid w:val="001F084B"/>
    <w:rsid w:val="001F1551"/>
    <w:rsid w:val="001F2287"/>
    <w:rsid w:val="001F31C5"/>
    <w:rsid w:val="001F321D"/>
    <w:rsid w:val="001F3C47"/>
    <w:rsid w:val="00203737"/>
    <w:rsid w:val="0022310F"/>
    <w:rsid w:val="00223FB5"/>
    <w:rsid w:val="0022798C"/>
    <w:rsid w:val="00232B17"/>
    <w:rsid w:val="00232B3C"/>
    <w:rsid w:val="002345FB"/>
    <w:rsid w:val="002370C1"/>
    <w:rsid w:val="00240A85"/>
    <w:rsid w:val="00241EAF"/>
    <w:rsid w:val="00243CA2"/>
    <w:rsid w:val="00247C20"/>
    <w:rsid w:val="00252971"/>
    <w:rsid w:val="00252A5C"/>
    <w:rsid w:val="002548C2"/>
    <w:rsid w:val="00255C16"/>
    <w:rsid w:val="00262D00"/>
    <w:rsid w:val="00267B7C"/>
    <w:rsid w:val="00281576"/>
    <w:rsid w:val="0028202A"/>
    <w:rsid w:val="002833B0"/>
    <w:rsid w:val="00287682"/>
    <w:rsid w:val="002906CC"/>
    <w:rsid w:val="0029235E"/>
    <w:rsid w:val="0029705B"/>
    <w:rsid w:val="002A09CE"/>
    <w:rsid w:val="002A0B6B"/>
    <w:rsid w:val="002C20D1"/>
    <w:rsid w:val="002C4907"/>
    <w:rsid w:val="002C4AF9"/>
    <w:rsid w:val="002C5421"/>
    <w:rsid w:val="002C59D7"/>
    <w:rsid w:val="002C7092"/>
    <w:rsid w:val="002C735C"/>
    <w:rsid w:val="002E037D"/>
    <w:rsid w:val="002E7CD9"/>
    <w:rsid w:val="002F6658"/>
    <w:rsid w:val="002F6A9D"/>
    <w:rsid w:val="003058A8"/>
    <w:rsid w:val="00307398"/>
    <w:rsid w:val="00310CE6"/>
    <w:rsid w:val="00314A7F"/>
    <w:rsid w:val="003349C9"/>
    <w:rsid w:val="003377E8"/>
    <w:rsid w:val="00342188"/>
    <w:rsid w:val="00344803"/>
    <w:rsid w:val="0034492A"/>
    <w:rsid w:val="00346FFE"/>
    <w:rsid w:val="00352140"/>
    <w:rsid w:val="003559AB"/>
    <w:rsid w:val="00355DAA"/>
    <w:rsid w:val="0038426B"/>
    <w:rsid w:val="0038491E"/>
    <w:rsid w:val="00384D95"/>
    <w:rsid w:val="00386E53"/>
    <w:rsid w:val="003939C7"/>
    <w:rsid w:val="00395F32"/>
    <w:rsid w:val="00396FCE"/>
    <w:rsid w:val="003A0173"/>
    <w:rsid w:val="003A4653"/>
    <w:rsid w:val="003A4DF3"/>
    <w:rsid w:val="003B0A83"/>
    <w:rsid w:val="003B21F0"/>
    <w:rsid w:val="003B2CDF"/>
    <w:rsid w:val="003B4BED"/>
    <w:rsid w:val="003B4EA0"/>
    <w:rsid w:val="003B531C"/>
    <w:rsid w:val="003C2245"/>
    <w:rsid w:val="003C2741"/>
    <w:rsid w:val="003C3D89"/>
    <w:rsid w:val="003C6EA0"/>
    <w:rsid w:val="003D0192"/>
    <w:rsid w:val="003D3922"/>
    <w:rsid w:val="003D547F"/>
    <w:rsid w:val="003E4D3E"/>
    <w:rsid w:val="003E5124"/>
    <w:rsid w:val="003E54CD"/>
    <w:rsid w:val="003E5810"/>
    <w:rsid w:val="003E5F89"/>
    <w:rsid w:val="003F52E7"/>
    <w:rsid w:val="00406434"/>
    <w:rsid w:val="00406F25"/>
    <w:rsid w:val="00410C9F"/>
    <w:rsid w:val="00423DE6"/>
    <w:rsid w:val="0044034D"/>
    <w:rsid w:val="004403C4"/>
    <w:rsid w:val="00441939"/>
    <w:rsid w:val="00446370"/>
    <w:rsid w:val="00446691"/>
    <w:rsid w:val="00446D9C"/>
    <w:rsid w:val="00450537"/>
    <w:rsid w:val="0045273D"/>
    <w:rsid w:val="0046391D"/>
    <w:rsid w:val="004643B9"/>
    <w:rsid w:val="00467C3F"/>
    <w:rsid w:val="0047248B"/>
    <w:rsid w:val="0047574B"/>
    <w:rsid w:val="0047638C"/>
    <w:rsid w:val="00483010"/>
    <w:rsid w:val="00493544"/>
    <w:rsid w:val="00493E89"/>
    <w:rsid w:val="004A08DA"/>
    <w:rsid w:val="004A0EFF"/>
    <w:rsid w:val="004A3C3B"/>
    <w:rsid w:val="004A771A"/>
    <w:rsid w:val="004B06D1"/>
    <w:rsid w:val="004B1BA4"/>
    <w:rsid w:val="004C393E"/>
    <w:rsid w:val="004D3BAE"/>
    <w:rsid w:val="004D5CE1"/>
    <w:rsid w:val="004E2452"/>
    <w:rsid w:val="004E406D"/>
    <w:rsid w:val="004F494F"/>
    <w:rsid w:val="00500555"/>
    <w:rsid w:val="0050101A"/>
    <w:rsid w:val="00503B0B"/>
    <w:rsid w:val="005125A1"/>
    <w:rsid w:val="00525D24"/>
    <w:rsid w:val="005275F7"/>
    <w:rsid w:val="00531D75"/>
    <w:rsid w:val="00531E2B"/>
    <w:rsid w:val="00532478"/>
    <w:rsid w:val="00532C95"/>
    <w:rsid w:val="005364D7"/>
    <w:rsid w:val="00540A55"/>
    <w:rsid w:val="00542CC9"/>
    <w:rsid w:val="0055194F"/>
    <w:rsid w:val="00553F89"/>
    <w:rsid w:val="00553FEF"/>
    <w:rsid w:val="0056154D"/>
    <w:rsid w:val="0056394B"/>
    <w:rsid w:val="005663C4"/>
    <w:rsid w:val="00570371"/>
    <w:rsid w:val="00572238"/>
    <w:rsid w:val="0057610D"/>
    <w:rsid w:val="005838E1"/>
    <w:rsid w:val="00584125"/>
    <w:rsid w:val="00593732"/>
    <w:rsid w:val="00593AD9"/>
    <w:rsid w:val="00593BF0"/>
    <w:rsid w:val="00593EBF"/>
    <w:rsid w:val="005A1564"/>
    <w:rsid w:val="005B6AC1"/>
    <w:rsid w:val="005C0BC2"/>
    <w:rsid w:val="005C110D"/>
    <w:rsid w:val="005C1C87"/>
    <w:rsid w:val="005C6217"/>
    <w:rsid w:val="005D1DFE"/>
    <w:rsid w:val="005D50AA"/>
    <w:rsid w:val="005D7882"/>
    <w:rsid w:val="005D7EDA"/>
    <w:rsid w:val="005E1CA4"/>
    <w:rsid w:val="00601209"/>
    <w:rsid w:val="00601CFD"/>
    <w:rsid w:val="00603266"/>
    <w:rsid w:val="006155BE"/>
    <w:rsid w:val="00625C55"/>
    <w:rsid w:val="006305B7"/>
    <w:rsid w:val="00640213"/>
    <w:rsid w:val="006407D7"/>
    <w:rsid w:val="00642CE8"/>
    <w:rsid w:val="00652CF8"/>
    <w:rsid w:val="0066026C"/>
    <w:rsid w:val="006662DC"/>
    <w:rsid w:val="00666AAF"/>
    <w:rsid w:val="00684CFD"/>
    <w:rsid w:val="006877BA"/>
    <w:rsid w:val="00690D36"/>
    <w:rsid w:val="00691938"/>
    <w:rsid w:val="006A1B46"/>
    <w:rsid w:val="006A31C3"/>
    <w:rsid w:val="006B1124"/>
    <w:rsid w:val="006B3FB0"/>
    <w:rsid w:val="006B43C4"/>
    <w:rsid w:val="006C1E1F"/>
    <w:rsid w:val="006D4230"/>
    <w:rsid w:val="006D599B"/>
    <w:rsid w:val="006D6E71"/>
    <w:rsid w:val="006E4607"/>
    <w:rsid w:val="006E5C9D"/>
    <w:rsid w:val="006E60E3"/>
    <w:rsid w:val="006E6C8A"/>
    <w:rsid w:val="006F1516"/>
    <w:rsid w:val="006F3E60"/>
    <w:rsid w:val="006F4BE5"/>
    <w:rsid w:val="006F6943"/>
    <w:rsid w:val="00704D34"/>
    <w:rsid w:val="007111AF"/>
    <w:rsid w:val="00711E39"/>
    <w:rsid w:val="00714936"/>
    <w:rsid w:val="007167DE"/>
    <w:rsid w:val="007207DF"/>
    <w:rsid w:val="007350FB"/>
    <w:rsid w:val="00736262"/>
    <w:rsid w:val="0074137E"/>
    <w:rsid w:val="00741CC2"/>
    <w:rsid w:val="00743B20"/>
    <w:rsid w:val="007476A4"/>
    <w:rsid w:val="00752570"/>
    <w:rsid w:val="007530B8"/>
    <w:rsid w:val="007577B2"/>
    <w:rsid w:val="007679CE"/>
    <w:rsid w:val="00770409"/>
    <w:rsid w:val="007747E1"/>
    <w:rsid w:val="0077567F"/>
    <w:rsid w:val="00782D90"/>
    <w:rsid w:val="007839F1"/>
    <w:rsid w:val="00786028"/>
    <w:rsid w:val="00796829"/>
    <w:rsid w:val="007A127B"/>
    <w:rsid w:val="007A2B25"/>
    <w:rsid w:val="007A351E"/>
    <w:rsid w:val="007B0021"/>
    <w:rsid w:val="007B1A18"/>
    <w:rsid w:val="007B4E33"/>
    <w:rsid w:val="007B7DE2"/>
    <w:rsid w:val="007C0390"/>
    <w:rsid w:val="007C4F03"/>
    <w:rsid w:val="007C6588"/>
    <w:rsid w:val="007D65E1"/>
    <w:rsid w:val="007E04FF"/>
    <w:rsid w:val="007E5C0F"/>
    <w:rsid w:val="007E60D5"/>
    <w:rsid w:val="007F4DCB"/>
    <w:rsid w:val="007F5818"/>
    <w:rsid w:val="007F7878"/>
    <w:rsid w:val="00807335"/>
    <w:rsid w:val="008202F3"/>
    <w:rsid w:val="0082412C"/>
    <w:rsid w:val="00824400"/>
    <w:rsid w:val="00827AEF"/>
    <w:rsid w:val="00830F0D"/>
    <w:rsid w:val="008412C1"/>
    <w:rsid w:val="00847368"/>
    <w:rsid w:val="00857E54"/>
    <w:rsid w:val="008643B0"/>
    <w:rsid w:val="0086691C"/>
    <w:rsid w:val="008671A9"/>
    <w:rsid w:val="008710E6"/>
    <w:rsid w:val="008765E8"/>
    <w:rsid w:val="008807C7"/>
    <w:rsid w:val="0088572D"/>
    <w:rsid w:val="008863DB"/>
    <w:rsid w:val="0088641E"/>
    <w:rsid w:val="00896646"/>
    <w:rsid w:val="008A09B8"/>
    <w:rsid w:val="008A3A90"/>
    <w:rsid w:val="008A5038"/>
    <w:rsid w:val="008A65A5"/>
    <w:rsid w:val="008A700D"/>
    <w:rsid w:val="008B3560"/>
    <w:rsid w:val="008B41F6"/>
    <w:rsid w:val="008B4FEA"/>
    <w:rsid w:val="008B509B"/>
    <w:rsid w:val="008B5F61"/>
    <w:rsid w:val="008B66B3"/>
    <w:rsid w:val="008C70D1"/>
    <w:rsid w:val="008D3109"/>
    <w:rsid w:val="008D4FE6"/>
    <w:rsid w:val="008D6F4B"/>
    <w:rsid w:val="008E3EC0"/>
    <w:rsid w:val="008E4B1D"/>
    <w:rsid w:val="008F3967"/>
    <w:rsid w:val="008F7BBB"/>
    <w:rsid w:val="009015CD"/>
    <w:rsid w:val="009063D5"/>
    <w:rsid w:val="00906A7E"/>
    <w:rsid w:val="009124C0"/>
    <w:rsid w:val="009125DC"/>
    <w:rsid w:val="0091264D"/>
    <w:rsid w:val="0091356D"/>
    <w:rsid w:val="009168ED"/>
    <w:rsid w:val="00927413"/>
    <w:rsid w:val="009306D3"/>
    <w:rsid w:val="009364F0"/>
    <w:rsid w:val="00937CD4"/>
    <w:rsid w:val="00940BDB"/>
    <w:rsid w:val="009414F6"/>
    <w:rsid w:val="00945CDE"/>
    <w:rsid w:val="00950E71"/>
    <w:rsid w:val="0095144E"/>
    <w:rsid w:val="00953D2F"/>
    <w:rsid w:val="0095421F"/>
    <w:rsid w:val="009550A2"/>
    <w:rsid w:val="009563D4"/>
    <w:rsid w:val="00956912"/>
    <w:rsid w:val="00966841"/>
    <w:rsid w:val="00966F56"/>
    <w:rsid w:val="00967BE6"/>
    <w:rsid w:val="00967C0E"/>
    <w:rsid w:val="00967D74"/>
    <w:rsid w:val="00967F17"/>
    <w:rsid w:val="00970F67"/>
    <w:rsid w:val="009727CF"/>
    <w:rsid w:val="0097351C"/>
    <w:rsid w:val="0097454A"/>
    <w:rsid w:val="00974E1A"/>
    <w:rsid w:val="009754AE"/>
    <w:rsid w:val="009774BD"/>
    <w:rsid w:val="009778A4"/>
    <w:rsid w:val="009815B7"/>
    <w:rsid w:val="00987A6E"/>
    <w:rsid w:val="00992663"/>
    <w:rsid w:val="00994357"/>
    <w:rsid w:val="009A0BD2"/>
    <w:rsid w:val="009A5AAA"/>
    <w:rsid w:val="009C2A3D"/>
    <w:rsid w:val="009C6832"/>
    <w:rsid w:val="009D0987"/>
    <w:rsid w:val="009D12F9"/>
    <w:rsid w:val="009D6D45"/>
    <w:rsid w:val="009E25E4"/>
    <w:rsid w:val="009E3601"/>
    <w:rsid w:val="009E565A"/>
    <w:rsid w:val="009F4875"/>
    <w:rsid w:val="009F540F"/>
    <w:rsid w:val="009F58DB"/>
    <w:rsid w:val="009F5991"/>
    <w:rsid w:val="00A04D92"/>
    <w:rsid w:val="00A04E91"/>
    <w:rsid w:val="00A052E0"/>
    <w:rsid w:val="00A103CF"/>
    <w:rsid w:val="00A139E7"/>
    <w:rsid w:val="00A13D67"/>
    <w:rsid w:val="00A16A2C"/>
    <w:rsid w:val="00A218DA"/>
    <w:rsid w:val="00A249D5"/>
    <w:rsid w:val="00A26E1A"/>
    <w:rsid w:val="00A344D2"/>
    <w:rsid w:val="00A34C4D"/>
    <w:rsid w:val="00A442C4"/>
    <w:rsid w:val="00A575FB"/>
    <w:rsid w:val="00A627FC"/>
    <w:rsid w:val="00A62D1E"/>
    <w:rsid w:val="00A63A72"/>
    <w:rsid w:val="00A84AAE"/>
    <w:rsid w:val="00A86D78"/>
    <w:rsid w:val="00A90B77"/>
    <w:rsid w:val="00A92000"/>
    <w:rsid w:val="00A9347D"/>
    <w:rsid w:val="00A9353E"/>
    <w:rsid w:val="00A9590F"/>
    <w:rsid w:val="00A95C7E"/>
    <w:rsid w:val="00AA1EED"/>
    <w:rsid w:val="00AA3311"/>
    <w:rsid w:val="00AB37A9"/>
    <w:rsid w:val="00AB659D"/>
    <w:rsid w:val="00AC2F73"/>
    <w:rsid w:val="00AC4B34"/>
    <w:rsid w:val="00AD228D"/>
    <w:rsid w:val="00AD6713"/>
    <w:rsid w:val="00AD76A1"/>
    <w:rsid w:val="00AE1944"/>
    <w:rsid w:val="00AE3CDA"/>
    <w:rsid w:val="00AE4A80"/>
    <w:rsid w:val="00AF5CFF"/>
    <w:rsid w:val="00AF7D33"/>
    <w:rsid w:val="00B008D3"/>
    <w:rsid w:val="00B04F04"/>
    <w:rsid w:val="00B07B31"/>
    <w:rsid w:val="00B148E5"/>
    <w:rsid w:val="00B16822"/>
    <w:rsid w:val="00B21A9C"/>
    <w:rsid w:val="00B435CF"/>
    <w:rsid w:val="00B450D8"/>
    <w:rsid w:val="00B53BB3"/>
    <w:rsid w:val="00B56A27"/>
    <w:rsid w:val="00B573EC"/>
    <w:rsid w:val="00B6374D"/>
    <w:rsid w:val="00B647C8"/>
    <w:rsid w:val="00B65E35"/>
    <w:rsid w:val="00B7596C"/>
    <w:rsid w:val="00B76DC7"/>
    <w:rsid w:val="00B8349F"/>
    <w:rsid w:val="00B8712E"/>
    <w:rsid w:val="00B945E2"/>
    <w:rsid w:val="00BA2D78"/>
    <w:rsid w:val="00BA444B"/>
    <w:rsid w:val="00BA6E6C"/>
    <w:rsid w:val="00BB0851"/>
    <w:rsid w:val="00BB6124"/>
    <w:rsid w:val="00BC3785"/>
    <w:rsid w:val="00BC70E3"/>
    <w:rsid w:val="00BD4E32"/>
    <w:rsid w:val="00BD7F81"/>
    <w:rsid w:val="00BF4126"/>
    <w:rsid w:val="00BF53AD"/>
    <w:rsid w:val="00C00E3B"/>
    <w:rsid w:val="00C133ED"/>
    <w:rsid w:val="00C177AA"/>
    <w:rsid w:val="00C17A77"/>
    <w:rsid w:val="00C265A3"/>
    <w:rsid w:val="00C27619"/>
    <w:rsid w:val="00C3380F"/>
    <w:rsid w:val="00C3536F"/>
    <w:rsid w:val="00C36EA2"/>
    <w:rsid w:val="00C375A2"/>
    <w:rsid w:val="00C40D75"/>
    <w:rsid w:val="00C410EC"/>
    <w:rsid w:val="00C4132E"/>
    <w:rsid w:val="00C425E2"/>
    <w:rsid w:val="00C45B65"/>
    <w:rsid w:val="00C52CA7"/>
    <w:rsid w:val="00C64251"/>
    <w:rsid w:val="00C662AF"/>
    <w:rsid w:val="00C714D4"/>
    <w:rsid w:val="00C75356"/>
    <w:rsid w:val="00C82AAE"/>
    <w:rsid w:val="00C8367B"/>
    <w:rsid w:val="00C8524B"/>
    <w:rsid w:val="00C86610"/>
    <w:rsid w:val="00C90D1D"/>
    <w:rsid w:val="00C90ED7"/>
    <w:rsid w:val="00CA2597"/>
    <w:rsid w:val="00CA3B04"/>
    <w:rsid w:val="00CA6E98"/>
    <w:rsid w:val="00CB0DBE"/>
    <w:rsid w:val="00CB6389"/>
    <w:rsid w:val="00CC0032"/>
    <w:rsid w:val="00CD7EDF"/>
    <w:rsid w:val="00CE1F98"/>
    <w:rsid w:val="00CE22AC"/>
    <w:rsid w:val="00CF0E9F"/>
    <w:rsid w:val="00CF2CD8"/>
    <w:rsid w:val="00CF4AAA"/>
    <w:rsid w:val="00CF5A1F"/>
    <w:rsid w:val="00CF7F6B"/>
    <w:rsid w:val="00D04A87"/>
    <w:rsid w:val="00D10850"/>
    <w:rsid w:val="00D12BA2"/>
    <w:rsid w:val="00D133EF"/>
    <w:rsid w:val="00D21D50"/>
    <w:rsid w:val="00D26276"/>
    <w:rsid w:val="00D3028A"/>
    <w:rsid w:val="00D404DE"/>
    <w:rsid w:val="00D44756"/>
    <w:rsid w:val="00D46822"/>
    <w:rsid w:val="00D47F4F"/>
    <w:rsid w:val="00D511A6"/>
    <w:rsid w:val="00D51B3E"/>
    <w:rsid w:val="00D5296E"/>
    <w:rsid w:val="00D53AF4"/>
    <w:rsid w:val="00D56048"/>
    <w:rsid w:val="00D6065B"/>
    <w:rsid w:val="00D6572B"/>
    <w:rsid w:val="00D67DD0"/>
    <w:rsid w:val="00D75673"/>
    <w:rsid w:val="00D756C1"/>
    <w:rsid w:val="00D80060"/>
    <w:rsid w:val="00D853E1"/>
    <w:rsid w:val="00D90243"/>
    <w:rsid w:val="00D908ED"/>
    <w:rsid w:val="00D90927"/>
    <w:rsid w:val="00D920EB"/>
    <w:rsid w:val="00D97300"/>
    <w:rsid w:val="00DA0ACC"/>
    <w:rsid w:val="00DA17B7"/>
    <w:rsid w:val="00DA2DE0"/>
    <w:rsid w:val="00DA3E29"/>
    <w:rsid w:val="00DA6A3F"/>
    <w:rsid w:val="00DB7D0C"/>
    <w:rsid w:val="00DC0ECE"/>
    <w:rsid w:val="00DC191D"/>
    <w:rsid w:val="00DC7F79"/>
    <w:rsid w:val="00DD17E0"/>
    <w:rsid w:val="00DD201B"/>
    <w:rsid w:val="00DD7EAE"/>
    <w:rsid w:val="00DF66E3"/>
    <w:rsid w:val="00DF6DC8"/>
    <w:rsid w:val="00DF7267"/>
    <w:rsid w:val="00E01344"/>
    <w:rsid w:val="00E0258E"/>
    <w:rsid w:val="00E040A3"/>
    <w:rsid w:val="00E042CB"/>
    <w:rsid w:val="00E04FC0"/>
    <w:rsid w:val="00E06F2E"/>
    <w:rsid w:val="00E12457"/>
    <w:rsid w:val="00E21431"/>
    <w:rsid w:val="00E22BD3"/>
    <w:rsid w:val="00E23916"/>
    <w:rsid w:val="00E244F3"/>
    <w:rsid w:val="00E3087D"/>
    <w:rsid w:val="00E3539E"/>
    <w:rsid w:val="00E37BD3"/>
    <w:rsid w:val="00E44448"/>
    <w:rsid w:val="00E53CD8"/>
    <w:rsid w:val="00E564EA"/>
    <w:rsid w:val="00E65423"/>
    <w:rsid w:val="00E67A5A"/>
    <w:rsid w:val="00E73EFB"/>
    <w:rsid w:val="00E77879"/>
    <w:rsid w:val="00E834D0"/>
    <w:rsid w:val="00E869C0"/>
    <w:rsid w:val="00EA0607"/>
    <w:rsid w:val="00EB000E"/>
    <w:rsid w:val="00EB1E40"/>
    <w:rsid w:val="00EC3D46"/>
    <w:rsid w:val="00EC7AA2"/>
    <w:rsid w:val="00ED0F2E"/>
    <w:rsid w:val="00ED17D7"/>
    <w:rsid w:val="00ED6C33"/>
    <w:rsid w:val="00EE2635"/>
    <w:rsid w:val="00EE3F8E"/>
    <w:rsid w:val="00EE569F"/>
    <w:rsid w:val="00EF1FD7"/>
    <w:rsid w:val="00EF53A7"/>
    <w:rsid w:val="00F00EB5"/>
    <w:rsid w:val="00F02136"/>
    <w:rsid w:val="00F02AD1"/>
    <w:rsid w:val="00F04FBB"/>
    <w:rsid w:val="00F05D25"/>
    <w:rsid w:val="00F065DE"/>
    <w:rsid w:val="00F06763"/>
    <w:rsid w:val="00F1564F"/>
    <w:rsid w:val="00F204DD"/>
    <w:rsid w:val="00F2056F"/>
    <w:rsid w:val="00F213DC"/>
    <w:rsid w:val="00F22950"/>
    <w:rsid w:val="00F248EB"/>
    <w:rsid w:val="00F260A2"/>
    <w:rsid w:val="00F41DA0"/>
    <w:rsid w:val="00F43428"/>
    <w:rsid w:val="00F465D6"/>
    <w:rsid w:val="00F51EDE"/>
    <w:rsid w:val="00F60C4C"/>
    <w:rsid w:val="00F612FE"/>
    <w:rsid w:val="00F63836"/>
    <w:rsid w:val="00F63CAF"/>
    <w:rsid w:val="00F65599"/>
    <w:rsid w:val="00F77BD7"/>
    <w:rsid w:val="00F83D86"/>
    <w:rsid w:val="00F8763B"/>
    <w:rsid w:val="00F91A24"/>
    <w:rsid w:val="00F93CAD"/>
    <w:rsid w:val="00F96228"/>
    <w:rsid w:val="00FA0452"/>
    <w:rsid w:val="00FA372E"/>
    <w:rsid w:val="00FA554F"/>
    <w:rsid w:val="00FA64BD"/>
    <w:rsid w:val="00FA6625"/>
    <w:rsid w:val="00FB55E8"/>
    <w:rsid w:val="00FC465F"/>
    <w:rsid w:val="00FD47E5"/>
    <w:rsid w:val="00FD7A40"/>
    <w:rsid w:val="00FD7CCF"/>
    <w:rsid w:val="00FE0BCB"/>
    <w:rsid w:val="00FE0C7D"/>
    <w:rsid w:val="00FE1664"/>
    <w:rsid w:val="00FF13C9"/>
    <w:rsid w:val="00FF5682"/>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F23D6-2BB6-435D-ABA3-99B3675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80"/>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A5"/>
  </w:style>
  <w:style w:type="paragraph" w:styleId="Heading1">
    <w:name w:val="heading 1"/>
    <w:aliases w:val=" Caracter"/>
    <w:basedOn w:val="Normal"/>
    <w:next w:val="Normal"/>
    <w:link w:val="Heading1Char"/>
    <w:qFormat/>
    <w:rsid w:val="007C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7C4F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F03"/>
    <w:pPr>
      <w:outlineLvl w:val="9"/>
    </w:pPr>
    <w:rPr>
      <w:lang w:val="en-US"/>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
    <w:basedOn w:val="Normal"/>
    <w:link w:val="ListParagraphChar"/>
    <w:uiPriority w:val="99"/>
    <w:qFormat/>
    <w:rsid w:val="007C4F03"/>
    <w:pPr>
      <w:ind w:left="720"/>
      <w:contextualSpacing/>
    </w:pPr>
  </w:style>
  <w:style w:type="paragraph" w:styleId="TOC1">
    <w:name w:val="toc 1"/>
    <w:basedOn w:val="Normal"/>
    <w:next w:val="Normal"/>
    <w:autoRedefine/>
    <w:uiPriority w:val="39"/>
    <w:unhideWhenUsed/>
    <w:rsid w:val="00601209"/>
    <w:pPr>
      <w:tabs>
        <w:tab w:val="left" w:pos="426"/>
        <w:tab w:val="right" w:leader="dot" w:pos="9062"/>
      </w:tabs>
      <w:spacing w:after="100"/>
    </w:pPr>
  </w:style>
  <w:style w:type="character" w:styleId="Hyperlink">
    <w:name w:val="Hyperlink"/>
    <w:basedOn w:val="DefaultParagraphFont"/>
    <w:uiPriority w:val="99"/>
    <w:unhideWhenUsed/>
    <w:rsid w:val="007C4F03"/>
    <w:rPr>
      <w:color w:val="0563C1" w:themeColor="hyperlink"/>
      <w:u w:val="singl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semiHidden/>
    <w:rsid w:val="007C4F03"/>
    <w:pPr>
      <w:spacing w:after="0"/>
    </w:pPr>
    <w:rPr>
      <w:rFonts w:ascii="Times New Roman" w:eastAsia="Times New Roman" w:hAnsi="Times New Roman" w:cs="Times New Roman"/>
      <w:sz w:val="20"/>
      <w:szCs w:val="20"/>
      <w:lang w:eastAsia="ro-RO"/>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semiHidden/>
    <w:rsid w:val="007C4F03"/>
    <w:rPr>
      <w:rFonts w:ascii="Times New Roman" w:eastAsia="Times New Roman" w:hAnsi="Times New Roman" w:cs="Times New Roman"/>
      <w:sz w:val="20"/>
      <w:szCs w:val="20"/>
      <w:lang w:eastAsia="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uiPriority w:val="99"/>
    <w:rsid w:val="007C4F03"/>
    <w:rPr>
      <w:vertAlign w:val="superscript"/>
    </w:rPr>
  </w:style>
  <w:style w:type="paragraph" w:styleId="NoSpacing">
    <w:name w:val="No Spacing"/>
    <w:uiPriority w:val="1"/>
    <w:qFormat/>
    <w:rsid w:val="007C4F03"/>
    <w:pPr>
      <w:spacing w:after="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5"/>
    <w:rPr>
      <w:rFonts w:ascii="Segoe UI" w:hAnsi="Segoe UI" w:cs="Segoe UI"/>
      <w:sz w:val="18"/>
      <w:szCs w:val="18"/>
    </w:rPr>
  </w:style>
  <w:style w:type="paragraph" w:styleId="EndnoteText">
    <w:name w:val="endnote text"/>
    <w:basedOn w:val="Normal"/>
    <w:link w:val="EndnoteTextChar"/>
    <w:uiPriority w:val="99"/>
    <w:semiHidden/>
    <w:unhideWhenUsed/>
    <w:rsid w:val="00C86610"/>
    <w:pPr>
      <w:spacing w:after="0"/>
    </w:pPr>
    <w:rPr>
      <w:sz w:val="20"/>
      <w:szCs w:val="20"/>
    </w:rPr>
  </w:style>
  <w:style w:type="character" w:customStyle="1" w:styleId="EndnoteTextChar">
    <w:name w:val="Endnote Text Char"/>
    <w:basedOn w:val="DefaultParagraphFont"/>
    <w:link w:val="EndnoteText"/>
    <w:uiPriority w:val="99"/>
    <w:semiHidden/>
    <w:rsid w:val="00C86610"/>
    <w:rPr>
      <w:sz w:val="20"/>
      <w:szCs w:val="20"/>
    </w:rPr>
  </w:style>
  <w:style w:type="character" w:styleId="EndnoteReference">
    <w:name w:val="endnote reference"/>
    <w:basedOn w:val="DefaultParagraphFont"/>
    <w:uiPriority w:val="99"/>
    <w:semiHidden/>
    <w:unhideWhenUsed/>
    <w:rsid w:val="00C86610"/>
    <w:rPr>
      <w:vertAlign w:val="superscript"/>
    </w:rPr>
  </w:style>
  <w:style w:type="character" w:styleId="Emphasis">
    <w:name w:val="Emphasis"/>
    <w:qFormat/>
    <w:rsid w:val="00D756C1"/>
    <w:rPr>
      <w:i/>
      <w:iCs/>
    </w:rPr>
  </w:style>
  <w:style w:type="paragraph" w:styleId="Header">
    <w:name w:val="header"/>
    <w:basedOn w:val="Normal"/>
    <w:link w:val="HeaderChar"/>
    <w:uiPriority w:val="99"/>
    <w:unhideWhenUsed/>
    <w:rsid w:val="00197AF4"/>
    <w:pPr>
      <w:tabs>
        <w:tab w:val="center" w:pos="4536"/>
        <w:tab w:val="right" w:pos="9072"/>
      </w:tabs>
      <w:spacing w:after="0"/>
    </w:pPr>
  </w:style>
  <w:style w:type="character" w:customStyle="1" w:styleId="HeaderChar">
    <w:name w:val="Header Char"/>
    <w:basedOn w:val="DefaultParagraphFont"/>
    <w:link w:val="Header"/>
    <w:uiPriority w:val="99"/>
    <w:rsid w:val="00197AF4"/>
  </w:style>
  <w:style w:type="paragraph" w:styleId="Footer">
    <w:name w:val="footer"/>
    <w:basedOn w:val="Normal"/>
    <w:link w:val="FooterChar"/>
    <w:uiPriority w:val="99"/>
    <w:unhideWhenUsed/>
    <w:rsid w:val="00197AF4"/>
    <w:pPr>
      <w:tabs>
        <w:tab w:val="center" w:pos="4536"/>
        <w:tab w:val="right" w:pos="9072"/>
      </w:tabs>
      <w:spacing w:after="0"/>
    </w:pPr>
  </w:style>
  <w:style w:type="character" w:customStyle="1" w:styleId="FooterChar">
    <w:name w:val="Footer Char"/>
    <w:basedOn w:val="DefaultParagraphFont"/>
    <w:link w:val="Footer"/>
    <w:uiPriority w:val="99"/>
    <w:rsid w:val="00197AF4"/>
  </w:style>
  <w:style w:type="character" w:styleId="CommentReference">
    <w:name w:val="annotation reference"/>
    <w:basedOn w:val="DefaultParagraphFont"/>
    <w:uiPriority w:val="99"/>
    <w:semiHidden/>
    <w:unhideWhenUsed/>
    <w:rsid w:val="00183827"/>
    <w:rPr>
      <w:sz w:val="16"/>
      <w:szCs w:val="16"/>
    </w:rPr>
  </w:style>
  <w:style w:type="paragraph" w:styleId="CommentText">
    <w:name w:val="annotation text"/>
    <w:basedOn w:val="Normal"/>
    <w:link w:val="CommentTextChar"/>
    <w:uiPriority w:val="99"/>
    <w:semiHidden/>
    <w:unhideWhenUsed/>
    <w:rsid w:val="00183827"/>
    <w:rPr>
      <w:sz w:val="20"/>
      <w:szCs w:val="20"/>
    </w:rPr>
  </w:style>
  <w:style w:type="character" w:customStyle="1" w:styleId="CommentTextChar">
    <w:name w:val="Comment Text Char"/>
    <w:basedOn w:val="DefaultParagraphFont"/>
    <w:link w:val="CommentText"/>
    <w:uiPriority w:val="99"/>
    <w:semiHidden/>
    <w:rsid w:val="00183827"/>
    <w:rPr>
      <w:sz w:val="20"/>
      <w:szCs w:val="20"/>
    </w:rPr>
  </w:style>
  <w:style w:type="paragraph" w:styleId="CommentSubject">
    <w:name w:val="annotation subject"/>
    <w:basedOn w:val="CommentText"/>
    <w:next w:val="CommentText"/>
    <w:link w:val="CommentSubjectChar"/>
    <w:uiPriority w:val="99"/>
    <w:semiHidden/>
    <w:unhideWhenUsed/>
    <w:rsid w:val="00183827"/>
    <w:rPr>
      <w:b/>
      <w:bCs/>
    </w:rPr>
  </w:style>
  <w:style w:type="character" w:customStyle="1" w:styleId="CommentSubjectChar">
    <w:name w:val="Comment Subject Char"/>
    <w:basedOn w:val="CommentTextChar"/>
    <w:link w:val="CommentSubject"/>
    <w:uiPriority w:val="99"/>
    <w:semiHidden/>
    <w:rsid w:val="00183827"/>
    <w:rPr>
      <w:b/>
      <w:bCs/>
      <w:sz w:val="20"/>
      <w:szCs w:val="20"/>
    </w:rPr>
  </w:style>
  <w:style w:type="paragraph" w:customStyle="1" w:styleId="Caracter2CharCharCaracterCharCharCaracterCharCharCaracterCharChar">
    <w:name w:val="Caracter2 Char Char Caracter Char Char Caracter Char Char Caracter Char Char"/>
    <w:basedOn w:val="Normal"/>
    <w:rsid w:val="008A5038"/>
    <w:pPr>
      <w:spacing w:after="0"/>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406434"/>
    <w:rPr>
      <w:rFonts w:ascii="Times New Roman" w:hAnsi="Times New Roman" w:cs="Times New Roman"/>
      <w:sz w:val="24"/>
      <w:szCs w:val="24"/>
    </w:rPr>
  </w:style>
  <w:style w:type="paragraph" w:customStyle="1" w:styleId="Bodytext2">
    <w:name w:val="Body text (2)"/>
    <w:basedOn w:val="Normal"/>
    <w:rsid w:val="00446D9C"/>
    <w:pPr>
      <w:widowControl w:val="0"/>
      <w:shd w:val="clear" w:color="auto" w:fill="FFFFFF"/>
      <w:spacing w:before="780" w:after="0" w:line="413" w:lineRule="exact"/>
      <w:ind w:firstLine="0"/>
    </w:pPr>
    <w:rPr>
      <w:rFonts w:ascii="Arial" w:eastAsia="Arial" w:hAnsi="Arial" w:cs="Arial"/>
      <w:sz w:val="20"/>
      <w:szCs w:val="20"/>
      <w:lang w:val="en-US" w:eastAsia="zh-CN"/>
    </w:rPr>
  </w:style>
  <w:style w:type="paragraph" w:customStyle="1" w:styleId="Caracter2CharCharCaracterCharCharCaracterCharCharCaracterCharChar0">
    <w:name w:val="Caracter2 Char Char Caracter Char Char Caracter Char Char Caracter Char Char"/>
    <w:basedOn w:val="Normal"/>
    <w:rsid w:val="00AF7D33"/>
    <w:pPr>
      <w:spacing w:after="0"/>
      <w:ind w:firstLine="0"/>
      <w:jc w:val="left"/>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99"/>
    <w:locked/>
    <w:rsid w:val="00A3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3442">
      <w:bodyDiv w:val="1"/>
      <w:marLeft w:val="0"/>
      <w:marRight w:val="0"/>
      <w:marTop w:val="0"/>
      <w:marBottom w:val="0"/>
      <w:divBdr>
        <w:top w:val="none" w:sz="0" w:space="0" w:color="auto"/>
        <w:left w:val="none" w:sz="0" w:space="0" w:color="auto"/>
        <w:bottom w:val="none" w:sz="0" w:space="0" w:color="auto"/>
        <w:right w:val="none" w:sz="0" w:space="0" w:color="auto"/>
      </w:divBdr>
    </w:div>
    <w:div w:id="304822241">
      <w:bodyDiv w:val="1"/>
      <w:marLeft w:val="0"/>
      <w:marRight w:val="0"/>
      <w:marTop w:val="0"/>
      <w:marBottom w:val="0"/>
      <w:divBdr>
        <w:top w:val="none" w:sz="0" w:space="0" w:color="auto"/>
        <w:left w:val="none" w:sz="0" w:space="0" w:color="auto"/>
        <w:bottom w:val="none" w:sz="0" w:space="0" w:color="auto"/>
        <w:right w:val="none" w:sz="0" w:space="0" w:color="auto"/>
      </w:divBdr>
    </w:div>
    <w:div w:id="353116261">
      <w:bodyDiv w:val="1"/>
      <w:marLeft w:val="0"/>
      <w:marRight w:val="0"/>
      <w:marTop w:val="0"/>
      <w:marBottom w:val="0"/>
      <w:divBdr>
        <w:top w:val="none" w:sz="0" w:space="0" w:color="auto"/>
        <w:left w:val="none" w:sz="0" w:space="0" w:color="auto"/>
        <w:bottom w:val="none" w:sz="0" w:space="0" w:color="auto"/>
        <w:right w:val="none" w:sz="0" w:space="0" w:color="auto"/>
      </w:divBdr>
    </w:div>
    <w:div w:id="548416336">
      <w:bodyDiv w:val="1"/>
      <w:marLeft w:val="0"/>
      <w:marRight w:val="0"/>
      <w:marTop w:val="0"/>
      <w:marBottom w:val="0"/>
      <w:divBdr>
        <w:top w:val="none" w:sz="0" w:space="0" w:color="auto"/>
        <w:left w:val="none" w:sz="0" w:space="0" w:color="auto"/>
        <w:bottom w:val="none" w:sz="0" w:space="0" w:color="auto"/>
        <w:right w:val="none" w:sz="0" w:space="0" w:color="auto"/>
      </w:divBdr>
    </w:div>
    <w:div w:id="569778675">
      <w:bodyDiv w:val="1"/>
      <w:marLeft w:val="0"/>
      <w:marRight w:val="0"/>
      <w:marTop w:val="0"/>
      <w:marBottom w:val="0"/>
      <w:divBdr>
        <w:top w:val="none" w:sz="0" w:space="0" w:color="auto"/>
        <w:left w:val="none" w:sz="0" w:space="0" w:color="auto"/>
        <w:bottom w:val="none" w:sz="0" w:space="0" w:color="auto"/>
        <w:right w:val="none" w:sz="0" w:space="0" w:color="auto"/>
      </w:divBdr>
    </w:div>
    <w:div w:id="681198562">
      <w:bodyDiv w:val="1"/>
      <w:marLeft w:val="0"/>
      <w:marRight w:val="0"/>
      <w:marTop w:val="0"/>
      <w:marBottom w:val="0"/>
      <w:divBdr>
        <w:top w:val="none" w:sz="0" w:space="0" w:color="auto"/>
        <w:left w:val="none" w:sz="0" w:space="0" w:color="auto"/>
        <w:bottom w:val="none" w:sz="0" w:space="0" w:color="auto"/>
        <w:right w:val="none" w:sz="0" w:space="0" w:color="auto"/>
      </w:divBdr>
    </w:div>
    <w:div w:id="787546384">
      <w:bodyDiv w:val="1"/>
      <w:marLeft w:val="0"/>
      <w:marRight w:val="0"/>
      <w:marTop w:val="0"/>
      <w:marBottom w:val="0"/>
      <w:divBdr>
        <w:top w:val="none" w:sz="0" w:space="0" w:color="auto"/>
        <w:left w:val="none" w:sz="0" w:space="0" w:color="auto"/>
        <w:bottom w:val="none" w:sz="0" w:space="0" w:color="auto"/>
        <w:right w:val="none" w:sz="0" w:space="0" w:color="auto"/>
      </w:divBdr>
    </w:div>
    <w:div w:id="788933016">
      <w:bodyDiv w:val="1"/>
      <w:marLeft w:val="0"/>
      <w:marRight w:val="0"/>
      <w:marTop w:val="0"/>
      <w:marBottom w:val="0"/>
      <w:divBdr>
        <w:top w:val="none" w:sz="0" w:space="0" w:color="auto"/>
        <w:left w:val="none" w:sz="0" w:space="0" w:color="auto"/>
        <w:bottom w:val="none" w:sz="0" w:space="0" w:color="auto"/>
        <w:right w:val="none" w:sz="0" w:space="0" w:color="auto"/>
      </w:divBdr>
    </w:div>
    <w:div w:id="1033261580">
      <w:bodyDiv w:val="1"/>
      <w:marLeft w:val="0"/>
      <w:marRight w:val="0"/>
      <w:marTop w:val="0"/>
      <w:marBottom w:val="0"/>
      <w:divBdr>
        <w:top w:val="none" w:sz="0" w:space="0" w:color="auto"/>
        <w:left w:val="none" w:sz="0" w:space="0" w:color="auto"/>
        <w:bottom w:val="none" w:sz="0" w:space="0" w:color="auto"/>
        <w:right w:val="none" w:sz="0" w:space="0" w:color="auto"/>
      </w:divBdr>
    </w:div>
    <w:div w:id="1053888659">
      <w:bodyDiv w:val="1"/>
      <w:marLeft w:val="0"/>
      <w:marRight w:val="0"/>
      <w:marTop w:val="0"/>
      <w:marBottom w:val="0"/>
      <w:divBdr>
        <w:top w:val="none" w:sz="0" w:space="0" w:color="auto"/>
        <w:left w:val="none" w:sz="0" w:space="0" w:color="auto"/>
        <w:bottom w:val="none" w:sz="0" w:space="0" w:color="auto"/>
        <w:right w:val="none" w:sz="0" w:space="0" w:color="auto"/>
      </w:divBdr>
    </w:div>
    <w:div w:id="1128934510">
      <w:bodyDiv w:val="1"/>
      <w:marLeft w:val="0"/>
      <w:marRight w:val="0"/>
      <w:marTop w:val="0"/>
      <w:marBottom w:val="0"/>
      <w:divBdr>
        <w:top w:val="none" w:sz="0" w:space="0" w:color="auto"/>
        <w:left w:val="none" w:sz="0" w:space="0" w:color="auto"/>
        <w:bottom w:val="none" w:sz="0" w:space="0" w:color="auto"/>
        <w:right w:val="none" w:sz="0" w:space="0" w:color="auto"/>
      </w:divBdr>
    </w:div>
    <w:div w:id="1183669206">
      <w:bodyDiv w:val="1"/>
      <w:marLeft w:val="0"/>
      <w:marRight w:val="0"/>
      <w:marTop w:val="0"/>
      <w:marBottom w:val="0"/>
      <w:divBdr>
        <w:top w:val="none" w:sz="0" w:space="0" w:color="auto"/>
        <w:left w:val="none" w:sz="0" w:space="0" w:color="auto"/>
        <w:bottom w:val="none" w:sz="0" w:space="0" w:color="auto"/>
        <w:right w:val="none" w:sz="0" w:space="0" w:color="auto"/>
      </w:divBdr>
    </w:div>
    <w:div w:id="1360274833">
      <w:bodyDiv w:val="1"/>
      <w:marLeft w:val="0"/>
      <w:marRight w:val="0"/>
      <w:marTop w:val="0"/>
      <w:marBottom w:val="0"/>
      <w:divBdr>
        <w:top w:val="none" w:sz="0" w:space="0" w:color="auto"/>
        <w:left w:val="none" w:sz="0" w:space="0" w:color="auto"/>
        <w:bottom w:val="none" w:sz="0" w:space="0" w:color="auto"/>
        <w:right w:val="none" w:sz="0" w:space="0" w:color="auto"/>
      </w:divBdr>
    </w:div>
    <w:div w:id="1484198697">
      <w:bodyDiv w:val="1"/>
      <w:marLeft w:val="0"/>
      <w:marRight w:val="0"/>
      <w:marTop w:val="0"/>
      <w:marBottom w:val="0"/>
      <w:divBdr>
        <w:top w:val="none" w:sz="0" w:space="0" w:color="auto"/>
        <w:left w:val="none" w:sz="0" w:space="0" w:color="auto"/>
        <w:bottom w:val="none" w:sz="0" w:space="0" w:color="auto"/>
        <w:right w:val="none" w:sz="0" w:space="0" w:color="auto"/>
      </w:divBdr>
    </w:div>
    <w:div w:id="1623611751">
      <w:bodyDiv w:val="1"/>
      <w:marLeft w:val="0"/>
      <w:marRight w:val="0"/>
      <w:marTop w:val="0"/>
      <w:marBottom w:val="0"/>
      <w:divBdr>
        <w:top w:val="none" w:sz="0" w:space="0" w:color="auto"/>
        <w:left w:val="none" w:sz="0" w:space="0" w:color="auto"/>
        <w:bottom w:val="none" w:sz="0" w:space="0" w:color="auto"/>
        <w:right w:val="none" w:sz="0" w:space="0" w:color="auto"/>
      </w:divBdr>
    </w:div>
    <w:div w:id="1672175889">
      <w:bodyDiv w:val="1"/>
      <w:marLeft w:val="0"/>
      <w:marRight w:val="0"/>
      <w:marTop w:val="0"/>
      <w:marBottom w:val="0"/>
      <w:divBdr>
        <w:top w:val="none" w:sz="0" w:space="0" w:color="auto"/>
        <w:left w:val="none" w:sz="0" w:space="0" w:color="auto"/>
        <w:bottom w:val="none" w:sz="0" w:space="0" w:color="auto"/>
        <w:right w:val="none" w:sz="0" w:space="0" w:color="auto"/>
      </w:divBdr>
    </w:div>
    <w:div w:id="1703282475">
      <w:bodyDiv w:val="1"/>
      <w:marLeft w:val="0"/>
      <w:marRight w:val="0"/>
      <w:marTop w:val="0"/>
      <w:marBottom w:val="0"/>
      <w:divBdr>
        <w:top w:val="none" w:sz="0" w:space="0" w:color="auto"/>
        <w:left w:val="none" w:sz="0" w:space="0" w:color="auto"/>
        <w:bottom w:val="none" w:sz="0" w:space="0" w:color="auto"/>
        <w:right w:val="none" w:sz="0" w:space="0" w:color="auto"/>
      </w:divBdr>
    </w:div>
    <w:div w:id="1785538974">
      <w:bodyDiv w:val="1"/>
      <w:marLeft w:val="0"/>
      <w:marRight w:val="0"/>
      <w:marTop w:val="0"/>
      <w:marBottom w:val="0"/>
      <w:divBdr>
        <w:top w:val="none" w:sz="0" w:space="0" w:color="auto"/>
        <w:left w:val="none" w:sz="0" w:space="0" w:color="auto"/>
        <w:bottom w:val="none" w:sz="0" w:space="0" w:color="auto"/>
        <w:right w:val="none" w:sz="0" w:space="0" w:color="auto"/>
      </w:divBdr>
    </w:div>
    <w:div w:id="1832258239">
      <w:bodyDiv w:val="1"/>
      <w:marLeft w:val="0"/>
      <w:marRight w:val="0"/>
      <w:marTop w:val="0"/>
      <w:marBottom w:val="0"/>
      <w:divBdr>
        <w:top w:val="none" w:sz="0" w:space="0" w:color="auto"/>
        <w:left w:val="none" w:sz="0" w:space="0" w:color="auto"/>
        <w:bottom w:val="none" w:sz="0" w:space="0" w:color="auto"/>
        <w:right w:val="none" w:sz="0" w:space="0" w:color="auto"/>
      </w:divBdr>
    </w:div>
    <w:div w:id="1896115792">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 w:id="2043090463">
      <w:bodyDiv w:val="1"/>
      <w:marLeft w:val="0"/>
      <w:marRight w:val="0"/>
      <w:marTop w:val="0"/>
      <w:marBottom w:val="0"/>
      <w:divBdr>
        <w:top w:val="none" w:sz="0" w:space="0" w:color="auto"/>
        <w:left w:val="none" w:sz="0" w:space="0" w:color="auto"/>
        <w:bottom w:val="none" w:sz="0" w:space="0" w:color="auto"/>
        <w:right w:val="none" w:sz="0" w:space="0" w:color="auto"/>
      </w:divBdr>
    </w:div>
    <w:div w:id="21426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D:\2018\Somaj\SOMAJ%20R%20cu%20activa%20noua%20la%201%20ian%202017%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944055944055902E-2"/>
          <c:y val="8.8300220750551897E-2"/>
          <c:w val="0.92132867132867291"/>
          <c:h val="0.63576158940397365"/>
        </c:manualLayout>
      </c:layout>
      <c:barChart>
        <c:barDir val="col"/>
        <c:grouping val="stacked"/>
        <c:varyColors val="0"/>
        <c:ser>
          <c:idx val="1"/>
          <c:order val="1"/>
          <c:tx>
            <c:strRef>
              <c:f>'Sheet1 (2)'!$C$19</c:f>
              <c:strCache>
                <c:ptCount val="1"/>
                <c:pt idx="0">
                  <c:v>Consum final</c:v>
                </c:pt>
              </c:strCache>
            </c:strRef>
          </c:tx>
          <c:spPr>
            <a:solidFill>
              <a:srgbClr val="00FFFF"/>
            </a:solidFill>
            <a:ln w="10025">
              <a:solidFill>
                <a:srgbClr val="FFFFFF"/>
              </a:solidFill>
              <a:prstDash val="solid"/>
            </a:ln>
          </c:spPr>
          <c:invertIfNegative val="0"/>
          <c:cat>
            <c:strRef>
              <c:f>'Sheet1 (2)'!$A$20:$A$22</c:f>
              <c:strCache>
                <c:ptCount val="3"/>
                <c:pt idx="0">
                  <c:v>Trim I 2016</c:v>
                </c:pt>
                <c:pt idx="1">
                  <c:v>Trim I 2017</c:v>
                </c:pt>
                <c:pt idx="2">
                  <c:v>Trim I 2018</c:v>
                </c:pt>
              </c:strCache>
            </c:strRef>
          </c:cat>
          <c:val>
            <c:numRef>
              <c:f>'Sheet1 (2)'!$C$20:$C$22</c:f>
              <c:numCache>
                <c:formatCode>0.0</c:formatCode>
                <c:ptCount val="3"/>
                <c:pt idx="0">
                  <c:v>5.9</c:v>
                </c:pt>
                <c:pt idx="1">
                  <c:v>5.4</c:v>
                </c:pt>
                <c:pt idx="2">
                  <c:v>3.1</c:v>
                </c:pt>
              </c:numCache>
            </c:numRef>
          </c:val>
        </c:ser>
        <c:ser>
          <c:idx val="2"/>
          <c:order val="2"/>
          <c:tx>
            <c:strRef>
              <c:f>'Sheet1 (2)'!$D$19</c:f>
              <c:strCache>
                <c:ptCount val="1"/>
                <c:pt idx="0">
                  <c:v>Formarea bruta de capital fix</c:v>
                </c:pt>
              </c:strCache>
            </c:strRef>
          </c:tx>
          <c:spPr>
            <a:solidFill>
              <a:srgbClr val="FF6600"/>
            </a:solidFill>
            <a:ln w="10025">
              <a:solidFill>
                <a:srgbClr val="FF6600"/>
              </a:solidFill>
              <a:prstDash val="solid"/>
            </a:ln>
          </c:spPr>
          <c:invertIfNegative val="0"/>
          <c:cat>
            <c:strRef>
              <c:f>'Sheet1 (2)'!$A$20:$A$22</c:f>
              <c:strCache>
                <c:ptCount val="3"/>
                <c:pt idx="0">
                  <c:v>Trim I 2016</c:v>
                </c:pt>
                <c:pt idx="1">
                  <c:v>Trim I 2017</c:v>
                </c:pt>
                <c:pt idx="2">
                  <c:v>Trim I 2018</c:v>
                </c:pt>
              </c:strCache>
            </c:strRef>
          </c:cat>
          <c:val>
            <c:numRef>
              <c:f>'Sheet1 (2)'!$D$20:$D$22</c:f>
              <c:numCache>
                <c:formatCode>0.0</c:formatCode>
                <c:ptCount val="3"/>
                <c:pt idx="0">
                  <c:v>0.4</c:v>
                </c:pt>
                <c:pt idx="1">
                  <c:v>-0.2</c:v>
                </c:pt>
                <c:pt idx="2">
                  <c:v>1</c:v>
                </c:pt>
              </c:numCache>
            </c:numRef>
          </c:val>
        </c:ser>
        <c:ser>
          <c:idx val="3"/>
          <c:order val="3"/>
          <c:tx>
            <c:strRef>
              <c:f>'Sheet1 (2)'!$E$19</c:f>
              <c:strCache>
                <c:ptCount val="1"/>
                <c:pt idx="0">
                  <c:v>Variatia stocurilor</c:v>
                </c:pt>
              </c:strCache>
            </c:strRef>
          </c:tx>
          <c:spPr>
            <a:solidFill>
              <a:srgbClr val="FFFF00"/>
            </a:solidFill>
            <a:ln w="10025">
              <a:solidFill>
                <a:srgbClr val="FFFFFF"/>
              </a:solidFill>
              <a:prstDash val="solid"/>
            </a:ln>
          </c:spPr>
          <c:invertIfNegative val="0"/>
          <c:cat>
            <c:strRef>
              <c:f>'Sheet1 (2)'!$A$20:$A$22</c:f>
              <c:strCache>
                <c:ptCount val="3"/>
                <c:pt idx="0">
                  <c:v>Trim I 2016</c:v>
                </c:pt>
                <c:pt idx="1">
                  <c:v>Trim I 2017</c:v>
                </c:pt>
                <c:pt idx="2">
                  <c:v>Trim I 2018</c:v>
                </c:pt>
              </c:strCache>
            </c:strRef>
          </c:cat>
          <c:val>
            <c:numRef>
              <c:f>'Sheet1 (2)'!$E$20:$E$22</c:f>
              <c:numCache>
                <c:formatCode>0.0</c:formatCode>
                <c:ptCount val="3"/>
                <c:pt idx="0">
                  <c:v>0</c:v>
                </c:pt>
                <c:pt idx="1">
                  <c:v>0.1</c:v>
                </c:pt>
                <c:pt idx="2">
                  <c:v>1.7000000000000011</c:v>
                </c:pt>
              </c:numCache>
            </c:numRef>
          </c:val>
        </c:ser>
        <c:ser>
          <c:idx val="4"/>
          <c:order val="4"/>
          <c:tx>
            <c:strRef>
              <c:f>'Sheet1 (2)'!$F$19</c:f>
              <c:strCache>
                <c:ptCount val="1"/>
                <c:pt idx="0">
                  <c:v>Export net</c:v>
                </c:pt>
              </c:strCache>
            </c:strRef>
          </c:tx>
          <c:spPr>
            <a:solidFill>
              <a:srgbClr val="CC99FF"/>
            </a:solidFill>
            <a:ln w="10025">
              <a:solidFill>
                <a:srgbClr val="FFFFFF"/>
              </a:solidFill>
              <a:prstDash val="solid"/>
            </a:ln>
          </c:spPr>
          <c:invertIfNegative val="0"/>
          <c:cat>
            <c:strRef>
              <c:f>'Sheet1 (2)'!$A$20:$A$22</c:f>
              <c:strCache>
                <c:ptCount val="3"/>
                <c:pt idx="0">
                  <c:v>Trim I 2016</c:v>
                </c:pt>
                <c:pt idx="1">
                  <c:v>Trim I 2017</c:v>
                </c:pt>
                <c:pt idx="2">
                  <c:v>Trim I 2018</c:v>
                </c:pt>
              </c:strCache>
            </c:strRef>
          </c:cat>
          <c:val>
            <c:numRef>
              <c:f>'Sheet1 (2)'!$F$20:$F$22</c:f>
              <c:numCache>
                <c:formatCode>0.0</c:formatCode>
                <c:ptCount val="3"/>
                <c:pt idx="0">
                  <c:v>-2</c:v>
                </c:pt>
                <c:pt idx="1">
                  <c:v>0.30000000000000032</c:v>
                </c:pt>
                <c:pt idx="2">
                  <c:v>-1.8</c:v>
                </c:pt>
              </c:numCache>
            </c:numRef>
          </c:val>
        </c:ser>
        <c:dLbls>
          <c:showLegendKey val="0"/>
          <c:showVal val="0"/>
          <c:showCatName val="0"/>
          <c:showSerName val="0"/>
          <c:showPercent val="0"/>
          <c:showBubbleSize val="0"/>
        </c:dLbls>
        <c:gapWidth val="150"/>
        <c:overlap val="100"/>
        <c:axId val="377729048"/>
        <c:axId val="377729440"/>
      </c:barChart>
      <c:lineChart>
        <c:grouping val="standard"/>
        <c:varyColors val="0"/>
        <c:ser>
          <c:idx val="0"/>
          <c:order val="0"/>
          <c:tx>
            <c:strRef>
              <c:f>'Sheet1 (2)'!$B$19</c:f>
              <c:strCache>
                <c:ptCount val="1"/>
                <c:pt idx="0">
                  <c:v>PIB</c:v>
                </c:pt>
              </c:strCache>
            </c:strRef>
          </c:tx>
          <c:spPr>
            <a:ln w="30076">
              <a:solidFill>
                <a:srgbClr val="000080"/>
              </a:solidFill>
              <a:prstDash val="lgDash"/>
            </a:ln>
          </c:spPr>
          <c:marker>
            <c:symbol val="triangle"/>
            <c:size val="3"/>
            <c:spPr>
              <a:solidFill>
                <a:srgbClr val="000080"/>
              </a:solidFill>
              <a:ln>
                <a:solidFill>
                  <a:srgbClr val="000080"/>
                </a:solidFill>
                <a:prstDash val="solid"/>
              </a:ln>
            </c:spPr>
          </c:marker>
          <c:dLbls>
            <c:dLbl>
              <c:idx val="1"/>
              <c:layout>
                <c:manualLayout>
                  <c:x val="-3.8196642945405035E-2"/>
                  <c:y val="-7.9142443643142879E-2"/>
                </c:manualLayout>
              </c:layout>
              <c:spPr>
                <a:noFill/>
                <a:ln w="25415">
                  <a:noFill/>
                </a:ln>
              </c:spPr>
              <c:txPr>
                <a:bodyPr/>
                <a:lstStyle/>
                <a:p>
                  <a:pPr>
                    <a:defRPr sz="926"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93814113172844E-2"/>
                  <c:y val="-5.5982715824045369E-2"/>
                </c:manualLayout>
              </c:layout>
              <c:spPr>
                <a:noFill/>
                <a:ln w="25415">
                  <a:noFill/>
                </a:ln>
              </c:spPr>
              <c:txPr>
                <a:bodyPr/>
                <a:lstStyle/>
                <a:p>
                  <a:pPr>
                    <a:defRPr sz="926"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415">
                <a:noFill/>
              </a:ln>
            </c:spPr>
            <c:txPr>
              <a:bodyPr wrap="square" lIns="38100" tIns="19050" rIns="38100" bIns="19050" anchor="ctr">
                <a:spAutoFit/>
              </a:bodyPr>
              <a:lstStyle/>
              <a:p>
                <a:pPr>
                  <a:defRPr sz="926" b="1"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(2)'!$A$20:$A$22</c:f>
              <c:strCache>
                <c:ptCount val="3"/>
                <c:pt idx="0">
                  <c:v>Trim I 2016</c:v>
                </c:pt>
                <c:pt idx="1">
                  <c:v>Trim I 2017</c:v>
                </c:pt>
                <c:pt idx="2">
                  <c:v>Trim I 2018</c:v>
                </c:pt>
              </c:strCache>
            </c:strRef>
          </c:cat>
          <c:val>
            <c:numRef>
              <c:f>'Sheet1 (2)'!$B$20:$B$22</c:f>
              <c:numCache>
                <c:formatCode>0.0</c:formatCode>
                <c:ptCount val="3"/>
                <c:pt idx="0">
                  <c:v>4.3</c:v>
                </c:pt>
                <c:pt idx="1">
                  <c:v>5.7</c:v>
                </c:pt>
                <c:pt idx="2">
                  <c:v>4</c:v>
                </c:pt>
              </c:numCache>
            </c:numRef>
          </c:val>
          <c:smooth val="0"/>
        </c:ser>
        <c:dLbls>
          <c:showLegendKey val="0"/>
          <c:showVal val="0"/>
          <c:showCatName val="0"/>
          <c:showSerName val="0"/>
          <c:showPercent val="0"/>
          <c:showBubbleSize val="0"/>
        </c:dLbls>
        <c:marker val="1"/>
        <c:smooth val="0"/>
        <c:axId val="377729048"/>
        <c:axId val="377729440"/>
      </c:lineChart>
      <c:catAx>
        <c:axId val="377729048"/>
        <c:scaling>
          <c:orientation val="minMax"/>
        </c:scaling>
        <c:delete val="0"/>
        <c:axPos val="b"/>
        <c:title>
          <c:tx>
            <c:rich>
              <a:bodyPr/>
              <a:lstStyle/>
              <a:p>
                <a:pPr>
                  <a:defRPr sz="750" b="1" i="0" u="none" strike="noStrike" baseline="0">
                    <a:solidFill>
                      <a:srgbClr val="000000"/>
                    </a:solidFill>
                    <a:latin typeface="Arial"/>
                    <a:ea typeface="Arial"/>
                    <a:cs typeface="Arial"/>
                  </a:defRPr>
                </a:pPr>
                <a:r>
                  <a:rPr lang="ro-RO"/>
                  <a:t> -procente -</a:t>
                </a:r>
              </a:p>
            </c:rich>
          </c:tx>
          <c:layout>
            <c:manualLayout>
              <c:xMode val="edge"/>
              <c:yMode val="edge"/>
              <c:x val="0.11653128410495095"/>
              <c:y val="2.2964325720967172E-2"/>
            </c:manualLayout>
          </c:layout>
          <c:overlay val="0"/>
          <c:spPr>
            <a:noFill/>
            <a:ln w="25415">
              <a:noFill/>
            </a:ln>
          </c:spPr>
        </c:title>
        <c:numFmt formatCode="General" sourceLinked="1"/>
        <c:majorTickMark val="out"/>
        <c:minorTickMark val="none"/>
        <c:tickLblPos val="low"/>
        <c:spPr>
          <a:ln w="250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77729440"/>
        <c:crosses val="autoZero"/>
        <c:auto val="1"/>
        <c:lblAlgn val="ctr"/>
        <c:lblOffset val="100"/>
        <c:tickLblSkip val="1"/>
        <c:tickMarkSkip val="1"/>
        <c:noMultiLvlLbl val="0"/>
      </c:catAx>
      <c:valAx>
        <c:axId val="377729440"/>
        <c:scaling>
          <c:orientation val="minMax"/>
        </c:scaling>
        <c:delete val="0"/>
        <c:axPos val="l"/>
        <c:majorGridlines>
          <c:spPr>
            <a:ln w="2506">
              <a:solidFill>
                <a:schemeClr val="accent1">
                  <a:lumMod val="60000"/>
                  <a:lumOff val="40000"/>
                </a:schemeClr>
              </a:solidFill>
              <a:prstDash val="solid"/>
            </a:ln>
          </c:spPr>
        </c:majorGridlines>
        <c:numFmt formatCode="0.0" sourceLinked="1"/>
        <c:majorTickMark val="out"/>
        <c:minorTickMark val="none"/>
        <c:tickLblPos val="nextTo"/>
        <c:spPr>
          <a:ln w="250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77729048"/>
        <c:crosses val="autoZero"/>
        <c:crossBetween val="between"/>
        <c:majorUnit val="2"/>
      </c:valAx>
      <c:spPr>
        <a:solidFill>
          <a:schemeClr val="accent1">
            <a:lumMod val="20000"/>
            <a:lumOff val="80000"/>
          </a:schemeClr>
        </a:solidFill>
        <a:ln w="10025">
          <a:solidFill>
            <a:schemeClr val="accent1">
              <a:lumMod val="60000"/>
              <a:lumOff val="40000"/>
            </a:schemeClr>
          </a:solidFill>
          <a:prstDash val="solid"/>
        </a:ln>
      </c:spPr>
    </c:plotArea>
    <c:legend>
      <c:legendPos val="b"/>
      <c:layout>
        <c:manualLayout>
          <c:xMode val="edge"/>
          <c:yMode val="edge"/>
          <c:x val="2.0661157024793455E-2"/>
          <c:y val="0.84750000000000003"/>
          <c:w val="0.94077134986225786"/>
          <c:h val="0.14000000000000001"/>
        </c:manualLayout>
      </c:layout>
      <c:overlay val="0"/>
      <c:spPr>
        <a:solidFill>
          <a:schemeClr val="accent1">
            <a:lumMod val="20000"/>
            <a:lumOff val="80000"/>
          </a:schemeClr>
        </a:solidFill>
        <a:ln w="2506">
          <a:solidFill>
            <a:schemeClr val="accent1">
              <a:lumMod val="20000"/>
              <a:lumOff val="80000"/>
            </a:schemeClr>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chemeClr val="accent1">
        <a:lumMod val="20000"/>
        <a:lumOff val="80000"/>
      </a:schemeClr>
    </a:solidFill>
    <a:ln>
      <a:solidFill>
        <a:schemeClr val="accent1">
          <a:lumMod val="20000"/>
          <a:lumOff val="80000"/>
        </a:schemeClr>
      </a:solidFill>
    </a:ln>
  </c:spPr>
  <c:txPr>
    <a:bodyPr/>
    <a:lstStyle/>
    <a:p>
      <a:pPr>
        <a:defRPr sz="77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314112291350542E-2"/>
          <c:y val="3.4120734908136427E-2"/>
          <c:w val="0.92564491654021386"/>
          <c:h val="0.75334728728529265"/>
        </c:manualLayout>
      </c:layout>
      <c:barChart>
        <c:barDir val="col"/>
        <c:grouping val="stacked"/>
        <c:varyColors val="0"/>
        <c:ser>
          <c:idx val="1"/>
          <c:order val="1"/>
          <c:tx>
            <c:strRef>
              <c:f>'Sheet1 (2)'!$C$10</c:f>
              <c:strCache>
                <c:ptCount val="1"/>
                <c:pt idx="0">
                  <c:v>Agricultura</c:v>
                </c:pt>
              </c:strCache>
            </c:strRef>
          </c:tx>
          <c:spPr>
            <a:solidFill>
              <a:srgbClr val="993366"/>
            </a:solidFill>
            <a:ln w="7084">
              <a:solidFill>
                <a:srgbClr val="993366"/>
              </a:solidFill>
              <a:prstDash val="solid"/>
            </a:ln>
          </c:spPr>
          <c:invertIfNegative val="0"/>
          <c:cat>
            <c:strRef>
              <c:f>'Sheet1 (2)'!$A$11:$A$13</c:f>
              <c:strCache>
                <c:ptCount val="3"/>
                <c:pt idx="0">
                  <c:v>Trim I 2016</c:v>
                </c:pt>
                <c:pt idx="1">
                  <c:v>Trim I 2017</c:v>
                </c:pt>
                <c:pt idx="2">
                  <c:v>Trim I 2018</c:v>
                </c:pt>
              </c:strCache>
            </c:strRef>
          </c:cat>
          <c:val>
            <c:numRef>
              <c:f>'Sheet1 (2)'!$C$11:$C$13</c:f>
              <c:numCache>
                <c:formatCode>0.0</c:formatCode>
                <c:ptCount val="3"/>
                <c:pt idx="0">
                  <c:v>0.1</c:v>
                </c:pt>
                <c:pt idx="1">
                  <c:v>0</c:v>
                </c:pt>
                <c:pt idx="2">
                  <c:v>0.1</c:v>
                </c:pt>
              </c:numCache>
            </c:numRef>
          </c:val>
        </c:ser>
        <c:ser>
          <c:idx val="2"/>
          <c:order val="2"/>
          <c:tx>
            <c:strRef>
              <c:f>'Sheet1 (2)'!$D$10</c:f>
              <c:strCache>
                <c:ptCount val="1"/>
                <c:pt idx="0">
                  <c:v>Industrie</c:v>
                </c:pt>
              </c:strCache>
            </c:strRef>
          </c:tx>
          <c:spPr>
            <a:solidFill>
              <a:srgbClr val="FF0000"/>
            </a:solidFill>
            <a:ln w="7084">
              <a:solidFill>
                <a:srgbClr val="FF0000"/>
              </a:solidFill>
              <a:prstDash val="solid"/>
            </a:ln>
          </c:spPr>
          <c:invertIfNegative val="0"/>
          <c:cat>
            <c:strRef>
              <c:f>'Sheet1 (2)'!$A$11:$A$13</c:f>
              <c:strCache>
                <c:ptCount val="3"/>
                <c:pt idx="0">
                  <c:v>Trim I 2016</c:v>
                </c:pt>
                <c:pt idx="1">
                  <c:v>Trim I 2017</c:v>
                </c:pt>
                <c:pt idx="2">
                  <c:v>Trim I 2018</c:v>
                </c:pt>
              </c:strCache>
            </c:strRef>
          </c:cat>
          <c:val>
            <c:numRef>
              <c:f>'Sheet1 (2)'!$D$11:$D$13</c:f>
              <c:numCache>
                <c:formatCode>0.0</c:formatCode>
                <c:ptCount val="3"/>
                <c:pt idx="0">
                  <c:v>0.70000000000000062</c:v>
                </c:pt>
                <c:pt idx="1">
                  <c:v>1.5</c:v>
                </c:pt>
                <c:pt idx="2">
                  <c:v>1</c:v>
                </c:pt>
              </c:numCache>
            </c:numRef>
          </c:val>
        </c:ser>
        <c:ser>
          <c:idx val="3"/>
          <c:order val="3"/>
          <c:tx>
            <c:strRef>
              <c:f>'Sheet1 (2)'!$E$10</c:f>
              <c:strCache>
                <c:ptCount val="1"/>
                <c:pt idx="0">
                  <c:v>Constructii</c:v>
                </c:pt>
              </c:strCache>
            </c:strRef>
          </c:tx>
          <c:spPr>
            <a:solidFill>
              <a:srgbClr val="FFFF00"/>
            </a:solidFill>
            <a:ln w="7084">
              <a:solidFill>
                <a:srgbClr val="FFFF00"/>
              </a:solidFill>
              <a:prstDash val="solid"/>
            </a:ln>
          </c:spPr>
          <c:invertIfNegative val="0"/>
          <c:cat>
            <c:strRef>
              <c:f>'Sheet1 (2)'!$A$11:$A$13</c:f>
              <c:strCache>
                <c:ptCount val="3"/>
                <c:pt idx="0">
                  <c:v>Trim I 2016</c:v>
                </c:pt>
                <c:pt idx="1">
                  <c:v>Trim I 2017</c:v>
                </c:pt>
                <c:pt idx="2">
                  <c:v>Trim I 2018</c:v>
                </c:pt>
              </c:strCache>
            </c:strRef>
          </c:cat>
          <c:val>
            <c:numRef>
              <c:f>'Sheet1 (2)'!$E$11:$E$13</c:f>
              <c:numCache>
                <c:formatCode>0.0</c:formatCode>
                <c:ptCount val="3"/>
                <c:pt idx="0">
                  <c:v>0.30000000000000032</c:v>
                </c:pt>
                <c:pt idx="1">
                  <c:v>0</c:v>
                </c:pt>
                <c:pt idx="2">
                  <c:v>0</c:v>
                </c:pt>
              </c:numCache>
            </c:numRef>
          </c:val>
        </c:ser>
        <c:ser>
          <c:idx val="4"/>
          <c:order val="4"/>
          <c:tx>
            <c:strRef>
              <c:f>'Sheet1 (2)'!$F$10</c:f>
              <c:strCache>
                <c:ptCount val="1"/>
                <c:pt idx="0">
                  <c:v>Servicii</c:v>
                </c:pt>
              </c:strCache>
            </c:strRef>
          </c:tx>
          <c:spPr>
            <a:solidFill>
              <a:srgbClr val="CC99FF"/>
            </a:solidFill>
            <a:ln w="7084">
              <a:solidFill>
                <a:srgbClr val="CC99FF"/>
              </a:solidFill>
              <a:prstDash val="solid"/>
            </a:ln>
          </c:spPr>
          <c:invertIfNegative val="0"/>
          <c:cat>
            <c:strRef>
              <c:f>'Sheet1 (2)'!$A$11:$A$13</c:f>
              <c:strCache>
                <c:ptCount val="3"/>
                <c:pt idx="0">
                  <c:v>Trim I 2016</c:v>
                </c:pt>
                <c:pt idx="1">
                  <c:v>Trim I 2017</c:v>
                </c:pt>
                <c:pt idx="2">
                  <c:v>Trim I 2018</c:v>
                </c:pt>
              </c:strCache>
            </c:strRef>
          </c:cat>
          <c:val>
            <c:numRef>
              <c:f>'Sheet1 (2)'!$F$11:$F$13</c:f>
              <c:numCache>
                <c:formatCode>0.0</c:formatCode>
                <c:ptCount val="3"/>
                <c:pt idx="0">
                  <c:v>2.8</c:v>
                </c:pt>
                <c:pt idx="1">
                  <c:v>3.7</c:v>
                </c:pt>
                <c:pt idx="2">
                  <c:v>2</c:v>
                </c:pt>
              </c:numCache>
            </c:numRef>
          </c:val>
        </c:ser>
        <c:ser>
          <c:idx val="5"/>
          <c:order val="5"/>
          <c:tx>
            <c:strRef>
              <c:f>'Sheet1 (2)'!$G$10</c:f>
              <c:strCache>
                <c:ptCount val="1"/>
                <c:pt idx="0">
                  <c:v>Impozite nete</c:v>
                </c:pt>
              </c:strCache>
            </c:strRef>
          </c:tx>
          <c:spPr>
            <a:solidFill>
              <a:srgbClr val="00FFFF"/>
            </a:solidFill>
            <a:ln w="7084">
              <a:solidFill>
                <a:srgbClr val="00FFFF"/>
              </a:solidFill>
              <a:prstDash val="solid"/>
            </a:ln>
          </c:spPr>
          <c:invertIfNegative val="0"/>
          <c:cat>
            <c:strRef>
              <c:f>'Sheet1 (2)'!$A$11:$A$13</c:f>
              <c:strCache>
                <c:ptCount val="3"/>
                <c:pt idx="0">
                  <c:v>Trim I 2016</c:v>
                </c:pt>
                <c:pt idx="1">
                  <c:v>Trim I 2017</c:v>
                </c:pt>
                <c:pt idx="2">
                  <c:v>Trim I 2018</c:v>
                </c:pt>
              </c:strCache>
            </c:strRef>
          </c:cat>
          <c:val>
            <c:numRef>
              <c:f>'Sheet1 (2)'!$G$11:$G$13</c:f>
              <c:numCache>
                <c:formatCode>0.0</c:formatCode>
                <c:ptCount val="3"/>
                <c:pt idx="0">
                  <c:v>0.4</c:v>
                </c:pt>
                <c:pt idx="1">
                  <c:v>0.4</c:v>
                </c:pt>
                <c:pt idx="2">
                  <c:v>0.9</c:v>
                </c:pt>
              </c:numCache>
            </c:numRef>
          </c:val>
        </c:ser>
        <c:dLbls>
          <c:showLegendKey val="0"/>
          <c:showVal val="0"/>
          <c:showCatName val="0"/>
          <c:showSerName val="0"/>
          <c:showPercent val="0"/>
          <c:showBubbleSize val="0"/>
        </c:dLbls>
        <c:gapWidth val="130"/>
        <c:overlap val="100"/>
        <c:axId val="377730224"/>
        <c:axId val="377730616"/>
      </c:barChart>
      <c:lineChart>
        <c:grouping val="standard"/>
        <c:varyColors val="0"/>
        <c:ser>
          <c:idx val="0"/>
          <c:order val="0"/>
          <c:tx>
            <c:strRef>
              <c:f>'Sheet1 (2)'!$B$10</c:f>
              <c:strCache>
                <c:ptCount val="1"/>
                <c:pt idx="0">
                  <c:v>PIB</c:v>
                </c:pt>
              </c:strCache>
            </c:strRef>
          </c:tx>
          <c:spPr>
            <a:ln w="21253">
              <a:solidFill>
                <a:srgbClr val="000080"/>
              </a:solidFill>
              <a:prstDash val="lgDash"/>
            </a:ln>
          </c:spPr>
          <c:marker>
            <c:symbol val="triangle"/>
            <c:size val="2"/>
            <c:spPr>
              <a:solidFill>
                <a:srgbClr val="000080"/>
              </a:solidFill>
              <a:ln>
                <a:solidFill>
                  <a:srgbClr val="000080"/>
                </a:solidFill>
                <a:prstDash val="solid"/>
              </a:ln>
            </c:spPr>
          </c:marker>
          <c:dLbls>
            <c:dLbl>
              <c:idx val="0"/>
              <c:layout>
                <c:manualLayout>
                  <c:x val="-3.3380910888163411E-2"/>
                  <c:y val="-5.6557210026519922E-2"/>
                </c:manualLayout>
              </c:layout>
              <c:spPr>
                <a:noFill/>
                <a:ln w="24024">
                  <a:noFill/>
                </a:ln>
              </c:spPr>
              <c:txPr>
                <a:bodyPr/>
                <a:lstStyle/>
                <a:p>
                  <a:pPr>
                    <a:defRPr sz="851"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260044417524677E-2"/>
                  <c:y val="-4.8189009189699775E-2"/>
                </c:manualLayout>
              </c:layout>
              <c:spPr>
                <a:noFill/>
                <a:ln w="24024">
                  <a:noFill/>
                </a:ln>
              </c:spPr>
              <c:txPr>
                <a:bodyPr/>
                <a:lstStyle/>
                <a:p>
                  <a:pPr>
                    <a:defRPr sz="851"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996320804029237E-2"/>
                  <c:y val="-6.7017461072545276E-2"/>
                </c:manualLayout>
              </c:layout>
              <c:spPr>
                <a:noFill/>
                <a:ln w="24024">
                  <a:noFill/>
                </a:ln>
              </c:spPr>
              <c:txPr>
                <a:bodyPr/>
                <a:lstStyle/>
                <a:p>
                  <a:pPr>
                    <a:defRPr sz="851"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4024">
                <a:noFill/>
              </a:ln>
            </c:spPr>
            <c:txPr>
              <a:bodyPr wrap="square" lIns="38100" tIns="19050" rIns="38100" bIns="19050" anchor="ctr">
                <a:spAutoFit/>
              </a:bodyPr>
              <a:lstStyle/>
              <a:p>
                <a:pPr>
                  <a:defRPr sz="851"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(2)'!$A$11:$A$13</c:f>
              <c:strCache>
                <c:ptCount val="3"/>
                <c:pt idx="0">
                  <c:v>Trim I 2016</c:v>
                </c:pt>
                <c:pt idx="1">
                  <c:v>Trim I 2017</c:v>
                </c:pt>
                <c:pt idx="2">
                  <c:v>Trim I 2018</c:v>
                </c:pt>
              </c:strCache>
            </c:strRef>
          </c:cat>
          <c:val>
            <c:numRef>
              <c:f>'Sheet1 (2)'!$B$11:$B$13</c:f>
              <c:numCache>
                <c:formatCode>0.0</c:formatCode>
                <c:ptCount val="3"/>
                <c:pt idx="0" formatCode="General">
                  <c:v>4.3</c:v>
                </c:pt>
                <c:pt idx="1">
                  <c:v>5.7</c:v>
                </c:pt>
                <c:pt idx="2">
                  <c:v>4</c:v>
                </c:pt>
              </c:numCache>
            </c:numRef>
          </c:val>
          <c:smooth val="0"/>
        </c:ser>
        <c:dLbls>
          <c:showLegendKey val="0"/>
          <c:showVal val="0"/>
          <c:showCatName val="0"/>
          <c:showSerName val="0"/>
          <c:showPercent val="0"/>
          <c:showBubbleSize val="0"/>
        </c:dLbls>
        <c:marker val="1"/>
        <c:smooth val="0"/>
        <c:axId val="377730224"/>
        <c:axId val="377730616"/>
      </c:lineChart>
      <c:catAx>
        <c:axId val="377730224"/>
        <c:scaling>
          <c:orientation val="minMax"/>
        </c:scaling>
        <c:delete val="0"/>
        <c:axPos val="b"/>
        <c:title>
          <c:tx>
            <c:rich>
              <a:bodyPr/>
              <a:lstStyle/>
              <a:p>
                <a:pPr>
                  <a:defRPr sz="946" b="1" i="0" u="none" strike="noStrike" baseline="0">
                    <a:solidFill>
                      <a:srgbClr val="000000"/>
                    </a:solidFill>
                    <a:latin typeface="Calibri"/>
                    <a:ea typeface="Calibri"/>
                    <a:cs typeface="Calibri"/>
                  </a:defRPr>
                </a:pPr>
                <a:r>
                  <a:rPr lang="ro-RO"/>
                  <a:t> - procente -</a:t>
                </a:r>
              </a:p>
            </c:rich>
          </c:tx>
          <c:layout>
            <c:manualLayout>
              <c:xMode val="edge"/>
              <c:yMode val="edge"/>
              <c:x val="8.3791192767570952E-2"/>
              <c:y val="1.8828532509385723E-2"/>
            </c:manualLayout>
          </c:layout>
          <c:overlay val="0"/>
          <c:spPr>
            <a:noFill/>
            <a:ln w="24024">
              <a:noFill/>
            </a:ln>
          </c:spPr>
        </c:title>
        <c:numFmt formatCode="General" sourceLinked="1"/>
        <c:majorTickMark val="out"/>
        <c:minorTickMark val="none"/>
        <c:tickLblPos val="nextTo"/>
        <c:spPr>
          <a:ln w="1771">
            <a:solidFill>
              <a:srgbClr val="000000"/>
            </a:solidFill>
            <a:prstDash val="solid"/>
          </a:ln>
        </c:spPr>
        <c:txPr>
          <a:bodyPr rot="0" vert="horz"/>
          <a:lstStyle/>
          <a:p>
            <a:pPr>
              <a:defRPr sz="757" b="1" i="0" u="none" strike="noStrike" baseline="0">
                <a:solidFill>
                  <a:srgbClr val="000000"/>
                </a:solidFill>
                <a:latin typeface="Arial"/>
                <a:ea typeface="Arial"/>
                <a:cs typeface="Arial"/>
              </a:defRPr>
            </a:pPr>
            <a:endParaRPr lang="en-US"/>
          </a:p>
        </c:txPr>
        <c:crossAx val="377730616"/>
        <c:crosses val="autoZero"/>
        <c:auto val="1"/>
        <c:lblAlgn val="ctr"/>
        <c:lblOffset val="100"/>
        <c:tickLblSkip val="1"/>
        <c:tickMarkSkip val="1"/>
        <c:noMultiLvlLbl val="0"/>
      </c:catAx>
      <c:valAx>
        <c:axId val="377730616"/>
        <c:scaling>
          <c:orientation val="minMax"/>
          <c:max val="6"/>
          <c:min val="0"/>
        </c:scaling>
        <c:delete val="0"/>
        <c:axPos val="l"/>
        <c:majorGridlines>
          <c:spPr>
            <a:ln w="1771">
              <a:solidFill>
                <a:srgbClr val="5B9BD5">
                  <a:lumMod val="60000"/>
                  <a:lumOff val="40000"/>
                </a:srgbClr>
              </a:solidFill>
              <a:prstDash val="solid"/>
            </a:ln>
          </c:spPr>
        </c:majorGridlines>
        <c:numFmt formatCode="0.0" sourceLinked="1"/>
        <c:majorTickMark val="out"/>
        <c:minorTickMark val="out"/>
        <c:tickLblPos val="nextTo"/>
        <c:spPr>
          <a:ln w="1771">
            <a:solidFill>
              <a:srgbClr val="000000"/>
            </a:solidFill>
            <a:prstDash val="solid"/>
          </a:ln>
        </c:spPr>
        <c:txPr>
          <a:bodyPr rot="0" vert="horz"/>
          <a:lstStyle/>
          <a:p>
            <a:pPr>
              <a:defRPr sz="757" b="1" i="0" u="none" strike="noStrike" baseline="0">
                <a:solidFill>
                  <a:srgbClr val="000000"/>
                </a:solidFill>
                <a:latin typeface="Arial"/>
                <a:ea typeface="Arial"/>
                <a:cs typeface="Arial"/>
              </a:defRPr>
            </a:pPr>
            <a:endParaRPr lang="en-US"/>
          </a:p>
        </c:txPr>
        <c:crossAx val="377730224"/>
        <c:crosses val="autoZero"/>
        <c:crossBetween val="between"/>
        <c:majorUnit val="1"/>
        <c:minorUnit val="1"/>
      </c:valAx>
      <c:spPr>
        <a:solidFill>
          <a:srgbClr val="5B9BD5">
            <a:lumMod val="20000"/>
            <a:lumOff val="80000"/>
          </a:srgbClr>
        </a:solidFill>
        <a:ln w="7084">
          <a:solidFill>
            <a:srgbClr val="5B9BD5">
              <a:lumMod val="60000"/>
              <a:lumOff val="40000"/>
            </a:srgbClr>
          </a:solidFill>
          <a:prstDash val="solid"/>
        </a:ln>
      </c:spPr>
    </c:plotArea>
    <c:legend>
      <c:legendPos val="b"/>
      <c:layout>
        <c:manualLayout>
          <c:xMode val="edge"/>
          <c:yMode val="edge"/>
          <c:x val="6.647807637906647E-2"/>
          <c:y val="0.88295165394402064"/>
          <c:w val="0.83875530410183863"/>
          <c:h val="9.9236641221374058E-2"/>
        </c:manualLayout>
      </c:layout>
      <c:overlay val="0"/>
      <c:spPr>
        <a:solidFill>
          <a:srgbClr val="5B9BD5">
            <a:lumMod val="20000"/>
            <a:lumOff val="80000"/>
          </a:srgbClr>
        </a:solidFill>
        <a:ln w="1771">
          <a:solidFill>
            <a:srgbClr val="5B9BD5">
              <a:lumMod val="20000"/>
              <a:lumOff val="80000"/>
            </a:srgbClr>
          </a:solidFill>
          <a:prstDash val="solid"/>
        </a:ln>
      </c:spPr>
      <c:txPr>
        <a:bodyPr/>
        <a:lstStyle/>
        <a:p>
          <a:pPr>
            <a:defRPr sz="757"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5B9BD5">
        <a:lumMod val="20000"/>
        <a:lumOff val="80000"/>
      </a:srgbClr>
    </a:solidFill>
    <a:ln>
      <a:solidFill>
        <a:srgbClr val="5B9BD5">
          <a:lumMod val="60000"/>
          <a:lumOff val="40000"/>
        </a:srgbClr>
      </a:solidFill>
    </a:ln>
  </c:spPr>
  <c:txPr>
    <a:bodyPr/>
    <a:lstStyle/>
    <a:p>
      <a:pPr>
        <a:defRPr sz="445"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7"/>
      <c:rotY val="20"/>
      <c:depthPercent val="100"/>
      <c:rAngAx val="1"/>
    </c:view3D>
    <c:floor>
      <c:thickness val="0"/>
      <c:spPr>
        <a:noFill/>
        <a:ln w="6350">
          <a:noFill/>
        </a:ln>
      </c:spPr>
    </c:floor>
    <c:sideWall>
      <c:thickness val="0"/>
      <c:spPr>
        <a:solidFill>
          <a:schemeClr val="accent1">
            <a:lumMod val="20000"/>
            <a:lumOff val="80000"/>
          </a:schemeClr>
        </a:solidFill>
        <a:ln w="25400">
          <a:noFill/>
        </a:ln>
      </c:spPr>
    </c:sideWall>
    <c:backWall>
      <c:thickness val="0"/>
      <c:spPr>
        <a:solidFill>
          <a:schemeClr val="accent1">
            <a:lumMod val="20000"/>
            <a:lumOff val="80000"/>
          </a:schemeClr>
        </a:solidFill>
        <a:ln w="25400">
          <a:noFill/>
        </a:ln>
      </c:spPr>
    </c:backWall>
    <c:plotArea>
      <c:layout>
        <c:manualLayout>
          <c:layoutTarget val="inner"/>
          <c:xMode val="edge"/>
          <c:yMode val="edge"/>
          <c:x val="8.1203007518797013E-2"/>
          <c:y val="0.10389623566385418"/>
          <c:w val="0.90676691729323311"/>
          <c:h val="0.6493514728990899"/>
        </c:manualLayout>
      </c:layout>
      <c:bar3DChart>
        <c:barDir val="col"/>
        <c:grouping val="clustered"/>
        <c:varyColors val="0"/>
        <c:ser>
          <c:idx val="0"/>
          <c:order val="0"/>
          <c:tx>
            <c:strRef>
              <c:f>'Date Lunare'!$A$133</c:f>
              <c:strCache>
                <c:ptCount val="1"/>
                <c:pt idx="0">
                  <c:v>EXPORT FOB</c:v>
                </c:pt>
              </c:strCache>
            </c:strRef>
          </c:tx>
          <c:spPr>
            <a:solidFill>
              <a:srgbClr val="333399"/>
            </a:solidFill>
            <a:ln w="12677">
              <a:solidFill>
                <a:srgbClr val="000000"/>
              </a:solidFill>
              <a:prstDash val="solid"/>
            </a:ln>
          </c:spPr>
          <c:invertIfNegative val="0"/>
          <c:dLbls>
            <c:delete val="1"/>
          </c:dLbls>
          <c:cat>
            <c:strRef>
              <c:f>'Date Lunare'!$B$6:$S$6</c:f>
              <c:strCache>
                <c:ptCount val="12"/>
                <c:pt idx="0">
                  <c:v>Ian</c:v>
                </c:pt>
                <c:pt idx="1">
                  <c:v>Feb</c:v>
                </c:pt>
                <c:pt idx="2">
                  <c:v>Mar</c:v>
                </c:pt>
                <c:pt idx="3">
                  <c:v>Apr </c:v>
                </c:pt>
                <c:pt idx="4">
                  <c:v>Mai</c:v>
                </c:pt>
                <c:pt idx="5">
                  <c:v>Iun</c:v>
                </c:pt>
                <c:pt idx="6">
                  <c:v>Iul</c:v>
                </c:pt>
                <c:pt idx="7">
                  <c:v>Aug</c:v>
                </c:pt>
                <c:pt idx="8">
                  <c:v>Sep</c:v>
                </c:pt>
                <c:pt idx="9">
                  <c:v>Oct</c:v>
                </c:pt>
                <c:pt idx="10">
                  <c:v>Noi</c:v>
                </c:pt>
                <c:pt idx="11">
                  <c:v>Dec</c:v>
                </c:pt>
              </c:strCache>
            </c:strRef>
          </c:cat>
          <c:val>
            <c:numRef>
              <c:f>('Date Lunare'!$B$133:$D$133,'Date Lunare'!$G$133:$H$133)</c:f>
              <c:numCache>
                <c:formatCode>0.0</c:formatCode>
                <c:ptCount val="5"/>
                <c:pt idx="0">
                  <c:v>5424.4</c:v>
                </c:pt>
                <c:pt idx="1">
                  <c:v>5456.3</c:v>
                </c:pt>
                <c:pt idx="2">
                  <c:v>6106.6</c:v>
                </c:pt>
                <c:pt idx="3">
                  <c:v>5234</c:v>
                </c:pt>
                <c:pt idx="4">
                  <c:v>5871.7</c:v>
                </c:pt>
              </c:numCache>
            </c:numRef>
          </c:val>
        </c:ser>
        <c:ser>
          <c:idx val="1"/>
          <c:order val="1"/>
          <c:tx>
            <c:strRef>
              <c:f>'Date Lunare'!$A$134</c:f>
              <c:strCache>
                <c:ptCount val="1"/>
                <c:pt idx="0">
                  <c:v>IMPORT CIF</c:v>
                </c:pt>
              </c:strCache>
            </c:strRef>
          </c:tx>
          <c:spPr>
            <a:solidFill>
              <a:srgbClr val="993366"/>
            </a:solidFill>
            <a:ln w="12677">
              <a:solidFill>
                <a:srgbClr val="000000"/>
              </a:solidFill>
              <a:prstDash val="solid"/>
            </a:ln>
          </c:spPr>
          <c:invertIfNegative val="0"/>
          <c:dLbls>
            <c:delete val="1"/>
          </c:dLbls>
          <c:cat>
            <c:strRef>
              <c:f>'Date Lunare'!$B$6:$S$6</c:f>
              <c:strCache>
                <c:ptCount val="12"/>
                <c:pt idx="0">
                  <c:v>Ian</c:v>
                </c:pt>
                <c:pt idx="1">
                  <c:v>Feb</c:v>
                </c:pt>
                <c:pt idx="2">
                  <c:v>Mar</c:v>
                </c:pt>
                <c:pt idx="3">
                  <c:v>Apr </c:v>
                </c:pt>
                <c:pt idx="4">
                  <c:v>Mai</c:v>
                </c:pt>
                <c:pt idx="5">
                  <c:v>Iun</c:v>
                </c:pt>
                <c:pt idx="6">
                  <c:v>Iul</c:v>
                </c:pt>
                <c:pt idx="7">
                  <c:v>Aug</c:v>
                </c:pt>
                <c:pt idx="8">
                  <c:v>Sep</c:v>
                </c:pt>
                <c:pt idx="9">
                  <c:v>Oct</c:v>
                </c:pt>
                <c:pt idx="10">
                  <c:v>Noi</c:v>
                </c:pt>
                <c:pt idx="11">
                  <c:v>Dec</c:v>
                </c:pt>
              </c:strCache>
            </c:strRef>
          </c:cat>
          <c:val>
            <c:numRef>
              <c:f>('Date Lunare'!$B$134:$D$134,'Date Lunare'!$G$134:$H$134)</c:f>
              <c:numCache>
                <c:formatCode>0.0</c:formatCode>
                <c:ptCount val="5"/>
                <c:pt idx="0">
                  <c:v>6200.7</c:v>
                </c:pt>
                <c:pt idx="1">
                  <c:v>6339.6</c:v>
                </c:pt>
                <c:pt idx="2">
                  <c:v>7165.1</c:v>
                </c:pt>
                <c:pt idx="3">
                  <c:v>6245.8</c:v>
                </c:pt>
                <c:pt idx="4">
                  <c:v>7142</c:v>
                </c:pt>
              </c:numCache>
            </c:numRef>
          </c:val>
        </c:ser>
        <c:ser>
          <c:idx val="2"/>
          <c:order val="2"/>
          <c:tx>
            <c:strRef>
              <c:f>'Date Lunare'!$A$135</c:f>
              <c:strCache>
                <c:ptCount val="1"/>
                <c:pt idx="0">
                  <c:v>SOLD</c:v>
                </c:pt>
              </c:strCache>
            </c:strRef>
          </c:tx>
          <c:spPr>
            <a:solidFill>
              <a:srgbClr val="336666"/>
            </a:solidFill>
            <a:ln w="12677">
              <a:solidFill>
                <a:srgbClr val="000000"/>
              </a:solidFill>
              <a:prstDash val="solid"/>
            </a:ln>
          </c:spPr>
          <c:invertIfNegative val="0"/>
          <c:dLbls>
            <c:dLbl>
              <c:idx val="0"/>
              <c:layout>
                <c:manualLayout>
                  <c:x val="-5.5723065104666914E-3"/>
                  <c:y val="1.4202037410231421E-2"/>
                </c:manualLayout>
              </c:layout>
              <c:spPr>
                <a:noFill/>
                <a:ln w="25354">
                  <a:noFill/>
                </a:ln>
              </c:spPr>
              <c:txPr>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0068497535369301E-3"/>
                  <c:y val="1.2680143214288264E-2"/>
                </c:manualLayout>
              </c:layout>
              <c:spPr>
                <a:noFill/>
                <a:ln w="25354">
                  <a:noFill/>
                </a:ln>
              </c:spPr>
              <c:txPr>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9.0506369630625975E-3"/>
                  <c:y val="1.5233900511776439E-2"/>
                </c:manualLayout>
              </c:layout>
              <c:spPr>
                <a:noFill/>
                <a:ln w="25354">
                  <a:noFill/>
                </a:ln>
              </c:spPr>
              <c:txPr>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1532392292426908E-2"/>
                  <c:y val="1.7720344323714162E-2"/>
                </c:manualLayout>
              </c:layout>
              <c:spPr>
                <a:noFill/>
                <a:ln w="25354">
                  <a:noFill/>
                </a:ln>
              </c:spPr>
              <c:txPr>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0111708597400899E-2"/>
                  <c:y val="-3.772048282882801E-3"/>
                </c:manualLayout>
              </c:layout>
              <c:spPr>
                <a:noFill/>
                <a:ln w="25354">
                  <a:noFill/>
                </a:ln>
              </c:spPr>
              <c:txPr>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54">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'Date Lunare'!$B$6:$S$6</c:f>
              <c:strCache>
                <c:ptCount val="12"/>
                <c:pt idx="0">
                  <c:v>Ian</c:v>
                </c:pt>
                <c:pt idx="1">
                  <c:v>Feb</c:v>
                </c:pt>
                <c:pt idx="2">
                  <c:v>Mar</c:v>
                </c:pt>
                <c:pt idx="3">
                  <c:v>Apr </c:v>
                </c:pt>
                <c:pt idx="4">
                  <c:v>Mai</c:v>
                </c:pt>
                <c:pt idx="5">
                  <c:v>Iun</c:v>
                </c:pt>
                <c:pt idx="6">
                  <c:v>Iul</c:v>
                </c:pt>
                <c:pt idx="7">
                  <c:v>Aug</c:v>
                </c:pt>
                <c:pt idx="8">
                  <c:v>Sep</c:v>
                </c:pt>
                <c:pt idx="9">
                  <c:v>Oct</c:v>
                </c:pt>
                <c:pt idx="10">
                  <c:v>Noi</c:v>
                </c:pt>
                <c:pt idx="11">
                  <c:v>Dec</c:v>
                </c:pt>
              </c:strCache>
            </c:strRef>
          </c:cat>
          <c:val>
            <c:numRef>
              <c:f>('Date Lunare'!$B$135:$D$135,'Date Lunare'!$G$135:$H$135)</c:f>
              <c:numCache>
                <c:formatCode>0.0</c:formatCode>
                <c:ptCount val="5"/>
                <c:pt idx="0">
                  <c:v>-776.30000000000018</c:v>
                </c:pt>
                <c:pt idx="1">
                  <c:v>-883.30000000000018</c:v>
                </c:pt>
                <c:pt idx="2">
                  <c:v>-1058.5</c:v>
                </c:pt>
                <c:pt idx="3">
                  <c:v>-1011.8000000000002</c:v>
                </c:pt>
                <c:pt idx="4">
                  <c:v>-1270.3000000000002</c:v>
                </c:pt>
              </c:numCache>
            </c:numRef>
          </c:val>
        </c:ser>
        <c:dLbls>
          <c:showLegendKey val="0"/>
          <c:showVal val="1"/>
          <c:showCatName val="0"/>
          <c:showSerName val="0"/>
          <c:showPercent val="0"/>
          <c:showBubbleSize val="0"/>
        </c:dLbls>
        <c:gapWidth val="150"/>
        <c:shape val="box"/>
        <c:axId val="272641168"/>
        <c:axId val="272641560"/>
        <c:axId val="0"/>
      </c:bar3DChart>
      <c:catAx>
        <c:axId val="272641168"/>
        <c:scaling>
          <c:orientation val="minMax"/>
        </c:scaling>
        <c:delete val="0"/>
        <c:axPos val="b"/>
        <c:title>
          <c:tx>
            <c:rich>
              <a:bodyPr/>
              <a:lstStyle/>
              <a:p>
                <a:pPr>
                  <a:defRPr sz="998" b="0" i="1" u="none" strike="noStrike" baseline="0">
                    <a:solidFill>
                      <a:srgbClr val="000000"/>
                    </a:solidFill>
                    <a:latin typeface="Arial"/>
                    <a:ea typeface="Arial"/>
                    <a:cs typeface="Arial"/>
                  </a:defRPr>
                </a:pPr>
                <a:r>
                  <a:rPr lang="ro-RO"/>
                  <a:t> - mil. euro - </a:t>
                </a:r>
              </a:p>
            </c:rich>
          </c:tx>
          <c:layout>
            <c:manualLayout>
              <c:xMode val="edge"/>
              <c:yMode val="edge"/>
              <c:x val="0.71428566110087388"/>
              <c:y val="4.1558328285887264E-2"/>
            </c:manualLayout>
          </c:layout>
          <c:overlay val="0"/>
          <c:spPr>
            <a:noFill/>
            <a:ln w="25354">
              <a:noFill/>
            </a:ln>
          </c:spPr>
        </c:title>
        <c:numFmt formatCode="General" sourceLinked="1"/>
        <c:majorTickMark val="out"/>
        <c:minorTickMark val="none"/>
        <c:tickLblPos val="low"/>
        <c:spPr>
          <a:ln w="3169">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272641560"/>
        <c:crosses val="autoZero"/>
        <c:auto val="0"/>
        <c:lblAlgn val="ctr"/>
        <c:lblOffset val="100"/>
        <c:tickLblSkip val="1"/>
        <c:tickMarkSkip val="1"/>
        <c:noMultiLvlLbl val="0"/>
      </c:catAx>
      <c:valAx>
        <c:axId val="272641560"/>
        <c:scaling>
          <c:orientation val="minMax"/>
        </c:scaling>
        <c:delete val="0"/>
        <c:axPos val="l"/>
        <c:numFmt formatCode="0" sourceLinked="0"/>
        <c:majorTickMark val="out"/>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272641168"/>
        <c:crosses val="autoZero"/>
        <c:crossBetween val="between"/>
      </c:valAx>
      <c:spPr>
        <a:noFill/>
        <a:ln w="25354">
          <a:noFill/>
        </a:ln>
      </c:spPr>
    </c:plotArea>
    <c:legend>
      <c:legendPos val="r"/>
      <c:layout>
        <c:manualLayout>
          <c:xMode val="edge"/>
          <c:yMode val="edge"/>
          <c:x val="0.27880512091038406"/>
          <c:y val="0.90123456790123313"/>
          <c:w val="0.54054054054054068"/>
          <c:h val="5.9259259259259262E-2"/>
        </c:manualLayout>
      </c:layout>
      <c:overlay val="0"/>
      <c:spPr>
        <a:solidFill>
          <a:schemeClr val="accent1">
            <a:lumMod val="20000"/>
            <a:lumOff val="80000"/>
          </a:schemeClr>
        </a:solidFill>
        <a:ln w="3169">
          <a:noFill/>
          <a:prstDash val="solid"/>
        </a:ln>
      </c:spPr>
      <c:txPr>
        <a:bodyPr/>
        <a:lstStyle/>
        <a:p>
          <a:pPr>
            <a:defRPr sz="918" b="0" i="0" u="none" strike="noStrike" baseline="0">
              <a:solidFill>
                <a:srgbClr val="000000"/>
              </a:solidFill>
              <a:latin typeface="Arial"/>
              <a:ea typeface="Arial"/>
              <a:cs typeface="Arial"/>
            </a:defRPr>
          </a:pPr>
          <a:endParaRPr lang="en-US"/>
        </a:p>
      </c:txPr>
    </c:legend>
    <c:plotVisOnly val="1"/>
    <c:dispBlanksAs val="gap"/>
    <c:showDLblsOverMax val="0"/>
  </c:chart>
  <c:spPr>
    <a:solidFill>
      <a:schemeClr val="accent1">
        <a:lumMod val="20000"/>
        <a:lumOff val="80000"/>
      </a:schemeClr>
    </a:solidFill>
    <a:ln w="3169">
      <a:noFill/>
      <a:prstDash val="solid"/>
    </a:ln>
  </c:spPr>
  <c:txPr>
    <a:bodyPr/>
    <a:lstStyle/>
    <a:p>
      <a:pPr>
        <a:defRPr sz="998"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Ponderea somerilor indemnizati in total someri inregistrati %</a:t>
            </a:r>
          </a:p>
        </c:rich>
      </c:tx>
      <c:layout>
        <c:manualLayout>
          <c:xMode val="edge"/>
          <c:yMode val="edge"/>
          <c:x val="0.11735537190082644"/>
          <c:y val="3.1914935062405295E-2"/>
        </c:manualLayout>
      </c:layout>
      <c:overlay val="0"/>
      <c:spPr>
        <a:noFill/>
        <a:ln w="25400">
          <a:noFill/>
        </a:ln>
      </c:spPr>
    </c:title>
    <c:autoTitleDeleted val="0"/>
    <c:plotArea>
      <c:layout>
        <c:manualLayout>
          <c:layoutTarget val="inner"/>
          <c:xMode val="edge"/>
          <c:yMode val="edge"/>
          <c:x val="0.12396694214876043"/>
          <c:y val="0.14228028132639056"/>
          <c:w val="0.82148760330578563"/>
          <c:h val="0.6068187334800853"/>
        </c:manualLayout>
      </c:layout>
      <c:lineChart>
        <c:grouping val="standard"/>
        <c:varyColors val="0"/>
        <c:ser>
          <c:idx val="3"/>
          <c:order val="0"/>
          <c:tx>
            <c:strRef>
              <c:f>Sheet3!$A$3</c:f>
              <c:strCache>
                <c:ptCount val="1"/>
                <c:pt idx="0">
                  <c:v>Numarul de someri inregistrati -mii persoane</c:v>
                </c:pt>
              </c:strCache>
            </c:strRef>
          </c:tx>
          <c:cat>
            <c:strRef>
              <c:f>Sheet3!$B$2:$G$2</c:f>
              <c:strCache>
                <c:ptCount val="6"/>
                <c:pt idx="0">
                  <c:v>Ianuarie</c:v>
                </c:pt>
                <c:pt idx="1">
                  <c:v>Februarie</c:v>
                </c:pt>
                <c:pt idx="2">
                  <c:v>Martie</c:v>
                </c:pt>
                <c:pt idx="3">
                  <c:v>Aprilie</c:v>
                </c:pt>
                <c:pt idx="4">
                  <c:v>Mai</c:v>
                </c:pt>
                <c:pt idx="5">
                  <c:v>Iunie</c:v>
                </c:pt>
              </c:strCache>
            </c:strRef>
          </c:cat>
          <c:val>
            <c:numRef>
              <c:f>Sheet3!$B$3:$G$3</c:f>
            </c:numRef>
          </c:val>
          <c:smooth val="0"/>
        </c:ser>
        <c:ser>
          <c:idx val="4"/>
          <c:order val="1"/>
          <c:tx>
            <c:strRef>
              <c:f>Sheet3!$A$4</c:f>
              <c:strCache>
                <c:ptCount val="1"/>
                <c:pt idx="0">
                  <c:v>Numarul de someri indemnizati -mii persoane</c:v>
                </c:pt>
              </c:strCache>
            </c:strRef>
          </c:tx>
          <c:cat>
            <c:strRef>
              <c:f>Sheet3!$B$2:$G$2</c:f>
              <c:strCache>
                <c:ptCount val="6"/>
                <c:pt idx="0">
                  <c:v>Ianuarie</c:v>
                </c:pt>
                <c:pt idx="1">
                  <c:v>Februarie</c:v>
                </c:pt>
                <c:pt idx="2">
                  <c:v>Martie</c:v>
                </c:pt>
                <c:pt idx="3">
                  <c:v>Aprilie</c:v>
                </c:pt>
                <c:pt idx="4">
                  <c:v>Mai</c:v>
                </c:pt>
                <c:pt idx="5">
                  <c:v>Iunie</c:v>
                </c:pt>
              </c:strCache>
            </c:strRef>
          </c:cat>
          <c:val>
            <c:numRef>
              <c:f>Sheet3!$B$4:$G$4</c:f>
            </c:numRef>
          </c:val>
          <c:smooth val="0"/>
        </c:ser>
        <c:ser>
          <c:idx val="0"/>
          <c:order val="2"/>
          <c:tx>
            <c:strRef>
              <c:f>Sheet3!$A$5</c:f>
              <c:strCache>
                <c:ptCount val="1"/>
                <c:pt idx="0">
                  <c:v>2016</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2.9043694031225815E-2"/>
                  <c:y val="1.9447439133932643E-2"/>
                </c:manualLayout>
              </c:layout>
              <c:dLblPos val="t"/>
              <c:showLegendKey val="0"/>
              <c:showVal val="1"/>
              <c:showCatName val="0"/>
              <c:showSerName val="0"/>
              <c:showPercent val="0"/>
              <c:showBubbleSize val="0"/>
              <c:extLst>
                <c:ext xmlns:c15="http://schemas.microsoft.com/office/drawing/2012/chart" uri="{CE6537A1-D6FC-4f65-9D91-7224C49458BB}"/>
              </c:extLst>
            </c:dLbl>
            <c:dLbl>
              <c:idx val="2"/>
              <c:layout>
                <c:manualLayout>
                  <c:x val="1.8633540372670808E-2"/>
                  <c:y val="2.5839788024214104E-3"/>
                </c:manualLayout>
              </c:layout>
              <c:dLblPos val="t"/>
              <c:showLegendKey val="0"/>
              <c:showVal val="1"/>
              <c:showCatName val="0"/>
              <c:showSerName val="0"/>
              <c:showPercent val="0"/>
              <c:showBubbleSize val="0"/>
              <c:extLst>
                <c:ext xmlns:c15="http://schemas.microsoft.com/office/drawing/2012/chart" uri="{CE6537A1-D6FC-4f65-9D91-7224C49458BB}"/>
              </c:extLst>
            </c:dLbl>
            <c:dLbl>
              <c:idx val="3"/>
              <c:layout>
                <c:manualLayout>
                  <c:x val="2.4844720496894485E-2"/>
                  <c:y val="-3.1007745629057476E-2"/>
                </c:manualLayout>
              </c:layout>
              <c:dLblPos val="t"/>
              <c:showLegendKey val="0"/>
              <c:showVal val="1"/>
              <c:showCatName val="0"/>
              <c:showSerName val="0"/>
              <c:showPercent val="0"/>
              <c:showBubbleSize val="0"/>
              <c:extLst>
                <c:ext xmlns:c15="http://schemas.microsoft.com/office/drawing/2012/chart" uri="{CE6537A1-D6FC-4f65-9D91-7224C49458BB}"/>
              </c:extLst>
            </c:dLbl>
            <c:dLbl>
              <c:idx val="4"/>
              <c:layout>
                <c:manualLayout>
                  <c:x val="1.8633540372670808E-2"/>
                  <c:y val="-2.3255809221793072E-2"/>
                </c:manualLayout>
              </c:layout>
              <c:dLblPos val="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Sheet3!$B$2:$G$2</c:f>
              <c:strCache>
                <c:ptCount val="6"/>
                <c:pt idx="0">
                  <c:v>Ianuarie</c:v>
                </c:pt>
                <c:pt idx="1">
                  <c:v>Februarie</c:v>
                </c:pt>
                <c:pt idx="2">
                  <c:v>Martie</c:v>
                </c:pt>
                <c:pt idx="3">
                  <c:v>Aprilie</c:v>
                </c:pt>
                <c:pt idx="4">
                  <c:v>Mai</c:v>
                </c:pt>
                <c:pt idx="5">
                  <c:v>Iunie</c:v>
                </c:pt>
              </c:strCache>
            </c:strRef>
          </c:cat>
          <c:val>
            <c:numRef>
              <c:f>Sheet3!$B$5:$G$5</c:f>
              <c:numCache>
                <c:formatCode>0.0</c:formatCode>
                <c:ptCount val="6"/>
                <c:pt idx="0">
                  <c:v>25.336083548242321</c:v>
                </c:pt>
                <c:pt idx="1">
                  <c:v>23.825342425695673</c:v>
                </c:pt>
                <c:pt idx="2">
                  <c:v>20.919244293462061</c:v>
                </c:pt>
                <c:pt idx="3">
                  <c:v>18.978944963271573</c:v>
                </c:pt>
                <c:pt idx="4">
                  <c:v>17.926281762397423</c:v>
                </c:pt>
                <c:pt idx="5">
                  <c:v>17.100000000000001</c:v>
                </c:pt>
              </c:numCache>
            </c:numRef>
          </c:val>
          <c:smooth val="0"/>
        </c:ser>
        <c:ser>
          <c:idx val="1"/>
          <c:order val="3"/>
          <c:tx>
            <c:strRef>
              <c:f>Sheet3!$A$6</c:f>
              <c:strCache>
                <c:ptCount val="1"/>
                <c:pt idx="0">
                  <c:v>2017</c:v>
                </c:pt>
              </c:strCache>
            </c:strRef>
          </c:tx>
          <c:spPr>
            <a:ln w="25400">
              <a:solidFill>
                <a:srgbClr val="FF00FF"/>
              </a:solidFill>
              <a:prstDash val="solid"/>
            </a:ln>
          </c:spPr>
          <c:marker>
            <c:symbol val="square"/>
            <c:size val="7"/>
            <c:spPr>
              <a:solidFill>
                <a:srgbClr val="FF00FF"/>
              </a:solidFill>
              <a:ln>
                <a:solidFill>
                  <a:srgbClr val="FF00FF"/>
                </a:solidFill>
                <a:prstDash val="solid"/>
              </a:ln>
            </c:spPr>
          </c:marker>
          <c:dLbls>
            <c:dLbl>
              <c:idx val="0"/>
              <c:layout>
                <c:manualLayout>
                  <c:x val="-4.140786749482402E-3"/>
                  <c:y val="-6.2015491258114987E-2"/>
                </c:manualLayout>
              </c:layout>
              <c:dLblPos val="b"/>
              <c:showLegendKey val="0"/>
              <c:showVal val="1"/>
              <c:showCatName val="0"/>
              <c:showSerName val="0"/>
              <c:showPercent val="0"/>
              <c:showBubbleSize val="0"/>
              <c:extLst>
                <c:ext xmlns:c15="http://schemas.microsoft.com/office/drawing/2012/chart" uri="{CE6537A1-D6FC-4f65-9D91-7224C49458BB}"/>
              </c:extLst>
            </c:dLbl>
            <c:dLbl>
              <c:idx val="1"/>
              <c:dLblPos val="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3.5196687370600339E-2"/>
                  <c:y val="0"/>
                </c:manualLayout>
              </c:layout>
              <c:dLblPos val="b"/>
              <c:showLegendKey val="0"/>
              <c:showVal val="1"/>
              <c:showCatName val="0"/>
              <c:showSerName val="0"/>
              <c:showPercent val="0"/>
              <c:showBubbleSize val="0"/>
              <c:extLst>
                <c:ext xmlns:c15="http://schemas.microsoft.com/office/drawing/2012/chart" uri="{CE6537A1-D6FC-4f65-9D91-7224C49458BB}"/>
              </c:extLst>
            </c:dLbl>
            <c:dLbl>
              <c:idx val="4"/>
              <c:layout>
                <c:manualLayout>
                  <c:x val="-3.7267080745341616E-2"/>
                  <c:y val="0"/>
                </c:manualLayout>
              </c:layout>
              <c:dLblPos val="b"/>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Arial"/>
                    <a:ea typeface="Arial"/>
                    <a:cs typeface="Aria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Sheet3!$B$2:$G$2</c:f>
              <c:strCache>
                <c:ptCount val="6"/>
                <c:pt idx="0">
                  <c:v>Ianuarie</c:v>
                </c:pt>
                <c:pt idx="1">
                  <c:v>Februarie</c:v>
                </c:pt>
                <c:pt idx="2">
                  <c:v>Martie</c:v>
                </c:pt>
                <c:pt idx="3">
                  <c:v>Aprilie</c:v>
                </c:pt>
                <c:pt idx="4">
                  <c:v>Mai</c:v>
                </c:pt>
                <c:pt idx="5">
                  <c:v>Iunie</c:v>
                </c:pt>
              </c:strCache>
            </c:strRef>
          </c:cat>
          <c:val>
            <c:numRef>
              <c:f>Sheet3!$B$6:$G$6</c:f>
              <c:numCache>
                <c:formatCode>0.0</c:formatCode>
                <c:ptCount val="6"/>
                <c:pt idx="0">
                  <c:v>22.350664767331434</c:v>
                </c:pt>
                <c:pt idx="1">
                  <c:v>21.906937394247034</c:v>
                </c:pt>
                <c:pt idx="2">
                  <c:v>20.907078814190214</c:v>
                </c:pt>
                <c:pt idx="3">
                  <c:v>19.498546530711902</c:v>
                </c:pt>
                <c:pt idx="4">
                  <c:v>18.432240897045151</c:v>
                </c:pt>
                <c:pt idx="5">
                  <c:v>17.100000000000001</c:v>
                </c:pt>
              </c:numCache>
            </c:numRef>
          </c:val>
          <c:smooth val="0"/>
        </c:ser>
        <c:ser>
          <c:idx val="2"/>
          <c:order val="4"/>
          <c:tx>
            <c:strRef>
              <c:f>Sheet3!$A$7</c:f>
              <c:strCache>
                <c:ptCount val="1"/>
                <c:pt idx="0">
                  <c:v>2018</c:v>
                </c:pt>
              </c:strCache>
            </c:strRef>
          </c:tx>
          <c:spPr>
            <a:ln w="25400">
              <a:solidFill>
                <a:srgbClr val="00FFFF"/>
              </a:solidFill>
              <a:prstDash val="solid"/>
            </a:ln>
          </c:spPr>
          <c:marker>
            <c:symbol val="triangle"/>
            <c:size val="7"/>
            <c:spPr>
              <a:solidFill>
                <a:srgbClr val="FFFF00"/>
              </a:solidFill>
              <a:ln>
                <a:solidFill>
                  <a:srgbClr val="00FFFF"/>
                </a:solidFill>
                <a:prstDash val="solid"/>
              </a:ln>
            </c:spPr>
          </c:marker>
          <c:dLbls>
            <c:dLbl>
              <c:idx val="5"/>
              <c:layout>
                <c:manualLayout>
                  <c:x val="3.3281331253250168E-2"/>
                  <c:y val="-2.1260435310402354E-2"/>
                </c:manualLayout>
              </c:layout>
              <c:dLblPos val="b"/>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1" i="0" u="none" strike="noStrike" baseline="0">
                    <a:solidFill>
                      <a:srgbClr val="000000"/>
                    </a:solidFill>
                    <a:latin typeface="Arial"/>
                    <a:ea typeface="Arial"/>
                    <a:cs typeface="Aria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Sheet3!$B$2:$G$2</c:f>
              <c:strCache>
                <c:ptCount val="6"/>
                <c:pt idx="0">
                  <c:v>Ianuarie</c:v>
                </c:pt>
                <c:pt idx="1">
                  <c:v>Februarie</c:v>
                </c:pt>
                <c:pt idx="2">
                  <c:v>Martie</c:v>
                </c:pt>
                <c:pt idx="3">
                  <c:v>Aprilie</c:v>
                </c:pt>
                <c:pt idx="4">
                  <c:v>Mai</c:v>
                </c:pt>
                <c:pt idx="5">
                  <c:v>Iunie</c:v>
                </c:pt>
              </c:strCache>
            </c:strRef>
          </c:cat>
          <c:val>
            <c:numRef>
              <c:f>Sheet3!$B$7:$G$7</c:f>
              <c:numCache>
                <c:formatCode>0.0</c:formatCode>
                <c:ptCount val="6"/>
                <c:pt idx="0">
                  <c:v>21.303977785610524</c:v>
                </c:pt>
                <c:pt idx="1">
                  <c:v>20.933277971190389</c:v>
                </c:pt>
                <c:pt idx="2">
                  <c:v>19.802242058125195</c:v>
                </c:pt>
                <c:pt idx="3">
                  <c:v>18.36626467534542</c:v>
                </c:pt>
                <c:pt idx="4">
                  <c:v>17.484965324841109</c:v>
                </c:pt>
                <c:pt idx="5">
                  <c:v>16.8</c:v>
                </c:pt>
              </c:numCache>
            </c:numRef>
          </c:val>
          <c:smooth val="0"/>
        </c:ser>
        <c:dLbls>
          <c:showLegendKey val="0"/>
          <c:showVal val="0"/>
          <c:showCatName val="0"/>
          <c:showSerName val="0"/>
          <c:showPercent val="0"/>
          <c:showBubbleSize val="0"/>
        </c:dLbls>
        <c:marker val="1"/>
        <c:smooth val="0"/>
        <c:axId val="272642344"/>
        <c:axId val="376683288"/>
      </c:lineChart>
      <c:catAx>
        <c:axId val="272642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376683288"/>
        <c:crosses val="autoZero"/>
        <c:auto val="1"/>
        <c:lblAlgn val="ctr"/>
        <c:lblOffset val="100"/>
        <c:tickLblSkip val="1"/>
        <c:tickMarkSkip val="1"/>
        <c:noMultiLvlLbl val="0"/>
      </c:catAx>
      <c:valAx>
        <c:axId val="376683288"/>
        <c:scaling>
          <c:orientation val="minMax"/>
          <c:min val="16"/>
        </c:scaling>
        <c:delete val="0"/>
        <c:axPos val="l"/>
        <c:majorGridlines>
          <c:spPr>
            <a:ln w="3175">
              <a:solidFill>
                <a:srgbClr val="FFFFFF"/>
              </a:solidFill>
              <a:prstDash val="sysDash"/>
            </a:ln>
          </c:spPr>
        </c:majorGridlines>
        <c:title>
          <c:tx>
            <c:rich>
              <a:bodyPr rot="-60000" vert="horz"/>
              <a:lstStyle/>
              <a:p>
                <a:pPr algn="ctr">
                  <a:defRPr sz="1000" b="1" i="0" u="none" strike="noStrike" baseline="0">
                    <a:solidFill>
                      <a:srgbClr val="000000"/>
                    </a:solidFill>
                    <a:latin typeface="Arial"/>
                    <a:ea typeface="Arial"/>
                    <a:cs typeface="Arial"/>
                  </a:defRPr>
                </a:pPr>
                <a:r>
                  <a:rPr lang="en-US"/>
                  <a:t>%</a:t>
                </a:r>
              </a:p>
            </c:rich>
          </c:tx>
          <c:layout>
            <c:manualLayout>
              <c:xMode val="edge"/>
              <c:yMode val="edge"/>
              <c:x val="0.11488466115648589"/>
              <c:y val="9.1181694198926883E-2"/>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72642344"/>
        <c:crosses val="autoZero"/>
        <c:crossBetween val="between"/>
      </c:valAx>
      <c:spPr>
        <a:solidFill>
          <a:srgbClr val="FFFFFF"/>
        </a:solidFill>
        <a:ln w="12700">
          <a:solidFill>
            <a:srgbClr val="808080"/>
          </a:solidFill>
          <a:prstDash val="solid"/>
        </a:ln>
      </c:spPr>
    </c:plotArea>
    <c:legend>
      <c:legendPos val="b"/>
      <c:layout>
        <c:manualLayout>
          <c:xMode val="edge"/>
          <c:yMode val="edge"/>
          <c:x val="0.17422099411486622"/>
          <c:y val="0.8548585210566807"/>
          <c:w val="0.65950413223140558"/>
          <c:h val="6.6867470982630253E-2"/>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cmpd="sng"/>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11CA-63C2-4D41-BED1-EEAAA2B0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28</Pages>
  <Words>8826</Words>
  <Characters>50312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Raport privind situația economică și bugetară</vt:lpstr>
    </vt:vector>
  </TitlesOfParts>
  <Company>Office07</Company>
  <LinksUpToDate>false</LinksUpToDate>
  <CharactersWithSpaces>59020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situația economică și bugetară</dc:title>
  <dc:creator>FLORIN-ANDREI DAIA</dc:creator>
  <cp:lastModifiedBy>IOANA-ALINA BURLA</cp:lastModifiedBy>
  <cp:revision>6</cp:revision>
  <cp:lastPrinted>2018-08-06T16:37:00Z</cp:lastPrinted>
  <dcterms:created xsi:type="dcterms:W3CDTF">2018-08-06T15:37:00Z</dcterms:created>
  <dcterms:modified xsi:type="dcterms:W3CDTF">2018-08-06T17:19:00Z</dcterms:modified>
</cp:coreProperties>
</file>