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8.xml" ContentType="application/vnd.openxmlformats-officedocument.themeOverride+xml"/>
  <Override PartName="/word/footer1.xml" ContentType="application/vnd.openxmlformats-officedocument.wordprocessingml.footer+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50CC" w:rsidRPr="00AF3608" w:rsidRDefault="00BE50CC" w:rsidP="00B723C0">
      <w:pPr>
        <w:widowControl w:val="0"/>
        <w:spacing w:before="120" w:line="320" w:lineRule="exact"/>
        <w:rPr>
          <w:rFonts w:ascii="Calibri" w:hAnsi="Calibri" w:cs="Calibri"/>
          <w:color w:val="002060"/>
          <w:sz w:val="40"/>
          <w:szCs w:val="40"/>
          <w:lang w:val="ro-RO"/>
        </w:rPr>
      </w:pPr>
    </w:p>
    <w:p w:rsidR="00BE50CC" w:rsidRPr="00AF3608" w:rsidRDefault="00BE50CC" w:rsidP="00B723C0">
      <w:pPr>
        <w:widowControl w:val="0"/>
        <w:tabs>
          <w:tab w:val="num" w:pos="1920"/>
        </w:tabs>
        <w:spacing w:before="120" w:line="320" w:lineRule="exact"/>
        <w:rPr>
          <w:rFonts w:ascii="Calibri" w:hAnsi="Calibri" w:cs="Calibri"/>
          <w:color w:val="002060"/>
          <w:sz w:val="40"/>
          <w:szCs w:val="40"/>
          <w:lang w:val="ro-RO"/>
        </w:rPr>
      </w:pPr>
    </w:p>
    <w:p w:rsidR="00BE50CC" w:rsidRPr="00AF3608" w:rsidRDefault="00507756" w:rsidP="00B723C0">
      <w:pPr>
        <w:widowControl w:val="0"/>
        <w:tabs>
          <w:tab w:val="num" w:pos="1920"/>
        </w:tabs>
        <w:spacing w:before="120" w:line="320" w:lineRule="exact"/>
        <w:rPr>
          <w:rFonts w:ascii="Calibri" w:hAnsi="Calibri" w:cs="Calibri"/>
          <w:color w:val="002060"/>
          <w:sz w:val="40"/>
          <w:szCs w:val="40"/>
          <w:lang w:val="ro-RO"/>
        </w:rPr>
      </w:pPr>
      <w:r w:rsidRPr="00AF3608">
        <w:rPr>
          <w:noProof/>
        </w:rPr>
        <w:drawing>
          <wp:anchor distT="0" distB="0" distL="114300" distR="114300" simplePos="0" relativeHeight="251758592" behindDoc="0" locked="0" layoutInCell="1" allowOverlap="1" wp14:anchorId="7A1A56D8" wp14:editId="5F828D89">
            <wp:simplePos x="0" y="0"/>
            <wp:positionH relativeFrom="column">
              <wp:posOffset>2447925</wp:posOffset>
            </wp:positionH>
            <wp:positionV relativeFrom="page">
              <wp:posOffset>1295400</wp:posOffset>
            </wp:positionV>
            <wp:extent cx="1066800" cy="1066800"/>
            <wp:effectExtent l="0" t="0" r="0" b="0"/>
            <wp:wrapSquare wrapText="bothSides"/>
            <wp:docPr id="27" name="Picture 27" descr="C:\Users\41125160\AppData\Local\Temp\notesE97E9E\sigla m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1125160\AppData\Local\Temp\notesE97E9E\sigla mic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50CC" w:rsidRPr="00AF3608" w:rsidRDefault="00BE50CC" w:rsidP="00B723C0">
      <w:pPr>
        <w:widowControl w:val="0"/>
        <w:tabs>
          <w:tab w:val="num" w:pos="1920"/>
        </w:tabs>
        <w:spacing w:before="120" w:line="320" w:lineRule="exact"/>
        <w:rPr>
          <w:rFonts w:ascii="Calibri" w:hAnsi="Calibri" w:cs="Calibri"/>
          <w:color w:val="002060"/>
          <w:sz w:val="40"/>
          <w:szCs w:val="40"/>
          <w:lang w:val="ro-RO"/>
        </w:rPr>
      </w:pPr>
    </w:p>
    <w:p w:rsidR="00BE50CC" w:rsidRPr="00AF3608" w:rsidRDefault="00BE50CC" w:rsidP="00B723C0">
      <w:pPr>
        <w:widowControl w:val="0"/>
        <w:tabs>
          <w:tab w:val="num" w:pos="1920"/>
        </w:tabs>
        <w:spacing w:before="120" w:line="320" w:lineRule="exact"/>
        <w:rPr>
          <w:rFonts w:ascii="Calibri" w:hAnsi="Calibri" w:cs="Calibri"/>
          <w:color w:val="002060"/>
          <w:sz w:val="40"/>
          <w:szCs w:val="40"/>
          <w:lang w:val="ro-RO"/>
        </w:rPr>
      </w:pPr>
    </w:p>
    <w:p w:rsidR="00BE50CC" w:rsidRPr="00AF3608" w:rsidRDefault="00BE50CC" w:rsidP="00B723C0">
      <w:pPr>
        <w:spacing w:before="120"/>
        <w:jc w:val="center"/>
        <w:rPr>
          <w:rFonts w:ascii="Calibri" w:hAnsi="Calibri" w:cs="Calibri"/>
          <w:color w:val="2F5496" w:themeColor="accent5" w:themeShade="BF"/>
          <w:sz w:val="40"/>
          <w:szCs w:val="40"/>
          <w:lang w:val="ro-RO"/>
        </w:rPr>
      </w:pPr>
    </w:p>
    <w:p w:rsidR="00BE50CC" w:rsidRPr="00AF3608" w:rsidRDefault="00BE50CC" w:rsidP="00B723C0">
      <w:pPr>
        <w:tabs>
          <w:tab w:val="left" w:pos="3260"/>
        </w:tabs>
        <w:spacing w:before="120"/>
        <w:jc w:val="center"/>
        <w:rPr>
          <w:rFonts w:ascii="Calibri" w:hAnsi="Calibri"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E50CC" w:rsidRPr="00AF3608" w:rsidRDefault="00BE50CC" w:rsidP="00B723C0">
      <w:pPr>
        <w:tabs>
          <w:tab w:val="left" w:pos="3260"/>
        </w:tabs>
        <w:spacing w:before="120"/>
        <w:rPr>
          <w:rFonts w:ascii="Calibri" w:hAnsi="Calibri" w:cs="Calibri"/>
          <w:b/>
          <w:color w:val="000066"/>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E50CC" w:rsidRPr="00AF3608" w:rsidRDefault="00BE50CC" w:rsidP="00B723C0">
      <w:pPr>
        <w:tabs>
          <w:tab w:val="left" w:pos="3260"/>
        </w:tabs>
        <w:spacing w:before="120"/>
        <w:rPr>
          <w:rFonts w:ascii="Calibri" w:hAnsi="Calibri" w:cs="Calibri"/>
          <w:b/>
          <w:color w:val="000066"/>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E50CC" w:rsidRPr="00AF3608" w:rsidRDefault="00BE50CC" w:rsidP="00B723C0">
      <w:pPr>
        <w:tabs>
          <w:tab w:val="left" w:pos="3260"/>
        </w:tabs>
        <w:spacing w:before="120"/>
        <w:jc w:val="center"/>
        <w:rPr>
          <w:rFonts w:ascii="Calibri" w:hAnsi="Calibri" w:cs="Calibri"/>
          <w:b/>
          <w:color w:val="000066"/>
          <w:sz w:val="44"/>
          <w:szCs w:val="44"/>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F3608">
        <w:rPr>
          <w:rFonts w:ascii="Arial Narrow" w:hAnsi="Arial Narrow" w:cs="Algerian"/>
          <w:b/>
          <w:bCs/>
          <w:color w:val="000066"/>
          <w:sz w:val="44"/>
          <w:szCs w:val="44"/>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GUVERNUL ROMÂNIEI</w:t>
      </w:r>
    </w:p>
    <w:p w:rsidR="00BE50CC" w:rsidRPr="00AF3608" w:rsidRDefault="00BE50CC" w:rsidP="00B723C0">
      <w:pPr>
        <w:tabs>
          <w:tab w:val="left" w:pos="3260"/>
        </w:tabs>
        <w:spacing w:before="120"/>
        <w:rPr>
          <w:rFonts w:ascii="Calibri" w:hAnsi="Calibri" w:cs="Calibri"/>
          <w:b/>
          <w:color w:val="000066"/>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E50CC" w:rsidRPr="00AF3608" w:rsidRDefault="00BE50CC" w:rsidP="00B723C0">
      <w:pPr>
        <w:tabs>
          <w:tab w:val="left" w:pos="3260"/>
        </w:tabs>
        <w:spacing w:before="120"/>
        <w:rPr>
          <w:rFonts w:ascii="Calibri" w:hAnsi="Calibri" w:cs="Calibri"/>
          <w:b/>
          <w:color w:val="000066"/>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bl>
      <w:tblPr>
        <w:tblW w:w="9313" w:type="dxa"/>
        <w:tblInd w:w="468" w:type="dxa"/>
        <w:shd w:val="clear" w:color="auto" w:fill="FFFFFF"/>
        <w:tblLook w:val="01E0" w:firstRow="1" w:lastRow="1" w:firstColumn="1" w:lastColumn="1" w:noHBand="0" w:noVBand="0"/>
      </w:tblPr>
      <w:tblGrid>
        <w:gridCol w:w="9313"/>
      </w:tblGrid>
      <w:tr w:rsidR="00507756" w:rsidRPr="00AF3608" w:rsidTr="00507756">
        <w:trPr>
          <w:trHeight w:val="80"/>
        </w:trPr>
        <w:tc>
          <w:tcPr>
            <w:tcW w:w="9313" w:type="dxa"/>
            <w:shd w:val="clear" w:color="auto" w:fill="FFFFFF"/>
          </w:tcPr>
          <w:p w:rsidR="00BE50CC" w:rsidRPr="00AF3608" w:rsidRDefault="00BE50CC" w:rsidP="00B723C0">
            <w:pPr>
              <w:tabs>
                <w:tab w:val="left" w:pos="3260"/>
              </w:tabs>
              <w:spacing w:before="120"/>
              <w:jc w:val="center"/>
              <w:rPr>
                <w:rFonts w:ascii="Arial Narrow" w:hAnsi="Arial Narrow" w:cs="Algerian"/>
                <w:b/>
                <w:bCs/>
                <w:color w:val="000066"/>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F3608">
              <w:rPr>
                <w:rFonts w:ascii="Arial Narrow" w:hAnsi="Arial Narrow" w:cs="Algerian"/>
                <w:b/>
                <w:bCs/>
                <w:color w:val="000066"/>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STRATEGIA FISCAL-BUGETARĂ PENTRU PERIOADA</w:t>
            </w:r>
          </w:p>
          <w:p w:rsidR="00BE50CC" w:rsidRPr="00AF3608" w:rsidRDefault="00BE50CC" w:rsidP="00B723C0">
            <w:pPr>
              <w:tabs>
                <w:tab w:val="left" w:pos="3260"/>
              </w:tabs>
              <w:spacing w:before="120"/>
              <w:jc w:val="center"/>
              <w:rPr>
                <w:rFonts w:ascii="Arial Narrow" w:hAnsi="Arial Narrow" w:cs="Algerian"/>
                <w:b/>
                <w:bCs/>
                <w:color w:val="000066"/>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E50CC" w:rsidRPr="00AF3608" w:rsidRDefault="00507756" w:rsidP="00B723C0">
            <w:pPr>
              <w:tabs>
                <w:tab w:val="left" w:pos="3260"/>
              </w:tabs>
              <w:spacing w:before="120"/>
              <w:jc w:val="center"/>
              <w:rPr>
                <w:rFonts w:ascii="Arial Narrow" w:hAnsi="Arial Narrow" w:cs="Algerian"/>
                <w:b/>
                <w:bCs/>
                <w:color w:val="000066"/>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F3608">
              <w:rPr>
                <w:rFonts w:ascii="Arial Narrow" w:hAnsi="Arial Narrow" w:cs="Algerian"/>
                <w:b/>
                <w:bCs/>
                <w:color w:val="000066"/>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2021 – 2023</w:t>
            </w:r>
          </w:p>
        </w:tc>
      </w:tr>
    </w:tbl>
    <w:p w:rsidR="00BE50CC" w:rsidRPr="00AF3608" w:rsidRDefault="00BE50CC" w:rsidP="00B723C0">
      <w:pPr>
        <w:spacing w:before="120"/>
        <w:jc w:val="center"/>
        <w:rPr>
          <w:rFonts w:ascii="Arial Narrow" w:hAnsi="Arial Narrow" w:cs="Arial"/>
          <w:b/>
          <w:bCs/>
          <w:color w:val="000066"/>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E50CC" w:rsidRPr="00AF3608" w:rsidRDefault="00BE50CC" w:rsidP="00B723C0">
      <w:pPr>
        <w:spacing w:before="120"/>
        <w:jc w:val="center"/>
        <w:rPr>
          <w:rFonts w:ascii="Arial Narrow" w:hAnsi="Arial Narrow"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E50CC" w:rsidRPr="00AF3608" w:rsidRDefault="00BE50CC" w:rsidP="00B723C0">
      <w:pPr>
        <w:spacing w:before="120"/>
        <w:jc w:val="center"/>
        <w:rPr>
          <w:rFonts w:ascii="Arial Narrow" w:hAnsi="Arial Narrow"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24714A" w:rsidRPr="00AF3608" w:rsidRDefault="0024714A" w:rsidP="00B723C0">
      <w:pPr>
        <w:spacing w:before="120"/>
        <w:jc w:val="center"/>
        <w:rPr>
          <w:rFonts w:ascii="Arial Narrow" w:hAnsi="Arial Narrow"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24714A" w:rsidRPr="00AF3608" w:rsidRDefault="0024714A" w:rsidP="00B723C0">
      <w:pPr>
        <w:spacing w:before="120"/>
        <w:jc w:val="center"/>
        <w:rPr>
          <w:rFonts w:ascii="Arial Narrow" w:hAnsi="Arial Narrow"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24714A" w:rsidRPr="00AF3608" w:rsidRDefault="0024714A" w:rsidP="00B723C0">
      <w:pPr>
        <w:spacing w:before="120"/>
        <w:jc w:val="center"/>
        <w:rPr>
          <w:rFonts w:ascii="Arial Narrow" w:hAnsi="Arial Narrow"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E50CC" w:rsidRPr="00AF3608" w:rsidRDefault="00BE50CC" w:rsidP="00B723C0">
      <w:pPr>
        <w:spacing w:before="120"/>
        <w:jc w:val="center"/>
        <w:rPr>
          <w:rFonts w:ascii="Arial Narrow" w:hAnsi="Arial Narrow"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E50CC" w:rsidRPr="00AF3608" w:rsidRDefault="00BE50CC" w:rsidP="00B723C0">
      <w:pPr>
        <w:spacing w:before="120"/>
        <w:jc w:val="center"/>
        <w:rPr>
          <w:rFonts w:ascii="Arial Narrow" w:hAnsi="Arial Narrow"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E50CC" w:rsidRPr="00AF3608" w:rsidRDefault="00BE50CC" w:rsidP="00B723C0">
      <w:pPr>
        <w:spacing w:before="120"/>
        <w:jc w:val="center"/>
        <w:rPr>
          <w:rFonts w:ascii="Arial Narrow" w:hAnsi="Arial Narrow" w:cs="Arial"/>
          <w:b/>
          <w:bCs/>
          <w:color w:val="000066"/>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E50CC" w:rsidRPr="00AF3608" w:rsidRDefault="00507756" w:rsidP="00B723C0">
      <w:pPr>
        <w:spacing w:before="120"/>
        <w:jc w:val="center"/>
        <w:rPr>
          <w:rFonts w:ascii="Arial Narrow" w:hAnsi="Arial Narrow" w:cs="Arial"/>
          <w:b/>
          <w:bCs/>
          <w:color w:val="00006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F3608">
        <w:rPr>
          <w:rFonts w:ascii="Arial Narrow" w:hAnsi="Arial Narrow" w:cs="Arial"/>
          <w:b/>
          <w:bCs/>
          <w:color w:val="00006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FEBRUARIE</w:t>
      </w:r>
    </w:p>
    <w:p w:rsidR="00BE50CC" w:rsidRPr="00AF3608" w:rsidRDefault="00507756" w:rsidP="00B723C0">
      <w:pPr>
        <w:pStyle w:val="BodyText"/>
        <w:spacing w:before="120" w:after="0"/>
        <w:jc w:val="center"/>
        <w:rPr>
          <w:rFonts w:ascii="Arial Narrow" w:hAnsi="Arial Narrow" w:cs="Arial"/>
          <w:b/>
          <w:color w:val="00006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F3608">
        <w:rPr>
          <w:rFonts w:ascii="Arial Narrow" w:hAnsi="Arial Narrow" w:cs="Arial"/>
          <w:b/>
          <w:color w:val="00006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2021</w:t>
      </w:r>
    </w:p>
    <w:p w:rsidR="00BE50CC" w:rsidRPr="00AF3608" w:rsidRDefault="00BE50CC" w:rsidP="00B723C0">
      <w:pPr>
        <w:pStyle w:val="BodyText"/>
        <w:spacing w:before="120" w:after="0"/>
        <w:rPr>
          <w:rFonts w:ascii="Arial Narrow" w:hAnsi="Arial Narrow" w:cs="Arial"/>
          <w:b/>
          <w:color w:val="000066"/>
          <w:lang w:val="ro-RO"/>
        </w:rPr>
      </w:pPr>
    </w:p>
    <w:p w:rsidR="00BE50CC" w:rsidRPr="00AF3608" w:rsidRDefault="00BE50CC" w:rsidP="00B723C0">
      <w:pPr>
        <w:jc w:val="center"/>
        <w:rPr>
          <w:rFonts w:ascii="Calibri" w:hAnsi="Calibri" w:cs="Algerian"/>
          <w:b/>
          <w:bCs/>
          <w:color w:val="333399"/>
          <w:lang w:val="ro-RO"/>
        </w:rPr>
      </w:pPr>
    </w:p>
    <w:p w:rsidR="0024714A" w:rsidRPr="00AF3608" w:rsidRDefault="0024714A" w:rsidP="00B723C0">
      <w:pPr>
        <w:jc w:val="center"/>
        <w:rPr>
          <w:rFonts w:ascii="Calibri" w:hAnsi="Calibri" w:cs="Algerian"/>
          <w:b/>
          <w:bCs/>
          <w:color w:val="333399"/>
          <w:lang w:val="ro-RO"/>
        </w:rPr>
      </w:pPr>
    </w:p>
    <w:p w:rsidR="00154CEA" w:rsidRPr="00AF3608" w:rsidRDefault="00154CEA" w:rsidP="00B723C0">
      <w:pPr>
        <w:jc w:val="center"/>
        <w:rPr>
          <w:rFonts w:ascii="Calibri" w:hAnsi="Calibri" w:cs="Algerian"/>
          <w:b/>
          <w:bCs/>
          <w:color w:val="333399"/>
          <w:lang w:val="ro-RO"/>
        </w:rPr>
      </w:pPr>
    </w:p>
    <w:p w:rsidR="0024714A" w:rsidRPr="00AF3608" w:rsidRDefault="0024714A" w:rsidP="00B723C0">
      <w:pPr>
        <w:jc w:val="center"/>
        <w:rPr>
          <w:rFonts w:ascii="Calibri" w:hAnsi="Calibri" w:cs="Algerian"/>
          <w:b/>
          <w:bCs/>
          <w:color w:val="333399"/>
          <w:lang w:val="ro-RO"/>
        </w:rPr>
      </w:pPr>
    </w:p>
    <w:tbl>
      <w:tblPr>
        <w:tblW w:w="893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8"/>
      </w:tblGrid>
      <w:tr w:rsidR="008548C1" w:rsidRPr="00AF3608" w:rsidTr="008548C1">
        <w:tc>
          <w:tcPr>
            <w:tcW w:w="8938" w:type="dxa"/>
            <w:shd w:val="clear" w:color="auto" w:fill="0070C0"/>
          </w:tcPr>
          <w:p w:rsidR="008548C1" w:rsidRPr="00AF3608" w:rsidRDefault="008548C1" w:rsidP="00B723C0">
            <w:pPr>
              <w:rPr>
                <w:rFonts w:ascii="Calibri" w:hAnsi="Calibri" w:cs="Arial Narrow"/>
                <w:b/>
                <w:bCs/>
                <w:lang w:val="ro-RO"/>
              </w:rPr>
            </w:pPr>
          </w:p>
          <w:p w:rsidR="008548C1" w:rsidRPr="00AF3608" w:rsidRDefault="008548C1" w:rsidP="00B723C0">
            <w:pPr>
              <w:rPr>
                <w:rFonts w:ascii="Calibri" w:hAnsi="Calibri" w:cs="Arial Narrow"/>
                <w:b/>
                <w:bCs/>
                <w:lang w:val="ro-RO"/>
              </w:rPr>
            </w:pPr>
            <w:r w:rsidRPr="00AF3608">
              <w:rPr>
                <w:rFonts w:ascii="Calibri" w:hAnsi="Calibri" w:cs="Arial Narrow"/>
                <w:b/>
                <w:bCs/>
                <w:lang w:val="ro-RO"/>
              </w:rPr>
              <w:t>CUPRINS</w:t>
            </w:r>
          </w:p>
        </w:tc>
      </w:tr>
      <w:tr w:rsidR="008548C1" w:rsidRPr="00AF3608" w:rsidTr="008548C1">
        <w:tc>
          <w:tcPr>
            <w:tcW w:w="8938" w:type="dxa"/>
            <w:shd w:val="clear" w:color="auto" w:fill="auto"/>
          </w:tcPr>
          <w:p w:rsidR="008548C1" w:rsidRPr="00AF3608" w:rsidRDefault="008548C1" w:rsidP="00B723C0">
            <w:pPr>
              <w:rPr>
                <w:rFonts w:ascii="Calibri" w:hAnsi="Calibri" w:cs="Arial"/>
                <w:b/>
                <w:bCs/>
                <w:lang w:val="ro-RO"/>
              </w:rPr>
            </w:pPr>
          </w:p>
        </w:tc>
      </w:tr>
      <w:tr w:rsidR="008548C1" w:rsidRPr="00AF3608" w:rsidTr="008548C1">
        <w:tc>
          <w:tcPr>
            <w:tcW w:w="8938" w:type="dxa"/>
            <w:shd w:val="clear" w:color="auto" w:fill="E0E0E0"/>
          </w:tcPr>
          <w:p w:rsidR="008548C1" w:rsidRPr="00AF3608" w:rsidRDefault="00174111" w:rsidP="00B723C0">
            <w:pPr>
              <w:rPr>
                <w:rFonts w:ascii="Calibri" w:hAnsi="Calibri" w:cs="Arial"/>
                <w:b/>
                <w:bCs/>
                <w:lang w:val="ro-RO"/>
              </w:rPr>
            </w:pPr>
            <w:r w:rsidRPr="00AF3608">
              <w:rPr>
                <w:rFonts w:ascii="Calibri" w:hAnsi="Calibri" w:cs="Arial"/>
                <w:b/>
                <w:bCs/>
                <w:lang w:val="ro-RO"/>
              </w:rPr>
              <w:t>1</w:t>
            </w:r>
            <w:r w:rsidR="00AA5EB4" w:rsidRPr="00AF3608">
              <w:rPr>
                <w:rFonts w:ascii="Calibri" w:hAnsi="Calibri" w:cs="Arial"/>
                <w:b/>
                <w:bCs/>
                <w:lang w:val="ro-RO"/>
              </w:rPr>
              <w:t>. Obiectivele politicii fisca</w:t>
            </w:r>
            <w:r w:rsidR="00507756" w:rsidRPr="00AF3608">
              <w:rPr>
                <w:rFonts w:ascii="Calibri" w:hAnsi="Calibri" w:cs="Arial"/>
                <w:b/>
                <w:bCs/>
                <w:lang w:val="ro-RO"/>
              </w:rPr>
              <w:t>le şi bugetare pe orizontul 2021</w:t>
            </w:r>
            <w:r w:rsidR="00AA5EB4" w:rsidRPr="00AF3608">
              <w:rPr>
                <w:rFonts w:ascii="Calibri" w:hAnsi="Calibri" w:cs="Arial"/>
                <w:b/>
                <w:bCs/>
                <w:lang w:val="ro-RO"/>
              </w:rPr>
              <w:t>-202</w:t>
            </w:r>
            <w:r w:rsidR="00507756" w:rsidRPr="00AF3608">
              <w:rPr>
                <w:rFonts w:ascii="Calibri" w:hAnsi="Calibri" w:cs="Arial"/>
                <w:b/>
                <w:bCs/>
                <w:lang w:val="ro-RO"/>
              </w:rPr>
              <w:t>3</w:t>
            </w:r>
          </w:p>
        </w:tc>
      </w:tr>
      <w:tr w:rsidR="008548C1" w:rsidRPr="00AF3608" w:rsidTr="008548C1">
        <w:tc>
          <w:tcPr>
            <w:tcW w:w="8938" w:type="dxa"/>
          </w:tcPr>
          <w:p w:rsidR="008548C1" w:rsidRPr="00AF3608" w:rsidRDefault="008548C1" w:rsidP="00B723C0">
            <w:pPr>
              <w:rPr>
                <w:rFonts w:ascii="Calibri" w:hAnsi="Calibri" w:cs="Arial"/>
                <w:b/>
                <w:bCs/>
                <w:lang w:val="ro-RO"/>
              </w:rPr>
            </w:pPr>
          </w:p>
        </w:tc>
      </w:tr>
      <w:tr w:rsidR="008548C1" w:rsidRPr="00AF3608" w:rsidTr="008548C1">
        <w:tc>
          <w:tcPr>
            <w:tcW w:w="8938" w:type="dxa"/>
            <w:shd w:val="clear" w:color="auto" w:fill="E6E6E6"/>
          </w:tcPr>
          <w:p w:rsidR="008548C1" w:rsidRPr="00AF3608" w:rsidRDefault="00174111" w:rsidP="00B723C0">
            <w:pPr>
              <w:rPr>
                <w:rFonts w:ascii="Calibri" w:hAnsi="Calibri" w:cs="Arial"/>
                <w:b/>
                <w:bCs/>
                <w:lang w:val="ro-RO"/>
              </w:rPr>
            </w:pPr>
            <w:r w:rsidRPr="00AF3608">
              <w:rPr>
                <w:rFonts w:ascii="Calibri" w:hAnsi="Calibri" w:cs="Arial"/>
                <w:b/>
                <w:bCs/>
                <w:lang w:val="ro-RO"/>
              </w:rPr>
              <w:t>2</w:t>
            </w:r>
            <w:r w:rsidR="008548C1" w:rsidRPr="00AF3608">
              <w:rPr>
                <w:rFonts w:ascii="Calibri" w:hAnsi="Calibri" w:cs="Arial"/>
                <w:b/>
                <w:bCs/>
                <w:lang w:val="ro-RO"/>
              </w:rPr>
              <w:t xml:space="preserve">. Obiectivul bugetar pe termen mediu </w:t>
            </w:r>
          </w:p>
        </w:tc>
      </w:tr>
      <w:tr w:rsidR="008548C1" w:rsidRPr="00AF3608" w:rsidTr="008548C1">
        <w:tc>
          <w:tcPr>
            <w:tcW w:w="8938" w:type="dxa"/>
          </w:tcPr>
          <w:p w:rsidR="008548C1" w:rsidRPr="00AF3608" w:rsidRDefault="00174111" w:rsidP="00B723C0">
            <w:pPr>
              <w:rPr>
                <w:rFonts w:ascii="Calibri" w:hAnsi="Calibri" w:cs="Arial"/>
                <w:bCs/>
                <w:lang w:val="ro-RO"/>
              </w:rPr>
            </w:pPr>
            <w:r w:rsidRPr="00AF3608">
              <w:rPr>
                <w:rFonts w:ascii="Calibri" w:hAnsi="Calibri" w:cs="Arial"/>
                <w:bCs/>
                <w:lang w:val="ro-RO"/>
              </w:rPr>
              <w:t>2</w:t>
            </w:r>
            <w:r w:rsidR="008548C1" w:rsidRPr="00AF3608">
              <w:rPr>
                <w:rFonts w:ascii="Calibri" w:hAnsi="Calibri" w:cs="Arial"/>
                <w:bCs/>
                <w:lang w:val="ro-RO"/>
              </w:rPr>
              <w:t xml:space="preserve">.1 </w:t>
            </w:r>
            <w:r w:rsidR="008548C1" w:rsidRPr="00AF3608">
              <w:rPr>
                <w:rFonts w:ascii="Calibri" w:hAnsi="Calibri"/>
                <w:lang w:val="ro-RO"/>
              </w:rPr>
              <w:t>PIB potențial și output – gap</w:t>
            </w:r>
          </w:p>
        </w:tc>
      </w:tr>
      <w:tr w:rsidR="008548C1" w:rsidRPr="00AF3608" w:rsidTr="008548C1">
        <w:tc>
          <w:tcPr>
            <w:tcW w:w="8938" w:type="dxa"/>
          </w:tcPr>
          <w:p w:rsidR="008548C1" w:rsidRPr="00AF3608" w:rsidRDefault="00174111" w:rsidP="00B723C0">
            <w:pPr>
              <w:rPr>
                <w:rFonts w:ascii="Calibri" w:hAnsi="Calibri" w:cs="Arial"/>
                <w:bCs/>
                <w:lang w:val="ro-RO"/>
              </w:rPr>
            </w:pPr>
            <w:r w:rsidRPr="00AF3608">
              <w:rPr>
                <w:rFonts w:ascii="Calibri" w:hAnsi="Calibri" w:cs="Arial"/>
                <w:bCs/>
                <w:lang w:val="ro-RO"/>
              </w:rPr>
              <w:t>2</w:t>
            </w:r>
            <w:r w:rsidR="008548C1" w:rsidRPr="00AF3608">
              <w:rPr>
                <w:rFonts w:ascii="Calibri" w:hAnsi="Calibri" w:cs="Arial"/>
                <w:bCs/>
                <w:lang w:val="ro-RO"/>
              </w:rPr>
              <w:t>.2 Evoluţia deficitului structural în perioada 201</w:t>
            </w:r>
            <w:r w:rsidR="002F3F6A" w:rsidRPr="00AF3608">
              <w:rPr>
                <w:rFonts w:ascii="Calibri" w:hAnsi="Calibri" w:cs="Arial"/>
                <w:bCs/>
                <w:lang w:val="ro-RO"/>
              </w:rPr>
              <w:t>9</w:t>
            </w:r>
            <w:r w:rsidR="008548C1" w:rsidRPr="00AF3608">
              <w:rPr>
                <w:rFonts w:ascii="Calibri" w:hAnsi="Calibri" w:cs="Arial"/>
                <w:bCs/>
                <w:lang w:val="ro-RO"/>
              </w:rPr>
              <w:t>-202</w:t>
            </w:r>
            <w:r w:rsidR="002F3F6A" w:rsidRPr="00AF3608">
              <w:rPr>
                <w:rFonts w:ascii="Calibri" w:hAnsi="Calibri" w:cs="Arial"/>
                <w:bCs/>
                <w:lang w:val="ro-RO"/>
              </w:rPr>
              <w:t>3</w:t>
            </w:r>
            <w:r w:rsidR="008548C1" w:rsidRPr="00AF3608">
              <w:rPr>
                <w:rFonts w:ascii="Calibri" w:hAnsi="Calibri" w:cs="Arial"/>
                <w:bCs/>
                <w:lang w:val="ro-RO"/>
              </w:rPr>
              <w:t xml:space="preserve"> </w:t>
            </w:r>
          </w:p>
        </w:tc>
      </w:tr>
      <w:tr w:rsidR="008548C1" w:rsidRPr="00AF3608" w:rsidTr="008548C1">
        <w:tc>
          <w:tcPr>
            <w:tcW w:w="8938" w:type="dxa"/>
          </w:tcPr>
          <w:p w:rsidR="008548C1" w:rsidRPr="00AF3608" w:rsidRDefault="008548C1" w:rsidP="00B723C0">
            <w:pPr>
              <w:rPr>
                <w:rFonts w:ascii="Calibri" w:hAnsi="Calibri" w:cs="Arial"/>
                <w:bCs/>
                <w:lang w:val="ro-RO"/>
              </w:rPr>
            </w:pPr>
          </w:p>
        </w:tc>
      </w:tr>
      <w:tr w:rsidR="008548C1" w:rsidRPr="00AF3608" w:rsidTr="008548C1">
        <w:tc>
          <w:tcPr>
            <w:tcW w:w="8938" w:type="dxa"/>
            <w:shd w:val="clear" w:color="auto" w:fill="E0E0E0"/>
          </w:tcPr>
          <w:p w:rsidR="008548C1" w:rsidRPr="00AF3608" w:rsidRDefault="00174111" w:rsidP="00B723C0">
            <w:pPr>
              <w:pStyle w:val="Title"/>
              <w:jc w:val="left"/>
              <w:rPr>
                <w:rFonts w:ascii="Calibri" w:hAnsi="Calibri"/>
                <w:b/>
                <w:sz w:val="24"/>
                <w:szCs w:val="24"/>
              </w:rPr>
            </w:pPr>
            <w:r w:rsidRPr="00AF3608">
              <w:rPr>
                <w:rFonts w:ascii="Calibri" w:hAnsi="Calibri"/>
                <w:b/>
                <w:sz w:val="24"/>
                <w:szCs w:val="24"/>
              </w:rPr>
              <w:t>3</w:t>
            </w:r>
            <w:r w:rsidR="008548C1" w:rsidRPr="00AF3608">
              <w:rPr>
                <w:rFonts w:ascii="Calibri" w:hAnsi="Calibri"/>
                <w:b/>
                <w:sz w:val="24"/>
                <w:szCs w:val="24"/>
              </w:rPr>
              <w:t xml:space="preserve">. Cadrul </w:t>
            </w:r>
            <w:r w:rsidR="0069727A" w:rsidRPr="00AF3608">
              <w:rPr>
                <w:rFonts w:ascii="Calibri" w:hAnsi="Calibri"/>
                <w:b/>
                <w:sz w:val="24"/>
                <w:szCs w:val="24"/>
              </w:rPr>
              <w:t>macro</w:t>
            </w:r>
            <w:r w:rsidR="008548C1" w:rsidRPr="00AF3608">
              <w:rPr>
                <w:rFonts w:ascii="Calibri" w:hAnsi="Calibri"/>
                <w:b/>
                <w:sz w:val="24"/>
                <w:szCs w:val="24"/>
              </w:rPr>
              <w:t>economic</w:t>
            </w:r>
          </w:p>
        </w:tc>
      </w:tr>
      <w:tr w:rsidR="008548C1" w:rsidRPr="00AF3608" w:rsidTr="008548C1">
        <w:tc>
          <w:tcPr>
            <w:tcW w:w="8938" w:type="dxa"/>
          </w:tcPr>
          <w:p w:rsidR="008548C1" w:rsidRPr="00AF3608" w:rsidRDefault="00174111" w:rsidP="00B723C0">
            <w:pPr>
              <w:rPr>
                <w:rFonts w:ascii="Calibri" w:hAnsi="Calibri" w:cs="Arial"/>
                <w:lang w:val="ro-RO"/>
              </w:rPr>
            </w:pPr>
            <w:r w:rsidRPr="00AF3608">
              <w:rPr>
                <w:rFonts w:ascii="Calibri" w:hAnsi="Calibri" w:cs="Arial"/>
                <w:lang w:val="ro-RO"/>
              </w:rPr>
              <w:t>3</w:t>
            </w:r>
            <w:r w:rsidR="008548C1" w:rsidRPr="00AF3608">
              <w:rPr>
                <w:rFonts w:ascii="Calibri" w:hAnsi="Calibri" w:cs="Arial"/>
                <w:lang w:val="ro-RO"/>
              </w:rPr>
              <w:t xml:space="preserve">.1 Evoluţii macroeconomice recente ale economiei româneşti </w:t>
            </w:r>
          </w:p>
        </w:tc>
      </w:tr>
      <w:tr w:rsidR="008548C1" w:rsidRPr="00AF3608" w:rsidTr="008548C1">
        <w:tc>
          <w:tcPr>
            <w:tcW w:w="8938" w:type="dxa"/>
          </w:tcPr>
          <w:p w:rsidR="008548C1" w:rsidRPr="00AF3608" w:rsidRDefault="00174111" w:rsidP="00E065DF">
            <w:pPr>
              <w:rPr>
                <w:rFonts w:ascii="Calibri" w:hAnsi="Calibri" w:cs="Arial"/>
                <w:lang w:val="ro-RO"/>
              </w:rPr>
            </w:pPr>
            <w:r w:rsidRPr="00AF3608">
              <w:rPr>
                <w:rFonts w:ascii="Calibri" w:hAnsi="Calibri" w:cs="Arial"/>
                <w:lang w:val="ro-RO"/>
              </w:rPr>
              <w:t>3</w:t>
            </w:r>
            <w:r w:rsidR="008548C1" w:rsidRPr="00AF3608">
              <w:rPr>
                <w:rFonts w:ascii="Calibri" w:hAnsi="Calibri" w:cs="Arial"/>
                <w:lang w:val="ro-RO"/>
              </w:rPr>
              <w:t xml:space="preserve">.2 Execuţia bugetară </w:t>
            </w:r>
            <w:r w:rsidR="00B23476" w:rsidRPr="00B23476">
              <w:rPr>
                <w:rFonts w:ascii="Calibri" w:hAnsi="Calibri" w:cs="Arial"/>
                <w:lang w:val="ro-RO"/>
              </w:rPr>
              <w:t>pe perioada 1.01 – 31.12. 2020</w:t>
            </w:r>
          </w:p>
        </w:tc>
      </w:tr>
      <w:tr w:rsidR="008548C1" w:rsidRPr="00AF3608" w:rsidTr="008548C1">
        <w:tc>
          <w:tcPr>
            <w:tcW w:w="8938" w:type="dxa"/>
          </w:tcPr>
          <w:p w:rsidR="008548C1" w:rsidRPr="00AF3608" w:rsidRDefault="00174111" w:rsidP="00B723C0">
            <w:pPr>
              <w:rPr>
                <w:rFonts w:ascii="Calibri" w:hAnsi="Calibri" w:cs="Arial"/>
                <w:lang w:val="ro-RO"/>
              </w:rPr>
            </w:pPr>
            <w:r w:rsidRPr="00AF3608">
              <w:rPr>
                <w:rFonts w:ascii="Calibri" w:hAnsi="Calibri" w:cs="Arial"/>
                <w:lang w:val="ro-RO"/>
              </w:rPr>
              <w:t>3</w:t>
            </w:r>
            <w:r w:rsidR="008548C1" w:rsidRPr="00AF3608">
              <w:rPr>
                <w:rFonts w:ascii="Calibri" w:hAnsi="Calibri" w:cs="Arial"/>
                <w:lang w:val="ro-RO"/>
              </w:rPr>
              <w:t>.3 Prognoze m</w:t>
            </w:r>
            <w:r w:rsidR="000B1B5A">
              <w:rPr>
                <w:rFonts w:ascii="Calibri" w:hAnsi="Calibri" w:cs="Arial"/>
                <w:lang w:val="ro-RO"/>
              </w:rPr>
              <w:t>acroeconomice pe termen mediu (</w:t>
            </w:r>
            <w:r w:rsidR="008548C1" w:rsidRPr="00AF3608">
              <w:rPr>
                <w:rFonts w:ascii="Calibri" w:hAnsi="Calibri" w:cs="Arial"/>
                <w:lang w:val="ro-RO"/>
              </w:rPr>
              <w:t>202</w:t>
            </w:r>
            <w:r w:rsidR="002F3F6A" w:rsidRPr="00AF3608">
              <w:rPr>
                <w:rFonts w:ascii="Calibri" w:hAnsi="Calibri" w:cs="Arial"/>
                <w:lang w:val="ro-RO"/>
              </w:rPr>
              <w:t>1-2023</w:t>
            </w:r>
            <w:r w:rsidR="008548C1" w:rsidRPr="00AF3608">
              <w:rPr>
                <w:rFonts w:ascii="Calibri" w:hAnsi="Calibri" w:cs="Arial"/>
                <w:lang w:val="ro-RO"/>
              </w:rPr>
              <w:t xml:space="preserve">) </w:t>
            </w:r>
          </w:p>
        </w:tc>
      </w:tr>
      <w:tr w:rsidR="008548C1" w:rsidRPr="00AF3608" w:rsidTr="008548C1">
        <w:tc>
          <w:tcPr>
            <w:tcW w:w="8938" w:type="dxa"/>
          </w:tcPr>
          <w:p w:rsidR="008548C1" w:rsidRPr="00AF3608" w:rsidRDefault="008548C1" w:rsidP="00B723C0">
            <w:pPr>
              <w:rPr>
                <w:rFonts w:ascii="Calibri" w:hAnsi="Calibri" w:cs="Arial"/>
                <w:lang w:val="ro-RO"/>
              </w:rPr>
            </w:pPr>
          </w:p>
        </w:tc>
      </w:tr>
      <w:tr w:rsidR="008548C1" w:rsidRPr="00AF3608" w:rsidTr="008548C1">
        <w:trPr>
          <w:trHeight w:val="342"/>
        </w:trPr>
        <w:tc>
          <w:tcPr>
            <w:tcW w:w="8938" w:type="dxa"/>
            <w:shd w:val="clear" w:color="auto" w:fill="E0E0E0"/>
          </w:tcPr>
          <w:p w:rsidR="008548C1" w:rsidRPr="00AF3608" w:rsidRDefault="00174111" w:rsidP="00B723C0">
            <w:pPr>
              <w:rPr>
                <w:rFonts w:ascii="Calibri" w:hAnsi="Calibri" w:cs="Arial"/>
                <w:b/>
                <w:bCs/>
                <w:lang w:val="ro-RO"/>
              </w:rPr>
            </w:pPr>
            <w:r w:rsidRPr="00AF3608">
              <w:rPr>
                <w:rFonts w:ascii="Calibri" w:hAnsi="Calibri" w:cs="Arial"/>
                <w:b/>
                <w:bCs/>
                <w:lang w:val="ro-RO"/>
              </w:rPr>
              <w:t>4</w:t>
            </w:r>
            <w:r w:rsidR="008548C1" w:rsidRPr="00AF3608">
              <w:rPr>
                <w:rFonts w:ascii="Calibri" w:hAnsi="Calibri" w:cs="Arial"/>
                <w:b/>
                <w:bCs/>
                <w:lang w:val="ro-RO"/>
              </w:rPr>
              <w:t>. Cadrul</w:t>
            </w:r>
            <w:r w:rsidR="008F5305" w:rsidRPr="00AF3608">
              <w:rPr>
                <w:rFonts w:ascii="Calibri" w:hAnsi="Calibri" w:cs="Arial"/>
                <w:b/>
                <w:bCs/>
                <w:lang w:val="ro-RO"/>
              </w:rPr>
              <w:t xml:space="preserve"> </w:t>
            </w:r>
            <w:r w:rsidR="002F3F6A" w:rsidRPr="00AF3608">
              <w:rPr>
                <w:rFonts w:ascii="Calibri" w:hAnsi="Calibri" w:cs="Arial"/>
                <w:b/>
                <w:bCs/>
                <w:lang w:val="ro-RO"/>
              </w:rPr>
              <w:t>fiscal-bugetar pe orizontul 2021</w:t>
            </w:r>
            <w:r w:rsidR="008548C1" w:rsidRPr="00AF3608">
              <w:rPr>
                <w:rFonts w:ascii="Calibri" w:hAnsi="Calibri" w:cs="Arial"/>
                <w:b/>
                <w:bCs/>
                <w:lang w:val="ro-RO"/>
              </w:rPr>
              <w:t>-202</w:t>
            </w:r>
            <w:r w:rsidR="002F3F6A" w:rsidRPr="00AF3608">
              <w:rPr>
                <w:rFonts w:ascii="Calibri" w:hAnsi="Calibri" w:cs="Arial"/>
                <w:b/>
                <w:bCs/>
                <w:lang w:val="ro-RO"/>
              </w:rPr>
              <w:t>3</w:t>
            </w:r>
          </w:p>
        </w:tc>
      </w:tr>
      <w:tr w:rsidR="008548C1" w:rsidRPr="00AF3608" w:rsidTr="008548C1">
        <w:tc>
          <w:tcPr>
            <w:tcW w:w="8938" w:type="dxa"/>
            <w:shd w:val="clear" w:color="auto" w:fill="auto"/>
          </w:tcPr>
          <w:p w:rsidR="008548C1" w:rsidRPr="00AF3608" w:rsidRDefault="00174111" w:rsidP="00B723C0">
            <w:pPr>
              <w:ind w:left="330" w:hanging="330"/>
              <w:rPr>
                <w:rFonts w:ascii="Calibri" w:hAnsi="Calibri" w:cs="Arial"/>
                <w:bCs/>
                <w:lang w:val="ro-RO"/>
              </w:rPr>
            </w:pPr>
            <w:r w:rsidRPr="00AF3608">
              <w:rPr>
                <w:rFonts w:ascii="Calibri" w:hAnsi="Calibri" w:cs="Arial"/>
                <w:bCs/>
                <w:lang w:val="ro-RO"/>
              </w:rPr>
              <w:t>4</w:t>
            </w:r>
            <w:r w:rsidR="00544868" w:rsidRPr="00AF3608">
              <w:rPr>
                <w:rFonts w:ascii="Calibri" w:hAnsi="Calibri" w:cs="Arial"/>
                <w:bCs/>
                <w:lang w:val="ro-RO"/>
              </w:rPr>
              <w:t>.1 R</w:t>
            </w:r>
            <w:r w:rsidR="002F3F6A" w:rsidRPr="00AF3608">
              <w:rPr>
                <w:rFonts w:ascii="Calibri" w:hAnsi="Calibri" w:cs="Arial"/>
                <w:bCs/>
                <w:lang w:val="ro-RO"/>
              </w:rPr>
              <w:t>ealizările estimate în anul 2020</w:t>
            </w:r>
            <w:r w:rsidR="00544868" w:rsidRPr="00AF3608">
              <w:rPr>
                <w:rFonts w:ascii="Calibri" w:hAnsi="Calibri" w:cs="Arial"/>
                <w:bCs/>
                <w:lang w:val="ro-RO"/>
              </w:rPr>
              <w:t xml:space="preserve"> față de măsurile asumate prin Strategia f</w:t>
            </w:r>
            <w:r w:rsidR="002F3F6A" w:rsidRPr="00AF3608">
              <w:rPr>
                <w:rFonts w:ascii="Calibri" w:hAnsi="Calibri" w:cs="Arial"/>
                <w:bCs/>
                <w:lang w:val="ro-RO"/>
              </w:rPr>
              <w:t>iscal-bugetară din perioada 2020-2022</w:t>
            </w:r>
          </w:p>
        </w:tc>
      </w:tr>
      <w:tr w:rsidR="008548C1" w:rsidRPr="00AF3608" w:rsidTr="008548C1">
        <w:tc>
          <w:tcPr>
            <w:tcW w:w="8938" w:type="dxa"/>
            <w:shd w:val="clear" w:color="auto" w:fill="auto"/>
          </w:tcPr>
          <w:p w:rsidR="008548C1" w:rsidRPr="00AF3608" w:rsidRDefault="00174111" w:rsidP="00B723C0">
            <w:pPr>
              <w:ind w:left="330" w:hanging="330"/>
              <w:rPr>
                <w:rFonts w:ascii="Calibri" w:hAnsi="Calibri" w:cs="Arial"/>
                <w:bCs/>
                <w:lang w:val="ro-RO"/>
              </w:rPr>
            </w:pPr>
            <w:r w:rsidRPr="00AF3608">
              <w:rPr>
                <w:rFonts w:ascii="Calibri" w:hAnsi="Calibri" w:cs="Arial"/>
                <w:bCs/>
                <w:lang w:val="ro-RO"/>
              </w:rPr>
              <w:t>4</w:t>
            </w:r>
            <w:r w:rsidR="008548C1" w:rsidRPr="00AF3608">
              <w:rPr>
                <w:rFonts w:ascii="Calibri" w:hAnsi="Calibri" w:cs="Arial"/>
                <w:bCs/>
                <w:lang w:val="ro-RO"/>
              </w:rPr>
              <w:t xml:space="preserve">.2 </w:t>
            </w:r>
            <w:r w:rsidR="008548C1" w:rsidRPr="00AF3608">
              <w:rPr>
                <w:rFonts w:asciiTheme="minorHAnsi" w:hAnsiTheme="minorHAnsi" w:cs="Arial"/>
                <w:bCs/>
                <w:kern w:val="1"/>
                <w:lang w:val="ro-RO" w:eastAsia="zh-CN"/>
              </w:rPr>
              <w:t>Scurtă caracterizare a politicii fiscale pe per</w:t>
            </w:r>
            <w:r w:rsidR="002F3F6A" w:rsidRPr="00AF3608">
              <w:rPr>
                <w:rFonts w:asciiTheme="minorHAnsi" w:hAnsiTheme="minorHAnsi" w:cs="Arial"/>
                <w:bCs/>
                <w:kern w:val="1"/>
                <w:lang w:val="ro-RO" w:eastAsia="zh-CN"/>
              </w:rPr>
              <w:t>ioada 2021-2023</w:t>
            </w:r>
            <w:r w:rsidR="008548C1" w:rsidRPr="00AF3608">
              <w:rPr>
                <w:rFonts w:asciiTheme="minorHAnsi" w:hAnsiTheme="minorHAnsi" w:cs="Arial"/>
                <w:bCs/>
                <w:kern w:val="1"/>
                <w:lang w:val="ro-RO" w:eastAsia="zh-CN"/>
              </w:rPr>
              <w:t>, principalele obiective pe termen mediu</w:t>
            </w:r>
          </w:p>
        </w:tc>
      </w:tr>
      <w:tr w:rsidR="008548C1" w:rsidRPr="00AF3608" w:rsidTr="008548C1">
        <w:tc>
          <w:tcPr>
            <w:tcW w:w="8938" w:type="dxa"/>
            <w:shd w:val="clear" w:color="auto" w:fill="FFFFFF"/>
          </w:tcPr>
          <w:p w:rsidR="008548C1" w:rsidRPr="00AF3608" w:rsidRDefault="00174111" w:rsidP="00B723C0">
            <w:pPr>
              <w:tabs>
                <w:tab w:val="left" w:pos="6"/>
                <w:tab w:val="left" w:pos="411"/>
              </w:tabs>
              <w:rPr>
                <w:rFonts w:ascii="Calibri" w:hAnsi="Calibri" w:cs="Arial"/>
                <w:lang w:val="ro-RO"/>
              </w:rPr>
            </w:pPr>
            <w:r w:rsidRPr="00AF3608">
              <w:rPr>
                <w:rFonts w:ascii="Calibri" w:hAnsi="Calibri" w:cs="Arial"/>
                <w:lang w:val="ro-RO"/>
              </w:rPr>
              <w:t>4</w:t>
            </w:r>
            <w:r w:rsidR="008548C1" w:rsidRPr="00AF3608">
              <w:rPr>
                <w:rFonts w:ascii="Calibri" w:hAnsi="Calibri" w:cs="Arial"/>
                <w:lang w:val="ro-RO"/>
              </w:rPr>
              <w:t>.3 Politica de cheltuieli</w:t>
            </w:r>
          </w:p>
        </w:tc>
      </w:tr>
      <w:tr w:rsidR="008548C1" w:rsidRPr="00AF3608" w:rsidTr="008548C1">
        <w:tc>
          <w:tcPr>
            <w:tcW w:w="8938" w:type="dxa"/>
            <w:shd w:val="clear" w:color="auto" w:fill="FFFFFF"/>
          </w:tcPr>
          <w:p w:rsidR="008548C1" w:rsidRPr="00AF3608" w:rsidRDefault="00174111" w:rsidP="00B723C0">
            <w:pPr>
              <w:tabs>
                <w:tab w:val="left" w:pos="6"/>
                <w:tab w:val="left" w:pos="411"/>
              </w:tabs>
              <w:rPr>
                <w:rFonts w:ascii="Calibri" w:hAnsi="Calibri" w:cs="Arial"/>
                <w:lang w:val="ro-RO"/>
              </w:rPr>
            </w:pPr>
            <w:r w:rsidRPr="00AF3608">
              <w:rPr>
                <w:rFonts w:ascii="Calibri" w:hAnsi="Calibri" w:cs="Arial"/>
                <w:lang w:val="ro-RO"/>
              </w:rPr>
              <w:t>4</w:t>
            </w:r>
            <w:r w:rsidR="008548C1" w:rsidRPr="00AF3608">
              <w:rPr>
                <w:rFonts w:ascii="Calibri" w:hAnsi="Calibri" w:cs="Arial"/>
                <w:lang w:val="ro-RO"/>
              </w:rPr>
              <w:t xml:space="preserve">.4 Politica de administrare fiscală </w:t>
            </w:r>
          </w:p>
        </w:tc>
      </w:tr>
      <w:tr w:rsidR="008548C1" w:rsidRPr="00AF3608" w:rsidTr="008548C1">
        <w:tc>
          <w:tcPr>
            <w:tcW w:w="8938" w:type="dxa"/>
            <w:shd w:val="clear" w:color="auto" w:fill="FFFFFF"/>
          </w:tcPr>
          <w:p w:rsidR="008548C1" w:rsidRPr="00AF3608" w:rsidRDefault="00174111" w:rsidP="00B723C0">
            <w:pPr>
              <w:ind w:left="1152" w:hanging="1146"/>
              <w:rPr>
                <w:rFonts w:ascii="Calibri" w:hAnsi="Calibri" w:cs="Arial"/>
                <w:lang w:val="ro-RO"/>
              </w:rPr>
            </w:pPr>
            <w:r w:rsidRPr="00AF3608">
              <w:rPr>
                <w:rFonts w:ascii="Calibri" w:hAnsi="Calibri" w:cs="Arial"/>
                <w:lang w:val="ro-RO"/>
              </w:rPr>
              <w:t>4</w:t>
            </w:r>
            <w:r w:rsidR="008548C1" w:rsidRPr="00AF3608">
              <w:rPr>
                <w:rFonts w:ascii="Calibri" w:hAnsi="Calibri" w:cs="Arial"/>
                <w:lang w:val="ro-RO"/>
              </w:rPr>
              <w:t xml:space="preserve">.5 Buget general consolidat </w:t>
            </w:r>
          </w:p>
        </w:tc>
      </w:tr>
      <w:tr w:rsidR="008548C1" w:rsidRPr="00AF3608" w:rsidTr="008548C1">
        <w:tc>
          <w:tcPr>
            <w:tcW w:w="8938" w:type="dxa"/>
            <w:shd w:val="clear" w:color="auto" w:fill="FFFFFF"/>
          </w:tcPr>
          <w:p w:rsidR="008548C1" w:rsidRPr="00AF3608" w:rsidRDefault="00174111" w:rsidP="00B723C0">
            <w:pPr>
              <w:ind w:left="462"/>
              <w:rPr>
                <w:rFonts w:ascii="Calibri" w:hAnsi="Calibri" w:cs="Arial"/>
                <w:lang w:val="ro-RO"/>
              </w:rPr>
            </w:pPr>
            <w:r w:rsidRPr="00AF3608">
              <w:rPr>
                <w:rFonts w:ascii="Calibri" w:hAnsi="Calibri" w:cs="Arial"/>
                <w:lang w:val="ro-RO"/>
              </w:rPr>
              <w:t>4</w:t>
            </w:r>
            <w:r w:rsidR="008548C1" w:rsidRPr="00AF3608">
              <w:rPr>
                <w:rFonts w:ascii="Calibri" w:hAnsi="Calibri" w:cs="Arial"/>
                <w:lang w:val="ro-RO"/>
              </w:rPr>
              <w:t xml:space="preserve">.5.1 Evolutii recente și tendinte ale veniturilor bugetare </w:t>
            </w:r>
          </w:p>
        </w:tc>
      </w:tr>
      <w:tr w:rsidR="008548C1" w:rsidRPr="00AF3608" w:rsidTr="008548C1">
        <w:tc>
          <w:tcPr>
            <w:tcW w:w="8938" w:type="dxa"/>
            <w:shd w:val="clear" w:color="auto" w:fill="FFFFFF"/>
          </w:tcPr>
          <w:p w:rsidR="008548C1" w:rsidRPr="00AF3608" w:rsidRDefault="00174111" w:rsidP="00B723C0">
            <w:pPr>
              <w:ind w:left="462"/>
              <w:rPr>
                <w:rFonts w:ascii="Calibri" w:hAnsi="Calibri" w:cs="Arial"/>
                <w:lang w:val="ro-RO"/>
              </w:rPr>
            </w:pPr>
            <w:r w:rsidRPr="00AF3608">
              <w:rPr>
                <w:rFonts w:ascii="Calibri" w:hAnsi="Calibri" w:cs="Arial"/>
                <w:lang w:val="ro-RO"/>
              </w:rPr>
              <w:t>4</w:t>
            </w:r>
            <w:r w:rsidR="008548C1" w:rsidRPr="00AF3608">
              <w:rPr>
                <w:rFonts w:ascii="Calibri" w:hAnsi="Calibri" w:cs="Arial"/>
                <w:lang w:val="ro-RO"/>
              </w:rPr>
              <w:t xml:space="preserve">.5.2 Evolutii recente și tendinte ale cheltuielilor  bugetare </w:t>
            </w:r>
          </w:p>
        </w:tc>
      </w:tr>
      <w:tr w:rsidR="008548C1" w:rsidRPr="00AF3608" w:rsidTr="008548C1">
        <w:tc>
          <w:tcPr>
            <w:tcW w:w="8938" w:type="dxa"/>
            <w:shd w:val="clear" w:color="auto" w:fill="FFFFFF"/>
          </w:tcPr>
          <w:p w:rsidR="008548C1" w:rsidRPr="00AF3608" w:rsidRDefault="00174111" w:rsidP="00B723C0">
            <w:pPr>
              <w:ind w:left="462"/>
              <w:rPr>
                <w:rFonts w:ascii="Calibri" w:hAnsi="Calibri" w:cs="Arial"/>
                <w:lang w:val="ro-RO"/>
              </w:rPr>
            </w:pPr>
            <w:r w:rsidRPr="00AF3608">
              <w:rPr>
                <w:rFonts w:ascii="Calibri" w:hAnsi="Calibri" w:cs="Arial"/>
                <w:lang w:val="ro-RO"/>
              </w:rPr>
              <w:t>4</w:t>
            </w:r>
            <w:r w:rsidR="008548C1" w:rsidRPr="00AF3608">
              <w:rPr>
                <w:rFonts w:ascii="Calibri" w:hAnsi="Calibri" w:cs="Arial"/>
                <w:lang w:val="ro-RO"/>
              </w:rPr>
              <w:t xml:space="preserve">.5.3 Diferenţe faţă de </w:t>
            </w:r>
            <w:r w:rsidR="00EA2CB7" w:rsidRPr="00AF3608">
              <w:rPr>
                <w:rFonts w:ascii="Calibri" w:hAnsi="Calibri" w:cs="Arial"/>
                <w:lang w:val="ro-RO"/>
              </w:rPr>
              <w:t>s</w:t>
            </w:r>
            <w:r w:rsidR="008548C1" w:rsidRPr="00AF3608">
              <w:rPr>
                <w:rFonts w:ascii="Calibri" w:hAnsi="Calibri" w:cs="Arial"/>
                <w:lang w:val="ro-RO"/>
              </w:rPr>
              <w:t>trategia anterioară</w:t>
            </w:r>
          </w:p>
        </w:tc>
      </w:tr>
      <w:tr w:rsidR="008548C1" w:rsidRPr="00AF3608" w:rsidTr="008548C1">
        <w:tc>
          <w:tcPr>
            <w:tcW w:w="8938" w:type="dxa"/>
            <w:shd w:val="clear" w:color="auto" w:fill="FFFFFF"/>
          </w:tcPr>
          <w:p w:rsidR="008548C1" w:rsidRPr="00AF3608" w:rsidRDefault="00174111" w:rsidP="00B723C0">
            <w:pPr>
              <w:rPr>
                <w:rFonts w:ascii="Calibri" w:hAnsi="Calibri" w:cs="Arial"/>
                <w:lang w:val="ro-RO"/>
              </w:rPr>
            </w:pPr>
            <w:r w:rsidRPr="00AF3608">
              <w:rPr>
                <w:rFonts w:ascii="Calibri" w:hAnsi="Calibri" w:cs="Arial"/>
                <w:lang w:val="ro-RO"/>
              </w:rPr>
              <w:t>4</w:t>
            </w:r>
            <w:r w:rsidR="008548C1" w:rsidRPr="00AF3608">
              <w:rPr>
                <w:rFonts w:ascii="Calibri" w:hAnsi="Calibri" w:cs="Arial"/>
                <w:lang w:val="ro-RO"/>
              </w:rPr>
              <w:t xml:space="preserve">.6 Politici publice </w:t>
            </w:r>
          </w:p>
        </w:tc>
      </w:tr>
      <w:tr w:rsidR="008548C1" w:rsidRPr="00AF3608" w:rsidTr="008548C1">
        <w:tc>
          <w:tcPr>
            <w:tcW w:w="8938" w:type="dxa"/>
            <w:shd w:val="clear" w:color="auto" w:fill="FFFFFF"/>
          </w:tcPr>
          <w:p w:rsidR="008548C1" w:rsidRPr="00AF3608" w:rsidRDefault="00174111" w:rsidP="00B723C0">
            <w:pPr>
              <w:rPr>
                <w:rFonts w:ascii="Calibri" w:hAnsi="Calibri" w:cs="Arial"/>
                <w:lang w:val="ro-RO"/>
              </w:rPr>
            </w:pPr>
            <w:r w:rsidRPr="00AF3608">
              <w:rPr>
                <w:rFonts w:ascii="Calibri" w:hAnsi="Calibri" w:cs="Arial"/>
                <w:lang w:val="ro-RO"/>
              </w:rPr>
              <w:t>4</w:t>
            </w:r>
            <w:r w:rsidR="008548C1" w:rsidRPr="00AF3608">
              <w:rPr>
                <w:rFonts w:ascii="Calibri" w:hAnsi="Calibri" w:cs="Arial"/>
                <w:lang w:val="ro-RO"/>
              </w:rPr>
              <w:t>.7 Investiţiile publice semnificative prioritizate</w:t>
            </w:r>
          </w:p>
        </w:tc>
      </w:tr>
      <w:tr w:rsidR="008548C1" w:rsidRPr="00AF3608" w:rsidTr="008548C1">
        <w:tc>
          <w:tcPr>
            <w:tcW w:w="8938" w:type="dxa"/>
            <w:shd w:val="clear" w:color="auto" w:fill="FFFFFF"/>
          </w:tcPr>
          <w:p w:rsidR="008548C1" w:rsidRPr="00AF3608" w:rsidRDefault="00174111" w:rsidP="00B723C0">
            <w:pPr>
              <w:rPr>
                <w:rFonts w:ascii="Calibri" w:hAnsi="Calibri" w:cs="Arial"/>
                <w:lang w:val="ro-RO"/>
              </w:rPr>
            </w:pPr>
            <w:r w:rsidRPr="00AF3608">
              <w:rPr>
                <w:rFonts w:ascii="Calibri" w:hAnsi="Calibri" w:cs="Arial"/>
                <w:lang w:val="ro-RO"/>
              </w:rPr>
              <w:t>4</w:t>
            </w:r>
            <w:r w:rsidR="008548C1" w:rsidRPr="00AF3608">
              <w:rPr>
                <w:rFonts w:ascii="Calibri" w:hAnsi="Calibri" w:cs="Arial"/>
                <w:lang w:val="ro-RO"/>
              </w:rPr>
              <w:t xml:space="preserve">.8 Politica în domeniul Fondurilor Europene </w:t>
            </w:r>
          </w:p>
        </w:tc>
      </w:tr>
      <w:tr w:rsidR="008548C1" w:rsidRPr="00AF3608" w:rsidTr="008548C1">
        <w:tc>
          <w:tcPr>
            <w:tcW w:w="8938" w:type="dxa"/>
            <w:shd w:val="clear" w:color="auto" w:fill="FFFFFF"/>
            <w:vAlign w:val="center"/>
          </w:tcPr>
          <w:p w:rsidR="008548C1" w:rsidRPr="00AF3608" w:rsidRDefault="00174111" w:rsidP="00B723C0">
            <w:pPr>
              <w:rPr>
                <w:rFonts w:ascii="Calibri" w:hAnsi="Calibri" w:cs="Arial"/>
                <w:lang w:val="ro-RO"/>
              </w:rPr>
            </w:pPr>
            <w:r w:rsidRPr="00AF3608">
              <w:rPr>
                <w:rFonts w:ascii="Calibri" w:hAnsi="Calibri" w:cs="Arial"/>
                <w:lang w:val="ro-RO"/>
              </w:rPr>
              <w:t>4</w:t>
            </w:r>
            <w:r w:rsidR="008548C1" w:rsidRPr="00AF3608">
              <w:rPr>
                <w:rFonts w:ascii="Calibri" w:hAnsi="Calibri" w:cs="Arial"/>
                <w:lang w:val="ro-RO"/>
              </w:rPr>
              <w:t xml:space="preserve">.9 Datoria publică și finanţarea deficitului bugetar </w:t>
            </w:r>
          </w:p>
        </w:tc>
      </w:tr>
      <w:tr w:rsidR="008548C1" w:rsidRPr="00AF3608" w:rsidTr="008548C1">
        <w:trPr>
          <w:trHeight w:val="284"/>
        </w:trPr>
        <w:tc>
          <w:tcPr>
            <w:tcW w:w="8938" w:type="dxa"/>
            <w:shd w:val="clear" w:color="auto" w:fill="FFFFFF"/>
          </w:tcPr>
          <w:p w:rsidR="008548C1" w:rsidRPr="00AF3608" w:rsidRDefault="00174111" w:rsidP="00B723C0">
            <w:pPr>
              <w:rPr>
                <w:rFonts w:ascii="Calibri" w:hAnsi="Calibri" w:cs="Arial"/>
                <w:lang w:val="ro-RO"/>
              </w:rPr>
            </w:pPr>
            <w:r w:rsidRPr="00AF3608">
              <w:rPr>
                <w:rFonts w:ascii="Calibri" w:hAnsi="Calibri" w:cs="Arial"/>
                <w:lang w:val="ro-RO"/>
              </w:rPr>
              <w:t>4</w:t>
            </w:r>
            <w:r w:rsidR="008548C1" w:rsidRPr="00AF3608">
              <w:rPr>
                <w:rFonts w:ascii="Calibri" w:hAnsi="Calibri" w:cs="Arial"/>
                <w:lang w:val="ro-RO"/>
              </w:rPr>
              <w:t>.10 Plafoane privind principalii indi</w:t>
            </w:r>
            <w:r w:rsidR="002F3F6A" w:rsidRPr="00AF3608">
              <w:rPr>
                <w:rFonts w:ascii="Calibri" w:hAnsi="Calibri" w:cs="Arial"/>
                <w:lang w:val="ro-RO"/>
              </w:rPr>
              <w:t>catori bugetari în perioada 2021-2023</w:t>
            </w:r>
          </w:p>
        </w:tc>
      </w:tr>
      <w:tr w:rsidR="008548C1" w:rsidRPr="00AF3608" w:rsidTr="008548C1">
        <w:trPr>
          <w:trHeight w:val="284"/>
        </w:trPr>
        <w:tc>
          <w:tcPr>
            <w:tcW w:w="8938" w:type="dxa"/>
            <w:shd w:val="clear" w:color="auto" w:fill="FFFFFF"/>
          </w:tcPr>
          <w:p w:rsidR="008548C1" w:rsidRPr="00AF3608" w:rsidRDefault="00174111" w:rsidP="00B723C0">
            <w:pPr>
              <w:rPr>
                <w:rFonts w:ascii="Calibri" w:hAnsi="Calibri" w:cs="Arial"/>
                <w:lang w:val="ro-RO"/>
              </w:rPr>
            </w:pPr>
            <w:r w:rsidRPr="00AF3608">
              <w:rPr>
                <w:rFonts w:ascii="Calibri" w:hAnsi="Calibri" w:cs="Arial"/>
                <w:lang w:val="ro-RO"/>
              </w:rPr>
              <w:t>4</w:t>
            </w:r>
            <w:r w:rsidR="008548C1" w:rsidRPr="00AF3608">
              <w:rPr>
                <w:rFonts w:ascii="Calibri" w:hAnsi="Calibri" w:cs="Arial"/>
                <w:lang w:val="ro-RO"/>
              </w:rPr>
              <w:t>.11 Potenţiale r</w:t>
            </w:r>
            <w:r w:rsidR="008548C1" w:rsidRPr="00AF3608">
              <w:rPr>
                <w:rFonts w:ascii="Calibri" w:hAnsi="Calibri"/>
                <w:lang w:val="ro-RO"/>
              </w:rPr>
              <w:t>iscuri fiscal-bugetare asociate</w:t>
            </w:r>
            <w:r w:rsidR="002F3F6A" w:rsidRPr="00AF3608">
              <w:rPr>
                <w:rFonts w:ascii="Calibri" w:hAnsi="Calibri"/>
                <w:lang w:val="ro-RO"/>
              </w:rPr>
              <w:t xml:space="preserve"> Strategiei fiscal-bugetare 2021-2023</w:t>
            </w:r>
          </w:p>
        </w:tc>
      </w:tr>
      <w:tr w:rsidR="008548C1" w:rsidRPr="00AF3608" w:rsidTr="008548C1">
        <w:tc>
          <w:tcPr>
            <w:tcW w:w="8938" w:type="dxa"/>
            <w:shd w:val="clear" w:color="auto" w:fill="auto"/>
          </w:tcPr>
          <w:p w:rsidR="008548C1" w:rsidRPr="00AF3608" w:rsidRDefault="008548C1" w:rsidP="00B723C0">
            <w:pPr>
              <w:rPr>
                <w:rFonts w:ascii="Calibri" w:hAnsi="Calibri" w:cs="Arial"/>
                <w:b/>
                <w:bCs/>
                <w:lang w:val="ro-RO"/>
              </w:rPr>
            </w:pPr>
          </w:p>
        </w:tc>
      </w:tr>
      <w:tr w:rsidR="008548C1" w:rsidRPr="00AF3608" w:rsidTr="008548C1">
        <w:tc>
          <w:tcPr>
            <w:tcW w:w="8938" w:type="dxa"/>
            <w:shd w:val="clear" w:color="auto" w:fill="E0E0E0"/>
          </w:tcPr>
          <w:p w:rsidR="008548C1" w:rsidRPr="00AF3608" w:rsidRDefault="00174111" w:rsidP="00B723C0">
            <w:pPr>
              <w:rPr>
                <w:rFonts w:ascii="Calibri" w:hAnsi="Calibri" w:cs="Arial"/>
                <w:b/>
                <w:bCs/>
                <w:lang w:val="ro-RO"/>
              </w:rPr>
            </w:pPr>
            <w:r w:rsidRPr="00AF3608">
              <w:rPr>
                <w:rFonts w:ascii="Calibri" w:hAnsi="Calibri" w:cs="Arial"/>
                <w:b/>
                <w:bCs/>
                <w:lang w:val="ro-RO"/>
              </w:rPr>
              <w:t>5</w:t>
            </w:r>
            <w:r w:rsidR="008548C1" w:rsidRPr="00AF3608">
              <w:rPr>
                <w:rFonts w:ascii="Calibri" w:hAnsi="Calibri" w:cs="Arial"/>
                <w:b/>
                <w:bCs/>
                <w:lang w:val="ro-RO"/>
              </w:rPr>
              <w:t>. Cadrul de</w:t>
            </w:r>
            <w:r w:rsidR="002F3F6A" w:rsidRPr="00AF3608">
              <w:rPr>
                <w:rFonts w:ascii="Calibri" w:hAnsi="Calibri" w:cs="Arial"/>
                <w:b/>
                <w:bCs/>
                <w:lang w:val="ro-RO"/>
              </w:rPr>
              <w:t xml:space="preserve"> cheltuieli pe termen mediu 2021-2023</w:t>
            </w:r>
          </w:p>
        </w:tc>
      </w:tr>
      <w:tr w:rsidR="008548C1" w:rsidRPr="00AF3608" w:rsidTr="008548C1">
        <w:tc>
          <w:tcPr>
            <w:tcW w:w="8938" w:type="dxa"/>
            <w:shd w:val="clear" w:color="auto" w:fill="auto"/>
          </w:tcPr>
          <w:p w:rsidR="008548C1" w:rsidRPr="00AF3608" w:rsidRDefault="008548C1" w:rsidP="00B723C0">
            <w:pPr>
              <w:rPr>
                <w:rFonts w:ascii="Calibri" w:hAnsi="Calibri" w:cs="Arial"/>
                <w:b/>
                <w:bCs/>
                <w:lang w:val="ro-RO"/>
              </w:rPr>
            </w:pPr>
          </w:p>
        </w:tc>
      </w:tr>
      <w:tr w:rsidR="008548C1" w:rsidRPr="00AF3608" w:rsidTr="008548C1">
        <w:tc>
          <w:tcPr>
            <w:tcW w:w="8938" w:type="dxa"/>
            <w:shd w:val="clear" w:color="auto" w:fill="E7E6E6"/>
          </w:tcPr>
          <w:p w:rsidR="008548C1" w:rsidRPr="00AF3608" w:rsidRDefault="00174111" w:rsidP="00B723C0">
            <w:pPr>
              <w:rPr>
                <w:rFonts w:ascii="Calibri" w:hAnsi="Calibri" w:cs="Arial"/>
                <w:b/>
                <w:bCs/>
                <w:lang w:val="ro-RO"/>
              </w:rPr>
            </w:pPr>
            <w:r w:rsidRPr="00AF3608">
              <w:rPr>
                <w:rFonts w:ascii="Calibri" w:hAnsi="Calibri" w:cs="Arial"/>
                <w:b/>
                <w:bCs/>
                <w:lang w:val="ro-RO"/>
              </w:rPr>
              <w:t>6</w:t>
            </w:r>
            <w:r w:rsidR="008548C1" w:rsidRPr="00AF3608">
              <w:rPr>
                <w:rFonts w:ascii="Calibri" w:hAnsi="Calibri" w:cs="Arial"/>
                <w:b/>
                <w:bCs/>
                <w:lang w:val="ro-RO"/>
              </w:rPr>
              <w:t xml:space="preserve">. Declaraţie de răspundere  </w:t>
            </w:r>
          </w:p>
        </w:tc>
      </w:tr>
    </w:tbl>
    <w:p w:rsidR="00BE50CC" w:rsidRPr="00AF3608" w:rsidRDefault="00BE50CC" w:rsidP="00B723C0">
      <w:pPr>
        <w:rPr>
          <w:rFonts w:ascii="Calibri" w:hAnsi="Calibri"/>
          <w:b/>
          <w:color w:val="FFFFFF"/>
          <w:lang w:val="ro-RO"/>
        </w:rPr>
      </w:pPr>
    </w:p>
    <w:p w:rsidR="003A35CA" w:rsidRPr="00AF3608" w:rsidRDefault="003A35CA" w:rsidP="00B723C0">
      <w:pPr>
        <w:spacing w:before="120"/>
        <w:rPr>
          <w:rFonts w:ascii="Calibri" w:hAnsi="Calibri" w:cs="Arial"/>
          <w:lang w:val="ro-RO"/>
        </w:rPr>
      </w:pPr>
    </w:p>
    <w:p w:rsidR="00396ACD" w:rsidRPr="00AF3608" w:rsidRDefault="00396ACD" w:rsidP="00B723C0">
      <w:pPr>
        <w:spacing w:before="120"/>
        <w:rPr>
          <w:rFonts w:ascii="Calibri" w:hAnsi="Calibri" w:cs="Arial"/>
          <w:lang w:val="ro-RO"/>
        </w:rPr>
      </w:pPr>
    </w:p>
    <w:p w:rsidR="00317D30" w:rsidRPr="00AF3608" w:rsidRDefault="00317D30" w:rsidP="00B723C0">
      <w:pPr>
        <w:spacing w:before="120"/>
        <w:rPr>
          <w:rFonts w:ascii="Calibri" w:hAnsi="Calibri" w:cs="Arial"/>
          <w:lang w:val="ro-RO"/>
        </w:rPr>
      </w:pPr>
    </w:p>
    <w:p w:rsidR="00317D30" w:rsidRPr="00AF3608" w:rsidRDefault="00317D30" w:rsidP="00B723C0">
      <w:pPr>
        <w:spacing w:before="120"/>
        <w:rPr>
          <w:rFonts w:ascii="Calibri" w:hAnsi="Calibri" w:cs="Arial"/>
          <w:lang w:val="ro-RO"/>
        </w:rPr>
      </w:pPr>
    </w:p>
    <w:p w:rsidR="00317D30" w:rsidRPr="00AF3608" w:rsidRDefault="00317D30" w:rsidP="00B723C0">
      <w:pPr>
        <w:spacing w:before="120"/>
        <w:rPr>
          <w:rFonts w:ascii="Calibri" w:hAnsi="Calibri" w:cs="Arial"/>
          <w:lang w:val="ro-RO"/>
        </w:rPr>
      </w:pPr>
    </w:p>
    <w:p w:rsidR="00154CEA" w:rsidRPr="00AF3608" w:rsidRDefault="00154CEA" w:rsidP="00B723C0">
      <w:pPr>
        <w:spacing w:before="120"/>
        <w:rPr>
          <w:rFonts w:ascii="Calibri" w:hAnsi="Calibri" w:cs="Arial"/>
          <w:lang w:val="ro-RO"/>
        </w:rPr>
      </w:pPr>
    </w:p>
    <w:p w:rsidR="00154CEA" w:rsidRPr="00AF3608" w:rsidRDefault="00154CEA" w:rsidP="00B723C0">
      <w:pPr>
        <w:spacing w:before="120"/>
        <w:rPr>
          <w:rFonts w:ascii="Calibri" w:hAnsi="Calibri" w:cs="Arial"/>
          <w:lang w:val="ro-RO"/>
        </w:rPr>
      </w:pPr>
    </w:p>
    <w:p w:rsidR="00317D30" w:rsidRPr="00AF3608" w:rsidRDefault="00317D30" w:rsidP="00B723C0">
      <w:pPr>
        <w:spacing w:before="120"/>
        <w:rPr>
          <w:rFonts w:ascii="Calibri" w:hAnsi="Calibri" w:cs="Arial"/>
          <w:lang w:val="ro-RO"/>
        </w:rPr>
      </w:pPr>
    </w:p>
    <w:p w:rsidR="00B072F3" w:rsidRPr="00AF3608" w:rsidRDefault="00B072F3" w:rsidP="00B723C0">
      <w:pPr>
        <w:shd w:val="clear" w:color="auto" w:fill="002060"/>
        <w:spacing w:before="120"/>
        <w:jc w:val="both"/>
        <w:rPr>
          <w:rFonts w:ascii="Calibri" w:hAnsi="Calibri"/>
          <w:b/>
          <w:color w:val="000080"/>
          <w:lang w:val="ro-RO"/>
        </w:rPr>
      </w:pPr>
    </w:p>
    <w:p w:rsidR="00B072F3" w:rsidRPr="00AF3608" w:rsidRDefault="00B072F3" w:rsidP="00B723C0">
      <w:pPr>
        <w:shd w:val="clear" w:color="auto" w:fill="002060"/>
        <w:spacing w:before="120"/>
        <w:jc w:val="both"/>
        <w:rPr>
          <w:rFonts w:ascii="Calibri" w:hAnsi="Calibri" w:cs="Calibri"/>
          <w:b/>
          <w:color w:val="FFFFFF" w:themeColor="background1"/>
          <w:lang w:val="ro-RO"/>
        </w:rPr>
      </w:pPr>
      <w:r w:rsidRPr="00AF3608">
        <w:rPr>
          <w:rFonts w:ascii="Calibri" w:hAnsi="Calibri"/>
          <w:b/>
          <w:color w:val="FFFFFF" w:themeColor="background1"/>
          <w:lang w:val="ro-RO"/>
        </w:rPr>
        <w:t xml:space="preserve">1. </w:t>
      </w:r>
      <w:r w:rsidRPr="00AF3608">
        <w:rPr>
          <w:rFonts w:ascii="Calibri" w:hAnsi="Calibri" w:cs="Calibri"/>
          <w:b/>
          <w:color w:val="FFFFFF" w:themeColor="background1"/>
          <w:lang w:val="ro-RO"/>
        </w:rPr>
        <w:t>OBIECTIVELE POLITICII FISCALE ȘI BUGETARE PE ORIZONTUL 2021-2023</w:t>
      </w:r>
    </w:p>
    <w:p w:rsidR="00B072F3" w:rsidRPr="00AF3608" w:rsidRDefault="00B072F3" w:rsidP="00B723C0">
      <w:pPr>
        <w:shd w:val="clear" w:color="auto" w:fill="002060"/>
        <w:spacing w:before="120"/>
        <w:jc w:val="both"/>
        <w:rPr>
          <w:rFonts w:ascii="Calibri" w:hAnsi="Calibri" w:cs="Calibri"/>
          <w:b/>
          <w:color w:val="000080"/>
          <w:lang w:val="ro-RO"/>
        </w:rPr>
      </w:pPr>
    </w:p>
    <w:p w:rsidR="00FA387B" w:rsidRPr="00AF3608" w:rsidRDefault="00FA387B" w:rsidP="00B723C0">
      <w:pPr>
        <w:widowControl w:val="0"/>
        <w:suppressAutoHyphens/>
        <w:autoSpaceDE w:val="0"/>
        <w:autoSpaceDN w:val="0"/>
        <w:adjustRightInd w:val="0"/>
        <w:spacing w:before="120"/>
        <w:jc w:val="both"/>
        <w:rPr>
          <w:rFonts w:ascii="Calibri" w:hAnsi="Calibri" w:cs="Calibri"/>
          <w:b/>
          <w:lang w:val="ro-RO"/>
        </w:rPr>
      </w:pPr>
    </w:p>
    <w:p w:rsidR="00D95CB1" w:rsidRPr="00AF3608" w:rsidRDefault="00D95CB1" w:rsidP="002543E9">
      <w:pPr>
        <w:spacing w:before="120"/>
        <w:ind w:right="283"/>
        <w:jc w:val="both"/>
        <w:rPr>
          <w:rFonts w:ascii="Calibri" w:hAnsi="Calibri" w:cs="Calibri"/>
          <w:b/>
          <w:color w:val="000000"/>
          <w:lang w:val="ro-RO"/>
        </w:rPr>
      </w:pPr>
      <w:r w:rsidRPr="00AF3608">
        <w:rPr>
          <w:rFonts w:ascii="Calibri" w:hAnsi="Calibri" w:cs="Calibri"/>
          <w:color w:val="000000"/>
          <w:shd w:val="clear" w:color="auto" w:fill="FFFFFF"/>
          <w:lang w:val="ro-RO"/>
        </w:rPr>
        <w:t xml:space="preserve">În condițiile în care pandemia a afectat toate statele membre ale UE,  </w:t>
      </w:r>
      <w:r w:rsidRPr="00AF3608">
        <w:rPr>
          <w:rFonts w:ascii="Calibri" w:hAnsi="Calibri" w:cs="Calibri"/>
          <w:color w:val="000000"/>
          <w:lang w:val="ro-RO"/>
        </w:rPr>
        <w:t xml:space="preserve">România </w:t>
      </w:r>
      <w:r w:rsidRPr="00AF3608">
        <w:rPr>
          <w:rFonts w:ascii="Calibri" w:hAnsi="Calibri" w:cs="Calibri"/>
          <w:b/>
          <w:color w:val="000000"/>
          <w:lang w:val="ro-RO"/>
        </w:rPr>
        <w:t>stabilește următoarele obiective ale construcției bugetare pentru anul 2021 și orizontul 2022-2023:</w:t>
      </w:r>
    </w:p>
    <w:p w:rsidR="00D95CB1" w:rsidRPr="00AF3608" w:rsidRDefault="00D95CB1" w:rsidP="002543E9">
      <w:pPr>
        <w:spacing w:before="120"/>
        <w:ind w:right="283"/>
        <w:jc w:val="both"/>
        <w:rPr>
          <w:rFonts w:ascii="Calibri" w:hAnsi="Calibri" w:cs="Calibri"/>
          <w:b/>
          <w:color w:val="000000"/>
          <w:lang w:val="ro-RO"/>
        </w:rPr>
      </w:pPr>
    </w:p>
    <w:p w:rsidR="00D95CB1" w:rsidRPr="00AF3608" w:rsidRDefault="00D95CB1" w:rsidP="003A0B85">
      <w:pPr>
        <w:numPr>
          <w:ilvl w:val="0"/>
          <w:numId w:val="114"/>
        </w:numPr>
        <w:spacing w:before="120"/>
        <w:jc w:val="both"/>
        <w:rPr>
          <w:rFonts w:ascii="Calibri" w:hAnsi="Calibri" w:cs="Calibri"/>
          <w:color w:val="000000"/>
          <w:lang w:val="ro-RO"/>
        </w:rPr>
      </w:pPr>
      <w:r w:rsidRPr="00AF3608">
        <w:rPr>
          <w:rFonts w:ascii="Calibri" w:eastAsia="+mn-ea" w:hAnsi="Calibri" w:cs="Calibri"/>
          <w:b/>
          <w:bCs/>
          <w:color w:val="000066"/>
          <w:lang w:val="ro-RO"/>
        </w:rPr>
        <w:t>Măsuri de înlăturare a efectelor crizei  pandemice generate de Covid 19 care</w:t>
      </w:r>
      <w:r w:rsidR="003042CC">
        <w:rPr>
          <w:rFonts w:ascii="Calibri" w:eastAsia="+mn-ea" w:hAnsi="Calibri" w:cs="Calibri"/>
          <w:b/>
          <w:bCs/>
          <w:color w:val="000066"/>
          <w:lang w:val="ro-RO"/>
        </w:rPr>
        <w:t xml:space="preserve"> țintesc populația și operatori</w:t>
      </w:r>
      <w:r w:rsidRPr="00AF3608">
        <w:rPr>
          <w:rFonts w:ascii="Calibri" w:eastAsia="+mn-ea" w:hAnsi="Calibri" w:cs="Calibri"/>
          <w:b/>
          <w:bCs/>
          <w:color w:val="000066"/>
          <w:lang w:val="ro-RO"/>
        </w:rPr>
        <w:t xml:space="preserve"> economici, în vederea recuperării contracției  economice înregistrate în anul 2020, crearea premiselor pentru susținerea unei creșteri economice inteligente, sustenabile și incluzive</w:t>
      </w:r>
      <w:r w:rsidRPr="00AF3608">
        <w:rPr>
          <w:rFonts w:ascii="Calibri" w:eastAsia="+mn-ea" w:hAnsi="Calibri" w:cs="Calibri"/>
          <w:color w:val="000066"/>
          <w:lang w:val="ro-RO"/>
        </w:rPr>
        <w:t xml:space="preserve"> </w:t>
      </w:r>
      <w:r w:rsidRPr="00AF3608">
        <w:rPr>
          <w:rFonts w:ascii="Calibri" w:eastAsia="+mn-ea" w:hAnsi="Calibri" w:cs="Calibri"/>
          <w:b/>
          <w:color w:val="000066"/>
          <w:lang w:val="ro-RO"/>
        </w:rPr>
        <w:t xml:space="preserve">pe orizontul de referință, finanțarea schemelor de ajutor de stat </w:t>
      </w:r>
      <w:r w:rsidRPr="00AF3608">
        <w:rPr>
          <w:rFonts w:ascii="Calibri" w:eastAsia="+mn-ea" w:hAnsi="Calibri" w:cs="Calibri"/>
          <w:color w:val="000066"/>
          <w:lang w:val="ro-RO"/>
        </w:rPr>
        <w:t xml:space="preserve"> </w:t>
      </w:r>
      <w:r w:rsidRPr="00AF3608">
        <w:rPr>
          <w:rFonts w:ascii="Calibri" w:eastAsia="+mn-ea" w:hAnsi="Calibri" w:cs="Calibri"/>
          <w:color w:val="002060"/>
          <w:lang w:val="ro-RO"/>
        </w:rPr>
        <w:t xml:space="preserve">în vederea  sprijinirii mediului de afaceri, </w:t>
      </w:r>
      <w:r w:rsidRPr="00AF3608">
        <w:rPr>
          <w:rFonts w:ascii="Calibri" w:eastAsia="+mn-ea" w:hAnsi="Calibri" w:cs="Calibri"/>
          <w:color w:val="000000"/>
          <w:lang w:val="ro-RO"/>
        </w:rPr>
        <w:t>creşterea productivităţii muncii</w:t>
      </w:r>
      <w:r w:rsidRPr="00AF3608">
        <w:rPr>
          <w:rFonts w:ascii="Calibri" w:hAnsi="Calibri" w:cs="Calibri"/>
          <w:color w:val="000000"/>
          <w:lang w:val="ro-RO"/>
        </w:rPr>
        <w:t>;</w:t>
      </w:r>
    </w:p>
    <w:p w:rsidR="00D95CB1" w:rsidRPr="00AF3608" w:rsidRDefault="00D95CB1" w:rsidP="003A0B85">
      <w:pPr>
        <w:numPr>
          <w:ilvl w:val="0"/>
          <w:numId w:val="114"/>
        </w:numPr>
        <w:spacing w:before="120"/>
        <w:jc w:val="both"/>
        <w:rPr>
          <w:rFonts w:ascii="Calibri" w:hAnsi="Calibri" w:cs="Calibri"/>
          <w:color w:val="000000"/>
          <w:lang w:val="ro-RO"/>
        </w:rPr>
      </w:pPr>
      <w:r w:rsidRPr="00AF3608">
        <w:rPr>
          <w:rFonts w:ascii="Calibri" w:eastAsia="+mn-ea" w:hAnsi="Calibri" w:cs="Calibri"/>
          <w:b/>
          <w:bCs/>
          <w:color w:val="000066"/>
          <w:lang w:val="ro-RO"/>
        </w:rPr>
        <w:t>Realizarea graduală a consolidării fiscale prin măsuri care să permită atingerea  țintei de deficit prevazută de regulamentele europene  pâna la sfârșitul orizontului de prognoză, respectiv anul 2024 ;</w:t>
      </w:r>
    </w:p>
    <w:p w:rsidR="00D95CB1" w:rsidRPr="00AF3608" w:rsidRDefault="00D95CB1" w:rsidP="003A0B85">
      <w:pPr>
        <w:numPr>
          <w:ilvl w:val="0"/>
          <w:numId w:val="114"/>
        </w:numPr>
        <w:spacing w:before="120"/>
        <w:jc w:val="both"/>
        <w:rPr>
          <w:rFonts w:ascii="Calibri" w:hAnsi="Calibri" w:cs="Calibri"/>
          <w:color w:val="000000"/>
          <w:lang w:val="ro-RO"/>
        </w:rPr>
      </w:pPr>
      <w:r w:rsidRPr="00AF3608">
        <w:rPr>
          <w:rFonts w:ascii="Calibri" w:eastAsia="+mn-ea" w:hAnsi="Calibri" w:cs="Calibri"/>
          <w:b/>
          <w:bCs/>
          <w:color w:val="000066"/>
          <w:lang w:val="ro-RO"/>
        </w:rPr>
        <w:t xml:space="preserve">Reforma, prioritizarea și programarea multianuală a investitiilor publice prin creșterea aportului fondurilor europene </w:t>
      </w:r>
      <w:r w:rsidRPr="00AF3608">
        <w:rPr>
          <w:rFonts w:ascii="Calibri" w:eastAsia="+mn-ea" w:hAnsi="Calibri" w:cs="Calibri"/>
          <w:color w:val="000000"/>
          <w:lang w:val="ro-RO"/>
        </w:rPr>
        <w:t>într-o manieră  eficientă, profesionistă și transparentă cu  efect multiplicator şi aport direct la formarea brută de capital fix;</w:t>
      </w:r>
    </w:p>
    <w:p w:rsidR="00D95CB1" w:rsidRPr="00AF3608" w:rsidRDefault="00D95CB1" w:rsidP="003A0B85">
      <w:pPr>
        <w:numPr>
          <w:ilvl w:val="0"/>
          <w:numId w:val="114"/>
        </w:numPr>
        <w:spacing w:before="120"/>
        <w:jc w:val="both"/>
        <w:rPr>
          <w:rFonts w:ascii="Calibri" w:hAnsi="Calibri" w:cs="Calibri"/>
          <w:color w:val="000000"/>
          <w:lang w:val="ro-RO"/>
        </w:rPr>
      </w:pPr>
      <w:r w:rsidRPr="00AF3608">
        <w:rPr>
          <w:rFonts w:ascii="Calibri" w:eastAsia="+mn-ea" w:hAnsi="Calibri" w:cs="Calibri"/>
          <w:b/>
          <w:bCs/>
          <w:color w:val="000066"/>
          <w:lang w:val="ro-RO"/>
        </w:rPr>
        <w:t>Crearea unei politici fiscale predictibile pentru susținerea și adaptarea  mediului de afaceri la provocările ridicate de criza sanitară,  simplificarea fiscalității și fluidizarea proceselor interne,</w:t>
      </w:r>
      <w:r w:rsidRPr="00AF3608">
        <w:rPr>
          <w:rFonts w:ascii="Calibri" w:eastAsia="+mn-ea" w:hAnsi="Calibri" w:cs="Calibri"/>
          <w:b/>
          <w:bCs/>
          <w:color w:val="002060"/>
          <w:lang w:val="ro-RO"/>
        </w:rPr>
        <w:t xml:space="preserve"> </w:t>
      </w:r>
      <w:r w:rsidRPr="00AF3608">
        <w:rPr>
          <w:rFonts w:ascii="Calibri" w:eastAsia="+mn-ea" w:hAnsi="Calibri" w:cs="Calibri"/>
          <w:color w:val="002060"/>
          <w:lang w:val="ro-RO"/>
        </w:rPr>
        <w:t xml:space="preserve"> </w:t>
      </w:r>
      <w:r w:rsidRPr="00AF3608">
        <w:rPr>
          <w:rFonts w:ascii="Calibri" w:eastAsia="+mn-ea" w:hAnsi="Calibri" w:cs="Calibri"/>
          <w:color w:val="000000"/>
          <w:lang w:val="ro-RO"/>
        </w:rPr>
        <w:t xml:space="preserve">pentru a crea  premisa unei creșteri economice durabile; </w:t>
      </w:r>
    </w:p>
    <w:p w:rsidR="00D95CB1" w:rsidRPr="00AF3608" w:rsidRDefault="00D95CB1" w:rsidP="003A0B85">
      <w:pPr>
        <w:numPr>
          <w:ilvl w:val="0"/>
          <w:numId w:val="114"/>
        </w:numPr>
        <w:spacing w:before="120"/>
        <w:jc w:val="both"/>
        <w:rPr>
          <w:rFonts w:ascii="Calibri" w:hAnsi="Calibri" w:cs="Calibri"/>
          <w:color w:val="000066"/>
          <w:lang w:val="ro-RO"/>
        </w:rPr>
      </w:pPr>
      <w:r w:rsidRPr="00AF3608">
        <w:rPr>
          <w:rFonts w:ascii="Calibri" w:eastAsia="+mn-ea" w:hAnsi="Calibri" w:cs="Calibri"/>
          <w:b/>
          <w:bCs/>
          <w:color w:val="000066"/>
          <w:lang w:val="ro-RO"/>
        </w:rPr>
        <w:t>Dezvoltarea şi diversificarea instrumentelor de management ale datoriei publice pentru menținerea  datoriei publice la un nivel sustenabil;</w:t>
      </w:r>
    </w:p>
    <w:p w:rsidR="006F06B2" w:rsidRDefault="006F06B2" w:rsidP="003A0B85">
      <w:pPr>
        <w:numPr>
          <w:ilvl w:val="0"/>
          <w:numId w:val="114"/>
        </w:numPr>
        <w:shd w:val="clear" w:color="auto" w:fill="FFFFFF" w:themeFill="background1"/>
        <w:spacing w:before="120"/>
        <w:jc w:val="both"/>
        <w:rPr>
          <w:rFonts w:ascii="Calibri" w:hAnsi="Calibri" w:cs="Calibri"/>
          <w:b/>
          <w:color w:val="000066"/>
          <w:lang w:val="ro-RO"/>
        </w:rPr>
      </w:pPr>
      <w:r w:rsidRPr="00E345E4">
        <w:rPr>
          <w:rFonts w:ascii="Calibri" w:hAnsi="Calibri" w:cs="Calibri"/>
          <w:b/>
          <w:color w:val="000066"/>
          <w:lang w:val="ro-RO"/>
        </w:rPr>
        <w:t>Eficientizarea calitativă a cheltuielilor pub</w:t>
      </w:r>
      <w:r w:rsidR="003042CC">
        <w:rPr>
          <w:rFonts w:ascii="Calibri" w:hAnsi="Calibri" w:cs="Calibri"/>
          <w:b/>
          <w:color w:val="000066"/>
          <w:lang w:val="ro-RO"/>
        </w:rPr>
        <w:t>lice printr-un pachet susținut de reforme</w:t>
      </w:r>
      <w:r w:rsidRPr="00E345E4">
        <w:rPr>
          <w:rFonts w:ascii="Calibri" w:hAnsi="Calibri" w:cs="Calibri"/>
          <w:b/>
          <w:color w:val="000066"/>
          <w:lang w:val="ro-RO"/>
        </w:rPr>
        <w:t xml:space="preserve"> în domeniul cheltuielilor de personal, al pensiilor, precum și asupra </w:t>
      </w:r>
      <w:r w:rsidR="00E345E4" w:rsidRPr="00E345E4">
        <w:rPr>
          <w:rFonts w:ascii="Calibri" w:hAnsi="Calibri" w:cs="Calibri"/>
          <w:b/>
          <w:color w:val="000066"/>
          <w:lang w:val="ro-RO"/>
        </w:rPr>
        <w:t>operatori</w:t>
      </w:r>
      <w:r w:rsidR="00E345E4">
        <w:rPr>
          <w:rFonts w:ascii="Calibri" w:hAnsi="Calibri" w:cs="Calibri"/>
          <w:b/>
          <w:color w:val="000066"/>
          <w:lang w:val="ro-RO"/>
        </w:rPr>
        <w:t xml:space="preserve"> economici</w:t>
      </w:r>
      <w:r w:rsidR="00E345E4" w:rsidRPr="00E345E4">
        <w:rPr>
          <w:rFonts w:ascii="Calibri" w:hAnsi="Calibri" w:cs="Calibri"/>
          <w:lang w:val="ro-RO"/>
        </w:rPr>
        <w:t>, așa cum sunt definiți de Ordonanța Guvernului nr.26/2013</w:t>
      </w:r>
    </w:p>
    <w:p w:rsidR="00E345E4" w:rsidRPr="00E345E4" w:rsidRDefault="00E345E4" w:rsidP="00E345E4">
      <w:pPr>
        <w:shd w:val="clear" w:color="auto" w:fill="FFFFFF" w:themeFill="background1"/>
        <w:spacing w:before="120"/>
        <w:jc w:val="both"/>
        <w:rPr>
          <w:rFonts w:ascii="Calibri" w:hAnsi="Calibri" w:cs="Calibri"/>
          <w:b/>
          <w:color w:val="000066"/>
          <w:lang w:val="ro-RO"/>
        </w:rPr>
      </w:pPr>
    </w:p>
    <w:p w:rsidR="006F06B2" w:rsidRPr="00AF3608" w:rsidRDefault="006F06B2" w:rsidP="006F06B2">
      <w:pPr>
        <w:shd w:val="clear" w:color="auto" w:fill="FFFFFF" w:themeFill="background1"/>
        <w:spacing w:before="120"/>
        <w:jc w:val="both"/>
        <w:rPr>
          <w:rFonts w:ascii="Calibri" w:hAnsi="Calibri" w:cs="Calibri"/>
          <w:b/>
          <w:color w:val="000066"/>
          <w:lang w:val="ro-RO"/>
        </w:rPr>
      </w:pPr>
    </w:p>
    <w:p w:rsidR="006F06B2" w:rsidRPr="00AF3608" w:rsidRDefault="006F06B2" w:rsidP="006F06B2">
      <w:pPr>
        <w:shd w:val="clear" w:color="auto" w:fill="FFFFFF" w:themeFill="background1"/>
        <w:spacing w:before="120"/>
        <w:jc w:val="both"/>
        <w:rPr>
          <w:rFonts w:ascii="Calibri" w:hAnsi="Calibri" w:cs="Arial"/>
          <w:b/>
          <w:color w:val="000000"/>
          <w:lang w:val="ro-RO"/>
        </w:rPr>
      </w:pPr>
    </w:p>
    <w:p w:rsidR="00D95CB1" w:rsidRPr="00AF3608" w:rsidRDefault="00D95CB1" w:rsidP="002543E9">
      <w:pPr>
        <w:autoSpaceDE w:val="0"/>
        <w:autoSpaceDN w:val="0"/>
        <w:adjustRightInd w:val="0"/>
        <w:spacing w:before="120"/>
        <w:ind w:left="720"/>
        <w:jc w:val="both"/>
        <w:rPr>
          <w:rFonts w:ascii="Calibri" w:hAnsi="Calibri" w:cs="Arial"/>
          <w:b/>
          <w:color w:val="000000"/>
          <w:lang w:val="ro-RO"/>
        </w:rPr>
      </w:pPr>
    </w:p>
    <w:p w:rsidR="00D95CB1" w:rsidRPr="00AF3608" w:rsidRDefault="00D95CB1" w:rsidP="002543E9">
      <w:pPr>
        <w:autoSpaceDE w:val="0"/>
        <w:autoSpaceDN w:val="0"/>
        <w:adjustRightInd w:val="0"/>
        <w:spacing w:before="120"/>
        <w:ind w:left="720"/>
        <w:jc w:val="both"/>
        <w:rPr>
          <w:rFonts w:ascii="Calibri" w:hAnsi="Calibri" w:cs="Arial"/>
          <w:b/>
          <w:color w:val="000000"/>
          <w:lang w:val="ro-RO"/>
        </w:rPr>
      </w:pPr>
    </w:p>
    <w:p w:rsidR="00D95CB1" w:rsidRPr="00AF3608" w:rsidRDefault="00D95CB1" w:rsidP="002543E9">
      <w:pPr>
        <w:autoSpaceDE w:val="0"/>
        <w:autoSpaceDN w:val="0"/>
        <w:adjustRightInd w:val="0"/>
        <w:spacing w:before="120"/>
        <w:ind w:left="720"/>
        <w:jc w:val="both"/>
        <w:rPr>
          <w:rFonts w:ascii="Calibri" w:hAnsi="Calibri" w:cs="Arial"/>
          <w:b/>
          <w:color w:val="000000"/>
          <w:lang w:val="ro-RO"/>
        </w:rPr>
      </w:pPr>
    </w:p>
    <w:p w:rsidR="00D95CB1" w:rsidRPr="00AF3608" w:rsidRDefault="00D95CB1" w:rsidP="002543E9">
      <w:pPr>
        <w:autoSpaceDE w:val="0"/>
        <w:autoSpaceDN w:val="0"/>
        <w:adjustRightInd w:val="0"/>
        <w:spacing w:before="120"/>
        <w:ind w:left="720"/>
        <w:jc w:val="both"/>
        <w:rPr>
          <w:rFonts w:ascii="Calibri" w:hAnsi="Calibri" w:cs="Arial"/>
          <w:b/>
          <w:color w:val="000000"/>
          <w:lang w:val="ro-RO"/>
        </w:rPr>
      </w:pPr>
    </w:p>
    <w:p w:rsidR="00D95CB1" w:rsidRPr="00AF3608" w:rsidRDefault="00D95CB1" w:rsidP="002543E9">
      <w:pPr>
        <w:autoSpaceDE w:val="0"/>
        <w:autoSpaceDN w:val="0"/>
        <w:adjustRightInd w:val="0"/>
        <w:spacing w:before="120"/>
        <w:ind w:left="720"/>
        <w:jc w:val="both"/>
        <w:rPr>
          <w:rFonts w:ascii="Calibri" w:hAnsi="Calibri" w:cs="Arial"/>
          <w:b/>
          <w:color w:val="000000"/>
          <w:lang w:val="ro-RO"/>
        </w:rPr>
      </w:pPr>
    </w:p>
    <w:p w:rsidR="00D95CB1" w:rsidRPr="00AF3608" w:rsidRDefault="00D95CB1" w:rsidP="002543E9">
      <w:pPr>
        <w:autoSpaceDE w:val="0"/>
        <w:autoSpaceDN w:val="0"/>
        <w:adjustRightInd w:val="0"/>
        <w:spacing w:before="120"/>
        <w:ind w:left="720"/>
        <w:jc w:val="both"/>
        <w:rPr>
          <w:rFonts w:ascii="Calibri" w:hAnsi="Calibri" w:cs="Arial"/>
          <w:b/>
          <w:color w:val="000000"/>
          <w:lang w:val="ro-RO"/>
        </w:rPr>
      </w:pPr>
    </w:p>
    <w:p w:rsidR="00D95CB1" w:rsidRPr="00AF3608" w:rsidRDefault="00D95CB1" w:rsidP="002543E9">
      <w:pPr>
        <w:autoSpaceDE w:val="0"/>
        <w:autoSpaceDN w:val="0"/>
        <w:adjustRightInd w:val="0"/>
        <w:spacing w:before="120"/>
        <w:ind w:left="720"/>
        <w:jc w:val="both"/>
        <w:rPr>
          <w:rFonts w:ascii="Calibri" w:hAnsi="Calibri" w:cs="Arial"/>
          <w:b/>
          <w:color w:val="000000"/>
          <w:lang w:val="ro-RO"/>
        </w:rPr>
      </w:pPr>
    </w:p>
    <w:p w:rsidR="00237F6F" w:rsidRPr="00AF3608" w:rsidRDefault="00237F6F" w:rsidP="002543E9">
      <w:pPr>
        <w:autoSpaceDE w:val="0"/>
        <w:autoSpaceDN w:val="0"/>
        <w:adjustRightInd w:val="0"/>
        <w:spacing w:before="120"/>
        <w:ind w:left="720"/>
        <w:jc w:val="both"/>
        <w:rPr>
          <w:rFonts w:ascii="Calibri" w:hAnsi="Calibri" w:cs="Arial"/>
          <w:b/>
          <w:color w:val="000000"/>
          <w:lang w:val="ro-RO"/>
        </w:rPr>
      </w:pPr>
    </w:p>
    <w:p w:rsidR="00D95CB1" w:rsidRPr="00AF3608" w:rsidRDefault="00D95CB1" w:rsidP="002543E9">
      <w:pPr>
        <w:autoSpaceDE w:val="0"/>
        <w:autoSpaceDN w:val="0"/>
        <w:adjustRightInd w:val="0"/>
        <w:spacing w:before="120"/>
        <w:ind w:left="720"/>
        <w:jc w:val="both"/>
        <w:rPr>
          <w:rFonts w:ascii="Calibri" w:hAnsi="Calibri" w:cs="Arial"/>
          <w:b/>
          <w:color w:val="000000"/>
          <w:lang w:val="ro-RO"/>
        </w:rPr>
      </w:pPr>
    </w:p>
    <w:p w:rsidR="00D95CB1" w:rsidRPr="00AF3608" w:rsidRDefault="00D95CB1" w:rsidP="00D95CB1">
      <w:pPr>
        <w:autoSpaceDE w:val="0"/>
        <w:autoSpaceDN w:val="0"/>
        <w:adjustRightInd w:val="0"/>
        <w:ind w:left="720"/>
        <w:jc w:val="both"/>
        <w:rPr>
          <w:rFonts w:ascii="Calibri" w:hAnsi="Calibri" w:cs="Arial"/>
          <w:b/>
          <w:color w:val="000000"/>
          <w:lang w:val="ro-RO"/>
        </w:rPr>
      </w:pPr>
      <w:r w:rsidRPr="00AF3608">
        <w:rPr>
          <w:rFonts w:ascii="Calibri" w:hAnsi="Calibri" w:cs="Arial"/>
          <w:b/>
          <w:noProof/>
          <w:color w:val="000000"/>
        </w:rPr>
        <mc:AlternateContent>
          <mc:Choice Requires="wps">
            <w:drawing>
              <wp:anchor distT="0" distB="0" distL="114300" distR="114300" simplePos="0" relativeHeight="251865088" behindDoc="0" locked="0" layoutInCell="1" allowOverlap="1" wp14:anchorId="76F6A6C5" wp14:editId="6F68CD06">
                <wp:simplePos x="0" y="0"/>
                <wp:positionH relativeFrom="margin">
                  <wp:align>center</wp:align>
                </wp:positionH>
                <wp:positionV relativeFrom="paragraph">
                  <wp:posOffset>208915</wp:posOffset>
                </wp:positionV>
                <wp:extent cx="6153150" cy="511175"/>
                <wp:effectExtent l="19050" t="19050" r="38100" b="60325"/>
                <wp:wrapNone/>
                <wp:docPr id="95" name="Rounded 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511175"/>
                        </a:xfrm>
                        <a:prstGeom prst="roundRect">
                          <a:avLst>
                            <a:gd name="adj" fmla="val 16667"/>
                          </a:avLst>
                        </a:prstGeom>
                        <a:solidFill>
                          <a:srgbClr val="DEEAF6"/>
                        </a:solidFill>
                        <a:ln w="38100">
                          <a:solidFill>
                            <a:srgbClr val="2E74B5"/>
                          </a:solidFill>
                          <a:round/>
                          <a:headEnd/>
                          <a:tailEnd/>
                        </a:ln>
                        <a:effectLst>
                          <a:outerShdw dist="28398" dir="3806097" algn="ctr" rotWithShape="0">
                            <a:srgbClr val="823B0B">
                              <a:alpha val="50000"/>
                            </a:srgbClr>
                          </a:outerShdw>
                        </a:effectLst>
                      </wps:spPr>
                      <wps:txbx>
                        <w:txbxContent>
                          <w:p w:rsidR="001D681B" w:rsidRPr="00815A2E" w:rsidRDefault="001D681B" w:rsidP="00D95CB1">
                            <w:pPr>
                              <w:shd w:val="clear" w:color="auto" w:fill="E7E6E6"/>
                              <w:autoSpaceDE w:val="0"/>
                              <w:autoSpaceDN w:val="0"/>
                              <w:adjustRightInd w:val="0"/>
                              <w:jc w:val="both"/>
                              <w:rPr>
                                <w:rFonts w:ascii="Calibri" w:hAnsi="Calibri" w:cs="Arial"/>
                                <w:b/>
                                <w:color w:val="000066"/>
                                <w:lang w:val="ro-RO"/>
                              </w:rPr>
                            </w:pPr>
                            <w:r w:rsidRPr="00815A2E">
                              <w:rPr>
                                <w:rFonts w:ascii="Calibri" w:hAnsi="Calibri" w:cs="Arial"/>
                                <w:b/>
                                <w:color w:val="000066"/>
                                <w:lang w:val="ro-RO"/>
                              </w:rPr>
                              <w:t>Contextul gene</w:t>
                            </w:r>
                            <w:r>
                              <w:rPr>
                                <w:rFonts w:ascii="Calibri" w:hAnsi="Calibri" w:cs="Arial"/>
                                <w:b/>
                                <w:color w:val="000066"/>
                                <w:lang w:val="ro-RO"/>
                              </w:rPr>
                              <w:t>ral în stabilirea obiectivelor ș</w:t>
                            </w:r>
                            <w:r w:rsidRPr="00815A2E">
                              <w:rPr>
                                <w:rFonts w:ascii="Calibri" w:hAnsi="Calibri" w:cs="Arial"/>
                                <w:b/>
                                <w:color w:val="000066"/>
                                <w:lang w:val="ro-RO"/>
                              </w:rPr>
                              <w:t xml:space="preserve">i a măsurilor </w:t>
                            </w:r>
                            <w:r>
                              <w:rPr>
                                <w:rFonts w:ascii="Calibri" w:hAnsi="Calibri" w:cs="Arial"/>
                                <w:b/>
                                <w:color w:val="000066"/>
                                <w:lang w:val="ro-RO"/>
                              </w:rPr>
                              <w:t>pentru anul 2021 și orizontul 2022-2023</w:t>
                            </w:r>
                          </w:p>
                          <w:p w:rsidR="001D681B" w:rsidRPr="00B17972" w:rsidRDefault="001D681B" w:rsidP="00D95CB1">
                            <w:pPr>
                              <w:rPr>
                                <w:rFonts w:ascii="Calibri" w:hAnsi="Calibri" w:cs="Calibri"/>
                                <w:b/>
                                <w:color w:val="002060"/>
                                <w:sz w:val="26"/>
                                <w:szCs w:val="26"/>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6A6C5" id="Rounded Rectangle 95" o:spid="_x0000_s1026" style="position:absolute;left:0;text-align:left;margin-left:0;margin-top:16.45pt;width:484.5pt;height:40.25pt;z-index:251865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" fillcolor="#deeaf6" strokecolor="#2e74b5" strokeweight="3pt">
                <v:shadow on="t" color="#823b0b" opacity=".5" offset="1pt"/>
                <v:textbox>
                  <w:txbxContent>
                    <w:p w:rsidR="001D681B" w:rsidRPr="00815A2E" w:rsidRDefault="001D681B" w:rsidP="00D95CB1">
                      <w:pPr>
                        <w:shd w:val="clear" w:color="auto" w:fill="E7E6E6"/>
                        <w:autoSpaceDE w:val="0"/>
                        <w:autoSpaceDN w:val="0"/>
                        <w:adjustRightInd w:val="0"/>
                        <w:jc w:val="both"/>
                        <w:rPr>
                          <w:rFonts w:ascii="Calibri" w:hAnsi="Calibri" w:cs="Arial"/>
                          <w:b/>
                          <w:color w:val="000066"/>
                          <w:lang w:val="ro-RO"/>
                        </w:rPr>
                      </w:pPr>
                      <w:r w:rsidRPr="00815A2E">
                        <w:rPr>
                          <w:rFonts w:ascii="Calibri" w:hAnsi="Calibri" w:cs="Arial"/>
                          <w:b/>
                          <w:color w:val="000066"/>
                          <w:lang w:val="ro-RO"/>
                        </w:rPr>
                        <w:t>Contextul gene</w:t>
                      </w:r>
                      <w:r>
                        <w:rPr>
                          <w:rFonts w:ascii="Calibri" w:hAnsi="Calibri" w:cs="Arial"/>
                          <w:b/>
                          <w:color w:val="000066"/>
                          <w:lang w:val="ro-RO"/>
                        </w:rPr>
                        <w:t>ral în stabilirea obiectivelor ș</w:t>
                      </w:r>
                      <w:r w:rsidRPr="00815A2E">
                        <w:rPr>
                          <w:rFonts w:ascii="Calibri" w:hAnsi="Calibri" w:cs="Arial"/>
                          <w:b/>
                          <w:color w:val="000066"/>
                          <w:lang w:val="ro-RO"/>
                        </w:rPr>
                        <w:t xml:space="preserve">i a măsurilor </w:t>
                      </w:r>
                      <w:r>
                        <w:rPr>
                          <w:rFonts w:ascii="Calibri" w:hAnsi="Calibri" w:cs="Arial"/>
                          <w:b/>
                          <w:color w:val="000066"/>
                          <w:lang w:val="ro-RO"/>
                        </w:rPr>
                        <w:t>pentru anul 2021 și orizontul 2022-2023</w:t>
                      </w:r>
                    </w:p>
                    <w:p w:rsidR="001D681B" w:rsidRPr="00B17972" w:rsidRDefault="001D681B" w:rsidP="00D95CB1">
                      <w:pPr>
                        <w:rPr>
                          <w:rFonts w:ascii="Calibri" w:hAnsi="Calibri" w:cs="Calibri"/>
                          <w:b/>
                          <w:color w:val="002060"/>
                          <w:sz w:val="26"/>
                          <w:szCs w:val="26"/>
                          <w:lang w:val="ro-RO"/>
                        </w:rPr>
                      </w:pPr>
                    </w:p>
                  </w:txbxContent>
                </v:textbox>
                <w10:wrap anchorx="margin"/>
              </v:roundrect>
            </w:pict>
          </mc:Fallback>
        </mc:AlternateContent>
      </w:r>
    </w:p>
    <w:p w:rsidR="00D95CB1" w:rsidRPr="00AF3608" w:rsidRDefault="00D95CB1" w:rsidP="00D95CB1">
      <w:pPr>
        <w:autoSpaceDE w:val="0"/>
        <w:autoSpaceDN w:val="0"/>
        <w:adjustRightInd w:val="0"/>
        <w:jc w:val="both"/>
        <w:rPr>
          <w:rFonts w:ascii="Calibri" w:eastAsia="Calibri" w:hAnsi="Calibri" w:cs="Calibri"/>
          <w:bCs/>
          <w:lang w:val="ro-RO"/>
        </w:rPr>
      </w:pPr>
    </w:p>
    <w:p w:rsidR="00D95CB1" w:rsidRPr="00AF3608" w:rsidRDefault="00D95CB1" w:rsidP="00D95CB1">
      <w:pPr>
        <w:spacing w:before="120" w:line="276" w:lineRule="auto"/>
        <w:jc w:val="both"/>
        <w:rPr>
          <w:rFonts w:ascii="Calibri" w:eastAsia="Calibri" w:hAnsi="Calibri" w:cs="Calibri"/>
          <w:bCs/>
          <w:lang w:val="ro-RO"/>
        </w:rPr>
      </w:pPr>
    </w:p>
    <w:p w:rsidR="00D95CB1" w:rsidRPr="00AF3608" w:rsidRDefault="00D95CB1" w:rsidP="00D95CB1">
      <w:pPr>
        <w:spacing w:before="120"/>
        <w:jc w:val="both"/>
        <w:rPr>
          <w:rFonts w:ascii="Calibri" w:eastAsia="Calibri" w:hAnsi="Calibri" w:cs="Calibri"/>
          <w:bCs/>
          <w:lang w:val="ro-RO"/>
        </w:rPr>
      </w:pPr>
    </w:p>
    <w:p w:rsidR="00D95CB1" w:rsidRPr="00AF3608" w:rsidRDefault="00D95CB1" w:rsidP="00D95CB1">
      <w:pPr>
        <w:spacing w:before="120"/>
        <w:jc w:val="both"/>
        <w:rPr>
          <w:rFonts w:ascii="Calibri" w:eastAsia="Calibri" w:hAnsi="Calibri" w:cs="Calibri"/>
          <w:bCs/>
          <w:lang w:val="ro-RO"/>
        </w:rPr>
      </w:pPr>
      <w:r w:rsidRPr="00AF3608">
        <w:rPr>
          <w:rFonts w:ascii="Calibri" w:eastAsia="Calibri" w:hAnsi="Calibri" w:cs="Calibri"/>
          <w:bCs/>
          <w:lang w:val="ro-RO"/>
        </w:rPr>
        <w:t>Anul 2020 este marcat de criza generată de pandemia COVID-19, cel mai mare lockdown făra precedent in istoria modernă, cu implicații severe și foarte specifice pe aproape toate palierele economice și sociale.</w:t>
      </w:r>
    </w:p>
    <w:p w:rsidR="00D95CB1" w:rsidRPr="00AF3608" w:rsidRDefault="00D95CB1" w:rsidP="00D95CB1">
      <w:pPr>
        <w:spacing w:before="120"/>
        <w:jc w:val="both"/>
        <w:rPr>
          <w:rFonts w:ascii="Calibri" w:hAnsi="Calibri" w:cs="Arial"/>
          <w:color w:val="000000"/>
          <w:lang w:val="ro-RO"/>
        </w:rPr>
      </w:pPr>
      <w:r w:rsidRPr="00AF3608">
        <w:rPr>
          <w:rFonts w:ascii="Calibri" w:eastAsia="Calibri" w:hAnsi="Calibri" w:cs="Calibri"/>
          <w:bCs/>
          <w:lang w:val="ro-RO"/>
        </w:rPr>
        <w:t xml:space="preserve"> </w:t>
      </w:r>
      <w:r w:rsidRPr="00AF3608">
        <w:rPr>
          <w:rFonts w:ascii="Calibri" w:hAnsi="Calibri" w:cs="Arial"/>
          <w:color w:val="000000"/>
          <w:lang w:val="ro-RO"/>
        </w:rPr>
        <w:t xml:space="preserve">Pe perioada crizei,  </w:t>
      </w:r>
      <w:r w:rsidRPr="00AF3608">
        <w:rPr>
          <w:rFonts w:ascii="Calibri" w:hAnsi="Calibri" w:cs="Arial"/>
          <w:b/>
          <w:color w:val="000066"/>
          <w:lang w:val="ro-RO"/>
        </w:rPr>
        <w:t>regulile fiscale au fost suspendate</w:t>
      </w:r>
      <w:r w:rsidR="002543E9" w:rsidRPr="00AF3608">
        <w:rPr>
          <w:rFonts w:ascii="Calibri" w:hAnsi="Calibri" w:cs="Arial"/>
          <w:color w:val="000000"/>
          <w:lang w:val="ro-RO"/>
        </w:rPr>
        <w:t xml:space="preserve">, </w:t>
      </w:r>
      <w:r w:rsidRPr="00AF3608">
        <w:rPr>
          <w:rFonts w:ascii="Calibri" w:hAnsi="Calibri" w:cs="Arial"/>
          <w:color w:val="000000"/>
          <w:lang w:val="ro-RO"/>
        </w:rPr>
        <w:t xml:space="preserve">însă trebuie avut în vedere că </w:t>
      </w:r>
      <w:r w:rsidRPr="00AF3608">
        <w:rPr>
          <w:rFonts w:ascii="Calibri" w:hAnsi="Calibri" w:cs="Arial"/>
          <w:b/>
          <w:color w:val="000066"/>
          <w:lang w:val="ro-RO"/>
        </w:rPr>
        <w:t xml:space="preserve">legile economice reacționează la dezechilibrele, vulnerabilități economice și aspecte nesustenabile </w:t>
      </w:r>
      <w:r w:rsidRPr="00AF3608">
        <w:rPr>
          <w:rFonts w:ascii="Calibri" w:hAnsi="Calibri" w:cs="Arial"/>
          <w:color w:val="000000"/>
          <w:lang w:val="ro-RO"/>
        </w:rPr>
        <w:t>pe care le sancționează si impune corecția acestora.</w:t>
      </w:r>
    </w:p>
    <w:p w:rsidR="00D95CB1" w:rsidRPr="00AF3608" w:rsidRDefault="00D95CB1" w:rsidP="00D95CB1">
      <w:pPr>
        <w:autoSpaceDE w:val="0"/>
        <w:autoSpaceDN w:val="0"/>
        <w:adjustRightInd w:val="0"/>
        <w:spacing w:before="120"/>
        <w:jc w:val="both"/>
        <w:rPr>
          <w:rFonts w:ascii="Calibri" w:hAnsi="Calibri" w:cs="Arial"/>
          <w:b/>
          <w:color w:val="000066"/>
          <w:lang w:val="ro-RO"/>
        </w:rPr>
      </w:pPr>
      <w:r w:rsidRPr="00AF3608">
        <w:rPr>
          <w:rFonts w:ascii="Calibri" w:hAnsi="Calibri" w:cs="Arial"/>
          <w:b/>
          <w:color w:val="000000"/>
          <w:lang w:val="ro-RO"/>
        </w:rPr>
        <w:t>Politica fiscală prociclică</w:t>
      </w:r>
      <w:r w:rsidR="002543E9" w:rsidRPr="00AF3608">
        <w:rPr>
          <w:rFonts w:ascii="Calibri" w:hAnsi="Calibri" w:cs="Arial"/>
          <w:color w:val="000000"/>
          <w:lang w:val="ro-RO"/>
        </w:rPr>
        <w:t xml:space="preserve"> practicată </w:t>
      </w:r>
      <w:r w:rsidRPr="00AF3608">
        <w:rPr>
          <w:rFonts w:ascii="Calibri" w:hAnsi="Calibri" w:cs="Arial"/>
          <w:color w:val="000000"/>
          <w:lang w:val="ro-RO"/>
        </w:rPr>
        <w:t xml:space="preserve">de România în </w:t>
      </w:r>
      <w:r w:rsidR="00175EE3" w:rsidRPr="00AF3608">
        <w:rPr>
          <w:rFonts w:ascii="Calibri" w:hAnsi="Calibri" w:cs="Arial"/>
          <w:lang w:val="ro-RO"/>
        </w:rPr>
        <w:t>p</w:t>
      </w:r>
      <w:r w:rsidR="002543E9" w:rsidRPr="00AF3608">
        <w:rPr>
          <w:rFonts w:ascii="Calibri" w:hAnsi="Calibri" w:cs="Arial"/>
          <w:lang w:val="ro-RO"/>
        </w:rPr>
        <w:t>e</w:t>
      </w:r>
      <w:r w:rsidR="00175EE3" w:rsidRPr="00AF3608">
        <w:rPr>
          <w:rFonts w:ascii="Calibri" w:hAnsi="Calibri" w:cs="Arial"/>
          <w:lang w:val="ro-RO"/>
        </w:rPr>
        <w:t>rioada 2017-2019</w:t>
      </w:r>
      <w:r w:rsidRPr="00AF3608">
        <w:rPr>
          <w:rFonts w:ascii="Calibri" w:hAnsi="Calibri" w:cs="Arial"/>
          <w:color w:val="000000"/>
          <w:lang w:val="ro-RO"/>
        </w:rPr>
        <w:t xml:space="preserve">, a condus la </w:t>
      </w:r>
      <w:r w:rsidRPr="00AF3608">
        <w:rPr>
          <w:rFonts w:ascii="Calibri" w:hAnsi="Calibri" w:cs="Arial"/>
          <w:b/>
          <w:color w:val="000066"/>
          <w:lang w:val="ro-RO"/>
        </w:rPr>
        <w:t>epuizarea spațiului fiscal</w:t>
      </w:r>
      <w:r w:rsidRPr="00AF3608">
        <w:rPr>
          <w:rFonts w:ascii="Calibri" w:hAnsi="Calibri" w:cs="Arial"/>
          <w:color w:val="000000"/>
          <w:lang w:val="ro-RO"/>
        </w:rPr>
        <w:t xml:space="preserve"> necesar pentru stimularea economiei în perioadele de recesiune și poate constrânge sever politica fiscal bugetară  în perioadele  economice dificile, cum este cea generată de pandemie. Dacă la criza precedentă apropape toate statele Uniunii Europene erau în procedură de deficit excesiv</w:t>
      </w:r>
      <w:r w:rsidRPr="00AF3608">
        <w:rPr>
          <w:rFonts w:ascii="Calibri" w:hAnsi="Calibri" w:cs="Arial"/>
          <w:color w:val="000066"/>
          <w:lang w:val="ro-RO"/>
        </w:rPr>
        <w:t xml:space="preserve">, </w:t>
      </w:r>
      <w:r w:rsidRPr="00AF3608">
        <w:rPr>
          <w:rFonts w:ascii="Calibri" w:hAnsi="Calibri" w:cs="Arial"/>
          <w:b/>
          <w:color w:val="000066"/>
          <w:lang w:val="ro-RO"/>
        </w:rPr>
        <w:t>acum numai România se regăsește în această situație.</w:t>
      </w:r>
    </w:p>
    <w:p w:rsidR="00D95CB1" w:rsidRPr="00AF3608" w:rsidRDefault="00D95CB1" w:rsidP="00D95CB1">
      <w:pPr>
        <w:autoSpaceDE w:val="0"/>
        <w:autoSpaceDN w:val="0"/>
        <w:adjustRightInd w:val="0"/>
        <w:spacing w:before="120"/>
        <w:jc w:val="both"/>
        <w:rPr>
          <w:rFonts w:ascii="Calibri" w:hAnsi="Calibri" w:cs="Arial"/>
          <w:b/>
          <w:color w:val="000000"/>
          <w:lang w:val="ro-RO"/>
        </w:rPr>
      </w:pPr>
      <w:r w:rsidRPr="00AF3608">
        <w:rPr>
          <w:rFonts w:ascii="Calibri" w:hAnsi="Calibri" w:cs="Arial"/>
          <w:b/>
          <w:color w:val="000066"/>
          <w:lang w:val="ro-RO"/>
        </w:rPr>
        <w:t>România avea cel mai mare deficit de cont curent din regiune</w:t>
      </w:r>
      <w:r w:rsidRPr="00AF3608">
        <w:rPr>
          <w:rFonts w:ascii="Calibri" w:hAnsi="Calibri" w:cs="Arial"/>
          <w:color w:val="000000"/>
          <w:lang w:val="ro-RO"/>
        </w:rPr>
        <w:t xml:space="preserve"> în</w:t>
      </w:r>
      <w:r w:rsidR="00175EE3" w:rsidRPr="00AF3608">
        <w:rPr>
          <w:rFonts w:ascii="Calibri" w:hAnsi="Calibri" w:cs="Arial"/>
          <w:color w:val="000000"/>
          <w:lang w:val="ro-RO"/>
        </w:rPr>
        <w:t>ainte de izbucnirea pandemiei  ș</w:t>
      </w:r>
      <w:r w:rsidRPr="00AF3608">
        <w:rPr>
          <w:rFonts w:ascii="Calibri" w:hAnsi="Calibri" w:cs="Arial"/>
          <w:color w:val="000000"/>
          <w:lang w:val="ro-RO"/>
        </w:rPr>
        <w:t>i cel mai mare deficit bugetar,  ceea ce conduce alături de alte evoluții nefavorabile  la presiuni suplimentare asupra echilibrelor economice</w:t>
      </w:r>
      <w:r w:rsidRPr="00AF3608">
        <w:rPr>
          <w:rFonts w:ascii="Calibri" w:hAnsi="Calibri" w:cs="Arial"/>
          <w:b/>
          <w:color w:val="000000"/>
          <w:lang w:val="ro-RO"/>
        </w:rPr>
        <w:t xml:space="preserve">. </w:t>
      </w:r>
      <w:r w:rsidRPr="00AF3608">
        <w:rPr>
          <w:rFonts w:ascii="Calibri" w:hAnsi="Calibri" w:cs="Arial"/>
          <w:b/>
          <w:color w:val="000066"/>
          <w:lang w:val="ro-RO"/>
        </w:rPr>
        <w:t>Deficitul bugetar al României are o natură structurală (indusă de de reduceri de taxe și impozite și majorarea unor cheltuieli permanente),   mai puțin generat de pandemie.</w:t>
      </w:r>
      <w:r w:rsidRPr="00AF3608">
        <w:rPr>
          <w:rFonts w:ascii="Calibri" w:hAnsi="Calibri" w:cs="Arial"/>
          <w:b/>
          <w:color w:val="000000"/>
          <w:lang w:val="ro-RO"/>
        </w:rPr>
        <w:t xml:space="preserve"> Deficitele înalte devin greu de gestionat în perioadele de criză din cauza creșterii aversiunii la risc a investitorilor externi de care depinde finanțarea acestora.</w:t>
      </w:r>
    </w:p>
    <w:p w:rsidR="00D95CB1" w:rsidRPr="00AF3608" w:rsidRDefault="00D95CB1" w:rsidP="00D95CB1">
      <w:pPr>
        <w:autoSpaceDE w:val="0"/>
        <w:autoSpaceDN w:val="0"/>
        <w:adjustRightInd w:val="0"/>
        <w:spacing w:before="120"/>
        <w:jc w:val="both"/>
        <w:rPr>
          <w:rFonts w:ascii="Calibri" w:hAnsi="Calibri" w:cs="Arial"/>
          <w:color w:val="000000"/>
          <w:lang w:val="ro-RO"/>
        </w:rPr>
      </w:pPr>
      <w:r w:rsidRPr="00AF3608">
        <w:rPr>
          <w:rFonts w:ascii="Calibri" w:hAnsi="Calibri" w:cs="Arial"/>
          <w:b/>
          <w:color w:val="000066"/>
          <w:lang w:val="ro-RO"/>
        </w:rPr>
        <w:t>Nivelul redus al veniturilor fiscale comparativ cu alte state europene, precum și structura rigidă a bugetului național</w:t>
      </w:r>
      <w:r w:rsidRPr="00AF3608">
        <w:rPr>
          <w:rFonts w:ascii="Calibri" w:hAnsi="Calibri" w:cs="Arial"/>
          <w:color w:val="000000"/>
          <w:lang w:val="ro-RO"/>
        </w:rPr>
        <w:t xml:space="preserve"> marcat de ponderea mare a cheltuielilor cu salariile și pensiile, aspecte combinate cu efectul indus de criza epidimiologică  creează necesitați de finanțare pe termen  scurt si micșoreaza marja de manevră a deciziilor de  politică fiscal bugetară.</w:t>
      </w:r>
    </w:p>
    <w:p w:rsidR="00D95CB1" w:rsidRPr="00AF3608" w:rsidRDefault="00D95CB1" w:rsidP="00D95CB1">
      <w:pPr>
        <w:autoSpaceDE w:val="0"/>
        <w:autoSpaceDN w:val="0"/>
        <w:adjustRightInd w:val="0"/>
        <w:spacing w:before="120"/>
        <w:jc w:val="both"/>
        <w:rPr>
          <w:rFonts w:ascii="Calibri" w:hAnsi="Calibri" w:cs="Arial"/>
          <w:color w:val="000000"/>
          <w:lang w:val="ro-RO"/>
        </w:rPr>
      </w:pPr>
      <w:r w:rsidRPr="00AF3608">
        <w:rPr>
          <w:rFonts w:ascii="Calibri" w:hAnsi="Calibri" w:cs="Arial"/>
          <w:b/>
          <w:color w:val="000066"/>
          <w:lang w:val="ro-RO"/>
        </w:rPr>
        <w:t>Cu toate acestea,  România iși menține angajamentul  de aderare la zona euro prin Programul de Convergentă 2020,</w:t>
      </w:r>
      <w:r w:rsidRPr="00AF3608">
        <w:rPr>
          <w:rFonts w:ascii="Calibri" w:hAnsi="Calibri" w:cs="Arial"/>
          <w:color w:val="000000"/>
          <w:lang w:val="ro-RO"/>
        </w:rPr>
        <w:t xml:space="preserve"> aderare care aduce o serie de ben</w:t>
      </w:r>
      <w:r w:rsidR="007F7CEF" w:rsidRPr="00AF3608">
        <w:rPr>
          <w:rFonts w:ascii="Calibri" w:hAnsi="Calibri" w:cs="Arial"/>
          <w:color w:val="000000"/>
          <w:lang w:val="ro-RO"/>
        </w:rPr>
        <w:t xml:space="preserve">eficii deosebit de </w:t>
      </w:r>
      <w:r w:rsidR="00175EE3" w:rsidRPr="00AF3608">
        <w:rPr>
          <w:rFonts w:ascii="Calibri" w:hAnsi="Calibri" w:cs="Arial"/>
          <w:color w:val="000000"/>
          <w:lang w:val="ro-RO"/>
        </w:rPr>
        <w:t>importante</w:t>
      </w:r>
      <w:r w:rsidRPr="00AF3608">
        <w:rPr>
          <w:rFonts w:ascii="Calibri" w:hAnsi="Calibri" w:cs="Arial"/>
          <w:color w:val="000000"/>
          <w:lang w:val="ro-RO"/>
        </w:rPr>
        <w:t>, dar si necesitatea îndeplinirii criteriilor de convergență  nominală</w:t>
      </w:r>
      <w:r w:rsidR="007F7CEF" w:rsidRPr="00AF3608">
        <w:rPr>
          <w:rFonts w:ascii="Calibri" w:hAnsi="Calibri" w:cs="Arial"/>
          <w:color w:val="000000"/>
          <w:lang w:val="ro-RO"/>
        </w:rPr>
        <w:t>,</w:t>
      </w:r>
      <w:r w:rsidRPr="00AF3608">
        <w:rPr>
          <w:rFonts w:ascii="Calibri" w:hAnsi="Calibri" w:cs="Arial"/>
          <w:color w:val="000000"/>
          <w:lang w:val="ro-RO"/>
        </w:rPr>
        <w:t xml:space="preserve"> </w:t>
      </w:r>
      <w:r w:rsidR="007F7CEF" w:rsidRPr="00AF3608">
        <w:rPr>
          <w:rFonts w:ascii="Calibri" w:hAnsi="Calibri" w:cs="Arial"/>
          <w:color w:val="000000"/>
          <w:lang w:val="ro-RO"/>
        </w:rPr>
        <w:t>ș</w:t>
      </w:r>
      <w:r w:rsidRPr="00AF3608">
        <w:rPr>
          <w:rFonts w:ascii="Calibri" w:hAnsi="Calibri" w:cs="Arial"/>
          <w:color w:val="000000"/>
          <w:lang w:val="ro-RO"/>
        </w:rPr>
        <w:t>i a celor de convergență reală, instituțională si structurală. Aderarea la zona euro înseamnă finanțe publice sănătoase, deficite bugetare mici, un nivel al cursului  de schimb care să permită Romăniei sa facă față presiunilor concurențiale din zona euro, consolidare bugetară durabilă, ținte ambițioase ce trebuiesc atinse in viitor, programare multianuală solidă.</w:t>
      </w:r>
    </w:p>
    <w:p w:rsidR="00D95CB1" w:rsidRPr="00AF3608" w:rsidRDefault="00D95CB1" w:rsidP="00D95CB1">
      <w:pPr>
        <w:autoSpaceDE w:val="0"/>
        <w:autoSpaceDN w:val="0"/>
        <w:adjustRightInd w:val="0"/>
        <w:spacing w:before="120"/>
        <w:jc w:val="both"/>
        <w:rPr>
          <w:rFonts w:ascii="Calibri" w:hAnsi="Calibri" w:cs="Calibri"/>
          <w:color w:val="000000"/>
          <w:lang w:val="ro-RO"/>
        </w:rPr>
      </w:pPr>
      <w:r w:rsidRPr="00AF3608">
        <w:rPr>
          <w:rFonts w:ascii="Calibri" w:hAnsi="Calibri" w:cs="Calibri"/>
          <w:color w:val="000000"/>
          <w:lang w:val="ro-RO"/>
        </w:rPr>
        <w:t>Declanșarea pandemiei C</w:t>
      </w:r>
      <w:r w:rsidR="00175EE3" w:rsidRPr="00AF3608">
        <w:rPr>
          <w:rFonts w:ascii="Calibri" w:hAnsi="Calibri" w:cs="Calibri"/>
          <w:color w:val="000000"/>
          <w:lang w:val="ro-RO"/>
        </w:rPr>
        <w:t>OVID-</w:t>
      </w:r>
      <w:r w:rsidRPr="00AF3608">
        <w:rPr>
          <w:rFonts w:ascii="Calibri" w:hAnsi="Calibri" w:cs="Calibri"/>
          <w:color w:val="000000"/>
          <w:lang w:val="ro-RO"/>
        </w:rPr>
        <w:t xml:space="preserve">19 </w:t>
      </w:r>
      <w:r w:rsidR="00175EE3" w:rsidRPr="00AF3608">
        <w:rPr>
          <w:rFonts w:ascii="Calibri" w:hAnsi="Calibri" w:cs="Calibri"/>
          <w:color w:val="000000"/>
          <w:lang w:val="ro-RO"/>
        </w:rPr>
        <w:t>la fel ca ș</w:t>
      </w:r>
      <w:r w:rsidRPr="00AF3608">
        <w:rPr>
          <w:rFonts w:ascii="Calibri" w:hAnsi="Calibri" w:cs="Calibri"/>
          <w:color w:val="000000"/>
          <w:lang w:val="ro-RO"/>
        </w:rPr>
        <w:t>i alte epidemii care au afectat omenirea are consecințe economice, sociale, și financiare a caror magnitudine și complexitate depășesc capacitatea individuală de răspuns a tărilor fiind neces</w:t>
      </w:r>
      <w:r w:rsidR="007F7CEF" w:rsidRPr="00AF3608">
        <w:rPr>
          <w:rFonts w:ascii="Calibri" w:hAnsi="Calibri" w:cs="Calibri"/>
          <w:color w:val="000000"/>
          <w:lang w:val="ro-RO"/>
        </w:rPr>
        <w:t xml:space="preserve">ară o cooperare internațională și </w:t>
      </w:r>
      <w:r w:rsidRPr="00AF3608">
        <w:rPr>
          <w:rFonts w:ascii="Calibri" w:hAnsi="Calibri" w:cs="Calibri"/>
          <w:color w:val="000000"/>
          <w:lang w:val="ro-RO"/>
        </w:rPr>
        <w:t>măsuri de o amploare fără</w:t>
      </w:r>
      <w:r w:rsidR="007F7CEF" w:rsidRPr="00AF3608">
        <w:rPr>
          <w:rFonts w:ascii="Calibri" w:hAnsi="Calibri" w:cs="Calibri"/>
          <w:color w:val="000000"/>
          <w:lang w:val="ro-RO"/>
        </w:rPr>
        <w:t xml:space="preserve"> precedent constând în intervenț</w:t>
      </w:r>
      <w:r w:rsidRPr="00AF3608">
        <w:rPr>
          <w:rFonts w:ascii="Calibri" w:hAnsi="Calibri" w:cs="Calibri"/>
          <w:color w:val="000000"/>
          <w:lang w:val="ro-RO"/>
        </w:rPr>
        <w:t>ii fiscale, monetare și de natură prudențială.</w:t>
      </w:r>
    </w:p>
    <w:p w:rsidR="00D95CB1" w:rsidRPr="00AF3608" w:rsidRDefault="007F7CEF" w:rsidP="00D95CB1">
      <w:pPr>
        <w:autoSpaceDE w:val="0"/>
        <w:autoSpaceDN w:val="0"/>
        <w:adjustRightInd w:val="0"/>
        <w:spacing w:before="120"/>
        <w:jc w:val="both"/>
        <w:rPr>
          <w:rFonts w:ascii="Calibri" w:hAnsi="Calibri" w:cs="Calibri"/>
          <w:color w:val="000000"/>
          <w:lang w:val="ro-RO"/>
        </w:rPr>
      </w:pPr>
      <w:r w:rsidRPr="00AF3608">
        <w:rPr>
          <w:rFonts w:ascii="Calibri" w:hAnsi="Calibri" w:cs="Calibri"/>
          <w:color w:val="000000"/>
          <w:lang w:val="ro-RO"/>
        </w:rPr>
        <w:t>Î</w:t>
      </w:r>
      <w:r w:rsidR="00D95CB1" w:rsidRPr="00AF3608">
        <w:rPr>
          <w:rFonts w:ascii="Calibri" w:hAnsi="Calibri" w:cs="Calibri"/>
          <w:color w:val="000000"/>
          <w:lang w:val="ro-RO"/>
        </w:rPr>
        <w:t>ntrucât construcția bugetară a anului 2021 este puternic influențată de efortul bugerar considerabil întreprins in anul 2020, ceea ce a determinat ca punct de plecare un deficit de 9,79 % din PIB, vor fi prezentate în cele</w:t>
      </w:r>
      <w:r w:rsidRPr="00AF3608">
        <w:rPr>
          <w:rFonts w:ascii="Calibri" w:hAnsi="Calibri" w:cs="Calibri"/>
          <w:color w:val="000000"/>
          <w:lang w:val="ro-RO"/>
        </w:rPr>
        <w:t xml:space="preserve"> ce urmează principalele măsuri</w:t>
      </w:r>
      <w:r w:rsidR="00D95CB1" w:rsidRPr="00AF3608">
        <w:rPr>
          <w:rFonts w:ascii="Calibri" w:hAnsi="Calibri" w:cs="Calibri"/>
          <w:color w:val="000000"/>
          <w:lang w:val="ro-RO"/>
        </w:rPr>
        <w:t xml:space="preserve"> ce au fost luate de autorități în anul 2020 pentru a limita efectele crizei pandemice pe parcursul a trei rectificări bugetare.</w:t>
      </w:r>
    </w:p>
    <w:p w:rsidR="00D95CB1" w:rsidRPr="00AF3608" w:rsidRDefault="00D95CB1" w:rsidP="00D95CB1">
      <w:pPr>
        <w:autoSpaceDE w:val="0"/>
        <w:autoSpaceDN w:val="0"/>
        <w:adjustRightInd w:val="0"/>
        <w:spacing w:before="120"/>
        <w:jc w:val="both"/>
        <w:rPr>
          <w:rFonts w:ascii="Calibri" w:hAnsi="Calibri" w:cs="Calibri"/>
          <w:color w:val="000000"/>
          <w:lang w:val="ro-RO"/>
        </w:rPr>
      </w:pPr>
    </w:p>
    <w:p w:rsidR="00D95CB1" w:rsidRPr="00AF3608" w:rsidRDefault="00D95CB1" w:rsidP="00D95CB1">
      <w:pPr>
        <w:autoSpaceDE w:val="0"/>
        <w:autoSpaceDN w:val="0"/>
        <w:adjustRightInd w:val="0"/>
        <w:spacing w:before="120"/>
        <w:jc w:val="both"/>
        <w:rPr>
          <w:rFonts w:ascii="Calibri" w:hAnsi="Calibri" w:cs="Calibri"/>
          <w:color w:val="000000"/>
          <w:lang w:val="ro-RO"/>
        </w:rPr>
      </w:pPr>
    </w:p>
    <w:p w:rsidR="00D95CB1" w:rsidRPr="00AF3608" w:rsidRDefault="00D95CB1" w:rsidP="00D95CB1">
      <w:pPr>
        <w:autoSpaceDE w:val="0"/>
        <w:autoSpaceDN w:val="0"/>
        <w:adjustRightInd w:val="0"/>
        <w:spacing w:before="120"/>
        <w:jc w:val="both"/>
        <w:rPr>
          <w:rFonts w:ascii="Calibri" w:hAnsi="Calibri" w:cs="Calibri"/>
          <w:color w:val="000000"/>
          <w:lang w:val="ro-RO"/>
        </w:rPr>
      </w:pPr>
    </w:p>
    <w:p w:rsidR="00D95CB1" w:rsidRPr="00AF3608" w:rsidRDefault="00D95CB1" w:rsidP="00D95CB1">
      <w:pPr>
        <w:autoSpaceDE w:val="0"/>
        <w:autoSpaceDN w:val="0"/>
        <w:adjustRightInd w:val="0"/>
        <w:spacing w:before="120"/>
        <w:jc w:val="both"/>
        <w:rPr>
          <w:rFonts w:ascii="Calibri" w:hAnsi="Calibri" w:cs="Calibri"/>
          <w:color w:val="000000"/>
          <w:lang w:val="ro-RO"/>
        </w:rPr>
      </w:pPr>
      <w:r w:rsidRPr="00AF3608">
        <w:rPr>
          <w:rFonts w:ascii="Calibri" w:hAnsi="Calibri" w:cs="Calibri"/>
          <w:b/>
          <w:noProof/>
          <w:color w:val="000000"/>
        </w:rPr>
        <w:lastRenderedPageBreak/>
        <mc:AlternateContent>
          <mc:Choice Requires="wps">
            <w:drawing>
              <wp:anchor distT="0" distB="0" distL="114300" distR="114300" simplePos="0" relativeHeight="251867136" behindDoc="0" locked="0" layoutInCell="1" allowOverlap="1" wp14:anchorId="228E49F4" wp14:editId="47B7E956">
                <wp:simplePos x="0" y="0"/>
                <wp:positionH relativeFrom="margin">
                  <wp:posOffset>-66040</wp:posOffset>
                </wp:positionH>
                <wp:positionV relativeFrom="paragraph">
                  <wp:posOffset>102870</wp:posOffset>
                </wp:positionV>
                <wp:extent cx="5991225" cy="466725"/>
                <wp:effectExtent l="19050" t="19050" r="47625" b="66675"/>
                <wp:wrapNone/>
                <wp:docPr id="56"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466725"/>
                        </a:xfrm>
                        <a:prstGeom prst="roundRect">
                          <a:avLst>
                            <a:gd name="adj" fmla="val 16667"/>
                          </a:avLst>
                        </a:prstGeom>
                        <a:solidFill>
                          <a:srgbClr val="DEEAF6"/>
                        </a:solidFill>
                        <a:ln w="38100">
                          <a:solidFill>
                            <a:srgbClr val="2E74B5"/>
                          </a:solidFill>
                          <a:round/>
                          <a:headEnd/>
                          <a:tailEnd/>
                        </a:ln>
                        <a:effectLst>
                          <a:outerShdw dist="28398" dir="3806097" algn="ctr" rotWithShape="0">
                            <a:srgbClr val="823B0B">
                              <a:alpha val="50000"/>
                            </a:srgbClr>
                          </a:outerShdw>
                        </a:effectLst>
                      </wps:spPr>
                      <wps:txbx>
                        <w:txbxContent>
                          <w:p w:rsidR="001D681B" w:rsidRPr="00317D30" w:rsidRDefault="001D681B" w:rsidP="00D95CB1">
                            <w:pPr>
                              <w:shd w:val="clear" w:color="auto" w:fill="E7E6E6"/>
                              <w:autoSpaceDE w:val="0"/>
                              <w:autoSpaceDN w:val="0"/>
                              <w:adjustRightInd w:val="0"/>
                              <w:jc w:val="both"/>
                              <w:rPr>
                                <w:rFonts w:ascii="Calibri" w:hAnsi="Calibri" w:cs="Arial"/>
                                <w:b/>
                                <w:color w:val="000066"/>
                                <w:lang w:val="ro-RO"/>
                              </w:rPr>
                            </w:pPr>
                            <w:r w:rsidRPr="00815A2E">
                              <w:rPr>
                                <w:rFonts w:ascii="Calibri" w:hAnsi="Calibri" w:cs="Arial"/>
                                <w:b/>
                                <w:color w:val="000066"/>
                                <w:lang w:val="ro-RO"/>
                              </w:rPr>
                              <w:t>Preze</w:t>
                            </w:r>
                            <w:r>
                              <w:rPr>
                                <w:rFonts w:ascii="Calibri" w:hAnsi="Calibri" w:cs="Arial"/>
                                <w:b/>
                                <w:color w:val="000066"/>
                                <w:lang w:val="ro-RO"/>
                              </w:rPr>
                              <w:t>ntarea pe scurt a obiectivelor pe anul 2021  și a mă</w:t>
                            </w:r>
                            <w:r w:rsidRPr="00815A2E">
                              <w:rPr>
                                <w:rFonts w:ascii="Calibri" w:hAnsi="Calibri" w:cs="Arial"/>
                                <w:b/>
                                <w:color w:val="000066"/>
                                <w:lang w:val="ro-RO"/>
                              </w:rPr>
                              <w:t>suri</w:t>
                            </w:r>
                            <w:r>
                              <w:rPr>
                                <w:rFonts w:ascii="Calibri" w:hAnsi="Calibri" w:cs="Arial"/>
                                <w:b/>
                                <w:color w:val="000066"/>
                                <w:lang w:val="ro-RO"/>
                              </w:rPr>
                              <w:t xml:space="preserve">lor pentru realizarea acestora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8E49F4" id="Rounded Rectangle 56" o:spid="_x0000_s1027" style="position:absolute;left:0;text-align:left;margin-left:-5.2pt;margin-top:8.1pt;width:471.75pt;height:36.7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" fillcolor="#deeaf6" strokecolor="#2e74b5" strokeweight="3pt">
                <v:shadow on="t" color="#823b0b" opacity=".5" offset="1pt"/>
                <v:textbox>
                  <w:txbxContent>
                    <w:p w:rsidR="001D681B" w:rsidRPr="00317D30" w:rsidRDefault="001D681B" w:rsidP="00D95CB1">
                      <w:pPr>
                        <w:shd w:val="clear" w:color="auto" w:fill="E7E6E6"/>
                        <w:autoSpaceDE w:val="0"/>
                        <w:autoSpaceDN w:val="0"/>
                        <w:adjustRightInd w:val="0"/>
                        <w:jc w:val="both"/>
                        <w:rPr>
                          <w:rFonts w:ascii="Calibri" w:hAnsi="Calibri" w:cs="Arial"/>
                          <w:b/>
                          <w:color w:val="000066"/>
                          <w:lang w:val="ro-RO"/>
                        </w:rPr>
                      </w:pPr>
                      <w:r w:rsidRPr="00815A2E">
                        <w:rPr>
                          <w:rFonts w:ascii="Calibri" w:hAnsi="Calibri" w:cs="Arial"/>
                          <w:b/>
                          <w:color w:val="000066"/>
                          <w:lang w:val="ro-RO"/>
                        </w:rPr>
                        <w:t>Preze</w:t>
                      </w:r>
                      <w:r>
                        <w:rPr>
                          <w:rFonts w:ascii="Calibri" w:hAnsi="Calibri" w:cs="Arial"/>
                          <w:b/>
                          <w:color w:val="000066"/>
                          <w:lang w:val="ro-RO"/>
                        </w:rPr>
                        <w:t>ntarea pe scurt a obiectivelor pe anul 2021  și a mă</w:t>
                      </w:r>
                      <w:r w:rsidRPr="00815A2E">
                        <w:rPr>
                          <w:rFonts w:ascii="Calibri" w:hAnsi="Calibri" w:cs="Arial"/>
                          <w:b/>
                          <w:color w:val="000066"/>
                          <w:lang w:val="ro-RO"/>
                        </w:rPr>
                        <w:t>suri</w:t>
                      </w:r>
                      <w:r>
                        <w:rPr>
                          <w:rFonts w:ascii="Calibri" w:hAnsi="Calibri" w:cs="Arial"/>
                          <w:b/>
                          <w:color w:val="000066"/>
                          <w:lang w:val="ro-RO"/>
                        </w:rPr>
                        <w:t xml:space="preserve">lor pentru realizarea acestora </w:t>
                      </w:r>
                    </w:p>
                  </w:txbxContent>
                </v:textbox>
                <w10:wrap anchorx="margin"/>
              </v:roundrect>
            </w:pict>
          </mc:Fallback>
        </mc:AlternateContent>
      </w:r>
    </w:p>
    <w:p w:rsidR="00D95CB1" w:rsidRPr="00AF3608" w:rsidRDefault="00D95CB1" w:rsidP="00D95CB1">
      <w:pPr>
        <w:autoSpaceDE w:val="0"/>
        <w:autoSpaceDN w:val="0"/>
        <w:adjustRightInd w:val="0"/>
        <w:spacing w:before="120"/>
        <w:jc w:val="both"/>
        <w:rPr>
          <w:rFonts w:ascii="Calibri" w:hAnsi="Calibri" w:cs="Calibri"/>
          <w:b/>
          <w:color w:val="000000"/>
          <w:lang w:val="ro-RO"/>
        </w:rPr>
      </w:pPr>
    </w:p>
    <w:p w:rsidR="00D95CB1" w:rsidRPr="00AF3608" w:rsidRDefault="00D95CB1" w:rsidP="00D95CB1">
      <w:pPr>
        <w:autoSpaceDE w:val="0"/>
        <w:autoSpaceDN w:val="0"/>
        <w:adjustRightInd w:val="0"/>
        <w:spacing w:before="120"/>
        <w:jc w:val="both"/>
        <w:rPr>
          <w:rFonts w:ascii="Calibri" w:hAnsi="Calibri" w:cs="Calibri"/>
          <w:b/>
          <w:color w:val="000000"/>
          <w:lang w:val="ro-RO"/>
        </w:rPr>
      </w:pPr>
    </w:p>
    <w:p w:rsidR="00D95CB1" w:rsidRPr="00AF3608" w:rsidRDefault="00D95CB1" w:rsidP="00D969C8">
      <w:pPr>
        <w:autoSpaceDE w:val="0"/>
        <w:autoSpaceDN w:val="0"/>
        <w:adjustRightInd w:val="0"/>
        <w:spacing w:before="120"/>
        <w:jc w:val="both"/>
        <w:rPr>
          <w:rFonts w:ascii="Calibri" w:hAnsi="Calibri" w:cs="Calibri"/>
          <w:b/>
          <w:color w:val="000066"/>
          <w:lang w:val="ro-RO"/>
        </w:rPr>
      </w:pPr>
      <w:r w:rsidRPr="00AF3608">
        <w:rPr>
          <w:rFonts w:ascii="Calibri" w:hAnsi="Calibri" w:cs="Calibri"/>
          <w:b/>
          <w:color w:val="000066"/>
          <w:lang w:val="ro-RO"/>
        </w:rPr>
        <w:t xml:space="preserve">Pentru anul 2021, Guvernul și-a propus o serie de obiective majore privind politicile fiscale și bugetare: </w:t>
      </w:r>
    </w:p>
    <w:p w:rsidR="00D95CB1" w:rsidRPr="00AF3608" w:rsidRDefault="00D95CB1" w:rsidP="003A0B85">
      <w:pPr>
        <w:numPr>
          <w:ilvl w:val="0"/>
          <w:numId w:val="106"/>
        </w:numPr>
        <w:autoSpaceDE w:val="0"/>
        <w:autoSpaceDN w:val="0"/>
        <w:adjustRightInd w:val="0"/>
        <w:spacing w:before="120"/>
        <w:jc w:val="both"/>
        <w:rPr>
          <w:rFonts w:ascii="Calibri" w:hAnsi="Calibri" w:cs="Calibri"/>
          <w:b/>
          <w:i/>
          <w:lang w:val="ro-RO"/>
        </w:rPr>
      </w:pPr>
      <w:r w:rsidRPr="00AF3608">
        <w:rPr>
          <w:rFonts w:ascii="Calibri" w:hAnsi="Calibri" w:cs="Calibri"/>
          <w:b/>
          <w:i/>
          <w:lang w:val="ro-RO"/>
        </w:rPr>
        <w:t xml:space="preserve">să mobilizeze resursele financiare de care statul are nevoie pentru finanțare și să le direcționeze țintit si eficient în funcție de priorități ; </w:t>
      </w:r>
    </w:p>
    <w:p w:rsidR="00D95CB1" w:rsidRPr="00AF3608" w:rsidRDefault="00D95CB1" w:rsidP="003A0B85">
      <w:pPr>
        <w:numPr>
          <w:ilvl w:val="0"/>
          <w:numId w:val="106"/>
        </w:numPr>
        <w:autoSpaceDE w:val="0"/>
        <w:autoSpaceDN w:val="0"/>
        <w:adjustRightInd w:val="0"/>
        <w:spacing w:before="120"/>
        <w:jc w:val="both"/>
        <w:rPr>
          <w:rFonts w:ascii="Calibri" w:hAnsi="Calibri" w:cs="Calibri"/>
          <w:i/>
          <w:lang w:val="ro-RO"/>
        </w:rPr>
      </w:pPr>
      <w:r w:rsidRPr="00AF3608">
        <w:rPr>
          <w:rFonts w:ascii="Calibri" w:hAnsi="Calibri" w:cs="Calibri"/>
          <w:b/>
          <w:i/>
          <w:lang w:val="ro-RO"/>
        </w:rPr>
        <w:t>să susțină un mediu de afaceri favorabil și predictibil,</w:t>
      </w:r>
      <w:r w:rsidRPr="00AF3608">
        <w:rPr>
          <w:rFonts w:ascii="Calibri" w:hAnsi="Calibri" w:cs="Calibri"/>
          <w:i/>
          <w:lang w:val="ro-RO"/>
        </w:rPr>
        <w:t xml:space="preserve"> pentru redresare economică și  o  creștere economică sustenabilă;</w:t>
      </w:r>
    </w:p>
    <w:p w:rsidR="00D95CB1" w:rsidRPr="00AF3608" w:rsidRDefault="00D95CB1" w:rsidP="003A0B85">
      <w:pPr>
        <w:numPr>
          <w:ilvl w:val="0"/>
          <w:numId w:val="106"/>
        </w:numPr>
        <w:autoSpaceDE w:val="0"/>
        <w:autoSpaceDN w:val="0"/>
        <w:adjustRightInd w:val="0"/>
        <w:spacing w:before="120"/>
        <w:jc w:val="both"/>
        <w:rPr>
          <w:rFonts w:ascii="Calibri" w:hAnsi="Calibri" w:cs="Calibri"/>
          <w:b/>
          <w:i/>
          <w:color w:val="000000"/>
          <w:lang w:val="ro-RO"/>
        </w:rPr>
      </w:pPr>
      <w:r w:rsidRPr="00AF3608">
        <w:rPr>
          <w:rFonts w:ascii="Calibri" w:hAnsi="Calibri" w:cs="Calibri"/>
          <w:b/>
          <w:i/>
          <w:lang w:val="ro-RO"/>
        </w:rPr>
        <w:t>să contribuie la realizarea recuperării contracției economice din anul 2020 și să asigure stabilitatea  economiei românești,</w:t>
      </w:r>
      <w:r w:rsidRPr="00AF3608">
        <w:rPr>
          <w:rFonts w:ascii="Calibri" w:hAnsi="Calibri" w:cs="Calibri"/>
          <w:i/>
          <w:lang w:val="ro-RO"/>
        </w:rPr>
        <w:t xml:space="preserve"> prin atenuarea impactului nefavorabil care poate apărea în evoluția ciclurilor economice. </w:t>
      </w:r>
    </w:p>
    <w:p w:rsidR="00D95CB1" w:rsidRPr="00AF3608" w:rsidRDefault="00D95CB1" w:rsidP="00D95CB1">
      <w:pPr>
        <w:autoSpaceDE w:val="0"/>
        <w:autoSpaceDN w:val="0"/>
        <w:adjustRightInd w:val="0"/>
        <w:spacing w:before="120"/>
        <w:jc w:val="both"/>
        <w:rPr>
          <w:rFonts w:ascii="Calibri" w:hAnsi="Calibri" w:cs="Calibri"/>
          <w:b/>
          <w:color w:val="000000"/>
          <w:lang w:val="ro-RO"/>
        </w:rPr>
      </w:pPr>
    </w:p>
    <w:p w:rsidR="00D95CB1" w:rsidRPr="00B150CC" w:rsidRDefault="00D95CB1" w:rsidP="003A0B85">
      <w:pPr>
        <w:numPr>
          <w:ilvl w:val="0"/>
          <w:numId w:val="141"/>
        </w:numPr>
        <w:shd w:val="clear" w:color="auto" w:fill="DEEAF6" w:themeFill="accent1" w:themeFillTint="33"/>
        <w:spacing w:before="120" w:line="276" w:lineRule="auto"/>
        <w:ind w:left="284" w:hanging="284"/>
        <w:contextualSpacing/>
        <w:jc w:val="both"/>
        <w:rPr>
          <w:rFonts w:asciiTheme="minorHAnsi" w:eastAsia="Calibri" w:hAnsiTheme="minorHAnsi" w:cstheme="minorHAnsi"/>
          <w:szCs w:val="22"/>
          <w:lang w:val="ro-RO"/>
        </w:rPr>
      </w:pPr>
      <w:r w:rsidRPr="00AF3608">
        <w:rPr>
          <w:rFonts w:asciiTheme="minorHAnsi" w:eastAsia="+mn-ea" w:hAnsiTheme="minorHAnsi" w:cstheme="minorHAnsi"/>
          <w:b/>
          <w:bCs/>
          <w:color w:val="000066"/>
          <w:szCs w:val="22"/>
          <w:lang w:val="ro-RO"/>
        </w:rPr>
        <w:t>Măsuri de</w:t>
      </w:r>
      <w:r w:rsidR="007F7CEF" w:rsidRPr="00AF3608">
        <w:rPr>
          <w:rFonts w:asciiTheme="minorHAnsi" w:eastAsia="+mn-ea" w:hAnsiTheme="minorHAnsi" w:cstheme="minorHAnsi"/>
          <w:b/>
          <w:bCs/>
          <w:color w:val="000066"/>
          <w:szCs w:val="22"/>
          <w:lang w:val="ro-RO"/>
        </w:rPr>
        <w:t xml:space="preserve"> înlăturare a efectelor crizei </w:t>
      </w:r>
      <w:r w:rsidRPr="00AF3608">
        <w:rPr>
          <w:rFonts w:asciiTheme="minorHAnsi" w:eastAsia="+mn-ea" w:hAnsiTheme="minorHAnsi" w:cstheme="minorHAnsi"/>
          <w:b/>
          <w:bCs/>
          <w:color w:val="000066"/>
          <w:szCs w:val="22"/>
          <w:lang w:val="ro-RO"/>
        </w:rPr>
        <w:t>pandemice generate de C</w:t>
      </w:r>
      <w:r w:rsidR="00175EE3" w:rsidRPr="00AF3608">
        <w:rPr>
          <w:rFonts w:asciiTheme="minorHAnsi" w:eastAsia="+mn-ea" w:hAnsiTheme="minorHAnsi" w:cstheme="minorHAnsi"/>
          <w:b/>
          <w:bCs/>
          <w:color w:val="000066"/>
          <w:szCs w:val="22"/>
          <w:lang w:val="ro-RO"/>
        </w:rPr>
        <w:t>OVID-</w:t>
      </w:r>
      <w:r w:rsidRPr="00AF3608">
        <w:rPr>
          <w:rFonts w:asciiTheme="minorHAnsi" w:eastAsia="+mn-ea" w:hAnsiTheme="minorHAnsi" w:cstheme="minorHAnsi"/>
          <w:b/>
          <w:bCs/>
          <w:color w:val="000066"/>
          <w:szCs w:val="22"/>
          <w:lang w:val="ro-RO"/>
        </w:rPr>
        <w:t xml:space="preserve">19 care țintesc populația și </w:t>
      </w:r>
      <w:r w:rsidR="000F653C">
        <w:rPr>
          <w:rFonts w:asciiTheme="minorHAnsi" w:eastAsia="+mn-ea" w:hAnsiTheme="minorHAnsi" w:cstheme="minorHAnsi"/>
          <w:b/>
          <w:bCs/>
          <w:color w:val="000066"/>
          <w:szCs w:val="22"/>
          <w:lang w:val="ro-RO"/>
        </w:rPr>
        <w:t>operatorilor</w:t>
      </w:r>
      <w:r w:rsidRPr="00AF3608">
        <w:rPr>
          <w:rFonts w:asciiTheme="minorHAnsi" w:eastAsia="+mn-ea" w:hAnsiTheme="minorHAnsi" w:cstheme="minorHAnsi"/>
          <w:b/>
          <w:bCs/>
          <w:color w:val="000066"/>
          <w:szCs w:val="22"/>
          <w:lang w:val="ro-RO"/>
        </w:rPr>
        <w:t xml:space="preserve"> economici, în v</w:t>
      </w:r>
      <w:r w:rsidR="007F7CEF" w:rsidRPr="00AF3608">
        <w:rPr>
          <w:rFonts w:asciiTheme="minorHAnsi" w:eastAsia="+mn-ea" w:hAnsiTheme="minorHAnsi" w:cstheme="minorHAnsi"/>
          <w:b/>
          <w:bCs/>
          <w:color w:val="000066"/>
          <w:szCs w:val="22"/>
          <w:lang w:val="ro-RO"/>
        </w:rPr>
        <w:t xml:space="preserve">ederea recuperării contracției </w:t>
      </w:r>
      <w:r w:rsidRPr="00AF3608">
        <w:rPr>
          <w:rFonts w:asciiTheme="minorHAnsi" w:eastAsia="+mn-ea" w:hAnsiTheme="minorHAnsi" w:cstheme="minorHAnsi"/>
          <w:b/>
          <w:bCs/>
          <w:color w:val="000066"/>
          <w:szCs w:val="22"/>
          <w:lang w:val="ro-RO"/>
        </w:rPr>
        <w:t xml:space="preserve">economice înregistrate în anul 2020, crearea premiselor pentru </w:t>
      </w:r>
      <w:r w:rsidRPr="00AF3608">
        <w:rPr>
          <w:rFonts w:asciiTheme="minorHAnsi" w:eastAsia="+mn-ea" w:hAnsiTheme="minorHAnsi" w:cstheme="minorHAnsi"/>
          <w:b/>
          <w:bCs/>
          <w:color w:val="000066"/>
          <w:szCs w:val="22"/>
          <w:u w:val="single"/>
          <w:lang w:val="ro-RO"/>
        </w:rPr>
        <w:t>susținerea unei creșteri economice inteligente, sustenabile și incluzive</w:t>
      </w:r>
      <w:r w:rsidRPr="00AF3608">
        <w:rPr>
          <w:rFonts w:asciiTheme="minorHAnsi" w:eastAsia="+mn-ea" w:hAnsiTheme="minorHAnsi" w:cstheme="minorHAnsi"/>
          <w:color w:val="000066"/>
          <w:szCs w:val="22"/>
          <w:u w:val="single"/>
          <w:lang w:val="ro-RO"/>
        </w:rPr>
        <w:t xml:space="preserve"> </w:t>
      </w:r>
      <w:r w:rsidRPr="00AF3608">
        <w:rPr>
          <w:rFonts w:asciiTheme="minorHAnsi" w:eastAsia="+mn-ea" w:hAnsiTheme="minorHAnsi" w:cstheme="minorHAnsi"/>
          <w:b/>
          <w:color w:val="000066"/>
          <w:szCs w:val="22"/>
          <w:u w:val="single"/>
          <w:lang w:val="ro-RO"/>
        </w:rPr>
        <w:t xml:space="preserve">pe orizontul de referință, finanțarea schemelor de ajutor de stat </w:t>
      </w:r>
      <w:r w:rsidR="007F7CEF" w:rsidRPr="00B150CC">
        <w:rPr>
          <w:rFonts w:asciiTheme="minorHAnsi" w:eastAsia="+mn-ea" w:hAnsiTheme="minorHAnsi" w:cstheme="minorHAnsi"/>
          <w:szCs w:val="22"/>
          <w:lang w:val="ro-RO"/>
        </w:rPr>
        <w:t>în vederea</w:t>
      </w:r>
      <w:r w:rsidRPr="00B150CC">
        <w:rPr>
          <w:rFonts w:asciiTheme="minorHAnsi" w:eastAsia="+mn-ea" w:hAnsiTheme="minorHAnsi" w:cstheme="minorHAnsi"/>
          <w:szCs w:val="22"/>
          <w:lang w:val="ro-RO"/>
        </w:rPr>
        <w:t xml:space="preserve"> sprijinirii mediului de afaceri, </w:t>
      </w:r>
      <w:r w:rsidR="007F7CEF" w:rsidRPr="00B150CC">
        <w:rPr>
          <w:rFonts w:asciiTheme="minorHAnsi" w:eastAsia="+mn-ea" w:hAnsiTheme="minorHAnsi" w:cstheme="minorHAnsi"/>
          <w:szCs w:val="22"/>
          <w:lang w:val="ro-RO"/>
        </w:rPr>
        <w:t xml:space="preserve">precum și </w:t>
      </w:r>
      <w:r w:rsidRPr="00B150CC">
        <w:rPr>
          <w:rFonts w:asciiTheme="minorHAnsi" w:eastAsia="+mn-ea" w:hAnsiTheme="minorHAnsi" w:cstheme="minorHAnsi"/>
          <w:szCs w:val="22"/>
          <w:lang w:val="ro-RO"/>
        </w:rPr>
        <w:t>creşterea productivităţii muncii</w:t>
      </w:r>
    </w:p>
    <w:p w:rsidR="00D95CB1" w:rsidRPr="00AF3608" w:rsidRDefault="00D95CB1" w:rsidP="00D95CB1">
      <w:pPr>
        <w:spacing w:before="120"/>
        <w:jc w:val="both"/>
        <w:rPr>
          <w:rFonts w:ascii="Calibri" w:eastAsia="Calibri" w:hAnsi="Calibri"/>
          <w:b/>
          <w:color w:val="000066"/>
          <w:lang w:val="ro-RO"/>
        </w:rPr>
      </w:pPr>
    </w:p>
    <w:p w:rsidR="00D95CB1" w:rsidRPr="00AF3608" w:rsidRDefault="00D95CB1" w:rsidP="00D95CB1">
      <w:pPr>
        <w:spacing w:before="120"/>
        <w:jc w:val="both"/>
        <w:rPr>
          <w:rFonts w:ascii="Calibri" w:eastAsia="Calibri" w:hAnsi="Calibri"/>
          <w:b/>
          <w:color w:val="000066"/>
          <w:lang w:val="ro-RO"/>
        </w:rPr>
      </w:pPr>
      <w:r w:rsidRPr="00AF3608">
        <w:rPr>
          <w:rFonts w:ascii="Calibri" w:eastAsia="Calibri" w:hAnsi="Calibri" w:cs="Calibri"/>
          <w:noProof/>
          <w:color w:val="002060"/>
        </w:rPr>
        <mc:AlternateContent>
          <mc:Choice Requires="wps">
            <w:drawing>
              <wp:anchor distT="0" distB="0" distL="114300" distR="114300" simplePos="0" relativeHeight="251868160" behindDoc="0" locked="0" layoutInCell="1" allowOverlap="1" wp14:anchorId="757F5DF5" wp14:editId="3244786A">
                <wp:simplePos x="0" y="0"/>
                <wp:positionH relativeFrom="margin">
                  <wp:posOffset>635</wp:posOffset>
                </wp:positionH>
                <wp:positionV relativeFrom="paragraph">
                  <wp:posOffset>26036</wp:posOffset>
                </wp:positionV>
                <wp:extent cx="6105525" cy="438150"/>
                <wp:effectExtent l="19050" t="19050" r="47625" b="57150"/>
                <wp:wrapNone/>
                <wp:docPr id="57"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438150"/>
                        </a:xfrm>
                        <a:prstGeom prst="roundRect">
                          <a:avLst>
                            <a:gd name="adj" fmla="val 16667"/>
                          </a:avLst>
                        </a:prstGeom>
                        <a:solidFill>
                          <a:srgbClr val="E7E6E6"/>
                        </a:solidFill>
                        <a:ln w="38100">
                          <a:solidFill>
                            <a:srgbClr val="2E74B5"/>
                          </a:solidFill>
                          <a:round/>
                          <a:headEnd/>
                          <a:tailEnd/>
                        </a:ln>
                        <a:effectLst>
                          <a:outerShdw dist="28398" dir="3806097" algn="ctr" rotWithShape="0">
                            <a:srgbClr val="823B0B">
                              <a:alpha val="50000"/>
                            </a:srgbClr>
                          </a:outerShdw>
                        </a:effectLst>
                      </wps:spPr>
                      <wps:txbx>
                        <w:txbxContent>
                          <w:p w:rsidR="001D681B" w:rsidRPr="007F7CEF" w:rsidRDefault="001D681B" w:rsidP="007F7CEF">
                            <w:pPr>
                              <w:shd w:val="clear" w:color="auto" w:fill="E7E6E6"/>
                              <w:autoSpaceDE w:val="0"/>
                              <w:autoSpaceDN w:val="0"/>
                              <w:adjustRightInd w:val="0"/>
                              <w:jc w:val="both"/>
                              <w:rPr>
                                <w:rFonts w:ascii="Calibri" w:hAnsi="Calibri" w:cs="Arial"/>
                                <w:b/>
                                <w:color w:val="000000"/>
                                <w:lang w:val="ro-RO"/>
                              </w:rPr>
                            </w:pPr>
                            <w:r>
                              <w:rPr>
                                <w:rFonts w:ascii="Calibri" w:hAnsi="Calibri" w:cs="Arial"/>
                                <w:b/>
                                <w:color w:val="000000"/>
                                <w:lang w:val="ro-RO"/>
                              </w:rPr>
                              <w:t xml:space="preserve">Măsuri întreprinse pentru înlăturarea efectelor determinate de pandemia Covid 19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7F5DF5" id="Rounded Rectangle 57" o:spid="_x0000_s1028" style="position:absolute;left:0;text-align:left;margin-left:.05pt;margin-top:2.05pt;width:480.75pt;height:34.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" fillcolor="#e7e6e6" strokecolor="#2e74b5" strokeweight="3pt">
                <v:shadow on="t" color="#823b0b" opacity=".5" offset="1pt"/>
                <v:textbox>
                  <w:txbxContent>
                    <w:p w:rsidR="001D681B" w:rsidRPr="007F7CEF" w:rsidRDefault="001D681B" w:rsidP="007F7CEF">
                      <w:pPr>
                        <w:shd w:val="clear" w:color="auto" w:fill="E7E6E6"/>
                        <w:autoSpaceDE w:val="0"/>
                        <w:autoSpaceDN w:val="0"/>
                        <w:adjustRightInd w:val="0"/>
                        <w:jc w:val="both"/>
                        <w:rPr>
                          <w:rFonts w:ascii="Calibri" w:hAnsi="Calibri" w:cs="Arial"/>
                          <w:b/>
                          <w:color w:val="000000"/>
                          <w:lang w:val="ro-RO"/>
                        </w:rPr>
                      </w:pPr>
                      <w:r>
                        <w:rPr>
                          <w:rFonts w:ascii="Calibri" w:hAnsi="Calibri" w:cs="Arial"/>
                          <w:b/>
                          <w:color w:val="000000"/>
                          <w:lang w:val="ro-RO"/>
                        </w:rPr>
                        <w:t xml:space="preserve">Măsuri întreprinse pentru înlăturarea efectelor determinate de pandemia Covid 19 </w:t>
                      </w:r>
                    </w:p>
                  </w:txbxContent>
                </v:textbox>
                <w10:wrap anchorx="margin"/>
              </v:roundrect>
            </w:pict>
          </mc:Fallback>
        </mc:AlternateContent>
      </w:r>
    </w:p>
    <w:p w:rsidR="00D95CB1" w:rsidRPr="00AF3608" w:rsidRDefault="00D95CB1" w:rsidP="00D95CB1">
      <w:pPr>
        <w:spacing w:before="120"/>
        <w:jc w:val="both"/>
        <w:rPr>
          <w:rFonts w:ascii="Calibri" w:eastAsia="Calibri" w:hAnsi="Calibri"/>
          <w:b/>
          <w:color w:val="000066"/>
          <w:lang w:val="ro-RO"/>
        </w:rPr>
      </w:pPr>
    </w:p>
    <w:p w:rsidR="00D95CB1" w:rsidRPr="00AF3608" w:rsidRDefault="00D95CB1" w:rsidP="00D95CB1">
      <w:pPr>
        <w:spacing w:before="120"/>
        <w:jc w:val="both"/>
        <w:rPr>
          <w:rFonts w:ascii="Calibri" w:eastAsia="Calibri" w:hAnsi="Calibri"/>
          <w:b/>
          <w:color w:val="000066"/>
          <w:lang w:val="ro-RO"/>
        </w:rPr>
      </w:pPr>
    </w:p>
    <w:p w:rsidR="00D95CB1" w:rsidRPr="00AF3608" w:rsidRDefault="00D95CB1" w:rsidP="00D969C8">
      <w:pPr>
        <w:spacing w:before="120"/>
        <w:jc w:val="both"/>
        <w:rPr>
          <w:rFonts w:ascii="Calibri" w:eastAsia="Calibri" w:hAnsi="Calibri" w:cs="Calibri"/>
          <w:b/>
          <w:bCs/>
          <w:color w:val="000066"/>
          <w:lang w:val="ro-RO"/>
        </w:rPr>
      </w:pPr>
      <w:r w:rsidRPr="00AF3608">
        <w:rPr>
          <w:rFonts w:ascii="Calibri" w:eastAsia="Calibri" w:hAnsi="Calibri"/>
          <w:b/>
          <w:color w:val="000066"/>
          <w:lang w:val="ro-RO"/>
        </w:rPr>
        <w:t xml:space="preserve">Măsurile adoptate de Guverne, printre care și </w:t>
      </w:r>
      <w:r w:rsidR="007F7CEF" w:rsidRPr="00AF3608">
        <w:rPr>
          <w:rFonts w:ascii="Calibri" w:eastAsia="Calibri" w:hAnsi="Calibri"/>
          <w:b/>
          <w:color w:val="000066"/>
          <w:lang w:val="ro-RO"/>
        </w:rPr>
        <w:t>Guvernul României,</w:t>
      </w:r>
      <w:r w:rsidRPr="00AF3608">
        <w:rPr>
          <w:rFonts w:ascii="Calibri" w:eastAsia="Calibri" w:hAnsi="Calibri"/>
          <w:b/>
          <w:color w:val="000066"/>
          <w:lang w:val="ro-RO"/>
        </w:rPr>
        <w:t xml:space="preserve"> considerate de magnitudini istorice</w:t>
      </w:r>
      <w:r w:rsidR="007F7CEF" w:rsidRPr="00AF3608">
        <w:rPr>
          <w:rFonts w:ascii="Calibri" w:eastAsia="Calibri" w:hAnsi="Calibri"/>
          <w:b/>
          <w:color w:val="000066"/>
          <w:lang w:val="ro-RO"/>
        </w:rPr>
        <w:t>,</w:t>
      </w:r>
      <w:r w:rsidRPr="00AF3608">
        <w:rPr>
          <w:rFonts w:ascii="Calibri" w:eastAsia="Calibri" w:hAnsi="Calibri"/>
          <w:color w:val="000000"/>
          <w:lang w:val="ro-RO"/>
        </w:rPr>
        <w:t xml:space="preserve"> </w:t>
      </w:r>
      <w:r w:rsidRPr="00AF3608">
        <w:rPr>
          <w:rFonts w:ascii="Calibri" w:hAnsi="Calibri"/>
          <w:color w:val="000000"/>
          <w:u w:color="000000"/>
          <w:bdr w:val="nil"/>
          <w:lang w:val="ro-RO" w:eastAsia="en-GB"/>
        </w:rPr>
        <w:t xml:space="preserve">au reprezentat un </w:t>
      </w:r>
      <w:r w:rsidRPr="00AF3608">
        <w:rPr>
          <w:rFonts w:ascii="Calibri" w:hAnsi="Calibri"/>
          <w:color w:val="000000"/>
          <w:u w:val="single"/>
          <w:bdr w:val="nil"/>
          <w:lang w:val="ro-RO" w:eastAsia="en-GB"/>
        </w:rPr>
        <w:t>răspuns coordonat, rapid, ambițios și direcționat</w:t>
      </w:r>
      <w:r w:rsidRPr="00AF3608">
        <w:rPr>
          <w:rFonts w:ascii="Calibri" w:hAnsi="Calibri"/>
          <w:color w:val="000000"/>
          <w:u w:color="000000"/>
          <w:bdr w:val="nil"/>
          <w:lang w:val="ro-RO" w:eastAsia="en-GB"/>
        </w:rPr>
        <w:t xml:space="preserve">, astfel încât să răspundă nevoilor celor mai acute, </w:t>
      </w:r>
      <w:r w:rsidRPr="00AF3608">
        <w:rPr>
          <w:rFonts w:ascii="Calibri" w:eastAsia="Calibri" w:hAnsi="Calibri"/>
          <w:color w:val="000000"/>
          <w:lang w:val="ro-RO"/>
        </w:rPr>
        <w:t>implementate în timp record au jucat un rol important.</w:t>
      </w:r>
      <w:r w:rsidRPr="00AF3608">
        <w:rPr>
          <w:rFonts w:ascii="Calibri" w:eastAsia="Calibri" w:hAnsi="Calibri" w:cs="Calibri"/>
          <w:bCs/>
          <w:lang w:val="ro-RO"/>
        </w:rPr>
        <w:t xml:space="preserve"> Alocarea și mobilizarea de resurse întreprinse nu țintește maximizarea profitului, </w:t>
      </w:r>
      <w:r w:rsidR="007F7CEF" w:rsidRPr="00AF3608">
        <w:rPr>
          <w:rFonts w:ascii="Calibri" w:eastAsia="Calibri" w:hAnsi="Calibri" w:cs="Calibri"/>
          <w:b/>
          <w:bCs/>
          <w:color w:val="000066"/>
          <w:lang w:val="ro-RO"/>
        </w:rPr>
        <w:t>ci susține factoul uman, sprijinirea celor care î</w:t>
      </w:r>
      <w:r w:rsidRPr="00AF3608">
        <w:rPr>
          <w:rFonts w:ascii="Calibri" w:eastAsia="Calibri" w:hAnsi="Calibri" w:cs="Calibri"/>
          <w:b/>
          <w:bCs/>
          <w:color w:val="000066"/>
          <w:lang w:val="ro-RO"/>
        </w:rPr>
        <w:t>ș</w:t>
      </w:r>
      <w:r w:rsidR="007F7CEF" w:rsidRPr="00AF3608">
        <w:rPr>
          <w:rFonts w:ascii="Calibri" w:eastAsia="Calibri" w:hAnsi="Calibri" w:cs="Calibri"/>
          <w:b/>
          <w:bCs/>
          <w:color w:val="000066"/>
          <w:lang w:val="ro-RO"/>
        </w:rPr>
        <w:t xml:space="preserve">i pierd locul de muncă, precum </w:t>
      </w:r>
      <w:r w:rsidRPr="00AF3608">
        <w:rPr>
          <w:rFonts w:ascii="Calibri" w:eastAsia="Calibri" w:hAnsi="Calibri" w:cs="Calibri"/>
          <w:b/>
          <w:bCs/>
          <w:color w:val="000066"/>
          <w:lang w:val="ro-RO"/>
        </w:rPr>
        <w:t>și susținerea companiilor afectate.</w:t>
      </w:r>
    </w:p>
    <w:p w:rsidR="00D95CB1" w:rsidRPr="00AF3608" w:rsidRDefault="007F7CEF" w:rsidP="003A0B85">
      <w:pPr>
        <w:numPr>
          <w:ilvl w:val="0"/>
          <w:numId w:val="138"/>
        </w:numPr>
        <w:spacing w:before="120"/>
        <w:jc w:val="both"/>
        <w:rPr>
          <w:rFonts w:ascii="Calibri" w:eastAsia="Calibri" w:hAnsi="Calibri" w:cs="Calibri"/>
          <w:bCs/>
          <w:color w:val="000000" w:themeColor="text1"/>
          <w:szCs w:val="22"/>
          <w:lang w:val="ro-RO"/>
        </w:rPr>
      </w:pPr>
      <w:r w:rsidRPr="00AF3608">
        <w:rPr>
          <w:rFonts w:ascii="Calibri" w:eastAsia="Calibri" w:hAnsi="Calibri" w:cs="Calibri"/>
          <w:bCs/>
          <w:color w:val="000000" w:themeColor="text1"/>
          <w:szCs w:val="22"/>
          <w:lang w:val="ro-RO"/>
        </w:rPr>
        <w:t>Î</w:t>
      </w:r>
      <w:r w:rsidR="00D95CB1" w:rsidRPr="00AF3608">
        <w:rPr>
          <w:rFonts w:ascii="Calibri" w:eastAsia="Calibri" w:hAnsi="Calibri" w:cs="Calibri"/>
          <w:bCs/>
          <w:color w:val="000000" w:themeColor="text1"/>
          <w:szCs w:val="22"/>
          <w:lang w:val="ro-RO"/>
        </w:rPr>
        <w:t>n acest context</w:t>
      </w:r>
      <w:r w:rsidR="00D95CB1" w:rsidRPr="00AF3608">
        <w:rPr>
          <w:rFonts w:ascii="Calibri" w:eastAsia="Calibri" w:hAnsi="Calibri" w:cs="Calibri"/>
          <w:b/>
          <w:bCs/>
          <w:color w:val="000066"/>
          <w:szCs w:val="22"/>
          <w:lang w:val="ro-RO"/>
        </w:rPr>
        <w:t>, măsurile fiscale întreprinse</w:t>
      </w:r>
      <w:r w:rsidR="00D95CB1" w:rsidRPr="00AF3608">
        <w:rPr>
          <w:rFonts w:ascii="Calibri" w:eastAsia="Calibri" w:hAnsi="Calibri" w:cs="Calibri"/>
          <w:bCs/>
          <w:color w:val="000066"/>
          <w:szCs w:val="22"/>
          <w:lang w:val="ro-RO"/>
        </w:rPr>
        <w:t xml:space="preserve"> </w:t>
      </w:r>
      <w:r w:rsidR="00D95CB1" w:rsidRPr="00AF3608">
        <w:rPr>
          <w:rFonts w:ascii="Calibri" w:eastAsia="Calibri" w:hAnsi="Calibri" w:cs="Calibri"/>
          <w:bCs/>
          <w:color w:val="000000" w:themeColor="text1"/>
          <w:szCs w:val="22"/>
          <w:lang w:val="ro-RO"/>
        </w:rPr>
        <w:t xml:space="preserve">si care se regăsesc în manieră </w:t>
      </w:r>
      <w:r w:rsidR="00D95CB1" w:rsidRPr="00AF3608">
        <w:rPr>
          <w:rFonts w:ascii="Calibri" w:eastAsia="Calibri" w:hAnsi="Calibri" w:cs="Calibri"/>
          <w:b/>
          <w:bCs/>
          <w:color w:val="000000" w:themeColor="text1"/>
          <w:szCs w:val="22"/>
          <w:lang w:val="ro-RO"/>
        </w:rPr>
        <w:t>detaliată în capitolul 4 al strategiei</w:t>
      </w:r>
      <w:r w:rsidR="00D95CB1" w:rsidRPr="00AF3608">
        <w:rPr>
          <w:rFonts w:ascii="Calibri" w:eastAsia="Calibri" w:hAnsi="Calibri" w:cs="Calibri"/>
          <w:bCs/>
          <w:color w:val="000000" w:themeColor="text1"/>
          <w:szCs w:val="22"/>
          <w:lang w:val="ro-RO"/>
        </w:rPr>
        <w:t xml:space="preserve"> au avut în vedere susținerea mediului de afaceri, sprijinirea IMM privind accesul la finanțare ca urmare a contribuției importante a  acestui sector economic la formarea PIB.</w:t>
      </w:r>
    </w:p>
    <w:p w:rsidR="00D95CB1" w:rsidRPr="00AF3608" w:rsidRDefault="00D95CB1" w:rsidP="003A0B85">
      <w:pPr>
        <w:numPr>
          <w:ilvl w:val="0"/>
          <w:numId w:val="138"/>
        </w:numPr>
        <w:pBdr>
          <w:top w:val="nil"/>
          <w:left w:val="nil"/>
          <w:bottom w:val="nil"/>
          <w:right w:val="nil"/>
          <w:between w:val="nil"/>
          <w:bar w:val="nil"/>
        </w:pBdr>
        <w:spacing w:before="120"/>
        <w:jc w:val="both"/>
        <w:rPr>
          <w:rFonts w:ascii="Calibri" w:eastAsia="Calibri" w:hAnsi="Calibri"/>
          <w:color w:val="000000" w:themeColor="text1"/>
          <w:szCs w:val="22"/>
          <w:lang w:val="ro-RO"/>
        </w:rPr>
      </w:pPr>
      <w:r w:rsidRPr="00AF3608">
        <w:rPr>
          <w:rFonts w:ascii="Calibri" w:eastAsia="Calibri" w:hAnsi="Calibri"/>
          <w:b/>
          <w:color w:val="000066"/>
          <w:szCs w:val="22"/>
          <w:lang w:val="ro-RO"/>
        </w:rPr>
        <w:t xml:space="preserve"> Măsuri în domeniul cheltuielilor</w:t>
      </w:r>
      <w:r w:rsidRPr="00AF3608">
        <w:rPr>
          <w:rFonts w:ascii="Calibri" w:eastAsia="Calibri" w:hAnsi="Calibri"/>
          <w:color w:val="000000" w:themeColor="text1"/>
          <w:szCs w:val="22"/>
          <w:lang w:val="ro-RO"/>
        </w:rPr>
        <w:t>:</w:t>
      </w:r>
    </w:p>
    <w:p w:rsidR="00D95CB1" w:rsidRPr="00AF3608" w:rsidRDefault="00D95CB1" w:rsidP="003A0B85">
      <w:pPr>
        <w:numPr>
          <w:ilvl w:val="0"/>
          <w:numId w:val="103"/>
        </w:numPr>
        <w:tabs>
          <w:tab w:val="left" w:pos="177"/>
          <w:tab w:val="left" w:pos="462"/>
          <w:tab w:val="left" w:pos="777"/>
        </w:tabs>
        <w:spacing w:before="120"/>
        <w:ind w:left="851"/>
        <w:jc w:val="both"/>
        <w:textAlignment w:val="baseline"/>
        <w:rPr>
          <w:rFonts w:ascii="Calibri" w:hAnsi="Calibri" w:cs="Calibri"/>
          <w:b/>
          <w:color w:val="000066"/>
          <w:lang w:val="ro-RO"/>
        </w:rPr>
      </w:pPr>
      <w:r w:rsidRPr="00AF3608">
        <w:rPr>
          <w:rFonts w:ascii="Calibri" w:hAnsi="Calibri" w:cs="Calibri"/>
          <w:color w:val="000000"/>
          <w:kern w:val="24"/>
          <w:lang w:val="ro-RO"/>
        </w:rPr>
        <w:t xml:space="preserve">se suportă din bugetul asigurărilor pentru șomaj, pentru perioada suspendării contractului individual de muncă din inițiativa angajatorului, în cazul întreruperii temporare a activității potrivit art. 52 alin. (1) lit. c) din Legea nr. 53/2003 - Codul muncii, cu modificările şi completările ulterioare, indemnizația de care beneficiază salariații, </w:t>
      </w:r>
      <w:r w:rsidRPr="00AF3608">
        <w:rPr>
          <w:rFonts w:ascii="Calibri" w:hAnsi="Calibri" w:cs="Calibri"/>
          <w:b/>
          <w:color w:val="000066"/>
          <w:kern w:val="24"/>
          <w:lang w:val="ro-RO"/>
        </w:rPr>
        <w:t>de minimum 75% din salariul de bază corespunzător locului de muncă ocupat plătite din fondul de salarii, dar nu mai mult de 75% din câștigul salarial mediu brut prevăzut de Legea nr. 6/2020 privind bugetul asigurărilor sociale de stat pe anul 2020;</w:t>
      </w:r>
    </w:p>
    <w:p w:rsidR="00D95CB1" w:rsidRPr="00AF3608" w:rsidRDefault="00D95CB1" w:rsidP="00D969C8">
      <w:pPr>
        <w:spacing w:before="120"/>
        <w:ind w:left="851"/>
        <w:jc w:val="both"/>
        <w:rPr>
          <w:rFonts w:ascii="Calibri" w:eastAsia="Calibri" w:hAnsi="Calibri" w:cs="Calibri"/>
          <w:b/>
          <w:lang w:val="ro-RO"/>
        </w:rPr>
      </w:pPr>
      <w:r w:rsidRPr="00AF3608">
        <w:rPr>
          <w:rFonts w:ascii="Calibri" w:eastAsia="Calibri" w:hAnsi="Calibri" w:cs="Calibri"/>
          <w:b/>
          <w:lang w:val="ro-RO"/>
        </w:rPr>
        <w:t xml:space="preserve">Pentru toate domeniile de activitate în care se menţin restricţiile, acordarea indemnizatiei se prelungeşte şi după data de 31 mai 2020, până </w:t>
      </w:r>
      <w:r w:rsidR="007F7CEF" w:rsidRPr="00AF3608">
        <w:rPr>
          <w:rFonts w:ascii="Calibri" w:eastAsia="Calibri" w:hAnsi="Calibri" w:cs="Calibri"/>
          <w:b/>
          <w:lang w:val="ro-RO"/>
        </w:rPr>
        <w:t>la ridicarea acestor restricţii;</w:t>
      </w:r>
    </w:p>
    <w:p w:rsidR="00D95CB1" w:rsidRPr="00AF3608" w:rsidRDefault="00D95CB1" w:rsidP="003A0B85">
      <w:pPr>
        <w:numPr>
          <w:ilvl w:val="0"/>
          <w:numId w:val="103"/>
        </w:numPr>
        <w:spacing w:before="120"/>
        <w:ind w:left="851"/>
        <w:jc w:val="both"/>
        <w:textAlignment w:val="baseline"/>
        <w:rPr>
          <w:rFonts w:ascii="Calibri" w:hAnsi="Calibri" w:cs="Calibri"/>
          <w:lang w:val="ro-RO"/>
        </w:rPr>
      </w:pPr>
      <w:r w:rsidRPr="00AF3608">
        <w:rPr>
          <w:rFonts w:ascii="Calibri" w:hAnsi="Calibri" w:cs="Calibri"/>
          <w:color w:val="000000"/>
          <w:kern w:val="24"/>
          <w:lang w:val="ro-RO"/>
        </w:rPr>
        <w:lastRenderedPageBreak/>
        <w:t xml:space="preserve">obligația angajatorilor care beneficiază de măsura menționată </w:t>
      </w:r>
      <w:r w:rsidRPr="00AF3608">
        <w:rPr>
          <w:rFonts w:ascii="Calibri" w:hAnsi="Calibri" w:cs="Calibri"/>
          <w:b/>
          <w:color w:val="000066"/>
          <w:kern w:val="24"/>
          <w:lang w:val="ro-RO"/>
        </w:rPr>
        <w:t>mai sus de a menține raporturile de muncă ale persoanelor în cauză pe o perioadă de cel puțin 6 luni de la data</w:t>
      </w:r>
      <w:r w:rsidRPr="00AF3608">
        <w:rPr>
          <w:rFonts w:ascii="Calibri" w:hAnsi="Calibri" w:cs="Calibri"/>
          <w:color w:val="000000"/>
          <w:kern w:val="24"/>
          <w:lang w:val="ro-RO"/>
        </w:rPr>
        <w:t xml:space="preserve"> reînceperii activității după suspendarea raporturilor de muncă conform art. 52 alin. (1) lit. c) din Legea nr. 53/2003 - Codul muncii, cu modificările şi completările ulterioare;</w:t>
      </w:r>
    </w:p>
    <w:p w:rsidR="00D95CB1" w:rsidRPr="00AF3608" w:rsidRDefault="00D95CB1" w:rsidP="003A0B85">
      <w:pPr>
        <w:numPr>
          <w:ilvl w:val="0"/>
          <w:numId w:val="103"/>
        </w:numPr>
        <w:tabs>
          <w:tab w:val="left" w:pos="357"/>
          <w:tab w:val="left" w:pos="990"/>
        </w:tabs>
        <w:spacing w:before="120"/>
        <w:ind w:left="851"/>
        <w:jc w:val="both"/>
        <w:textAlignment w:val="baseline"/>
        <w:rPr>
          <w:rFonts w:ascii="Calibri" w:hAnsi="Calibri" w:cs="Calibri"/>
          <w:b/>
          <w:color w:val="000066"/>
          <w:lang w:val="ro-RO"/>
        </w:rPr>
      </w:pPr>
      <w:r w:rsidRPr="00AF3608">
        <w:rPr>
          <w:rFonts w:ascii="Calibri" w:eastAsia="Calibri" w:hAnsi="Calibri" w:cs="Calibri"/>
          <w:b/>
          <w:color w:val="000066"/>
          <w:lang w:val="ro-RO"/>
        </w:rPr>
        <w:t>acordarea unei indemnizații pentru parinti pe perioada suspendarii cursurilor potrivi</w:t>
      </w:r>
      <w:r w:rsidR="007F7CEF" w:rsidRPr="00AF3608">
        <w:rPr>
          <w:rFonts w:ascii="Calibri" w:eastAsia="Calibri" w:hAnsi="Calibri" w:cs="Calibri"/>
          <w:b/>
          <w:color w:val="000066"/>
          <w:lang w:val="ro-RO"/>
        </w:rPr>
        <w:t>t prevederilor Legii nr.19/2020;</w:t>
      </w:r>
    </w:p>
    <w:p w:rsidR="00D95CB1" w:rsidRPr="00AF3608" w:rsidRDefault="00D95CB1" w:rsidP="003A0B85">
      <w:pPr>
        <w:numPr>
          <w:ilvl w:val="0"/>
          <w:numId w:val="104"/>
        </w:numPr>
        <w:spacing w:before="120"/>
        <w:ind w:left="851" w:hanging="284"/>
        <w:jc w:val="both"/>
        <w:rPr>
          <w:rFonts w:ascii="Calibri" w:eastAsia="Calibri" w:hAnsi="Calibri" w:cs="Calibri"/>
          <w:b/>
          <w:color w:val="000066"/>
          <w:lang w:val="ro-RO" w:eastAsia="ro-RO"/>
        </w:rPr>
      </w:pPr>
      <w:r w:rsidRPr="00AF3608">
        <w:rPr>
          <w:rFonts w:ascii="Calibri" w:eastAsia="Calibri" w:hAnsi="Calibri" w:cs="Calibri"/>
          <w:lang w:val="ro-RO" w:eastAsia="ro-RO"/>
        </w:rPr>
        <w:t xml:space="preserve">Începând cu data de 1 iunie 2020, angajatorii ai căror angajați au beneficiat de prevederile Ordonanței de urgență a Guvernului nr. 30/2020, precum și angajatorii ai căror angajați au avut contractele individuale de muncă suspendate şi nu au beneficiat de prevederile Ordonanței de urgență a Guvernului nr. 30/2020 în perioada stării de urgență sau alertă, </w:t>
      </w:r>
      <w:r w:rsidRPr="00AF3608">
        <w:rPr>
          <w:rFonts w:ascii="Calibri" w:eastAsia="Calibri" w:hAnsi="Calibri" w:cs="Calibri"/>
          <w:b/>
          <w:color w:val="000066"/>
          <w:lang w:val="ro-RO" w:eastAsia="ro-RO"/>
        </w:rPr>
        <w:t xml:space="preserve">beneficiază, pentru o perioadă de trei luni, de decontarea unei părți din salariu, </w:t>
      </w:r>
      <w:r w:rsidRPr="00AF3608">
        <w:rPr>
          <w:rFonts w:ascii="Calibri" w:eastAsia="Calibri" w:hAnsi="Calibri" w:cs="Calibri"/>
          <w:b/>
          <w:bCs/>
          <w:color w:val="000066"/>
          <w:lang w:val="ro-RO" w:eastAsia="ro-RO"/>
        </w:rPr>
        <w:t>suportată din bugetul asigurărilor pentru șomaj</w:t>
      </w:r>
      <w:r w:rsidRPr="00AF3608">
        <w:rPr>
          <w:rFonts w:ascii="Calibri" w:eastAsia="Calibri" w:hAnsi="Calibri" w:cs="Calibri"/>
          <w:b/>
          <w:color w:val="000066"/>
          <w:lang w:val="ro-RO" w:eastAsia="ro-RO"/>
        </w:rPr>
        <w:t>, reprezentând 41,5% din salariul de bază brut corespunzător locului de muncă ocupat, dar nu mai mult de 41,5% din câștigul salarial mediu br</w:t>
      </w:r>
      <w:r w:rsidR="007F7CEF" w:rsidRPr="00AF3608">
        <w:rPr>
          <w:rFonts w:ascii="Calibri" w:eastAsia="Calibri" w:hAnsi="Calibri" w:cs="Calibri"/>
          <w:b/>
          <w:color w:val="000066"/>
          <w:lang w:val="ro-RO" w:eastAsia="ro-RO"/>
        </w:rPr>
        <w:t>ut prevăzut de Legea nr. 6/2020;</w:t>
      </w:r>
    </w:p>
    <w:p w:rsidR="00D95CB1" w:rsidRPr="00AF3608" w:rsidRDefault="00D95CB1" w:rsidP="00D969C8">
      <w:pPr>
        <w:spacing w:before="120"/>
        <w:ind w:left="851"/>
        <w:jc w:val="both"/>
        <w:rPr>
          <w:rFonts w:ascii="Calibri" w:eastAsia="Calibri" w:hAnsi="Calibri" w:cs="Calibri"/>
          <w:strike/>
          <w:lang w:val="ro-RO" w:eastAsia="ro-RO"/>
        </w:rPr>
      </w:pPr>
      <w:r w:rsidRPr="00AF3608">
        <w:rPr>
          <w:rFonts w:ascii="Calibri" w:eastAsia="Calibri" w:hAnsi="Calibri" w:cs="Calibri"/>
          <w:lang w:val="ro-RO" w:eastAsia="ro-RO"/>
        </w:rPr>
        <w:t xml:space="preserve">Angajatorii care în perioada 1 iunie 2020 - 31 decembrie 2020 încadrează în muncă, pe perioadă nedeterminată, cu normă întreagă, persoane în vârstă de peste 50 de ani ale căror raporturi de muncă au încetat  în perioada stării de urgență și de alertă înregistrați ca șomeri , </w:t>
      </w:r>
      <w:r w:rsidRPr="00AF3608">
        <w:rPr>
          <w:rFonts w:ascii="Calibri" w:eastAsia="Calibri" w:hAnsi="Calibri" w:cs="Calibri"/>
          <w:b/>
          <w:color w:val="000066"/>
          <w:lang w:val="ro-RO" w:eastAsia="ro-RO"/>
        </w:rPr>
        <w:t>primesc lunar, pe o perioadă de 12 luni, pentru fiecare persoană angajată din această categorie, 50% din salariul angajatului, dar nu mai mult de 2.500 lei</w:t>
      </w:r>
      <w:r w:rsidR="007F7CEF" w:rsidRPr="00AF3608">
        <w:rPr>
          <w:rFonts w:ascii="Calibri" w:eastAsia="Calibri" w:hAnsi="Calibri" w:cs="Calibri"/>
          <w:lang w:val="ro-RO" w:eastAsia="ro-RO"/>
        </w:rPr>
        <w:t>;</w:t>
      </w:r>
      <w:r w:rsidRPr="00AF3608">
        <w:rPr>
          <w:rFonts w:ascii="Calibri" w:eastAsia="Calibri" w:hAnsi="Calibri" w:cs="Calibri"/>
          <w:lang w:val="ro-RO" w:eastAsia="ro-RO"/>
        </w:rPr>
        <w:t xml:space="preserve"> </w:t>
      </w:r>
    </w:p>
    <w:p w:rsidR="00D95CB1" w:rsidRPr="00AF3608" w:rsidRDefault="00D95CB1" w:rsidP="003A0B85">
      <w:pPr>
        <w:numPr>
          <w:ilvl w:val="0"/>
          <w:numId w:val="104"/>
        </w:numPr>
        <w:spacing w:before="120"/>
        <w:ind w:left="851" w:hanging="425"/>
        <w:jc w:val="both"/>
        <w:rPr>
          <w:rFonts w:ascii="Calibri" w:eastAsia="Calibri" w:hAnsi="Calibri" w:cs="Calibri"/>
          <w:lang w:val="ro-RO" w:eastAsia="ro-RO"/>
        </w:rPr>
      </w:pPr>
      <w:r w:rsidRPr="00AF3608">
        <w:rPr>
          <w:rFonts w:ascii="Calibri" w:eastAsia="Calibri" w:hAnsi="Calibri" w:cs="Calibri"/>
          <w:lang w:val="ro-RO" w:eastAsia="ro-RO"/>
        </w:rPr>
        <w:t xml:space="preserve">Angajatorii care încadrează în muncă, dar nu mai târziu de data de 31 decembrie 2020, pe perioadă nedeterminată, </w:t>
      </w:r>
      <w:r w:rsidRPr="00AF3608">
        <w:rPr>
          <w:rFonts w:ascii="Calibri" w:eastAsia="Calibri" w:hAnsi="Calibri" w:cs="Calibri"/>
          <w:b/>
          <w:color w:val="000066"/>
          <w:lang w:val="ro-RO" w:eastAsia="ro-RO"/>
        </w:rPr>
        <w:t>cu normă întreagă, persoane cu vârsta cuprinsă între 16 și 29 de ani înregistrați ca șomeri primesc lunar, pe o perioadă de 12 luni, pentru fiecare persoană angajată din această categorie, 50% din salariul angajatulu</w:t>
      </w:r>
      <w:r w:rsidR="007F7CEF" w:rsidRPr="00AF3608">
        <w:rPr>
          <w:rFonts w:ascii="Calibri" w:eastAsia="Calibri" w:hAnsi="Calibri" w:cs="Calibri"/>
          <w:b/>
          <w:color w:val="000066"/>
          <w:lang w:val="ro-RO" w:eastAsia="ro-RO"/>
        </w:rPr>
        <w:t>i, dar nu mai mult de 2.500 lei;</w:t>
      </w:r>
      <w:r w:rsidRPr="00AF3608">
        <w:rPr>
          <w:rFonts w:ascii="Calibri" w:eastAsia="Calibri" w:hAnsi="Calibri" w:cs="Calibri"/>
          <w:lang w:val="ro-RO" w:eastAsia="ro-RO"/>
        </w:rPr>
        <w:t xml:space="preserve"> </w:t>
      </w:r>
    </w:p>
    <w:p w:rsidR="00D95CB1" w:rsidRPr="00AF3608" w:rsidRDefault="00D95CB1" w:rsidP="003A0B85">
      <w:pPr>
        <w:numPr>
          <w:ilvl w:val="0"/>
          <w:numId w:val="104"/>
        </w:numPr>
        <w:spacing w:before="120"/>
        <w:ind w:left="851" w:hanging="567"/>
        <w:jc w:val="both"/>
        <w:rPr>
          <w:rFonts w:ascii="Calibri" w:eastAsia="Calibri" w:hAnsi="Calibri" w:cs="Calibri"/>
          <w:lang w:val="ro-RO" w:eastAsia="ro-RO"/>
        </w:rPr>
      </w:pPr>
      <w:r w:rsidRPr="00AF3608">
        <w:rPr>
          <w:rFonts w:ascii="Calibri" w:eastAsia="Calibri" w:hAnsi="Calibri" w:cs="Calibri"/>
          <w:lang w:val="ro-RO" w:eastAsia="ro-RO"/>
        </w:rPr>
        <w:t xml:space="preserve">Salariații angajatorilor a căror activitate a fost suspendată ca urmare a anchetei epidemiologice efectuate de direcțiile de sănătate publică județene, respectiv a municipiului București </w:t>
      </w:r>
      <w:r w:rsidRPr="00AF3608">
        <w:rPr>
          <w:rFonts w:ascii="Calibri" w:eastAsia="Calibri" w:hAnsi="Calibri" w:cs="Calibri"/>
          <w:b/>
          <w:color w:val="000066"/>
          <w:lang w:val="ro-RO" w:eastAsia="ro-RO"/>
        </w:rPr>
        <w:t>beneficiază de acordarea indemnizației prevăzute de Ordonanța de urgență a Guvernului nr. 30/2020 pentru modificarea și completarea unor acte normative,</w:t>
      </w:r>
      <w:r w:rsidRPr="00AF3608">
        <w:rPr>
          <w:rFonts w:ascii="Calibri" w:eastAsia="Calibri" w:hAnsi="Calibri" w:cs="Calibri"/>
          <w:lang w:val="ro-RO" w:eastAsia="ro-RO"/>
        </w:rPr>
        <w:t xml:space="preserve"> precum și pentru stabilirea unor măsuri în domeniul protecției sociale în contextul situației epidemiologice determinate de răspândirea coronavirusului SARS-CoV-2, aprobată cu modificări și completări prin Legea nr. 59/2</w:t>
      </w:r>
      <w:r w:rsidR="007F7CEF" w:rsidRPr="00AF3608">
        <w:rPr>
          <w:rFonts w:ascii="Calibri" w:eastAsia="Calibri" w:hAnsi="Calibri" w:cs="Calibri"/>
          <w:lang w:val="ro-RO" w:eastAsia="ro-RO"/>
        </w:rPr>
        <w:t>020. cu completările ulterioare;</w:t>
      </w:r>
    </w:p>
    <w:p w:rsidR="00D95CB1" w:rsidRPr="00AF3608" w:rsidRDefault="00D95CB1" w:rsidP="003A0B85">
      <w:pPr>
        <w:numPr>
          <w:ilvl w:val="0"/>
          <w:numId w:val="104"/>
        </w:numPr>
        <w:autoSpaceDE w:val="0"/>
        <w:autoSpaceDN w:val="0"/>
        <w:adjustRightInd w:val="0"/>
        <w:spacing w:before="120"/>
        <w:jc w:val="both"/>
        <w:rPr>
          <w:rFonts w:ascii="Calibri" w:hAnsi="Calibri" w:cs="Calibri"/>
          <w:color w:val="000000"/>
          <w:lang w:val="ro-RO"/>
        </w:rPr>
      </w:pPr>
      <w:r w:rsidRPr="00AF3608">
        <w:rPr>
          <w:rFonts w:ascii="Calibri" w:hAnsi="Calibri" w:cs="Calibri"/>
          <w:b/>
          <w:color w:val="000066"/>
          <w:lang w:val="ro-RO"/>
        </w:rPr>
        <w:t>Pentru persoanele care desfăşoară activităţi necalificate cu caracter ocazional, denumite zilieri,</w:t>
      </w:r>
      <w:r w:rsidRPr="00AF3608">
        <w:rPr>
          <w:rFonts w:ascii="Calibri" w:hAnsi="Calibri" w:cs="Calibri"/>
          <w:color w:val="000000"/>
          <w:lang w:val="ro-RO"/>
        </w:rPr>
        <w:t xml:space="preserve"> afectate de întreruperea sau restrângerea activităţii ca urmare a efectelor coronavirusului SARS-CoV-2, pentru o perioadă de trei luni, la alegerea beneficiarului de lucrări, dar nu mai târziu de 31 decembrie 2020, se acordă de la bugetul de stat o sumă reprezentând 35% din remuneraţia cuvenită zilei de muncă;</w:t>
      </w:r>
    </w:p>
    <w:p w:rsidR="00D95CB1" w:rsidRPr="00AF3608" w:rsidRDefault="00D95CB1" w:rsidP="003A0B85">
      <w:pPr>
        <w:numPr>
          <w:ilvl w:val="0"/>
          <w:numId w:val="104"/>
        </w:numPr>
        <w:autoSpaceDE w:val="0"/>
        <w:autoSpaceDN w:val="0"/>
        <w:adjustRightInd w:val="0"/>
        <w:spacing w:before="120"/>
        <w:jc w:val="both"/>
        <w:rPr>
          <w:rFonts w:ascii="Calibri" w:hAnsi="Calibri" w:cs="Calibri"/>
          <w:color w:val="000000"/>
          <w:lang w:val="ro-RO"/>
        </w:rPr>
      </w:pPr>
      <w:r w:rsidRPr="00AF3608">
        <w:rPr>
          <w:rFonts w:ascii="Calibri" w:hAnsi="Calibri" w:cs="Calibri"/>
          <w:b/>
          <w:color w:val="000066"/>
          <w:lang w:val="ro-RO"/>
        </w:rPr>
        <w:t>finanţarea serviciilor acordate de medicii de familie pentru monitorizarea stării de sănătate a pacienţilor în condiţiile art. 8 alin. (3^1) - (3^3) din Legea nr. 136/2020 privind instituirea unor măsuri în domeniul sănătăţii publice în situaţii de risc epidemiologic şi biologic,</w:t>
      </w:r>
      <w:r w:rsidRPr="00AF3608">
        <w:rPr>
          <w:rFonts w:ascii="Calibri" w:hAnsi="Calibri" w:cs="Calibri"/>
          <w:color w:val="000000"/>
          <w:lang w:val="ro-RO"/>
        </w:rPr>
        <w:t xml:space="preserve"> republicată, se face de la bugetul de stat, prin bugetul Ministerului Sănătăţii, prin transferuri către bugetul Fondului naţional unic de asigurări sociale de sănătate, în limita sumelor aprobate anual cu această destinaţie;</w:t>
      </w:r>
    </w:p>
    <w:p w:rsidR="00D95CB1" w:rsidRPr="00AF3608" w:rsidRDefault="00D95CB1" w:rsidP="003A0B85">
      <w:pPr>
        <w:numPr>
          <w:ilvl w:val="0"/>
          <w:numId w:val="104"/>
        </w:numPr>
        <w:autoSpaceDE w:val="0"/>
        <w:autoSpaceDN w:val="0"/>
        <w:adjustRightInd w:val="0"/>
        <w:spacing w:before="120"/>
        <w:jc w:val="both"/>
        <w:rPr>
          <w:rFonts w:ascii="Calibri" w:hAnsi="Calibri" w:cs="Calibri"/>
          <w:b/>
          <w:color w:val="000000"/>
          <w:lang w:val="ro-RO"/>
        </w:rPr>
      </w:pPr>
      <w:r w:rsidRPr="00AF3608">
        <w:rPr>
          <w:rFonts w:ascii="Calibri" w:hAnsi="Calibri" w:cs="Calibri"/>
          <w:b/>
          <w:color w:val="000066"/>
          <w:lang w:val="ro-RO"/>
        </w:rPr>
        <w:t>finanţarea achiziţiei echipamentelor din domeniul tehnologiei informaţiei - IT mobile, respectiv tablete cu acces la internet, precum şi alte echipamente/dispozitive electronice, se acordă prin granturi din fonduri externe nerambursabile, în limita unei va</w:t>
      </w:r>
      <w:r w:rsidR="007F7CEF" w:rsidRPr="00AF3608">
        <w:rPr>
          <w:rFonts w:ascii="Calibri" w:hAnsi="Calibri" w:cs="Calibri"/>
          <w:b/>
          <w:color w:val="000066"/>
          <w:lang w:val="ro-RO"/>
        </w:rPr>
        <w:t xml:space="preserve">lori de 250 euro/tabletă. </w:t>
      </w:r>
      <w:r w:rsidR="007F7CEF" w:rsidRPr="00AF3608">
        <w:rPr>
          <w:rFonts w:ascii="Calibri" w:hAnsi="Calibri" w:cs="Calibri"/>
          <w:lang w:val="ro-RO"/>
        </w:rPr>
        <w:t>D</w:t>
      </w:r>
      <w:r w:rsidRPr="00AF3608">
        <w:rPr>
          <w:rFonts w:ascii="Calibri" w:hAnsi="Calibri" w:cs="Calibri"/>
          <w:color w:val="000000"/>
          <w:lang w:val="ro-RO"/>
        </w:rPr>
        <w:t xml:space="preserve">e asemenea se achiziţionează echipamente de protecţie medicală/dispozitive medicale, dezinfectanţi şi containere sanitare mobile în cadrul unităţilor de învăţământ preuniversitar de stat, instituţiilor de învăţământ superior de stat </w:t>
      </w:r>
      <w:r w:rsidRPr="00AF3608">
        <w:rPr>
          <w:rFonts w:ascii="Calibri" w:hAnsi="Calibri" w:cs="Calibri"/>
          <w:color w:val="000000"/>
          <w:lang w:val="ro-RO"/>
        </w:rPr>
        <w:lastRenderedPageBreak/>
        <w:t>pentru studenţii care îndeplinesc criteriile pentru a beneficia de burse sociale şi burse sociale ocazionale, decontate din fonduri externe nerambursabile</w:t>
      </w:r>
      <w:r w:rsidR="00175EE3" w:rsidRPr="00AF3608">
        <w:rPr>
          <w:rFonts w:ascii="Calibri" w:hAnsi="Calibri" w:cs="Calibri"/>
          <w:color w:val="000000"/>
          <w:lang w:val="ro-RO"/>
        </w:rPr>
        <w:t xml:space="preserve"> alocate în cadrul Programului O</w:t>
      </w:r>
      <w:r w:rsidRPr="00AF3608">
        <w:rPr>
          <w:rFonts w:ascii="Calibri" w:hAnsi="Calibri" w:cs="Calibri"/>
          <w:color w:val="000000"/>
          <w:lang w:val="ro-RO"/>
        </w:rPr>
        <w:t xml:space="preserve">peraţional Infrastructură </w:t>
      </w:r>
      <w:r w:rsidR="00175EE3" w:rsidRPr="00AF3608">
        <w:rPr>
          <w:rFonts w:ascii="Calibri" w:hAnsi="Calibri" w:cs="Calibri"/>
          <w:color w:val="000000"/>
          <w:lang w:val="ro-RO"/>
        </w:rPr>
        <w:t>M</w:t>
      </w:r>
      <w:r w:rsidRPr="00AF3608">
        <w:rPr>
          <w:rFonts w:ascii="Calibri" w:hAnsi="Calibri" w:cs="Calibri"/>
          <w:color w:val="000000"/>
          <w:lang w:val="ro-RO"/>
        </w:rPr>
        <w:t>are, în limita a 60 milioane euro;</w:t>
      </w:r>
    </w:p>
    <w:p w:rsidR="00D95CB1" w:rsidRPr="00AF3608" w:rsidRDefault="00D95CB1" w:rsidP="003A0B85">
      <w:pPr>
        <w:numPr>
          <w:ilvl w:val="0"/>
          <w:numId w:val="139"/>
        </w:numPr>
        <w:shd w:val="clear" w:color="auto" w:fill="FFFFFF" w:themeFill="background1"/>
        <w:spacing w:before="120"/>
        <w:ind w:left="360"/>
        <w:jc w:val="both"/>
        <w:rPr>
          <w:rFonts w:ascii="Calibri" w:eastAsia="Calibri" w:hAnsi="Calibri" w:cs="Calibri"/>
          <w:color w:val="000000" w:themeColor="text1"/>
          <w:szCs w:val="22"/>
          <w:lang w:val="ro-RO" w:eastAsia="ro-RO"/>
        </w:rPr>
      </w:pPr>
      <w:r w:rsidRPr="00AF3608">
        <w:rPr>
          <w:rFonts w:ascii="Calibri" w:eastAsia="Calibri" w:hAnsi="Calibri" w:cs="Calibri"/>
          <w:szCs w:val="22"/>
          <w:lang w:val="ro-RO" w:eastAsia="ro-RO"/>
        </w:rPr>
        <w:t>Toto</w:t>
      </w:r>
      <w:r w:rsidR="007F7CEF" w:rsidRPr="00AF3608">
        <w:rPr>
          <w:rFonts w:ascii="Calibri" w:eastAsia="Calibri" w:hAnsi="Calibri" w:cs="Calibri"/>
          <w:szCs w:val="22"/>
          <w:lang w:val="ro-RO" w:eastAsia="ro-RO"/>
        </w:rPr>
        <w:t xml:space="preserve">dată, </w:t>
      </w:r>
      <w:r w:rsidRPr="00AF3608">
        <w:rPr>
          <w:rFonts w:ascii="Calibri" w:eastAsia="Calibri" w:hAnsi="Calibri" w:cs="Calibri"/>
          <w:szCs w:val="22"/>
          <w:lang w:val="ro-RO" w:eastAsia="ro-RO"/>
        </w:rPr>
        <w:t>impo</w:t>
      </w:r>
      <w:r w:rsidR="007F7CEF" w:rsidRPr="00AF3608">
        <w:rPr>
          <w:rFonts w:ascii="Calibri" w:eastAsia="Calibri" w:hAnsi="Calibri" w:cs="Calibri"/>
          <w:szCs w:val="22"/>
          <w:lang w:val="ro-RO" w:eastAsia="ro-RO"/>
        </w:rPr>
        <w:t>rtante sume au fost alocate din</w:t>
      </w:r>
      <w:r w:rsidRPr="00AF3608">
        <w:rPr>
          <w:rFonts w:ascii="Calibri" w:eastAsia="Calibri" w:hAnsi="Calibri" w:cs="Calibri"/>
          <w:szCs w:val="22"/>
          <w:lang w:val="ro-RO" w:eastAsia="ro-RO"/>
        </w:rPr>
        <w:t xml:space="preserve"> </w:t>
      </w:r>
      <w:r w:rsidRPr="00AF3608">
        <w:rPr>
          <w:rFonts w:ascii="Calibri" w:eastAsia="Calibri" w:hAnsi="Calibri" w:cs="Calibri"/>
          <w:b/>
          <w:color w:val="000066"/>
          <w:szCs w:val="22"/>
          <w:lang w:val="ro-RO" w:eastAsia="ro-RO"/>
        </w:rPr>
        <w:t>Fondul de rezervă bugetară la dispoziția Guvernului</w:t>
      </w:r>
      <w:r w:rsidRPr="00AF3608">
        <w:rPr>
          <w:rFonts w:ascii="Calibri" w:eastAsia="Calibri" w:hAnsi="Calibri" w:cs="Calibri"/>
          <w:color w:val="000066"/>
          <w:szCs w:val="22"/>
          <w:lang w:val="ro-RO" w:eastAsia="ro-RO"/>
        </w:rPr>
        <w:t xml:space="preserve"> </w:t>
      </w:r>
      <w:r w:rsidRPr="00AF3608">
        <w:rPr>
          <w:rFonts w:ascii="Calibri" w:eastAsia="Calibri" w:hAnsi="Calibri" w:cs="Calibri"/>
          <w:color w:val="000000" w:themeColor="text1"/>
          <w:szCs w:val="22"/>
          <w:lang w:val="ro-RO" w:eastAsia="ro-RO"/>
        </w:rPr>
        <w:t>pentru asigurarea prevenției și tratarea afecțiunilor asociate COVID-19 pentru accelerarea înlatur</w:t>
      </w:r>
      <w:r w:rsidR="007F7CEF" w:rsidRPr="00AF3608">
        <w:rPr>
          <w:rFonts w:ascii="Calibri" w:eastAsia="Calibri" w:hAnsi="Calibri" w:cs="Calibri"/>
          <w:color w:val="000000" w:themeColor="text1"/>
          <w:szCs w:val="22"/>
          <w:lang w:val="ro-RO" w:eastAsia="ro-RO"/>
        </w:rPr>
        <w:t>ării efectelor crizei sanitare</w:t>
      </w:r>
    </w:p>
    <w:p w:rsidR="00D95CB1" w:rsidRPr="00AF3608" w:rsidRDefault="00D95CB1" w:rsidP="003A0B85">
      <w:pPr>
        <w:numPr>
          <w:ilvl w:val="0"/>
          <w:numId w:val="139"/>
        </w:numPr>
        <w:shd w:val="clear" w:color="auto" w:fill="FFFFFF" w:themeFill="background1"/>
        <w:spacing w:before="120"/>
        <w:ind w:left="360"/>
        <w:jc w:val="both"/>
        <w:rPr>
          <w:rFonts w:ascii="Calibri" w:eastAsia="Calibri" w:hAnsi="Calibri" w:cs="Calibri"/>
          <w:color w:val="000000" w:themeColor="text1"/>
          <w:szCs w:val="22"/>
          <w:lang w:val="ro-RO" w:eastAsia="ro-RO"/>
        </w:rPr>
      </w:pPr>
      <w:r w:rsidRPr="00AF3608">
        <w:rPr>
          <w:rFonts w:ascii="Calibri" w:eastAsia="Calibri" w:hAnsi="Calibri" w:cs="Calibri"/>
          <w:b/>
          <w:color w:val="000066"/>
          <w:szCs w:val="22"/>
          <w:lang w:val="ro-RO" w:eastAsia="ro-RO"/>
        </w:rPr>
        <w:t>O parte</w:t>
      </w:r>
      <w:r w:rsidR="00AF3608">
        <w:rPr>
          <w:rFonts w:ascii="Calibri" w:eastAsia="Calibri" w:hAnsi="Calibri" w:cs="Calibri"/>
          <w:color w:val="000066"/>
          <w:szCs w:val="22"/>
          <w:lang w:val="ro-RO" w:eastAsia="ro-RO"/>
        </w:rPr>
        <w:t xml:space="preserve"> </w:t>
      </w:r>
      <w:r w:rsidRPr="00AF3608">
        <w:rPr>
          <w:rFonts w:ascii="Calibri" w:eastAsia="Calibri" w:hAnsi="Calibri" w:cs="Calibri"/>
          <w:color w:val="000000" w:themeColor="text1"/>
          <w:szCs w:val="22"/>
          <w:lang w:val="ro-RO" w:eastAsia="ro-RO"/>
        </w:rPr>
        <w:t xml:space="preserve">din măsurile întreprinse în anul 2020 pentru înlăturarea efectelor crizei pandemice </w:t>
      </w:r>
      <w:r w:rsidRPr="00AF3608">
        <w:rPr>
          <w:rFonts w:ascii="Calibri" w:eastAsia="Calibri" w:hAnsi="Calibri" w:cs="Calibri"/>
          <w:b/>
          <w:color w:val="000066"/>
          <w:szCs w:val="22"/>
          <w:lang w:val="ro-RO" w:eastAsia="ro-RO"/>
        </w:rPr>
        <w:t>au fost decontate din fonduri europene</w:t>
      </w:r>
      <w:r w:rsidR="00AF3608">
        <w:rPr>
          <w:rFonts w:ascii="Calibri" w:eastAsia="Calibri" w:hAnsi="Calibri" w:cs="Calibri"/>
          <w:color w:val="000066"/>
          <w:szCs w:val="22"/>
          <w:lang w:val="ro-RO" w:eastAsia="ro-RO"/>
        </w:rPr>
        <w:t xml:space="preserve"> </w:t>
      </w:r>
      <w:r w:rsidRPr="00AF3608">
        <w:rPr>
          <w:rFonts w:ascii="Calibri" w:eastAsia="Calibri" w:hAnsi="Calibri" w:cs="Calibri"/>
          <w:color w:val="000000" w:themeColor="text1"/>
          <w:szCs w:val="22"/>
          <w:lang w:val="ro-RO" w:eastAsia="ro-RO"/>
        </w:rPr>
        <w:t>în completarea efortului bugetar naț</w:t>
      </w:r>
      <w:r w:rsidR="00AF3608">
        <w:rPr>
          <w:rFonts w:ascii="Calibri" w:eastAsia="Calibri" w:hAnsi="Calibri" w:cs="Calibri"/>
          <w:color w:val="000000" w:themeColor="text1"/>
          <w:szCs w:val="22"/>
          <w:lang w:val="ro-RO" w:eastAsia="ro-RO"/>
        </w:rPr>
        <w:t xml:space="preserve">ional, urmând ca </w:t>
      </w:r>
      <w:r w:rsidRPr="00AF3608">
        <w:rPr>
          <w:rFonts w:ascii="Calibri" w:eastAsia="Calibri" w:hAnsi="Calibri" w:cs="Calibri"/>
          <w:color w:val="000000" w:themeColor="text1"/>
          <w:szCs w:val="22"/>
          <w:lang w:val="ro-RO" w:eastAsia="ro-RO"/>
        </w:rPr>
        <w:t>sume importante să</w:t>
      </w:r>
      <w:r w:rsidR="007F7CEF" w:rsidRPr="00AF3608">
        <w:rPr>
          <w:rFonts w:ascii="Calibri" w:eastAsia="Calibri" w:hAnsi="Calibri" w:cs="Calibri"/>
          <w:color w:val="000000" w:themeColor="text1"/>
          <w:szCs w:val="22"/>
          <w:lang w:val="ro-RO" w:eastAsia="ro-RO"/>
        </w:rPr>
        <w:t xml:space="preserve"> fie recuperate și în anul 2021</w:t>
      </w:r>
    </w:p>
    <w:p w:rsidR="00D95CB1" w:rsidRPr="00AF3608" w:rsidRDefault="007F7CEF" w:rsidP="003A0B85">
      <w:pPr>
        <w:numPr>
          <w:ilvl w:val="0"/>
          <w:numId w:val="139"/>
        </w:numPr>
        <w:shd w:val="clear" w:color="auto" w:fill="FFFFFF" w:themeFill="background1"/>
        <w:spacing w:before="120"/>
        <w:ind w:left="426" w:hanging="426"/>
        <w:jc w:val="both"/>
        <w:rPr>
          <w:rFonts w:asciiTheme="minorHAnsi" w:eastAsia="Calibri" w:hAnsiTheme="minorHAnsi" w:cs="Arial"/>
          <w:color w:val="000066"/>
          <w:lang w:val="ro-RO"/>
        </w:rPr>
      </w:pPr>
      <w:r w:rsidRPr="00AF3608">
        <w:rPr>
          <w:rFonts w:ascii="Calibri" w:eastAsia="Calibri" w:hAnsi="Calibri" w:cs="Calibri"/>
          <w:color w:val="000000" w:themeColor="text1"/>
          <w:szCs w:val="22"/>
          <w:lang w:val="ro-RO" w:eastAsia="ro-RO"/>
        </w:rPr>
        <w:t>Î</w:t>
      </w:r>
      <w:r w:rsidR="00AF3608">
        <w:rPr>
          <w:rFonts w:ascii="Calibri" w:eastAsia="Calibri" w:hAnsi="Calibri" w:cs="Calibri"/>
          <w:color w:val="000000" w:themeColor="text1"/>
          <w:szCs w:val="22"/>
          <w:lang w:val="ro-RO" w:eastAsia="ro-RO"/>
        </w:rPr>
        <w:t>n ceea ce privește</w:t>
      </w:r>
      <w:r w:rsidR="00D95CB1" w:rsidRPr="00AF3608">
        <w:rPr>
          <w:rFonts w:asciiTheme="minorHAnsi" w:eastAsia="Calibri" w:hAnsiTheme="minorHAnsi" w:cs="Arial"/>
          <w:lang w:val="ro-RO"/>
        </w:rPr>
        <w:t xml:space="preserve"> </w:t>
      </w:r>
      <w:r w:rsidR="00D95CB1" w:rsidRPr="00AF3608">
        <w:rPr>
          <w:rFonts w:asciiTheme="minorHAnsi" w:eastAsia="Calibri" w:hAnsiTheme="minorHAnsi" w:cs="Arial"/>
          <w:b/>
          <w:color w:val="000066"/>
          <w:u w:val="single"/>
          <w:lang w:val="ro-RO"/>
        </w:rPr>
        <w:t>campania de vaccinare împotriva COVID 19</w:t>
      </w:r>
      <w:r w:rsidR="000D3C6F" w:rsidRPr="00AF3608">
        <w:rPr>
          <w:rFonts w:asciiTheme="minorHAnsi" w:eastAsia="Calibri" w:hAnsiTheme="minorHAnsi" w:cs="Arial"/>
          <w:b/>
          <w:color w:val="000066"/>
          <w:lang w:val="ro-RO"/>
        </w:rPr>
        <w:t xml:space="preserve"> cu rol determinant î</w:t>
      </w:r>
      <w:r w:rsidR="00D95CB1" w:rsidRPr="00AF3608">
        <w:rPr>
          <w:rFonts w:asciiTheme="minorHAnsi" w:eastAsia="Calibri" w:hAnsiTheme="minorHAnsi" w:cs="Arial"/>
          <w:b/>
          <w:color w:val="000066"/>
          <w:lang w:val="ro-RO"/>
        </w:rPr>
        <w:t>n înlătur</w:t>
      </w:r>
      <w:r w:rsidR="000D3C6F" w:rsidRPr="00AF3608">
        <w:rPr>
          <w:rFonts w:asciiTheme="minorHAnsi" w:eastAsia="Calibri" w:hAnsiTheme="minorHAnsi" w:cs="Arial"/>
          <w:b/>
          <w:color w:val="000066"/>
          <w:lang w:val="ro-RO"/>
        </w:rPr>
        <w:t xml:space="preserve">area efectelor crizei sanitare </w:t>
      </w:r>
      <w:r w:rsidR="00D95CB1" w:rsidRPr="00AF3608">
        <w:rPr>
          <w:rFonts w:asciiTheme="minorHAnsi" w:eastAsia="Calibri" w:hAnsiTheme="minorHAnsi" w:cs="Arial"/>
          <w:color w:val="000066"/>
          <w:lang w:val="ro-RO"/>
        </w:rPr>
        <w:t>precizăm următoare:</w:t>
      </w:r>
    </w:p>
    <w:p w:rsidR="00D95CB1" w:rsidRPr="00AF3608" w:rsidRDefault="00D95CB1" w:rsidP="003A0B85">
      <w:pPr>
        <w:numPr>
          <w:ilvl w:val="0"/>
          <w:numId w:val="146"/>
        </w:numPr>
        <w:spacing w:before="120"/>
        <w:jc w:val="both"/>
        <w:rPr>
          <w:rFonts w:asciiTheme="minorHAnsi" w:eastAsia="Calibri" w:hAnsiTheme="minorHAnsi" w:cs="Arial"/>
          <w:lang w:val="ro-RO"/>
        </w:rPr>
      </w:pPr>
      <w:r w:rsidRPr="00AF3608">
        <w:rPr>
          <w:rFonts w:asciiTheme="minorHAnsi" w:eastAsia="Calibri" w:hAnsiTheme="minorHAnsi" w:cs="Arial"/>
          <w:lang w:val="ro-RO"/>
        </w:rPr>
        <w:t xml:space="preserve">a fost elaborată </w:t>
      </w:r>
      <w:r w:rsidR="000D3C6F" w:rsidRPr="00AF3608">
        <w:rPr>
          <w:rFonts w:asciiTheme="minorHAnsi" w:eastAsia="Calibri" w:hAnsiTheme="minorHAnsi" w:cs="Arial"/>
          <w:b/>
          <w:color w:val="000066"/>
          <w:lang w:val="ro-RO"/>
        </w:rPr>
        <w:t>strategia națională</w:t>
      </w:r>
      <w:r w:rsidRPr="00AF3608">
        <w:rPr>
          <w:rFonts w:asciiTheme="minorHAnsi" w:eastAsia="Calibri" w:hAnsiTheme="minorHAnsi" w:cs="Arial"/>
          <w:b/>
          <w:color w:val="000066"/>
          <w:lang w:val="ro-RO"/>
        </w:rPr>
        <w:t xml:space="preserve"> </w:t>
      </w:r>
      <w:r w:rsidRPr="00AF3608">
        <w:rPr>
          <w:rFonts w:asciiTheme="minorHAnsi" w:eastAsia="Calibri" w:hAnsiTheme="minorHAnsi" w:cs="Arial"/>
          <w:b/>
          <w:bCs/>
          <w:color w:val="000066"/>
          <w:lang w:val="ro-RO"/>
        </w:rPr>
        <w:t xml:space="preserve">de vaccinare </w:t>
      </w:r>
      <w:r w:rsidRPr="00AF3608">
        <w:rPr>
          <w:rFonts w:asciiTheme="minorHAnsi" w:eastAsia="Calibri" w:hAnsiTheme="minorHAnsi" w:cs="Arial"/>
          <w:b/>
          <w:color w:val="000066"/>
          <w:lang w:val="ro-RO"/>
        </w:rPr>
        <w:t>împotriva COVID 19 în România</w:t>
      </w:r>
      <w:r w:rsidRPr="00AF3608">
        <w:rPr>
          <w:rFonts w:asciiTheme="minorHAnsi" w:eastAsia="Calibri" w:hAnsiTheme="minorHAnsi" w:cs="Arial"/>
          <w:lang w:val="ro-RO"/>
        </w:rPr>
        <w:t>, care a fost aprobată prin Hot</w:t>
      </w:r>
      <w:r w:rsidR="000D3C6F" w:rsidRPr="00AF3608">
        <w:rPr>
          <w:rFonts w:asciiTheme="minorHAnsi" w:eastAsia="Calibri" w:hAnsiTheme="minorHAnsi" w:cs="Arial"/>
          <w:lang w:val="ro-RO"/>
        </w:rPr>
        <w:t>ărârea Guvernului nr. 1031/2020</w:t>
      </w:r>
    </w:p>
    <w:p w:rsidR="00D95CB1" w:rsidRPr="00AF3608" w:rsidRDefault="00D95CB1" w:rsidP="003A0B85">
      <w:pPr>
        <w:numPr>
          <w:ilvl w:val="0"/>
          <w:numId w:val="146"/>
        </w:numPr>
        <w:spacing w:before="120"/>
        <w:jc w:val="both"/>
        <w:rPr>
          <w:rFonts w:asciiTheme="minorHAnsi" w:eastAsia="Calibri" w:hAnsiTheme="minorHAnsi" w:cs="Arial"/>
          <w:lang w:val="ro-RO"/>
        </w:rPr>
      </w:pPr>
      <w:r w:rsidRPr="00AF3608">
        <w:rPr>
          <w:rFonts w:asciiTheme="minorHAnsi" w:eastAsia="Calibri" w:hAnsiTheme="minorHAnsi" w:cs="Arial"/>
          <w:lang w:val="ro-RO"/>
        </w:rPr>
        <w:t xml:space="preserve">au fost </w:t>
      </w:r>
      <w:r w:rsidRPr="00AF3608">
        <w:rPr>
          <w:rFonts w:asciiTheme="minorHAnsi" w:eastAsia="Calibri" w:hAnsiTheme="minorHAnsi" w:cs="Arial"/>
          <w:b/>
          <w:color w:val="000066"/>
          <w:lang w:val="ro-RO"/>
        </w:rPr>
        <w:t xml:space="preserve">aprobate normele de functionare, organizare si autorizare a centrelor de vaccinare </w:t>
      </w:r>
      <w:r w:rsidRPr="00AF3608">
        <w:rPr>
          <w:rFonts w:asciiTheme="minorHAnsi" w:eastAsia="Calibri" w:hAnsiTheme="minorHAnsi" w:cs="Arial"/>
          <w:lang w:val="ro-RO"/>
        </w:rPr>
        <w:t>și s-a creat cadrul legal pentru recrutarea și plata per</w:t>
      </w:r>
      <w:r w:rsidR="000D3C6F" w:rsidRPr="00AF3608">
        <w:rPr>
          <w:rFonts w:asciiTheme="minorHAnsi" w:eastAsia="Calibri" w:hAnsiTheme="minorHAnsi" w:cs="Arial"/>
          <w:lang w:val="ro-RO"/>
        </w:rPr>
        <w:t>sonalului implicat în vaccinare</w:t>
      </w:r>
    </w:p>
    <w:p w:rsidR="00D95CB1" w:rsidRPr="00AF3608" w:rsidRDefault="00D95CB1" w:rsidP="003A0B85">
      <w:pPr>
        <w:numPr>
          <w:ilvl w:val="0"/>
          <w:numId w:val="146"/>
        </w:numPr>
        <w:spacing w:before="120"/>
        <w:jc w:val="both"/>
        <w:rPr>
          <w:rFonts w:asciiTheme="minorHAnsi" w:eastAsia="Calibri" w:hAnsiTheme="minorHAnsi" w:cs="Arial"/>
          <w:lang w:val="ro-RO" w:eastAsia="ro-RO"/>
        </w:rPr>
      </w:pPr>
      <w:r w:rsidRPr="00AF3608">
        <w:rPr>
          <w:rFonts w:asciiTheme="minorHAnsi" w:eastAsia="Calibri" w:hAnsiTheme="minorHAnsi" w:cs="Arial"/>
          <w:lang w:val="ro-RO" w:eastAsia="ro-RO"/>
        </w:rPr>
        <w:t>Activitatea de vaccinare în centrele de vaccinare este desfășurată de către personalul medico-sanitar și auxiliar ce îşi exerci</w:t>
      </w:r>
      <w:r w:rsidR="000D3C6F" w:rsidRPr="00AF3608">
        <w:rPr>
          <w:rFonts w:asciiTheme="minorHAnsi" w:eastAsia="Calibri" w:hAnsiTheme="minorHAnsi" w:cs="Arial"/>
          <w:lang w:val="ro-RO" w:eastAsia="ro-RO"/>
        </w:rPr>
        <w:t>tă profesia în condiţiile legii</w:t>
      </w:r>
    </w:p>
    <w:p w:rsidR="00D95CB1" w:rsidRPr="00AF3608" w:rsidRDefault="00D95CB1" w:rsidP="003A0B85">
      <w:pPr>
        <w:numPr>
          <w:ilvl w:val="0"/>
          <w:numId w:val="146"/>
        </w:numPr>
        <w:autoSpaceDE w:val="0"/>
        <w:autoSpaceDN w:val="0"/>
        <w:adjustRightInd w:val="0"/>
        <w:spacing w:before="120"/>
        <w:jc w:val="both"/>
        <w:rPr>
          <w:rFonts w:asciiTheme="minorHAnsi" w:eastAsia="Calibri" w:hAnsiTheme="minorHAnsi" w:cs="Arial"/>
          <w:lang w:val="ro-RO" w:eastAsia="ro-RO"/>
        </w:rPr>
      </w:pPr>
      <w:r w:rsidRPr="00AF3608">
        <w:rPr>
          <w:rFonts w:asciiTheme="minorHAnsi" w:eastAsia="Calibri" w:hAnsiTheme="minorHAnsi" w:cs="Arial"/>
          <w:b/>
          <w:color w:val="000066"/>
          <w:lang w:val="ro-RO"/>
        </w:rPr>
        <w:t xml:space="preserve">Potrivit </w:t>
      </w:r>
      <w:r w:rsidRPr="00AF3608">
        <w:rPr>
          <w:rFonts w:asciiTheme="minorHAnsi" w:eastAsia="Calibri" w:hAnsiTheme="minorHAnsi"/>
          <w:b/>
          <w:i/>
          <w:color w:val="000066"/>
          <w:lang w:val="ro-RO"/>
        </w:rPr>
        <w:t>OUG nr. 3/2021 privind unele măsuri pentru recrutarea şi plata personalului implicat în procesul de vaccinare împotriva COVID-19 şi stabilirea unor măsuri în domeniul sănătăţii</w:t>
      </w:r>
      <w:r w:rsidRPr="00AF3608">
        <w:rPr>
          <w:rFonts w:asciiTheme="minorHAnsi" w:eastAsia="Calibri" w:hAnsiTheme="minorHAnsi"/>
          <w:i/>
          <w:lang w:val="ro-RO"/>
        </w:rPr>
        <w:t xml:space="preserve"> </w:t>
      </w:r>
      <w:r w:rsidRPr="00AF3608">
        <w:rPr>
          <w:rFonts w:asciiTheme="minorHAnsi" w:eastAsia="Calibri" w:hAnsiTheme="minorHAnsi"/>
          <w:lang w:val="ro-RO"/>
        </w:rPr>
        <w:t>c</w:t>
      </w:r>
      <w:r w:rsidRPr="00AF3608">
        <w:rPr>
          <w:rFonts w:asciiTheme="minorHAnsi" w:eastAsia="Calibri" w:hAnsiTheme="minorHAnsi" w:cs="Arial"/>
          <w:lang w:val="ro-RO" w:eastAsia="ro-RO"/>
        </w:rPr>
        <w:t>heltuielile privind plata personalului medico-sanitar și registratorii medicali, cu excepţia personalului delegat sau detaşat, care își desfășoară activitatea în cadrul centrelor de vaccinare împotriva COVID 19 se finanțează în limita sumelor aprobate prin buget, respectiv</w:t>
      </w:r>
    </w:p>
    <w:p w:rsidR="00D95CB1" w:rsidRPr="00AF3608" w:rsidRDefault="00D95CB1" w:rsidP="003A0B85">
      <w:pPr>
        <w:numPr>
          <w:ilvl w:val="0"/>
          <w:numId w:val="147"/>
        </w:numPr>
        <w:spacing w:before="120"/>
        <w:jc w:val="both"/>
        <w:rPr>
          <w:rFonts w:asciiTheme="minorHAnsi" w:eastAsia="Calibri" w:hAnsiTheme="minorHAnsi" w:cs="Arial"/>
          <w:lang w:val="ro-RO" w:eastAsia="ro-RO"/>
        </w:rPr>
      </w:pPr>
      <w:r w:rsidRPr="00AF3608">
        <w:rPr>
          <w:rFonts w:asciiTheme="minorHAnsi" w:eastAsia="Calibri" w:hAnsiTheme="minorHAnsi" w:cs="Arial"/>
          <w:lang w:val="ro-RO" w:eastAsia="ro-RO"/>
        </w:rPr>
        <w:t xml:space="preserve">din transferuri de la bugetul de stat prin bugetul Ministerului </w:t>
      </w:r>
      <w:r w:rsidR="000D3C6F" w:rsidRPr="00AF3608">
        <w:rPr>
          <w:rFonts w:asciiTheme="minorHAnsi" w:eastAsia="Calibri" w:hAnsiTheme="minorHAnsi" w:cs="Arial"/>
          <w:lang w:val="ro-RO" w:eastAsia="ro-RO"/>
        </w:rPr>
        <w:t>Sănătății către bugetele locale</w:t>
      </w:r>
    </w:p>
    <w:p w:rsidR="00D95CB1" w:rsidRPr="00AF3608" w:rsidRDefault="00D95CB1" w:rsidP="003A0B85">
      <w:pPr>
        <w:numPr>
          <w:ilvl w:val="0"/>
          <w:numId w:val="147"/>
        </w:numPr>
        <w:spacing w:before="120"/>
        <w:jc w:val="both"/>
        <w:rPr>
          <w:rFonts w:asciiTheme="minorHAnsi" w:eastAsia="Calibri" w:hAnsiTheme="minorHAnsi" w:cs="Arial"/>
          <w:lang w:val="ro-RO" w:eastAsia="ro-RO"/>
        </w:rPr>
      </w:pPr>
      <w:r w:rsidRPr="00AF3608">
        <w:rPr>
          <w:rFonts w:asciiTheme="minorHAnsi" w:eastAsia="Calibri" w:hAnsiTheme="minorHAnsi" w:cs="Arial"/>
          <w:lang w:val="ro-RO" w:eastAsia="ro-RO"/>
        </w:rPr>
        <w:t xml:space="preserve">din transferuri de la bugetul de stat prin bugetul Ministerului Sănătății către bugetul Fondului național unic de asigurări </w:t>
      </w:r>
      <w:r w:rsidR="000D3C6F" w:rsidRPr="00AF3608">
        <w:rPr>
          <w:rFonts w:asciiTheme="minorHAnsi" w:eastAsia="Calibri" w:hAnsiTheme="minorHAnsi" w:cs="Arial"/>
          <w:lang w:val="ro-RO" w:eastAsia="ro-RO"/>
        </w:rPr>
        <w:t>sociale de sănătate</w:t>
      </w:r>
    </w:p>
    <w:p w:rsidR="00D95CB1" w:rsidRPr="00AF3608" w:rsidRDefault="00A92E94" w:rsidP="003A0B85">
      <w:pPr>
        <w:numPr>
          <w:ilvl w:val="0"/>
          <w:numId w:val="147"/>
        </w:numPr>
        <w:spacing w:before="120"/>
        <w:jc w:val="both"/>
        <w:rPr>
          <w:rFonts w:asciiTheme="minorHAnsi" w:eastAsia="Calibri" w:hAnsiTheme="minorHAnsi" w:cs="Arial"/>
          <w:lang w:val="ro-RO" w:eastAsia="ro-RO"/>
        </w:rPr>
      </w:pPr>
      <w:r>
        <w:rPr>
          <w:rFonts w:asciiTheme="minorHAnsi" w:eastAsia="Calibri" w:hAnsiTheme="minorHAnsi" w:cs="Arial"/>
          <w:lang w:val="ro-RO" w:eastAsia="ro-RO"/>
        </w:rPr>
        <w:t>f</w:t>
      </w:r>
      <w:r w:rsidR="00D95CB1" w:rsidRPr="00AF3608">
        <w:rPr>
          <w:rFonts w:asciiTheme="minorHAnsi" w:eastAsia="Calibri" w:hAnsiTheme="minorHAnsi" w:cs="Arial"/>
          <w:lang w:val="ro-RO" w:eastAsia="ro-RO"/>
        </w:rPr>
        <w:t>inanțarea cheltuielilor curente, inclusiv pentru plata personalului medico-sanitar și registratorii medicali, și a celor de capital, necesare a se efectua în vederea operaționalizării centrelor de vaccinare împotriva COVID 19 organizate în alte locații decât cele din cadrul unităților sanitare care se află în relații contractuale cu casele de asigurări de sănătate, se asigură din transferuri de la bugetul de stat prin bugetul Ministerului S</w:t>
      </w:r>
      <w:r w:rsidR="000D3C6F" w:rsidRPr="00AF3608">
        <w:rPr>
          <w:rFonts w:asciiTheme="minorHAnsi" w:eastAsia="Calibri" w:hAnsiTheme="minorHAnsi" w:cs="Arial"/>
          <w:lang w:val="ro-RO" w:eastAsia="ro-RO"/>
        </w:rPr>
        <w:t>ănătății, către bugetele locale</w:t>
      </w:r>
    </w:p>
    <w:p w:rsidR="00D95CB1" w:rsidRPr="00AF3608" w:rsidRDefault="00A92E94" w:rsidP="003A0B85">
      <w:pPr>
        <w:numPr>
          <w:ilvl w:val="0"/>
          <w:numId w:val="147"/>
        </w:numPr>
        <w:spacing w:before="120"/>
        <w:jc w:val="both"/>
        <w:rPr>
          <w:rFonts w:asciiTheme="minorHAnsi" w:eastAsia="Calibri" w:hAnsiTheme="minorHAnsi" w:cs="Arial"/>
          <w:lang w:val="ro-RO" w:eastAsia="ro-RO"/>
        </w:rPr>
      </w:pPr>
      <w:r>
        <w:rPr>
          <w:rFonts w:asciiTheme="minorHAnsi" w:eastAsia="Calibri" w:hAnsiTheme="minorHAnsi" w:cs="Arial"/>
          <w:lang w:val="ro-RO" w:eastAsia="ro-RO"/>
        </w:rPr>
        <w:t>p</w:t>
      </w:r>
      <w:r w:rsidR="00D95CB1" w:rsidRPr="00AF3608">
        <w:rPr>
          <w:rFonts w:asciiTheme="minorHAnsi" w:eastAsia="Calibri" w:hAnsiTheme="minorHAnsi" w:cs="Arial"/>
          <w:lang w:val="ro-RO" w:eastAsia="ro-RO"/>
        </w:rPr>
        <w:t>entru activitatea prestată în cadrul centrelor de vaccinare împotriva COVID-19 personalul medico-sanitar şi registratorii medicali, cu excepţia personalului delegat sau detaşat, beneficiază de plată pentru timpul efectiv lucrat la un tarif orar diferenţiat în baza con</w:t>
      </w:r>
      <w:r w:rsidR="000D3C6F" w:rsidRPr="00AF3608">
        <w:rPr>
          <w:rFonts w:asciiTheme="minorHAnsi" w:eastAsia="Calibri" w:hAnsiTheme="minorHAnsi" w:cs="Arial"/>
          <w:lang w:val="ro-RO" w:eastAsia="ro-RO"/>
        </w:rPr>
        <w:t>tractului de prestări servicii</w:t>
      </w:r>
    </w:p>
    <w:p w:rsidR="00D95CB1" w:rsidRPr="00AF3608" w:rsidRDefault="00A92E94" w:rsidP="003A0B85">
      <w:pPr>
        <w:numPr>
          <w:ilvl w:val="0"/>
          <w:numId w:val="147"/>
        </w:numPr>
        <w:spacing w:before="120"/>
        <w:jc w:val="both"/>
        <w:rPr>
          <w:rFonts w:asciiTheme="minorHAnsi" w:eastAsia="Calibri" w:hAnsiTheme="minorHAnsi" w:cs="Arial"/>
          <w:lang w:val="ro-RO"/>
        </w:rPr>
      </w:pPr>
      <w:r>
        <w:rPr>
          <w:rFonts w:asciiTheme="minorHAnsi" w:eastAsia="Calibri" w:hAnsiTheme="minorHAnsi" w:cs="Arial"/>
          <w:lang w:val="ro-RO"/>
        </w:rPr>
        <w:t>t</w:t>
      </w:r>
      <w:r w:rsidR="00D95CB1" w:rsidRPr="00AF3608">
        <w:rPr>
          <w:rFonts w:asciiTheme="minorHAnsi" w:eastAsia="Calibri" w:hAnsiTheme="minorHAnsi" w:cs="Arial"/>
          <w:lang w:val="ro-RO"/>
        </w:rPr>
        <w:t>otodată, pentru activitatea prestată de medicii de familie cu liste proprii aflaţi în relaţii contractuale cu casele de asigurări de sănătate în vederea informării, programării la vaccinare, vaccinării efective, monitorizării şi raportării reacţiilor adverse pentru persoanele aflate pe listele proprii, aceştia beneficiază de un tarif diferentiat pe serviciu, corespunzător procentului persoanelor înscrise pe lista proprie, eligibile la vaccinare.</w:t>
      </w:r>
    </w:p>
    <w:p w:rsidR="00D95CB1" w:rsidRPr="00AF3608" w:rsidRDefault="00D95CB1" w:rsidP="00D969C8">
      <w:pPr>
        <w:spacing w:before="120"/>
        <w:ind w:left="720"/>
        <w:jc w:val="both"/>
        <w:rPr>
          <w:rFonts w:asciiTheme="minorHAnsi" w:eastAsia="Calibri" w:hAnsiTheme="minorHAnsi" w:cs="Arial"/>
          <w:lang w:val="ro-RO"/>
        </w:rPr>
      </w:pPr>
    </w:p>
    <w:p w:rsidR="00AE664D" w:rsidRPr="00AF3608" w:rsidRDefault="00AE664D" w:rsidP="00D969C8">
      <w:pPr>
        <w:tabs>
          <w:tab w:val="left" w:pos="8789"/>
        </w:tabs>
        <w:spacing w:before="120"/>
        <w:jc w:val="both"/>
        <w:rPr>
          <w:rFonts w:ascii="Calibri" w:hAnsi="Calibri" w:cs="Calibri"/>
          <w:lang w:val="ro-RO"/>
        </w:rPr>
      </w:pPr>
      <w:r w:rsidRPr="00AF3608">
        <w:rPr>
          <w:rFonts w:ascii="Calibri" w:hAnsi="Calibri" w:cs="Calibri"/>
          <w:lang w:val="ro-RO"/>
        </w:rPr>
        <w:lastRenderedPageBreak/>
        <w:t xml:space="preserve">Costul total al măsurilor de sprijin legate de COVID-19 în anul 2020 a fost de </w:t>
      </w:r>
      <w:r w:rsidRPr="00AF3608">
        <w:rPr>
          <w:rFonts w:ascii="Calibri" w:hAnsi="Calibri" w:cs="Calibri"/>
          <w:b/>
          <w:lang w:val="ro-RO"/>
        </w:rPr>
        <w:t>4,85% din PIB</w:t>
      </w:r>
      <w:r w:rsidRPr="00AF3608">
        <w:rPr>
          <w:rFonts w:ascii="Calibri" w:hAnsi="Calibri" w:cs="Calibri"/>
          <w:lang w:val="ro-RO"/>
        </w:rPr>
        <w:t xml:space="preserve">. O parte din aceste măsuri se continuă și în anul 2021 pe lângă alte noi măsuri aprobate, generând, astfel, un cost estimativ de </w:t>
      </w:r>
      <w:r w:rsidRPr="00AF3608">
        <w:rPr>
          <w:rFonts w:ascii="Calibri" w:hAnsi="Calibri" w:cs="Calibri"/>
          <w:b/>
          <w:lang w:val="ro-RO"/>
        </w:rPr>
        <w:t>3,81% din PIB</w:t>
      </w:r>
      <w:r w:rsidRPr="00AF3608">
        <w:rPr>
          <w:rFonts w:ascii="Calibri" w:hAnsi="Calibri" w:cs="Calibri"/>
          <w:lang w:val="ro-RO"/>
        </w:rPr>
        <w:t xml:space="preserve">. </w:t>
      </w:r>
    </w:p>
    <w:p w:rsidR="00AE664D" w:rsidRPr="00AF3608" w:rsidRDefault="00AE664D" w:rsidP="00D969C8">
      <w:pPr>
        <w:spacing w:before="120"/>
        <w:rPr>
          <w:rFonts w:ascii="Calibri" w:hAnsi="Calibri" w:cs="Calibri"/>
          <w:lang w:val="ro-RO"/>
        </w:rPr>
      </w:pPr>
    </w:p>
    <w:p w:rsidR="00AE664D" w:rsidRPr="00AF3608" w:rsidRDefault="00AE664D" w:rsidP="00D969C8">
      <w:pPr>
        <w:tabs>
          <w:tab w:val="left" w:pos="8789"/>
        </w:tabs>
        <w:spacing w:before="120"/>
        <w:jc w:val="both"/>
        <w:rPr>
          <w:rFonts w:ascii="Calibri" w:hAnsi="Calibri" w:cs="Calibri"/>
          <w:lang w:val="ro-RO"/>
        </w:rPr>
      </w:pPr>
      <w:r w:rsidRPr="00AF3608">
        <w:rPr>
          <w:rFonts w:ascii="Calibri" w:hAnsi="Calibri" w:cs="Calibri"/>
          <w:lang w:val="ro-RO"/>
        </w:rPr>
        <w:t xml:space="preserve">În anul 2020, impactul măsurilor de prevenire și combatere a pandemiei COVID-19 asupra bugetului general consolidat a fost de </w:t>
      </w:r>
      <w:r w:rsidRPr="00AF3608">
        <w:rPr>
          <w:rFonts w:ascii="Calibri" w:hAnsi="Calibri" w:cs="Calibri"/>
          <w:b/>
          <w:lang w:val="ro-RO"/>
        </w:rPr>
        <w:t>3,65% din PIB</w:t>
      </w:r>
      <w:r w:rsidRPr="00AF3608">
        <w:rPr>
          <w:rFonts w:ascii="Calibri" w:hAnsi="Calibri" w:cs="Calibri"/>
          <w:lang w:val="ro-RO"/>
        </w:rPr>
        <w:t xml:space="preserve">, din care 0,4 puncte procentuale sunt finanțate din fonduri UE, din care 0,2 pp s-au rambursat în 2020, restul urmând să se ramburseze în anul 2021, respectiv în anul 2021 este estimat la </w:t>
      </w:r>
      <w:r w:rsidRPr="00AF3608">
        <w:rPr>
          <w:rFonts w:ascii="Calibri" w:hAnsi="Calibri" w:cs="Calibri"/>
          <w:b/>
          <w:lang w:val="ro-RO"/>
        </w:rPr>
        <w:t>1,29% din PIB</w:t>
      </w:r>
      <w:r w:rsidRPr="00AF3608">
        <w:rPr>
          <w:rFonts w:ascii="Calibri" w:hAnsi="Calibri" w:cs="Calibri"/>
          <w:lang w:val="ro-RO"/>
        </w:rPr>
        <w:t xml:space="preserve"> din care 0,35 puncte procentuale estimate a se rambursa din fonduri UE.</w:t>
      </w:r>
    </w:p>
    <w:p w:rsidR="00AE664D" w:rsidRPr="00AF3608" w:rsidRDefault="00AE664D" w:rsidP="00D969C8">
      <w:pPr>
        <w:widowControl w:val="0"/>
        <w:suppressAutoHyphens/>
        <w:autoSpaceDN w:val="0"/>
        <w:spacing w:before="120"/>
        <w:jc w:val="both"/>
        <w:rPr>
          <w:rFonts w:ascii="Calibri" w:hAnsi="Calibri" w:cs="Calibri"/>
          <w:lang w:val="ro-RO"/>
        </w:rPr>
      </w:pPr>
      <w:r w:rsidRPr="00AF3608">
        <w:rPr>
          <w:rFonts w:ascii="Calibri" w:hAnsi="Calibri" w:cs="Calibri"/>
          <w:lang w:val="ro-RO"/>
        </w:rPr>
        <w:t xml:space="preserve">De asemenea, pentru combaterea efectelor economice negative generate de pandemia COVID19, au fost aprobate o serie de programe guvernamentale de sprijin pentru susținerea activității IMM-urilor și a companiilor mari și întreprinderilor mici și mijlocii cu cifra de afaceri peste 20 milioane lei prin intermediul garanțiilor de stat, pentru în anul 2020 s-au acordat garanții în valoare de </w:t>
      </w:r>
      <w:r w:rsidRPr="00AF3608">
        <w:rPr>
          <w:rFonts w:ascii="Calibri" w:hAnsi="Calibri" w:cs="Calibri"/>
          <w:b/>
          <w:lang w:val="ro-RO"/>
        </w:rPr>
        <w:t>12,48 mld lei (1,20% din PIB),</w:t>
      </w:r>
      <w:r w:rsidRPr="00AF3608">
        <w:rPr>
          <w:rFonts w:ascii="Calibri" w:hAnsi="Calibri" w:cs="Calibri"/>
          <w:lang w:val="ro-RO"/>
        </w:rPr>
        <w:t xml:space="preserve"> iar pentru anul 2021 se estimează garanții în valoare de </w:t>
      </w:r>
      <w:r w:rsidRPr="00AF3608">
        <w:rPr>
          <w:rFonts w:ascii="Calibri" w:hAnsi="Calibri" w:cs="Calibri"/>
          <w:b/>
          <w:lang w:val="ro-RO"/>
        </w:rPr>
        <w:t>28,10 mld lei (2,52% din PIB).</w:t>
      </w:r>
    </w:p>
    <w:p w:rsidR="00AE664D" w:rsidRPr="00AF3608" w:rsidRDefault="00AE664D" w:rsidP="00AE664D">
      <w:pPr>
        <w:tabs>
          <w:tab w:val="left" w:pos="8789"/>
        </w:tabs>
        <w:spacing w:before="120" w:line="276" w:lineRule="auto"/>
        <w:contextualSpacing/>
        <w:jc w:val="both"/>
        <w:rPr>
          <w:rFonts w:ascii="Calibri" w:eastAsia="Calibri" w:hAnsi="Calibri" w:cs="Calibri"/>
          <w:color w:val="000000" w:themeColor="text1"/>
          <w:lang w:val="ro-RO"/>
        </w:rPr>
      </w:pPr>
    </w:p>
    <w:tbl>
      <w:tblPr>
        <w:tblW w:w="0" w:type="auto"/>
        <w:tblInd w:w="108" w:type="dxa"/>
        <w:tblBorders>
          <w:top w:val="single" w:sz="12" w:space="0" w:color="333399"/>
          <w:bottom w:val="single" w:sz="12" w:space="0" w:color="333399"/>
          <w:insideH w:val="single" w:sz="4" w:space="0" w:color="5B9BD5"/>
          <w:insideV w:val="single" w:sz="4" w:space="0" w:color="5B9BD5"/>
        </w:tblBorders>
        <w:tblLook w:val="04A0" w:firstRow="1" w:lastRow="0" w:firstColumn="1" w:lastColumn="0" w:noHBand="0" w:noVBand="1"/>
      </w:tblPr>
      <w:tblGrid>
        <w:gridCol w:w="5846"/>
        <w:gridCol w:w="1701"/>
        <w:gridCol w:w="1705"/>
      </w:tblGrid>
      <w:tr w:rsidR="00AE664D" w:rsidRPr="00AF3608" w:rsidTr="00126508">
        <w:trPr>
          <w:trHeight w:val="445"/>
        </w:trPr>
        <w:tc>
          <w:tcPr>
            <w:tcW w:w="5846" w:type="dxa"/>
            <w:tcBorders>
              <w:top w:val="single" w:sz="12" w:space="0" w:color="333399"/>
              <w:bottom w:val="single" w:sz="4" w:space="0" w:color="auto"/>
            </w:tcBorders>
            <w:shd w:val="clear" w:color="auto" w:fill="BDD6EE" w:themeFill="accent1" w:themeFillTint="66"/>
          </w:tcPr>
          <w:p w:rsidR="00AE664D" w:rsidRPr="00AF3608" w:rsidRDefault="00AE664D" w:rsidP="00126508">
            <w:pPr>
              <w:widowControl w:val="0"/>
              <w:suppressAutoHyphens/>
              <w:autoSpaceDN w:val="0"/>
              <w:jc w:val="both"/>
              <w:rPr>
                <w:rFonts w:ascii="Calibri" w:hAnsi="Calibri" w:cs="Calibri"/>
                <w:b/>
                <w:lang w:val="ro-RO"/>
              </w:rPr>
            </w:pPr>
            <w:r w:rsidRPr="00AF3608">
              <w:rPr>
                <w:rFonts w:ascii="Calibri" w:hAnsi="Calibri" w:cs="Calibri"/>
                <w:b/>
                <w:lang w:val="ro-RO"/>
              </w:rPr>
              <w:t>Măsuri de combatere a pandemiei COVID-19</w:t>
            </w:r>
          </w:p>
        </w:tc>
        <w:tc>
          <w:tcPr>
            <w:tcW w:w="1701" w:type="dxa"/>
            <w:tcBorders>
              <w:top w:val="single" w:sz="12" w:space="0" w:color="333399"/>
              <w:bottom w:val="single" w:sz="4" w:space="0" w:color="auto"/>
            </w:tcBorders>
            <w:shd w:val="clear" w:color="auto" w:fill="BDD6EE" w:themeFill="accent1" w:themeFillTint="66"/>
          </w:tcPr>
          <w:p w:rsidR="00AE664D" w:rsidRPr="00AF3608" w:rsidRDefault="00AE664D" w:rsidP="00126508">
            <w:pPr>
              <w:widowControl w:val="0"/>
              <w:suppressAutoHyphens/>
              <w:autoSpaceDN w:val="0"/>
              <w:jc w:val="both"/>
              <w:rPr>
                <w:rFonts w:ascii="Calibri" w:hAnsi="Calibri" w:cs="Calibri"/>
                <w:b/>
                <w:lang w:val="ro-RO"/>
              </w:rPr>
            </w:pPr>
            <w:r w:rsidRPr="00AF3608">
              <w:rPr>
                <w:rFonts w:ascii="Calibri" w:hAnsi="Calibri" w:cs="Calibri"/>
                <w:b/>
                <w:lang w:val="ro-RO"/>
              </w:rPr>
              <w:t>Impact 2020</w:t>
            </w:r>
          </w:p>
        </w:tc>
        <w:tc>
          <w:tcPr>
            <w:tcW w:w="1705" w:type="dxa"/>
            <w:tcBorders>
              <w:top w:val="single" w:sz="12" w:space="0" w:color="333399"/>
              <w:bottom w:val="single" w:sz="4" w:space="0" w:color="auto"/>
            </w:tcBorders>
            <w:shd w:val="clear" w:color="auto" w:fill="BDD6EE" w:themeFill="accent1" w:themeFillTint="66"/>
          </w:tcPr>
          <w:p w:rsidR="00AE664D" w:rsidRPr="00AF3608" w:rsidRDefault="00AE664D" w:rsidP="00126508">
            <w:pPr>
              <w:widowControl w:val="0"/>
              <w:suppressAutoHyphens/>
              <w:autoSpaceDN w:val="0"/>
              <w:jc w:val="both"/>
              <w:rPr>
                <w:rFonts w:ascii="Calibri" w:hAnsi="Calibri" w:cs="Calibri"/>
                <w:b/>
                <w:lang w:val="ro-RO"/>
              </w:rPr>
            </w:pPr>
            <w:r w:rsidRPr="00AF3608">
              <w:rPr>
                <w:rFonts w:ascii="Calibri" w:hAnsi="Calibri" w:cs="Calibri"/>
                <w:b/>
                <w:lang w:val="ro-RO"/>
              </w:rPr>
              <w:t>Impact 2021</w:t>
            </w:r>
          </w:p>
        </w:tc>
      </w:tr>
      <w:tr w:rsidR="00AE664D" w:rsidRPr="00AF3608" w:rsidTr="00126508">
        <w:trPr>
          <w:trHeight w:val="445"/>
        </w:trPr>
        <w:tc>
          <w:tcPr>
            <w:tcW w:w="5846" w:type="dxa"/>
            <w:tcBorders>
              <w:top w:val="single" w:sz="4" w:space="0" w:color="auto"/>
            </w:tcBorders>
            <w:shd w:val="clear" w:color="auto" w:fill="BDD6EE" w:themeFill="accent1" w:themeFillTint="66"/>
          </w:tcPr>
          <w:p w:rsidR="00AE664D" w:rsidRPr="00AF3608" w:rsidRDefault="00AE664D" w:rsidP="00126508">
            <w:pPr>
              <w:widowControl w:val="0"/>
              <w:suppressAutoHyphens/>
              <w:autoSpaceDN w:val="0"/>
              <w:jc w:val="both"/>
              <w:rPr>
                <w:rFonts w:ascii="Calibri" w:hAnsi="Calibri" w:cs="Calibri"/>
                <w:b/>
                <w:lang w:val="ro-RO"/>
              </w:rPr>
            </w:pPr>
            <w:r w:rsidRPr="00AF3608">
              <w:rPr>
                <w:rFonts w:ascii="Calibri" w:hAnsi="Calibri" w:cs="Calibri"/>
                <w:b/>
                <w:lang w:val="ro-RO"/>
              </w:rPr>
              <w:t>Masuri cu impact pe veniturile bugetului general consolidat</w:t>
            </w:r>
          </w:p>
        </w:tc>
        <w:tc>
          <w:tcPr>
            <w:tcW w:w="1701" w:type="dxa"/>
            <w:tcBorders>
              <w:top w:val="single" w:sz="4" w:space="0" w:color="auto"/>
            </w:tcBorders>
            <w:shd w:val="clear" w:color="auto" w:fill="BDD6EE" w:themeFill="accent1" w:themeFillTint="66"/>
          </w:tcPr>
          <w:p w:rsidR="00AE664D" w:rsidRPr="00AF3608" w:rsidRDefault="00AE664D" w:rsidP="00126508">
            <w:pPr>
              <w:widowControl w:val="0"/>
              <w:suppressAutoHyphens/>
              <w:autoSpaceDN w:val="0"/>
              <w:jc w:val="both"/>
              <w:rPr>
                <w:rFonts w:ascii="Calibri" w:hAnsi="Calibri" w:cs="Calibri"/>
                <w:b/>
                <w:lang w:val="ro-RO"/>
              </w:rPr>
            </w:pPr>
            <w:r w:rsidRPr="00AF3608">
              <w:rPr>
                <w:rFonts w:ascii="Calibri" w:hAnsi="Calibri" w:cs="Calibri"/>
                <w:b/>
                <w:lang w:val="ro-RO"/>
              </w:rPr>
              <w:t>21,91 mld lei</w:t>
            </w:r>
          </w:p>
        </w:tc>
        <w:tc>
          <w:tcPr>
            <w:tcW w:w="1705" w:type="dxa"/>
            <w:tcBorders>
              <w:top w:val="single" w:sz="4" w:space="0" w:color="auto"/>
            </w:tcBorders>
            <w:shd w:val="clear" w:color="auto" w:fill="BDD6EE" w:themeFill="accent1" w:themeFillTint="66"/>
          </w:tcPr>
          <w:p w:rsidR="00AE664D" w:rsidRPr="00AF3608" w:rsidRDefault="00AE664D" w:rsidP="00126508">
            <w:pPr>
              <w:widowControl w:val="0"/>
              <w:suppressAutoHyphens/>
              <w:autoSpaceDN w:val="0"/>
              <w:jc w:val="both"/>
              <w:rPr>
                <w:rFonts w:ascii="Calibri" w:hAnsi="Calibri" w:cs="Calibri"/>
                <w:b/>
                <w:lang w:val="ro-RO"/>
              </w:rPr>
            </w:pPr>
          </w:p>
        </w:tc>
      </w:tr>
      <w:tr w:rsidR="00AE664D" w:rsidRPr="00AF3608" w:rsidTr="00126508">
        <w:trPr>
          <w:trHeight w:val="445"/>
        </w:trPr>
        <w:tc>
          <w:tcPr>
            <w:tcW w:w="5846" w:type="dxa"/>
            <w:shd w:val="clear" w:color="auto" w:fill="auto"/>
          </w:tcPr>
          <w:p w:rsidR="00AE664D" w:rsidRPr="00AF3608" w:rsidRDefault="00AE664D" w:rsidP="00126508">
            <w:pPr>
              <w:widowControl w:val="0"/>
              <w:suppressAutoHyphens/>
              <w:autoSpaceDN w:val="0"/>
              <w:jc w:val="both"/>
              <w:rPr>
                <w:rFonts w:ascii="Calibri" w:hAnsi="Calibri" w:cs="Calibri"/>
                <w:lang w:val="ro-RO"/>
              </w:rPr>
            </w:pPr>
            <w:r w:rsidRPr="00AF3608">
              <w:rPr>
                <w:rFonts w:ascii="Calibri" w:hAnsi="Calibri" w:cs="Calibri"/>
                <w:lang w:val="ro-RO"/>
              </w:rPr>
              <w:t>Amânării plății unor obligații fiscale de către agenții economici pe perioada crizei</w:t>
            </w:r>
          </w:p>
        </w:tc>
        <w:tc>
          <w:tcPr>
            <w:tcW w:w="1701" w:type="dxa"/>
            <w:shd w:val="clear" w:color="auto" w:fill="auto"/>
          </w:tcPr>
          <w:p w:rsidR="00AE664D" w:rsidRPr="00AF3608" w:rsidRDefault="00AE664D" w:rsidP="00126508">
            <w:pPr>
              <w:widowControl w:val="0"/>
              <w:suppressAutoHyphens/>
              <w:autoSpaceDN w:val="0"/>
              <w:jc w:val="right"/>
              <w:rPr>
                <w:rFonts w:ascii="Calibri" w:hAnsi="Calibri" w:cs="Calibri"/>
                <w:lang w:val="ro-RO"/>
              </w:rPr>
            </w:pPr>
            <w:r w:rsidRPr="00AF3608">
              <w:rPr>
                <w:rFonts w:ascii="Calibri" w:hAnsi="Calibri" w:cs="Calibri"/>
                <w:lang w:val="ro-RO"/>
              </w:rPr>
              <w:t>18,12 mld lei</w:t>
            </w:r>
          </w:p>
        </w:tc>
        <w:tc>
          <w:tcPr>
            <w:tcW w:w="1705" w:type="dxa"/>
            <w:shd w:val="clear" w:color="auto" w:fill="auto"/>
          </w:tcPr>
          <w:p w:rsidR="00AE664D" w:rsidRPr="00AF3608" w:rsidRDefault="00AE664D" w:rsidP="00126508">
            <w:pPr>
              <w:widowControl w:val="0"/>
              <w:suppressAutoHyphens/>
              <w:autoSpaceDN w:val="0"/>
              <w:jc w:val="both"/>
              <w:rPr>
                <w:rFonts w:ascii="Calibri" w:hAnsi="Calibri" w:cs="Calibri"/>
                <w:b/>
                <w:lang w:val="ro-RO"/>
              </w:rPr>
            </w:pPr>
          </w:p>
        </w:tc>
      </w:tr>
      <w:tr w:rsidR="00AE664D" w:rsidRPr="00AF3608" w:rsidTr="00126508">
        <w:trPr>
          <w:trHeight w:val="445"/>
        </w:trPr>
        <w:tc>
          <w:tcPr>
            <w:tcW w:w="5846" w:type="dxa"/>
            <w:shd w:val="clear" w:color="auto" w:fill="auto"/>
          </w:tcPr>
          <w:p w:rsidR="00AE664D" w:rsidRPr="00AF3608" w:rsidRDefault="00AE664D" w:rsidP="00126508">
            <w:pPr>
              <w:widowControl w:val="0"/>
              <w:suppressAutoHyphens/>
              <w:autoSpaceDN w:val="0"/>
              <w:jc w:val="both"/>
              <w:rPr>
                <w:rFonts w:ascii="Calibri" w:hAnsi="Calibri" w:cs="Calibri"/>
                <w:lang w:val="ro-RO"/>
              </w:rPr>
            </w:pPr>
            <w:r w:rsidRPr="00AF3608">
              <w:rPr>
                <w:rFonts w:ascii="Calibri" w:hAnsi="Calibri" w:cs="Calibri"/>
                <w:lang w:val="ro-RO"/>
              </w:rPr>
              <w:t>Bonificațiile acordate pentru plata la scadență a impozitului pe profit și a celui pe veniturile microîntreprinderilor, amânarea la plată a impozitului specific</w:t>
            </w:r>
          </w:p>
        </w:tc>
        <w:tc>
          <w:tcPr>
            <w:tcW w:w="1701" w:type="dxa"/>
            <w:shd w:val="clear" w:color="auto" w:fill="auto"/>
          </w:tcPr>
          <w:p w:rsidR="00AE664D" w:rsidRPr="00AF3608" w:rsidRDefault="00AE664D" w:rsidP="00126508">
            <w:pPr>
              <w:widowControl w:val="0"/>
              <w:suppressAutoHyphens/>
              <w:autoSpaceDN w:val="0"/>
              <w:jc w:val="right"/>
              <w:rPr>
                <w:rFonts w:ascii="Calibri" w:hAnsi="Calibri" w:cs="Calibri"/>
                <w:lang w:val="ro-RO"/>
              </w:rPr>
            </w:pPr>
            <w:r w:rsidRPr="00AF3608">
              <w:rPr>
                <w:rFonts w:ascii="Calibri" w:hAnsi="Calibri" w:cs="Calibri"/>
                <w:lang w:val="ro-RO"/>
              </w:rPr>
              <w:t>1,07 mld lei</w:t>
            </w:r>
          </w:p>
        </w:tc>
        <w:tc>
          <w:tcPr>
            <w:tcW w:w="1705" w:type="dxa"/>
            <w:shd w:val="clear" w:color="auto" w:fill="auto"/>
          </w:tcPr>
          <w:p w:rsidR="00AE664D" w:rsidRPr="00AF3608" w:rsidRDefault="00AE664D" w:rsidP="00126508">
            <w:pPr>
              <w:widowControl w:val="0"/>
              <w:suppressAutoHyphens/>
              <w:autoSpaceDN w:val="0"/>
              <w:jc w:val="both"/>
              <w:rPr>
                <w:rFonts w:ascii="Calibri" w:hAnsi="Calibri" w:cs="Calibri"/>
                <w:b/>
                <w:lang w:val="ro-RO"/>
              </w:rPr>
            </w:pPr>
          </w:p>
        </w:tc>
      </w:tr>
      <w:tr w:rsidR="00AE664D" w:rsidRPr="00AF3608" w:rsidTr="00126508">
        <w:trPr>
          <w:trHeight w:val="445"/>
        </w:trPr>
        <w:tc>
          <w:tcPr>
            <w:tcW w:w="5846" w:type="dxa"/>
            <w:shd w:val="clear" w:color="auto" w:fill="auto"/>
          </w:tcPr>
          <w:p w:rsidR="00AE664D" w:rsidRPr="00AF3608" w:rsidRDefault="00AE664D" w:rsidP="00126508">
            <w:pPr>
              <w:widowControl w:val="0"/>
              <w:suppressAutoHyphens/>
              <w:autoSpaceDN w:val="0"/>
              <w:jc w:val="both"/>
              <w:rPr>
                <w:rFonts w:ascii="Calibri" w:hAnsi="Calibri" w:cs="Calibri"/>
                <w:b/>
                <w:lang w:val="ro-RO"/>
              </w:rPr>
            </w:pPr>
            <w:r w:rsidRPr="00AF3608">
              <w:rPr>
                <w:rFonts w:ascii="Calibri" w:hAnsi="Calibri" w:cs="Calibri"/>
                <w:lang w:val="ro-RO"/>
              </w:rPr>
              <w:t>Accelerare rambursării TVA</w:t>
            </w:r>
          </w:p>
        </w:tc>
        <w:tc>
          <w:tcPr>
            <w:tcW w:w="1701" w:type="dxa"/>
            <w:shd w:val="clear" w:color="auto" w:fill="auto"/>
          </w:tcPr>
          <w:p w:rsidR="00AE664D" w:rsidRPr="00AF3608" w:rsidRDefault="00AE664D" w:rsidP="00126508">
            <w:pPr>
              <w:widowControl w:val="0"/>
              <w:suppressAutoHyphens/>
              <w:autoSpaceDN w:val="0"/>
              <w:jc w:val="right"/>
              <w:rPr>
                <w:rFonts w:ascii="Calibri" w:hAnsi="Calibri" w:cs="Calibri"/>
                <w:lang w:val="ro-RO"/>
              </w:rPr>
            </w:pPr>
            <w:r w:rsidRPr="00AF3608">
              <w:rPr>
                <w:rFonts w:ascii="Calibri" w:hAnsi="Calibri" w:cs="Calibri"/>
                <w:lang w:val="ro-RO"/>
              </w:rPr>
              <w:t>2,72 mld lei</w:t>
            </w:r>
          </w:p>
        </w:tc>
        <w:tc>
          <w:tcPr>
            <w:tcW w:w="1705" w:type="dxa"/>
            <w:shd w:val="clear" w:color="auto" w:fill="auto"/>
          </w:tcPr>
          <w:p w:rsidR="00AE664D" w:rsidRPr="00AF3608" w:rsidRDefault="00AE664D" w:rsidP="00126508">
            <w:pPr>
              <w:widowControl w:val="0"/>
              <w:suppressAutoHyphens/>
              <w:autoSpaceDN w:val="0"/>
              <w:jc w:val="both"/>
              <w:rPr>
                <w:rFonts w:ascii="Calibri" w:hAnsi="Calibri" w:cs="Calibri"/>
                <w:b/>
                <w:lang w:val="ro-RO"/>
              </w:rPr>
            </w:pPr>
          </w:p>
        </w:tc>
      </w:tr>
      <w:tr w:rsidR="00AE664D" w:rsidRPr="00AF3608" w:rsidTr="00126508">
        <w:trPr>
          <w:trHeight w:val="445"/>
        </w:trPr>
        <w:tc>
          <w:tcPr>
            <w:tcW w:w="5846" w:type="dxa"/>
            <w:shd w:val="clear" w:color="auto" w:fill="BDD6EE" w:themeFill="accent1" w:themeFillTint="66"/>
          </w:tcPr>
          <w:p w:rsidR="00AE664D" w:rsidRPr="00AF3608" w:rsidRDefault="00AE664D" w:rsidP="00126508">
            <w:pPr>
              <w:widowControl w:val="0"/>
              <w:suppressAutoHyphens/>
              <w:autoSpaceDN w:val="0"/>
              <w:jc w:val="both"/>
              <w:rPr>
                <w:rFonts w:ascii="Calibri" w:hAnsi="Calibri" w:cs="Calibri"/>
                <w:b/>
                <w:lang w:val="ro-RO"/>
              </w:rPr>
            </w:pPr>
            <w:r w:rsidRPr="00AF3608">
              <w:rPr>
                <w:rFonts w:ascii="Calibri" w:hAnsi="Calibri" w:cs="Calibri"/>
                <w:b/>
                <w:lang w:val="ro-RO"/>
              </w:rPr>
              <w:t>Măsuri cu impact pe cheltuielile bugetului general consolidat</w:t>
            </w:r>
          </w:p>
        </w:tc>
        <w:tc>
          <w:tcPr>
            <w:tcW w:w="1701" w:type="dxa"/>
            <w:shd w:val="clear" w:color="auto" w:fill="BDD6EE" w:themeFill="accent1" w:themeFillTint="66"/>
          </w:tcPr>
          <w:p w:rsidR="00AE664D" w:rsidRPr="00AF3608" w:rsidRDefault="00AE664D" w:rsidP="00126508">
            <w:pPr>
              <w:widowControl w:val="0"/>
              <w:suppressAutoHyphens/>
              <w:autoSpaceDN w:val="0"/>
              <w:jc w:val="both"/>
              <w:rPr>
                <w:rFonts w:ascii="Calibri" w:hAnsi="Calibri" w:cs="Calibri"/>
                <w:b/>
                <w:lang w:val="ro-RO"/>
              </w:rPr>
            </w:pPr>
            <w:r w:rsidRPr="00AF3608">
              <w:rPr>
                <w:rFonts w:ascii="Calibri" w:hAnsi="Calibri" w:cs="Calibri"/>
                <w:b/>
                <w:lang w:val="ro-RO"/>
              </w:rPr>
              <w:t>16,13 mld lei</w:t>
            </w:r>
          </w:p>
        </w:tc>
        <w:tc>
          <w:tcPr>
            <w:tcW w:w="1705" w:type="dxa"/>
            <w:shd w:val="clear" w:color="auto" w:fill="BDD6EE" w:themeFill="accent1" w:themeFillTint="66"/>
          </w:tcPr>
          <w:p w:rsidR="00AE664D" w:rsidRPr="00AF3608" w:rsidRDefault="00AE664D" w:rsidP="00126508">
            <w:pPr>
              <w:widowControl w:val="0"/>
              <w:suppressAutoHyphens/>
              <w:autoSpaceDN w:val="0"/>
              <w:jc w:val="right"/>
              <w:rPr>
                <w:rFonts w:ascii="Calibri" w:hAnsi="Calibri" w:cs="Calibri"/>
                <w:b/>
                <w:lang w:val="ro-RO"/>
              </w:rPr>
            </w:pPr>
            <w:r w:rsidRPr="00AF3608">
              <w:rPr>
                <w:rFonts w:ascii="Calibri" w:hAnsi="Calibri" w:cs="Calibri"/>
                <w:b/>
                <w:lang w:val="ro-RO"/>
              </w:rPr>
              <w:t>14,38 mld lei</w:t>
            </w:r>
          </w:p>
        </w:tc>
      </w:tr>
      <w:tr w:rsidR="00AE664D" w:rsidRPr="00AF3608" w:rsidTr="00126508">
        <w:tc>
          <w:tcPr>
            <w:tcW w:w="5846" w:type="dxa"/>
            <w:shd w:val="clear" w:color="auto" w:fill="FBFBFF"/>
          </w:tcPr>
          <w:p w:rsidR="00AE664D" w:rsidRPr="00AF3608" w:rsidRDefault="00AE664D" w:rsidP="00126508">
            <w:pPr>
              <w:widowControl w:val="0"/>
              <w:suppressAutoHyphens/>
              <w:autoSpaceDN w:val="0"/>
              <w:jc w:val="both"/>
              <w:rPr>
                <w:rFonts w:ascii="Calibri" w:hAnsi="Calibri" w:cs="Calibri"/>
                <w:lang w:val="ro-RO"/>
              </w:rPr>
            </w:pPr>
            <w:r w:rsidRPr="00AF3608">
              <w:rPr>
                <w:rFonts w:ascii="Calibri" w:hAnsi="Calibri" w:cs="Calibri"/>
                <w:lang w:val="ro-RO"/>
              </w:rPr>
              <w:t>Măsurile active: îndemnizații acordate pe perioada suspendării temporare a contractului individual de muncă din inițiativa angajatorului, îndemnizații acordate pentru alți profesioniștii, precum și pentru persoanele care au încheiate convenții individuale de muncă care întrerup activitatea ca urmare a efectelor SARS-CoV-2, acordarea angajatorilor pentru decontarea unei părți a salariului brut al angajaților menținuți în muncă (41,5%), îndemnizații acordate părinților pentru supravegherea copiilor pe perioada închiderii temporare a unităților de învățământ, indemnizații acordate pe perioada reducerii temporare a activității pentru profesioniști, precum și pentru persoanele care au încheiate convenții individuale de muncă în baza Legii nr.1/2005.</w:t>
            </w:r>
          </w:p>
        </w:tc>
        <w:tc>
          <w:tcPr>
            <w:tcW w:w="1701" w:type="dxa"/>
            <w:shd w:val="clear" w:color="auto" w:fill="FBFBFF"/>
          </w:tcPr>
          <w:p w:rsidR="00AE664D" w:rsidRPr="00AF3608" w:rsidRDefault="00AE664D" w:rsidP="00126508">
            <w:pPr>
              <w:widowControl w:val="0"/>
              <w:suppressAutoHyphens/>
              <w:autoSpaceDN w:val="0"/>
              <w:jc w:val="right"/>
              <w:rPr>
                <w:rFonts w:ascii="Calibri" w:hAnsi="Calibri" w:cs="Calibri"/>
                <w:lang w:val="ro-RO"/>
              </w:rPr>
            </w:pPr>
            <w:r w:rsidRPr="00AF3608">
              <w:rPr>
                <w:rFonts w:ascii="Calibri" w:hAnsi="Calibri" w:cs="Calibri"/>
                <w:lang w:val="ro-RO"/>
              </w:rPr>
              <w:t>8,01 mld lei</w:t>
            </w:r>
          </w:p>
        </w:tc>
        <w:tc>
          <w:tcPr>
            <w:tcW w:w="1705" w:type="dxa"/>
            <w:shd w:val="clear" w:color="auto" w:fill="FBFBFF"/>
          </w:tcPr>
          <w:p w:rsidR="00AE664D" w:rsidRPr="00AF3608" w:rsidRDefault="00AE664D" w:rsidP="00126508">
            <w:pPr>
              <w:widowControl w:val="0"/>
              <w:suppressAutoHyphens/>
              <w:autoSpaceDN w:val="0"/>
              <w:jc w:val="right"/>
              <w:rPr>
                <w:rFonts w:ascii="Calibri" w:hAnsi="Calibri" w:cs="Calibri"/>
                <w:lang w:val="ro-RO"/>
              </w:rPr>
            </w:pPr>
            <w:r w:rsidRPr="00AF3608">
              <w:rPr>
                <w:rFonts w:ascii="Calibri" w:hAnsi="Calibri" w:cs="Calibri"/>
                <w:lang w:val="ro-RO"/>
              </w:rPr>
              <w:t>1,90 mld lei</w:t>
            </w:r>
          </w:p>
        </w:tc>
      </w:tr>
      <w:tr w:rsidR="00AE664D" w:rsidRPr="00AF3608" w:rsidTr="00126508">
        <w:tc>
          <w:tcPr>
            <w:tcW w:w="5846" w:type="dxa"/>
            <w:shd w:val="clear" w:color="auto" w:fill="FBFBFF"/>
          </w:tcPr>
          <w:p w:rsidR="00AE664D" w:rsidRPr="00AF3608" w:rsidRDefault="00AE664D" w:rsidP="00126508">
            <w:pPr>
              <w:widowControl w:val="0"/>
              <w:suppressAutoHyphens/>
              <w:autoSpaceDN w:val="0"/>
              <w:jc w:val="both"/>
              <w:rPr>
                <w:rFonts w:ascii="Calibri" w:hAnsi="Calibri" w:cs="Calibri"/>
                <w:lang w:val="ro-RO"/>
              </w:rPr>
            </w:pPr>
            <w:r w:rsidRPr="00AF3608">
              <w:rPr>
                <w:rFonts w:ascii="Calibri" w:eastAsia="SimSun" w:hAnsi="Calibri" w:cs="Calibri"/>
                <w:kern w:val="3"/>
                <w:lang w:val="ro-RO" w:eastAsia="zh-CN" w:bidi="hi-IN"/>
              </w:rPr>
              <w:t>Stimulentul de risc</w:t>
            </w:r>
          </w:p>
        </w:tc>
        <w:tc>
          <w:tcPr>
            <w:tcW w:w="1701" w:type="dxa"/>
            <w:shd w:val="clear" w:color="auto" w:fill="FBFBFF"/>
          </w:tcPr>
          <w:p w:rsidR="00AE664D" w:rsidRPr="00AF3608" w:rsidRDefault="00AE664D" w:rsidP="00126508">
            <w:pPr>
              <w:widowControl w:val="0"/>
              <w:suppressAutoHyphens/>
              <w:autoSpaceDN w:val="0"/>
              <w:jc w:val="right"/>
              <w:rPr>
                <w:rFonts w:ascii="Calibri" w:hAnsi="Calibri" w:cs="Calibri"/>
                <w:lang w:val="ro-RO"/>
              </w:rPr>
            </w:pPr>
            <w:r w:rsidRPr="00AF3608">
              <w:rPr>
                <w:rFonts w:ascii="Calibri" w:hAnsi="Calibri" w:cs="Calibri"/>
                <w:lang w:val="ro-RO"/>
              </w:rPr>
              <w:t>0,33 mld lei</w:t>
            </w:r>
          </w:p>
        </w:tc>
        <w:tc>
          <w:tcPr>
            <w:tcW w:w="1705" w:type="dxa"/>
            <w:shd w:val="clear" w:color="auto" w:fill="FBFBFF"/>
          </w:tcPr>
          <w:p w:rsidR="00AE664D" w:rsidRPr="00AF3608" w:rsidRDefault="00AE664D" w:rsidP="00126508">
            <w:pPr>
              <w:widowControl w:val="0"/>
              <w:suppressAutoHyphens/>
              <w:autoSpaceDN w:val="0"/>
              <w:jc w:val="right"/>
              <w:rPr>
                <w:rFonts w:ascii="Calibri" w:hAnsi="Calibri" w:cs="Calibri"/>
                <w:lang w:val="ro-RO"/>
              </w:rPr>
            </w:pPr>
            <w:r w:rsidRPr="00AF3608">
              <w:rPr>
                <w:rFonts w:ascii="Calibri" w:hAnsi="Calibri" w:cs="Calibri"/>
                <w:lang w:val="ro-RO"/>
              </w:rPr>
              <w:t>0,10 mld lei</w:t>
            </w:r>
          </w:p>
        </w:tc>
      </w:tr>
      <w:tr w:rsidR="00AE664D" w:rsidRPr="00AF3608" w:rsidTr="00126508">
        <w:tc>
          <w:tcPr>
            <w:tcW w:w="5846" w:type="dxa"/>
            <w:shd w:val="clear" w:color="auto" w:fill="FBFBFF"/>
          </w:tcPr>
          <w:p w:rsidR="00AE664D" w:rsidRPr="00AF3608" w:rsidRDefault="00AE664D" w:rsidP="00126508">
            <w:pPr>
              <w:widowControl w:val="0"/>
              <w:suppressAutoHyphens/>
              <w:autoSpaceDN w:val="0"/>
              <w:jc w:val="both"/>
              <w:rPr>
                <w:rFonts w:ascii="Calibri" w:hAnsi="Calibri" w:cs="Calibri"/>
                <w:lang w:val="ro-RO"/>
              </w:rPr>
            </w:pPr>
            <w:r w:rsidRPr="00AF3608">
              <w:rPr>
                <w:rFonts w:ascii="Calibri" w:eastAsia="SimSun" w:hAnsi="Calibri" w:cs="Calibri"/>
                <w:kern w:val="3"/>
                <w:lang w:val="ro-RO" w:eastAsia="zh-CN" w:bidi="hi-IN"/>
              </w:rPr>
              <w:t>Sporuri salariale acordate în a administrația publică pe perioada pandemiei</w:t>
            </w:r>
          </w:p>
        </w:tc>
        <w:tc>
          <w:tcPr>
            <w:tcW w:w="1701" w:type="dxa"/>
            <w:shd w:val="clear" w:color="auto" w:fill="FBFBFF"/>
          </w:tcPr>
          <w:p w:rsidR="00AE664D" w:rsidRPr="00AF3608" w:rsidRDefault="00AE664D" w:rsidP="00126508">
            <w:pPr>
              <w:widowControl w:val="0"/>
              <w:suppressAutoHyphens/>
              <w:autoSpaceDN w:val="0"/>
              <w:jc w:val="right"/>
              <w:rPr>
                <w:rFonts w:ascii="Calibri" w:hAnsi="Calibri" w:cs="Calibri"/>
                <w:lang w:val="ro-RO"/>
              </w:rPr>
            </w:pPr>
            <w:r w:rsidRPr="00AF3608">
              <w:rPr>
                <w:rFonts w:ascii="Calibri" w:hAnsi="Calibri" w:cs="Calibri"/>
                <w:lang w:val="ro-RO"/>
              </w:rPr>
              <w:t>1,45 mld lei</w:t>
            </w:r>
          </w:p>
        </w:tc>
        <w:tc>
          <w:tcPr>
            <w:tcW w:w="1705" w:type="dxa"/>
            <w:shd w:val="clear" w:color="auto" w:fill="FBFBFF"/>
          </w:tcPr>
          <w:p w:rsidR="00AE664D" w:rsidRPr="00AF3608" w:rsidRDefault="00AE664D" w:rsidP="00126508">
            <w:pPr>
              <w:widowControl w:val="0"/>
              <w:suppressAutoHyphens/>
              <w:autoSpaceDN w:val="0"/>
              <w:jc w:val="right"/>
              <w:rPr>
                <w:rFonts w:ascii="Calibri" w:hAnsi="Calibri" w:cs="Calibri"/>
                <w:lang w:val="ro-RO"/>
              </w:rPr>
            </w:pPr>
            <w:r w:rsidRPr="00AF3608">
              <w:rPr>
                <w:rFonts w:ascii="Calibri" w:hAnsi="Calibri" w:cs="Calibri"/>
                <w:lang w:val="ro-RO"/>
              </w:rPr>
              <w:t>1,05 mld lei</w:t>
            </w:r>
          </w:p>
        </w:tc>
      </w:tr>
      <w:tr w:rsidR="00AE664D" w:rsidRPr="00AF3608" w:rsidTr="00126508">
        <w:trPr>
          <w:trHeight w:val="623"/>
        </w:trPr>
        <w:tc>
          <w:tcPr>
            <w:tcW w:w="5846" w:type="dxa"/>
            <w:shd w:val="clear" w:color="auto" w:fill="FBFBFF"/>
          </w:tcPr>
          <w:p w:rsidR="00AE664D" w:rsidRPr="00AF3608" w:rsidRDefault="00AE664D" w:rsidP="00126508">
            <w:pPr>
              <w:widowControl w:val="0"/>
              <w:suppressAutoHyphens/>
              <w:autoSpaceDN w:val="0"/>
              <w:jc w:val="both"/>
              <w:rPr>
                <w:rFonts w:ascii="Calibri" w:eastAsia="SimSun" w:hAnsi="Calibri" w:cs="Calibri"/>
                <w:kern w:val="3"/>
                <w:lang w:val="ro-RO" w:eastAsia="zh-CN" w:bidi="hi-IN"/>
              </w:rPr>
            </w:pPr>
            <w:r w:rsidRPr="00AF3608">
              <w:rPr>
                <w:rFonts w:ascii="Calibri" w:eastAsia="SimSun" w:hAnsi="Calibri" w:cs="Calibri"/>
                <w:kern w:val="3"/>
                <w:lang w:val="ro-RO" w:eastAsia="zh-CN" w:bidi="hi-IN"/>
              </w:rPr>
              <w:t xml:space="preserve">Cheltuieli pentru medicamente, materiale sanitare, reactivi și alte produse necesare diagnosticării și tratării </w:t>
            </w:r>
            <w:r w:rsidRPr="00AF3608">
              <w:rPr>
                <w:rFonts w:ascii="Calibri" w:eastAsia="SimSun" w:hAnsi="Calibri" w:cs="Calibri"/>
                <w:kern w:val="3"/>
                <w:lang w:val="ro-RO" w:eastAsia="zh-CN" w:bidi="hi-IN"/>
              </w:rPr>
              <w:lastRenderedPageBreak/>
              <w:t>pacienților infectați cu coronavirusul SARS-CoV-2</w:t>
            </w:r>
          </w:p>
        </w:tc>
        <w:tc>
          <w:tcPr>
            <w:tcW w:w="1701" w:type="dxa"/>
            <w:shd w:val="clear" w:color="auto" w:fill="FBFBFF"/>
          </w:tcPr>
          <w:p w:rsidR="00AE664D" w:rsidRPr="00AF3608" w:rsidRDefault="00AE664D" w:rsidP="00126508">
            <w:pPr>
              <w:widowControl w:val="0"/>
              <w:suppressAutoHyphens/>
              <w:autoSpaceDN w:val="0"/>
              <w:jc w:val="right"/>
              <w:rPr>
                <w:rFonts w:ascii="Calibri" w:eastAsia="SimSun" w:hAnsi="Calibri" w:cs="Calibri"/>
                <w:kern w:val="3"/>
                <w:lang w:val="ro-RO" w:eastAsia="zh-CN" w:bidi="hi-IN"/>
              </w:rPr>
            </w:pPr>
            <w:r w:rsidRPr="00AF3608">
              <w:rPr>
                <w:rFonts w:ascii="Calibri" w:eastAsia="SimSun" w:hAnsi="Calibri" w:cs="Calibri"/>
                <w:kern w:val="3"/>
                <w:lang w:val="ro-RO" w:eastAsia="zh-CN" w:bidi="hi-IN"/>
              </w:rPr>
              <w:lastRenderedPageBreak/>
              <w:t>3,73 mld lei</w:t>
            </w:r>
          </w:p>
        </w:tc>
        <w:tc>
          <w:tcPr>
            <w:tcW w:w="1705" w:type="dxa"/>
            <w:shd w:val="clear" w:color="auto" w:fill="FBFBFF"/>
          </w:tcPr>
          <w:p w:rsidR="00AE664D" w:rsidRPr="00AF3608" w:rsidRDefault="00AE664D" w:rsidP="00126508">
            <w:pPr>
              <w:widowControl w:val="0"/>
              <w:suppressAutoHyphens/>
              <w:autoSpaceDN w:val="0"/>
              <w:jc w:val="right"/>
              <w:rPr>
                <w:rFonts w:ascii="Calibri" w:eastAsia="SimSun" w:hAnsi="Calibri" w:cs="Calibri"/>
                <w:kern w:val="3"/>
                <w:lang w:val="ro-RO" w:eastAsia="zh-CN" w:bidi="hi-IN"/>
              </w:rPr>
            </w:pPr>
            <w:r w:rsidRPr="00AF3608">
              <w:rPr>
                <w:rFonts w:ascii="Calibri" w:eastAsia="SimSun" w:hAnsi="Calibri" w:cs="Calibri"/>
                <w:kern w:val="3"/>
                <w:lang w:val="ro-RO" w:eastAsia="zh-CN" w:bidi="hi-IN"/>
              </w:rPr>
              <w:t>1,35 mld lei</w:t>
            </w:r>
          </w:p>
          <w:p w:rsidR="00AE664D" w:rsidRPr="00AF3608" w:rsidRDefault="00AE664D" w:rsidP="00126508">
            <w:pPr>
              <w:widowControl w:val="0"/>
              <w:suppressAutoHyphens/>
              <w:autoSpaceDN w:val="0"/>
              <w:jc w:val="right"/>
              <w:rPr>
                <w:rFonts w:ascii="Calibri" w:eastAsia="SimSun" w:hAnsi="Calibri" w:cs="Calibri"/>
                <w:kern w:val="3"/>
                <w:lang w:val="ro-RO" w:eastAsia="zh-CN" w:bidi="hi-IN"/>
              </w:rPr>
            </w:pPr>
          </w:p>
        </w:tc>
      </w:tr>
      <w:tr w:rsidR="00AE664D" w:rsidRPr="00AF3608" w:rsidTr="00126508">
        <w:trPr>
          <w:trHeight w:val="623"/>
        </w:trPr>
        <w:tc>
          <w:tcPr>
            <w:tcW w:w="5846" w:type="dxa"/>
            <w:shd w:val="clear" w:color="auto" w:fill="FBFBFF"/>
          </w:tcPr>
          <w:p w:rsidR="00AE664D" w:rsidRPr="00AF3608" w:rsidRDefault="00AE664D" w:rsidP="00126508">
            <w:pPr>
              <w:widowControl w:val="0"/>
              <w:suppressAutoHyphens/>
              <w:autoSpaceDN w:val="0"/>
              <w:jc w:val="both"/>
              <w:rPr>
                <w:rFonts w:ascii="Calibri" w:eastAsia="SimSun" w:hAnsi="Calibri" w:cs="Calibri"/>
                <w:kern w:val="3"/>
                <w:lang w:val="ro-RO" w:eastAsia="zh-CN" w:bidi="hi-IN"/>
              </w:rPr>
            </w:pPr>
            <w:r w:rsidRPr="00AF3608">
              <w:rPr>
                <w:rFonts w:ascii="Calibri" w:eastAsia="SimSun" w:hAnsi="Calibri" w:cs="Calibri"/>
                <w:kern w:val="3"/>
                <w:lang w:val="ro-RO" w:eastAsia="zh-CN" w:bidi="hi-IN"/>
              </w:rPr>
              <w:lastRenderedPageBreak/>
              <w:t>Achiziția de stocuri de urgență medicală</w:t>
            </w:r>
          </w:p>
        </w:tc>
        <w:tc>
          <w:tcPr>
            <w:tcW w:w="1701" w:type="dxa"/>
            <w:shd w:val="clear" w:color="auto" w:fill="FBFBFF"/>
          </w:tcPr>
          <w:p w:rsidR="00AE664D" w:rsidRPr="00AF3608" w:rsidRDefault="00AE664D" w:rsidP="00126508">
            <w:pPr>
              <w:widowControl w:val="0"/>
              <w:suppressAutoHyphens/>
              <w:autoSpaceDN w:val="0"/>
              <w:jc w:val="right"/>
              <w:rPr>
                <w:rFonts w:ascii="Calibri" w:eastAsia="SimSun" w:hAnsi="Calibri" w:cs="Calibri"/>
                <w:kern w:val="3"/>
                <w:lang w:val="ro-RO" w:eastAsia="zh-CN" w:bidi="hi-IN"/>
              </w:rPr>
            </w:pPr>
            <w:r w:rsidRPr="00AF3608">
              <w:rPr>
                <w:rFonts w:ascii="Calibri" w:eastAsia="SimSun" w:hAnsi="Calibri" w:cs="Calibri"/>
                <w:kern w:val="3"/>
                <w:lang w:val="ro-RO" w:eastAsia="zh-CN" w:bidi="hi-IN"/>
              </w:rPr>
              <w:t>0,56 mld lei</w:t>
            </w:r>
          </w:p>
        </w:tc>
        <w:tc>
          <w:tcPr>
            <w:tcW w:w="1705" w:type="dxa"/>
            <w:shd w:val="clear" w:color="auto" w:fill="FBFBFF"/>
          </w:tcPr>
          <w:p w:rsidR="00AE664D" w:rsidRPr="00AF3608" w:rsidRDefault="00AE664D" w:rsidP="00126508">
            <w:pPr>
              <w:widowControl w:val="0"/>
              <w:suppressAutoHyphens/>
              <w:autoSpaceDN w:val="0"/>
              <w:jc w:val="right"/>
              <w:rPr>
                <w:rFonts w:ascii="Calibri" w:eastAsia="SimSun" w:hAnsi="Calibri" w:cs="Calibri"/>
                <w:kern w:val="3"/>
                <w:lang w:val="ro-RO" w:eastAsia="zh-CN" w:bidi="hi-IN"/>
              </w:rPr>
            </w:pPr>
            <w:r w:rsidRPr="00AF3608">
              <w:rPr>
                <w:rFonts w:ascii="Calibri" w:eastAsia="SimSun" w:hAnsi="Calibri" w:cs="Calibri"/>
                <w:kern w:val="3"/>
                <w:lang w:val="ro-RO" w:eastAsia="zh-CN" w:bidi="hi-IN"/>
              </w:rPr>
              <w:t>0,35 mld lei</w:t>
            </w:r>
          </w:p>
        </w:tc>
      </w:tr>
      <w:tr w:rsidR="00AE664D" w:rsidRPr="00AF3608" w:rsidTr="00126508">
        <w:tc>
          <w:tcPr>
            <w:tcW w:w="5846" w:type="dxa"/>
            <w:shd w:val="clear" w:color="auto" w:fill="FBFBFF"/>
          </w:tcPr>
          <w:p w:rsidR="00AE664D" w:rsidRPr="00AF3608" w:rsidRDefault="00AE664D" w:rsidP="00126508">
            <w:pPr>
              <w:widowControl w:val="0"/>
              <w:suppressAutoHyphens/>
              <w:autoSpaceDN w:val="0"/>
              <w:jc w:val="both"/>
              <w:rPr>
                <w:rFonts w:ascii="Calibri" w:eastAsia="SimSun" w:hAnsi="Calibri" w:cs="Calibri"/>
                <w:kern w:val="3"/>
                <w:lang w:val="ro-RO" w:eastAsia="zh-CN" w:bidi="hi-IN"/>
              </w:rPr>
            </w:pPr>
            <w:r w:rsidRPr="00AF3608">
              <w:rPr>
                <w:rFonts w:ascii="Calibri" w:eastAsia="SimSun" w:hAnsi="Calibri" w:cs="Calibri"/>
                <w:kern w:val="3"/>
                <w:lang w:val="ro-RO" w:eastAsia="zh-CN" w:bidi="hi-IN"/>
              </w:rPr>
              <w:t>Achiziția de echipamente medicale, spitale mobile și alte cheltuieli de capital în afara stocurilor de urgentă medicală</w:t>
            </w:r>
          </w:p>
        </w:tc>
        <w:tc>
          <w:tcPr>
            <w:tcW w:w="1701" w:type="dxa"/>
            <w:shd w:val="clear" w:color="auto" w:fill="FBFBFF"/>
          </w:tcPr>
          <w:p w:rsidR="00AE664D" w:rsidRPr="00AF3608" w:rsidRDefault="00AE664D" w:rsidP="00126508">
            <w:pPr>
              <w:widowControl w:val="0"/>
              <w:suppressAutoHyphens/>
              <w:autoSpaceDN w:val="0"/>
              <w:jc w:val="right"/>
              <w:rPr>
                <w:rFonts w:ascii="Calibri" w:eastAsia="SimSun" w:hAnsi="Calibri" w:cs="Calibri"/>
                <w:kern w:val="3"/>
                <w:lang w:val="ro-RO" w:eastAsia="zh-CN" w:bidi="hi-IN"/>
              </w:rPr>
            </w:pPr>
            <w:r w:rsidRPr="00AF3608">
              <w:rPr>
                <w:rFonts w:ascii="Calibri" w:eastAsia="SimSun" w:hAnsi="Calibri" w:cs="Calibri"/>
                <w:kern w:val="3"/>
                <w:lang w:val="ro-RO" w:eastAsia="zh-CN" w:bidi="hi-IN"/>
              </w:rPr>
              <w:t>0,84 mld lei</w:t>
            </w:r>
          </w:p>
        </w:tc>
        <w:tc>
          <w:tcPr>
            <w:tcW w:w="1705" w:type="dxa"/>
            <w:shd w:val="clear" w:color="auto" w:fill="FBFBFF"/>
          </w:tcPr>
          <w:p w:rsidR="00AE664D" w:rsidRPr="00AF3608" w:rsidRDefault="00AE664D" w:rsidP="00126508">
            <w:pPr>
              <w:widowControl w:val="0"/>
              <w:suppressAutoHyphens/>
              <w:autoSpaceDN w:val="0"/>
              <w:jc w:val="right"/>
              <w:rPr>
                <w:rFonts w:ascii="Calibri" w:eastAsia="SimSun" w:hAnsi="Calibri" w:cs="Calibri"/>
                <w:kern w:val="3"/>
                <w:lang w:val="ro-RO" w:eastAsia="zh-CN" w:bidi="hi-IN"/>
              </w:rPr>
            </w:pPr>
            <w:r w:rsidRPr="00AF3608">
              <w:rPr>
                <w:rFonts w:ascii="Calibri" w:eastAsia="SimSun" w:hAnsi="Calibri" w:cs="Calibri"/>
                <w:kern w:val="3"/>
                <w:lang w:val="ro-RO" w:eastAsia="zh-CN" w:bidi="hi-IN"/>
              </w:rPr>
              <w:t>0,50 mld lei</w:t>
            </w:r>
          </w:p>
        </w:tc>
      </w:tr>
      <w:tr w:rsidR="00AE664D" w:rsidRPr="00AF3608" w:rsidTr="00126508">
        <w:tc>
          <w:tcPr>
            <w:tcW w:w="5846" w:type="dxa"/>
            <w:shd w:val="clear" w:color="auto" w:fill="FBFBFF"/>
          </w:tcPr>
          <w:p w:rsidR="00AE664D" w:rsidRPr="00AF3608" w:rsidRDefault="00AE664D" w:rsidP="00126508">
            <w:pPr>
              <w:widowControl w:val="0"/>
              <w:suppressAutoHyphens/>
              <w:autoSpaceDN w:val="0"/>
              <w:jc w:val="both"/>
              <w:rPr>
                <w:rFonts w:ascii="Calibri" w:eastAsia="SimSun" w:hAnsi="Calibri" w:cs="Calibri"/>
                <w:kern w:val="3"/>
                <w:lang w:val="ro-RO" w:eastAsia="zh-CN" w:bidi="hi-IN"/>
              </w:rPr>
            </w:pPr>
            <w:r w:rsidRPr="00AF3608">
              <w:rPr>
                <w:rFonts w:ascii="Calibri" w:eastAsia="SimSun" w:hAnsi="Calibri" w:cs="Calibri"/>
                <w:kern w:val="3"/>
                <w:lang w:val="ro-RO" w:eastAsia="zh-CN" w:bidi="hi-IN"/>
              </w:rPr>
              <w:t>Echipamentelor din domeniul tehnologiei informației - IT mobile, respectiv tablete cu acces la internet pentru elevi</w:t>
            </w:r>
          </w:p>
        </w:tc>
        <w:tc>
          <w:tcPr>
            <w:tcW w:w="1701" w:type="dxa"/>
            <w:shd w:val="clear" w:color="auto" w:fill="FBFBFF"/>
          </w:tcPr>
          <w:p w:rsidR="00AE664D" w:rsidRPr="00AF3608" w:rsidRDefault="00AE664D" w:rsidP="00126508">
            <w:pPr>
              <w:widowControl w:val="0"/>
              <w:suppressAutoHyphens/>
              <w:autoSpaceDN w:val="0"/>
              <w:jc w:val="right"/>
              <w:rPr>
                <w:rFonts w:ascii="Calibri" w:eastAsia="SimSun" w:hAnsi="Calibri" w:cs="Calibri"/>
                <w:kern w:val="3"/>
                <w:lang w:val="ro-RO" w:eastAsia="zh-CN" w:bidi="hi-IN"/>
              </w:rPr>
            </w:pPr>
            <w:r w:rsidRPr="00AF3608">
              <w:rPr>
                <w:rFonts w:ascii="Calibri" w:eastAsia="SimSun" w:hAnsi="Calibri" w:cs="Calibri"/>
                <w:kern w:val="3"/>
                <w:lang w:val="ro-RO" w:eastAsia="zh-CN" w:bidi="hi-IN"/>
              </w:rPr>
              <w:t>0,15 mld lei</w:t>
            </w:r>
          </w:p>
        </w:tc>
        <w:tc>
          <w:tcPr>
            <w:tcW w:w="1705" w:type="dxa"/>
            <w:shd w:val="clear" w:color="auto" w:fill="FBFBFF"/>
          </w:tcPr>
          <w:p w:rsidR="00AE664D" w:rsidRPr="00AF3608" w:rsidRDefault="00AE664D" w:rsidP="00126508">
            <w:pPr>
              <w:widowControl w:val="0"/>
              <w:suppressAutoHyphens/>
              <w:autoSpaceDN w:val="0"/>
              <w:jc w:val="right"/>
              <w:rPr>
                <w:rFonts w:ascii="Calibri" w:eastAsia="SimSun" w:hAnsi="Calibri" w:cs="Calibri"/>
                <w:kern w:val="3"/>
                <w:lang w:val="ro-RO" w:eastAsia="zh-CN" w:bidi="hi-IN"/>
              </w:rPr>
            </w:pPr>
            <w:r w:rsidRPr="00AF3608">
              <w:rPr>
                <w:rFonts w:ascii="Calibri" w:eastAsia="SimSun" w:hAnsi="Calibri" w:cs="Calibri"/>
                <w:kern w:val="3"/>
                <w:lang w:val="ro-RO" w:eastAsia="zh-CN" w:bidi="hi-IN"/>
              </w:rPr>
              <w:t>0,14 mld lei</w:t>
            </w:r>
          </w:p>
        </w:tc>
      </w:tr>
      <w:tr w:rsidR="00AE664D" w:rsidRPr="00AF3608" w:rsidTr="00126508">
        <w:tc>
          <w:tcPr>
            <w:tcW w:w="5846" w:type="dxa"/>
            <w:shd w:val="clear" w:color="auto" w:fill="FBFBFF"/>
          </w:tcPr>
          <w:p w:rsidR="00AE664D" w:rsidRPr="00AF3608" w:rsidRDefault="00AE664D" w:rsidP="00126508">
            <w:pPr>
              <w:widowControl w:val="0"/>
              <w:suppressAutoHyphens/>
              <w:autoSpaceDN w:val="0"/>
              <w:jc w:val="both"/>
              <w:rPr>
                <w:rFonts w:ascii="Calibri" w:eastAsia="SimSun" w:hAnsi="Calibri" w:cs="Calibri"/>
                <w:kern w:val="3"/>
                <w:lang w:val="ro-RO" w:eastAsia="zh-CN" w:bidi="hi-IN"/>
              </w:rPr>
            </w:pPr>
            <w:r w:rsidRPr="00AF3608">
              <w:rPr>
                <w:rFonts w:ascii="Calibri" w:eastAsia="SimSun" w:hAnsi="Calibri" w:cs="Calibri"/>
                <w:kern w:val="3"/>
                <w:lang w:val="ro-RO" w:eastAsia="zh-CN" w:bidi="hi-IN"/>
              </w:rPr>
              <w:t>Schema de ajutor de stat  sub forma de grant care are ca obiectiv acordarea de facilități de garantare de către stat pentru creditele acordate întreprinderilor mici și mijlocii și întreprinderilor mici cu capitalizare de piață medie, de către instituțiile de credit</w:t>
            </w:r>
          </w:p>
        </w:tc>
        <w:tc>
          <w:tcPr>
            <w:tcW w:w="1701" w:type="dxa"/>
            <w:shd w:val="clear" w:color="auto" w:fill="FBFBFF"/>
          </w:tcPr>
          <w:p w:rsidR="00AE664D" w:rsidRPr="00AF3608" w:rsidRDefault="00AE664D" w:rsidP="00126508">
            <w:pPr>
              <w:widowControl w:val="0"/>
              <w:suppressAutoHyphens/>
              <w:autoSpaceDN w:val="0"/>
              <w:jc w:val="right"/>
              <w:rPr>
                <w:rFonts w:ascii="Calibri" w:eastAsia="SimSun" w:hAnsi="Calibri" w:cs="Calibri"/>
                <w:kern w:val="3"/>
                <w:lang w:val="ro-RO" w:eastAsia="zh-CN" w:bidi="hi-IN"/>
              </w:rPr>
            </w:pPr>
            <w:r w:rsidRPr="00AF3608">
              <w:rPr>
                <w:rFonts w:ascii="Calibri" w:eastAsia="SimSun" w:hAnsi="Calibri" w:cs="Calibri"/>
                <w:kern w:val="3"/>
                <w:lang w:val="ro-RO" w:eastAsia="zh-CN" w:bidi="hi-IN"/>
              </w:rPr>
              <w:t>0,10 mld lei</w:t>
            </w:r>
          </w:p>
        </w:tc>
        <w:tc>
          <w:tcPr>
            <w:tcW w:w="1705" w:type="dxa"/>
            <w:shd w:val="clear" w:color="auto" w:fill="FBFBFF"/>
          </w:tcPr>
          <w:p w:rsidR="00AE664D" w:rsidRPr="00AF3608" w:rsidRDefault="00AE664D" w:rsidP="00126508">
            <w:pPr>
              <w:widowControl w:val="0"/>
              <w:suppressAutoHyphens/>
              <w:autoSpaceDN w:val="0"/>
              <w:jc w:val="right"/>
              <w:rPr>
                <w:rFonts w:ascii="Calibri" w:eastAsia="SimSun" w:hAnsi="Calibri" w:cs="Calibri"/>
                <w:kern w:val="3"/>
                <w:lang w:val="ro-RO" w:eastAsia="zh-CN" w:bidi="hi-IN"/>
              </w:rPr>
            </w:pPr>
            <w:r w:rsidRPr="00AF3608">
              <w:rPr>
                <w:rFonts w:ascii="Calibri" w:eastAsia="SimSun" w:hAnsi="Calibri" w:cs="Calibri"/>
                <w:kern w:val="3"/>
                <w:lang w:val="ro-RO" w:eastAsia="zh-CN" w:bidi="hi-IN"/>
              </w:rPr>
              <w:t>0,63 mld lei</w:t>
            </w:r>
          </w:p>
        </w:tc>
      </w:tr>
      <w:tr w:rsidR="00AE664D" w:rsidRPr="00AF3608" w:rsidTr="00126508">
        <w:tc>
          <w:tcPr>
            <w:tcW w:w="5846" w:type="dxa"/>
            <w:shd w:val="clear" w:color="auto" w:fill="FBFBFF"/>
          </w:tcPr>
          <w:p w:rsidR="00AE664D" w:rsidRPr="00AF3608" w:rsidRDefault="00AE664D" w:rsidP="00126508">
            <w:pPr>
              <w:widowControl w:val="0"/>
              <w:suppressAutoHyphens/>
              <w:autoSpaceDN w:val="0"/>
              <w:jc w:val="both"/>
              <w:rPr>
                <w:rFonts w:ascii="Calibri" w:eastAsia="SimSun" w:hAnsi="Calibri" w:cs="Calibri"/>
                <w:kern w:val="3"/>
                <w:lang w:val="ro-RO" w:eastAsia="zh-CN" w:bidi="hi-IN"/>
              </w:rPr>
            </w:pPr>
            <w:r w:rsidRPr="00AF3608">
              <w:rPr>
                <w:rFonts w:ascii="Calibri" w:eastAsia="SimSun" w:hAnsi="Calibri" w:cs="Calibri"/>
                <w:kern w:val="3"/>
                <w:lang w:val="ro-RO" w:eastAsia="zh-CN" w:bidi="hi-IN"/>
              </w:rPr>
              <w:t>Programul Granturi pentru investiții constituie acordarea de sprijin financiar din fonduri externe nerambursabile, aferente Programului operațional Competitivitate 2014-2020, în contextul crizei provocate de COVID-19, pentru a căror activitate a fost afectată de răspândirea virusului SARS-CoV-2</w:t>
            </w:r>
          </w:p>
        </w:tc>
        <w:tc>
          <w:tcPr>
            <w:tcW w:w="1701" w:type="dxa"/>
            <w:shd w:val="clear" w:color="auto" w:fill="FBFBFF"/>
          </w:tcPr>
          <w:p w:rsidR="00AE664D" w:rsidRPr="00AF3608" w:rsidRDefault="00AE664D" w:rsidP="00126508">
            <w:pPr>
              <w:widowControl w:val="0"/>
              <w:suppressAutoHyphens/>
              <w:autoSpaceDN w:val="0"/>
              <w:jc w:val="right"/>
              <w:rPr>
                <w:rFonts w:ascii="Calibri" w:eastAsia="SimSun" w:hAnsi="Calibri" w:cs="Calibri"/>
                <w:kern w:val="3"/>
                <w:lang w:val="ro-RO" w:eastAsia="zh-CN" w:bidi="hi-IN"/>
              </w:rPr>
            </w:pPr>
            <w:r w:rsidRPr="00AF3608">
              <w:rPr>
                <w:rFonts w:ascii="Calibri" w:eastAsia="SimSun" w:hAnsi="Calibri" w:cs="Calibri"/>
                <w:kern w:val="3"/>
                <w:lang w:val="ro-RO" w:eastAsia="zh-CN" w:bidi="hi-IN"/>
              </w:rPr>
              <w:t>0,96 mld lei</w:t>
            </w:r>
          </w:p>
        </w:tc>
        <w:tc>
          <w:tcPr>
            <w:tcW w:w="1705" w:type="dxa"/>
            <w:shd w:val="clear" w:color="auto" w:fill="FBFBFF"/>
          </w:tcPr>
          <w:p w:rsidR="00AE664D" w:rsidRPr="00AF3608" w:rsidRDefault="00AE664D" w:rsidP="00126508">
            <w:pPr>
              <w:widowControl w:val="0"/>
              <w:suppressAutoHyphens/>
              <w:autoSpaceDN w:val="0"/>
              <w:jc w:val="right"/>
              <w:rPr>
                <w:rFonts w:ascii="Calibri" w:eastAsia="SimSun" w:hAnsi="Calibri" w:cs="Calibri"/>
                <w:kern w:val="3"/>
                <w:lang w:val="ro-RO" w:eastAsia="zh-CN" w:bidi="hi-IN"/>
              </w:rPr>
            </w:pPr>
            <w:r w:rsidRPr="00AF3608">
              <w:rPr>
                <w:rFonts w:ascii="Calibri" w:eastAsia="SimSun" w:hAnsi="Calibri" w:cs="Calibri"/>
                <w:kern w:val="3"/>
                <w:lang w:val="ro-RO" w:eastAsia="zh-CN" w:bidi="hi-IN"/>
              </w:rPr>
              <w:t>4,46 mld lei</w:t>
            </w:r>
          </w:p>
        </w:tc>
      </w:tr>
      <w:tr w:rsidR="00AE664D" w:rsidRPr="00AF3608" w:rsidTr="00126508">
        <w:tc>
          <w:tcPr>
            <w:tcW w:w="5846" w:type="dxa"/>
            <w:shd w:val="clear" w:color="auto" w:fill="FBFBFF"/>
          </w:tcPr>
          <w:p w:rsidR="00AE664D" w:rsidRPr="00AF3608" w:rsidRDefault="00AE664D" w:rsidP="00126508">
            <w:pPr>
              <w:widowControl w:val="0"/>
              <w:suppressAutoHyphens/>
              <w:autoSpaceDN w:val="0"/>
              <w:jc w:val="both"/>
              <w:rPr>
                <w:rFonts w:ascii="Calibri" w:eastAsia="SimSun" w:hAnsi="Calibri" w:cs="Calibri"/>
                <w:kern w:val="3"/>
                <w:lang w:val="ro-RO" w:eastAsia="zh-CN" w:bidi="hi-IN"/>
              </w:rPr>
            </w:pPr>
            <w:r w:rsidRPr="00AF3608">
              <w:rPr>
                <w:rFonts w:ascii="Calibri" w:eastAsia="SimSun" w:hAnsi="Calibri" w:cs="Calibri"/>
                <w:kern w:val="3"/>
                <w:lang w:val="ro-RO" w:eastAsia="zh-CN" w:bidi="hi-IN"/>
              </w:rPr>
              <w:t>Programul național de achiziție vaccin anti COVID-19 și cheltuieli de organizare și funcționare centre de vaccinare</w:t>
            </w:r>
          </w:p>
        </w:tc>
        <w:tc>
          <w:tcPr>
            <w:tcW w:w="1701" w:type="dxa"/>
            <w:shd w:val="clear" w:color="auto" w:fill="FBFBFF"/>
          </w:tcPr>
          <w:p w:rsidR="00AE664D" w:rsidRPr="00AF3608" w:rsidRDefault="00AE664D" w:rsidP="00126508">
            <w:pPr>
              <w:widowControl w:val="0"/>
              <w:suppressAutoHyphens/>
              <w:autoSpaceDN w:val="0"/>
              <w:jc w:val="right"/>
              <w:rPr>
                <w:rFonts w:ascii="Calibri" w:eastAsia="SimSun" w:hAnsi="Calibri" w:cs="Calibri"/>
                <w:kern w:val="3"/>
                <w:lang w:val="ro-RO" w:eastAsia="zh-CN" w:bidi="hi-IN"/>
              </w:rPr>
            </w:pPr>
          </w:p>
        </w:tc>
        <w:tc>
          <w:tcPr>
            <w:tcW w:w="1705" w:type="dxa"/>
            <w:shd w:val="clear" w:color="auto" w:fill="FBFBFF"/>
          </w:tcPr>
          <w:p w:rsidR="00AE664D" w:rsidRPr="00AF3608" w:rsidRDefault="00AE664D" w:rsidP="00126508">
            <w:pPr>
              <w:widowControl w:val="0"/>
              <w:suppressAutoHyphens/>
              <w:autoSpaceDN w:val="0"/>
              <w:jc w:val="right"/>
              <w:rPr>
                <w:rFonts w:ascii="Calibri" w:eastAsia="SimSun" w:hAnsi="Calibri" w:cs="Calibri"/>
                <w:kern w:val="3"/>
                <w:lang w:val="ro-RO" w:eastAsia="zh-CN" w:bidi="hi-IN"/>
              </w:rPr>
            </w:pPr>
            <w:r w:rsidRPr="00AF3608">
              <w:rPr>
                <w:rFonts w:ascii="Calibri" w:eastAsia="SimSun" w:hAnsi="Calibri" w:cs="Calibri"/>
                <w:kern w:val="3"/>
                <w:lang w:val="ro-RO" w:eastAsia="zh-CN" w:bidi="hi-IN"/>
              </w:rPr>
              <w:t>1,40 mld lei</w:t>
            </w:r>
          </w:p>
        </w:tc>
      </w:tr>
      <w:tr w:rsidR="00AE664D" w:rsidRPr="00AF3608" w:rsidTr="00126508">
        <w:tc>
          <w:tcPr>
            <w:tcW w:w="5846" w:type="dxa"/>
            <w:shd w:val="clear" w:color="auto" w:fill="FBFBFF"/>
          </w:tcPr>
          <w:p w:rsidR="00AE664D" w:rsidRPr="00AF3608" w:rsidRDefault="00AE664D" w:rsidP="00126508">
            <w:pPr>
              <w:widowControl w:val="0"/>
              <w:suppressAutoHyphens/>
              <w:autoSpaceDN w:val="0"/>
              <w:jc w:val="both"/>
              <w:rPr>
                <w:rFonts w:ascii="Calibri" w:eastAsia="SimSun" w:hAnsi="Calibri" w:cs="Calibri"/>
                <w:kern w:val="3"/>
                <w:lang w:val="ro-RO" w:eastAsia="zh-CN" w:bidi="hi-IN"/>
              </w:rPr>
            </w:pPr>
            <w:r w:rsidRPr="00AF3608">
              <w:rPr>
                <w:rFonts w:ascii="Calibri" w:eastAsia="SimSun" w:hAnsi="Calibri" w:cs="Calibri"/>
                <w:kern w:val="3"/>
                <w:lang w:val="ro-RO" w:eastAsia="zh-CN" w:bidi="hi-IN"/>
              </w:rPr>
              <w:t>OUG nr.224/2020 privind unele măsuri pentru acordarea de sprijin financiar pentru întreprinderile din domeniul turismului, structuri de cazare, structuri de alimentație și agenții de turism, a căror activitate a fost afectată în contextul pandemiei de COVID-19, precum și privind unele măsuri fiscale (credite de angajament)</w:t>
            </w:r>
          </w:p>
        </w:tc>
        <w:tc>
          <w:tcPr>
            <w:tcW w:w="1701" w:type="dxa"/>
            <w:shd w:val="clear" w:color="auto" w:fill="FBFBFF"/>
          </w:tcPr>
          <w:p w:rsidR="00AE664D" w:rsidRPr="00AF3608" w:rsidRDefault="00AE664D" w:rsidP="00126508">
            <w:pPr>
              <w:widowControl w:val="0"/>
              <w:suppressAutoHyphens/>
              <w:autoSpaceDN w:val="0"/>
              <w:jc w:val="right"/>
              <w:rPr>
                <w:rFonts w:ascii="Calibri" w:eastAsia="SimSun" w:hAnsi="Calibri" w:cs="Calibri"/>
                <w:kern w:val="3"/>
                <w:lang w:val="ro-RO" w:eastAsia="zh-CN" w:bidi="hi-IN"/>
              </w:rPr>
            </w:pPr>
          </w:p>
        </w:tc>
        <w:tc>
          <w:tcPr>
            <w:tcW w:w="1705" w:type="dxa"/>
            <w:shd w:val="clear" w:color="auto" w:fill="FBFBFF"/>
          </w:tcPr>
          <w:p w:rsidR="00AE664D" w:rsidRPr="00AF3608" w:rsidRDefault="00AE664D" w:rsidP="00126508">
            <w:pPr>
              <w:widowControl w:val="0"/>
              <w:suppressAutoHyphens/>
              <w:autoSpaceDN w:val="0"/>
              <w:jc w:val="right"/>
              <w:rPr>
                <w:rFonts w:ascii="Calibri" w:eastAsia="SimSun" w:hAnsi="Calibri" w:cs="Calibri"/>
                <w:kern w:val="3"/>
                <w:lang w:val="ro-RO" w:eastAsia="zh-CN" w:bidi="hi-IN"/>
              </w:rPr>
            </w:pPr>
            <w:r w:rsidRPr="00AF3608">
              <w:rPr>
                <w:rFonts w:ascii="Calibri" w:eastAsia="SimSun" w:hAnsi="Calibri" w:cs="Calibri"/>
                <w:kern w:val="3"/>
                <w:lang w:val="ro-RO" w:eastAsia="zh-CN" w:bidi="hi-IN"/>
              </w:rPr>
              <w:t>2,50 mld lei</w:t>
            </w:r>
          </w:p>
        </w:tc>
      </w:tr>
    </w:tbl>
    <w:p w:rsidR="00AE664D" w:rsidRPr="00AF3608" w:rsidRDefault="00AE664D" w:rsidP="00AE664D">
      <w:pPr>
        <w:widowControl w:val="0"/>
        <w:suppressAutoHyphens/>
        <w:autoSpaceDN w:val="0"/>
        <w:jc w:val="both"/>
        <w:rPr>
          <w:rFonts w:ascii="Calibri" w:eastAsia="SimSun" w:hAnsi="Calibri" w:cs="Calibri"/>
          <w:kern w:val="3"/>
          <w:lang w:val="ro-RO" w:eastAsia="zh-CN" w:bidi="hi-IN"/>
        </w:rPr>
      </w:pPr>
    </w:p>
    <w:p w:rsidR="00D95CB1" w:rsidRPr="00AF3608" w:rsidRDefault="00D95CB1" w:rsidP="00D969C8">
      <w:pPr>
        <w:widowControl w:val="0"/>
        <w:spacing w:before="120"/>
        <w:ind w:right="6"/>
        <w:jc w:val="both"/>
        <w:rPr>
          <w:rFonts w:ascii="Calibri" w:hAnsi="Calibri" w:cs="Calibri"/>
          <w:color w:val="000000"/>
          <w:lang w:val="ro-RO"/>
        </w:rPr>
      </w:pPr>
      <w:r w:rsidRPr="00AF3608">
        <w:rPr>
          <w:rFonts w:ascii="Calibri" w:hAnsi="Calibri" w:cs="Calibri"/>
          <w:b/>
          <w:color w:val="000066"/>
          <w:lang w:val="ro-RO"/>
        </w:rPr>
        <w:t>Cadrul macroeconomic pe care se bazează previziunile bugetare pentru perioada 2021-2023</w:t>
      </w:r>
      <w:r w:rsidRPr="00AF3608">
        <w:rPr>
          <w:rFonts w:ascii="Calibri" w:hAnsi="Calibri" w:cs="Calibri"/>
          <w:color w:val="000066"/>
          <w:lang w:val="ro-RO"/>
        </w:rPr>
        <w:t xml:space="preserve"> </w:t>
      </w:r>
      <w:r w:rsidRPr="00AF3608">
        <w:rPr>
          <w:rFonts w:ascii="Calibri" w:hAnsi="Calibri" w:cs="Calibri"/>
          <w:color w:val="000000"/>
          <w:lang w:val="ro-RO"/>
        </w:rPr>
        <w:t xml:space="preserve">a avut în vedere următoarele aspecte: </w:t>
      </w:r>
    </w:p>
    <w:p w:rsidR="00D95CB1" w:rsidRPr="00AF3608" w:rsidRDefault="0087408E" w:rsidP="00D969C8">
      <w:pPr>
        <w:widowControl w:val="0"/>
        <w:spacing w:before="120"/>
        <w:ind w:left="360" w:right="6"/>
        <w:jc w:val="both"/>
        <w:rPr>
          <w:rFonts w:ascii="Calibri" w:eastAsia="Calibri" w:hAnsi="Calibri" w:cs="Calibri"/>
          <w:bCs/>
          <w:color w:val="000000"/>
          <w:szCs w:val="22"/>
          <w:lang w:val="ro-RO"/>
        </w:rPr>
      </w:pPr>
      <w:r w:rsidRPr="00AF3608">
        <w:rPr>
          <w:rFonts w:ascii="Calibri" w:eastAsia="Calibri" w:hAnsi="Calibri" w:cs="Calibri"/>
          <w:bCs/>
          <w:color w:val="000000"/>
          <w:szCs w:val="22"/>
          <w:lang w:val="ro-RO"/>
        </w:rPr>
        <w:t xml:space="preserve"> </w:t>
      </w:r>
      <w:r w:rsidR="00D95CB1" w:rsidRPr="00AF3608">
        <w:rPr>
          <w:rFonts w:ascii="Calibri" w:eastAsia="Calibri" w:hAnsi="Calibri" w:cs="Calibri"/>
          <w:bCs/>
          <w:color w:val="000000"/>
          <w:szCs w:val="22"/>
          <w:lang w:val="ro-RO"/>
        </w:rPr>
        <w:t>(i) evoluţiile economice de până în prezent ale anului 2020;</w:t>
      </w:r>
    </w:p>
    <w:p w:rsidR="00D95CB1" w:rsidRPr="00AF3608" w:rsidRDefault="00D95CB1" w:rsidP="00D969C8">
      <w:pPr>
        <w:widowControl w:val="0"/>
        <w:spacing w:before="120"/>
        <w:ind w:left="360" w:right="6"/>
        <w:jc w:val="both"/>
        <w:rPr>
          <w:rFonts w:ascii="Calibri" w:eastAsia="Calibri" w:hAnsi="Calibri" w:cs="Calibri"/>
          <w:bCs/>
          <w:color w:val="000000"/>
          <w:szCs w:val="22"/>
          <w:lang w:val="ro-RO"/>
        </w:rPr>
      </w:pPr>
      <w:r w:rsidRPr="00AF3608">
        <w:rPr>
          <w:rFonts w:ascii="Calibri" w:eastAsia="Calibri" w:hAnsi="Calibri" w:cs="Calibri"/>
          <w:bCs/>
          <w:color w:val="000000"/>
          <w:szCs w:val="22"/>
          <w:lang w:val="ro-RO"/>
        </w:rPr>
        <w:t>(ii) o evoluţie a creşterii economice susţinute în principal de investiţii, alături de consum, într-un mediu intern favorizat de stabilitatea şi predictibilitatea politicilor macroeconomice, precum şi a politi</w:t>
      </w:r>
      <w:r w:rsidR="000D3C6F" w:rsidRPr="00AF3608">
        <w:rPr>
          <w:rFonts w:ascii="Calibri" w:eastAsia="Calibri" w:hAnsi="Calibri" w:cs="Calibri"/>
          <w:bCs/>
          <w:color w:val="000000"/>
          <w:szCs w:val="22"/>
          <w:lang w:val="ro-RO"/>
        </w:rPr>
        <w:t xml:space="preserve">cilor guvernamentale eficiente </w:t>
      </w:r>
      <w:r w:rsidRPr="00AF3608">
        <w:rPr>
          <w:rFonts w:ascii="Calibri" w:eastAsia="Calibri" w:hAnsi="Calibri" w:cs="Calibri"/>
          <w:bCs/>
          <w:color w:val="000000"/>
          <w:szCs w:val="22"/>
          <w:lang w:val="ro-RO"/>
        </w:rPr>
        <w:t>cu efect de atenuare a şocului crizei Covid;</w:t>
      </w:r>
    </w:p>
    <w:p w:rsidR="00D95CB1" w:rsidRPr="00AF3608" w:rsidRDefault="00D95CB1" w:rsidP="00D969C8">
      <w:pPr>
        <w:widowControl w:val="0"/>
        <w:spacing w:before="120"/>
        <w:ind w:left="360" w:right="6"/>
        <w:jc w:val="both"/>
        <w:rPr>
          <w:rFonts w:ascii="Calibri" w:eastAsia="Calibri" w:hAnsi="Calibri" w:cs="Calibri"/>
          <w:bCs/>
          <w:color w:val="000000"/>
          <w:szCs w:val="22"/>
          <w:lang w:val="ro-RO"/>
        </w:rPr>
      </w:pPr>
      <w:r w:rsidRPr="00AF3608">
        <w:rPr>
          <w:rFonts w:ascii="Calibri" w:eastAsia="Calibri" w:hAnsi="Calibri" w:cs="Calibri"/>
          <w:bCs/>
          <w:color w:val="000000"/>
          <w:szCs w:val="22"/>
          <w:lang w:val="ro-RO"/>
        </w:rPr>
        <w:t xml:space="preserve">(iii) o absorbţie eficientă a fondurilor UE pe cele două axe, respectiv cadrul financiar aferent perioadei de programare 2014-2020 şi prin Fondul de Redresare şi Rezilienţă; </w:t>
      </w:r>
    </w:p>
    <w:p w:rsidR="00D95CB1" w:rsidRPr="00AF3608" w:rsidRDefault="00D95CB1" w:rsidP="00D969C8">
      <w:pPr>
        <w:widowControl w:val="0"/>
        <w:spacing w:before="120"/>
        <w:ind w:left="360" w:right="6"/>
        <w:jc w:val="both"/>
        <w:rPr>
          <w:rFonts w:ascii="Calibri" w:eastAsia="Calibri" w:hAnsi="Calibri" w:cs="Calibri"/>
          <w:bCs/>
          <w:color w:val="000000"/>
          <w:szCs w:val="22"/>
          <w:lang w:val="ro-RO"/>
        </w:rPr>
      </w:pPr>
      <w:r w:rsidRPr="00AF3608">
        <w:rPr>
          <w:rFonts w:ascii="Calibri" w:eastAsia="Calibri" w:hAnsi="Calibri" w:cs="Calibri"/>
          <w:bCs/>
          <w:color w:val="000000"/>
          <w:szCs w:val="22"/>
          <w:lang w:val="ro-RO"/>
        </w:rPr>
        <w:t>(iv) revenirea activităţii economice în toate sectoarele în condiţiile respectării strategiei de vaccinare;</w:t>
      </w:r>
    </w:p>
    <w:p w:rsidR="00D95CB1" w:rsidRDefault="00D95CB1" w:rsidP="00D969C8">
      <w:pPr>
        <w:widowControl w:val="0"/>
        <w:spacing w:before="120"/>
        <w:ind w:left="360" w:right="6"/>
        <w:jc w:val="both"/>
        <w:rPr>
          <w:rFonts w:ascii="Calibri" w:hAnsi="Calibri" w:cs="Calibri"/>
          <w:bCs/>
          <w:color w:val="000000"/>
          <w:lang w:val="ro-RO"/>
        </w:rPr>
      </w:pPr>
      <w:r w:rsidRPr="00AF3608">
        <w:rPr>
          <w:rFonts w:ascii="Calibri" w:hAnsi="Calibri" w:cs="Calibri"/>
          <w:bCs/>
          <w:color w:val="000000"/>
          <w:lang w:val="ro-RO"/>
        </w:rPr>
        <w:t>(v) contextul european și global: prognoza ia în considerare o revenire a contextului internaţional care se reflectă, şi în cazul prognozei de toamnă a Comisiei Europene, de la o contracţie estimată pentru anul 2020 la -7,4% a economiei europene la o creştere economică de 4,1% în 2021 şi 3,0% în 2022. De asemenea, prognoza de toamnă 2020 a Fondului Monetar Internaţional (World Economic Outlook) previzionează pentru 2021 o creştere a economiei europene de 5,0% (după contracţia aşteptată de -7,6% în 2020 în contextul manifestării pandemiei Covid19). Pentru economia mondială se aşteaptă o creştere economică de 5,2% în acest an.</w:t>
      </w:r>
    </w:p>
    <w:p w:rsidR="00920E23" w:rsidRPr="00AF3608" w:rsidRDefault="00920E23" w:rsidP="00D969C8">
      <w:pPr>
        <w:widowControl w:val="0"/>
        <w:spacing w:before="120"/>
        <w:ind w:left="360" w:right="6"/>
        <w:jc w:val="both"/>
        <w:rPr>
          <w:rFonts w:ascii="Calibri" w:hAnsi="Calibri" w:cs="Calibri"/>
          <w:bCs/>
          <w:color w:val="000000"/>
          <w:lang w:val="ro-RO"/>
        </w:rPr>
      </w:pPr>
    </w:p>
    <w:p w:rsidR="00D95CB1" w:rsidRPr="00AF3608" w:rsidRDefault="00D95CB1" w:rsidP="00D969C8">
      <w:pPr>
        <w:widowControl w:val="0"/>
        <w:autoSpaceDE w:val="0"/>
        <w:autoSpaceDN w:val="0"/>
        <w:adjustRightInd w:val="0"/>
        <w:spacing w:before="120"/>
        <w:ind w:right="-1"/>
        <w:jc w:val="both"/>
        <w:rPr>
          <w:rFonts w:ascii="Calibri" w:hAnsi="Calibri" w:cs="Calibri"/>
          <w:b/>
          <w:color w:val="000066"/>
          <w:lang w:val="ro-RO"/>
        </w:rPr>
      </w:pPr>
      <w:r w:rsidRPr="00AF3608">
        <w:rPr>
          <w:rFonts w:ascii="Calibri" w:hAnsi="Calibri" w:cs="Calibri"/>
          <w:b/>
          <w:color w:val="000066"/>
          <w:lang w:val="ro-RO"/>
        </w:rPr>
        <w:lastRenderedPageBreak/>
        <w:t>Planificarea bugetară pe orizontul 2021-2023 a avut în vedere:</w:t>
      </w:r>
    </w:p>
    <w:p w:rsidR="00D95CB1" w:rsidRPr="00AF3608" w:rsidRDefault="00D95CB1" w:rsidP="003A0B85">
      <w:pPr>
        <w:numPr>
          <w:ilvl w:val="0"/>
          <w:numId w:val="121"/>
        </w:numPr>
        <w:spacing w:before="120"/>
        <w:ind w:right="-1"/>
        <w:jc w:val="both"/>
        <w:rPr>
          <w:rFonts w:ascii="Calibri" w:eastAsia="Calibri" w:hAnsi="Calibri" w:cs="Calibri"/>
          <w:color w:val="000000"/>
          <w:szCs w:val="22"/>
          <w:lang w:val="ro-RO"/>
        </w:rPr>
      </w:pPr>
      <w:r w:rsidRPr="00AF3608">
        <w:rPr>
          <w:rFonts w:ascii="Calibri" w:eastAsia="Calibri" w:hAnsi="Calibri" w:cs="Calibri"/>
          <w:color w:val="000066"/>
          <w:szCs w:val="22"/>
          <w:lang w:val="ro-RO"/>
        </w:rPr>
        <w:t>măsurile întreprinse de Guvernul Rom</w:t>
      </w:r>
      <w:r w:rsidR="008A0FEF">
        <w:rPr>
          <w:rFonts w:ascii="Calibri" w:eastAsia="Calibri" w:hAnsi="Calibri" w:cs="Calibri"/>
          <w:color w:val="000066"/>
          <w:szCs w:val="22"/>
          <w:lang w:val="ro-RO"/>
        </w:rPr>
        <w:t>â</w:t>
      </w:r>
      <w:r w:rsidRPr="00AF3608">
        <w:rPr>
          <w:rFonts w:ascii="Calibri" w:eastAsia="Calibri" w:hAnsi="Calibri" w:cs="Calibri"/>
          <w:color w:val="000066"/>
          <w:szCs w:val="22"/>
          <w:lang w:val="ro-RO"/>
        </w:rPr>
        <w:t>niei în diverse domenii afectate de criză</w:t>
      </w:r>
      <w:r w:rsidRPr="00AF3608">
        <w:rPr>
          <w:rFonts w:ascii="Calibri" w:eastAsia="Calibri" w:hAnsi="Calibri" w:cs="Calibri"/>
          <w:color w:val="000000"/>
          <w:szCs w:val="22"/>
          <w:lang w:val="ro-RO"/>
        </w:rPr>
        <w:t xml:space="preserve"> precum cel economic, al asistenței sociale, al sănătătii si educației, utilizând politica fiscal bugetară, în vederea stopării efectelor negative ale pandemiei,  care vor influența cadrul macroeconomic și indicatorii bugetari pe orizontul 2021-2023, dar </w:t>
      </w:r>
      <w:r w:rsidR="000D3C6F" w:rsidRPr="00AF3608">
        <w:rPr>
          <w:rFonts w:ascii="Calibri" w:eastAsia="Calibri" w:hAnsi="Calibri" w:cs="Calibri"/>
          <w:color w:val="000000"/>
          <w:szCs w:val="22"/>
          <w:lang w:val="ro-RO"/>
        </w:rPr>
        <w:t>ș</w:t>
      </w:r>
      <w:r w:rsidRPr="00AF3608">
        <w:rPr>
          <w:rFonts w:ascii="Calibri" w:eastAsia="Calibri" w:hAnsi="Calibri" w:cs="Calibri"/>
          <w:color w:val="000000"/>
          <w:szCs w:val="22"/>
          <w:lang w:val="ro-RO"/>
        </w:rPr>
        <w:t>i prioritățile de finanțare din bugetul național;</w:t>
      </w:r>
    </w:p>
    <w:p w:rsidR="00D95CB1" w:rsidRPr="00AF3608" w:rsidRDefault="00D95CB1" w:rsidP="003A0B85">
      <w:pPr>
        <w:numPr>
          <w:ilvl w:val="0"/>
          <w:numId w:val="121"/>
        </w:numPr>
        <w:spacing w:before="120"/>
        <w:ind w:right="-1"/>
        <w:jc w:val="both"/>
        <w:rPr>
          <w:rFonts w:ascii="Calibri" w:eastAsia="Calibri" w:hAnsi="Calibri" w:cs="Calibri"/>
          <w:color w:val="000000"/>
          <w:szCs w:val="22"/>
          <w:lang w:val="ro-RO"/>
        </w:rPr>
      </w:pPr>
      <w:r w:rsidRPr="00AF3608">
        <w:rPr>
          <w:rFonts w:ascii="Calibri" w:eastAsia="Calibri" w:hAnsi="Calibri" w:cs="Calibri"/>
          <w:color w:val="000066"/>
          <w:szCs w:val="22"/>
          <w:lang w:val="ro-RO"/>
        </w:rPr>
        <w:t>obiectivele și măsurile prevăzute în Programul de Guvernare adoptat prin Hotărârea Parlamentului nr.31/2020 privind acordarea încrederii Guvernului,</w:t>
      </w:r>
      <w:r w:rsidRPr="00AF3608">
        <w:rPr>
          <w:rFonts w:ascii="Calibri" w:eastAsia="Calibri" w:hAnsi="Calibri" w:cs="Calibri"/>
          <w:color w:val="000000"/>
          <w:szCs w:val="22"/>
          <w:lang w:val="ro-RO"/>
        </w:rPr>
        <w:t xml:space="preserve"> </w:t>
      </w:r>
      <w:r w:rsidRPr="00AF3608">
        <w:rPr>
          <w:rFonts w:ascii="Calibri" w:eastAsia="Calibri" w:hAnsi="Calibri" w:cs="Calibri"/>
          <w:color w:val="000066"/>
          <w:szCs w:val="22"/>
          <w:lang w:val="ro-RO"/>
        </w:rPr>
        <w:t>întărite prin prevederile Planului național de Investiții și Relansare Economică</w:t>
      </w:r>
      <w:r w:rsidRPr="00AF3608">
        <w:rPr>
          <w:rFonts w:ascii="Calibri" w:eastAsia="Calibri" w:hAnsi="Calibri" w:cs="Calibri"/>
          <w:color w:val="000000"/>
          <w:szCs w:val="22"/>
          <w:lang w:val="ro-RO"/>
        </w:rPr>
        <w:t xml:space="preserve"> care cuprinde măsuri și direcții ample  </w:t>
      </w:r>
      <w:r w:rsidRPr="00AF3608">
        <w:rPr>
          <w:rFonts w:ascii="Calibri" w:eastAsia="Calibri" w:hAnsi="Calibri" w:cs="Calibri"/>
          <w:szCs w:val="22"/>
          <w:lang w:val="ro-RO"/>
        </w:rPr>
        <w:t>care să stimuleze competitivitatea economiei românești și să accelereze convergența reală a României cu economiile dezvoltate din Uniunea Europeană;</w:t>
      </w:r>
    </w:p>
    <w:p w:rsidR="00D95CB1" w:rsidRPr="00AF3608" w:rsidRDefault="00D95CB1" w:rsidP="003A0B85">
      <w:pPr>
        <w:numPr>
          <w:ilvl w:val="0"/>
          <w:numId w:val="121"/>
        </w:numPr>
        <w:spacing w:before="120"/>
        <w:ind w:right="-1"/>
        <w:jc w:val="both"/>
        <w:rPr>
          <w:rFonts w:ascii="Calibri" w:eastAsia="Calibri" w:hAnsi="Calibri" w:cs="Calibri"/>
          <w:color w:val="000000"/>
          <w:szCs w:val="22"/>
          <w:lang w:val="ro-RO"/>
        </w:rPr>
      </w:pPr>
      <w:r w:rsidRPr="00AF3608">
        <w:rPr>
          <w:rFonts w:ascii="Calibri" w:eastAsia="Calibri" w:hAnsi="Calibri" w:cs="Calibri"/>
          <w:color w:val="000000"/>
          <w:kern w:val="1"/>
          <w:szCs w:val="22"/>
          <w:lang w:val="ro-RO"/>
        </w:rPr>
        <w:t xml:space="preserve">prognoza cadrului macroeconomic pe termen </w:t>
      </w:r>
      <w:r w:rsidR="0087408E" w:rsidRPr="00AF3608">
        <w:rPr>
          <w:rFonts w:ascii="Calibri" w:eastAsia="Calibri" w:hAnsi="Calibri" w:cs="Calibri"/>
          <w:color w:val="000000"/>
          <w:kern w:val="1"/>
          <w:szCs w:val="22"/>
          <w:lang w:val="ro-RO"/>
        </w:rPr>
        <w:t>mediu 2019</w:t>
      </w:r>
      <w:r w:rsidRPr="00AF3608">
        <w:rPr>
          <w:rFonts w:ascii="Calibri" w:eastAsia="Calibri" w:hAnsi="Calibri" w:cs="Calibri"/>
          <w:color w:val="000000"/>
          <w:kern w:val="1"/>
          <w:szCs w:val="22"/>
          <w:lang w:val="ro-RO"/>
        </w:rPr>
        <w:t xml:space="preserve">-2024 (varianta de iarnă - 2021), </w:t>
      </w:r>
      <w:r w:rsidRPr="00AF3608">
        <w:rPr>
          <w:rFonts w:ascii="Calibri" w:eastAsia="Calibri" w:hAnsi="Calibri" w:cs="Calibri"/>
          <w:color w:val="000000"/>
          <w:szCs w:val="22"/>
          <w:lang w:val="ro-RO"/>
        </w:rPr>
        <w:t>elaborată de Comisia Națională de Strategie și Prognoză conform căreia creșterea reală a PIB în anul 2021 va fi de 4,3%.</w:t>
      </w:r>
    </w:p>
    <w:p w:rsidR="00D95CB1" w:rsidRPr="00AF3608" w:rsidRDefault="00D95CB1" w:rsidP="00D969C8">
      <w:pPr>
        <w:widowControl w:val="0"/>
        <w:shd w:val="clear" w:color="auto" w:fill="FFFFFF"/>
        <w:autoSpaceDE w:val="0"/>
        <w:autoSpaceDN w:val="0"/>
        <w:adjustRightInd w:val="0"/>
        <w:spacing w:before="120"/>
        <w:ind w:right="-1"/>
        <w:jc w:val="both"/>
        <w:textAlignment w:val="baseline"/>
        <w:rPr>
          <w:rFonts w:ascii="Arial" w:hAnsi="Arial" w:cs="Arial"/>
          <w:sz w:val="26"/>
          <w:szCs w:val="26"/>
          <w:lang w:val="ro-RO"/>
        </w:rPr>
      </w:pPr>
      <w:r w:rsidRPr="00AF3608">
        <w:rPr>
          <w:rFonts w:ascii="Calibri" w:eastAsia="Calibri" w:hAnsi="Calibri"/>
          <w:color w:val="222222"/>
          <w:szCs w:val="22"/>
          <w:lang w:val="ro-RO"/>
        </w:rPr>
        <w:t xml:space="preserve">Având în vedere caracterul particular al anului 2020 care aduce prelungirea unor măsuri și în anul 2021, pentru orizontul de referință se impune </w:t>
      </w:r>
      <w:r w:rsidRPr="00AF3608">
        <w:rPr>
          <w:rFonts w:ascii="Calibri" w:eastAsia="Calibri" w:hAnsi="Calibri"/>
          <w:b/>
          <w:color w:val="00005C"/>
          <w:szCs w:val="22"/>
          <w:lang w:val="ro-RO"/>
        </w:rPr>
        <w:t xml:space="preserve">o </w:t>
      </w:r>
      <w:r w:rsidRPr="00AF3608">
        <w:rPr>
          <w:rFonts w:ascii="Calibri" w:eastAsia="Calibri" w:hAnsi="Calibri" w:cs="Arial"/>
          <w:b/>
          <w:color w:val="00005C"/>
          <w:szCs w:val="22"/>
          <w:lang w:val="ro-RO"/>
        </w:rPr>
        <w:t xml:space="preserve">construcţie bugetară responsabilă şi credibilă, </w:t>
      </w:r>
      <w:r w:rsidRPr="00AF3608">
        <w:rPr>
          <w:rFonts w:ascii="Calibri" w:eastAsia="Calibri" w:hAnsi="Calibri"/>
          <w:b/>
          <w:bCs/>
          <w:color w:val="00005C"/>
          <w:szCs w:val="22"/>
          <w:lang w:val="ro-RO"/>
        </w:rPr>
        <w:t>evitarea politicilor prociclice, crearea de spațiul fiscal,</w:t>
      </w:r>
      <w:r w:rsidRPr="00AF3608">
        <w:rPr>
          <w:rFonts w:ascii="Calibri" w:eastAsia="Calibri" w:hAnsi="Calibri"/>
          <w:bCs/>
          <w:color w:val="00005C"/>
          <w:szCs w:val="22"/>
          <w:lang w:val="ro-RO"/>
        </w:rPr>
        <w:t xml:space="preserve"> vital în economii emergente </w:t>
      </w:r>
      <w:r w:rsidRPr="00AF3608">
        <w:rPr>
          <w:rFonts w:ascii="Calibri" w:eastAsia="Calibri" w:hAnsi="Calibri"/>
          <w:color w:val="000000"/>
          <w:szCs w:val="22"/>
          <w:shd w:val="clear" w:color="auto" w:fill="FFFFFF"/>
          <w:lang w:val="ro-RO"/>
        </w:rPr>
        <w:t xml:space="preserve">în vremuri cu incertitudini mari și piețe financiare ușor schimbătoare, </w:t>
      </w:r>
      <w:r w:rsidRPr="00AF3608">
        <w:rPr>
          <w:rFonts w:ascii="Calibri" w:eastAsia="Calibri" w:hAnsi="Calibri" w:cs="Arial"/>
          <w:szCs w:val="22"/>
          <w:lang w:val="ro-RO"/>
        </w:rPr>
        <w:t xml:space="preserve">argumente pentru evitarea </w:t>
      </w:r>
      <w:r w:rsidRPr="00AF3608">
        <w:rPr>
          <w:rFonts w:ascii="Calibri" w:eastAsia="Calibri" w:hAnsi="Calibri"/>
          <w:color w:val="000000"/>
          <w:szCs w:val="22"/>
          <w:shd w:val="clear" w:color="auto" w:fill="FFFFFF"/>
          <w:lang w:val="ro-RO"/>
        </w:rPr>
        <w:t xml:space="preserve">deteriorării stabilității financiare, a evaluării riscului suveran, a finanțării și dinamicii economiei și pentru </w:t>
      </w:r>
      <w:r w:rsidRPr="00AF3608">
        <w:rPr>
          <w:rFonts w:ascii="Calibri" w:eastAsia="Calibri" w:hAnsi="Calibri" w:cs="Arial"/>
          <w:szCs w:val="22"/>
          <w:lang w:val="ro-RO"/>
        </w:rPr>
        <w:t>susţinerea din partea mediului de afaceri și a partenerilor externi.</w:t>
      </w:r>
      <w:r w:rsidRPr="00AF3608">
        <w:rPr>
          <w:rFonts w:ascii="Arial" w:hAnsi="Arial" w:cs="Arial"/>
          <w:sz w:val="26"/>
          <w:szCs w:val="26"/>
          <w:lang w:val="ro-RO"/>
        </w:rPr>
        <w:t xml:space="preserve"> </w:t>
      </w:r>
    </w:p>
    <w:p w:rsidR="000D3C6F" w:rsidRPr="00AF3608" w:rsidRDefault="000D3C6F" w:rsidP="00D95CB1">
      <w:pPr>
        <w:widowControl w:val="0"/>
        <w:shd w:val="clear" w:color="auto" w:fill="FFFFFF"/>
        <w:autoSpaceDE w:val="0"/>
        <w:autoSpaceDN w:val="0"/>
        <w:adjustRightInd w:val="0"/>
        <w:spacing w:before="120"/>
        <w:ind w:right="-1"/>
        <w:jc w:val="both"/>
        <w:textAlignment w:val="baseline"/>
        <w:rPr>
          <w:rFonts w:ascii="Arial" w:hAnsi="Arial" w:cs="Arial"/>
          <w:sz w:val="26"/>
          <w:szCs w:val="26"/>
          <w:lang w:val="ro-RO"/>
        </w:rPr>
      </w:pPr>
    </w:p>
    <w:p w:rsidR="00D95CB1" w:rsidRPr="00AF3608" w:rsidRDefault="000D3C6F" w:rsidP="000D3C6F">
      <w:pPr>
        <w:widowControl w:val="0"/>
        <w:shd w:val="clear" w:color="auto" w:fill="FFFFFF"/>
        <w:autoSpaceDE w:val="0"/>
        <w:autoSpaceDN w:val="0"/>
        <w:adjustRightInd w:val="0"/>
        <w:spacing w:before="120"/>
        <w:ind w:right="-1"/>
        <w:jc w:val="center"/>
        <w:textAlignment w:val="baseline"/>
        <w:rPr>
          <w:rFonts w:ascii="Calibri" w:hAnsi="Calibri" w:cs="Calibri"/>
          <w:b/>
          <w:color w:val="002060"/>
          <w:lang w:val="ro-RO"/>
        </w:rPr>
      </w:pPr>
      <w:r w:rsidRPr="00AF3608">
        <w:rPr>
          <w:rFonts w:ascii="Calibri" w:hAnsi="Calibri" w:cs="Calibri"/>
          <w:b/>
          <w:color w:val="002060"/>
          <w:lang w:val="ro-RO"/>
        </w:rPr>
        <w:t>Proiecția indicatorilor bugetari pentru perioada 2018- 2023</w:t>
      </w:r>
    </w:p>
    <w:tbl>
      <w:tblPr>
        <w:tblW w:w="8549" w:type="dxa"/>
        <w:jc w:val="center"/>
        <w:tblLook w:val="04A0" w:firstRow="1" w:lastRow="0" w:firstColumn="1" w:lastColumn="0" w:noHBand="0" w:noVBand="1"/>
      </w:tblPr>
      <w:tblGrid>
        <w:gridCol w:w="956"/>
        <w:gridCol w:w="763"/>
        <w:gridCol w:w="980"/>
        <w:gridCol w:w="14"/>
        <w:gridCol w:w="749"/>
        <w:gridCol w:w="14"/>
        <w:gridCol w:w="803"/>
        <w:gridCol w:w="14"/>
        <w:gridCol w:w="1402"/>
        <w:gridCol w:w="14"/>
        <w:gridCol w:w="909"/>
        <w:gridCol w:w="14"/>
        <w:gridCol w:w="61"/>
        <w:gridCol w:w="917"/>
        <w:gridCol w:w="14"/>
        <w:gridCol w:w="481"/>
        <w:gridCol w:w="417"/>
        <w:gridCol w:w="27"/>
      </w:tblGrid>
      <w:tr w:rsidR="000D3C6F" w:rsidRPr="00AF3608" w:rsidTr="00B1570A">
        <w:trPr>
          <w:gridAfter w:val="1"/>
          <w:wAfter w:w="27" w:type="dxa"/>
          <w:trHeight w:val="330"/>
          <w:jc w:val="center"/>
        </w:trPr>
        <w:tc>
          <w:tcPr>
            <w:tcW w:w="956" w:type="dxa"/>
            <w:tcBorders>
              <w:top w:val="nil"/>
              <w:left w:val="nil"/>
              <w:right w:val="nil"/>
            </w:tcBorders>
            <w:shd w:val="clear" w:color="auto" w:fill="9CC2E5" w:themeFill="accent1" w:themeFillTint="99"/>
          </w:tcPr>
          <w:p w:rsidR="000D3C6F" w:rsidRPr="00AF3608" w:rsidRDefault="000D3C6F" w:rsidP="00D95CB1">
            <w:pPr>
              <w:spacing w:before="120"/>
              <w:jc w:val="center"/>
              <w:rPr>
                <w:rFonts w:ascii="Calibri" w:hAnsi="Calibri" w:cs="Arial"/>
                <w:b/>
                <w:bCs/>
                <w:highlight w:val="yellow"/>
                <w:lang w:val="ro-RO" w:eastAsia="ro-RO"/>
              </w:rPr>
            </w:pPr>
          </w:p>
        </w:tc>
        <w:tc>
          <w:tcPr>
            <w:tcW w:w="763" w:type="dxa"/>
            <w:tcBorders>
              <w:top w:val="nil"/>
              <w:left w:val="nil"/>
              <w:right w:val="nil"/>
            </w:tcBorders>
            <w:shd w:val="clear" w:color="auto" w:fill="9CC2E5" w:themeFill="accent1" w:themeFillTint="99"/>
          </w:tcPr>
          <w:p w:rsidR="000D3C6F" w:rsidRPr="00AF3608" w:rsidRDefault="000D3C6F" w:rsidP="00D95CB1">
            <w:pPr>
              <w:spacing w:before="120"/>
              <w:jc w:val="center"/>
              <w:rPr>
                <w:rFonts w:ascii="Calibri" w:hAnsi="Calibri" w:cs="Arial"/>
                <w:b/>
                <w:bCs/>
                <w:lang w:val="ro-RO" w:eastAsia="ro-RO"/>
              </w:rPr>
            </w:pPr>
          </w:p>
        </w:tc>
        <w:tc>
          <w:tcPr>
            <w:tcW w:w="4974" w:type="dxa"/>
            <w:gridSpan w:val="11"/>
            <w:tcBorders>
              <w:top w:val="nil"/>
              <w:left w:val="nil"/>
              <w:right w:val="nil"/>
            </w:tcBorders>
            <w:shd w:val="clear" w:color="auto" w:fill="9CC2E5" w:themeFill="accent1" w:themeFillTint="99"/>
            <w:noWrap/>
            <w:vAlign w:val="bottom"/>
          </w:tcPr>
          <w:p w:rsidR="000D3C6F" w:rsidRPr="00AF3608" w:rsidRDefault="000D3C6F" w:rsidP="000D3C6F">
            <w:pPr>
              <w:spacing w:before="120"/>
              <w:rPr>
                <w:rFonts w:ascii="Calibri" w:hAnsi="Calibri" w:cs="Arial"/>
                <w:b/>
                <w:bCs/>
                <w:lang w:val="ro-RO" w:eastAsia="ro-RO"/>
              </w:rPr>
            </w:pPr>
          </w:p>
        </w:tc>
        <w:tc>
          <w:tcPr>
            <w:tcW w:w="1412" w:type="dxa"/>
            <w:gridSpan w:val="3"/>
            <w:tcBorders>
              <w:top w:val="nil"/>
              <w:left w:val="nil"/>
              <w:right w:val="nil"/>
            </w:tcBorders>
            <w:shd w:val="clear" w:color="auto" w:fill="9CC2E5" w:themeFill="accent1" w:themeFillTint="99"/>
            <w:noWrap/>
            <w:vAlign w:val="bottom"/>
          </w:tcPr>
          <w:p w:rsidR="000D3C6F" w:rsidRPr="00AF3608" w:rsidRDefault="000D3C6F" w:rsidP="00D95CB1">
            <w:pPr>
              <w:spacing w:before="120"/>
              <w:jc w:val="right"/>
              <w:rPr>
                <w:rFonts w:ascii="Calibri" w:hAnsi="Calibri" w:cs="Arial"/>
                <w:lang w:val="ro-RO" w:eastAsia="ro-RO"/>
              </w:rPr>
            </w:pPr>
            <w:r w:rsidRPr="00AF3608">
              <w:rPr>
                <w:rFonts w:ascii="Calibri" w:hAnsi="Calibri" w:cs="Arial"/>
                <w:lang w:val="ro-RO" w:eastAsia="ro-RO"/>
              </w:rPr>
              <w:t>% din PIB</w:t>
            </w:r>
          </w:p>
        </w:tc>
        <w:tc>
          <w:tcPr>
            <w:tcW w:w="417" w:type="dxa"/>
            <w:tcBorders>
              <w:top w:val="nil"/>
              <w:left w:val="nil"/>
              <w:right w:val="nil"/>
            </w:tcBorders>
            <w:shd w:val="clear" w:color="auto" w:fill="9CC2E5" w:themeFill="accent1" w:themeFillTint="99"/>
          </w:tcPr>
          <w:p w:rsidR="000D3C6F" w:rsidRPr="00AF3608" w:rsidRDefault="000D3C6F" w:rsidP="000D3C6F">
            <w:pPr>
              <w:spacing w:before="120"/>
              <w:rPr>
                <w:rFonts w:ascii="Calibri" w:hAnsi="Calibri" w:cs="Arial"/>
                <w:lang w:val="ro-RO" w:eastAsia="ro-RO"/>
              </w:rPr>
            </w:pPr>
          </w:p>
        </w:tc>
      </w:tr>
      <w:tr w:rsidR="000D3C6F" w:rsidRPr="00AF3608" w:rsidTr="00B1570A">
        <w:trPr>
          <w:gridAfter w:val="1"/>
          <w:wAfter w:w="27" w:type="dxa"/>
          <w:trHeight w:val="330"/>
          <w:jc w:val="center"/>
        </w:trPr>
        <w:tc>
          <w:tcPr>
            <w:tcW w:w="2713" w:type="dxa"/>
            <w:gridSpan w:val="4"/>
            <w:shd w:val="clear" w:color="auto" w:fill="9CC2E5" w:themeFill="accent1" w:themeFillTint="99"/>
            <w:noWrap/>
            <w:vAlign w:val="bottom"/>
          </w:tcPr>
          <w:p w:rsidR="000D3C6F" w:rsidRPr="00AF3608" w:rsidRDefault="000D3C6F" w:rsidP="00D95CB1">
            <w:pPr>
              <w:spacing w:before="120"/>
              <w:jc w:val="center"/>
              <w:rPr>
                <w:rFonts w:ascii="Calibri" w:hAnsi="Calibri" w:cs="Arial"/>
                <w:b/>
                <w:bCs/>
                <w:lang w:val="ro-RO" w:eastAsia="ro-RO"/>
              </w:rPr>
            </w:pPr>
            <w:r w:rsidRPr="00AF3608">
              <w:rPr>
                <w:rFonts w:ascii="Calibri" w:hAnsi="Calibri" w:cs="Arial"/>
                <w:b/>
                <w:bCs/>
                <w:lang w:val="ro-RO" w:eastAsia="ro-RO"/>
              </w:rPr>
              <w:t> </w:t>
            </w:r>
          </w:p>
        </w:tc>
        <w:tc>
          <w:tcPr>
            <w:tcW w:w="763" w:type="dxa"/>
            <w:gridSpan w:val="2"/>
            <w:shd w:val="clear" w:color="auto" w:fill="9CC2E5" w:themeFill="accent1" w:themeFillTint="99"/>
            <w:noWrap/>
            <w:vAlign w:val="center"/>
          </w:tcPr>
          <w:p w:rsidR="000D3C6F" w:rsidRPr="00AF3608" w:rsidRDefault="000D3C6F" w:rsidP="00D95CB1">
            <w:pPr>
              <w:spacing w:before="120"/>
              <w:jc w:val="center"/>
              <w:rPr>
                <w:rFonts w:ascii="Calibri" w:hAnsi="Calibri" w:cs="Arial"/>
                <w:b/>
                <w:bCs/>
                <w:lang w:val="ro-RO" w:eastAsia="ro-RO"/>
              </w:rPr>
            </w:pPr>
            <w:r w:rsidRPr="00AF3608">
              <w:rPr>
                <w:rFonts w:ascii="Calibri" w:hAnsi="Calibri" w:cs="Arial"/>
                <w:b/>
                <w:bCs/>
                <w:lang w:val="ro-RO" w:eastAsia="ro-RO"/>
              </w:rPr>
              <w:t>2018</w:t>
            </w:r>
          </w:p>
        </w:tc>
        <w:tc>
          <w:tcPr>
            <w:tcW w:w="817" w:type="dxa"/>
            <w:gridSpan w:val="2"/>
            <w:shd w:val="clear" w:color="auto" w:fill="9CC2E5" w:themeFill="accent1" w:themeFillTint="99"/>
            <w:noWrap/>
            <w:vAlign w:val="center"/>
          </w:tcPr>
          <w:p w:rsidR="000D3C6F" w:rsidRPr="00AF3608" w:rsidRDefault="000D3C6F" w:rsidP="00D95CB1">
            <w:pPr>
              <w:spacing w:before="120"/>
              <w:jc w:val="center"/>
              <w:rPr>
                <w:rFonts w:ascii="Calibri" w:hAnsi="Calibri" w:cs="Arial"/>
                <w:b/>
                <w:bCs/>
                <w:lang w:val="ro-RO" w:eastAsia="ro-RO"/>
              </w:rPr>
            </w:pPr>
            <w:r w:rsidRPr="00AF3608">
              <w:rPr>
                <w:rFonts w:ascii="Calibri" w:hAnsi="Calibri" w:cs="Arial"/>
                <w:b/>
                <w:bCs/>
                <w:lang w:val="ro-RO" w:eastAsia="ro-RO"/>
              </w:rPr>
              <w:t>2019</w:t>
            </w:r>
          </w:p>
        </w:tc>
        <w:tc>
          <w:tcPr>
            <w:tcW w:w="1416" w:type="dxa"/>
            <w:gridSpan w:val="2"/>
            <w:shd w:val="clear" w:color="auto" w:fill="9CC2E5" w:themeFill="accent1" w:themeFillTint="99"/>
            <w:noWrap/>
            <w:vAlign w:val="center"/>
          </w:tcPr>
          <w:p w:rsidR="000D3C6F" w:rsidRPr="00AF3608" w:rsidRDefault="000D3C6F" w:rsidP="00D95CB1">
            <w:pPr>
              <w:spacing w:before="120"/>
              <w:jc w:val="center"/>
              <w:rPr>
                <w:rFonts w:ascii="Calibri" w:hAnsi="Calibri" w:cs="Arial"/>
                <w:b/>
                <w:bCs/>
                <w:lang w:val="ro-RO" w:eastAsia="ro-RO"/>
              </w:rPr>
            </w:pPr>
            <w:r w:rsidRPr="00AF3608">
              <w:rPr>
                <w:rFonts w:ascii="Calibri" w:hAnsi="Calibri" w:cs="Arial"/>
                <w:b/>
                <w:bCs/>
                <w:lang w:val="ro-RO" w:eastAsia="ro-RO"/>
              </w:rPr>
              <w:t>2020</w:t>
            </w:r>
          </w:p>
        </w:tc>
        <w:tc>
          <w:tcPr>
            <w:tcW w:w="923" w:type="dxa"/>
            <w:gridSpan w:val="2"/>
            <w:shd w:val="clear" w:color="auto" w:fill="9CC2E5" w:themeFill="accent1" w:themeFillTint="99"/>
            <w:vAlign w:val="center"/>
          </w:tcPr>
          <w:p w:rsidR="000D3C6F" w:rsidRPr="00AF3608" w:rsidRDefault="000D3C6F" w:rsidP="00D95CB1">
            <w:pPr>
              <w:spacing w:before="120"/>
              <w:jc w:val="center"/>
              <w:rPr>
                <w:rFonts w:ascii="Calibri" w:hAnsi="Calibri" w:cs="Arial"/>
                <w:b/>
                <w:bCs/>
                <w:lang w:val="ro-RO" w:eastAsia="ro-RO"/>
              </w:rPr>
            </w:pPr>
            <w:r w:rsidRPr="00AF3608">
              <w:rPr>
                <w:rFonts w:ascii="Calibri" w:hAnsi="Calibri" w:cs="Arial"/>
                <w:b/>
                <w:bCs/>
                <w:lang w:val="ro-RO" w:eastAsia="ro-RO"/>
              </w:rPr>
              <w:t>2021</w:t>
            </w:r>
          </w:p>
        </w:tc>
        <w:tc>
          <w:tcPr>
            <w:tcW w:w="992" w:type="dxa"/>
            <w:gridSpan w:val="3"/>
            <w:shd w:val="clear" w:color="auto" w:fill="9CC2E5" w:themeFill="accent1" w:themeFillTint="99"/>
            <w:vAlign w:val="center"/>
          </w:tcPr>
          <w:p w:rsidR="000D3C6F" w:rsidRPr="00AF3608" w:rsidRDefault="000D3C6F" w:rsidP="00D95CB1">
            <w:pPr>
              <w:spacing w:before="120"/>
              <w:jc w:val="center"/>
              <w:rPr>
                <w:rFonts w:ascii="Calibri" w:hAnsi="Calibri" w:cs="Arial"/>
                <w:b/>
                <w:bCs/>
                <w:lang w:val="ro-RO" w:eastAsia="ro-RO"/>
              </w:rPr>
            </w:pPr>
            <w:r w:rsidRPr="00AF3608">
              <w:rPr>
                <w:rFonts w:ascii="Calibri" w:hAnsi="Calibri" w:cs="Arial"/>
                <w:b/>
                <w:bCs/>
                <w:lang w:val="ro-RO" w:eastAsia="ro-RO"/>
              </w:rPr>
              <w:t>2022</w:t>
            </w:r>
          </w:p>
        </w:tc>
        <w:tc>
          <w:tcPr>
            <w:tcW w:w="898" w:type="dxa"/>
            <w:gridSpan w:val="2"/>
            <w:shd w:val="clear" w:color="auto" w:fill="9CC2E5" w:themeFill="accent1" w:themeFillTint="99"/>
          </w:tcPr>
          <w:p w:rsidR="000D3C6F" w:rsidRPr="00AF3608" w:rsidRDefault="000D3C6F" w:rsidP="00D95CB1">
            <w:pPr>
              <w:spacing w:before="120"/>
              <w:jc w:val="center"/>
              <w:rPr>
                <w:rFonts w:ascii="Calibri" w:hAnsi="Calibri" w:cs="Arial"/>
                <w:b/>
                <w:bCs/>
                <w:lang w:val="ro-RO" w:eastAsia="ro-RO"/>
              </w:rPr>
            </w:pPr>
            <w:r w:rsidRPr="00AF3608">
              <w:rPr>
                <w:rFonts w:ascii="Calibri" w:hAnsi="Calibri" w:cs="Arial"/>
                <w:b/>
                <w:bCs/>
                <w:lang w:val="ro-RO" w:eastAsia="ro-RO"/>
              </w:rPr>
              <w:t>2023</w:t>
            </w:r>
          </w:p>
        </w:tc>
      </w:tr>
      <w:tr w:rsidR="000D3C6F" w:rsidRPr="00AF3608" w:rsidTr="000D3C6F">
        <w:trPr>
          <w:trHeight w:val="540"/>
          <w:jc w:val="center"/>
        </w:trPr>
        <w:tc>
          <w:tcPr>
            <w:tcW w:w="2699" w:type="dxa"/>
            <w:gridSpan w:val="3"/>
            <w:shd w:val="clear" w:color="auto" w:fill="auto"/>
            <w:vAlign w:val="center"/>
          </w:tcPr>
          <w:p w:rsidR="000D3C6F" w:rsidRPr="00AF3608" w:rsidRDefault="000D3C6F" w:rsidP="00D95CB1">
            <w:pPr>
              <w:spacing w:before="120"/>
              <w:rPr>
                <w:rFonts w:ascii="Calibri" w:hAnsi="Calibri" w:cs="Arial"/>
                <w:lang w:val="ro-RO" w:eastAsia="ro-RO"/>
              </w:rPr>
            </w:pPr>
            <w:r w:rsidRPr="00AF3608">
              <w:rPr>
                <w:rFonts w:ascii="Calibri" w:hAnsi="Calibri" w:cs="Arial"/>
                <w:lang w:val="ro-RO" w:eastAsia="ro-RO"/>
              </w:rPr>
              <w:t>VENITURI buget general consolidat (cash)</w:t>
            </w:r>
          </w:p>
        </w:tc>
        <w:tc>
          <w:tcPr>
            <w:tcW w:w="763" w:type="dxa"/>
            <w:gridSpan w:val="2"/>
            <w:shd w:val="clear" w:color="auto" w:fill="auto"/>
            <w:noWrap/>
            <w:vAlign w:val="center"/>
          </w:tcPr>
          <w:p w:rsidR="000D3C6F" w:rsidRPr="00AF3608" w:rsidRDefault="000D3C6F" w:rsidP="00D95CB1">
            <w:pPr>
              <w:spacing w:before="120"/>
              <w:jc w:val="center"/>
              <w:rPr>
                <w:rFonts w:ascii="Calibri" w:hAnsi="Calibri" w:cs="Arial"/>
                <w:lang w:val="ro-RO" w:eastAsia="ro-RO"/>
              </w:rPr>
            </w:pPr>
          </w:p>
          <w:p w:rsidR="000D3C6F" w:rsidRPr="00AF3608" w:rsidRDefault="000D3C6F" w:rsidP="00D95CB1">
            <w:pPr>
              <w:spacing w:before="120"/>
              <w:jc w:val="center"/>
              <w:rPr>
                <w:rFonts w:ascii="Calibri" w:hAnsi="Calibri" w:cs="Arial"/>
                <w:lang w:val="ro-RO" w:eastAsia="ro-RO"/>
              </w:rPr>
            </w:pPr>
            <w:r w:rsidRPr="00AF3608">
              <w:rPr>
                <w:rFonts w:ascii="Calibri" w:hAnsi="Calibri" w:cs="Arial"/>
                <w:lang w:val="ro-RO" w:eastAsia="ro-RO"/>
              </w:rPr>
              <w:t>31,02</w:t>
            </w:r>
          </w:p>
        </w:tc>
        <w:tc>
          <w:tcPr>
            <w:tcW w:w="817" w:type="dxa"/>
            <w:gridSpan w:val="2"/>
            <w:shd w:val="clear" w:color="auto" w:fill="auto"/>
            <w:noWrap/>
            <w:vAlign w:val="center"/>
          </w:tcPr>
          <w:p w:rsidR="000D3C6F" w:rsidRPr="00AF3608" w:rsidRDefault="000D3C6F" w:rsidP="00D95CB1">
            <w:pPr>
              <w:spacing w:before="120"/>
              <w:jc w:val="center"/>
              <w:rPr>
                <w:rFonts w:ascii="Calibri" w:hAnsi="Calibri" w:cs="Arial"/>
                <w:lang w:val="ro-RO" w:eastAsia="ro-RO"/>
              </w:rPr>
            </w:pPr>
          </w:p>
          <w:p w:rsidR="000D3C6F" w:rsidRPr="00AF3608" w:rsidRDefault="000D3C6F" w:rsidP="00D95CB1">
            <w:pPr>
              <w:spacing w:before="120"/>
              <w:jc w:val="center"/>
              <w:rPr>
                <w:rFonts w:ascii="Calibri" w:hAnsi="Calibri" w:cs="Arial"/>
                <w:lang w:val="ro-RO" w:eastAsia="ro-RO"/>
              </w:rPr>
            </w:pPr>
            <w:r w:rsidRPr="00AF3608">
              <w:rPr>
                <w:rFonts w:ascii="Calibri" w:hAnsi="Calibri" w:cs="Arial"/>
                <w:lang w:val="ro-RO" w:eastAsia="ro-RO"/>
              </w:rPr>
              <w:t>30,30</w:t>
            </w:r>
          </w:p>
        </w:tc>
        <w:tc>
          <w:tcPr>
            <w:tcW w:w="1416" w:type="dxa"/>
            <w:gridSpan w:val="2"/>
            <w:shd w:val="clear" w:color="auto" w:fill="auto"/>
            <w:noWrap/>
            <w:vAlign w:val="center"/>
          </w:tcPr>
          <w:p w:rsidR="000D3C6F" w:rsidRPr="00AF3608" w:rsidRDefault="000D3C6F" w:rsidP="00D95CB1">
            <w:pPr>
              <w:spacing w:before="120"/>
              <w:jc w:val="center"/>
              <w:rPr>
                <w:rFonts w:ascii="Calibri" w:hAnsi="Calibri" w:cs="Arial"/>
                <w:lang w:val="ro-RO" w:eastAsia="ro-RO"/>
              </w:rPr>
            </w:pPr>
          </w:p>
          <w:p w:rsidR="000D3C6F" w:rsidRPr="00AF3608" w:rsidRDefault="000D3C6F" w:rsidP="00D95CB1">
            <w:pPr>
              <w:spacing w:before="120"/>
              <w:jc w:val="center"/>
              <w:rPr>
                <w:rFonts w:ascii="Calibri" w:hAnsi="Calibri" w:cs="Arial"/>
                <w:lang w:val="ro-RO" w:eastAsia="ro-RO"/>
              </w:rPr>
            </w:pPr>
            <w:r w:rsidRPr="00AF3608">
              <w:rPr>
                <w:rFonts w:ascii="Calibri" w:hAnsi="Calibri" w:cs="Arial"/>
                <w:lang w:val="ro-RO" w:eastAsia="ro-RO"/>
              </w:rPr>
              <w:t>30,99</w:t>
            </w:r>
          </w:p>
        </w:tc>
        <w:tc>
          <w:tcPr>
            <w:tcW w:w="923" w:type="dxa"/>
            <w:gridSpan w:val="2"/>
            <w:vAlign w:val="center"/>
          </w:tcPr>
          <w:p w:rsidR="000D3C6F" w:rsidRPr="00AF3608" w:rsidRDefault="000D3C6F" w:rsidP="00D95CB1">
            <w:pPr>
              <w:spacing w:before="120"/>
              <w:jc w:val="center"/>
              <w:rPr>
                <w:rFonts w:ascii="Calibri" w:hAnsi="Calibri" w:cs="Arial"/>
                <w:lang w:val="ro-RO" w:eastAsia="ro-RO"/>
              </w:rPr>
            </w:pPr>
          </w:p>
          <w:p w:rsidR="000D3C6F" w:rsidRPr="00AF3608" w:rsidRDefault="004D123A" w:rsidP="00D95CB1">
            <w:pPr>
              <w:spacing w:before="120"/>
              <w:jc w:val="center"/>
              <w:rPr>
                <w:rFonts w:ascii="Calibri" w:hAnsi="Calibri" w:cs="Arial"/>
                <w:lang w:val="ro-RO" w:eastAsia="ro-RO"/>
              </w:rPr>
            </w:pPr>
            <w:r w:rsidRPr="00AF3608">
              <w:rPr>
                <w:rFonts w:ascii="Calibri" w:hAnsi="Calibri" w:cs="Arial"/>
                <w:lang w:val="ro-RO" w:eastAsia="ro-RO"/>
              </w:rPr>
              <w:t>32,67</w:t>
            </w:r>
          </w:p>
        </w:tc>
        <w:tc>
          <w:tcPr>
            <w:tcW w:w="992" w:type="dxa"/>
            <w:gridSpan w:val="3"/>
            <w:vAlign w:val="center"/>
          </w:tcPr>
          <w:p w:rsidR="000D3C6F" w:rsidRPr="00AF3608" w:rsidRDefault="000D3C6F" w:rsidP="00D95CB1">
            <w:pPr>
              <w:spacing w:before="120"/>
              <w:jc w:val="center"/>
              <w:rPr>
                <w:rFonts w:ascii="Calibri" w:hAnsi="Calibri" w:cs="Arial"/>
                <w:lang w:val="ro-RO" w:eastAsia="ro-RO"/>
              </w:rPr>
            </w:pPr>
          </w:p>
          <w:p w:rsidR="000D3C6F" w:rsidRPr="00AF3608" w:rsidRDefault="000D3C6F" w:rsidP="00D95CB1">
            <w:pPr>
              <w:spacing w:before="120"/>
              <w:jc w:val="center"/>
              <w:rPr>
                <w:rFonts w:ascii="Calibri" w:hAnsi="Calibri" w:cs="Arial"/>
                <w:lang w:val="ro-RO" w:eastAsia="ro-RO"/>
              </w:rPr>
            </w:pPr>
            <w:r w:rsidRPr="00AF3608">
              <w:rPr>
                <w:rFonts w:ascii="Calibri" w:hAnsi="Calibri" w:cs="Arial"/>
                <w:lang w:val="ro-RO" w:eastAsia="ro-RO"/>
              </w:rPr>
              <w:t>31,40</w:t>
            </w:r>
          </w:p>
        </w:tc>
        <w:tc>
          <w:tcPr>
            <w:tcW w:w="939" w:type="dxa"/>
            <w:gridSpan w:val="4"/>
          </w:tcPr>
          <w:p w:rsidR="000D3C6F" w:rsidRPr="00AF3608" w:rsidRDefault="000D3C6F" w:rsidP="00D95CB1">
            <w:pPr>
              <w:spacing w:before="120"/>
              <w:jc w:val="center"/>
              <w:rPr>
                <w:rFonts w:ascii="Calibri" w:hAnsi="Calibri" w:cs="Arial"/>
                <w:lang w:val="ro-RO" w:eastAsia="ro-RO"/>
              </w:rPr>
            </w:pPr>
          </w:p>
          <w:p w:rsidR="000D3C6F" w:rsidRPr="00AF3608" w:rsidRDefault="000D3C6F" w:rsidP="00D95CB1">
            <w:pPr>
              <w:spacing w:before="120"/>
              <w:jc w:val="center"/>
              <w:rPr>
                <w:rFonts w:ascii="Calibri" w:hAnsi="Calibri" w:cs="Arial"/>
                <w:lang w:val="ro-RO" w:eastAsia="ro-RO"/>
              </w:rPr>
            </w:pPr>
            <w:r w:rsidRPr="00AF3608">
              <w:rPr>
                <w:rFonts w:ascii="Calibri" w:hAnsi="Calibri" w:cs="Arial"/>
                <w:lang w:val="ro-RO" w:eastAsia="ro-RO"/>
              </w:rPr>
              <w:t>30,96</w:t>
            </w:r>
          </w:p>
        </w:tc>
      </w:tr>
      <w:tr w:rsidR="000D3C6F" w:rsidRPr="00AF3608" w:rsidTr="000D3C6F">
        <w:trPr>
          <w:gridAfter w:val="1"/>
          <w:wAfter w:w="27" w:type="dxa"/>
          <w:trHeight w:val="689"/>
          <w:jc w:val="center"/>
        </w:trPr>
        <w:tc>
          <w:tcPr>
            <w:tcW w:w="2713" w:type="dxa"/>
            <w:gridSpan w:val="4"/>
            <w:shd w:val="clear" w:color="auto" w:fill="auto"/>
            <w:vAlign w:val="center"/>
          </w:tcPr>
          <w:p w:rsidR="000D3C6F" w:rsidRPr="00AF3608" w:rsidRDefault="000D3C6F" w:rsidP="00D95CB1">
            <w:pPr>
              <w:spacing w:before="120"/>
              <w:rPr>
                <w:rFonts w:ascii="Calibri" w:hAnsi="Calibri" w:cs="Arial"/>
                <w:lang w:val="ro-RO" w:eastAsia="ro-RO"/>
              </w:rPr>
            </w:pPr>
            <w:r w:rsidRPr="00AF3608">
              <w:rPr>
                <w:rFonts w:ascii="Calibri" w:hAnsi="Calibri" w:cs="Arial"/>
                <w:lang w:val="ro-RO" w:eastAsia="ro-RO"/>
              </w:rPr>
              <w:t>CHELTUIELI buget general consolidat (cash)</w:t>
            </w:r>
          </w:p>
        </w:tc>
        <w:tc>
          <w:tcPr>
            <w:tcW w:w="763" w:type="dxa"/>
            <w:gridSpan w:val="2"/>
            <w:shd w:val="clear" w:color="auto" w:fill="auto"/>
            <w:noWrap/>
            <w:vAlign w:val="center"/>
          </w:tcPr>
          <w:p w:rsidR="000D3C6F" w:rsidRPr="00AF3608" w:rsidRDefault="000D3C6F" w:rsidP="00D95CB1">
            <w:pPr>
              <w:spacing w:before="120"/>
              <w:jc w:val="center"/>
              <w:rPr>
                <w:rFonts w:ascii="Calibri" w:hAnsi="Calibri" w:cs="Arial"/>
                <w:lang w:val="ro-RO" w:eastAsia="ro-RO"/>
              </w:rPr>
            </w:pPr>
          </w:p>
          <w:p w:rsidR="000D3C6F" w:rsidRPr="00AF3608" w:rsidRDefault="000D3C6F" w:rsidP="00D95CB1">
            <w:pPr>
              <w:spacing w:before="120"/>
              <w:jc w:val="center"/>
              <w:rPr>
                <w:rFonts w:ascii="Calibri" w:hAnsi="Calibri" w:cs="Arial"/>
                <w:lang w:val="ro-RO" w:eastAsia="ro-RO"/>
              </w:rPr>
            </w:pPr>
            <w:r w:rsidRPr="00AF3608">
              <w:rPr>
                <w:rFonts w:ascii="Calibri" w:hAnsi="Calibri" w:cs="Arial"/>
                <w:lang w:val="ro-RO" w:eastAsia="ro-RO"/>
              </w:rPr>
              <w:t>33,85</w:t>
            </w:r>
          </w:p>
        </w:tc>
        <w:tc>
          <w:tcPr>
            <w:tcW w:w="817" w:type="dxa"/>
            <w:gridSpan w:val="2"/>
            <w:shd w:val="clear" w:color="auto" w:fill="auto"/>
            <w:noWrap/>
            <w:vAlign w:val="center"/>
          </w:tcPr>
          <w:p w:rsidR="000D3C6F" w:rsidRPr="00AF3608" w:rsidRDefault="000D3C6F" w:rsidP="00D95CB1">
            <w:pPr>
              <w:spacing w:before="120"/>
              <w:jc w:val="center"/>
              <w:rPr>
                <w:rFonts w:ascii="Calibri" w:hAnsi="Calibri" w:cs="Arial"/>
                <w:lang w:val="ro-RO" w:eastAsia="ro-RO"/>
              </w:rPr>
            </w:pPr>
          </w:p>
          <w:p w:rsidR="000D3C6F" w:rsidRPr="00AF3608" w:rsidRDefault="000D3C6F" w:rsidP="00D95CB1">
            <w:pPr>
              <w:spacing w:before="120"/>
              <w:jc w:val="center"/>
              <w:rPr>
                <w:rFonts w:ascii="Calibri" w:hAnsi="Calibri" w:cs="Arial"/>
                <w:lang w:val="ro-RO" w:eastAsia="ro-RO"/>
              </w:rPr>
            </w:pPr>
            <w:r w:rsidRPr="00AF3608">
              <w:rPr>
                <w:rFonts w:ascii="Calibri" w:hAnsi="Calibri" w:cs="Arial"/>
                <w:lang w:val="ro-RO" w:eastAsia="ro-RO"/>
              </w:rPr>
              <w:t>34,88</w:t>
            </w:r>
          </w:p>
        </w:tc>
        <w:tc>
          <w:tcPr>
            <w:tcW w:w="1416" w:type="dxa"/>
            <w:gridSpan w:val="2"/>
            <w:shd w:val="clear" w:color="auto" w:fill="auto"/>
            <w:noWrap/>
            <w:vAlign w:val="center"/>
          </w:tcPr>
          <w:p w:rsidR="000D3C6F" w:rsidRPr="00AF3608" w:rsidRDefault="000D3C6F" w:rsidP="00D95CB1">
            <w:pPr>
              <w:spacing w:before="120"/>
              <w:jc w:val="center"/>
              <w:rPr>
                <w:rFonts w:ascii="Calibri" w:hAnsi="Calibri" w:cs="Arial"/>
                <w:lang w:val="ro-RO" w:eastAsia="ro-RO"/>
              </w:rPr>
            </w:pPr>
          </w:p>
          <w:p w:rsidR="000D3C6F" w:rsidRPr="00AF3608" w:rsidRDefault="000D3C6F" w:rsidP="00D95CB1">
            <w:pPr>
              <w:spacing w:before="120"/>
              <w:jc w:val="center"/>
              <w:rPr>
                <w:rFonts w:ascii="Calibri" w:hAnsi="Calibri" w:cs="Arial"/>
                <w:lang w:val="ro-RO" w:eastAsia="ro-RO"/>
              </w:rPr>
            </w:pPr>
            <w:r w:rsidRPr="00AF3608">
              <w:rPr>
                <w:rFonts w:ascii="Calibri" w:hAnsi="Calibri" w:cs="Arial"/>
                <w:lang w:val="ro-RO" w:eastAsia="ro-RO"/>
              </w:rPr>
              <w:t>40,78</w:t>
            </w:r>
          </w:p>
        </w:tc>
        <w:tc>
          <w:tcPr>
            <w:tcW w:w="923" w:type="dxa"/>
            <w:gridSpan w:val="2"/>
            <w:vAlign w:val="center"/>
          </w:tcPr>
          <w:p w:rsidR="000D3C6F" w:rsidRPr="00AF3608" w:rsidRDefault="000D3C6F" w:rsidP="00D95CB1">
            <w:pPr>
              <w:spacing w:before="120"/>
              <w:jc w:val="center"/>
              <w:rPr>
                <w:rFonts w:ascii="Calibri" w:hAnsi="Calibri" w:cs="Arial"/>
                <w:lang w:val="ro-RO" w:eastAsia="ro-RO"/>
              </w:rPr>
            </w:pPr>
          </w:p>
          <w:p w:rsidR="000D3C6F" w:rsidRPr="00AF3608" w:rsidRDefault="00053B49" w:rsidP="00D95CB1">
            <w:pPr>
              <w:spacing w:before="120"/>
              <w:jc w:val="center"/>
              <w:rPr>
                <w:rFonts w:ascii="Calibri" w:hAnsi="Calibri" w:cs="Arial"/>
                <w:lang w:val="ro-RO" w:eastAsia="ro-RO"/>
              </w:rPr>
            </w:pPr>
            <w:r w:rsidRPr="00AF3608">
              <w:rPr>
                <w:rFonts w:ascii="Calibri" w:hAnsi="Calibri" w:cs="Arial"/>
                <w:lang w:val="ro-RO" w:eastAsia="ro-RO"/>
              </w:rPr>
              <w:t>39,84</w:t>
            </w:r>
          </w:p>
        </w:tc>
        <w:tc>
          <w:tcPr>
            <w:tcW w:w="992" w:type="dxa"/>
            <w:gridSpan w:val="3"/>
            <w:vAlign w:val="center"/>
          </w:tcPr>
          <w:p w:rsidR="000D3C6F" w:rsidRPr="00AF3608" w:rsidRDefault="000D3C6F" w:rsidP="00D95CB1">
            <w:pPr>
              <w:spacing w:before="120"/>
              <w:jc w:val="center"/>
              <w:rPr>
                <w:rFonts w:ascii="Calibri" w:hAnsi="Calibri" w:cs="Arial"/>
                <w:lang w:val="ro-RO" w:eastAsia="ro-RO"/>
              </w:rPr>
            </w:pPr>
          </w:p>
          <w:p w:rsidR="000D3C6F" w:rsidRPr="00AF3608" w:rsidRDefault="000D3C6F" w:rsidP="00D95CB1">
            <w:pPr>
              <w:spacing w:before="120"/>
              <w:jc w:val="center"/>
              <w:rPr>
                <w:rFonts w:ascii="Calibri" w:hAnsi="Calibri" w:cs="Arial"/>
                <w:lang w:val="ro-RO" w:eastAsia="ro-RO"/>
              </w:rPr>
            </w:pPr>
            <w:r w:rsidRPr="00AF3608">
              <w:rPr>
                <w:rFonts w:ascii="Calibri" w:hAnsi="Calibri" w:cs="Arial"/>
                <w:lang w:val="ro-RO" w:eastAsia="ro-RO"/>
              </w:rPr>
              <w:t>37,25</w:t>
            </w:r>
          </w:p>
        </w:tc>
        <w:tc>
          <w:tcPr>
            <w:tcW w:w="898" w:type="dxa"/>
            <w:gridSpan w:val="2"/>
          </w:tcPr>
          <w:p w:rsidR="000D3C6F" w:rsidRPr="00AF3608" w:rsidRDefault="000D3C6F" w:rsidP="00D95CB1">
            <w:pPr>
              <w:spacing w:before="120"/>
              <w:jc w:val="center"/>
              <w:rPr>
                <w:rFonts w:ascii="Calibri" w:hAnsi="Calibri" w:cs="Arial"/>
                <w:lang w:val="ro-RO" w:eastAsia="ro-RO"/>
              </w:rPr>
            </w:pPr>
          </w:p>
          <w:p w:rsidR="000D3C6F" w:rsidRPr="00AF3608" w:rsidRDefault="000D3C6F" w:rsidP="00D95CB1">
            <w:pPr>
              <w:spacing w:before="120"/>
              <w:jc w:val="center"/>
              <w:rPr>
                <w:rFonts w:ascii="Calibri" w:hAnsi="Calibri" w:cs="Arial"/>
                <w:lang w:val="ro-RO" w:eastAsia="ro-RO"/>
              </w:rPr>
            </w:pPr>
            <w:r w:rsidRPr="00AF3608">
              <w:rPr>
                <w:rFonts w:ascii="Calibri" w:hAnsi="Calibri" w:cs="Arial"/>
                <w:lang w:val="ro-RO" w:eastAsia="ro-RO"/>
              </w:rPr>
              <w:t>35,33</w:t>
            </w:r>
          </w:p>
        </w:tc>
      </w:tr>
      <w:tr w:rsidR="000D3C6F" w:rsidRPr="00AF3608" w:rsidTr="000D3C6F">
        <w:trPr>
          <w:gridAfter w:val="1"/>
          <w:wAfter w:w="27" w:type="dxa"/>
          <w:trHeight w:val="465"/>
          <w:jc w:val="center"/>
        </w:trPr>
        <w:tc>
          <w:tcPr>
            <w:tcW w:w="2713" w:type="dxa"/>
            <w:gridSpan w:val="4"/>
            <w:shd w:val="clear" w:color="auto" w:fill="auto"/>
            <w:vAlign w:val="center"/>
          </w:tcPr>
          <w:p w:rsidR="000D3C6F" w:rsidRPr="00AF3608" w:rsidRDefault="000D3C6F" w:rsidP="00D95CB1">
            <w:pPr>
              <w:spacing w:before="120"/>
              <w:rPr>
                <w:rFonts w:ascii="Calibri" w:hAnsi="Calibri" w:cs="Arial"/>
                <w:lang w:val="ro-RO" w:eastAsia="ro-RO"/>
              </w:rPr>
            </w:pPr>
            <w:r w:rsidRPr="00AF3608">
              <w:rPr>
                <w:rFonts w:ascii="Calibri" w:hAnsi="Calibri" w:cs="Arial"/>
                <w:lang w:val="ro-RO" w:eastAsia="ro-RO"/>
              </w:rPr>
              <w:t>SOLD buget general consolidat (cash)</w:t>
            </w:r>
          </w:p>
        </w:tc>
        <w:tc>
          <w:tcPr>
            <w:tcW w:w="763" w:type="dxa"/>
            <w:gridSpan w:val="2"/>
            <w:shd w:val="clear" w:color="auto" w:fill="auto"/>
            <w:noWrap/>
          </w:tcPr>
          <w:p w:rsidR="000D3C6F" w:rsidRPr="00AF3608" w:rsidRDefault="000D3C6F" w:rsidP="00D95CB1">
            <w:pPr>
              <w:spacing w:before="120"/>
              <w:jc w:val="center"/>
              <w:rPr>
                <w:rFonts w:ascii="Calibri" w:hAnsi="Calibri"/>
                <w:lang w:val="ro-RO"/>
              </w:rPr>
            </w:pPr>
            <w:r w:rsidRPr="00AF3608">
              <w:rPr>
                <w:rFonts w:ascii="Calibri" w:hAnsi="Calibri"/>
                <w:lang w:val="ro-RO"/>
              </w:rPr>
              <w:t>-2,82</w:t>
            </w:r>
          </w:p>
        </w:tc>
        <w:tc>
          <w:tcPr>
            <w:tcW w:w="817" w:type="dxa"/>
            <w:gridSpan w:val="2"/>
            <w:shd w:val="clear" w:color="auto" w:fill="auto"/>
            <w:noWrap/>
          </w:tcPr>
          <w:p w:rsidR="000D3C6F" w:rsidRPr="00AF3608" w:rsidRDefault="000D3C6F" w:rsidP="00D95CB1">
            <w:pPr>
              <w:spacing w:before="120"/>
              <w:jc w:val="center"/>
              <w:rPr>
                <w:rFonts w:ascii="Calibri" w:hAnsi="Calibri"/>
                <w:lang w:val="ro-RO"/>
              </w:rPr>
            </w:pPr>
            <w:r w:rsidRPr="00AF3608">
              <w:rPr>
                <w:rFonts w:ascii="Calibri" w:hAnsi="Calibri"/>
                <w:lang w:val="ro-RO"/>
              </w:rPr>
              <w:t>-4,58</w:t>
            </w:r>
          </w:p>
        </w:tc>
        <w:tc>
          <w:tcPr>
            <w:tcW w:w="1416" w:type="dxa"/>
            <w:gridSpan w:val="2"/>
            <w:shd w:val="clear" w:color="auto" w:fill="auto"/>
            <w:noWrap/>
          </w:tcPr>
          <w:p w:rsidR="000D3C6F" w:rsidRPr="00AF3608" w:rsidRDefault="00F47BE7" w:rsidP="00D95CB1">
            <w:pPr>
              <w:spacing w:before="120"/>
              <w:jc w:val="center"/>
              <w:rPr>
                <w:rFonts w:ascii="Calibri" w:hAnsi="Calibri"/>
                <w:lang w:val="ro-RO"/>
              </w:rPr>
            </w:pPr>
            <w:r w:rsidRPr="00AF3608">
              <w:rPr>
                <w:rFonts w:ascii="Calibri" w:hAnsi="Calibri"/>
                <w:lang w:val="ro-RO"/>
              </w:rPr>
              <w:t>-</w:t>
            </w:r>
            <w:r w:rsidR="000D3C6F" w:rsidRPr="00AF3608">
              <w:rPr>
                <w:rFonts w:ascii="Calibri" w:hAnsi="Calibri"/>
                <w:lang w:val="ro-RO"/>
              </w:rPr>
              <w:t>9,79</w:t>
            </w:r>
          </w:p>
        </w:tc>
        <w:tc>
          <w:tcPr>
            <w:tcW w:w="923" w:type="dxa"/>
            <w:gridSpan w:val="2"/>
          </w:tcPr>
          <w:p w:rsidR="000D3C6F" w:rsidRPr="00AF3608" w:rsidRDefault="00F47BE7" w:rsidP="00D95CB1">
            <w:pPr>
              <w:spacing w:before="120"/>
              <w:jc w:val="center"/>
              <w:rPr>
                <w:rFonts w:ascii="Calibri" w:hAnsi="Calibri"/>
                <w:lang w:val="ro-RO"/>
              </w:rPr>
            </w:pPr>
            <w:r w:rsidRPr="00AF3608">
              <w:rPr>
                <w:rFonts w:ascii="Calibri" w:hAnsi="Calibri"/>
                <w:lang w:val="ro-RO"/>
              </w:rPr>
              <w:t>-</w:t>
            </w:r>
            <w:r w:rsidR="00053B49" w:rsidRPr="00AF3608">
              <w:rPr>
                <w:rFonts w:ascii="Calibri" w:hAnsi="Calibri"/>
                <w:lang w:val="ro-RO"/>
              </w:rPr>
              <w:t>7,16</w:t>
            </w:r>
          </w:p>
        </w:tc>
        <w:tc>
          <w:tcPr>
            <w:tcW w:w="992" w:type="dxa"/>
            <w:gridSpan w:val="3"/>
          </w:tcPr>
          <w:p w:rsidR="000D3C6F" w:rsidRPr="00AF3608" w:rsidRDefault="00F47BE7" w:rsidP="00D95CB1">
            <w:pPr>
              <w:spacing w:before="120"/>
              <w:jc w:val="center"/>
              <w:rPr>
                <w:rFonts w:ascii="Calibri" w:hAnsi="Calibri"/>
                <w:lang w:val="ro-RO"/>
              </w:rPr>
            </w:pPr>
            <w:r w:rsidRPr="00AF3608">
              <w:rPr>
                <w:rFonts w:ascii="Calibri" w:hAnsi="Calibri"/>
                <w:lang w:val="ro-RO"/>
              </w:rPr>
              <w:t>-</w:t>
            </w:r>
            <w:r w:rsidR="000D3C6F" w:rsidRPr="00AF3608">
              <w:rPr>
                <w:rFonts w:ascii="Calibri" w:hAnsi="Calibri"/>
                <w:lang w:val="ro-RO"/>
              </w:rPr>
              <w:t>5,84</w:t>
            </w:r>
          </w:p>
        </w:tc>
        <w:tc>
          <w:tcPr>
            <w:tcW w:w="898" w:type="dxa"/>
            <w:gridSpan w:val="2"/>
          </w:tcPr>
          <w:p w:rsidR="000D3C6F" w:rsidRPr="00AF3608" w:rsidRDefault="00F47BE7" w:rsidP="00D95CB1">
            <w:pPr>
              <w:spacing w:before="120"/>
              <w:jc w:val="center"/>
              <w:rPr>
                <w:rFonts w:ascii="Calibri" w:hAnsi="Calibri"/>
                <w:lang w:val="ro-RO"/>
              </w:rPr>
            </w:pPr>
            <w:r w:rsidRPr="00AF3608">
              <w:rPr>
                <w:rFonts w:ascii="Calibri" w:hAnsi="Calibri"/>
                <w:lang w:val="ro-RO"/>
              </w:rPr>
              <w:t>-</w:t>
            </w:r>
            <w:r w:rsidR="000D3C6F" w:rsidRPr="00AF3608">
              <w:rPr>
                <w:rFonts w:ascii="Calibri" w:hAnsi="Calibri"/>
                <w:lang w:val="ro-RO"/>
              </w:rPr>
              <w:t>4,37</w:t>
            </w:r>
          </w:p>
        </w:tc>
      </w:tr>
      <w:tr w:rsidR="000D3C6F" w:rsidRPr="00AF3608" w:rsidTr="000D3C6F">
        <w:trPr>
          <w:gridAfter w:val="1"/>
          <w:wAfter w:w="27" w:type="dxa"/>
          <w:trHeight w:val="360"/>
          <w:jc w:val="center"/>
        </w:trPr>
        <w:tc>
          <w:tcPr>
            <w:tcW w:w="2713" w:type="dxa"/>
            <w:gridSpan w:val="4"/>
            <w:shd w:val="clear" w:color="auto" w:fill="auto"/>
            <w:vAlign w:val="center"/>
          </w:tcPr>
          <w:p w:rsidR="000D3C6F" w:rsidRPr="00AF3608" w:rsidRDefault="000D3C6F" w:rsidP="00D95CB1">
            <w:pPr>
              <w:spacing w:before="120"/>
              <w:rPr>
                <w:rFonts w:ascii="Calibri" w:hAnsi="Calibri" w:cs="Arial"/>
                <w:color w:val="000000" w:themeColor="text1"/>
                <w:lang w:val="ro-RO" w:eastAsia="ro-RO"/>
              </w:rPr>
            </w:pPr>
            <w:r w:rsidRPr="00AF3608">
              <w:rPr>
                <w:rFonts w:ascii="Calibri" w:hAnsi="Calibri" w:cs="Arial"/>
                <w:color w:val="000000" w:themeColor="text1"/>
                <w:lang w:val="ro-RO" w:eastAsia="ro-RO"/>
              </w:rPr>
              <w:t>SOLD buget general consolidat (ESA)</w:t>
            </w:r>
          </w:p>
        </w:tc>
        <w:tc>
          <w:tcPr>
            <w:tcW w:w="763" w:type="dxa"/>
            <w:gridSpan w:val="2"/>
            <w:shd w:val="clear" w:color="auto" w:fill="auto"/>
            <w:noWrap/>
          </w:tcPr>
          <w:p w:rsidR="000D3C6F" w:rsidRPr="00AF3608" w:rsidRDefault="000D3C6F" w:rsidP="00D95CB1">
            <w:pPr>
              <w:spacing w:before="120"/>
              <w:jc w:val="center"/>
              <w:rPr>
                <w:rFonts w:ascii="Calibri" w:hAnsi="Calibri"/>
                <w:color w:val="000000" w:themeColor="text1"/>
                <w:lang w:val="ro-RO"/>
              </w:rPr>
            </w:pPr>
            <w:r w:rsidRPr="00AF3608">
              <w:rPr>
                <w:rFonts w:ascii="Calibri" w:hAnsi="Calibri"/>
                <w:color w:val="000000" w:themeColor="text1"/>
                <w:lang w:val="ro-RO"/>
              </w:rPr>
              <w:t>-2,94</w:t>
            </w:r>
          </w:p>
        </w:tc>
        <w:tc>
          <w:tcPr>
            <w:tcW w:w="817" w:type="dxa"/>
            <w:gridSpan w:val="2"/>
            <w:shd w:val="clear" w:color="auto" w:fill="auto"/>
            <w:noWrap/>
          </w:tcPr>
          <w:p w:rsidR="000D3C6F" w:rsidRPr="00AF3608" w:rsidRDefault="000D3C6F" w:rsidP="00D95CB1">
            <w:pPr>
              <w:spacing w:before="120"/>
              <w:jc w:val="center"/>
              <w:rPr>
                <w:rFonts w:ascii="Calibri" w:hAnsi="Calibri"/>
                <w:color w:val="000000" w:themeColor="text1"/>
                <w:lang w:val="ro-RO"/>
              </w:rPr>
            </w:pPr>
            <w:r w:rsidRPr="00AF3608">
              <w:rPr>
                <w:rFonts w:ascii="Calibri" w:hAnsi="Calibri"/>
                <w:color w:val="000000" w:themeColor="text1"/>
                <w:lang w:val="ro-RO"/>
              </w:rPr>
              <w:t>-4,36</w:t>
            </w:r>
          </w:p>
        </w:tc>
        <w:tc>
          <w:tcPr>
            <w:tcW w:w="1416" w:type="dxa"/>
            <w:gridSpan w:val="2"/>
            <w:shd w:val="clear" w:color="auto" w:fill="auto"/>
            <w:noWrap/>
          </w:tcPr>
          <w:p w:rsidR="000D3C6F" w:rsidRPr="00AF3608" w:rsidRDefault="000D3C6F" w:rsidP="00D95CB1">
            <w:pPr>
              <w:spacing w:before="120"/>
              <w:jc w:val="center"/>
              <w:rPr>
                <w:rFonts w:ascii="Calibri" w:hAnsi="Calibri"/>
                <w:color w:val="000000" w:themeColor="text1"/>
                <w:lang w:val="ro-RO"/>
              </w:rPr>
            </w:pPr>
            <w:r w:rsidRPr="00AF3608">
              <w:rPr>
                <w:rFonts w:ascii="Calibri" w:hAnsi="Calibri"/>
                <w:color w:val="000000" w:themeColor="text1"/>
                <w:lang w:val="ro-RO"/>
              </w:rPr>
              <w:t>-9,10</w:t>
            </w:r>
          </w:p>
        </w:tc>
        <w:tc>
          <w:tcPr>
            <w:tcW w:w="923" w:type="dxa"/>
            <w:gridSpan w:val="2"/>
          </w:tcPr>
          <w:p w:rsidR="000D3C6F" w:rsidRPr="00AF3608" w:rsidRDefault="000D3C6F" w:rsidP="00D95CB1">
            <w:pPr>
              <w:spacing w:before="120"/>
              <w:jc w:val="center"/>
              <w:rPr>
                <w:rFonts w:ascii="Calibri" w:hAnsi="Calibri"/>
                <w:color w:val="000000" w:themeColor="text1"/>
                <w:lang w:val="ro-RO"/>
              </w:rPr>
            </w:pPr>
            <w:r w:rsidRPr="00AF3608">
              <w:rPr>
                <w:rFonts w:ascii="Calibri" w:hAnsi="Calibri"/>
                <w:color w:val="000000" w:themeColor="text1"/>
                <w:lang w:val="ro-RO"/>
              </w:rPr>
              <w:t>-8,23</w:t>
            </w:r>
          </w:p>
        </w:tc>
        <w:tc>
          <w:tcPr>
            <w:tcW w:w="992" w:type="dxa"/>
            <w:gridSpan w:val="3"/>
          </w:tcPr>
          <w:p w:rsidR="000D3C6F" w:rsidRPr="00AF3608" w:rsidRDefault="000D3C6F" w:rsidP="00D95CB1">
            <w:pPr>
              <w:spacing w:before="120"/>
              <w:jc w:val="center"/>
              <w:rPr>
                <w:rFonts w:ascii="Calibri" w:hAnsi="Calibri"/>
                <w:color w:val="000000" w:themeColor="text1"/>
                <w:lang w:val="ro-RO"/>
              </w:rPr>
            </w:pPr>
            <w:r w:rsidRPr="00AF3608">
              <w:rPr>
                <w:rFonts w:ascii="Calibri" w:hAnsi="Calibri"/>
                <w:color w:val="000000" w:themeColor="text1"/>
                <w:lang w:val="ro-RO"/>
              </w:rPr>
              <w:t>-6,36</w:t>
            </w:r>
          </w:p>
        </w:tc>
        <w:tc>
          <w:tcPr>
            <w:tcW w:w="898" w:type="dxa"/>
            <w:gridSpan w:val="2"/>
          </w:tcPr>
          <w:p w:rsidR="000D3C6F" w:rsidRPr="00AF3608" w:rsidRDefault="000D3C6F" w:rsidP="00D95CB1">
            <w:pPr>
              <w:spacing w:before="120"/>
              <w:jc w:val="center"/>
              <w:rPr>
                <w:rFonts w:ascii="Calibri" w:hAnsi="Calibri"/>
                <w:color w:val="000000" w:themeColor="text1"/>
                <w:lang w:val="ro-RO"/>
              </w:rPr>
            </w:pPr>
            <w:r w:rsidRPr="00AF3608">
              <w:rPr>
                <w:rFonts w:ascii="Calibri" w:hAnsi="Calibri"/>
                <w:color w:val="000000" w:themeColor="text1"/>
                <w:lang w:val="ro-RO"/>
              </w:rPr>
              <w:t>-4,68</w:t>
            </w:r>
          </w:p>
        </w:tc>
      </w:tr>
      <w:tr w:rsidR="000D3C6F" w:rsidRPr="00AF3608" w:rsidTr="000D3C6F">
        <w:trPr>
          <w:gridAfter w:val="1"/>
          <w:wAfter w:w="27" w:type="dxa"/>
          <w:trHeight w:val="349"/>
          <w:jc w:val="center"/>
        </w:trPr>
        <w:tc>
          <w:tcPr>
            <w:tcW w:w="2713" w:type="dxa"/>
            <w:gridSpan w:val="4"/>
            <w:tcBorders>
              <w:bottom w:val="single" w:sz="4" w:space="0" w:color="auto"/>
            </w:tcBorders>
            <w:shd w:val="clear" w:color="auto" w:fill="auto"/>
            <w:vAlign w:val="center"/>
          </w:tcPr>
          <w:p w:rsidR="000D3C6F" w:rsidRPr="00AF3608" w:rsidRDefault="000D3C6F" w:rsidP="00D95CB1">
            <w:pPr>
              <w:spacing w:before="120"/>
              <w:rPr>
                <w:rFonts w:ascii="Calibri" w:hAnsi="Calibri" w:cs="Arial"/>
                <w:color w:val="000000" w:themeColor="text1"/>
                <w:lang w:val="ro-RO" w:eastAsia="ro-RO"/>
              </w:rPr>
            </w:pPr>
            <w:r w:rsidRPr="00AF3608">
              <w:rPr>
                <w:rFonts w:ascii="Calibri" w:hAnsi="Calibri" w:cs="Arial"/>
                <w:color w:val="000000" w:themeColor="text1"/>
                <w:lang w:val="ro-RO" w:eastAsia="ro-RO"/>
              </w:rPr>
              <w:t>SO</w:t>
            </w:r>
            <w:r w:rsidR="00DF22F2" w:rsidRPr="00AF3608">
              <w:rPr>
                <w:rFonts w:ascii="Calibri" w:hAnsi="Calibri" w:cs="Arial"/>
                <w:color w:val="000000" w:themeColor="text1"/>
                <w:lang w:val="ro-RO" w:eastAsia="ro-RO"/>
              </w:rPr>
              <w:t>LD structural</w:t>
            </w:r>
          </w:p>
        </w:tc>
        <w:tc>
          <w:tcPr>
            <w:tcW w:w="763" w:type="dxa"/>
            <w:gridSpan w:val="2"/>
            <w:tcBorders>
              <w:bottom w:val="single" w:sz="4" w:space="0" w:color="auto"/>
            </w:tcBorders>
            <w:shd w:val="clear" w:color="auto" w:fill="auto"/>
            <w:noWrap/>
          </w:tcPr>
          <w:p w:rsidR="000D3C6F" w:rsidRPr="00AF3608" w:rsidRDefault="000D3C6F" w:rsidP="00D95CB1">
            <w:pPr>
              <w:spacing w:before="120"/>
              <w:jc w:val="center"/>
              <w:rPr>
                <w:rFonts w:ascii="Calibri" w:hAnsi="Calibri"/>
                <w:color w:val="000000" w:themeColor="text1"/>
                <w:lang w:val="ro-RO"/>
              </w:rPr>
            </w:pPr>
            <w:r w:rsidRPr="00AF3608">
              <w:rPr>
                <w:rFonts w:ascii="Calibri" w:hAnsi="Calibri"/>
                <w:color w:val="000000" w:themeColor="text1"/>
                <w:lang w:val="ro-RO"/>
              </w:rPr>
              <w:t>-3,34</w:t>
            </w:r>
          </w:p>
        </w:tc>
        <w:tc>
          <w:tcPr>
            <w:tcW w:w="817" w:type="dxa"/>
            <w:gridSpan w:val="2"/>
            <w:tcBorders>
              <w:bottom w:val="single" w:sz="4" w:space="0" w:color="auto"/>
            </w:tcBorders>
            <w:shd w:val="clear" w:color="auto" w:fill="auto"/>
            <w:noWrap/>
          </w:tcPr>
          <w:p w:rsidR="000D3C6F" w:rsidRPr="00AF3608" w:rsidRDefault="000D3C6F" w:rsidP="00D95CB1">
            <w:pPr>
              <w:spacing w:before="120"/>
              <w:jc w:val="center"/>
              <w:rPr>
                <w:rFonts w:ascii="Calibri" w:hAnsi="Calibri"/>
                <w:color w:val="000000" w:themeColor="text1"/>
                <w:lang w:val="ro-RO"/>
              </w:rPr>
            </w:pPr>
            <w:r w:rsidRPr="00AF3608">
              <w:rPr>
                <w:rFonts w:ascii="Calibri" w:hAnsi="Calibri"/>
                <w:color w:val="000000" w:themeColor="text1"/>
                <w:lang w:val="ro-RO"/>
              </w:rPr>
              <w:t>-5,09</w:t>
            </w:r>
          </w:p>
        </w:tc>
        <w:tc>
          <w:tcPr>
            <w:tcW w:w="1416" w:type="dxa"/>
            <w:gridSpan w:val="2"/>
            <w:tcBorders>
              <w:bottom w:val="single" w:sz="4" w:space="0" w:color="auto"/>
            </w:tcBorders>
            <w:shd w:val="clear" w:color="auto" w:fill="auto"/>
            <w:noWrap/>
          </w:tcPr>
          <w:p w:rsidR="000D3C6F" w:rsidRPr="00AF3608" w:rsidRDefault="000D3C6F" w:rsidP="00D95CB1">
            <w:pPr>
              <w:spacing w:before="120"/>
              <w:jc w:val="center"/>
              <w:rPr>
                <w:rFonts w:ascii="Calibri" w:hAnsi="Calibri"/>
                <w:color w:val="000000" w:themeColor="text1"/>
                <w:lang w:val="ro-RO"/>
              </w:rPr>
            </w:pPr>
            <w:r w:rsidRPr="00AF3608">
              <w:rPr>
                <w:rFonts w:ascii="Calibri" w:hAnsi="Calibri"/>
                <w:color w:val="000000" w:themeColor="text1"/>
                <w:lang w:val="ro-RO"/>
              </w:rPr>
              <w:t>-7,76</w:t>
            </w:r>
          </w:p>
        </w:tc>
        <w:tc>
          <w:tcPr>
            <w:tcW w:w="923" w:type="dxa"/>
            <w:gridSpan w:val="2"/>
            <w:tcBorders>
              <w:bottom w:val="single" w:sz="4" w:space="0" w:color="auto"/>
            </w:tcBorders>
          </w:tcPr>
          <w:p w:rsidR="000D3C6F" w:rsidRPr="00AF3608" w:rsidRDefault="000D3C6F" w:rsidP="00D95CB1">
            <w:pPr>
              <w:spacing w:before="120"/>
              <w:jc w:val="center"/>
              <w:rPr>
                <w:rFonts w:ascii="Calibri" w:hAnsi="Calibri"/>
                <w:color w:val="000000" w:themeColor="text1"/>
                <w:lang w:val="ro-RO"/>
              </w:rPr>
            </w:pPr>
            <w:r w:rsidRPr="00AF3608">
              <w:rPr>
                <w:rFonts w:ascii="Calibri" w:hAnsi="Calibri"/>
                <w:color w:val="000000" w:themeColor="text1"/>
                <w:lang w:val="ro-RO"/>
              </w:rPr>
              <w:t>-7,42</w:t>
            </w:r>
          </w:p>
        </w:tc>
        <w:tc>
          <w:tcPr>
            <w:tcW w:w="992" w:type="dxa"/>
            <w:gridSpan w:val="3"/>
            <w:tcBorders>
              <w:bottom w:val="single" w:sz="4" w:space="0" w:color="auto"/>
            </w:tcBorders>
          </w:tcPr>
          <w:p w:rsidR="000D3C6F" w:rsidRPr="00AF3608" w:rsidRDefault="000D3C6F" w:rsidP="00D95CB1">
            <w:pPr>
              <w:spacing w:before="120"/>
              <w:jc w:val="center"/>
              <w:rPr>
                <w:rFonts w:ascii="Calibri" w:hAnsi="Calibri"/>
                <w:color w:val="000000" w:themeColor="text1"/>
                <w:lang w:val="ro-RO"/>
              </w:rPr>
            </w:pPr>
            <w:r w:rsidRPr="00AF3608">
              <w:rPr>
                <w:rFonts w:ascii="Calibri" w:hAnsi="Calibri"/>
                <w:color w:val="000000" w:themeColor="text1"/>
                <w:lang w:val="ro-RO"/>
              </w:rPr>
              <w:t>-6,07</w:t>
            </w:r>
          </w:p>
        </w:tc>
        <w:tc>
          <w:tcPr>
            <w:tcW w:w="898" w:type="dxa"/>
            <w:gridSpan w:val="2"/>
            <w:tcBorders>
              <w:bottom w:val="single" w:sz="4" w:space="0" w:color="auto"/>
            </w:tcBorders>
          </w:tcPr>
          <w:p w:rsidR="000D3C6F" w:rsidRPr="00AF3608" w:rsidRDefault="000D3C6F" w:rsidP="00D95CB1">
            <w:pPr>
              <w:spacing w:before="120"/>
              <w:jc w:val="center"/>
              <w:rPr>
                <w:rFonts w:ascii="Calibri" w:hAnsi="Calibri"/>
                <w:color w:val="000000" w:themeColor="text1"/>
                <w:lang w:val="ro-RO"/>
              </w:rPr>
            </w:pPr>
            <w:r w:rsidRPr="00AF3608">
              <w:rPr>
                <w:rFonts w:ascii="Calibri" w:hAnsi="Calibri"/>
                <w:color w:val="000000" w:themeColor="text1"/>
                <w:lang w:val="ro-RO"/>
              </w:rPr>
              <w:t>-4,83</w:t>
            </w:r>
          </w:p>
        </w:tc>
      </w:tr>
    </w:tbl>
    <w:p w:rsidR="00D95CB1" w:rsidRPr="00AF3608" w:rsidRDefault="00D95CB1" w:rsidP="00D95CB1">
      <w:pPr>
        <w:widowControl w:val="0"/>
        <w:shd w:val="clear" w:color="auto" w:fill="FFFFFF"/>
        <w:autoSpaceDE w:val="0"/>
        <w:autoSpaceDN w:val="0"/>
        <w:adjustRightInd w:val="0"/>
        <w:spacing w:before="120"/>
        <w:ind w:right="-1"/>
        <w:jc w:val="both"/>
        <w:textAlignment w:val="baseline"/>
        <w:rPr>
          <w:rFonts w:ascii="Calibri" w:hAnsi="Calibri" w:cs="Calibri"/>
          <w:color w:val="002060"/>
          <w:lang w:val="ro-RO"/>
        </w:rPr>
      </w:pPr>
    </w:p>
    <w:p w:rsidR="00D95CB1" w:rsidRPr="00AF3608" w:rsidRDefault="00D95CB1" w:rsidP="00DF22F2">
      <w:pPr>
        <w:widowControl w:val="0"/>
        <w:suppressAutoHyphens/>
        <w:autoSpaceDN w:val="0"/>
        <w:spacing w:before="120"/>
        <w:jc w:val="both"/>
        <w:rPr>
          <w:rFonts w:ascii="Calibri" w:hAnsi="Calibri" w:cs="Arial"/>
          <w:b/>
          <w:color w:val="000066"/>
          <w:kern w:val="1"/>
          <w:lang w:val="ro-RO" w:eastAsia="ro-RO"/>
        </w:rPr>
      </w:pPr>
      <w:r w:rsidRPr="00AF3608">
        <w:rPr>
          <w:rFonts w:ascii="Calibri" w:hAnsi="Calibri" w:cs="Arial"/>
          <w:b/>
          <w:color w:val="000066"/>
          <w:kern w:val="1"/>
          <w:lang w:val="ro-RO" w:eastAsia="ro-RO"/>
        </w:rPr>
        <w:t xml:space="preserve">Principalele măsuri ale anului 2021 </w:t>
      </w:r>
    </w:p>
    <w:p w:rsidR="00D95CB1" w:rsidRPr="00AF3608" w:rsidRDefault="00D95CB1" w:rsidP="00DF22F2">
      <w:pPr>
        <w:autoSpaceDE w:val="0"/>
        <w:autoSpaceDN w:val="0"/>
        <w:adjustRightInd w:val="0"/>
        <w:spacing w:before="120"/>
        <w:jc w:val="both"/>
        <w:rPr>
          <w:rFonts w:ascii="Calibri" w:hAnsi="Calibri" w:cs="Calibri"/>
          <w:b/>
          <w:lang w:val="ro-RO"/>
        </w:rPr>
      </w:pPr>
      <w:r w:rsidRPr="00AF3608">
        <w:rPr>
          <w:rFonts w:ascii="Calibri" w:hAnsi="Calibri" w:cs="Calibri"/>
          <w:lang w:val="ro-RO"/>
        </w:rPr>
        <w:t xml:space="preserve">Având în vedere obligaţia Guvernului de a conduce politica fiscal-bugetară </w:t>
      </w:r>
      <w:r w:rsidRPr="00AF3608">
        <w:rPr>
          <w:rFonts w:ascii="Calibri" w:hAnsi="Calibri" w:cs="Calibri"/>
          <w:b/>
          <w:lang w:val="ro-RO"/>
        </w:rPr>
        <w:t>în mod prudent</w:t>
      </w:r>
      <w:r w:rsidRPr="00AF3608">
        <w:rPr>
          <w:rFonts w:ascii="Calibri" w:hAnsi="Calibri" w:cs="Calibri"/>
          <w:lang w:val="ro-RO"/>
        </w:rPr>
        <w:t xml:space="preserve"> care să </w:t>
      </w:r>
      <w:r w:rsidRPr="00AF3608">
        <w:rPr>
          <w:rFonts w:ascii="Calibri" w:hAnsi="Calibri" w:cs="Calibri"/>
          <w:b/>
          <w:lang w:val="ro-RO"/>
        </w:rPr>
        <w:t xml:space="preserve">asigure sustenabilitatea poziţiei fiscale pe termen mediu şi lung, </w:t>
      </w:r>
      <w:r w:rsidRPr="00AF3608">
        <w:rPr>
          <w:rFonts w:ascii="Calibri" w:hAnsi="Calibri" w:cs="Calibri"/>
          <w:lang w:val="ro-RO"/>
        </w:rPr>
        <w:t xml:space="preserve"> necesitatea păstrării echilibrelor bugetare prin adoptarea de măsuri menite să limiteze creşterea cheltuielilor bugetare permanente precum și  necesitatea respectării recomandării Comisiei Europene stabilită în cadrul procedurii de deficit </w:t>
      </w:r>
      <w:r w:rsidRPr="00AF3608">
        <w:rPr>
          <w:rFonts w:ascii="Calibri" w:hAnsi="Calibri" w:cs="Calibri"/>
          <w:color w:val="000066"/>
          <w:lang w:val="ro-RO"/>
        </w:rPr>
        <w:t>excesiv</w:t>
      </w:r>
      <w:r w:rsidRPr="00AF3608">
        <w:rPr>
          <w:rFonts w:ascii="Calibri" w:hAnsi="Calibri" w:cs="Calibri"/>
          <w:lang w:val="ro-RO"/>
        </w:rPr>
        <w:t xml:space="preserve"> declanşată pentru România, </w:t>
      </w:r>
      <w:r w:rsidRPr="00AF3608">
        <w:rPr>
          <w:rFonts w:ascii="Calibri" w:hAnsi="Calibri" w:cs="Calibri"/>
          <w:b/>
          <w:lang w:val="ro-RO"/>
        </w:rPr>
        <w:t xml:space="preserve">la estimarea cheltuielilor vor fi avute în vedere, în principal,  următoarele măsuri: </w:t>
      </w:r>
    </w:p>
    <w:p w:rsidR="00D95CB1" w:rsidRPr="00AF3608" w:rsidRDefault="00D95CB1" w:rsidP="00DF22F2">
      <w:pPr>
        <w:autoSpaceDE w:val="0"/>
        <w:autoSpaceDN w:val="0"/>
        <w:adjustRightInd w:val="0"/>
        <w:spacing w:before="120"/>
        <w:jc w:val="both"/>
        <w:rPr>
          <w:rFonts w:ascii="Calibri" w:hAnsi="Calibri" w:cs="Calibri"/>
          <w:b/>
          <w:lang w:val="ro-RO"/>
        </w:rPr>
      </w:pPr>
    </w:p>
    <w:p w:rsidR="00D95CB1" w:rsidRPr="00AF3608" w:rsidRDefault="00D95CB1" w:rsidP="003A0B85">
      <w:pPr>
        <w:numPr>
          <w:ilvl w:val="0"/>
          <w:numId w:val="145"/>
        </w:numPr>
        <w:shd w:val="clear" w:color="auto" w:fill="E7E6E6" w:themeFill="background2"/>
        <w:suppressAutoHyphens/>
        <w:spacing w:before="120"/>
        <w:ind w:left="142"/>
        <w:jc w:val="both"/>
        <w:rPr>
          <w:rFonts w:asciiTheme="minorHAnsi" w:eastAsia="Arial" w:hAnsiTheme="minorHAnsi" w:cstheme="minorHAnsi"/>
          <w:b/>
          <w:color w:val="000066"/>
          <w:szCs w:val="22"/>
          <w:u w:val="single"/>
          <w:lang w:val="ro-RO"/>
        </w:rPr>
      </w:pPr>
      <w:r w:rsidRPr="00AF3608">
        <w:rPr>
          <w:rFonts w:asciiTheme="minorHAnsi" w:eastAsia="Calibri" w:hAnsiTheme="minorHAnsi" w:cstheme="minorHAnsi"/>
          <w:b/>
          <w:color w:val="000066"/>
          <w:szCs w:val="22"/>
          <w:lang w:val="ro-RO"/>
        </w:rPr>
        <w:lastRenderedPageBreak/>
        <w:t xml:space="preserve">finanțarea </w:t>
      </w:r>
      <w:r w:rsidRPr="00AF3608">
        <w:rPr>
          <w:rFonts w:asciiTheme="minorHAnsi" w:eastAsia="Arial" w:hAnsiTheme="minorHAnsi" w:cstheme="minorHAnsi"/>
          <w:b/>
          <w:color w:val="000066"/>
          <w:szCs w:val="22"/>
          <w:lang w:val="ro-RO"/>
        </w:rPr>
        <w:t xml:space="preserve">măsurilor de protecție socială în contextul pandemiei provocate de coronavirusul </w:t>
      </w:r>
      <w:r w:rsidRPr="00AF3608">
        <w:rPr>
          <w:rFonts w:asciiTheme="minorHAnsi" w:eastAsia="Calibri" w:hAnsiTheme="minorHAnsi" w:cstheme="minorHAnsi"/>
          <w:b/>
          <w:color w:val="000066"/>
          <w:szCs w:val="22"/>
          <w:lang w:val="ro-RO"/>
        </w:rPr>
        <w:t xml:space="preserve">SARS-CoV-2, </w:t>
      </w:r>
      <w:r w:rsidRPr="00AF3608">
        <w:rPr>
          <w:rFonts w:asciiTheme="minorHAnsi" w:eastAsia="Calibri" w:hAnsiTheme="minorHAnsi" w:cstheme="minorHAnsi"/>
          <w:b/>
          <w:color w:val="000066"/>
          <w:szCs w:val="22"/>
          <w:u w:val="single"/>
          <w:lang w:val="ro-RO"/>
        </w:rPr>
        <w:t xml:space="preserve">a căror aplicabilitate a fost prelungită </w:t>
      </w:r>
      <w:r w:rsidRPr="00AF3608">
        <w:rPr>
          <w:rFonts w:asciiTheme="minorHAnsi" w:eastAsia="Arial" w:hAnsiTheme="minorHAnsi" w:cstheme="minorHAnsi"/>
          <w:b/>
          <w:color w:val="000066"/>
          <w:szCs w:val="22"/>
          <w:u w:val="single"/>
          <w:lang w:val="ro-RO"/>
        </w:rPr>
        <w:t>până la data 30 iunie 2021 prin:</w:t>
      </w:r>
    </w:p>
    <w:p w:rsidR="00D95CB1" w:rsidRPr="00AF3608" w:rsidRDefault="00D95CB1" w:rsidP="00DF22F2">
      <w:pPr>
        <w:suppressAutoHyphens/>
        <w:spacing w:before="120"/>
        <w:jc w:val="both"/>
        <w:rPr>
          <w:rFonts w:asciiTheme="minorHAnsi" w:eastAsia="Arial" w:hAnsiTheme="minorHAnsi" w:cstheme="minorHAnsi"/>
          <w:color w:val="000000"/>
          <w:lang w:val="ro-RO"/>
        </w:rPr>
      </w:pPr>
    </w:p>
    <w:p w:rsidR="00D95CB1" w:rsidRPr="00AF3608" w:rsidRDefault="00D95CB1" w:rsidP="003A0B85">
      <w:pPr>
        <w:numPr>
          <w:ilvl w:val="0"/>
          <w:numId w:val="142"/>
        </w:numPr>
        <w:shd w:val="clear" w:color="auto" w:fill="DEEAF6" w:themeFill="accent1" w:themeFillTint="33"/>
        <w:suppressAutoHyphens/>
        <w:spacing w:before="120"/>
        <w:jc w:val="both"/>
        <w:rPr>
          <w:rFonts w:asciiTheme="minorHAnsi" w:hAnsiTheme="minorHAnsi" w:cstheme="minorHAnsi"/>
          <w:b/>
          <w:color w:val="000000"/>
          <w:lang w:val="ro-RO"/>
        </w:rPr>
      </w:pPr>
      <w:r w:rsidRPr="00AF3608">
        <w:rPr>
          <w:rFonts w:asciiTheme="minorHAnsi" w:hAnsiTheme="minorHAnsi" w:cstheme="minorHAnsi"/>
          <w:b/>
          <w:color w:val="000000"/>
          <w:lang w:val="ro-RO"/>
        </w:rPr>
        <w:t>Ordonanța de urgență a Guvernului  nr.211/2020</w:t>
      </w:r>
      <w:r w:rsidRPr="00AF3608">
        <w:rPr>
          <w:rFonts w:asciiTheme="minorHAnsi" w:hAnsiTheme="minorHAnsi" w:cstheme="minorHAnsi"/>
          <w:b/>
          <w:color w:val="000000"/>
          <w:vertAlign w:val="superscript"/>
          <w:lang w:val="ro-RO"/>
        </w:rPr>
        <w:footnoteReference w:id="1"/>
      </w:r>
      <w:r w:rsidRPr="00AF3608">
        <w:rPr>
          <w:rFonts w:asciiTheme="minorHAnsi" w:hAnsiTheme="minorHAnsi" w:cstheme="minorHAnsi"/>
          <w:b/>
          <w:color w:val="000000"/>
          <w:lang w:val="ro-RO"/>
        </w:rPr>
        <w:t>:</w:t>
      </w:r>
    </w:p>
    <w:p w:rsidR="00D95CB1" w:rsidRPr="00AF3608" w:rsidRDefault="00D95CB1" w:rsidP="003A0B85">
      <w:pPr>
        <w:numPr>
          <w:ilvl w:val="0"/>
          <w:numId w:val="144"/>
        </w:numPr>
        <w:suppressAutoHyphens/>
        <w:autoSpaceDE w:val="0"/>
        <w:autoSpaceDN w:val="0"/>
        <w:adjustRightInd w:val="0"/>
        <w:spacing w:before="120"/>
        <w:jc w:val="both"/>
        <w:rPr>
          <w:rFonts w:asciiTheme="minorHAnsi" w:hAnsiTheme="minorHAnsi" w:cstheme="minorHAnsi"/>
          <w:color w:val="000000"/>
          <w:lang w:val="ro-RO"/>
        </w:rPr>
      </w:pPr>
      <w:r w:rsidRPr="00AF3608">
        <w:rPr>
          <w:rFonts w:asciiTheme="minorHAnsi" w:hAnsiTheme="minorHAnsi" w:cstheme="minorHAnsi"/>
          <w:lang w:val="ro-RO"/>
        </w:rPr>
        <w:t>pe perioada suspendării temporare a contractului individual de muncă</w:t>
      </w:r>
      <w:r w:rsidRPr="00AF3608">
        <w:rPr>
          <w:rFonts w:asciiTheme="minorHAnsi" w:hAnsiTheme="minorHAnsi" w:cstheme="minorHAnsi"/>
          <w:color w:val="000000"/>
          <w:lang w:val="ro-RO"/>
        </w:rPr>
        <w:t xml:space="preserve"> se acordată salariaților, în conformitate cu prevederile</w:t>
      </w:r>
      <w:r w:rsidRPr="00AF3608">
        <w:rPr>
          <w:rFonts w:asciiTheme="minorHAnsi" w:hAnsiTheme="minorHAnsi" w:cstheme="minorHAnsi"/>
          <w:i/>
          <w:color w:val="000000"/>
          <w:lang w:val="ro-RO"/>
        </w:rPr>
        <w:t xml:space="preserve">. </w:t>
      </w:r>
      <w:r w:rsidRPr="00AF3608">
        <w:rPr>
          <w:rFonts w:asciiTheme="minorHAnsi" w:hAnsiTheme="minorHAnsi" w:cstheme="minorHAnsi"/>
          <w:color w:val="000000"/>
          <w:lang w:val="ro-RO"/>
        </w:rPr>
        <w:t>art.XI şi XV din Ordonanţa de urgenţă a Guvernului nr. 30/2020, o indemnizaţie stabilită la</w:t>
      </w:r>
      <w:r w:rsidRPr="00AF3608">
        <w:rPr>
          <w:rFonts w:asciiTheme="minorHAnsi" w:hAnsiTheme="minorHAnsi" w:cstheme="minorHAnsi"/>
          <w:lang w:val="ro-RO"/>
        </w:rPr>
        <w:t xml:space="preserve"> 75% din salariul de bază corespunzător locului de muncă ocupat dar nu mai mult de 75% din câştigul salarial mediu brut utilizat la fundamentarea </w:t>
      </w:r>
      <w:r w:rsidRPr="00AF3608">
        <w:rPr>
          <w:rFonts w:asciiTheme="minorHAnsi" w:hAnsiTheme="minorHAnsi" w:cstheme="minorHAnsi"/>
          <w:color w:val="000000"/>
          <w:lang w:val="ro-RO"/>
        </w:rPr>
        <w:t>bugetului asigurărilor sociale de stat pe anul 2020, (șomaj tehnic)</w:t>
      </w:r>
    </w:p>
    <w:p w:rsidR="00D95CB1" w:rsidRPr="00AF3608" w:rsidRDefault="00D95CB1" w:rsidP="003A0B85">
      <w:pPr>
        <w:numPr>
          <w:ilvl w:val="0"/>
          <w:numId w:val="144"/>
        </w:numPr>
        <w:suppressAutoHyphens/>
        <w:autoSpaceDE w:val="0"/>
        <w:autoSpaceDN w:val="0"/>
        <w:adjustRightInd w:val="0"/>
        <w:spacing w:before="120"/>
        <w:jc w:val="both"/>
        <w:rPr>
          <w:rFonts w:asciiTheme="minorHAnsi" w:hAnsiTheme="minorHAnsi" w:cstheme="minorHAnsi"/>
          <w:color w:val="000000"/>
          <w:lang w:val="ro-RO"/>
        </w:rPr>
      </w:pPr>
      <w:r w:rsidRPr="00AF3608">
        <w:rPr>
          <w:rFonts w:asciiTheme="minorHAnsi" w:hAnsiTheme="minorHAnsi" w:cstheme="minorHAnsi"/>
          <w:lang w:val="ro-RO"/>
        </w:rPr>
        <w:t>Somajul tehnic se acordă și în situația în care activitatea a fost suspendată ca urmare a anchetei epidemiologice efectuate de direcţiile de sănătate publică judeţene, respectiv a municipiului Bucureşti</w:t>
      </w:r>
    </w:p>
    <w:p w:rsidR="00D95CB1" w:rsidRPr="00AF3608" w:rsidRDefault="00D95CB1" w:rsidP="00DF22F2">
      <w:pPr>
        <w:suppressAutoHyphens/>
        <w:spacing w:before="120"/>
        <w:jc w:val="both"/>
        <w:rPr>
          <w:rFonts w:asciiTheme="minorHAnsi" w:hAnsiTheme="minorHAnsi" w:cstheme="minorHAnsi"/>
          <w:color w:val="000000"/>
          <w:lang w:val="ro-RO"/>
        </w:rPr>
      </w:pPr>
    </w:p>
    <w:p w:rsidR="00D95CB1" w:rsidRPr="00AF3608" w:rsidRDefault="00D95CB1" w:rsidP="003A0B85">
      <w:pPr>
        <w:numPr>
          <w:ilvl w:val="0"/>
          <w:numId w:val="142"/>
        </w:numPr>
        <w:shd w:val="clear" w:color="auto" w:fill="DEEAF6" w:themeFill="accent1" w:themeFillTint="33"/>
        <w:suppressAutoHyphens/>
        <w:spacing w:before="120"/>
        <w:jc w:val="both"/>
        <w:rPr>
          <w:rFonts w:asciiTheme="minorHAnsi" w:hAnsiTheme="minorHAnsi" w:cstheme="minorHAnsi"/>
          <w:color w:val="000000"/>
          <w:lang w:val="ro-RO"/>
        </w:rPr>
      </w:pPr>
      <w:r w:rsidRPr="00AF3608">
        <w:rPr>
          <w:rFonts w:asciiTheme="minorHAnsi" w:hAnsiTheme="minorHAnsi" w:cstheme="minorHAnsi"/>
          <w:b/>
          <w:color w:val="000000"/>
          <w:lang w:val="ro-RO"/>
        </w:rPr>
        <w:t>Ordonanța de urgență a Guvernului nr.220/2020</w:t>
      </w:r>
      <w:r w:rsidRPr="00AF3608">
        <w:rPr>
          <w:rFonts w:asciiTheme="minorHAnsi" w:hAnsiTheme="minorHAnsi" w:cstheme="minorHAnsi"/>
          <w:b/>
          <w:color w:val="000000"/>
          <w:vertAlign w:val="superscript"/>
          <w:lang w:val="ro-RO"/>
        </w:rPr>
        <w:footnoteReference w:id="2"/>
      </w:r>
      <w:r w:rsidRPr="00AF3608">
        <w:rPr>
          <w:rFonts w:asciiTheme="minorHAnsi" w:hAnsiTheme="minorHAnsi" w:cstheme="minorHAnsi"/>
          <w:b/>
          <w:color w:val="000000"/>
          <w:lang w:val="ro-RO"/>
        </w:rPr>
        <w:t xml:space="preserve">, </w:t>
      </w:r>
      <w:r w:rsidRPr="00AF3608">
        <w:rPr>
          <w:rFonts w:asciiTheme="minorHAnsi" w:hAnsiTheme="minorHAnsi" w:cstheme="minorHAnsi"/>
          <w:color w:val="000000"/>
          <w:lang w:val="ro-RO"/>
        </w:rPr>
        <w:t>care prevede:</w:t>
      </w:r>
    </w:p>
    <w:p w:rsidR="00D95CB1" w:rsidRPr="00AF3608" w:rsidRDefault="00D95CB1" w:rsidP="003A0B85">
      <w:pPr>
        <w:numPr>
          <w:ilvl w:val="0"/>
          <w:numId w:val="143"/>
        </w:numPr>
        <w:suppressAutoHyphens/>
        <w:spacing w:before="120"/>
        <w:jc w:val="both"/>
        <w:rPr>
          <w:rFonts w:asciiTheme="minorHAnsi" w:hAnsiTheme="minorHAnsi" w:cstheme="minorHAnsi"/>
          <w:lang w:val="ro-RO" w:eastAsia="zh-CN"/>
        </w:rPr>
      </w:pPr>
      <w:r w:rsidRPr="00AF3608">
        <w:rPr>
          <w:rFonts w:asciiTheme="minorHAnsi" w:hAnsiTheme="minorHAnsi" w:cstheme="minorHAnsi"/>
          <w:lang w:val="ro-RO" w:eastAsia="zh-CN"/>
        </w:rPr>
        <w:t xml:space="preserve">Angajatorii care încadrează în muncă, în perioada 1 ianuarie-1 septembrie 2021, pe perioadă nedeterminată, cu normă întreagă, persoane în vârstă de peste 50 de ani ale căror raporturi de muncă au încetat din motive neimputabile, primesc lunar, pe o perioadă de 12 luni, pentru fiecare persoană angajată din această categorie, 50% din salariul angajatului, dar nu mai mult de 2.500 lei. </w:t>
      </w:r>
    </w:p>
    <w:p w:rsidR="00D95CB1" w:rsidRPr="00AF3608" w:rsidRDefault="00D95CB1" w:rsidP="003A0B85">
      <w:pPr>
        <w:numPr>
          <w:ilvl w:val="0"/>
          <w:numId w:val="143"/>
        </w:numPr>
        <w:suppressAutoHyphens/>
        <w:spacing w:before="120"/>
        <w:jc w:val="both"/>
        <w:rPr>
          <w:rFonts w:asciiTheme="minorHAnsi" w:hAnsiTheme="minorHAnsi" w:cstheme="minorHAnsi"/>
          <w:lang w:val="ro-RO" w:eastAsia="zh-CN"/>
        </w:rPr>
      </w:pPr>
      <w:r w:rsidRPr="00AF3608">
        <w:rPr>
          <w:rFonts w:asciiTheme="minorHAnsi" w:hAnsiTheme="minorHAnsi" w:cstheme="minorHAnsi"/>
          <w:lang w:val="ro-RO" w:eastAsia="zh-CN"/>
        </w:rPr>
        <w:t xml:space="preserve">Angajatorii care încadrează în muncă, în perioada 1 ianuarie-1 septembrie 2021, pe perioadă nedeterminată, cu normă întreagă, persoane cu vârsta cuprinsă între 16 şi 29 de ani, înregistraţi ca şomeri, primesc lunar, pe o perioadă de 12 luni, pentru fiecare persoană angajată din această categorie, 50% din salariul angajatului, dar nu mai mult de 2.500 lei. </w:t>
      </w:r>
    </w:p>
    <w:p w:rsidR="00D95CB1" w:rsidRPr="00AF3608" w:rsidRDefault="00D95CB1" w:rsidP="00DF22F2">
      <w:pPr>
        <w:suppressAutoHyphens/>
        <w:spacing w:before="120"/>
        <w:ind w:left="1144"/>
        <w:jc w:val="both"/>
        <w:rPr>
          <w:rFonts w:asciiTheme="minorHAnsi" w:hAnsiTheme="minorHAnsi" w:cstheme="minorHAnsi"/>
          <w:lang w:val="ro-RO" w:eastAsia="zh-CN"/>
        </w:rPr>
      </w:pPr>
      <w:r w:rsidRPr="00AF3608">
        <w:rPr>
          <w:rFonts w:asciiTheme="minorHAnsi" w:hAnsiTheme="minorHAnsi" w:cstheme="minorHAnsi"/>
          <w:lang w:val="ro-RO"/>
        </w:rPr>
        <w:t>Sumele se decontează din bugetul asigurărilor pentru șomaj, la cererea angajatorilor.</w:t>
      </w:r>
    </w:p>
    <w:p w:rsidR="00D95CB1" w:rsidRPr="00AF3608" w:rsidRDefault="00D95CB1" w:rsidP="003A0B85">
      <w:pPr>
        <w:numPr>
          <w:ilvl w:val="0"/>
          <w:numId w:val="143"/>
        </w:numPr>
        <w:suppressAutoHyphens/>
        <w:spacing w:before="120"/>
        <w:jc w:val="both"/>
        <w:rPr>
          <w:rFonts w:asciiTheme="minorHAnsi" w:hAnsiTheme="minorHAnsi" w:cstheme="minorHAnsi"/>
          <w:lang w:val="ro-RO" w:eastAsia="zh-CN"/>
        </w:rPr>
      </w:pPr>
      <w:r w:rsidRPr="00AF3608">
        <w:rPr>
          <w:rFonts w:asciiTheme="minorHAnsi" w:hAnsiTheme="minorHAnsi" w:cstheme="minorHAnsi"/>
          <w:shd w:val="clear" w:color="auto" w:fill="DEEAF6" w:themeFill="accent1" w:themeFillTint="33"/>
          <w:lang w:val="ro-RO"/>
        </w:rPr>
        <w:t xml:space="preserve">Modificarea </w:t>
      </w:r>
      <w:r w:rsidRPr="00AF3608">
        <w:rPr>
          <w:rFonts w:asciiTheme="minorHAnsi" w:hAnsiTheme="minorHAnsi" w:cstheme="minorHAnsi"/>
          <w:b/>
          <w:i/>
          <w:shd w:val="clear" w:color="auto" w:fill="DEEAF6" w:themeFill="accent1" w:themeFillTint="33"/>
          <w:lang w:val="ro-RO"/>
        </w:rPr>
        <w:t>Ordonanței de urgență a Guvernului nr.132/2020</w:t>
      </w:r>
      <w:r w:rsidRPr="00AF3608">
        <w:rPr>
          <w:rFonts w:asciiTheme="minorHAnsi" w:hAnsiTheme="minorHAnsi" w:cstheme="minorHAnsi"/>
          <w:b/>
          <w:i/>
          <w:shd w:val="clear" w:color="auto" w:fill="DEEAF6" w:themeFill="accent1" w:themeFillTint="33"/>
          <w:vertAlign w:val="superscript"/>
          <w:lang w:val="ro-RO"/>
        </w:rPr>
        <w:footnoteReference w:id="3"/>
      </w:r>
      <w:r w:rsidRPr="00AF3608">
        <w:rPr>
          <w:rFonts w:asciiTheme="minorHAnsi" w:hAnsiTheme="minorHAnsi" w:cstheme="minorHAnsi"/>
          <w:shd w:val="clear" w:color="auto" w:fill="DEEAF6" w:themeFill="accent1" w:themeFillTint="33"/>
          <w:lang w:val="ro-RO"/>
        </w:rPr>
        <w:t>,</w:t>
      </w:r>
      <w:r w:rsidRPr="00AF3608">
        <w:rPr>
          <w:rFonts w:asciiTheme="minorHAnsi" w:hAnsiTheme="minorHAnsi" w:cstheme="minorHAnsi"/>
          <w:lang w:val="ro-RO"/>
        </w:rPr>
        <w:t xml:space="preserve"> în sensul că, până la data de 30 iunie 2021, pentru angajații care încheie contracte individuale de muncă pe perioadă determinată până la 3 luni, se asigură decontarea din bugetul asigurărilor pentru șomaj a unei părți de 41,5% din salariul aferent zilelor lucrate  dar nu mai mult de 41,5% din câştigul salarial mediu brut prevăzut de Legea nr. 6/2020;</w:t>
      </w:r>
    </w:p>
    <w:p w:rsidR="00D95CB1" w:rsidRPr="00AF3608" w:rsidRDefault="00D95CB1" w:rsidP="00DF22F2">
      <w:pPr>
        <w:autoSpaceDE w:val="0"/>
        <w:autoSpaceDN w:val="0"/>
        <w:adjustRightInd w:val="0"/>
        <w:spacing w:before="120"/>
        <w:ind w:left="1144"/>
        <w:jc w:val="both"/>
        <w:rPr>
          <w:rFonts w:asciiTheme="minorHAnsi" w:hAnsiTheme="minorHAnsi" w:cstheme="minorHAnsi"/>
          <w:lang w:val="ro-RO"/>
        </w:rPr>
      </w:pPr>
      <w:r w:rsidRPr="00AF3608">
        <w:rPr>
          <w:rFonts w:asciiTheme="minorHAnsi" w:hAnsiTheme="minorHAnsi" w:cstheme="minorHAnsi"/>
          <w:lang w:val="ro-RO"/>
        </w:rPr>
        <w:t>Totodată, pentru persoanele care desfăşoară activităţi necalificate cu caracter ocazional, (zilieri), care îşi desfăşoară activitatea în unul dintre domeniile afectate de întreruperea sau restrângerea activităţii ca urmare a efectelor coronavirusului SARS-CoV-2, pentru o perioadă de 3 luni, la alegerea beneficiarului de lucrări, dar nu mai târziu de 30 iunie 2021, se acordă de la bugetul de stat o sumă reprezentând 35% din remuneraţia cuvenită zilei de muncă.</w:t>
      </w:r>
    </w:p>
    <w:p w:rsidR="00D95CB1" w:rsidRPr="00AF3608" w:rsidRDefault="00D95CB1" w:rsidP="00B1570A">
      <w:pPr>
        <w:autoSpaceDE w:val="0"/>
        <w:autoSpaceDN w:val="0"/>
        <w:adjustRightInd w:val="0"/>
        <w:spacing w:before="120"/>
        <w:jc w:val="both"/>
        <w:rPr>
          <w:rFonts w:asciiTheme="minorHAnsi" w:hAnsiTheme="minorHAnsi" w:cstheme="minorHAnsi"/>
          <w:lang w:val="ro-RO"/>
        </w:rPr>
      </w:pPr>
      <w:r w:rsidRPr="00AF3608">
        <w:rPr>
          <w:rFonts w:asciiTheme="minorHAnsi" w:hAnsiTheme="minorHAnsi" w:cstheme="minorHAnsi"/>
          <w:lang w:val="ro-RO"/>
        </w:rPr>
        <w:lastRenderedPageBreak/>
        <w:t xml:space="preserve">De </w:t>
      </w:r>
      <w:r w:rsidRPr="00AF3608">
        <w:rPr>
          <w:rFonts w:asciiTheme="minorHAnsi" w:hAnsiTheme="minorHAnsi" w:cstheme="minorHAnsi"/>
          <w:color w:val="000000"/>
          <w:lang w:val="ro-RO"/>
        </w:rPr>
        <w:t>asemenea, a fost modificată Ordonanţa de urgenţă a Guvernului nr.147/2020</w:t>
      </w:r>
      <w:r w:rsidRPr="00AF3608">
        <w:rPr>
          <w:rFonts w:asciiTheme="minorHAnsi" w:hAnsiTheme="minorHAnsi" w:cstheme="minorHAnsi"/>
          <w:color w:val="000000"/>
          <w:vertAlign w:val="superscript"/>
          <w:lang w:val="ro-RO"/>
        </w:rPr>
        <w:footnoteReference w:id="4"/>
      </w:r>
      <w:r w:rsidRPr="00AF3608">
        <w:rPr>
          <w:rFonts w:asciiTheme="minorHAnsi" w:hAnsiTheme="minorHAnsi" w:cstheme="minorHAnsi"/>
          <w:color w:val="000000"/>
          <w:lang w:val="ro-RO"/>
        </w:rPr>
        <w:t xml:space="preserve"> în sensul prelungirii, până la 30</w:t>
      </w:r>
      <w:r w:rsidRPr="00AF3608">
        <w:rPr>
          <w:rFonts w:asciiTheme="minorHAnsi" w:hAnsiTheme="minorHAnsi" w:cstheme="minorHAnsi"/>
          <w:lang w:val="ro-RO"/>
        </w:rPr>
        <w:t xml:space="preserve"> iunie 2021, a posibilității ca, prin ordin al ministrului educaţiei, să se poată dispune suspendarea activităţilor care impun prezenţa fizică a antepreşcolarilor, preşcolarilor şi elevilor în unităţile de învăţământ şi continuarea activităţilor didactice în sistem on-line.</w:t>
      </w:r>
    </w:p>
    <w:p w:rsidR="00DF22F2" w:rsidRPr="00AF3608" w:rsidRDefault="00DF22F2" w:rsidP="00DF22F2">
      <w:pPr>
        <w:autoSpaceDE w:val="0"/>
        <w:autoSpaceDN w:val="0"/>
        <w:adjustRightInd w:val="0"/>
        <w:spacing w:before="120"/>
        <w:ind w:left="1144"/>
        <w:jc w:val="both"/>
        <w:rPr>
          <w:rFonts w:asciiTheme="minorHAnsi" w:hAnsiTheme="minorHAnsi" w:cstheme="minorHAnsi"/>
          <w:lang w:val="ro-RO"/>
        </w:rPr>
      </w:pPr>
    </w:p>
    <w:p w:rsidR="00D95CB1" w:rsidRPr="00AF3608" w:rsidRDefault="00D95CB1" w:rsidP="003A0B85">
      <w:pPr>
        <w:numPr>
          <w:ilvl w:val="0"/>
          <w:numId w:val="145"/>
        </w:numPr>
        <w:shd w:val="clear" w:color="auto" w:fill="E7E6E6" w:themeFill="background2"/>
        <w:autoSpaceDE w:val="0"/>
        <w:autoSpaceDN w:val="0"/>
        <w:adjustRightInd w:val="0"/>
        <w:spacing w:before="120"/>
        <w:jc w:val="both"/>
        <w:rPr>
          <w:rFonts w:ascii="Calibri" w:eastAsia="Calibri" w:hAnsi="Calibri" w:cs="Calibri"/>
          <w:b/>
          <w:color w:val="000066"/>
          <w:szCs w:val="22"/>
          <w:lang w:val="ro-RO"/>
        </w:rPr>
      </w:pPr>
      <w:r w:rsidRPr="00AF3608">
        <w:rPr>
          <w:rFonts w:ascii="Calibri" w:eastAsia="Calibri" w:hAnsi="Calibri" w:cs="Calibri"/>
          <w:b/>
          <w:color w:val="000066"/>
          <w:szCs w:val="22"/>
          <w:lang w:val="ro-RO"/>
        </w:rPr>
        <w:t xml:space="preserve">Măsuri noi </w:t>
      </w:r>
    </w:p>
    <w:p w:rsidR="004D123A" w:rsidRPr="00AF3608" w:rsidRDefault="004D123A" w:rsidP="003A0B85">
      <w:pPr>
        <w:numPr>
          <w:ilvl w:val="0"/>
          <w:numId w:val="149"/>
        </w:numPr>
        <w:shd w:val="clear" w:color="auto" w:fill="FFFFFF"/>
        <w:spacing w:before="120"/>
        <w:ind w:right="-58"/>
        <w:jc w:val="both"/>
        <w:rPr>
          <w:rFonts w:ascii="Calibri" w:eastAsia="Calibri" w:hAnsi="Calibri" w:cs="Calibri"/>
          <w:lang w:val="ro-RO"/>
        </w:rPr>
      </w:pPr>
      <w:r w:rsidRPr="00AF3608">
        <w:rPr>
          <w:rFonts w:ascii="Calibri" w:eastAsia="Calibri" w:hAnsi="Calibri" w:cs="Calibri"/>
          <w:b/>
          <w:iCs/>
          <w:color w:val="000066"/>
          <w:lang w:val="ro-RO"/>
        </w:rPr>
        <w:t>menținerea în anul 2021 a cuantumului brut al salariilor de bază/soldelor de funcţie/salariilor de funcţie /indemnizaţiilor de încadrare lunară</w:t>
      </w:r>
      <w:r w:rsidRPr="00AF3608">
        <w:rPr>
          <w:rFonts w:ascii="Calibri" w:eastAsia="Calibri" w:hAnsi="Calibri" w:cs="Calibri"/>
          <w:iCs/>
          <w:color w:val="000066"/>
          <w:lang w:val="ro-RO"/>
        </w:rPr>
        <w:t xml:space="preserve"> </w:t>
      </w:r>
      <w:r w:rsidRPr="00AF3608">
        <w:rPr>
          <w:rFonts w:ascii="Calibri" w:eastAsia="Calibri" w:hAnsi="Calibri" w:cs="Calibri"/>
          <w:iCs/>
          <w:lang w:val="ro-RO"/>
        </w:rPr>
        <w:t xml:space="preserve">de care beneficiază personalul plătit din fonduri publice, precum și a indemnizațiilor aferente funcțiilor de demnitate publică și funcțiilor asimilate acestora, prevăzute în anexa nr. IX la </w:t>
      </w:r>
      <w:r w:rsidRPr="00AF3608">
        <w:rPr>
          <w:rFonts w:ascii="Calibri" w:eastAsia="Calibri" w:hAnsi="Calibri" w:cs="Calibri"/>
          <w:i/>
          <w:iCs/>
          <w:lang w:val="ro-RO"/>
        </w:rPr>
        <w:t>Legea-cadru nr. 153/2017</w:t>
      </w:r>
      <w:r w:rsidRPr="00AF3608">
        <w:rPr>
          <w:rFonts w:ascii="Calibri" w:eastAsia="Calibri" w:hAnsi="Calibri" w:cs="Calibri"/>
          <w:iCs/>
          <w:lang w:val="ro-RO"/>
        </w:rPr>
        <w:t>, la nivelul acordat pentru luna decembrie 2020;</w:t>
      </w:r>
    </w:p>
    <w:p w:rsidR="004D123A" w:rsidRPr="00AF3608" w:rsidRDefault="004D123A" w:rsidP="003A0B85">
      <w:pPr>
        <w:numPr>
          <w:ilvl w:val="0"/>
          <w:numId w:val="149"/>
        </w:numPr>
        <w:shd w:val="clear" w:color="auto" w:fill="FFFFFF"/>
        <w:spacing w:before="120"/>
        <w:ind w:right="-58"/>
        <w:jc w:val="both"/>
        <w:rPr>
          <w:rFonts w:ascii="Calibri" w:eastAsia="Calibri" w:hAnsi="Calibri" w:cs="Calibri"/>
          <w:lang w:val="ro-RO"/>
        </w:rPr>
      </w:pPr>
      <w:r w:rsidRPr="00AF3608">
        <w:rPr>
          <w:rFonts w:ascii="Calibri" w:eastAsia="Calibri" w:hAnsi="Calibri" w:cs="Calibri"/>
          <w:b/>
          <w:iCs/>
          <w:color w:val="000066"/>
          <w:lang w:val="ro-RO"/>
        </w:rPr>
        <w:t>menținerea în anul 2021 a cuantumului sporurilor, indemnizaţiilor, compensaţiilor, primelor</w:t>
      </w:r>
      <w:r w:rsidRPr="00AF3608">
        <w:rPr>
          <w:rFonts w:ascii="Calibri" w:eastAsia="Calibri" w:hAnsi="Calibri" w:cs="Calibri"/>
          <w:iCs/>
          <w:color w:val="000066"/>
          <w:lang w:val="ro-RO"/>
        </w:rPr>
        <w:t xml:space="preserve"> </w:t>
      </w:r>
      <w:r w:rsidRPr="00AF3608">
        <w:rPr>
          <w:rFonts w:ascii="Calibri" w:eastAsia="Calibri" w:hAnsi="Calibri" w:cs="Calibri"/>
          <w:iCs/>
          <w:lang w:val="ro-RO"/>
        </w:rPr>
        <w:t>şi al celorlalte elemente ale sistemului de salarizare care fac parte, potrivit legii, din salariul brut lunar cel mult la nivelul cuantumului acordat pentru luna decembrie 2020, în măsura în care personalul ocupă aceeași funcție și își desfășoară activitatea în aceleași condiții;</w:t>
      </w:r>
    </w:p>
    <w:p w:rsidR="004D123A" w:rsidRPr="00AF3608" w:rsidRDefault="004D123A" w:rsidP="003A0B85">
      <w:pPr>
        <w:numPr>
          <w:ilvl w:val="0"/>
          <w:numId w:val="149"/>
        </w:numPr>
        <w:shd w:val="clear" w:color="auto" w:fill="FFFFFF"/>
        <w:spacing w:before="120"/>
        <w:ind w:right="-58"/>
        <w:jc w:val="both"/>
        <w:rPr>
          <w:rFonts w:ascii="Calibri" w:eastAsia="Calibri" w:hAnsi="Calibri" w:cs="Calibri"/>
          <w:b/>
          <w:color w:val="000066"/>
          <w:szCs w:val="22"/>
          <w:lang w:val="ro-RO"/>
        </w:rPr>
      </w:pPr>
      <w:r w:rsidRPr="00AF3608">
        <w:rPr>
          <w:rFonts w:ascii="Calibri" w:eastAsia="Calibri" w:hAnsi="Calibri" w:cs="Calibri"/>
          <w:b/>
          <w:iCs/>
          <w:color w:val="000066"/>
          <w:szCs w:val="22"/>
          <w:lang w:val="ro-RO"/>
        </w:rPr>
        <w:t>menținerea în anul 2021 a cuantumului indemnizației de hrană la nivelul stabilit pentru anul 2020;</w:t>
      </w:r>
    </w:p>
    <w:p w:rsidR="004D123A" w:rsidRPr="00AF3608" w:rsidRDefault="004D123A" w:rsidP="003A0B85">
      <w:pPr>
        <w:numPr>
          <w:ilvl w:val="0"/>
          <w:numId w:val="149"/>
        </w:numPr>
        <w:shd w:val="clear" w:color="auto" w:fill="FFFFFF"/>
        <w:spacing w:before="120"/>
        <w:ind w:right="-58"/>
        <w:jc w:val="both"/>
        <w:rPr>
          <w:rFonts w:ascii="Calibri" w:eastAsia="Calibri" w:hAnsi="Calibri" w:cs="Calibri"/>
          <w:b/>
          <w:color w:val="000066"/>
          <w:szCs w:val="22"/>
          <w:lang w:val="ro-RO"/>
        </w:rPr>
      </w:pPr>
      <w:r w:rsidRPr="00AF3608">
        <w:rPr>
          <w:rFonts w:ascii="Calibri" w:eastAsia="Calibri" w:hAnsi="Calibri" w:cs="Calibri"/>
          <w:b/>
          <w:iCs/>
          <w:color w:val="000066"/>
          <w:szCs w:val="22"/>
          <w:lang w:val="ro-RO"/>
        </w:rPr>
        <w:t xml:space="preserve">neacordarea de premii și a indemnizaţiei de vacanţă prevăzută de </w:t>
      </w:r>
      <w:r w:rsidRPr="00AF3608">
        <w:rPr>
          <w:rFonts w:ascii="Calibri" w:eastAsia="Calibri" w:hAnsi="Calibri" w:cs="Calibri"/>
          <w:b/>
          <w:i/>
          <w:iCs/>
          <w:color w:val="000066"/>
          <w:szCs w:val="22"/>
          <w:lang w:val="ro-RO"/>
        </w:rPr>
        <w:t>Legea-cadru nr. 153/2017;</w:t>
      </w:r>
    </w:p>
    <w:p w:rsidR="004D123A" w:rsidRPr="00AF3608" w:rsidRDefault="004D123A" w:rsidP="003A0B85">
      <w:pPr>
        <w:numPr>
          <w:ilvl w:val="0"/>
          <w:numId w:val="149"/>
        </w:numPr>
        <w:shd w:val="clear" w:color="auto" w:fill="FFFFFF"/>
        <w:spacing w:before="120"/>
        <w:ind w:right="-58"/>
        <w:jc w:val="both"/>
        <w:rPr>
          <w:rFonts w:ascii="Calibri" w:eastAsia="Calibri" w:hAnsi="Calibri" w:cs="Calibri"/>
          <w:szCs w:val="22"/>
          <w:lang w:val="ro-RO"/>
        </w:rPr>
      </w:pPr>
      <w:r w:rsidRPr="00AF3608">
        <w:rPr>
          <w:rFonts w:ascii="Calibri" w:eastAsia="Calibri" w:hAnsi="Calibri" w:cs="Calibri"/>
          <w:b/>
          <w:bCs/>
          <w:color w:val="000066"/>
          <w:szCs w:val="22"/>
          <w:lang w:val="ro-RO"/>
        </w:rPr>
        <w:t>compensarea orelor suplimentare pentru personalul bugetar numai cu timp liber corespunzător;</w:t>
      </w:r>
      <w:r w:rsidRPr="00AF3608">
        <w:rPr>
          <w:rFonts w:ascii="Calibri" w:eastAsia="Calibri" w:hAnsi="Calibri" w:cs="Calibri"/>
          <w:bCs/>
          <w:color w:val="000066"/>
          <w:szCs w:val="22"/>
          <w:lang w:val="ro-RO"/>
        </w:rPr>
        <w:t xml:space="preserve"> </w:t>
      </w:r>
      <w:r w:rsidRPr="00AF3608">
        <w:rPr>
          <w:rFonts w:ascii="Calibri" w:eastAsia="Calibri" w:hAnsi="Calibri" w:cs="Calibri"/>
          <w:bCs/>
          <w:szCs w:val="22"/>
          <w:lang w:val="ro-RO"/>
        </w:rPr>
        <w:t>pentru polițiști și cadre militare se mențin reglementările din anii anteriori care vizează acordarea drepturilor salariale pentru activitatea desfășurată în zilele de sărbători legale;</w:t>
      </w:r>
    </w:p>
    <w:p w:rsidR="004D123A" w:rsidRPr="00AF3608" w:rsidRDefault="00DD2562" w:rsidP="003A0B85">
      <w:pPr>
        <w:numPr>
          <w:ilvl w:val="0"/>
          <w:numId w:val="149"/>
        </w:numPr>
        <w:spacing w:before="120"/>
        <w:ind w:left="714" w:hanging="357"/>
        <w:jc w:val="both"/>
        <w:rPr>
          <w:rFonts w:ascii="Calibri" w:eastAsia="Calibri" w:hAnsi="Calibri" w:cs="Calibri"/>
          <w:iCs/>
          <w:color w:val="000000"/>
          <w:szCs w:val="22"/>
          <w:lang w:val="ro-RO"/>
        </w:rPr>
      </w:pPr>
      <w:r w:rsidRPr="00AF3608">
        <w:rPr>
          <w:rFonts w:ascii="Calibri" w:eastAsia="Calibri" w:hAnsi="Calibri" w:cs="Calibri"/>
          <w:b/>
          <w:iCs/>
          <w:color w:val="000066"/>
          <w:szCs w:val="22"/>
          <w:lang w:val="ro-RO"/>
        </w:rPr>
        <w:t xml:space="preserve">prelungirea folosirii </w:t>
      </w:r>
      <w:r w:rsidR="004D123A" w:rsidRPr="00AF3608">
        <w:rPr>
          <w:rFonts w:ascii="Calibri" w:eastAsia="Calibri" w:hAnsi="Calibri" w:cs="Calibri"/>
          <w:b/>
          <w:iCs/>
          <w:color w:val="000066"/>
          <w:szCs w:val="22"/>
          <w:lang w:val="ro-RO"/>
        </w:rPr>
        <w:t>vouchere</w:t>
      </w:r>
      <w:r w:rsidRPr="00AF3608">
        <w:rPr>
          <w:rFonts w:ascii="Calibri" w:eastAsia="Calibri" w:hAnsi="Calibri" w:cs="Calibri"/>
          <w:b/>
          <w:iCs/>
          <w:color w:val="000066"/>
          <w:szCs w:val="22"/>
          <w:lang w:val="ro-RO"/>
        </w:rPr>
        <w:t>lor</w:t>
      </w:r>
      <w:r w:rsidR="004D123A" w:rsidRPr="00AF3608">
        <w:rPr>
          <w:rFonts w:ascii="Calibri" w:eastAsia="Calibri" w:hAnsi="Calibri" w:cs="Calibri"/>
          <w:b/>
          <w:iCs/>
          <w:color w:val="000066"/>
          <w:szCs w:val="22"/>
          <w:lang w:val="ro-RO"/>
        </w:rPr>
        <w:t xml:space="preserve"> de vacanță</w:t>
      </w:r>
      <w:r w:rsidR="004D123A" w:rsidRPr="00AF3608">
        <w:rPr>
          <w:rFonts w:ascii="Calibri" w:eastAsia="Calibri" w:hAnsi="Calibri" w:cs="Calibri"/>
          <w:iCs/>
          <w:color w:val="002060"/>
          <w:szCs w:val="22"/>
          <w:lang w:val="ro-RO"/>
        </w:rPr>
        <w:t xml:space="preserve"> </w:t>
      </w:r>
      <w:r w:rsidRPr="00AF3608">
        <w:rPr>
          <w:rFonts w:ascii="Calibri" w:eastAsia="Calibri" w:hAnsi="Calibri" w:cs="Calibri"/>
          <w:iCs/>
          <w:szCs w:val="22"/>
          <w:lang w:val="ro-RO"/>
        </w:rPr>
        <w:t>emise în anul 2019 și anul 2020 până la sfărșitul anului</w:t>
      </w:r>
      <w:r w:rsidR="004D123A" w:rsidRPr="00AF3608">
        <w:rPr>
          <w:rFonts w:ascii="Calibri" w:eastAsia="Calibri" w:hAnsi="Calibri" w:cs="Calibri"/>
          <w:iCs/>
          <w:szCs w:val="22"/>
          <w:lang w:val="ro-RO"/>
        </w:rPr>
        <w:t xml:space="preserve"> 2021 </w:t>
      </w:r>
      <w:r w:rsidRPr="00AF3608">
        <w:rPr>
          <w:rFonts w:ascii="Calibri" w:eastAsia="Calibri" w:hAnsi="Calibri" w:cs="Calibri"/>
          <w:iCs/>
          <w:szCs w:val="22"/>
          <w:lang w:val="ro-RO"/>
        </w:rPr>
        <w:t>și suspendarea emiterii de vo</w:t>
      </w:r>
      <w:r w:rsidR="00BD3C1B" w:rsidRPr="00AF3608">
        <w:rPr>
          <w:rFonts w:ascii="Calibri" w:eastAsia="Calibri" w:hAnsi="Calibri" w:cs="Calibri"/>
          <w:iCs/>
          <w:szCs w:val="22"/>
          <w:lang w:val="ro-RO"/>
        </w:rPr>
        <w:t>u</w:t>
      </w:r>
      <w:r w:rsidRPr="00AF3608">
        <w:rPr>
          <w:rFonts w:ascii="Calibri" w:eastAsia="Calibri" w:hAnsi="Calibri" w:cs="Calibri"/>
          <w:iCs/>
          <w:szCs w:val="22"/>
          <w:lang w:val="ro-RO"/>
        </w:rPr>
        <w:t xml:space="preserve">chere de vacanță pentu anul 2021 </w:t>
      </w:r>
      <w:r w:rsidR="004D123A" w:rsidRPr="00AF3608">
        <w:rPr>
          <w:rFonts w:ascii="Calibri" w:eastAsia="Calibri" w:hAnsi="Calibri" w:cs="Calibri"/>
          <w:iCs/>
          <w:szCs w:val="22"/>
          <w:lang w:val="ro-RO"/>
        </w:rPr>
        <w:t xml:space="preserve">de către autoritățile și instituțiile publice, astfel cum sunt </w:t>
      </w:r>
      <w:r w:rsidR="004D123A" w:rsidRPr="00AF3608">
        <w:rPr>
          <w:rFonts w:ascii="Calibri" w:eastAsia="Calibri" w:hAnsi="Calibri" w:cs="Calibri"/>
          <w:iCs/>
          <w:color w:val="000000"/>
          <w:szCs w:val="22"/>
          <w:lang w:val="ro-RO"/>
        </w:rPr>
        <w:t xml:space="preserve">definite la art. 2 alin. (1) pct. 30 din Legea nr. 500/2002, cu modificările şi completările ulterioare, şi la art. 2 alin. (1) pct. 39 din Legea nr. 273/2006, cu modificările şi completările ulterioare, indiferent de sistemul de finanţare şi de subordonare, inclusiv activităţile finanţate integral din venituri proprii, înfiinţate pe lângă instituţiile publice, precum și serviciile publice autonome de interes naţional, cu personalitate juridică, reglementate prin Legea nr.41/1994; </w:t>
      </w:r>
    </w:p>
    <w:p w:rsidR="004D123A" w:rsidRPr="00AF3608" w:rsidRDefault="00B1570A" w:rsidP="003A0B85">
      <w:pPr>
        <w:numPr>
          <w:ilvl w:val="0"/>
          <w:numId w:val="150"/>
        </w:numPr>
        <w:suppressAutoHyphens/>
        <w:spacing w:before="120"/>
        <w:jc w:val="both"/>
        <w:textAlignment w:val="baseline"/>
        <w:rPr>
          <w:rFonts w:ascii="Calibri" w:hAnsi="Calibri" w:cs="Calibri"/>
          <w:b/>
          <w:bCs/>
          <w:color w:val="000066"/>
          <w:kern w:val="1"/>
          <w:lang w:val="ro-RO" w:eastAsia="ar-SA"/>
        </w:rPr>
      </w:pPr>
      <w:r w:rsidRPr="00AF3608">
        <w:rPr>
          <w:rFonts w:ascii="Calibri" w:hAnsi="Calibri" w:cs="Calibri"/>
          <w:bCs/>
          <w:kern w:val="1"/>
          <w:lang w:val="ro-RO" w:eastAsia="ar-SA"/>
        </w:rPr>
        <w:t xml:space="preserve">Valoarea </w:t>
      </w:r>
      <w:r w:rsidR="004D123A" w:rsidRPr="00AF3608">
        <w:rPr>
          <w:rFonts w:ascii="Calibri" w:hAnsi="Calibri" w:cs="Calibri"/>
          <w:bCs/>
          <w:kern w:val="1"/>
          <w:lang w:val="ro-RO" w:eastAsia="ar-SA"/>
        </w:rPr>
        <w:t xml:space="preserve">punctului de pensie </w:t>
      </w:r>
      <w:r w:rsidR="004D123A" w:rsidRPr="00AF3608">
        <w:rPr>
          <w:rFonts w:ascii="Calibri" w:hAnsi="Calibri" w:cs="Calibri"/>
          <w:b/>
          <w:bCs/>
          <w:color w:val="000066"/>
          <w:kern w:val="1"/>
          <w:lang w:val="ro-RO" w:eastAsia="ar-SA"/>
        </w:rPr>
        <w:t xml:space="preserve">se va majora în anul 2022, cu rata medie anuală a inflaţiei, la care se adaugă cel mult 50% din creşterea reală a câştigului salarial mediu brut realizat </w:t>
      </w:r>
    </w:p>
    <w:p w:rsidR="004D123A" w:rsidRPr="00AF3608" w:rsidRDefault="004D123A" w:rsidP="003A0B85">
      <w:pPr>
        <w:numPr>
          <w:ilvl w:val="0"/>
          <w:numId w:val="151"/>
        </w:numPr>
        <w:autoSpaceDE w:val="0"/>
        <w:spacing w:before="120"/>
        <w:jc w:val="both"/>
        <w:textAlignment w:val="baseline"/>
        <w:rPr>
          <w:rFonts w:ascii="Calibri" w:hAnsi="Calibri" w:cs="Calibri"/>
          <w:kern w:val="1"/>
          <w:lang w:val="ro-RO" w:eastAsia="ar-SA"/>
        </w:rPr>
      </w:pPr>
      <w:r w:rsidRPr="00AF3608">
        <w:rPr>
          <w:rFonts w:ascii="Calibri" w:hAnsi="Calibri" w:cs="Calibri"/>
          <w:kern w:val="1"/>
          <w:lang w:val="ro-RO" w:eastAsia="ar-SA"/>
        </w:rPr>
        <w:t>studenții înmatriculați la forma de învățământ cu frecvență, în instituțiile de învățământ superior acreditate, în vârstă de până la 26 de ani, beneficiază de tarif redus cu 50% pe mijloacele de transport local în comun, transportul intern auto, transport intern feroviar la toate cate</w:t>
      </w:r>
      <w:r w:rsidR="00573BB3" w:rsidRPr="00AF3608">
        <w:rPr>
          <w:rFonts w:ascii="Calibri" w:hAnsi="Calibri" w:cs="Calibri"/>
          <w:kern w:val="1"/>
          <w:lang w:val="ro-RO" w:eastAsia="ar-SA"/>
        </w:rPr>
        <w:t xml:space="preserve">goriile de trenuri </w:t>
      </w:r>
      <w:r w:rsidRPr="00AF3608">
        <w:rPr>
          <w:rFonts w:ascii="Calibri" w:hAnsi="Calibri" w:cs="Calibri"/>
          <w:kern w:val="1"/>
          <w:lang w:val="ro-RO" w:eastAsia="ar-SA"/>
        </w:rPr>
        <w:t xml:space="preserve"> și naval. Studenții orfani sau proveniți din casele de copii beneficiază de gratuitate pentru aceste categorii de transport.”</w:t>
      </w:r>
    </w:p>
    <w:p w:rsidR="00D95CB1" w:rsidRPr="00AF3608" w:rsidRDefault="00D95CB1" w:rsidP="00AF49FC">
      <w:pPr>
        <w:widowControl w:val="0"/>
        <w:autoSpaceDE w:val="0"/>
        <w:autoSpaceDN w:val="0"/>
        <w:adjustRightInd w:val="0"/>
        <w:spacing w:before="120"/>
        <w:jc w:val="both"/>
        <w:rPr>
          <w:rFonts w:ascii="Calibri" w:hAnsi="Calibri" w:cs="Arial"/>
          <w:color w:val="000000"/>
          <w:lang w:val="ro-RO"/>
        </w:rPr>
      </w:pPr>
      <w:r w:rsidRPr="00AF3608">
        <w:rPr>
          <w:rFonts w:ascii="Calibri" w:hAnsi="Calibri" w:cs="Arial"/>
          <w:lang w:val="ro-RO"/>
        </w:rPr>
        <w:t xml:space="preserve">În aceste condiții </w:t>
      </w:r>
      <w:r w:rsidRPr="00AF3608">
        <w:rPr>
          <w:rFonts w:ascii="Calibri" w:hAnsi="Calibri" w:cs="Arial"/>
          <w:b/>
          <w:color w:val="000048"/>
          <w:lang w:val="ro-RO"/>
        </w:rPr>
        <w:t>v</w:t>
      </w:r>
      <w:r w:rsidRPr="00AF3608">
        <w:rPr>
          <w:rFonts w:ascii="Calibri" w:hAnsi="Calibri"/>
          <w:b/>
          <w:color w:val="000048"/>
          <w:lang w:val="ro-RO"/>
        </w:rPr>
        <w:t>eniturile bugetare</w:t>
      </w:r>
      <w:r w:rsidRPr="00AF3608">
        <w:rPr>
          <w:rFonts w:ascii="Calibri" w:hAnsi="Calibri"/>
          <w:color w:val="000048"/>
          <w:lang w:val="ro-RO"/>
        </w:rPr>
        <w:t xml:space="preserve"> </w:t>
      </w:r>
      <w:r w:rsidRPr="00AF3608">
        <w:rPr>
          <w:rFonts w:ascii="Calibri" w:hAnsi="Calibri"/>
          <w:lang w:val="ro-RO"/>
        </w:rPr>
        <w:t>proiectate pen</w:t>
      </w:r>
      <w:r w:rsidR="004D123A" w:rsidRPr="00AF3608">
        <w:rPr>
          <w:rFonts w:ascii="Calibri" w:hAnsi="Calibri"/>
          <w:lang w:val="ro-RO"/>
        </w:rPr>
        <w:t>tru anul 2021 reprezintă 32,67</w:t>
      </w:r>
      <w:r w:rsidRPr="00AF3608">
        <w:rPr>
          <w:rFonts w:ascii="Calibri" w:hAnsi="Calibri"/>
          <w:lang w:val="ro-RO"/>
        </w:rPr>
        <w:t xml:space="preserve">% din PIB, 31,40% din PIB în anul 2022, urmând ca în anul 2023 să reprezinte30,96% din PIB, evoluție determinată de evoluția indicatorilor macroeconomici pe orizontul de referentă, precum și de măsurile/prevederile adoptate până la acest moment prin acte normative, iar </w:t>
      </w:r>
      <w:r w:rsidRPr="00AF3608">
        <w:rPr>
          <w:rFonts w:ascii="Calibri" w:hAnsi="Calibri"/>
          <w:b/>
          <w:color w:val="000048"/>
          <w:lang w:val="ro-RO"/>
        </w:rPr>
        <w:t>c</w:t>
      </w:r>
      <w:r w:rsidRPr="00AF3608">
        <w:rPr>
          <w:rFonts w:ascii="Calibri" w:hAnsi="Calibri" w:cs="Arial"/>
          <w:b/>
          <w:color w:val="000048"/>
          <w:lang w:val="ro-RO"/>
        </w:rPr>
        <w:t xml:space="preserve">heltuielile bugetare </w:t>
      </w:r>
      <w:r w:rsidRPr="00AF3608">
        <w:rPr>
          <w:rFonts w:ascii="Calibri" w:hAnsi="Calibri" w:cs="Arial"/>
          <w:color w:val="000000"/>
          <w:lang w:val="ro-RO"/>
        </w:rPr>
        <w:t xml:space="preserve">proiectate </w:t>
      </w:r>
      <w:r w:rsidR="00053B49" w:rsidRPr="00AF3608">
        <w:rPr>
          <w:rFonts w:ascii="Calibri" w:hAnsi="Calibri" w:cs="Arial"/>
          <w:color w:val="000000"/>
          <w:lang w:val="ro-RO"/>
        </w:rPr>
        <w:t xml:space="preserve">pentru </w:t>
      </w:r>
      <w:r w:rsidR="00053B49" w:rsidRPr="00AF3608">
        <w:rPr>
          <w:rFonts w:ascii="Calibri" w:hAnsi="Calibri" w:cs="Arial"/>
          <w:color w:val="000000"/>
          <w:lang w:val="ro-RO"/>
        </w:rPr>
        <w:lastRenderedPageBreak/>
        <w:t>anul 2021 reprezintă39,84</w:t>
      </w:r>
      <w:r w:rsidRPr="00AF3608">
        <w:rPr>
          <w:rFonts w:ascii="Calibri" w:hAnsi="Calibri" w:cs="Arial"/>
          <w:color w:val="000000"/>
          <w:lang w:val="ro-RO"/>
        </w:rPr>
        <w:t>% din PIB, ajungând la 35,33% în 2023, în scădere pe orizontul de referință ca pondere în PIB.</w:t>
      </w:r>
    </w:p>
    <w:p w:rsidR="00D95CB1" w:rsidRPr="00AF3608" w:rsidRDefault="00D95CB1" w:rsidP="00AF49FC">
      <w:pPr>
        <w:widowControl w:val="0"/>
        <w:autoSpaceDE w:val="0"/>
        <w:autoSpaceDN w:val="0"/>
        <w:adjustRightInd w:val="0"/>
        <w:spacing w:before="120"/>
        <w:jc w:val="both"/>
        <w:rPr>
          <w:rFonts w:ascii="Calibri" w:hAnsi="Calibri" w:cs="Arial"/>
          <w:color w:val="000000"/>
          <w:lang w:val="ro-RO"/>
        </w:rPr>
      </w:pPr>
    </w:p>
    <w:p w:rsidR="00D95CB1" w:rsidRPr="00AF3608" w:rsidRDefault="00D95CB1" w:rsidP="003A0B85">
      <w:pPr>
        <w:numPr>
          <w:ilvl w:val="0"/>
          <w:numId w:val="141"/>
        </w:numPr>
        <w:shd w:val="clear" w:color="auto" w:fill="DEEAF6" w:themeFill="accent1" w:themeFillTint="33"/>
        <w:spacing w:before="120"/>
        <w:ind w:left="284" w:hanging="284"/>
        <w:jc w:val="both"/>
        <w:rPr>
          <w:rFonts w:ascii="Calibri" w:eastAsia="Calibri" w:hAnsi="Calibri" w:cs="Arial"/>
          <w:b/>
          <w:color w:val="000000"/>
          <w:szCs w:val="22"/>
          <w:lang w:val="ro-RO"/>
        </w:rPr>
      </w:pPr>
      <w:r w:rsidRPr="00AF3608">
        <w:rPr>
          <w:rFonts w:asciiTheme="minorHAnsi" w:eastAsia="+mn-ea" w:hAnsiTheme="minorHAnsi" w:cstheme="minorHAnsi"/>
          <w:b/>
          <w:bCs/>
          <w:color w:val="000066"/>
          <w:szCs w:val="22"/>
          <w:lang w:val="ro-RO"/>
        </w:rPr>
        <w:t>Realizarea graduală a consolidării fiscale prin măsuri care să permită atingerea  țintei de deficit prevazută de regulamentele europene, la sfârșitul orizontului de prognoză, respectiv anul 2024;</w:t>
      </w:r>
    </w:p>
    <w:p w:rsidR="00D95CB1" w:rsidRPr="00AF3608" w:rsidRDefault="00D95CB1" w:rsidP="00DF22F2">
      <w:pPr>
        <w:spacing w:before="120"/>
        <w:ind w:right="-2"/>
        <w:jc w:val="both"/>
        <w:rPr>
          <w:rFonts w:ascii="Calibri" w:hAnsi="Calibri" w:cs="Arial"/>
          <w:b/>
          <w:color w:val="000000"/>
          <w:lang w:val="ro-RO"/>
        </w:rPr>
      </w:pPr>
    </w:p>
    <w:p w:rsidR="00D95CB1" w:rsidRPr="00AF3608" w:rsidRDefault="00D95CB1" w:rsidP="00D95CB1">
      <w:pPr>
        <w:spacing w:before="120" w:line="259" w:lineRule="auto"/>
        <w:jc w:val="center"/>
        <w:rPr>
          <w:rFonts w:ascii="Calibri" w:eastAsia="Calibri" w:hAnsi="Calibri" w:cs="Arial"/>
          <w:b/>
          <w:lang w:val="ro-RO" w:eastAsia="ro-RO"/>
        </w:rPr>
      </w:pPr>
      <w:r w:rsidRPr="00AF3608">
        <w:rPr>
          <w:rFonts w:ascii="Calibri" w:eastAsia="Calibri" w:hAnsi="Calibri" w:cs="Arial"/>
          <w:b/>
          <w:lang w:val="ro-RO" w:eastAsia="ro-RO"/>
        </w:rPr>
        <w:t>Deficite bugetare în perioada 2018-2023</w:t>
      </w:r>
    </w:p>
    <w:p w:rsidR="00D95CB1" w:rsidRPr="00AF3608" w:rsidRDefault="00D95CB1" w:rsidP="00DF22F2">
      <w:pPr>
        <w:spacing w:before="120"/>
        <w:ind w:left="4320" w:firstLine="720"/>
        <w:jc w:val="center"/>
        <w:rPr>
          <w:rFonts w:ascii="Calibri" w:eastAsia="Calibri" w:hAnsi="Calibri" w:cs="Arial"/>
          <w:lang w:val="ro-RO" w:eastAsia="ro-RO"/>
        </w:rPr>
      </w:pPr>
      <w:r w:rsidRPr="00AF3608">
        <w:rPr>
          <w:rFonts w:ascii="Calibri" w:eastAsia="Calibri" w:hAnsi="Calibri" w:cs="Arial"/>
          <w:lang w:val="ro-RO" w:eastAsia="ro-RO"/>
        </w:rPr>
        <w:t xml:space="preserve">- % din PIB </w:t>
      </w:r>
    </w:p>
    <w:tbl>
      <w:tblPr>
        <w:tblW w:w="6831" w:type="dxa"/>
        <w:jc w:val="center"/>
        <w:tblLook w:val="01E0" w:firstRow="1" w:lastRow="1" w:firstColumn="1" w:lastColumn="1" w:noHBand="0" w:noVBand="0"/>
      </w:tblPr>
      <w:tblGrid>
        <w:gridCol w:w="2127"/>
        <w:gridCol w:w="784"/>
        <w:gridCol w:w="784"/>
        <w:gridCol w:w="784"/>
        <w:gridCol w:w="784"/>
        <w:gridCol w:w="784"/>
        <w:gridCol w:w="784"/>
      </w:tblGrid>
      <w:tr w:rsidR="00D95CB1" w:rsidRPr="00AF3608" w:rsidTr="00B1570A">
        <w:trPr>
          <w:trHeight w:val="336"/>
          <w:jc w:val="center"/>
        </w:trPr>
        <w:tc>
          <w:tcPr>
            <w:tcW w:w="2127" w:type="dxa"/>
            <w:tcBorders>
              <w:top w:val="single" w:sz="6" w:space="0" w:color="000000"/>
              <w:bottom w:val="single" w:sz="6" w:space="0" w:color="000000"/>
            </w:tcBorders>
            <w:shd w:val="clear" w:color="auto" w:fill="9CC2E5" w:themeFill="accent1" w:themeFillTint="99"/>
          </w:tcPr>
          <w:p w:rsidR="00D95CB1" w:rsidRPr="00AF3608" w:rsidRDefault="00D95CB1" w:rsidP="00D95CB1">
            <w:pPr>
              <w:spacing w:before="120"/>
              <w:jc w:val="both"/>
              <w:rPr>
                <w:rFonts w:ascii="Calibri" w:eastAsia="Calibri" w:hAnsi="Calibri" w:cs="Arial"/>
                <w:b/>
                <w:lang w:val="ro-RO" w:eastAsia="ro-RO"/>
              </w:rPr>
            </w:pPr>
            <w:r w:rsidRPr="00AF3608">
              <w:rPr>
                <w:rFonts w:ascii="Calibri" w:eastAsia="Calibri" w:hAnsi="Calibri" w:cs="Arial"/>
                <w:b/>
                <w:lang w:val="ro-RO" w:eastAsia="ro-RO"/>
              </w:rPr>
              <w:t>Deficite bugetare</w:t>
            </w:r>
          </w:p>
        </w:tc>
        <w:tc>
          <w:tcPr>
            <w:tcW w:w="784" w:type="dxa"/>
            <w:tcBorders>
              <w:top w:val="single" w:sz="6" w:space="0" w:color="000000"/>
              <w:bottom w:val="single" w:sz="6" w:space="0" w:color="000000"/>
            </w:tcBorders>
            <w:shd w:val="clear" w:color="auto" w:fill="9CC2E5" w:themeFill="accent1" w:themeFillTint="99"/>
          </w:tcPr>
          <w:p w:rsidR="00D95CB1" w:rsidRPr="00AF3608" w:rsidRDefault="00D95CB1" w:rsidP="00D95CB1">
            <w:pPr>
              <w:spacing w:before="120"/>
              <w:jc w:val="both"/>
              <w:rPr>
                <w:rFonts w:ascii="Calibri" w:eastAsia="Calibri" w:hAnsi="Calibri" w:cs="Arial"/>
                <w:b/>
                <w:lang w:val="ro-RO" w:eastAsia="ro-RO"/>
              </w:rPr>
            </w:pPr>
            <w:r w:rsidRPr="00AF3608">
              <w:rPr>
                <w:rFonts w:ascii="Calibri" w:eastAsia="Calibri" w:hAnsi="Calibri" w:cs="Arial"/>
                <w:b/>
                <w:lang w:val="ro-RO" w:eastAsia="ro-RO"/>
              </w:rPr>
              <w:t>2018</w:t>
            </w:r>
          </w:p>
        </w:tc>
        <w:tc>
          <w:tcPr>
            <w:tcW w:w="784" w:type="dxa"/>
            <w:tcBorders>
              <w:top w:val="single" w:sz="6" w:space="0" w:color="000000"/>
              <w:bottom w:val="single" w:sz="6" w:space="0" w:color="000000"/>
            </w:tcBorders>
            <w:shd w:val="clear" w:color="auto" w:fill="9CC2E5" w:themeFill="accent1" w:themeFillTint="99"/>
          </w:tcPr>
          <w:p w:rsidR="00D95CB1" w:rsidRPr="00AF3608" w:rsidRDefault="00D95CB1" w:rsidP="00D95CB1">
            <w:pPr>
              <w:spacing w:before="120"/>
              <w:jc w:val="both"/>
              <w:rPr>
                <w:rFonts w:ascii="Calibri" w:eastAsia="Calibri" w:hAnsi="Calibri" w:cs="Arial"/>
                <w:b/>
                <w:lang w:val="ro-RO" w:eastAsia="ro-RO"/>
              </w:rPr>
            </w:pPr>
            <w:r w:rsidRPr="00AF3608">
              <w:rPr>
                <w:rFonts w:ascii="Calibri" w:eastAsia="Calibri" w:hAnsi="Calibri" w:cs="Arial"/>
                <w:b/>
                <w:lang w:val="ro-RO" w:eastAsia="ro-RO"/>
              </w:rPr>
              <w:t>2019</w:t>
            </w:r>
          </w:p>
        </w:tc>
        <w:tc>
          <w:tcPr>
            <w:tcW w:w="784" w:type="dxa"/>
            <w:tcBorders>
              <w:top w:val="single" w:sz="6" w:space="0" w:color="000000"/>
              <w:bottom w:val="single" w:sz="6" w:space="0" w:color="000000"/>
            </w:tcBorders>
            <w:shd w:val="clear" w:color="auto" w:fill="9CC2E5" w:themeFill="accent1" w:themeFillTint="99"/>
          </w:tcPr>
          <w:p w:rsidR="00D95CB1" w:rsidRPr="00AF3608" w:rsidRDefault="00D95CB1" w:rsidP="00D95CB1">
            <w:pPr>
              <w:spacing w:before="120"/>
              <w:jc w:val="both"/>
              <w:rPr>
                <w:rFonts w:ascii="Calibri" w:eastAsia="Calibri" w:hAnsi="Calibri" w:cs="Arial"/>
                <w:b/>
                <w:lang w:val="ro-RO" w:eastAsia="ro-RO"/>
              </w:rPr>
            </w:pPr>
            <w:r w:rsidRPr="00AF3608">
              <w:rPr>
                <w:rFonts w:ascii="Calibri" w:eastAsia="Calibri" w:hAnsi="Calibri" w:cs="Arial"/>
                <w:b/>
                <w:lang w:val="ro-RO" w:eastAsia="ro-RO"/>
              </w:rPr>
              <w:t>2020</w:t>
            </w:r>
          </w:p>
        </w:tc>
        <w:tc>
          <w:tcPr>
            <w:tcW w:w="784" w:type="dxa"/>
            <w:tcBorders>
              <w:top w:val="single" w:sz="6" w:space="0" w:color="000000"/>
              <w:bottom w:val="single" w:sz="6" w:space="0" w:color="000000"/>
            </w:tcBorders>
            <w:shd w:val="clear" w:color="auto" w:fill="9CC2E5" w:themeFill="accent1" w:themeFillTint="99"/>
          </w:tcPr>
          <w:p w:rsidR="00D95CB1" w:rsidRPr="00AF3608" w:rsidRDefault="00D95CB1" w:rsidP="00D95CB1">
            <w:pPr>
              <w:spacing w:before="120"/>
              <w:jc w:val="both"/>
              <w:rPr>
                <w:rFonts w:ascii="Calibri" w:eastAsia="Calibri" w:hAnsi="Calibri" w:cs="Arial"/>
                <w:b/>
                <w:lang w:val="ro-RO" w:eastAsia="ro-RO"/>
              </w:rPr>
            </w:pPr>
            <w:r w:rsidRPr="00AF3608">
              <w:rPr>
                <w:rFonts w:ascii="Calibri" w:eastAsia="Calibri" w:hAnsi="Calibri" w:cs="Arial"/>
                <w:b/>
                <w:lang w:val="ro-RO" w:eastAsia="ro-RO"/>
              </w:rPr>
              <w:t>2021</w:t>
            </w:r>
          </w:p>
        </w:tc>
        <w:tc>
          <w:tcPr>
            <w:tcW w:w="784" w:type="dxa"/>
            <w:tcBorders>
              <w:top w:val="single" w:sz="6" w:space="0" w:color="000000"/>
              <w:bottom w:val="single" w:sz="6" w:space="0" w:color="000000"/>
            </w:tcBorders>
            <w:shd w:val="clear" w:color="auto" w:fill="9CC2E5" w:themeFill="accent1" w:themeFillTint="99"/>
          </w:tcPr>
          <w:p w:rsidR="00D95CB1" w:rsidRPr="00AF3608" w:rsidRDefault="00D95CB1" w:rsidP="00D95CB1">
            <w:pPr>
              <w:spacing w:before="120"/>
              <w:jc w:val="both"/>
              <w:rPr>
                <w:rFonts w:ascii="Calibri" w:eastAsia="Calibri" w:hAnsi="Calibri" w:cs="Arial"/>
                <w:b/>
                <w:lang w:val="ro-RO" w:eastAsia="ro-RO"/>
              </w:rPr>
            </w:pPr>
            <w:r w:rsidRPr="00AF3608">
              <w:rPr>
                <w:rFonts w:ascii="Calibri" w:eastAsia="Calibri" w:hAnsi="Calibri" w:cs="Arial"/>
                <w:b/>
                <w:lang w:val="ro-RO" w:eastAsia="ro-RO"/>
              </w:rPr>
              <w:t>2022</w:t>
            </w:r>
          </w:p>
        </w:tc>
        <w:tc>
          <w:tcPr>
            <w:tcW w:w="784" w:type="dxa"/>
            <w:tcBorders>
              <w:top w:val="single" w:sz="6" w:space="0" w:color="000000"/>
              <w:bottom w:val="single" w:sz="6" w:space="0" w:color="000000"/>
            </w:tcBorders>
            <w:shd w:val="clear" w:color="auto" w:fill="9CC2E5" w:themeFill="accent1" w:themeFillTint="99"/>
          </w:tcPr>
          <w:p w:rsidR="00D95CB1" w:rsidRPr="00AF3608" w:rsidRDefault="00D95CB1" w:rsidP="00D95CB1">
            <w:pPr>
              <w:spacing w:before="120"/>
              <w:jc w:val="both"/>
              <w:rPr>
                <w:rFonts w:ascii="Calibri" w:eastAsia="Calibri" w:hAnsi="Calibri" w:cs="Arial"/>
                <w:b/>
                <w:lang w:val="ro-RO" w:eastAsia="ro-RO"/>
              </w:rPr>
            </w:pPr>
            <w:r w:rsidRPr="00AF3608">
              <w:rPr>
                <w:rFonts w:ascii="Calibri" w:eastAsia="Calibri" w:hAnsi="Calibri" w:cs="Arial"/>
                <w:b/>
                <w:lang w:val="ro-RO" w:eastAsia="ro-RO"/>
              </w:rPr>
              <w:t>2023</w:t>
            </w:r>
          </w:p>
        </w:tc>
      </w:tr>
      <w:tr w:rsidR="00D95CB1" w:rsidRPr="00AF3608" w:rsidTr="00175EE3">
        <w:trPr>
          <w:trHeight w:val="336"/>
          <w:jc w:val="center"/>
        </w:trPr>
        <w:tc>
          <w:tcPr>
            <w:tcW w:w="2127" w:type="dxa"/>
            <w:tcBorders>
              <w:top w:val="single" w:sz="6" w:space="0" w:color="000000"/>
            </w:tcBorders>
          </w:tcPr>
          <w:p w:rsidR="00D95CB1" w:rsidRPr="00AF3608" w:rsidRDefault="00D95CB1" w:rsidP="00D95CB1">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Deficit ESA</w:t>
            </w:r>
          </w:p>
        </w:tc>
        <w:tc>
          <w:tcPr>
            <w:tcW w:w="784" w:type="dxa"/>
            <w:tcBorders>
              <w:top w:val="single" w:sz="6" w:space="0" w:color="000000"/>
            </w:tcBorders>
          </w:tcPr>
          <w:p w:rsidR="00D95CB1" w:rsidRPr="00AF3608" w:rsidRDefault="00D95CB1" w:rsidP="00D95CB1">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-2,94</w:t>
            </w:r>
          </w:p>
        </w:tc>
        <w:tc>
          <w:tcPr>
            <w:tcW w:w="784" w:type="dxa"/>
            <w:tcBorders>
              <w:top w:val="single" w:sz="6" w:space="0" w:color="000000"/>
            </w:tcBorders>
          </w:tcPr>
          <w:p w:rsidR="00D95CB1" w:rsidRPr="00AF3608" w:rsidRDefault="00D95CB1" w:rsidP="00D95CB1">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-4,36</w:t>
            </w:r>
          </w:p>
        </w:tc>
        <w:tc>
          <w:tcPr>
            <w:tcW w:w="784" w:type="dxa"/>
            <w:tcBorders>
              <w:top w:val="single" w:sz="6" w:space="0" w:color="000000"/>
            </w:tcBorders>
          </w:tcPr>
          <w:p w:rsidR="00D95CB1" w:rsidRPr="00AF3608" w:rsidRDefault="00D95CB1" w:rsidP="00D95CB1">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-9,10</w:t>
            </w:r>
          </w:p>
        </w:tc>
        <w:tc>
          <w:tcPr>
            <w:tcW w:w="784" w:type="dxa"/>
            <w:tcBorders>
              <w:top w:val="single" w:sz="6" w:space="0" w:color="000000"/>
            </w:tcBorders>
          </w:tcPr>
          <w:p w:rsidR="00D95CB1" w:rsidRPr="00AF3608" w:rsidRDefault="00D95CB1" w:rsidP="00D95CB1">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-8,23</w:t>
            </w:r>
          </w:p>
        </w:tc>
        <w:tc>
          <w:tcPr>
            <w:tcW w:w="784" w:type="dxa"/>
            <w:tcBorders>
              <w:top w:val="single" w:sz="6" w:space="0" w:color="000000"/>
            </w:tcBorders>
          </w:tcPr>
          <w:p w:rsidR="00D95CB1" w:rsidRPr="00AF3608" w:rsidRDefault="00D95CB1" w:rsidP="00D95CB1">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-6,36</w:t>
            </w:r>
          </w:p>
        </w:tc>
        <w:tc>
          <w:tcPr>
            <w:tcW w:w="784" w:type="dxa"/>
            <w:tcBorders>
              <w:top w:val="single" w:sz="6" w:space="0" w:color="000000"/>
            </w:tcBorders>
          </w:tcPr>
          <w:p w:rsidR="00D95CB1" w:rsidRPr="00AF3608" w:rsidRDefault="00D95CB1" w:rsidP="00D95CB1">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-4,68</w:t>
            </w:r>
          </w:p>
        </w:tc>
      </w:tr>
      <w:tr w:rsidR="00D95CB1" w:rsidRPr="00AF3608" w:rsidTr="00175EE3">
        <w:trPr>
          <w:trHeight w:val="640"/>
          <w:jc w:val="center"/>
        </w:trPr>
        <w:tc>
          <w:tcPr>
            <w:tcW w:w="2127" w:type="dxa"/>
          </w:tcPr>
          <w:p w:rsidR="00D95CB1" w:rsidRPr="00AF3608" w:rsidRDefault="00D95CB1" w:rsidP="00D95CB1">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Deficit Structural*)</w:t>
            </w:r>
          </w:p>
        </w:tc>
        <w:tc>
          <w:tcPr>
            <w:tcW w:w="784" w:type="dxa"/>
          </w:tcPr>
          <w:p w:rsidR="00D95CB1" w:rsidRPr="00AF3608" w:rsidRDefault="00D95CB1" w:rsidP="00D95CB1">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-3,34</w:t>
            </w:r>
          </w:p>
        </w:tc>
        <w:tc>
          <w:tcPr>
            <w:tcW w:w="784" w:type="dxa"/>
          </w:tcPr>
          <w:p w:rsidR="00D95CB1" w:rsidRPr="00AF3608" w:rsidRDefault="00D95CB1" w:rsidP="00D95CB1">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-5,09</w:t>
            </w:r>
          </w:p>
        </w:tc>
        <w:tc>
          <w:tcPr>
            <w:tcW w:w="784" w:type="dxa"/>
          </w:tcPr>
          <w:p w:rsidR="00D95CB1" w:rsidRPr="00AF3608" w:rsidRDefault="00D95CB1" w:rsidP="00D95CB1">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-7,76</w:t>
            </w:r>
          </w:p>
        </w:tc>
        <w:tc>
          <w:tcPr>
            <w:tcW w:w="784" w:type="dxa"/>
          </w:tcPr>
          <w:p w:rsidR="00D95CB1" w:rsidRPr="00AF3608" w:rsidRDefault="00D95CB1" w:rsidP="00D95CB1">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-7,42</w:t>
            </w:r>
          </w:p>
        </w:tc>
        <w:tc>
          <w:tcPr>
            <w:tcW w:w="784" w:type="dxa"/>
          </w:tcPr>
          <w:p w:rsidR="00D95CB1" w:rsidRPr="00AF3608" w:rsidRDefault="00D95CB1" w:rsidP="00D95CB1">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-6,07</w:t>
            </w:r>
          </w:p>
        </w:tc>
        <w:tc>
          <w:tcPr>
            <w:tcW w:w="784" w:type="dxa"/>
          </w:tcPr>
          <w:p w:rsidR="00D95CB1" w:rsidRPr="00AF3608" w:rsidRDefault="00D95CB1" w:rsidP="00D95CB1">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-4,83</w:t>
            </w:r>
          </w:p>
        </w:tc>
      </w:tr>
      <w:tr w:rsidR="00D95CB1" w:rsidRPr="00AF3608" w:rsidTr="00175EE3">
        <w:trPr>
          <w:trHeight w:val="557"/>
          <w:jc w:val="center"/>
        </w:trPr>
        <w:tc>
          <w:tcPr>
            <w:tcW w:w="2127" w:type="dxa"/>
            <w:tcBorders>
              <w:bottom w:val="single" w:sz="4" w:space="0" w:color="auto"/>
            </w:tcBorders>
          </w:tcPr>
          <w:p w:rsidR="00D95CB1" w:rsidRPr="00AF3608" w:rsidRDefault="00D95CB1" w:rsidP="00D95CB1">
            <w:pPr>
              <w:spacing w:before="120" w:line="259" w:lineRule="auto"/>
              <w:jc w:val="both"/>
              <w:rPr>
                <w:rFonts w:ascii="Calibri" w:eastAsia="Calibri" w:hAnsi="Calibri" w:cs="Arial"/>
                <w:color w:val="000000"/>
                <w:lang w:val="ro-RO" w:eastAsia="ro-RO"/>
              </w:rPr>
            </w:pPr>
            <w:r w:rsidRPr="00AF3608">
              <w:rPr>
                <w:rFonts w:ascii="Calibri" w:eastAsia="Calibri" w:hAnsi="Calibri" w:cs="Arial"/>
                <w:color w:val="000000"/>
                <w:lang w:val="ro-RO" w:eastAsia="ro-RO"/>
              </w:rPr>
              <w:t>Deficit cash</w:t>
            </w:r>
          </w:p>
        </w:tc>
        <w:tc>
          <w:tcPr>
            <w:tcW w:w="784" w:type="dxa"/>
            <w:tcBorders>
              <w:bottom w:val="single" w:sz="4" w:space="0" w:color="auto"/>
            </w:tcBorders>
          </w:tcPr>
          <w:p w:rsidR="00D95CB1" w:rsidRPr="00AF3608" w:rsidRDefault="00D95CB1" w:rsidP="00D95CB1">
            <w:pPr>
              <w:spacing w:before="120" w:line="259" w:lineRule="auto"/>
              <w:jc w:val="both"/>
              <w:rPr>
                <w:rFonts w:ascii="Calibri" w:eastAsia="Calibri" w:hAnsi="Calibri" w:cs="Arial"/>
                <w:color w:val="000000"/>
                <w:lang w:val="ro-RO" w:eastAsia="ro-RO"/>
              </w:rPr>
            </w:pPr>
            <w:r w:rsidRPr="00AF3608">
              <w:rPr>
                <w:rFonts w:ascii="Calibri" w:eastAsia="Calibri" w:hAnsi="Calibri" w:cs="Arial"/>
                <w:color w:val="000000"/>
                <w:lang w:val="ro-RO" w:eastAsia="ro-RO"/>
              </w:rPr>
              <w:t>-2,82</w:t>
            </w:r>
          </w:p>
        </w:tc>
        <w:tc>
          <w:tcPr>
            <w:tcW w:w="784" w:type="dxa"/>
            <w:tcBorders>
              <w:bottom w:val="single" w:sz="4" w:space="0" w:color="auto"/>
            </w:tcBorders>
          </w:tcPr>
          <w:p w:rsidR="00D95CB1" w:rsidRPr="00AF3608" w:rsidRDefault="00D95CB1" w:rsidP="00D95CB1">
            <w:pPr>
              <w:spacing w:before="120" w:line="259" w:lineRule="auto"/>
              <w:jc w:val="both"/>
              <w:rPr>
                <w:rFonts w:ascii="Calibri" w:eastAsia="Calibri" w:hAnsi="Calibri" w:cs="Arial"/>
                <w:color w:val="000000"/>
                <w:lang w:val="ro-RO" w:eastAsia="ro-RO"/>
              </w:rPr>
            </w:pPr>
            <w:r w:rsidRPr="00AF3608">
              <w:rPr>
                <w:rFonts w:ascii="Calibri" w:eastAsia="Calibri" w:hAnsi="Calibri" w:cs="Arial"/>
                <w:color w:val="000000"/>
                <w:lang w:val="ro-RO" w:eastAsia="ro-RO"/>
              </w:rPr>
              <w:t>-4,58</w:t>
            </w:r>
          </w:p>
        </w:tc>
        <w:tc>
          <w:tcPr>
            <w:tcW w:w="784" w:type="dxa"/>
            <w:tcBorders>
              <w:bottom w:val="single" w:sz="4" w:space="0" w:color="auto"/>
            </w:tcBorders>
          </w:tcPr>
          <w:p w:rsidR="00D95CB1" w:rsidRPr="00AF3608" w:rsidRDefault="00D95CB1" w:rsidP="00D95CB1">
            <w:pPr>
              <w:spacing w:before="120" w:line="259" w:lineRule="auto"/>
              <w:jc w:val="both"/>
              <w:rPr>
                <w:rFonts w:ascii="Calibri" w:eastAsia="Calibri" w:hAnsi="Calibri" w:cs="Arial"/>
                <w:color w:val="000000"/>
                <w:lang w:val="ro-RO" w:eastAsia="ro-RO"/>
              </w:rPr>
            </w:pPr>
            <w:r w:rsidRPr="00AF3608">
              <w:rPr>
                <w:rFonts w:ascii="Calibri" w:eastAsia="Calibri" w:hAnsi="Calibri" w:cs="Arial"/>
                <w:color w:val="000000"/>
                <w:lang w:val="ro-RO" w:eastAsia="ro-RO"/>
              </w:rPr>
              <w:t>-9,79</w:t>
            </w:r>
          </w:p>
        </w:tc>
        <w:tc>
          <w:tcPr>
            <w:tcW w:w="784" w:type="dxa"/>
            <w:tcBorders>
              <w:bottom w:val="single" w:sz="4" w:space="0" w:color="auto"/>
            </w:tcBorders>
          </w:tcPr>
          <w:p w:rsidR="00D95CB1" w:rsidRPr="00AF3608" w:rsidRDefault="00053B49" w:rsidP="00D95CB1">
            <w:pPr>
              <w:spacing w:before="120" w:line="259" w:lineRule="auto"/>
              <w:jc w:val="both"/>
              <w:rPr>
                <w:rFonts w:ascii="Calibri" w:eastAsia="Calibri" w:hAnsi="Calibri" w:cs="Arial"/>
                <w:color w:val="000000"/>
                <w:lang w:val="ro-RO" w:eastAsia="ro-RO"/>
              </w:rPr>
            </w:pPr>
            <w:r w:rsidRPr="00AF3608">
              <w:rPr>
                <w:rFonts w:ascii="Calibri" w:eastAsia="Calibri" w:hAnsi="Calibri" w:cs="Arial"/>
                <w:color w:val="000000"/>
                <w:lang w:val="ro-RO" w:eastAsia="ro-RO"/>
              </w:rPr>
              <w:t>-7,16</w:t>
            </w:r>
          </w:p>
        </w:tc>
        <w:tc>
          <w:tcPr>
            <w:tcW w:w="784" w:type="dxa"/>
            <w:tcBorders>
              <w:bottom w:val="single" w:sz="4" w:space="0" w:color="auto"/>
            </w:tcBorders>
          </w:tcPr>
          <w:p w:rsidR="00D95CB1" w:rsidRPr="00AF3608" w:rsidRDefault="00D95CB1" w:rsidP="00D95CB1">
            <w:pPr>
              <w:spacing w:before="120" w:line="259" w:lineRule="auto"/>
              <w:jc w:val="both"/>
              <w:rPr>
                <w:rFonts w:ascii="Calibri" w:eastAsia="Calibri" w:hAnsi="Calibri" w:cs="Arial"/>
                <w:color w:val="000000"/>
                <w:lang w:val="ro-RO" w:eastAsia="ro-RO"/>
              </w:rPr>
            </w:pPr>
            <w:r w:rsidRPr="00AF3608">
              <w:rPr>
                <w:rFonts w:ascii="Calibri" w:eastAsia="Calibri" w:hAnsi="Calibri" w:cs="Arial"/>
                <w:color w:val="000000"/>
                <w:lang w:val="ro-RO" w:eastAsia="ro-RO"/>
              </w:rPr>
              <w:t>-5,84</w:t>
            </w:r>
          </w:p>
        </w:tc>
        <w:tc>
          <w:tcPr>
            <w:tcW w:w="784" w:type="dxa"/>
            <w:tcBorders>
              <w:bottom w:val="single" w:sz="4" w:space="0" w:color="auto"/>
            </w:tcBorders>
          </w:tcPr>
          <w:p w:rsidR="00D95CB1" w:rsidRPr="00AF3608" w:rsidRDefault="00D95CB1" w:rsidP="00D95CB1">
            <w:pPr>
              <w:spacing w:before="120" w:line="259" w:lineRule="auto"/>
              <w:jc w:val="both"/>
              <w:rPr>
                <w:rFonts w:ascii="Calibri" w:eastAsia="Calibri" w:hAnsi="Calibri" w:cs="Arial"/>
                <w:color w:val="000000"/>
                <w:lang w:val="ro-RO" w:eastAsia="ro-RO"/>
              </w:rPr>
            </w:pPr>
            <w:r w:rsidRPr="00AF3608">
              <w:rPr>
                <w:rFonts w:ascii="Calibri" w:eastAsia="Calibri" w:hAnsi="Calibri" w:cs="Arial"/>
                <w:color w:val="000000"/>
                <w:lang w:val="ro-RO" w:eastAsia="ro-RO"/>
              </w:rPr>
              <w:t>-4,37</w:t>
            </w:r>
          </w:p>
        </w:tc>
      </w:tr>
    </w:tbl>
    <w:p w:rsidR="00D95CB1" w:rsidRPr="00AF3608" w:rsidRDefault="00D95CB1" w:rsidP="00D95CB1">
      <w:pPr>
        <w:spacing w:before="120"/>
        <w:jc w:val="both"/>
        <w:rPr>
          <w:rFonts w:ascii="Calibri" w:eastAsia="Calibri" w:hAnsi="Calibri" w:cs="Arial"/>
          <w:color w:val="000000"/>
          <w:lang w:val="ro-RO" w:eastAsia="ro-RO"/>
        </w:rPr>
      </w:pPr>
    </w:p>
    <w:p w:rsidR="00D95CB1" w:rsidRPr="00AF3608" w:rsidRDefault="00D95CB1" w:rsidP="00D6299C">
      <w:pPr>
        <w:spacing w:before="120"/>
        <w:jc w:val="both"/>
        <w:rPr>
          <w:rFonts w:ascii="Calibri" w:hAnsi="Calibri" w:cs="Calibri"/>
          <w:lang w:val="ro-RO"/>
        </w:rPr>
      </w:pPr>
      <w:r w:rsidRPr="00AF3608">
        <w:rPr>
          <w:rFonts w:ascii="Calibri" w:hAnsi="Calibri" w:cs="Calibri"/>
          <w:b/>
          <w:color w:val="000066"/>
          <w:lang w:val="ro-RO"/>
        </w:rPr>
        <w:t>Procedura de deficit excesiv a fost inițiată în luna aprilie a anului 2020</w:t>
      </w:r>
      <w:r w:rsidRPr="00AF3608">
        <w:rPr>
          <w:rFonts w:ascii="Calibri" w:hAnsi="Calibri" w:cs="Calibri"/>
          <w:lang w:val="ro-RO"/>
        </w:rPr>
        <w:t xml:space="preserve">  ca urmare a incal</w:t>
      </w:r>
      <w:r w:rsidR="00D6299C" w:rsidRPr="00AF3608">
        <w:rPr>
          <w:rFonts w:ascii="Calibri" w:hAnsi="Calibri" w:cs="Calibri"/>
          <w:lang w:val="ro-RO"/>
        </w:rPr>
        <w:t>cării limitei de 3 % prevazută în Tratatul de Funcț</w:t>
      </w:r>
      <w:r w:rsidRPr="00AF3608">
        <w:rPr>
          <w:rFonts w:ascii="Calibri" w:hAnsi="Calibri" w:cs="Calibri"/>
          <w:lang w:val="ro-RO"/>
        </w:rPr>
        <w:t xml:space="preserve">ionare a Uniunii Europene cât </w:t>
      </w:r>
      <w:r w:rsidR="00D6299C" w:rsidRPr="00AF3608">
        <w:rPr>
          <w:rFonts w:ascii="Calibri" w:hAnsi="Calibri" w:cs="Calibri"/>
          <w:lang w:val="ro-RO"/>
        </w:rPr>
        <w:t>ș</w:t>
      </w:r>
      <w:r w:rsidRPr="00AF3608">
        <w:rPr>
          <w:rFonts w:ascii="Calibri" w:hAnsi="Calibri" w:cs="Calibri"/>
          <w:lang w:val="ro-RO"/>
        </w:rPr>
        <w:t xml:space="preserve">i lipsa introducerii unei consolidări </w:t>
      </w:r>
      <w:r w:rsidR="00D6299C" w:rsidRPr="00AF3608">
        <w:rPr>
          <w:rFonts w:ascii="Calibri" w:hAnsi="Calibri" w:cs="Calibri"/>
          <w:lang w:val="ro-RO"/>
        </w:rPr>
        <w:t>fiscale în urma avertismentelor</w:t>
      </w:r>
      <w:r w:rsidRPr="00AF3608">
        <w:rPr>
          <w:rFonts w:ascii="Calibri" w:hAnsi="Calibri" w:cs="Calibri"/>
          <w:lang w:val="ro-RO"/>
        </w:rPr>
        <w:t xml:space="preserve"> primite de la Comisia Europeană. </w:t>
      </w:r>
      <w:r w:rsidRPr="00AF3608">
        <w:rPr>
          <w:rFonts w:ascii="Calibri" w:hAnsi="Calibri" w:cs="Calibri"/>
          <w:color w:val="000066"/>
          <w:lang w:val="ro-RO"/>
        </w:rPr>
        <w:t>Potrivit recomandării Consiliului UE procedura de d</w:t>
      </w:r>
      <w:r w:rsidR="00D6299C" w:rsidRPr="00AF3608">
        <w:rPr>
          <w:rFonts w:ascii="Calibri" w:hAnsi="Calibri" w:cs="Calibri"/>
          <w:color w:val="000066"/>
          <w:lang w:val="ro-RO"/>
        </w:rPr>
        <w:t>eficit excesiv trebuie încheiată până î</w:t>
      </w:r>
      <w:r w:rsidRPr="00AF3608">
        <w:rPr>
          <w:rFonts w:ascii="Calibri" w:hAnsi="Calibri" w:cs="Calibri"/>
          <w:color w:val="000066"/>
          <w:lang w:val="ro-RO"/>
        </w:rPr>
        <w:t>n anul 2022.</w:t>
      </w:r>
      <w:r w:rsidRPr="00AF3608">
        <w:rPr>
          <w:rFonts w:ascii="Calibri" w:hAnsi="Calibri" w:cs="Calibri"/>
          <w:lang w:val="ro-RO"/>
        </w:rPr>
        <w:t xml:space="preserve">   </w:t>
      </w:r>
    </w:p>
    <w:p w:rsidR="00D95CB1" w:rsidRPr="00AF3608" w:rsidRDefault="00DF22F2" w:rsidP="00D6299C">
      <w:pPr>
        <w:spacing w:before="120"/>
        <w:jc w:val="both"/>
        <w:rPr>
          <w:rFonts w:ascii="Calibri" w:hAnsi="Calibri" w:cs="Calibri"/>
          <w:lang w:val="ro-RO"/>
        </w:rPr>
      </w:pPr>
      <w:r w:rsidRPr="00AF3608">
        <w:rPr>
          <w:rFonts w:ascii="Calibri" w:hAnsi="Calibri" w:cs="Calibri"/>
          <w:lang w:val="ro-RO"/>
        </w:rPr>
        <w:t>Î</w:t>
      </w:r>
      <w:r w:rsidR="00D95CB1" w:rsidRPr="00AF3608">
        <w:rPr>
          <w:rFonts w:ascii="Calibri" w:hAnsi="Calibri" w:cs="Calibri"/>
          <w:lang w:val="ro-RO"/>
        </w:rPr>
        <w:t xml:space="preserve">n septembrie 2020, </w:t>
      </w:r>
      <w:r w:rsidR="00D95CB1" w:rsidRPr="00AF3608">
        <w:rPr>
          <w:rFonts w:ascii="Calibri" w:hAnsi="Calibri" w:cs="Calibri"/>
          <w:b/>
          <w:color w:val="000066"/>
          <w:lang w:val="ro-RO"/>
        </w:rPr>
        <w:t>România și-a prezentat raportul privind măsurile luate în urma recomandării.</w:t>
      </w:r>
      <w:r w:rsidR="00D95CB1" w:rsidRPr="00AF3608">
        <w:rPr>
          <w:rFonts w:ascii="Calibri" w:hAnsi="Calibri" w:cs="Calibri"/>
          <w:lang w:val="ro-RO"/>
        </w:rPr>
        <w:t xml:space="preserve"> Raportul indică o deteriorare majoră a finanțelor publice în cursul anului 2020, în principal din cauza pandemiei de COVID-19.</w:t>
      </w:r>
    </w:p>
    <w:p w:rsidR="00D95CB1" w:rsidRPr="00AF3608" w:rsidRDefault="00D95CB1" w:rsidP="00D6299C">
      <w:pPr>
        <w:spacing w:before="120"/>
        <w:jc w:val="both"/>
        <w:rPr>
          <w:rFonts w:ascii="Calibri" w:hAnsi="Calibri" w:cs="Calibri"/>
          <w:color w:val="000066"/>
          <w:lang w:val="ro-RO"/>
        </w:rPr>
      </w:pPr>
      <w:r w:rsidRPr="00AF3608">
        <w:rPr>
          <w:rFonts w:ascii="Calibri" w:hAnsi="Calibri" w:cs="Calibri"/>
          <w:lang w:val="ro-RO"/>
        </w:rPr>
        <w:t xml:space="preserve">Având în vedere incertitudinea excepțională persistentă creată de pandemia de COVID-19 și impactul ei macroeconomic și bugetar extraordinar, </w:t>
      </w:r>
      <w:r w:rsidRPr="00AF3608">
        <w:rPr>
          <w:rFonts w:ascii="Calibri" w:hAnsi="Calibri" w:cs="Calibri"/>
          <w:b/>
          <w:color w:val="000066"/>
          <w:lang w:val="ro-RO"/>
        </w:rPr>
        <w:t>Comisia consideră că, în acest moment, nu se poate lua nicio decizie cu privire la alte măsuri în cadrul PDE a României.</w:t>
      </w:r>
      <w:r w:rsidRPr="00AF3608">
        <w:rPr>
          <w:rFonts w:ascii="Calibri" w:hAnsi="Calibri" w:cs="Calibri"/>
          <w:lang w:val="ro-RO"/>
        </w:rPr>
        <w:t xml:space="preserve"> Comisia va reevalua situația bugetară a României pe baza datelor privind rezultatul execuției bugetare din 2020, pe baza bugetului 2021 și pe baza previziunilor Comisiei din primăvara anului 2021. </w:t>
      </w:r>
      <w:r w:rsidRPr="00AF3608">
        <w:rPr>
          <w:rFonts w:ascii="Calibri" w:hAnsi="Calibri" w:cs="Calibri"/>
          <w:color w:val="000066"/>
          <w:lang w:val="ro-RO"/>
        </w:rPr>
        <w:t>Dacă este cazul, Comisia va propune noi măsuri în cadrul procedurii aplicabile deficitelor excesive, ținând seama de aplicarea în continuare, în 2021, a clauzei derogatorii generale din Pactul de stabilitate și de creștere.</w:t>
      </w:r>
    </w:p>
    <w:p w:rsidR="00D95CB1" w:rsidRPr="00AF3608" w:rsidRDefault="00D95CB1" w:rsidP="00D6299C">
      <w:pPr>
        <w:spacing w:before="120"/>
        <w:jc w:val="both"/>
        <w:rPr>
          <w:rFonts w:ascii="Calibri" w:hAnsi="Calibri" w:cs="Calibri"/>
          <w:color w:val="000066"/>
          <w:lang w:val="ro-RO"/>
        </w:rPr>
      </w:pPr>
      <w:r w:rsidRPr="00AF3608">
        <w:rPr>
          <w:rFonts w:ascii="Calibri" w:hAnsi="Calibri" w:cs="Calibri"/>
          <w:color w:val="000066"/>
          <w:lang w:val="ro-RO"/>
        </w:rPr>
        <w:t>Buna guvernanță economică, cum ar fi acțiunile eficace în contextul unei PDE, și politicile macroeconomice în general solide reprezintă o condiție prealabilă pentru asigurarea unui mediu favorabil unor investiții publice productive și utilizării eficace a fondurilor UE, inclusiv în contextul Mecanismului de redresare și reziliență (MRR).</w:t>
      </w:r>
    </w:p>
    <w:p w:rsidR="00D95CB1" w:rsidRPr="00AF3608" w:rsidRDefault="00D95CB1" w:rsidP="00D6299C">
      <w:pPr>
        <w:spacing w:before="120"/>
        <w:jc w:val="both"/>
        <w:rPr>
          <w:rFonts w:ascii="Calibri" w:hAnsi="Calibri" w:cs="Calibri"/>
          <w:b/>
          <w:color w:val="000066"/>
          <w:lang w:val="ro-RO"/>
        </w:rPr>
      </w:pPr>
      <w:r w:rsidRPr="00AF3608">
        <w:rPr>
          <w:rFonts w:ascii="Calibri" w:hAnsi="Calibri" w:cs="Calibri"/>
          <w:color w:val="000066"/>
          <w:lang w:val="ro-RO"/>
        </w:rPr>
        <w:t>Deficitul bugetar înregistrat în anul 2020 în urma celor 3 rectificari bugetare de 9,79% din PIB</w:t>
      </w:r>
      <w:r w:rsidR="00DF22F2" w:rsidRPr="00AF3608">
        <w:rPr>
          <w:rFonts w:ascii="Calibri" w:hAnsi="Calibri" w:cs="Calibri"/>
          <w:lang w:val="ro-RO"/>
        </w:rPr>
        <w:t xml:space="preserve"> a rezultat din </w:t>
      </w:r>
      <w:r w:rsidRPr="00AF3608">
        <w:rPr>
          <w:rFonts w:ascii="Calibri" w:hAnsi="Calibri" w:cs="Calibri"/>
          <w:lang w:val="ro-RO"/>
        </w:rPr>
        <w:t>efectul combinat al încetinirii marcante a creșterii economice</w:t>
      </w:r>
      <w:r w:rsidR="008A0FEF">
        <w:rPr>
          <w:rFonts w:ascii="Calibri" w:hAnsi="Calibri" w:cs="Calibri"/>
          <w:lang w:val="ro-RO"/>
        </w:rPr>
        <w:t>,</w:t>
      </w:r>
      <w:r w:rsidRPr="00AF3608">
        <w:rPr>
          <w:rFonts w:ascii="Calibri" w:hAnsi="Calibri" w:cs="Calibri"/>
          <w:lang w:val="ro-RO"/>
        </w:rPr>
        <w:t xml:space="preserve"> al măsurilor de combatere a pandemiei de COVID-19 și al consecințelor sale economice și sociale. </w:t>
      </w:r>
    </w:p>
    <w:p w:rsidR="00D95CB1" w:rsidRPr="00AF3608" w:rsidRDefault="00D95CB1" w:rsidP="00D6299C">
      <w:pPr>
        <w:spacing w:before="120"/>
        <w:ind w:right="-2"/>
        <w:jc w:val="both"/>
        <w:rPr>
          <w:rFonts w:ascii="Calibri" w:eastAsia="Calibri" w:hAnsi="Calibri" w:cs="Calibri"/>
          <w:b/>
          <w:lang w:val="ro-RO"/>
        </w:rPr>
      </w:pPr>
      <w:r w:rsidRPr="00AF3608">
        <w:rPr>
          <w:rFonts w:ascii="Calibri" w:eastAsia="Calibri" w:hAnsi="Calibri" w:cs="Calibri"/>
          <w:b/>
          <w:color w:val="000066"/>
          <w:lang w:val="ro-RO"/>
        </w:rPr>
        <w:t xml:space="preserve">Planificarea bugetară pe anul 2021 și estimările pe perioada 2022-2023 stabilesc deficitul bugetar ESA în anul 2021 la 8,23 % din PIB, </w:t>
      </w:r>
      <w:r w:rsidRPr="00AF3608">
        <w:rPr>
          <w:rFonts w:ascii="Calibri" w:eastAsia="Calibri" w:hAnsi="Calibri" w:cs="Calibri"/>
          <w:b/>
          <w:lang w:val="ro-RO"/>
        </w:rPr>
        <w:t>urmând ca acesta să ajungă în anul 2023 la 4,68 % din PI</w:t>
      </w:r>
      <w:r w:rsidR="00DF22F2" w:rsidRPr="00AF3608">
        <w:rPr>
          <w:rFonts w:ascii="Calibri" w:eastAsia="Calibri" w:hAnsi="Calibri" w:cs="Calibri"/>
          <w:b/>
          <w:lang w:val="ro-RO"/>
        </w:rPr>
        <w:t>B, respectiv o reducere de 3,55</w:t>
      </w:r>
      <w:r w:rsidRPr="00AF3608">
        <w:rPr>
          <w:rFonts w:ascii="Calibri" w:eastAsia="Calibri" w:hAnsi="Calibri" w:cs="Calibri"/>
          <w:b/>
          <w:lang w:val="ro-RO"/>
        </w:rPr>
        <w:t xml:space="preserve"> puncte procentuale față de anul 2021, </w:t>
      </w:r>
      <w:r w:rsidR="00DF22F2" w:rsidRPr="00AF3608">
        <w:rPr>
          <w:rFonts w:ascii="Calibri" w:eastAsia="Calibri" w:hAnsi="Calibri" w:cs="Calibri"/>
          <w:b/>
          <w:color w:val="000066"/>
          <w:lang w:val="ro-RO"/>
        </w:rPr>
        <w:t>încadrându-se la</w:t>
      </w:r>
      <w:r w:rsidRPr="00AF3608">
        <w:rPr>
          <w:rFonts w:ascii="Calibri" w:eastAsia="Calibri" w:hAnsi="Calibri" w:cs="Calibri"/>
          <w:b/>
          <w:color w:val="000066"/>
          <w:lang w:val="ro-RO"/>
        </w:rPr>
        <w:t xml:space="preserve"> sfârș</w:t>
      </w:r>
      <w:r w:rsidR="00DF22F2" w:rsidRPr="00AF3608">
        <w:rPr>
          <w:rFonts w:ascii="Calibri" w:eastAsia="Calibri" w:hAnsi="Calibri" w:cs="Calibri"/>
          <w:b/>
          <w:color w:val="000066"/>
          <w:lang w:val="ro-RO"/>
        </w:rPr>
        <w:t>itul orizontului de prognoză (anul 2024)</w:t>
      </w:r>
      <w:r w:rsidRPr="00AF3608">
        <w:rPr>
          <w:rFonts w:ascii="Calibri" w:eastAsia="Calibri" w:hAnsi="Calibri" w:cs="Calibri"/>
          <w:b/>
          <w:color w:val="000066"/>
          <w:lang w:val="ro-RO"/>
        </w:rPr>
        <w:t xml:space="preserve"> în prevederile regulamentel</w:t>
      </w:r>
      <w:r w:rsidR="00DF22F2" w:rsidRPr="00AF3608">
        <w:rPr>
          <w:rFonts w:ascii="Calibri" w:eastAsia="Calibri" w:hAnsi="Calibri" w:cs="Calibri"/>
          <w:b/>
          <w:color w:val="000066"/>
          <w:lang w:val="ro-RO"/>
        </w:rPr>
        <w:t>or europene, respectiv 2,90</w:t>
      </w:r>
      <w:r w:rsidRPr="00AF3608">
        <w:rPr>
          <w:rFonts w:ascii="Calibri" w:eastAsia="Calibri" w:hAnsi="Calibri" w:cs="Calibri"/>
          <w:b/>
          <w:color w:val="000066"/>
          <w:lang w:val="ro-RO"/>
        </w:rPr>
        <w:t>% din PIB în anul 2024.</w:t>
      </w:r>
    </w:p>
    <w:p w:rsidR="00D95CB1" w:rsidRPr="00AF3608" w:rsidRDefault="00D95CB1" w:rsidP="00D6299C">
      <w:pPr>
        <w:spacing w:before="120"/>
        <w:ind w:right="-2"/>
        <w:jc w:val="both"/>
        <w:rPr>
          <w:rFonts w:ascii="Calibri" w:eastAsia="Calibri" w:hAnsi="Calibri" w:cs="Calibri"/>
          <w:lang w:val="ro-RO"/>
        </w:rPr>
      </w:pPr>
      <w:r w:rsidRPr="00AF3608">
        <w:rPr>
          <w:rFonts w:ascii="Calibri" w:eastAsia="Calibri" w:hAnsi="Calibri" w:cs="Calibri"/>
          <w:color w:val="000048"/>
          <w:lang w:val="ro-RO"/>
        </w:rPr>
        <w:lastRenderedPageBreak/>
        <w:t>În termeni structurali</w:t>
      </w:r>
      <w:r w:rsidRPr="00AF3608">
        <w:rPr>
          <w:rFonts w:ascii="Calibri" w:eastAsia="Calibri" w:hAnsi="Calibri" w:cs="Calibri"/>
          <w:lang w:val="ro-RO"/>
        </w:rPr>
        <w:t xml:space="preserve">, se estimează că deviația înregistrată în anul 2016 de la OTM stabilit pentru România (respectiv 1% din PIB) se va menține pe tot orizontul de referință, dar începe să se ajusteze </w:t>
      </w:r>
      <w:r w:rsidR="00DF22F2" w:rsidRPr="00AF3608">
        <w:rPr>
          <w:rFonts w:ascii="Calibri" w:eastAsia="Calibri" w:hAnsi="Calibri" w:cs="Calibri"/>
          <w:lang w:val="ro-RO"/>
        </w:rPr>
        <w:t xml:space="preserve">începând cu anul 2021 ,cu 0,34 </w:t>
      </w:r>
      <w:r w:rsidRPr="00AF3608">
        <w:rPr>
          <w:rFonts w:ascii="Calibri" w:eastAsia="Calibri" w:hAnsi="Calibri" w:cs="Calibri"/>
          <w:lang w:val="ro-RO"/>
        </w:rPr>
        <w:t>p</w:t>
      </w:r>
      <w:r w:rsidR="00DF22F2" w:rsidRPr="00AF3608">
        <w:rPr>
          <w:rFonts w:ascii="Calibri" w:eastAsia="Calibri" w:hAnsi="Calibri" w:cs="Calibri"/>
          <w:lang w:val="ro-RO"/>
        </w:rPr>
        <w:t>uncte procentuale fată de 2020,</w:t>
      </w:r>
      <w:r w:rsidRPr="00AF3608">
        <w:rPr>
          <w:rFonts w:ascii="Calibri" w:eastAsia="Calibri" w:hAnsi="Calibri" w:cs="Calibri"/>
          <w:lang w:val="ro-RO"/>
        </w:rPr>
        <w:t xml:space="preserve"> pentru ca în a</w:t>
      </w:r>
      <w:r w:rsidR="00DF22F2" w:rsidRPr="00AF3608">
        <w:rPr>
          <w:rFonts w:ascii="Calibri" w:eastAsia="Calibri" w:hAnsi="Calibri" w:cs="Calibri"/>
          <w:lang w:val="ro-RO"/>
        </w:rPr>
        <w:t xml:space="preserve">nul 2023 să înregistreze 4,83% </w:t>
      </w:r>
      <w:r w:rsidRPr="00AF3608">
        <w:rPr>
          <w:rFonts w:ascii="Calibri" w:eastAsia="Calibri" w:hAnsi="Calibri" w:cs="Calibri"/>
          <w:lang w:val="ro-RO"/>
        </w:rPr>
        <w:t>din PIB</w:t>
      </w:r>
      <w:r w:rsidR="00DF22F2" w:rsidRPr="00AF3608">
        <w:rPr>
          <w:rFonts w:ascii="Calibri" w:eastAsia="Calibri" w:hAnsi="Calibri" w:cs="Calibri"/>
          <w:lang w:val="ro-RO"/>
        </w:rPr>
        <w:t>, respectiv o ajustare de 2,59</w:t>
      </w:r>
      <w:r w:rsidRPr="00AF3608">
        <w:rPr>
          <w:rFonts w:ascii="Calibri" w:eastAsia="Calibri" w:hAnsi="Calibri" w:cs="Calibri"/>
          <w:lang w:val="ro-RO"/>
        </w:rPr>
        <w:t xml:space="preserve"> puncte procentuale față de anul 2021.</w:t>
      </w:r>
    </w:p>
    <w:p w:rsidR="00666E11" w:rsidRPr="00AF3608" w:rsidRDefault="00666E11" w:rsidP="00D6299C">
      <w:pPr>
        <w:widowControl w:val="0"/>
        <w:shd w:val="clear" w:color="auto" w:fill="FFFFFF" w:themeFill="background1"/>
        <w:tabs>
          <w:tab w:val="left" w:pos="993"/>
        </w:tabs>
        <w:spacing w:before="120"/>
        <w:jc w:val="both"/>
        <w:rPr>
          <w:rFonts w:ascii="Calibri" w:hAnsi="Calibri" w:cs="Calibri"/>
          <w:b/>
          <w:iCs/>
          <w:color w:val="000066"/>
          <w:shd w:val="clear" w:color="auto" w:fill="FFFFFF" w:themeFill="background1"/>
          <w:lang w:val="ro-RO"/>
        </w:rPr>
      </w:pPr>
      <w:r w:rsidRPr="00AF3608">
        <w:rPr>
          <w:rFonts w:ascii="Calibri" w:hAnsi="Calibri" w:cs="Calibri"/>
          <w:iCs/>
          <w:lang w:val="ro-RO"/>
        </w:rPr>
        <w:t xml:space="preserve">Pe termen mediu (2021 – 2024), în condiții de consolidare fiscală, datoria guvernamentală brută, </w:t>
      </w:r>
      <w:r w:rsidRPr="00AF3608">
        <w:rPr>
          <w:rFonts w:ascii="Calibri" w:hAnsi="Calibri" w:cs="Calibri"/>
          <w:iCs/>
          <w:shd w:val="clear" w:color="auto" w:fill="FFFFFF" w:themeFill="background1"/>
          <w:lang w:val="ro-RO"/>
        </w:rPr>
        <w:t xml:space="preserve">conform metodologiei UE </w:t>
      </w:r>
      <w:r w:rsidRPr="00AF3608">
        <w:rPr>
          <w:rFonts w:ascii="Calibri" w:hAnsi="Calibri" w:cs="Calibri"/>
          <w:b/>
          <w:iCs/>
          <w:color w:val="000066"/>
          <w:shd w:val="clear" w:color="auto" w:fill="FFFFFF" w:themeFill="background1"/>
          <w:lang w:val="ro-RO"/>
        </w:rPr>
        <w:t>se va mentine la un nivel sustenabil ce nu va depăși  55,0% din PIB, sub nivelul de 60% din PIB,  în timp ce datoria guvernamentală netă  (</w:t>
      </w:r>
      <w:r w:rsidRPr="00AF3608">
        <w:rPr>
          <w:rFonts w:ascii="Calibri" w:hAnsi="Calibri" w:cs="Calibri"/>
          <w:b/>
          <w:color w:val="000066"/>
          <w:shd w:val="clear" w:color="auto" w:fill="FFFFFF" w:themeFill="background1"/>
          <w:lang w:val="ro-RO"/>
        </w:rPr>
        <w:t>reprezentând datoria guvernamentală brută minus activele financiare lichide)</w:t>
      </w:r>
      <w:r w:rsidRPr="00AF3608">
        <w:rPr>
          <w:rFonts w:ascii="Calibri" w:hAnsi="Calibri" w:cs="Calibri"/>
          <w:b/>
          <w:color w:val="000066"/>
          <w:shd w:val="clear" w:color="auto" w:fill="FFFFFF" w:themeFill="background1"/>
          <w:vertAlign w:val="superscript"/>
          <w:lang w:val="ro-RO"/>
        </w:rPr>
        <w:footnoteReference w:id="5"/>
      </w:r>
      <w:r w:rsidRPr="00AF3608">
        <w:rPr>
          <w:rFonts w:ascii="Calibri" w:hAnsi="Calibri" w:cs="Calibri"/>
          <w:b/>
          <w:color w:val="000066"/>
          <w:shd w:val="clear" w:color="auto" w:fill="FFFFFF" w:themeFill="background1"/>
          <w:lang w:val="ro-RO"/>
        </w:rPr>
        <w:t xml:space="preserve"> </w:t>
      </w:r>
      <w:r w:rsidRPr="00AF3608">
        <w:rPr>
          <w:rFonts w:ascii="Calibri" w:hAnsi="Calibri" w:cs="Calibri"/>
          <w:b/>
          <w:iCs/>
          <w:color w:val="000066"/>
          <w:shd w:val="clear" w:color="auto" w:fill="FFFFFF" w:themeFill="background1"/>
          <w:lang w:val="ro-RO"/>
        </w:rPr>
        <w:t>nu va depăşi 48,0% din PIB.</w:t>
      </w:r>
    </w:p>
    <w:p w:rsidR="00666E11" w:rsidRPr="00AF3608" w:rsidRDefault="00666E11" w:rsidP="00D969C8">
      <w:pPr>
        <w:widowControl w:val="0"/>
        <w:shd w:val="clear" w:color="auto" w:fill="FFFFFF" w:themeFill="background1"/>
        <w:tabs>
          <w:tab w:val="left" w:pos="993"/>
        </w:tabs>
        <w:spacing w:before="120"/>
        <w:jc w:val="both"/>
        <w:rPr>
          <w:rFonts w:ascii="Calibri" w:hAnsi="Calibri" w:cs="Calibri"/>
          <w:lang w:val="ro-RO"/>
        </w:rPr>
      </w:pPr>
    </w:p>
    <w:p w:rsidR="00D95CB1" w:rsidRPr="00AF3608" w:rsidRDefault="00D95CB1" w:rsidP="00D6299C">
      <w:pPr>
        <w:shd w:val="clear" w:color="auto" w:fill="E7E6E6" w:themeFill="background2"/>
        <w:spacing w:before="120"/>
        <w:ind w:right="-2"/>
        <w:jc w:val="both"/>
        <w:rPr>
          <w:rFonts w:ascii="Calibri" w:hAnsi="Calibri" w:cs="Calibri"/>
          <w:b/>
          <w:color w:val="000066"/>
          <w:u w:val="single"/>
          <w:lang w:val="ro-RO"/>
        </w:rPr>
      </w:pPr>
      <w:r w:rsidRPr="00AF3608">
        <w:rPr>
          <w:rFonts w:ascii="Calibri" w:hAnsi="Calibri" w:cs="Calibri"/>
          <w:b/>
          <w:color w:val="000066"/>
          <w:u w:val="single"/>
          <w:lang w:val="ro-RO"/>
        </w:rPr>
        <w:t>Scurte considerații privind consolidarea fiscală, marea provocare a orizontului de referință 2021-2024</w:t>
      </w:r>
    </w:p>
    <w:p w:rsidR="00D95CB1" w:rsidRPr="00AF3608" w:rsidRDefault="00D95CB1" w:rsidP="003A0B85">
      <w:pPr>
        <w:widowControl w:val="0"/>
        <w:numPr>
          <w:ilvl w:val="0"/>
          <w:numId w:val="140"/>
        </w:numPr>
        <w:shd w:val="clear" w:color="auto" w:fill="FFFFFF"/>
        <w:autoSpaceDE w:val="0"/>
        <w:autoSpaceDN w:val="0"/>
        <w:adjustRightInd w:val="0"/>
        <w:spacing w:before="120"/>
        <w:ind w:left="360" w:right="-1"/>
        <w:jc w:val="both"/>
        <w:textAlignment w:val="baseline"/>
        <w:rPr>
          <w:rFonts w:ascii="Calibri" w:eastAsia="Calibri" w:hAnsi="Calibri" w:cs="Calibri"/>
          <w:color w:val="002060"/>
          <w:szCs w:val="22"/>
          <w:lang w:val="ro-RO"/>
        </w:rPr>
      </w:pPr>
      <w:r w:rsidRPr="00AF3608">
        <w:rPr>
          <w:rFonts w:ascii="Calibri" w:eastAsia="Calibri" w:hAnsi="Calibri" w:cs="Calibri"/>
          <w:szCs w:val="22"/>
          <w:lang w:val="ro-RO"/>
        </w:rPr>
        <w:t xml:space="preserve">Măsurile care stau la baza construcției bugetare pe anul 2021 și perspectiva 2022-2023, precum și evoluția descendentă a deficitului bugetar pe termen mediu </w:t>
      </w:r>
      <w:r w:rsidRPr="00AF3608">
        <w:rPr>
          <w:rFonts w:ascii="Calibri" w:eastAsia="Calibri" w:hAnsi="Calibri" w:cs="Calibri"/>
          <w:b/>
          <w:color w:val="000066"/>
          <w:szCs w:val="22"/>
          <w:u w:val="single"/>
          <w:lang w:val="ro-RO"/>
        </w:rPr>
        <w:t>indică tendința clară de eliminare graduală a politicii fiscale pro-ciclice,</w:t>
      </w:r>
      <w:r w:rsidRPr="00AF3608">
        <w:rPr>
          <w:rFonts w:ascii="Calibri" w:eastAsia="Calibri" w:hAnsi="Calibri" w:cs="Calibri"/>
          <w:b/>
          <w:color w:val="000066"/>
          <w:szCs w:val="22"/>
          <w:lang w:val="ro-RO"/>
        </w:rPr>
        <w:t xml:space="preserve"> </w:t>
      </w:r>
      <w:r w:rsidRPr="00AF3608">
        <w:rPr>
          <w:rFonts w:ascii="Calibri" w:eastAsia="Calibri" w:hAnsi="Calibri" w:cs="Calibri"/>
          <w:szCs w:val="22"/>
          <w:lang w:val="ro-RO"/>
        </w:rPr>
        <w:t xml:space="preserve">faptul că măsurile luate de autorități pentru redresarea economică  îsi produc efectele, </w:t>
      </w:r>
      <w:r w:rsidRPr="00AF3608">
        <w:rPr>
          <w:rFonts w:ascii="Calibri" w:eastAsia="Calibri" w:hAnsi="Calibri" w:cs="Calibri"/>
          <w:color w:val="002060"/>
          <w:szCs w:val="22"/>
          <w:u w:val="single"/>
          <w:lang w:val="ro-RO"/>
        </w:rPr>
        <w:t xml:space="preserve">anul 2021 fiind primul pas în care are loc o ajustare  a tintei de deficit față de anul 2020,  </w:t>
      </w:r>
      <w:r w:rsidRPr="00AF3608">
        <w:rPr>
          <w:rFonts w:ascii="Calibri" w:eastAsia="Calibri" w:hAnsi="Calibri" w:cs="Calibri"/>
          <w:color w:val="002060"/>
          <w:szCs w:val="22"/>
          <w:lang w:val="ro-RO"/>
        </w:rPr>
        <w:t>pas important pentru revenirea în mod gradual  la ținta de deficit bugetar sub 3% din PIB prevăzut în Tratatul de la Maastricht, revenire  prevăzută pentru anul 2024.</w:t>
      </w:r>
    </w:p>
    <w:p w:rsidR="00D95CB1" w:rsidRPr="00AF3608" w:rsidRDefault="00D95CB1" w:rsidP="003A0B85">
      <w:pPr>
        <w:numPr>
          <w:ilvl w:val="0"/>
          <w:numId w:val="140"/>
        </w:numPr>
        <w:spacing w:before="120"/>
        <w:ind w:left="360" w:right="-2"/>
        <w:jc w:val="both"/>
        <w:rPr>
          <w:rFonts w:ascii="Calibri" w:eastAsia="Calibri" w:hAnsi="Calibri" w:cs="Calibri"/>
          <w:color w:val="000000" w:themeColor="text1"/>
          <w:szCs w:val="22"/>
          <w:lang w:val="ro-RO"/>
        </w:rPr>
      </w:pPr>
      <w:r w:rsidRPr="00AF3608">
        <w:rPr>
          <w:rFonts w:ascii="Calibri" w:eastAsia="Calibri" w:hAnsi="Calibri" w:cs="Calibri"/>
          <w:color w:val="000000" w:themeColor="text1"/>
          <w:szCs w:val="22"/>
          <w:lang w:val="ro-RO"/>
        </w:rPr>
        <w:t xml:space="preserve">Se observă existența unei </w:t>
      </w:r>
      <w:r w:rsidRPr="00AF3608">
        <w:rPr>
          <w:rFonts w:ascii="Calibri" w:eastAsia="Calibri" w:hAnsi="Calibri" w:cs="Calibri"/>
          <w:b/>
          <w:color w:val="000066"/>
          <w:szCs w:val="22"/>
          <w:lang w:val="ro-RO"/>
        </w:rPr>
        <w:t xml:space="preserve">strategii graduale și coerente de consolidare bugetară </w:t>
      </w:r>
      <w:r w:rsidRPr="00AF3608">
        <w:rPr>
          <w:rFonts w:ascii="Calibri" w:eastAsia="Calibri" w:hAnsi="Calibri" w:cs="Calibri"/>
          <w:color w:val="000000" w:themeColor="text1"/>
          <w:szCs w:val="22"/>
          <w:lang w:val="ro-RO"/>
        </w:rPr>
        <w:t>care să minimalizeze costurie economice și sociale asociate; Alocarea țintită a resurselor având în vedere ca acestea sunt limitate, fiind excluse măsuri helicopter money, și robustețea bugetului  trebuie să fie  coordonate principale ale construcțiie bugetare pentru  a rezista la socuri externe;</w:t>
      </w:r>
    </w:p>
    <w:p w:rsidR="00D95CB1" w:rsidRPr="00AF3608" w:rsidRDefault="00D95CB1" w:rsidP="003A0B85">
      <w:pPr>
        <w:numPr>
          <w:ilvl w:val="0"/>
          <w:numId w:val="140"/>
        </w:numPr>
        <w:spacing w:before="120"/>
        <w:ind w:left="360" w:right="-2"/>
        <w:jc w:val="both"/>
        <w:rPr>
          <w:rFonts w:ascii="Calibri" w:eastAsia="Calibri" w:hAnsi="Calibri" w:cs="Calibri"/>
          <w:color w:val="000000" w:themeColor="text1"/>
          <w:szCs w:val="22"/>
          <w:lang w:val="ro-RO"/>
        </w:rPr>
      </w:pPr>
      <w:r w:rsidRPr="00AF3608">
        <w:rPr>
          <w:rFonts w:ascii="Calibri" w:eastAsia="Calibri" w:hAnsi="Calibri" w:cs="Calibri"/>
          <w:bCs/>
          <w:color w:val="000000" w:themeColor="text1"/>
          <w:szCs w:val="22"/>
          <w:lang w:val="ro-RO"/>
        </w:rPr>
        <w:t xml:space="preserve">Corecția bugetară  presupune  </w:t>
      </w:r>
      <w:r w:rsidRPr="00AF3608">
        <w:rPr>
          <w:rFonts w:ascii="Calibri" w:eastAsia="Calibri" w:hAnsi="Calibri" w:cs="Calibri"/>
          <w:b/>
          <w:bCs/>
          <w:color w:val="000066"/>
          <w:szCs w:val="22"/>
          <w:lang w:val="ro-RO"/>
        </w:rPr>
        <w:t>un echilibru între necesitatea de ajustare fiscală și nevoia de sprijinire a recuperării economice”,</w:t>
      </w:r>
      <w:r w:rsidRPr="00AF3608">
        <w:rPr>
          <w:rFonts w:ascii="Calibri" w:eastAsia="Calibri" w:hAnsi="Calibri" w:cs="Calibri"/>
          <w:bCs/>
          <w:color w:val="000066"/>
          <w:szCs w:val="22"/>
          <w:lang w:val="ro-RO"/>
        </w:rPr>
        <w:t xml:space="preserve"> </w:t>
      </w:r>
      <w:r w:rsidRPr="00AF3608">
        <w:rPr>
          <w:rFonts w:ascii="Calibri" w:eastAsia="Calibri" w:hAnsi="Calibri" w:cs="Calibri"/>
          <w:i/>
          <w:iCs/>
          <w:color w:val="000000" w:themeColor="text1"/>
          <w:szCs w:val="22"/>
          <w:lang w:val="ro-RO"/>
        </w:rPr>
        <w:t>sprijinirea economiei și a sistemului de sănătate, rămân prioritare în circumstanțele  dificile actuale”;</w:t>
      </w:r>
    </w:p>
    <w:p w:rsidR="00D95CB1" w:rsidRPr="00AF3608" w:rsidRDefault="00D95CB1" w:rsidP="003A0B85">
      <w:pPr>
        <w:numPr>
          <w:ilvl w:val="0"/>
          <w:numId w:val="140"/>
        </w:numPr>
        <w:spacing w:before="120"/>
        <w:ind w:left="360" w:right="-2"/>
        <w:jc w:val="both"/>
        <w:rPr>
          <w:rFonts w:ascii="Calibri" w:eastAsia="Calibri" w:hAnsi="Calibri" w:cs="Calibri"/>
          <w:color w:val="000000"/>
          <w:szCs w:val="22"/>
          <w:lang w:val="ro-RO"/>
        </w:rPr>
      </w:pPr>
      <w:r w:rsidRPr="00AF3608">
        <w:rPr>
          <w:rFonts w:ascii="Calibri" w:eastAsia="Calibri" w:hAnsi="Calibri" w:cs="Calibri"/>
          <w:color w:val="000000"/>
          <w:szCs w:val="22"/>
          <w:lang w:val="ro-RO"/>
        </w:rPr>
        <w:t xml:space="preserve">Având in vedere capacitatea limitată a statului de intervenție pentru a combate criza, </w:t>
      </w:r>
      <w:r w:rsidRPr="00AF3608">
        <w:rPr>
          <w:rFonts w:ascii="Calibri" w:eastAsia="Calibri" w:hAnsi="Calibri" w:cs="Calibri"/>
          <w:b/>
          <w:color w:val="000066"/>
          <w:szCs w:val="22"/>
          <w:lang w:val="ro-RO"/>
        </w:rPr>
        <w:t>pachetul  financiar al UE de care va beneficia și România, va putea juca un rol important in realizarea corecției bugetare.</w:t>
      </w:r>
      <w:r w:rsidRPr="00AF3608">
        <w:rPr>
          <w:rFonts w:ascii="Calibri" w:eastAsia="Calibri" w:hAnsi="Calibri" w:cs="Calibri"/>
          <w:color w:val="000000"/>
          <w:szCs w:val="22"/>
          <w:lang w:val="ro-RO"/>
        </w:rPr>
        <w:t xml:space="preserve"> Resursele europene vor putea finanța proiecte în domeniul digitalizării, combaterii</w:t>
      </w:r>
      <w:r w:rsidRPr="00AF3608">
        <w:rPr>
          <w:rFonts w:ascii="Calibri" w:eastAsia="Calibri" w:hAnsi="Calibri" w:cs="Calibri"/>
          <w:color w:val="C00000"/>
          <w:szCs w:val="22"/>
          <w:lang w:val="ro-RO"/>
        </w:rPr>
        <w:t xml:space="preserve"> </w:t>
      </w:r>
      <w:r w:rsidRPr="00AF3608">
        <w:rPr>
          <w:rFonts w:ascii="Calibri" w:eastAsia="Calibri" w:hAnsi="Calibri" w:cs="Calibri"/>
          <w:color w:val="000000"/>
          <w:szCs w:val="22"/>
          <w:lang w:val="ro-RO"/>
        </w:rPr>
        <w:t>poluării, infrastructurii, sănătății, educației, reforme structurale, guvernanța mai bună a sectorului public, dezvoltarea unor avantaje competitive care au ca efect mărirea PIB- ului potențial;</w:t>
      </w:r>
    </w:p>
    <w:p w:rsidR="00D95CB1" w:rsidRPr="00AF3608" w:rsidRDefault="00D95CB1" w:rsidP="003A0B85">
      <w:pPr>
        <w:numPr>
          <w:ilvl w:val="0"/>
          <w:numId w:val="140"/>
        </w:numPr>
        <w:spacing w:before="120"/>
        <w:ind w:left="360" w:right="-2"/>
        <w:jc w:val="both"/>
        <w:rPr>
          <w:rFonts w:ascii="Calibri" w:eastAsia="Calibri" w:hAnsi="Calibri" w:cs="Calibri"/>
          <w:color w:val="000000" w:themeColor="text1"/>
          <w:szCs w:val="22"/>
          <w:lang w:val="ro-RO"/>
        </w:rPr>
      </w:pPr>
      <w:r w:rsidRPr="00AF3608">
        <w:rPr>
          <w:rFonts w:ascii="Calibri" w:eastAsia="Calibri" w:hAnsi="Calibri" w:cs="Calibri"/>
          <w:b/>
          <w:color w:val="000066"/>
          <w:szCs w:val="22"/>
          <w:lang w:val="ro-RO"/>
        </w:rPr>
        <w:t>România a beneficiat in anul 2020 si  beneficiază și în anul 2021 de „clauza generală derogatorie</w:t>
      </w:r>
      <w:r w:rsidRPr="00AF3608">
        <w:rPr>
          <w:rFonts w:ascii="Calibri" w:eastAsia="Calibri" w:hAnsi="Calibri" w:cs="Calibri"/>
          <w:color w:val="000000" w:themeColor="text1"/>
          <w:szCs w:val="22"/>
          <w:lang w:val="ro-RO"/>
        </w:rPr>
        <w:t xml:space="preserve">” de la prevederile Pactului de Stabilitate și Creștere (PSC), ceea ce presupune că impactul bugetar aferent măsurilor adoptate pentru combaterea pandemiei Covid-19 și a efectelor sale negative (sociale și economice) nu va fi luat în considerare la evaluările Comisiei privind atingerea țintei de deficit în cadrul procedurii de deficit excesiv.  </w:t>
      </w:r>
    </w:p>
    <w:p w:rsidR="00D95CB1" w:rsidRPr="00AF3608" w:rsidRDefault="00D95CB1" w:rsidP="00D6299C">
      <w:pPr>
        <w:spacing w:before="120"/>
        <w:ind w:left="360" w:right="-2"/>
        <w:jc w:val="both"/>
        <w:rPr>
          <w:rFonts w:ascii="Calibri" w:eastAsia="Calibri" w:hAnsi="Calibri" w:cs="Calibri"/>
          <w:color w:val="000000" w:themeColor="text1"/>
          <w:szCs w:val="22"/>
          <w:lang w:val="ro-RO"/>
        </w:rPr>
      </w:pPr>
    </w:p>
    <w:p w:rsidR="00700E65" w:rsidRPr="00AF3608" w:rsidRDefault="00D95CB1" w:rsidP="00D6299C">
      <w:pPr>
        <w:spacing w:before="120"/>
        <w:ind w:right="-2"/>
        <w:jc w:val="both"/>
        <w:rPr>
          <w:rFonts w:ascii="Calibri" w:hAnsi="Calibri" w:cs="Calibri"/>
          <w:i/>
          <w:color w:val="000066"/>
          <w:lang w:val="ro-RO"/>
        </w:rPr>
      </w:pPr>
      <w:r w:rsidRPr="00AF3608">
        <w:rPr>
          <w:rFonts w:ascii="Calibri" w:hAnsi="Calibri" w:cs="Calibri"/>
          <w:color w:val="000066"/>
          <w:lang w:val="ro-RO"/>
        </w:rPr>
        <w:t>Î</w:t>
      </w:r>
      <w:r w:rsidR="00D6299C" w:rsidRPr="00AF3608">
        <w:rPr>
          <w:rFonts w:ascii="Calibri" w:hAnsi="Calibri" w:cs="Calibri"/>
          <w:color w:val="000000"/>
          <w:lang w:val="ro-RO"/>
        </w:rPr>
        <w:t>ntrucâ</w:t>
      </w:r>
      <w:r w:rsidRPr="00AF3608">
        <w:rPr>
          <w:rFonts w:ascii="Calibri" w:hAnsi="Calibri" w:cs="Calibri"/>
          <w:color w:val="000000"/>
          <w:lang w:val="ro-RO"/>
        </w:rPr>
        <w:t xml:space="preserve">t în anul 2019 fenomenul deficitelor gemene era proeminent, absența unei corecții fiscale sau debutul cu întârziere al acesteia </w:t>
      </w:r>
      <w:r w:rsidRPr="00AF3608">
        <w:rPr>
          <w:rFonts w:ascii="Calibri" w:hAnsi="Calibri" w:cs="Calibri"/>
          <w:i/>
          <w:color w:val="000066"/>
          <w:lang w:val="ro-RO"/>
        </w:rPr>
        <w:t>ar putea implica menținerea vulnerabilităților asociate persistenței acestor deficite cu potențial de a fragiliza capacitatea de răspuns pe termen mediu a economiei românești în fața unor șocuri adverse, iar în perspectivă imediată de a greva asupra asigurării la costuri rezonabile a fluxurilor neces</w:t>
      </w:r>
      <w:r w:rsidR="00700E65" w:rsidRPr="00AF3608">
        <w:rPr>
          <w:rFonts w:ascii="Calibri" w:hAnsi="Calibri" w:cs="Calibri"/>
          <w:i/>
          <w:color w:val="000066"/>
          <w:lang w:val="ro-RO"/>
        </w:rPr>
        <w:t>are finanțării acestor deficite.</w:t>
      </w:r>
    </w:p>
    <w:p w:rsidR="00700E65" w:rsidRPr="00AF3608" w:rsidRDefault="00700E65" w:rsidP="00700E65">
      <w:pPr>
        <w:spacing w:before="120"/>
        <w:ind w:right="-2"/>
        <w:jc w:val="both"/>
        <w:rPr>
          <w:rFonts w:ascii="Calibri" w:hAnsi="Calibri" w:cs="Calibri"/>
          <w:lang w:val="ro-RO"/>
        </w:rPr>
      </w:pPr>
    </w:p>
    <w:p w:rsidR="00D95CB1" w:rsidRPr="00AF3608" w:rsidRDefault="00D95CB1" w:rsidP="00700E65">
      <w:pPr>
        <w:spacing w:before="120"/>
        <w:ind w:right="-2"/>
        <w:jc w:val="both"/>
        <w:rPr>
          <w:rFonts w:ascii="Calibri" w:hAnsi="Calibri" w:cs="Calibri"/>
          <w:lang w:val="ro-RO"/>
        </w:rPr>
      </w:pPr>
      <w:r w:rsidRPr="00AF3608">
        <w:rPr>
          <w:rFonts w:ascii="Calibri" w:hAnsi="Calibri" w:cs="Calibri"/>
          <w:color w:val="000000"/>
          <w:lang w:val="ro-RO"/>
        </w:rPr>
        <w:t>Estimările pentru anul 2021 a principalilor indicatori macroeconomici și bugetari sunt:</w:t>
      </w:r>
    </w:p>
    <w:tbl>
      <w:tblPr>
        <w:tblpPr w:leftFromText="180" w:rightFromText="180" w:vertAnchor="text" w:horzAnchor="margin" w:tblpY="134"/>
        <w:tblW w:w="9498" w:type="dxa"/>
        <w:tblLayout w:type="fixed"/>
        <w:tblLook w:val="0000" w:firstRow="0" w:lastRow="0" w:firstColumn="0" w:lastColumn="0" w:noHBand="0" w:noVBand="0"/>
      </w:tblPr>
      <w:tblGrid>
        <w:gridCol w:w="6771"/>
        <w:gridCol w:w="2019"/>
        <w:gridCol w:w="708"/>
      </w:tblGrid>
      <w:tr w:rsidR="00D95CB1" w:rsidRPr="00AF3608" w:rsidTr="00B1570A">
        <w:trPr>
          <w:trHeight w:val="141"/>
        </w:trPr>
        <w:tc>
          <w:tcPr>
            <w:tcW w:w="9498" w:type="dxa"/>
            <w:gridSpan w:val="3"/>
            <w:tcBorders>
              <w:top w:val="nil"/>
              <w:left w:val="nil"/>
              <w:bottom w:val="single" w:sz="4" w:space="0" w:color="auto"/>
              <w:right w:val="nil"/>
            </w:tcBorders>
            <w:shd w:val="clear" w:color="auto" w:fill="9CC2E5" w:themeFill="accent1" w:themeFillTint="99"/>
            <w:noWrap/>
            <w:vAlign w:val="bottom"/>
          </w:tcPr>
          <w:p w:rsidR="00D95CB1" w:rsidRPr="00AF3608" w:rsidRDefault="00D95CB1" w:rsidP="00D95CB1">
            <w:pPr>
              <w:keepNext/>
              <w:keepLines/>
              <w:widowControl w:val="0"/>
              <w:jc w:val="center"/>
              <w:rPr>
                <w:rFonts w:ascii="Cambria" w:hAnsi="Cambria" w:cs="Calibri Light"/>
                <w:b/>
                <w:bCs/>
                <w:lang w:val="ro-RO"/>
              </w:rPr>
            </w:pPr>
            <w:r w:rsidRPr="00AF3608">
              <w:rPr>
                <w:rFonts w:ascii="Cambria" w:hAnsi="Cambria" w:cs="Calibri Light"/>
                <w:b/>
                <w:bCs/>
                <w:lang w:val="ro-RO"/>
              </w:rPr>
              <w:t xml:space="preserve">PRINCIPALII INDICATORI MACROECONOMICI - SINTEZĂ </w:t>
            </w:r>
          </w:p>
        </w:tc>
      </w:tr>
      <w:tr w:rsidR="00D95CB1" w:rsidRPr="00AF3608" w:rsidTr="00175EE3">
        <w:trPr>
          <w:trHeight w:val="562"/>
        </w:trPr>
        <w:tc>
          <w:tcPr>
            <w:tcW w:w="6771" w:type="dxa"/>
            <w:tcBorders>
              <w:top w:val="nil"/>
              <w:left w:val="nil"/>
              <w:bottom w:val="single" w:sz="4" w:space="0" w:color="auto"/>
              <w:right w:val="nil"/>
            </w:tcBorders>
            <w:vAlign w:val="center"/>
          </w:tcPr>
          <w:p w:rsidR="00D95CB1" w:rsidRPr="00AF3608" w:rsidRDefault="00D95CB1" w:rsidP="00700E65">
            <w:pPr>
              <w:keepNext/>
              <w:keepLines/>
              <w:widowControl w:val="0"/>
              <w:rPr>
                <w:rFonts w:ascii="Cambria" w:hAnsi="Cambria" w:cs="Calibri Light"/>
                <w:b/>
                <w:bCs/>
                <w:color w:val="000000"/>
                <w:lang w:val="ro-RO"/>
              </w:rPr>
            </w:pPr>
            <w:r w:rsidRPr="00AF3608">
              <w:rPr>
                <w:rFonts w:ascii="Cambria" w:hAnsi="Cambria" w:cs="Calibri Light"/>
                <w:b/>
                <w:bCs/>
                <w:color w:val="000000"/>
                <w:lang w:val="ro-RO"/>
              </w:rPr>
              <w:t>Indicatori</w:t>
            </w:r>
          </w:p>
        </w:tc>
        <w:tc>
          <w:tcPr>
            <w:tcW w:w="2727" w:type="dxa"/>
            <w:gridSpan w:val="2"/>
            <w:tcBorders>
              <w:top w:val="single" w:sz="4" w:space="0" w:color="auto"/>
              <w:left w:val="nil"/>
              <w:bottom w:val="single" w:sz="4" w:space="0" w:color="auto"/>
              <w:right w:val="nil"/>
            </w:tcBorders>
            <w:noWrap/>
            <w:vAlign w:val="center"/>
          </w:tcPr>
          <w:p w:rsidR="00D95CB1" w:rsidRPr="00AF3608" w:rsidRDefault="00D95CB1" w:rsidP="00700E65">
            <w:pPr>
              <w:keepNext/>
              <w:keepLines/>
              <w:widowControl w:val="0"/>
              <w:jc w:val="center"/>
              <w:rPr>
                <w:rFonts w:ascii="Cambria" w:hAnsi="Cambria" w:cs="Calibri Light"/>
                <w:b/>
                <w:bCs/>
                <w:color w:val="000000"/>
                <w:lang w:val="ro-RO"/>
              </w:rPr>
            </w:pPr>
            <w:r w:rsidRPr="00AF3608">
              <w:rPr>
                <w:rFonts w:ascii="Cambria" w:hAnsi="Cambria" w:cs="Calibri Light"/>
                <w:b/>
                <w:bCs/>
                <w:color w:val="000000"/>
                <w:lang w:val="ro-RO"/>
              </w:rPr>
              <w:t>Anul 2021</w:t>
            </w:r>
          </w:p>
        </w:tc>
      </w:tr>
      <w:tr w:rsidR="00700E65" w:rsidRPr="00AF3608" w:rsidTr="00175EE3">
        <w:trPr>
          <w:gridAfter w:val="1"/>
          <w:wAfter w:w="708" w:type="dxa"/>
          <w:trHeight w:val="310"/>
        </w:trPr>
        <w:tc>
          <w:tcPr>
            <w:tcW w:w="6771" w:type="dxa"/>
            <w:tcBorders>
              <w:top w:val="nil"/>
              <w:left w:val="nil"/>
              <w:bottom w:val="nil"/>
              <w:right w:val="nil"/>
            </w:tcBorders>
            <w:noWrap/>
            <w:vAlign w:val="bottom"/>
          </w:tcPr>
          <w:p w:rsidR="00700E65" w:rsidRPr="00AF3608" w:rsidRDefault="00700E65" w:rsidP="00D95CB1">
            <w:pPr>
              <w:keepNext/>
              <w:keepLines/>
              <w:widowControl w:val="0"/>
              <w:rPr>
                <w:rFonts w:ascii="Calibri" w:hAnsi="Calibri" w:cs="Calibri"/>
                <w:color w:val="000000"/>
                <w:lang w:val="ro-RO"/>
              </w:rPr>
            </w:pPr>
            <w:r w:rsidRPr="00AF3608">
              <w:rPr>
                <w:rFonts w:ascii="Calibri" w:hAnsi="Calibri" w:cs="Calibri"/>
                <w:color w:val="000000"/>
                <w:lang w:val="ro-RO"/>
              </w:rPr>
              <w:t>PIB - milioane lei</w:t>
            </w:r>
          </w:p>
        </w:tc>
        <w:tc>
          <w:tcPr>
            <w:tcW w:w="2019" w:type="dxa"/>
            <w:tcBorders>
              <w:top w:val="nil"/>
              <w:left w:val="nil"/>
              <w:bottom w:val="nil"/>
              <w:right w:val="nil"/>
            </w:tcBorders>
            <w:noWrap/>
            <w:vAlign w:val="bottom"/>
          </w:tcPr>
          <w:p w:rsidR="00700E65" w:rsidRPr="00AF3608" w:rsidRDefault="00700E65" w:rsidP="00D95CB1">
            <w:pPr>
              <w:keepNext/>
              <w:keepLines/>
              <w:widowControl w:val="0"/>
              <w:jc w:val="right"/>
              <w:rPr>
                <w:rFonts w:ascii="Cambria" w:hAnsi="Cambria" w:cs="Calibri"/>
                <w:color w:val="000000"/>
                <w:lang w:val="ro-RO"/>
              </w:rPr>
            </w:pPr>
            <w:r w:rsidRPr="00AF3608">
              <w:rPr>
                <w:rFonts w:ascii="Cambria" w:hAnsi="Cambria" w:cs="Calibri"/>
                <w:color w:val="000000"/>
                <w:lang w:val="ro-RO"/>
              </w:rPr>
              <w:t>1.116.837</w:t>
            </w:r>
          </w:p>
        </w:tc>
      </w:tr>
      <w:tr w:rsidR="00700E65" w:rsidRPr="00AF3608" w:rsidTr="00175EE3">
        <w:trPr>
          <w:gridAfter w:val="1"/>
          <w:wAfter w:w="708" w:type="dxa"/>
          <w:trHeight w:hRule="exact" w:val="123"/>
        </w:trPr>
        <w:tc>
          <w:tcPr>
            <w:tcW w:w="6771" w:type="dxa"/>
            <w:tcBorders>
              <w:top w:val="nil"/>
              <w:left w:val="nil"/>
              <w:bottom w:val="nil"/>
              <w:right w:val="nil"/>
            </w:tcBorders>
            <w:noWrap/>
            <w:vAlign w:val="center"/>
          </w:tcPr>
          <w:p w:rsidR="00700E65" w:rsidRPr="00AF3608" w:rsidRDefault="00700E65" w:rsidP="00700E65">
            <w:pPr>
              <w:keepNext/>
              <w:keepLines/>
              <w:widowControl w:val="0"/>
              <w:rPr>
                <w:rFonts w:ascii="Calibri" w:hAnsi="Calibri" w:cs="Calibri"/>
                <w:color w:val="000000"/>
                <w:lang w:val="ro-RO"/>
              </w:rPr>
            </w:pPr>
          </w:p>
        </w:tc>
        <w:tc>
          <w:tcPr>
            <w:tcW w:w="2019" w:type="dxa"/>
            <w:tcBorders>
              <w:top w:val="nil"/>
              <w:left w:val="nil"/>
              <w:bottom w:val="nil"/>
              <w:right w:val="nil"/>
            </w:tcBorders>
            <w:noWrap/>
            <w:vAlign w:val="center"/>
          </w:tcPr>
          <w:p w:rsidR="00700E65" w:rsidRPr="00AF3608" w:rsidRDefault="00700E65" w:rsidP="00D95CB1">
            <w:pPr>
              <w:keepNext/>
              <w:keepLines/>
              <w:widowControl w:val="0"/>
              <w:jc w:val="right"/>
              <w:rPr>
                <w:rFonts w:ascii="Cambria" w:hAnsi="Cambria" w:cs="Calibri"/>
                <w:color w:val="000000"/>
                <w:lang w:val="ro-RO"/>
              </w:rPr>
            </w:pPr>
          </w:p>
        </w:tc>
      </w:tr>
      <w:tr w:rsidR="00700E65" w:rsidRPr="00AF3608" w:rsidTr="00175EE3">
        <w:trPr>
          <w:gridAfter w:val="1"/>
          <w:wAfter w:w="708" w:type="dxa"/>
          <w:trHeight w:val="310"/>
        </w:trPr>
        <w:tc>
          <w:tcPr>
            <w:tcW w:w="6771" w:type="dxa"/>
            <w:tcBorders>
              <w:top w:val="nil"/>
              <w:left w:val="nil"/>
              <w:bottom w:val="nil"/>
              <w:right w:val="nil"/>
            </w:tcBorders>
            <w:noWrap/>
            <w:vAlign w:val="center"/>
          </w:tcPr>
          <w:p w:rsidR="00700E65" w:rsidRPr="00AF3608" w:rsidRDefault="00700E65" w:rsidP="00D95CB1">
            <w:pPr>
              <w:keepNext/>
              <w:keepLines/>
              <w:widowControl w:val="0"/>
              <w:ind w:left="191"/>
              <w:rPr>
                <w:rFonts w:ascii="Calibri" w:hAnsi="Calibri" w:cs="Calibri"/>
                <w:color w:val="000000"/>
                <w:lang w:val="ro-RO"/>
              </w:rPr>
            </w:pPr>
            <w:r w:rsidRPr="00AF3608">
              <w:rPr>
                <w:rFonts w:ascii="Calibri" w:hAnsi="Calibri" w:cs="Calibri"/>
                <w:color w:val="000000"/>
                <w:lang w:val="ro-RO"/>
              </w:rPr>
              <w:t>Creştere economică  %</w:t>
            </w:r>
          </w:p>
        </w:tc>
        <w:tc>
          <w:tcPr>
            <w:tcW w:w="2019" w:type="dxa"/>
            <w:tcBorders>
              <w:top w:val="nil"/>
              <w:left w:val="nil"/>
              <w:bottom w:val="nil"/>
              <w:right w:val="nil"/>
            </w:tcBorders>
            <w:noWrap/>
            <w:vAlign w:val="center"/>
          </w:tcPr>
          <w:p w:rsidR="00700E65" w:rsidRPr="00AF3608" w:rsidRDefault="00700E65" w:rsidP="00D95CB1">
            <w:pPr>
              <w:keepNext/>
              <w:keepLines/>
              <w:widowControl w:val="0"/>
              <w:jc w:val="right"/>
              <w:rPr>
                <w:rFonts w:ascii="Cambria" w:hAnsi="Cambria" w:cs="Calibri"/>
                <w:color w:val="000000"/>
                <w:lang w:val="ro-RO"/>
              </w:rPr>
            </w:pPr>
            <w:r w:rsidRPr="00AF3608">
              <w:rPr>
                <w:rFonts w:ascii="Cambria" w:hAnsi="Cambria" w:cs="Calibri"/>
                <w:color w:val="000000"/>
                <w:lang w:val="ro-RO"/>
              </w:rPr>
              <w:t>4,3</w:t>
            </w:r>
          </w:p>
        </w:tc>
      </w:tr>
      <w:tr w:rsidR="00700E65" w:rsidRPr="00AF3608" w:rsidTr="00175EE3">
        <w:trPr>
          <w:gridAfter w:val="1"/>
          <w:wAfter w:w="708" w:type="dxa"/>
          <w:trHeight w:hRule="exact" w:val="123"/>
        </w:trPr>
        <w:tc>
          <w:tcPr>
            <w:tcW w:w="6771" w:type="dxa"/>
            <w:tcBorders>
              <w:top w:val="nil"/>
              <w:left w:val="nil"/>
              <w:bottom w:val="nil"/>
              <w:right w:val="nil"/>
            </w:tcBorders>
            <w:noWrap/>
            <w:vAlign w:val="center"/>
          </w:tcPr>
          <w:p w:rsidR="00700E65" w:rsidRPr="00AF3608" w:rsidRDefault="00700E65" w:rsidP="00D95CB1">
            <w:pPr>
              <w:keepNext/>
              <w:keepLines/>
              <w:widowControl w:val="0"/>
              <w:jc w:val="center"/>
              <w:rPr>
                <w:rFonts w:ascii="Calibri" w:hAnsi="Calibri" w:cs="Calibri"/>
                <w:color w:val="000000"/>
                <w:lang w:val="ro-RO"/>
              </w:rPr>
            </w:pPr>
          </w:p>
        </w:tc>
        <w:tc>
          <w:tcPr>
            <w:tcW w:w="2019" w:type="dxa"/>
            <w:tcBorders>
              <w:top w:val="nil"/>
              <w:left w:val="nil"/>
              <w:bottom w:val="nil"/>
              <w:right w:val="nil"/>
            </w:tcBorders>
            <w:noWrap/>
            <w:vAlign w:val="center"/>
          </w:tcPr>
          <w:p w:rsidR="00700E65" w:rsidRPr="00AF3608" w:rsidRDefault="00700E65" w:rsidP="00D95CB1">
            <w:pPr>
              <w:keepNext/>
              <w:keepLines/>
              <w:widowControl w:val="0"/>
              <w:jc w:val="right"/>
              <w:rPr>
                <w:rFonts w:ascii="Cambria" w:hAnsi="Cambria" w:cs="Calibri"/>
                <w:color w:val="000000"/>
                <w:lang w:val="ro-RO"/>
              </w:rPr>
            </w:pPr>
          </w:p>
        </w:tc>
      </w:tr>
      <w:tr w:rsidR="00700E65" w:rsidRPr="00AF3608" w:rsidTr="00175EE3">
        <w:trPr>
          <w:gridAfter w:val="1"/>
          <w:wAfter w:w="708" w:type="dxa"/>
          <w:trHeight w:val="310"/>
        </w:trPr>
        <w:tc>
          <w:tcPr>
            <w:tcW w:w="6771" w:type="dxa"/>
            <w:tcBorders>
              <w:top w:val="nil"/>
              <w:left w:val="nil"/>
              <w:bottom w:val="nil"/>
              <w:right w:val="nil"/>
            </w:tcBorders>
            <w:noWrap/>
            <w:vAlign w:val="bottom"/>
          </w:tcPr>
          <w:p w:rsidR="00700E65" w:rsidRPr="00AF3608" w:rsidRDefault="00700E65" w:rsidP="00D95CB1">
            <w:pPr>
              <w:keepNext/>
              <w:keepLines/>
              <w:widowControl w:val="0"/>
              <w:rPr>
                <w:rFonts w:ascii="Calibri" w:hAnsi="Calibri" w:cs="Calibri"/>
                <w:color w:val="000000"/>
                <w:lang w:val="ro-RO"/>
              </w:rPr>
            </w:pPr>
            <w:r w:rsidRPr="00AF3608">
              <w:rPr>
                <w:rFonts w:ascii="Calibri" w:hAnsi="Calibri" w:cs="Calibri"/>
                <w:color w:val="000000"/>
                <w:lang w:val="ro-RO"/>
              </w:rPr>
              <w:t>Inflaţia medie anuală %</w:t>
            </w:r>
          </w:p>
        </w:tc>
        <w:tc>
          <w:tcPr>
            <w:tcW w:w="2019" w:type="dxa"/>
            <w:tcBorders>
              <w:top w:val="nil"/>
              <w:left w:val="nil"/>
              <w:bottom w:val="nil"/>
              <w:right w:val="nil"/>
            </w:tcBorders>
            <w:noWrap/>
            <w:vAlign w:val="bottom"/>
          </w:tcPr>
          <w:p w:rsidR="00700E65" w:rsidRPr="00AF3608" w:rsidRDefault="00700E65" w:rsidP="00D95CB1">
            <w:pPr>
              <w:keepNext/>
              <w:keepLines/>
              <w:widowControl w:val="0"/>
              <w:jc w:val="right"/>
              <w:rPr>
                <w:rFonts w:ascii="Cambria" w:hAnsi="Cambria" w:cs="Calibri"/>
                <w:color w:val="000000"/>
                <w:lang w:val="ro-RO"/>
              </w:rPr>
            </w:pPr>
            <w:r w:rsidRPr="00AF3608">
              <w:rPr>
                <w:rFonts w:ascii="Cambria" w:hAnsi="Cambria" w:cs="Calibri"/>
                <w:color w:val="000000"/>
                <w:lang w:val="ro-RO"/>
              </w:rPr>
              <w:t>2,4</w:t>
            </w:r>
          </w:p>
        </w:tc>
      </w:tr>
      <w:tr w:rsidR="00700E65" w:rsidRPr="00AF3608" w:rsidTr="00175EE3">
        <w:trPr>
          <w:gridAfter w:val="1"/>
          <w:wAfter w:w="708" w:type="dxa"/>
          <w:trHeight w:hRule="exact" w:val="123"/>
        </w:trPr>
        <w:tc>
          <w:tcPr>
            <w:tcW w:w="6771" w:type="dxa"/>
            <w:tcBorders>
              <w:top w:val="nil"/>
              <w:left w:val="nil"/>
              <w:bottom w:val="nil"/>
              <w:right w:val="nil"/>
            </w:tcBorders>
            <w:noWrap/>
            <w:vAlign w:val="bottom"/>
          </w:tcPr>
          <w:p w:rsidR="00700E65" w:rsidRPr="00AF3608" w:rsidRDefault="00700E65" w:rsidP="00D95CB1">
            <w:pPr>
              <w:keepNext/>
              <w:keepLines/>
              <w:widowControl w:val="0"/>
              <w:rPr>
                <w:rFonts w:ascii="Calibri" w:hAnsi="Calibri" w:cs="Calibri"/>
                <w:color w:val="000000"/>
                <w:lang w:val="ro-RO"/>
              </w:rPr>
            </w:pPr>
          </w:p>
        </w:tc>
        <w:tc>
          <w:tcPr>
            <w:tcW w:w="2019" w:type="dxa"/>
            <w:tcBorders>
              <w:top w:val="nil"/>
              <w:left w:val="nil"/>
              <w:bottom w:val="nil"/>
              <w:right w:val="nil"/>
            </w:tcBorders>
            <w:noWrap/>
            <w:vAlign w:val="bottom"/>
          </w:tcPr>
          <w:p w:rsidR="00700E65" w:rsidRPr="00AF3608" w:rsidRDefault="00700E65" w:rsidP="00D95CB1">
            <w:pPr>
              <w:keepNext/>
              <w:keepLines/>
              <w:widowControl w:val="0"/>
              <w:jc w:val="right"/>
              <w:rPr>
                <w:rFonts w:ascii="Cambria" w:hAnsi="Cambria" w:cs="Calibri"/>
                <w:color w:val="000000"/>
                <w:lang w:val="ro-RO"/>
              </w:rPr>
            </w:pPr>
          </w:p>
        </w:tc>
      </w:tr>
      <w:tr w:rsidR="00700E65" w:rsidRPr="00AF3608" w:rsidTr="00175EE3">
        <w:trPr>
          <w:gridAfter w:val="1"/>
          <w:wAfter w:w="708" w:type="dxa"/>
          <w:trHeight w:val="359"/>
        </w:trPr>
        <w:tc>
          <w:tcPr>
            <w:tcW w:w="6771" w:type="dxa"/>
            <w:tcBorders>
              <w:top w:val="nil"/>
              <w:left w:val="nil"/>
              <w:bottom w:val="nil"/>
              <w:right w:val="nil"/>
            </w:tcBorders>
            <w:noWrap/>
            <w:vAlign w:val="bottom"/>
          </w:tcPr>
          <w:p w:rsidR="00700E65" w:rsidRPr="00AF3608" w:rsidRDefault="00700E65" w:rsidP="00D95CB1">
            <w:pPr>
              <w:keepNext/>
              <w:keepLines/>
              <w:widowControl w:val="0"/>
              <w:rPr>
                <w:rFonts w:ascii="Calibri" w:hAnsi="Calibri" w:cs="Calibri"/>
                <w:color w:val="000000"/>
                <w:lang w:val="ro-RO"/>
              </w:rPr>
            </w:pPr>
            <w:r w:rsidRPr="00AF3608">
              <w:rPr>
                <w:rFonts w:ascii="Calibri" w:hAnsi="Calibri" w:cs="Calibri"/>
                <w:color w:val="000000"/>
                <w:lang w:val="ro-RO"/>
              </w:rPr>
              <w:t>Venituri  BGC - milioane lei</w:t>
            </w:r>
          </w:p>
        </w:tc>
        <w:tc>
          <w:tcPr>
            <w:tcW w:w="2019" w:type="dxa"/>
            <w:tcBorders>
              <w:top w:val="nil"/>
              <w:left w:val="nil"/>
              <w:bottom w:val="nil"/>
              <w:right w:val="nil"/>
            </w:tcBorders>
            <w:noWrap/>
            <w:vAlign w:val="bottom"/>
          </w:tcPr>
          <w:p w:rsidR="00700E65" w:rsidRPr="00AF3608" w:rsidRDefault="004D123A" w:rsidP="00D95CB1">
            <w:pPr>
              <w:keepNext/>
              <w:keepLines/>
              <w:widowControl w:val="0"/>
              <w:jc w:val="right"/>
              <w:rPr>
                <w:rFonts w:ascii="Cambria" w:hAnsi="Cambria" w:cs="Calibri"/>
                <w:color w:val="000000"/>
                <w:lang w:val="ro-RO"/>
              </w:rPr>
            </w:pPr>
            <w:r w:rsidRPr="00AF3608">
              <w:rPr>
                <w:rFonts w:ascii="Cambria" w:hAnsi="Cambria" w:cs="Calibri"/>
                <w:color w:val="000000"/>
                <w:lang w:val="ro-RO"/>
              </w:rPr>
              <w:t>364.907</w:t>
            </w:r>
          </w:p>
        </w:tc>
      </w:tr>
      <w:tr w:rsidR="00700E65" w:rsidRPr="00AF3608" w:rsidTr="00175EE3">
        <w:trPr>
          <w:gridAfter w:val="1"/>
          <w:wAfter w:w="708" w:type="dxa"/>
          <w:trHeight w:hRule="exact" w:val="123"/>
        </w:trPr>
        <w:tc>
          <w:tcPr>
            <w:tcW w:w="6771" w:type="dxa"/>
            <w:tcBorders>
              <w:top w:val="nil"/>
              <w:left w:val="nil"/>
              <w:bottom w:val="nil"/>
              <w:right w:val="nil"/>
            </w:tcBorders>
            <w:noWrap/>
            <w:vAlign w:val="bottom"/>
          </w:tcPr>
          <w:p w:rsidR="00700E65" w:rsidRPr="00AF3608" w:rsidRDefault="00700E65" w:rsidP="00D95CB1">
            <w:pPr>
              <w:keepNext/>
              <w:keepLines/>
              <w:widowControl w:val="0"/>
              <w:rPr>
                <w:rFonts w:ascii="Calibri" w:hAnsi="Calibri" w:cs="Calibri"/>
                <w:color w:val="000000"/>
                <w:lang w:val="ro-RO"/>
              </w:rPr>
            </w:pPr>
          </w:p>
        </w:tc>
        <w:tc>
          <w:tcPr>
            <w:tcW w:w="2019" w:type="dxa"/>
            <w:tcBorders>
              <w:top w:val="nil"/>
              <w:left w:val="nil"/>
              <w:bottom w:val="nil"/>
              <w:right w:val="nil"/>
            </w:tcBorders>
            <w:noWrap/>
            <w:vAlign w:val="bottom"/>
          </w:tcPr>
          <w:p w:rsidR="00700E65" w:rsidRPr="00AF3608" w:rsidRDefault="00700E65" w:rsidP="00D95CB1">
            <w:pPr>
              <w:keepNext/>
              <w:keepLines/>
              <w:widowControl w:val="0"/>
              <w:jc w:val="right"/>
              <w:rPr>
                <w:rFonts w:ascii="Cambria" w:hAnsi="Cambria" w:cs="Calibri"/>
                <w:color w:val="000000"/>
                <w:lang w:val="ro-RO"/>
              </w:rPr>
            </w:pPr>
          </w:p>
        </w:tc>
      </w:tr>
      <w:tr w:rsidR="00700E65" w:rsidRPr="00AF3608" w:rsidTr="00175EE3">
        <w:trPr>
          <w:gridAfter w:val="1"/>
          <w:wAfter w:w="708" w:type="dxa"/>
          <w:trHeight w:val="310"/>
        </w:trPr>
        <w:tc>
          <w:tcPr>
            <w:tcW w:w="6771" w:type="dxa"/>
            <w:tcBorders>
              <w:top w:val="nil"/>
              <w:left w:val="nil"/>
              <w:bottom w:val="nil"/>
              <w:right w:val="nil"/>
            </w:tcBorders>
            <w:vAlign w:val="bottom"/>
          </w:tcPr>
          <w:p w:rsidR="00700E65" w:rsidRPr="00AF3608" w:rsidRDefault="00700E65" w:rsidP="00D95CB1">
            <w:pPr>
              <w:keepNext/>
              <w:keepLines/>
              <w:widowControl w:val="0"/>
              <w:rPr>
                <w:rFonts w:ascii="Calibri" w:hAnsi="Calibri" w:cs="Calibri"/>
                <w:color w:val="000000"/>
                <w:lang w:val="ro-RO"/>
              </w:rPr>
            </w:pPr>
            <w:r w:rsidRPr="00AF3608">
              <w:rPr>
                <w:rFonts w:ascii="Calibri" w:hAnsi="Calibri" w:cs="Calibri"/>
                <w:color w:val="000000"/>
                <w:lang w:val="ro-RO"/>
              </w:rPr>
              <w:t>Ponderea veniturilor totale în PIB</w:t>
            </w:r>
          </w:p>
        </w:tc>
        <w:tc>
          <w:tcPr>
            <w:tcW w:w="2019" w:type="dxa"/>
            <w:tcBorders>
              <w:top w:val="nil"/>
              <w:left w:val="nil"/>
              <w:bottom w:val="nil"/>
              <w:right w:val="nil"/>
            </w:tcBorders>
            <w:noWrap/>
            <w:vAlign w:val="bottom"/>
          </w:tcPr>
          <w:p w:rsidR="00700E65" w:rsidRPr="00AF3608" w:rsidRDefault="004D123A" w:rsidP="00D95CB1">
            <w:pPr>
              <w:keepNext/>
              <w:keepLines/>
              <w:widowControl w:val="0"/>
              <w:jc w:val="right"/>
              <w:rPr>
                <w:rFonts w:ascii="Cambria" w:hAnsi="Cambria" w:cs="Calibri"/>
                <w:color w:val="000000"/>
                <w:lang w:val="ro-RO"/>
              </w:rPr>
            </w:pPr>
            <w:r w:rsidRPr="00AF3608">
              <w:rPr>
                <w:rFonts w:ascii="Cambria" w:hAnsi="Cambria" w:cs="Calibri"/>
                <w:color w:val="000000"/>
                <w:lang w:val="ro-RO"/>
              </w:rPr>
              <w:t>32,67</w:t>
            </w:r>
          </w:p>
        </w:tc>
      </w:tr>
      <w:tr w:rsidR="00700E65" w:rsidRPr="00AF3608" w:rsidTr="00175EE3">
        <w:trPr>
          <w:gridAfter w:val="1"/>
          <w:wAfter w:w="708" w:type="dxa"/>
          <w:trHeight w:hRule="exact" w:val="123"/>
        </w:trPr>
        <w:tc>
          <w:tcPr>
            <w:tcW w:w="6771" w:type="dxa"/>
            <w:tcBorders>
              <w:top w:val="nil"/>
              <w:left w:val="nil"/>
              <w:bottom w:val="nil"/>
              <w:right w:val="nil"/>
            </w:tcBorders>
            <w:noWrap/>
            <w:vAlign w:val="bottom"/>
          </w:tcPr>
          <w:p w:rsidR="00700E65" w:rsidRPr="00AF3608" w:rsidRDefault="00700E65" w:rsidP="00D95CB1">
            <w:pPr>
              <w:keepNext/>
              <w:keepLines/>
              <w:widowControl w:val="0"/>
              <w:rPr>
                <w:rFonts w:ascii="Calibri" w:hAnsi="Calibri" w:cs="Calibri"/>
                <w:color w:val="000000"/>
                <w:lang w:val="ro-RO"/>
              </w:rPr>
            </w:pPr>
          </w:p>
        </w:tc>
        <w:tc>
          <w:tcPr>
            <w:tcW w:w="2019" w:type="dxa"/>
            <w:tcBorders>
              <w:top w:val="nil"/>
              <w:left w:val="nil"/>
              <w:bottom w:val="nil"/>
              <w:right w:val="nil"/>
            </w:tcBorders>
            <w:noWrap/>
            <w:vAlign w:val="bottom"/>
          </w:tcPr>
          <w:p w:rsidR="00700E65" w:rsidRPr="00AF3608" w:rsidRDefault="00700E65" w:rsidP="00D95CB1">
            <w:pPr>
              <w:keepNext/>
              <w:keepLines/>
              <w:widowControl w:val="0"/>
              <w:jc w:val="right"/>
              <w:rPr>
                <w:rFonts w:ascii="Cambria" w:hAnsi="Cambria" w:cs="Calibri"/>
                <w:color w:val="000000"/>
                <w:lang w:val="ro-RO"/>
              </w:rPr>
            </w:pPr>
          </w:p>
        </w:tc>
      </w:tr>
      <w:tr w:rsidR="00700E65" w:rsidRPr="00AF3608" w:rsidTr="00175EE3">
        <w:trPr>
          <w:gridAfter w:val="1"/>
          <w:wAfter w:w="708" w:type="dxa"/>
          <w:trHeight w:val="359"/>
        </w:trPr>
        <w:tc>
          <w:tcPr>
            <w:tcW w:w="6771" w:type="dxa"/>
            <w:tcBorders>
              <w:top w:val="nil"/>
              <w:left w:val="nil"/>
              <w:bottom w:val="nil"/>
              <w:right w:val="nil"/>
            </w:tcBorders>
            <w:vAlign w:val="bottom"/>
          </w:tcPr>
          <w:p w:rsidR="00700E65" w:rsidRPr="00AF3608" w:rsidRDefault="00700E65" w:rsidP="00D95CB1">
            <w:pPr>
              <w:keepNext/>
              <w:keepLines/>
              <w:widowControl w:val="0"/>
              <w:rPr>
                <w:rFonts w:ascii="Calibri" w:hAnsi="Calibri" w:cs="Calibri"/>
                <w:color w:val="000000"/>
                <w:lang w:val="ro-RO"/>
              </w:rPr>
            </w:pPr>
            <w:r w:rsidRPr="00AF3608">
              <w:rPr>
                <w:rFonts w:ascii="Calibri" w:hAnsi="Calibri" w:cs="Calibri"/>
                <w:color w:val="000000"/>
                <w:lang w:val="ro-RO"/>
              </w:rPr>
              <w:t>Cheltuieli BGC - milioane lei</w:t>
            </w:r>
          </w:p>
        </w:tc>
        <w:tc>
          <w:tcPr>
            <w:tcW w:w="2019" w:type="dxa"/>
            <w:tcBorders>
              <w:top w:val="nil"/>
              <w:left w:val="nil"/>
              <w:bottom w:val="nil"/>
              <w:right w:val="nil"/>
            </w:tcBorders>
            <w:noWrap/>
            <w:vAlign w:val="bottom"/>
          </w:tcPr>
          <w:p w:rsidR="00700E65" w:rsidRPr="00AF3608" w:rsidRDefault="00053B49" w:rsidP="00D95CB1">
            <w:pPr>
              <w:keepNext/>
              <w:keepLines/>
              <w:widowControl w:val="0"/>
              <w:jc w:val="right"/>
              <w:rPr>
                <w:rFonts w:ascii="Cambria" w:hAnsi="Cambria" w:cs="Calibri"/>
                <w:color w:val="000000"/>
                <w:lang w:val="ro-RO"/>
              </w:rPr>
            </w:pPr>
            <w:r w:rsidRPr="00AF3608">
              <w:rPr>
                <w:rFonts w:ascii="Cambria" w:hAnsi="Cambria" w:cs="Calibri"/>
                <w:color w:val="000000"/>
                <w:lang w:val="ro-RO"/>
              </w:rPr>
              <w:t>444.907</w:t>
            </w:r>
          </w:p>
        </w:tc>
      </w:tr>
      <w:tr w:rsidR="00700E65" w:rsidRPr="00AF3608" w:rsidTr="00175EE3">
        <w:trPr>
          <w:gridAfter w:val="1"/>
          <w:wAfter w:w="708" w:type="dxa"/>
          <w:trHeight w:hRule="exact" w:val="123"/>
        </w:trPr>
        <w:tc>
          <w:tcPr>
            <w:tcW w:w="6771" w:type="dxa"/>
            <w:tcBorders>
              <w:top w:val="nil"/>
              <w:left w:val="nil"/>
              <w:bottom w:val="nil"/>
              <w:right w:val="nil"/>
            </w:tcBorders>
            <w:noWrap/>
            <w:vAlign w:val="bottom"/>
          </w:tcPr>
          <w:p w:rsidR="00700E65" w:rsidRPr="00AF3608" w:rsidRDefault="00700E65" w:rsidP="00D95CB1">
            <w:pPr>
              <w:keepNext/>
              <w:keepLines/>
              <w:widowControl w:val="0"/>
              <w:rPr>
                <w:rFonts w:ascii="Calibri" w:hAnsi="Calibri" w:cs="Calibri"/>
                <w:color w:val="000000"/>
                <w:lang w:val="ro-RO"/>
              </w:rPr>
            </w:pPr>
          </w:p>
        </w:tc>
        <w:tc>
          <w:tcPr>
            <w:tcW w:w="2019" w:type="dxa"/>
            <w:tcBorders>
              <w:top w:val="nil"/>
              <w:left w:val="nil"/>
              <w:bottom w:val="nil"/>
              <w:right w:val="nil"/>
            </w:tcBorders>
            <w:noWrap/>
            <w:vAlign w:val="bottom"/>
          </w:tcPr>
          <w:p w:rsidR="00700E65" w:rsidRPr="00AF3608" w:rsidRDefault="00700E65" w:rsidP="00D95CB1">
            <w:pPr>
              <w:keepNext/>
              <w:keepLines/>
              <w:widowControl w:val="0"/>
              <w:jc w:val="center"/>
              <w:rPr>
                <w:rFonts w:ascii="Cambria" w:hAnsi="Cambria" w:cs="Calibri"/>
                <w:color w:val="000000"/>
                <w:lang w:val="ro-RO"/>
              </w:rPr>
            </w:pPr>
          </w:p>
        </w:tc>
      </w:tr>
      <w:tr w:rsidR="00700E65" w:rsidRPr="00AF3608" w:rsidTr="00175EE3">
        <w:trPr>
          <w:gridAfter w:val="1"/>
          <w:wAfter w:w="708" w:type="dxa"/>
          <w:trHeight w:val="310"/>
        </w:trPr>
        <w:tc>
          <w:tcPr>
            <w:tcW w:w="6771" w:type="dxa"/>
            <w:tcBorders>
              <w:top w:val="nil"/>
              <w:left w:val="nil"/>
              <w:bottom w:val="nil"/>
              <w:right w:val="nil"/>
            </w:tcBorders>
            <w:vAlign w:val="bottom"/>
          </w:tcPr>
          <w:p w:rsidR="00700E65" w:rsidRPr="00AF3608" w:rsidRDefault="00700E65" w:rsidP="00D95CB1">
            <w:pPr>
              <w:keepNext/>
              <w:keepLines/>
              <w:widowControl w:val="0"/>
              <w:rPr>
                <w:rFonts w:ascii="Calibri" w:hAnsi="Calibri" w:cs="Calibri"/>
                <w:color w:val="000000"/>
                <w:lang w:val="ro-RO"/>
              </w:rPr>
            </w:pPr>
            <w:r w:rsidRPr="00AF3608">
              <w:rPr>
                <w:rFonts w:ascii="Calibri" w:hAnsi="Calibri" w:cs="Calibri"/>
                <w:color w:val="000000"/>
                <w:lang w:val="ro-RO"/>
              </w:rPr>
              <w:t>Ponderea cheltuielilor totale în PIB</w:t>
            </w:r>
          </w:p>
        </w:tc>
        <w:tc>
          <w:tcPr>
            <w:tcW w:w="2019" w:type="dxa"/>
            <w:tcBorders>
              <w:top w:val="nil"/>
              <w:left w:val="nil"/>
              <w:bottom w:val="nil"/>
              <w:right w:val="nil"/>
            </w:tcBorders>
            <w:noWrap/>
            <w:vAlign w:val="bottom"/>
          </w:tcPr>
          <w:p w:rsidR="00700E65" w:rsidRPr="00AF3608" w:rsidRDefault="00053B49" w:rsidP="00D95CB1">
            <w:pPr>
              <w:keepNext/>
              <w:keepLines/>
              <w:widowControl w:val="0"/>
              <w:jc w:val="right"/>
              <w:rPr>
                <w:rFonts w:ascii="Cambria" w:hAnsi="Cambria" w:cs="Calibri"/>
                <w:color w:val="000000"/>
                <w:lang w:val="ro-RO"/>
              </w:rPr>
            </w:pPr>
            <w:r w:rsidRPr="00AF3608">
              <w:rPr>
                <w:rFonts w:ascii="Cambria" w:hAnsi="Cambria" w:cs="Calibri"/>
                <w:color w:val="000000"/>
                <w:lang w:val="ro-RO"/>
              </w:rPr>
              <w:t>39,84</w:t>
            </w:r>
          </w:p>
        </w:tc>
      </w:tr>
      <w:tr w:rsidR="00700E65" w:rsidRPr="00AF3608" w:rsidTr="00175EE3">
        <w:trPr>
          <w:gridAfter w:val="1"/>
          <w:wAfter w:w="708" w:type="dxa"/>
          <w:trHeight w:hRule="exact" w:val="123"/>
        </w:trPr>
        <w:tc>
          <w:tcPr>
            <w:tcW w:w="6771" w:type="dxa"/>
            <w:tcBorders>
              <w:top w:val="nil"/>
              <w:left w:val="nil"/>
              <w:bottom w:val="nil"/>
              <w:right w:val="nil"/>
            </w:tcBorders>
            <w:noWrap/>
            <w:vAlign w:val="bottom"/>
          </w:tcPr>
          <w:p w:rsidR="00700E65" w:rsidRPr="00AF3608" w:rsidRDefault="00700E65" w:rsidP="00D95CB1">
            <w:pPr>
              <w:keepNext/>
              <w:keepLines/>
              <w:widowControl w:val="0"/>
              <w:rPr>
                <w:rFonts w:ascii="Calibri" w:hAnsi="Calibri" w:cs="Calibri"/>
                <w:color w:val="000000"/>
                <w:lang w:val="ro-RO"/>
              </w:rPr>
            </w:pPr>
          </w:p>
        </w:tc>
        <w:tc>
          <w:tcPr>
            <w:tcW w:w="2019" w:type="dxa"/>
            <w:tcBorders>
              <w:top w:val="nil"/>
              <w:left w:val="nil"/>
              <w:bottom w:val="nil"/>
              <w:right w:val="nil"/>
            </w:tcBorders>
            <w:noWrap/>
            <w:vAlign w:val="bottom"/>
          </w:tcPr>
          <w:p w:rsidR="00700E65" w:rsidRPr="00AF3608" w:rsidRDefault="00700E65" w:rsidP="00D95CB1">
            <w:pPr>
              <w:keepNext/>
              <w:keepLines/>
              <w:widowControl w:val="0"/>
              <w:jc w:val="right"/>
              <w:rPr>
                <w:rFonts w:ascii="Cambria" w:hAnsi="Cambria" w:cs="Calibri"/>
                <w:color w:val="000000"/>
                <w:lang w:val="ro-RO"/>
              </w:rPr>
            </w:pPr>
          </w:p>
        </w:tc>
      </w:tr>
      <w:tr w:rsidR="00700E65" w:rsidRPr="00AF3608" w:rsidTr="00175EE3">
        <w:trPr>
          <w:gridAfter w:val="1"/>
          <w:wAfter w:w="708" w:type="dxa"/>
          <w:trHeight w:val="310"/>
        </w:trPr>
        <w:tc>
          <w:tcPr>
            <w:tcW w:w="6771" w:type="dxa"/>
            <w:tcBorders>
              <w:top w:val="nil"/>
              <w:left w:val="nil"/>
              <w:bottom w:val="nil"/>
              <w:right w:val="nil"/>
            </w:tcBorders>
            <w:noWrap/>
            <w:vAlign w:val="bottom"/>
          </w:tcPr>
          <w:p w:rsidR="00700E65" w:rsidRPr="00AF3608" w:rsidRDefault="00700E65" w:rsidP="00D95CB1">
            <w:pPr>
              <w:keepNext/>
              <w:keepLines/>
              <w:widowControl w:val="0"/>
              <w:rPr>
                <w:rFonts w:ascii="Calibri" w:hAnsi="Calibri" w:cs="Calibri"/>
                <w:color w:val="000000"/>
                <w:lang w:val="ro-RO"/>
              </w:rPr>
            </w:pPr>
            <w:r w:rsidRPr="00AF3608">
              <w:rPr>
                <w:rFonts w:ascii="Calibri" w:hAnsi="Calibri" w:cs="Calibri"/>
                <w:color w:val="000000"/>
                <w:lang w:val="ro-RO"/>
              </w:rPr>
              <w:t>Deficit - milioane lei</w:t>
            </w:r>
          </w:p>
        </w:tc>
        <w:tc>
          <w:tcPr>
            <w:tcW w:w="2019" w:type="dxa"/>
            <w:tcBorders>
              <w:top w:val="nil"/>
              <w:left w:val="nil"/>
              <w:bottom w:val="nil"/>
              <w:right w:val="nil"/>
            </w:tcBorders>
            <w:noWrap/>
            <w:vAlign w:val="bottom"/>
          </w:tcPr>
          <w:p w:rsidR="00700E65" w:rsidRPr="00AF3608" w:rsidRDefault="00053B49" w:rsidP="00D95CB1">
            <w:pPr>
              <w:keepNext/>
              <w:keepLines/>
              <w:widowControl w:val="0"/>
              <w:jc w:val="right"/>
              <w:rPr>
                <w:rFonts w:ascii="Cambria" w:hAnsi="Cambria" w:cs="Calibri"/>
                <w:color w:val="000000"/>
                <w:lang w:val="ro-RO"/>
              </w:rPr>
            </w:pPr>
            <w:r w:rsidRPr="00AF3608">
              <w:rPr>
                <w:rFonts w:ascii="Cambria" w:hAnsi="Cambria" w:cs="Calibri"/>
                <w:color w:val="000000"/>
                <w:lang w:val="ro-RO"/>
              </w:rPr>
              <w:t>80.000</w:t>
            </w:r>
          </w:p>
        </w:tc>
      </w:tr>
      <w:tr w:rsidR="00700E65" w:rsidRPr="00AF3608" w:rsidTr="00175EE3">
        <w:trPr>
          <w:gridAfter w:val="1"/>
          <w:wAfter w:w="708" w:type="dxa"/>
          <w:trHeight w:hRule="exact" w:val="123"/>
        </w:trPr>
        <w:tc>
          <w:tcPr>
            <w:tcW w:w="6771" w:type="dxa"/>
            <w:tcBorders>
              <w:top w:val="nil"/>
              <w:left w:val="nil"/>
              <w:bottom w:val="nil"/>
              <w:right w:val="nil"/>
            </w:tcBorders>
            <w:noWrap/>
            <w:vAlign w:val="bottom"/>
          </w:tcPr>
          <w:p w:rsidR="00700E65" w:rsidRPr="00AF3608" w:rsidRDefault="00700E65" w:rsidP="00D95CB1">
            <w:pPr>
              <w:keepNext/>
              <w:keepLines/>
              <w:widowControl w:val="0"/>
              <w:rPr>
                <w:rFonts w:ascii="Calibri" w:hAnsi="Calibri" w:cs="Calibri"/>
                <w:color w:val="000000"/>
                <w:lang w:val="ro-RO"/>
              </w:rPr>
            </w:pPr>
          </w:p>
        </w:tc>
        <w:tc>
          <w:tcPr>
            <w:tcW w:w="2019" w:type="dxa"/>
            <w:tcBorders>
              <w:top w:val="nil"/>
              <w:left w:val="nil"/>
              <w:bottom w:val="nil"/>
              <w:right w:val="nil"/>
            </w:tcBorders>
            <w:noWrap/>
            <w:vAlign w:val="bottom"/>
          </w:tcPr>
          <w:p w:rsidR="00700E65" w:rsidRPr="00AF3608" w:rsidRDefault="00700E65" w:rsidP="00D95CB1">
            <w:pPr>
              <w:keepNext/>
              <w:keepLines/>
              <w:widowControl w:val="0"/>
              <w:rPr>
                <w:rFonts w:ascii="Cambria" w:hAnsi="Cambria" w:cs="Calibri"/>
                <w:color w:val="000000"/>
                <w:lang w:val="ro-RO"/>
              </w:rPr>
            </w:pPr>
          </w:p>
        </w:tc>
      </w:tr>
      <w:tr w:rsidR="00700E65" w:rsidRPr="00AF3608" w:rsidTr="00175EE3">
        <w:trPr>
          <w:gridAfter w:val="1"/>
          <w:wAfter w:w="708" w:type="dxa"/>
          <w:trHeight w:val="310"/>
        </w:trPr>
        <w:tc>
          <w:tcPr>
            <w:tcW w:w="6771" w:type="dxa"/>
            <w:tcBorders>
              <w:top w:val="nil"/>
              <w:left w:val="nil"/>
              <w:bottom w:val="nil"/>
              <w:right w:val="nil"/>
            </w:tcBorders>
            <w:noWrap/>
            <w:vAlign w:val="bottom"/>
          </w:tcPr>
          <w:p w:rsidR="00700E65" w:rsidRPr="00AF3608" w:rsidRDefault="00700E65" w:rsidP="00D95CB1">
            <w:pPr>
              <w:keepNext/>
              <w:keepLines/>
              <w:widowControl w:val="0"/>
              <w:rPr>
                <w:rFonts w:ascii="Calibri" w:hAnsi="Calibri" w:cs="Calibri"/>
                <w:color w:val="000000"/>
                <w:lang w:val="ro-RO"/>
              </w:rPr>
            </w:pPr>
            <w:r w:rsidRPr="00AF3608">
              <w:rPr>
                <w:rFonts w:ascii="Calibri" w:hAnsi="Calibri" w:cs="Calibri"/>
                <w:color w:val="000000"/>
                <w:lang w:val="ro-RO"/>
              </w:rPr>
              <w:t>Deficit - pondere în PIB</w:t>
            </w:r>
          </w:p>
        </w:tc>
        <w:tc>
          <w:tcPr>
            <w:tcW w:w="2019" w:type="dxa"/>
            <w:tcBorders>
              <w:top w:val="nil"/>
              <w:left w:val="nil"/>
              <w:bottom w:val="nil"/>
              <w:right w:val="nil"/>
            </w:tcBorders>
            <w:noWrap/>
            <w:vAlign w:val="bottom"/>
          </w:tcPr>
          <w:p w:rsidR="00700E65" w:rsidRPr="00AF3608" w:rsidRDefault="00053B49" w:rsidP="00D95CB1">
            <w:pPr>
              <w:keepNext/>
              <w:keepLines/>
              <w:widowControl w:val="0"/>
              <w:jc w:val="right"/>
              <w:rPr>
                <w:rFonts w:ascii="Cambria" w:hAnsi="Cambria" w:cs="Calibri"/>
                <w:color w:val="000000"/>
                <w:lang w:val="ro-RO"/>
              </w:rPr>
            </w:pPr>
            <w:r w:rsidRPr="00AF3608">
              <w:rPr>
                <w:rFonts w:ascii="Cambria" w:hAnsi="Cambria" w:cs="Calibri"/>
                <w:color w:val="000000"/>
                <w:lang w:val="ro-RO"/>
              </w:rPr>
              <w:t>7.16</w:t>
            </w:r>
          </w:p>
        </w:tc>
      </w:tr>
      <w:tr w:rsidR="00700E65" w:rsidRPr="00AF3608" w:rsidTr="00175EE3">
        <w:trPr>
          <w:gridAfter w:val="1"/>
          <w:wAfter w:w="708" w:type="dxa"/>
          <w:trHeight w:hRule="exact" w:val="123"/>
        </w:trPr>
        <w:tc>
          <w:tcPr>
            <w:tcW w:w="6771" w:type="dxa"/>
            <w:tcBorders>
              <w:top w:val="nil"/>
              <w:left w:val="nil"/>
              <w:bottom w:val="nil"/>
              <w:right w:val="nil"/>
            </w:tcBorders>
            <w:noWrap/>
            <w:vAlign w:val="bottom"/>
          </w:tcPr>
          <w:p w:rsidR="00700E65" w:rsidRPr="00AF3608" w:rsidRDefault="00700E65" w:rsidP="00D95CB1">
            <w:pPr>
              <w:keepNext/>
              <w:keepLines/>
              <w:widowControl w:val="0"/>
              <w:rPr>
                <w:rFonts w:ascii="Cambria" w:hAnsi="Cambria" w:cs="Calibri"/>
                <w:color w:val="000000"/>
                <w:lang w:val="ro-RO"/>
              </w:rPr>
            </w:pPr>
          </w:p>
        </w:tc>
        <w:tc>
          <w:tcPr>
            <w:tcW w:w="2019" w:type="dxa"/>
            <w:tcBorders>
              <w:top w:val="nil"/>
              <w:left w:val="nil"/>
              <w:bottom w:val="nil"/>
              <w:right w:val="nil"/>
            </w:tcBorders>
            <w:noWrap/>
            <w:vAlign w:val="bottom"/>
          </w:tcPr>
          <w:p w:rsidR="00700E65" w:rsidRPr="00AF3608" w:rsidRDefault="00700E65" w:rsidP="00D95CB1">
            <w:pPr>
              <w:keepNext/>
              <w:keepLines/>
              <w:widowControl w:val="0"/>
              <w:jc w:val="right"/>
              <w:rPr>
                <w:rFonts w:ascii="Cambria" w:hAnsi="Cambria" w:cs="Calibri"/>
                <w:color w:val="000000"/>
                <w:lang w:val="ro-RO"/>
              </w:rPr>
            </w:pPr>
          </w:p>
        </w:tc>
      </w:tr>
      <w:tr w:rsidR="00700E65" w:rsidRPr="00AF3608" w:rsidTr="00175EE3">
        <w:trPr>
          <w:gridAfter w:val="1"/>
          <w:wAfter w:w="708" w:type="dxa"/>
          <w:trHeight w:val="310"/>
        </w:trPr>
        <w:tc>
          <w:tcPr>
            <w:tcW w:w="6771" w:type="dxa"/>
            <w:tcBorders>
              <w:top w:val="nil"/>
              <w:left w:val="nil"/>
              <w:bottom w:val="nil"/>
              <w:right w:val="nil"/>
            </w:tcBorders>
            <w:noWrap/>
            <w:vAlign w:val="bottom"/>
          </w:tcPr>
          <w:p w:rsidR="00700E65" w:rsidRPr="00AF3608" w:rsidRDefault="00700E65" w:rsidP="00D95CB1">
            <w:pPr>
              <w:keepNext/>
              <w:keepLines/>
              <w:widowControl w:val="0"/>
              <w:rPr>
                <w:rFonts w:ascii="Cambria" w:hAnsi="Cambria" w:cs="Calibri"/>
                <w:color w:val="000000"/>
                <w:lang w:val="ro-RO"/>
              </w:rPr>
            </w:pPr>
            <w:r w:rsidRPr="00AF3608">
              <w:rPr>
                <w:rFonts w:ascii="Cambria" w:hAnsi="Cambria" w:cs="Calibri"/>
                <w:color w:val="000000"/>
                <w:lang w:val="ro-RO"/>
              </w:rPr>
              <w:t>Şomeri (număr total persoane)</w:t>
            </w:r>
          </w:p>
        </w:tc>
        <w:tc>
          <w:tcPr>
            <w:tcW w:w="2019" w:type="dxa"/>
            <w:tcBorders>
              <w:top w:val="nil"/>
              <w:left w:val="nil"/>
              <w:bottom w:val="nil"/>
              <w:right w:val="nil"/>
            </w:tcBorders>
            <w:noWrap/>
            <w:vAlign w:val="bottom"/>
          </w:tcPr>
          <w:p w:rsidR="00700E65" w:rsidRPr="00AF3608" w:rsidRDefault="00700E65" w:rsidP="00D95CB1">
            <w:pPr>
              <w:keepNext/>
              <w:keepLines/>
              <w:widowControl w:val="0"/>
              <w:jc w:val="right"/>
              <w:rPr>
                <w:rFonts w:ascii="Cambria" w:hAnsi="Cambria" w:cs="Calibri"/>
                <w:color w:val="000000"/>
                <w:lang w:val="ro-RO"/>
              </w:rPr>
            </w:pPr>
            <w:r w:rsidRPr="00AF3608">
              <w:rPr>
                <w:rFonts w:ascii="Cambria" w:hAnsi="Cambria" w:cs="Calibri"/>
                <w:color w:val="000000"/>
                <w:lang w:val="ro-RO"/>
              </w:rPr>
              <w:t>310.000</w:t>
            </w:r>
          </w:p>
        </w:tc>
      </w:tr>
      <w:tr w:rsidR="00700E65" w:rsidRPr="00AF3608" w:rsidTr="00175EE3">
        <w:trPr>
          <w:gridAfter w:val="1"/>
          <w:wAfter w:w="708" w:type="dxa"/>
          <w:trHeight w:hRule="exact" w:val="123"/>
        </w:trPr>
        <w:tc>
          <w:tcPr>
            <w:tcW w:w="6771" w:type="dxa"/>
            <w:tcBorders>
              <w:top w:val="nil"/>
              <w:left w:val="nil"/>
              <w:bottom w:val="nil"/>
              <w:right w:val="nil"/>
            </w:tcBorders>
            <w:noWrap/>
            <w:vAlign w:val="bottom"/>
          </w:tcPr>
          <w:p w:rsidR="00700E65" w:rsidRPr="00AF3608" w:rsidRDefault="00700E65" w:rsidP="00D95CB1">
            <w:pPr>
              <w:keepNext/>
              <w:keepLines/>
              <w:widowControl w:val="0"/>
              <w:rPr>
                <w:rFonts w:ascii="Cambria" w:hAnsi="Cambria" w:cs="Calibri"/>
                <w:color w:val="000000"/>
                <w:lang w:val="ro-RO"/>
              </w:rPr>
            </w:pPr>
          </w:p>
        </w:tc>
        <w:tc>
          <w:tcPr>
            <w:tcW w:w="2019" w:type="dxa"/>
            <w:tcBorders>
              <w:top w:val="nil"/>
              <w:left w:val="nil"/>
              <w:bottom w:val="nil"/>
              <w:right w:val="nil"/>
            </w:tcBorders>
            <w:noWrap/>
            <w:vAlign w:val="bottom"/>
          </w:tcPr>
          <w:p w:rsidR="00700E65" w:rsidRPr="00AF3608" w:rsidRDefault="00700E65" w:rsidP="00D95CB1">
            <w:pPr>
              <w:keepNext/>
              <w:keepLines/>
              <w:widowControl w:val="0"/>
              <w:jc w:val="right"/>
              <w:rPr>
                <w:rFonts w:ascii="Cambria" w:hAnsi="Cambria" w:cs="Calibri"/>
                <w:color w:val="000000"/>
                <w:lang w:val="ro-RO"/>
              </w:rPr>
            </w:pPr>
          </w:p>
        </w:tc>
      </w:tr>
      <w:tr w:rsidR="00700E65" w:rsidRPr="00AF3608" w:rsidTr="00175EE3">
        <w:trPr>
          <w:gridAfter w:val="1"/>
          <w:wAfter w:w="708" w:type="dxa"/>
          <w:trHeight w:val="87"/>
        </w:trPr>
        <w:tc>
          <w:tcPr>
            <w:tcW w:w="6771" w:type="dxa"/>
            <w:tcBorders>
              <w:top w:val="nil"/>
              <w:left w:val="nil"/>
              <w:bottom w:val="single" w:sz="4" w:space="0" w:color="auto"/>
              <w:right w:val="nil"/>
            </w:tcBorders>
            <w:noWrap/>
            <w:vAlign w:val="bottom"/>
          </w:tcPr>
          <w:p w:rsidR="00700E65" w:rsidRPr="00AF3608" w:rsidRDefault="00700E65" w:rsidP="00D95CB1">
            <w:pPr>
              <w:keepNext/>
              <w:keepLines/>
              <w:widowControl w:val="0"/>
              <w:rPr>
                <w:rFonts w:ascii="Cambria" w:hAnsi="Cambria" w:cs="Calibri"/>
                <w:color w:val="000000"/>
                <w:lang w:val="ro-RO"/>
              </w:rPr>
            </w:pPr>
            <w:r w:rsidRPr="00AF3608">
              <w:rPr>
                <w:rFonts w:ascii="Cambria" w:hAnsi="Cambria" w:cs="Calibri"/>
                <w:color w:val="000000"/>
                <w:lang w:val="ro-RO"/>
              </w:rPr>
              <w:t>Câştig salarial mediu net lei lunar</w:t>
            </w:r>
          </w:p>
        </w:tc>
        <w:tc>
          <w:tcPr>
            <w:tcW w:w="2019" w:type="dxa"/>
            <w:tcBorders>
              <w:top w:val="nil"/>
              <w:left w:val="nil"/>
              <w:bottom w:val="single" w:sz="4" w:space="0" w:color="auto"/>
              <w:right w:val="nil"/>
            </w:tcBorders>
            <w:noWrap/>
            <w:vAlign w:val="bottom"/>
          </w:tcPr>
          <w:p w:rsidR="00700E65" w:rsidRPr="00AF3608" w:rsidRDefault="00700E65" w:rsidP="00D95CB1">
            <w:pPr>
              <w:keepNext/>
              <w:keepLines/>
              <w:widowControl w:val="0"/>
              <w:jc w:val="right"/>
              <w:rPr>
                <w:rFonts w:ascii="Cambria" w:hAnsi="Cambria" w:cs="Calibri"/>
                <w:color w:val="000000"/>
                <w:lang w:val="ro-RO"/>
              </w:rPr>
            </w:pPr>
            <w:r w:rsidRPr="00AF3608">
              <w:rPr>
                <w:rFonts w:ascii="Cambria" w:hAnsi="Cambria" w:cs="Calibri"/>
                <w:color w:val="000000"/>
                <w:lang w:val="ro-RO"/>
              </w:rPr>
              <w:t>3.323</w:t>
            </w:r>
          </w:p>
        </w:tc>
      </w:tr>
    </w:tbl>
    <w:p w:rsidR="00154CEA" w:rsidRDefault="00154CEA" w:rsidP="00154CEA">
      <w:pPr>
        <w:widowControl w:val="0"/>
        <w:spacing w:line="360" w:lineRule="auto"/>
        <w:ind w:left="57"/>
        <w:jc w:val="both"/>
        <w:rPr>
          <w:rFonts w:ascii="Calibri" w:hAnsi="Calibri" w:cs="Calibri"/>
          <w:b/>
          <w:bCs/>
          <w:color w:val="000000"/>
          <w:lang w:val="ro-RO"/>
        </w:rPr>
      </w:pPr>
    </w:p>
    <w:p w:rsidR="00497313" w:rsidRPr="00AF3608" w:rsidRDefault="00497313" w:rsidP="00154CEA">
      <w:pPr>
        <w:widowControl w:val="0"/>
        <w:spacing w:line="360" w:lineRule="auto"/>
        <w:ind w:left="57"/>
        <w:jc w:val="both"/>
        <w:rPr>
          <w:rFonts w:ascii="Calibri" w:hAnsi="Calibri" w:cs="Calibri"/>
          <w:b/>
          <w:bCs/>
          <w:color w:val="000000"/>
          <w:lang w:val="ro-RO"/>
        </w:rPr>
      </w:pPr>
    </w:p>
    <w:p w:rsidR="00D95CB1" w:rsidRPr="00AF3608" w:rsidRDefault="00D95CB1" w:rsidP="00B1570A">
      <w:pPr>
        <w:keepNext/>
        <w:keepLines/>
        <w:widowControl w:val="0"/>
        <w:shd w:val="clear" w:color="auto" w:fill="9CC2E5" w:themeFill="accent1" w:themeFillTint="99"/>
        <w:spacing w:line="360" w:lineRule="auto"/>
        <w:ind w:left="57"/>
        <w:jc w:val="both"/>
        <w:rPr>
          <w:rFonts w:ascii="Calibri" w:hAnsi="Calibri" w:cs="Calibri"/>
          <w:b/>
          <w:bCs/>
          <w:color w:val="000000"/>
          <w:lang w:val="ro-RO"/>
        </w:rPr>
      </w:pPr>
      <w:r w:rsidRPr="00AF3608">
        <w:rPr>
          <w:rFonts w:ascii="Calibri" w:hAnsi="Calibri" w:cs="Calibri"/>
          <w:b/>
          <w:bCs/>
          <w:color w:val="000000"/>
          <w:lang w:val="ro-RO"/>
        </w:rPr>
        <w:t xml:space="preserve">Contribuția componentelor de utilizare la cresterea reală a PIB  </w:t>
      </w:r>
    </w:p>
    <w:p w:rsidR="00D95CB1" w:rsidRPr="00AF3608" w:rsidRDefault="00D95CB1" w:rsidP="00D95CB1">
      <w:pPr>
        <w:keepNext/>
        <w:keepLines/>
        <w:widowControl w:val="0"/>
        <w:spacing w:line="360" w:lineRule="auto"/>
        <w:ind w:left="57"/>
        <w:jc w:val="both"/>
        <w:rPr>
          <w:rFonts w:ascii="Calibri" w:hAnsi="Calibri" w:cs="Calibri"/>
          <w:color w:val="000000"/>
          <w:lang w:val="ro-RO"/>
        </w:rPr>
      </w:pPr>
      <w:r w:rsidRPr="00AF3608">
        <w:rPr>
          <w:rFonts w:ascii="Calibri" w:hAnsi="Calibri" w:cs="Calibri"/>
          <w:color w:val="000000"/>
          <w:lang w:val="ro-RO"/>
        </w:rPr>
        <w:t xml:space="preserve">                                                                                                                                                          Procente </w:t>
      </w:r>
    </w:p>
    <w:tbl>
      <w:tblPr>
        <w:tblW w:w="9008" w:type="dxa"/>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6348"/>
        <w:gridCol w:w="1273"/>
        <w:gridCol w:w="1387"/>
      </w:tblGrid>
      <w:tr w:rsidR="00D95CB1" w:rsidRPr="00AF3608" w:rsidTr="00175EE3">
        <w:trPr>
          <w:trHeight w:val="374"/>
          <w:jc w:val="center"/>
        </w:trPr>
        <w:tc>
          <w:tcPr>
            <w:tcW w:w="6348" w:type="dxa"/>
            <w:noWrap/>
            <w:vAlign w:val="center"/>
          </w:tcPr>
          <w:p w:rsidR="00D95CB1" w:rsidRPr="00AF3608" w:rsidRDefault="00D95CB1" w:rsidP="00D95CB1">
            <w:pPr>
              <w:keepNext/>
              <w:keepLines/>
              <w:widowControl w:val="0"/>
              <w:jc w:val="center"/>
              <w:rPr>
                <w:rFonts w:ascii="Calibri" w:hAnsi="Calibri" w:cs="Calibri"/>
                <w:b/>
                <w:bCs/>
                <w:color w:val="000000"/>
                <w:lang w:val="ro-RO"/>
              </w:rPr>
            </w:pPr>
            <w:r w:rsidRPr="00AF3608">
              <w:rPr>
                <w:rFonts w:ascii="Calibri" w:hAnsi="Calibri" w:cs="Calibri"/>
                <w:b/>
                <w:bCs/>
                <w:color w:val="000000"/>
                <w:lang w:val="ro-RO"/>
              </w:rPr>
              <w:t> </w:t>
            </w:r>
          </w:p>
        </w:tc>
        <w:tc>
          <w:tcPr>
            <w:tcW w:w="1273" w:type="dxa"/>
            <w:noWrap/>
            <w:vAlign w:val="bottom"/>
          </w:tcPr>
          <w:p w:rsidR="00D95CB1" w:rsidRPr="00AF3608" w:rsidRDefault="00D95CB1" w:rsidP="00D95CB1">
            <w:pPr>
              <w:keepNext/>
              <w:keepLines/>
              <w:widowControl w:val="0"/>
              <w:jc w:val="center"/>
              <w:rPr>
                <w:rFonts w:ascii="Calibri" w:hAnsi="Calibri" w:cs="Calibri"/>
                <w:b/>
                <w:bCs/>
                <w:color w:val="000000"/>
                <w:lang w:val="ro-RO"/>
              </w:rPr>
            </w:pPr>
            <w:r w:rsidRPr="00AF3608">
              <w:rPr>
                <w:rFonts w:ascii="Calibri" w:hAnsi="Calibri" w:cs="Calibri"/>
                <w:b/>
                <w:bCs/>
                <w:color w:val="000000"/>
                <w:lang w:val="ro-RO"/>
              </w:rPr>
              <w:t>2020</w:t>
            </w:r>
          </w:p>
        </w:tc>
        <w:tc>
          <w:tcPr>
            <w:tcW w:w="1387" w:type="dxa"/>
            <w:noWrap/>
            <w:vAlign w:val="bottom"/>
          </w:tcPr>
          <w:p w:rsidR="00D95CB1" w:rsidRPr="00AF3608" w:rsidRDefault="00D95CB1" w:rsidP="00D95CB1">
            <w:pPr>
              <w:keepNext/>
              <w:keepLines/>
              <w:widowControl w:val="0"/>
              <w:jc w:val="center"/>
              <w:rPr>
                <w:rFonts w:ascii="Calibri" w:hAnsi="Calibri" w:cs="Calibri"/>
                <w:b/>
                <w:bCs/>
                <w:color w:val="000000"/>
                <w:lang w:val="ro-RO"/>
              </w:rPr>
            </w:pPr>
            <w:r w:rsidRPr="00AF3608">
              <w:rPr>
                <w:rFonts w:ascii="Calibri" w:hAnsi="Calibri" w:cs="Calibri"/>
                <w:b/>
                <w:bCs/>
                <w:color w:val="000000"/>
                <w:lang w:val="ro-RO"/>
              </w:rPr>
              <w:t>2021</w:t>
            </w:r>
          </w:p>
        </w:tc>
      </w:tr>
      <w:tr w:rsidR="00D95CB1" w:rsidRPr="00AF3608" w:rsidTr="00175EE3">
        <w:trPr>
          <w:trHeight w:val="332"/>
          <w:jc w:val="center"/>
        </w:trPr>
        <w:tc>
          <w:tcPr>
            <w:tcW w:w="6348" w:type="dxa"/>
            <w:noWrap/>
            <w:vAlign w:val="bottom"/>
          </w:tcPr>
          <w:p w:rsidR="00D95CB1" w:rsidRPr="00AF3608" w:rsidRDefault="00D95CB1" w:rsidP="00D95CB1">
            <w:pPr>
              <w:keepNext/>
              <w:keepLines/>
              <w:widowControl w:val="0"/>
              <w:rPr>
                <w:rFonts w:ascii="Calibri" w:hAnsi="Calibri" w:cs="Calibri"/>
                <w:color w:val="000000"/>
                <w:lang w:val="ro-RO"/>
              </w:rPr>
            </w:pPr>
            <w:r w:rsidRPr="00AF3608">
              <w:rPr>
                <w:rFonts w:ascii="Calibri" w:hAnsi="Calibri" w:cs="Calibri"/>
                <w:b/>
                <w:bCs/>
                <w:color w:val="000000"/>
                <w:lang w:val="ro-RO"/>
              </w:rPr>
              <w:t>PRODUSUL INTERN BRUT</w:t>
            </w:r>
          </w:p>
        </w:tc>
        <w:tc>
          <w:tcPr>
            <w:tcW w:w="1273" w:type="dxa"/>
            <w:noWrap/>
            <w:vAlign w:val="bottom"/>
          </w:tcPr>
          <w:p w:rsidR="00D95CB1" w:rsidRPr="00AF3608" w:rsidRDefault="00D95CB1" w:rsidP="00D95CB1">
            <w:pPr>
              <w:keepNext/>
              <w:keepLines/>
              <w:widowControl w:val="0"/>
              <w:jc w:val="center"/>
              <w:rPr>
                <w:rFonts w:ascii="Calibri" w:hAnsi="Calibri" w:cs="Calibri"/>
                <w:b/>
                <w:bCs/>
                <w:color w:val="000000"/>
                <w:lang w:val="ro-RO"/>
              </w:rPr>
            </w:pPr>
            <w:r w:rsidRPr="00AF3608">
              <w:rPr>
                <w:rFonts w:ascii="Calibri" w:hAnsi="Calibri" w:cs="Calibri"/>
                <w:b/>
                <w:bCs/>
                <w:color w:val="000000"/>
                <w:lang w:val="ro-RO"/>
              </w:rPr>
              <w:t>-4,4</w:t>
            </w:r>
          </w:p>
        </w:tc>
        <w:tc>
          <w:tcPr>
            <w:tcW w:w="1387" w:type="dxa"/>
            <w:noWrap/>
            <w:vAlign w:val="bottom"/>
          </w:tcPr>
          <w:p w:rsidR="00D95CB1" w:rsidRPr="00AF3608" w:rsidRDefault="00D95CB1" w:rsidP="00D95CB1">
            <w:pPr>
              <w:keepNext/>
              <w:keepLines/>
              <w:widowControl w:val="0"/>
              <w:jc w:val="center"/>
              <w:rPr>
                <w:rFonts w:ascii="Calibri" w:hAnsi="Calibri" w:cs="Calibri"/>
                <w:b/>
                <w:bCs/>
                <w:color w:val="000000"/>
                <w:lang w:val="ro-RO"/>
              </w:rPr>
            </w:pPr>
            <w:r w:rsidRPr="00AF3608">
              <w:rPr>
                <w:rFonts w:ascii="Calibri" w:hAnsi="Calibri" w:cs="Calibri"/>
                <w:b/>
                <w:bCs/>
                <w:color w:val="000000"/>
                <w:lang w:val="ro-RO"/>
              </w:rPr>
              <w:t>4,3</w:t>
            </w:r>
          </w:p>
        </w:tc>
      </w:tr>
      <w:tr w:rsidR="00D95CB1" w:rsidRPr="00AF3608" w:rsidTr="00175EE3">
        <w:trPr>
          <w:trHeight w:val="350"/>
          <w:jc w:val="center"/>
        </w:trPr>
        <w:tc>
          <w:tcPr>
            <w:tcW w:w="6348" w:type="dxa"/>
            <w:vAlign w:val="bottom"/>
          </w:tcPr>
          <w:p w:rsidR="00D95CB1" w:rsidRPr="00AF3608" w:rsidRDefault="00D95CB1" w:rsidP="00D95CB1">
            <w:pPr>
              <w:keepNext/>
              <w:keepLines/>
              <w:widowControl w:val="0"/>
              <w:rPr>
                <w:rFonts w:ascii="Calibri" w:hAnsi="Calibri" w:cs="Calibri"/>
                <w:color w:val="000000"/>
                <w:lang w:val="ro-RO"/>
              </w:rPr>
            </w:pPr>
            <w:r w:rsidRPr="00AF3608">
              <w:rPr>
                <w:rFonts w:ascii="Calibri" w:hAnsi="Calibri" w:cs="Calibri"/>
                <w:b/>
                <w:bCs/>
                <w:color w:val="000000"/>
                <w:lang w:val="ro-RO"/>
              </w:rPr>
              <w:t>Cerereainternă</w:t>
            </w:r>
          </w:p>
        </w:tc>
        <w:tc>
          <w:tcPr>
            <w:tcW w:w="1273" w:type="dxa"/>
            <w:noWrap/>
            <w:vAlign w:val="bottom"/>
          </w:tcPr>
          <w:p w:rsidR="00D95CB1" w:rsidRPr="00AF3608" w:rsidRDefault="00D95CB1" w:rsidP="00D95CB1">
            <w:pPr>
              <w:keepNext/>
              <w:keepLines/>
              <w:widowControl w:val="0"/>
              <w:jc w:val="center"/>
              <w:rPr>
                <w:rFonts w:ascii="Calibri" w:hAnsi="Calibri" w:cs="Calibri"/>
                <w:b/>
                <w:bCs/>
                <w:color w:val="000000"/>
                <w:lang w:val="ro-RO"/>
              </w:rPr>
            </w:pPr>
            <w:r w:rsidRPr="00AF3608">
              <w:rPr>
                <w:rFonts w:ascii="Calibri" w:hAnsi="Calibri" w:cs="Calibri"/>
                <w:b/>
                <w:bCs/>
                <w:color w:val="000000"/>
                <w:lang w:val="ro-RO"/>
              </w:rPr>
              <w:t>-2,7</w:t>
            </w:r>
          </w:p>
        </w:tc>
        <w:tc>
          <w:tcPr>
            <w:tcW w:w="1387" w:type="dxa"/>
            <w:noWrap/>
            <w:vAlign w:val="bottom"/>
          </w:tcPr>
          <w:p w:rsidR="00D95CB1" w:rsidRPr="00AF3608" w:rsidRDefault="00D95CB1" w:rsidP="00D95CB1">
            <w:pPr>
              <w:keepNext/>
              <w:keepLines/>
              <w:widowControl w:val="0"/>
              <w:jc w:val="center"/>
              <w:rPr>
                <w:rFonts w:ascii="Calibri" w:hAnsi="Calibri" w:cs="Calibri"/>
                <w:b/>
                <w:bCs/>
                <w:color w:val="000000"/>
                <w:lang w:val="ro-RO"/>
              </w:rPr>
            </w:pPr>
            <w:r w:rsidRPr="00AF3608">
              <w:rPr>
                <w:rFonts w:ascii="Calibri" w:hAnsi="Calibri" w:cs="Calibri"/>
                <w:b/>
                <w:bCs/>
                <w:color w:val="000000"/>
                <w:lang w:val="ro-RO"/>
              </w:rPr>
              <w:t>5,7</w:t>
            </w:r>
          </w:p>
        </w:tc>
      </w:tr>
      <w:tr w:rsidR="00D95CB1" w:rsidRPr="00AF3608" w:rsidTr="00175EE3">
        <w:trPr>
          <w:trHeight w:val="170"/>
          <w:jc w:val="center"/>
        </w:trPr>
        <w:tc>
          <w:tcPr>
            <w:tcW w:w="6348" w:type="dxa"/>
            <w:tcBorders>
              <w:bottom w:val="nil"/>
            </w:tcBorders>
            <w:noWrap/>
            <w:vAlign w:val="bottom"/>
          </w:tcPr>
          <w:p w:rsidR="00D95CB1" w:rsidRPr="00AF3608" w:rsidRDefault="00D95CB1" w:rsidP="00D95CB1">
            <w:pPr>
              <w:keepNext/>
              <w:keepLines/>
              <w:widowControl w:val="0"/>
              <w:rPr>
                <w:rFonts w:ascii="Calibri" w:hAnsi="Calibri" w:cs="Calibri"/>
                <w:color w:val="000000"/>
                <w:lang w:val="ro-RO"/>
              </w:rPr>
            </w:pPr>
            <w:r w:rsidRPr="00AF3608">
              <w:rPr>
                <w:rFonts w:ascii="Calibri" w:hAnsi="Calibri" w:cs="Calibri"/>
                <w:color w:val="000000"/>
                <w:lang w:val="ro-RO"/>
              </w:rPr>
              <w:t>Consum final</w:t>
            </w:r>
          </w:p>
        </w:tc>
        <w:tc>
          <w:tcPr>
            <w:tcW w:w="1273" w:type="dxa"/>
            <w:tcBorders>
              <w:bottom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-1,9</w:t>
            </w:r>
          </w:p>
        </w:tc>
        <w:tc>
          <w:tcPr>
            <w:tcW w:w="1387" w:type="dxa"/>
            <w:tcBorders>
              <w:bottom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2,9</w:t>
            </w:r>
          </w:p>
        </w:tc>
      </w:tr>
      <w:tr w:rsidR="00D95CB1" w:rsidRPr="00AF3608" w:rsidTr="00175EE3">
        <w:trPr>
          <w:trHeight w:val="340"/>
          <w:jc w:val="center"/>
        </w:trPr>
        <w:tc>
          <w:tcPr>
            <w:tcW w:w="6348" w:type="dxa"/>
            <w:tcBorders>
              <w:top w:val="nil"/>
              <w:bottom w:val="nil"/>
            </w:tcBorders>
            <w:noWrap/>
            <w:vAlign w:val="bottom"/>
          </w:tcPr>
          <w:p w:rsidR="00D95CB1" w:rsidRPr="00AF3608" w:rsidRDefault="00D95CB1" w:rsidP="00D95CB1">
            <w:pPr>
              <w:keepNext/>
              <w:keepLines/>
              <w:widowControl w:val="0"/>
              <w:ind w:left="720" w:hanging="360"/>
              <w:rPr>
                <w:rFonts w:ascii="Calibri" w:hAnsi="Calibri" w:cs="Calibri"/>
                <w:color w:val="000000"/>
                <w:lang w:val="ro-RO"/>
              </w:rPr>
            </w:pPr>
            <w:r w:rsidRPr="00AF3608">
              <w:rPr>
                <w:rFonts w:ascii="Calibri" w:hAnsi="Calibri" w:cs="Calibri"/>
                <w:color w:val="000000"/>
                <w:lang w:val="ro-RO"/>
              </w:rPr>
              <w:t>- Cheltuielile cu consumul privat, din care:</w:t>
            </w:r>
          </w:p>
        </w:tc>
        <w:tc>
          <w:tcPr>
            <w:tcW w:w="1273" w:type="dxa"/>
            <w:tcBorders>
              <w:top w:val="nil"/>
              <w:bottom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-2,6</w:t>
            </w:r>
          </w:p>
        </w:tc>
        <w:tc>
          <w:tcPr>
            <w:tcW w:w="1387" w:type="dxa"/>
            <w:tcBorders>
              <w:top w:val="nil"/>
              <w:bottom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2,4</w:t>
            </w:r>
          </w:p>
        </w:tc>
      </w:tr>
      <w:tr w:rsidR="00D95CB1" w:rsidRPr="00AF3608" w:rsidTr="00175EE3">
        <w:trPr>
          <w:trHeight w:val="340"/>
          <w:jc w:val="center"/>
        </w:trPr>
        <w:tc>
          <w:tcPr>
            <w:tcW w:w="6348" w:type="dxa"/>
            <w:tcBorders>
              <w:top w:val="nil"/>
              <w:bottom w:val="nil"/>
            </w:tcBorders>
            <w:noWrap/>
            <w:vAlign w:val="bottom"/>
          </w:tcPr>
          <w:p w:rsidR="00D95CB1" w:rsidRPr="00AF3608" w:rsidRDefault="00D95CB1" w:rsidP="00D95CB1">
            <w:pPr>
              <w:keepNext/>
              <w:keepLines/>
              <w:widowControl w:val="0"/>
              <w:ind w:left="720" w:hanging="120"/>
              <w:rPr>
                <w:rFonts w:ascii="Calibri" w:hAnsi="Calibri" w:cs="Calibri"/>
                <w:color w:val="000000"/>
                <w:lang w:val="ro-RO"/>
              </w:rPr>
            </w:pPr>
            <w:r w:rsidRPr="00AF3608">
              <w:rPr>
                <w:rFonts w:ascii="Calibri" w:hAnsi="Calibri" w:cs="Calibri"/>
                <w:color w:val="000000"/>
                <w:lang w:val="ro-RO"/>
              </w:rPr>
              <w:t xml:space="preserve">     -- Cheltuielile cu consumul final al populaţiei</w:t>
            </w:r>
          </w:p>
        </w:tc>
        <w:tc>
          <w:tcPr>
            <w:tcW w:w="1273" w:type="dxa"/>
            <w:tcBorders>
              <w:top w:val="nil"/>
              <w:bottom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-2,5</w:t>
            </w:r>
          </w:p>
        </w:tc>
        <w:tc>
          <w:tcPr>
            <w:tcW w:w="1387" w:type="dxa"/>
            <w:tcBorders>
              <w:top w:val="nil"/>
              <w:bottom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2,3</w:t>
            </w:r>
          </w:p>
        </w:tc>
      </w:tr>
      <w:tr w:rsidR="00D95CB1" w:rsidRPr="00AF3608" w:rsidTr="00175EE3">
        <w:trPr>
          <w:trHeight w:val="340"/>
          <w:jc w:val="center"/>
        </w:trPr>
        <w:tc>
          <w:tcPr>
            <w:tcW w:w="6348" w:type="dxa"/>
            <w:tcBorders>
              <w:top w:val="nil"/>
              <w:bottom w:val="nil"/>
            </w:tcBorders>
            <w:noWrap/>
            <w:vAlign w:val="bottom"/>
          </w:tcPr>
          <w:p w:rsidR="00D95CB1" w:rsidRPr="00AF3608" w:rsidRDefault="00D95CB1" w:rsidP="00D95CB1">
            <w:pPr>
              <w:keepNext/>
              <w:keepLines/>
              <w:widowControl w:val="0"/>
              <w:ind w:left="720" w:hanging="360"/>
              <w:rPr>
                <w:rFonts w:ascii="Calibri" w:hAnsi="Calibri" w:cs="Calibri"/>
                <w:color w:val="000000"/>
                <w:lang w:val="ro-RO"/>
              </w:rPr>
            </w:pPr>
            <w:r w:rsidRPr="00AF3608">
              <w:rPr>
                <w:rFonts w:ascii="Calibri" w:hAnsi="Calibri" w:cs="Calibri"/>
                <w:color w:val="000000"/>
                <w:lang w:val="ro-RO"/>
              </w:rPr>
              <w:t>- Cheltuielile cu consumul guvernamental*, din care:</w:t>
            </w:r>
          </w:p>
        </w:tc>
        <w:tc>
          <w:tcPr>
            <w:tcW w:w="1273" w:type="dxa"/>
            <w:tcBorders>
              <w:top w:val="nil"/>
              <w:bottom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0,7</w:t>
            </w:r>
          </w:p>
        </w:tc>
        <w:tc>
          <w:tcPr>
            <w:tcW w:w="1387" w:type="dxa"/>
            <w:tcBorders>
              <w:top w:val="nil"/>
              <w:bottom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0,6</w:t>
            </w:r>
          </w:p>
        </w:tc>
      </w:tr>
      <w:tr w:rsidR="00D95CB1" w:rsidRPr="00AF3608" w:rsidTr="00175EE3">
        <w:trPr>
          <w:trHeight w:val="340"/>
          <w:jc w:val="center"/>
        </w:trPr>
        <w:tc>
          <w:tcPr>
            <w:tcW w:w="6348" w:type="dxa"/>
            <w:tcBorders>
              <w:top w:val="nil"/>
            </w:tcBorders>
            <w:noWrap/>
            <w:vAlign w:val="bottom"/>
          </w:tcPr>
          <w:p w:rsidR="00D95CB1" w:rsidRPr="00AF3608" w:rsidRDefault="00D95CB1" w:rsidP="00D95CB1">
            <w:pPr>
              <w:keepNext/>
              <w:keepLines/>
              <w:widowControl w:val="0"/>
              <w:ind w:left="720" w:hanging="120"/>
              <w:rPr>
                <w:rFonts w:ascii="Calibri" w:hAnsi="Calibri" w:cs="Calibri"/>
                <w:color w:val="000000"/>
                <w:lang w:val="ro-RO"/>
              </w:rPr>
            </w:pPr>
            <w:r w:rsidRPr="00AF3608">
              <w:rPr>
                <w:rFonts w:ascii="Calibri" w:hAnsi="Calibri" w:cs="Calibri"/>
                <w:color w:val="000000"/>
                <w:lang w:val="ro-RO"/>
              </w:rPr>
              <w:t xml:space="preserve">     -- Consumulcolectivefectiv al administraţieipublice</w:t>
            </w:r>
          </w:p>
        </w:tc>
        <w:tc>
          <w:tcPr>
            <w:tcW w:w="1273" w:type="dxa"/>
            <w:tcBorders>
              <w:top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1,1</w:t>
            </w:r>
          </w:p>
        </w:tc>
        <w:tc>
          <w:tcPr>
            <w:tcW w:w="1387" w:type="dxa"/>
            <w:tcBorders>
              <w:top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0,4</w:t>
            </w:r>
          </w:p>
        </w:tc>
      </w:tr>
      <w:tr w:rsidR="00D95CB1" w:rsidRPr="00AF3608" w:rsidTr="00175EE3">
        <w:trPr>
          <w:trHeight w:val="340"/>
          <w:jc w:val="center"/>
        </w:trPr>
        <w:tc>
          <w:tcPr>
            <w:tcW w:w="6348" w:type="dxa"/>
            <w:tcBorders>
              <w:bottom w:val="nil"/>
            </w:tcBorders>
            <w:noWrap/>
            <w:vAlign w:val="bottom"/>
          </w:tcPr>
          <w:p w:rsidR="00D95CB1" w:rsidRPr="00AF3608" w:rsidRDefault="00D95CB1" w:rsidP="00D95CB1">
            <w:pPr>
              <w:keepNext/>
              <w:keepLines/>
              <w:widowControl w:val="0"/>
              <w:rPr>
                <w:rFonts w:ascii="Calibri" w:hAnsi="Calibri" w:cs="Calibri"/>
                <w:color w:val="000000"/>
                <w:lang w:val="ro-RO"/>
              </w:rPr>
            </w:pPr>
            <w:r w:rsidRPr="00AF3608">
              <w:rPr>
                <w:rFonts w:ascii="Calibri" w:hAnsi="Calibri" w:cs="Calibri"/>
                <w:color w:val="000000"/>
                <w:lang w:val="ro-RO"/>
              </w:rPr>
              <w:t>Formareabrută de capital</w:t>
            </w:r>
          </w:p>
        </w:tc>
        <w:tc>
          <w:tcPr>
            <w:tcW w:w="1273" w:type="dxa"/>
            <w:tcBorders>
              <w:bottom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-0,8</w:t>
            </w:r>
          </w:p>
        </w:tc>
        <w:tc>
          <w:tcPr>
            <w:tcW w:w="1387" w:type="dxa"/>
            <w:tcBorders>
              <w:bottom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2,8</w:t>
            </w:r>
          </w:p>
        </w:tc>
      </w:tr>
      <w:tr w:rsidR="00D95CB1" w:rsidRPr="00AF3608" w:rsidTr="00175EE3">
        <w:trPr>
          <w:trHeight w:val="315"/>
          <w:jc w:val="center"/>
        </w:trPr>
        <w:tc>
          <w:tcPr>
            <w:tcW w:w="6348" w:type="dxa"/>
            <w:tcBorders>
              <w:top w:val="nil"/>
              <w:bottom w:val="nil"/>
            </w:tcBorders>
            <w:noWrap/>
            <w:vAlign w:val="bottom"/>
          </w:tcPr>
          <w:p w:rsidR="00D95CB1" w:rsidRPr="00AF3608" w:rsidRDefault="00D95CB1" w:rsidP="00D95CB1">
            <w:pPr>
              <w:keepNext/>
              <w:keepLines/>
              <w:widowControl w:val="0"/>
              <w:ind w:left="720"/>
              <w:rPr>
                <w:rFonts w:ascii="Calibri" w:hAnsi="Calibri" w:cs="Calibri"/>
                <w:color w:val="000000"/>
                <w:lang w:val="ro-RO"/>
              </w:rPr>
            </w:pPr>
            <w:r w:rsidRPr="00AF3608">
              <w:rPr>
                <w:rFonts w:ascii="Calibri" w:hAnsi="Calibri" w:cs="Calibri"/>
                <w:color w:val="000000"/>
                <w:lang w:val="ro-RO"/>
              </w:rPr>
              <w:t>- Formareabrută de capital fix</w:t>
            </w:r>
          </w:p>
        </w:tc>
        <w:tc>
          <w:tcPr>
            <w:tcW w:w="1273" w:type="dxa"/>
            <w:tcBorders>
              <w:top w:val="nil"/>
              <w:bottom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0,9</w:t>
            </w:r>
          </w:p>
        </w:tc>
        <w:tc>
          <w:tcPr>
            <w:tcW w:w="1387" w:type="dxa"/>
            <w:tcBorders>
              <w:top w:val="nil"/>
              <w:bottom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1,6</w:t>
            </w:r>
          </w:p>
        </w:tc>
      </w:tr>
      <w:tr w:rsidR="00D95CB1" w:rsidRPr="00AF3608" w:rsidTr="00175EE3">
        <w:trPr>
          <w:trHeight w:val="340"/>
          <w:jc w:val="center"/>
        </w:trPr>
        <w:tc>
          <w:tcPr>
            <w:tcW w:w="6348" w:type="dxa"/>
            <w:tcBorders>
              <w:top w:val="nil"/>
            </w:tcBorders>
            <w:noWrap/>
            <w:vAlign w:val="bottom"/>
          </w:tcPr>
          <w:p w:rsidR="00D95CB1" w:rsidRPr="00AF3608" w:rsidRDefault="00D95CB1" w:rsidP="00D95CB1">
            <w:pPr>
              <w:keepNext/>
              <w:keepLines/>
              <w:widowControl w:val="0"/>
              <w:ind w:left="720"/>
              <w:rPr>
                <w:rFonts w:ascii="Calibri" w:hAnsi="Calibri" w:cs="Calibri"/>
                <w:color w:val="000000"/>
                <w:lang w:val="ro-RO"/>
              </w:rPr>
            </w:pPr>
            <w:r w:rsidRPr="00AF3608">
              <w:rPr>
                <w:rFonts w:ascii="Calibri" w:hAnsi="Calibri" w:cs="Calibri"/>
                <w:color w:val="000000"/>
                <w:lang w:val="ro-RO"/>
              </w:rPr>
              <w:t>- Modificareastocurilor</w:t>
            </w:r>
          </w:p>
        </w:tc>
        <w:tc>
          <w:tcPr>
            <w:tcW w:w="1273" w:type="dxa"/>
            <w:tcBorders>
              <w:top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-1,7</w:t>
            </w:r>
          </w:p>
        </w:tc>
        <w:tc>
          <w:tcPr>
            <w:tcW w:w="1387" w:type="dxa"/>
            <w:tcBorders>
              <w:top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1,1</w:t>
            </w:r>
          </w:p>
        </w:tc>
      </w:tr>
      <w:tr w:rsidR="00D95CB1" w:rsidRPr="00AF3608" w:rsidTr="00175EE3">
        <w:trPr>
          <w:trHeight w:val="340"/>
          <w:jc w:val="center"/>
        </w:trPr>
        <w:tc>
          <w:tcPr>
            <w:tcW w:w="6348" w:type="dxa"/>
            <w:noWrap/>
            <w:vAlign w:val="bottom"/>
          </w:tcPr>
          <w:p w:rsidR="00D95CB1" w:rsidRPr="00AF3608" w:rsidRDefault="00D95CB1" w:rsidP="00D95CB1">
            <w:pPr>
              <w:keepNext/>
              <w:keepLines/>
              <w:widowControl w:val="0"/>
              <w:rPr>
                <w:rFonts w:ascii="Calibri" w:hAnsi="Calibri" w:cs="Calibri"/>
                <w:b/>
                <w:bCs/>
                <w:color w:val="000000"/>
                <w:lang w:val="ro-RO"/>
              </w:rPr>
            </w:pPr>
            <w:r w:rsidRPr="00AF3608">
              <w:rPr>
                <w:rFonts w:ascii="Calibri" w:hAnsi="Calibri" w:cs="Calibri"/>
                <w:b/>
                <w:bCs/>
                <w:color w:val="000000"/>
                <w:lang w:val="ro-RO"/>
              </w:rPr>
              <w:t>Exportul net</w:t>
            </w:r>
          </w:p>
        </w:tc>
        <w:tc>
          <w:tcPr>
            <w:tcW w:w="1273" w:type="dxa"/>
            <w:noWrap/>
            <w:vAlign w:val="bottom"/>
          </w:tcPr>
          <w:p w:rsidR="00D95CB1" w:rsidRPr="00AF3608" w:rsidRDefault="00D95CB1" w:rsidP="00D95CB1">
            <w:pPr>
              <w:keepNext/>
              <w:keepLines/>
              <w:widowControl w:val="0"/>
              <w:jc w:val="center"/>
              <w:rPr>
                <w:rFonts w:ascii="Calibri" w:hAnsi="Calibri" w:cs="Calibri"/>
                <w:b/>
                <w:bCs/>
                <w:color w:val="000000"/>
                <w:lang w:val="ro-RO"/>
              </w:rPr>
            </w:pPr>
            <w:r w:rsidRPr="00AF3608">
              <w:rPr>
                <w:rFonts w:ascii="Calibri" w:hAnsi="Calibri" w:cs="Calibri"/>
                <w:b/>
                <w:bCs/>
                <w:color w:val="000000"/>
                <w:lang w:val="ro-RO"/>
              </w:rPr>
              <w:t>-1,7</w:t>
            </w:r>
          </w:p>
        </w:tc>
        <w:tc>
          <w:tcPr>
            <w:tcW w:w="1387" w:type="dxa"/>
            <w:noWrap/>
            <w:vAlign w:val="bottom"/>
          </w:tcPr>
          <w:p w:rsidR="00D95CB1" w:rsidRPr="00AF3608" w:rsidRDefault="00D95CB1" w:rsidP="00D95CB1">
            <w:pPr>
              <w:keepNext/>
              <w:keepLines/>
              <w:widowControl w:val="0"/>
              <w:jc w:val="center"/>
              <w:rPr>
                <w:rFonts w:ascii="Calibri" w:hAnsi="Calibri" w:cs="Calibri"/>
                <w:b/>
                <w:bCs/>
                <w:color w:val="000000"/>
                <w:lang w:val="ro-RO"/>
              </w:rPr>
            </w:pPr>
            <w:r w:rsidRPr="00AF3608">
              <w:rPr>
                <w:rFonts w:ascii="Calibri" w:hAnsi="Calibri" w:cs="Calibri"/>
                <w:b/>
                <w:bCs/>
                <w:color w:val="000000"/>
                <w:lang w:val="ro-RO"/>
              </w:rPr>
              <w:t>-1,4</w:t>
            </w:r>
          </w:p>
        </w:tc>
      </w:tr>
      <w:tr w:rsidR="00D95CB1" w:rsidRPr="00AF3608" w:rsidTr="00175EE3">
        <w:trPr>
          <w:trHeight w:val="340"/>
          <w:jc w:val="center"/>
        </w:trPr>
        <w:tc>
          <w:tcPr>
            <w:tcW w:w="6348" w:type="dxa"/>
            <w:tcBorders>
              <w:bottom w:val="nil"/>
            </w:tcBorders>
            <w:noWrap/>
            <w:vAlign w:val="bottom"/>
          </w:tcPr>
          <w:p w:rsidR="00D95CB1" w:rsidRPr="00AF3608" w:rsidRDefault="00D95CB1" w:rsidP="00D95CB1">
            <w:pPr>
              <w:keepNext/>
              <w:keepLines/>
              <w:widowControl w:val="0"/>
              <w:rPr>
                <w:rFonts w:ascii="Calibri" w:hAnsi="Calibri" w:cs="Calibri"/>
                <w:color w:val="000000"/>
                <w:lang w:val="ro-RO"/>
              </w:rPr>
            </w:pPr>
            <w:r w:rsidRPr="00AF3608">
              <w:rPr>
                <w:rFonts w:ascii="Calibri" w:hAnsi="Calibri" w:cs="Calibri"/>
                <w:color w:val="000000"/>
                <w:lang w:val="ro-RO"/>
              </w:rPr>
              <w:t>Exportul de bunurişiservicii</w:t>
            </w:r>
          </w:p>
        </w:tc>
        <w:tc>
          <w:tcPr>
            <w:tcW w:w="1273" w:type="dxa"/>
            <w:tcBorders>
              <w:bottom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-4,3</w:t>
            </w:r>
          </w:p>
        </w:tc>
        <w:tc>
          <w:tcPr>
            <w:tcW w:w="1387" w:type="dxa"/>
            <w:tcBorders>
              <w:bottom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3,0</w:t>
            </w:r>
          </w:p>
        </w:tc>
      </w:tr>
      <w:tr w:rsidR="00D95CB1" w:rsidRPr="00AF3608" w:rsidTr="00175EE3">
        <w:trPr>
          <w:trHeight w:val="340"/>
          <w:jc w:val="center"/>
        </w:trPr>
        <w:tc>
          <w:tcPr>
            <w:tcW w:w="6348" w:type="dxa"/>
            <w:tcBorders>
              <w:top w:val="nil"/>
            </w:tcBorders>
            <w:noWrap/>
            <w:vAlign w:val="bottom"/>
          </w:tcPr>
          <w:p w:rsidR="00D95CB1" w:rsidRPr="00AF3608" w:rsidRDefault="00D95CB1" w:rsidP="00D95CB1">
            <w:pPr>
              <w:keepNext/>
              <w:keepLines/>
              <w:widowControl w:val="0"/>
              <w:rPr>
                <w:rFonts w:ascii="Calibri" w:hAnsi="Calibri" w:cs="Calibri"/>
                <w:b/>
                <w:bCs/>
                <w:color w:val="000000"/>
                <w:lang w:val="ro-RO"/>
              </w:rPr>
            </w:pPr>
            <w:r w:rsidRPr="00AF3608">
              <w:rPr>
                <w:rFonts w:ascii="Calibri" w:hAnsi="Calibri" w:cs="Calibri"/>
                <w:color w:val="000000"/>
                <w:lang w:val="ro-RO"/>
              </w:rPr>
              <w:t>Importul de bunurişiservicii</w:t>
            </w:r>
          </w:p>
        </w:tc>
        <w:tc>
          <w:tcPr>
            <w:tcW w:w="1273" w:type="dxa"/>
            <w:tcBorders>
              <w:top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-2,6</w:t>
            </w:r>
          </w:p>
        </w:tc>
        <w:tc>
          <w:tcPr>
            <w:tcW w:w="1387" w:type="dxa"/>
            <w:tcBorders>
              <w:top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4,4</w:t>
            </w:r>
          </w:p>
        </w:tc>
      </w:tr>
    </w:tbl>
    <w:p w:rsidR="00D95CB1" w:rsidRPr="00AF3608" w:rsidRDefault="00D95CB1" w:rsidP="00154CEA">
      <w:pPr>
        <w:widowControl w:val="0"/>
        <w:autoSpaceDE w:val="0"/>
        <w:autoSpaceDN w:val="0"/>
        <w:adjustRightInd w:val="0"/>
        <w:spacing w:before="120"/>
        <w:rPr>
          <w:rFonts w:ascii="Calibri" w:hAnsi="Calibri" w:cs="Calibri"/>
          <w:color w:val="000000"/>
          <w:lang w:val="ro-RO"/>
        </w:rPr>
      </w:pPr>
      <w:r w:rsidRPr="00AF3608">
        <w:rPr>
          <w:rFonts w:ascii="Calibri" w:hAnsi="Calibri" w:cs="Calibri"/>
          <w:color w:val="000000"/>
          <w:lang w:val="ro-RO"/>
        </w:rPr>
        <w:t>*) Consumul guvernamental include consumul individual şi consumul colectiv al administraţiei publice</w:t>
      </w:r>
    </w:p>
    <w:p w:rsidR="00D95CB1" w:rsidRPr="00AF3608" w:rsidRDefault="00D95CB1" w:rsidP="00154CEA">
      <w:pPr>
        <w:widowControl w:val="0"/>
        <w:autoSpaceDE w:val="0"/>
        <w:autoSpaceDN w:val="0"/>
        <w:adjustRightInd w:val="0"/>
        <w:rPr>
          <w:rFonts w:ascii="Calibri" w:hAnsi="Calibri" w:cs="Calibri"/>
          <w:i/>
          <w:iCs/>
          <w:color w:val="000000"/>
          <w:lang w:val="ro-RO"/>
        </w:rPr>
      </w:pPr>
      <w:r w:rsidRPr="00AF3608">
        <w:rPr>
          <w:rFonts w:ascii="Calibri" w:hAnsi="Calibri" w:cs="Calibri"/>
          <w:i/>
          <w:iCs/>
          <w:color w:val="000000"/>
          <w:lang w:val="ro-RO"/>
        </w:rPr>
        <w:t>Notă: Eventuale neconcordanţe la însumare sunt ca urmare a rotunjirilor.</w:t>
      </w:r>
    </w:p>
    <w:p w:rsidR="00D95CB1" w:rsidRPr="00AF3608" w:rsidRDefault="00D95CB1" w:rsidP="00B1570A">
      <w:pPr>
        <w:widowControl w:val="0"/>
        <w:autoSpaceDE w:val="0"/>
        <w:autoSpaceDN w:val="0"/>
        <w:adjustRightInd w:val="0"/>
        <w:spacing w:before="120"/>
        <w:rPr>
          <w:rFonts w:ascii="Calibri" w:hAnsi="Calibri" w:cs="Calibri"/>
          <w:iCs/>
          <w:color w:val="000000"/>
          <w:lang w:val="ro-RO"/>
        </w:rPr>
      </w:pPr>
    </w:p>
    <w:tbl>
      <w:tblPr>
        <w:tblpPr w:leftFromText="180" w:rightFromText="180" w:vertAnchor="text" w:horzAnchor="margin" w:tblpXSpec="center" w:tblpY="95"/>
        <w:tblOverlap w:val="never"/>
        <w:tblW w:w="888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6031"/>
        <w:gridCol w:w="1246"/>
        <w:gridCol w:w="1609"/>
      </w:tblGrid>
      <w:tr w:rsidR="00D95CB1" w:rsidRPr="00AF3608" w:rsidTr="00B1570A">
        <w:trPr>
          <w:trHeight w:val="374"/>
        </w:trPr>
        <w:tc>
          <w:tcPr>
            <w:tcW w:w="8886" w:type="dxa"/>
            <w:gridSpan w:val="3"/>
            <w:tcBorders>
              <w:top w:val="nil"/>
              <w:bottom w:val="nil"/>
            </w:tcBorders>
            <w:shd w:val="clear" w:color="auto" w:fill="9CC2E5" w:themeFill="accent1" w:themeFillTint="99"/>
            <w:noWrap/>
            <w:vAlign w:val="center"/>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b/>
                <w:bCs/>
                <w:color w:val="000000"/>
                <w:lang w:val="ro-RO"/>
              </w:rPr>
              <w:lastRenderedPageBreak/>
              <w:t>Contribuţia ramurilor la creşterea reală a PIB</w:t>
            </w:r>
          </w:p>
        </w:tc>
      </w:tr>
      <w:tr w:rsidR="00D95CB1" w:rsidRPr="00AF3608" w:rsidTr="00175EE3">
        <w:trPr>
          <w:trHeight w:val="374"/>
        </w:trPr>
        <w:tc>
          <w:tcPr>
            <w:tcW w:w="8886" w:type="dxa"/>
            <w:gridSpan w:val="3"/>
            <w:tcBorders>
              <w:top w:val="nil"/>
            </w:tcBorders>
            <w:noWrap/>
            <w:vAlign w:val="center"/>
          </w:tcPr>
          <w:p w:rsidR="00D95CB1" w:rsidRPr="00AF3608" w:rsidRDefault="00D95CB1" w:rsidP="00D95CB1">
            <w:pPr>
              <w:keepNext/>
              <w:keepLines/>
              <w:widowControl w:val="0"/>
              <w:ind w:left="360" w:right="480"/>
              <w:jc w:val="right"/>
              <w:rPr>
                <w:rFonts w:ascii="Calibri" w:hAnsi="Calibri" w:cs="Calibri"/>
                <w:color w:val="000000"/>
                <w:lang w:val="ro-RO"/>
              </w:rPr>
            </w:pPr>
            <w:r w:rsidRPr="00AF3608">
              <w:rPr>
                <w:rFonts w:ascii="Calibri" w:hAnsi="Calibri" w:cs="Calibri"/>
                <w:color w:val="000000"/>
                <w:lang w:val="ro-RO"/>
              </w:rPr>
              <w:t>- procente -</w:t>
            </w:r>
          </w:p>
        </w:tc>
      </w:tr>
      <w:tr w:rsidR="00D95CB1" w:rsidRPr="00AF3608" w:rsidTr="00175EE3">
        <w:trPr>
          <w:trHeight w:val="374"/>
        </w:trPr>
        <w:tc>
          <w:tcPr>
            <w:tcW w:w="6031" w:type="dxa"/>
            <w:noWrap/>
            <w:vAlign w:val="center"/>
          </w:tcPr>
          <w:p w:rsidR="00D95CB1" w:rsidRPr="00AF3608" w:rsidRDefault="00D95CB1" w:rsidP="00D95CB1">
            <w:pPr>
              <w:keepNext/>
              <w:keepLines/>
              <w:widowControl w:val="0"/>
              <w:jc w:val="center"/>
              <w:rPr>
                <w:rFonts w:ascii="Calibri" w:hAnsi="Calibri" w:cs="Calibri"/>
                <w:b/>
                <w:bCs/>
                <w:color w:val="000000"/>
                <w:lang w:val="ro-RO"/>
              </w:rPr>
            </w:pPr>
          </w:p>
        </w:tc>
        <w:tc>
          <w:tcPr>
            <w:tcW w:w="1246" w:type="dxa"/>
            <w:noWrap/>
            <w:vAlign w:val="bottom"/>
          </w:tcPr>
          <w:p w:rsidR="00D95CB1" w:rsidRPr="00AF3608" w:rsidRDefault="00D95CB1" w:rsidP="00D95CB1">
            <w:pPr>
              <w:keepNext/>
              <w:keepLines/>
              <w:widowControl w:val="0"/>
              <w:jc w:val="center"/>
              <w:rPr>
                <w:rFonts w:ascii="Calibri" w:hAnsi="Calibri" w:cs="Calibri"/>
                <w:b/>
                <w:bCs/>
                <w:color w:val="000000"/>
                <w:lang w:val="ro-RO"/>
              </w:rPr>
            </w:pPr>
            <w:r w:rsidRPr="00AF3608">
              <w:rPr>
                <w:rFonts w:ascii="Calibri" w:hAnsi="Calibri" w:cs="Calibri"/>
                <w:b/>
                <w:bCs/>
                <w:color w:val="000000"/>
                <w:lang w:val="ro-RO"/>
              </w:rPr>
              <w:t>2020</w:t>
            </w:r>
          </w:p>
        </w:tc>
        <w:tc>
          <w:tcPr>
            <w:tcW w:w="1609" w:type="dxa"/>
            <w:noWrap/>
            <w:vAlign w:val="bottom"/>
          </w:tcPr>
          <w:p w:rsidR="00D95CB1" w:rsidRPr="00AF3608" w:rsidRDefault="00D95CB1" w:rsidP="00D95CB1">
            <w:pPr>
              <w:keepNext/>
              <w:keepLines/>
              <w:widowControl w:val="0"/>
              <w:jc w:val="center"/>
              <w:rPr>
                <w:rFonts w:ascii="Calibri" w:hAnsi="Calibri" w:cs="Calibri"/>
                <w:b/>
                <w:bCs/>
                <w:color w:val="000000"/>
                <w:lang w:val="ro-RO"/>
              </w:rPr>
            </w:pPr>
            <w:r w:rsidRPr="00AF3608">
              <w:rPr>
                <w:rFonts w:ascii="Calibri" w:hAnsi="Calibri" w:cs="Calibri"/>
                <w:b/>
                <w:bCs/>
                <w:color w:val="000000"/>
                <w:lang w:val="ro-RO"/>
              </w:rPr>
              <w:t>2021</w:t>
            </w:r>
          </w:p>
        </w:tc>
      </w:tr>
      <w:tr w:rsidR="00D95CB1" w:rsidRPr="00AF3608" w:rsidTr="00175EE3">
        <w:trPr>
          <w:trHeight w:val="340"/>
        </w:trPr>
        <w:tc>
          <w:tcPr>
            <w:tcW w:w="6031" w:type="dxa"/>
            <w:tcBorders>
              <w:bottom w:val="nil"/>
            </w:tcBorders>
            <w:noWrap/>
            <w:vAlign w:val="bottom"/>
          </w:tcPr>
          <w:p w:rsidR="00D95CB1" w:rsidRPr="00AF3608" w:rsidRDefault="00D95CB1" w:rsidP="00D95CB1">
            <w:pPr>
              <w:keepNext/>
              <w:keepLines/>
              <w:widowControl w:val="0"/>
              <w:rPr>
                <w:rFonts w:ascii="Calibri" w:hAnsi="Calibri" w:cs="Calibri"/>
                <w:color w:val="000000"/>
                <w:lang w:val="ro-RO"/>
              </w:rPr>
            </w:pPr>
            <w:r w:rsidRPr="00AF3608">
              <w:rPr>
                <w:rFonts w:ascii="Calibri" w:hAnsi="Calibri" w:cs="Calibri"/>
                <w:color w:val="000000"/>
                <w:lang w:val="ro-RO"/>
              </w:rPr>
              <w:t>Industrie</w:t>
            </w:r>
          </w:p>
        </w:tc>
        <w:tc>
          <w:tcPr>
            <w:tcW w:w="1246" w:type="dxa"/>
            <w:tcBorders>
              <w:bottom w:val="nil"/>
            </w:tcBorders>
            <w:noWrap/>
            <w:vAlign w:val="bottom"/>
          </w:tcPr>
          <w:p w:rsidR="00D95CB1" w:rsidRPr="00AF3608" w:rsidRDefault="00D95CB1" w:rsidP="00D95CB1">
            <w:pPr>
              <w:keepNext/>
              <w:keepLines/>
              <w:widowControl w:val="0"/>
              <w:jc w:val="center"/>
              <w:rPr>
                <w:rFonts w:ascii="Arial" w:hAnsi="Arial" w:cs="Arial"/>
                <w:color w:val="000000"/>
                <w:lang w:val="ro-RO"/>
              </w:rPr>
            </w:pPr>
            <w:r w:rsidRPr="00AF3608">
              <w:rPr>
                <w:rFonts w:ascii="Arial" w:hAnsi="Arial" w:cs="Arial"/>
                <w:color w:val="000000"/>
                <w:lang w:val="ro-RO"/>
              </w:rPr>
              <w:t>-1,9</w:t>
            </w:r>
          </w:p>
        </w:tc>
        <w:tc>
          <w:tcPr>
            <w:tcW w:w="1609" w:type="dxa"/>
            <w:tcBorders>
              <w:bottom w:val="nil"/>
            </w:tcBorders>
            <w:noWrap/>
            <w:vAlign w:val="bottom"/>
          </w:tcPr>
          <w:p w:rsidR="00D95CB1" w:rsidRPr="00AF3608" w:rsidRDefault="00D95CB1" w:rsidP="00D95CB1">
            <w:pPr>
              <w:keepNext/>
              <w:keepLines/>
              <w:widowControl w:val="0"/>
              <w:jc w:val="center"/>
              <w:rPr>
                <w:rFonts w:ascii="Arial" w:hAnsi="Arial" w:cs="Arial"/>
                <w:color w:val="000000"/>
                <w:lang w:val="ro-RO"/>
              </w:rPr>
            </w:pPr>
            <w:r w:rsidRPr="00AF3608">
              <w:rPr>
                <w:rFonts w:ascii="Arial" w:hAnsi="Arial" w:cs="Arial"/>
                <w:color w:val="000000"/>
                <w:lang w:val="ro-RO"/>
              </w:rPr>
              <w:t>1,2</w:t>
            </w:r>
          </w:p>
        </w:tc>
      </w:tr>
      <w:tr w:rsidR="00D95CB1" w:rsidRPr="00AF3608" w:rsidTr="00175EE3">
        <w:trPr>
          <w:trHeight w:val="340"/>
        </w:trPr>
        <w:tc>
          <w:tcPr>
            <w:tcW w:w="6031" w:type="dxa"/>
            <w:tcBorders>
              <w:top w:val="nil"/>
              <w:bottom w:val="nil"/>
            </w:tcBorders>
            <w:vAlign w:val="bottom"/>
          </w:tcPr>
          <w:p w:rsidR="00D95CB1" w:rsidRPr="00AF3608" w:rsidRDefault="00D95CB1" w:rsidP="00D95CB1">
            <w:pPr>
              <w:keepNext/>
              <w:keepLines/>
              <w:widowControl w:val="0"/>
              <w:rPr>
                <w:rFonts w:ascii="Calibri" w:hAnsi="Calibri" w:cs="Calibri"/>
                <w:color w:val="000000"/>
                <w:lang w:val="ro-RO"/>
              </w:rPr>
            </w:pPr>
            <w:r w:rsidRPr="00AF3608">
              <w:rPr>
                <w:rFonts w:ascii="Calibri" w:hAnsi="Calibri" w:cs="Calibri"/>
                <w:color w:val="000000"/>
                <w:lang w:val="ro-RO"/>
              </w:rPr>
              <w:t>Agricultură, silvicultură, pescuit</w:t>
            </w:r>
          </w:p>
        </w:tc>
        <w:tc>
          <w:tcPr>
            <w:tcW w:w="1246" w:type="dxa"/>
            <w:tcBorders>
              <w:top w:val="nil"/>
              <w:bottom w:val="nil"/>
            </w:tcBorders>
            <w:noWrap/>
            <w:vAlign w:val="bottom"/>
          </w:tcPr>
          <w:p w:rsidR="00D95CB1" w:rsidRPr="00AF3608" w:rsidRDefault="00D95CB1" w:rsidP="00D95CB1">
            <w:pPr>
              <w:keepNext/>
              <w:keepLines/>
              <w:widowControl w:val="0"/>
              <w:jc w:val="center"/>
              <w:rPr>
                <w:rFonts w:ascii="Arial" w:hAnsi="Arial" w:cs="Arial"/>
                <w:color w:val="000000"/>
                <w:lang w:val="ro-RO"/>
              </w:rPr>
            </w:pPr>
            <w:r w:rsidRPr="00AF3608">
              <w:rPr>
                <w:rFonts w:ascii="Arial" w:hAnsi="Arial" w:cs="Arial"/>
                <w:color w:val="000000"/>
                <w:lang w:val="ro-RO"/>
              </w:rPr>
              <w:t>-0,9</w:t>
            </w:r>
          </w:p>
        </w:tc>
        <w:tc>
          <w:tcPr>
            <w:tcW w:w="1609" w:type="dxa"/>
            <w:tcBorders>
              <w:top w:val="nil"/>
              <w:bottom w:val="nil"/>
            </w:tcBorders>
            <w:noWrap/>
            <w:vAlign w:val="bottom"/>
          </w:tcPr>
          <w:p w:rsidR="00D95CB1" w:rsidRPr="00AF3608" w:rsidRDefault="00D95CB1" w:rsidP="00D95CB1">
            <w:pPr>
              <w:keepNext/>
              <w:keepLines/>
              <w:widowControl w:val="0"/>
              <w:jc w:val="center"/>
              <w:rPr>
                <w:rFonts w:ascii="Arial" w:hAnsi="Arial" w:cs="Arial"/>
                <w:color w:val="000000"/>
                <w:lang w:val="ro-RO"/>
              </w:rPr>
            </w:pPr>
            <w:r w:rsidRPr="00AF3608">
              <w:rPr>
                <w:rFonts w:ascii="Arial" w:hAnsi="Arial" w:cs="Arial"/>
                <w:color w:val="000000"/>
                <w:lang w:val="ro-RO"/>
              </w:rPr>
              <w:t>0,5</w:t>
            </w:r>
          </w:p>
        </w:tc>
      </w:tr>
      <w:tr w:rsidR="00D95CB1" w:rsidRPr="00AF3608" w:rsidTr="00175EE3">
        <w:trPr>
          <w:trHeight w:val="340"/>
        </w:trPr>
        <w:tc>
          <w:tcPr>
            <w:tcW w:w="6031" w:type="dxa"/>
            <w:tcBorders>
              <w:top w:val="nil"/>
              <w:bottom w:val="nil"/>
            </w:tcBorders>
            <w:noWrap/>
            <w:vAlign w:val="bottom"/>
          </w:tcPr>
          <w:p w:rsidR="00D95CB1" w:rsidRPr="00AF3608" w:rsidRDefault="00D95CB1" w:rsidP="00D95CB1">
            <w:pPr>
              <w:keepNext/>
              <w:keepLines/>
              <w:widowControl w:val="0"/>
              <w:rPr>
                <w:rFonts w:ascii="Calibri" w:hAnsi="Calibri" w:cs="Calibri"/>
                <w:color w:val="000000"/>
                <w:lang w:val="ro-RO"/>
              </w:rPr>
            </w:pPr>
            <w:r w:rsidRPr="00AF3608">
              <w:rPr>
                <w:rFonts w:ascii="Calibri" w:hAnsi="Calibri" w:cs="Calibri"/>
                <w:color w:val="000000"/>
                <w:lang w:val="ro-RO"/>
              </w:rPr>
              <w:t>Construcţii</w:t>
            </w:r>
          </w:p>
        </w:tc>
        <w:tc>
          <w:tcPr>
            <w:tcW w:w="1246" w:type="dxa"/>
            <w:tcBorders>
              <w:top w:val="nil"/>
              <w:bottom w:val="nil"/>
            </w:tcBorders>
            <w:noWrap/>
            <w:vAlign w:val="bottom"/>
          </w:tcPr>
          <w:p w:rsidR="00D95CB1" w:rsidRPr="00AF3608" w:rsidRDefault="00D95CB1" w:rsidP="00D95CB1">
            <w:pPr>
              <w:keepNext/>
              <w:keepLines/>
              <w:widowControl w:val="0"/>
              <w:jc w:val="center"/>
              <w:rPr>
                <w:rFonts w:ascii="Arial" w:hAnsi="Arial" w:cs="Arial"/>
                <w:color w:val="000000"/>
                <w:lang w:val="ro-RO"/>
              </w:rPr>
            </w:pPr>
            <w:r w:rsidRPr="00AF3608">
              <w:rPr>
                <w:rFonts w:ascii="Arial" w:hAnsi="Arial" w:cs="Arial"/>
                <w:color w:val="000000"/>
                <w:lang w:val="ro-RO"/>
              </w:rPr>
              <w:t>0,7</w:t>
            </w:r>
          </w:p>
        </w:tc>
        <w:tc>
          <w:tcPr>
            <w:tcW w:w="1609" w:type="dxa"/>
            <w:tcBorders>
              <w:top w:val="nil"/>
              <w:bottom w:val="nil"/>
            </w:tcBorders>
            <w:noWrap/>
            <w:vAlign w:val="bottom"/>
          </w:tcPr>
          <w:p w:rsidR="00D95CB1" w:rsidRPr="00AF3608" w:rsidRDefault="00D95CB1" w:rsidP="00D95CB1">
            <w:pPr>
              <w:keepNext/>
              <w:keepLines/>
              <w:widowControl w:val="0"/>
              <w:jc w:val="center"/>
              <w:rPr>
                <w:rFonts w:ascii="Arial" w:hAnsi="Arial" w:cs="Arial"/>
                <w:color w:val="000000"/>
                <w:lang w:val="ro-RO"/>
              </w:rPr>
            </w:pPr>
            <w:r w:rsidRPr="00AF3608">
              <w:rPr>
                <w:rFonts w:ascii="Arial" w:hAnsi="Arial" w:cs="Arial"/>
                <w:color w:val="000000"/>
                <w:lang w:val="ro-RO"/>
              </w:rPr>
              <w:t>0,4</w:t>
            </w:r>
          </w:p>
        </w:tc>
      </w:tr>
      <w:tr w:rsidR="00D95CB1" w:rsidRPr="00AF3608" w:rsidTr="00175EE3">
        <w:trPr>
          <w:trHeight w:val="340"/>
        </w:trPr>
        <w:tc>
          <w:tcPr>
            <w:tcW w:w="6031" w:type="dxa"/>
            <w:tcBorders>
              <w:top w:val="nil"/>
            </w:tcBorders>
            <w:noWrap/>
            <w:vAlign w:val="bottom"/>
          </w:tcPr>
          <w:p w:rsidR="00D95CB1" w:rsidRPr="00AF3608" w:rsidRDefault="00D95CB1" w:rsidP="00D95CB1">
            <w:pPr>
              <w:keepNext/>
              <w:keepLines/>
              <w:widowControl w:val="0"/>
              <w:rPr>
                <w:rFonts w:ascii="Calibri" w:hAnsi="Calibri" w:cs="Calibri"/>
                <w:color w:val="000000"/>
                <w:lang w:val="ro-RO"/>
              </w:rPr>
            </w:pPr>
            <w:r w:rsidRPr="00AF3608">
              <w:rPr>
                <w:rFonts w:ascii="Calibri" w:hAnsi="Calibri" w:cs="Calibri"/>
                <w:color w:val="000000"/>
                <w:lang w:val="ro-RO"/>
              </w:rPr>
              <w:t>Total servicii</w:t>
            </w:r>
          </w:p>
        </w:tc>
        <w:tc>
          <w:tcPr>
            <w:tcW w:w="1246" w:type="dxa"/>
            <w:tcBorders>
              <w:top w:val="nil"/>
            </w:tcBorders>
            <w:noWrap/>
            <w:vAlign w:val="bottom"/>
          </w:tcPr>
          <w:p w:rsidR="00D95CB1" w:rsidRPr="00AF3608" w:rsidRDefault="00D95CB1" w:rsidP="00D95CB1">
            <w:pPr>
              <w:keepNext/>
              <w:keepLines/>
              <w:widowControl w:val="0"/>
              <w:jc w:val="center"/>
              <w:rPr>
                <w:rFonts w:ascii="Arial" w:hAnsi="Arial" w:cs="Arial"/>
                <w:color w:val="000000"/>
                <w:lang w:val="ro-RO"/>
              </w:rPr>
            </w:pPr>
            <w:r w:rsidRPr="00AF3608">
              <w:rPr>
                <w:rFonts w:ascii="Arial" w:hAnsi="Arial" w:cs="Arial"/>
                <w:color w:val="000000"/>
                <w:lang w:val="ro-RO"/>
              </w:rPr>
              <w:t>-1,4</w:t>
            </w:r>
          </w:p>
        </w:tc>
        <w:tc>
          <w:tcPr>
            <w:tcW w:w="1609" w:type="dxa"/>
            <w:tcBorders>
              <w:top w:val="nil"/>
            </w:tcBorders>
            <w:noWrap/>
            <w:vAlign w:val="bottom"/>
          </w:tcPr>
          <w:p w:rsidR="00D95CB1" w:rsidRPr="00AF3608" w:rsidRDefault="00D95CB1" w:rsidP="00D95CB1">
            <w:pPr>
              <w:keepNext/>
              <w:keepLines/>
              <w:widowControl w:val="0"/>
              <w:jc w:val="center"/>
              <w:rPr>
                <w:rFonts w:ascii="Arial" w:hAnsi="Arial" w:cs="Arial"/>
                <w:color w:val="000000"/>
                <w:lang w:val="ro-RO"/>
              </w:rPr>
            </w:pPr>
            <w:r w:rsidRPr="00AF3608">
              <w:rPr>
                <w:rFonts w:ascii="Arial" w:hAnsi="Arial" w:cs="Arial"/>
                <w:color w:val="000000"/>
                <w:lang w:val="ro-RO"/>
              </w:rPr>
              <w:t>1,8</w:t>
            </w:r>
          </w:p>
        </w:tc>
      </w:tr>
      <w:tr w:rsidR="00D95CB1" w:rsidRPr="00AF3608" w:rsidTr="00175EE3">
        <w:trPr>
          <w:trHeight w:val="340"/>
        </w:trPr>
        <w:tc>
          <w:tcPr>
            <w:tcW w:w="6031" w:type="dxa"/>
            <w:noWrap/>
            <w:vAlign w:val="bottom"/>
          </w:tcPr>
          <w:p w:rsidR="00D95CB1" w:rsidRPr="00AF3608" w:rsidRDefault="00D95CB1" w:rsidP="00D95CB1">
            <w:pPr>
              <w:keepNext/>
              <w:keepLines/>
              <w:widowControl w:val="0"/>
              <w:rPr>
                <w:rFonts w:ascii="Calibri" w:hAnsi="Calibri" w:cs="Calibri"/>
                <w:color w:val="000000"/>
                <w:lang w:val="ro-RO"/>
              </w:rPr>
            </w:pPr>
            <w:r w:rsidRPr="00AF3608">
              <w:rPr>
                <w:rFonts w:ascii="Calibri" w:hAnsi="Calibri" w:cs="Calibri"/>
                <w:color w:val="000000"/>
                <w:lang w:val="ro-RO"/>
              </w:rPr>
              <w:t>Impozite nete pe produs</w:t>
            </w:r>
          </w:p>
        </w:tc>
        <w:tc>
          <w:tcPr>
            <w:tcW w:w="1246" w:type="dxa"/>
            <w:noWrap/>
            <w:vAlign w:val="bottom"/>
          </w:tcPr>
          <w:p w:rsidR="00D95CB1" w:rsidRPr="00AF3608" w:rsidRDefault="00D95CB1" w:rsidP="00D95CB1">
            <w:pPr>
              <w:keepNext/>
              <w:keepLines/>
              <w:widowControl w:val="0"/>
              <w:jc w:val="center"/>
              <w:rPr>
                <w:rFonts w:ascii="Arial" w:hAnsi="Arial" w:cs="Arial"/>
                <w:color w:val="000000"/>
                <w:lang w:val="ro-RO"/>
              </w:rPr>
            </w:pPr>
            <w:r w:rsidRPr="00AF3608">
              <w:rPr>
                <w:rFonts w:ascii="Arial" w:hAnsi="Arial" w:cs="Arial"/>
                <w:color w:val="000000"/>
                <w:lang w:val="ro-RO"/>
              </w:rPr>
              <w:t>-0,9</w:t>
            </w:r>
          </w:p>
        </w:tc>
        <w:tc>
          <w:tcPr>
            <w:tcW w:w="1609" w:type="dxa"/>
            <w:noWrap/>
            <w:vAlign w:val="bottom"/>
          </w:tcPr>
          <w:p w:rsidR="00D95CB1" w:rsidRPr="00AF3608" w:rsidRDefault="00D95CB1" w:rsidP="00D95CB1">
            <w:pPr>
              <w:keepNext/>
              <w:keepLines/>
              <w:widowControl w:val="0"/>
              <w:jc w:val="center"/>
              <w:rPr>
                <w:rFonts w:ascii="Arial" w:hAnsi="Arial" w:cs="Arial"/>
                <w:color w:val="000000"/>
                <w:lang w:val="ro-RO"/>
              </w:rPr>
            </w:pPr>
            <w:r w:rsidRPr="00AF3608">
              <w:rPr>
                <w:rFonts w:ascii="Arial" w:hAnsi="Arial" w:cs="Arial"/>
                <w:color w:val="000000"/>
                <w:lang w:val="ro-RO"/>
              </w:rPr>
              <w:t>0,4</w:t>
            </w:r>
          </w:p>
        </w:tc>
      </w:tr>
      <w:tr w:rsidR="00D95CB1" w:rsidRPr="00AF3608" w:rsidTr="00B1570A">
        <w:trPr>
          <w:trHeight w:val="357"/>
        </w:trPr>
        <w:tc>
          <w:tcPr>
            <w:tcW w:w="6031" w:type="dxa"/>
            <w:shd w:val="clear" w:color="auto" w:fill="9CC2E5" w:themeFill="accent1" w:themeFillTint="99"/>
            <w:noWrap/>
            <w:vAlign w:val="bottom"/>
          </w:tcPr>
          <w:p w:rsidR="00D95CB1" w:rsidRPr="00AF3608" w:rsidRDefault="00D95CB1" w:rsidP="00D95CB1">
            <w:pPr>
              <w:keepNext/>
              <w:keepLines/>
              <w:widowControl w:val="0"/>
              <w:rPr>
                <w:rFonts w:ascii="Calibri" w:hAnsi="Calibri" w:cs="Calibri"/>
                <w:b/>
                <w:bCs/>
                <w:color w:val="000000"/>
                <w:lang w:val="ro-RO"/>
              </w:rPr>
            </w:pPr>
            <w:r w:rsidRPr="00AF3608">
              <w:rPr>
                <w:rFonts w:ascii="Calibri" w:hAnsi="Calibri" w:cs="Calibri"/>
                <w:b/>
                <w:bCs/>
                <w:color w:val="000000"/>
                <w:lang w:val="ro-RO"/>
              </w:rPr>
              <w:t>PRODUS INTERN BRUT</w:t>
            </w:r>
          </w:p>
        </w:tc>
        <w:tc>
          <w:tcPr>
            <w:tcW w:w="1246" w:type="dxa"/>
            <w:shd w:val="clear" w:color="auto" w:fill="9CC2E5" w:themeFill="accent1" w:themeFillTint="99"/>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-4,4</w:t>
            </w:r>
          </w:p>
        </w:tc>
        <w:tc>
          <w:tcPr>
            <w:tcW w:w="1609" w:type="dxa"/>
            <w:shd w:val="clear" w:color="auto" w:fill="9CC2E5" w:themeFill="accent1" w:themeFillTint="99"/>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4,3</w:t>
            </w:r>
          </w:p>
        </w:tc>
      </w:tr>
      <w:tr w:rsidR="00D95CB1" w:rsidRPr="00AF3608" w:rsidTr="00175EE3">
        <w:trPr>
          <w:trHeight w:val="357"/>
        </w:trPr>
        <w:tc>
          <w:tcPr>
            <w:tcW w:w="6031" w:type="dxa"/>
            <w:tcBorders>
              <w:bottom w:val="nil"/>
            </w:tcBorders>
            <w:shd w:val="clear" w:color="auto" w:fill="FFFFFF"/>
            <w:noWrap/>
            <w:vAlign w:val="bottom"/>
          </w:tcPr>
          <w:p w:rsidR="00D95CB1" w:rsidRPr="00AF3608" w:rsidRDefault="00D95CB1" w:rsidP="00DC7A10">
            <w:pPr>
              <w:keepNext/>
              <w:keepLines/>
              <w:widowControl w:val="0"/>
              <w:autoSpaceDE w:val="0"/>
              <w:autoSpaceDN w:val="0"/>
              <w:adjustRightInd w:val="0"/>
              <w:rPr>
                <w:rFonts w:ascii="Arial Narrow" w:hAnsi="Arial Narrow" w:cs="Arial Narrow"/>
                <w:i/>
                <w:iCs/>
                <w:lang w:val="ro-RO"/>
              </w:rPr>
            </w:pPr>
            <w:r w:rsidRPr="00AF3608">
              <w:rPr>
                <w:rFonts w:ascii="Arial Narrow" w:hAnsi="Arial Narrow" w:cs="Arial Narrow"/>
                <w:i/>
                <w:iCs/>
                <w:lang w:val="ro-RO"/>
              </w:rPr>
              <w:t>Notă: Eventuale neconcordanţe la însumare sunt ca urmare a rotunjirilor.</w:t>
            </w:r>
          </w:p>
        </w:tc>
        <w:tc>
          <w:tcPr>
            <w:tcW w:w="1246" w:type="dxa"/>
            <w:tcBorders>
              <w:bottom w:val="nil"/>
            </w:tcBorders>
            <w:shd w:val="clear" w:color="auto" w:fill="FFFFFF"/>
            <w:noWrap/>
            <w:vAlign w:val="bottom"/>
          </w:tcPr>
          <w:p w:rsidR="00D95CB1" w:rsidRPr="00AF3608" w:rsidRDefault="00D95CB1" w:rsidP="00D95CB1">
            <w:pPr>
              <w:keepNext/>
              <w:keepLines/>
              <w:widowControl w:val="0"/>
              <w:jc w:val="center"/>
              <w:rPr>
                <w:rFonts w:ascii="Calibri" w:hAnsi="Calibri" w:cs="Calibri"/>
                <w:b/>
                <w:bCs/>
                <w:color w:val="000000"/>
                <w:lang w:val="ro-RO"/>
              </w:rPr>
            </w:pPr>
          </w:p>
        </w:tc>
        <w:tc>
          <w:tcPr>
            <w:tcW w:w="1609" w:type="dxa"/>
            <w:tcBorders>
              <w:bottom w:val="nil"/>
            </w:tcBorders>
            <w:shd w:val="clear" w:color="auto" w:fill="FFFFFF"/>
            <w:noWrap/>
            <w:vAlign w:val="bottom"/>
          </w:tcPr>
          <w:p w:rsidR="00D95CB1" w:rsidRPr="00AF3608" w:rsidRDefault="00D95CB1" w:rsidP="00D95CB1">
            <w:pPr>
              <w:keepNext/>
              <w:keepLines/>
              <w:widowControl w:val="0"/>
              <w:jc w:val="center"/>
              <w:rPr>
                <w:rFonts w:ascii="Calibri" w:hAnsi="Calibri" w:cs="Calibri"/>
                <w:b/>
                <w:bCs/>
                <w:color w:val="000000"/>
                <w:lang w:val="ro-RO"/>
              </w:rPr>
            </w:pPr>
          </w:p>
        </w:tc>
      </w:tr>
    </w:tbl>
    <w:p w:rsidR="00DC7A10" w:rsidRPr="00AF3608" w:rsidRDefault="00DC7A10" w:rsidP="00DC7A10">
      <w:pPr>
        <w:widowControl w:val="0"/>
        <w:spacing w:before="120"/>
        <w:ind w:right="-2"/>
        <w:jc w:val="both"/>
        <w:rPr>
          <w:rFonts w:ascii="Calibri" w:hAnsi="Calibri" w:cs="Calibri"/>
          <w:color w:val="000000"/>
          <w:lang w:val="ro-RO"/>
        </w:rPr>
      </w:pPr>
    </w:p>
    <w:p w:rsidR="00D95CB1" w:rsidRPr="00AF3608" w:rsidRDefault="00D95CB1" w:rsidP="00920E23">
      <w:pPr>
        <w:widowControl w:val="0"/>
        <w:spacing w:before="120"/>
        <w:jc w:val="both"/>
        <w:rPr>
          <w:rFonts w:ascii="Calibri" w:hAnsi="Calibri" w:cs="Calibri"/>
          <w:color w:val="000000"/>
          <w:lang w:val="ro-RO"/>
        </w:rPr>
      </w:pPr>
      <w:r w:rsidRPr="00AF3608">
        <w:rPr>
          <w:rFonts w:ascii="Calibri" w:hAnsi="Calibri" w:cs="Calibri"/>
          <w:color w:val="000000"/>
          <w:lang w:val="ro-RO"/>
        </w:rPr>
        <w:t>Creşterea economică pentru anul 2021 este estimată la 4,3% cu contribuția următorilor factori:</w:t>
      </w:r>
    </w:p>
    <w:p w:rsidR="00D95CB1" w:rsidRPr="00AF3608" w:rsidRDefault="00D95CB1" w:rsidP="003A0B85">
      <w:pPr>
        <w:widowControl w:val="0"/>
        <w:numPr>
          <w:ilvl w:val="0"/>
          <w:numId w:val="101"/>
        </w:numPr>
        <w:spacing w:before="120"/>
        <w:ind w:left="426" w:hanging="284"/>
        <w:jc w:val="both"/>
        <w:rPr>
          <w:rFonts w:ascii="Calibri" w:hAnsi="Calibri" w:cs="Calibri"/>
          <w:color w:val="000000"/>
          <w:lang w:val="ro-RO"/>
        </w:rPr>
      </w:pPr>
      <w:r w:rsidRPr="00AF3608">
        <w:rPr>
          <w:rFonts w:ascii="Calibri" w:hAnsi="Calibri" w:cs="Calibri"/>
          <w:b/>
          <w:bCs/>
          <w:color w:val="000000"/>
          <w:shd w:val="clear" w:color="auto" w:fill="DEEAF6"/>
          <w:lang w:val="ro-RO"/>
        </w:rPr>
        <w:t>Cererea internă</w:t>
      </w:r>
      <w:r w:rsidRPr="00AF3608">
        <w:rPr>
          <w:rFonts w:ascii="Calibri" w:hAnsi="Calibri" w:cs="Calibri"/>
          <w:color w:val="000000"/>
          <w:lang w:val="ro-RO"/>
        </w:rPr>
        <w:t xml:space="preserve"> va reprezenta motorul creşterii economice în special prin majorarea formării brute de capital fix, cu o dinamică superioară celei a consumului fin</w:t>
      </w:r>
      <w:r w:rsidR="00DC7A10" w:rsidRPr="00AF3608">
        <w:rPr>
          <w:rFonts w:ascii="Calibri" w:hAnsi="Calibri" w:cs="Calibri"/>
          <w:color w:val="000000"/>
          <w:lang w:val="ro-RO"/>
        </w:rPr>
        <w:t>al, respectiv 6,5% faţă de 3,5%</w:t>
      </w:r>
    </w:p>
    <w:p w:rsidR="00D95CB1" w:rsidRPr="00AF3608" w:rsidRDefault="00D95CB1" w:rsidP="003A0B85">
      <w:pPr>
        <w:widowControl w:val="0"/>
        <w:numPr>
          <w:ilvl w:val="0"/>
          <w:numId w:val="101"/>
        </w:numPr>
        <w:spacing w:before="120"/>
        <w:ind w:left="426" w:hanging="284"/>
        <w:jc w:val="both"/>
        <w:rPr>
          <w:rFonts w:ascii="Calibri" w:hAnsi="Calibri" w:cs="Calibri"/>
          <w:color w:val="000000"/>
          <w:lang w:val="ro-RO"/>
        </w:rPr>
      </w:pPr>
      <w:r w:rsidRPr="00AF3608">
        <w:rPr>
          <w:rFonts w:ascii="Calibri" w:hAnsi="Calibri" w:cs="Calibri"/>
          <w:color w:val="000000"/>
          <w:lang w:val="ro-RO"/>
        </w:rPr>
        <w:t xml:space="preserve">Pe </w:t>
      </w:r>
      <w:r w:rsidRPr="00AF3608">
        <w:rPr>
          <w:rFonts w:ascii="Calibri" w:hAnsi="Calibri" w:cs="Calibri"/>
          <w:b/>
          <w:color w:val="000000"/>
          <w:lang w:val="ro-RO"/>
        </w:rPr>
        <w:t xml:space="preserve">latura ofertei </w:t>
      </w:r>
      <w:r w:rsidRPr="00AF3608">
        <w:rPr>
          <w:rFonts w:ascii="Calibri" w:hAnsi="Calibri" w:cs="Calibri"/>
          <w:color w:val="000000"/>
          <w:lang w:val="ro-RO"/>
        </w:rPr>
        <w:t>se estimează o îmbunătăţire a activităţii economice în toate sectoarele, urmărindu-se recuperarea, în mare parte, a scăderilor înregistrate în 2</w:t>
      </w:r>
      <w:r w:rsidR="00DC7A10" w:rsidRPr="00AF3608">
        <w:rPr>
          <w:rFonts w:ascii="Calibri" w:hAnsi="Calibri" w:cs="Calibri"/>
          <w:color w:val="000000"/>
          <w:lang w:val="ro-RO"/>
        </w:rPr>
        <w:t>020 ca urmare a crizei sanitare</w:t>
      </w:r>
    </w:p>
    <w:p w:rsidR="00D95CB1" w:rsidRPr="00AF3608" w:rsidRDefault="00D95CB1" w:rsidP="003A0B85">
      <w:pPr>
        <w:widowControl w:val="0"/>
        <w:numPr>
          <w:ilvl w:val="0"/>
          <w:numId w:val="101"/>
        </w:numPr>
        <w:spacing w:before="120"/>
        <w:ind w:left="426" w:hanging="284"/>
        <w:rPr>
          <w:rFonts w:ascii="Calibri" w:hAnsi="Calibri" w:cs="Calibri"/>
          <w:color w:val="000000"/>
          <w:lang w:val="ro-RO"/>
        </w:rPr>
      </w:pPr>
      <w:r w:rsidRPr="00AF3608">
        <w:rPr>
          <w:rFonts w:ascii="Calibri" w:eastAsia="Calibri" w:hAnsi="Calibri" w:cs="Calibri"/>
          <w:b/>
          <w:bCs/>
          <w:color w:val="000000"/>
          <w:shd w:val="clear" w:color="auto" w:fill="DEEAF6"/>
          <w:lang w:val="ro-RO"/>
        </w:rPr>
        <w:t xml:space="preserve">Măsuri care să asigure o mai bună participare pe piaţa muncii </w:t>
      </w:r>
    </w:p>
    <w:p w:rsidR="00D95CB1" w:rsidRPr="00AF3608" w:rsidRDefault="00D95CB1" w:rsidP="003A0B85">
      <w:pPr>
        <w:widowControl w:val="0"/>
        <w:numPr>
          <w:ilvl w:val="0"/>
          <w:numId w:val="123"/>
        </w:numPr>
        <w:spacing w:before="120"/>
        <w:jc w:val="both"/>
        <w:rPr>
          <w:rFonts w:ascii="Calibri" w:eastAsia="Calibri" w:hAnsi="Calibri" w:cs="Calibri"/>
          <w:color w:val="000066"/>
          <w:szCs w:val="22"/>
          <w:lang w:val="ro-RO"/>
        </w:rPr>
      </w:pPr>
      <w:r w:rsidRPr="00AF3608">
        <w:rPr>
          <w:rFonts w:ascii="Calibri" w:eastAsia="Calibri" w:hAnsi="Calibri" w:cs="Calibri"/>
          <w:b/>
          <w:color w:val="000066"/>
          <w:lang w:val="ro-RO"/>
        </w:rPr>
        <w:t>Instrumentul SURE</w:t>
      </w:r>
      <w:r w:rsidRPr="00AF3608">
        <w:rPr>
          <w:rFonts w:ascii="Calibri" w:eastAsia="Calibri" w:hAnsi="Calibri" w:cs="Calibri"/>
          <w:color w:val="000000"/>
          <w:lang w:val="ro-RO"/>
        </w:rPr>
        <w:t xml:space="preserve"> (</w:t>
      </w:r>
      <w:r w:rsidRPr="00AF3608">
        <w:rPr>
          <w:rFonts w:ascii="Calibri" w:eastAsia="Calibri" w:hAnsi="Calibri" w:cs="Calibri"/>
          <w:color w:val="000066"/>
          <w:lang w:val="ro-RO"/>
        </w:rPr>
        <w:t>Instrument european de sprijin temporar pentru atenuarea riscurilor de șomaj</w:t>
      </w:r>
      <w:r w:rsidRPr="00AF3608">
        <w:rPr>
          <w:rFonts w:ascii="Calibri" w:eastAsia="Calibri" w:hAnsi="Calibri" w:cs="Calibri"/>
          <w:lang w:val="ro-RO"/>
        </w:rPr>
        <w:t xml:space="preserve"> </w:t>
      </w:r>
      <w:r w:rsidRPr="00AF3608">
        <w:rPr>
          <w:rFonts w:ascii="Calibri" w:eastAsia="Calibri" w:hAnsi="Calibri" w:cs="Calibri"/>
          <w:color w:val="000066"/>
          <w:lang w:val="ro-RO"/>
        </w:rPr>
        <w:t>în situație de urgență)</w:t>
      </w:r>
      <w:r w:rsidRPr="00AF3608">
        <w:rPr>
          <w:rFonts w:ascii="Calibri" w:eastAsia="Calibri" w:hAnsi="Calibri" w:cs="Calibri"/>
          <w:lang w:val="ro-RO"/>
        </w:rPr>
        <w:t xml:space="preserve"> este un  instrument nou, cu caracter ad-hoc</w:t>
      </w:r>
      <w:r w:rsidRPr="00AF3608">
        <w:rPr>
          <w:rFonts w:ascii="Calibri" w:eastAsia="Calibri" w:hAnsi="Calibri" w:cs="Calibri"/>
          <w:szCs w:val="22"/>
          <w:lang w:val="ro-RO"/>
        </w:rPr>
        <w:t xml:space="preserve"> și temporar în vederea susținerii eforturilor depuse de statele membre la nivel național, cu scopul de a acoperi o parte a creșterii acute și bruște a cheltuielilor publice în domeniul ocupării forței de muncă, pentru sprijinirea angajaților și a persoanelor cu activități independente, inclusiv cele legate de sănătatea la locul de muncă. </w:t>
      </w:r>
      <w:r w:rsidRPr="00AF3608">
        <w:rPr>
          <w:rFonts w:ascii="Calibri" w:eastAsia="Calibri" w:hAnsi="Calibri" w:cs="Calibri"/>
          <w:color w:val="000066"/>
          <w:szCs w:val="22"/>
          <w:lang w:val="ro-RO"/>
        </w:rPr>
        <w:t>Estimarea este că România ar putea accesa o sumă substanțială, în funcție de nevoi și de evoluțiile dialogului/negocierilor cu Comisia Europeană, prin care se poate facilita menținerea resursei umane calificate de către angajatori pentru reluarea activității în condiții optime, după</w:t>
      </w:r>
      <w:r w:rsidR="00DC7A10" w:rsidRPr="00AF3608">
        <w:rPr>
          <w:rFonts w:ascii="Calibri" w:eastAsia="Calibri" w:hAnsi="Calibri" w:cs="Calibri"/>
          <w:color w:val="000066"/>
          <w:szCs w:val="22"/>
          <w:lang w:val="ro-RO"/>
        </w:rPr>
        <w:t xml:space="preserve"> în-cheierea perioadei de criză</w:t>
      </w:r>
    </w:p>
    <w:p w:rsidR="00D95CB1" w:rsidRPr="00AF3608" w:rsidRDefault="00D95CB1" w:rsidP="003A0B85">
      <w:pPr>
        <w:widowControl w:val="0"/>
        <w:numPr>
          <w:ilvl w:val="0"/>
          <w:numId w:val="105"/>
        </w:numPr>
        <w:spacing w:before="120"/>
        <w:ind w:hanging="218"/>
        <w:jc w:val="both"/>
        <w:rPr>
          <w:rFonts w:ascii="Calibri" w:hAnsi="Calibri" w:cs="Calibri"/>
          <w:color w:val="000000"/>
          <w:lang w:val="ro-RO"/>
        </w:rPr>
      </w:pPr>
      <w:r w:rsidRPr="00AF3608">
        <w:rPr>
          <w:rFonts w:ascii="Calibri" w:eastAsia="Calibri" w:hAnsi="Calibri" w:cs="Calibri"/>
          <w:b/>
          <w:szCs w:val="22"/>
          <w:shd w:val="clear" w:color="auto" w:fill="DEEAF6"/>
          <w:lang w:val="ro-RO"/>
        </w:rPr>
        <w:t xml:space="preserve">Finanțarea schemelor de ajutor de stat </w:t>
      </w:r>
    </w:p>
    <w:p w:rsidR="00D95CB1" w:rsidRPr="00AF3608" w:rsidRDefault="00D95CB1" w:rsidP="00920E23">
      <w:pPr>
        <w:suppressAutoHyphens/>
        <w:autoSpaceDE w:val="0"/>
        <w:spacing w:before="120"/>
        <w:jc w:val="both"/>
        <w:rPr>
          <w:rFonts w:ascii="Calibri" w:eastAsia="SimSun" w:hAnsi="Calibri" w:cs="Arial"/>
          <w:color w:val="000000"/>
          <w:lang w:val="ro-RO" w:eastAsia="zh-CN"/>
        </w:rPr>
      </w:pPr>
      <w:r w:rsidRPr="00AF3608">
        <w:rPr>
          <w:rFonts w:ascii="Calibri" w:eastAsia="SimSun" w:hAnsi="Calibri" w:cs="Arial"/>
          <w:color w:val="000000"/>
          <w:lang w:val="ro-RO" w:eastAsia="zh-CN"/>
        </w:rPr>
        <w:t xml:space="preserve">Ministerul Finanţelor, în calitate de furnizor de ajutor de stat a continuat pe perioada anului 2020 derularea programelor </w:t>
      </w:r>
      <w:r w:rsidR="00DC7A10" w:rsidRPr="00AF3608">
        <w:rPr>
          <w:rFonts w:ascii="Calibri" w:eastAsia="SimSun" w:hAnsi="Calibri" w:cs="Arial"/>
          <w:b/>
          <w:color w:val="000000"/>
          <w:lang w:val="ro-RO" w:eastAsia="zh-CN"/>
        </w:rPr>
        <w:t>„</w:t>
      </w:r>
      <w:r w:rsidRPr="00AF3608">
        <w:rPr>
          <w:rFonts w:ascii="Calibri" w:eastAsia="SimSun" w:hAnsi="Calibri" w:cs="Arial"/>
          <w:b/>
          <w:color w:val="000000"/>
          <w:lang w:val="ro-RO" w:eastAsia="zh-CN"/>
        </w:rPr>
        <w:t>Ajutoare de stat pentru finanţarea proiectelor de investiţii”</w:t>
      </w:r>
      <w:r w:rsidR="00DC7A10" w:rsidRPr="00AF3608">
        <w:rPr>
          <w:rFonts w:ascii="Calibri" w:eastAsia="SimSun" w:hAnsi="Calibri" w:cs="Arial"/>
          <w:color w:val="000000"/>
          <w:lang w:val="ro-RO" w:eastAsia="zh-CN"/>
        </w:rPr>
        <w:t xml:space="preserve"> și </w:t>
      </w:r>
      <w:r w:rsidR="00DC7A10" w:rsidRPr="00AF3608">
        <w:rPr>
          <w:rFonts w:ascii="Calibri" w:eastAsia="SimSun" w:hAnsi="Calibri" w:cs="Arial"/>
          <w:b/>
          <w:color w:val="000000"/>
          <w:lang w:val="ro-RO" w:eastAsia="zh-CN"/>
        </w:rPr>
        <w:t>„</w:t>
      </w:r>
      <w:r w:rsidRPr="00AF3608">
        <w:rPr>
          <w:rFonts w:ascii="Calibri" w:eastAsia="SimSun" w:hAnsi="Calibri" w:cs="Arial"/>
          <w:b/>
          <w:color w:val="000000"/>
          <w:lang w:val="ro-RO" w:eastAsia="zh-CN"/>
        </w:rPr>
        <w:t xml:space="preserve">Transferuri în cadrul schemelor de ajutor de stat reprezentând sume restituite la acciză pentru motorina utilizată drept combustibil”, </w:t>
      </w:r>
      <w:r w:rsidRPr="00AF3608">
        <w:rPr>
          <w:rFonts w:ascii="Calibri" w:eastAsia="SimSun" w:hAnsi="Calibri" w:cs="Arial"/>
          <w:color w:val="000000"/>
          <w:lang w:val="ro-RO" w:eastAsia="zh-CN"/>
        </w:rPr>
        <w:t xml:space="preserve">fondurile fiind alocate de la bugetul de stat prin bugetul </w:t>
      </w:r>
      <w:r w:rsidR="00DC7A10" w:rsidRPr="00AF3608">
        <w:rPr>
          <w:rFonts w:ascii="Calibri" w:eastAsia="SimSun" w:hAnsi="Calibri" w:cs="Arial"/>
          <w:b/>
          <w:color w:val="000000"/>
          <w:lang w:val="ro-RO" w:eastAsia="zh-CN"/>
        </w:rPr>
        <w:t>Ministerului Finanţelor</w:t>
      </w:r>
      <w:r w:rsidRPr="00AF3608">
        <w:rPr>
          <w:rFonts w:ascii="Calibri" w:eastAsia="SimSun" w:hAnsi="Calibri" w:cs="Arial"/>
          <w:b/>
          <w:color w:val="000000"/>
          <w:lang w:val="ro-RO" w:eastAsia="zh-CN"/>
        </w:rPr>
        <w:t xml:space="preserve"> – Acţiuni Generale</w:t>
      </w:r>
      <w:r w:rsidRPr="00AF3608">
        <w:rPr>
          <w:rFonts w:ascii="Calibri" w:eastAsia="SimSun" w:hAnsi="Calibri" w:cs="Arial"/>
          <w:color w:val="000000"/>
          <w:lang w:val="ro-RO" w:eastAsia="zh-CN"/>
        </w:rPr>
        <w:t xml:space="preserve">, sub formă de granturi. </w:t>
      </w:r>
    </w:p>
    <w:p w:rsidR="00D95CB1" w:rsidRPr="00AF3608" w:rsidRDefault="00D95CB1" w:rsidP="00920E23">
      <w:pPr>
        <w:suppressAutoHyphens/>
        <w:autoSpaceDE w:val="0"/>
        <w:spacing w:before="120"/>
        <w:jc w:val="both"/>
        <w:rPr>
          <w:rFonts w:ascii="Calibri" w:eastAsia="SimSun" w:hAnsi="Calibri" w:cs="Arial"/>
          <w:color w:val="000066"/>
          <w:lang w:val="ro-RO" w:eastAsia="zh-CN"/>
        </w:rPr>
      </w:pPr>
      <w:r w:rsidRPr="00AF3608">
        <w:rPr>
          <w:rFonts w:ascii="Calibri" w:eastAsia="SimSun" w:hAnsi="Calibri" w:cs="Arial"/>
          <w:color w:val="000066"/>
          <w:lang w:val="ro-RO" w:eastAsia="zh-CN"/>
        </w:rPr>
        <w:t xml:space="preserve">Programul </w:t>
      </w:r>
      <w:r w:rsidR="00DC7A10" w:rsidRPr="00AF3608">
        <w:rPr>
          <w:rFonts w:ascii="Calibri" w:eastAsia="SimSun" w:hAnsi="Calibri" w:cs="Arial"/>
          <w:b/>
          <w:color w:val="000066"/>
          <w:lang w:val="ro-RO" w:eastAsia="zh-CN"/>
        </w:rPr>
        <w:t>„</w:t>
      </w:r>
      <w:r w:rsidRPr="00AF3608">
        <w:rPr>
          <w:rFonts w:ascii="Calibri" w:eastAsia="SimSun" w:hAnsi="Calibri" w:cs="Arial"/>
          <w:b/>
          <w:color w:val="000066"/>
          <w:lang w:val="ro-RO" w:eastAsia="zh-CN"/>
        </w:rPr>
        <w:t>Ajutoare de stat pentru finanţarea proiectelor de investiţii”,</w:t>
      </w:r>
      <w:r w:rsidRPr="00AF3608">
        <w:rPr>
          <w:rFonts w:ascii="Calibri" w:eastAsia="SimSun" w:hAnsi="Calibri" w:cs="Arial"/>
          <w:color w:val="000066"/>
          <w:lang w:val="ro-RO" w:eastAsia="zh-CN"/>
        </w:rPr>
        <w:t xml:space="preserve"> include scheme de ajutor de stat care se aplică atât întreprinderilor mari cât şi IMM-urilor, având ca obiectiv dezvoltarea regională prin stimularea realizării de investiţii, creării de noi locuri de muncă, precum şi modernizarea sau dezvoltarea IMM-urilor. </w:t>
      </w:r>
    </w:p>
    <w:p w:rsidR="00D95CB1" w:rsidRPr="00AF3608" w:rsidRDefault="00D95CB1" w:rsidP="00920E23">
      <w:pPr>
        <w:tabs>
          <w:tab w:val="left" w:pos="1122"/>
        </w:tabs>
        <w:suppressAutoHyphens/>
        <w:spacing w:before="120"/>
        <w:jc w:val="both"/>
        <w:rPr>
          <w:rFonts w:ascii="Calibri" w:eastAsia="SimSun" w:hAnsi="Calibri" w:cs="Arial"/>
          <w:color w:val="000066"/>
          <w:lang w:val="ro-RO" w:eastAsia="zh-CN"/>
        </w:rPr>
      </w:pPr>
      <w:r w:rsidRPr="00AF3608">
        <w:rPr>
          <w:rFonts w:ascii="Calibri" w:eastAsia="SimSun" w:hAnsi="Calibri" w:cs="Arial"/>
          <w:color w:val="000066"/>
          <w:lang w:val="ro-RO" w:eastAsia="zh-CN"/>
        </w:rPr>
        <w:t>Programul</w:t>
      </w:r>
      <w:r w:rsidR="00DC7A10" w:rsidRPr="00AF3608">
        <w:rPr>
          <w:rFonts w:ascii="Calibri" w:eastAsia="SimSun" w:hAnsi="Calibri" w:cs="Arial"/>
          <w:b/>
          <w:color w:val="000066"/>
          <w:lang w:val="ro-RO" w:eastAsia="zh-CN"/>
        </w:rPr>
        <w:t xml:space="preserve"> „</w:t>
      </w:r>
      <w:r w:rsidRPr="00AF3608">
        <w:rPr>
          <w:rFonts w:ascii="Calibri" w:eastAsia="SimSun" w:hAnsi="Calibri" w:cs="Arial"/>
          <w:b/>
          <w:color w:val="000066"/>
          <w:lang w:val="ro-RO" w:eastAsia="zh-CN"/>
        </w:rPr>
        <w:t>Transferuri în cadrul schemelor de ajutor de stat reprezentând sume restituite la acciză pentru motorina utilizată drept combustibil” cumulează două scheme de ajutor de stat instituite prin:</w:t>
      </w:r>
    </w:p>
    <w:p w:rsidR="00D95CB1" w:rsidRPr="00AF3608" w:rsidRDefault="00D95CB1" w:rsidP="003A0B85">
      <w:pPr>
        <w:numPr>
          <w:ilvl w:val="0"/>
          <w:numId w:val="108"/>
        </w:numPr>
        <w:tabs>
          <w:tab w:val="left" w:pos="426"/>
        </w:tabs>
        <w:suppressAutoHyphens/>
        <w:spacing w:before="120"/>
        <w:jc w:val="both"/>
        <w:rPr>
          <w:rFonts w:ascii="Calibri" w:eastAsia="SimSun" w:hAnsi="Calibri" w:cs="Arial"/>
          <w:bCs/>
          <w:color w:val="000000"/>
          <w:lang w:val="ro-RO" w:eastAsia="zh-CN"/>
        </w:rPr>
      </w:pPr>
      <w:r w:rsidRPr="00AF3608">
        <w:rPr>
          <w:rFonts w:ascii="Calibri" w:eastAsia="SimSun" w:hAnsi="Calibri" w:cs="Arial"/>
          <w:bCs/>
          <w:color w:val="000000"/>
          <w:lang w:val="ro-RO" w:eastAsia="zh-CN"/>
        </w:rPr>
        <w:lastRenderedPageBreak/>
        <w:t>H.G. nr. 537/2014</w:t>
      </w:r>
      <w:r w:rsidRPr="00AF3608">
        <w:rPr>
          <w:rFonts w:ascii="Calibri" w:eastAsia="SimSun" w:hAnsi="Calibri" w:cs="Arial"/>
          <w:b/>
          <w:bCs/>
          <w:color w:val="000000"/>
          <w:lang w:val="ro-RO" w:eastAsia="zh-CN"/>
        </w:rPr>
        <w:t xml:space="preserve"> </w:t>
      </w:r>
      <w:r w:rsidRPr="00AF3608">
        <w:rPr>
          <w:rFonts w:ascii="Calibri" w:eastAsia="SimSun" w:hAnsi="Calibri" w:cs="Arial"/>
          <w:bCs/>
          <w:i/>
          <w:color w:val="000000"/>
          <w:lang w:val="ro-RO" w:eastAsia="zh-CN"/>
        </w:rPr>
        <w:t xml:space="preserve">privind condițiile, procedura și termenele de restituire ca ajutor de stat a sumelor reprezentând diferența dintre nivelul standard al accizelor și nivelul accizelor diferențiat pentru motorina utilizată drept combustibil pentru motor, </w:t>
      </w:r>
      <w:r w:rsidRPr="00AF3608">
        <w:rPr>
          <w:rFonts w:ascii="Calibri" w:eastAsia="SimSun" w:hAnsi="Calibri" w:cs="Arial"/>
          <w:bCs/>
          <w:color w:val="000000"/>
          <w:lang w:val="ro-RO" w:eastAsia="zh-CN"/>
        </w:rPr>
        <w:t>cu modificările și completările ulterioare,</w:t>
      </w:r>
    </w:p>
    <w:p w:rsidR="00D95CB1" w:rsidRPr="00AF3608" w:rsidRDefault="00D95CB1" w:rsidP="003A0B85">
      <w:pPr>
        <w:numPr>
          <w:ilvl w:val="0"/>
          <w:numId w:val="108"/>
        </w:numPr>
        <w:suppressAutoHyphens/>
        <w:spacing w:before="120"/>
        <w:jc w:val="both"/>
        <w:rPr>
          <w:rFonts w:ascii="Calibri" w:eastAsia="SimSun" w:hAnsi="Calibri" w:cs="Arial"/>
          <w:color w:val="000000"/>
          <w:lang w:val="ro-RO" w:eastAsia="zh-CN"/>
        </w:rPr>
      </w:pPr>
      <w:r w:rsidRPr="00AF3608">
        <w:rPr>
          <w:rFonts w:ascii="Calibri" w:eastAsia="SimSun" w:hAnsi="Calibri" w:cs="Arial"/>
          <w:bCs/>
          <w:color w:val="000000"/>
          <w:lang w:val="ro-RO" w:eastAsia="zh-CN"/>
        </w:rPr>
        <w:t>H.G. nr. 549/2018</w:t>
      </w:r>
      <w:r w:rsidRPr="00AF3608">
        <w:rPr>
          <w:rFonts w:ascii="Calibri" w:eastAsia="SimSun" w:hAnsi="Calibri" w:cs="Arial"/>
          <w:color w:val="000000"/>
          <w:lang w:val="ro-RO" w:eastAsia="zh-CN"/>
        </w:rPr>
        <w:t xml:space="preserve"> </w:t>
      </w:r>
      <w:r w:rsidRPr="00AF3608">
        <w:rPr>
          <w:rFonts w:ascii="Calibri" w:eastAsia="SimSun" w:hAnsi="Calibri" w:cs="Arial"/>
          <w:i/>
          <w:color w:val="000000"/>
          <w:lang w:val="ro-RO" w:eastAsia="zh-CN"/>
        </w:rPr>
        <w:t>privind condițiile, procedura și termenele de restituire a sumelor reprezentând ajutor de stat pentru suportarea unei părți din accizele calculate pentru motorina utilizată drept combustibil pentru motor,</w:t>
      </w:r>
      <w:r w:rsidRPr="00AF3608">
        <w:rPr>
          <w:rFonts w:ascii="Calibri" w:eastAsia="SimSun" w:hAnsi="Calibri" w:cs="Arial"/>
          <w:color w:val="000000"/>
          <w:lang w:val="ro-RO" w:eastAsia="zh-CN"/>
        </w:rPr>
        <w:t xml:space="preserve"> cu modificările și completările ulterioare.</w:t>
      </w:r>
    </w:p>
    <w:p w:rsidR="00D95CB1" w:rsidRPr="00AF3608" w:rsidRDefault="00D95CB1" w:rsidP="00920E23">
      <w:pPr>
        <w:tabs>
          <w:tab w:val="left" w:pos="1122"/>
        </w:tabs>
        <w:suppressAutoHyphens/>
        <w:spacing w:before="120"/>
        <w:jc w:val="both"/>
        <w:rPr>
          <w:rFonts w:ascii="Calibri" w:eastAsia="SimSun" w:hAnsi="Calibri" w:cs="Arial"/>
          <w:color w:val="000000"/>
          <w:lang w:val="ro-RO" w:eastAsia="zh-CN"/>
        </w:rPr>
      </w:pPr>
      <w:r w:rsidRPr="00AF3608">
        <w:rPr>
          <w:rFonts w:ascii="Calibri" w:eastAsia="SimSun" w:hAnsi="Calibri" w:cs="Arial"/>
          <w:bCs/>
          <w:color w:val="000000"/>
          <w:lang w:val="ro-RO" w:eastAsia="zh-CN"/>
        </w:rPr>
        <w:t xml:space="preserve">Aceste scheme de ajutor de stat, sunt închise și au fost administrate de </w:t>
      </w:r>
      <w:r w:rsidRPr="00AF3608">
        <w:rPr>
          <w:rFonts w:ascii="Calibri" w:eastAsia="SimSun" w:hAnsi="Calibri" w:cs="Arial"/>
          <w:color w:val="000000"/>
          <w:lang w:val="ro-RO" w:eastAsia="zh-CN"/>
        </w:rPr>
        <w:t>Autoritatea Rutieră Română, Ministerul Finanțelor având calitatea de ordonator principal de credite privind angajarea, lichidarea și ordonanțarea cheltuielilor.</w:t>
      </w:r>
    </w:p>
    <w:p w:rsidR="00D95CB1" w:rsidRPr="00AF3608" w:rsidRDefault="00D95CB1" w:rsidP="003A0B85">
      <w:pPr>
        <w:numPr>
          <w:ilvl w:val="0"/>
          <w:numId w:val="123"/>
        </w:numPr>
        <w:suppressAutoHyphens/>
        <w:spacing w:before="120"/>
        <w:jc w:val="both"/>
        <w:rPr>
          <w:rFonts w:ascii="Calibri" w:eastAsia="SimSun" w:hAnsi="Calibri" w:cs="Arial"/>
          <w:color w:val="000066"/>
          <w:szCs w:val="22"/>
          <w:lang w:val="ro-RO" w:eastAsia="zh-CN"/>
        </w:rPr>
      </w:pPr>
      <w:r w:rsidRPr="00AF3608">
        <w:rPr>
          <w:rFonts w:ascii="Calibri" w:eastAsia="SimSun" w:hAnsi="Calibri" w:cs="Arial"/>
          <w:b/>
          <w:color w:val="000066"/>
          <w:szCs w:val="22"/>
          <w:lang w:val="ro-RO" w:eastAsia="zh-CN"/>
        </w:rPr>
        <w:t>Scheme de ajutor de stat care vor fi derulate în perioada 2021-2023</w:t>
      </w:r>
    </w:p>
    <w:p w:rsidR="00D95CB1" w:rsidRPr="00AF3608" w:rsidRDefault="00D95CB1" w:rsidP="00920E23">
      <w:pPr>
        <w:tabs>
          <w:tab w:val="left" w:pos="0"/>
        </w:tabs>
        <w:suppressAutoHyphens/>
        <w:autoSpaceDE w:val="0"/>
        <w:spacing w:before="120"/>
        <w:jc w:val="both"/>
        <w:rPr>
          <w:rFonts w:ascii="Calibri" w:eastAsia="SimSun" w:hAnsi="Calibri" w:cs="Arial"/>
          <w:color w:val="000066"/>
          <w:lang w:val="ro-RO" w:eastAsia="zh-CN"/>
        </w:rPr>
      </w:pPr>
      <w:r w:rsidRPr="00AF3608">
        <w:rPr>
          <w:rFonts w:ascii="Calibri" w:eastAsia="SimSun" w:hAnsi="Calibri" w:cs="Arial"/>
          <w:b/>
          <w:color w:val="000066"/>
          <w:lang w:val="ro-RO" w:eastAsia="zh-CN"/>
        </w:rPr>
        <w:t xml:space="preserve">H.G. nr. 332/2014 </w:t>
      </w:r>
      <w:r w:rsidRPr="00AF3608">
        <w:rPr>
          <w:rFonts w:ascii="Calibri" w:eastAsia="SimSun" w:hAnsi="Calibri" w:cs="Arial"/>
          <w:b/>
          <w:bCs/>
          <w:color w:val="000066"/>
          <w:lang w:val="ro-RO" w:eastAsia="zh-CN"/>
        </w:rPr>
        <w:t>privind instituirea unei scheme de ajutor de stat pentru sprijinirea investițiilor care promovează dezvoltarea regională prin crearea de locuri de muncă</w:t>
      </w:r>
      <w:r w:rsidRPr="00AF3608">
        <w:rPr>
          <w:rFonts w:ascii="Calibri" w:eastAsia="SimSun" w:hAnsi="Calibri" w:cs="Arial"/>
          <w:bCs/>
          <w:color w:val="000066"/>
          <w:lang w:val="ro-RO" w:eastAsia="zh-CN"/>
        </w:rPr>
        <w:t>, cu modifică</w:t>
      </w:r>
      <w:r w:rsidR="00DC7A10" w:rsidRPr="00AF3608">
        <w:rPr>
          <w:rFonts w:ascii="Calibri" w:eastAsia="SimSun" w:hAnsi="Calibri" w:cs="Arial"/>
          <w:bCs/>
          <w:color w:val="000066"/>
          <w:lang w:val="ro-RO" w:eastAsia="zh-CN"/>
        </w:rPr>
        <w:t>rile și completările ulterioare</w:t>
      </w:r>
    </w:p>
    <w:p w:rsidR="00D95CB1" w:rsidRPr="00AF3608" w:rsidRDefault="00D95CB1" w:rsidP="003A0B85">
      <w:pPr>
        <w:numPr>
          <w:ilvl w:val="0"/>
          <w:numId w:val="109"/>
        </w:numPr>
        <w:tabs>
          <w:tab w:val="left" w:pos="0"/>
        </w:tabs>
        <w:suppressAutoHyphens/>
        <w:spacing w:before="120"/>
        <w:jc w:val="both"/>
        <w:rPr>
          <w:rFonts w:ascii="Calibri" w:eastAsia="SimSun" w:hAnsi="Calibri" w:cs="Arial"/>
          <w:lang w:val="ro-RO" w:eastAsia="zh-CN"/>
        </w:rPr>
      </w:pPr>
      <w:r w:rsidRPr="00AF3608">
        <w:rPr>
          <w:rFonts w:ascii="Calibri" w:eastAsia="SimSun" w:hAnsi="Calibri" w:cs="Arial"/>
          <w:lang w:val="ro-RO" w:eastAsia="zh-CN"/>
        </w:rPr>
        <w:t>Schema de ajutor de stat are în vedere finanțarea sub formă de sume nerambursabile, în limita intensității maxime admise, a costurilor salariale, înregistrate pe o perioadă de 2 ani consecutivi, ca urmare a creării de minimum 100 de locuri de muncă determinate de real</w:t>
      </w:r>
      <w:r w:rsidR="00DC7A10" w:rsidRPr="00AF3608">
        <w:rPr>
          <w:rFonts w:ascii="Calibri" w:eastAsia="SimSun" w:hAnsi="Calibri" w:cs="Arial"/>
          <w:lang w:val="ro-RO" w:eastAsia="zh-CN"/>
        </w:rPr>
        <w:t>izarea unei investiții inițiale</w:t>
      </w:r>
    </w:p>
    <w:p w:rsidR="00D95CB1" w:rsidRPr="00AF3608" w:rsidRDefault="00D95CB1" w:rsidP="003A0B85">
      <w:pPr>
        <w:numPr>
          <w:ilvl w:val="0"/>
          <w:numId w:val="109"/>
        </w:numPr>
        <w:tabs>
          <w:tab w:val="left" w:pos="0"/>
        </w:tabs>
        <w:suppressAutoHyphens/>
        <w:spacing w:before="120"/>
        <w:jc w:val="both"/>
        <w:rPr>
          <w:rFonts w:ascii="Calibri" w:eastAsia="SimSun" w:hAnsi="Calibri" w:cs="Arial"/>
          <w:lang w:val="ro-RO" w:eastAsia="zh-CN"/>
        </w:rPr>
      </w:pPr>
      <w:r w:rsidRPr="00AF3608">
        <w:rPr>
          <w:rFonts w:ascii="Calibri" w:eastAsia="SimSun" w:hAnsi="Calibri" w:cs="Arial"/>
          <w:lang w:val="ro-RO" w:eastAsia="zh-CN"/>
        </w:rPr>
        <w:t>Prin această schemă se intenţionează încurajarea participării active a întreprinderilor la reducerea decalajelor economice dintre regiuni şi redresarea economiei româneşti, prin realizarea de investiţii şi crearea a peste</w:t>
      </w:r>
      <w:r w:rsidR="00DC7A10" w:rsidRPr="00AF3608">
        <w:rPr>
          <w:rFonts w:ascii="Calibri" w:eastAsia="SimSun" w:hAnsi="Calibri" w:cs="Arial"/>
          <w:lang w:val="ro-RO" w:eastAsia="zh-CN"/>
        </w:rPr>
        <w:t xml:space="preserve"> 35.000 de noi locuri de muncă</w:t>
      </w:r>
    </w:p>
    <w:p w:rsidR="00D95CB1" w:rsidRPr="00AF3608" w:rsidRDefault="00D95CB1" w:rsidP="003A0B85">
      <w:pPr>
        <w:numPr>
          <w:ilvl w:val="0"/>
          <w:numId w:val="109"/>
        </w:numPr>
        <w:tabs>
          <w:tab w:val="left" w:pos="0"/>
        </w:tabs>
        <w:suppressAutoHyphens/>
        <w:spacing w:before="120"/>
        <w:jc w:val="both"/>
        <w:rPr>
          <w:rFonts w:ascii="Calibri" w:eastAsia="SimSun" w:hAnsi="Calibri" w:cs="Arial"/>
          <w:lang w:val="ro-RO" w:eastAsia="zh-CN"/>
        </w:rPr>
      </w:pPr>
      <w:r w:rsidRPr="00AF3608">
        <w:rPr>
          <w:rFonts w:ascii="Calibri" w:eastAsia="SimSun" w:hAnsi="Calibri" w:cs="Arial"/>
          <w:lang w:val="ro-RO" w:eastAsia="zh-CN"/>
        </w:rPr>
        <w:t xml:space="preserve">Bugetul maxim al schemei este de 2.700 milioane lei, respectiv echivalentul a aproximativ 600 milioane euro. Bugetul mediu anual al schemei este de 450 milioane lei, respectiv echivalentul a aproximativ 100 milioane euro, </w:t>
      </w:r>
      <w:r w:rsidR="00DC7A10" w:rsidRPr="00AF3608">
        <w:rPr>
          <w:rFonts w:ascii="Calibri" w:eastAsia="SimSun" w:hAnsi="Calibri" w:cs="Arial"/>
          <w:lang w:val="ro-RO" w:eastAsia="zh-CN"/>
        </w:rPr>
        <w:t>cu posibilitatea suplimentării</w:t>
      </w:r>
    </w:p>
    <w:p w:rsidR="00D95CB1" w:rsidRPr="00AF3608" w:rsidRDefault="00D95CB1" w:rsidP="003A0B85">
      <w:pPr>
        <w:numPr>
          <w:ilvl w:val="0"/>
          <w:numId w:val="109"/>
        </w:numPr>
        <w:tabs>
          <w:tab w:val="left" w:pos="0"/>
        </w:tabs>
        <w:suppressAutoHyphens/>
        <w:spacing w:before="120"/>
        <w:jc w:val="both"/>
        <w:rPr>
          <w:rFonts w:ascii="Calibri" w:eastAsia="SimSun" w:hAnsi="Calibri" w:cs="Arial"/>
          <w:lang w:val="ro-RO" w:eastAsia="zh-CN"/>
        </w:rPr>
      </w:pPr>
      <w:r w:rsidRPr="00AF3608">
        <w:rPr>
          <w:rFonts w:ascii="Calibri" w:eastAsia="SimSun" w:hAnsi="Calibri" w:cs="Arial"/>
          <w:lang w:val="ro-RO" w:eastAsia="zh-CN"/>
        </w:rPr>
        <w:t>Numărul total estimat al întreprinderilor care urmează să beneficieze de ajutor de sta</w:t>
      </w:r>
      <w:r w:rsidR="00DC7A10" w:rsidRPr="00AF3608">
        <w:rPr>
          <w:rFonts w:ascii="Calibri" w:eastAsia="SimSun" w:hAnsi="Calibri" w:cs="Arial"/>
          <w:lang w:val="ro-RO" w:eastAsia="zh-CN"/>
        </w:rPr>
        <w:t>t în baza schemei este de 1.700</w:t>
      </w:r>
    </w:p>
    <w:p w:rsidR="00D95CB1" w:rsidRPr="00AF3608" w:rsidRDefault="00D95CB1" w:rsidP="003A0B85">
      <w:pPr>
        <w:numPr>
          <w:ilvl w:val="0"/>
          <w:numId w:val="109"/>
        </w:numPr>
        <w:tabs>
          <w:tab w:val="left" w:pos="0"/>
        </w:tabs>
        <w:suppressAutoHyphens/>
        <w:spacing w:before="120"/>
        <w:jc w:val="both"/>
        <w:rPr>
          <w:rFonts w:ascii="Calibri" w:eastAsia="SimSun" w:hAnsi="Calibri" w:cs="Arial"/>
          <w:lang w:val="ro-RO" w:eastAsia="zh-CN"/>
        </w:rPr>
      </w:pPr>
      <w:r w:rsidRPr="00AF3608">
        <w:rPr>
          <w:rFonts w:ascii="Calibri" w:eastAsia="SimSun" w:hAnsi="Calibri" w:cs="Arial"/>
          <w:lang w:val="ro-RO" w:eastAsia="zh-CN"/>
        </w:rPr>
        <w:t>Precizăm că această schema a fost închisă în anul 2017 și a fost redeschisă în 03.12.2020, data de la care se pot depune cereri de acord pentru finanț</w:t>
      </w:r>
      <w:r w:rsidR="00DC7A10" w:rsidRPr="00AF3608">
        <w:rPr>
          <w:rFonts w:ascii="Calibri" w:eastAsia="SimSun" w:hAnsi="Calibri" w:cs="Arial"/>
          <w:lang w:val="ro-RO" w:eastAsia="zh-CN"/>
        </w:rPr>
        <w:t>are</w:t>
      </w:r>
    </w:p>
    <w:p w:rsidR="00D95CB1" w:rsidRPr="00AF3608" w:rsidRDefault="00D95CB1" w:rsidP="00920E23">
      <w:pPr>
        <w:tabs>
          <w:tab w:val="left" w:pos="0"/>
          <w:tab w:val="left" w:pos="284"/>
        </w:tabs>
        <w:suppressAutoHyphens/>
        <w:spacing w:before="120"/>
        <w:jc w:val="both"/>
        <w:rPr>
          <w:rFonts w:ascii="Calibri" w:eastAsia="SimSun" w:hAnsi="Calibri" w:cs="Arial"/>
          <w:color w:val="000066"/>
          <w:lang w:val="ro-RO" w:eastAsia="zh-CN"/>
        </w:rPr>
      </w:pPr>
      <w:r w:rsidRPr="00AF3608">
        <w:rPr>
          <w:rFonts w:ascii="Calibri" w:eastAsia="SimSun" w:hAnsi="Calibri" w:cs="Arial"/>
          <w:b/>
          <w:bCs/>
          <w:color w:val="000066"/>
          <w:kern w:val="2"/>
          <w:lang w:val="ro-RO" w:eastAsia="zh-CN"/>
        </w:rPr>
        <w:t xml:space="preserve">H.G. nr. 807/2014 pentru instituirea unei scheme de ajutor de stat având ca </w:t>
      </w:r>
      <w:r w:rsidRPr="00AF3608">
        <w:rPr>
          <w:rFonts w:ascii="Calibri" w:eastAsia="SimSun" w:hAnsi="Calibri" w:cs="Arial"/>
          <w:b/>
          <w:color w:val="000066"/>
          <w:lang w:val="ro-RO" w:eastAsia="zh-CN"/>
        </w:rPr>
        <w:t xml:space="preserve">obiectiv stimularea investițiilor cu impact major în economie, </w:t>
      </w:r>
      <w:r w:rsidRPr="00AF3608">
        <w:rPr>
          <w:rFonts w:ascii="Calibri" w:eastAsia="SimSun" w:hAnsi="Calibri" w:cs="Arial"/>
          <w:color w:val="000066"/>
          <w:lang w:val="ro-RO" w:eastAsia="zh-CN"/>
        </w:rPr>
        <w:t>cu modifică</w:t>
      </w:r>
      <w:r w:rsidR="00DC7A10" w:rsidRPr="00AF3608">
        <w:rPr>
          <w:rFonts w:ascii="Calibri" w:eastAsia="SimSun" w:hAnsi="Calibri" w:cs="Arial"/>
          <w:color w:val="000066"/>
          <w:lang w:val="ro-RO" w:eastAsia="zh-CN"/>
        </w:rPr>
        <w:t>rile și completările ulterioare</w:t>
      </w:r>
    </w:p>
    <w:p w:rsidR="00D95CB1" w:rsidRPr="00AF3608" w:rsidRDefault="00D95CB1" w:rsidP="003A0B85">
      <w:pPr>
        <w:numPr>
          <w:ilvl w:val="0"/>
          <w:numId w:val="110"/>
        </w:numPr>
        <w:tabs>
          <w:tab w:val="left" w:pos="0"/>
        </w:tabs>
        <w:suppressAutoHyphens/>
        <w:spacing w:before="120"/>
        <w:jc w:val="both"/>
        <w:rPr>
          <w:rFonts w:ascii="Calibri" w:eastAsia="SimSun" w:hAnsi="Calibri" w:cs="Arial"/>
          <w:lang w:val="ro-RO" w:eastAsia="zh-CN"/>
        </w:rPr>
      </w:pPr>
      <w:r w:rsidRPr="00AF3608">
        <w:rPr>
          <w:rFonts w:ascii="Calibri" w:eastAsia="SimSun" w:hAnsi="Calibri" w:cs="Arial"/>
          <w:bCs/>
          <w:kern w:val="2"/>
          <w:lang w:val="ro-RO" w:eastAsia="zh-CN"/>
        </w:rPr>
        <w:t xml:space="preserve">Schema de ajutor de stat are în vedere finanțarea </w:t>
      </w:r>
      <w:r w:rsidRPr="00AF3608">
        <w:rPr>
          <w:rFonts w:ascii="Calibri" w:eastAsia="SimSun" w:hAnsi="Calibri" w:cs="Arial"/>
          <w:spacing w:val="-4"/>
          <w:kern w:val="2"/>
          <w:lang w:val="ro-RO" w:eastAsia="zh-CN"/>
        </w:rPr>
        <w:t xml:space="preserve">investițiilor </w:t>
      </w:r>
      <w:r w:rsidRPr="00AF3608">
        <w:rPr>
          <w:rFonts w:ascii="Calibri" w:eastAsia="SimSun" w:hAnsi="Calibri" w:cs="Arial"/>
          <w:lang w:val="ro-RO" w:eastAsia="zh-CN"/>
        </w:rPr>
        <w:t>realizate de întreprinderi în active corporale și necorporale de înaltă tehnologie</w:t>
      </w:r>
      <w:r w:rsidRPr="00AF3608">
        <w:rPr>
          <w:rFonts w:ascii="Calibri" w:eastAsia="SimSun" w:hAnsi="Calibri" w:cs="Arial"/>
          <w:spacing w:val="-4"/>
          <w:kern w:val="2"/>
          <w:lang w:val="ro-RO" w:eastAsia="zh-CN"/>
        </w:rPr>
        <w:t xml:space="preserve"> în valoare de minimum 4,5 milioane lei</w:t>
      </w:r>
      <w:r w:rsidRPr="00AF3608">
        <w:rPr>
          <w:rFonts w:ascii="Calibri" w:eastAsia="SimSun" w:hAnsi="Calibri" w:cs="Arial"/>
          <w:bCs/>
          <w:kern w:val="2"/>
          <w:lang w:val="ro-RO" w:eastAsia="zh-CN"/>
        </w:rPr>
        <w:t xml:space="preserve">. </w:t>
      </w:r>
    </w:p>
    <w:p w:rsidR="00D95CB1" w:rsidRPr="00AF3608" w:rsidRDefault="00D95CB1" w:rsidP="003A0B85">
      <w:pPr>
        <w:numPr>
          <w:ilvl w:val="0"/>
          <w:numId w:val="110"/>
        </w:numPr>
        <w:tabs>
          <w:tab w:val="left" w:pos="0"/>
          <w:tab w:val="left" w:pos="709"/>
        </w:tabs>
        <w:suppressAutoHyphens/>
        <w:spacing w:before="120"/>
        <w:jc w:val="both"/>
        <w:rPr>
          <w:rFonts w:ascii="Calibri" w:eastAsia="SimSun" w:hAnsi="Calibri" w:cs="Arial"/>
          <w:lang w:val="ro-RO" w:eastAsia="zh-CN"/>
        </w:rPr>
      </w:pPr>
      <w:r w:rsidRPr="00AF3608">
        <w:rPr>
          <w:rFonts w:ascii="Calibri" w:eastAsia="SimSun" w:hAnsi="Calibri" w:cs="Arial"/>
          <w:kern w:val="2"/>
          <w:lang w:val="ro-RO" w:eastAsia="zh-CN"/>
        </w:rPr>
        <w:t xml:space="preserve">Bugetul maxim al schemei este de 4.070 milioane lei, respectiv echivalentul a 925 milioane euro. </w:t>
      </w:r>
      <w:r w:rsidRPr="00AF3608">
        <w:rPr>
          <w:rFonts w:ascii="Calibri" w:eastAsia="SimSun" w:hAnsi="Calibri" w:cs="Arial"/>
          <w:lang w:val="ro-RO" w:eastAsia="zh-CN"/>
        </w:rPr>
        <w:t>Bugetul mediu anual al schemei este de 638 milioane lei, respectiv echivalentul a 145 milioane euro, iar bugetul maxim anual care poate fi angajat cuprinde bugetul mediu anual și sumele stabilite cu această destinație dar neutilizate în anii anteriori, în limita creditelor de angajament și bugetare aprobate prin legile bugetare anuale.</w:t>
      </w:r>
    </w:p>
    <w:p w:rsidR="00D95CB1" w:rsidRPr="00AF3608" w:rsidRDefault="00D95CB1" w:rsidP="003A0B85">
      <w:pPr>
        <w:numPr>
          <w:ilvl w:val="0"/>
          <w:numId w:val="110"/>
        </w:numPr>
        <w:tabs>
          <w:tab w:val="left" w:pos="0"/>
        </w:tabs>
        <w:suppressAutoHyphens/>
        <w:spacing w:before="120"/>
        <w:jc w:val="both"/>
        <w:rPr>
          <w:rFonts w:ascii="Calibri" w:eastAsia="SimSun" w:hAnsi="Calibri" w:cs="Arial"/>
          <w:lang w:val="ro-RO" w:eastAsia="zh-CN"/>
        </w:rPr>
      </w:pPr>
      <w:r w:rsidRPr="00AF3608">
        <w:rPr>
          <w:rFonts w:ascii="Calibri" w:eastAsia="SimSun" w:hAnsi="Calibri" w:cs="Arial"/>
          <w:lang w:val="ro-RO" w:eastAsia="zh-CN"/>
        </w:rPr>
        <w:t>Numărul total estimat al întreprinderilor care urmează să beneficieze de ajutor de stat în baza schemei este de 300.</w:t>
      </w:r>
    </w:p>
    <w:p w:rsidR="00D95CB1" w:rsidRPr="00AF3608" w:rsidRDefault="00D95CB1" w:rsidP="003A0B85">
      <w:pPr>
        <w:numPr>
          <w:ilvl w:val="0"/>
          <w:numId w:val="110"/>
        </w:numPr>
        <w:tabs>
          <w:tab w:val="left" w:pos="0"/>
        </w:tabs>
        <w:suppressAutoHyphens/>
        <w:autoSpaceDE w:val="0"/>
        <w:spacing w:before="120"/>
        <w:jc w:val="both"/>
        <w:rPr>
          <w:rFonts w:ascii="Calibri" w:eastAsia="SimSun" w:hAnsi="Calibri" w:cs="Arial"/>
          <w:bCs/>
          <w:lang w:val="ro-RO" w:eastAsia="zh-CN"/>
        </w:rPr>
      </w:pPr>
      <w:r w:rsidRPr="00AF3608">
        <w:rPr>
          <w:rFonts w:ascii="Calibri" w:eastAsia="SimSun" w:hAnsi="Calibri" w:cs="Arial"/>
          <w:bCs/>
          <w:lang w:val="ro-RO" w:eastAsia="zh-CN"/>
        </w:rPr>
        <w:t xml:space="preserve">Proiectele de investiții aflate în proces de implementare vor avea un impact semnificativ în economie prin crearea a 13.011 locuri de muncă și plata unor contribuții la bugetul de stat în valoare de 3.446,46 milioane lei. </w:t>
      </w:r>
    </w:p>
    <w:p w:rsidR="00D95CB1" w:rsidRPr="00AF3608" w:rsidRDefault="00D95CB1" w:rsidP="00920E23">
      <w:pPr>
        <w:tabs>
          <w:tab w:val="left" w:pos="284"/>
        </w:tabs>
        <w:suppressAutoHyphens/>
        <w:autoSpaceDE w:val="0"/>
        <w:autoSpaceDN w:val="0"/>
        <w:adjustRightInd w:val="0"/>
        <w:spacing w:before="120"/>
        <w:jc w:val="both"/>
        <w:rPr>
          <w:rFonts w:ascii="Calibri" w:eastAsia="Calibri" w:hAnsi="Calibri" w:cs="Arial"/>
          <w:b/>
          <w:color w:val="000066"/>
          <w:lang w:val="ro-RO"/>
        </w:rPr>
      </w:pPr>
      <w:r w:rsidRPr="00AF3608">
        <w:rPr>
          <w:rFonts w:ascii="Calibri" w:eastAsia="SimSun" w:hAnsi="Calibri" w:cs="Arial"/>
          <w:b/>
          <w:color w:val="000066"/>
          <w:lang w:val="ro-RO" w:eastAsia="zh-CN"/>
        </w:rPr>
        <w:t xml:space="preserve">O.U.G. 42/2020 pentru modificarea și completarea O.U.G. nr. 110/2017 </w:t>
      </w:r>
      <w:r w:rsidRPr="00AF3608">
        <w:rPr>
          <w:rFonts w:ascii="Calibri" w:eastAsia="SimSun" w:hAnsi="Calibri" w:cs="Arial"/>
          <w:b/>
          <w:i/>
          <w:color w:val="000066"/>
          <w:lang w:val="ro-RO" w:eastAsia="zh-CN"/>
        </w:rPr>
        <w:t>privind Programul de susținere a întreprinderilor mici și mijlocii - IMM INVEST ROMANIA</w:t>
      </w:r>
      <w:r w:rsidRPr="00AF3608">
        <w:rPr>
          <w:rFonts w:ascii="Calibri" w:eastAsia="SimSun" w:hAnsi="Calibri" w:cs="Arial"/>
          <w:b/>
          <w:color w:val="000066"/>
          <w:lang w:val="ro-RO" w:eastAsia="zh-CN"/>
        </w:rPr>
        <w:t xml:space="preserve">, </w:t>
      </w:r>
      <w:r w:rsidRPr="00AF3608">
        <w:rPr>
          <w:rFonts w:ascii="Calibri" w:eastAsia="SimSun" w:hAnsi="Calibri" w:cs="Arial"/>
          <w:b/>
          <w:i/>
          <w:color w:val="000066"/>
          <w:lang w:val="ro-RO" w:eastAsia="zh-CN"/>
        </w:rPr>
        <w:t xml:space="preserve">precum și pentru aprobarea </w:t>
      </w:r>
      <w:r w:rsidRPr="00AF3608">
        <w:rPr>
          <w:rFonts w:ascii="Calibri" w:eastAsia="SimSun" w:hAnsi="Calibri" w:cs="Arial"/>
          <w:b/>
          <w:i/>
          <w:color w:val="000066"/>
          <w:lang w:val="ro-RO" w:eastAsia="zh-CN"/>
        </w:rPr>
        <w:lastRenderedPageBreak/>
        <w:t>Schemei de ajutor de stat pentru susținerea activității IMM-urilor în contextul crizei economice generate de pandemia COVID-1</w:t>
      </w:r>
    </w:p>
    <w:p w:rsidR="00D95CB1" w:rsidRPr="00AF3608" w:rsidRDefault="00D95CB1" w:rsidP="003A0B85">
      <w:pPr>
        <w:numPr>
          <w:ilvl w:val="0"/>
          <w:numId w:val="111"/>
        </w:numPr>
        <w:autoSpaceDE w:val="0"/>
        <w:autoSpaceDN w:val="0"/>
        <w:adjustRightInd w:val="0"/>
        <w:spacing w:before="120"/>
        <w:jc w:val="both"/>
        <w:rPr>
          <w:rFonts w:ascii="Calibri" w:eastAsia="SimSun" w:hAnsi="Calibri" w:cs="Arial"/>
          <w:bCs/>
          <w:lang w:val="ro-RO" w:eastAsia="zh-CN"/>
        </w:rPr>
      </w:pPr>
      <w:r w:rsidRPr="00AF3608">
        <w:rPr>
          <w:rFonts w:ascii="Calibri" w:eastAsia="SimSun" w:hAnsi="Calibri" w:cs="Arial"/>
          <w:bCs/>
          <w:lang w:val="ro-RO" w:eastAsia="zh-CN"/>
        </w:rPr>
        <w:t>Schema are ca obiectiv acordarea de facilităţi de garantare de către stat pentru creditele acordate întreprinderilor mici şi mijlocii şi întreprinderilor mici cu capitalizare de piaţă medie, de către instituţiile de credit.</w:t>
      </w:r>
    </w:p>
    <w:p w:rsidR="00D95CB1" w:rsidRPr="00AF3608" w:rsidRDefault="00D95CB1" w:rsidP="003A0B85">
      <w:pPr>
        <w:numPr>
          <w:ilvl w:val="0"/>
          <w:numId w:val="111"/>
        </w:numPr>
        <w:autoSpaceDE w:val="0"/>
        <w:autoSpaceDN w:val="0"/>
        <w:adjustRightInd w:val="0"/>
        <w:spacing w:before="120"/>
        <w:jc w:val="both"/>
        <w:rPr>
          <w:rFonts w:ascii="Calibri" w:eastAsia="SimSun" w:hAnsi="Calibri" w:cs="Arial"/>
          <w:bCs/>
          <w:lang w:val="ro-RO" w:eastAsia="zh-CN"/>
        </w:rPr>
      </w:pPr>
      <w:r w:rsidRPr="00AF3608">
        <w:rPr>
          <w:rFonts w:ascii="Calibri" w:eastAsia="SimSun" w:hAnsi="Calibri" w:cs="Arial"/>
          <w:bCs/>
          <w:lang w:val="ro-RO" w:eastAsia="zh-CN"/>
        </w:rPr>
        <w:t>Bugetul schemei de ajutor de stat este 1.106 milioane lei, echivalentul în lei a aproximativ 228,42 milioane euro, pentru măsurile de finanţare prevăzute la capitolul II.2 - Ajutorul de stat sub forma de grant.</w:t>
      </w:r>
    </w:p>
    <w:p w:rsidR="00D95CB1" w:rsidRPr="00AF3608" w:rsidRDefault="00D95CB1" w:rsidP="003A0B85">
      <w:pPr>
        <w:numPr>
          <w:ilvl w:val="0"/>
          <w:numId w:val="111"/>
        </w:numPr>
        <w:autoSpaceDE w:val="0"/>
        <w:autoSpaceDN w:val="0"/>
        <w:adjustRightInd w:val="0"/>
        <w:spacing w:before="120"/>
        <w:jc w:val="both"/>
        <w:rPr>
          <w:rFonts w:ascii="Calibri" w:eastAsia="SimSun" w:hAnsi="Calibri" w:cs="Arial"/>
          <w:bCs/>
          <w:lang w:val="ro-RO" w:eastAsia="zh-CN"/>
        </w:rPr>
      </w:pPr>
      <w:r w:rsidRPr="00AF3608">
        <w:rPr>
          <w:rFonts w:ascii="Calibri" w:eastAsia="SimSun" w:hAnsi="Calibri" w:cs="Arial"/>
          <w:bCs/>
          <w:lang w:val="ro-RO" w:eastAsia="zh-CN"/>
        </w:rPr>
        <w:t>Prin implementarea schemei se estimează acordarea de ajutor de stat unui număr de maximum 40.000 de beneficiari.</w:t>
      </w:r>
    </w:p>
    <w:p w:rsidR="00D95CB1" w:rsidRPr="00AF3608" w:rsidRDefault="00D95CB1" w:rsidP="003A0B85">
      <w:pPr>
        <w:numPr>
          <w:ilvl w:val="0"/>
          <w:numId w:val="111"/>
        </w:numPr>
        <w:autoSpaceDE w:val="0"/>
        <w:autoSpaceDN w:val="0"/>
        <w:adjustRightInd w:val="0"/>
        <w:spacing w:before="120"/>
        <w:jc w:val="both"/>
        <w:rPr>
          <w:rFonts w:ascii="Calibri" w:eastAsia="Calibri" w:hAnsi="Calibri" w:cs="Arial"/>
          <w:lang w:val="ro-RO"/>
        </w:rPr>
      </w:pPr>
      <w:r w:rsidRPr="00AF3608">
        <w:rPr>
          <w:rFonts w:ascii="Calibri" w:eastAsia="Calibri" w:hAnsi="Calibri" w:cs="Arial"/>
          <w:lang w:val="ro-RO"/>
        </w:rPr>
        <w:t xml:space="preserve">În cursul anului 2020, în baza acestei scheme de ajutor de stat, conform solicitării  </w:t>
      </w:r>
      <w:r w:rsidRPr="00AF3608">
        <w:rPr>
          <w:rFonts w:ascii="Calibri" w:eastAsia="Calibri" w:hAnsi="Calibri" w:cs="Arial"/>
          <w:iCs/>
          <w:lang w:val="ro-RO"/>
        </w:rPr>
        <w:t>FNGCNIMM</w:t>
      </w:r>
      <w:r w:rsidRPr="00AF3608">
        <w:rPr>
          <w:rFonts w:ascii="Calibri" w:eastAsia="Calibri" w:hAnsi="Calibri" w:cs="Arial"/>
          <w:lang w:val="ro-RO"/>
        </w:rPr>
        <w:t xml:space="preserve"> au fost plătite 7 decizii de plată care însumează 108.724 mii lei.</w:t>
      </w:r>
    </w:p>
    <w:p w:rsidR="00D95CB1" w:rsidRPr="00AF3608" w:rsidRDefault="00D95CB1" w:rsidP="00920E23">
      <w:pPr>
        <w:tabs>
          <w:tab w:val="left" w:pos="567"/>
        </w:tabs>
        <w:suppressAutoHyphens/>
        <w:autoSpaceDE w:val="0"/>
        <w:autoSpaceDN w:val="0"/>
        <w:adjustRightInd w:val="0"/>
        <w:spacing w:before="120"/>
        <w:jc w:val="both"/>
        <w:rPr>
          <w:rFonts w:ascii="Calibri" w:eastAsia="Calibri" w:hAnsi="Calibri" w:cs="Arial"/>
          <w:b/>
          <w:color w:val="000066"/>
          <w:lang w:val="ro-RO"/>
        </w:rPr>
      </w:pPr>
      <w:r w:rsidRPr="00AF3608">
        <w:rPr>
          <w:rFonts w:ascii="Calibri" w:eastAsia="Calibri" w:hAnsi="Calibri" w:cs="Arial"/>
          <w:b/>
          <w:color w:val="000066"/>
          <w:lang w:val="ro-RO"/>
        </w:rPr>
        <w:t xml:space="preserve">O.U.G. nr. 118/2020 </w:t>
      </w:r>
      <w:r w:rsidRPr="00AF3608">
        <w:rPr>
          <w:rFonts w:ascii="Calibri" w:eastAsia="Calibri" w:hAnsi="Calibri" w:cs="Arial"/>
          <w:b/>
          <w:i/>
          <w:color w:val="000066"/>
          <w:lang w:val="ro-RO"/>
        </w:rPr>
        <w:t>privind aprobarea Programului de susţinere a întreprinderilor mici şi mijlocii "IMM LEASING DE ECHIPAMENTE ŞI UTILAJE</w:t>
      </w:r>
      <w:r w:rsidRPr="00AF3608">
        <w:rPr>
          <w:rFonts w:ascii="Calibri" w:eastAsia="Calibri" w:hAnsi="Calibri" w:cs="Arial"/>
          <w:b/>
          <w:color w:val="000066"/>
          <w:lang w:val="ro-RO"/>
        </w:rPr>
        <w:t xml:space="preserve">", </w:t>
      </w:r>
      <w:r w:rsidRPr="00AF3608">
        <w:rPr>
          <w:rFonts w:ascii="Calibri" w:eastAsia="SimSun" w:hAnsi="Calibri" w:cs="Arial"/>
          <w:b/>
          <w:bCs/>
          <w:color w:val="000066"/>
          <w:lang w:val="ro-RO" w:eastAsia="zh-CN"/>
        </w:rPr>
        <w:t>cu modificările și completările ulterioare</w:t>
      </w:r>
    </w:p>
    <w:p w:rsidR="00D95CB1" w:rsidRPr="00AF3608" w:rsidRDefault="00D95CB1" w:rsidP="00920E23">
      <w:pPr>
        <w:tabs>
          <w:tab w:val="left" w:pos="851"/>
        </w:tabs>
        <w:autoSpaceDE w:val="0"/>
        <w:autoSpaceDN w:val="0"/>
        <w:adjustRightInd w:val="0"/>
        <w:spacing w:before="120"/>
        <w:jc w:val="both"/>
        <w:rPr>
          <w:rFonts w:ascii="Calibri" w:eastAsia="SimSun" w:hAnsi="Calibri" w:cs="Arial"/>
          <w:bCs/>
          <w:iCs/>
          <w:lang w:val="ro-RO"/>
        </w:rPr>
      </w:pPr>
      <w:r w:rsidRPr="00AF3608">
        <w:rPr>
          <w:rFonts w:ascii="Calibri" w:eastAsia="Calibri" w:hAnsi="Calibri" w:cs="Arial"/>
          <w:lang w:val="ro-RO"/>
        </w:rPr>
        <w:t xml:space="preserve">Programul de susţinere a întreprinderilor mici şi mijlocii "IMM LEASING DE ECHIPAMENTE ŞI UTILAJE" </w:t>
      </w:r>
      <w:r w:rsidRPr="00AF3608">
        <w:rPr>
          <w:rFonts w:ascii="Calibri" w:eastAsia="SimSun" w:hAnsi="Calibri" w:cs="Arial"/>
          <w:lang w:val="ro-RO"/>
        </w:rPr>
        <w:t xml:space="preserve">care are ca </w:t>
      </w:r>
      <w:r w:rsidRPr="00AF3608">
        <w:rPr>
          <w:rFonts w:ascii="Calibri" w:eastAsia="SimSun" w:hAnsi="Calibri" w:cs="Arial"/>
          <w:iCs/>
          <w:lang w:val="ro-RO"/>
        </w:rPr>
        <w:t xml:space="preserve">obiectiv acordarea de facilităţi de garantare de către stat sub forma punerii la dispoziția instituțiilor nebancare a unor plafoane anuale de garantare pentru finanțările de </w:t>
      </w:r>
      <w:r w:rsidRPr="00AF3608">
        <w:rPr>
          <w:rFonts w:ascii="Calibri" w:eastAsia="SimSun" w:hAnsi="Calibri" w:cs="Arial"/>
          <w:bCs/>
          <w:iCs/>
          <w:lang w:val="ro-RO"/>
        </w:rPr>
        <w:t>tip leasing financiar pentru achiziționarea de bunuri mobile noi sau second – hand necesare realizării activităților IMM-urilor, precum și întreprinderilor afiliate care au un număr egal sau mai mare de 250 de angajați.</w:t>
      </w:r>
    </w:p>
    <w:p w:rsidR="00D95CB1" w:rsidRPr="00AF3608" w:rsidRDefault="00D95CB1" w:rsidP="00920E23">
      <w:pPr>
        <w:autoSpaceDE w:val="0"/>
        <w:autoSpaceDN w:val="0"/>
        <w:adjustRightInd w:val="0"/>
        <w:spacing w:before="120"/>
        <w:jc w:val="both"/>
        <w:rPr>
          <w:rFonts w:ascii="Calibri" w:eastAsia="Calibri" w:hAnsi="Calibri" w:cs="Arial"/>
          <w:lang w:val="ro-RO"/>
        </w:rPr>
      </w:pPr>
      <w:r w:rsidRPr="00AF3608">
        <w:rPr>
          <w:rFonts w:ascii="Calibri" w:eastAsia="Calibri" w:hAnsi="Calibri" w:cs="Arial"/>
          <w:lang w:val="ro-RO"/>
        </w:rPr>
        <w:t>- prin implementarea Programului se estimează acordarea de ajutor de minimis unui număr de 1.600 de beneficiari.</w:t>
      </w:r>
    </w:p>
    <w:p w:rsidR="00D95CB1" w:rsidRPr="00AF3608" w:rsidRDefault="00D95CB1" w:rsidP="00920E23">
      <w:pPr>
        <w:tabs>
          <w:tab w:val="left" w:pos="567"/>
        </w:tabs>
        <w:suppressAutoHyphens/>
        <w:autoSpaceDE w:val="0"/>
        <w:autoSpaceDN w:val="0"/>
        <w:adjustRightInd w:val="0"/>
        <w:spacing w:before="120"/>
        <w:jc w:val="both"/>
        <w:rPr>
          <w:rFonts w:ascii="Calibri" w:eastAsia="Calibri" w:hAnsi="Calibri" w:cs="Arial"/>
          <w:b/>
          <w:color w:val="000066"/>
          <w:lang w:val="ro-RO"/>
        </w:rPr>
      </w:pPr>
      <w:r w:rsidRPr="00AF3608">
        <w:rPr>
          <w:rFonts w:ascii="Calibri" w:eastAsia="Calibri" w:hAnsi="Calibri" w:cs="Arial"/>
          <w:b/>
          <w:color w:val="000066"/>
          <w:lang w:val="ro-RO"/>
        </w:rPr>
        <w:t xml:space="preserve">O.U.G. nr. 146/2020 </w:t>
      </w:r>
      <w:r w:rsidRPr="00AF3608">
        <w:rPr>
          <w:rFonts w:ascii="Calibri" w:eastAsia="Calibri" w:hAnsi="Calibri" w:cs="Arial"/>
          <w:b/>
          <w:i/>
          <w:color w:val="000066"/>
          <w:lang w:val="ro-RO"/>
        </w:rPr>
        <w:t>privind aprobarea Programului IMM FACTOR - Produs de garantare a creditului comercial şi a Schemei de ajutor de stat asociate acestuia</w:t>
      </w:r>
    </w:p>
    <w:p w:rsidR="00D95CB1" w:rsidRPr="00AF3608" w:rsidRDefault="00D95CB1" w:rsidP="003A0B85">
      <w:pPr>
        <w:numPr>
          <w:ilvl w:val="0"/>
          <w:numId w:val="112"/>
        </w:numPr>
        <w:tabs>
          <w:tab w:val="left" w:pos="284"/>
        </w:tabs>
        <w:autoSpaceDE w:val="0"/>
        <w:autoSpaceDN w:val="0"/>
        <w:adjustRightInd w:val="0"/>
        <w:spacing w:before="120"/>
        <w:jc w:val="both"/>
        <w:rPr>
          <w:rFonts w:ascii="Calibri" w:eastAsia="SimSun" w:hAnsi="Calibri" w:cs="Arial"/>
          <w:iCs/>
          <w:lang w:val="ro-RO"/>
        </w:rPr>
      </w:pPr>
      <w:r w:rsidRPr="00AF3608">
        <w:rPr>
          <w:rFonts w:ascii="Calibri" w:eastAsia="SimSun" w:hAnsi="Calibri" w:cs="Arial"/>
          <w:iCs/>
          <w:lang w:val="ro-RO"/>
        </w:rPr>
        <w:t xml:space="preserve">Schema de ajutor de stat are ca obiectiv sprijinirea accesului la finanțare al întreprinderilor mici şi mijlocii prin acordarea de facilități de garantare de către stat pentru creditele pe termen scurt pentru </w:t>
      </w:r>
      <w:r w:rsidR="00DC7A10" w:rsidRPr="00AF3608">
        <w:rPr>
          <w:rFonts w:ascii="Calibri" w:eastAsia="SimSun" w:hAnsi="Calibri" w:cs="Arial"/>
          <w:iCs/>
          <w:lang w:val="ro-RO"/>
        </w:rPr>
        <w:t>finanțarea creditului comercial</w:t>
      </w:r>
    </w:p>
    <w:p w:rsidR="00D95CB1" w:rsidRPr="00AF3608" w:rsidRDefault="00D95CB1" w:rsidP="003A0B85">
      <w:pPr>
        <w:numPr>
          <w:ilvl w:val="0"/>
          <w:numId w:val="112"/>
        </w:numPr>
        <w:autoSpaceDE w:val="0"/>
        <w:autoSpaceDN w:val="0"/>
        <w:adjustRightInd w:val="0"/>
        <w:spacing w:before="120"/>
        <w:jc w:val="both"/>
        <w:rPr>
          <w:rFonts w:ascii="Calibri" w:eastAsia="SimSun" w:hAnsi="Calibri" w:cs="Arial"/>
          <w:color w:val="000000"/>
          <w:shd w:val="clear" w:color="auto" w:fill="FFFFFF"/>
          <w:lang w:val="ro-RO" w:eastAsia="zh-CN"/>
        </w:rPr>
      </w:pPr>
      <w:r w:rsidRPr="00AF3608">
        <w:rPr>
          <w:rFonts w:ascii="Calibri" w:eastAsia="SimSun" w:hAnsi="Calibri" w:cs="Arial"/>
          <w:color w:val="000000"/>
          <w:shd w:val="clear" w:color="auto" w:fill="FFFFFF"/>
          <w:lang w:val="ro-RO" w:eastAsia="zh-CN"/>
        </w:rPr>
        <w:t>Perioada de valabilitate a schemei, respectiv perioada în care se selectează beneficiarii și se emit garanții de stat, acorduri de finanțare în legătură cu granturile prevăzute la </w:t>
      </w:r>
      <w:r w:rsidRPr="00AF3608">
        <w:rPr>
          <w:rFonts w:ascii="Calibri" w:eastAsia="SimSun" w:hAnsi="Calibri" w:cs="Arial"/>
          <w:shd w:val="clear" w:color="auto" w:fill="FFFFFF"/>
          <w:lang w:val="ro-RO" w:eastAsia="zh-CN"/>
        </w:rPr>
        <w:t>art. 14,</w:t>
      </w:r>
      <w:r w:rsidRPr="00AF3608">
        <w:rPr>
          <w:rFonts w:ascii="Calibri" w:eastAsia="SimSun" w:hAnsi="Calibri" w:cs="Arial"/>
          <w:color w:val="000000"/>
          <w:shd w:val="clear" w:color="auto" w:fill="FFFFFF"/>
          <w:lang w:val="ro-RO" w:eastAsia="zh-CN"/>
        </w:rPr>
        <w:t xml:space="preserve"> este cuprinsă între data intrării în vigoare a prevederilor prezentei ordonanțe de urgență și data de 31 decembrie 2020. Perioada de acordare a granturilor care acoperă costurile de finanțare este de 8 luni de la data acordării finanțării, iar perioada de acordare a granturilor care acoperă costurile de garantare este de maximum 12 luni</w:t>
      </w:r>
      <w:r w:rsidR="00DC7A10" w:rsidRPr="00AF3608">
        <w:rPr>
          <w:rFonts w:ascii="Calibri" w:eastAsia="SimSun" w:hAnsi="Calibri" w:cs="Arial"/>
          <w:color w:val="000000"/>
          <w:shd w:val="clear" w:color="auto" w:fill="FFFFFF"/>
          <w:lang w:val="ro-RO" w:eastAsia="zh-CN"/>
        </w:rPr>
        <w:t xml:space="preserve"> de la data acordării garanției</w:t>
      </w:r>
    </w:p>
    <w:p w:rsidR="00D95CB1" w:rsidRPr="00AF3608" w:rsidRDefault="00D95CB1" w:rsidP="003A0B85">
      <w:pPr>
        <w:numPr>
          <w:ilvl w:val="0"/>
          <w:numId w:val="112"/>
        </w:numPr>
        <w:autoSpaceDE w:val="0"/>
        <w:autoSpaceDN w:val="0"/>
        <w:adjustRightInd w:val="0"/>
        <w:spacing w:before="120"/>
        <w:jc w:val="both"/>
        <w:rPr>
          <w:rFonts w:ascii="Calibri" w:eastAsia="SimSun" w:hAnsi="Calibri" w:cs="Arial"/>
          <w:iCs/>
          <w:lang w:val="ro-RO"/>
        </w:rPr>
      </w:pPr>
      <w:r w:rsidRPr="00AF3608">
        <w:rPr>
          <w:rFonts w:ascii="Calibri" w:eastAsia="SimSun" w:hAnsi="Calibri" w:cs="Arial"/>
          <w:iCs/>
          <w:lang w:val="ro-RO"/>
        </w:rPr>
        <w:t>Bugetul schemei de ajutor de stat este 1,043 mld lei (echivalentul în lei al sumei de 215,72 milioane euro), din care 43 milioane lei (echivalent în lei al sumei de aproximativ 8,89 milioane euro), aferent măsurilor prevăzute la cap. II secţiunea 2.2 şi 1 mld lei (echivalent în lei al sumei de aproximativ 206,83 milioane euro), plafonul maxim de garantare aferent măsu</w:t>
      </w:r>
      <w:r w:rsidR="00DC7A10" w:rsidRPr="00AF3608">
        <w:rPr>
          <w:rFonts w:ascii="Calibri" w:eastAsia="SimSun" w:hAnsi="Calibri" w:cs="Arial"/>
          <w:iCs/>
          <w:lang w:val="ro-RO"/>
        </w:rPr>
        <w:t>rilor din cap. II secţiunea 2.1</w:t>
      </w:r>
    </w:p>
    <w:p w:rsidR="00D95CB1" w:rsidRPr="00AF3608" w:rsidRDefault="00D95CB1" w:rsidP="003A0B85">
      <w:pPr>
        <w:numPr>
          <w:ilvl w:val="0"/>
          <w:numId w:val="112"/>
        </w:numPr>
        <w:autoSpaceDE w:val="0"/>
        <w:autoSpaceDN w:val="0"/>
        <w:adjustRightInd w:val="0"/>
        <w:spacing w:before="120"/>
        <w:jc w:val="both"/>
        <w:rPr>
          <w:rFonts w:ascii="Calibri" w:eastAsia="SimSun" w:hAnsi="Calibri" w:cs="Arial"/>
          <w:iCs/>
          <w:lang w:val="ro-RO"/>
        </w:rPr>
      </w:pPr>
      <w:r w:rsidRPr="00AF3608">
        <w:rPr>
          <w:rFonts w:ascii="Calibri" w:eastAsia="SimSun" w:hAnsi="Calibri" w:cs="Arial"/>
          <w:iCs/>
          <w:lang w:val="ro-RO"/>
        </w:rPr>
        <w:t>Prin implementarea schemei se estimează acordarea de ajutor de stat unui numă</w:t>
      </w:r>
      <w:r w:rsidR="00DC7A10" w:rsidRPr="00AF3608">
        <w:rPr>
          <w:rFonts w:ascii="Calibri" w:eastAsia="SimSun" w:hAnsi="Calibri" w:cs="Arial"/>
          <w:iCs/>
          <w:lang w:val="ro-RO"/>
        </w:rPr>
        <w:t>r de maximum 500 de beneficiari</w:t>
      </w:r>
    </w:p>
    <w:p w:rsidR="00D95CB1" w:rsidRPr="00AF3608" w:rsidRDefault="00D95CB1" w:rsidP="00920E23">
      <w:pPr>
        <w:tabs>
          <w:tab w:val="left" w:pos="1122"/>
        </w:tabs>
        <w:suppressAutoHyphens/>
        <w:spacing w:before="120"/>
        <w:jc w:val="both"/>
        <w:rPr>
          <w:rFonts w:ascii="Calibri" w:eastAsia="SimSun" w:hAnsi="Calibri" w:cs="Arial"/>
          <w:color w:val="000000"/>
          <w:lang w:val="ro-RO" w:eastAsia="zh-CN"/>
        </w:rPr>
      </w:pPr>
      <w:r w:rsidRPr="00AF3608">
        <w:rPr>
          <w:rFonts w:ascii="Calibri" w:eastAsia="SimSun" w:hAnsi="Calibri" w:cs="Arial"/>
          <w:b/>
          <w:color w:val="000066"/>
          <w:lang w:val="ro-RO" w:eastAsia="zh-CN"/>
        </w:rPr>
        <w:t>Ministerul Finanţelor va continua susţinerea mediului de afaceri prin intermediul măsurilor de sprijin de natura ajutorului de stat,</w:t>
      </w:r>
      <w:r w:rsidRPr="00AF3608">
        <w:rPr>
          <w:rFonts w:ascii="Calibri" w:eastAsia="SimSun" w:hAnsi="Calibri" w:cs="Arial"/>
          <w:color w:val="000000"/>
          <w:lang w:val="ro-RO" w:eastAsia="zh-CN"/>
        </w:rPr>
        <w:t xml:space="preserve"> cu respectarea reglementărilor comunitare în domeniu, urmărind cu predilecţie:</w:t>
      </w:r>
    </w:p>
    <w:p w:rsidR="00D95CB1" w:rsidRPr="00AF3608" w:rsidRDefault="00D95CB1" w:rsidP="003A0B85">
      <w:pPr>
        <w:numPr>
          <w:ilvl w:val="0"/>
          <w:numId w:val="122"/>
        </w:numPr>
        <w:tabs>
          <w:tab w:val="left" w:pos="1122"/>
        </w:tabs>
        <w:suppressAutoHyphens/>
        <w:spacing w:before="120"/>
        <w:jc w:val="both"/>
        <w:rPr>
          <w:rFonts w:ascii="Calibri" w:eastAsia="SimSun" w:hAnsi="Calibri" w:cs="Arial"/>
          <w:color w:val="000000"/>
          <w:szCs w:val="22"/>
          <w:lang w:val="ro-RO" w:eastAsia="zh-CN"/>
        </w:rPr>
      </w:pPr>
      <w:r w:rsidRPr="00AF3608">
        <w:rPr>
          <w:rFonts w:ascii="Calibri" w:eastAsia="SimSun" w:hAnsi="Calibri" w:cs="Arial"/>
          <w:color w:val="000000"/>
          <w:szCs w:val="22"/>
          <w:lang w:val="ro-RO" w:eastAsia="zh-CN"/>
        </w:rPr>
        <w:lastRenderedPageBreak/>
        <w:t>modificarea</w:t>
      </w:r>
      <w:r w:rsidRPr="00AF3608">
        <w:rPr>
          <w:rFonts w:ascii="Calibri" w:eastAsia="SimSun" w:hAnsi="Calibri" w:cs="Arial"/>
          <w:b/>
          <w:color w:val="000000"/>
          <w:szCs w:val="22"/>
          <w:lang w:val="ro-RO" w:eastAsia="zh-CN"/>
        </w:rPr>
        <w:t xml:space="preserve"> </w:t>
      </w:r>
      <w:r w:rsidRPr="00AF3608">
        <w:rPr>
          <w:rFonts w:ascii="Calibri" w:eastAsia="SimSun" w:hAnsi="Calibri" w:cs="Arial"/>
          <w:bCs/>
          <w:kern w:val="2"/>
          <w:szCs w:val="22"/>
          <w:lang w:val="ro-RO" w:eastAsia="zh-CN"/>
        </w:rPr>
        <w:t xml:space="preserve">H.G. nr. 807/2014 </w:t>
      </w:r>
      <w:r w:rsidRPr="00AF3608">
        <w:rPr>
          <w:rFonts w:ascii="Calibri" w:eastAsia="SimSun" w:hAnsi="Calibri" w:cs="Arial"/>
          <w:bCs/>
          <w:i/>
          <w:kern w:val="2"/>
          <w:szCs w:val="22"/>
          <w:lang w:val="ro-RO" w:eastAsia="zh-CN"/>
        </w:rPr>
        <w:t xml:space="preserve">pentru instituirea unei scheme de ajutor de stat având ca </w:t>
      </w:r>
      <w:r w:rsidRPr="00AF3608">
        <w:rPr>
          <w:rFonts w:ascii="Calibri" w:eastAsia="SimSun" w:hAnsi="Calibri" w:cs="Arial"/>
          <w:i/>
          <w:szCs w:val="22"/>
          <w:lang w:val="ro-RO" w:eastAsia="zh-CN"/>
        </w:rPr>
        <w:t>obiectiv stimularea investițiilor cu impact major în economie</w:t>
      </w:r>
      <w:r w:rsidRPr="00AF3608">
        <w:rPr>
          <w:rFonts w:ascii="Calibri" w:eastAsia="SimSun" w:hAnsi="Calibri" w:cs="Arial"/>
          <w:b/>
          <w:szCs w:val="22"/>
          <w:lang w:val="ro-RO" w:eastAsia="zh-CN"/>
        </w:rPr>
        <w:t xml:space="preserve">, </w:t>
      </w:r>
      <w:r w:rsidRPr="00AF3608">
        <w:rPr>
          <w:rFonts w:ascii="Calibri" w:eastAsia="SimSun" w:hAnsi="Calibri" w:cs="Arial"/>
          <w:szCs w:val="22"/>
          <w:lang w:val="ro-RO" w:eastAsia="zh-CN"/>
        </w:rPr>
        <w:t xml:space="preserve">cu modificările și completările ulterioare, în sensul </w:t>
      </w:r>
      <w:r w:rsidRPr="00AF3608">
        <w:rPr>
          <w:rFonts w:ascii="Calibri" w:eastAsia="SimSun" w:hAnsi="Calibri" w:cs="Arial"/>
          <w:color w:val="000000"/>
          <w:szCs w:val="22"/>
          <w:lang w:val="ro-RO" w:eastAsia="zh-CN"/>
        </w:rPr>
        <w:t xml:space="preserve">majorării bugetului schemei, ca urmare a prelungirii valabilității schemei </w:t>
      </w:r>
      <w:r w:rsidR="00DC7A10" w:rsidRPr="00AF3608">
        <w:rPr>
          <w:rFonts w:ascii="Calibri" w:eastAsia="SimSun" w:hAnsi="Calibri" w:cs="Arial"/>
          <w:color w:val="000000"/>
          <w:szCs w:val="22"/>
          <w:lang w:val="ro-RO" w:eastAsia="zh-CN"/>
        </w:rPr>
        <w:t>de ajutor de stat cu încă 3 ani</w:t>
      </w:r>
    </w:p>
    <w:p w:rsidR="00D95CB1" w:rsidRPr="00AF3608" w:rsidRDefault="00D95CB1" w:rsidP="003A0B85">
      <w:pPr>
        <w:numPr>
          <w:ilvl w:val="0"/>
          <w:numId w:val="122"/>
        </w:numPr>
        <w:tabs>
          <w:tab w:val="left" w:pos="1122"/>
        </w:tabs>
        <w:suppressAutoHyphens/>
        <w:spacing w:before="120"/>
        <w:jc w:val="both"/>
        <w:rPr>
          <w:rFonts w:ascii="Calibri" w:eastAsia="SimSun" w:hAnsi="Calibri" w:cs="Arial"/>
          <w:color w:val="000000"/>
          <w:szCs w:val="22"/>
          <w:lang w:val="ro-RO" w:eastAsia="zh-CN"/>
        </w:rPr>
      </w:pPr>
      <w:r w:rsidRPr="00AF3608">
        <w:rPr>
          <w:rFonts w:ascii="Calibri" w:eastAsia="SimSun" w:hAnsi="Calibri" w:cs="Arial"/>
          <w:color w:val="000000"/>
          <w:szCs w:val="22"/>
          <w:lang w:val="ro-RO" w:eastAsia="zh-CN"/>
        </w:rPr>
        <w:t>selectarea investiţiilor cu real impact asupra dezvoltării regionale prin crearea de noi locuri de muncă şi, implicit, creşterea contribuţiilor întreprinderilor finanţate prin plata de taxe şi impozite la bugetul general consolidat al statulu</w:t>
      </w:r>
      <w:r w:rsidR="00DC7A10" w:rsidRPr="00AF3608">
        <w:rPr>
          <w:rFonts w:ascii="Calibri" w:eastAsia="SimSun" w:hAnsi="Calibri" w:cs="Arial"/>
          <w:color w:val="000000"/>
          <w:szCs w:val="22"/>
          <w:lang w:val="ro-RO" w:eastAsia="zh-CN"/>
        </w:rPr>
        <w:t>i, precum şi la bugetele locale</w:t>
      </w:r>
    </w:p>
    <w:p w:rsidR="00D95CB1" w:rsidRPr="00AF3608" w:rsidRDefault="00D95CB1" w:rsidP="003A0B85">
      <w:pPr>
        <w:numPr>
          <w:ilvl w:val="0"/>
          <w:numId w:val="122"/>
        </w:numPr>
        <w:tabs>
          <w:tab w:val="left" w:pos="1122"/>
        </w:tabs>
        <w:suppressAutoHyphens/>
        <w:spacing w:before="120"/>
        <w:jc w:val="both"/>
        <w:rPr>
          <w:rFonts w:ascii="Calibri" w:eastAsia="SimSun" w:hAnsi="Calibri" w:cs="Arial"/>
          <w:color w:val="000000"/>
          <w:szCs w:val="22"/>
          <w:lang w:val="ro-RO" w:eastAsia="zh-CN"/>
        </w:rPr>
      </w:pPr>
      <w:r w:rsidRPr="00AF3608">
        <w:rPr>
          <w:rFonts w:ascii="Calibri" w:eastAsia="SimSun" w:hAnsi="Calibri" w:cs="Arial"/>
          <w:color w:val="000000"/>
          <w:szCs w:val="22"/>
          <w:lang w:val="ro-RO" w:eastAsia="zh-CN"/>
        </w:rPr>
        <w:t>alocarea eficientă şi transparentă a resurselor bugetare prin politica ajutorului de stat, conform prevederilor com</w:t>
      </w:r>
      <w:r w:rsidR="00DC7A10" w:rsidRPr="00AF3608">
        <w:rPr>
          <w:rFonts w:ascii="Calibri" w:eastAsia="SimSun" w:hAnsi="Calibri" w:cs="Arial"/>
          <w:color w:val="000000"/>
          <w:szCs w:val="22"/>
          <w:lang w:val="ro-RO" w:eastAsia="zh-CN"/>
        </w:rPr>
        <w:t>unitare şi naţionale în domeniu</w:t>
      </w:r>
    </w:p>
    <w:p w:rsidR="00D95CB1" w:rsidRPr="00AF3608" w:rsidRDefault="00D95CB1" w:rsidP="003A0B85">
      <w:pPr>
        <w:numPr>
          <w:ilvl w:val="0"/>
          <w:numId w:val="122"/>
        </w:numPr>
        <w:tabs>
          <w:tab w:val="left" w:pos="1122"/>
        </w:tabs>
        <w:suppressAutoHyphens/>
        <w:spacing w:before="120"/>
        <w:jc w:val="both"/>
        <w:rPr>
          <w:rFonts w:ascii="Calibri" w:eastAsia="SimSun" w:hAnsi="Calibri" w:cs="Arial"/>
          <w:color w:val="000000"/>
          <w:szCs w:val="22"/>
          <w:lang w:val="ro-RO" w:eastAsia="zh-CN"/>
        </w:rPr>
      </w:pPr>
      <w:r w:rsidRPr="00AF3608">
        <w:rPr>
          <w:rFonts w:ascii="Calibri" w:eastAsia="SimSun" w:hAnsi="Calibri" w:cs="Arial"/>
          <w:color w:val="000000"/>
          <w:szCs w:val="22"/>
          <w:lang w:val="ro-RO" w:eastAsia="zh-CN"/>
        </w:rPr>
        <w:t>asigurarea, prin bugetul de stat, a resurselor financiare necesare pentru plata ajutorului de stat, în vederea susţinerii proiectelor de inv</w:t>
      </w:r>
      <w:r w:rsidR="00DC7A10" w:rsidRPr="00AF3608">
        <w:rPr>
          <w:rFonts w:ascii="Calibri" w:eastAsia="SimSun" w:hAnsi="Calibri" w:cs="Arial"/>
          <w:color w:val="000000"/>
          <w:szCs w:val="22"/>
          <w:lang w:val="ro-RO" w:eastAsia="zh-CN"/>
        </w:rPr>
        <w:t>estiţii aprobate spre finanţare</w:t>
      </w:r>
    </w:p>
    <w:p w:rsidR="00D95CB1" w:rsidRPr="00AF3608" w:rsidRDefault="00D95CB1" w:rsidP="003A0B85">
      <w:pPr>
        <w:numPr>
          <w:ilvl w:val="0"/>
          <w:numId w:val="122"/>
        </w:numPr>
        <w:tabs>
          <w:tab w:val="left" w:pos="1122"/>
        </w:tabs>
        <w:suppressAutoHyphens/>
        <w:spacing w:before="120"/>
        <w:jc w:val="both"/>
        <w:rPr>
          <w:rFonts w:ascii="Calibri" w:eastAsia="SimSun" w:hAnsi="Calibri" w:cs="Arial"/>
          <w:color w:val="000000"/>
          <w:szCs w:val="22"/>
          <w:lang w:val="ro-RO" w:eastAsia="zh-CN"/>
        </w:rPr>
      </w:pPr>
      <w:r w:rsidRPr="00AF3608">
        <w:rPr>
          <w:rFonts w:ascii="Calibri" w:eastAsia="SimSun" w:hAnsi="Calibri" w:cs="Arial"/>
          <w:color w:val="000000"/>
          <w:szCs w:val="22"/>
          <w:lang w:val="ro-RO" w:eastAsia="zh-CN"/>
        </w:rPr>
        <w:t>monitorizarea permanentă a investiţiilor finanţate în vederea respectării condiţiilor în baza cărora au fos</w:t>
      </w:r>
      <w:r w:rsidR="00DC7A10" w:rsidRPr="00AF3608">
        <w:rPr>
          <w:rFonts w:ascii="Calibri" w:eastAsia="SimSun" w:hAnsi="Calibri" w:cs="Arial"/>
          <w:color w:val="000000"/>
          <w:szCs w:val="22"/>
          <w:lang w:val="ro-RO" w:eastAsia="zh-CN"/>
        </w:rPr>
        <w:t>t emise acordurile de finanţare</w:t>
      </w:r>
    </w:p>
    <w:p w:rsidR="00D95CB1" w:rsidRPr="00AF3608" w:rsidRDefault="00D95CB1" w:rsidP="003A0B85">
      <w:pPr>
        <w:numPr>
          <w:ilvl w:val="0"/>
          <w:numId w:val="122"/>
        </w:numPr>
        <w:tabs>
          <w:tab w:val="left" w:pos="1122"/>
        </w:tabs>
        <w:suppressAutoHyphens/>
        <w:spacing w:before="120"/>
        <w:jc w:val="both"/>
        <w:rPr>
          <w:rFonts w:ascii="Calibri" w:eastAsia="SimSun" w:hAnsi="Calibri" w:cs="Arial"/>
          <w:color w:val="000000"/>
          <w:szCs w:val="22"/>
          <w:lang w:val="ro-RO" w:eastAsia="zh-CN"/>
        </w:rPr>
      </w:pPr>
      <w:r w:rsidRPr="00AF3608">
        <w:rPr>
          <w:rFonts w:ascii="Calibri" w:eastAsia="SimSun" w:hAnsi="Calibri" w:cs="Arial"/>
          <w:color w:val="000000"/>
          <w:szCs w:val="22"/>
          <w:lang w:val="ro-RO" w:eastAsia="zh-CN"/>
        </w:rPr>
        <w:t>îmbunătăţirea c</w:t>
      </w:r>
      <w:r w:rsidR="00DC7A10" w:rsidRPr="00AF3608">
        <w:rPr>
          <w:rFonts w:ascii="Calibri" w:eastAsia="SimSun" w:hAnsi="Calibri" w:cs="Arial"/>
          <w:color w:val="000000"/>
          <w:szCs w:val="22"/>
          <w:lang w:val="ro-RO" w:eastAsia="zh-CN"/>
        </w:rPr>
        <w:t>omunicării cu mediul de afaceri</w:t>
      </w:r>
    </w:p>
    <w:p w:rsidR="00D95CB1" w:rsidRPr="00AF3608" w:rsidRDefault="00D95CB1" w:rsidP="003A0B85">
      <w:pPr>
        <w:numPr>
          <w:ilvl w:val="0"/>
          <w:numId w:val="122"/>
        </w:numPr>
        <w:tabs>
          <w:tab w:val="left" w:pos="1122"/>
        </w:tabs>
        <w:suppressAutoHyphens/>
        <w:spacing w:before="120"/>
        <w:jc w:val="both"/>
        <w:rPr>
          <w:rFonts w:ascii="Calibri" w:eastAsia="SimSun" w:hAnsi="Calibri" w:cs="Arial"/>
          <w:color w:val="000000"/>
          <w:szCs w:val="22"/>
          <w:lang w:val="ro-RO" w:eastAsia="zh-CN"/>
        </w:rPr>
      </w:pPr>
      <w:r w:rsidRPr="00AF3608">
        <w:rPr>
          <w:rFonts w:ascii="Calibri" w:eastAsia="SimSun" w:hAnsi="Calibri" w:cs="Arial"/>
          <w:color w:val="000000"/>
          <w:szCs w:val="22"/>
          <w:lang w:val="ro-RO" w:eastAsia="zh-CN"/>
        </w:rPr>
        <w:t>sprijinirea tuturor întreprinderilor care realizează investiţii şi creează noi locuri de muncă, participând astfel activ la reducerea decalajelor economice dintre r</w:t>
      </w:r>
      <w:r w:rsidR="00DC7A10" w:rsidRPr="00AF3608">
        <w:rPr>
          <w:rFonts w:ascii="Calibri" w:eastAsia="SimSun" w:hAnsi="Calibri" w:cs="Arial"/>
          <w:color w:val="000000"/>
          <w:szCs w:val="22"/>
          <w:lang w:val="ro-RO" w:eastAsia="zh-CN"/>
        </w:rPr>
        <w:t>egiuni şi la scăderea şomajului</w:t>
      </w:r>
    </w:p>
    <w:p w:rsidR="00D95CB1" w:rsidRPr="00AF3608" w:rsidRDefault="00D95CB1" w:rsidP="003A0B85">
      <w:pPr>
        <w:numPr>
          <w:ilvl w:val="0"/>
          <w:numId w:val="122"/>
        </w:numPr>
        <w:tabs>
          <w:tab w:val="left" w:pos="1122"/>
        </w:tabs>
        <w:suppressAutoHyphens/>
        <w:spacing w:before="120"/>
        <w:jc w:val="both"/>
        <w:rPr>
          <w:rFonts w:ascii="Calibri" w:eastAsia="SimSun" w:hAnsi="Calibri" w:cs="Arial"/>
          <w:color w:val="000000"/>
          <w:szCs w:val="22"/>
          <w:lang w:val="ro-RO" w:eastAsia="zh-CN"/>
        </w:rPr>
      </w:pPr>
      <w:r w:rsidRPr="00AF3608">
        <w:rPr>
          <w:rFonts w:ascii="Calibri" w:eastAsia="SimSun" w:hAnsi="Calibri" w:cs="Arial"/>
          <w:color w:val="000000"/>
          <w:szCs w:val="22"/>
          <w:lang w:val="ro-RO" w:eastAsia="zh-CN"/>
        </w:rPr>
        <w:t>creşterea cifrei de afaceri, datorită dezvoltării şi modernizării  întreprinderilor mari şi a IMM-urilor, respectiv dezvoltarea furnizorilor de active, materii prime, materiale.</w:t>
      </w:r>
    </w:p>
    <w:p w:rsidR="00D95CB1" w:rsidRPr="00AF3608" w:rsidRDefault="00D95CB1" w:rsidP="00920E23">
      <w:pPr>
        <w:spacing w:before="120"/>
        <w:ind w:right="340"/>
        <w:jc w:val="both"/>
        <w:rPr>
          <w:rFonts w:ascii="Calibri" w:hAnsi="Calibri" w:cs="Calibri"/>
          <w:color w:val="000000"/>
          <w:lang w:val="ro-RO"/>
        </w:rPr>
      </w:pPr>
    </w:p>
    <w:p w:rsidR="00D95CB1" w:rsidRPr="00AF3608" w:rsidRDefault="00D95CB1" w:rsidP="003A0B85">
      <w:pPr>
        <w:numPr>
          <w:ilvl w:val="0"/>
          <w:numId w:val="114"/>
        </w:numPr>
        <w:shd w:val="clear" w:color="auto" w:fill="DEEAF6" w:themeFill="accent1" w:themeFillTint="33"/>
        <w:spacing w:before="120"/>
        <w:jc w:val="both"/>
        <w:rPr>
          <w:rFonts w:asciiTheme="minorHAnsi" w:hAnsiTheme="minorHAnsi" w:cstheme="minorHAnsi"/>
          <w:b/>
          <w:color w:val="000066"/>
          <w:lang w:val="ro-RO"/>
        </w:rPr>
      </w:pPr>
      <w:r w:rsidRPr="00AF3608">
        <w:rPr>
          <w:rFonts w:asciiTheme="minorHAnsi" w:eastAsia="+mn-ea" w:hAnsiTheme="minorHAnsi" w:cstheme="minorHAnsi"/>
          <w:b/>
          <w:bCs/>
          <w:color w:val="000066"/>
          <w:lang w:val="ro-RO"/>
        </w:rPr>
        <w:t xml:space="preserve">Reforma, prioritizarea și programarea multianuală a investitiilor publice prin creșterea aportului fondurilor europene </w:t>
      </w:r>
      <w:r w:rsidR="00DC7A10" w:rsidRPr="00AF3608">
        <w:rPr>
          <w:rFonts w:asciiTheme="minorHAnsi" w:eastAsia="+mn-ea" w:hAnsiTheme="minorHAnsi" w:cstheme="minorHAnsi"/>
          <w:b/>
          <w:color w:val="000066"/>
          <w:lang w:val="ro-RO"/>
        </w:rPr>
        <w:t xml:space="preserve">într-o manieră </w:t>
      </w:r>
      <w:r w:rsidRPr="00AF3608">
        <w:rPr>
          <w:rFonts w:asciiTheme="minorHAnsi" w:eastAsia="+mn-ea" w:hAnsiTheme="minorHAnsi" w:cstheme="minorHAnsi"/>
          <w:b/>
          <w:color w:val="000066"/>
          <w:lang w:val="ro-RO"/>
        </w:rPr>
        <w:t xml:space="preserve">eficientă, profesionistă și </w:t>
      </w:r>
      <w:r w:rsidR="00DC7A10" w:rsidRPr="00AF3608">
        <w:rPr>
          <w:rFonts w:asciiTheme="minorHAnsi" w:eastAsia="+mn-ea" w:hAnsiTheme="minorHAnsi" w:cstheme="minorHAnsi"/>
          <w:b/>
          <w:color w:val="000066"/>
          <w:lang w:val="ro-RO"/>
        </w:rPr>
        <w:t xml:space="preserve">transparentă cu </w:t>
      </w:r>
      <w:r w:rsidRPr="00AF3608">
        <w:rPr>
          <w:rFonts w:asciiTheme="minorHAnsi" w:eastAsia="+mn-ea" w:hAnsiTheme="minorHAnsi" w:cstheme="minorHAnsi"/>
          <w:b/>
          <w:color w:val="000066"/>
          <w:lang w:val="ro-RO"/>
        </w:rPr>
        <w:t>efect multiplicator şi aport direct l</w:t>
      </w:r>
      <w:r w:rsidR="00DC7A10" w:rsidRPr="00AF3608">
        <w:rPr>
          <w:rFonts w:asciiTheme="minorHAnsi" w:eastAsia="+mn-ea" w:hAnsiTheme="minorHAnsi" w:cstheme="minorHAnsi"/>
          <w:b/>
          <w:color w:val="000066"/>
          <w:lang w:val="ro-RO"/>
        </w:rPr>
        <w:t>a formarea brută de capital fix</w:t>
      </w:r>
    </w:p>
    <w:p w:rsidR="005F3BD1" w:rsidRPr="00AF3608" w:rsidRDefault="005F3BD1" w:rsidP="00920E23">
      <w:pPr>
        <w:spacing w:before="120"/>
        <w:ind w:right="340"/>
        <w:jc w:val="both"/>
        <w:rPr>
          <w:rFonts w:ascii="Calibri" w:hAnsi="Calibri" w:cs="Calibri"/>
          <w:b/>
          <w:color w:val="000000"/>
          <w:lang w:val="ro-RO"/>
        </w:rPr>
      </w:pPr>
    </w:p>
    <w:p w:rsidR="00D95CB1" w:rsidRPr="00AF3608" w:rsidRDefault="00666E11" w:rsidP="00D95CB1">
      <w:pPr>
        <w:spacing w:before="120" w:line="276" w:lineRule="auto"/>
        <w:ind w:right="340"/>
        <w:jc w:val="both"/>
        <w:rPr>
          <w:rFonts w:ascii="Calibri" w:hAnsi="Calibri" w:cs="Calibri"/>
          <w:b/>
          <w:color w:val="000000"/>
          <w:lang w:val="ro-RO"/>
        </w:rPr>
      </w:pPr>
      <w:r w:rsidRPr="00AF3608">
        <w:rPr>
          <w:rFonts w:ascii="Calibri" w:hAnsi="Calibri" w:cs="Calibri"/>
          <w:b/>
          <w:color w:val="000000"/>
          <w:lang w:val="ro-RO"/>
        </w:rPr>
        <w:t>Cheltuieli de investitii 2018-2023</w:t>
      </w:r>
    </w:p>
    <w:tbl>
      <w:tblPr>
        <w:tblW w:w="9516" w:type="dxa"/>
        <w:jc w:val="center"/>
        <w:tblLayout w:type="fixed"/>
        <w:tblLook w:val="0000" w:firstRow="0" w:lastRow="0" w:firstColumn="0" w:lastColumn="0" w:noHBand="0" w:noVBand="0"/>
      </w:tblPr>
      <w:tblGrid>
        <w:gridCol w:w="2567"/>
        <w:gridCol w:w="993"/>
        <w:gridCol w:w="1275"/>
        <w:gridCol w:w="1418"/>
        <w:gridCol w:w="1253"/>
        <w:gridCol w:w="1005"/>
        <w:gridCol w:w="1005"/>
      </w:tblGrid>
      <w:tr w:rsidR="00A2616A" w:rsidRPr="00AF3608" w:rsidTr="00B1570A">
        <w:trPr>
          <w:trHeight w:val="291"/>
          <w:jc w:val="center"/>
        </w:trPr>
        <w:tc>
          <w:tcPr>
            <w:tcW w:w="2567" w:type="dxa"/>
            <w:tcBorders>
              <w:top w:val="nil"/>
            </w:tcBorders>
            <w:shd w:val="clear" w:color="auto" w:fill="9CC2E5" w:themeFill="accent1" w:themeFillTint="99"/>
          </w:tcPr>
          <w:p w:rsidR="00A2616A" w:rsidRPr="00AF3608" w:rsidRDefault="00A2616A" w:rsidP="00A2616A">
            <w:pPr>
              <w:spacing w:before="120"/>
              <w:rPr>
                <w:rFonts w:ascii="Calibri" w:hAnsi="Calibri" w:cs="Arial"/>
                <w:lang w:val="ro-RO"/>
              </w:rPr>
            </w:pPr>
          </w:p>
        </w:tc>
        <w:tc>
          <w:tcPr>
            <w:tcW w:w="993" w:type="dxa"/>
            <w:tcBorders>
              <w:top w:val="nil"/>
            </w:tcBorders>
            <w:shd w:val="clear" w:color="auto" w:fill="9CC2E5" w:themeFill="accent1" w:themeFillTint="99"/>
          </w:tcPr>
          <w:p w:rsidR="00A2616A" w:rsidRPr="00AF3608" w:rsidRDefault="00A2616A" w:rsidP="00A2616A">
            <w:pPr>
              <w:spacing w:before="120"/>
              <w:jc w:val="center"/>
              <w:rPr>
                <w:rFonts w:ascii="Calibri" w:hAnsi="Calibri" w:cs="Arial"/>
                <w:b/>
                <w:bCs/>
                <w:color w:val="000000"/>
                <w:lang w:val="ro-RO"/>
              </w:rPr>
            </w:pPr>
            <w:r w:rsidRPr="00AF3608">
              <w:rPr>
                <w:rFonts w:ascii="Calibri" w:hAnsi="Calibri" w:cs="Arial"/>
                <w:b/>
                <w:bCs/>
                <w:color w:val="000000"/>
                <w:lang w:val="ro-RO"/>
              </w:rPr>
              <w:t>2018</w:t>
            </w:r>
          </w:p>
        </w:tc>
        <w:tc>
          <w:tcPr>
            <w:tcW w:w="1275" w:type="dxa"/>
            <w:tcBorders>
              <w:top w:val="nil"/>
            </w:tcBorders>
            <w:shd w:val="clear" w:color="auto" w:fill="9CC2E5" w:themeFill="accent1" w:themeFillTint="99"/>
          </w:tcPr>
          <w:p w:rsidR="00A2616A" w:rsidRPr="00AF3608" w:rsidRDefault="00A2616A" w:rsidP="00A2616A">
            <w:pPr>
              <w:spacing w:before="120"/>
              <w:jc w:val="center"/>
              <w:rPr>
                <w:rFonts w:ascii="Calibri" w:hAnsi="Calibri" w:cs="Arial"/>
                <w:b/>
                <w:bCs/>
                <w:lang w:val="ro-RO"/>
              </w:rPr>
            </w:pPr>
            <w:r w:rsidRPr="00AF3608">
              <w:rPr>
                <w:rFonts w:ascii="Calibri" w:eastAsia="Calibri" w:hAnsi="Calibri" w:cs="Arial"/>
                <w:b/>
                <w:bCs/>
                <w:lang w:val="ro-RO"/>
              </w:rPr>
              <w:t>2019</w:t>
            </w:r>
          </w:p>
        </w:tc>
        <w:tc>
          <w:tcPr>
            <w:tcW w:w="1418" w:type="dxa"/>
            <w:tcBorders>
              <w:top w:val="nil"/>
            </w:tcBorders>
            <w:shd w:val="clear" w:color="auto" w:fill="9CC2E5" w:themeFill="accent1" w:themeFillTint="99"/>
          </w:tcPr>
          <w:p w:rsidR="00A2616A" w:rsidRPr="00AF3608" w:rsidRDefault="00A2616A" w:rsidP="00A2616A">
            <w:pPr>
              <w:spacing w:before="120"/>
              <w:jc w:val="center"/>
              <w:rPr>
                <w:rFonts w:ascii="Calibri" w:hAnsi="Calibri" w:cs="Arial"/>
                <w:b/>
                <w:bCs/>
                <w:lang w:val="ro-RO"/>
              </w:rPr>
            </w:pPr>
            <w:r w:rsidRPr="00AF3608">
              <w:rPr>
                <w:rFonts w:ascii="Calibri" w:eastAsia="Calibri" w:hAnsi="Calibri" w:cs="Arial"/>
                <w:b/>
                <w:bCs/>
                <w:lang w:val="ro-RO"/>
              </w:rPr>
              <w:t>2020</w:t>
            </w:r>
          </w:p>
        </w:tc>
        <w:tc>
          <w:tcPr>
            <w:tcW w:w="1253" w:type="dxa"/>
            <w:tcBorders>
              <w:top w:val="nil"/>
            </w:tcBorders>
            <w:shd w:val="clear" w:color="auto" w:fill="9CC2E5" w:themeFill="accent1" w:themeFillTint="99"/>
          </w:tcPr>
          <w:p w:rsidR="00A2616A" w:rsidRPr="00AF3608" w:rsidRDefault="00A2616A" w:rsidP="00A2616A">
            <w:pPr>
              <w:spacing w:before="120"/>
              <w:jc w:val="center"/>
              <w:rPr>
                <w:rFonts w:ascii="Calibri" w:hAnsi="Calibri" w:cs="Arial"/>
                <w:b/>
                <w:bCs/>
                <w:lang w:val="ro-RO"/>
              </w:rPr>
            </w:pPr>
            <w:r w:rsidRPr="00AF3608">
              <w:rPr>
                <w:rFonts w:ascii="Calibri" w:eastAsia="Calibri" w:hAnsi="Calibri" w:cs="Arial"/>
                <w:b/>
                <w:bCs/>
                <w:lang w:val="ro-RO"/>
              </w:rPr>
              <w:t>2021</w:t>
            </w:r>
          </w:p>
        </w:tc>
        <w:tc>
          <w:tcPr>
            <w:tcW w:w="1005" w:type="dxa"/>
            <w:tcBorders>
              <w:top w:val="nil"/>
            </w:tcBorders>
            <w:shd w:val="clear" w:color="auto" w:fill="9CC2E5" w:themeFill="accent1" w:themeFillTint="99"/>
          </w:tcPr>
          <w:p w:rsidR="00A2616A" w:rsidRPr="00AF3608" w:rsidRDefault="00A2616A" w:rsidP="00A2616A">
            <w:pPr>
              <w:spacing w:before="120"/>
              <w:jc w:val="center"/>
              <w:rPr>
                <w:rFonts w:ascii="Calibri" w:eastAsia="Calibri" w:hAnsi="Calibri" w:cs="Arial"/>
                <w:b/>
                <w:bCs/>
                <w:lang w:val="ro-RO"/>
              </w:rPr>
            </w:pPr>
            <w:r w:rsidRPr="00AF3608">
              <w:rPr>
                <w:rFonts w:ascii="Calibri" w:eastAsia="Calibri" w:hAnsi="Calibri" w:cs="Arial"/>
                <w:b/>
                <w:bCs/>
                <w:lang w:val="ro-RO"/>
              </w:rPr>
              <w:t>2022</w:t>
            </w:r>
          </w:p>
        </w:tc>
        <w:tc>
          <w:tcPr>
            <w:tcW w:w="1005" w:type="dxa"/>
            <w:tcBorders>
              <w:top w:val="nil"/>
            </w:tcBorders>
            <w:shd w:val="clear" w:color="auto" w:fill="9CC2E5" w:themeFill="accent1" w:themeFillTint="99"/>
          </w:tcPr>
          <w:p w:rsidR="00A2616A" w:rsidRPr="00AF3608" w:rsidRDefault="00A2616A" w:rsidP="00A2616A">
            <w:pPr>
              <w:spacing w:before="120"/>
              <w:jc w:val="center"/>
              <w:rPr>
                <w:rFonts w:ascii="Calibri" w:eastAsia="Calibri" w:hAnsi="Calibri" w:cs="Arial"/>
                <w:b/>
                <w:bCs/>
                <w:lang w:val="ro-RO"/>
              </w:rPr>
            </w:pPr>
            <w:r w:rsidRPr="00AF3608">
              <w:rPr>
                <w:rFonts w:ascii="Calibri" w:eastAsia="Calibri" w:hAnsi="Calibri" w:cs="Arial"/>
                <w:b/>
                <w:bCs/>
                <w:lang w:val="ro-RO"/>
              </w:rPr>
              <w:t>2023</w:t>
            </w:r>
          </w:p>
        </w:tc>
      </w:tr>
      <w:tr w:rsidR="00A2616A" w:rsidRPr="00AF3608" w:rsidTr="00B1570A">
        <w:trPr>
          <w:trHeight w:val="291"/>
          <w:jc w:val="center"/>
        </w:trPr>
        <w:tc>
          <w:tcPr>
            <w:tcW w:w="2567" w:type="dxa"/>
            <w:shd w:val="clear" w:color="auto" w:fill="9CC2E5" w:themeFill="accent1" w:themeFillTint="99"/>
            <w:vAlign w:val="center"/>
          </w:tcPr>
          <w:p w:rsidR="00A2616A" w:rsidRPr="00AF3608" w:rsidRDefault="00A2616A" w:rsidP="00A2616A">
            <w:pPr>
              <w:spacing w:before="120"/>
              <w:rPr>
                <w:rFonts w:ascii="Calibri" w:hAnsi="Calibri" w:cs="Arial"/>
                <w:lang w:val="ro-RO"/>
              </w:rPr>
            </w:pPr>
          </w:p>
        </w:tc>
        <w:tc>
          <w:tcPr>
            <w:tcW w:w="993" w:type="dxa"/>
            <w:tcBorders>
              <w:left w:val="nil"/>
              <w:right w:val="nil"/>
            </w:tcBorders>
            <w:shd w:val="clear" w:color="auto" w:fill="9CC2E5" w:themeFill="accent1" w:themeFillTint="99"/>
          </w:tcPr>
          <w:p w:rsidR="00A2616A" w:rsidRPr="00AF3608" w:rsidRDefault="00B1570A" w:rsidP="00A2616A">
            <w:pPr>
              <w:spacing w:before="120"/>
              <w:jc w:val="center"/>
              <w:rPr>
                <w:rFonts w:ascii="Calibri" w:hAnsi="Calibri" w:cs="Arial"/>
                <w:b/>
                <w:bCs/>
                <w:sz w:val="20"/>
                <w:szCs w:val="20"/>
                <w:lang w:val="ro-RO"/>
              </w:rPr>
            </w:pPr>
            <w:r w:rsidRPr="00AF3608">
              <w:rPr>
                <w:rFonts w:ascii="Calibri" w:hAnsi="Calibri" w:cs="Arial"/>
                <w:b/>
                <w:bCs/>
                <w:sz w:val="20"/>
                <w:szCs w:val="20"/>
                <w:lang w:val="ro-RO"/>
              </w:rPr>
              <w:t>realiză</w:t>
            </w:r>
            <w:r w:rsidR="00A2616A" w:rsidRPr="00AF3608">
              <w:rPr>
                <w:rFonts w:ascii="Calibri" w:hAnsi="Calibri" w:cs="Arial"/>
                <w:b/>
                <w:bCs/>
                <w:sz w:val="20"/>
                <w:szCs w:val="20"/>
                <w:lang w:val="ro-RO"/>
              </w:rPr>
              <w:t>ri</w:t>
            </w:r>
          </w:p>
        </w:tc>
        <w:tc>
          <w:tcPr>
            <w:tcW w:w="1275" w:type="dxa"/>
            <w:tcBorders>
              <w:left w:val="nil"/>
              <w:right w:val="nil"/>
            </w:tcBorders>
            <w:shd w:val="clear" w:color="auto" w:fill="9CC2E5" w:themeFill="accent1" w:themeFillTint="99"/>
          </w:tcPr>
          <w:p w:rsidR="00A2616A" w:rsidRPr="00AF3608" w:rsidRDefault="00A2616A" w:rsidP="00B1570A">
            <w:pPr>
              <w:spacing w:before="120"/>
              <w:jc w:val="center"/>
              <w:rPr>
                <w:rFonts w:ascii="Calibri" w:hAnsi="Calibri" w:cs="Arial"/>
                <w:b/>
                <w:bCs/>
                <w:sz w:val="20"/>
                <w:szCs w:val="20"/>
                <w:lang w:val="ro-RO"/>
              </w:rPr>
            </w:pPr>
            <w:r w:rsidRPr="00AF3608">
              <w:rPr>
                <w:rFonts w:ascii="Calibri" w:hAnsi="Calibri" w:cs="Arial"/>
                <w:b/>
                <w:bCs/>
                <w:sz w:val="20"/>
                <w:szCs w:val="20"/>
                <w:lang w:val="ro-RO"/>
              </w:rPr>
              <w:t>realiz</w:t>
            </w:r>
            <w:r w:rsidR="00B1570A" w:rsidRPr="00AF3608">
              <w:rPr>
                <w:rFonts w:ascii="Calibri" w:hAnsi="Calibri" w:cs="Arial"/>
                <w:b/>
                <w:bCs/>
                <w:sz w:val="20"/>
                <w:szCs w:val="20"/>
                <w:lang w:val="ro-RO"/>
              </w:rPr>
              <w:t>ă</w:t>
            </w:r>
            <w:r w:rsidRPr="00AF3608">
              <w:rPr>
                <w:rFonts w:ascii="Calibri" w:hAnsi="Calibri" w:cs="Arial"/>
                <w:b/>
                <w:bCs/>
                <w:sz w:val="20"/>
                <w:szCs w:val="20"/>
                <w:lang w:val="ro-RO"/>
              </w:rPr>
              <w:t>ri</w:t>
            </w:r>
          </w:p>
        </w:tc>
        <w:tc>
          <w:tcPr>
            <w:tcW w:w="1418" w:type="dxa"/>
            <w:tcBorders>
              <w:left w:val="nil"/>
              <w:right w:val="nil"/>
            </w:tcBorders>
            <w:shd w:val="clear" w:color="auto" w:fill="9CC2E5" w:themeFill="accent1" w:themeFillTint="99"/>
          </w:tcPr>
          <w:p w:rsidR="00A2616A" w:rsidRPr="00AF3608" w:rsidRDefault="00A2616A" w:rsidP="00A2616A">
            <w:pPr>
              <w:spacing w:before="120"/>
              <w:jc w:val="center"/>
              <w:rPr>
                <w:rFonts w:ascii="Calibri" w:hAnsi="Calibri" w:cs="Arial"/>
                <w:b/>
                <w:bCs/>
                <w:sz w:val="20"/>
                <w:szCs w:val="20"/>
                <w:lang w:val="ro-RO"/>
              </w:rPr>
            </w:pPr>
            <w:r w:rsidRPr="00AF3608">
              <w:rPr>
                <w:rFonts w:ascii="Calibri" w:hAnsi="Calibri" w:cs="Arial"/>
                <w:b/>
                <w:bCs/>
                <w:sz w:val="20"/>
                <w:szCs w:val="20"/>
                <w:lang w:val="ro-RO"/>
              </w:rPr>
              <w:t>Executie preliminată</w:t>
            </w:r>
          </w:p>
        </w:tc>
        <w:tc>
          <w:tcPr>
            <w:tcW w:w="1253" w:type="dxa"/>
            <w:tcBorders>
              <w:left w:val="nil"/>
              <w:right w:val="nil"/>
            </w:tcBorders>
            <w:shd w:val="clear" w:color="auto" w:fill="9CC2E5" w:themeFill="accent1" w:themeFillTint="99"/>
          </w:tcPr>
          <w:p w:rsidR="00A2616A" w:rsidRPr="00AF3608" w:rsidRDefault="00A2616A" w:rsidP="00A2616A">
            <w:pPr>
              <w:spacing w:before="120"/>
              <w:jc w:val="center"/>
              <w:rPr>
                <w:rFonts w:ascii="Calibri" w:hAnsi="Calibri" w:cs="Arial"/>
                <w:b/>
                <w:bCs/>
                <w:sz w:val="20"/>
                <w:szCs w:val="20"/>
                <w:lang w:val="ro-RO"/>
              </w:rPr>
            </w:pPr>
            <w:r w:rsidRPr="00AF3608">
              <w:rPr>
                <w:rFonts w:ascii="Calibri" w:hAnsi="Calibri" w:cs="Arial"/>
                <w:b/>
                <w:bCs/>
                <w:sz w:val="20"/>
                <w:szCs w:val="20"/>
                <w:lang w:val="ro-RO"/>
              </w:rPr>
              <w:t>propuneri</w:t>
            </w:r>
          </w:p>
        </w:tc>
        <w:tc>
          <w:tcPr>
            <w:tcW w:w="1005" w:type="dxa"/>
            <w:tcBorders>
              <w:left w:val="nil"/>
              <w:right w:val="nil"/>
            </w:tcBorders>
            <w:shd w:val="clear" w:color="auto" w:fill="9CC2E5" w:themeFill="accent1" w:themeFillTint="99"/>
          </w:tcPr>
          <w:p w:rsidR="00A2616A" w:rsidRPr="00AF3608" w:rsidRDefault="00B1570A" w:rsidP="00B1570A">
            <w:pPr>
              <w:spacing w:before="120"/>
              <w:jc w:val="center"/>
              <w:rPr>
                <w:rFonts w:ascii="Calibri" w:eastAsia="Calibri" w:hAnsi="Calibri" w:cs="Arial"/>
                <w:b/>
                <w:bCs/>
                <w:sz w:val="20"/>
                <w:szCs w:val="20"/>
                <w:lang w:val="ro-RO"/>
              </w:rPr>
            </w:pPr>
            <w:r w:rsidRPr="00AF3608">
              <w:rPr>
                <w:rFonts w:ascii="Calibri" w:eastAsia="Calibri" w:hAnsi="Calibri" w:cs="Arial"/>
                <w:b/>
                <w:bCs/>
                <w:sz w:val="20"/>
                <w:szCs w:val="20"/>
                <w:lang w:val="ro-RO"/>
              </w:rPr>
              <w:t>E</w:t>
            </w:r>
            <w:r w:rsidR="00A2616A" w:rsidRPr="00AF3608">
              <w:rPr>
                <w:rFonts w:ascii="Calibri" w:eastAsia="Calibri" w:hAnsi="Calibri" w:cs="Arial"/>
                <w:b/>
                <w:bCs/>
                <w:sz w:val="20"/>
                <w:szCs w:val="20"/>
                <w:lang w:val="ro-RO"/>
              </w:rPr>
              <w:t>stim</w:t>
            </w:r>
            <w:r w:rsidRPr="00AF3608">
              <w:rPr>
                <w:rFonts w:ascii="Calibri" w:eastAsia="Calibri" w:hAnsi="Calibri" w:cs="Arial"/>
                <w:b/>
                <w:bCs/>
                <w:sz w:val="20"/>
                <w:szCs w:val="20"/>
                <w:lang w:val="ro-RO"/>
              </w:rPr>
              <w:t>ăr</w:t>
            </w:r>
            <w:r w:rsidR="00A2616A" w:rsidRPr="00AF3608">
              <w:rPr>
                <w:rFonts w:ascii="Calibri" w:eastAsia="Calibri" w:hAnsi="Calibri" w:cs="Arial"/>
                <w:b/>
                <w:bCs/>
                <w:sz w:val="20"/>
                <w:szCs w:val="20"/>
                <w:lang w:val="ro-RO"/>
              </w:rPr>
              <w:t>i</w:t>
            </w:r>
          </w:p>
        </w:tc>
        <w:tc>
          <w:tcPr>
            <w:tcW w:w="1005" w:type="dxa"/>
            <w:tcBorders>
              <w:left w:val="nil"/>
              <w:right w:val="nil"/>
            </w:tcBorders>
            <w:shd w:val="clear" w:color="auto" w:fill="9CC2E5" w:themeFill="accent1" w:themeFillTint="99"/>
          </w:tcPr>
          <w:p w:rsidR="00A2616A" w:rsidRPr="00AF3608" w:rsidRDefault="00A2616A" w:rsidP="00B1570A">
            <w:pPr>
              <w:spacing w:before="120"/>
              <w:jc w:val="center"/>
              <w:rPr>
                <w:rFonts w:ascii="Calibri" w:eastAsia="Calibri" w:hAnsi="Calibri" w:cs="Arial"/>
                <w:b/>
                <w:bCs/>
                <w:sz w:val="20"/>
                <w:szCs w:val="20"/>
                <w:lang w:val="ro-RO"/>
              </w:rPr>
            </w:pPr>
            <w:r w:rsidRPr="00AF3608">
              <w:rPr>
                <w:rFonts w:ascii="Calibri" w:eastAsia="Calibri" w:hAnsi="Calibri" w:cs="Arial"/>
                <w:b/>
                <w:bCs/>
                <w:sz w:val="20"/>
                <w:szCs w:val="20"/>
                <w:lang w:val="ro-RO"/>
              </w:rPr>
              <w:t>estim</w:t>
            </w:r>
            <w:r w:rsidR="00B1570A" w:rsidRPr="00AF3608">
              <w:rPr>
                <w:rFonts w:ascii="Calibri" w:eastAsia="Calibri" w:hAnsi="Calibri" w:cs="Arial"/>
                <w:b/>
                <w:bCs/>
                <w:sz w:val="20"/>
                <w:szCs w:val="20"/>
                <w:lang w:val="ro-RO"/>
              </w:rPr>
              <w:t>ă</w:t>
            </w:r>
            <w:r w:rsidRPr="00AF3608">
              <w:rPr>
                <w:rFonts w:ascii="Calibri" w:eastAsia="Calibri" w:hAnsi="Calibri" w:cs="Arial"/>
                <w:b/>
                <w:bCs/>
                <w:sz w:val="20"/>
                <w:szCs w:val="20"/>
                <w:lang w:val="ro-RO"/>
              </w:rPr>
              <w:t>ri</w:t>
            </w:r>
          </w:p>
        </w:tc>
      </w:tr>
      <w:tr w:rsidR="00A2616A" w:rsidRPr="00AF3608" w:rsidTr="00A2616A">
        <w:trPr>
          <w:trHeight w:val="555"/>
          <w:jc w:val="center"/>
        </w:trPr>
        <w:tc>
          <w:tcPr>
            <w:tcW w:w="2567" w:type="dxa"/>
            <w:tcBorders>
              <w:bottom w:val="nil"/>
            </w:tcBorders>
            <w:shd w:val="clear" w:color="auto" w:fill="FFFFFF"/>
          </w:tcPr>
          <w:p w:rsidR="00A2616A" w:rsidRPr="00AF3608" w:rsidRDefault="00A2616A" w:rsidP="00A2616A">
            <w:pPr>
              <w:spacing w:before="120"/>
              <w:rPr>
                <w:rFonts w:ascii="Calibri" w:hAnsi="Calibri" w:cs="Arial"/>
                <w:lang w:val="ro-RO"/>
              </w:rPr>
            </w:pPr>
            <w:r w:rsidRPr="00AF3608">
              <w:rPr>
                <w:rFonts w:ascii="Calibri" w:hAnsi="Calibri" w:cs="Arial"/>
                <w:lang w:val="ro-RO"/>
              </w:rPr>
              <w:t>Cheltuieli totale BGC (mil. lei)</w:t>
            </w:r>
          </w:p>
        </w:tc>
        <w:tc>
          <w:tcPr>
            <w:tcW w:w="993" w:type="dxa"/>
            <w:tcBorders>
              <w:left w:val="nil"/>
              <w:bottom w:val="nil"/>
              <w:right w:val="nil"/>
            </w:tcBorders>
            <w:shd w:val="clear" w:color="auto" w:fill="FFFFFF"/>
          </w:tcPr>
          <w:p w:rsidR="00A2616A" w:rsidRPr="00AF3608" w:rsidRDefault="00A2616A" w:rsidP="00A2616A">
            <w:pPr>
              <w:spacing w:before="120"/>
              <w:jc w:val="center"/>
              <w:rPr>
                <w:rFonts w:ascii="Calibri" w:hAnsi="Calibri" w:cs="Arial"/>
                <w:sz w:val="22"/>
                <w:szCs w:val="22"/>
                <w:lang w:val="ro-RO"/>
              </w:rPr>
            </w:pPr>
            <w:r w:rsidRPr="00AF3608">
              <w:rPr>
                <w:rFonts w:ascii="Calibri" w:hAnsi="Calibri" w:cs="Arial"/>
                <w:sz w:val="22"/>
                <w:szCs w:val="22"/>
                <w:lang w:val="ro-RO"/>
              </w:rPr>
              <w:t>322.115</w:t>
            </w:r>
          </w:p>
        </w:tc>
        <w:tc>
          <w:tcPr>
            <w:tcW w:w="1275" w:type="dxa"/>
            <w:tcBorders>
              <w:left w:val="nil"/>
              <w:bottom w:val="nil"/>
              <w:right w:val="nil"/>
            </w:tcBorders>
            <w:shd w:val="clear" w:color="auto" w:fill="FFFFFF"/>
          </w:tcPr>
          <w:p w:rsidR="00A2616A" w:rsidRPr="00AF3608" w:rsidRDefault="00A2616A" w:rsidP="00A2616A">
            <w:pPr>
              <w:spacing w:before="120"/>
              <w:jc w:val="center"/>
              <w:rPr>
                <w:rFonts w:ascii="Calibri" w:hAnsi="Calibri" w:cs="Arial"/>
                <w:sz w:val="22"/>
                <w:szCs w:val="22"/>
                <w:lang w:val="ro-RO"/>
              </w:rPr>
            </w:pPr>
            <w:r w:rsidRPr="00AF3608">
              <w:rPr>
                <w:rFonts w:ascii="Calibri" w:hAnsi="Calibri" w:cs="Arial"/>
                <w:sz w:val="22"/>
                <w:szCs w:val="22"/>
                <w:lang w:val="ro-RO"/>
              </w:rPr>
              <w:t>369.629</w:t>
            </w:r>
          </w:p>
        </w:tc>
        <w:tc>
          <w:tcPr>
            <w:tcW w:w="1418" w:type="dxa"/>
            <w:tcBorders>
              <w:left w:val="nil"/>
              <w:bottom w:val="nil"/>
              <w:right w:val="nil"/>
            </w:tcBorders>
            <w:shd w:val="clear" w:color="auto" w:fill="FFFFFF"/>
          </w:tcPr>
          <w:p w:rsidR="00A2616A" w:rsidRPr="00AF3608" w:rsidRDefault="00A2616A" w:rsidP="00A2616A">
            <w:pPr>
              <w:spacing w:before="120"/>
              <w:jc w:val="center"/>
              <w:rPr>
                <w:rFonts w:ascii="Calibri" w:hAnsi="Calibri" w:cs="Arial"/>
                <w:sz w:val="22"/>
                <w:szCs w:val="22"/>
                <w:lang w:val="ro-RO"/>
              </w:rPr>
            </w:pPr>
            <w:r w:rsidRPr="00AF3608">
              <w:rPr>
                <w:rFonts w:ascii="Calibri" w:hAnsi="Calibri" w:cs="Arial"/>
                <w:sz w:val="22"/>
                <w:szCs w:val="22"/>
                <w:lang w:val="ro-RO"/>
              </w:rPr>
              <w:t>424.435</w:t>
            </w:r>
          </w:p>
        </w:tc>
        <w:tc>
          <w:tcPr>
            <w:tcW w:w="1253" w:type="dxa"/>
            <w:tcBorders>
              <w:left w:val="nil"/>
              <w:bottom w:val="nil"/>
              <w:right w:val="nil"/>
            </w:tcBorders>
            <w:shd w:val="clear" w:color="auto" w:fill="FFFFFF"/>
          </w:tcPr>
          <w:p w:rsidR="00A2616A" w:rsidRPr="00AF3608" w:rsidRDefault="00053B49" w:rsidP="00A2616A">
            <w:pPr>
              <w:spacing w:before="120"/>
              <w:jc w:val="center"/>
              <w:rPr>
                <w:rFonts w:ascii="Calibri" w:hAnsi="Calibri" w:cs="Arial"/>
                <w:sz w:val="22"/>
                <w:szCs w:val="22"/>
                <w:lang w:val="ro-RO"/>
              </w:rPr>
            </w:pPr>
            <w:r w:rsidRPr="00AF3608">
              <w:rPr>
                <w:rFonts w:ascii="Calibri" w:hAnsi="Calibri" w:cs="Arial"/>
                <w:sz w:val="22"/>
                <w:szCs w:val="22"/>
                <w:lang w:val="ro-RO"/>
              </w:rPr>
              <w:t>444.907</w:t>
            </w:r>
          </w:p>
        </w:tc>
        <w:tc>
          <w:tcPr>
            <w:tcW w:w="1005" w:type="dxa"/>
            <w:tcBorders>
              <w:left w:val="nil"/>
              <w:bottom w:val="nil"/>
              <w:right w:val="nil"/>
            </w:tcBorders>
            <w:shd w:val="clear" w:color="auto" w:fill="FFFFFF"/>
          </w:tcPr>
          <w:p w:rsidR="00A2616A" w:rsidRPr="00AF3608" w:rsidRDefault="00A2616A" w:rsidP="00A2616A">
            <w:pPr>
              <w:spacing w:before="120"/>
              <w:jc w:val="center"/>
              <w:rPr>
                <w:rFonts w:ascii="Calibri" w:hAnsi="Calibri" w:cs="Arial"/>
                <w:sz w:val="22"/>
                <w:szCs w:val="22"/>
                <w:lang w:val="ro-RO"/>
              </w:rPr>
            </w:pPr>
            <w:r w:rsidRPr="00AF3608">
              <w:rPr>
                <w:rFonts w:ascii="Calibri" w:hAnsi="Calibri" w:cs="Arial"/>
                <w:sz w:val="22"/>
                <w:szCs w:val="22"/>
                <w:lang w:val="ro-RO"/>
              </w:rPr>
              <w:t>448.533</w:t>
            </w:r>
          </w:p>
        </w:tc>
        <w:tc>
          <w:tcPr>
            <w:tcW w:w="1005" w:type="dxa"/>
            <w:tcBorders>
              <w:left w:val="nil"/>
              <w:bottom w:val="nil"/>
              <w:right w:val="nil"/>
            </w:tcBorders>
            <w:shd w:val="clear" w:color="auto" w:fill="FFFFFF"/>
          </w:tcPr>
          <w:p w:rsidR="00A2616A" w:rsidRPr="00AF3608" w:rsidRDefault="00A2616A" w:rsidP="00A2616A">
            <w:pPr>
              <w:spacing w:before="120"/>
              <w:jc w:val="center"/>
              <w:rPr>
                <w:rFonts w:ascii="Calibri" w:hAnsi="Calibri" w:cs="Arial"/>
                <w:sz w:val="22"/>
                <w:szCs w:val="22"/>
                <w:lang w:val="ro-RO"/>
              </w:rPr>
            </w:pPr>
            <w:r w:rsidRPr="00AF3608">
              <w:rPr>
                <w:rFonts w:ascii="Calibri" w:hAnsi="Calibri" w:cs="Arial"/>
                <w:sz w:val="22"/>
                <w:szCs w:val="22"/>
                <w:lang w:val="ro-RO"/>
              </w:rPr>
              <w:t>459.917</w:t>
            </w:r>
          </w:p>
        </w:tc>
      </w:tr>
      <w:tr w:rsidR="00A2616A" w:rsidRPr="00AF3608" w:rsidTr="00A2616A">
        <w:trPr>
          <w:trHeight w:val="277"/>
          <w:jc w:val="center"/>
        </w:trPr>
        <w:tc>
          <w:tcPr>
            <w:tcW w:w="2567" w:type="dxa"/>
            <w:tcBorders>
              <w:top w:val="nil"/>
              <w:left w:val="nil"/>
              <w:bottom w:val="nil"/>
              <w:right w:val="nil"/>
            </w:tcBorders>
            <w:shd w:val="clear" w:color="auto" w:fill="FFFFFF"/>
          </w:tcPr>
          <w:p w:rsidR="00A2616A" w:rsidRPr="00AF3608" w:rsidRDefault="00A2616A" w:rsidP="00A2616A">
            <w:pPr>
              <w:spacing w:before="120"/>
              <w:rPr>
                <w:rFonts w:ascii="Calibri" w:hAnsi="Calibri" w:cs="Arial"/>
                <w:lang w:val="ro-RO"/>
              </w:rPr>
            </w:pPr>
            <w:r w:rsidRPr="00AF3608">
              <w:rPr>
                <w:rFonts w:ascii="Calibri" w:eastAsia="Calibri" w:hAnsi="Calibri" w:cs="Arial"/>
                <w:lang w:val="ro-RO"/>
              </w:rPr>
              <w:t>- % din PIB</w:t>
            </w:r>
          </w:p>
        </w:tc>
        <w:tc>
          <w:tcPr>
            <w:tcW w:w="993" w:type="dxa"/>
            <w:tcBorders>
              <w:top w:val="nil"/>
              <w:left w:val="nil"/>
              <w:bottom w:val="nil"/>
              <w:right w:val="nil"/>
            </w:tcBorders>
            <w:shd w:val="clear" w:color="auto" w:fill="FFFFFF"/>
          </w:tcPr>
          <w:p w:rsidR="00A2616A" w:rsidRPr="00AF3608" w:rsidRDefault="00A2616A" w:rsidP="00A2616A">
            <w:pPr>
              <w:spacing w:before="120"/>
              <w:jc w:val="center"/>
              <w:rPr>
                <w:rFonts w:ascii="Calibri" w:hAnsi="Calibri" w:cs="Arial"/>
                <w:sz w:val="22"/>
                <w:szCs w:val="22"/>
                <w:lang w:val="ro-RO"/>
              </w:rPr>
            </w:pPr>
            <w:r w:rsidRPr="00AF3608">
              <w:rPr>
                <w:rFonts w:ascii="Calibri" w:hAnsi="Calibri" w:cs="Arial"/>
                <w:sz w:val="22"/>
                <w:szCs w:val="22"/>
                <w:lang w:val="ro-RO"/>
              </w:rPr>
              <w:t>33,85</w:t>
            </w:r>
          </w:p>
        </w:tc>
        <w:tc>
          <w:tcPr>
            <w:tcW w:w="1275" w:type="dxa"/>
            <w:tcBorders>
              <w:top w:val="nil"/>
              <w:left w:val="nil"/>
              <w:bottom w:val="nil"/>
              <w:right w:val="nil"/>
            </w:tcBorders>
            <w:shd w:val="clear" w:color="auto" w:fill="FFFFFF"/>
          </w:tcPr>
          <w:p w:rsidR="00A2616A" w:rsidRPr="00AF3608" w:rsidRDefault="00A2616A" w:rsidP="00A2616A">
            <w:pPr>
              <w:spacing w:before="120"/>
              <w:jc w:val="center"/>
              <w:rPr>
                <w:rFonts w:ascii="Calibri" w:hAnsi="Calibri" w:cs="Arial"/>
                <w:sz w:val="22"/>
                <w:szCs w:val="22"/>
                <w:lang w:val="ro-RO"/>
              </w:rPr>
            </w:pPr>
            <w:r w:rsidRPr="00AF3608">
              <w:rPr>
                <w:rFonts w:ascii="Calibri" w:hAnsi="Calibri" w:cs="Arial"/>
                <w:sz w:val="22"/>
                <w:szCs w:val="22"/>
                <w:lang w:val="ro-RO"/>
              </w:rPr>
              <w:t>34,88</w:t>
            </w:r>
          </w:p>
        </w:tc>
        <w:tc>
          <w:tcPr>
            <w:tcW w:w="1418" w:type="dxa"/>
            <w:tcBorders>
              <w:top w:val="nil"/>
              <w:left w:val="nil"/>
              <w:bottom w:val="nil"/>
              <w:right w:val="nil"/>
            </w:tcBorders>
            <w:shd w:val="clear" w:color="auto" w:fill="FFFFFF"/>
          </w:tcPr>
          <w:p w:rsidR="00A2616A" w:rsidRPr="00AF3608" w:rsidRDefault="00A2616A" w:rsidP="00A2616A">
            <w:pPr>
              <w:spacing w:before="120"/>
              <w:jc w:val="center"/>
              <w:rPr>
                <w:rFonts w:ascii="Calibri" w:hAnsi="Calibri" w:cs="Arial"/>
                <w:color w:val="000000"/>
                <w:sz w:val="22"/>
                <w:szCs w:val="22"/>
                <w:lang w:val="ro-RO"/>
              </w:rPr>
            </w:pPr>
            <w:r w:rsidRPr="00AF3608">
              <w:rPr>
                <w:rFonts w:ascii="Calibri" w:hAnsi="Calibri" w:cs="Arial"/>
                <w:color w:val="000000"/>
                <w:sz w:val="22"/>
                <w:szCs w:val="22"/>
                <w:lang w:val="ro-RO"/>
              </w:rPr>
              <w:t>40,78</w:t>
            </w:r>
          </w:p>
        </w:tc>
        <w:tc>
          <w:tcPr>
            <w:tcW w:w="1253" w:type="dxa"/>
            <w:tcBorders>
              <w:top w:val="nil"/>
              <w:left w:val="nil"/>
              <w:bottom w:val="nil"/>
              <w:right w:val="nil"/>
            </w:tcBorders>
            <w:shd w:val="clear" w:color="auto" w:fill="FFFFFF"/>
          </w:tcPr>
          <w:p w:rsidR="00A2616A" w:rsidRPr="00AF3608" w:rsidRDefault="00053B49" w:rsidP="00A2616A">
            <w:pPr>
              <w:spacing w:before="120"/>
              <w:jc w:val="center"/>
              <w:rPr>
                <w:rFonts w:ascii="Calibri" w:hAnsi="Calibri" w:cs="Arial"/>
                <w:color w:val="000000"/>
                <w:sz w:val="22"/>
                <w:szCs w:val="22"/>
                <w:lang w:val="ro-RO"/>
              </w:rPr>
            </w:pPr>
            <w:r w:rsidRPr="00AF3608">
              <w:rPr>
                <w:rFonts w:ascii="Calibri" w:hAnsi="Calibri" w:cs="Arial"/>
                <w:color w:val="000000"/>
                <w:sz w:val="22"/>
                <w:szCs w:val="22"/>
                <w:lang w:val="ro-RO"/>
              </w:rPr>
              <w:t>39,84</w:t>
            </w:r>
          </w:p>
        </w:tc>
        <w:tc>
          <w:tcPr>
            <w:tcW w:w="1005" w:type="dxa"/>
            <w:tcBorders>
              <w:top w:val="nil"/>
              <w:left w:val="nil"/>
              <w:bottom w:val="nil"/>
              <w:right w:val="nil"/>
            </w:tcBorders>
            <w:shd w:val="clear" w:color="auto" w:fill="FFFFFF"/>
          </w:tcPr>
          <w:p w:rsidR="00A2616A" w:rsidRPr="00AF3608" w:rsidRDefault="00A2616A" w:rsidP="00A2616A">
            <w:pPr>
              <w:spacing w:before="120"/>
              <w:jc w:val="center"/>
              <w:rPr>
                <w:rFonts w:ascii="Calibri" w:hAnsi="Calibri" w:cs="Arial"/>
                <w:color w:val="000000"/>
                <w:sz w:val="22"/>
                <w:szCs w:val="22"/>
                <w:lang w:val="ro-RO"/>
              </w:rPr>
            </w:pPr>
            <w:r w:rsidRPr="00AF3608">
              <w:rPr>
                <w:rFonts w:ascii="Calibri" w:hAnsi="Calibri" w:cs="Arial"/>
                <w:color w:val="000000"/>
                <w:sz w:val="22"/>
                <w:szCs w:val="22"/>
                <w:lang w:val="ro-RO"/>
              </w:rPr>
              <w:t>37,25</w:t>
            </w:r>
          </w:p>
        </w:tc>
        <w:tc>
          <w:tcPr>
            <w:tcW w:w="1005" w:type="dxa"/>
            <w:tcBorders>
              <w:top w:val="nil"/>
              <w:left w:val="nil"/>
              <w:bottom w:val="nil"/>
              <w:right w:val="nil"/>
            </w:tcBorders>
            <w:shd w:val="clear" w:color="auto" w:fill="FFFFFF"/>
          </w:tcPr>
          <w:p w:rsidR="00A2616A" w:rsidRPr="00AF3608" w:rsidRDefault="00A2616A" w:rsidP="00A2616A">
            <w:pPr>
              <w:spacing w:before="120"/>
              <w:jc w:val="center"/>
              <w:rPr>
                <w:rFonts w:ascii="Calibri" w:hAnsi="Calibri" w:cs="Arial"/>
                <w:color w:val="000000"/>
                <w:sz w:val="22"/>
                <w:szCs w:val="22"/>
                <w:lang w:val="ro-RO"/>
              </w:rPr>
            </w:pPr>
            <w:r w:rsidRPr="00AF3608">
              <w:rPr>
                <w:rFonts w:ascii="Calibri" w:hAnsi="Calibri" w:cs="Arial"/>
                <w:color w:val="000000"/>
                <w:sz w:val="22"/>
                <w:szCs w:val="22"/>
                <w:lang w:val="ro-RO"/>
              </w:rPr>
              <w:t>35,33</w:t>
            </w:r>
          </w:p>
        </w:tc>
      </w:tr>
      <w:tr w:rsidR="00A2616A" w:rsidRPr="00AF3608" w:rsidTr="00A2616A">
        <w:trPr>
          <w:trHeight w:val="753"/>
          <w:jc w:val="center"/>
        </w:trPr>
        <w:tc>
          <w:tcPr>
            <w:tcW w:w="2567" w:type="dxa"/>
            <w:tcBorders>
              <w:top w:val="nil"/>
              <w:left w:val="nil"/>
              <w:right w:val="nil"/>
            </w:tcBorders>
            <w:shd w:val="clear" w:color="auto" w:fill="FFFFFF"/>
          </w:tcPr>
          <w:p w:rsidR="00A2616A" w:rsidRPr="00AF3608" w:rsidRDefault="00A2616A" w:rsidP="00A2616A">
            <w:pPr>
              <w:spacing w:before="120"/>
              <w:rPr>
                <w:rFonts w:ascii="Calibri" w:hAnsi="Calibri" w:cs="Arial"/>
                <w:lang w:val="ro-RO"/>
              </w:rPr>
            </w:pPr>
            <w:r w:rsidRPr="00AF3608">
              <w:rPr>
                <w:rFonts w:ascii="Calibri" w:hAnsi="Calibri" w:cs="Arial"/>
                <w:lang w:val="ro-RO"/>
              </w:rPr>
              <w:t>Cheltuieli de investiţii BGC (mil. lei)</w:t>
            </w:r>
          </w:p>
        </w:tc>
        <w:tc>
          <w:tcPr>
            <w:tcW w:w="993" w:type="dxa"/>
            <w:tcBorders>
              <w:top w:val="nil"/>
              <w:left w:val="nil"/>
              <w:right w:val="nil"/>
            </w:tcBorders>
            <w:shd w:val="clear" w:color="auto" w:fill="FFFFFF"/>
          </w:tcPr>
          <w:p w:rsidR="00A2616A" w:rsidRPr="00AF3608" w:rsidRDefault="00A2616A" w:rsidP="00A2616A">
            <w:pPr>
              <w:spacing w:before="120"/>
              <w:jc w:val="center"/>
              <w:rPr>
                <w:rFonts w:ascii="Calibri" w:hAnsi="Calibri" w:cs="Arial"/>
                <w:sz w:val="22"/>
                <w:szCs w:val="22"/>
                <w:lang w:val="ro-RO"/>
              </w:rPr>
            </w:pPr>
            <w:r w:rsidRPr="00AF3608">
              <w:rPr>
                <w:rFonts w:ascii="Calibri" w:hAnsi="Calibri" w:cs="Arial"/>
                <w:sz w:val="22"/>
                <w:szCs w:val="22"/>
                <w:lang w:val="ro-RO"/>
              </w:rPr>
              <w:t>34.229</w:t>
            </w:r>
          </w:p>
        </w:tc>
        <w:tc>
          <w:tcPr>
            <w:tcW w:w="1275" w:type="dxa"/>
            <w:tcBorders>
              <w:top w:val="nil"/>
              <w:left w:val="nil"/>
              <w:right w:val="nil"/>
            </w:tcBorders>
            <w:shd w:val="clear" w:color="auto" w:fill="FFFFFF"/>
          </w:tcPr>
          <w:p w:rsidR="00A2616A" w:rsidRPr="00AF3608" w:rsidRDefault="00A2616A" w:rsidP="00A2616A">
            <w:pPr>
              <w:spacing w:before="120"/>
              <w:jc w:val="center"/>
              <w:rPr>
                <w:rFonts w:ascii="Calibri" w:hAnsi="Calibri" w:cs="Arial"/>
                <w:sz w:val="22"/>
                <w:szCs w:val="22"/>
                <w:lang w:val="ro-RO"/>
              </w:rPr>
            </w:pPr>
            <w:r w:rsidRPr="00AF3608">
              <w:rPr>
                <w:rFonts w:ascii="Calibri" w:hAnsi="Calibri" w:cs="Arial"/>
                <w:sz w:val="22"/>
                <w:szCs w:val="22"/>
                <w:lang w:val="ro-RO"/>
              </w:rPr>
              <w:t>43.672</w:t>
            </w:r>
          </w:p>
        </w:tc>
        <w:tc>
          <w:tcPr>
            <w:tcW w:w="1418" w:type="dxa"/>
            <w:tcBorders>
              <w:top w:val="nil"/>
              <w:left w:val="nil"/>
              <w:right w:val="nil"/>
            </w:tcBorders>
            <w:shd w:val="clear" w:color="auto" w:fill="FFFFFF"/>
          </w:tcPr>
          <w:p w:rsidR="00A2616A" w:rsidRPr="00AF3608" w:rsidRDefault="00A2616A" w:rsidP="00A2616A">
            <w:pPr>
              <w:spacing w:before="120"/>
              <w:jc w:val="center"/>
              <w:rPr>
                <w:rFonts w:ascii="Calibri" w:hAnsi="Calibri" w:cs="Arial"/>
                <w:color w:val="000000"/>
                <w:sz w:val="22"/>
                <w:szCs w:val="22"/>
                <w:lang w:val="ro-RO"/>
              </w:rPr>
            </w:pPr>
            <w:r w:rsidRPr="00AF3608">
              <w:rPr>
                <w:rFonts w:ascii="Calibri" w:hAnsi="Calibri" w:cs="Arial"/>
                <w:color w:val="000000"/>
                <w:sz w:val="22"/>
                <w:szCs w:val="22"/>
                <w:lang w:val="ro-RO"/>
              </w:rPr>
              <w:t>53.080</w:t>
            </w:r>
          </w:p>
        </w:tc>
        <w:tc>
          <w:tcPr>
            <w:tcW w:w="1253" w:type="dxa"/>
            <w:tcBorders>
              <w:top w:val="nil"/>
              <w:left w:val="nil"/>
              <w:right w:val="nil"/>
            </w:tcBorders>
            <w:shd w:val="clear" w:color="auto" w:fill="FFFFFF"/>
          </w:tcPr>
          <w:p w:rsidR="00A2616A" w:rsidRPr="00AF3608" w:rsidRDefault="00053B49" w:rsidP="00A2616A">
            <w:pPr>
              <w:spacing w:before="120"/>
              <w:jc w:val="center"/>
              <w:rPr>
                <w:rFonts w:ascii="Calibri" w:hAnsi="Calibri" w:cs="Arial"/>
                <w:color w:val="000000"/>
                <w:sz w:val="22"/>
                <w:szCs w:val="22"/>
                <w:lang w:val="ro-RO"/>
              </w:rPr>
            </w:pPr>
            <w:r w:rsidRPr="00AF3608">
              <w:rPr>
                <w:rFonts w:ascii="Calibri" w:hAnsi="Calibri" w:cs="Arial"/>
                <w:color w:val="000000"/>
                <w:sz w:val="22"/>
                <w:szCs w:val="22"/>
                <w:lang w:val="ro-RO"/>
              </w:rPr>
              <w:t>61.429</w:t>
            </w:r>
          </w:p>
        </w:tc>
        <w:tc>
          <w:tcPr>
            <w:tcW w:w="1005" w:type="dxa"/>
            <w:tcBorders>
              <w:top w:val="nil"/>
              <w:left w:val="nil"/>
              <w:right w:val="nil"/>
            </w:tcBorders>
            <w:shd w:val="clear" w:color="auto" w:fill="FFFFFF"/>
          </w:tcPr>
          <w:p w:rsidR="00A2616A" w:rsidRPr="00AF3608" w:rsidRDefault="00A2616A" w:rsidP="00A2616A">
            <w:pPr>
              <w:spacing w:before="120"/>
              <w:jc w:val="center"/>
              <w:rPr>
                <w:rFonts w:ascii="Calibri" w:hAnsi="Calibri" w:cs="Arial"/>
                <w:color w:val="000000"/>
                <w:sz w:val="22"/>
                <w:szCs w:val="22"/>
                <w:lang w:val="ro-RO"/>
              </w:rPr>
            </w:pPr>
            <w:r w:rsidRPr="00AF3608">
              <w:rPr>
                <w:rFonts w:ascii="Calibri" w:hAnsi="Calibri" w:cs="Arial"/>
                <w:color w:val="000000"/>
                <w:sz w:val="22"/>
                <w:szCs w:val="22"/>
                <w:lang w:val="ro-RO"/>
              </w:rPr>
              <w:t>64.082</w:t>
            </w:r>
          </w:p>
        </w:tc>
        <w:tc>
          <w:tcPr>
            <w:tcW w:w="1005" w:type="dxa"/>
            <w:tcBorders>
              <w:top w:val="nil"/>
              <w:left w:val="nil"/>
              <w:right w:val="nil"/>
            </w:tcBorders>
            <w:shd w:val="clear" w:color="auto" w:fill="FFFFFF"/>
          </w:tcPr>
          <w:p w:rsidR="00A2616A" w:rsidRPr="00AF3608" w:rsidRDefault="00053B49" w:rsidP="00A2616A">
            <w:pPr>
              <w:spacing w:before="120"/>
              <w:jc w:val="center"/>
              <w:rPr>
                <w:rFonts w:ascii="Calibri" w:hAnsi="Calibri" w:cs="Arial"/>
                <w:color w:val="000000"/>
                <w:sz w:val="22"/>
                <w:szCs w:val="22"/>
                <w:lang w:val="ro-RO"/>
              </w:rPr>
            </w:pPr>
            <w:r w:rsidRPr="00AF3608">
              <w:rPr>
                <w:rFonts w:ascii="Calibri" w:hAnsi="Calibri" w:cs="Arial"/>
                <w:color w:val="000000"/>
                <w:sz w:val="22"/>
                <w:szCs w:val="22"/>
                <w:lang w:val="ro-RO"/>
              </w:rPr>
              <w:t>63</w:t>
            </w:r>
            <w:r w:rsidR="00A2616A" w:rsidRPr="00AF3608">
              <w:rPr>
                <w:rFonts w:ascii="Calibri" w:hAnsi="Calibri" w:cs="Arial"/>
                <w:color w:val="000000"/>
                <w:sz w:val="22"/>
                <w:szCs w:val="22"/>
                <w:lang w:val="ro-RO"/>
              </w:rPr>
              <w:t>.720</w:t>
            </w:r>
          </w:p>
        </w:tc>
      </w:tr>
      <w:tr w:rsidR="00A2616A" w:rsidRPr="00AF3608" w:rsidTr="00A2616A">
        <w:trPr>
          <w:trHeight w:val="545"/>
          <w:jc w:val="center"/>
        </w:trPr>
        <w:tc>
          <w:tcPr>
            <w:tcW w:w="2567" w:type="dxa"/>
            <w:tcBorders>
              <w:top w:val="nil"/>
              <w:bottom w:val="single" w:sz="4" w:space="0" w:color="auto"/>
            </w:tcBorders>
            <w:shd w:val="clear" w:color="auto" w:fill="FFFFFF"/>
          </w:tcPr>
          <w:p w:rsidR="00A2616A" w:rsidRPr="00AF3608" w:rsidRDefault="00A2616A" w:rsidP="00A2616A">
            <w:pPr>
              <w:spacing w:before="120"/>
              <w:rPr>
                <w:rFonts w:ascii="Calibri" w:eastAsia="Calibri" w:hAnsi="Calibri" w:cs="Arial"/>
                <w:lang w:val="ro-RO"/>
              </w:rPr>
            </w:pPr>
            <w:r w:rsidRPr="00AF3608">
              <w:rPr>
                <w:rFonts w:ascii="Calibri" w:eastAsia="Calibri" w:hAnsi="Calibri" w:cs="Arial"/>
                <w:lang w:val="ro-RO"/>
              </w:rPr>
              <w:t xml:space="preserve">- % in PIB </w:t>
            </w:r>
          </w:p>
        </w:tc>
        <w:tc>
          <w:tcPr>
            <w:tcW w:w="993" w:type="dxa"/>
            <w:tcBorders>
              <w:top w:val="nil"/>
              <w:bottom w:val="single" w:sz="4" w:space="0" w:color="auto"/>
            </w:tcBorders>
            <w:shd w:val="clear" w:color="auto" w:fill="FFFFFF"/>
          </w:tcPr>
          <w:p w:rsidR="00A2616A" w:rsidRPr="00AF3608" w:rsidRDefault="00A2616A" w:rsidP="00A2616A">
            <w:pPr>
              <w:spacing w:before="120"/>
              <w:jc w:val="center"/>
              <w:rPr>
                <w:rFonts w:ascii="Calibri" w:eastAsia="Calibri" w:hAnsi="Calibri" w:cs="Arial"/>
                <w:sz w:val="22"/>
                <w:szCs w:val="22"/>
                <w:lang w:val="ro-RO"/>
              </w:rPr>
            </w:pPr>
            <w:r w:rsidRPr="00AF3608">
              <w:rPr>
                <w:rFonts w:ascii="Calibri" w:eastAsia="Calibri" w:hAnsi="Calibri" w:cs="Arial"/>
                <w:sz w:val="22"/>
                <w:szCs w:val="22"/>
                <w:lang w:val="ro-RO"/>
              </w:rPr>
              <w:t>3,60</w:t>
            </w:r>
          </w:p>
        </w:tc>
        <w:tc>
          <w:tcPr>
            <w:tcW w:w="1275" w:type="dxa"/>
            <w:tcBorders>
              <w:top w:val="nil"/>
              <w:bottom w:val="single" w:sz="4" w:space="0" w:color="auto"/>
            </w:tcBorders>
            <w:shd w:val="clear" w:color="auto" w:fill="FFFFFF"/>
          </w:tcPr>
          <w:p w:rsidR="00A2616A" w:rsidRPr="00AF3608" w:rsidRDefault="00A2616A" w:rsidP="00A2616A">
            <w:pPr>
              <w:spacing w:before="120"/>
              <w:jc w:val="center"/>
              <w:rPr>
                <w:rFonts w:ascii="Calibri" w:eastAsia="Calibri" w:hAnsi="Calibri" w:cs="Arial"/>
                <w:sz w:val="22"/>
                <w:szCs w:val="22"/>
                <w:lang w:val="ro-RO"/>
              </w:rPr>
            </w:pPr>
            <w:r w:rsidRPr="00AF3608">
              <w:rPr>
                <w:rFonts w:ascii="Calibri" w:eastAsia="Calibri" w:hAnsi="Calibri" w:cs="Arial"/>
                <w:sz w:val="22"/>
                <w:szCs w:val="22"/>
                <w:lang w:val="ro-RO"/>
              </w:rPr>
              <w:t>4,12</w:t>
            </w:r>
          </w:p>
        </w:tc>
        <w:tc>
          <w:tcPr>
            <w:tcW w:w="1418" w:type="dxa"/>
            <w:tcBorders>
              <w:top w:val="nil"/>
              <w:bottom w:val="single" w:sz="4" w:space="0" w:color="auto"/>
            </w:tcBorders>
            <w:shd w:val="clear" w:color="auto" w:fill="FFFFFF"/>
          </w:tcPr>
          <w:p w:rsidR="00A2616A" w:rsidRPr="00AF3608" w:rsidRDefault="00A2616A" w:rsidP="00A2616A">
            <w:pPr>
              <w:spacing w:before="120"/>
              <w:jc w:val="center"/>
              <w:rPr>
                <w:rFonts w:ascii="Calibri" w:eastAsia="Calibri" w:hAnsi="Calibri" w:cs="Arial"/>
                <w:sz w:val="22"/>
                <w:szCs w:val="22"/>
                <w:lang w:val="ro-RO"/>
              </w:rPr>
            </w:pPr>
            <w:r w:rsidRPr="00AF3608">
              <w:rPr>
                <w:rFonts w:ascii="Calibri" w:eastAsia="Calibri" w:hAnsi="Calibri" w:cs="Arial"/>
                <w:sz w:val="22"/>
                <w:szCs w:val="22"/>
                <w:lang w:val="ro-RO"/>
              </w:rPr>
              <w:t>5,10</w:t>
            </w:r>
          </w:p>
        </w:tc>
        <w:tc>
          <w:tcPr>
            <w:tcW w:w="1253" w:type="dxa"/>
            <w:tcBorders>
              <w:top w:val="nil"/>
              <w:bottom w:val="single" w:sz="4" w:space="0" w:color="auto"/>
            </w:tcBorders>
            <w:shd w:val="clear" w:color="auto" w:fill="FFFFFF"/>
          </w:tcPr>
          <w:p w:rsidR="00A2616A" w:rsidRPr="00AF3608" w:rsidRDefault="00A2616A" w:rsidP="00A2616A">
            <w:pPr>
              <w:tabs>
                <w:tab w:val="left" w:pos="615"/>
                <w:tab w:val="center" w:pos="784"/>
              </w:tabs>
              <w:spacing w:before="120"/>
              <w:jc w:val="center"/>
              <w:rPr>
                <w:rFonts w:ascii="Calibri" w:eastAsia="Calibri" w:hAnsi="Calibri" w:cs="Arial"/>
                <w:sz w:val="22"/>
                <w:szCs w:val="22"/>
                <w:lang w:val="ro-RO"/>
              </w:rPr>
            </w:pPr>
            <w:r w:rsidRPr="00AF3608">
              <w:rPr>
                <w:rFonts w:ascii="Calibri" w:eastAsia="Calibri" w:hAnsi="Calibri" w:cs="Arial"/>
                <w:sz w:val="22"/>
                <w:szCs w:val="22"/>
                <w:lang w:val="ro-RO"/>
              </w:rPr>
              <w:t>5,50</w:t>
            </w:r>
          </w:p>
        </w:tc>
        <w:tc>
          <w:tcPr>
            <w:tcW w:w="1005" w:type="dxa"/>
            <w:tcBorders>
              <w:top w:val="nil"/>
              <w:bottom w:val="single" w:sz="4" w:space="0" w:color="auto"/>
            </w:tcBorders>
            <w:shd w:val="clear" w:color="auto" w:fill="FFFFFF"/>
          </w:tcPr>
          <w:p w:rsidR="00A2616A" w:rsidRPr="00AF3608" w:rsidRDefault="00A2616A" w:rsidP="00A2616A">
            <w:pPr>
              <w:tabs>
                <w:tab w:val="left" w:pos="615"/>
                <w:tab w:val="center" w:pos="784"/>
              </w:tabs>
              <w:spacing w:before="120"/>
              <w:jc w:val="center"/>
              <w:rPr>
                <w:rFonts w:ascii="Calibri" w:eastAsia="Calibri" w:hAnsi="Calibri" w:cs="Arial"/>
                <w:sz w:val="22"/>
                <w:szCs w:val="22"/>
                <w:lang w:val="ro-RO"/>
              </w:rPr>
            </w:pPr>
            <w:r w:rsidRPr="00AF3608">
              <w:rPr>
                <w:rFonts w:ascii="Calibri" w:eastAsia="Calibri" w:hAnsi="Calibri" w:cs="Arial"/>
                <w:sz w:val="22"/>
                <w:szCs w:val="22"/>
                <w:lang w:val="ro-RO"/>
              </w:rPr>
              <w:t>5,32</w:t>
            </w:r>
          </w:p>
        </w:tc>
        <w:tc>
          <w:tcPr>
            <w:tcW w:w="1005" w:type="dxa"/>
            <w:tcBorders>
              <w:top w:val="nil"/>
              <w:bottom w:val="single" w:sz="4" w:space="0" w:color="auto"/>
            </w:tcBorders>
            <w:shd w:val="clear" w:color="auto" w:fill="FFFFFF"/>
          </w:tcPr>
          <w:p w:rsidR="00A2616A" w:rsidRPr="00AF3608" w:rsidRDefault="00053B49" w:rsidP="00A2616A">
            <w:pPr>
              <w:tabs>
                <w:tab w:val="left" w:pos="615"/>
                <w:tab w:val="center" w:pos="784"/>
              </w:tabs>
              <w:spacing w:before="120"/>
              <w:jc w:val="center"/>
              <w:rPr>
                <w:rFonts w:ascii="Calibri" w:eastAsia="Calibri" w:hAnsi="Calibri" w:cs="Arial"/>
                <w:sz w:val="22"/>
                <w:szCs w:val="22"/>
                <w:lang w:val="ro-RO"/>
              </w:rPr>
            </w:pPr>
            <w:r w:rsidRPr="00AF3608">
              <w:rPr>
                <w:rFonts w:ascii="Calibri" w:eastAsia="Calibri" w:hAnsi="Calibri" w:cs="Arial"/>
                <w:sz w:val="22"/>
                <w:szCs w:val="22"/>
                <w:lang w:val="ro-RO"/>
              </w:rPr>
              <w:t>4,90</w:t>
            </w:r>
          </w:p>
        </w:tc>
      </w:tr>
    </w:tbl>
    <w:p w:rsidR="00A2616A" w:rsidRPr="00AF3608" w:rsidRDefault="00A2616A" w:rsidP="00A2616A">
      <w:pPr>
        <w:autoSpaceDE w:val="0"/>
        <w:autoSpaceDN w:val="0"/>
        <w:adjustRightInd w:val="0"/>
        <w:spacing w:before="120"/>
        <w:ind w:left="284"/>
        <w:jc w:val="both"/>
        <w:rPr>
          <w:rFonts w:ascii="Calibri" w:hAnsi="Calibri" w:cs="Arial"/>
          <w:b/>
          <w:color w:val="000066"/>
          <w:lang w:val="ro-RO"/>
        </w:rPr>
      </w:pPr>
      <w:r w:rsidRPr="00AF3608">
        <w:rPr>
          <w:b/>
          <w:sz w:val="20"/>
          <w:szCs w:val="20"/>
          <w:lang w:val="ro-RO"/>
        </w:rPr>
        <w:t>Notă: Cheltuielile de investiții cuprind cheltuielile aferente programelor cu finanțare din fonduri externe nerambursabile postaderare (FEN postaderare), cheltuieli de capital şi cheltuieli aferente programelor cu finanțare rambursabila</w:t>
      </w:r>
    </w:p>
    <w:p w:rsidR="00A2616A" w:rsidRPr="00AF3608" w:rsidRDefault="00A2616A" w:rsidP="00A2616A">
      <w:pPr>
        <w:tabs>
          <w:tab w:val="left" w:pos="9356"/>
        </w:tabs>
        <w:spacing w:before="120" w:line="276" w:lineRule="auto"/>
        <w:ind w:left="502" w:right="340"/>
        <w:contextualSpacing/>
        <w:jc w:val="both"/>
        <w:rPr>
          <w:rFonts w:ascii="Calibri" w:eastAsia="Calibri" w:hAnsi="Calibri"/>
          <w:b/>
          <w:sz w:val="20"/>
          <w:szCs w:val="20"/>
          <w:lang w:val="ro-RO"/>
        </w:rPr>
      </w:pPr>
    </w:p>
    <w:bookmarkStart w:id="0" w:name="_MON_1674460152"/>
    <w:bookmarkEnd w:id="0"/>
    <w:p w:rsidR="00D95CB1" w:rsidRPr="00AF3608" w:rsidRDefault="00C81042" w:rsidP="00D95CB1">
      <w:pPr>
        <w:spacing w:before="120" w:line="276" w:lineRule="auto"/>
        <w:ind w:right="340"/>
        <w:jc w:val="both"/>
        <w:rPr>
          <w:rFonts w:ascii="Calibri" w:hAnsi="Calibri" w:cs="Calibri"/>
          <w:color w:val="000000"/>
          <w:lang w:val="ro-RO"/>
        </w:rPr>
      </w:pPr>
      <w:r w:rsidRPr="00AF3608">
        <w:rPr>
          <w:b/>
          <w:sz w:val="20"/>
          <w:szCs w:val="20"/>
          <w:lang w:val="ro-RO"/>
        </w:rPr>
        <w:object w:dxaOrig="10791" w:dyaOrig="8436">
          <v:shape id="_x0000_i1026" type="#_x0000_t75" style="width:484.5pt;height:382.5pt" o:ole="">
            <v:imagedata r:id="rId9" o:title=""/>
          </v:shape>
          <o:OLEObject Type="Embed" ProgID="Excel.Sheet.8" ShapeID="_x0000_i1026" DrawAspect="Content" ObjectID="_1674581797" r:id="rId10"/>
        </w:object>
      </w:r>
    </w:p>
    <w:p w:rsidR="005472FA" w:rsidRPr="00AF3608" w:rsidRDefault="006B6CB3" w:rsidP="00D95CB1">
      <w:pPr>
        <w:widowControl w:val="0"/>
        <w:suppressAutoHyphens/>
        <w:autoSpaceDE w:val="0"/>
        <w:autoSpaceDN w:val="0"/>
        <w:adjustRightInd w:val="0"/>
        <w:spacing w:before="120"/>
        <w:ind w:right="-2"/>
        <w:jc w:val="both"/>
        <w:rPr>
          <w:rFonts w:ascii="Calibri" w:hAnsi="Calibri" w:cs="Calibri"/>
          <w:b/>
          <w:color w:val="000048"/>
          <w:lang w:val="ro-RO"/>
        </w:rPr>
      </w:pPr>
      <w:r w:rsidRPr="00AF3608">
        <w:rPr>
          <w:noProof/>
        </w:rPr>
        <w:drawing>
          <wp:inline distT="0" distB="0" distL="0" distR="0" wp14:anchorId="2D5F5DBA" wp14:editId="5F2DD636">
            <wp:extent cx="6120765" cy="4417060"/>
            <wp:effectExtent l="0" t="0" r="13335" b="254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D6C61" w:rsidRPr="00AF3608" w:rsidRDefault="00ED6C61" w:rsidP="00D95CB1">
      <w:pPr>
        <w:widowControl w:val="0"/>
        <w:suppressAutoHyphens/>
        <w:autoSpaceDE w:val="0"/>
        <w:autoSpaceDN w:val="0"/>
        <w:adjustRightInd w:val="0"/>
        <w:spacing w:before="120"/>
        <w:ind w:right="-2"/>
        <w:jc w:val="both"/>
        <w:rPr>
          <w:rFonts w:ascii="Calibri" w:hAnsi="Calibri" w:cs="Calibri"/>
          <w:b/>
          <w:color w:val="000048"/>
          <w:lang w:val="ro-RO"/>
        </w:rPr>
      </w:pPr>
    </w:p>
    <w:p w:rsidR="00D95CB1" w:rsidRPr="00AF3608" w:rsidRDefault="00D95CB1" w:rsidP="00920E23">
      <w:pPr>
        <w:widowControl w:val="0"/>
        <w:suppressAutoHyphens/>
        <w:autoSpaceDE w:val="0"/>
        <w:autoSpaceDN w:val="0"/>
        <w:adjustRightInd w:val="0"/>
        <w:spacing w:before="120"/>
        <w:ind w:right="-2"/>
        <w:jc w:val="both"/>
        <w:rPr>
          <w:rFonts w:ascii="Calibri" w:hAnsi="Calibri" w:cs="Calibri"/>
          <w:b/>
          <w:color w:val="000066"/>
          <w:lang w:val="ro-RO"/>
        </w:rPr>
      </w:pPr>
      <w:r w:rsidRPr="00AF3608">
        <w:rPr>
          <w:rFonts w:ascii="Calibri" w:hAnsi="Calibri" w:cs="Calibri"/>
          <w:b/>
          <w:color w:val="000048"/>
          <w:lang w:val="ro-RO"/>
        </w:rPr>
        <w:t>Programar</w:t>
      </w:r>
      <w:r w:rsidR="0077730A" w:rsidRPr="00AF3608">
        <w:rPr>
          <w:rFonts w:ascii="Calibri" w:hAnsi="Calibri" w:cs="Calibri"/>
          <w:b/>
          <w:color w:val="000048"/>
          <w:lang w:val="ro-RO"/>
        </w:rPr>
        <w:t>ea multianuală și prioritizarea</w:t>
      </w:r>
      <w:r w:rsidRPr="00AF3608">
        <w:rPr>
          <w:rFonts w:ascii="Calibri" w:hAnsi="Calibri" w:cs="Calibri"/>
          <w:b/>
          <w:color w:val="000048"/>
          <w:lang w:val="ro-RO"/>
        </w:rPr>
        <w:t xml:space="preserve"> investiţiilor publice</w:t>
      </w:r>
      <w:r w:rsidRPr="00AF3608">
        <w:rPr>
          <w:rFonts w:ascii="Calibri" w:hAnsi="Calibri" w:cs="Calibri"/>
          <w:lang w:val="ro-RO"/>
        </w:rPr>
        <w:t>, i</w:t>
      </w:r>
      <w:r w:rsidR="0077730A" w:rsidRPr="00AF3608">
        <w:rPr>
          <w:rFonts w:ascii="Calibri" w:hAnsi="Calibri" w:cs="Calibri"/>
          <w:lang w:val="ro-RO"/>
        </w:rPr>
        <w:t>ndiferent de sursa de finanţare</w:t>
      </w:r>
      <w:r w:rsidRPr="00AF3608">
        <w:rPr>
          <w:rFonts w:ascii="Calibri" w:hAnsi="Calibri" w:cs="Calibri"/>
          <w:lang w:val="ro-RO"/>
        </w:rPr>
        <w:t xml:space="preserve"> pe baza unor criterii de prioritizare a proiectelor în funcţie de relevanţă (compatibilitate cu strategiile sectoriale), rezultate aşteptate (impact), capacitate de realizare a proiectului în termenul prevăzut şi sustenabilitatea </w:t>
      </w:r>
      <w:r w:rsidRPr="00AF3608">
        <w:rPr>
          <w:rFonts w:ascii="Calibri" w:hAnsi="Calibri" w:cs="Calibri"/>
          <w:b/>
          <w:color w:val="000066"/>
          <w:lang w:val="ro-RO"/>
        </w:rPr>
        <w:t xml:space="preserve">financiară vor conduce la creșterea </w:t>
      </w:r>
      <w:r w:rsidRPr="00AF3608">
        <w:rPr>
          <w:rFonts w:ascii="Calibri" w:hAnsi="Calibri" w:cs="Calibri"/>
          <w:b/>
          <w:bCs/>
          <w:color w:val="000066"/>
          <w:lang w:val="ro-RO"/>
        </w:rPr>
        <w:t xml:space="preserve"> absorbției fondurilor europene,</w:t>
      </w:r>
      <w:r w:rsidRPr="00AF3608">
        <w:rPr>
          <w:rFonts w:ascii="Calibri" w:hAnsi="Calibri" w:cs="Calibri"/>
          <w:b/>
          <w:color w:val="000066"/>
          <w:lang w:val="ro-RO"/>
        </w:rPr>
        <w:t xml:space="preserve"> în vederea descongestionării spațiului fiscal și a susținerii creșterii economice.</w:t>
      </w:r>
    </w:p>
    <w:p w:rsidR="00D95CB1" w:rsidRPr="00AF3608" w:rsidRDefault="0077730A" w:rsidP="00920E23">
      <w:pPr>
        <w:widowControl w:val="0"/>
        <w:suppressAutoHyphens/>
        <w:autoSpaceDE w:val="0"/>
        <w:autoSpaceDN w:val="0"/>
        <w:adjustRightInd w:val="0"/>
        <w:spacing w:before="120"/>
        <w:ind w:right="-2"/>
        <w:jc w:val="both"/>
        <w:rPr>
          <w:rFonts w:ascii="Calibri" w:hAnsi="Calibri" w:cs="Calibri"/>
          <w:color w:val="000000"/>
          <w:lang w:val="ro-RO"/>
        </w:rPr>
      </w:pPr>
      <w:r w:rsidRPr="00AF3608">
        <w:rPr>
          <w:rFonts w:ascii="Calibri" w:hAnsi="Calibri" w:cs="Calibri"/>
          <w:color w:val="000000"/>
          <w:lang w:val="ro-RO"/>
        </w:rPr>
        <w:t>În anul 2021</w:t>
      </w:r>
      <w:r w:rsidR="00D95CB1" w:rsidRPr="00AF3608">
        <w:rPr>
          <w:rFonts w:ascii="Calibri" w:hAnsi="Calibri" w:cs="Calibri"/>
          <w:color w:val="000000"/>
          <w:lang w:val="ro-RO"/>
        </w:rPr>
        <w:t xml:space="preserve"> cheltuielile destinate investițiilor însumează aprox</w:t>
      </w:r>
      <w:r w:rsidR="008B7484" w:rsidRPr="00AF3608">
        <w:rPr>
          <w:rFonts w:ascii="Calibri" w:hAnsi="Calibri" w:cs="Calibri"/>
          <w:color w:val="000000"/>
          <w:lang w:val="ro-RO"/>
        </w:rPr>
        <w:t>.61,4</w:t>
      </w:r>
      <w:r w:rsidR="00D95CB1" w:rsidRPr="00AF3608">
        <w:rPr>
          <w:rFonts w:ascii="Calibri" w:hAnsi="Calibri" w:cs="Calibri"/>
          <w:color w:val="000000"/>
          <w:lang w:val="ro-RO"/>
        </w:rPr>
        <w:t xml:space="preserve"> miliarde lei, reprezen</w:t>
      </w:r>
      <w:r w:rsidR="006F06B2" w:rsidRPr="00AF3608">
        <w:rPr>
          <w:rFonts w:ascii="Calibri" w:hAnsi="Calibri" w:cs="Calibri"/>
          <w:color w:val="000000"/>
          <w:lang w:val="ro-RO"/>
        </w:rPr>
        <w:t>tând aproximativ 5,5</w:t>
      </w:r>
      <w:r w:rsidR="00D95CB1" w:rsidRPr="00AF3608">
        <w:rPr>
          <w:rFonts w:ascii="Calibri" w:hAnsi="Calibri" w:cs="Calibri"/>
          <w:color w:val="000000"/>
          <w:lang w:val="ro-RO"/>
        </w:rPr>
        <w:t>% în PIB, iar în anul 202</w:t>
      </w:r>
      <w:r w:rsidR="006B6CB3" w:rsidRPr="00AF3608">
        <w:rPr>
          <w:rFonts w:ascii="Calibri" w:hAnsi="Calibri" w:cs="Calibri"/>
          <w:color w:val="000000"/>
          <w:lang w:val="ro-RO"/>
        </w:rPr>
        <w:t>3 acestea însumează aprox. 63</w:t>
      </w:r>
      <w:r w:rsidR="006F06B2" w:rsidRPr="00AF3608">
        <w:rPr>
          <w:rFonts w:ascii="Calibri" w:hAnsi="Calibri" w:cs="Calibri"/>
          <w:color w:val="000000"/>
          <w:lang w:val="ro-RO"/>
        </w:rPr>
        <w:t>,7</w:t>
      </w:r>
      <w:r w:rsidR="00D95CB1" w:rsidRPr="00AF3608">
        <w:rPr>
          <w:rFonts w:ascii="Calibri" w:hAnsi="Calibri" w:cs="Calibri"/>
          <w:color w:val="000000"/>
          <w:lang w:val="ro-RO"/>
        </w:rPr>
        <w:t xml:space="preserve"> miliarde lei.</w:t>
      </w:r>
    </w:p>
    <w:p w:rsidR="00D95CB1" w:rsidRPr="00AF3608" w:rsidRDefault="00D95CB1" w:rsidP="00920E23">
      <w:pPr>
        <w:widowControl w:val="0"/>
        <w:suppressAutoHyphens/>
        <w:autoSpaceDE w:val="0"/>
        <w:autoSpaceDN w:val="0"/>
        <w:adjustRightInd w:val="0"/>
        <w:spacing w:before="120"/>
        <w:ind w:right="-2"/>
        <w:jc w:val="both"/>
        <w:rPr>
          <w:rFonts w:ascii="Calibri" w:hAnsi="Calibri" w:cs="Calibri"/>
          <w:color w:val="000000"/>
          <w:lang w:val="ro-RO"/>
        </w:rPr>
      </w:pPr>
      <w:r w:rsidRPr="00AF3608">
        <w:rPr>
          <w:rFonts w:ascii="Calibri" w:hAnsi="Calibri" w:cs="Calibri"/>
          <w:color w:val="000000"/>
          <w:lang w:val="ro-RO"/>
        </w:rPr>
        <w:t xml:space="preserve">În anul 2021 se constată </w:t>
      </w:r>
      <w:r w:rsidRPr="00AF3608">
        <w:rPr>
          <w:rFonts w:ascii="Calibri" w:hAnsi="Calibri" w:cs="Calibri"/>
          <w:color w:val="000066"/>
          <w:lang w:val="ro-RO"/>
        </w:rPr>
        <w:t>o îmbunătățire a structurii cheltuielilor de investiții</w:t>
      </w:r>
      <w:r w:rsidRPr="00AF3608">
        <w:rPr>
          <w:rFonts w:ascii="Calibri" w:hAnsi="Calibri" w:cs="Calibri"/>
          <w:color w:val="000000"/>
          <w:lang w:val="ro-RO"/>
        </w:rPr>
        <w:t xml:space="preserve"> în sensul creșterii ponderii cheltuielilor aferente proiectelor finanțate din fonduri e</w:t>
      </w:r>
      <w:r w:rsidR="008B7484" w:rsidRPr="00AF3608">
        <w:rPr>
          <w:rFonts w:ascii="Calibri" w:hAnsi="Calibri" w:cs="Calibri"/>
          <w:color w:val="000000"/>
          <w:lang w:val="ro-RO"/>
        </w:rPr>
        <w:t>xterne nerambursabile la 2,87</w:t>
      </w:r>
      <w:r w:rsidRPr="00AF3608">
        <w:rPr>
          <w:rFonts w:ascii="Calibri" w:hAnsi="Calibri" w:cs="Calibri"/>
          <w:color w:val="000000"/>
          <w:lang w:val="ro-RO"/>
        </w:rPr>
        <w:t>% din cadrul su</w:t>
      </w:r>
      <w:r w:rsidR="0077730A" w:rsidRPr="00AF3608">
        <w:rPr>
          <w:rFonts w:ascii="Calibri" w:hAnsi="Calibri" w:cs="Calibri"/>
          <w:color w:val="000000"/>
          <w:lang w:val="ro-RO"/>
        </w:rPr>
        <w:t>rselor de finanțare, fată 2,01</w:t>
      </w:r>
      <w:r w:rsidRPr="00AF3608">
        <w:rPr>
          <w:rFonts w:ascii="Calibri" w:hAnsi="Calibri" w:cs="Calibri"/>
          <w:color w:val="000000"/>
          <w:lang w:val="ro-RO"/>
        </w:rPr>
        <w:t>% în 2020.</w:t>
      </w:r>
    </w:p>
    <w:p w:rsidR="00D95CB1" w:rsidRPr="00AF3608" w:rsidRDefault="00D95CB1" w:rsidP="00920E23">
      <w:pPr>
        <w:widowControl w:val="0"/>
        <w:suppressAutoHyphens/>
        <w:autoSpaceDE w:val="0"/>
        <w:autoSpaceDN w:val="0"/>
        <w:adjustRightInd w:val="0"/>
        <w:spacing w:before="120"/>
        <w:ind w:right="-2"/>
        <w:jc w:val="both"/>
        <w:rPr>
          <w:rFonts w:ascii="Calibri" w:hAnsi="Calibri" w:cs="Calibri"/>
          <w:b/>
          <w:color w:val="000066"/>
          <w:lang w:val="ro-RO"/>
        </w:rPr>
      </w:pPr>
      <w:r w:rsidRPr="00AF3608">
        <w:rPr>
          <w:rFonts w:ascii="Calibri" w:hAnsi="Calibri" w:cs="Calibri"/>
          <w:color w:val="000000"/>
          <w:lang w:val="ro-RO"/>
        </w:rPr>
        <w:t xml:space="preserve">Efectuarea unui volum mare de cheltuieli investiționale din partea sectorului public, cu varfuri  </w:t>
      </w:r>
      <w:r w:rsidR="00E7079F" w:rsidRPr="00AF3608">
        <w:rPr>
          <w:rFonts w:ascii="Calibri" w:hAnsi="Calibri" w:cs="Calibri"/>
          <w:color w:val="000000"/>
          <w:lang w:val="ro-RO"/>
        </w:rPr>
        <w:t xml:space="preserve">de peste 5% in anii 2020-2022, </w:t>
      </w:r>
      <w:r w:rsidRPr="00AF3608">
        <w:rPr>
          <w:rFonts w:ascii="Calibri" w:hAnsi="Calibri" w:cs="Calibri"/>
          <w:color w:val="000000"/>
          <w:lang w:val="ro-RO"/>
        </w:rPr>
        <w:t xml:space="preserve">precum și perspectiva disponibilității începând cu anul 2021 a unui </w:t>
      </w:r>
      <w:r w:rsidR="00E7079F" w:rsidRPr="00AF3608">
        <w:rPr>
          <w:rFonts w:ascii="Calibri" w:hAnsi="Calibri" w:cs="Calibri"/>
          <w:color w:val="000000"/>
          <w:lang w:val="ro-RO"/>
        </w:rPr>
        <w:t xml:space="preserve">volum mare de fonduri europene </w:t>
      </w:r>
      <w:r w:rsidRPr="00AF3608">
        <w:rPr>
          <w:rFonts w:ascii="Calibri" w:hAnsi="Calibri" w:cs="Calibri"/>
          <w:color w:val="000000"/>
          <w:lang w:val="ro-RO"/>
        </w:rPr>
        <w:t xml:space="preserve">destinate redresării economice </w:t>
      </w:r>
      <w:r w:rsidRPr="00AF3608">
        <w:rPr>
          <w:rFonts w:ascii="Calibri" w:hAnsi="Calibri" w:cs="Calibri"/>
          <w:b/>
          <w:color w:val="000066"/>
          <w:lang w:val="ro-RO"/>
        </w:rPr>
        <w:t>sunt premise</w:t>
      </w:r>
      <w:r w:rsidRPr="00AF3608">
        <w:rPr>
          <w:rFonts w:ascii="Calibri" w:hAnsi="Calibri" w:cs="Calibri"/>
          <w:color w:val="000000"/>
          <w:lang w:val="ro-RO"/>
        </w:rPr>
        <w:t xml:space="preserve"> </w:t>
      </w:r>
      <w:r w:rsidRPr="00AF3608">
        <w:rPr>
          <w:rFonts w:ascii="Calibri" w:hAnsi="Calibri" w:cs="Calibri"/>
          <w:b/>
          <w:color w:val="000066"/>
          <w:lang w:val="ro-RO"/>
        </w:rPr>
        <w:t>care pot menține și pe termen mediu parcursul investițional favorabil.</w:t>
      </w:r>
    </w:p>
    <w:p w:rsidR="00D95CB1" w:rsidRPr="00AF3608" w:rsidRDefault="00D95CB1" w:rsidP="00920E23">
      <w:pPr>
        <w:widowControl w:val="0"/>
        <w:suppressAutoHyphens/>
        <w:autoSpaceDE w:val="0"/>
        <w:autoSpaceDN w:val="0"/>
        <w:adjustRightInd w:val="0"/>
        <w:spacing w:before="120"/>
        <w:ind w:right="142"/>
        <w:jc w:val="both"/>
        <w:rPr>
          <w:rFonts w:ascii="Calibri" w:hAnsi="Calibri" w:cs="Calibri"/>
          <w:lang w:val="ro-RO"/>
        </w:rPr>
      </w:pPr>
      <w:r w:rsidRPr="00AF3608">
        <w:rPr>
          <w:rFonts w:ascii="Calibri" w:eastAsia="Calibri" w:hAnsi="Calibri" w:cs="Arial"/>
          <w:szCs w:val="20"/>
          <w:lang w:val="ro-RO" w:eastAsia="ro-RO"/>
        </w:rPr>
        <w:t xml:space="preserve">Fondurile europene reprezintă </w:t>
      </w:r>
      <w:r w:rsidRPr="00AF3608">
        <w:rPr>
          <w:rFonts w:ascii="Calibri" w:eastAsia="Calibri" w:hAnsi="Calibri" w:cs="Arial"/>
          <w:b/>
          <w:color w:val="000050"/>
          <w:szCs w:val="20"/>
          <w:lang w:val="ro-RO" w:eastAsia="ro-RO"/>
        </w:rPr>
        <w:t xml:space="preserve">un element central al sustenabilității bugetare prin prisma strategiei investiționale și a caracterului nerambursabil al acestora și prin efectele pozitive la nivelul societății, </w:t>
      </w:r>
      <w:r w:rsidRPr="00AF3608">
        <w:rPr>
          <w:rFonts w:ascii="Calibri" w:hAnsi="Calibri" w:cs="Calibri"/>
          <w:lang w:val="ro-RO"/>
        </w:rPr>
        <w:t>având în vedere pol</w:t>
      </w:r>
      <w:r w:rsidR="00D87DFD" w:rsidRPr="00AF3608">
        <w:rPr>
          <w:rFonts w:ascii="Calibri" w:hAnsi="Calibri" w:cs="Calibri"/>
          <w:lang w:val="ro-RO"/>
        </w:rPr>
        <w:t xml:space="preserve">itica comună a statelor membre vor conduce la </w:t>
      </w:r>
      <w:r w:rsidRPr="00AF3608">
        <w:rPr>
          <w:rFonts w:ascii="Calibri" w:hAnsi="Calibri" w:cs="Calibri"/>
          <w:lang w:val="ro-RO"/>
        </w:rPr>
        <w:t>transformarea UE într-o economie bazată pe creștere inteligentă, durabilă și propice incluziunii.</w:t>
      </w:r>
    </w:p>
    <w:p w:rsidR="00D95CB1" w:rsidRPr="00AF3608" w:rsidRDefault="00D95CB1" w:rsidP="00920E23">
      <w:pPr>
        <w:widowControl w:val="0"/>
        <w:suppressAutoHyphens/>
        <w:autoSpaceDE w:val="0"/>
        <w:autoSpaceDN w:val="0"/>
        <w:adjustRightInd w:val="0"/>
        <w:spacing w:before="120"/>
        <w:ind w:right="142"/>
        <w:jc w:val="both"/>
        <w:rPr>
          <w:rFonts w:ascii="Calibri" w:hAnsi="Calibri" w:cs="Arial"/>
          <w:b/>
          <w:lang w:val="ro-RO" w:eastAsia="zh-CN"/>
        </w:rPr>
      </w:pPr>
      <w:r w:rsidRPr="00AF3608">
        <w:rPr>
          <w:rFonts w:ascii="Calibri" w:hAnsi="Calibri" w:cs="Arial"/>
          <w:b/>
          <w:lang w:val="ro-RO" w:eastAsia="zh-CN"/>
        </w:rPr>
        <w:t>O caracteristică de bază a politicii bugetare pentru perioada următoare este aceea că se  va baza și pe atragerea masivă de fonduri europene, sprijinind mărirea potențialului de creștere al economiei și urmărindu-se revenirea graduală a deficitului buge</w:t>
      </w:r>
      <w:r w:rsidR="00D87DFD" w:rsidRPr="00AF3608">
        <w:rPr>
          <w:rFonts w:ascii="Calibri" w:hAnsi="Calibri" w:cs="Arial"/>
          <w:b/>
          <w:lang w:val="ro-RO" w:eastAsia="zh-CN"/>
        </w:rPr>
        <w:t>tar sub 3 procente la sfârșitul anului 2024.</w:t>
      </w:r>
    </w:p>
    <w:p w:rsidR="00D95CB1" w:rsidRPr="00AF3608" w:rsidRDefault="00D95CB1" w:rsidP="003A0B85">
      <w:pPr>
        <w:numPr>
          <w:ilvl w:val="0"/>
          <w:numId w:val="113"/>
        </w:numPr>
        <w:suppressAutoHyphens/>
        <w:spacing w:before="120"/>
        <w:jc w:val="both"/>
        <w:rPr>
          <w:rFonts w:ascii="Calibri" w:eastAsia="Calibri" w:hAnsi="Calibri" w:cs="Arial"/>
          <w:szCs w:val="20"/>
          <w:lang w:val="ro-RO" w:eastAsia="ro-RO"/>
        </w:rPr>
      </w:pPr>
      <w:r w:rsidRPr="00AF3608">
        <w:rPr>
          <w:rFonts w:ascii="Calibri" w:hAnsi="Calibri" w:cs="Calibri"/>
          <w:b/>
          <w:lang w:val="ro-RO"/>
        </w:rPr>
        <w:t>În exercițiul financiar 2014-2020,</w:t>
      </w:r>
      <w:r w:rsidRPr="00AF3608">
        <w:rPr>
          <w:rFonts w:ascii="Calibri" w:hAnsi="Calibri" w:cs="Calibri"/>
          <w:lang w:val="ro-RO"/>
        </w:rPr>
        <w:t xml:space="preserve"> alocarea totală a României este de peste 43 miliarde euro, din care aprox. 23 miliarde euro prin Politica de Coeziune și FEAD și aproximativ 20 miliarde euro prin Politica Agricolă Comună şi Politica Maritimă Integrată.</w:t>
      </w:r>
      <w:r w:rsidRPr="00AF3608">
        <w:rPr>
          <w:rFonts w:ascii="Calibri" w:eastAsia="Calibri" w:hAnsi="Calibri" w:cs="Arial"/>
          <w:szCs w:val="20"/>
          <w:lang w:val="ro-RO" w:eastAsia="ro-RO"/>
        </w:rPr>
        <w:t xml:space="preserve"> </w:t>
      </w:r>
    </w:p>
    <w:p w:rsidR="00D95CB1" w:rsidRPr="00AF3608" w:rsidRDefault="00D95CB1" w:rsidP="003A0B85">
      <w:pPr>
        <w:numPr>
          <w:ilvl w:val="0"/>
          <w:numId w:val="107"/>
        </w:numPr>
        <w:spacing w:before="120"/>
        <w:ind w:left="360" w:right="142"/>
        <w:jc w:val="both"/>
        <w:rPr>
          <w:rFonts w:ascii="Calibri" w:hAnsi="Calibri" w:cs="Arial"/>
          <w:lang w:val="ro-RO"/>
        </w:rPr>
      </w:pPr>
      <w:r w:rsidRPr="00AF3608">
        <w:rPr>
          <w:rFonts w:ascii="Calibri" w:hAnsi="Calibri" w:cs="Arial"/>
          <w:color w:val="002060"/>
          <w:lang w:val="ro-RO" w:eastAsia="zh-CN"/>
        </w:rPr>
        <w:t>România se află în fața unei oportunități istorice.</w:t>
      </w:r>
      <w:r w:rsidRPr="00AF3608">
        <w:rPr>
          <w:rFonts w:ascii="Calibri" w:hAnsi="Calibri" w:cs="Arial"/>
          <w:lang w:val="ro-RO" w:eastAsia="zh-CN"/>
        </w:rPr>
        <w:t xml:space="preserve"> În perioada 2021-2027, </w:t>
      </w:r>
      <w:r w:rsidRPr="00AF3608">
        <w:rPr>
          <w:rFonts w:ascii="Calibri" w:eastAsia="Calibri" w:hAnsi="Calibri" w:cs="Arial"/>
          <w:szCs w:val="20"/>
          <w:lang w:val="ro-RO" w:eastAsia="ro-RO"/>
        </w:rPr>
        <w:t xml:space="preserve">în cadrul politicii de Coeziune 2021-2027 România are alocate fonduri europene în valoare de </w:t>
      </w:r>
      <w:r w:rsidR="006B6CB3" w:rsidRPr="00AF3608">
        <w:rPr>
          <w:rFonts w:ascii="Calibri" w:eastAsia="Calibri" w:hAnsi="Calibri" w:cs="Arial"/>
          <w:b/>
          <w:szCs w:val="20"/>
          <w:lang w:val="ro-RO" w:eastAsia="ro-RO"/>
        </w:rPr>
        <w:t>31,35</w:t>
      </w:r>
      <w:r w:rsidRPr="00AF3608">
        <w:rPr>
          <w:rFonts w:ascii="Calibri" w:eastAsia="Calibri" w:hAnsi="Calibri" w:cs="Arial"/>
          <w:b/>
          <w:szCs w:val="20"/>
          <w:lang w:val="ro-RO" w:eastAsia="ro-RO"/>
        </w:rPr>
        <w:t xml:space="preserve"> miliarde de euro</w:t>
      </w:r>
      <w:r w:rsidRPr="00AF3608">
        <w:rPr>
          <w:rFonts w:ascii="Calibri" w:eastAsia="Calibri" w:hAnsi="Calibri" w:cs="Arial"/>
          <w:szCs w:val="20"/>
          <w:lang w:val="ro-RO" w:eastAsia="ro-RO"/>
        </w:rPr>
        <w:t xml:space="preserve"> (prețuri curente, inclusiv cooperarea t</w:t>
      </w:r>
      <w:r w:rsidR="00D87DFD" w:rsidRPr="00AF3608">
        <w:rPr>
          <w:rFonts w:ascii="Calibri" w:eastAsia="Calibri" w:hAnsi="Calibri" w:cs="Arial"/>
          <w:szCs w:val="20"/>
          <w:lang w:val="ro-RO" w:eastAsia="ro-RO"/>
        </w:rPr>
        <w:t>eritorială europeană), iar prin</w:t>
      </w:r>
      <w:r w:rsidRPr="00AF3608">
        <w:rPr>
          <w:rFonts w:ascii="Calibri" w:eastAsia="Calibri" w:hAnsi="Calibri" w:cs="Arial"/>
          <w:szCs w:val="20"/>
          <w:lang w:val="ro-RO" w:eastAsia="ro-RO"/>
        </w:rPr>
        <w:t xml:space="preserve"> </w:t>
      </w:r>
      <w:r w:rsidR="006B6CB3" w:rsidRPr="00AF3608">
        <w:rPr>
          <w:rFonts w:ascii="Calibri" w:hAnsi="Calibri" w:cs="Arial"/>
          <w:b/>
          <w:lang w:val="ro-RO"/>
        </w:rPr>
        <w:t xml:space="preserve">facilitatea </w:t>
      </w:r>
      <w:r w:rsidRPr="00AF3608">
        <w:rPr>
          <w:rFonts w:ascii="Calibri" w:hAnsi="Calibri" w:cs="Arial"/>
          <w:b/>
          <w:lang w:val="ro-RO"/>
        </w:rPr>
        <w:t>„Mecanismul de redresare și reziliență”</w:t>
      </w:r>
      <w:r w:rsidRPr="00AF3608">
        <w:rPr>
          <w:rFonts w:ascii="Calibri" w:hAnsi="Calibri" w:cs="Arial"/>
          <w:lang w:val="ro-RO"/>
        </w:rPr>
        <w:t xml:space="preserve">, are un buget alocat de </w:t>
      </w:r>
      <w:r w:rsidRPr="00AF3608">
        <w:rPr>
          <w:rFonts w:ascii="Calibri" w:hAnsi="Calibri" w:cs="Arial"/>
          <w:b/>
          <w:lang w:val="ro-RO"/>
        </w:rPr>
        <w:t>30,4 mld. euro</w:t>
      </w:r>
      <w:r w:rsidRPr="00AF3608">
        <w:rPr>
          <w:rFonts w:ascii="Calibri" w:hAnsi="Calibri" w:cs="Arial"/>
          <w:lang w:val="ro-RO"/>
        </w:rPr>
        <w:t xml:space="preserve"> </w:t>
      </w:r>
      <w:r w:rsidRPr="00AF3608">
        <w:rPr>
          <w:rFonts w:ascii="Calibri" w:hAnsi="Calibri" w:cs="Arial"/>
          <w:b/>
          <w:lang w:val="ro-RO"/>
        </w:rPr>
        <w:t xml:space="preserve">din care 13,7 mld. euro sunt </w:t>
      </w:r>
      <w:r w:rsidRPr="00AF3608">
        <w:rPr>
          <w:rFonts w:ascii="Calibri" w:hAnsi="Calibri" w:cs="Arial"/>
          <w:lang w:val="ro-RO"/>
        </w:rPr>
        <w:t xml:space="preserve">structurați sub formă de granturi și </w:t>
      </w:r>
      <w:r w:rsidRPr="00AF3608">
        <w:rPr>
          <w:rFonts w:ascii="Calibri" w:hAnsi="Calibri" w:cs="Arial"/>
          <w:b/>
          <w:lang w:val="ro-RO"/>
        </w:rPr>
        <w:t xml:space="preserve">16,6 mld. euro sub formă de împrumuturi, </w:t>
      </w:r>
      <w:r w:rsidRPr="00AF3608">
        <w:rPr>
          <w:rFonts w:ascii="Calibri" w:hAnsi="Calibri" w:cs="Arial"/>
          <w:lang w:val="ro-RO"/>
        </w:rPr>
        <w:t xml:space="preserve">fonduri ce vor fi utilizate </w:t>
      </w:r>
      <w:r w:rsidRPr="00AF3608">
        <w:rPr>
          <w:rFonts w:ascii="Calibri" w:hAnsi="Calibri" w:cs="Arial"/>
          <w:lang w:val="ro-RO" w:eastAsia="zh-CN"/>
        </w:rPr>
        <w:t>în domenii cheie: infrastructură, educație, sănătate, agricultură, mediu sau energie, precum și pentru modernizarea marilor sisteme publice.</w:t>
      </w:r>
    </w:p>
    <w:p w:rsidR="00D95CB1" w:rsidRPr="00AF3608" w:rsidRDefault="00D95CB1" w:rsidP="00920E23">
      <w:pPr>
        <w:shd w:val="clear" w:color="auto" w:fill="E7E6E6" w:themeFill="background2"/>
        <w:spacing w:before="120"/>
        <w:jc w:val="both"/>
        <w:rPr>
          <w:rFonts w:asciiTheme="minorHAnsi" w:hAnsiTheme="minorHAnsi" w:cstheme="minorHAnsi"/>
          <w:color w:val="000000" w:themeColor="text1"/>
          <w:lang w:val="ro-RO"/>
        </w:rPr>
      </w:pPr>
      <w:r w:rsidRPr="00AF3608">
        <w:rPr>
          <w:rFonts w:asciiTheme="minorHAnsi" w:hAnsiTheme="minorHAnsi" w:cstheme="minorHAnsi"/>
          <w:lang w:val="ro-RO"/>
        </w:rPr>
        <w:t xml:space="preserve">Pentru a putea beneficia de aceste fonduri, statele membre trebuie </w:t>
      </w:r>
      <w:r w:rsidRPr="00AF3608">
        <w:rPr>
          <w:rFonts w:asciiTheme="minorHAnsi" w:hAnsiTheme="minorHAnsi" w:cstheme="minorHAnsi"/>
          <w:b/>
          <w:color w:val="000066"/>
          <w:lang w:val="ro-RO"/>
        </w:rPr>
        <w:t xml:space="preserve">să pregătească planuri naționale de redresare și reziliență (PNRR) </w:t>
      </w:r>
      <w:r w:rsidRPr="00AF3608">
        <w:rPr>
          <w:rFonts w:asciiTheme="minorHAnsi" w:hAnsiTheme="minorHAnsi" w:cstheme="minorHAnsi"/>
          <w:color w:val="000000" w:themeColor="text1"/>
          <w:lang w:val="ro-RO"/>
        </w:rPr>
        <w:t xml:space="preserve">care să stabilească agenda de reforme și investiții </w:t>
      </w:r>
      <w:r w:rsidR="006B6CB3" w:rsidRPr="00AF3608">
        <w:rPr>
          <w:rFonts w:asciiTheme="minorHAnsi" w:hAnsiTheme="minorHAnsi" w:cstheme="minorHAnsi"/>
          <w:color w:val="000000" w:themeColor="text1"/>
          <w:lang w:val="ro-RO"/>
        </w:rPr>
        <w:t xml:space="preserve">si care trebuie sa </w:t>
      </w:r>
      <w:r w:rsidRPr="00AF3608">
        <w:rPr>
          <w:rFonts w:asciiTheme="minorHAnsi" w:hAnsiTheme="minorHAnsi" w:cstheme="minorHAnsi"/>
          <w:color w:val="000000" w:themeColor="text1"/>
          <w:lang w:val="ro-RO"/>
        </w:rPr>
        <w:t xml:space="preserve"> reprezinte un pachet coerent de reforme structurale și proiecte de investiții publice.</w:t>
      </w:r>
    </w:p>
    <w:p w:rsidR="00D95CB1" w:rsidRPr="00AF3608" w:rsidRDefault="00D95CB1" w:rsidP="00920E23">
      <w:pPr>
        <w:shd w:val="clear" w:color="auto" w:fill="E7E6E6" w:themeFill="background2"/>
        <w:spacing w:before="120"/>
        <w:jc w:val="both"/>
        <w:rPr>
          <w:rFonts w:asciiTheme="minorHAnsi" w:hAnsiTheme="minorHAnsi" w:cstheme="minorHAnsi"/>
          <w:lang w:val="ro-RO"/>
        </w:rPr>
      </w:pPr>
      <w:r w:rsidRPr="00AF3608">
        <w:rPr>
          <w:rFonts w:asciiTheme="minorHAnsi" w:hAnsiTheme="minorHAnsi" w:cstheme="minorHAnsi"/>
          <w:lang w:val="ro-RO"/>
        </w:rPr>
        <w:t>Odata cu aprobarea regulamentelor europene care reglementeaza PNNR</w:t>
      </w:r>
      <w:r w:rsidR="00D87DFD" w:rsidRPr="00AF3608">
        <w:rPr>
          <w:rFonts w:asciiTheme="minorHAnsi" w:hAnsiTheme="minorHAnsi" w:cstheme="minorHAnsi"/>
          <w:lang w:val="ro-RO"/>
        </w:rPr>
        <w:t xml:space="preserve"> sumele destinate fluxurilor </w:t>
      </w:r>
      <w:r w:rsidRPr="00AF3608">
        <w:rPr>
          <w:rFonts w:asciiTheme="minorHAnsi" w:hAnsiTheme="minorHAnsi" w:cstheme="minorHAnsi"/>
          <w:lang w:val="ro-RO"/>
        </w:rPr>
        <w:t>financiare determinate de proiectele finanțate prin PNN</w:t>
      </w:r>
      <w:r w:rsidR="00D87DFD" w:rsidRPr="00AF3608">
        <w:rPr>
          <w:rFonts w:asciiTheme="minorHAnsi" w:hAnsiTheme="minorHAnsi" w:cstheme="minorHAnsi"/>
          <w:lang w:val="ro-RO"/>
        </w:rPr>
        <w:t xml:space="preserve">R vor fi cuprinse în viitoarea </w:t>
      </w:r>
      <w:r w:rsidRPr="00AF3608">
        <w:rPr>
          <w:rFonts w:asciiTheme="minorHAnsi" w:hAnsiTheme="minorHAnsi" w:cstheme="minorHAnsi"/>
          <w:lang w:val="ro-RO"/>
        </w:rPr>
        <w:t>rec</w:t>
      </w:r>
      <w:r w:rsidR="0009111B" w:rsidRPr="00AF3608">
        <w:rPr>
          <w:rFonts w:asciiTheme="minorHAnsi" w:hAnsiTheme="minorHAnsi" w:cstheme="minorHAnsi"/>
          <w:lang w:val="ro-RO"/>
        </w:rPr>
        <w:t>tificare bugetară a anului 2021 și în Starategia fiscal-bugetară 2022-2024.</w:t>
      </w:r>
    </w:p>
    <w:p w:rsidR="00D95CB1" w:rsidRPr="00AF3608" w:rsidRDefault="00D95CB1" w:rsidP="00920E23">
      <w:pPr>
        <w:shd w:val="clear" w:color="auto" w:fill="E7E6E6" w:themeFill="background2"/>
        <w:spacing w:before="120"/>
        <w:jc w:val="both"/>
        <w:rPr>
          <w:rFonts w:asciiTheme="minorHAnsi" w:hAnsiTheme="minorHAnsi" w:cstheme="minorHAnsi"/>
          <w:color w:val="000000" w:themeColor="text1"/>
          <w:lang w:val="ro-RO"/>
        </w:rPr>
      </w:pPr>
    </w:p>
    <w:p w:rsidR="00D95CB1" w:rsidRDefault="00D95CB1" w:rsidP="00920E23">
      <w:pPr>
        <w:spacing w:before="120"/>
        <w:jc w:val="both"/>
        <w:rPr>
          <w:rFonts w:asciiTheme="minorHAnsi" w:hAnsiTheme="minorHAnsi" w:cstheme="minorHAnsi"/>
          <w:strike/>
          <w:lang w:val="ro-RO"/>
        </w:rPr>
      </w:pPr>
    </w:p>
    <w:p w:rsidR="00497313" w:rsidRDefault="00497313" w:rsidP="00920E23">
      <w:pPr>
        <w:spacing w:before="120"/>
        <w:jc w:val="both"/>
        <w:rPr>
          <w:rFonts w:asciiTheme="minorHAnsi" w:hAnsiTheme="minorHAnsi" w:cstheme="minorHAnsi"/>
          <w:strike/>
          <w:lang w:val="ro-RO"/>
        </w:rPr>
      </w:pPr>
    </w:p>
    <w:p w:rsidR="00497313" w:rsidRPr="00AF3608" w:rsidRDefault="00497313" w:rsidP="00920E23">
      <w:pPr>
        <w:spacing w:before="120"/>
        <w:jc w:val="both"/>
        <w:rPr>
          <w:rFonts w:asciiTheme="minorHAnsi" w:hAnsiTheme="minorHAnsi" w:cstheme="minorHAnsi"/>
          <w:strike/>
          <w:lang w:val="ro-RO"/>
        </w:rPr>
      </w:pPr>
    </w:p>
    <w:p w:rsidR="00D95CB1" w:rsidRPr="00AF3608" w:rsidRDefault="00D95CB1" w:rsidP="003A0B85">
      <w:pPr>
        <w:numPr>
          <w:ilvl w:val="0"/>
          <w:numId w:val="114"/>
        </w:numPr>
        <w:shd w:val="clear" w:color="auto" w:fill="DEEAF6" w:themeFill="accent1" w:themeFillTint="33"/>
        <w:spacing w:before="120"/>
        <w:jc w:val="both"/>
        <w:rPr>
          <w:rFonts w:asciiTheme="minorHAnsi" w:hAnsiTheme="minorHAnsi" w:cstheme="minorHAnsi"/>
          <w:color w:val="000066"/>
          <w:lang w:val="ro-RO"/>
        </w:rPr>
      </w:pPr>
      <w:r w:rsidRPr="00AF3608">
        <w:rPr>
          <w:rFonts w:asciiTheme="minorHAnsi" w:eastAsia="+mn-ea" w:hAnsiTheme="minorHAnsi" w:cstheme="minorHAnsi"/>
          <w:b/>
          <w:bCs/>
          <w:color w:val="000066"/>
          <w:lang w:val="ro-RO"/>
        </w:rPr>
        <w:lastRenderedPageBreak/>
        <w:t>Crearea unei politici fiscale predictibile pentru susțin</w:t>
      </w:r>
      <w:r w:rsidR="00D87DFD" w:rsidRPr="00AF3608">
        <w:rPr>
          <w:rFonts w:asciiTheme="minorHAnsi" w:eastAsia="+mn-ea" w:hAnsiTheme="minorHAnsi" w:cstheme="minorHAnsi"/>
          <w:b/>
          <w:bCs/>
          <w:color w:val="000066"/>
          <w:lang w:val="ro-RO"/>
        </w:rPr>
        <w:t xml:space="preserve">erea și adaptarea </w:t>
      </w:r>
      <w:r w:rsidRPr="00AF3608">
        <w:rPr>
          <w:rFonts w:asciiTheme="minorHAnsi" w:eastAsia="+mn-ea" w:hAnsiTheme="minorHAnsi" w:cstheme="minorHAnsi"/>
          <w:b/>
          <w:bCs/>
          <w:color w:val="000066"/>
          <w:lang w:val="ro-RO"/>
        </w:rPr>
        <w:t>mediului de afaceri la provocări</w:t>
      </w:r>
      <w:r w:rsidR="00D87DFD" w:rsidRPr="00AF3608">
        <w:rPr>
          <w:rFonts w:asciiTheme="minorHAnsi" w:eastAsia="+mn-ea" w:hAnsiTheme="minorHAnsi" w:cstheme="minorHAnsi"/>
          <w:b/>
          <w:bCs/>
          <w:color w:val="000066"/>
          <w:lang w:val="ro-RO"/>
        </w:rPr>
        <w:t xml:space="preserve">le ridicate de criza sanitară, </w:t>
      </w:r>
      <w:r w:rsidRPr="00AF3608">
        <w:rPr>
          <w:rFonts w:asciiTheme="minorHAnsi" w:eastAsia="+mn-ea" w:hAnsiTheme="minorHAnsi" w:cstheme="minorHAnsi"/>
          <w:b/>
          <w:bCs/>
          <w:color w:val="000066"/>
          <w:lang w:val="ro-RO"/>
        </w:rPr>
        <w:t>simplificarea fiscalității și fluidizarea proceselor interne,</w:t>
      </w:r>
      <w:r w:rsidRPr="00AF3608">
        <w:rPr>
          <w:rFonts w:asciiTheme="minorHAnsi" w:eastAsia="+mn-ea" w:hAnsiTheme="minorHAnsi" w:cstheme="minorHAnsi"/>
          <w:b/>
          <w:bCs/>
          <w:color w:val="002060"/>
          <w:lang w:val="ro-RO"/>
        </w:rPr>
        <w:t xml:space="preserve"> </w:t>
      </w:r>
      <w:r w:rsidR="00D87DFD" w:rsidRPr="00AF3608">
        <w:rPr>
          <w:rFonts w:asciiTheme="minorHAnsi" w:eastAsia="+mn-ea" w:hAnsiTheme="minorHAnsi" w:cstheme="minorHAnsi"/>
          <w:color w:val="000066"/>
          <w:lang w:val="ro-RO"/>
        </w:rPr>
        <w:t>pentru a crea</w:t>
      </w:r>
      <w:r w:rsidRPr="00AF3608">
        <w:rPr>
          <w:rFonts w:asciiTheme="minorHAnsi" w:eastAsia="+mn-ea" w:hAnsiTheme="minorHAnsi" w:cstheme="minorHAnsi"/>
          <w:color w:val="000066"/>
          <w:lang w:val="ro-RO"/>
        </w:rPr>
        <w:t xml:space="preserve"> premisa un</w:t>
      </w:r>
      <w:r w:rsidR="00D87DFD" w:rsidRPr="00AF3608">
        <w:rPr>
          <w:rFonts w:asciiTheme="minorHAnsi" w:eastAsia="+mn-ea" w:hAnsiTheme="minorHAnsi" w:cstheme="minorHAnsi"/>
          <w:color w:val="000066"/>
          <w:lang w:val="ro-RO"/>
        </w:rPr>
        <w:t>ei creșteri economice durabile</w:t>
      </w:r>
    </w:p>
    <w:p w:rsidR="00D95CB1" w:rsidRPr="00AF3608" w:rsidRDefault="00D95CB1" w:rsidP="00920E23">
      <w:pPr>
        <w:widowControl w:val="0"/>
        <w:suppressAutoHyphens/>
        <w:autoSpaceDE w:val="0"/>
        <w:autoSpaceDN w:val="0"/>
        <w:adjustRightInd w:val="0"/>
        <w:spacing w:before="120"/>
        <w:ind w:right="-2"/>
        <w:jc w:val="both"/>
        <w:rPr>
          <w:rFonts w:ascii="Calibri" w:eastAsia="Calibri" w:hAnsi="Calibri" w:cs="Calibri"/>
          <w:color w:val="FF0000"/>
          <w:lang w:val="ro-RO" w:eastAsia="ro-RO"/>
        </w:rPr>
      </w:pPr>
      <w:r w:rsidRPr="00AF3608">
        <w:rPr>
          <w:rFonts w:ascii="Calibri" w:hAnsi="Calibri" w:cs="Calibri"/>
          <w:b/>
          <w:color w:val="000066"/>
          <w:lang w:val="ro-RO"/>
        </w:rPr>
        <w:t>Principalele obiective ale politicii fiscale avute în vedere pe termen mediu</w:t>
      </w:r>
      <w:r w:rsidRPr="00AF3608">
        <w:rPr>
          <w:rFonts w:ascii="Calibri" w:hAnsi="Calibri" w:cs="Calibri"/>
          <w:lang w:val="ro-RO"/>
        </w:rPr>
        <w:t xml:space="preserve"> vizează în principal următoarele aspecte:</w:t>
      </w:r>
    </w:p>
    <w:p w:rsidR="00D95CB1" w:rsidRPr="00AF3608" w:rsidRDefault="00D95CB1" w:rsidP="003A0B85">
      <w:pPr>
        <w:numPr>
          <w:ilvl w:val="0"/>
          <w:numId w:val="107"/>
        </w:numPr>
        <w:spacing w:before="120"/>
        <w:ind w:right="-2"/>
        <w:jc w:val="both"/>
        <w:rPr>
          <w:rFonts w:ascii="Calibri" w:eastAsia="Calibri" w:hAnsi="Calibri" w:cs="Calibri"/>
          <w:color w:val="000000"/>
          <w:lang w:val="ro-RO"/>
        </w:rPr>
      </w:pPr>
      <w:r w:rsidRPr="00AF3608">
        <w:rPr>
          <w:rFonts w:ascii="Calibri" w:eastAsia="Calibri" w:hAnsi="Calibri" w:cs="Calibri"/>
          <w:color w:val="000000"/>
          <w:lang w:val="ro-RO"/>
        </w:rPr>
        <w:t>Implementarea masurilor din Programul de Guvernare 2020-2024 pe masură ce spațiul fiscal va permite</w:t>
      </w:r>
    </w:p>
    <w:p w:rsidR="00D95CB1" w:rsidRPr="00AF3608" w:rsidRDefault="00D95CB1" w:rsidP="003A0B85">
      <w:pPr>
        <w:numPr>
          <w:ilvl w:val="0"/>
          <w:numId w:val="107"/>
        </w:numPr>
        <w:spacing w:before="120"/>
        <w:ind w:right="-2"/>
        <w:jc w:val="both"/>
        <w:rPr>
          <w:rFonts w:ascii="Calibri" w:eastAsia="Calibri" w:hAnsi="Calibri" w:cs="Calibri"/>
          <w:color w:val="000000"/>
          <w:lang w:val="ro-RO"/>
        </w:rPr>
      </w:pPr>
      <w:r w:rsidRPr="00AF3608">
        <w:rPr>
          <w:rFonts w:ascii="Calibri" w:eastAsia="Calibri" w:hAnsi="Calibri" w:cs="Calibri"/>
          <w:color w:val="000000"/>
          <w:kern w:val="1"/>
          <w:lang w:val="ro-RO" w:eastAsia="zh-CN"/>
        </w:rPr>
        <w:t>Continuarea perfecționării legislației prin transpunerea în legislația națională a măsurilor adoptate la nivel european;</w:t>
      </w:r>
      <w:r w:rsidRPr="00AF3608">
        <w:rPr>
          <w:rFonts w:ascii="Calibri" w:eastAsia="Calibri" w:hAnsi="Calibri" w:cs="Calibri"/>
          <w:bCs/>
          <w:color w:val="000000"/>
          <w:lang w:val="ro-RO"/>
        </w:rPr>
        <w:t xml:space="preserve"> Sunt avute în vedere și inițiativele propuse de Comisia Europeană în cadrul „Planului de acțiune pentru o fiscalitate echitabilă și simplificată în sprijinul strategiei de redresare” care au ca scop reducerea sarcinilor administrative la nivelul statelor membre și al contribuabililor, precum și simplificarea prevederilor legislative și a obligațiilor de înregistra</w:t>
      </w:r>
      <w:r w:rsidR="004D7E1E" w:rsidRPr="00AF3608">
        <w:rPr>
          <w:rFonts w:ascii="Calibri" w:eastAsia="Calibri" w:hAnsi="Calibri" w:cs="Calibri"/>
          <w:bCs/>
          <w:color w:val="000000"/>
          <w:lang w:val="ro-RO"/>
        </w:rPr>
        <w:t>re și raportare în domeniul TVA</w:t>
      </w:r>
    </w:p>
    <w:p w:rsidR="00D95CB1" w:rsidRPr="00AF3608" w:rsidRDefault="00D95CB1" w:rsidP="003A0B85">
      <w:pPr>
        <w:numPr>
          <w:ilvl w:val="0"/>
          <w:numId w:val="107"/>
        </w:numPr>
        <w:spacing w:before="120"/>
        <w:ind w:right="-2"/>
        <w:jc w:val="both"/>
        <w:rPr>
          <w:rFonts w:ascii="Calibri" w:eastAsia="Calibri" w:hAnsi="Calibri" w:cs="Calibri"/>
          <w:color w:val="000000"/>
          <w:lang w:val="ro-RO"/>
        </w:rPr>
      </w:pPr>
      <w:r w:rsidRPr="00AF3608">
        <w:rPr>
          <w:rFonts w:ascii="Calibri" w:eastAsia="Calibri" w:hAnsi="Calibri" w:cs="Calibri"/>
          <w:color w:val="000000"/>
          <w:kern w:val="1"/>
          <w:lang w:val="ro-RO" w:eastAsia="zh-CN"/>
        </w:rPr>
        <w:t xml:space="preserve">Îmbunătățirea și simplificarea legislației fiscale, ca urmare a dialogului </w:t>
      </w:r>
      <w:r w:rsidR="004D7E1E" w:rsidRPr="00AF3608">
        <w:rPr>
          <w:rFonts w:ascii="Calibri" w:eastAsia="Calibri" w:hAnsi="Calibri" w:cs="Calibri"/>
          <w:color w:val="000000"/>
          <w:kern w:val="1"/>
          <w:lang w:val="ro-RO" w:eastAsia="zh-CN"/>
        </w:rPr>
        <w:t>cu mediul de afaceri</w:t>
      </w:r>
    </w:p>
    <w:p w:rsidR="00D95CB1" w:rsidRPr="00AF3608" w:rsidRDefault="00D95CB1" w:rsidP="003A0B85">
      <w:pPr>
        <w:numPr>
          <w:ilvl w:val="0"/>
          <w:numId w:val="107"/>
        </w:numPr>
        <w:spacing w:before="120"/>
        <w:ind w:right="-2"/>
        <w:jc w:val="both"/>
        <w:rPr>
          <w:rFonts w:ascii="Calibri" w:eastAsia="Calibri" w:hAnsi="Calibri" w:cs="Calibri"/>
          <w:color w:val="000000"/>
          <w:lang w:val="ro-RO"/>
        </w:rPr>
      </w:pPr>
      <w:r w:rsidRPr="00AF3608">
        <w:rPr>
          <w:rFonts w:ascii="Calibri" w:eastAsia="Calibri" w:hAnsi="Calibri" w:cs="Calibri"/>
          <w:color w:val="000000"/>
          <w:kern w:val="1"/>
          <w:lang w:val="ro-RO"/>
        </w:rPr>
        <w:t>Perfectionarea legislației in functie de fenomenele evazioniste in</w:t>
      </w:r>
      <w:r w:rsidR="004D7E1E" w:rsidRPr="00AF3608">
        <w:rPr>
          <w:rFonts w:ascii="Calibri" w:eastAsia="Calibri" w:hAnsi="Calibri" w:cs="Calibri"/>
          <w:color w:val="000000"/>
          <w:kern w:val="1"/>
          <w:lang w:val="ro-RO"/>
        </w:rPr>
        <w:t xml:space="preserve"> vederea contracararii acestora</w:t>
      </w:r>
    </w:p>
    <w:p w:rsidR="00D95CB1" w:rsidRPr="00AF3608" w:rsidRDefault="00D95CB1" w:rsidP="003A0B85">
      <w:pPr>
        <w:numPr>
          <w:ilvl w:val="0"/>
          <w:numId w:val="107"/>
        </w:numPr>
        <w:spacing w:before="120"/>
        <w:ind w:right="-2"/>
        <w:jc w:val="both"/>
        <w:rPr>
          <w:rFonts w:ascii="Calibri" w:eastAsia="Calibri" w:hAnsi="Calibri" w:cs="Calibri"/>
          <w:color w:val="000000"/>
          <w:lang w:val="ro-RO"/>
        </w:rPr>
      </w:pPr>
      <w:r w:rsidRPr="00AF3608">
        <w:rPr>
          <w:rFonts w:ascii="Calibri" w:eastAsia="Calibri" w:hAnsi="Calibri" w:cs="Calibri"/>
          <w:color w:val="000000"/>
          <w:kern w:val="1"/>
          <w:lang w:val="ro-RO"/>
        </w:rPr>
        <w:t>Pregătirea unor reforme in domeniul fiscal care vor contribui la o crestere economica suste</w:t>
      </w:r>
      <w:r w:rsidR="004D7E1E" w:rsidRPr="00AF3608">
        <w:rPr>
          <w:rFonts w:ascii="Calibri" w:eastAsia="Calibri" w:hAnsi="Calibri" w:cs="Calibri"/>
          <w:color w:val="000000"/>
          <w:kern w:val="1"/>
          <w:lang w:val="ro-RO"/>
        </w:rPr>
        <w:t>nabilă pe termen mediu si lung</w:t>
      </w:r>
    </w:p>
    <w:p w:rsidR="00D95CB1" w:rsidRPr="00AF3608" w:rsidRDefault="00D95CB1" w:rsidP="00920E23">
      <w:pPr>
        <w:spacing w:before="120"/>
        <w:ind w:right="-2"/>
        <w:jc w:val="both"/>
        <w:rPr>
          <w:rFonts w:ascii="Calibri" w:eastAsia="Calibri" w:hAnsi="Calibri" w:cs="Calibri"/>
          <w:color w:val="000000"/>
          <w:kern w:val="1"/>
          <w:lang w:val="ro-RO"/>
        </w:rPr>
      </w:pPr>
      <w:r w:rsidRPr="00AF3608">
        <w:rPr>
          <w:rFonts w:ascii="Calibri" w:eastAsia="Calibri" w:hAnsi="Calibri" w:cs="Calibri"/>
          <w:color w:val="000000"/>
          <w:kern w:val="1"/>
          <w:lang w:val="ro-RO"/>
        </w:rPr>
        <w:t>Principalel</w:t>
      </w:r>
      <w:r w:rsidR="004D7E1E" w:rsidRPr="00AF3608">
        <w:rPr>
          <w:rFonts w:ascii="Calibri" w:eastAsia="Calibri" w:hAnsi="Calibri" w:cs="Calibri"/>
          <w:color w:val="000000"/>
          <w:kern w:val="1"/>
          <w:lang w:val="ro-RO"/>
        </w:rPr>
        <w:t>e mă</w:t>
      </w:r>
      <w:r w:rsidRPr="00AF3608">
        <w:rPr>
          <w:rFonts w:ascii="Calibri" w:eastAsia="Calibri" w:hAnsi="Calibri" w:cs="Calibri"/>
          <w:color w:val="000000"/>
          <w:kern w:val="1"/>
          <w:lang w:val="ro-RO"/>
        </w:rPr>
        <w:t>suri fiscal pe peri</w:t>
      </w:r>
      <w:r w:rsidR="004D7E1E" w:rsidRPr="00AF3608">
        <w:rPr>
          <w:rFonts w:ascii="Calibri" w:eastAsia="Calibri" w:hAnsi="Calibri" w:cs="Calibri"/>
          <w:color w:val="000000"/>
          <w:kern w:val="1"/>
          <w:lang w:val="ro-RO"/>
        </w:rPr>
        <w:t>oada 2020-2024 sunt prezentate î</w:t>
      </w:r>
      <w:r w:rsidRPr="00AF3608">
        <w:rPr>
          <w:rFonts w:ascii="Calibri" w:eastAsia="Calibri" w:hAnsi="Calibri" w:cs="Calibri"/>
          <w:color w:val="000000"/>
          <w:kern w:val="1"/>
          <w:lang w:val="ro-RO"/>
        </w:rPr>
        <w:t>n cap. 4 al Strategiei</w:t>
      </w:r>
      <w:r w:rsidR="004D7E1E" w:rsidRPr="00AF3608">
        <w:rPr>
          <w:rFonts w:ascii="Calibri" w:eastAsia="Calibri" w:hAnsi="Calibri" w:cs="Calibri"/>
          <w:color w:val="000000"/>
          <w:kern w:val="1"/>
          <w:lang w:val="ro-RO"/>
        </w:rPr>
        <w:t xml:space="preserve"> fiscal bugetare 2021-2023</w:t>
      </w:r>
      <w:r w:rsidRPr="00AF3608">
        <w:rPr>
          <w:rFonts w:ascii="Calibri" w:eastAsia="Calibri" w:hAnsi="Calibri" w:cs="Calibri"/>
          <w:color w:val="000000"/>
          <w:kern w:val="1"/>
          <w:lang w:val="ro-RO"/>
        </w:rPr>
        <w:t>.</w:t>
      </w:r>
    </w:p>
    <w:p w:rsidR="006B1477" w:rsidRPr="00AF3608" w:rsidRDefault="006B1477" w:rsidP="00920E23">
      <w:pPr>
        <w:spacing w:before="120"/>
        <w:ind w:right="-2"/>
        <w:jc w:val="both"/>
        <w:rPr>
          <w:rFonts w:ascii="Calibri" w:eastAsia="Calibri" w:hAnsi="Calibri" w:cs="Calibri"/>
          <w:color w:val="000000"/>
          <w:lang w:val="ro-RO"/>
        </w:rPr>
      </w:pPr>
    </w:p>
    <w:p w:rsidR="00D95CB1" w:rsidRPr="00AF3608" w:rsidRDefault="00D95CB1" w:rsidP="003A0B85">
      <w:pPr>
        <w:numPr>
          <w:ilvl w:val="0"/>
          <w:numId w:val="114"/>
        </w:numPr>
        <w:shd w:val="clear" w:color="auto" w:fill="DEEAF6" w:themeFill="accent1" w:themeFillTint="33"/>
        <w:spacing w:before="120"/>
        <w:jc w:val="both"/>
        <w:rPr>
          <w:rFonts w:asciiTheme="minorHAnsi" w:hAnsiTheme="minorHAnsi" w:cstheme="minorHAnsi"/>
          <w:color w:val="000066"/>
          <w:lang w:val="ro-RO"/>
        </w:rPr>
      </w:pPr>
      <w:r w:rsidRPr="00AF3608">
        <w:rPr>
          <w:rFonts w:asciiTheme="minorHAnsi" w:eastAsia="+mn-ea" w:hAnsiTheme="minorHAnsi" w:cstheme="minorHAnsi"/>
          <w:b/>
          <w:bCs/>
          <w:color w:val="000066"/>
          <w:lang w:val="ro-RO"/>
        </w:rPr>
        <w:t>Dezvoltarea şi diversificarea instrumentelor de management ale datoriei publice pentru menținerea  datoriei</w:t>
      </w:r>
      <w:r w:rsidR="004D7E1E" w:rsidRPr="00AF3608">
        <w:rPr>
          <w:rFonts w:asciiTheme="minorHAnsi" w:eastAsia="+mn-ea" w:hAnsiTheme="minorHAnsi" w:cstheme="minorHAnsi"/>
          <w:b/>
          <w:bCs/>
          <w:color w:val="000066"/>
          <w:lang w:val="ro-RO"/>
        </w:rPr>
        <w:t xml:space="preserve"> publice la un nivel sustenabil</w:t>
      </w:r>
    </w:p>
    <w:p w:rsidR="00D95CB1" w:rsidRPr="00AF3608" w:rsidRDefault="00D95CB1" w:rsidP="00920E23">
      <w:pPr>
        <w:spacing w:before="120"/>
        <w:jc w:val="both"/>
        <w:rPr>
          <w:rFonts w:ascii="Calibri" w:hAnsi="Calibri" w:cs="Calibri"/>
          <w:lang w:val="ro-RO"/>
        </w:rPr>
      </w:pPr>
      <w:r w:rsidRPr="00AF3608">
        <w:rPr>
          <w:rFonts w:ascii="Calibri" w:hAnsi="Calibri" w:cs="Calibri"/>
          <w:lang w:val="ro-RO"/>
        </w:rPr>
        <w:t>În perioada 2021-2023, Ministerul Finanțelor va urmări îndeplinirea obiectivelor prevăzute in Strategia de administrare a datoriei publice guvernamentale pe termen mediu, în acest sens politica de finanțare a Ministerului Finanțelor este de a se asigura finanțarea deficitului bugetar în mod echilibrat din surse interne și externe în principal prin emisiuni de titluri de stat, iar în ceea ce privește refinanțarea datoriei publice guvernamentale aceasta se va efectua de pe piața de pe care s-a emis inițial datoria.</w:t>
      </w:r>
    </w:p>
    <w:p w:rsidR="00D95CB1" w:rsidRPr="00AF3608" w:rsidRDefault="00D95CB1" w:rsidP="00920E23">
      <w:pPr>
        <w:spacing w:before="120"/>
        <w:jc w:val="both"/>
        <w:rPr>
          <w:rFonts w:ascii="Calibri" w:hAnsi="Calibri" w:cs="Calibri"/>
          <w:lang w:val="ro-RO"/>
        </w:rPr>
      </w:pPr>
      <w:r w:rsidRPr="00AF3608">
        <w:rPr>
          <w:rFonts w:ascii="Calibri" w:hAnsi="Calibri" w:cs="Calibri"/>
          <w:lang w:val="ro-RO"/>
        </w:rPr>
        <w:t>Astfel, Ministerul Finanțelor va continua să mențină o abordare flexibilă și transparentă în realizarea procesului de finanțare, reacționând cu promptitudine la modificările contextului de piață și la comportamentul investitorilor.</w:t>
      </w:r>
    </w:p>
    <w:p w:rsidR="00D95CB1" w:rsidRPr="00AF3608" w:rsidRDefault="00D95CB1" w:rsidP="00920E23">
      <w:pPr>
        <w:spacing w:before="120"/>
        <w:jc w:val="both"/>
        <w:rPr>
          <w:rFonts w:ascii="Calibri" w:hAnsi="Calibri" w:cs="Calibri"/>
          <w:lang w:val="ro-RO"/>
        </w:rPr>
      </w:pPr>
      <w:r w:rsidRPr="00AF3608">
        <w:rPr>
          <w:rFonts w:ascii="Calibri" w:hAnsi="Calibri" w:cs="Calibri"/>
          <w:lang w:val="ro-RO"/>
        </w:rPr>
        <w:t xml:space="preserve">În scopul diversificării bazei de investitori și a creșterii accesibilității persoanelor fizice la cumpărarea titlurilor de stat, se are în vedere continuarea emisiunilor de titluri de stat pentru populație în cadrul celor două programe dedicate TEZAUR și FIDELIS, în limita unui plafon anual indicativ. Pentru Programul TEZAUR se are în vedere introducerea de facilități care să permită realizarea în mediu online a subscrierilor și rambursărilor sumelor datorate la scadență investitorilor. </w:t>
      </w:r>
    </w:p>
    <w:p w:rsidR="00D95CB1" w:rsidRPr="00AF3608" w:rsidRDefault="00D95CB1" w:rsidP="00920E23">
      <w:pPr>
        <w:spacing w:before="120"/>
        <w:jc w:val="both"/>
        <w:rPr>
          <w:rFonts w:ascii="Calibri" w:hAnsi="Calibri" w:cs="Calibri"/>
          <w:lang w:val="ro-RO"/>
        </w:rPr>
      </w:pPr>
      <w:r w:rsidRPr="00AF3608">
        <w:rPr>
          <w:rFonts w:ascii="Calibri" w:hAnsi="Calibri" w:cs="Calibri"/>
          <w:lang w:val="ro-RO"/>
        </w:rPr>
        <w:t>Pentru limitarea riscului de refinanțare, Ministerul Finanțelor intenționează să utilizeze operațiuni specifice de piața secundara de tipul răscumpărărilor anticipate sau preschimbărilor de titluri de stat.</w:t>
      </w:r>
      <w:r w:rsidRPr="00AF3608" w:rsidDel="00FA2502">
        <w:rPr>
          <w:rFonts w:ascii="Calibri" w:hAnsi="Calibri" w:cs="Calibri"/>
          <w:lang w:val="ro-RO"/>
        </w:rPr>
        <w:t xml:space="preserve"> </w:t>
      </w:r>
    </w:p>
    <w:p w:rsidR="00D95CB1" w:rsidRPr="00AF3608" w:rsidRDefault="00D95CB1" w:rsidP="00920E23">
      <w:pPr>
        <w:spacing w:before="120"/>
        <w:jc w:val="both"/>
        <w:rPr>
          <w:rFonts w:ascii="Calibri" w:hAnsi="Calibri" w:cs="Calibri"/>
          <w:lang w:val="ro-RO"/>
        </w:rPr>
      </w:pPr>
      <w:r w:rsidRPr="00AF3608">
        <w:rPr>
          <w:rFonts w:ascii="Calibri" w:hAnsi="Calibri" w:cs="Calibri"/>
          <w:lang w:val="ro-RO"/>
        </w:rPr>
        <w:t xml:space="preserve">De asemenea, pentru reducerea expunerii la riscul valutar și de rată de dobândă asociate portofoliului de datorie publice guvernamentale, Ministerul Finanțelor are în vedere utilizarea instrumentelor financiare derivate (swap valutar și swap pe rată de dobândă), în anul 2021 urmând </w:t>
      </w:r>
      <w:r w:rsidRPr="00AF3608">
        <w:rPr>
          <w:rFonts w:ascii="Calibri" w:hAnsi="Calibri" w:cs="Calibri"/>
          <w:lang w:val="ro-RO"/>
        </w:rPr>
        <w:lastRenderedPageBreak/>
        <w:t xml:space="preserve">să se finalizeze Cadrul operațional și să fie încheiate de acorduri-cadru ISDA Master Agreement cu o serie de contrapartide.  </w:t>
      </w:r>
    </w:p>
    <w:p w:rsidR="00D95CB1" w:rsidRPr="00AF3608" w:rsidRDefault="00D95CB1" w:rsidP="00920E23">
      <w:pPr>
        <w:spacing w:before="120"/>
        <w:jc w:val="both"/>
        <w:rPr>
          <w:rFonts w:ascii="Calibri" w:hAnsi="Calibri" w:cs="Calibri"/>
          <w:lang w:val="ro-RO"/>
        </w:rPr>
      </w:pPr>
      <w:r w:rsidRPr="00AF3608">
        <w:rPr>
          <w:rFonts w:ascii="Calibri" w:hAnsi="Calibri" w:cs="Calibri"/>
          <w:lang w:val="ro-RO"/>
        </w:rPr>
        <w:t>Pe termen mediu, se are în vedere diversificarea instrumentelor de finanțare, prin realizarea de emisiuni de obligațiuni “verzi”, în acest sens o primă etapă o reprezintă crearea Cadrului general de emisiuni de obligațiuni verzi la nivel suveran, urmând să fie identificate în bugetul de stat proiectele de investiții/cheltuieli “verzi”.</w:t>
      </w:r>
    </w:p>
    <w:p w:rsidR="00D95CB1" w:rsidRPr="00AF3608" w:rsidRDefault="00D95CB1" w:rsidP="00920E23">
      <w:pPr>
        <w:spacing w:before="120"/>
        <w:jc w:val="both"/>
        <w:rPr>
          <w:rFonts w:ascii="Calibri" w:eastAsia="Calibri" w:hAnsi="Calibri" w:cs="Calibri"/>
          <w:lang w:val="ro-RO"/>
        </w:rPr>
      </w:pPr>
      <w:r w:rsidRPr="00AF3608">
        <w:rPr>
          <w:rFonts w:ascii="Calibri" w:hAnsi="Calibri" w:cs="Calibri"/>
          <w:lang w:val="ro-RO"/>
        </w:rPr>
        <w:t>Pentru îmbunătățirea managementului datoriei publice şi evitarea presiunilor temporare în asigurarea surselor de finanțare a deficitului bugetar şi de refinanțare a datoriei publice guvernamentale, Ministerul Finanțelor are în vedere menținerea rezervei financiare (buffer) în valută aflată la dispoziția Trezoreriei Statului, care să permită gestionarea riscului de refinanțare și de lichiditate. În prezent, politica Ministerul Finanțelor este de menținere a acestei rezerve la un nivel care să acopere până la 4 luni necesar brut de finanțare.</w:t>
      </w:r>
      <w:r w:rsidRPr="00AF3608">
        <w:rPr>
          <w:rFonts w:ascii="Calibri" w:eastAsia="Calibri" w:hAnsi="Calibri" w:cs="Calibri"/>
          <w:lang w:val="ro-RO"/>
        </w:rPr>
        <w:t xml:space="preserve"> </w:t>
      </w:r>
    </w:p>
    <w:p w:rsidR="006F06B2" w:rsidRPr="00AF3608" w:rsidRDefault="006F06B2" w:rsidP="00920E23">
      <w:pPr>
        <w:widowControl w:val="0"/>
        <w:shd w:val="clear" w:color="auto" w:fill="FFFFFF" w:themeFill="background1"/>
        <w:tabs>
          <w:tab w:val="left" w:pos="993"/>
        </w:tabs>
        <w:spacing w:before="120"/>
        <w:jc w:val="both"/>
        <w:rPr>
          <w:rFonts w:ascii="Calibri" w:hAnsi="Calibri" w:cs="Arial"/>
          <w:b/>
          <w:iCs/>
          <w:color w:val="000066"/>
          <w:shd w:val="clear" w:color="auto" w:fill="FFFFFF" w:themeFill="background1"/>
          <w:lang w:val="ro-RO"/>
        </w:rPr>
      </w:pPr>
      <w:r w:rsidRPr="00AF3608">
        <w:rPr>
          <w:rFonts w:ascii="Calibri" w:hAnsi="Calibri" w:cs="Arial"/>
          <w:iCs/>
          <w:lang w:val="ro-RO"/>
        </w:rPr>
        <w:t xml:space="preserve">Pe termen mediu (2021 – 2024), în condiții de consolidare fiscală, datoria guvernamentală brută, </w:t>
      </w:r>
      <w:r w:rsidRPr="00AF3608">
        <w:rPr>
          <w:rFonts w:ascii="Calibri" w:hAnsi="Calibri" w:cs="Arial"/>
          <w:iCs/>
          <w:shd w:val="clear" w:color="auto" w:fill="FFFFFF" w:themeFill="background1"/>
          <w:lang w:val="ro-RO"/>
        </w:rPr>
        <w:t xml:space="preserve">conform metodologiei UE </w:t>
      </w:r>
      <w:r w:rsidRPr="00AF3608">
        <w:rPr>
          <w:rFonts w:ascii="Calibri" w:hAnsi="Calibri" w:cs="Arial"/>
          <w:b/>
          <w:iCs/>
          <w:color w:val="000066"/>
          <w:shd w:val="clear" w:color="auto" w:fill="FFFFFF" w:themeFill="background1"/>
          <w:lang w:val="ro-RO"/>
        </w:rPr>
        <w:t>se va mentine la un nivel sustenabil ce nu va depăși  55,0% din PI</w:t>
      </w:r>
      <w:r w:rsidR="00A964B2" w:rsidRPr="00AF3608">
        <w:rPr>
          <w:rFonts w:ascii="Calibri" w:hAnsi="Calibri" w:cs="Arial"/>
          <w:b/>
          <w:iCs/>
          <w:color w:val="000066"/>
          <w:shd w:val="clear" w:color="auto" w:fill="FFFFFF" w:themeFill="background1"/>
          <w:lang w:val="ro-RO"/>
        </w:rPr>
        <w:t xml:space="preserve">B, sub nivelul de 60% din PIB, </w:t>
      </w:r>
      <w:r w:rsidRPr="00AF3608">
        <w:rPr>
          <w:rFonts w:ascii="Calibri" w:hAnsi="Calibri" w:cs="Arial"/>
          <w:b/>
          <w:iCs/>
          <w:color w:val="000066"/>
          <w:shd w:val="clear" w:color="auto" w:fill="FFFFFF" w:themeFill="background1"/>
          <w:lang w:val="ro-RO"/>
        </w:rPr>
        <w:t xml:space="preserve">în timp </w:t>
      </w:r>
      <w:r w:rsidR="00A964B2" w:rsidRPr="00AF3608">
        <w:rPr>
          <w:rFonts w:ascii="Calibri" w:hAnsi="Calibri" w:cs="Arial"/>
          <w:b/>
          <w:iCs/>
          <w:color w:val="000066"/>
          <w:shd w:val="clear" w:color="auto" w:fill="FFFFFF" w:themeFill="background1"/>
          <w:lang w:val="ro-RO"/>
        </w:rPr>
        <w:t xml:space="preserve">ce datoria guvernamentală netă </w:t>
      </w:r>
      <w:r w:rsidRPr="00AF3608">
        <w:rPr>
          <w:rFonts w:ascii="Calibri" w:hAnsi="Calibri" w:cs="Arial"/>
          <w:b/>
          <w:iCs/>
          <w:color w:val="000066"/>
          <w:shd w:val="clear" w:color="auto" w:fill="FFFFFF" w:themeFill="background1"/>
          <w:lang w:val="ro-RO"/>
        </w:rPr>
        <w:t>(</w:t>
      </w:r>
      <w:r w:rsidRPr="00AF3608">
        <w:rPr>
          <w:rFonts w:ascii="Calibri" w:hAnsi="Calibri" w:cs="Arial"/>
          <w:b/>
          <w:color w:val="000066"/>
          <w:shd w:val="clear" w:color="auto" w:fill="FFFFFF" w:themeFill="background1"/>
          <w:lang w:val="ro-RO"/>
        </w:rPr>
        <w:t>reprezentând datoria guvernamentală brută minus activele financiare lichide)</w:t>
      </w:r>
      <w:r w:rsidRPr="00AF3608">
        <w:rPr>
          <w:rFonts w:ascii="Calibri" w:hAnsi="Calibri" w:cs="Arial"/>
          <w:b/>
          <w:color w:val="000066"/>
          <w:shd w:val="clear" w:color="auto" w:fill="FFFFFF" w:themeFill="background1"/>
          <w:vertAlign w:val="superscript"/>
          <w:lang w:val="ro-RO"/>
        </w:rPr>
        <w:footnoteReference w:id="6"/>
      </w:r>
      <w:r w:rsidRPr="00AF3608">
        <w:rPr>
          <w:rFonts w:ascii="Calibri" w:hAnsi="Calibri" w:cs="Arial"/>
          <w:b/>
          <w:color w:val="000066"/>
          <w:shd w:val="clear" w:color="auto" w:fill="FFFFFF" w:themeFill="background1"/>
          <w:lang w:val="ro-RO"/>
        </w:rPr>
        <w:t xml:space="preserve"> </w:t>
      </w:r>
      <w:r w:rsidRPr="00AF3608">
        <w:rPr>
          <w:rFonts w:ascii="Calibri" w:hAnsi="Calibri" w:cs="Arial"/>
          <w:b/>
          <w:iCs/>
          <w:color w:val="000066"/>
          <w:shd w:val="clear" w:color="auto" w:fill="FFFFFF" w:themeFill="background1"/>
          <w:lang w:val="ro-RO"/>
        </w:rPr>
        <w:t>nu va depăşi 48,0% din PIB.</w:t>
      </w:r>
    </w:p>
    <w:p w:rsidR="006B1477" w:rsidRPr="00AF3608" w:rsidRDefault="006B1477" w:rsidP="00920E23">
      <w:pPr>
        <w:autoSpaceDE w:val="0"/>
        <w:autoSpaceDN w:val="0"/>
        <w:spacing w:before="120"/>
        <w:ind w:left="720" w:right="-2"/>
        <w:jc w:val="both"/>
        <w:rPr>
          <w:rFonts w:ascii="Calibri" w:eastAsia="Calibri" w:hAnsi="Calibri" w:cs="Calibri"/>
          <w:szCs w:val="22"/>
          <w:lang w:val="ro-RO" w:eastAsia="ro-RO"/>
        </w:rPr>
      </w:pPr>
    </w:p>
    <w:p w:rsidR="006F06B2" w:rsidRPr="00AF3608" w:rsidRDefault="006F06B2" w:rsidP="003A0B85">
      <w:pPr>
        <w:numPr>
          <w:ilvl w:val="0"/>
          <w:numId w:val="114"/>
        </w:numPr>
        <w:shd w:val="clear" w:color="auto" w:fill="BDD6EE" w:themeFill="accent1" w:themeFillTint="66"/>
        <w:spacing w:before="120"/>
        <w:jc w:val="both"/>
        <w:rPr>
          <w:rFonts w:ascii="Calibri" w:hAnsi="Calibri" w:cs="Calibri"/>
          <w:color w:val="000000"/>
          <w:lang w:val="ro-RO"/>
        </w:rPr>
      </w:pPr>
      <w:r w:rsidRPr="00AF3608">
        <w:rPr>
          <w:rFonts w:ascii="Calibri" w:hAnsi="Calibri" w:cs="Calibri"/>
          <w:b/>
          <w:color w:val="000066"/>
          <w:lang w:val="ro-RO"/>
        </w:rPr>
        <w:t xml:space="preserve">Eficientizarea calitativă a cheltuielilor publice printr-un pachet susținut  de reforme  în domeniul cheltuielilor de personal, al pensiilor, precum și asupra </w:t>
      </w:r>
      <w:r w:rsidR="00A61923">
        <w:rPr>
          <w:rFonts w:ascii="Calibri" w:hAnsi="Calibri" w:cs="Calibri"/>
          <w:b/>
          <w:color w:val="000066"/>
          <w:lang w:val="ro-RO"/>
        </w:rPr>
        <w:t>operatori</w:t>
      </w:r>
      <w:r w:rsidRPr="00AF3608">
        <w:rPr>
          <w:rFonts w:ascii="Calibri" w:hAnsi="Calibri" w:cs="Calibri"/>
          <w:b/>
          <w:color w:val="000066"/>
          <w:lang w:val="ro-RO"/>
        </w:rPr>
        <w:t xml:space="preserve"> economici cu capital de stat  </w:t>
      </w:r>
    </w:p>
    <w:p w:rsidR="008B7484" w:rsidRPr="00AF3608" w:rsidRDefault="008B7484" w:rsidP="00920E23">
      <w:pPr>
        <w:shd w:val="clear" w:color="auto" w:fill="E7E6E6"/>
        <w:autoSpaceDE w:val="0"/>
        <w:autoSpaceDN w:val="0"/>
        <w:spacing w:before="120"/>
        <w:ind w:right="-2"/>
        <w:jc w:val="both"/>
        <w:rPr>
          <w:rFonts w:ascii="Calibri" w:eastAsia="Calibri" w:hAnsi="Calibri" w:cs="Calibri"/>
          <w:b/>
          <w:color w:val="000066"/>
          <w:szCs w:val="22"/>
          <w:lang w:val="ro-RO" w:eastAsia="ro-RO"/>
        </w:rPr>
      </w:pPr>
      <w:r w:rsidRPr="00AF3608">
        <w:rPr>
          <w:rFonts w:ascii="Calibri" w:eastAsia="Calibri" w:hAnsi="Calibri" w:cs="Calibri"/>
          <w:b/>
          <w:color w:val="002060"/>
          <w:szCs w:val="22"/>
          <w:shd w:val="clear" w:color="auto" w:fill="E7E6E6"/>
          <w:lang w:val="ro-RO"/>
        </w:rPr>
        <w:t>La nivelul pieţei muncii</w:t>
      </w:r>
      <w:r w:rsidRPr="00AF3608">
        <w:rPr>
          <w:rFonts w:ascii="Calibri" w:eastAsia="Calibri" w:hAnsi="Calibri" w:cs="Calibri"/>
          <w:b/>
          <w:color w:val="002060"/>
          <w:szCs w:val="22"/>
          <w:shd w:val="clear" w:color="auto" w:fill="FFFFFF"/>
          <w:lang w:val="ro-RO"/>
        </w:rPr>
        <w:t>,</w:t>
      </w:r>
      <w:r w:rsidRPr="00AF3608">
        <w:rPr>
          <w:rFonts w:ascii="Calibri" w:eastAsia="Calibri" w:hAnsi="Calibri" w:cs="Calibri"/>
          <w:color w:val="002060"/>
          <w:szCs w:val="22"/>
          <w:lang w:val="ro-RO"/>
        </w:rPr>
        <w:t xml:space="preserve"> </w:t>
      </w:r>
      <w:r w:rsidRPr="00AF3608">
        <w:rPr>
          <w:rFonts w:ascii="Calibri" w:eastAsia="Calibri" w:hAnsi="Calibri" w:cs="Calibri"/>
          <w:b/>
          <w:color w:val="002060"/>
          <w:szCs w:val="22"/>
          <w:lang w:val="ro-RO"/>
        </w:rPr>
        <w:t>se va urmări e</w:t>
      </w:r>
      <w:r w:rsidRPr="00AF3608">
        <w:rPr>
          <w:rFonts w:ascii="Calibri" w:eastAsia="Calibri" w:hAnsi="Calibri" w:cs="Calibri"/>
          <w:b/>
          <w:szCs w:val="22"/>
          <w:lang w:val="ro-RO" w:eastAsia="ro-RO"/>
        </w:rPr>
        <w:t>ficientizarea politicii de ocupare și de stimulare a muncii</w:t>
      </w:r>
      <w:r w:rsidRPr="00AF3608">
        <w:rPr>
          <w:rFonts w:ascii="Calibri" w:eastAsia="Calibri" w:hAnsi="Calibri" w:cs="Calibri"/>
          <w:szCs w:val="22"/>
          <w:lang w:val="ro-RO" w:eastAsia="ro-RO"/>
        </w:rPr>
        <w:t xml:space="preserve">, astfel încât să se ofere servicii competitive și adaptate realităților din piața muncii atât pentru angajatori, cât și pentru persoanele aflate în căutarea unui loc de muncă, </w:t>
      </w:r>
      <w:r w:rsidRPr="00AF3608">
        <w:rPr>
          <w:rFonts w:ascii="Calibri" w:eastAsia="Calibri" w:hAnsi="Calibri" w:cs="Calibri"/>
          <w:b/>
          <w:color w:val="000066"/>
          <w:szCs w:val="22"/>
          <w:lang w:val="ro-RO" w:eastAsia="ro-RO"/>
        </w:rPr>
        <w:t>legarea muncii de criterii de performanță.</w:t>
      </w:r>
    </w:p>
    <w:p w:rsidR="008B7484" w:rsidRPr="00AF3608" w:rsidRDefault="008B7484" w:rsidP="00920E23">
      <w:pPr>
        <w:widowControl w:val="0"/>
        <w:autoSpaceDE w:val="0"/>
        <w:autoSpaceDN w:val="0"/>
        <w:adjustRightInd w:val="0"/>
        <w:spacing w:before="120"/>
        <w:ind w:left="1080" w:right="-2"/>
        <w:jc w:val="both"/>
        <w:rPr>
          <w:rFonts w:ascii="Calibri" w:eastAsia="Calibri" w:hAnsi="Calibri" w:cs="Calibri"/>
          <w:color w:val="000000"/>
          <w:lang w:val="ro-RO" w:eastAsia="en-GB"/>
        </w:rPr>
      </w:pPr>
    </w:p>
    <w:p w:rsidR="008B7484" w:rsidRPr="00AF3608" w:rsidRDefault="008B7484" w:rsidP="003A0B85">
      <w:pPr>
        <w:widowControl w:val="0"/>
        <w:numPr>
          <w:ilvl w:val="0"/>
          <w:numId w:val="148"/>
        </w:numPr>
        <w:autoSpaceDE w:val="0"/>
        <w:autoSpaceDN w:val="0"/>
        <w:adjustRightInd w:val="0"/>
        <w:spacing w:before="120"/>
        <w:ind w:left="1145" w:right="-2"/>
        <w:jc w:val="both"/>
        <w:rPr>
          <w:rFonts w:ascii="Calibri" w:eastAsia="Calibri" w:hAnsi="Calibri" w:cs="Calibri"/>
          <w:color w:val="000000"/>
          <w:lang w:val="ro-RO" w:eastAsia="en-GB"/>
        </w:rPr>
      </w:pPr>
      <w:r w:rsidRPr="00AF3608">
        <w:rPr>
          <w:rFonts w:ascii="Calibri" w:hAnsi="Calibri" w:cs="Calibri"/>
          <w:b/>
          <w:color w:val="000066"/>
          <w:lang w:val="ro-RO"/>
        </w:rPr>
        <w:t>Salariul de bază minim brut pe țară</w:t>
      </w:r>
      <w:r w:rsidRPr="00AF3608">
        <w:rPr>
          <w:rFonts w:ascii="Calibri" w:hAnsi="Calibri" w:cs="Calibri"/>
          <w:color w:val="000000"/>
          <w:lang w:val="ro-RO"/>
        </w:rPr>
        <w:t xml:space="preserve"> garantat în plată s-a majorat la 2.300 lei lunar, începând cu data de 13 ianuarie 2021, ceea ce reprezintă o creștere de 3,1% față de luna decembrie 2020</w:t>
      </w:r>
    </w:p>
    <w:p w:rsidR="008B7484" w:rsidRPr="00AF3608" w:rsidRDefault="008B7484" w:rsidP="003A0B85">
      <w:pPr>
        <w:widowControl w:val="0"/>
        <w:numPr>
          <w:ilvl w:val="0"/>
          <w:numId w:val="148"/>
        </w:numPr>
        <w:autoSpaceDE w:val="0"/>
        <w:autoSpaceDN w:val="0"/>
        <w:adjustRightInd w:val="0"/>
        <w:spacing w:before="120"/>
        <w:ind w:left="1145" w:right="-2"/>
        <w:jc w:val="both"/>
        <w:rPr>
          <w:rFonts w:ascii="Calibri" w:eastAsia="Calibri" w:hAnsi="Calibri" w:cs="Calibri"/>
          <w:color w:val="000000"/>
          <w:lang w:val="ro-RO" w:eastAsia="en-GB"/>
        </w:rPr>
      </w:pPr>
      <w:r w:rsidRPr="00AF3608">
        <w:rPr>
          <w:rFonts w:ascii="Calibri" w:hAnsi="Calibri" w:cs="Calibri"/>
          <w:color w:val="000066"/>
          <w:lang w:val="ro-RO"/>
        </w:rPr>
        <w:t>pentru personalul încadrat pe funcţii pentru care se prevede nivelul de studii superioare, cu vechime în muncă de cel puţin un an în domeniul studiilor superioare</w:t>
      </w:r>
      <w:r w:rsidRPr="00AF3608">
        <w:rPr>
          <w:rFonts w:ascii="Calibri" w:hAnsi="Calibri" w:cs="Calibri"/>
          <w:lang w:val="ro-RO"/>
        </w:rPr>
        <w:t xml:space="preserve">, salariul de bază minim brut pe ţară garantat în plată, fără a include sporuri şi alte adaosuri, se stabileşte la </w:t>
      </w:r>
      <w:r w:rsidRPr="00AF3608">
        <w:rPr>
          <w:rFonts w:ascii="Calibri" w:hAnsi="Calibri" w:cs="Calibri"/>
          <w:b/>
          <w:color w:val="000066"/>
          <w:lang w:val="ro-RO"/>
        </w:rPr>
        <w:t>suma de 2.350 lei lunar,</w:t>
      </w:r>
      <w:r w:rsidRPr="00AF3608">
        <w:rPr>
          <w:rFonts w:ascii="Calibri" w:hAnsi="Calibri" w:cs="Calibri"/>
          <w:lang w:val="ro-RO"/>
        </w:rPr>
        <w:t xml:space="preserve"> pentru un program normal de lucru de 169,333 ore în medie pe lună,</w:t>
      </w:r>
    </w:p>
    <w:p w:rsidR="008B7484" w:rsidRPr="00AF3608" w:rsidRDefault="008B7484" w:rsidP="003A0B85">
      <w:pPr>
        <w:numPr>
          <w:ilvl w:val="0"/>
          <w:numId w:val="123"/>
        </w:numPr>
        <w:adjustRightInd w:val="0"/>
        <w:spacing w:before="120"/>
        <w:ind w:left="426" w:right="-2" w:hanging="426"/>
        <w:jc w:val="both"/>
        <w:rPr>
          <w:rFonts w:ascii="Calibri" w:eastAsia="Batang" w:hAnsi="Calibri" w:cs="Calibri"/>
          <w:color w:val="7030A0"/>
          <w:szCs w:val="22"/>
          <w:lang w:val="ro-RO" w:eastAsia="ko-KR"/>
        </w:rPr>
      </w:pPr>
      <w:r w:rsidRPr="00AF3608">
        <w:rPr>
          <w:rFonts w:ascii="Calibri" w:eastAsia="Calibri" w:hAnsi="Calibri" w:cs="Calibri"/>
          <w:b/>
          <w:color w:val="002060"/>
          <w:szCs w:val="22"/>
          <w:lang w:val="ro-RO"/>
        </w:rPr>
        <w:t>Politici corecte şi eficiente vizând pensiile</w:t>
      </w:r>
      <w:r w:rsidRPr="00AF3608">
        <w:rPr>
          <w:rFonts w:ascii="Calibri" w:eastAsia="Calibri" w:hAnsi="Calibri" w:cs="Calibri"/>
          <w:b/>
          <w:szCs w:val="22"/>
          <w:lang w:val="ro-RO"/>
        </w:rPr>
        <w:t xml:space="preserve">. </w:t>
      </w:r>
      <w:r w:rsidRPr="00AF3608">
        <w:rPr>
          <w:rFonts w:ascii="Calibri" w:eastAsia="Calibri" w:hAnsi="Calibri" w:cs="Calibri"/>
          <w:szCs w:val="22"/>
          <w:lang w:val="ro-RO"/>
        </w:rPr>
        <w:t>Se va avea în vedere pensii</w:t>
      </w:r>
      <w:r w:rsidRPr="00AF3608">
        <w:rPr>
          <w:rFonts w:ascii="Calibri" w:eastAsia="Calibri" w:hAnsi="Calibri" w:cs="Calibri"/>
          <w:b/>
          <w:szCs w:val="22"/>
          <w:lang w:val="ro-RO"/>
        </w:rPr>
        <w:t xml:space="preserve"> </w:t>
      </w:r>
      <w:r w:rsidRPr="00AF3608">
        <w:rPr>
          <w:rFonts w:ascii="Calibri" w:eastAsia="Calibri" w:hAnsi="Calibri" w:cs="Calibri"/>
          <w:szCs w:val="22"/>
          <w:lang w:val="ro-RO"/>
        </w:rPr>
        <w:t xml:space="preserve"> echitabile  pentru toate categoriile de pensionari, un sistem public de pensii sustenabil.</w:t>
      </w:r>
    </w:p>
    <w:p w:rsidR="008B7484" w:rsidRPr="00AF3608" w:rsidRDefault="008B7484" w:rsidP="00920E23">
      <w:pPr>
        <w:shd w:val="clear" w:color="auto" w:fill="E7E6E6"/>
        <w:adjustRightInd w:val="0"/>
        <w:spacing w:before="120"/>
        <w:ind w:right="-2"/>
        <w:jc w:val="both"/>
        <w:rPr>
          <w:rFonts w:ascii="Calibri" w:eastAsia="Calibri" w:hAnsi="Calibri" w:cs="Calibri"/>
          <w:b/>
          <w:color w:val="002060"/>
          <w:szCs w:val="22"/>
          <w:lang w:val="ro-RO"/>
        </w:rPr>
      </w:pPr>
      <w:r w:rsidRPr="00AF3608">
        <w:rPr>
          <w:rFonts w:ascii="Calibri" w:eastAsia="Calibri" w:hAnsi="Calibri" w:cs="Calibri"/>
          <w:b/>
          <w:color w:val="002060"/>
          <w:szCs w:val="22"/>
          <w:lang w:val="ro-RO"/>
        </w:rPr>
        <w:t>Principiul contributivității și asigurarea unui sistem care să urmărească eliminarea inechităților vor fi principii  de bază care vor contura poltica de pensii în viitor.</w:t>
      </w:r>
    </w:p>
    <w:p w:rsidR="009F78A6" w:rsidRPr="00AF3608" w:rsidRDefault="009F78A6" w:rsidP="003A0B85">
      <w:pPr>
        <w:pStyle w:val="ListParagraph"/>
        <w:numPr>
          <w:ilvl w:val="0"/>
          <w:numId w:val="123"/>
        </w:numPr>
        <w:suppressAutoHyphens/>
        <w:spacing w:before="120" w:line="240" w:lineRule="auto"/>
        <w:contextualSpacing w:val="0"/>
        <w:jc w:val="both"/>
        <w:textAlignment w:val="baseline"/>
        <w:rPr>
          <w:rFonts w:ascii="Calibri" w:hAnsi="Calibri" w:cs="Calibri"/>
          <w:b/>
          <w:bCs/>
          <w:color w:val="000066"/>
          <w:kern w:val="1"/>
          <w:lang w:eastAsia="ar-SA"/>
        </w:rPr>
      </w:pPr>
      <w:r w:rsidRPr="00AF3608">
        <w:rPr>
          <w:rFonts w:ascii="Calibri" w:hAnsi="Calibri" w:cs="Calibri"/>
          <w:bCs/>
          <w:kern w:val="1"/>
          <w:lang w:eastAsia="ar-SA"/>
        </w:rPr>
        <w:t>Valoarea</w:t>
      </w:r>
      <w:r w:rsidR="00A65ABB" w:rsidRPr="00AF3608">
        <w:rPr>
          <w:rFonts w:ascii="Calibri" w:hAnsi="Calibri" w:cs="Calibri"/>
          <w:bCs/>
          <w:kern w:val="1"/>
          <w:lang w:eastAsia="ar-SA"/>
        </w:rPr>
        <w:t xml:space="preserve"> punctului de pensie </w:t>
      </w:r>
      <w:r w:rsidR="00A65ABB" w:rsidRPr="00AF3608">
        <w:rPr>
          <w:rFonts w:ascii="Calibri" w:hAnsi="Calibri" w:cs="Calibri"/>
          <w:b/>
          <w:bCs/>
          <w:color w:val="000066"/>
          <w:kern w:val="1"/>
          <w:lang w:eastAsia="ar-SA"/>
        </w:rPr>
        <w:t>se va majora în anul 2022, cu rata medie anuală a inflaţiei, la care se adaugă cel mult 50% din creşterea reală a câştigul</w:t>
      </w:r>
      <w:r w:rsidRPr="00AF3608">
        <w:rPr>
          <w:rFonts w:ascii="Calibri" w:hAnsi="Calibri" w:cs="Calibri"/>
          <w:b/>
          <w:bCs/>
          <w:color w:val="000066"/>
          <w:kern w:val="1"/>
          <w:lang w:eastAsia="ar-SA"/>
        </w:rPr>
        <w:t>ui salarial mediu brut realizat</w:t>
      </w:r>
    </w:p>
    <w:p w:rsidR="008B7484" w:rsidRPr="00AF3608" w:rsidRDefault="009F78A6" w:rsidP="003A0B85">
      <w:pPr>
        <w:numPr>
          <w:ilvl w:val="0"/>
          <w:numId w:val="157"/>
        </w:numPr>
        <w:suppressAutoHyphens/>
        <w:spacing w:before="120"/>
        <w:jc w:val="both"/>
        <w:textAlignment w:val="baseline"/>
        <w:rPr>
          <w:rFonts w:ascii="Calibri" w:hAnsi="Calibri" w:cs="Calibri"/>
          <w:b/>
          <w:bCs/>
          <w:color w:val="000066"/>
          <w:kern w:val="1"/>
          <w:lang w:val="ro-RO" w:eastAsia="ar-SA"/>
        </w:rPr>
      </w:pPr>
      <w:r w:rsidRPr="00AF3608">
        <w:rPr>
          <w:rFonts w:ascii="Calibri" w:eastAsia="Calibri" w:hAnsi="Calibri" w:cs="Calibri"/>
          <w:b/>
          <w:color w:val="002060"/>
          <w:szCs w:val="22"/>
          <w:lang w:val="ro-RO"/>
        </w:rPr>
        <w:t xml:space="preserve">Asistenţă socială va fi </w:t>
      </w:r>
      <w:r w:rsidR="008B7484" w:rsidRPr="00AF3608">
        <w:rPr>
          <w:rFonts w:ascii="Calibri" w:eastAsia="Calibri" w:hAnsi="Calibri" w:cs="Calibri"/>
          <w:b/>
          <w:color w:val="002060"/>
          <w:szCs w:val="22"/>
          <w:lang w:val="ro-RO"/>
        </w:rPr>
        <w:t>îndreptată către nevoile reale ale beneficiarilor și asigurarea unor</w:t>
      </w:r>
    </w:p>
    <w:p w:rsidR="009F78A6" w:rsidRPr="00AF3608" w:rsidRDefault="008B7484" w:rsidP="00920E23">
      <w:pPr>
        <w:tabs>
          <w:tab w:val="left" w:pos="284"/>
        </w:tabs>
        <w:spacing w:before="120"/>
        <w:ind w:right="-2"/>
        <w:jc w:val="both"/>
        <w:rPr>
          <w:rFonts w:ascii="Calibri" w:eastAsia="Calibri" w:hAnsi="Calibri" w:cs="Calibri"/>
          <w:b/>
          <w:color w:val="002060"/>
          <w:szCs w:val="22"/>
          <w:lang w:val="ro-RO"/>
        </w:rPr>
      </w:pPr>
      <w:r w:rsidRPr="00AF3608">
        <w:rPr>
          <w:rFonts w:ascii="Calibri" w:eastAsia="Calibri" w:hAnsi="Calibri" w:cs="Calibri"/>
          <w:b/>
          <w:color w:val="002060"/>
          <w:szCs w:val="22"/>
          <w:lang w:val="ro-RO"/>
        </w:rPr>
        <w:lastRenderedPageBreak/>
        <w:t>condiţii de trai decente pentru familiile în dificultate şi categoriile sociale vulnerabile</w:t>
      </w:r>
    </w:p>
    <w:p w:rsidR="008B7484" w:rsidRPr="00AF3608" w:rsidRDefault="008B7484" w:rsidP="003A0B85">
      <w:pPr>
        <w:pStyle w:val="ListParagraph"/>
        <w:numPr>
          <w:ilvl w:val="0"/>
          <w:numId w:val="123"/>
        </w:numPr>
        <w:tabs>
          <w:tab w:val="left" w:pos="284"/>
        </w:tabs>
        <w:spacing w:before="120" w:line="240" w:lineRule="auto"/>
        <w:ind w:right="-2"/>
        <w:contextualSpacing w:val="0"/>
        <w:jc w:val="both"/>
        <w:rPr>
          <w:rFonts w:ascii="Calibri" w:hAnsi="Calibri" w:cs="Calibri"/>
          <w:b/>
          <w:color w:val="002060"/>
        </w:rPr>
      </w:pPr>
      <w:r w:rsidRPr="00AF3608">
        <w:rPr>
          <w:rFonts w:ascii="Calibri" w:hAnsi="Calibri" w:cs="Calibri"/>
          <w:b/>
          <w:color w:val="000066"/>
        </w:rPr>
        <w:t xml:space="preserve">Alocația de stat pentru copii </w:t>
      </w:r>
    </w:p>
    <w:p w:rsidR="008B7484" w:rsidRPr="00AF3608" w:rsidRDefault="008B7484" w:rsidP="003A0B85">
      <w:pPr>
        <w:numPr>
          <w:ilvl w:val="0"/>
          <w:numId w:val="152"/>
        </w:numPr>
        <w:spacing w:before="120"/>
        <w:ind w:right="-2"/>
        <w:jc w:val="both"/>
        <w:rPr>
          <w:rFonts w:ascii="Calibri" w:eastAsia="Calibri" w:hAnsi="Calibri" w:cs="Calibri"/>
          <w:bCs/>
          <w:lang w:val="ro-RO"/>
        </w:rPr>
      </w:pPr>
      <w:r w:rsidRPr="00AF3608">
        <w:rPr>
          <w:rFonts w:ascii="Calibri" w:eastAsia="Calibri" w:hAnsi="Calibri" w:cs="Calibri"/>
          <w:bCs/>
          <w:lang w:val="ro-RO"/>
        </w:rPr>
        <w:t>Începând cu drepturile bănești aferente lunii august 2020, cuantumul alocației de stat se majorează cu 19% față de valoarea din iulie 2020</w:t>
      </w:r>
    </w:p>
    <w:p w:rsidR="008B7484" w:rsidRPr="00AF3608" w:rsidRDefault="008B7484" w:rsidP="003A0B85">
      <w:pPr>
        <w:numPr>
          <w:ilvl w:val="0"/>
          <w:numId w:val="152"/>
        </w:numPr>
        <w:spacing w:before="120"/>
        <w:ind w:right="-2"/>
        <w:jc w:val="both"/>
        <w:rPr>
          <w:rFonts w:ascii="Calibri" w:eastAsia="Calibri" w:hAnsi="Calibri" w:cs="Calibri"/>
          <w:bCs/>
          <w:lang w:val="ro-RO"/>
        </w:rPr>
      </w:pPr>
      <w:r w:rsidRPr="00AF3608">
        <w:rPr>
          <w:rFonts w:ascii="Calibri" w:eastAsia="Calibri" w:hAnsi="Calibri" w:cs="Calibri"/>
          <w:bCs/>
          <w:lang w:val="ro-RO"/>
        </w:rPr>
        <w:t>Începând cu drepturile bănești aferente lunii ianuarie 2021, cuantumul alocației de stat se majorează cu 16% față de valoarea din decembrie 2020</w:t>
      </w:r>
    </w:p>
    <w:p w:rsidR="008B7484" w:rsidRPr="00AF3608" w:rsidRDefault="008B7484" w:rsidP="003A0B85">
      <w:pPr>
        <w:widowControl w:val="0"/>
        <w:numPr>
          <w:ilvl w:val="0"/>
          <w:numId w:val="123"/>
        </w:numPr>
        <w:tabs>
          <w:tab w:val="left" w:pos="284"/>
        </w:tabs>
        <w:autoSpaceDE w:val="0"/>
        <w:autoSpaceDN w:val="0"/>
        <w:adjustRightInd w:val="0"/>
        <w:spacing w:before="120"/>
        <w:ind w:left="142" w:right="340" w:hanging="142"/>
        <w:jc w:val="both"/>
        <w:rPr>
          <w:rFonts w:ascii="Calibri" w:eastAsia="Calibri" w:hAnsi="Calibri"/>
          <w:b/>
          <w:color w:val="000048"/>
          <w:szCs w:val="22"/>
          <w:shd w:val="clear" w:color="auto" w:fill="FFFFFF"/>
          <w:lang w:val="ro-RO"/>
        </w:rPr>
      </w:pPr>
      <w:r w:rsidRPr="00AF3608">
        <w:rPr>
          <w:rFonts w:ascii="Calibri" w:eastAsia="Calibri" w:hAnsi="Calibri"/>
          <w:b/>
          <w:color w:val="000048"/>
          <w:szCs w:val="22"/>
          <w:shd w:val="clear" w:color="auto" w:fill="FFFFFF"/>
          <w:lang w:val="ro-RO"/>
        </w:rPr>
        <w:t>Reforma operatorilor economici definiți potrivit Ordonanței Guvernului nr.26/2013</w:t>
      </w:r>
    </w:p>
    <w:p w:rsidR="009F78A6" w:rsidRPr="00AF3608" w:rsidRDefault="008B7484" w:rsidP="003A0B85">
      <w:pPr>
        <w:pStyle w:val="ListParagraph"/>
        <w:widowControl w:val="0"/>
        <w:numPr>
          <w:ilvl w:val="0"/>
          <w:numId w:val="158"/>
        </w:numPr>
        <w:autoSpaceDE w:val="0"/>
        <w:autoSpaceDN w:val="0"/>
        <w:adjustRightInd w:val="0"/>
        <w:spacing w:before="120" w:line="240" w:lineRule="auto"/>
        <w:ind w:right="340"/>
        <w:contextualSpacing w:val="0"/>
        <w:jc w:val="both"/>
        <w:rPr>
          <w:rFonts w:ascii="Calibri" w:eastAsia="SimSun" w:hAnsi="Calibri" w:cs="Calibri"/>
          <w:bCs/>
          <w:color w:val="000000"/>
          <w:lang w:eastAsia="zh-CN"/>
        </w:rPr>
      </w:pPr>
      <w:r w:rsidRPr="00AF3608">
        <w:rPr>
          <w:rFonts w:ascii="Calibri" w:eastAsia="SimSun" w:hAnsi="Calibri" w:cs="Calibri"/>
          <w:bCs/>
          <w:color w:val="000000"/>
          <w:lang w:eastAsia="zh-CN"/>
        </w:rPr>
        <w:t>Ministerele care au în subordine operatori economici vor analiza cauzele înregistrării de pierderi și/sau plăți restante la acești operatori.</w:t>
      </w:r>
    </w:p>
    <w:p w:rsidR="009F78A6" w:rsidRPr="00AF3608" w:rsidRDefault="008B7484" w:rsidP="003A0B85">
      <w:pPr>
        <w:pStyle w:val="ListParagraph"/>
        <w:widowControl w:val="0"/>
        <w:numPr>
          <w:ilvl w:val="0"/>
          <w:numId w:val="158"/>
        </w:numPr>
        <w:autoSpaceDE w:val="0"/>
        <w:autoSpaceDN w:val="0"/>
        <w:adjustRightInd w:val="0"/>
        <w:spacing w:before="120" w:line="240" w:lineRule="auto"/>
        <w:ind w:right="340"/>
        <w:contextualSpacing w:val="0"/>
        <w:jc w:val="both"/>
        <w:rPr>
          <w:rFonts w:ascii="Calibri" w:eastAsia="SimSun" w:hAnsi="Calibri" w:cs="Calibri"/>
          <w:bCs/>
          <w:color w:val="000000"/>
          <w:lang w:eastAsia="zh-CN"/>
        </w:rPr>
      </w:pPr>
      <w:r w:rsidRPr="00AF3608">
        <w:rPr>
          <w:rFonts w:ascii="Calibri" w:eastAsia="SimSun" w:hAnsi="Calibri" w:cs="Calibri"/>
          <w:bCs/>
          <w:color w:val="000000"/>
          <w:lang w:eastAsia="zh-CN"/>
        </w:rPr>
        <w:t xml:space="preserve">Va fi </w:t>
      </w:r>
      <w:r w:rsidRPr="00AF3608">
        <w:rPr>
          <w:rFonts w:ascii="Calibri" w:eastAsia="SimSun" w:hAnsi="Calibri" w:cs="Calibri"/>
          <w:b/>
          <w:bCs/>
          <w:color w:val="000000"/>
          <w:lang w:eastAsia="zh-CN"/>
        </w:rPr>
        <w:t>prezentat un set de măsuri concrete de restructurare și reorganizare cuantificabile  pentru eficientizarea  activității operatorilor economici</w:t>
      </w:r>
      <w:r w:rsidRPr="00AF3608">
        <w:rPr>
          <w:rFonts w:ascii="Calibri" w:eastAsia="SimSun" w:hAnsi="Calibri" w:cs="Calibri"/>
          <w:bCs/>
          <w:color w:val="000000"/>
          <w:lang w:eastAsia="zh-CN"/>
        </w:rPr>
        <w:t xml:space="preserve"> în vederea diminuarii pierderilor</w:t>
      </w:r>
      <w:r w:rsidRPr="00AF3608">
        <w:rPr>
          <w:rFonts w:ascii="Calibri" w:eastAsia="SimSun" w:hAnsi="Calibri" w:cs="Calibri"/>
          <w:bCs/>
          <w:color w:val="000066"/>
          <w:lang w:eastAsia="zh-CN"/>
        </w:rPr>
        <w:t xml:space="preserve"> sau plăților restante, pentru redresarea activității acestora.</w:t>
      </w:r>
    </w:p>
    <w:p w:rsidR="008B7484" w:rsidRPr="00AF3608" w:rsidRDefault="008B7484" w:rsidP="003A0B85">
      <w:pPr>
        <w:pStyle w:val="ListParagraph"/>
        <w:widowControl w:val="0"/>
        <w:numPr>
          <w:ilvl w:val="0"/>
          <w:numId w:val="158"/>
        </w:numPr>
        <w:autoSpaceDE w:val="0"/>
        <w:autoSpaceDN w:val="0"/>
        <w:adjustRightInd w:val="0"/>
        <w:spacing w:before="120" w:line="240" w:lineRule="auto"/>
        <w:ind w:right="340"/>
        <w:contextualSpacing w:val="0"/>
        <w:jc w:val="both"/>
        <w:rPr>
          <w:rFonts w:ascii="Calibri" w:eastAsia="SimSun" w:hAnsi="Calibri" w:cs="Calibri"/>
          <w:bCs/>
          <w:color w:val="000000"/>
          <w:lang w:eastAsia="zh-CN"/>
        </w:rPr>
      </w:pPr>
      <w:r w:rsidRPr="00AF3608">
        <w:rPr>
          <w:rFonts w:ascii="Calibri" w:eastAsia="SimSun" w:hAnsi="Calibri" w:cs="Calibri"/>
          <w:b/>
          <w:bCs/>
          <w:color w:val="000000"/>
          <w:lang w:eastAsia="zh-CN"/>
        </w:rPr>
        <w:t>Acordarea unor sume de la bugetul de stat în anul 2021 pentru acești operatori economici va fi condiționată de respectarea implementării măsurilor de redresare a activității acestora.</w:t>
      </w:r>
    </w:p>
    <w:p w:rsidR="005F3BD1" w:rsidRPr="00AF3608" w:rsidRDefault="005F3BD1" w:rsidP="005F3BD1">
      <w:pPr>
        <w:shd w:val="clear" w:color="auto" w:fill="FFFFFF"/>
        <w:spacing w:before="120"/>
        <w:contextualSpacing/>
        <w:jc w:val="both"/>
        <w:rPr>
          <w:rFonts w:ascii="Calibri" w:eastAsia="Calibri" w:hAnsi="Calibri" w:cs="Calibri"/>
          <w:color w:val="002060"/>
          <w:lang w:val="ro-RO"/>
        </w:rPr>
      </w:pPr>
    </w:p>
    <w:p w:rsidR="00D95CB1" w:rsidRPr="00AF3608" w:rsidRDefault="00D95CB1" w:rsidP="00D95CB1">
      <w:pPr>
        <w:widowControl w:val="0"/>
        <w:spacing w:after="120"/>
        <w:jc w:val="both"/>
        <w:rPr>
          <w:rFonts w:ascii="Calibri" w:hAnsi="Calibri" w:cs="Calibri"/>
          <w:lang w:val="ro-RO"/>
        </w:rPr>
      </w:pPr>
      <w:r w:rsidRPr="00AF3608">
        <w:rPr>
          <w:rFonts w:ascii="Calibri" w:hAnsi="Calibri" w:cs="Calibri"/>
          <w:noProof/>
        </w:rPr>
        <mc:AlternateContent>
          <mc:Choice Requires="wps">
            <w:drawing>
              <wp:anchor distT="0" distB="0" distL="114300" distR="114300" simplePos="0" relativeHeight="251866112" behindDoc="0" locked="0" layoutInCell="1" allowOverlap="1" wp14:anchorId="07CC5074" wp14:editId="443732BB">
                <wp:simplePos x="0" y="0"/>
                <wp:positionH relativeFrom="margin">
                  <wp:align>left</wp:align>
                </wp:positionH>
                <wp:positionV relativeFrom="paragraph">
                  <wp:posOffset>136525</wp:posOffset>
                </wp:positionV>
                <wp:extent cx="5838825" cy="511175"/>
                <wp:effectExtent l="19050" t="19050" r="47625" b="60325"/>
                <wp:wrapNone/>
                <wp:docPr id="91" name="Rounded 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511175"/>
                        </a:xfrm>
                        <a:prstGeom prst="roundRect">
                          <a:avLst>
                            <a:gd name="adj" fmla="val 16667"/>
                          </a:avLst>
                        </a:prstGeom>
                        <a:solidFill>
                          <a:srgbClr val="D5DCE4"/>
                        </a:solidFill>
                        <a:ln w="38100">
                          <a:solidFill>
                            <a:srgbClr val="2E74B5"/>
                          </a:solidFill>
                          <a:round/>
                          <a:headEnd/>
                          <a:tailEnd/>
                        </a:ln>
                        <a:effectLst>
                          <a:outerShdw dist="28398" dir="3806097" algn="ctr" rotWithShape="0">
                            <a:srgbClr val="823B0B">
                              <a:alpha val="50000"/>
                            </a:srgbClr>
                          </a:outerShdw>
                        </a:effectLst>
                      </wps:spPr>
                      <wps:txbx>
                        <w:txbxContent>
                          <w:p w:rsidR="001D681B" w:rsidRPr="007022F9" w:rsidRDefault="001D681B" w:rsidP="00D95CB1">
                            <w:pPr>
                              <w:shd w:val="clear" w:color="auto" w:fill="E7E6E6"/>
                              <w:autoSpaceDE w:val="0"/>
                              <w:autoSpaceDN w:val="0"/>
                              <w:adjustRightInd w:val="0"/>
                              <w:jc w:val="both"/>
                              <w:rPr>
                                <w:rFonts w:ascii="Calibri" w:hAnsi="Calibri" w:cs="Arial"/>
                                <w:b/>
                                <w:color w:val="000066"/>
                                <w:lang w:val="ro-RO"/>
                              </w:rPr>
                            </w:pPr>
                            <w:r>
                              <w:rPr>
                                <w:rFonts w:ascii="Calibri" w:hAnsi="Calibri" w:cs="Arial"/>
                                <w:b/>
                                <w:color w:val="000066"/>
                                <w:lang w:val="ro-RO"/>
                              </w:rPr>
                              <w:t>Economia postpandemie</w:t>
                            </w:r>
                          </w:p>
                          <w:p w:rsidR="001D681B" w:rsidRPr="00B17972" w:rsidRDefault="001D681B" w:rsidP="00D95CB1">
                            <w:pPr>
                              <w:rPr>
                                <w:rFonts w:ascii="Calibri" w:hAnsi="Calibri" w:cs="Calibri"/>
                                <w:b/>
                                <w:color w:val="002060"/>
                                <w:sz w:val="26"/>
                                <w:szCs w:val="26"/>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CC5074" id="Rounded Rectangle 91" o:spid="_x0000_s1029" style="position:absolute;left:0;text-align:left;margin-left:0;margin-top:10.75pt;width:459.75pt;height:40.25pt;z-index:251866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" fillcolor="#d5dce4" strokecolor="#2e74b5" strokeweight="3pt">
                <v:shadow on="t" color="#823b0b" opacity=".5" offset="1pt"/>
                <v:textbox>
                  <w:txbxContent>
                    <w:p w:rsidR="001D681B" w:rsidRPr="007022F9" w:rsidRDefault="001D681B" w:rsidP="00D95CB1">
                      <w:pPr>
                        <w:shd w:val="clear" w:color="auto" w:fill="E7E6E6"/>
                        <w:autoSpaceDE w:val="0"/>
                        <w:autoSpaceDN w:val="0"/>
                        <w:adjustRightInd w:val="0"/>
                        <w:jc w:val="both"/>
                        <w:rPr>
                          <w:rFonts w:ascii="Calibri" w:hAnsi="Calibri" w:cs="Arial"/>
                          <w:b/>
                          <w:color w:val="000066"/>
                          <w:lang w:val="ro-RO"/>
                        </w:rPr>
                      </w:pPr>
                      <w:r>
                        <w:rPr>
                          <w:rFonts w:ascii="Calibri" w:hAnsi="Calibri" w:cs="Arial"/>
                          <w:b/>
                          <w:color w:val="000066"/>
                          <w:lang w:val="ro-RO"/>
                        </w:rPr>
                        <w:t>Economia postpandemie</w:t>
                      </w:r>
                    </w:p>
                    <w:p w:rsidR="001D681B" w:rsidRPr="00B17972" w:rsidRDefault="001D681B" w:rsidP="00D95CB1">
                      <w:pPr>
                        <w:rPr>
                          <w:rFonts w:ascii="Calibri" w:hAnsi="Calibri" w:cs="Calibri"/>
                          <w:b/>
                          <w:color w:val="002060"/>
                          <w:sz w:val="26"/>
                          <w:szCs w:val="26"/>
                          <w:lang w:val="ro-RO"/>
                        </w:rPr>
                      </w:pPr>
                    </w:p>
                  </w:txbxContent>
                </v:textbox>
                <w10:wrap anchorx="margin"/>
              </v:roundrect>
            </w:pict>
          </mc:Fallback>
        </mc:AlternateContent>
      </w:r>
    </w:p>
    <w:p w:rsidR="00D95CB1" w:rsidRPr="00AF3608" w:rsidRDefault="00D95CB1" w:rsidP="00D95CB1">
      <w:pPr>
        <w:widowControl w:val="0"/>
        <w:spacing w:after="120"/>
        <w:jc w:val="both"/>
        <w:rPr>
          <w:rFonts w:ascii="Calibri" w:hAnsi="Calibri" w:cs="Calibri"/>
          <w:lang w:val="ro-RO"/>
        </w:rPr>
      </w:pPr>
    </w:p>
    <w:p w:rsidR="00D95CB1" w:rsidRPr="00AF3608" w:rsidRDefault="00D95CB1" w:rsidP="00D95CB1">
      <w:pPr>
        <w:widowControl w:val="0"/>
        <w:spacing w:after="120"/>
        <w:jc w:val="both"/>
        <w:rPr>
          <w:rFonts w:ascii="Calibri" w:hAnsi="Calibri" w:cs="Calibri"/>
          <w:lang w:val="ro-RO"/>
        </w:rPr>
      </w:pPr>
    </w:p>
    <w:p w:rsidR="00D95CB1" w:rsidRPr="00AF3608" w:rsidRDefault="00D95CB1" w:rsidP="00D95CB1">
      <w:pPr>
        <w:widowControl w:val="0"/>
        <w:spacing w:before="120"/>
        <w:jc w:val="both"/>
        <w:rPr>
          <w:rFonts w:ascii="Calibri" w:hAnsi="Calibri" w:cs="Calibri"/>
          <w:lang w:val="ro-RO"/>
        </w:rPr>
      </w:pPr>
      <w:r w:rsidRPr="00AF3608">
        <w:rPr>
          <w:rFonts w:ascii="Calibri" w:hAnsi="Calibri" w:cs="Calibri"/>
          <w:lang w:val="ro-RO"/>
        </w:rPr>
        <w:t xml:space="preserve">Declanșarea pandemiei COVID-19 reprezintă </w:t>
      </w:r>
      <w:r w:rsidR="00E20C04">
        <w:rPr>
          <w:rFonts w:ascii="Calibri" w:hAnsi="Calibri" w:cs="Calibri"/>
          <w:color w:val="002060"/>
          <w:lang w:val="ro-RO"/>
        </w:rPr>
        <w:t>o bună ocazie</w:t>
      </w:r>
      <w:r w:rsidRPr="00AF3608">
        <w:rPr>
          <w:rFonts w:ascii="Calibri" w:hAnsi="Calibri" w:cs="Calibri"/>
          <w:color w:val="002060"/>
          <w:lang w:val="ro-RO"/>
        </w:rPr>
        <w:t xml:space="preserve"> pentru implementarea unor măsuri structurale </w:t>
      </w:r>
      <w:r w:rsidRPr="00AF3608">
        <w:rPr>
          <w:rFonts w:ascii="Calibri" w:hAnsi="Calibri" w:cs="Calibri"/>
          <w:lang w:val="ro-RO"/>
        </w:rPr>
        <w:t xml:space="preserve">care sa conducă România spre </w:t>
      </w:r>
      <w:r w:rsidRPr="00AF3608">
        <w:rPr>
          <w:rFonts w:ascii="Calibri" w:hAnsi="Calibri" w:cs="Calibri"/>
          <w:b/>
          <w:color w:val="002060"/>
          <w:lang w:val="ro-RO"/>
        </w:rPr>
        <w:t>o nouă paradigmă de creștere economică,</w:t>
      </w:r>
      <w:r w:rsidRPr="00AF3608">
        <w:rPr>
          <w:rFonts w:ascii="Calibri" w:hAnsi="Calibri" w:cs="Calibri"/>
          <w:lang w:val="ro-RO"/>
        </w:rPr>
        <w:t xml:space="preserve"> mai </w:t>
      </w:r>
      <w:r w:rsidR="009F78A6" w:rsidRPr="00AF3608">
        <w:rPr>
          <w:rFonts w:ascii="Calibri" w:hAnsi="Calibri" w:cs="Calibri"/>
          <w:lang w:val="ro-RO"/>
        </w:rPr>
        <w:t>rezilientă</w:t>
      </w:r>
      <w:r w:rsidRPr="00AF3608">
        <w:rPr>
          <w:rFonts w:ascii="Calibri" w:hAnsi="Calibri" w:cs="Calibri"/>
          <w:lang w:val="ro-RO"/>
        </w:rPr>
        <w:t xml:space="preserve"> la socuri externe.</w:t>
      </w:r>
    </w:p>
    <w:p w:rsidR="00D95CB1" w:rsidRPr="00AF3608" w:rsidRDefault="00D95CB1" w:rsidP="00D95CB1">
      <w:pPr>
        <w:widowControl w:val="0"/>
        <w:spacing w:before="120"/>
        <w:jc w:val="both"/>
        <w:rPr>
          <w:rFonts w:ascii="Calibri" w:hAnsi="Calibri" w:cs="Calibri"/>
          <w:lang w:val="ro-RO"/>
        </w:rPr>
      </w:pPr>
      <w:r w:rsidRPr="00AF3608">
        <w:rPr>
          <w:rFonts w:ascii="Calibri" w:hAnsi="Calibri" w:cs="Arial"/>
          <w:color w:val="000000"/>
          <w:lang w:val="ro-RO"/>
        </w:rPr>
        <w:t xml:space="preserve">Construcția bugetară pe anul 2021 și următorii ani va fi marcată de anul 2020 care prin expunerea sa particulară aduce în </w:t>
      </w:r>
      <w:r w:rsidRPr="00AF3608">
        <w:rPr>
          <w:rFonts w:ascii="Calibri" w:hAnsi="Calibri" w:cs="Calibri"/>
          <w:lang w:val="ro-RO"/>
        </w:rPr>
        <w:t xml:space="preserve">Declanșarea pandemiei COVID-19 reprezintă </w:t>
      </w:r>
      <w:r w:rsidRPr="00AF3608">
        <w:rPr>
          <w:rFonts w:ascii="Calibri" w:hAnsi="Calibri" w:cs="Calibri"/>
          <w:color w:val="002060"/>
          <w:lang w:val="ro-RO"/>
        </w:rPr>
        <w:t xml:space="preserve">o bună ocazie  pentru implementarea unor măsuri structurale </w:t>
      </w:r>
      <w:r w:rsidRPr="00AF3608">
        <w:rPr>
          <w:rFonts w:ascii="Calibri" w:hAnsi="Calibri" w:cs="Calibri"/>
          <w:lang w:val="ro-RO"/>
        </w:rPr>
        <w:t xml:space="preserve">care sa conducă România spre </w:t>
      </w:r>
      <w:r w:rsidRPr="00AF3608">
        <w:rPr>
          <w:rFonts w:ascii="Calibri" w:hAnsi="Calibri" w:cs="Calibri"/>
          <w:b/>
          <w:color w:val="002060"/>
          <w:lang w:val="ro-RO"/>
        </w:rPr>
        <w:t>o nouă paradigmă de creștere economică,</w:t>
      </w:r>
      <w:r w:rsidR="00E20C04">
        <w:rPr>
          <w:rFonts w:ascii="Calibri" w:hAnsi="Calibri" w:cs="Calibri"/>
          <w:lang w:val="ro-RO"/>
        </w:rPr>
        <w:t xml:space="preserve"> mai </w:t>
      </w:r>
      <w:r w:rsidR="00E20C04" w:rsidRPr="00AF3608">
        <w:rPr>
          <w:rFonts w:ascii="Calibri" w:hAnsi="Calibri" w:cs="Calibri"/>
          <w:lang w:val="ro-RO"/>
        </w:rPr>
        <w:t>rezilientă</w:t>
      </w:r>
      <w:r w:rsidRPr="00AF3608">
        <w:rPr>
          <w:rFonts w:ascii="Calibri" w:hAnsi="Calibri" w:cs="Calibri"/>
          <w:lang w:val="ro-RO"/>
        </w:rPr>
        <w:t xml:space="preserve"> la socuri externe.</w:t>
      </w:r>
    </w:p>
    <w:p w:rsidR="00D95CB1" w:rsidRPr="00AF3608" w:rsidRDefault="00D95CB1" w:rsidP="00D95CB1">
      <w:pPr>
        <w:widowControl w:val="0"/>
        <w:spacing w:before="120"/>
        <w:jc w:val="both"/>
        <w:rPr>
          <w:rFonts w:ascii="Calibri" w:hAnsi="Calibri" w:cs="Arial"/>
          <w:color w:val="000000"/>
          <w:lang w:val="ro-RO"/>
        </w:rPr>
      </w:pPr>
      <w:r w:rsidRPr="00AF3608">
        <w:rPr>
          <w:rFonts w:ascii="Calibri" w:hAnsi="Calibri" w:cs="Arial"/>
          <w:color w:val="000000"/>
          <w:lang w:val="ro-RO"/>
        </w:rPr>
        <w:t xml:space="preserve">Construcția bugetară pe anul 2021 și următorii ani va fi marcată de anul 2020 care prin expunerea sa particulară aduce în prim plan </w:t>
      </w:r>
      <w:r w:rsidRPr="00AF3608">
        <w:rPr>
          <w:rFonts w:ascii="Calibri" w:hAnsi="Calibri" w:cs="Arial"/>
          <w:b/>
          <w:color w:val="000066"/>
          <w:lang w:val="ro-RO"/>
        </w:rPr>
        <w:t>necesitatea unei noi abordări economice și a pregatirii condițiilor pentru un nou mod de formulare a politicilor publice, întărirea conceptelor de sustenabilitate și economie rezilentă, a echilibrelor între macro și microeconomie, consol</w:t>
      </w:r>
      <w:r w:rsidR="00A964B2" w:rsidRPr="00AF3608">
        <w:rPr>
          <w:rFonts w:ascii="Calibri" w:hAnsi="Calibri" w:cs="Arial"/>
          <w:b/>
          <w:color w:val="000066"/>
          <w:lang w:val="ro-RO"/>
        </w:rPr>
        <w:t xml:space="preserve">idarea guvernanței, orientarea </w:t>
      </w:r>
      <w:r w:rsidRPr="00AF3608">
        <w:rPr>
          <w:rFonts w:ascii="Calibri" w:hAnsi="Calibri" w:cs="Arial"/>
          <w:b/>
          <w:color w:val="000066"/>
          <w:lang w:val="ro-RO"/>
        </w:rPr>
        <w:t>viitoarelor proiecte de investitii catre diminuarea /eliminarea vulnerabilitatilor structurale( infrastructura de transport, infrastructura sanitară</w:t>
      </w:r>
      <w:r w:rsidRPr="00AF3608">
        <w:rPr>
          <w:rFonts w:ascii="Calibri" w:hAnsi="Calibri" w:cs="Arial"/>
          <w:color w:val="002060"/>
          <w:lang w:val="ro-RO"/>
        </w:rPr>
        <w:t>)</w:t>
      </w:r>
      <w:r w:rsidRPr="00AF3608">
        <w:rPr>
          <w:rFonts w:ascii="Calibri" w:hAnsi="Calibri" w:cs="Arial"/>
          <w:color w:val="000000"/>
          <w:lang w:val="ro-RO"/>
        </w:rPr>
        <w:t xml:space="preserve">  în contextul provocărilor  unei societăți în profundă schimbare.</w:t>
      </w:r>
    </w:p>
    <w:p w:rsidR="00D95CB1" w:rsidRPr="00AF3608" w:rsidRDefault="00D95CB1" w:rsidP="00D95CB1">
      <w:pPr>
        <w:widowControl w:val="0"/>
        <w:spacing w:before="120"/>
        <w:jc w:val="both"/>
        <w:rPr>
          <w:rFonts w:ascii="Calibri" w:eastAsia="Calibri" w:hAnsi="Calibri"/>
          <w:color w:val="000066"/>
          <w:lang w:val="ro-RO"/>
        </w:rPr>
      </w:pPr>
      <w:r w:rsidRPr="00AF3608">
        <w:rPr>
          <w:rFonts w:ascii="Calibri" w:hAnsi="Calibri" w:cs="Calibri"/>
          <w:lang w:val="ro-RO"/>
        </w:rPr>
        <w:t xml:space="preserve">Romania va beneficia </w:t>
      </w:r>
      <w:r w:rsidRPr="00AF3608">
        <w:rPr>
          <w:rFonts w:ascii="Calibri" w:hAnsi="Calibri" w:cs="Calibri"/>
          <w:b/>
          <w:color w:val="000066"/>
          <w:lang w:val="ro-RO"/>
        </w:rPr>
        <w:t>de resursele nou</w:t>
      </w:r>
      <w:r w:rsidR="00A964B2" w:rsidRPr="00AF3608">
        <w:rPr>
          <w:rFonts w:ascii="Calibri" w:hAnsi="Calibri" w:cs="Calibri"/>
          <w:b/>
          <w:color w:val="000066"/>
          <w:lang w:val="ro-RO"/>
        </w:rPr>
        <w:t xml:space="preserve">lui cadru financiar 2021-2027, precum și de </w:t>
      </w:r>
      <w:r w:rsidRPr="00AF3608">
        <w:rPr>
          <w:rFonts w:ascii="Calibri" w:hAnsi="Calibri" w:cs="Calibri"/>
          <w:b/>
          <w:color w:val="000066"/>
          <w:lang w:val="ro-RO"/>
        </w:rPr>
        <w:t>fonduri din mecanismu</w:t>
      </w:r>
      <w:r w:rsidR="00A964B2" w:rsidRPr="00AF3608">
        <w:rPr>
          <w:rFonts w:ascii="Calibri" w:hAnsi="Calibri" w:cs="Calibri"/>
          <w:b/>
          <w:color w:val="000066"/>
          <w:lang w:val="ro-RO"/>
        </w:rPr>
        <w:t>l de reziliență și redresare,</w:t>
      </w:r>
      <w:r w:rsidRPr="00AF3608">
        <w:rPr>
          <w:rFonts w:ascii="Calibri" w:hAnsi="Calibri" w:cs="Calibri"/>
          <w:b/>
          <w:color w:val="000066"/>
          <w:lang w:val="ro-RO"/>
        </w:rPr>
        <w:t xml:space="preserve"> </w:t>
      </w:r>
      <w:r w:rsidRPr="00AF3608">
        <w:rPr>
          <w:rFonts w:ascii="Calibri" w:hAnsi="Calibri" w:cs="Calibri"/>
          <w:lang w:val="ro-RO"/>
        </w:rPr>
        <w:t xml:space="preserve">având șansa </w:t>
      </w:r>
      <w:r w:rsidRPr="00AF3608">
        <w:rPr>
          <w:rFonts w:ascii="Calibri" w:eastAsia="Calibri" w:hAnsi="Calibri"/>
          <w:lang w:val="ro-RO"/>
        </w:rPr>
        <w:t xml:space="preserve">unei alte abordări a politicii naționale de investiții, </w:t>
      </w:r>
      <w:r w:rsidRPr="00AF3608">
        <w:rPr>
          <w:rFonts w:ascii="Calibri" w:eastAsia="Calibri" w:hAnsi="Calibri"/>
          <w:color w:val="000066"/>
          <w:lang w:val="ro-RO"/>
        </w:rPr>
        <w:t>prin integrarea într-o viziune holistică, globală, de context european care să crească participarea la proiecte comune  regionale, transeuropene.</w:t>
      </w:r>
    </w:p>
    <w:p w:rsidR="00D95CB1" w:rsidRPr="00AF3608" w:rsidRDefault="00A964B2" w:rsidP="00D95CB1">
      <w:pPr>
        <w:spacing w:before="120"/>
        <w:jc w:val="both"/>
        <w:rPr>
          <w:rFonts w:ascii="Calibri" w:eastAsia="Calibri" w:hAnsi="Calibri"/>
          <w:b/>
          <w:color w:val="000066"/>
          <w:sz w:val="22"/>
          <w:szCs w:val="22"/>
          <w:lang w:val="ro-RO"/>
        </w:rPr>
      </w:pPr>
      <w:r w:rsidRPr="00AF3608">
        <w:rPr>
          <w:rFonts w:ascii="Calibri" w:eastAsia="Calibri" w:hAnsi="Calibri"/>
          <w:color w:val="000000"/>
          <w:lang w:val="ro-RO"/>
        </w:rPr>
        <w:t>Reconsiderările de priorități,</w:t>
      </w:r>
      <w:r w:rsidR="00D95CB1" w:rsidRPr="00AF3608">
        <w:rPr>
          <w:rFonts w:ascii="Calibri" w:eastAsia="Calibri" w:hAnsi="Calibri"/>
          <w:color w:val="000000"/>
          <w:lang w:val="ro-RO"/>
        </w:rPr>
        <w:t xml:space="preserve"> finantarea de noi politici, (economia verde si digitalizare) cooperarea europeana vor permite creșterea competitivității și a productivității, susținer</w:t>
      </w:r>
      <w:r w:rsidR="006E2C27" w:rsidRPr="00AF3608">
        <w:rPr>
          <w:rFonts w:ascii="Calibri" w:eastAsia="Calibri" w:hAnsi="Calibri"/>
          <w:color w:val="000000"/>
          <w:lang w:val="ro-RO"/>
        </w:rPr>
        <w:t xml:space="preserve">ea creării de locuri de muncă, </w:t>
      </w:r>
      <w:r w:rsidR="00D95CB1" w:rsidRPr="00AF3608">
        <w:rPr>
          <w:rFonts w:ascii="Calibri" w:eastAsia="Calibri" w:hAnsi="Calibri"/>
          <w:color w:val="000000"/>
          <w:lang w:val="ro-RO"/>
        </w:rPr>
        <w:t xml:space="preserve">accelerarea convergenței economice și sociale, </w:t>
      </w:r>
      <w:r w:rsidR="006E2C27" w:rsidRPr="00AF3608">
        <w:rPr>
          <w:rFonts w:ascii="Calibri" w:eastAsia="Calibri" w:hAnsi="Calibri"/>
          <w:b/>
          <w:color w:val="000066"/>
          <w:lang w:val="ro-RO"/>
        </w:rPr>
        <w:t xml:space="preserve">respectiv </w:t>
      </w:r>
      <w:r w:rsidR="00D95CB1" w:rsidRPr="00AF3608">
        <w:rPr>
          <w:rFonts w:ascii="Calibri" w:eastAsia="Calibri" w:hAnsi="Calibri"/>
          <w:b/>
          <w:color w:val="000066"/>
          <w:lang w:val="ro-RO"/>
        </w:rPr>
        <w:t xml:space="preserve">consolidarea rezilienței, corectarea dezechilibrelor economice ale statelor member, protejarea de efectul de contagiune atât la nivel regional cât și la nivelul statelor membre ale ZE.  </w:t>
      </w:r>
    </w:p>
    <w:p w:rsidR="00450C35" w:rsidRPr="00AF3608" w:rsidRDefault="00450C35" w:rsidP="00B723C0">
      <w:pPr>
        <w:widowControl w:val="0"/>
        <w:suppressAutoHyphens/>
        <w:autoSpaceDE w:val="0"/>
        <w:autoSpaceDN w:val="0"/>
        <w:adjustRightInd w:val="0"/>
        <w:spacing w:before="120"/>
        <w:jc w:val="both"/>
        <w:rPr>
          <w:rFonts w:ascii="Calibri" w:hAnsi="Calibri" w:cs="Arial"/>
          <w:b/>
          <w:lang w:val="ro-RO"/>
        </w:rPr>
      </w:pPr>
    </w:p>
    <w:p w:rsidR="00396ACD" w:rsidRPr="00AF3608" w:rsidRDefault="00396ACD" w:rsidP="00B723C0">
      <w:pPr>
        <w:widowControl w:val="0"/>
        <w:shd w:val="clear" w:color="auto" w:fill="002060"/>
        <w:suppressAutoHyphens/>
        <w:autoSpaceDE w:val="0"/>
        <w:autoSpaceDN w:val="0"/>
        <w:adjustRightInd w:val="0"/>
        <w:spacing w:before="120"/>
        <w:jc w:val="both"/>
        <w:rPr>
          <w:rFonts w:ascii="Calibri" w:hAnsi="Calibri" w:cs="Arial"/>
          <w:b/>
          <w:lang w:val="ro-RO"/>
        </w:rPr>
      </w:pPr>
    </w:p>
    <w:p w:rsidR="00396ACD" w:rsidRPr="00AF3608" w:rsidRDefault="00396ACD" w:rsidP="00B723C0">
      <w:pPr>
        <w:widowControl w:val="0"/>
        <w:shd w:val="clear" w:color="auto" w:fill="002060"/>
        <w:suppressAutoHyphens/>
        <w:autoSpaceDE w:val="0"/>
        <w:autoSpaceDN w:val="0"/>
        <w:adjustRightInd w:val="0"/>
        <w:spacing w:before="120"/>
        <w:jc w:val="both"/>
        <w:rPr>
          <w:rFonts w:ascii="Calibri" w:hAnsi="Calibri" w:cs="Arial"/>
          <w:b/>
          <w:lang w:val="ro-RO"/>
        </w:rPr>
      </w:pPr>
      <w:r w:rsidRPr="00AF3608">
        <w:rPr>
          <w:rFonts w:ascii="Calibri" w:hAnsi="Calibri" w:cs="Arial"/>
          <w:b/>
          <w:lang w:val="ro-RO"/>
        </w:rPr>
        <w:t>2. OBIECTIVUL BUGETAR PE TERMEN MEDIU</w:t>
      </w:r>
    </w:p>
    <w:p w:rsidR="00396ACD" w:rsidRPr="00AF3608" w:rsidRDefault="00396ACD" w:rsidP="00B723C0">
      <w:pPr>
        <w:widowControl w:val="0"/>
        <w:shd w:val="clear" w:color="auto" w:fill="002060"/>
        <w:suppressAutoHyphens/>
        <w:autoSpaceDE w:val="0"/>
        <w:autoSpaceDN w:val="0"/>
        <w:adjustRightInd w:val="0"/>
        <w:spacing w:before="120"/>
        <w:jc w:val="both"/>
        <w:rPr>
          <w:rFonts w:ascii="Calibri" w:hAnsi="Calibri" w:cs="Arial"/>
          <w:b/>
          <w:lang w:val="ro-RO"/>
        </w:rPr>
      </w:pPr>
    </w:p>
    <w:p w:rsidR="00396ACD" w:rsidRPr="00AF3608" w:rsidRDefault="00396ACD" w:rsidP="00B723C0">
      <w:pPr>
        <w:widowControl w:val="0"/>
        <w:suppressAutoHyphens/>
        <w:autoSpaceDE w:val="0"/>
        <w:autoSpaceDN w:val="0"/>
        <w:adjustRightInd w:val="0"/>
        <w:spacing w:before="120"/>
        <w:jc w:val="both"/>
        <w:rPr>
          <w:rFonts w:ascii="Calibri" w:hAnsi="Calibri" w:cs="Arial"/>
          <w:b/>
          <w:lang w:val="ro-RO"/>
        </w:rPr>
      </w:pPr>
    </w:p>
    <w:p w:rsidR="00F67752" w:rsidRPr="00AF3608" w:rsidRDefault="00C4244C" w:rsidP="00B723C0">
      <w:pPr>
        <w:widowControl w:val="0"/>
        <w:shd w:val="clear" w:color="auto" w:fill="9CC2E5" w:themeFill="accent1" w:themeFillTint="99"/>
        <w:suppressAutoHyphens/>
        <w:autoSpaceDE w:val="0"/>
        <w:autoSpaceDN w:val="0"/>
        <w:adjustRightInd w:val="0"/>
        <w:spacing w:before="120"/>
        <w:jc w:val="both"/>
        <w:rPr>
          <w:rFonts w:ascii="Calibri" w:hAnsi="Calibri" w:cs="Arial"/>
          <w:b/>
          <w:color w:val="002060"/>
          <w:lang w:val="ro-RO"/>
        </w:rPr>
      </w:pPr>
      <w:r w:rsidRPr="00AF3608">
        <w:rPr>
          <w:rFonts w:ascii="Calibri" w:hAnsi="Calibri" w:cs="Arial"/>
          <w:b/>
          <w:color w:val="002060"/>
          <w:lang w:val="ro-RO"/>
        </w:rPr>
        <w:t>2</w:t>
      </w:r>
      <w:r w:rsidR="004177A5" w:rsidRPr="00AF3608">
        <w:rPr>
          <w:rFonts w:ascii="Calibri" w:hAnsi="Calibri" w:cs="Arial"/>
          <w:b/>
          <w:color w:val="002060"/>
          <w:lang w:val="ro-RO"/>
        </w:rPr>
        <w:t>.1</w:t>
      </w:r>
      <w:r w:rsidR="00544868" w:rsidRPr="00AF3608">
        <w:rPr>
          <w:rFonts w:ascii="Calibri" w:hAnsi="Calibri" w:cs="Arial"/>
          <w:b/>
          <w:color w:val="002060"/>
          <w:lang w:val="ro-RO"/>
        </w:rPr>
        <w:t xml:space="preserve"> </w:t>
      </w:r>
      <w:r w:rsidR="004177A5" w:rsidRPr="00AF3608">
        <w:rPr>
          <w:rFonts w:asciiTheme="minorHAnsi" w:hAnsiTheme="minorHAnsi" w:cstheme="minorHAnsi"/>
          <w:b/>
          <w:color w:val="002060"/>
          <w:lang w:val="ro-RO"/>
        </w:rPr>
        <w:t>PIB potențial și output – gap</w:t>
      </w:r>
    </w:p>
    <w:p w:rsidR="00864D81" w:rsidRPr="00AF3608" w:rsidRDefault="00864D81" w:rsidP="00B723C0">
      <w:pPr>
        <w:widowControl w:val="0"/>
        <w:spacing w:before="120"/>
        <w:jc w:val="both"/>
        <w:rPr>
          <w:rFonts w:ascii="Calibri" w:eastAsia="Calibri" w:hAnsi="Calibri" w:cs="Calibri"/>
          <w:color w:val="000000"/>
          <w:lang w:val="ro-RO"/>
        </w:rPr>
      </w:pPr>
      <w:r w:rsidRPr="00AF3608">
        <w:rPr>
          <w:rFonts w:ascii="Calibri" w:eastAsia="Calibri" w:hAnsi="Calibri" w:cs="Calibri"/>
          <w:color w:val="000000"/>
          <w:lang w:val="ro-RO"/>
        </w:rPr>
        <w:t xml:space="preserve">Estimările produsului intern brut potenţial şi output-gap pentru România (utilizând metodologia comună europeană) indică faptul că impactul economic al pandemiei de COVID 19 asupra potenţialului de dezvoltare economică este limitat la anii 2020 şi 2021 din punct de vedere temporal, iar sub aspect cantitativ încetinirea creşterii potenţiale este mai puţin gravă decât ceea ce s-a întâmplat în criza economică din 2009-2010. </w:t>
      </w:r>
    </w:p>
    <w:p w:rsidR="00864D81" w:rsidRPr="00AF3608" w:rsidRDefault="00864D81" w:rsidP="00B723C0">
      <w:pPr>
        <w:widowControl w:val="0"/>
        <w:spacing w:before="120"/>
        <w:jc w:val="both"/>
        <w:rPr>
          <w:rFonts w:ascii="Calibri" w:eastAsia="Calibri" w:hAnsi="Calibri" w:cs="Calibri"/>
          <w:color w:val="000000"/>
          <w:lang w:val="ro-RO"/>
        </w:rPr>
      </w:pPr>
    </w:p>
    <w:p w:rsidR="00864D81" w:rsidRPr="00AF3608" w:rsidRDefault="00864D81" w:rsidP="00B723C0">
      <w:pPr>
        <w:widowControl w:val="0"/>
        <w:jc w:val="both"/>
        <w:rPr>
          <w:rFonts w:ascii="Calibri" w:eastAsia="Calibri" w:hAnsi="Calibri" w:cs="Calibri"/>
          <w:color w:val="000000"/>
          <w:lang w:val="ro-RO"/>
        </w:rPr>
      </w:pPr>
    </w:p>
    <w:p w:rsidR="00864D81" w:rsidRPr="00AF3608" w:rsidRDefault="00864D81" w:rsidP="00B723C0">
      <w:pPr>
        <w:widowControl w:val="0"/>
        <w:jc w:val="center"/>
        <w:rPr>
          <w:rFonts w:ascii="Calibri" w:eastAsia="Calibri" w:hAnsi="Calibri" w:cs="Calibri"/>
          <w:b/>
          <w:color w:val="000000"/>
          <w:lang w:val="ro-RO"/>
        </w:rPr>
      </w:pPr>
      <w:r w:rsidRPr="00AF3608">
        <w:rPr>
          <w:rFonts w:ascii="Calibri" w:eastAsia="Calibri" w:hAnsi="Calibri" w:cs="Calibri"/>
          <w:b/>
          <w:color w:val="000000"/>
          <w:lang w:val="ro-RO"/>
        </w:rPr>
        <w:t>Comparaţii între creşterea potenţială anuală (%)</w:t>
      </w:r>
    </w:p>
    <w:p w:rsidR="00864D81" w:rsidRPr="00AF3608" w:rsidRDefault="00864D81" w:rsidP="00B723C0">
      <w:pPr>
        <w:widowControl w:val="0"/>
        <w:jc w:val="center"/>
        <w:rPr>
          <w:rFonts w:ascii="Calibri" w:eastAsia="Calibri" w:hAnsi="Calibri" w:cs="Calibri"/>
          <w:color w:val="000000"/>
          <w:lang w:val="ro-RO"/>
        </w:rPr>
      </w:pPr>
      <w:r w:rsidRPr="00AF3608">
        <w:rPr>
          <w:rFonts w:ascii="Calibri" w:eastAsia="Calibri" w:hAnsi="Calibri" w:cs="Calibri"/>
          <w:noProof/>
          <w:color w:val="000000"/>
        </w:rPr>
        <w:drawing>
          <wp:inline distT="0" distB="0" distL="0" distR="0">
            <wp:extent cx="5290185" cy="2533650"/>
            <wp:effectExtent l="0" t="0" r="5715" b="0"/>
            <wp:docPr id="170" name="Chart 1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64D81" w:rsidRPr="00AF3608" w:rsidRDefault="00864D81" w:rsidP="00B723C0">
      <w:pPr>
        <w:widowControl w:val="0"/>
        <w:ind w:firstLine="720"/>
        <w:jc w:val="both"/>
        <w:rPr>
          <w:rFonts w:ascii="Calibri" w:eastAsia="Calibri" w:hAnsi="Calibri" w:cs="Calibri"/>
          <w:color w:val="000000"/>
          <w:sz w:val="20"/>
          <w:szCs w:val="20"/>
          <w:lang w:val="ro-RO"/>
        </w:rPr>
      </w:pPr>
    </w:p>
    <w:p w:rsidR="00864D81" w:rsidRPr="00AF3608" w:rsidRDefault="00864D81" w:rsidP="00B723C0">
      <w:pPr>
        <w:widowControl w:val="0"/>
        <w:ind w:firstLine="720"/>
        <w:jc w:val="both"/>
        <w:rPr>
          <w:rFonts w:ascii="Calibri" w:eastAsia="Calibri" w:hAnsi="Calibri" w:cs="Calibri"/>
          <w:color w:val="000000"/>
          <w:sz w:val="20"/>
          <w:szCs w:val="20"/>
          <w:lang w:val="ro-RO"/>
        </w:rPr>
      </w:pPr>
      <w:r w:rsidRPr="00AF3608">
        <w:rPr>
          <w:rFonts w:ascii="Calibri" w:eastAsia="Calibri" w:hAnsi="Calibri" w:cs="Calibri"/>
          <w:color w:val="000000"/>
          <w:sz w:val="20"/>
          <w:szCs w:val="20"/>
          <w:lang w:val="ro-RO"/>
        </w:rPr>
        <w:t xml:space="preserve">Sursa: Comisia Naţională de Strategie şi Prognoză. Notă: Estimările s-au realizat utilizând metodologia europeană aprobată de toate cele 27 de state membre UE. Estimările PIB potenţial pentru perioada 2017-2019 sunt cele aferente prognozei de toamnă 2019 (utilizată la fundamentarea bugetului pentru anul 2020) </w:t>
      </w:r>
    </w:p>
    <w:p w:rsidR="00864D81" w:rsidRPr="00AF3608" w:rsidRDefault="00864D81" w:rsidP="00B723C0">
      <w:pPr>
        <w:widowControl w:val="0"/>
        <w:spacing w:before="120"/>
        <w:jc w:val="both"/>
        <w:rPr>
          <w:rFonts w:ascii="Calibri" w:eastAsia="Calibri" w:hAnsi="Calibri" w:cs="Calibri"/>
          <w:color w:val="000000"/>
          <w:lang w:val="ro-RO"/>
        </w:rPr>
      </w:pPr>
    </w:p>
    <w:p w:rsidR="00864D81" w:rsidRPr="00AF3608" w:rsidRDefault="00864D81" w:rsidP="00B723C0">
      <w:pPr>
        <w:widowControl w:val="0"/>
        <w:spacing w:before="120"/>
        <w:jc w:val="both"/>
        <w:rPr>
          <w:rFonts w:ascii="Calibri" w:eastAsia="Calibri" w:hAnsi="Calibri" w:cs="Calibri"/>
          <w:color w:val="000000"/>
          <w:lang w:val="ro-RO"/>
        </w:rPr>
      </w:pPr>
      <w:r w:rsidRPr="00AF3608">
        <w:rPr>
          <w:rFonts w:ascii="Calibri" w:eastAsia="Calibri" w:hAnsi="Calibri" w:cs="Calibri"/>
          <w:color w:val="000000"/>
          <w:lang w:val="ro-RO"/>
        </w:rPr>
        <w:t>Comparativ cu perioada pre-pandemie se prefigurează următoarele tendinţe pozitive:</w:t>
      </w:r>
    </w:p>
    <w:p w:rsidR="00864D81" w:rsidRPr="00AF3608" w:rsidRDefault="00864D81" w:rsidP="003A0B85">
      <w:pPr>
        <w:widowControl w:val="0"/>
        <w:numPr>
          <w:ilvl w:val="0"/>
          <w:numId w:val="115"/>
        </w:numPr>
        <w:spacing w:before="120"/>
        <w:jc w:val="both"/>
        <w:rPr>
          <w:rFonts w:ascii="Calibri" w:eastAsia="Calibri" w:hAnsi="Calibri" w:cs="Calibri"/>
          <w:color w:val="000000"/>
          <w:szCs w:val="22"/>
          <w:lang w:val="ro-RO"/>
        </w:rPr>
      </w:pPr>
      <w:r w:rsidRPr="00AF3608">
        <w:rPr>
          <w:rFonts w:ascii="Calibri" w:eastAsia="Calibri" w:hAnsi="Calibri" w:cs="Calibri"/>
          <w:color w:val="000000"/>
          <w:szCs w:val="22"/>
          <w:lang w:val="ro-RO"/>
        </w:rPr>
        <w:t>dacă anterior creşterea potenţială urma un trend descendent (de încetinire) în prezent acesta a fost inversat, practic începând cu anul 2024 trendul creşterii potenţiale actuale depăşindu-l pe cel estimat în toamna anului 2019;</w:t>
      </w:r>
    </w:p>
    <w:p w:rsidR="00864D81" w:rsidRPr="00AF3608" w:rsidRDefault="00864D81" w:rsidP="003A0B85">
      <w:pPr>
        <w:widowControl w:val="0"/>
        <w:numPr>
          <w:ilvl w:val="0"/>
          <w:numId w:val="115"/>
        </w:numPr>
        <w:spacing w:before="120"/>
        <w:jc w:val="both"/>
        <w:rPr>
          <w:rFonts w:ascii="Calibri" w:eastAsia="Calibri" w:hAnsi="Calibri" w:cs="Calibri"/>
          <w:color w:val="000000"/>
          <w:szCs w:val="22"/>
          <w:lang w:val="ro-RO"/>
        </w:rPr>
      </w:pPr>
      <w:r w:rsidRPr="00AF3608">
        <w:rPr>
          <w:rFonts w:ascii="Calibri" w:eastAsia="Calibri" w:hAnsi="Calibri" w:cs="Calibri"/>
          <w:color w:val="000000"/>
          <w:szCs w:val="22"/>
          <w:lang w:val="ro-RO"/>
        </w:rPr>
        <w:t>până în anul 2023 se recuperează aproape integral (-0,2 puncte procentuale) piederea de potenţial cauzată de pandemie;</w:t>
      </w:r>
    </w:p>
    <w:p w:rsidR="00864D81" w:rsidRPr="00AF3608" w:rsidRDefault="00864D81" w:rsidP="003A0B85">
      <w:pPr>
        <w:widowControl w:val="0"/>
        <w:numPr>
          <w:ilvl w:val="0"/>
          <w:numId w:val="115"/>
        </w:numPr>
        <w:spacing w:before="120"/>
        <w:jc w:val="both"/>
        <w:rPr>
          <w:rFonts w:ascii="Calibri" w:eastAsia="Calibri" w:hAnsi="Calibri" w:cs="Calibri"/>
          <w:color w:val="000000"/>
          <w:szCs w:val="22"/>
          <w:lang w:val="ro-RO"/>
        </w:rPr>
      </w:pPr>
      <w:r w:rsidRPr="00AF3608">
        <w:rPr>
          <w:rFonts w:ascii="Calibri" w:eastAsia="Calibri" w:hAnsi="Calibri" w:cs="Calibri"/>
          <w:color w:val="000000"/>
          <w:szCs w:val="22"/>
          <w:lang w:val="ro-RO"/>
        </w:rPr>
        <w:t xml:space="preserve">mutarea accentului de pe consum pe investiţii ca motor al creşterii determină pe de o parte reluarea creşterii potenţiale, iar din punct de vedere structural o îmbunătăţire  a contribuţiei factorilor, respectiv revenirea stocului de capital ca motor principal alături de TFP. </w:t>
      </w:r>
    </w:p>
    <w:p w:rsidR="00864D81" w:rsidRPr="00AF3608" w:rsidRDefault="00864D81" w:rsidP="00B723C0">
      <w:pPr>
        <w:widowControl w:val="0"/>
        <w:spacing w:before="120"/>
        <w:jc w:val="both"/>
        <w:rPr>
          <w:rFonts w:ascii="Calibri" w:eastAsia="Calibri" w:hAnsi="Calibri" w:cs="Calibri"/>
          <w:color w:val="000000"/>
          <w:lang w:val="ro-RO"/>
        </w:rPr>
      </w:pPr>
    </w:p>
    <w:p w:rsidR="00864D81" w:rsidRPr="00AF3608" w:rsidRDefault="00864D81" w:rsidP="00B723C0">
      <w:pPr>
        <w:widowControl w:val="0"/>
        <w:spacing w:before="120"/>
        <w:jc w:val="both"/>
        <w:rPr>
          <w:color w:val="000000"/>
          <w:lang w:val="ro-RO"/>
        </w:rPr>
      </w:pPr>
      <w:r w:rsidRPr="00AF3608">
        <w:rPr>
          <w:rFonts w:ascii="Calibri" w:hAnsi="Calibri" w:cs="Calibri"/>
          <w:color w:val="000000"/>
          <w:lang w:val="ro-RO"/>
        </w:rPr>
        <w:t xml:space="preserve">Pentru anul 2020 se estimează o creştere potenţială de 2,5%, în condiţiile unor contribuţii echilibrate ale stocului de capital şi TFP de 1,5 pp şi respectiv 1,2 puncte procentuale. Contribuţia ridicată a stocului de capital se datorează performanţei investiţionale excepţionale în anul 2020 (atât investiţiile private cât mai ales cele publice au beneficiat de finanţare suficientă în ciuda </w:t>
      </w:r>
      <w:r w:rsidRPr="00AF3608">
        <w:rPr>
          <w:rFonts w:ascii="Calibri" w:hAnsi="Calibri" w:cs="Calibri"/>
          <w:color w:val="000000"/>
          <w:lang w:val="ro-RO"/>
        </w:rPr>
        <w:lastRenderedPageBreak/>
        <w:t xml:space="preserve">dificultăţilor induse de pandemie). Forţa de muncă a avut o contribuţie uşor negativă din cauza inchiderii activităţii în unele sectoare mai expuse pandemiei. </w:t>
      </w:r>
    </w:p>
    <w:p w:rsidR="00864D81" w:rsidRPr="00AF3608" w:rsidRDefault="00864D81" w:rsidP="00B723C0">
      <w:pPr>
        <w:widowControl w:val="0"/>
        <w:spacing w:before="120"/>
        <w:jc w:val="both"/>
        <w:rPr>
          <w:rFonts w:ascii="Calibri" w:hAnsi="Calibri" w:cs="Calibri"/>
          <w:color w:val="000000"/>
          <w:lang w:val="ro-RO"/>
        </w:rPr>
      </w:pPr>
    </w:p>
    <w:p w:rsidR="00864D81" w:rsidRPr="00AF3608" w:rsidRDefault="00864D81" w:rsidP="00B723C0">
      <w:pPr>
        <w:widowControl w:val="0"/>
        <w:spacing w:before="120"/>
        <w:ind w:left="360"/>
        <w:jc w:val="center"/>
        <w:rPr>
          <w:rFonts w:ascii="Calibri" w:hAnsi="Calibri" w:cs="Calibri"/>
          <w:b/>
          <w:bCs/>
          <w:color w:val="000000"/>
          <w:lang w:val="ro-RO"/>
        </w:rPr>
      </w:pPr>
      <w:bookmarkStart w:id="1" w:name="_Toc418068096"/>
      <w:r w:rsidRPr="00AF3608">
        <w:rPr>
          <w:rFonts w:ascii="Calibri" w:hAnsi="Calibri" w:cs="Calibri"/>
          <w:b/>
          <w:bCs/>
          <w:color w:val="000000"/>
          <w:lang w:val="ro-RO"/>
        </w:rPr>
        <w:t>Creşterea PIB potenţial şi componenta ciclică a deficitului bugetar</w:t>
      </w:r>
      <w:bookmarkEnd w:id="1"/>
    </w:p>
    <w:p w:rsidR="00864D81" w:rsidRPr="00AF3608" w:rsidRDefault="00864D81" w:rsidP="00B723C0">
      <w:pPr>
        <w:keepNext/>
        <w:keepLines/>
        <w:widowControl w:val="0"/>
        <w:ind w:left="360"/>
        <w:rPr>
          <w:rFonts w:ascii="Calibri" w:hAnsi="Calibri" w:cs="Calibri"/>
          <w:b/>
          <w:bCs/>
          <w:color w:val="000000"/>
          <w:lang w:val="ro-RO"/>
        </w:rPr>
      </w:pPr>
    </w:p>
    <w:tbl>
      <w:tblPr>
        <w:tblW w:w="8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6"/>
        <w:gridCol w:w="1004"/>
        <w:gridCol w:w="1005"/>
        <w:gridCol w:w="1005"/>
        <w:gridCol w:w="1005"/>
        <w:gridCol w:w="1005"/>
      </w:tblGrid>
      <w:tr w:rsidR="00864D81" w:rsidRPr="00AF3608" w:rsidTr="001F69D8">
        <w:trPr>
          <w:trHeight w:val="315"/>
          <w:jc w:val="center"/>
        </w:trPr>
        <w:tc>
          <w:tcPr>
            <w:tcW w:w="3446" w:type="dxa"/>
            <w:shd w:val="clear" w:color="auto" w:fill="auto"/>
            <w:noWrap/>
            <w:vAlign w:val="bottom"/>
            <w:hideMark/>
          </w:tcPr>
          <w:p w:rsidR="00864D81" w:rsidRPr="00AF3608" w:rsidRDefault="00864D81" w:rsidP="00B723C0">
            <w:pPr>
              <w:keepNext/>
              <w:keepLines/>
              <w:widowControl w:val="0"/>
              <w:rPr>
                <w:rFonts w:ascii="Calibri" w:hAnsi="Calibri" w:cs="Calibri"/>
                <w:color w:val="000000"/>
                <w:lang w:val="ro-RO"/>
              </w:rPr>
            </w:pPr>
          </w:p>
        </w:tc>
        <w:tc>
          <w:tcPr>
            <w:tcW w:w="1004" w:type="dxa"/>
            <w:shd w:val="clear" w:color="auto" w:fill="auto"/>
            <w:noWrap/>
            <w:vAlign w:val="bottom"/>
            <w:hideMark/>
          </w:tcPr>
          <w:p w:rsidR="00864D81" w:rsidRPr="00AF3608" w:rsidRDefault="00864D81" w:rsidP="00B723C0">
            <w:pPr>
              <w:keepNext/>
              <w:keepLines/>
              <w:widowControl w:val="0"/>
              <w:jc w:val="right"/>
              <w:rPr>
                <w:rFonts w:ascii="Arial" w:hAnsi="Arial" w:cs="Arial"/>
                <w:b/>
                <w:color w:val="000000"/>
                <w:sz w:val="20"/>
                <w:szCs w:val="20"/>
                <w:lang w:val="ro-RO"/>
              </w:rPr>
            </w:pPr>
            <w:r w:rsidRPr="00AF3608">
              <w:rPr>
                <w:rFonts w:ascii="Arial" w:hAnsi="Arial" w:cs="Arial"/>
                <w:b/>
                <w:color w:val="000000"/>
                <w:sz w:val="20"/>
                <w:szCs w:val="20"/>
                <w:lang w:val="ro-RO"/>
              </w:rPr>
              <w:t>2020</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b/>
                <w:color w:val="000000"/>
                <w:sz w:val="20"/>
                <w:szCs w:val="20"/>
                <w:lang w:val="ro-RO"/>
              </w:rPr>
            </w:pPr>
            <w:r w:rsidRPr="00AF3608">
              <w:rPr>
                <w:rFonts w:ascii="Arial" w:hAnsi="Arial" w:cs="Arial"/>
                <w:b/>
                <w:color w:val="000000"/>
                <w:sz w:val="20"/>
                <w:szCs w:val="20"/>
                <w:lang w:val="ro-RO"/>
              </w:rPr>
              <w:t>2021</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b/>
                <w:color w:val="000000"/>
                <w:sz w:val="20"/>
                <w:szCs w:val="20"/>
                <w:lang w:val="ro-RO"/>
              </w:rPr>
            </w:pPr>
            <w:r w:rsidRPr="00AF3608">
              <w:rPr>
                <w:rFonts w:ascii="Arial" w:hAnsi="Arial" w:cs="Arial"/>
                <w:b/>
                <w:color w:val="000000"/>
                <w:sz w:val="20"/>
                <w:szCs w:val="20"/>
                <w:lang w:val="ro-RO"/>
              </w:rPr>
              <w:t>2022</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b/>
                <w:color w:val="000000"/>
                <w:sz w:val="20"/>
                <w:szCs w:val="20"/>
                <w:lang w:val="ro-RO"/>
              </w:rPr>
            </w:pPr>
            <w:r w:rsidRPr="00AF3608">
              <w:rPr>
                <w:rFonts w:ascii="Arial" w:hAnsi="Arial" w:cs="Arial"/>
                <w:b/>
                <w:color w:val="000000"/>
                <w:sz w:val="20"/>
                <w:szCs w:val="20"/>
                <w:lang w:val="ro-RO"/>
              </w:rPr>
              <w:t>2023</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b/>
                <w:color w:val="000000"/>
                <w:sz w:val="20"/>
                <w:szCs w:val="20"/>
                <w:lang w:val="ro-RO"/>
              </w:rPr>
            </w:pPr>
            <w:r w:rsidRPr="00AF3608">
              <w:rPr>
                <w:rFonts w:ascii="Arial" w:hAnsi="Arial" w:cs="Arial"/>
                <w:b/>
                <w:color w:val="000000"/>
                <w:sz w:val="20"/>
                <w:szCs w:val="20"/>
                <w:lang w:val="ro-RO"/>
              </w:rPr>
              <w:t>2024</w:t>
            </w:r>
          </w:p>
        </w:tc>
      </w:tr>
      <w:tr w:rsidR="00864D81" w:rsidRPr="00AF3608" w:rsidTr="001F69D8">
        <w:trPr>
          <w:trHeight w:val="315"/>
          <w:jc w:val="center"/>
        </w:trPr>
        <w:tc>
          <w:tcPr>
            <w:tcW w:w="3446" w:type="dxa"/>
            <w:shd w:val="clear" w:color="auto" w:fill="auto"/>
            <w:noWrap/>
            <w:vAlign w:val="bottom"/>
            <w:hideMark/>
          </w:tcPr>
          <w:p w:rsidR="00864D81" w:rsidRPr="00AF3608" w:rsidRDefault="00864D81" w:rsidP="00B723C0">
            <w:pPr>
              <w:keepNext/>
              <w:keepLines/>
              <w:widowControl w:val="0"/>
              <w:rPr>
                <w:rFonts w:ascii="Calibri" w:hAnsi="Calibri" w:cs="Calibri"/>
                <w:b/>
                <w:color w:val="000000"/>
                <w:lang w:val="ro-RO"/>
              </w:rPr>
            </w:pPr>
            <w:r w:rsidRPr="00AF3608">
              <w:rPr>
                <w:rFonts w:ascii="Calibri" w:hAnsi="Calibri" w:cs="Calibri"/>
                <w:b/>
                <w:color w:val="000000"/>
                <w:lang w:val="ro-RO"/>
              </w:rPr>
              <w:t>PIB potenţial (%)</w:t>
            </w:r>
          </w:p>
        </w:tc>
        <w:tc>
          <w:tcPr>
            <w:tcW w:w="1004" w:type="dxa"/>
            <w:shd w:val="clear" w:color="auto" w:fill="auto"/>
            <w:noWrap/>
            <w:vAlign w:val="bottom"/>
            <w:hideMark/>
          </w:tcPr>
          <w:p w:rsidR="00864D81" w:rsidRPr="00AF3608" w:rsidRDefault="00864D81" w:rsidP="00B723C0">
            <w:pPr>
              <w:keepNext/>
              <w:keepLines/>
              <w:widowControl w:val="0"/>
              <w:jc w:val="right"/>
              <w:rPr>
                <w:rFonts w:ascii="Arial" w:hAnsi="Arial" w:cs="Arial"/>
                <w:b/>
                <w:color w:val="000000"/>
                <w:sz w:val="20"/>
                <w:szCs w:val="20"/>
                <w:lang w:val="ro-RO"/>
              </w:rPr>
            </w:pPr>
            <w:r w:rsidRPr="00AF3608">
              <w:rPr>
                <w:rFonts w:ascii="Arial" w:hAnsi="Arial" w:cs="Arial"/>
                <w:b/>
                <w:color w:val="000000"/>
                <w:sz w:val="20"/>
                <w:szCs w:val="20"/>
                <w:lang w:val="ro-RO"/>
              </w:rPr>
              <w:t>2.5</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b/>
                <w:color w:val="000000"/>
                <w:sz w:val="20"/>
                <w:szCs w:val="20"/>
                <w:lang w:val="ro-RO"/>
              </w:rPr>
            </w:pPr>
            <w:r w:rsidRPr="00AF3608">
              <w:rPr>
                <w:rFonts w:ascii="Arial" w:hAnsi="Arial" w:cs="Arial"/>
                <w:b/>
                <w:color w:val="000000"/>
                <w:sz w:val="20"/>
                <w:szCs w:val="20"/>
                <w:lang w:val="ro-RO"/>
              </w:rPr>
              <w:t>2.6</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b/>
                <w:color w:val="000000"/>
                <w:sz w:val="20"/>
                <w:szCs w:val="20"/>
                <w:lang w:val="ro-RO"/>
              </w:rPr>
            </w:pPr>
            <w:r w:rsidRPr="00AF3608">
              <w:rPr>
                <w:rFonts w:ascii="Arial" w:hAnsi="Arial" w:cs="Arial"/>
                <w:b/>
                <w:color w:val="000000"/>
                <w:sz w:val="20"/>
                <w:szCs w:val="20"/>
                <w:lang w:val="ro-RO"/>
              </w:rPr>
              <w:t>3.0</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b/>
                <w:color w:val="000000"/>
                <w:sz w:val="20"/>
                <w:szCs w:val="20"/>
                <w:lang w:val="ro-RO"/>
              </w:rPr>
            </w:pPr>
            <w:r w:rsidRPr="00AF3608">
              <w:rPr>
                <w:rFonts w:ascii="Arial" w:hAnsi="Arial" w:cs="Arial"/>
                <w:b/>
                <w:color w:val="000000"/>
                <w:sz w:val="20"/>
                <w:szCs w:val="20"/>
                <w:lang w:val="ro-RO"/>
              </w:rPr>
              <w:t>3.6</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b/>
                <w:color w:val="000000"/>
                <w:sz w:val="20"/>
                <w:szCs w:val="20"/>
                <w:lang w:val="ro-RO"/>
              </w:rPr>
            </w:pPr>
            <w:r w:rsidRPr="00AF3608">
              <w:rPr>
                <w:rFonts w:ascii="Arial" w:hAnsi="Arial" w:cs="Arial"/>
                <w:b/>
                <w:color w:val="000000"/>
                <w:sz w:val="20"/>
                <w:szCs w:val="20"/>
                <w:lang w:val="ro-RO"/>
              </w:rPr>
              <w:t>3.8</w:t>
            </w:r>
          </w:p>
        </w:tc>
      </w:tr>
      <w:tr w:rsidR="00864D81" w:rsidRPr="00AF3608" w:rsidTr="001F69D8">
        <w:trPr>
          <w:trHeight w:val="315"/>
          <w:jc w:val="center"/>
        </w:trPr>
        <w:tc>
          <w:tcPr>
            <w:tcW w:w="3446" w:type="dxa"/>
            <w:shd w:val="clear" w:color="auto" w:fill="auto"/>
            <w:noWrap/>
            <w:vAlign w:val="bottom"/>
            <w:hideMark/>
          </w:tcPr>
          <w:p w:rsidR="00864D81" w:rsidRPr="00AF3608" w:rsidRDefault="00864D81" w:rsidP="00B723C0">
            <w:pPr>
              <w:keepNext/>
              <w:keepLines/>
              <w:widowControl w:val="0"/>
              <w:rPr>
                <w:rFonts w:ascii="Calibri" w:hAnsi="Calibri" w:cs="Calibri"/>
                <w:i/>
                <w:color w:val="000000"/>
                <w:lang w:val="ro-RO"/>
              </w:rPr>
            </w:pPr>
            <w:r w:rsidRPr="00AF3608">
              <w:rPr>
                <w:rFonts w:ascii="Calibri" w:hAnsi="Calibri" w:cs="Calibri"/>
                <w:i/>
                <w:color w:val="000000"/>
                <w:lang w:val="ro-RO"/>
              </w:rPr>
              <w:t>din care contribuţiafactorilor:</w:t>
            </w:r>
          </w:p>
        </w:tc>
        <w:tc>
          <w:tcPr>
            <w:tcW w:w="1004" w:type="dxa"/>
            <w:shd w:val="clear" w:color="auto" w:fill="auto"/>
            <w:noWrap/>
            <w:vAlign w:val="bottom"/>
            <w:hideMark/>
          </w:tcPr>
          <w:p w:rsidR="00864D81" w:rsidRPr="00AF3608" w:rsidRDefault="00864D81" w:rsidP="00B723C0">
            <w:pPr>
              <w:keepNext/>
              <w:keepLines/>
              <w:widowControl w:val="0"/>
              <w:jc w:val="right"/>
              <w:rPr>
                <w:rFonts w:ascii="Arial" w:hAnsi="Arial" w:cs="Arial"/>
                <w:color w:val="000000"/>
                <w:sz w:val="20"/>
                <w:szCs w:val="20"/>
                <w:lang w:val="ro-RO"/>
              </w:rPr>
            </w:pP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color w:val="000000"/>
                <w:sz w:val="20"/>
                <w:szCs w:val="20"/>
                <w:lang w:val="ro-RO"/>
              </w:rPr>
            </w:pP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color w:val="000000"/>
                <w:sz w:val="20"/>
                <w:szCs w:val="20"/>
                <w:lang w:val="ro-RO"/>
              </w:rPr>
            </w:pP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color w:val="000000"/>
                <w:sz w:val="20"/>
                <w:szCs w:val="20"/>
                <w:lang w:val="ro-RO"/>
              </w:rPr>
            </w:pP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color w:val="000000"/>
                <w:sz w:val="20"/>
                <w:szCs w:val="20"/>
                <w:lang w:val="ro-RO"/>
              </w:rPr>
            </w:pPr>
          </w:p>
        </w:tc>
      </w:tr>
      <w:tr w:rsidR="00864D81" w:rsidRPr="00AF3608" w:rsidTr="001F69D8">
        <w:trPr>
          <w:trHeight w:val="315"/>
          <w:jc w:val="center"/>
        </w:trPr>
        <w:tc>
          <w:tcPr>
            <w:tcW w:w="3446" w:type="dxa"/>
            <w:shd w:val="clear" w:color="auto" w:fill="auto"/>
            <w:noWrap/>
            <w:vAlign w:val="bottom"/>
            <w:hideMark/>
          </w:tcPr>
          <w:p w:rsidR="00864D81" w:rsidRPr="00AF3608" w:rsidRDefault="00864D81" w:rsidP="00B723C0">
            <w:pPr>
              <w:keepNext/>
              <w:keepLines/>
              <w:widowControl w:val="0"/>
              <w:rPr>
                <w:rFonts w:ascii="Calibri" w:hAnsi="Calibri" w:cs="Calibri"/>
                <w:i/>
                <w:color w:val="000000"/>
                <w:lang w:val="ro-RO"/>
              </w:rPr>
            </w:pPr>
            <w:r w:rsidRPr="00AF3608">
              <w:rPr>
                <w:rFonts w:ascii="Calibri" w:hAnsi="Calibri" w:cs="Calibri"/>
                <w:i/>
                <w:color w:val="000000"/>
                <w:lang w:val="ro-RO"/>
              </w:rPr>
              <w:t xml:space="preserve">   Capital (pp)</w:t>
            </w:r>
          </w:p>
        </w:tc>
        <w:tc>
          <w:tcPr>
            <w:tcW w:w="1004" w:type="dxa"/>
            <w:shd w:val="clear" w:color="auto" w:fill="auto"/>
            <w:noWrap/>
            <w:vAlign w:val="bottom"/>
            <w:hideMark/>
          </w:tcPr>
          <w:p w:rsidR="00864D81" w:rsidRPr="00AF3608" w:rsidRDefault="00864D81" w:rsidP="00B723C0">
            <w:pPr>
              <w:keepNext/>
              <w:keepLines/>
              <w:widowControl w:val="0"/>
              <w:jc w:val="right"/>
              <w:rPr>
                <w:rFonts w:ascii="Arial" w:hAnsi="Arial" w:cs="Arial"/>
                <w:i/>
                <w:color w:val="000000"/>
                <w:sz w:val="20"/>
                <w:szCs w:val="20"/>
                <w:lang w:val="ro-RO"/>
              </w:rPr>
            </w:pPr>
            <w:r w:rsidRPr="00AF3608">
              <w:rPr>
                <w:rFonts w:ascii="Arial" w:hAnsi="Arial" w:cs="Arial"/>
                <w:i/>
                <w:color w:val="000000"/>
                <w:sz w:val="20"/>
                <w:szCs w:val="20"/>
                <w:lang w:val="ro-RO"/>
              </w:rPr>
              <w:t>1.5</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i/>
                <w:color w:val="000000"/>
                <w:sz w:val="20"/>
                <w:szCs w:val="20"/>
                <w:lang w:val="ro-RO"/>
              </w:rPr>
            </w:pPr>
            <w:r w:rsidRPr="00AF3608">
              <w:rPr>
                <w:rFonts w:ascii="Arial" w:hAnsi="Arial" w:cs="Arial"/>
                <w:i/>
                <w:color w:val="000000"/>
                <w:sz w:val="20"/>
                <w:szCs w:val="20"/>
                <w:lang w:val="ro-RO"/>
              </w:rPr>
              <w:t>1.6</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i/>
                <w:color w:val="000000"/>
                <w:sz w:val="20"/>
                <w:szCs w:val="20"/>
                <w:lang w:val="ro-RO"/>
              </w:rPr>
            </w:pPr>
            <w:r w:rsidRPr="00AF3608">
              <w:rPr>
                <w:rFonts w:ascii="Arial" w:hAnsi="Arial" w:cs="Arial"/>
                <w:i/>
                <w:color w:val="000000"/>
                <w:sz w:val="20"/>
                <w:szCs w:val="20"/>
                <w:lang w:val="ro-RO"/>
              </w:rPr>
              <w:t>1.8</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i/>
                <w:color w:val="000000"/>
                <w:sz w:val="20"/>
                <w:szCs w:val="20"/>
                <w:lang w:val="ro-RO"/>
              </w:rPr>
            </w:pPr>
            <w:r w:rsidRPr="00AF3608">
              <w:rPr>
                <w:rFonts w:ascii="Arial" w:hAnsi="Arial" w:cs="Arial"/>
                <w:i/>
                <w:color w:val="000000"/>
                <w:sz w:val="20"/>
                <w:szCs w:val="20"/>
                <w:lang w:val="ro-RO"/>
              </w:rPr>
              <w:t>1.9</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i/>
                <w:color w:val="000000"/>
                <w:sz w:val="20"/>
                <w:szCs w:val="20"/>
                <w:lang w:val="ro-RO"/>
              </w:rPr>
            </w:pPr>
            <w:r w:rsidRPr="00AF3608">
              <w:rPr>
                <w:rFonts w:ascii="Arial" w:hAnsi="Arial" w:cs="Arial"/>
                <w:i/>
                <w:color w:val="000000"/>
                <w:sz w:val="20"/>
                <w:szCs w:val="20"/>
                <w:lang w:val="ro-RO"/>
              </w:rPr>
              <w:t>2.1</w:t>
            </w:r>
          </w:p>
        </w:tc>
      </w:tr>
      <w:tr w:rsidR="00864D81" w:rsidRPr="00AF3608" w:rsidTr="001F69D8">
        <w:trPr>
          <w:trHeight w:val="315"/>
          <w:jc w:val="center"/>
        </w:trPr>
        <w:tc>
          <w:tcPr>
            <w:tcW w:w="3446" w:type="dxa"/>
            <w:shd w:val="clear" w:color="auto" w:fill="auto"/>
            <w:noWrap/>
            <w:vAlign w:val="bottom"/>
            <w:hideMark/>
          </w:tcPr>
          <w:p w:rsidR="00864D81" w:rsidRPr="00AF3608" w:rsidRDefault="00864D81" w:rsidP="00B723C0">
            <w:pPr>
              <w:keepNext/>
              <w:keepLines/>
              <w:widowControl w:val="0"/>
              <w:rPr>
                <w:rFonts w:ascii="Calibri" w:hAnsi="Calibri" w:cs="Calibri"/>
                <w:i/>
                <w:color w:val="000000"/>
                <w:lang w:val="ro-RO"/>
              </w:rPr>
            </w:pPr>
            <w:r w:rsidRPr="00AF3608">
              <w:rPr>
                <w:rFonts w:ascii="Calibri" w:hAnsi="Calibri" w:cs="Calibri"/>
                <w:i/>
                <w:color w:val="000000"/>
                <w:lang w:val="ro-RO"/>
              </w:rPr>
              <w:t>Muncă (pp)</w:t>
            </w:r>
          </w:p>
        </w:tc>
        <w:tc>
          <w:tcPr>
            <w:tcW w:w="1004" w:type="dxa"/>
            <w:shd w:val="clear" w:color="auto" w:fill="auto"/>
            <w:noWrap/>
            <w:vAlign w:val="bottom"/>
            <w:hideMark/>
          </w:tcPr>
          <w:p w:rsidR="00864D81" w:rsidRPr="00AF3608" w:rsidRDefault="00864D81" w:rsidP="00B723C0">
            <w:pPr>
              <w:keepNext/>
              <w:keepLines/>
              <w:widowControl w:val="0"/>
              <w:jc w:val="right"/>
              <w:rPr>
                <w:rFonts w:ascii="Arial" w:hAnsi="Arial" w:cs="Arial"/>
                <w:i/>
                <w:color w:val="000000"/>
                <w:sz w:val="20"/>
                <w:szCs w:val="20"/>
                <w:lang w:val="ro-RO"/>
              </w:rPr>
            </w:pPr>
            <w:r w:rsidRPr="00AF3608">
              <w:rPr>
                <w:rFonts w:ascii="Arial" w:hAnsi="Arial" w:cs="Arial"/>
                <w:i/>
                <w:color w:val="000000"/>
                <w:sz w:val="20"/>
                <w:szCs w:val="20"/>
                <w:lang w:val="ro-RO"/>
              </w:rPr>
              <w:t>-0.3</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i/>
                <w:color w:val="000000"/>
                <w:sz w:val="20"/>
                <w:szCs w:val="20"/>
                <w:lang w:val="ro-RO"/>
              </w:rPr>
            </w:pPr>
            <w:r w:rsidRPr="00AF3608">
              <w:rPr>
                <w:rFonts w:ascii="Arial" w:hAnsi="Arial" w:cs="Arial"/>
                <w:i/>
                <w:color w:val="000000"/>
                <w:sz w:val="20"/>
                <w:szCs w:val="20"/>
                <w:lang w:val="ro-RO"/>
              </w:rPr>
              <w:t>-0.1</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i/>
                <w:color w:val="000000"/>
                <w:sz w:val="20"/>
                <w:szCs w:val="20"/>
                <w:lang w:val="ro-RO"/>
              </w:rPr>
            </w:pPr>
            <w:r w:rsidRPr="00AF3608">
              <w:rPr>
                <w:rFonts w:ascii="Arial" w:hAnsi="Arial" w:cs="Arial"/>
                <w:i/>
                <w:color w:val="000000"/>
                <w:sz w:val="20"/>
                <w:szCs w:val="20"/>
                <w:lang w:val="ro-RO"/>
              </w:rPr>
              <w:t>0.1</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i/>
                <w:color w:val="000000"/>
                <w:sz w:val="20"/>
                <w:szCs w:val="20"/>
                <w:lang w:val="ro-RO"/>
              </w:rPr>
            </w:pPr>
            <w:r w:rsidRPr="00AF3608">
              <w:rPr>
                <w:rFonts w:ascii="Arial" w:hAnsi="Arial" w:cs="Arial"/>
                <w:i/>
                <w:color w:val="000000"/>
                <w:sz w:val="20"/>
                <w:szCs w:val="20"/>
                <w:lang w:val="ro-RO"/>
              </w:rPr>
              <w:t>0.2</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i/>
                <w:color w:val="000000"/>
                <w:sz w:val="20"/>
                <w:szCs w:val="20"/>
                <w:lang w:val="ro-RO"/>
              </w:rPr>
            </w:pPr>
            <w:r w:rsidRPr="00AF3608">
              <w:rPr>
                <w:rFonts w:ascii="Arial" w:hAnsi="Arial" w:cs="Arial"/>
                <w:i/>
                <w:color w:val="000000"/>
                <w:sz w:val="20"/>
                <w:szCs w:val="20"/>
                <w:lang w:val="ro-RO"/>
              </w:rPr>
              <w:t>0.0</w:t>
            </w:r>
          </w:p>
        </w:tc>
      </w:tr>
      <w:tr w:rsidR="00864D81" w:rsidRPr="00AF3608" w:rsidTr="001F69D8">
        <w:trPr>
          <w:trHeight w:val="315"/>
          <w:jc w:val="center"/>
        </w:trPr>
        <w:tc>
          <w:tcPr>
            <w:tcW w:w="3446" w:type="dxa"/>
            <w:shd w:val="clear" w:color="auto" w:fill="auto"/>
            <w:noWrap/>
            <w:vAlign w:val="bottom"/>
            <w:hideMark/>
          </w:tcPr>
          <w:p w:rsidR="00864D81" w:rsidRPr="00AF3608" w:rsidRDefault="00864D81" w:rsidP="00B723C0">
            <w:pPr>
              <w:keepNext/>
              <w:keepLines/>
              <w:widowControl w:val="0"/>
              <w:rPr>
                <w:rFonts w:ascii="Calibri" w:hAnsi="Calibri" w:cs="Calibri"/>
                <w:i/>
                <w:color w:val="000000"/>
                <w:lang w:val="ro-RO"/>
              </w:rPr>
            </w:pPr>
            <w:r w:rsidRPr="00AF3608">
              <w:rPr>
                <w:rFonts w:ascii="Calibri" w:hAnsi="Calibri" w:cs="Calibri"/>
                <w:i/>
                <w:color w:val="000000"/>
                <w:lang w:val="ro-RO"/>
              </w:rPr>
              <w:t xml:space="preserve">   TFP (pp)</w:t>
            </w:r>
          </w:p>
        </w:tc>
        <w:tc>
          <w:tcPr>
            <w:tcW w:w="1004" w:type="dxa"/>
            <w:shd w:val="clear" w:color="auto" w:fill="auto"/>
            <w:noWrap/>
            <w:vAlign w:val="bottom"/>
            <w:hideMark/>
          </w:tcPr>
          <w:p w:rsidR="00864D81" w:rsidRPr="00AF3608" w:rsidRDefault="00864D81" w:rsidP="00B723C0">
            <w:pPr>
              <w:keepNext/>
              <w:keepLines/>
              <w:widowControl w:val="0"/>
              <w:jc w:val="right"/>
              <w:rPr>
                <w:rFonts w:ascii="Arial" w:hAnsi="Arial" w:cs="Arial"/>
                <w:i/>
                <w:color w:val="000000"/>
                <w:sz w:val="20"/>
                <w:szCs w:val="20"/>
                <w:lang w:val="ro-RO"/>
              </w:rPr>
            </w:pPr>
            <w:r w:rsidRPr="00AF3608">
              <w:rPr>
                <w:rFonts w:ascii="Arial" w:hAnsi="Arial" w:cs="Arial"/>
                <w:i/>
                <w:color w:val="000000"/>
                <w:sz w:val="20"/>
                <w:szCs w:val="20"/>
                <w:lang w:val="ro-RO"/>
              </w:rPr>
              <w:t>1.2</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i/>
                <w:color w:val="000000"/>
                <w:sz w:val="20"/>
                <w:szCs w:val="20"/>
                <w:lang w:val="ro-RO"/>
              </w:rPr>
            </w:pPr>
            <w:r w:rsidRPr="00AF3608">
              <w:rPr>
                <w:rFonts w:ascii="Arial" w:hAnsi="Arial" w:cs="Arial"/>
                <w:i/>
                <w:color w:val="000000"/>
                <w:sz w:val="20"/>
                <w:szCs w:val="20"/>
                <w:lang w:val="ro-RO"/>
              </w:rPr>
              <w:t>1.1</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i/>
                <w:color w:val="000000"/>
                <w:sz w:val="20"/>
                <w:szCs w:val="20"/>
                <w:lang w:val="ro-RO"/>
              </w:rPr>
            </w:pPr>
            <w:r w:rsidRPr="00AF3608">
              <w:rPr>
                <w:rFonts w:ascii="Arial" w:hAnsi="Arial" w:cs="Arial"/>
                <w:i/>
                <w:color w:val="000000"/>
                <w:sz w:val="20"/>
                <w:szCs w:val="20"/>
                <w:lang w:val="ro-RO"/>
              </w:rPr>
              <w:t>1.1</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i/>
                <w:color w:val="000000"/>
                <w:sz w:val="20"/>
                <w:szCs w:val="20"/>
                <w:lang w:val="ro-RO"/>
              </w:rPr>
            </w:pPr>
            <w:r w:rsidRPr="00AF3608">
              <w:rPr>
                <w:rFonts w:ascii="Arial" w:hAnsi="Arial" w:cs="Arial"/>
                <w:i/>
                <w:color w:val="000000"/>
                <w:sz w:val="20"/>
                <w:szCs w:val="20"/>
                <w:lang w:val="ro-RO"/>
              </w:rPr>
              <w:t>1.4</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i/>
                <w:color w:val="000000"/>
                <w:sz w:val="20"/>
                <w:szCs w:val="20"/>
                <w:lang w:val="ro-RO"/>
              </w:rPr>
            </w:pPr>
            <w:r w:rsidRPr="00AF3608">
              <w:rPr>
                <w:rFonts w:ascii="Arial" w:hAnsi="Arial" w:cs="Arial"/>
                <w:i/>
                <w:color w:val="000000"/>
                <w:sz w:val="20"/>
                <w:szCs w:val="20"/>
                <w:lang w:val="ro-RO"/>
              </w:rPr>
              <w:t>1.6</w:t>
            </w:r>
          </w:p>
        </w:tc>
      </w:tr>
      <w:tr w:rsidR="00864D81" w:rsidRPr="00AF3608" w:rsidTr="001F69D8">
        <w:trPr>
          <w:trHeight w:val="300"/>
          <w:jc w:val="center"/>
        </w:trPr>
        <w:tc>
          <w:tcPr>
            <w:tcW w:w="3446" w:type="dxa"/>
            <w:shd w:val="clear" w:color="auto" w:fill="auto"/>
            <w:noWrap/>
            <w:vAlign w:val="bottom"/>
            <w:hideMark/>
          </w:tcPr>
          <w:p w:rsidR="00864D81" w:rsidRPr="00AF3608" w:rsidRDefault="00864D81" w:rsidP="00B723C0">
            <w:pPr>
              <w:keepNext/>
              <w:keepLines/>
              <w:widowControl w:val="0"/>
              <w:rPr>
                <w:rFonts w:ascii="Calibri" w:hAnsi="Calibri" w:cs="Calibri"/>
                <w:b/>
                <w:color w:val="000000"/>
                <w:lang w:val="ro-RO"/>
              </w:rPr>
            </w:pPr>
            <w:r w:rsidRPr="00AF3608">
              <w:rPr>
                <w:rFonts w:ascii="Calibri" w:hAnsi="Calibri" w:cs="Calibri"/>
                <w:b/>
                <w:color w:val="000000"/>
                <w:lang w:val="ro-RO"/>
              </w:rPr>
              <w:t>Output-gap (%)</w:t>
            </w:r>
          </w:p>
        </w:tc>
        <w:tc>
          <w:tcPr>
            <w:tcW w:w="1004" w:type="dxa"/>
            <w:shd w:val="clear" w:color="auto" w:fill="auto"/>
            <w:noWrap/>
            <w:vAlign w:val="bottom"/>
            <w:hideMark/>
          </w:tcPr>
          <w:p w:rsidR="00864D81" w:rsidRPr="00AF3608" w:rsidRDefault="00864D81" w:rsidP="00B723C0">
            <w:pPr>
              <w:keepNext/>
              <w:keepLines/>
              <w:widowControl w:val="0"/>
              <w:jc w:val="right"/>
              <w:rPr>
                <w:rFonts w:ascii="Arial" w:hAnsi="Arial" w:cs="Arial"/>
                <w:b/>
                <w:color w:val="000000"/>
                <w:sz w:val="20"/>
                <w:szCs w:val="20"/>
                <w:lang w:val="ro-RO"/>
              </w:rPr>
            </w:pPr>
            <w:r w:rsidRPr="00AF3608">
              <w:rPr>
                <w:rFonts w:ascii="Arial" w:hAnsi="Arial" w:cs="Arial"/>
                <w:b/>
                <w:color w:val="000000"/>
                <w:sz w:val="20"/>
                <w:szCs w:val="20"/>
                <w:lang w:val="ro-RO"/>
              </w:rPr>
              <w:t>-4.2</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b/>
                <w:color w:val="000000"/>
                <w:sz w:val="20"/>
                <w:szCs w:val="20"/>
                <w:lang w:val="ro-RO"/>
              </w:rPr>
            </w:pPr>
            <w:r w:rsidRPr="00AF3608">
              <w:rPr>
                <w:rFonts w:ascii="Arial" w:hAnsi="Arial" w:cs="Arial"/>
                <w:b/>
                <w:color w:val="000000"/>
                <w:sz w:val="20"/>
                <w:szCs w:val="20"/>
                <w:lang w:val="ro-RO"/>
              </w:rPr>
              <w:t>-2.5</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b/>
                <w:color w:val="000000"/>
                <w:sz w:val="20"/>
                <w:szCs w:val="20"/>
                <w:lang w:val="ro-RO"/>
              </w:rPr>
            </w:pPr>
            <w:r w:rsidRPr="00AF3608">
              <w:rPr>
                <w:rFonts w:ascii="Arial" w:hAnsi="Arial" w:cs="Arial"/>
                <w:b/>
                <w:color w:val="000000"/>
                <w:sz w:val="20"/>
                <w:szCs w:val="20"/>
                <w:lang w:val="ro-RO"/>
              </w:rPr>
              <w:t>-0.9</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b/>
                <w:color w:val="000000"/>
                <w:sz w:val="20"/>
                <w:szCs w:val="20"/>
                <w:lang w:val="ro-RO"/>
              </w:rPr>
            </w:pPr>
            <w:r w:rsidRPr="00AF3608">
              <w:rPr>
                <w:rFonts w:ascii="Arial" w:hAnsi="Arial" w:cs="Arial"/>
                <w:b/>
                <w:color w:val="000000"/>
                <w:sz w:val="20"/>
                <w:szCs w:val="20"/>
                <w:lang w:val="ro-RO"/>
              </w:rPr>
              <w:t>0.4</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b/>
                <w:color w:val="000000"/>
                <w:sz w:val="20"/>
                <w:szCs w:val="20"/>
                <w:lang w:val="ro-RO"/>
              </w:rPr>
            </w:pPr>
            <w:r w:rsidRPr="00AF3608">
              <w:rPr>
                <w:rFonts w:ascii="Arial" w:hAnsi="Arial" w:cs="Arial"/>
                <w:b/>
                <w:color w:val="000000"/>
                <w:sz w:val="20"/>
                <w:szCs w:val="20"/>
                <w:lang w:val="ro-RO"/>
              </w:rPr>
              <w:t>1.5</w:t>
            </w:r>
          </w:p>
        </w:tc>
      </w:tr>
      <w:tr w:rsidR="00864D81" w:rsidRPr="00AF3608" w:rsidTr="001F69D8">
        <w:trPr>
          <w:trHeight w:val="300"/>
          <w:jc w:val="center"/>
        </w:trPr>
        <w:tc>
          <w:tcPr>
            <w:tcW w:w="3446" w:type="dxa"/>
            <w:shd w:val="clear" w:color="auto" w:fill="auto"/>
            <w:noWrap/>
            <w:vAlign w:val="bottom"/>
            <w:hideMark/>
          </w:tcPr>
          <w:p w:rsidR="00864D81" w:rsidRPr="00AF3608" w:rsidRDefault="00864D81" w:rsidP="00B723C0">
            <w:pPr>
              <w:keepNext/>
              <w:keepLines/>
              <w:widowControl w:val="0"/>
              <w:rPr>
                <w:rFonts w:ascii="Calibri" w:hAnsi="Calibri" w:cs="Calibri"/>
                <w:b/>
                <w:color w:val="000000"/>
                <w:lang w:val="ro-RO"/>
              </w:rPr>
            </w:pPr>
            <w:r w:rsidRPr="00AF3608">
              <w:rPr>
                <w:rFonts w:ascii="Calibri" w:hAnsi="Calibri" w:cs="Calibri"/>
                <w:b/>
                <w:color w:val="000000"/>
                <w:lang w:val="ro-RO"/>
              </w:rPr>
              <w:t>Componenta ciclică (%)</w:t>
            </w:r>
          </w:p>
        </w:tc>
        <w:tc>
          <w:tcPr>
            <w:tcW w:w="1004" w:type="dxa"/>
            <w:shd w:val="clear" w:color="auto" w:fill="auto"/>
            <w:noWrap/>
            <w:vAlign w:val="bottom"/>
            <w:hideMark/>
          </w:tcPr>
          <w:p w:rsidR="00864D81" w:rsidRPr="00AF3608" w:rsidRDefault="00864D81" w:rsidP="00B723C0">
            <w:pPr>
              <w:keepNext/>
              <w:keepLines/>
              <w:widowControl w:val="0"/>
              <w:jc w:val="right"/>
              <w:rPr>
                <w:rFonts w:ascii="Arial" w:hAnsi="Arial" w:cs="Arial"/>
                <w:color w:val="000000"/>
                <w:sz w:val="20"/>
                <w:szCs w:val="20"/>
                <w:lang w:val="ro-RO"/>
              </w:rPr>
            </w:pPr>
            <w:r w:rsidRPr="00AF3608">
              <w:rPr>
                <w:rFonts w:ascii="Arial" w:hAnsi="Arial" w:cs="Arial"/>
                <w:color w:val="000000"/>
                <w:sz w:val="20"/>
                <w:szCs w:val="20"/>
                <w:lang w:val="ro-RO"/>
              </w:rPr>
              <w:t>-1.34</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color w:val="000000"/>
                <w:sz w:val="20"/>
                <w:szCs w:val="20"/>
                <w:lang w:val="ro-RO"/>
              </w:rPr>
            </w:pPr>
            <w:r w:rsidRPr="00AF3608">
              <w:rPr>
                <w:rFonts w:ascii="Arial" w:hAnsi="Arial" w:cs="Arial"/>
                <w:color w:val="000000"/>
                <w:sz w:val="20"/>
                <w:szCs w:val="20"/>
                <w:lang w:val="ro-RO"/>
              </w:rPr>
              <w:t>-0.81</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color w:val="000000"/>
                <w:sz w:val="20"/>
                <w:szCs w:val="20"/>
                <w:lang w:val="ro-RO"/>
              </w:rPr>
            </w:pPr>
            <w:r w:rsidRPr="00AF3608">
              <w:rPr>
                <w:rFonts w:ascii="Arial" w:hAnsi="Arial" w:cs="Arial"/>
                <w:color w:val="000000"/>
                <w:sz w:val="20"/>
                <w:szCs w:val="20"/>
                <w:lang w:val="ro-RO"/>
              </w:rPr>
              <w:t>-0.29</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color w:val="000000"/>
                <w:sz w:val="20"/>
                <w:szCs w:val="20"/>
                <w:lang w:val="ro-RO"/>
              </w:rPr>
            </w:pPr>
            <w:r w:rsidRPr="00AF3608">
              <w:rPr>
                <w:rFonts w:ascii="Arial" w:hAnsi="Arial" w:cs="Arial"/>
                <w:color w:val="000000"/>
                <w:sz w:val="20"/>
                <w:szCs w:val="20"/>
                <w:lang w:val="ro-RO"/>
              </w:rPr>
              <w:t>0.14</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color w:val="000000"/>
                <w:sz w:val="20"/>
                <w:szCs w:val="20"/>
                <w:lang w:val="ro-RO"/>
              </w:rPr>
            </w:pPr>
            <w:r w:rsidRPr="00AF3608">
              <w:rPr>
                <w:rFonts w:ascii="Arial" w:hAnsi="Arial" w:cs="Arial"/>
                <w:color w:val="000000"/>
                <w:sz w:val="20"/>
                <w:szCs w:val="20"/>
                <w:lang w:val="ro-RO"/>
              </w:rPr>
              <w:t>0.49</w:t>
            </w:r>
          </w:p>
        </w:tc>
      </w:tr>
    </w:tbl>
    <w:p w:rsidR="00864D81" w:rsidRPr="00AF3608" w:rsidRDefault="00864D81" w:rsidP="00B723C0">
      <w:pPr>
        <w:keepNext/>
        <w:keepLines/>
        <w:widowControl w:val="0"/>
        <w:ind w:left="360"/>
        <w:rPr>
          <w:rFonts w:ascii="Calibri" w:hAnsi="Calibri" w:cs="Calibri"/>
          <w:color w:val="000000"/>
          <w:lang w:val="ro-RO"/>
        </w:rPr>
      </w:pPr>
      <w:r w:rsidRPr="00AF3608">
        <w:rPr>
          <w:rFonts w:ascii="Calibri" w:hAnsi="Calibri" w:cs="Calibri"/>
          <w:color w:val="000000"/>
          <w:lang w:val="ro-RO"/>
        </w:rPr>
        <w:tab/>
      </w:r>
      <w:r w:rsidRPr="00AF3608">
        <w:rPr>
          <w:rFonts w:ascii="Calibri" w:eastAsia="Calibri" w:hAnsi="Calibri" w:cs="Calibri"/>
          <w:color w:val="000000"/>
          <w:sz w:val="20"/>
          <w:szCs w:val="20"/>
          <w:lang w:val="ro-RO"/>
        </w:rPr>
        <w:t>Sursa: Comisia Naţională de Strategie şi Prognoză.Notă: Estimările s-au realizat utilizând metodologia europeană aprobată de toate cele 27 de state membre UE.</w:t>
      </w:r>
    </w:p>
    <w:p w:rsidR="00864D81" w:rsidRPr="00AF3608" w:rsidRDefault="00864D81" w:rsidP="00B723C0">
      <w:pPr>
        <w:widowControl w:val="0"/>
        <w:spacing w:before="120"/>
        <w:rPr>
          <w:rFonts w:ascii="Calibri" w:hAnsi="Calibri" w:cs="Calibri"/>
          <w:color w:val="000000"/>
          <w:lang w:val="ro-RO"/>
        </w:rPr>
      </w:pPr>
    </w:p>
    <w:p w:rsidR="00864D81" w:rsidRPr="00AF3608" w:rsidRDefault="00864D81" w:rsidP="00450C35">
      <w:pPr>
        <w:widowControl w:val="0"/>
        <w:spacing w:before="120"/>
        <w:jc w:val="both"/>
        <w:rPr>
          <w:rFonts w:ascii="Calibri" w:eastAsia="Calibri" w:hAnsi="Calibri" w:cs="Calibri"/>
          <w:color w:val="000000"/>
          <w:lang w:val="ro-RO"/>
        </w:rPr>
      </w:pPr>
      <w:r w:rsidRPr="00AF3608">
        <w:rPr>
          <w:rFonts w:ascii="Calibri" w:eastAsia="Calibri" w:hAnsi="Calibri" w:cs="Calibri"/>
          <w:color w:val="000000"/>
          <w:lang w:val="ro-RO"/>
        </w:rPr>
        <w:t xml:space="preserve">Output-gap se situează în teritoriu negativ şi are o valoare de -4,2% din PIB potenţial în anul 2020 şi se va restrânge treptat urmând a se închide în anul 2023. Precizăm că valorile negative ale output-gap au o influenţă pozitivă asupra deficitului structural.  </w:t>
      </w:r>
    </w:p>
    <w:p w:rsidR="00864D81" w:rsidRPr="00AF3608" w:rsidRDefault="00864D81" w:rsidP="00450C35">
      <w:pPr>
        <w:widowControl w:val="0"/>
        <w:spacing w:before="120"/>
        <w:jc w:val="both"/>
        <w:rPr>
          <w:rFonts w:ascii="Calibri" w:eastAsia="Calibri" w:hAnsi="Calibri" w:cs="Calibri"/>
          <w:color w:val="000000"/>
          <w:lang w:val="ro-RO"/>
        </w:rPr>
      </w:pPr>
      <w:r w:rsidRPr="00AF3608">
        <w:rPr>
          <w:rFonts w:ascii="Calibri" w:eastAsia="Calibri" w:hAnsi="Calibri" w:cs="Calibri"/>
          <w:color w:val="000000"/>
          <w:lang w:val="ro-RO"/>
        </w:rPr>
        <w:t>Pe termen mediu potenţialul de creştere se apropie de 4%, iar contribuţia cea mai importantă va veni dinspre factorul capital (sistematic peste jumătate din rata de creştere potenţială se datorează investiţiilor). Această schimbare structurală a compoziţiei PIB potenţial este determinată de influxurile de investiţii prin Planul Naţional de Reconstructie şi Relansare dar şi de o implementare mai eficientă a Cadrului Financiar Multianual 2021-2027.</w:t>
      </w:r>
    </w:p>
    <w:p w:rsidR="00864D81" w:rsidRPr="00AF3608" w:rsidRDefault="00864D81" w:rsidP="00450C35">
      <w:pPr>
        <w:widowControl w:val="0"/>
        <w:spacing w:before="120"/>
        <w:jc w:val="both"/>
        <w:rPr>
          <w:rFonts w:ascii="Calibri" w:eastAsia="Calibri" w:hAnsi="Calibri" w:cs="Calibri"/>
          <w:color w:val="000000"/>
          <w:lang w:val="ro-RO"/>
        </w:rPr>
      </w:pPr>
      <w:r w:rsidRPr="00AF3608">
        <w:rPr>
          <w:rFonts w:ascii="Calibri" w:eastAsia="Calibri" w:hAnsi="Calibri" w:cs="Calibri"/>
          <w:color w:val="000000"/>
          <w:lang w:val="ro-RO"/>
        </w:rPr>
        <w:t>În ceea ce priveşte contribuţia factorului muncă, îmbunătăţirea ratei de activitate compensează declinul demografic ceea ce rezultă într-o contribuţie aproximativ neutră a acestui factor la creşterea potenţială.</w:t>
      </w:r>
    </w:p>
    <w:p w:rsidR="00864D81" w:rsidRPr="00AF3608" w:rsidRDefault="00864D81" w:rsidP="00450C35">
      <w:pPr>
        <w:widowControl w:val="0"/>
        <w:spacing w:before="120"/>
        <w:jc w:val="both"/>
        <w:rPr>
          <w:rFonts w:ascii="Calibri" w:eastAsia="Calibri" w:hAnsi="Calibri" w:cs="Calibri"/>
          <w:color w:val="000000"/>
          <w:lang w:val="ro-RO"/>
        </w:rPr>
      </w:pPr>
      <w:r w:rsidRPr="00AF3608">
        <w:rPr>
          <w:rFonts w:ascii="Calibri" w:eastAsia="Calibri" w:hAnsi="Calibri" w:cs="Calibri"/>
          <w:color w:val="000000"/>
          <w:lang w:val="ro-RO"/>
        </w:rPr>
        <w:t>Semnificativă este şi contribuţia pozitivă şi în creştere a TFP la dinamica PIB potenţial pe termen mediu.</w:t>
      </w:r>
    </w:p>
    <w:p w:rsidR="00EA7803" w:rsidRPr="00AF3608" w:rsidRDefault="00EA7803" w:rsidP="00B723C0">
      <w:pPr>
        <w:spacing w:before="120"/>
        <w:rPr>
          <w:rFonts w:ascii="Calibri" w:eastAsia="Calibri" w:hAnsi="Calibri"/>
          <w:iCs/>
          <w:kern w:val="2"/>
          <w:szCs w:val="22"/>
          <w:lang w:val="ro-RO" w:eastAsia="zh-CN"/>
        </w:rPr>
      </w:pPr>
    </w:p>
    <w:p w:rsidR="005F01DC" w:rsidRPr="00AF3608" w:rsidRDefault="005F01DC" w:rsidP="00B723C0">
      <w:pPr>
        <w:spacing w:before="120"/>
        <w:rPr>
          <w:rFonts w:ascii="Calibri" w:eastAsia="Calibri" w:hAnsi="Calibri"/>
          <w:iCs/>
          <w:kern w:val="2"/>
          <w:szCs w:val="22"/>
          <w:lang w:val="ro-RO" w:eastAsia="zh-CN"/>
        </w:rPr>
      </w:pPr>
    </w:p>
    <w:p w:rsidR="00ED0FBE" w:rsidRPr="00AF3608" w:rsidRDefault="00ED0FBE" w:rsidP="00B723C0">
      <w:pPr>
        <w:widowControl w:val="0"/>
        <w:shd w:val="clear" w:color="auto" w:fill="9CC2E5" w:themeFill="accent1" w:themeFillTint="99"/>
        <w:suppressAutoHyphens/>
        <w:autoSpaceDE w:val="0"/>
        <w:autoSpaceDN w:val="0"/>
        <w:adjustRightInd w:val="0"/>
        <w:spacing w:before="120"/>
        <w:jc w:val="both"/>
        <w:rPr>
          <w:rFonts w:asciiTheme="minorHAnsi" w:hAnsiTheme="minorHAnsi" w:cstheme="minorHAnsi"/>
          <w:b/>
          <w:color w:val="002060"/>
          <w:lang w:val="ro-RO"/>
        </w:rPr>
      </w:pPr>
      <w:r w:rsidRPr="00AF3608">
        <w:rPr>
          <w:rFonts w:asciiTheme="minorHAnsi" w:eastAsia="Calibri" w:hAnsiTheme="minorHAnsi" w:cstheme="minorHAnsi"/>
          <w:b/>
          <w:iCs/>
          <w:color w:val="002060"/>
          <w:kern w:val="2"/>
          <w:lang w:val="ro-RO" w:eastAsia="zh-CN"/>
        </w:rPr>
        <w:t xml:space="preserve">2.2 </w:t>
      </w:r>
      <w:r w:rsidRPr="00AF3608">
        <w:rPr>
          <w:rFonts w:asciiTheme="minorHAnsi" w:hAnsiTheme="minorHAnsi" w:cstheme="minorHAnsi"/>
          <w:b/>
          <w:color w:val="002060"/>
          <w:lang w:val="ro-RO"/>
        </w:rPr>
        <w:t xml:space="preserve">Evoluția deficitului </w:t>
      </w:r>
      <w:r w:rsidR="00EA7803" w:rsidRPr="00AF3608">
        <w:rPr>
          <w:rFonts w:asciiTheme="minorHAnsi" w:hAnsiTheme="minorHAnsi" w:cstheme="minorHAnsi"/>
          <w:b/>
          <w:color w:val="002060"/>
          <w:lang w:val="ro-RO"/>
        </w:rPr>
        <w:t>structural în perioada 2018</w:t>
      </w:r>
      <w:r w:rsidRPr="00AF3608">
        <w:rPr>
          <w:rFonts w:asciiTheme="minorHAnsi" w:hAnsiTheme="minorHAnsi" w:cstheme="minorHAnsi"/>
          <w:b/>
          <w:color w:val="002060"/>
          <w:lang w:val="ro-RO"/>
        </w:rPr>
        <w:t>-2022</w:t>
      </w:r>
    </w:p>
    <w:p w:rsidR="006B2719" w:rsidRPr="00AF3608" w:rsidRDefault="006B2719" w:rsidP="006B2719">
      <w:pPr>
        <w:widowControl w:val="0"/>
        <w:suppressAutoHyphens/>
        <w:autoSpaceDE w:val="0"/>
        <w:autoSpaceDN w:val="0"/>
        <w:adjustRightInd w:val="0"/>
        <w:spacing w:before="120"/>
        <w:ind w:right="425"/>
        <w:jc w:val="both"/>
        <w:rPr>
          <w:lang w:val="ro-RO"/>
        </w:rPr>
      </w:pPr>
      <w:r w:rsidRPr="00AF3608">
        <w:rPr>
          <w:rFonts w:ascii="Calibri" w:hAnsi="Calibri"/>
          <w:b/>
          <w:color w:val="000000"/>
          <w:lang w:val="ro-RO"/>
        </w:rPr>
        <w:t>În anul 2021 deficitul structural din România este estimat la 7,42 % din PIB</w:t>
      </w:r>
      <w:r w:rsidRPr="00AF3608">
        <w:rPr>
          <w:rFonts w:ascii="Calibri" w:hAnsi="Calibri"/>
          <w:color w:val="000000"/>
          <w:lang w:val="ro-RO"/>
        </w:rPr>
        <w:t>.</w:t>
      </w:r>
    </w:p>
    <w:p w:rsidR="006B2719" w:rsidRPr="00AF3608" w:rsidRDefault="006B2719" w:rsidP="006B2719">
      <w:pPr>
        <w:spacing w:after="120"/>
        <w:jc w:val="both"/>
        <w:rPr>
          <w:rFonts w:ascii="Calibri" w:hAnsi="Calibri" w:cs="Calibri"/>
          <w:lang w:val="ro-RO"/>
        </w:rPr>
      </w:pPr>
      <w:r w:rsidRPr="00AF3608">
        <w:rPr>
          <w:rFonts w:ascii="Calibri" w:hAnsi="Calibri" w:cs="Calibri"/>
          <w:color w:val="000000"/>
          <w:lang w:val="ro-RO"/>
        </w:rPr>
        <w:t xml:space="preserve">Având în vedere măsurile adoptate, de relaxare fiscală, precum şi cele în domeniul cheltuielilor proiecţia bugetului general consolidat, </w:t>
      </w:r>
      <w:r w:rsidRPr="00AF3608">
        <w:rPr>
          <w:rFonts w:ascii="Calibri" w:hAnsi="Calibri" w:cs="Calibri"/>
          <w:lang w:val="ro-RO"/>
        </w:rPr>
        <w:t>începând cu anul 2016, România nu respectă regula</w:t>
      </w:r>
      <w:r w:rsidRPr="00AF3608">
        <w:rPr>
          <w:rFonts w:ascii="Calibri" w:hAnsi="Calibri" w:cs="Calibri"/>
          <w:vertAlign w:val="superscript"/>
          <w:lang w:val="ro-RO"/>
        </w:rPr>
        <w:footnoteReference w:id="7"/>
      </w:r>
      <w:r w:rsidRPr="00AF3608">
        <w:rPr>
          <w:rFonts w:ascii="Calibri" w:hAnsi="Calibri" w:cs="Calibri"/>
          <w:lang w:val="ro-RO"/>
        </w:rPr>
        <w:t xml:space="preserve"> privind soldul structural anual al administrației publice, abătându-se de la Obiectivul său bugetar pe termen mediu (OBTM), respectiv un sold structural anual de cel mult -1% din PIB.</w:t>
      </w:r>
    </w:p>
    <w:p w:rsidR="006B2719" w:rsidRPr="00AF3608" w:rsidRDefault="006B2719" w:rsidP="006B2719">
      <w:pPr>
        <w:spacing w:before="120" w:line="259" w:lineRule="auto"/>
        <w:jc w:val="center"/>
        <w:rPr>
          <w:rFonts w:ascii="Calibri" w:eastAsia="Calibri" w:hAnsi="Calibri" w:cs="Arial"/>
          <w:b/>
          <w:lang w:val="ro-RO" w:eastAsia="ro-RO"/>
        </w:rPr>
      </w:pPr>
    </w:p>
    <w:p w:rsidR="006B2719" w:rsidRPr="00AF3608" w:rsidRDefault="006B2719" w:rsidP="006B2719">
      <w:pPr>
        <w:spacing w:before="120" w:line="259" w:lineRule="auto"/>
        <w:jc w:val="center"/>
        <w:rPr>
          <w:rFonts w:ascii="Calibri" w:eastAsia="Calibri" w:hAnsi="Calibri" w:cs="Arial"/>
          <w:b/>
          <w:lang w:val="ro-RO" w:eastAsia="ro-RO"/>
        </w:rPr>
      </w:pPr>
    </w:p>
    <w:p w:rsidR="00404DEF" w:rsidRPr="00AF3608" w:rsidRDefault="00404DEF" w:rsidP="006B2719">
      <w:pPr>
        <w:spacing w:before="120" w:line="259" w:lineRule="auto"/>
        <w:jc w:val="center"/>
        <w:rPr>
          <w:rFonts w:ascii="Calibri" w:eastAsia="Calibri" w:hAnsi="Calibri" w:cs="Arial"/>
          <w:b/>
          <w:lang w:val="ro-RO" w:eastAsia="ro-RO"/>
        </w:rPr>
      </w:pPr>
    </w:p>
    <w:p w:rsidR="006B2719" w:rsidRPr="00AF3608" w:rsidRDefault="006B2719" w:rsidP="006B2719">
      <w:pPr>
        <w:spacing w:before="120" w:line="259" w:lineRule="auto"/>
        <w:jc w:val="center"/>
        <w:rPr>
          <w:rFonts w:ascii="Calibri" w:eastAsia="Calibri" w:hAnsi="Calibri" w:cs="Arial"/>
          <w:b/>
          <w:lang w:val="ro-RO" w:eastAsia="ro-RO"/>
        </w:rPr>
      </w:pPr>
      <w:r w:rsidRPr="00AF3608">
        <w:rPr>
          <w:rFonts w:ascii="Calibri" w:eastAsia="Calibri" w:hAnsi="Calibri" w:cs="Arial"/>
          <w:b/>
          <w:lang w:val="ro-RO" w:eastAsia="ro-RO"/>
        </w:rPr>
        <w:lastRenderedPageBreak/>
        <w:t>Deficite bugetare în perioada 2018-2023</w:t>
      </w:r>
    </w:p>
    <w:p w:rsidR="006B2719" w:rsidRPr="00AF3608" w:rsidRDefault="006B2719" w:rsidP="006B2719">
      <w:pPr>
        <w:spacing w:before="120"/>
        <w:ind w:firstLine="720"/>
        <w:jc w:val="center"/>
        <w:rPr>
          <w:rFonts w:ascii="Calibri" w:eastAsia="Calibri" w:hAnsi="Calibri" w:cs="Arial"/>
          <w:lang w:val="ro-RO" w:eastAsia="ro-RO"/>
        </w:rPr>
      </w:pPr>
      <w:r w:rsidRPr="00AF3608">
        <w:rPr>
          <w:rFonts w:ascii="Calibri" w:eastAsia="Calibri" w:hAnsi="Calibri" w:cs="Arial"/>
          <w:lang w:val="ro-RO" w:eastAsia="ro-RO"/>
        </w:rPr>
        <w:t xml:space="preserve">- % din PIB </w:t>
      </w:r>
    </w:p>
    <w:tbl>
      <w:tblPr>
        <w:tblW w:w="6831" w:type="dxa"/>
        <w:jc w:val="center"/>
        <w:tblLook w:val="01E0" w:firstRow="1" w:lastRow="1" w:firstColumn="1" w:lastColumn="1" w:noHBand="0" w:noVBand="0"/>
      </w:tblPr>
      <w:tblGrid>
        <w:gridCol w:w="2127"/>
        <w:gridCol w:w="784"/>
        <w:gridCol w:w="784"/>
        <w:gridCol w:w="784"/>
        <w:gridCol w:w="784"/>
        <w:gridCol w:w="784"/>
        <w:gridCol w:w="784"/>
      </w:tblGrid>
      <w:tr w:rsidR="006B2719" w:rsidRPr="00AF3608" w:rsidTr="00175EE3">
        <w:trPr>
          <w:trHeight w:val="336"/>
          <w:jc w:val="center"/>
        </w:trPr>
        <w:tc>
          <w:tcPr>
            <w:tcW w:w="2127" w:type="dxa"/>
            <w:tcBorders>
              <w:top w:val="single" w:sz="6" w:space="0" w:color="000000"/>
              <w:bottom w:val="single" w:sz="6" w:space="0" w:color="000000"/>
            </w:tcBorders>
            <w:shd w:val="clear" w:color="auto" w:fill="B4C6E7"/>
          </w:tcPr>
          <w:p w:rsidR="006B2719" w:rsidRPr="00AF3608" w:rsidRDefault="006B2719" w:rsidP="00175EE3">
            <w:pPr>
              <w:spacing w:before="120"/>
              <w:jc w:val="both"/>
              <w:rPr>
                <w:rFonts w:ascii="Calibri" w:eastAsia="Calibri" w:hAnsi="Calibri" w:cs="Arial"/>
                <w:b/>
                <w:lang w:val="ro-RO" w:eastAsia="ro-RO"/>
              </w:rPr>
            </w:pPr>
            <w:r w:rsidRPr="00AF3608">
              <w:rPr>
                <w:rFonts w:ascii="Calibri" w:eastAsia="Calibri" w:hAnsi="Calibri" w:cs="Arial"/>
                <w:b/>
                <w:lang w:val="ro-RO" w:eastAsia="ro-RO"/>
              </w:rPr>
              <w:t>Deficite bugetare</w:t>
            </w:r>
          </w:p>
        </w:tc>
        <w:tc>
          <w:tcPr>
            <w:tcW w:w="784" w:type="dxa"/>
            <w:tcBorders>
              <w:top w:val="single" w:sz="6" w:space="0" w:color="000000"/>
              <w:bottom w:val="single" w:sz="6" w:space="0" w:color="000000"/>
            </w:tcBorders>
            <w:shd w:val="clear" w:color="auto" w:fill="B4C6E7"/>
          </w:tcPr>
          <w:p w:rsidR="006B2719" w:rsidRPr="00AF3608" w:rsidRDefault="006B2719" w:rsidP="00175EE3">
            <w:pPr>
              <w:spacing w:before="120"/>
              <w:jc w:val="both"/>
              <w:rPr>
                <w:rFonts w:ascii="Calibri" w:eastAsia="Calibri" w:hAnsi="Calibri" w:cs="Arial"/>
                <w:b/>
                <w:lang w:val="ro-RO" w:eastAsia="ro-RO"/>
              </w:rPr>
            </w:pPr>
            <w:r w:rsidRPr="00AF3608">
              <w:rPr>
                <w:rFonts w:ascii="Calibri" w:eastAsia="Calibri" w:hAnsi="Calibri" w:cs="Arial"/>
                <w:b/>
                <w:lang w:val="ro-RO" w:eastAsia="ro-RO"/>
              </w:rPr>
              <w:t>2018</w:t>
            </w:r>
          </w:p>
        </w:tc>
        <w:tc>
          <w:tcPr>
            <w:tcW w:w="784" w:type="dxa"/>
            <w:tcBorders>
              <w:top w:val="single" w:sz="6" w:space="0" w:color="000000"/>
              <w:bottom w:val="single" w:sz="6" w:space="0" w:color="000000"/>
            </w:tcBorders>
            <w:shd w:val="clear" w:color="auto" w:fill="B4C6E7"/>
          </w:tcPr>
          <w:p w:rsidR="006B2719" w:rsidRPr="00AF3608" w:rsidRDefault="006B2719" w:rsidP="00175EE3">
            <w:pPr>
              <w:spacing w:before="120"/>
              <w:jc w:val="both"/>
              <w:rPr>
                <w:rFonts w:ascii="Calibri" w:eastAsia="Calibri" w:hAnsi="Calibri" w:cs="Arial"/>
                <w:b/>
                <w:lang w:val="ro-RO" w:eastAsia="ro-RO"/>
              </w:rPr>
            </w:pPr>
            <w:r w:rsidRPr="00AF3608">
              <w:rPr>
                <w:rFonts w:ascii="Calibri" w:eastAsia="Calibri" w:hAnsi="Calibri" w:cs="Arial"/>
                <w:b/>
                <w:lang w:val="ro-RO" w:eastAsia="ro-RO"/>
              </w:rPr>
              <w:t>2019</w:t>
            </w:r>
          </w:p>
        </w:tc>
        <w:tc>
          <w:tcPr>
            <w:tcW w:w="784" w:type="dxa"/>
            <w:tcBorders>
              <w:top w:val="single" w:sz="6" w:space="0" w:color="000000"/>
              <w:bottom w:val="single" w:sz="6" w:space="0" w:color="000000"/>
            </w:tcBorders>
            <w:shd w:val="clear" w:color="auto" w:fill="B4C6E7"/>
          </w:tcPr>
          <w:p w:rsidR="006B2719" w:rsidRPr="00AF3608" w:rsidRDefault="006B2719" w:rsidP="00175EE3">
            <w:pPr>
              <w:spacing w:before="120"/>
              <w:jc w:val="both"/>
              <w:rPr>
                <w:rFonts w:ascii="Calibri" w:eastAsia="Calibri" w:hAnsi="Calibri" w:cs="Arial"/>
                <w:b/>
                <w:lang w:val="ro-RO" w:eastAsia="ro-RO"/>
              </w:rPr>
            </w:pPr>
            <w:r w:rsidRPr="00AF3608">
              <w:rPr>
                <w:rFonts w:ascii="Calibri" w:eastAsia="Calibri" w:hAnsi="Calibri" w:cs="Arial"/>
                <w:b/>
                <w:lang w:val="ro-RO" w:eastAsia="ro-RO"/>
              </w:rPr>
              <w:t>2020</w:t>
            </w:r>
          </w:p>
        </w:tc>
        <w:tc>
          <w:tcPr>
            <w:tcW w:w="784" w:type="dxa"/>
            <w:tcBorders>
              <w:top w:val="single" w:sz="6" w:space="0" w:color="000000"/>
              <w:bottom w:val="single" w:sz="6" w:space="0" w:color="000000"/>
            </w:tcBorders>
            <w:shd w:val="clear" w:color="auto" w:fill="B4C6E7"/>
          </w:tcPr>
          <w:p w:rsidR="006B2719" w:rsidRPr="00AF3608" w:rsidRDefault="006B2719" w:rsidP="00175EE3">
            <w:pPr>
              <w:spacing w:before="120"/>
              <w:jc w:val="both"/>
              <w:rPr>
                <w:rFonts w:ascii="Calibri" w:eastAsia="Calibri" w:hAnsi="Calibri" w:cs="Arial"/>
                <w:b/>
                <w:lang w:val="ro-RO" w:eastAsia="ro-RO"/>
              </w:rPr>
            </w:pPr>
            <w:r w:rsidRPr="00AF3608">
              <w:rPr>
                <w:rFonts w:ascii="Calibri" w:eastAsia="Calibri" w:hAnsi="Calibri" w:cs="Arial"/>
                <w:b/>
                <w:lang w:val="ro-RO" w:eastAsia="ro-RO"/>
              </w:rPr>
              <w:t>2021</w:t>
            </w:r>
          </w:p>
        </w:tc>
        <w:tc>
          <w:tcPr>
            <w:tcW w:w="784" w:type="dxa"/>
            <w:tcBorders>
              <w:top w:val="single" w:sz="6" w:space="0" w:color="000000"/>
              <w:bottom w:val="single" w:sz="6" w:space="0" w:color="000000"/>
            </w:tcBorders>
            <w:shd w:val="clear" w:color="auto" w:fill="B4C6E7"/>
          </w:tcPr>
          <w:p w:rsidR="006B2719" w:rsidRPr="00AF3608" w:rsidRDefault="006B2719" w:rsidP="00175EE3">
            <w:pPr>
              <w:spacing w:before="120"/>
              <w:jc w:val="both"/>
              <w:rPr>
                <w:rFonts w:ascii="Calibri" w:eastAsia="Calibri" w:hAnsi="Calibri" w:cs="Arial"/>
                <w:b/>
                <w:lang w:val="ro-RO" w:eastAsia="ro-RO"/>
              </w:rPr>
            </w:pPr>
            <w:r w:rsidRPr="00AF3608">
              <w:rPr>
                <w:rFonts w:ascii="Calibri" w:eastAsia="Calibri" w:hAnsi="Calibri" w:cs="Arial"/>
                <w:b/>
                <w:lang w:val="ro-RO" w:eastAsia="ro-RO"/>
              </w:rPr>
              <w:t>2022</w:t>
            </w:r>
          </w:p>
        </w:tc>
        <w:tc>
          <w:tcPr>
            <w:tcW w:w="784" w:type="dxa"/>
            <w:tcBorders>
              <w:top w:val="single" w:sz="6" w:space="0" w:color="000000"/>
              <w:bottom w:val="single" w:sz="6" w:space="0" w:color="000000"/>
            </w:tcBorders>
            <w:shd w:val="clear" w:color="auto" w:fill="B4C6E7"/>
          </w:tcPr>
          <w:p w:rsidR="006B2719" w:rsidRPr="00AF3608" w:rsidRDefault="006B2719" w:rsidP="00175EE3">
            <w:pPr>
              <w:spacing w:before="120"/>
              <w:jc w:val="both"/>
              <w:rPr>
                <w:rFonts w:ascii="Calibri" w:eastAsia="Calibri" w:hAnsi="Calibri" w:cs="Arial"/>
                <w:b/>
                <w:lang w:val="ro-RO" w:eastAsia="ro-RO"/>
              </w:rPr>
            </w:pPr>
            <w:r w:rsidRPr="00AF3608">
              <w:rPr>
                <w:rFonts w:ascii="Calibri" w:eastAsia="Calibri" w:hAnsi="Calibri" w:cs="Arial"/>
                <w:b/>
                <w:lang w:val="ro-RO" w:eastAsia="ro-RO"/>
              </w:rPr>
              <w:t>2023</w:t>
            </w:r>
          </w:p>
        </w:tc>
      </w:tr>
      <w:tr w:rsidR="006B2719" w:rsidRPr="00AF3608" w:rsidTr="00175EE3">
        <w:trPr>
          <w:trHeight w:val="336"/>
          <w:jc w:val="center"/>
        </w:trPr>
        <w:tc>
          <w:tcPr>
            <w:tcW w:w="2127" w:type="dxa"/>
            <w:tcBorders>
              <w:top w:val="single" w:sz="6" w:space="0" w:color="000000"/>
            </w:tcBorders>
          </w:tcPr>
          <w:p w:rsidR="006B2719" w:rsidRPr="00AF3608" w:rsidRDefault="006B2719" w:rsidP="00175EE3">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Deficit ESA</w:t>
            </w:r>
          </w:p>
        </w:tc>
        <w:tc>
          <w:tcPr>
            <w:tcW w:w="784" w:type="dxa"/>
            <w:tcBorders>
              <w:top w:val="single" w:sz="6" w:space="0" w:color="000000"/>
            </w:tcBorders>
          </w:tcPr>
          <w:p w:rsidR="006B2719" w:rsidRPr="00AF3608" w:rsidRDefault="006B2719" w:rsidP="00175EE3">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-2,94</w:t>
            </w:r>
          </w:p>
        </w:tc>
        <w:tc>
          <w:tcPr>
            <w:tcW w:w="784" w:type="dxa"/>
            <w:tcBorders>
              <w:top w:val="single" w:sz="6" w:space="0" w:color="000000"/>
            </w:tcBorders>
          </w:tcPr>
          <w:p w:rsidR="006B2719" w:rsidRPr="00AF3608" w:rsidRDefault="006B2719" w:rsidP="00175EE3">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-4,36</w:t>
            </w:r>
          </w:p>
        </w:tc>
        <w:tc>
          <w:tcPr>
            <w:tcW w:w="784" w:type="dxa"/>
            <w:tcBorders>
              <w:top w:val="single" w:sz="6" w:space="0" w:color="000000"/>
            </w:tcBorders>
          </w:tcPr>
          <w:p w:rsidR="006B2719" w:rsidRPr="00AF3608" w:rsidRDefault="006B2719" w:rsidP="00175EE3">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-9,10</w:t>
            </w:r>
          </w:p>
        </w:tc>
        <w:tc>
          <w:tcPr>
            <w:tcW w:w="784" w:type="dxa"/>
            <w:tcBorders>
              <w:top w:val="single" w:sz="6" w:space="0" w:color="000000"/>
            </w:tcBorders>
          </w:tcPr>
          <w:p w:rsidR="006B2719" w:rsidRPr="00AF3608" w:rsidRDefault="006B2719" w:rsidP="00175EE3">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-8,23</w:t>
            </w:r>
          </w:p>
        </w:tc>
        <w:tc>
          <w:tcPr>
            <w:tcW w:w="784" w:type="dxa"/>
            <w:tcBorders>
              <w:top w:val="single" w:sz="6" w:space="0" w:color="000000"/>
            </w:tcBorders>
          </w:tcPr>
          <w:p w:rsidR="006B2719" w:rsidRPr="00AF3608" w:rsidRDefault="006B2719" w:rsidP="00175EE3">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-6,36</w:t>
            </w:r>
          </w:p>
        </w:tc>
        <w:tc>
          <w:tcPr>
            <w:tcW w:w="784" w:type="dxa"/>
            <w:tcBorders>
              <w:top w:val="single" w:sz="6" w:space="0" w:color="000000"/>
            </w:tcBorders>
          </w:tcPr>
          <w:p w:rsidR="006B2719" w:rsidRPr="00AF3608" w:rsidRDefault="006B2719" w:rsidP="00175EE3">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-4,68</w:t>
            </w:r>
          </w:p>
        </w:tc>
      </w:tr>
      <w:tr w:rsidR="006B2719" w:rsidRPr="00AF3608" w:rsidTr="00175EE3">
        <w:trPr>
          <w:trHeight w:val="640"/>
          <w:jc w:val="center"/>
        </w:trPr>
        <w:tc>
          <w:tcPr>
            <w:tcW w:w="2127" w:type="dxa"/>
          </w:tcPr>
          <w:p w:rsidR="006B2719" w:rsidRPr="00AF3608" w:rsidRDefault="006B2719" w:rsidP="00175EE3">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Deficit Structural*)</w:t>
            </w:r>
          </w:p>
        </w:tc>
        <w:tc>
          <w:tcPr>
            <w:tcW w:w="784" w:type="dxa"/>
          </w:tcPr>
          <w:p w:rsidR="006B2719" w:rsidRPr="00AF3608" w:rsidRDefault="006B2719" w:rsidP="00175EE3">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-3,34</w:t>
            </w:r>
          </w:p>
        </w:tc>
        <w:tc>
          <w:tcPr>
            <w:tcW w:w="784" w:type="dxa"/>
          </w:tcPr>
          <w:p w:rsidR="006B2719" w:rsidRPr="00AF3608" w:rsidRDefault="006B2719" w:rsidP="00175EE3">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-5,09</w:t>
            </w:r>
          </w:p>
        </w:tc>
        <w:tc>
          <w:tcPr>
            <w:tcW w:w="784" w:type="dxa"/>
          </w:tcPr>
          <w:p w:rsidR="006B2719" w:rsidRPr="00AF3608" w:rsidRDefault="006B2719" w:rsidP="00175EE3">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-7,76</w:t>
            </w:r>
          </w:p>
        </w:tc>
        <w:tc>
          <w:tcPr>
            <w:tcW w:w="784" w:type="dxa"/>
          </w:tcPr>
          <w:p w:rsidR="006B2719" w:rsidRPr="00AF3608" w:rsidRDefault="006B2719" w:rsidP="00175EE3">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-7,42</w:t>
            </w:r>
          </w:p>
        </w:tc>
        <w:tc>
          <w:tcPr>
            <w:tcW w:w="784" w:type="dxa"/>
          </w:tcPr>
          <w:p w:rsidR="006B2719" w:rsidRPr="00AF3608" w:rsidRDefault="006B2719" w:rsidP="00175EE3">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-6,07</w:t>
            </w:r>
          </w:p>
        </w:tc>
        <w:tc>
          <w:tcPr>
            <w:tcW w:w="784" w:type="dxa"/>
          </w:tcPr>
          <w:p w:rsidR="006B2719" w:rsidRPr="00AF3608" w:rsidRDefault="006B2719" w:rsidP="00175EE3">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-4,83</w:t>
            </w:r>
          </w:p>
        </w:tc>
      </w:tr>
      <w:tr w:rsidR="006B2719" w:rsidRPr="00AF3608" w:rsidTr="00175EE3">
        <w:trPr>
          <w:trHeight w:val="557"/>
          <w:jc w:val="center"/>
        </w:trPr>
        <w:tc>
          <w:tcPr>
            <w:tcW w:w="2127" w:type="dxa"/>
            <w:tcBorders>
              <w:bottom w:val="single" w:sz="4" w:space="0" w:color="auto"/>
            </w:tcBorders>
          </w:tcPr>
          <w:p w:rsidR="006B2719" w:rsidRPr="00AF3608" w:rsidRDefault="006B2719" w:rsidP="00175EE3">
            <w:pPr>
              <w:spacing w:before="120" w:line="259" w:lineRule="auto"/>
              <w:jc w:val="both"/>
              <w:rPr>
                <w:rFonts w:ascii="Calibri" w:eastAsia="Calibri" w:hAnsi="Calibri" w:cs="Arial"/>
                <w:color w:val="000000"/>
                <w:lang w:val="ro-RO" w:eastAsia="ro-RO"/>
              </w:rPr>
            </w:pPr>
            <w:r w:rsidRPr="00AF3608">
              <w:rPr>
                <w:rFonts w:ascii="Calibri" w:eastAsia="Calibri" w:hAnsi="Calibri" w:cs="Arial"/>
                <w:color w:val="000000"/>
                <w:lang w:val="ro-RO" w:eastAsia="ro-RO"/>
              </w:rPr>
              <w:t>Deficit cash</w:t>
            </w:r>
          </w:p>
        </w:tc>
        <w:tc>
          <w:tcPr>
            <w:tcW w:w="784" w:type="dxa"/>
            <w:tcBorders>
              <w:bottom w:val="single" w:sz="4" w:space="0" w:color="auto"/>
            </w:tcBorders>
          </w:tcPr>
          <w:p w:rsidR="006B2719" w:rsidRPr="00AF3608" w:rsidRDefault="006B2719" w:rsidP="00175EE3">
            <w:pPr>
              <w:spacing w:before="120" w:line="259" w:lineRule="auto"/>
              <w:jc w:val="both"/>
              <w:rPr>
                <w:rFonts w:ascii="Calibri" w:eastAsia="Calibri" w:hAnsi="Calibri" w:cs="Arial"/>
                <w:color w:val="000000"/>
                <w:lang w:val="ro-RO" w:eastAsia="ro-RO"/>
              </w:rPr>
            </w:pPr>
            <w:r w:rsidRPr="00AF3608">
              <w:rPr>
                <w:rFonts w:ascii="Calibri" w:eastAsia="Calibri" w:hAnsi="Calibri" w:cs="Arial"/>
                <w:color w:val="000000"/>
                <w:lang w:val="ro-RO" w:eastAsia="ro-RO"/>
              </w:rPr>
              <w:t>-2,82</w:t>
            </w:r>
          </w:p>
        </w:tc>
        <w:tc>
          <w:tcPr>
            <w:tcW w:w="784" w:type="dxa"/>
            <w:tcBorders>
              <w:bottom w:val="single" w:sz="4" w:space="0" w:color="auto"/>
            </w:tcBorders>
          </w:tcPr>
          <w:p w:rsidR="006B2719" w:rsidRPr="00AF3608" w:rsidRDefault="006B2719" w:rsidP="00175EE3">
            <w:pPr>
              <w:spacing w:before="120" w:line="259" w:lineRule="auto"/>
              <w:jc w:val="both"/>
              <w:rPr>
                <w:rFonts w:ascii="Calibri" w:eastAsia="Calibri" w:hAnsi="Calibri" w:cs="Arial"/>
                <w:color w:val="000000"/>
                <w:lang w:val="ro-RO" w:eastAsia="ro-RO"/>
              </w:rPr>
            </w:pPr>
            <w:r w:rsidRPr="00AF3608">
              <w:rPr>
                <w:rFonts w:ascii="Calibri" w:eastAsia="Calibri" w:hAnsi="Calibri" w:cs="Arial"/>
                <w:color w:val="000000"/>
                <w:lang w:val="ro-RO" w:eastAsia="ro-RO"/>
              </w:rPr>
              <w:t>-4,58</w:t>
            </w:r>
          </w:p>
        </w:tc>
        <w:tc>
          <w:tcPr>
            <w:tcW w:w="784" w:type="dxa"/>
            <w:tcBorders>
              <w:bottom w:val="single" w:sz="4" w:space="0" w:color="auto"/>
            </w:tcBorders>
          </w:tcPr>
          <w:p w:rsidR="006B2719" w:rsidRPr="00AF3608" w:rsidRDefault="006B2719" w:rsidP="00175EE3">
            <w:pPr>
              <w:spacing w:before="120" w:line="259" w:lineRule="auto"/>
              <w:jc w:val="both"/>
              <w:rPr>
                <w:rFonts w:ascii="Calibri" w:eastAsia="Calibri" w:hAnsi="Calibri" w:cs="Arial"/>
                <w:color w:val="000000"/>
                <w:lang w:val="ro-RO" w:eastAsia="ro-RO"/>
              </w:rPr>
            </w:pPr>
            <w:r w:rsidRPr="00AF3608">
              <w:rPr>
                <w:rFonts w:ascii="Calibri" w:eastAsia="Calibri" w:hAnsi="Calibri" w:cs="Arial"/>
                <w:color w:val="000000"/>
                <w:lang w:val="ro-RO" w:eastAsia="ro-RO"/>
              </w:rPr>
              <w:t>-9,79</w:t>
            </w:r>
          </w:p>
        </w:tc>
        <w:tc>
          <w:tcPr>
            <w:tcW w:w="784" w:type="dxa"/>
            <w:tcBorders>
              <w:bottom w:val="single" w:sz="4" w:space="0" w:color="auto"/>
            </w:tcBorders>
          </w:tcPr>
          <w:p w:rsidR="006B2719" w:rsidRPr="00AF3608" w:rsidRDefault="00D64851" w:rsidP="00175EE3">
            <w:pPr>
              <w:spacing w:before="120" w:line="259" w:lineRule="auto"/>
              <w:jc w:val="both"/>
              <w:rPr>
                <w:rFonts w:ascii="Calibri" w:eastAsia="Calibri" w:hAnsi="Calibri" w:cs="Arial"/>
                <w:color w:val="000000"/>
                <w:lang w:val="ro-RO" w:eastAsia="ro-RO"/>
              </w:rPr>
            </w:pPr>
            <w:r w:rsidRPr="00AF3608">
              <w:rPr>
                <w:rFonts w:ascii="Calibri" w:eastAsia="Calibri" w:hAnsi="Calibri" w:cs="Arial"/>
                <w:color w:val="000000"/>
                <w:lang w:val="ro-RO" w:eastAsia="ro-RO"/>
              </w:rPr>
              <w:t>-7,16</w:t>
            </w:r>
          </w:p>
        </w:tc>
        <w:tc>
          <w:tcPr>
            <w:tcW w:w="784" w:type="dxa"/>
            <w:tcBorders>
              <w:bottom w:val="single" w:sz="4" w:space="0" w:color="auto"/>
            </w:tcBorders>
          </w:tcPr>
          <w:p w:rsidR="006B2719" w:rsidRPr="00AF3608" w:rsidRDefault="006B2719" w:rsidP="00175EE3">
            <w:pPr>
              <w:spacing w:before="120" w:line="259" w:lineRule="auto"/>
              <w:jc w:val="both"/>
              <w:rPr>
                <w:rFonts w:ascii="Calibri" w:eastAsia="Calibri" w:hAnsi="Calibri" w:cs="Arial"/>
                <w:color w:val="000000"/>
                <w:lang w:val="ro-RO" w:eastAsia="ro-RO"/>
              </w:rPr>
            </w:pPr>
            <w:r w:rsidRPr="00AF3608">
              <w:rPr>
                <w:rFonts w:ascii="Calibri" w:eastAsia="Calibri" w:hAnsi="Calibri" w:cs="Arial"/>
                <w:color w:val="000000"/>
                <w:lang w:val="ro-RO" w:eastAsia="ro-RO"/>
              </w:rPr>
              <w:t>-5,84</w:t>
            </w:r>
          </w:p>
        </w:tc>
        <w:tc>
          <w:tcPr>
            <w:tcW w:w="784" w:type="dxa"/>
            <w:tcBorders>
              <w:bottom w:val="single" w:sz="4" w:space="0" w:color="auto"/>
            </w:tcBorders>
          </w:tcPr>
          <w:p w:rsidR="006B2719" w:rsidRPr="00AF3608" w:rsidRDefault="006B2719" w:rsidP="00175EE3">
            <w:pPr>
              <w:spacing w:before="120" w:line="259" w:lineRule="auto"/>
              <w:jc w:val="both"/>
              <w:rPr>
                <w:rFonts w:ascii="Calibri" w:eastAsia="Calibri" w:hAnsi="Calibri" w:cs="Arial"/>
                <w:color w:val="000000"/>
                <w:lang w:val="ro-RO" w:eastAsia="ro-RO"/>
              </w:rPr>
            </w:pPr>
            <w:r w:rsidRPr="00AF3608">
              <w:rPr>
                <w:rFonts w:ascii="Calibri" w:eastAsia="Calibri" w:hAnsi="Calibri" w:cs="Arial"/>
                <w:color w:val="000000"/>
                <w:lang w:val="ro-RO" w:eastAsia="ro-RO"/>
              </w:rPr>
              <w:t>-4,37</w:t>
            </w:r>
          </w:p>
        </w:tc>
      </w:tr>
    </w:tbl>
    <w:bookmarkStart w:id="2" w:name="_MON_1674550163"/>
    <w:bookmarkEnd w:id="2"/>
    <w:p w:rsidR="006B2719" w:rsidRPr="00AF3608" w:rsidRDefault="00E0431D" w:rsidP="006B2719">
      <w:pPr>
        <w:spacing w:before="120"/>
        <w:jc w:val="both"/>
        <w:rPr>
          <w:rFonts w:ascii="Calibri" w:hAnsi="Calibri" w:cs="Calibri"/>
          <w:lang w:val="ro-RO"/>
        </w:rPr>
      </w:pPr>
      <w:r w:rsidRPr="00AF3608">
        <w:rPr>
          <w:rFonts w:ascii="Calibri" w:hAnsi="Calibri" w:cs="Calibri"/>
          <w:lang w:val="ro-RO"/>
        </w:rPr>
        <w:object w:dxaOrig="8270" w:dyaOrig="8449">
          <v:shape id="_x0000_i1027" type="#_x0000_t75" style="width:470.25pt;height:351.75pt" o:ole="">
            <v:imagedata r:id="rId13" o:title=""/>
          </v:shape>
          <o:OLEObject Type="Embed" ProgID="Excel.Sheet.8" ShapeID="_x0000_i1027" DrawAspect="Content" ObjectID="_1674581798" r:id="rId14"/>
        </w:object>
      </w:r>
    </w:p>
    <w:p w:rsidR="006B2719" w:rsidRPr="00AF3608" w:rsidRDefault="006B2719" w:rsidP="006B2719">
      <w:pPr>
        <w:spacing w:before="120"/>
        <w:jc w:val="both"/>
        <w:rPr>
          <w:rFonts w:ascii="Verdana" w:hAnsi="Verdana"/>
          <w:color w:val="222222"/>
          <w:sz w:val="23"/>
          <w:szCs w:val="23"/>
          <w:lang w:val="ro-RO"/>
        </w:rPr>
      </w:pPr>
      <w:r w:rsidRPr="00AF3608">
        <w:rPr>
          <w:rFonts w:ascii="Calibri" w:hAnsi="Calibri" w:cs="Calibri"/>
          <w:lang w:val="ro-RO"/>
        </w:rPr>
        <w:t>Ajustarea realizată după criza economică și financiară din 2009  s-a situat preponderent pe partea de cheltuieli, reformele structurale fiind promovate în special în domeniul salarizării personalului bugetar, sistemului public de pensii şi programării bugetare. România fiind o ţară care a avut dezechilibre mai mari la începutul crizei mondiale au fost necesare eforturi de ajustare mai mari decât în alte ţări din regiune. Ajustarea întreprinsă de țara noastră  a fost  una foarte ambițioasă, iar performanța realizată în ceea ce privește corectarea dezechilibrelor fiscale judecată prin prisma deficitului structural  a fost foarte bună considerănd amploarea acestora.</w:t>
      </w:r>
      <w:r w:rsidRPr="00AF3608">
        <w:rPr>
          <w:rFonts w:ascii="Verdana" w:hAnsi="Verdana"/>
          <w:color w:val="222222"/>
          <w:sz w:val="23"/>
          <w:szCs w:val="23"/>
          <w:lang w:val="ro-RO"/>
        </w:rPr>
        <w:t xml:space="preserve"> </w:t>
      </w:r>
    </w:p>
    <w:p w:rsidR="006B2719" w:rsidRPr="00AF3608" w:rsidRDefault="006B2719" w:rsidP="006B2719">
      <w:pPr>
        <w:spacing w:before="120"/>
        <w:jc w:val="both"/>
        <w:rPr>
          <w:rFonts w:ascii="Calibri" w:hAnsi="Calibri" w:cs="Calibri"/>
          <w:color w:val="222222"/>
          <w:lang w:val="ro-RO"/>
        </w:rPr>
      </w:pPr>
      <w:r w:rsidRPr="00AF3608">
        <w:rPr>
          <w:rFonts w:ascii="Calibri" w:hAnsi="Calibri" w:cs="Calibri"/>
          <w:color w:val="222222"/>
          <w:lang w:val="ro-RO"/>
        </w:rPr>
        <w:t xml:space="preserve">Criza din 2009 a determinat în </w:t>
      </w:r>
      <w:r w:rsidRPr="00AF3608">
        <w:rPr>
          <w:rFonts w:ascii="Verdana" w:hAnsi="Verdana"/>
          <w:color w:val="222222"/>
          <w:sz w:val="23"/>
          <w:szCs w:val="23"/>
          <w:lang w:val="ro-RO"/>
        </w:rPr>
        <w:t xml:space="preserve"> </w:t>
      </w:r>
      <w:r w:rsidRPr="00AF3608">
        <w:rPr>
          <w:rFonts w:ascii="Calibri" w:hAnsi="Calibri" w:cs="Calibri"/>
          <w:color w:val="222222"/>
          <w:lang w:val="ro-RO"/>
        </w:rPr>
        <w:t>România unul dintre cele mai severe pachete de austeritate, în timp ce România înainte de 2020 a consemnat  cel mai mare deficit bugetar din UE. Se poate aprecia că între cele două crize, România a trecut de la austeritate la procedura de deficit excesiv, ceea ce reprezintă o  evoluție economică deosebit de contrastantă.Tocmai de aceea, criza pandemică inseamnă politici responsabile, prudente,  calitative pentru viitor.</w:t>
      </w:r>
    </w:p>
    <w:p w:rsidR="006B2719" w:rsidRPr="00AF3608" w:rsidRDefault="006B2719" w:rsidP="006B2719">
      <w:pPr>
        <w:spacing w:before="120"/>
        <w:jc w:val="both"/>
        <w:rPr>
          <w:rFonts w:ascii="Calibri" w:hAnsi="Calibri"/>
          <w:lang w:val="ro-RO"/>
        </w:rPr>
      </w:pPr>
      <w:r w:rsidRPr="00AF3608">
        <w:rPr>
          <w:rFonts w:ascii="Calibri" w:hAnsi="Calibri"/>
          <w:lang w:val="ro-RO"/>
        </w:rPr>
        <w:t xml:space="preserve">In contextul pandemiei, statele, printre  care si Romania  au implementat programe importante de susținere a economiei și menținere a nivelului de trai. Adoptarea rapidă de măsuri fiscale, croite pentru a acoperi nevoile financiare în sectoarele cele mai afectate de criza generată de pandemia </w:t>
      </w:r>
      <w:r w:rsidRPr="00AF3608">
        <w:rPr>
          <w:rFonts w:ascii="Calibri" w:hAnsi="Calibri"/>
          <w:lang w:val="ro-RO"/>
        </w:rPr>
        <w:lastRenderedPageBreak/>
        <w:t xml:space="preserve">COVID-19 în special pentru susținerea angajaților și/sau asigurarea unui venit minim celor aflați în șomaj, precum și pentru evitarea intrării în faliment a unui număr foarte mare de firme, în special IMM, sunt esențiale pentru a evita o contracție mai severă  a activității economice. </w:t>
      </w:r>
    </w:p>
    <w:p w:rsidR="006B2719" w:rsidRPr="00AF3608" w:rsidRDefault="006B2719" w:rsidP="006B2719">
      <w:pPr>
        <w:spacing w:before="120"/>
        <w:ind w:right="142"/>
        <w:jc w:val="both"/>
        <w:rPr>
          <w:rFonts w:ascii="Calibri" w:eastAsia="Calibri" w:hAnsi="Calibri"/>
          <w:lang w:val="ro-RO"/>
        </w:rPr>
      </w:pPr>
      <w:r w:rsidRPr="00AF3608">
        <w:rPr>
          <w:rFonts w:ascii="Calibri" w:hAnsi="Calibri"/>
          <w:lang w:val="ro-RO"/>
        </w:rPr>
        <w:t>Măsurile de natură fiscală, deși necesare în special pentru sectoarele cele mai afectate, pot genera o creștere a datoriilor publice și deficitelor bugetare. Implementarea în România a unor politici fiscale și de venituri expansive într-o perioadă de creștere economică a condus la deteriorarea deficitului de cont curent, iar deficitul bugetar</w:t>
      </w:r>
      <w:r w:rsidR="00E0431D" w:rsidRPr="00AF3608">
        <w:rPr>
          <w:rFonts w:ascii="Calibri" w:hAnsi="Calibri"/>
          <w:lang w:val="ro-RO"/>
        </w:rPr>
        <w:t xml:space="preserve"> cash </w:t>
      </w:r>
      <w:r w:rsidRPr="00AF3608">
        <w:rPr>
          <w:rFonts w:ascii="Calibri" w:hAnsi="Calibri"/>
          <w:lang w:val="ro-RO"/>
        </w:rPr>
        <w:t xml:space="preserve"> a ajuns in anul 2020 in urma celor trei rectificari bugetare la 9,79 % din PIB. </w:t>
      </w:r>
      <w:r w:rsidRPr="00AF3608">
        <w:rPr>
          <w:rFonts w:ascii="Calibri" w:eastAsia="Calibri" w:hAnsi="Calibri"/>
          <w:lang w:val="ro-RO"/>
        </w:rPr>
        <w:t>În plus, colectarea deficitară a veniturilor bugetare și ponderea ridicată a cheltuielilor rigide în veniturile fiscale reprezintă vulnerabilități structurale ce vor îngreuna procesul de consolidare fiscală.</w:t>
      </w:r>
    </w:p>
    <w:p w:rsidR="006B2719" w:rsidRPr="00AF3608" w:rsidRDefault="006B2719" w:rsidP="006B2719">
      <w:pPr>
        <w:spacing w:before="120"/>
        <w:jc w:val="both"/>
        <w:rPr>
          <w:rFonts w:ascii="Calibri" w:eastAsia="Calibri" w:hAnsi="Calibri"/>
          <w:lang w:val="ro-RO"/>
        </w:rPr>
      </w:pPr>
      <w:r w:rsidRPr="00AF3608">
        <w:rPr>
          <w:rFonts w:ascii="Calibri" w:eastAsia="Calibri" w:hAnsi="Calibri"/>
          <w:lang w:val="ro-RO"/>
        </w:rPr>
        <w:t xml:space="preserve">Procedura de deficit excesiv a fost inițiată în luna aprilie a anului curent pe fondul atât al încălcării limitei de deficit bugetar de 3 la sută din Tratatul de Funcționare a Uniunii Europene pe întregul orizont previzionat, cât și al lipsei introducerii unei consolidări fiscale în urma avertismentelor primite de la Comisia Europeană. Astfel, Consiliului UE a emis o recomandare în luna aprilie 2020 pentru a încheia procedura actuală de deficit excesiv până în anul 2022.Luând în considerare situația excepțională și măsurile adoptate care conduc la majorarea semnificativă a deficitului bugetar, Comisia Europeană a decis suspendarea prevederilor privind ținta deficitului bugetar, pentru a permite statelor membre sa implementeze măsuri fiscale adecvate orientate către redresarea economiei. În cazul României, având în vedere situația de deficit excesiv anterioară pandemiei, progresul în atingerea reducerii deficitului structural va fi evaluat prin excluderea costurilor suplimentare datorate crizei de sănătate. </w:t>
      </w:r>
    </w:p>
    <w:p w:rsidR="006B2719" w:rsidRPr="00AF3608" w:rsidRDefault="006B2719" w:rsidP="006B2719">
      <w:pPr>
        <w:spacing w:before="120"/>
        <w:ind w:right="284"/>
        <w:jc w:val="both"/>
        <w:rPr>
          <w:rFonts w:ascii="Calibri" w:hAnsi="Calibri" w:cs="Calibri"/>
          <w:lang w:val="ro-RO"/>
        </w:rPr>
      </w:pPr>
      <w:r w:rsidRPr="00AF3608">
        <w:rPr>
          <w:rFonts w:ascii="Calibri" w:hAnsi="Calibri" w:cs="Calibri"/>
          <w:lang w:val="ro-RO"/>
        </w:rPr>
        <w:t>Construcția bugetară pentru anul 2021 și perspectiva 2022-2023 a avut la bază măsurile de relaxare fiscală începute în perioada anterioara izbucnirii pandemiei dar și măsurile fiscal-bugetare luate pe parcursul anului 2020 pentru inlaturarea efectelor crizei Covid 19,  care vor influența cadrul macroeconomic și indicatorii bugetari pe orizontul 2022-2023.</w:t>
      </w:r>
    </w:p>
    <w:p w:rsidR="006B2719" w:rsidRPr="00AF3608" w:rsidRDefault="006B2719" w:rsidP="006B2719">
      <w:pPr>
        <w:spacing w:before="120"/>
        <w:ind w:right="284"/>
        <w:jc w:val="both"/>
        <w:rPr>
          <w:rFonts w:ascii="Calibri" w:hAnsi="Calibri" w:cs="Calibri"/>
          <w:lang w:val="ro-RO"/>
        </w:rPr>
      </w:pPr>
      <w:r w:rsidRPr="00AF3608">
        <w:rPr>
          <w:rFonts w:ascii="Calibri" w:eastAsia="Calibri" w:hAnsi="Calibri" w:cs="Calibri"/>
          <w:bCs/>
          <w:iCs/>
          <w:lang w:val="ro-RO" w:eastAsia="zh-CN"/>
        </w:rPr>
        <w:t xml:space="preserve"> În termeni structurali, se estimează că deviația semnificativă înregistrată în anul 2016 de la OTM stabilit pentru România (respectiv 1% din PIB) se va ajusta începând cu anul 2021. </w:t>
      </w:r>
    </w:p>
    <w:p w:rsidR="003D60B2" w:rsidRPr="00AF3608" w:rsidRDefault="003D60B2" w:rsidP="006B2719">
      <w:pPr>
        <w:widowControl w:val="0"/>
        <w:tabs>
          <w:tab w:val="left" w:pos="993"/>
        </w:tabs>
        <w:spacing w:before="120"/>
        <w:ind w:right="-108"/>
        <w:jc w:val="both"/>
        <w:rPr>
          <w:rFonts w:ascii="Calibri" w:hAnsi="Calibri" w:cs="Calibri"/>
          <w:iCs/>
          <w:lang w:val="ro-RO"/>
        </w:rPr>
      </w:pPr>
    </w:p>
    <w:p w:rsidR="003D60B2" w:rsidRPr="00AF3608" w:rsidRDefault="003D60B2" w:rsidP="006B2719">
      <w:pPr>
        <w:widowControl w:val="0"/>
        <w:tabs>
          <w:tab w:val="left" w:pos="993"/>
        </w:tabs>
        <w:spacing w:before="120"/>
        <w:ind w:right="-108"/>
        <w:jc w:val="both"/>
        <w:rPr>
          <w:rFonts w:ascii="Calibri" w:hAnsi="Calibri" w:cs="Calibri"/>
          <w:iCs/>
          <w:lang w:val="ro-RO"/>
        </w:rPr>
      </w:pPr>
    </w:p>
    <w:p w:rsidR="005F3BD1" w:rsidRPr="00AF3608" w:rsidRDefault="005F3BD1" w:rsidP="006B2719">
      <w:pPr>
        <w:widowControl w:val="0"/>
        <w:tabs>
          <w:tab w:val="left" w:pos="993"/>
        </w:tabs>
        <w:spacing w:before="120"/>
        <w:ind w:right="-108"/>
        <w:jc w:val="both"/>
        <w:rPr>
          <w:rFonts w:ascii="Calibri" w:hAnsi="Calibri" w:cs="Calibri"/>
          <w:iCs/>
          <w:lang w:val="ro-RO"/>
        </w:rPr>
      </w:pPr>
    </w:p>
    <w:p w:rsidR="005F3BD1" w:rsidRPr="00AF3608" w:rsidRDefault="005F3BD1" w:rsidP="006B2719">
      <w:pPr>
        <w:widowControl w:val="0"/>
        <w:tabs>
          <w:tab w:val="left" w:pos="993"/>
        </w:tabs>
        <w:spacing w:before="120"/>
        <w:ind w:right="-108"/>
        <w:jc w:val="both"/>
        <w:rPr>
          <w:rFonts w:ascii="Calibri" w:hAnsi="Calibri" w:cs="Calibri"/>
          <w:iCs/>
          <w:lang w:val="ro-RO"/>
        </w:rPr>
      </w:pPr>
    </w:p>
    <w:p w:rsidR="005F3BD1" w:rsidRPr="00AF3608" w:rsidRDefault="005F3BD1" w:rsidP="006B2719">
      <w:pPr>
        <w:widowControl w:val="0"/>
        <w:tabs>
          <w:tab w:val="left" w:pos="993"/>
        </w:tabs>
        <w:spacing w:before="120"/>
        <w:ind w:right="-108"/>
        <w:jc w:val="both"/>
        <w:rPr>
          <w:rFonts w:ascii="Calibri" w:hAnsi="Calibri" w:cs="Calibri"/>
          <w:iCs/>
          <w:lang w:val="ro-RO"/>
        </w:rPr>
      </w:pPr>
    </w:p>
    <w:p w:rsidR="005F3BD1" w:rsidRPr="00AF3608" w:rsidRDefault="005F3BD1" w:rsidP="006B2719">
      <w:pPr>
        <w:widowControl w:val="0"/>
        <w:tabs>
          <w:tab w:val="left" w:pos="993"/>
        </w:tabs>
        <w:spacing w:before="120"/>
        <w:ind w:right="-108"/>
        <w:jc w:val="both"/>
        <w:rPr>
          <w:rFonts w:ascii="Calibri" w:hAnsi="Calibri" w:cs="Calibri"/>
          <w:iCs/>
          <w:lang w:val="ro-RO"/>
        </w:rPr>
      </w:pPr>
    </w:p>
    <w:p w:rsidR="005F3BD1" w:rsidRPr="00AF3608" w:rsidRDefault="005F3BD1" w:rsidP="006B2719">
      <w:pPr>
        <w:widowControl w:val="0"/>
        <w:tabs>
          <w:tab w:val="left" w:pos="993"/>
        </w:tabs>
        <w:spacing w:before="120"/>
        <w:ind w:right="-108"/>
        <w:jc w:val="both"/>
        <w:rPr>
          <w:rFonts w:ascii="Calibri" w:hAnsi="Calibri" w:cs="Calibri"/>
          <w:iCs/>
          <w:lang w:val="ro-RO"/>
        </w:rPr>
      </w:pPr>
    </w:p>
    <w:p w:rsidR="005F3BD1" w:rsidRDefault="005F3BD1" w:rsidP="006B2719">
      <w:pPr>
        <w:widowControl w:val="0"/>
        <w:tabs>
          <w:tab w:val="left" w:pos="993"/>
        </w:tabs>
        <w:spacing w:before="120"/>
        <w:ind w:right="-108"/>
        <w:jc w:val="both"/>
        <w:rPr>
          <w:rFonts w:ascii="Calibri" w:hAnsi="Calibri" w:cs="Calibri"/>
          <w:iCs/>
          <w:lang w:val="ro-RO"/>
        </w:rPr>
      </w:pPr>
    </w:p>
    <w:p w:rsidR="00497313" w:rsidRDefault="00497313" w:rsidP="006B2719">
      <w:pPr>
        <w:widowControl w:val="0"/>
        <w:tabs>
          <w:tab w:val="left" w:pos="993"/>
        </w:tabs>
        <w:spacing w:before="120"/>
        <w:ind w:right="-108"/>
        <w:jc w:val="both"/>
        <w:rPr>
          <w:rFonts w:ascii="Calibri" w:hAnsi="Calibri" w:cs="Calibri"/>
          <w:iCs/>
          <w:lang w:val="ro-RO"/>
        </w:rPr>
      </w:pPr>
    </w:p>
    <w:p w:rsidR="00497313" w:rsidRPr="00AF3608" w:rsidRDefault="00497313" w:rsidP="006B2719">
      <w:pPr>
        <w:widowControl w:val="0"/>
        <w:tabs>
          <w:tab w:val="left" w:pos="993"/>
        </w:tabs>
        <w:spacing w:before="120"/>
        <w:ind w:right="-108"/>
        <w:jc w:val="both"/>
        <w:rPr>
          <w:rFonts w:ascii="Calibri" w:hAnsi="Calibri" w:cs="Calibri"/>
          <w:iCs/>
          <w:lang w:val="ro-RO"/>
        </w:rPr>
      </w:pPr>
    </w:p>
    <w:p w:rsidR="005F3BD1" w:rsidRPr="00AF3608" w:rsidRDefault="005F3BD1" w:rsidP="006B2719">
      <w:pPr>
        <w:widowControl w:val="0"/>
        <w:tabs>
          <w:tab w:val="left" w:pos="993"/>
        </w:tabs>
        <w:spacing w:before="120"/>
        <w:ind w:right="-108"/>
        <w:jc w:val="both"/>
        <w:rPr>
          <w:rFonts w:ascii="Calibri" w:hAnsi="Calibri" w:cs="Calibri"/>
          <w:iCs/>
          <w:lang w:val="ro-RO"/>
        </w:rPr>
      </w:pPr>
    </w:p>
    <w:p w:rsidR="005F3BD1" w:rsidRPr="00AF3608" w:rsidRDefault="005F3BD1" w:rsidP="006B2719">
      <w:pPr>
        <w:widowControl w:val="0"/>
        <w:tabs>
          <w:tab w:val="left" w:pos="993"/>
        </w:tabs>
        <w:spacing w:before="120"/>
        <w:ind w:right="-108"/>
        <w:jc w:val="both"/>
        <w:rPr>
          <w:rFonts w:ascii="Calibri" w:hAnsi="Calibri" w:cs="Calibri"/>
          <w:iCs/>
          <w:lang w:val="ro-RO"/>
        </w:rPr>
      </w:pPr>
    </w:p>
    <w:p w:rsidR="005F3BD1" w:rsidRPr="00AF3608" w:rsidRDefault="005F3BD1" w:rsidP="006B2719">
      <w:pPr>
        <w:widowControl w:val="0"/>
        <w:tabs>
          <w:tab w:val="left" w:pos="993"/>
        </w:tabs>
        <w:spacing w:before="120"/>
        <w:ind w:right="-108"/>
        <w:jc w:val="both"/>
        <w:rPr>
          <w:rFonts w:ascii="Calibri" w:hAnsi="Calibri" w:cs="Calibri"/>
          <w:iCs/>
          <w:lang w:val="ro-RO"/>
        </w:rPr>
      </w:pPr>
    </w:p>
    <w:p w:rsidR="005F3BD1" w:rsidRPr="00AF3608" w:rsidRDefault="005F3BD1" w:rsidP="006B2719">
      <w:pPr>
        <w:widowControl w:val="0"/>
        <w:tabs>
          <w:tab w:val="left" w:pos="993"/>
        </w:tabs>
        <w:spacing w:before="120"/>
        <w:ind w:right="-108"/>
        <w:jc w:val="both"/>
        <w:rPr>
          <w:rFonts w:ascii="Calibri" w:hAnsi="Calibri" w:cs="Calibri"/>
          <w:iCs/>
          <w:lang w:val="ro-RO"/>
        </w:rPr>
      </w:pPr>
    </w:p>
    <w:p w:rsidR="005F01DC" w:rsidRPr="00AF3608" w:rsidRDefault="005F01DC" w:rsidP="006B2719">
      <w:pPr>
        <w:widowControl w:val="0"/>
        <w:tabs>
          <w:tab w:val="left" w:pos="993"/>
        </w:tabs>
        <w:spacing w:before="120"/>
        <w:ind w:right="-108"/>
        <w:jc w:val="both"/>
        <w:rPr>
          <w:rFonts w:ascii="Calibri" w:hAnsi="Calibri" w:cs="Calibri"/>
          <w:iCs/>
          <w:lang w:val="ro-RO"/>
        </w:rPr>
      </w:pPr>
    </w:p>
    <w:p w:rsidR="005F3BD1" w:rsidRPr="00AF3608" w:rsidRDefault="005F3BD1" w:rsidP="006B2719">
      <w:pPr>
        <w:widowControl w:val="0"/>
        <w:tabs>
          <w:tab w:val="left" w:pos="993"/>
        </w:tabs>
        <w:spacing w:before="120"/>
        <w:ind w:right="-108"/>
        <w:jc w:val="both"/>
        <w:rPr>
          <w:rFonts w:ascii="Calibri" w:hAnsi="Calibri" w:cs="Calibri"/>
          <w:iCs/>
          <w:lang w:val="ro-RO"/>
        </w:rPr>
      </w:pPr>
    </w:p>
    <w:p w:rsidR="00B072F3" w:rsidRPr="00AF3608" w:rsidRDefault="00B072F3" w:rsidP="00B723C0">
      <w:pPr>
        <w:widowControl w:val="0"/>
        <w:shd w:val="clear" w:color="auto" w:fill="002060"/>
        <w:suppressAutoHyphens/>
        <w:autoSpaceDE w:val="0"/>
        <w:autoSpaceDN w:val="0"/>
        <w:adjustRightInd w:val="0"/>
        <w:spacing w:before="120"/>
        <w:jc w:val="both"/>
        <w:rPr>
          <w:rFonts w:ascii="Calibri" w:hAnsi="Calibri" w:cs="Calibri"/>
          <w:b/>
          <w:lang w:val="ro-RO"/>
        </w:rPr>
      </w:pPr>
    </w:p>
    <w:p w:rsidR="00F67752" w:rsidRPr="00AF3608" w:rsidRDefault="00B072F3" w:rsidP="00B723C0">
      <w:pPr>
        <w:widowControl w:val="0"/>
        <w:shd w:val="clear" w:color="auto" w:fill="002060"/>
        <w:suppressAutoHyphens/>
        <w:autoSpaceDE w:val="0"/>
        <w:autoSpaceDN w:val="0"/>
        <w:adjustRightInd w:val="0"/>
        <w:spacing w:before="120"/>
        <w:jc w:val="both"/>
        <w:rPr>
          <w:rFonts w:ascii="Calibri" w:hAnsi="Calibri" w:cs="Calibri"/>
          <w:b/>
          <w:lang w:val="ro-RO"/>
        </w:rPr>
      </w:pPr>
      <w:r w:rsidRPr="00AF3608">
        <w:rPr>
          <w:rFonts w:ascii="Calibri" w:hAnsi="Calibri" w:cs="Calibri"/>
          <w:b/>
          <w:lang w:val="ro-RO"/>
        </w:rPr>
        <w:t xml:space="preserve">3. CADRUL MACROECONOMIC </w:t>
      </w:r>
    </w:p>
    <w:p w:rsidR="00B072F3" w:rsidRPr="00AF3608" w:rsidRDefault="00B072F3" w:rsidP="00B723C0">
      <w:pPr>
        <w:widowControl w:val="0"/>
        <w:shd w:val="clear" w:color="auto" w:fill="002060"/>
        <w:suppressAutoHyphens/>
        <w:autoSpaceDE w:val="0"/>
        <w:autoSpaceDN w:val="0"/>
        <w:adjustRightInd w:val="0"/>
        <w:spacing w:before="120"/>
        <w:jc w:val="both"/>
        <w:rPr>
          <w:rFonts w:ascii="Calibri" w:hAnsi="Calibri" w:cs="Calibri"/>
          <w:b/>
          <w:lang w:val="ro-RO"/>
        </w:rPr>
      </w:pPr>
    </w:p>
    <w:p w:rsidR="00B072F3" w:rsidRPr="00AF3608" w:rsidRDefault="00B072F3" w:rsidP="00B723C0">
      <w:pPr>
        <w:widowControl w:val="0"/>
        <w:suppressAutoHyphens/>
        <w:autoSpaceDE w:val="0"/>
        <w:autoSpaceDN w:val="0"/>
        <w:adjustRightInd w:val="0"/>
        <w:spacing w:before="120"/>
        <w:jc w:val="both"/>
        <w:rPr>
          <w:rFonts w:ascii="Calibri" w:hAnsi="Calibri" w:cs="Calibri"/>
          <w:lang w:val="ro-RO"/>
        </w:rPr>
      </w:pPr>
    </w:p>
    <w:p w:rsidR="000E79CA" w:rsidRPr="00AF3608" w:rsidRDefault="000E79CA" w:rsidP="00B723C0">
      <w:pPr>
        <w:widowControl w:val="0"/>
        <w:shd w:val="clear" w:color="auto" w:fill="8EAADB" w:themeFill="accent5" w:themeFillTint="99"/>
        <w:spacing w:before="120"/>
        <w:jc w:val="both"/>
        <w:rPr>
          <w:rFonts w:ascii="Calibri" w:hAnsi="Calibri" w:cs="Calibri"/>
          <w:b/>
          <w:bCs/>
          <w:sz w:val="26"/>
          <w:szCs w:val="26"/>
          <w:lang w:val="ro-RO"/>
        </w:rPr>
      </w:pPr>
      <w:r w:rsidRPr="00AF3608">
        <w:rPr>
          <w:rFonts w:ascii="Calibri" w:hAnsi="Calibri" w:cs="Calibri"/>
          <w:b/>
          <w:bCs/>
          <w:sz w:val="26"/>
          <w:szCs w:val="26"/>
          <w:lang w:val="ro-RO"/>
        </w:rPr>
        <w:t>3.1 Evoluții macroeconomice recente ale economiei românești</w:t>
      </w:r>
    </w:p>
    <w:p w:rsidR="000E79CA" w:rsidRPr="00AF3608" w:rsidRDefault="000E79CA" w:rsidP="00B723C0">
      <w:pPr>
        <w:widowControl w:val="0"/>
        <w:spacing w:before="120"/>
        <w:jc w:val="both"/>
        <w:rPr>
          <w:rFonts w:asciiTheme="minorHAnsi" w:hAnsiTheme="minorHAnsi" w:cstheme="minorHAnsi"/>
          <w:b/>
          <w:bCs/>
          <w:lang w:val="ro-RO"/>
        </w:rPr>
      </w:pPr>
      <w:r w:rsidRPr="00AF3608">
        <w:rPr>
          <w:rFonts w:asciiTheme="minorHAnsi" w:hAnsiTheme="minorHAnsi" w:cstheme="minorHAnsi"/>
          <w:b/>
          <w:bCs/>
          <w:lang w:val="ro-RO"/>
        </w:rPr>
        <w:t>Anul 2020</w:t>
      </w:r>
    </w:p>
    <w:p w:rsidR="000E79CA" w:rsidRPr="00AF3608" w:rsidRDefault="000E79CA" w:rsidP="00450C35">
      <w:pPr>
        <w:widowControl w:val="0"/>
        <w:spacing w:before="120"/>
        <w:jc w:val="both"/>
        <w:rPr>
          <w:rFonts w:ascii="Calibri" w:hAnsi="Calibri" w:cs="Calibri"/>
          <w:lang w:val="ro-RO"/>
        </w:rPr>
      </w:pPr>
      <w:r w:rsidRPr="00AF3608">
        <w:rPr>
          <w:rFonts w:ascii="Calibri" w:hAnsi="Calibri" w:cs="Calibri"/>
          <w:lang w:val="ro-RO"/>
        </w:rPr>
        <w:t>În primele 9 luni ale anului 2020 economia românească a consemnat o reducere a volumului activităţii cu 5% pe seria brută şi cu 4,5% pe seria ajustată sezonier, comparativ cu perioada similară din 2019. Datele statistice plasează România în grupul ţărilor europene cu cele mai mici scăderi în perioada ianuarie-septembrie 2020, fiind depăşită de câteva state relevante precum Irlanda (singura pe creştere), Polonia, Suedia, Bulgaria, Olanda, ceea ce demostrează faptul că politicile guvernamentale au avut un efect favorabil de atenuare a şocului crizei COVID.</w:t>
      </w:r>
    </w:p>
    <w:p w:rsidR="000E79CA" w:rsidRPr="00AF3608" w:rsidRDefault="000E79CA" w:rsidP="00450C35">
      <w:pPr>
        <w:widowControl w:val="0"/>
        <w:spacing w:before="120"/>
        <w:jc w:val="both"/>
        <w:rPr>
          <w:rFonts w:ascii="Calibri" w:hAnsi="Calibri" w:cs="Calibri"/>
          <w:lang w:val="ro-RO"/>
        </w:rPr>
      </w:pPr>
      <w:r w:rsidRPr="00AF3608">
        <w:rPr>
          <w:rFonts w:ascii="Calibri" w:hAnsi="Calibri" w:cs="Calibri"/>
          <w:lang w:val="ro-RO"/>
        </w:rPr>
        <w:t>În trimestrul III, deși criza sanitară s-a prelungit, măsurile restrictive s-au mai relaxat. Totuşi, unele domenii au rămas închise iar în altele reluarea activităţii s-a făcut în mod treptat şi limitat (în special în acele locuri în care se impunea menţinerea distanţării fizice). Sectorul a cărui activitate a continuat cu ritm susţinut de la începutul anului a fost cel al construcţiilor, pe ansamblul primelor 9 luni din 2020</w:t>
      </w:r>
      <w:r w:rsidRPr="00AF3608">
        <w:rPr>
          <w:rFonts w:ascii="Calibri" w:hAnsi="Calibri" w:cs="Calibri"/>
          <w:strike/>
          <w:lang w:val="ro-RO"/>
        </w:rPr>
        <w:t>,</w:t>
      </w:r>
      <w:r w:rsidRPr="00AF3608">
        <w:rPr>
          <w:rFonts w:ascii="Calibri" w:hAnsi="Calibri" w:cs="Calibri"/>
          <w:lang w:val="ro-RO"/>
        </w:rPr>
        <w:t xml:space="preserve"> valoarea adăugată brută majorându-se cu 12,7% faţă de aceeaşi perioadă a anului 2019, ceea ce a însemnat o contribuţie la creşterea reală a PIB de 0,5 puncte procentuale.</w:t>
      </w:r>
    </w:p>
    <w:p w:rsidR="000E79CA" w:rsidRPr="00AF3608" w:rsidRDefault="000E79CA" w:rsidP="00450C35">
      <w:pPr>
        <w:widowControl w:val="0"/>
        <w:spacing w:before="120"/>
        <w:jc w:val="both"/>
        <w:rPr>
          <w:rFonts w:ascii="Calibri" w:hAnsi="Calibri" w:cs="Calibri"/>
          <w:lang w:val="ro-RO"/>
        </w:rPr>
      </w:pPr>
      <w:r w:rsidRPr="00AF3608">
        <w:rPr>
          <w:rFonts w:ascii="Calibri" w:hAnsi="Calibri" w:cs="Calibri"/>
          <w:lang w:val="ro-RO"/>
        </w:rPr>
        <w:t>Valoarea adăugată brută din industrie a înregistrat o scădere majoră, de -11,2%, pe fondul diminuării producţiei industriale cauzată, în principal, de o cerere externă foarte redusă. Contribuţia acestei ramuri la creşterea reală a PIB a fost de -2,4 puncte procentuale.</w:t>
      </w:r>
    </w:p>
    <w:p w:rsidR="000E79CA" w:rsidRPr="00AF3608" w:rsidRDefault="000E79CA" w:rsidP="00450C35">
      <w:pPr>
        <w:widowControl w:val="0"/>
        <w:spacing w:before="120"/>
        <w:jc w:val="both"/>
        <w:rPr>
          <w:rFonts w:ascii="Calibri" w:hAnsi="Calibri" w:cs="Calibri"/>
          <w:lang w:val="ro-RO"/>
        </w:rPr>
      </w:pPr>
      <w:r w:rsidRPr="00AF3608">
        <w:rPr>
          <w:rFonts w:ascii="Calibri" w:hAnsi="Calibri" w:cs="Calibri"/>
          <w:lang w:val="ro-RO"/>
        </w:rPr>
        <w:t>Agricultura a fost puternic afectată de condiţiile climaterice care au influenţat negativ culturile agricole, ceea ce a condus la reducerea semnificativă a producţiilor din acest sector. Astfel că în trimestrul III, valoarea adăugată brută din sector s-a diminuat cu 29% faţă de acelaşi trimestru din anul anterior. Această contracţie puternică a condus la o scădere a VAB pe primele 9 luni din 2020 cu 23,2% comparativ cu perioada corespunzătoare din 2019, ceea ce a însemnat o contribuţie la creşterea reală a PIB de -1,2 puncte procentuale.</w:t>
      </w:r>
    </w:p>
    <w:p w:rsidR="000E79CA" w:rsidRPr="00AF3608" w:rsidRDefault="000E79CA" w:rsidP="00450C35">
      <w:pPr>
        <w:widowControl w:val="0"/>
        <w:spacing w:before="120"/>
        <w:jc w:val="both"/>
        <w:rPr>
          <w:rFonts w:ascii="Calibri" w:hAnsi="Calibri" w:cs="Calibri"/>
          <w:lang w:val="ro-RO"/>
        </w:rPr>
      </w:pPr>
      <w:r w:rsidRPr="00AF3608">
        <w:rPr>
          <w:rFonts w:ascii="Calibri" w:hAnsi="Calibri" w:cs="Calibri"/>
          <w:lang w:val="ro-RO"/>
        </w:rPr>
        <w:t xml:space="preserve">Pe parcursul trimestrului III, sectorul serviciilor a rămas în continuare, unul din cele mai afectate domenii, în special cele pentru populaţie, recreative, culturale, hotelurile şi restaurantele, transporturile aeriene, etc., chiar dacă măsurile restrictive s-au mai relaxat.  Astfel, pe ansamblul primelor 9 luni, valoarea adăugată brută din servicii s-a diminuat cu 1,7%, reprezentând o contribuţie negativă de 1 punct procentual. Cea mai drastică scădere s-a înregistrat în ramura „activităţi de spectacole, culturale si recreative; reparaţii de produse de uz casnic si alte servicii” a cărei reducere a fost de 25,4% având o contribuţie negativă la creşterea reală a PIB de 0,9 puncte procentuale. Sunt  însă de remarcat evoluţiile pozitive din „informaţii şi comunicaţii” cu o creştere de 10,6% (şi o contribuţie de 0,6 puncte procentuale) şi ale administraţiei publice cu 1,3% (contribuţie de 0,2 puncte procentuale), aceasta din urmă datorită amplificării activităţii în domeniul sănătăţii, dar şi a măsurilor luate de guvern impuse de perioada pe care o traversăm. </w:t>
      </w:r>
    </w:p>
    <w:p w:rsidR="000E79CA" w:rsidRPr="00AF3608" w:rsidRDefault="000E79CA" w:rsidP="00450C35">
      <w:pPr>
        <w:widowControl w:val="0"/>
        <w:spacing w:before="120"/>
        <w:jc w:val="both"/>
        <w:rPr>
          <w:rFonts w:ascii="Calibri" w:hAnsi="Calibri" w:cs="Calibri"/>
          <w:lang w:val="ro-RO"/>
        </w:rPr>
      </w:pPr>
      <w:r w:rsidRPr="00AF3608">
        <w:rPr>
          <w:rFonts w:ascii="Calibri" w:hAnsi="Calibri" w:cs="Calibri"/>
          <w:b/>
          <w:lang w:val="ro-RO"/>
        </w:rPr>
        <w:t>Pe latura cererii</w:t>
      </w:r>
      <w:r w:rsidRPr="00AF3608">
        <w:rPr>
          <w:rFonts w:ascii="Calibri" w:hAnsi="Calibri" w:cs="Calibri"/>
          <w:lang w:val="ro-RO"/>
        </w:rPr>
        <w:t>, este de remarcat faptul că investiţiile brute din economie (formarea brută de capital fix), s</w:t>
      </w:r>
      <w:r w:rsidRPr="00AF3608">
        <w:rPr>
          <w:rFonts w:ascii="Calibri" w:hAnsi="Calibri" w:cs="Calibri"/>
          <w:lang w:val="ro-RO" w:eastAsia="ja-JP"/>
        </w:rPr>
        <w:t>timulate de avansul cererii din sectorul construcţiilor,</w:t>
      </w:r>
      <w:r w:rsidRPr="00AF3608">
        <w:rPr>
          <w:rFonts w:ascii="Calibri" w:hAnsi="Calibri" w:cs="Calibri"/>
          <w:lang w:val="ro-RO"/>
        </w:rPr>
        <w:t xml:space="preserve"> au înregistrat o creştere  de 4,4%, contribuind cu 1,1 puncte procentuale la creşterea produsului intern brut. Consumul privat a  înregistrat o reducere de 4,8% (cu o contribuţie de -3,1 pp),  în special ca urmare a scăderii serviciilor pentru populaţie (-20,2%). Totuşi, este de evidenţiat faptul că revenirea comerţului cu amănuntul, începând cu a doua jumătate a anului 2020, s-a regăsit, în mod direct, în componenta cumpărări de </w:t>
      </w:r>
      <w:r w:rsidRPr="00AF3608">
        <w:rPr>
          <w:rFonts w:ascii="Calibri" w:hAnsi="Calibri" w:cs="Calibri"/>
          <w:lang w:val="ro-RO"/>
        </w:rPr>
        <w:lastRenderedPageBreak/>
        <w:t>mărfuri care a înregistrat în primele  9 luni o creştere cu 1,1% comparativ cu perioada corespunzătoare din anul 2019. Prelungirea crizei sanitare a impus suplimentarea fondurilor alocate domeniilor sănătate şi social  în scopul limitării răspândirii virusului Covid 19, ceea ce a condus la o majorare a consumului guvernamental (care include consumul individual şi consumul colectiv al administraţiei publice) cu 4,2% (cu o contribuţie de +0,7 pp).</w:t>
      </w:r>
    </w:p>
    <w:p w:rsidR="000E79CA" w:rsidRPr="00AF3608" w:rsidRDefault="000E79CA" w:rsidP="00450C35">
      <w:pPr>
        <w:pStyle w:val="ListParagraph"/>
        <w:widowControl w:val="0"/>
        <w:spacing w:before="120" w:line="240" w:lineRule="auto"/>
        <w:ind w:left="0"/>
        <w:contextualSpacing w:val="0"/>
        <w:jc w:val="both"/>
        <w:rPr>
          <w:rFonts w:ascii="Calibri" w:hAnsi="Calibri" w:cs="Calibri"/>
          <w:szCs w:val="24"/>
        </w:rPr>
      </w:pPr>
      <w:r w:rsidRPr="00AF3608">
        <w:rPr>
          <w:rFonts w:ascii="Calibri" w:hAnsi="Calibri" w:cs="Calibri"/>
          <w:szCs w:val="24"/>
          <w:lang w:eastAsia="ja-JP"/>
        </w:rPr>
        <w:t xml:space="preserve">Variaţia stocurilor a înregistrat o contribuţie negativă (-2,0 puncte procentuale) </w:t>
      </w:r>
      <w:r w:rsidRPr="00AF3608">
        <w:rPr>
          <w:rFonts w:ascii="Calibri" w:hAnsi="Calibri" w:cs="Calibri"/>
          <w:szCs w:val="24"/>
        </w:rPr>
        <w:t>în condiţiile în care cererea nu a putut fi acoperită din producţia internă şi importuri.</w:t>
      </w:r>
    </w:p>
    <w:p w:rsidR="000E79CA" w:rsidRPr="00AF3608" w:rsidRDefault="000E79CA" w:rsidP="00450C35">
      <w:pPr>
        <w:widowControl w:val="0"/>
        <w:spacing w:before="120"/>
        <w:jc w:val="both"/>
        <w:rPr>
          <w:rFonts w:ascii="Calibri" w:hAnsi="Calibri" w:cs="Calibri"/>
          <w:lang w:val="ro-RO" w:eastAsia="ja-JP"/>
        </w:rPr>
      </w:pPr>
      <w:r w:rsidRPr="00AF3608">
        <w:rPr>
          <w:rFonts w:ascii="Calibri" w:hAnsi="Calibri" w:cs="Calibri"/>
          <w:lang w:val="ro-RO" w:eastAsia="ja-JP"/>
        </w:rPr>
        <w:t>In acelaşi timp, exportul net a contribuit negativ la produsul intern brut (-1,7 puncte procentuale), ca o consecinţă a scăderii cu 12,1% a exportului de bunuri şi servicii corelată cu o contracţie mai redusă a importului de bunuri şi servicii (-7,5%) susţinut de cererea internă de investiţii.</w:t>
      </w:r>
    </w:p>
    <w:p w:rsidR="000E79CA" w:rsidRPr="00AF3608" w:rsidRDefault="000E79CA" w:rsidP="00450C35">
      <w:pPr>
        <w:widowControl w:val="0"/>
        <w:spacing w:before="120"/>
        <w:jc w:val="both"/>
        <w:rPr>
          <w:rFonts w:ascii="Calibri" w:hAnsi="Calibri" w:cs="Calibri"/>
          <w:lang w:val="ro-RO" w:eastAsia="ja-JP"/>
        </w:rPr>
      </w:pPr>
    </w:p>
    <w:p w:rsidR="000E79CA" w:rsidRPr="00AF3608" w:rsidRDefault="000E79CA" w:rsidP="00450C35">
      <w:pPr>
        <w:widowControl w:val="0"/>
        <w:spacing w:before="120"/>
        <w:jc w:val="both"/>
        <w:rPr>
          <w:rFonts w:ascii="Calibri" w:hAnsi="Calibri" w:cs="Calibri"/>
          <w:b/>
          <w:bCs/>
          <w:lang w:val="ro-RO"/>
        </w:rPr>
      </w:pPr>
      <w:r w:rsidRPr="00AF3608">
        <w:rPr>
          <w:rFonts w:ascii="Calibri" w:hAnsi="Calibri" w:cs="Calibri"/>
          <w:lang w:val="ro-RO" w:eastAsia="ja-JP"/>
        </w:rPr>
        <w:t>Conform prognozei de iarnă se estimează pentru anul 2020 o creştere economică de -4,4%, o valoare nominală a produsului intern brut de 1040,8 mld. lei şi un deflator 2,7%. Prognoza de toamnă 2020 a Comisiei Europene estimează, pentru 2020, o valoare nominală a produsului intern brut de 1033 miliarde lei în condiţiile unei creşteri economice de -5,2% şi a unui deflator PIB de 2,8%.</w:t>
      </w:r>
    </w:p>
    <w:p w:rsidR="000E79CA" w:rsidRPr="00AF3608" w:rsidRDefault="000E79CA" w:rsidP="00B723C0">
      <w:pPr>
        <w:widowControl w:val="0"/>
        <w:spacing w:before="120"/>
        <w:jc w:val="both"/>
        <w:rPr>
          <w:rFonts w:ascii="Calibri" w:hAnsi="Calibri" w:cs="Calibri"/>
          <w:lang w:val="ro-RO"/>
        </w:rPr>
      </w:pPr>
    </w:p>
    <w:p w:rsidR="000E79CA" w:rsidRPr="00AF3608" w:rsidRDefault="000E79CA" w:rsidP="00B723C0">
      <w:pPr>
        <w:keepNext/>
        <w:keepLines/>
        <w:widowControl w:val="0"/>
        <w:ind w:left="360"/>
        <w:jc w:val="right"/>
        <w:rPr>
          <w:rFonts w:ascii="Calibri" w:hAnsi="Calibri" w:cs="Calibri"/>
          <w:lang w:val="ro-RO"/>
        </w:rPr>
      </w:pPr>
      <w:r w:rsidRPr="00AF3608">
        <w:rPr>
          <w:rFonts w:ascii="Calibri" w:hAnsi="Calibri" w:cs="Calibri"/>
          <w:lang w:val="ro-RO"/>
        </w:rPr>
        <w:t>- modificări procentuale faţă de anul precedent -</w:t>
      </w:r>
    </w:p>
    <w:tbl>
      <w:tblPr>
        <w:tblW w:w="9118" w:type="dxa"/>
        <w:jc w:val="center"/>
        <w:tblBorders>
          <w:top w:val="single" w:sz="24" w:space="0" w:color="auto"/>
          <w:bottom w:val="single" w:sz="24" w:space="0" w:color="auto"/>
        </w:tblBorders>
        <w:tblLook w:val="0000" w:firstRow="0" w:lastRow="0" w:firstColumn="0" w:lastColumn="0" w:noHBand="0" w:noVBand="0"/>
      </w:tblPr>
      <w:tblGrid>
        <w:gridCol w:w="5797"/>
        <w:gridCol w:w="1765"/>
        <w:gridCol w:w="1556"/>
      </w:tblGrid>
      <w:tr w:rsidR="000E79CA" w:rsidRPr="00AF3608" w:rsidTr="005F3BD1">
        <w:trPr>
          <w:trHeight w:val="475"/>
          <w:tblHeader/>
          <w:jc w:val="center"/>
        </w:trPr>
        <w:tc>
          <w:tcPr>
            <w:tcW w:w="5797" w:type="dxa"/>
            <w:tcBorders>
              <w:top w:val="single" w:sz="2" w:space="0" w:color="333399"/>
              <w:bottom w:val="single" w:sz="2" w:space="0" w:color="333399"/>
            </w:tcBorders>
            <w:shd w:val="clear" w:color="auto" w:fill="8EAADB" w:themeFill="accent5" w:themeFillTint="99"/>
            <w:noWrap/>
            <w:vAlign w:val="center"/>
          </w:tcPr>
          <w:p w:rsidR="000E79CA" w:rsidRPr="00AF3608" w:rsidRDefault="000E79CA" w:rsidP="00B723C0">
            <w:pPr>
              <w:keepNext/>
              <w:keepLines/>
              <w:widowControl w:val="0"/>
              <w:spacing w:before="120"/>
              <w:ind w:left="-325" w:firstLine="325"/>
              <w:jc w:val="both"/>
              <w:rPr>
                <w:rFonts w:ascii="Calibri" w:hAnsi="Calibri" w:cs="Calibri"/>
                <w:lang w:val="ro-RO"/>
              </w:rPr>
            </w:pPr>
            <w:r w:rsidRPr="00AF3608">
              <w:rPr>
                <w:rFonts w:ascii="Calibri" w:hAnsi="Calibri" w:cs="Calibri"/>
                <w:b/>
                <w:bCs/>
                <w:lang w:val="ro-RO"/>
              </w:rPr>
              <w:t>Produsul intern brut</w:t>
            </w:r>
          </w:p>
        </w:tc>
        <w:tc>
          <w:tcPr>
            <w:tcW w:w="1765" w:type="dxa"/>
            <w:tcBorders>
              <w:top w:val="single" w:sz="2" w:space="0" w:color="333399"/>
              <w:bottom w:val="single" w:sz="2" w:space="0" w:color="333399"/>
            </w:tcBorders>
            <w:shd w:val="clear" w:color="auto" w:fill="8EAADB" w:themeFill="accent5" w:themeFillTint="99"/>
            <w:vAlign w:val="center"/>
          </w:tcPr>
          <w:p w:rsidR="000E79CA" w:rsidRPr="00AF3608" w:rsidRDefault="000E79CA" w:rsidP="00B723C0">
            <w:pPr>
              <w:keepNext/>
              <w:keepLines/>
              <w:widowControl w:val="0"/>
              <w:spacing w:before="120"/>
              <w:ind w:left="-325" w:firstLine="325"/>
              <w:jc w:val="center"/>
              <w:rPr>
                <w:rFonts w:ascii="Calibri" w:hAnsi="Calibri" w:cs="Calibri"/>
                <w:b/>
                <w:bCs/>
                <w:lang w:val="ro-RO"/>
              </w:rPr>
            </w:pPr>
            <w:r w:rsidRPr="00AF3608">
              <w:rPr>
                <w:rFonts w:ascii="Calibri" w:hAnsi="Calibri" w:cs="Calibri"/>
                <w:b/>
                <w:bCs/>
                <w:lang w:val="ro-RO"/>
              </w:rPr>
              <w:t>2019</w:t>
            </w:r>
          </w:p>
          <w:p w:rsidR="000E79CA" w:rsidRPr="00AF3608" w:rsidRDefault="000E79CA" w:rsidP="00B723C0">
            <w:pPr>
              <w:keepNext/>
              <w:keepLines/>
              <w:widowControl w:val="0"/>
              <w:spacing w:before="120"/>
              <w:ind w:left="-325" w:firstLine="325"/>
              <w:jc w:val="center"/>
              <w:rPr>
                <w:rFonts w:ascii="Calibri" w:hAnsi="Calibri" w:cs="Calibri"/>
                <w:b/>
                <w:bCs/>
                <w:lang w:val="ro-RO"/>
              </w:rPr>
            </w:pPr>
            <w:r w:rsidRPr="00AF3608">
              <w:rPr>
                <w:rFonts w:ascii="Calibri" w:hAnsi="Calibri" w:cs="Calibri"/>
                <w:b/>
                <w:bCs/>
                <w:lang w:val="ro-RO"/>
              </w:rPr>
              <w:t>provizoriu</w:t>
            </w:r>
          </w:p>
        </w:tc>
        <w:tc>
          <w:tcPr>
            <w:tcW w:w="1556" w:type="dxa"/>
            <w:tcBorders>
              <w:top w:val="single" w:sz="2" w:space="0" w:color="333399"/>
              <w:bottom w:val="single" w:sz="2" w:space="0" w:color="333399"/>
            </w:tcBorders>
            <w:shd w:val="clear" w:color="auto" w:fill="8EAADB" w:themeFill="accent5" w:themeFillTint="99"/>
            <w:vAlign w:val="center"/>
          </w:tcPr>
          <w:p w:rsidR="000E79CA" w:rsidRPr="00AF3608" w:rsidRDefault="000E79CA" w:rsidP="00B723C0">
            <w:pPr>
              <w:keepNext/>
              <w:keepLines/>
              <w:widowControl w:val="0"/>
              <w:spacing w:before="120"/>
              <w:ind w:left="-325" w:firstLine="325"/>
              <w:jc w:val="center"/>
              <w:rPr>
                <w:rFonts w:ascii="Calibri" w:hAnsi="Calibri" w:cs="Calibri"/>
                <w:b/>
                <w:bCs/>
                <w:lang w:val="ro-RO"/>
              </w:rPr>
            </w:pPr>
            <w:r w:rsidRPr="00AF3608">
              <w:rPr>
                <w:rFonts w:ascii="Calibri" w:hAnsi="Calibri" w:cs="Calibri"/>
                <w:b/>
                <w:bCs/>
                <w:lang w:val="ro-RO"/>
              </w:rPr>
              <w:t>2020</w:t>
            </w:r>
          </w:p>
          <w:p w:rsidR="000E79CA" w:rsidRPr="00AF3608" w:rsidRDefault="000E79CA" w:rsidP="00B723C0">
            <w:pPr>
              <w:keepNext/>
              <w:keepLines/>
              <w:widowControl w:val="0"/>
              <w:spacing w:before="120"/>
              <w:ind w:left="-325" w:firstLine="325"/>
              <w:jc w:val="center"/>
              <w:rPr>
                <w:rFonts w:ascii="Calibri" w:hAnsi="Calibri" w:cs="Calibri"/>
                <w:b/>
                <w:bCs/>
                <w:lang w:val="ro-RO"/>
              </w:rPr>
            </w:pPr>
            <w:r w:rsidRPr="00AF3608">
              <w:rPr>
                <w:rFonts w:ascii="Calibri" w:hAnsi="Calibri" w:cs="Calibri"/>
                <w:b/>
                <w:bCs/>
                <w:lang w:val="ro-RO"/>
              </w:rPr>
              <w:t>estimare</w:t>
            </w:r>
          </w:p>
        </w:tc>
      </w:tr>
      <w:tr w:rsidR="000E79CA" w:rsidRPr="00AF3608" w:rsidTr="00612785">
        <w:trPr>
          <w:trHeight w:hRule="exact" w:val="263"/>
          <w:jc w:val="center"/>
        </w:trPr>
        <w:tc>
          <w:tcPr>
            <w:tcW w:w="5797" w:type="dxa"/>
            <w:tcBorders>
              <w:top w:val="single" w:sz="2" w:space="0" w:color="333399"/>
              <w:bottom w:val="nil"/>
            </w:tcBorders>
            <w:noWrap/>
            <w:vAlign w:val="center"/>
          </w:tcPr>
          <w:p w:rsidR="000E79CA" w:rsidRPr="00AF3608" w:rsidRDefault="000E79CA" w:rsidP="00B723C0">
            <w:pPr>
              <w:keepNext/>
              <w:keepLines/>
              <w:widowControl w:val="0"/>
              <w:jc w:val="both"/>
              <w:rPr>
                <w:rFonts w:ascii="Calibri" w:hAnsi="Calibri" w:cs="Calibri"/>
                <w:lang w:val="ro-RO"/>
              </w:rPr>
            </w:pPr>
            <w:r w:rsidRPr="00AF3608">
              <w:rPr>
                <w:rFonts w:ascii="Calibri" w:hAnsi="Calibri" w:cs="Calibri"/>
                <w:lang w:val="ro-RO"/>
              </w:rPr>
              <w:t>Cererea internă, din care:</w:t>
            </w:r>
          </w:p>
        </w:tc>
        <w:tc>
          <w:tcPr>
            <w:tcW w:w="1765" w:type="dxa"/>
            <w:tcBorders>
              <w:top w:val="single" w:sz="2" w:space="0" w:color="333399"/>
              <w:bottom w:val="nil"/>
            </w:tcBorders>
            <w:vAlign w:val="center"/>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5,6</w:t>
            </w:r>
          </w:p>
        </w:tc>
        <w:tc>
          <w:tcPr>
            <w:tcW w:w="1556" w:type="dxa"/>
            <w:tcBorders>
              <w:top w:val="single" w:sz="2" w:space="0" w:color="333399"/>
              <w:bottom w:val="nil"/>
            </w:tcBorders>
            <w:vAlign w:val="center"/>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-2,6</w:t>
            </w:r>
          </w:p>
        </w:tc>
      </w:tr>
      <w:tr w:rsidR="000E79CA" w:rsidRPr="00AF3608" w:rsidTr="00612785">
        <w:trPr>
          <w:trHeight w:hRule="exact" w:val="266"/>
          <w:jc w:val="center"/>
        </w:trPr>
        <w:tc>
          <w:tcPr>
            <w:tcW w:w="5797" w:type="dxa"/>
            <w:tcBorders>
              <w:top w:val="nil"/>
              <w:bottom w:val="nil"/>
            </w:tcBorders>
            <w:noWrap/>
            <w:vAlign w:val="center"/>
          </w:tcPr>
          <w:p w:rsidR="000E79CA" w:rsidRPr="00AF3608" w:rsidRDefault="000E79CA" w:rsidP="00B723C0">
            <w:pPr>
              <w:keepNext/>
              <w:keepLines/>
              <w:widowControl w:val="0"/>
              <w:jc w:val="both"/>
              <w:rPr>
                <w:rFonts w:ascii="Calibri" w:hAnsi="Calibri" w:cs="Calibri"/>
                <w:lang w:val="ro-RO"/>
              </w:rPr>
            </w:pPr>
            <w:r w:rsidRPr="00AF3608">
              <w:rPr>
                <w:rFonts w:ascii="Calibri" w:hAnsi="Calibri" w:cs="Calibri"/>
                <w:lang w:val="ro-RO"/>
              </w:rPr>
              <w:t xml:space="preserve">   Consumul final</w:t>
            </w:r>
          </w:p>
        </w:tc>
        <w:tc>
          <w:tcPr>
            <w:tcW w:w="1765" w:type="dxa"/>
            <w:tcBorders>
              <w:top w:val="nil"/>
              <w:bottom w:val="nil"/>
            </w:tcBorders>
            <w:vAlign w:val="center"/>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6,0</w:t>
            </w:r>
          </w:p>
        </w:tc>
        <w:tc>
          <w:tcPr>
            <w:tcW w:w="1556" w:type="dxa"/>
            <w:tcBorders>
              <w:top w:val="nil"/>
              <w:bottom w:val="nil"/>
            </w:tcBorders>
            <w:vAlign w:val="center"/>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-2,3</w:t>
            </w:r>
          </w:p>
        </w:tc>
      </w:tr>
      <w:tr w:rsidR="000E79CA" w:rsidRPr="00AF3608" w:rsidTr="00612785">
        <w:trPr>
          <w:trHeight w:hRule="exact" w:val="266"/>
          <w:jc w:val="center"/>
        </w:trPr>
        <w:tc>
          <w:tcPr>
            <w:tcW w:w="5797" w:type="dxa"/>
            <w:tcBorders>
              <w:top w:val="nil"/>
              <w:bottom w:val="nil"/>
            </w:tcBorders>
            <w:noWrap/>
            <w:vAlign w:val="center"/>
          </w:tcPr>
          <w:p w:rsidR="000E79CA" w:rsidRPr="00AF3608" w:rsidRDefault="000E79CA" w:rsidP="00B723C0">
            <w:pPr>
              <w:keepNext/>
              <w:keepLines/>
              <w:widowControl w:val="0"/>
              <w:jc w:val="both"/>
              <w:rPr>
                <w:rFonts w:ascii="Calibri" w:hAnsi="Calibri" w:cs="Calibri"/>
                <w:lang w:val="ro-RO"/>
              </w:rPr>
            </w:pPr>
            <w:r w:rsidRPr="00AF3608">
              <w:rPr>
                <w:rFonts w:ascii="Calibri" w:hAnsi="Calibri" w:cs="Calibri"/>
                <w:lang w:val="ro-RO"/>
              </w:rPr>
              <w:t xml:space="preserve">      - Cheltuielile cu consumul privat</w:t>
            </w:r>
          </w:p>
        </w:tc>
        <w:tc>
          <w:tcPr>
            <w:tcW w:w="1765" w:type="dxa"/>
            <w:tcBorders>
              <w:top w:val="nil"/>
              <w:bottom w:val="nil"/>
            </w:tcBorders>
            <w:vAlign w:val="center"/>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5,9</w:t>
            </w:r>
          </w:p>
        </w:tc>
        <w:tc>
          <w:tcPr>
            <w:tcW w:w="1556" w:type="dxa"/>
            <w:tcBorders>
              <w:top w:val="nil"/>
              <w:bottom w:val="nil"/>
            </w:tcBorders>
            <w:vAlign w:val="center"/>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-4,0</w:t>
            </w:r>
          </w:p>
        </w:tc>
      </w:tr>
      <w:tr w:rsidR="000E79CA" w:rsidRPr="00AF3608" w:rsidTr="00612785">
        <w:trPr>
          <w:trHeight w:hRule="exact" w:val="266"/>
          <w:jc w:val="center"/>
        </w:trPr>
        <w:tc>
          <w:tcPr>
            <w:tcW w:w="5797" w:type="dxa"/>
            <w:tcBorders>
              <w:top w:val="nil"/>
              <w:bottom w:val="nil"/>
            </w:tcBorders>
            <w:noWrap/>
            <w:vAlign w:val="center"/>
          </w:tcPr>
          <w:p w:rsidR="000E79CA" w:rsidRPr="00AF3608" w:rsidRDefault="000E79CA" w:rsidP="00B723C0">
            <w:pPr>
              <w:keepNext/>
              <w:keepLines/>
              <w:widowControl w:val="0"/>
              <w:jc w:val="both"/>
              <w:rPr>
                <w:rFonts w:ascii="Calibri" w:hAnsi="Calibri" w:cs="Calibri"/>
                <w:lang w:val="ro-RO"/>
              </w:rPr>
            </w:pPr>
            <w:r w:rsidRPr="00AF3608">
              <w:rPr>
                <w:rFonts w:ascii="Calibri" w:hAnsi="Calibri" w:cs="Calibri"/>
                <w:lang w:val="ro-RO"/>
              </w:rPr>
              <w:t xml:space="preserve">             - Cheltuielile cu consumul final al populaţiei </w:t>
            </w:r>
          </w:p>
        </w:tc>
        <w:tc>
          <w:tcPr>
            <w:tcW w:w="1765" w:type="dxa"/>
            <w:tcBorders>
              <w:top w:val="nil"/>
              <w:bottom w:val="nil"/>
            </w:tcBorders>
            <w:vAlign w:val="center"/>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6,0</w:t>
            </w:r>
          </w:p>
        </w:tc>
        <w:tc>
          <w:tcPr>
            <w:tcW w:w="1556" w:type="dxa"/>
            <w:tcBorders>
              <w:top w:val="nil"/>
              <w:bottom w:val="nil"/>
            </w:tcBorders>
            <w:vAlign w:val="center"/>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-4,0</w:t>
            </w:r>
          </w:p>
        </w:tc>
      </w:tr>
      <w:tr w:rsidR="000E79CA" w:rsidRPr="00AF3608" w:rsidTr="00612785">
        <w:trPr>
          <w:trHeight w:val="315"/>
          <w:jc w:val="center"/>
        </w:trPr>
        <w:tc>
          <w:tcPr>
            <w:tcW w:w="5797" w:type="dxa"/>
            <w:tcBorders>
              <w:top w:val="nil"/>
              <w:bottom w:val="nil"/>
            </w:tcBorders>
            <w:noWrap/>
            <w:vAlign w:val="center"/>
          </w:tcPr>
          <w:p w:rsidR="000E79CA" w:rsidRPr="00AF3608" w:rsidRDefault="000E79CA" w:rsidP="00B723C0">
            <w:pPr>
              <w:keepNext/>
              <w:keepLines/>
              <w:widowControl w:val="0"/>
              <w:ind w:left="595" w:hanging="595"/>
              <w:jc w:val="both"/>
              <w:rPr>
                <w:rFonts w:ascii="Calibri" w:hAnsi="Calibri" w:cs="Calibri"/>
                <w:lang w:val="ro-RO"/>
              </w:rPr>
            </w:pPr>
            <w:r w:rsidRPr="00AF3608">
              <w:rPr>
                <w:rFonts w:ascii="Calibri" w:hAnsi="Calibri" w:cs="Calibri"/>
                <w:lang w:val="ro-RO"/>
              </w:rPr>
              <w:t xml:space="preserve">      - Cheltuielile cu consumul guvernamental</w:t>
            </w:r>
          </w:p>
        </w:tc>
        <w:tc>
          <w:tcPr>
            <w:tcW w:w="1765" w:type="dxa"/>
            <w:tcBorders>
              <w:top w:val="nil"/>
              <w:bottom w:val="nil"/>
            </w:tcBorders>
            <w:vAlign w:val="center"/>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6,4</w:t>
            </w:r>
          </w:p>
        </w:tc>
        <w:tc>
          <w:tcPr>
            <w:tcW w:w="1556" w:type="dxa"/>
            <w:tcBorders>
              <w:top w:val="nil"/>
              <w:bottom w:val="nil"/>
            </w:tcBorders>
            <w:vAlign w:val="center"/>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3,9</w:t>
            </w:r>
          </w:p>
        </w:tc>
      </w:tr>
      <w:tr w:rsidR="000E79CA" w:rsidRPr="00AF3608" w:rsidTr="00612785">
        <w:trPr>
          <w:trHeight w:val="315"/>
          <w:jc w:val="center"/>
        </w:trPr>
        <w:tc>
          <w:tcPr>
            <w:tcW w:w="5797" w:type="dxa"/>
            <w:tcBorders>
              <w:top w:val="nil"/>
              <w:bottom w:val="nil"/>
            </w:tcBorders>
            <w:noWrap/>
            <w:vAlign w:val="center"/>
          </w:tcPr>
          <w:p w:rsidR="000E79CA" w:rsidRPr="00AF3608" w:rsidRDefault="000E79CA" w:rsidP="00B723C0">
            <w:pPr>
              <w:keepNext/>
              <w:keepLines/>
              <w:widowControl w:val="0"/>
              <w:ind w:left="595" w:hanging="595"/>
              <w:jc w:val="both"/>
              <w:rPr>
                <w:rFonts w:ascii="Calibri" w:hAnsi="Calibri" w:cs="Calibri"/>
                <w:lang w:val="ro-RO"/>
              </w:rPr>
            </w:pPr>
            <w:r w:rsidRPr="00AF3608">
              <w:rPr>
                <w:rFonts w:ascii="Calibri" w:hAnsi="Calibri" w:cs="Calibri"/>
                <w:lang w:val="ro-RO"/>
              </w:rPr>
              <w:t xml:space="preserve">             - Consumul colectiv efectiv al administraţiei publice</w:t>
            </w:r>
          </w:p>
        </w:tc>
        <w:tc>
          <w:tcPr>
            <w:tcW w:w="1765" w:type="dxa"/>
            <w:tcBorders>
              <w:top w:val="nil"/>
              <w:bottom w:val="nil"/>
            </w:tcBorders>
            <w:vAlign w:val="center"/>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3,4</w:t>
            </w:r>
          </w:p>
        </w:tc>
        <w:tc>
          <w:tcPr>
            <w:tcW w:w="1556" w:type="dxa"/>
            <w:tcBorders>
              <w:top w:val="nil"/>
              <w:bottom w:val="nil"/>
            </w:tcBorders>
            <w:vAlign w:val="center"/>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11,2</w:t>
            </w:r>
          </w:p>
        </w:tc>
      </w:tr>
      <w:tr w:rsidR="000E79CA" w:rsidRPr="00AF3608" w:rsidTr="00612785">
        <w:trPr>
          <w:trHeight w:hRule="exact" w:val="266"/>
          <w:jc w:val="center"/>
        </w:trPr>
        <w:tc>
          <w:tcPr>
            <w:tcW w:w="5797" w:type="dxa"/>
            <w:tcBorders>
              <w:top w:val="nil"/>
              <w:bottom w:val="nil"/>
            </w:tcBorders>
            <w:noWrap/>
            <w:vAlign w:val="center"/>
          </w:tcPr>
          <w:p w:rsidR="000E79CA" w:rsidRPr="00AF3608" w:rsidRDefault="000E79CA" w:rsidP="00B723C0">
            <w:pPr>
              <w:keepNext/>
              <w:keepLines/>
              <w:widowControl w:val="0"/>
              <w:jc w:val="both"/>
              <w:rPr>
                <w:rFonts w:ascii="Calibri" w:hAnsi="Calibri" w:cs="Calibri"/>
                <w:lang w:val="ro-RO"/>
              </w:rPr>
            </w:pPr>
            <w:r w:rsidRPr="00AF3608">
              <w:rPr>
                <w:rFonts w:ascii="Calibri" w:hAnsi="Calibri" w:cs="Calibri"/>
                <w:lang w:val="ro-RO"/>
              </w:rPr>
              <w:t xml:space="preserve">   Formarea brută de capital fix</w:t>
            </w:r>
          </w:p>
        </w:tc>
        <w:tc>
          <w:tcPr>
            <w:tcW w:w="1765" w:type="dxa"/>
            <w:tcBorders>
              <w:top w:val="nil"/>
              <w:bottom w:val="nil"/>
            </w:tcBorders>
            <w:vAlign w:val="center"/>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18,2</w:t>
            </w:r>
          </w:p>
        </w:tc>
        <w:tc>
          <w:tcPr>
            <w:tcW w:w="1556" w:type="dxa"/>
            <w:tcBorders>
              <w:top w:val="nil"/>
              <w:bottom w:val="nil"/>
            </w:tcBorders>
            <w:vAlign w:val="center"/>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3,8</w:t>
            </w:r>
          </w:p>
        </w:tc>
      </w:tr>
      <w:tr w:rsidR="000E79CA" w:rsidRPr="00AF3608" w:rsidTr="00612785">
        <w:trPr>
          <w:trHeight w:hRule="exact" w:val="266"/>
          <w:jc w:val="center"/>
        </w:trPr>
        <w:tc>
          <w:tcPr>
            <w:tcW w:w="5797" w:type="dxa"/>
            <w:tcBorders>
              <w:top w:val="nil"/>
              <w:bottom w:val="nil"/>
            </w:tcBorders>
            <w:noWrap/>
            <w:vAlign w:val="center"/>
          </w:tcPr>
          <w:p w:rsidR="000E79CA" w:rsidRPr="00AF3608" w:rsidRDefault="000E79CA" w:rsidP="00B723C0">
            <w:pPr>
              <w:keepNext/>
              <w:keepLines/>
              <w:widowControl w:val="0"/>
              <w:jc w:val="both"/>
              <w:rPr>
                <w:rFonts w:ascii="Calibri" w:hAnsi="Calibri" w:cs="Calibri"/>
                <w:lang w:val="ro-RO"/>
              </w:rPr>
            </w:pPr>
            <w:r w:rsidRPr="00AF3608">
              <w:rPr>
                <w:rFonts w:ascii="Calibri" w:hAnsi="Calibri" w:cs="Calibri"/>
                <w:lang w:val="ro-RO"/>
              </w:rPr>
              <w:t>Exportul de bunuri şi servicii</w:t>
            </w:r>
          </w:p>
        </w:tc>
        <w:tc>
          <w:tcPr>
            <w:tcW w:w="1765" w:type="dxa"/>
            <w:tcBorders>
              <w:top w:val="nil"/>
              <w:bottom w:val="nil"/>
            </w:tcBorders>
            <w:vAlign w:val="center"/>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4,6</w:t>
            </w:r>
          </w:p>
        </w:tc>
        <w:tc>
          <w:tcPr>
            <w:tcW w:w="1556" w:type="dxa"/>
            <w:tcBorders>
              <w:top w:val="nil"/>
              <w:bottom w:val="nil"/>
            </w:tcBorders>
            <w:vAlign w:val="center"/>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-10,6</w:t>
            </w:r>
          </w:p>
        </w:tc>
      </w:tr>
      <w:tr w:rsidR="000E79CA" w:rsidRPr="00AF3608" w:rsidTr="00612785">
        <w:trPr>
          <w:trHeight w:hRule="exact" w:val="266"/>
          <w:jc w:val="center"/>
        </w:trPr>
        <w:tc>
          <w:tcPr>
            <w:tcW w:w="5797" w:type="dxa"/>
            <w:tcBorders>
              <w:top w:val="nil"/>
              <w:bottom w:val="single" w:sz="4" w:space="0" w:color="333399"/>
            </w:tcBorders>
            <w:noWrap/>
            <w:vAlign w:val="center"/>
          </w:tcPr>
          <w:p w:rsidR="000E79CA" w:rsidRPr="00AF3608" w:rsidRDefault="000E79CA" w:rsidP="00B723C0">
            <w:pPr>
              <w:keepNext/>
              <w:keepLines/>
              <w:widowControl w:val="0"/>
              <w:jc w:val="both"/>
              <w:rPr>
                <w:rFonts w:ascii="Calibri" w:hAnsi="Calibri" w:cs="Calibri"/>
                <w:lang w:val="ro-RO"/>
              </w:rPr>
            </w:pPr>
            <w:r w:rsidRPr="00AF3608">
              <w:rPr>
                <w:rFonts w:ascii="Calibri" w:hAnsi="Calibri" w:cs="Calibri"/>
                <w:lang w:val="ro-RO"/>
              </w:rPr>
              <w:t>Importul de bunuri şi servicii</w:t>
            </w:r>
          </w:p>
        </w:tc>
        <w:tc>
          <w:tcPr>
            <w:tcW w:w="1765" w:type="dxa"/>
            <w:tcBorders>
              <w:top w:val="nil"/>
              <w:bottom w:val="single" w:sz="4" w:space="0" w:color="333399"/>
            </w:tcBorders>
            <w:vAlign w:val="center"/>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8,0</w:t>
            </w:r>
          </w:p>
        </w:tc>
        <w:tc>
          <w:tcPr>
            <w:tcW w:w="1556" w:type="dxa"/>
            <w:tcBorders>
              <w:top w:val="nil"/>
              <w:bottom w:val="single" w:sz="4" w:space="0" w:color="333399"/>
            </w:tcBorders>
            <w:vAlign w:val="center"/>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-5,9</w:t>
            </w:r>
          </w:p>
        </w:tc>
      </w:tr>
      <w:tr w:rsidR="000E79CA" w:rsidRPr="00AF3608" w:rsidTr="005F3BD1">
        <w:trPr>
          <w:trHeight w:val="315"/>
          <w:jc w:val="center"/>
        </w:trPr>
        <w:tc>
          <w:tcPr>
            <w:tcW w:w="5797" w:type="dxa"/>
            <w:tcBorders>
              <w:top w:val="single" w:sz="4" w:space="0" w:color="333399"/>
              <w:bottom w:val="single" w:sz="4" w:space="0" w:color="333399"/>
            </w:tcBorders>
            <w:shd w:val="clear" w:color="auto" w:fill="8EAADB" w:themeFill="accent5" w:themeFillTint="99"/>
            <w:noWrap/>
            <w:vAlign w:val="center"/>
          </w:tcPr>
          <w:p w:rsidR="000E79CA" w:rsidRPr="00AF3608" w:rsidRDefault="000E79CA" w:rsidP="00B723C0">
            <w:pPr>
              <w:keepNext/>
              <w:keepLines/>
              <w:widowControl w:val="0"/>
              <w:jc w:val="both"/>
              <w:rPr>
                <w:rFonts w:ascii="Calibri" w:hAnsi="Calibri" w:cs="Calibri"/>
                <w:b/>
                <w:bCs/>
                <w:lang w:val="ro-RO"/>
              </w:rPr>
            </w:pPr>
            <w:r w:rsidRPr="00AF3608">
              <w:rPr>
                <w:rFonts w:ascii="Calibri" w:hAnsi="Calibri" w:cs="Calibri"/>
                <w:b/>
                <w:bCs/>
                <w:lang w:val="ro-RO"/>
              </w:rPr>
              <w:t>PIB</w:t>
            </w:r>
          </w:p>
        </w:tc>
        <w:tc>
          <w:tcPr>
            <w:tcW w:w="1765" w:type="dxa"/>
            <w:tcBorders>
              <w:top w:val="single" w:sz="4" w:space="0" w:color="333399"/>
              <w:bottom w:val="single" w:sz="4" w:space="0" w:color="333399"/>
            </w:tcBorders>
            <w:shd w:val="clear" w:color="auto" w:fill="8EAADB" w:themeFill="accent5" w:themeFillTint="99"/>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4,1</w:t>
            </w:r>
          </w:p>
        </w:tc>
        <w:tc>
          <w:tcPr>
            <w:tcW w:w="1556" w:type="dxa"/>
            <w:tcBorders>
              <w:top w:val="single" w:sz="4" w:space="0" w:color="333399"/>
              <w:bottom w:val="single" w:sz="4" w:space="0" w:color="333399"/>
            </w:tcBorders>
            <w:shd w:val="clear" w:color="auto" w:fill="8EAADB" w:themeFill="accent5" w:themeFillTint="99"/>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-4,4</w:t>
            </w:r>
          </w:p>
        </w:tc>
      </w:tr>
      <w:tr w:rsidR="000E79CA" w:rsidRPr="00AF3608" w:rsidTr="00612785">
        <w:trPr>
          <w:trHeight w:hRule="exact" w:val="266"/>
          <w:jc w:val="center"/>
        </w:trPr>
        <w:tc>
          <w:tcPr>
            <w:tcW w:w="5797" w:type="dxa"/>
            <w:tcBorders>
              <w:top w:val="single" w:sz="4" w:space="0" w:color="333399"/>
              <w:bottom w:val="nil"/>
            </w:tcBorders>
            <w:noWrap/>
            <w:vAlign w:val="center"/>
          </w:tcPr>
          <w:p w:rsidR="000E79CA" w:rsidRPr="00AF3608" w:rsidRDefault="000E79CA" w:rsidP="00B723C0">
            <w:pPr>
              <w:keepNext/>
              <w:keepLines/>
              <w:widowControl w:val="0"/>
              <w:jc w:val="both"/>
              <w:rPr>
                <w:rFonts w:ascii="Calibri" w:hAnsi="Calibri" w:cs="Calibri"/>
                <w:lang w:val="ro-RO"/>
              </w:rPr>
            </w:pPr>
            <w:r w:rsidRPr="00AF3608">
              <w:rPr>
                <w:rFonts w:ascii="Calibri" w:hAnsi="Calibri" w:cs="Calibri"/>
                <w:lang w:val="ro-RO"/>
              </w:rPr>
              <w:t>- Industrie</w:t>
            </w:r>
          </w:p>
        </w:tc>
        <w:tc>
          <w:tcPr>
            <w:tcW w:w="1765" w:type="dxa"/>
            <w:tcBorders>
              <w:top w:val="single" w:sz="4" w:space="0" w:color="333399"/>
              <w:bottom w:val="nil"/>
            </w:tcBorders>
            <w:vAlign w:val="bottom"/>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-1,5</w:t>
            </w:r>
          </w:p>
        </w:tc>
        <w:tc>
          <w:tcPr>
            <w:tcW w:w="1556" w:type="dxa"/>
            <w:tcBorders>
              <w:top w:val="single" w:sz="4" w:space="0" w:color="333399"/>
              <w:bottom w:val="nil"/>
            </w:tcBorders>
            <w:vAlign w:val="bottom"/>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-8,7</w:t>
            </w:r>
          </w:p>
        </w:tc>
      </w:tr>
      <w:tr w:rsidR="000E79CA" w:rsidRPr="00AF3608" w:rsidTr="00612785">
        <w:trPr>
          <w:trHeight w:hRule="exact" w:val="266"/>
          <w:jc w:val="center"/>
        </w:trPr>
        <w:tc>
          <w:tcPr>
            <w:tcW w:w="5797" w:type="dxa"/>
            <w:tcBorders>
              <w:top w:val="nil"/>
              <w:bottom w:val="nil"/>
            </w:tcBorders>
            <w:noWrap/>
            <w:vAlign w:val="center"/>
          </w:tcPr>
          <w:p w:rsidR="000E79CA" w:rsidRPr="00AF3608" w:rsidRDefault="000E79CA" w:rsidP="00B723C0">
            <w:pPr>
              <w:keepNext/>
              <w:keepLines/>
              <w:widowControl w:val="0"/>
              <w:jc w:val="both"/>
              <w:rPr>
                <w:rFonts w:ascii="Calibri" w:hAnsi="Calibri" w:cs="Calibri"/>
                <w:lang w:val="ro-RO"/>
              </w:rPr>
            </w:pPr>
            <w:r w:rsidRPr="00AF3608">
              <w:rPr>
                <w:rFonts w:ascii="Calibri" w:hAnsi="Calibri" w:cs="Calibri"/>
                <w:lang w:val="ro-RO"/>
              </w:rPr>
              <w:t>- Agricultură</w:t>
            </w:r>
          </w:p>
        </w:tc>
        <w:tc>
          <w:tcPr>
            <w:tcW w:w="1765" w:type="dxa"/>
            <w:tcBorders>
              <w:top w:val="nil"/>
              <w:bottom w:val="nil"/>
            </w:tcBorders>
            <w:vAlign w:val="bottom"/>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-3,2</w:t>
            </w:r>
          </w:p>
        </w:tc>
        <w:tc>
          <w:tcPr>
            <w:tcW w:w="1556" w:type="dxa"/>
            <w:tcBorders>
              <w:top w:val="nil"/>
              <w:bottom w:val="nil"/>
            </w:tcBorders>
            <w:vAlign w:val="bottom"/>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-21,9</w:t>
            </w:r>
          </w:p>
        </w:tc>
      </w:tr>
      <w:tr w:rsidR="000E79CA" w:rsidRPr="00AF3608" w:rsidTr="00612785">
        <w:trPr>
          <w:trHeight w:hRule="exact" w:val="266"/>
          <w:jc w:val="center"/>
        </w:trPr>
        <w:tc>
          <w:tcPr>
            <w:tcW w:w="5797" w:type="dxa"/>
            <w:tcBorders>
              <w:top w:val="nil"/>
              <w:bottom w:val="nil"/>
            </w:tcBorders>
            <w:noWrap/>
            <w:vAlign w:val="center"/>
          </w:tcPr>
          <w:p w:rsidR="000E79CA" w:rsidRPr="00AF3608" w:rsidRDefault="000E79CA" w:rsidP="00B723C0">
            <w:pPr>
              <w:keepNext/>
              <w:keepLines/>
              <w:widowControl w:val="0"/>
              <w:jc w:val="both"/>
              <w:rPr>
                <w:rFonts w:ascii="Calibri" w:hAnsi="Calibri" w:cs="Calibri"/>
                <w:lang w:val="ro-RO"/>
              </w:rPr>
            </w:pPr>
            <w:r w:rsidRPr="00AF3608">
              <w:rPr>
                <w:rFonts w:ascii="Calibri" w:hAnsi="Calibri" w:cs="Calibri"/>
                <w:lang w:val="ro-RO"/>
              </w:rPr>
              <w:t>- Construcţii</w:t>
            </w:r>
          </w:p>
        </w:tc>
        <w:tc>
          <w:tcPr>
            <w:tcW w:w="1765" w:type="dxa"/>
            <w:tcBorders>
              <w:top w:val="nil"/>
              <w:bottom w:val="nil"/>
            </w:tcBorders>
            <w:vAlign w:val="bottom"/>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17,3</w:t>
            </w:r>
          </w:p>
        </w:tc>
        <w:tc>
          <w:tcPr>
            <w:tcW w:w="1556" w:type="dxa"/>
            <w:tcBorders>
              <w:top w:val="nil"/>
              <w:bottom w:val="nil"/>
            </w:tcBorders>
            <w:vAlign w:val="bottom"/>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10,6</w:t>
            </w:r>
          </w:p>
        </w:tc>
      </w:tr>
      <w:tr w:rsidR="000E79CA" w:rsidRPr="00AF3608" w:rsidTr="00612785">
        <w:trPr>
          <w:trHeight w:hRule="exact" w:val="266"/>
          <w:jc w:val="center"/>
        </w:trPr>
        <w:tc>
          <w:tcPr>
            <w:tcW w:w="5797" w:type="dxa"/>
            <w:tcBorders>
              <w:top w:val="nil"/>
              <w:bottom w:val="single" w:sz="2" w:space="0" w:color="333399"/>
            </w:tcBorders>
            <w:noWrap/>
            <w:vAlign w:val="center"/>
          </w:tcPr>
          <w:p w:rsidR="000E79CA" w:rsidRPr="00AF3608" w:rsidRDefault="000E79CA" w:rsidP="00B723C0">
            <w:pPr>
              <w:keepNext/>
              <w:keepLines/>
              <w:widowControl w:val="0"/>
              <w:jc w:val="both"/>
              <w:rPr>
                <w:rFonts w:ascii="Calibri" w:hAnsi="Calibri" w:cs="Calibri"/>
                <w:lang w:val="ro-RO"/>
              </w:rPr>
            </w:pPr>
            <w:r w:rsidRPr="00AF3608">
              <w:rPr>
                <w:rFonts w:ascii="Calibri" w:hAnsi="Calibri" w:cs="Calibri"/>
                <w:lang w:val="ro-RO"/>
              </w:rPr>
              <w:t>- Servicii</w:t>
            </w:r>
          </w:p>
        </w:tc>
        <w:tc>
          <w:tcPr>
            <w:tcW w:w="1765" w:type="dxa"/>
            <w:tcBorders>
              <w:top w:val="nil"/>
              <w:bottom w:val="single" w:sz="2" w:space="0" w:color="333399"/>
            </w:tcBorders>
            <w:vAlign w:val="bottom"/>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4,8</w:t>
            </w:r>
          </w:p>
        </w:tc>
        <w:tc>
          <w:tcPr>
            <w:tcW w:w="1556" w:type="dxa"/>
            <w:tcBorders>
              <w:top w:val="nil"/>
              <w:bottom w:val="single" w:sz="2" w:space="0" w:color="333399"/>
            </w:tcBorders>
            <w:vAlign w:val="bottom"/>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-2,3</w:t>
            </w:r>
          </w:p>
        </w:tc>
      </w:tr>
    </w:tbl>
    <w:p w:rsidR="000E79CA" w:rsidRPr="00AF3608" w:rsidRDefault="000E79CA" w:rsidP="00B723C0">
      <w:pPr>
        <w:spacing w:before="120"/>
        <w:ind w:firstLine="42"/>
        <w:jc w:val="both"/>
        <w:rPr>
          <w:rFonts w:ascii="Calibri" w:hAnsi="Calibri" w:cs="Calibri"/>
          <w:i/>
          <w:iCs/>
          <w:color w:val="FF0000"/>
          <w:lang w:val="ro-RO"/>
        </w:rPr>
      </w:pPr>
      <w:r w:rsidRPr="00AF3608">
        <w:rPr>
          <w:rFonts w:ascii="Calibri" w:hAnsi="Calibri" w:cs="Calibri"/>
          <w:i/>
          <w:iCs/>
          <w:lang w:val="ro-RO"/>
        </w:rPr>
        <w:t>Sursa: Institutul National de Statistică şi Comisia Naţională de Strategie şi Prognoză</w:t>
      </w:r>
    </w:p>
    <w:p w:rsidR="000E79CA" w:rsidRPr="00AF3608" w:rsidRDefault="000E79CA" w:rsidP="00B723C0">
      <w:pPr>
        <w:spacing w:before="120"/>
        <w:jc w:val="both"/>
        <w:rPr>
          <w:rFonts w:ascii="Calibri" w:hAnsi="Calibri" w:cs="Calibri"/>
          <w:lang w:val="ro-RO"/>
        </w:rPr>
      </w:pPr>
    </w:p>
    <w:p w:rsidR="000E79CA" w:rsidRPr="00AF3608" w:rsidRDefault="000E79CA" w:rsidP="00B723C0">
      <w:pPr>
        <w:spacing w:before="120"/>
        <w:jc w:val="both"/>
        <w:rPr>
          <w:rFonts w:ascii="Calibri" w:hAnsi="Calibri" w:cs="Calibri"/>
          <w:lang w:val="ro-RO"/>
        </w:rPr>
      </w:pPr>
      <w:r w:rsidRPr="00AF3608">
        <w:rPr>
          <w:rFonts w:ascii="Calibri" w:hAnsi="Calibri" w:cs="Calibri"/>
          <w:lang w:val="ro-RO"/>
        </w:rPr>
        <w:t>În trimestrul III 2020 rata de ocupare a populaţiei în vârstă de 20-64 ani a fost de 71,2% (conform definitiei AMIGO), depăşind cu 1,2 puncte procentuale ţinta naţională de 70% stabilită în contextul Strategiei 2020.</w:t>
      </w:r>
    </w:p>
    <w:p w:rsidR="000E79CA" w:rsidRPr="00AF3608" w:rsidRDefault="000E79CA" w:rsidP="00B723C0">
      <w:pPr>
        <w:spacing w:before="120" w:after="120"/>
        <w:jc w:val="both"/>
        <w:rPr>
          <w:rFonts w:ascii="Calibri" w:hAnsi="Calibri" w:cs="Calibri"/>
          <w:lang w:val="ro-RO"/>
        </w:rPr>
      </w:pPr>
      <w:r w:rsidRPr="00AF3608">
        <w:rPr>
          <w:rFonts w:ascii="Calibri" w:hAnsi="Calibri" w:cs="Calibri"/>
          <w:b/>
          <w:bCs/>
          <w:lang w:val="ro-RO"/>
        </w:rPr>
        <w:t>Numărul mediu de salariaţi</w:t>
      </w:r>
      <w:r w:rsidRPr="00AF3608">
        <w:rPr>
          <w:rFonts w:ascii="Calibri" w:hAnsi="Calibri" w:cs="Calibri"/>
          <w:lang w:val="ro-RO"/>
        </w:rPr>
        <w:t xml:space="preserve"> (media efectivelor lunare, conform INS, conform metodologiei naţionale) a fost de 4.931,1 mii persoane în primele 11 luni din 2020, în scădere cu -1,0% faţă de aceeaşi perioadă din anul 2019.</w:t>
      </w:r>
    </w:p>
    <w:p w:rsidR="000E79CA" w:rsidRPr="00AF3608" w:rsidRDefault="000E79CA" w:rsidP="00B723C0">
      <w:pPr>
        <w:spacing w:before="120" w:after="120"/>
        <w:jc w:val="both"/>
        <w:rPr>
          <w:rFonts w:ascii="Calibri" w:hAnsi="Calibri" w:cs="Calibri"/>
          <w:lang w:val="ro-RO"/>
        </w:rPr>
      </w:pPr>
      <w:r w:rsidRPr="00AF3608">
        <w:rPr>
          <w:rFonts w:ascii="Calibri" w:hAnsi="Calibri" w:cs="Calibri"/>
          <w:lang w:val="ro-RO"/>
        </w:rPr>
        <w:t xml:space="preserve">Numărul mediu de salariaţi din industrie s-a redus cu -4,3% faţă de primele 11 luni din 2020 pe fondul apariţiei crizei sanitare generate de noul CORONA virus COVID – 19 cu efect de închidere graduală a activităţilor din anumite ramuri industriale.  Această evoluţie negativă a fost compensată </w:t>
      </w:r>
      <w:r w:rsidRPr="00AF3608">
        <w:rPr>
          <w:rFonts w:ascii="Calibri" w:hAnsi="Calibri" w:cs="Calibri"/>
          <w:lang w:val="ro-RO"/>
        </w:rPr>
        <w:lastRenderedPageBreak/>
        <w:t>într-o oarecare măsură de creşterea numărului de salariaţi din celelalte activităţi ale sectorului concurenţial, în special informaţii şi comunicaţii (4,0%) şi construcţii (4,0%).</w:t>
      </w:r>
    </w:p>
    <w:p w:rsidR="000E79CA" w:rsidRPr="00AF3608" w:rsidRDefault="000E79CA" w:rsidP="00B723C0">
      <w:pPr>
        <w:spacing w:before="120"/>
        <w:jc w:val="both"/>
        <w:rPr>
          <w:rFonts w:ascii="Calibri" w:hAnsi="Calibri" w:cs="Calibri"/>
          <w:lang w:val="ro-RO"/>
        </w:rPr>
      </w:pPr>
      <w:r w:rsidRPr="00AF3608">
        <w:rPr>
          <w:rFonts w:ascii="Calibri" w:hAnsi="Calibri" w:cs="Calibri"/>
          <w:lang w:val="ro-RO"/>
        </w:rPr>
        <w:t>Rata şomajului înregistrat la sfârşitul lunii noiembrie 2020 a fost de 3,32%, mai mare cu 0,32 puncte procentuale faţă de sfârşitul lunii noiembrie 2019 (3,0%).</w:t>
      </w:r>
    </w:p>
    <w:p w:rsidR="000E79CA" w:rsidRPr="00AF3608" w:rsidRDefault="000E79CA" w:rsidP="00B723C0">
      <w:pPr>
        <w:spacing w:before="120"/>
        <w:jc w:val="both"/>
        <w:rPr>
          <w:rFonts w:ascii="Calibri" w:hAnsi="Calibri" w:cs="Calibri"/>
          <w:lang w:val="ro-RO"/>
        </w:rPr>
      </w:pPr>
      <w:r w:rsidRPr="00AF3608">
        <w:rPr>
          <w:rFonts w:ascii="Calibri" w:hAnsi="Calibri" w:cs="Calibri"/>
          <w:b/>
          <w:bCs/>
          <w:lang w:val="ro-RO"/>
        </w:rPr>
        <w:t>Câştigul salarial mediu brut</w:t>
      </w:r>
      <w:r w:rsidRPr="00AF3608">
        <w:rPr>
          <w:rFonts w:ascii="Calibri" w:hAnsi="Calibri" w:cs="Calibri"/>
          <w:lang w:val="ro-RO"/>
        </w:rPr>
        <w:t xml:space="preserve"> pe total economie, a fost pe 11 luni 2020 de 5.350 lei. Câştigul salarial mediu net s-a majorat cu 6,6 %, fiind de 3.279 lei.</w:t>
      </w:r>
    </w:p>
    <w:p w:rsidR="000E79CA" w:rsidRPr="00AF3608" w:rsidRDefault="000E79CA" w:rsidP="00B723C0">
      <w:pPr>
        <w:spacing w:before="120"/>
        <w:jc w:val="both"/>
        <w:rPr>
          <w:rFonts w:ascii="Calibri" w:hAnsi="Calibri" w:cs="Calibri"/>
          <w:lang w:val="ro-RO"/>
        </w:rPr>
      </w:pPr>
      <w:r w:rsidRPr="00AF3608">
        <w:rPr>
          <w:rFonts w:ascii="Calibri" w:hAnsi="Calibri" w:cs="Calibri"/>
          <w:lang w:val="ro-RO"/>
        </w:rPr>
        <w:t xml:space="preserve">În termeni reali, pe total economie, creşterea câştigului salarial a fost de 3,8 %. </w:t>
      </w:r>
    </w:p>
    <w:p w:rsidR="000E79CA" w:rsidRPr="00AF3608" w:rsidRDefault="000E79CA" w:rsidP="00B723C0">
      <w:pPr>
        <w:spacing w:before="120"/>
        <w:jc w:val="both"/>
        <w:rPr>
          <w:rFonts w:ascii="Calibri" w:hAnsi="Calibri" w:cs="Calibri"/>
          <w:lang w:val="ro-RO"/>
        </w:rPr>
      </w:pPr>
      <w:r w:rsidRPr="00AF3608">
        <w:rPr>
          <w:rFonts w:ascii="Calibri" w:hAnsi="Calibri" w:cs="Calibri"/>
          <w:lang w:val="ro-RO"/>
        </w:rPr>
        <w:t xml:space="preserve">În anul 2019, </w:t>
      </w:r>
      <w:r w:rsidRPr="00AF3608">
        <w:rPr>
          <w:rFonts w:ascii="Calibri" w:hAnsi="Calibri" w:cs="Calibri"/>
          <w:b/>
          <w:lang w:val="ro-RO"/>
        </w:rPr>
        <w:t>exporturile de bunuri</w:t>
      </w:r>
      <w:r w:rsidRPr="00AF3608">
        <w:rPr>
          <w:rFonts w:ascii="Calibri" w:hAnsi="Calibri" w:cs="Calibri"/>
          <w:lang w:val="ro-RO"/>
        </w:rPr>
        <w:t xml:space="preserve"> au avut o valoare de 69,0 mld. euro, mai mari cu 1,9% comparativ cu anul 2018, în timp ce creşterea înregistrată de importurile de bunuri a fost de 4,2%, valoarea acestora fiind de 86,3 mld. euro. În aceste condiţii, deficitul comercial FOB-CIF a fost de 17,3 mld. euro, în creştere cu 14,4% comparativ cu cel înregistrat în anul 2018. </w:t>
      </w:r>
    </w:p>
    <w:p w:rsidR="000E79CA" w:rsidRPr="00AF3608" w:rsidRDefault="000E79CA" w:rsidP="00B723C0">
      <w:pPr>
        <w:widowControl w:val="0"/>
        <w:spacing w:before="120"/>
        <w:jc w:val="both"/>
        <w:rPr>
          <w:rFonts w:ascii="Calibri" w:hAnsi="Calibri" w:cs="Calibri"/>
          <w:lang w:val="ro-RO"/>
        </w:rPr>
      </w:pPr>
      <w:r w:rsidRPr="00AF3608">
        <w:rPr>
          <w:rFonts w:ascii="Calibri" w:hAnsi="Calibri" w:cs="Calibri"/>
          <w:lang w:val="ro-RO"/>
        </w:rPr>
        <w:t xml:space="preserve">Exporturile de bunuriau înregistrat în primele 11 luni ale anului 2020 o scădere cu 11,0%, față de aceeași perioadă a anului 2019 și au însumat valoarea de 57,1mld. euro, fiind semnificativ afectate de generalizarea pandemiei de corona virus. În contextul restrângerii schimburilor comerciale internaționale și al părăsirii Uniunii Europene de către Marea Britanie, expedierile intra-comunitare au reprezentat 74,0% din totalul exporturilor realizate la sfârșitul primelor 11 luni ale anului curent și au avut o valoare cu 10,0% mai mică decât nivelul atins în aceeași perioada a anului 2019. </w:t>
      </w:r>
      <w:r w:rsidRPr="00AF3608">
        <w:rPr>
          <w:rFonts w:ascii="Calibri" w:hAnsi="Calibri" w:cs="Calibri"/>
          <w:b/>
          <w:bCs/>
          <w:lang w:val="ro-RO"/>
        </w:rPr>
        <w:t xml:space="preserve">Importurile de bunuri </w:t>
      </w:r>
      <w:r w:rsidRPr="00AF3608">
        <w:rPr>
          <w:rFonts w:ascii="Calibri" w:hAnsi="Calibri" w:cs="Calibri"/>
          <w:lang w:val="ro-RO"/>
        </w:rPr>
        <w:t>s-au redus cu 7,7%, comparativ cu perioada corespunzătoare a anului 2019 și s-au situat la un nivel de 73,5 mld. euro. Pe zona intra de provenien</w:t>
      </w:r>
      <w:bookmarkStart w:id="3" w:name="_Hlk58488073"/>
      <w:r w:rsidRPr="00AF3608">
        <w:rPr>
          <w:rFonts w:ascii="Calibri" w:hAnsi="Calibri" w:cs="Calibri"/>
          <w:lang w:val="ro-RO"/>
        </w:rPr>
        <w:t>ță</w:t>
      </w:r>
      <w:bookmarkEnd w:id="3"/>
      <w:r w:rsidRPr="00AF3608">
        <w:rPr>
          <w:rFonts w:ascii="Calibri" w:hAnsi="Calibri" w:cs="Calibri"/>
          <w:lang w:val="ro-RO"/>
        </w:rPr>
        <w:t>, valoarea achizițiilorde bunuri a fost de 54,1 mld. euro, reprezentând 73,6% din totalul importurilor.</w:t>
      </w:r>
    </w:p>
    <w:p w:rsidR="000E79CA" w:rsidRPr="00AF3608" w:rsidRDefault="000E79CA" w:rsidP="00B723C0">
      <w:pPr>
        <w:widowControl w:val="0"/>
        <w:spacing w:before="120"/>
        <w:jc w:val="both"/>
        <w:rPr>
          <w:rFonts w:ascii="Calibri" w:hAnsi="Calibri" w:cs="Calibri"/>
          <w:lang w:val="ro-RO" w:eastAsia="ro-RO"/>
        </w:rPr>
      </w:pPr>
      <w:r w:rsidRPr="00AF3608">
        <w:rPr>
          <w:rFonts w:ascii="Calibri" w:hAnsi="Calibri" w:cs="Calibri"/>
          <w:lang w:val="ro-RO"/>
        </w:rPr>
        <w:t xml:space="preserve">Pe întreg anul 2020, exporturile de bunuri se aşteaptă să atingă valoarea de 61,8 mld. euro, în scădere cu 10,4% faţă de anul anterior, iar importurile CIF se estimează că vor avea o valoare de 80,2 mld. euro, în scădere cu 7,1%. </w:t>
      </w:r>
      <w:r w:rsidRPr="00AF3608">
        <w:rPr>
          <w:rFonts w:ascii="Calibri" w:hAnsi="Calibri" w:cs="Calibri"/>
          <w:lang w:val="ro-RO" w:eastAsia="ro-RO"/>
        </w:rPr>
        <w:t xml:space="preserve">Această evoluție a schimburilor comerciale se încadrează în contextul întreruperii lanțurilor externe de aprovizionare și al restrângerii cererii de bunuri pe piețele principalilor perteneri comerciali, ca urmare a măsurilor impuse de generalizarea crizei sanitare. </w:t>
      </w:r>
    </w:p>
    <w:p w:rsidR="000E79CA" w:rsidRPr="00AF3608" w:rsidRDefault="000E79CA" w:rsidP="00B723C0">
      <w:pPr>
        <w:widowControl w:val="0"/>
        <w:spacing w:before="120"/>
        <w:jc w:val="both"/>
        <w:rPr>
          <w:rFonts w:ascii="Calibri" w:hAnsi="Calibri" w:cs="Calibri"/>
          <w:lang w:val="ro-RO"/>
        </w:rPr>
      </w:pPr>
      <w:r w:rsidRPr="00AF3608">
        <w:rPr>
          <w:rFonts w:ascii="Calibri" w:hAnsi="Calibri" w:cs="Calibri"/>
          <w:lang w:val="ro-RO"/>
        </w:rPr>
        <w:t>Contul curent al balanţei de plăţi a înregistrat în anul 2019 un deficit în valoare de 10,5 mld. euro, reprezentând 4,7% din PIB. După primele 11 luni ale anului curent, valoarea deficitul de cont current a fost de 9,8 mld. euro, cu 108 mil.euro mai mult decât în aceeași perioadă a anului anterior. Pe întreg anul 2020 se aşteaptă ca soldul negativ să se adâncească până la 10,9 mld. euro, pe seama deficitului balanţei comerciale.</w:t>
      </w:r>
    </w:p>
    <w:p w:rsidR="000E79CA" w:rsidRPr="00AF3608" w:rsidRDefault="000E79CA" w:rsidP="00B723C0">
      <w:pPr>
        <w:widowControl w:val="0"/>
        <w:spacing w:before="120"/>
        <w:jc w:val="right"/>
        <w:rPr>
          <w:rFonts w:ascii="Calibri" w:hAnsi="Calibri" w:cs="Calibri"/>
          <w:lang w:val="ro-RO"/>
        </w:rPr>
      </w:pPr>
    </w:p>
    <w:p w:rsidR="000E79CA" w:rsidRPr="00AF3608" w:rsidRDefault="000E79CA" w:rsidP="00B723C0">
      <w:pPr>
        <w:keepNext/>
        <w:keepLines/>
        <w:widowControl w:val="0"/>
        <w:spacing w:before="120"/>
        <w:jc w:val="right"/>
        <w:rPr>
          <w:rFonts w:ascii="Calibri" w:hAnsi="Calibri" w:cs="Calibri"/>
          <w:lang w:val="ro-RO"/>
        </w:rPr>
      </w:pPr>
      <w:r w:rsidRPr="00AF3608">
        <w:rPr>
          <w:rFonts w:ascii="Calibri" w:hAnsi="Calibri" w:cs="Calibri"/>
          <w:lang w:val="ro-RO"/>
        </w:rPr>
        <w:t>- mil. euro -</w:t>
      </w:r>
    </w:p>
    <w:tbl>
      <w:tblPr>
        <w:tblW w:w="9320" w:type="dxa"/>
        <w:jc w:val="center"/>
        <w:tblBorders>
          <w:top w:val="single" w:sz="24" w:space="0" w:color="auto"/>
          <w:bottom w:val="single" w:sz="24" w:space="0" w:color="auto"/>
        </w:tblBorders>
        <w:shd w:val="clear" w:color="auto" w:fill="FBFBFF"/>
        <w:tblLook w:val="0000" w:firstRow="0" w:lastRow="0" w:firstColumn="0" w:lastColumn="0" w:noHBand="0" w:noVBand="0"/>
      </w:tblPr>
      <w:tblGrid>
        <w:gridCol w:w="6055"/>
        <w:gridCol w:w="1582"/>
        <w:gridCol w:w="1683"/>
      </w:tblGrid>
      <w:tr w:rsidR="000E79CA" w:rsidRPr="00AF3608" w:rsidTr="005F3BD1">
        <w:trPr>
          <w:trHeight w:val="475"/>
          <w:tblHeader/>
          <w:jc w:val="center"/>
        </w:trPr>
        <w:tc>
          <w:tcPr>
            <w:tcW w:w="6055" w:type="dxa"/>
            <w:tcBorders>
              <w:top w:val="single" w:sz="2" w:space="0" w:color="333399"/>
              <w:bottom w:val="single" w:sz="2" w:space="0" w:color="333399"/>
            </w:tcBorders>
            <w:shd w:val="clear" w:color="auto" w:fill="8EAADB" w:themeFill="accent5" w:themeFillTint="99"/>
            <w:noWrap/>
            <w:vAlign w:val="center"/>
          </w:tcPr>
          <w:p w:rsidR="000E79CA" w:rsidRPr="00AF3608" w:rsidRDefault="000E79CA" w:rsidP="00B723C0">
            <w:pPr>
              <w:keepNext/>
              <w:keepLines/>
              <w:widowControl w:val="0"/>
              <w:spacing w:before="120"/>
              <w:jc w:val="both"/>
              <w:rPr>
                <w:rFonts w:ascii="Calibri" w:hAnsi="Calibri" w:cs="Calibri"/>
                <w:b/>
                <w:lang w:val="ro-RO"/>
              </w:rPr>
            </w:pPr>
            <w:r w:rsidRPr="00AF3608">
              <w:rPr>
                <w:rFonts w:ascii="Calibri" w:hAnsi="Calibri" w:cs="Calibri"/>
                <w:b/>
                <w:lang w:val="ro-RO"/>
              </w:rPr>
              <w:t>Comerţul exterior şi contul curent</w:t>
            </w:r>
          </w:p>
        </w:tc>
        <w:tc>
          <w:tcPr>
            <w:tcW w:w="1582" w:type="dxa"/>
            <w:tcBorders>
              <w:top w:val="single" w:sz="2" w:space="0" w:color="333399"/>
              <w:bottom w:val="single" w:sz="2" w:space="0" w:color="333399"/>
            </w:tcBorders>
            <w:shd w:val="clear" w:color="auto" w:fill="8EAADB" w:themeFill="accent5" w:themeFillTint="99"/>
            <w:vAlign w:val="center"/>
          </w:tcPr>
          <w:p w:rsidR="000E79CA" w:rsidRPr="00AF3608" w:rsidRDefault="000E79CA" w:rsidP="00B723C0">
            <w:pPr>
              <w:keepNext/>
              <w:keepLines/>
              <w:widowControl w:val="0"/>
              <w:spacing w:before="120"/>
              <w:jc w:val="center"/>
              <w:rPr>
                <w:rFonts w:ascii="Calibri" w:hAnsi="Calibri" w:cs="Calibri"/>
                <w:b/>
                <w:lang w:val="ro-RO"/>
              </w:rPr>
            </w:pPr>
            <w:r w:rsidRPr="00AF3608">
              <w:rPr>
                <w:rFonts w:ascii="Calibri" w:hAnsi="Calibri" w:cs="Calibri"/>
                <w:b/>
                <w:lang w:val="ro-RO"/>
              </w:rPr>
              <w:t>2019</w:t>
            </w:r>
          </w:p>
        </w:tc>
        <w:tc>
          <w:tcPr>
            <w:tcW w:w="1683" w:type="dxa"/>
            <w:tcBorders>
              <w:top w:val="single" w:sz="2" w:space="0" w:color="333399"/>
              <w:bottom w:val="single" w:sz="2" w:space="0" w:color="333399"/>
            </w:tcBorders>
            <w:shd w:val="clear" w:color="auto" w:fill="8EAADB" w:themeFill="accent5" w:themeFillTint="99"/>
            <w:noWrap/>
            <w:vAlign w:val="center"/>
          </w:tcPr>
          <w:p w:rsidR="000E79CA" w:rsidRPr="00AF3608" w:rsidRDefault="000E79CA" w:rsidP="00B723C0">
            <w:pPr>
              <w:keepNext/>
              <w:keepLines/>
              <w:widowControl w:val="0"/>
              <w:spacing w:before="120"/>
              <w:jc w:val="center"/>
              <w:rPr>
                <w:rFonts w:ascii="Calibri" w:hAnsi="Calibri" w:cs="Calibri"/>
                <w:b/>
                <w:lang w:val="ro-RO"/>
              </w:rPr>
            </w:pPr>
            <w:r w:rsidRPr="00AF3608">
              <w:rPr>
                <w:rFonts w:ascii="Calibri" w:hAnsi="Calibri" w:cs="Calibri"/>
                <w:b/>
                <w:lang w:val="ro-RO"/>
              </w:rPr>
              <w:t>2020</w:t>
            </w:r>
          </w:p>
        </w:tc>
      </w:tr>
      <w:tr w:rsidR="000E79CA" w:rsidRPr="00AF3608" w:rsidTr="00612785">
        <w:trPr>
          <w:trHeight w:val="315"/>
          <w:jc w:val="center"/>
        </w:trPr>
        <w:tc>
          <w:tcPr>
            <w:tcW w:w="6055" w:type="dxa"/>
            <w:tcBorders>
              <w:top w:val="single" w:sz="2" w:space="0" w:color="333399"/>
              <w:bottom w:val="nil"/>
            </w:tcBorders>
            <w:shd w:val="clear" w:color="auto" w:fill="auto"/>
            <w:noWrap/>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Export FOB</w:t>
            </w:r>
          </w:p>
        </w:tc>
        <w:tc>
          <w:tcPr>
            <w:tcW w:w="1582" w:type="dxa"/>
            <w:tcBorders>
              <w:top w:val="single" w:sz="2" w:space="0" w:color="333399"/>
              <w:bottom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68.998,1</w:t>
            </w:r>
          </w:p>
        </w:tc>
        <w:tc>
          <w:tcPr>
            <w:tcW w:w="1683" w:type="dxa"/>
            <w:tcBorders>
              <w:top w:val="single" w:sz="2" w:space="0" w:color="333399"/>
              <w:bottom w:val="nil"/>
            </w:tcBorders>
            <w:shd w:val="clear" w:color="auto" w:fill="auto"/>
            <w:noWrap/>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61.806</w:t>
            </w:r>
          </w:p>
        </w:tc>
      </w:tr>
      <w:tr w:rsidR="000E79CA" w:rsidRPr="00AF3608" w:rsidTr="00612785">
        <w:trPr>
          <w:trHeight w:val="315"/>
          <w:jc w:val="center"/>
        </w:trPr>
        <w:tc>
          <w:tcPr>
            <w:tcW w:w="6055" w:type="dxa"/>
            <w:tcBorders>
              <w:top w:val="nil"/>
              <w:bottom w:val="nil"/>
            </w:tcBorders>
            <w:shd w:val="clear" w:color="auto" w:fill="auto"/>
            <w:noWrap/>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 xml:space="preserve">    - modificare procentuală anuală, %</w:t>
            </w:r>
          </w:p>
        </w:tc>
        <w:tc>
          <w:tcPr>
            <w:tcW w:w="1582" w:type="dxa"/>
            <w:tcBorders>
              <w:top w:val="nil"/>
              <w:bottom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1,9</w:t>
            </w:r>
          </w:p>
        </w:tc>
        <w:tc>
          <w:tcPr>
            <w:tcW w:w="1683" w:type="dxa"/>
            <w:tcBorders>
              <w:top w:val="nil"/>
              <w:bottom w:val="nil"/>
            </w:tcBorders>
            <w:shd w:val="clear" w:color="auto" w:fill="auto"/>
            <w:noWrap/>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-10,4</w:t>
            </w:r>
          </w:p>
        </w:tc>
      </w:tr>
      <w:tr w:rsidR="000E79CA" w:rsidRPr="00AF3608" w:rsidTr="00612785">
        <w:trPr>
          <w:trHeight w:val="315"/>
          <w:jc w:val="center"/>
        </w:trPr>
        <w:tc>
          <w:tcPr>
            <w:tcW w:w="6055" w:type="dxa"/>
            <w:tcBorders>
              <w:top w:val="nil"/>
              <w:bottom w:val="nil"/>
            </w:tcBorders>
            <w:shd w:val="clear" w:color="auto" w:fill="auto"/>
            <w:noWrap/>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Import CIF</w:t>
            </w:r>
          </w:p>
        </w:tc>
        <w:tc>
          <w:tcPr>
            <w:tcW w:w="1582" w:type="dxa"/>
            <w:tcBorders>
              <w:top w:val="nil"/>
              <w:bottom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86.297,0</w:t>
            </w:r>
          </w:p>
        </w:tc>
        <w:tc>
          <w:tcPr>
            <w:tcW w:w="1683" w:type="dxa"/>
            <w:tcBorders>
              <w:top w:val="nil"/>
              <w:bottom w:val="nil"/>
            </w:tcBorders>
            <w:shd w:val="clear" w:color="auto" w:fill="auto"/>
            <w:noWrap/>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80.159</w:t>
            </w:r>
          </w:p>
        </w:tc>
      </w:tr>
      <w:tr w:rsidR="000E79CA" w:rsidRPr="00AF3608" w:rsidTr="00612785">
        <w:trPr>
          <w:trHeight w:val="315"/>
          <w:jc w:val="center"/>
        </w:trPr>
        <w:tc>
          <w:tcPr>
            <w:tcW w:w="6055" w:type="dxa"/>
            <w:tcBorders>
              <w:top w:val="nil"/>
              <w:bottom w:val="nil"/>
            </w:tcBorders>
            <w:shd w:val="clear" w:color="auto" w:fill="auto"/>
            <w:noWrap/>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 xml:space="preserve">    - modificare procentuală anuală, %</w:t>
            </w:r>
          </w:p>
        </w:tc>
        <w:tc>
          <w:tcPr>
            <w:tcW w:w="1582" w:type="dxa"/>
            <w:tcBorders>
              <w:top w:val="nil"/>
              <w:bottom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4,2</w:t>
            </w:r>
          </w:p>
        </w:tc>
        <w:tc>
          <w:tcPr>
            <w:tcW w:w="1683" w:type="dxa"/>
            <w:tcBorders>
              <w:top w:val="nil"/>
              <w:bottom w:val="nil"/>
            </w:tcBorders>
            <w:shd w:val="clear" w:color="auto" w:fill="auto"/>
            <w:noWrap/>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-7,1</w:t>
            </w:r>
          </w:p>
        </w:tc>
      </w:tr>
      <w:tr w:rsidR="000E79CA" w:rsidRPr="00AF3608" w:rsidTr="00612785">
        <w:trPr>
          <w:trHeight w:val="315"/>
          <w:jc w:val="center"/>
        </w:trPr>
        <w:tc>
          <w:tcPr>
            <w:tcW w:w="6055" w:type="dxa"/>
            <w:tcBorders>
              <w:top w:val="nil"/>
              <w:bottom w:val="nil"/>
            </w:tcBorders>
            <w:shd w:val="clear" w:color="auto" w:fill="auto"/>
            <w:noWrap/>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 xml:space="preserve">Sold Balanţă Comercială FOB - CIF </w:t>
            </w:r>
          </w:p>
        </w:tc>
        <w:tc>
          <w:tcPr>
            <w:tcW w:w="1582" w:type="dxa"/>
            <w:tcBorders>
              <w:top w:val="nil"/>
              <w:bottom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-17.298,9</w:t>
            </w:r>
          </w:p>
        </w:tc>
        <w:tc>
          <w:tcPr>
            <w:tcW w:w="1683" w:type="dxa"/>
            <w:tcBorders>
              <w:top w:val="nil"/>
              <w:bottom w:val="nil"/>
            </w:tcBorders>
            <w:shd w:val="clear" w:color="auto" w:fill="auto"/>
            <w:noWrap/>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-18.353</w:t>
            </w:r>
          </w:p>
        </w:tc>
      </w:tr>
      <w:tr w:rsidR="000E79CA" w:rsidRPr="00AF3608" w:rsidTr="00612785">
        <w:trPr>
          <w:trHeight w:val="315"/>
          <w:jc w:val="center"/>
        </w:trPr>
        <w:tc>
          <w:tcPr>
            <w:tcW w:w="6055" w:type="dxa"/>
            <w:tcBorders>
              <w:top w:val="nil"/>
              <w:bottom w:val="nil"/>
            </w:tcBorders>
            <w:shd w:val="clear" w:color="auto" w:fill="auto"/>
            <w:noWrap/>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Soldul contului curent</w:t>
            </w:r>
          </w:p>
        </w:tc>
        <w:tc>
          <w:tcPr>
            <w:tcW w:w="1582" w:type="dxa"/>
            <w:tcBorders>
              <w:top w:val="nil"/>
              <w:bottom w:val="nil"/>
            </w:tcBorders>
            <w:vAlign w:val="center"/>
          </w:tcPr>
          <w:p w:rsidR="000E79CA" w:rsidRPr="00AF3608" w:rsidRDefault="000E79CA" w:rsidP="00B723C0">
            <w:pPr>
              <w:keepNext/>
              <w:keepLines/>
              <w:widowControl w:val="0"/>
              <w:spacing w:before="120"/>
              <w:jc w:val="center"/>
              <w:rPr>
                <w:rFonts w:ascii="Calibri" w:hAnsi="Calibri" w:cs="Calibri"/>
                <w:bCs/>
                <w:lang w:val="ro-RO"/>
              </w:rPr>
            </w:pPr>
            <w:r w:rsidRPr="00AF3608">
              <w:rPr>
                <w:rFonts w:ascii="Calibri" w:hAnsi="Calibri" w:cs="Calibri"/>
                <w:bCs/>
                <w:lang w:val="ro-RO"/>
              </w:rPr>
              <w:t>-10.479</w:t>
            </w:r>
          </w:p>
        </w:tc>
        <w:tc>
          <w:tcPr>
            <w:tcW w:w="1683" w:type="dxa"/>
            <w:tcBorders>
              <w:top w:val="nil"/>
              <w:bottom w:val="nil"/>
            </w:tcBorders>
            <w:shd w:val="clear" w:color="auto" w:fill="auto"/>
            <w:noWrap/>
            <w:vAlign w:val="center"/>
          </w:tcPr>
          <w:p w:rsidR="000E79CA" w:rsidRPr="00AF3608" w:rsidRDefault="000E79CA" w:rsidP="00B723C0">
            <w:pPr>
              <w:keepNext/>
              <w:keepLines/>
              <w:widowControl w:val="0"/>
              <w:spacing w:before="120"/>
              <w:jc w:val="center"/>
              <w:rPr>
                <w:rFonts w:ascii="Calibri" w:hAnsi="Calibri" w:cs="Calibri"/>
                <w:bCs/>
                <w:lang w:val="ro-RO"/>
              </w:rPr>
            </w:pPr>
            <w:r w:rsidRPr="00AF3608">
              <w:rPr>
                <w:rFonts w:ascii="Calibri" w:hAnsi="Calibri" w:cs="Calibri"/>
                <w:bCs/>
                <w:lang w:val="ro-RO"/>
              </w:rPr>
              <w:t>-10.851</w:t>
            </w:r>
          </w:p>
        </w:tc>
      </w:tr>
      <w:tr w:rsidR="000E79CA" w:rsidRPr="00AF3608" w:rsidTr="00612785">
        <w:trPr>
          <w:trHeight w:val="315"/>
          <w:jc w:val="center"/>
        </w:trPr>
        <w:tc>
          <w:tcPr>
            <w:tcW w:w="6055" w:type="dxa"/>
            <w:tcBorders>
              <w:top w:val="nil"/>
              <w:bottom w:val="single" w:sz="2" w:space="0" w:color="auto"/>
            </w:tcBorders>
            <w:shd w:val="clear" w:color="auto" w:fill="auto"/>
            <w:noWrap/>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 xml:space="preserve">     - % din PIB</w:t>
            </w:r>
          </w:p>
        </w:tc>
        <w:tc>
          <w:tcPr>
            <w:tcW w:w="1582" w:type="dxa"/>
            <w:tcBorders>
              <w:top w:val="nil"/>
              <w:bottom w:val="single" w:sz="2" w:space="0" w:color="auto"/>
            </w:tcBorders>
            <w:vAlign w:val="bottom"/>
          </w:tcPr>
          <w:p w:rsidR="000E79CA" w:rsidRPr="00AF3608" w:rsidRDefault="000E79CA" w:rsidP="00B723C0">
            <w:pPr>
              <w:keepNext/>
              <w:keepLines/>
              <w:widowControl w:val="0"/>
              <w:spacing w:before="120"/>
              <w:jc w:val="center"/>
              <w:rPr>
                <w:rFonts w:ascii="Calibri" w:hAnsi="Calibri" w:cs="Calibri"/>
                <w:bCs/>
                <w:lang w:val="ro-RO"/>
              </w:rPr>
            </w:pPr>
            <w:r w:rsidRPr="00AF3608">
              <w:rPr>
                <w:rFonts w:ascii="Calibri" w:hAnsi="Calibri" w:cs="Calibri"/>
                <w:bCs/>
                <w:lang w:val="ro-RO"/>
              </w:rPr>
              <w:t>-4,7</w:t>
            </w:r>
          </w:p>
        </w:tc>
        <w:tc>
          <w:tcPr>
            <w:tcW w:w="1683" w:type="dxa"/>
            <w:tcBorders>
              <w:top w:val="nil"/>
              <w:bottom w:val="single" w:sz="2" w:space="0" w:color="auto"/>
            </w:tcBorders>
            <w:shd w:val="clear" w:color="auto" w:fill="auto"/>
            <w:noWrap/>
            <w:vAlign w:val="bottom"/>
          </w:tcPr>
          <w:p w:rsidR="000E79CA" w:rsidRPr="00AF3608" w:rsidRDefault="000E79CA" w:rsidP="00B723C0">
            <w:pPr>
              <w:keepNext/>
              <w:keepLines/>
              <w:widowControl w:val="0"/>
              <w:spacing w:before="120"/>
              <w:jc w:val="center"/>
              <w:rPr>
                <w:rFonts w:ascii="Calibri" w:hAnsi="Calibri" w:cs="Calibri"/>
                <w:bCs/>
                <w:lang w:val="ro-RO"/>
              </w:rPr>
            </w:pPr>
            <w:r w:rsidRPr="00AF3608">
              <w:rPr>
                <w:rFonts w:ascii="Calibri" w:hAnsi="Calibri" w:cs="Calibri"/>
                <w:bCs/>
                <w:lang w:val="ro-RO"/>
              </w:rPr>
              <w:t>-5,0</w:t>
            </w:r>
          </w:p>
        </w:tc>
      </w:tr>
    </w:tbl>
    <w:p w:rsidR="000E79CA" w:rsidRPr="00AF3608" w:rsidRDefault="000E79CA" w:rsidP="00B723C0">
      <w:pPr>
        <w:widowControl w:val="0"/>
        <w:spacing w:before="120"/>
        <w:jc w:val="both"/>
        <w:rPr>
          <w:rFonts w:ascii="Calibri" w:hAnsi="Calibri" w:cs="Calibri"/>
          <w:bCs/>
          <w:i/>
          <w:iCs/>
          <w:lang w:val="ro-RO"/>
        </w:rPr>
      </w:pPr>
      <w:r w:rsidRPr="00AF3608">
        <w:rPr>
          <w:rFonts w:ascii="Calibri" w:hAnsi="Calibri" w:cs="Calibri"/>
          <w:bCs/>
          <w:i/>
          <w:iCs/>
          <w:lang w:val="ro-RO"/>
        </w:rPr>
        <w:t xml:space="preserve">        Sursa: Institutul Naţional de Statistică,  Banca Naţională a României, CNSP</w:t>
      </w:r>
    </w:p>
    <w:p w:rsidR="000E79CA" w:rsidRPr="00AF3608" w:rsidRDefault="000E79CA" w:rsidP="00450C35">
      <w:pPr>
        <w:widowControl w:val="0"/>
        <w:spacing w:before="120"/>
        <w:jc w:val="both"/>
        <w:rPr>
          <w:rFonts w:ascii="Calibri" w:eastAsiaTheme="minorHAnsi" w:hAnsi="Calibri" w:cs="Calibri"/>
          <w:lang w:val="ro-RO"/>
        </w:rPr>
      </w:pPr>
    </w:p>
    <w:p w:rsidR="000E79CA" w:rsidRPr="00AF3608" w:rsidRDefault="000E79CA" w:rsidP="00450C35">
      <w:pPr>
        <w:widowControl w:val="0"/>
        <w:spacing w:before="120"/>
        <w:jc w:val="both"/>
        <w:rPr>
          <w:rFonts w:ascii="Calibri" w:eastAsiaTheme="minorHAnsi" w:hAnsi="Calibri" w:cs="Calibri"/>
          <w:lang w:val="ro-RO"/>
        </w:rPr>
      </w:pPr>
      <w:r w:rsidRPr="00AF3608">
        <w:rPr>
          <w:rFonts w:ascii="Calibri" w:eastAsiaTheme="minorHAnsi" w:hAnsi="Calibri" w:cs="Calibri"/>
          <w:lang w:val="ro-RO"/>
        </w:rPr>
        <w:t>În anul 2019 preţurile de consum s-au majorat în medie cu 3,83%, comparativ cu anul anterior, pe seama creşterii preţurilor la mărfurile alimentare (4,69%), în timp ce preţurile mărfurilor nealimentare au crescut cu 3,24%, iar tarifele la servicii cu 3,87%. Inflaţia anuală în luna decembrie a atins nivelul de 4,04%.</w:t>
      </w:r>
    </w:p>
    <w:p w:rsidR="000E79CA" w:rsidRPr="00AF3608" w:rsidRDefault="000E79CA" w:rsidP="00450C35">
      <w:pPr>
        <w:widowControl w:val="0"/>
        <w:spacing w:before="120"/>
        <w:jc w:val="both"/>
        <w:rPr>
          <w:rFonts w:ascii="Calibri" w:eastAsiaTheme="minorHAnsi" w:hAnsi="Calibri" w:cs="Calibri"/>
          <w:lang w:val="ro-RO"/>
        </w:rPr>
      </w:pPr>
      <w:r w:rsidRPr="00AF3608">
        <w:rPr>
          <w:rFonts w:ascii="Calibri" w:eastAsiaTheme="minorHAnsi" w:hAnsi="Calibri" w:cs="Calibri"/>
          <w:lang w:val="ro-RO"/>
        </w:rPr>
        <w:t xml:space="preserve">In anul 2020 inflația anuală a continuat pe tot parcursul anului traiectoria descendentă manifestată încă din prima parte a anului, ajungând în luna decembrie la un minim de 2,06%. Reducerea ratei inflației a avut loc în condițiile unei contracții a cererii interne, a căror efecte au fost atenuate parțial de o depreciere a monedei naționale față de euro în medie de 1,9%. </w:t>
      </w:r>
    </w:p>
    <w:p w:rsidR="000E79CA" w:rsidRPr="00AF3608" w:rsidRDefault="000E79CA" w:rsidP="00450C35">
      <w:pPr>
        <w:widowControl w:val="0"/>
        <w:spacing w:before="120"/>
        <w:jc w:val="both"/>
        <w:rPr>
          <w:rFonts w:ascii="Calibri" w:hAnsi="Calibri" w:cs="Calibri"/>
          <w:lang w:val="ro-RO"/>
        </w:rPr>
      </w:pPr>
      <w:r w:rsidRPr="00AF3608">
        <w:rPr>
          <w:rFonts w:ascii="Calibri" w:eastAsiaTheme="minorHAnsi" w:hAnsi="Calibri" w:cs="Calibri"/>
          <w:lang w:val="ro-RO"/>
        </w:rPr>
        <w:t>Încetinirea ratei anuale a inflației din ultimele luni a fost determinată de scăderea prețurilor legumelor și fructelor pe fondul unei oferte în creștere, dar și a unui efect de bază înregistrat pentru unele produse alimentare. Evoluţia a fost atenuată parţial de majorările consemnate în luna decembrie</w:t>
      </w:r>
      <w:r w:rsidRPr="00AF3608">
        <w:rPr>
          <w:rFonts w:ascii="Calibri" w:hAnsi="Calibri" w:cs="Calibri"/>
          <w:lang w:val="ro-RO"/>
        </w:rPr>
        <w:t xml:space="preserve"> la combustibil şi ţigări.</w:t>
      </w:r>
    </w:p>
    <w:p w:rsidR="000E79CA" w:rsidRPr="00AF3608" w:rsidRDefault="000E79CA" w:rsidP="00450C35">
      <w:pPr>
        <w:widowControl w:val="0"/>
        <w:spacing w:before="120"/>
        <w:jc w:val="both"/>
        <w:rPr>
          <w:rFonts w:ascii="Calibri" w:hAnsi="Calibri" w:cs="Calibri"/>
          <w:lang w:val="ro-RO"/>
        </w:rPr>
      </w:pPr>
      <w:r w:rsidRPr="00AF3608">
        <w:rPr>
          <w:rFonts w:ascii="Calibri" w:hAnsi="Calibri" w:cs="Calibri"/>
          <w:lang w:val="ro-RO"/>
        </w:rPr>
        <w:t>În medie, inflația a înregistrat în anul 2020 un nivel moderat, de 2,63%, creșteri peste medie remarcându-se la prețurile alimentare (4,80%) și la tarifele pentru servicii (3,10%), în timp ce prețurile mărfurilor nealimentare s-au majorat doar cu 1,01%.</w:t>
      </w:r>
    </w:p>
    <w:p w:rsidR="000E79CA" w:rsidRPr="00AF3608" w:rsidRDefault="000E79CA" w:rsidP="00B723C0">
      <w:pPr>
        <w:pStyle w:val="List"/>
        <w:spacing w:before="120"/>
        <w:ind w:left="0" w:firstLine="0"/>
        <w:jc w:val="both"/>
        <w:rPr>
          <w:rFonts w:asciiTheme="minorHAnsi" w:hAnsiTheme="minorHAnsi" w:cstheme="minorHAnsi"/>
          <w:b/>
          <w:bCs/>
          <w:shd w:val="clear" w:color="auto" w:fill="99CCFF"/>
          <w:lang w:val="ro-RO"/>
        </w:rPr>
      </w:pPr>
    </w:p>
    <w:p w:rsidR="005F3BD1" w:rsidRPr="00AF3608" w:rsidRDefault="005F3BD1" w:rsidP="00B723C0">
      <w:pPr>
        <w:pStyle w:val="List"/>
        <w:spacing w:before="120"/>
        <w:ind w:left="0" w:firstLine="0"/>
        <w:jc w:val="both"/>
        <w:rPr>
          <w:rFonts w:asciiTheme="minorHAnsi" w:hAnsiTheme="minorHAnsi" w:cstheme="minorHAnsi"/>
          <w:b/>
          <w:bCs/>
          <w:shd w:val="clear" w:color="auto" w:fill="99CCFF"/>
          <w:lang w:val="ro-RO"/>
        </w:rPr>
      </w:pPr>
    </w:p>
    <w:tbl>
      <w:tblPr>
        <w:tblW w:w="4926" w:type="pct"/>
        <w:jc w:val="center"/>
        <w:shd w:val="clear" w:color="auto" w:fill="D9E2F3"/>
        <w:tblLook w:val="01E0" w:firstRow="1" w:lastRow="1" w:firstColumn="1" w:lastColumn="1" w:noHBand="0" w:noVBand="0"/>
      </w:tblPr>
      <w:tblGrid>
        <w:gridCol w:w="9496"/>
      </w:tblGrid>
      <w:tr w:rsidR="004C6470" w:rsidRPr="00AF3608" w:rsidTr="00B00050">
        <w:trPr>
          <w:trHeight w:val="284"/>
          <w:jc w:val="center"/>
        </w:trPr>
        <w:tc>
          <w:tcPr>
            <w:tcW w:w="5000" w:type="pct"/>
            <w:shd w:val="clear" w:color="auto" w:fill="8EAADB" w:themeFill="accent5" w:themeFillTint="99"/>
          </w:tcPr>
          <w:p w:rsidR="004C6470" w:rsidRPr="00AF3608" w:rsidRDefault="00C4244C" w:rsidP="00973B90">
            <w:pPr>
              <w:spacing w:before="120"/>
              <w:rPr>
                <w:rFonts w:asciiTheme="minorHAnsi" w:hAnsiTheme="minorHAnsi" w:cstheme="minorHAnsi"/>
                <w:b/>
                <w:lang w:val="ro-RO"/>
              </w:rPr>
            </w:pPr>
            <w:r w:rsidRPr="00AF3608">
              <w:rPr>
                <w:rFonts w:asciiTheme="minorHAnsi" w:hAnsiTheme="minorHAnsi" w:cstheme="minorHAnsi"/>
                <w:b/>
                <w:lang w:val="ro-RO"/>
              </w:rPr>
              <w:t>3</w:t>
            </w:r>
            <w:r w:rsidR="004C6470" w:rsidRPr="00AF3608">
              <w:rPr>
                <w:rFonts w:asciiTheme="minorHAnsi" w:hAnsiTheme="minorHAnsi" w:cstheme="minorHAnsi"/>
                <w:b/>
                <w:lang w:val="ro-RO"/>
              </w:rPr>
              <w:t xml:space="preserve">.2. </w:t>
            </w:r>
            <w:r w:rsidR="005C01EF" w:rsidRPr="00AF3608">
              <w:rPr>
                <w:rFonts w:ascii="Calibri" w:hAnsi="Calibri" w:cs="Calibri"/>
                <w:b/>
                <w:lang w:val="ro-RO"/>
              </w:rPr>
              <w:t xml:space="preserve">Execuţia bugetară </w:t>
            </w:r>
            <w:r w:rsidR="00973B90">
              <w:rPr>
                <w:rFonts w:ascii="Calibri" w:eastAsia="MS Mincho" w:hAnsi="Calibri" w:cs="Calibri"/>
                <w:b/>
                <w:lang w:val="ro-RO" w:eastAsia="ro-RO"/>
              </w:rPr>
              <w:t xml:space="preserve">pe </w:t>
            </w:r>
            <w:r w:rsidR="005C01EF" w:rsidRPr="00AF3608">
              <w:rPr>
                <w:rFonts w:ascii="Calibri" w:eastAsia="MS Mincho" w:hAnsi="Calibri" w:cs="Calibri"/>
                <w:b/>
                <w:lang w:val="ro-RO" w:eastAsia="ro-RO"/>
              </w:rPr>
              <w:t>perioada 1.01 – 31.12. 2020</w:t>
            </w:r>
          </w:p>
        </w:tc>
      </w:tr>
    </w:tbl>
    <w:p w:rsidR="005C01EF" w:rsidRPr="00AF3608" w:rsidRDefault="005C01EF" w:rsidP="00450C35">
      <w:pPr>
        <w:spacing w:before="120"/>
        <w:jc w:val="both"/>
        <w:rPr>
          <w:rFonts w:ascii="Calibri" w:eastAsia="Calibri" w:hAnsi="Calibri" w:cs="Calibri"/>
          <w:lang w:val="ro-RO"/>
        </w:rPr>
      </w:pPr>
      <w:r w:rsidRPr="00AF3608">
        <w:rPr>
          <w:rFonts w:ascii="Calibri" w:eastAsia="Calibri" w:hAnsi="Calibri" w:cs="Calibri"/>
          <w:lang w:val="ro-RO"/>
        </w:rPr>
        <w:t xml:space="preserve">Execuția preliminată a bugetului general consolidat la finele anului 2020 a înregistrat un </w:t>
      </w:r>
      <w:r w:rsidRPr="00AF3608">
        <w:rPr>
          <w:rFonts w:ascii="Calibri" w:eastAsia="Calibri" w:hAnsi="Calibri" w:cs="Calibri"/>
          <w:b/>
          <w:lang w:val="ro-RO"/>
        </w:rPr>
        <w:t>deficit de 101,92 mld lei (9,79% din PIB)</w:t>
      </w:r>
      <w:r w:rsidRPr="00AF3608">
        <w:rPr>
          <w:rFonts w:ascii="Calibri" w:eastAsia="Calibri" w:hAnsi="Calibri" w:cs="Calibri"/>
          <w:lang w:val="ro-RO"/>
        </w:rPr>
        <w:t>.</w:t>
      </w:r>
    </w:p>
    <w:p w:rsidR="005C01EF" w:rsidRPr="00AF3608" w:rsidRDefault="005C01EF" w:rsidP="00450C35">
      <w:pPr>
        <w:spacing w:before="120"/>
        <w:jc w:val="both"/>
        <w:rPr>
          <w:rFonts w:ascii="Calibri" w:eastAsia="Calibri" w:hAnsi="Calibri" w:cs="Calibri"/>
          <w:lang w:val="ro-RO"/>
        </w:rPr>
      </w:pPr>
      <w:r w:rsidRPr="00AF3608">
        <w:rPr>
          <w:rFonts w:ascii="Calibri" w:eastAsia="Calibri" w:hAnsi="Calibri" w:cs="Calibri"/>
          <w:lang w:val="ro-RO"/>
        </w:rPr>
        <w:t xml:space="preserve">Sume în valoare de </w:t>
      </w:r>
      <w:r w:rsidRPr="00AF3608">
        <w:rPr>
          <w:rFonts w:ascii="Calibri" w:eastAsia="Calibri" w:hAnsi="Calibri" w:cs="Calibri"/>
          <w:b/>
          <w:lang w:val="ro-RO"/>
        </w:rPr>
        <w:t>46,31 mld lei (4,45% din PIB)</w:t>
      </w:r>
      <w:r w:rsidRPr="00AF3608">
        <w:rPr>
          <w:rFonts w:ascii="Calibri" w:eastAsia="Calibri" w:hAnsi="Calibri" w:cs="Calibri"/>
          <w:lang w:val="ro-RO"/>
        </w:rPr>
        <w:t xml:space="preserve"> au fost lăsate în mediul economic prin facilitățile fiscale, investiții și cheltuieli excepționale alocate pentru combaterea efectelor epidemiei de COVID-1</w:t>
      </w:r>
      <w:r w:rsidR="00491D9D" w:rsidRPr="00AF3608">
        <w:rPr>
          <w:rFonts w:ascii="Calibri" w:eastAsia="Calibri" w:hAnsi="Calibri" w:cs="Calibri"/>
          <w:lang w:val="ro-RO"/>
        </w:rPr>
        <w:t>9.</w:t>
      </w:r>
    </w:p>
    <w:p w:rsidR="005C01EF" w:rsidRPr="00AF3608" w:rsidRDefault="005C01EF" w:rsidP="00450C35">
      <w:pPr>
        <w:spacing w:before="120"/>
        <w:jc w:val="both"/>
        <w:rPr>
          <w:rFonts w:ascii="Calibri" w:eastAsia="Calibri" w:hAnsi="Calibri" w:cs="Calibri"/>
          <w:lang w:val="ro-RO"/>
        </w:rPr>
      </w:pPr>
      <w:r w:rsidRPr="00AF3608">
        <w:rPr>
          <w:rFonts w:ascii="Calibri" w:eastAsia="Calibri" w:hAnsi="Calibri" w:cs="Calibri"/>
          <w:lang w:val="ro-RO"/>
        </w:rPr>
        <w:t>Creșterea deficitului bugetar aferent anului 2020, comparativ cu anul 2019, este explicată, pe partea venituri, (i) de evoluția nefavorabilă a încasărilor bugetare în perioada martie - decembrie datorită crizei, precum și ca urmare a amânării plății unor obligații fiscale de către agenții economici pe perioada crizei (</w:t>
      </w:r>
      <w:r w:rsidRPr="00AF3608">
        <w:rPr>
          <w:rFonts w:ascii="Calibri" w:eastAsia="Calibri" w:hAnsi="Calibri" w:cs="Calibri"/>
          <w:b/>
          <w:lang w:val="ro-RO"/>
        </w:rPr>
        <w:t>18,12 mld lei</w:t>
      </w:r>
      <w:r w:rsidRPr="00AF3608">
        <w:rPr>
          <w:rFonts w:ascii="Calibri" w:eastAsia="Calibri" w:hAnsi="Calibri" w:cs="Calibri"/>
          <w:lang w:val="ro-RO"/>
        </w:rPr>
        <w:t xml:space="preserve">),  (ii) de creșterea cu </w:t>
      </w:r>
      <w:r w:rsidRPr="00AF3608">
        <w:rPr>
          <w:rFonts w:ascii="Calibri" w:eastAsia="Calibri" w:hAnsi="Calibri" w:cs="Calibri"/>
          <w:b/>
          <w:lang w:val="ro-RO"/>
        </w:rPr>
        <w:t>2,72 mld lei</w:t>
      </w:r>
      <w:r w:rsidRPr="00AF3608">
        <w:rPr>
          <w:rFonts w:ascii="Calibri" w:eastAsia="Calibri" w:hAnsi="Calibri" w:cs="Calibri"/>
          <w:lang w:val="ro-RO"/>
        </w:rPr>
        <w:t xml:space="preserve"> a restituirilor de TVA, față de nivelul aferent perioadei ianuarie-decembrie 2019, pentru susținerea lichidității în sectorul privat, (iii) precum și de bonificațiile acordate pentru plata la scadență a impozitului pe profit și a celui pe veniturile microîntreprinderilor, în valoare de </w:t>
      </w:r>
      <w:r w:rsidRPr="00AF3608">
        <w:rPr>
          <w:rFonts w:ascii="Calibri" w:eastAsia="Calibri" w:hAnsi="Calibri" w:cs="Calibri"/>
          <w:b/>
          <w:lang w:val="ro-RO"/>
        </w:rPr>
        <w:t>0,9 mld lei</w:t>
      </w:r>
      <w:r w:rsidRPr="00AF3608">
        <w:rPr>
          <w:rFonts w:ascii="Calibri" w:eastAsia="Calibri" w:hAnsi="Calibri" w:cs="Calibri"/>
          <w:lang w:val="ro-RO"/>
        </w:rPr>
        <w:t xml:space="preserve">. </w:t>
      </w:r>
    </w:p>
    <w:p w:rsidR="005C01EF" w:rsidRPr="00AF3608" w:rsidRDefault="005C01EF" w:rsidP="00450C35">
      <w:pPr>
        <w:spacing w:before="120"/>
        <w:jc w:val="both"/>
        <w:rPr>
          <w:rFonts w:ascii="Calibri" w:eastAsia="Calibri" w:hAnsi="Calibri" w:cs="Calibri"/>
          <w:lang w:val="ro-RO"/>
        </w:rPr>
      </w:pPr>
      <w:r w:rsidRPr="00AF3608">
        <w:rPr>
          <w:rFonts w:ascii="Calibri" w:eastAsia="Calibri" w:hAnsi="Calibri" w:cs="Calibri"/>
          <w:color w:val="000000"/>
          <w:lang w:val="ro-RO"/>
        </w:rPr>
        <w:t xml:space="preserve">De asemenea, pe partea de cheltuieli, față de creșterea bugetară prin efectul legilor s-a înregistrat o creștere a cheltuielilor de investiții cu </w:t>
      </w:r>
      <w:r w:rsidRPr="00AF3608">
        <w:rPr>
          <w:rFonts w:ascii="Calibri" w:eastAsia="Calibri" w:hAnsi="Calibri" w:cs="Calibri"/>
          <w:b/>
          <w:color w:val="000000"/>
          <w:lang w:val="ro-RO"/>
        </w:rPr>
        <w:t>9,5 mld lei</w:t>
      </w:r>
      <w:r w:rsidRPr="00AF3608">
        <w:rPr>
          <w:rFonts w:ascii="Calibri" w:eastAsia="Calibri" w:hAnsi="Calibri" w:cs="Calibri"/>
          <w:color w:val="000000"/>
          <w:lang w:val="ro-RO"/>
        </w:rPr>
        <w:t xml:space="preserve"> față de aceeași perioadă a anului precedent, precum și plăți cu caracter excepțional generate de epidemia COVID-19 de aproximativ </w:t>
      </w:r>
      <w:r w:rsidRPr="00AF3608">
        <w:rPr>
          <w:rFonts w:ascii="Calibri" w:eastAsia="Calibri" w:hAnsi="Calibri" w:cs="Calibri"/>
          <w:b/>
          <w:color w:val="000000"/>
          <w:lang w:val="ro-RO"/>
        </w:rPr>
        <w:t>15,07 mld l</w:t>
      </w:r>
      <w:r w:rsidRPr="00AF3608">
        <w:rPr>
          <w:rFonts w:ascii="Calibri" w:eastAsia="Calibri" w:hAnsi="Calibri" w:cs="Calibri"/>
          <w:b/>
          <w:lang w:val="ro-RO"/>
        </w:rPr>
        <w:t>ei</w:t>
      </w:r>
      <w:r w:rsidRPr="00AF3608">
        <w:rPr>
          <w:rFonts w:ascii="Calibri" w:eastAsia="Calibri" w:hAnsi="Calibri" w:cs="Calibri"/>
          <w:lang w:val="ro-RO"/>
        </w:rPr>
        <w:t>.</w:t>
      </w:r>
    </w:p>
    <w:p w:rsidR="005C01EF" w:rsidRPr="00AF3608" w:rsidRDefault="005C01EF" w:rsidP="00450C35">
      <w:pPr>
        <w:spacing w:before="120"/>
        <w:jc w:val="both"/>
        <w:rPr>
          <w:rFonts w:ascii="Calibri" w:eastAsia="Calibri" w:hAnsi="Calibri" w:cs="Calibri"/>
          <w:lang w:val="ro-RO"/>
        </w:rPr>
      </w:pPr>
      <w:r w:rsidRPr="00AF3608">
        <w:rPr>
          <w:rFonts w:ascii="Calibri" w:eastAsia="Calibri" w:hAnsi="Calibri" w:cs="Calibri"/>
          <w:lang w:val="ro-RO"/>
        </w:rPr>
        <w:t xml:space="preserve">De asemenea, pentru combaterea efectelor economice negative generate de pandemia COVID19, au fost aprobate o serie de programe guvernamentale de sprijin pentru susținerea activității IMM-urilor și a companiilor mari și întreprinderilor mici și mijlocii cu cifra de afaceri peste 20 milioane lei prin intermediul garanțiilor de stat, pentru în anul 2020 s-au acordat garanții în valoare de </w:t>
      </w:r>
      <w:r w:rsidRPr="00AF3608">
        <w:rPr>
          <w:rFonts w:ascii="Calibri" w:eastAsia="Calibri" w:hAnsi="Calibri" w:cs="Calibri"/>
          <w:b/>
          <w:lang w:val="ro-RO"/>
        </w:rPr>
        <w:t>12,48 mld lei (1,20% din PIB).</w:t>
      </w:r>
    </w:p>
    <w:p w:rsidR="005C01EF" w:rsidRPr="00AF3608" w:rsidRDefault="005C01EF" w:rsidP="003A0B85">
      <w:pPr>
        <w:numPr>
          <w:ilvl w:val="0"/>
          <w:numId w:val="30"/>
        </w:numPr>
        <w:tabs>
          <w:tab w:val="left" w:pos="709"/>
        </w:tabs>
        <w:spacing w:before="120"/>
        <w:ind w:left="851" w:hanging="851"/>
        <w:jc w:val="both"/>
        <w:rPr>
          <w:rFonts w:ascii="Calibri" w:eastAsia="Calibri" w:hAnsi="Calibri" w:cs="Calibri"/>
          <w:b/>
          <w:caps/>
          <w:color w:val="000066"/>
          <w:lang w:val="ro-RO"/>
        </w:rPr>
      </w:pPr>
      <w:r w:rsidRPr="00AF3608">
        <w:rPr>
          <w:rFonts w:ascii="Calibri" w:eastAsia="Calibri" w:hAnsi="Calibri" w:cs="Calibri"/>
          <w:b/>
          <w:caps/>
          <w:color w:val="000066"/>
          <w:lang w:val="ro-RO"/>
        </w:rPr>
        <w:t>veniturile bugetului general consolidat</w:t>
      </w:r>
    </w:p>
    <w:p w:rsidR="005C01EF" w:rsidRPr="00AF3608" w:rsidRDefault="005C01EF" w:rsidP="00450C35">
      <w:pPr>
        <w:spacing w:before="120"/>
        <w:jc w:val="both"/>
        <w:rPr>
          <w:rFonts w:ascii="Calibri" w:eastAsia="Calibri" w:hAnsi="Calibri" w:cs="Calibri"/>
          <w:lang w:val="ro-RO"/>
        </w:rPr>
      </w:pPr>
      <w:r w:rsidRPr="00AF3608">
        <w:rPr>
          <w:rFonts w:ascii="Calibri" w:eastAsia="Calibri" w:hAnsi="Calibri" w:cs="Calibri"/>
          <w:color w:val="000000"/>
          <w:lang w:val="ro-RO"/>
        </w:rPr>
        <w:t xml:space="preserve">Veniturile bugetului general consolidat au însumat 322,52 mld lei în anul 2020, cu 0,4% peste nivelul încasat în anul precedent. Exprimate ca pondere în PIB estimat, veniturile bugetare au înregistrat o </w:t>
      </w:r>
      <w:r w:rsidRPr="00AF3608">
        <w:rPr>
          <w:rFonts w:ascii="Calibri" w:eastAsia="Calibri" w:hAnsi="Calibri" w:cs="Calibri"/>
          <w:color w:val="000000"/>
          <w:lang w:val="ro-RO"/>
        </w:rPr>
        <w:lastRenderedPageBreak/>
        <w:t xml:space="preserve">creștere de 0,7 puncte procentuale, determinată cu precădere de dinamica favorabilă a veniturilor din </w:t>
      </w:r>
      <w:r w:rsidRPr="00AF3608">
        <w:rPr>
          <w:rFonts w:ascii="Calibri" w:eastAsia="Calibri" w:hAnsi="Calibri" w:cs="Calibri"/>
          <w:lang w:val="ro-RO"/>
        </w:rPr>
        <w:t xml:space="preserve">fonduri europene (+0,8pp). </w:t>
      </w:r>
    </w:p>
    <w:p w:rsidR="005C01EF" w:rsidRPr="00AF3608" w:rsidRDefault="005C01EF" w:rsidP="00450C35">
      <w:pPr>
        <w:spacing w:before="120"/>
        <w:jc w:val="both"/>
        <w:rPr>
          <w:rFonts w:ascii="Calibri" w:eastAsia="Calibri" w:hAnsi="Calibri" w:cs="Calibri"/>
          <w:lang w:val="ro-RO"/>
        </w:rPr>
      </w:pPr>
      <w:r w:rsidRPr="00AF3608">
        <w:rPr>
          <w:rFonts w:ascii="Calibri" w:eastAsia="Calibri" w:hAnsi="Calibri" w:cs="Calibri"/>
          <w:lang w:val="ro-RO"/>
        </w:rPr>
        <w:t>Pe de altă parte, veniturile curente au scăzut cu 2,4% (an/an), pe fondul contracției încasărilor din venituri nefiscale, TVA și impozit pe profit.</w:t>
      </w:r>
    </w:p>
    <w:p w:rsidR="005C01EF" w:rsidRPr="00AF3608" w:rsidRDefault="005C01EF" w:rsidP="00B723C0">
      <w:pPr>
        <w:spacing w:before="120"/>
        <w:jc w:val="both"/>
        <w:rPr>
          <w:rFonts w:ascii="Calibri" w:eastAsia="Calibri" w:hAnsi="Calibri" w:cs="Calibri"/>
          <w:lang w:val="ro-RO"/>
        </w:rPr>
      </w:pPr>
      <w:r w:rsidRPr="00AF3608">
        <w:rPr>
          <w:rFonts w:ascii="Calibri" w:eastAsia="Calibri" w:hAnsi="Calibri" w:cs="Calibri"/>
          <w:lang w:val="ro-RO"/>
        </w:rPr>
        <w:t>Totuși, evoluția din decembrie reflectă o îmbunătățire a dinamicii contribuțiilor de asigurări (+9,3%, an/an) și a veniturilor fiscale (+4,6%, an/an)</w:t>
      </w:r>
      <w:r w:rsidRPr="00AF3608">
        <w:rPr>
          <w:rFonts w:ascii="Calibri" w:eastAsia="Calibri" w:hAnsi="Calibri" w:cs="Calibri"/>
          <w:vertAlign w:val="superscript"/>
          <w:lang w:val="ro-RO"/>
        </w:rPr>
        <w:footnoteReference w:id="8"/>
      </w:r>
      <w:r w:rsidRPr="00AF3608">
        <w:rPr>
          <w:rFonts w:ascii="Calibri" w:eastAsia="Calibri" w:hAnsi="Calibri" w:cs="Calibri"/>
          <w:lang w:val="ro-RO"/>
        </w:rPr>
        <w:t>.</w:t>
      </w:r>
      <w:r w:rsidRPr="00AF3608">
        <w:rPr>
          <w:rFonts w:ascii="Calibri" w:eastAsia="Calibri" w:hAnsi="Calibri" w:cs="Calibri"/>
          <w:color w:val="FF0000"/>
          <w:lang w:val="ro-RO"/>
        </w:rPr>
        <w:t xml:space="preserve">  </w:t>
      </w:r>
    </w:p>
    <w:p w:rsidR="005C01EF" w:rsidRPr="00AF3608" w:rsidRDefault="005C01EF" w:rsidP="00B723C0">
      <w:pPr>
        <w:spacing w:before="120"/>
        <w:jc w:val="both"/>
        <w:rPr>
          <w:rFonts w:ascii="Calibri" w:eastAsia="Calibri" w:hAnsi="Calibri" w:cs="Calibri"/>
          <w:lang w:val="ro-RO"/>
        </w:rPr>
      </w:pPr>
      <w:r w:rsidRPr="00AF3608">
        <w:rPr>
          <w:rFonts w:ascii="Calibri" w:eastAsia="Calibri" w:hAnsi="Calibri" w:cs="Calibri"/>
          <w:color w:val="000000"/>
          <w:lang w:val="ro-RO"/>
        </w:rPr>
        <w:t xml:space="preserve">Încasările din </w:t>
      </w:r>
      <w:r w:rsidRPr="00AF3608">
        <w:rPr>
          <w:rFonts w:ascii="Calibri" w:eastAsia="Calibri" w:hAnsi="Calibri" w:cs="Calibri"/>
          <w:b/>
          <w:i/>
          <w:color w:val="000000"/>
          <w:lang w:val="ro-RO"/>
        </w:rPr>
        <w:t xml:space="preserve">impozitul </w:t>
      </w:r>
      <w:r w:rsidRPr="00AF3608">
        <w:rPr>
          <w:rFonts w:ascii="Calibri" w:eastAsia="Calibri" w:hAnsi="Calibri" w:cs="Calibri"/>
          <w:b/>
          <w:i/>
          <w:lang w:val="ro-RO"/>
        </w:rPr>
        <w:t>pe salarii și venit</w:t>
      </w:r>
      <w:r w:rsidRPr="00AF3608">
        <w:rPr>
          <w:rFonts w:ascii="Calibri" w:eastAsia="Calibri" w:hAnsi="Calibri" w:cs="Calibri"/>
          <w:lang w:val="ro-RO"/>
        </w:rPr>
        <w:t xml:space="preserve"> au înregistrat 24,33 mld lei în anul 2020, consemnând o creștere de 4,9% (an/an). Un aport însemnat la acest avans l-a avut dinamica încasărilor din impozitul pe veniturile pensii (+40,9%), a celor aferente Declarației unice (+9,2%), respectiv impozitul pe dividende (+7,9%).</w:t>
      </w:r>
    </w:p>
    <w:p w:rsidR="005C01EF" w:rsidRPr="00AF3608" w:rsidRDefault="005C01EF" w:rsidP="00B723C0">
      <w:pPr>
        <w:spacing w:before="120"/>
        <w:jc w:val="both"/>
        <w:rPr>
          <w:rFonts w:ascii="Calibri" w:eastAsia="Calibri" w:hAnsi="Calibri" w:cs="Calibri"/>
          <w:lang w:val="ro-RO"/>
        </w:rPr>
      </w:pPr>
      <w:r w:rsidRPr="00AF3608">
        <w:rPr>
          <w:rFonts w:ascii="Calibri" w:eastAsia="Calibri" w:hAnsi="Calibri" w:cs="Calibri"/>
          <w:lang w:val="ro-RO"/>
        </w:rPr>
        <w:t>În contextul în care dinamica fondului de salarii</w:t>
      </w:r>
      <w:r w:rsidR="003F761D" w:rsidRPr="00AF3608">
        <w:rPr>
          <w:rFonts w:ascii="Calibri" w:eastAsia="Calibri" w:hAnsi="Calibri" w:cs="Calibri"/>
          <w:lang w:val="ro-RO"/>
        </w:rPr>
        <w:t xml:space="preserve"> din economie a decelerat la 5,8</w:t>
      </w:r>
      <w:r w:rsidRPr="00AF3608">
        <w:rPr>
          <w:rFonts w:ascii="Calibri" w:eastAsia="Calibri" w:hAnsi="Calibri" w:cs="Calibri"/>
          <w:lang w:val="ro-RO"/>
        </w:rPr>
        <w:t>% în perioada dec19-nov20 (an/an)</w:t>
      </w:r>
      <w:r w:rsidRPr="00AF3608">
        <w:rPr>
          <w:rFonts w:ascii="Calibri" w:eastAsia="Calibri" w:hAnsi="Calibri" w:cs="Calibri"/>
          <w:vertAlign w:val="superscript"/>
          <w:lang w:val="ro-RO"/>
        </w:rPr>
        <w:footnoteReference w:id="9"/>
      </w:r>
      <w:r w:rsidRPr="00AF3608">
        <w:rPr>
          <w:rFonts w:ascii="Calibri" w:eastAsia="Calibri" w:hAnsi="Calibri" w:cs="Calibri"/>
          <w:lang w:val="ro-RO"/>
        </w:rPr>
        <w:t xml:space="preserve">, încasările din </w:t>
      </w:r>
      <w:r w:rsidRPr="00AF3608">
        <w:rPr>
          <w:rFonts w:ascii="Calibri" w:eastAsia="Calibri" w:hAnsi="Calibri" w:cs="Calibri"/>
          <w:i/>
          <w:lang w:val="ro-RO"/>
        </w:rPr>
        <w:t>impozitul pe salarii</w:t>
      </w:r>
      <w:r w:rsidRPr="00AF3608">
        <w:rPr>
          <w:rFonts w:ascii="Calibri" w:eastAsia="Calibri" w:hAnsi="Calibri" w:cs="Calibri"/>
          <w:i/>
          <w:vertAlign w:val="superscript"/>
          <w:lang w:val="ro-RO"/>
        </w:rPr>
        <w:footnoteReference w:id="10"/>
      </w:r>
      <w:r w:rsidRPr="00AF3608">
        <w:rPr>
          <w:rFonts w:ascii="Calibri" w:eastAsia="Calibri" w:hAnsi="Calibri" w:cs="Calibri"/>
          <w:i/>
          <w:lang w:val="ro-RO"/>
        </w:rPr>
        <w:t xml:space="preserve"> </w:t>
      </w:r>
      <w:r w:rsidRPr="00AF3608">
        <w:rPr>
          <w:rFonts w:ascii="Calibri" w:eastAsia="Calibri" w:hAnsi="Calibri" w:cs="Calibri"/>
          <w:lang w:val="ro-RO"/>
        </w:rPr>
        <w:t xml:space="preserve">au crescut cu 2,4% în 2020. Evoluția lunară reflectă o revenire semnificativă în decembrie, de 15% an/an (Fig. 1). </w:t>
      </w:r>
    </w:p>
    <w:p w:rsidR="005C01EF" w:rsidRPr="00AF3608" w:rsidRDefault="005C01EF" w:rsidP="00B723C0">
      <w:pPr>
        <w:spacing w:after="120" w:line="360" w:lineRule="auto"/>
        <w:jc w:val="both"/>
        <w:rPr>
          <w:rFonts w:ascii="Calibri" w:eastAsia="Calibri" w:hAnsi="Calibri" w:cs="Calibri"/>
          <w:lang w:val="ro-RO"/>
        </w:rPr>
      </w:pPr>
      <w:r w:rsidRPr="00AF3608">
        <w:rPr>
          <w:rFonts w:ascii="Calibri" w:eastAsia="Calibri" w:hAnsi="Calibri" w:cs="Calibri"/>
          <w:noProof/>
        </w:rPr>
        <w:drawing>
          <wp:inline distT="0" distB="0" distL="0" distR="0" wp14:anchorId="5DF662EF" wp14:editId="503E49AF">
            <wp:extent cx="5724525" cy="23526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2352675"/>
                    </a:xfrm>
                    <a:prstGeom prst="rect">
                      <a:avLst/>
                    </a:prstGeom>
                    <a:noFill/>
                    <a:ln>
                      <a:noFill/>
                    </a:ln>
                  </pic:spPr>
                </pic:pic>
              </a:graphicData>
            </a:graphic>
          </wp:inline>
        </w:drawing>
      </w:r>
    </w:p>
    <w:p w:rsidR="005C01EF" w:rsidRPr="00AF3608" w:rsidRDefault="005C01EF" w:rsidP="00B723C0">
      <w:pPr>
        <w:spacing w:after="160" w:line="360" w:lineRule="auto"/>
        <w:ind w:left="720"/>
        <w:contextualSpacing/>
        <w:jc w:val="both"/>
        <w:rPr>
          <w:rFonts w:ascii="Calibri" w:eastAsia="Calibri" w:hAnsi="Calibri" w:cs="Calibri"/>
          <w:color w:val="A6A6A6"/>
          <w:lang w:val="ro-RO"/>
        </w:rPr>
      </w:pPr>
      <w:r w:rsidRPr="00AF3608">
        <w:rPr>
          <w:rFonts w:ascii="Calibri" w:eastAsia="Calibri" w:hAnsi="Calibri" w:cs="Calibri"/>
          <w:color w:val="A6A6A6"/>
          <w:lang w:val="ro-RO"/>
        </w:rPr>
        <w:t xml:space="preserve">Sursa: MF, INS, calcule proprii </w:t>
      </w:r>
    </w:p>
    <w:p w:rsidR="005C01EF" w:rsidRPr="00AF3608" w:rsidRDefault="005C01EF" w:rsidP="00B723C0">
      <w:pPr>
        <w:spacing w:before="240" w:after="160" w:line="360" w:lineRule="auto"/>
        <w:ind w:left="720"/>
        <w:contextualSpacing/>
        <w:jc w:val="center"/>
        <w:rPr>
          <w:rFonts w:ascii="Calibri" w:eastAsia="Calibri" w:hAnsi="Calibri" w:cs="Calibri"/>
          <w:b/>
          <w:color w:val="A6A6A6"/>
          <w:lang w:val="ro-RO"/>
        </w:rPr>
      </w:pPr>
      <w:r w:rsidRPr="00AF3608">
        <w:rPr>
          <w:rFonts w:ascii="Calibri" w:eastAsia="Calibri" w:hAnsi="Calibri" w:cs="Calibri"/>
          <w:b/>
          <w:color w:val="A6A6A6"/>
          <w:lang w:val="ro-RO"/>
        </w:rPr>
        <w:t xml:space="preserve">Fig.1 Impozitul pe venit </w:t>
      </w:r>
    </w:p>
    <w:p w:rsidR="005C01EF" w:rsidRPr="00AF3608" w:rsidRDefault="005C01EF" w:rsidP="00B723C0">
      <w:pPr>
        <w:spacing w:before="120"/>
        <w:jc w:val="both"/>
        <w:rPr>
          <w:rFonts w:ascii="Calibri" w:eastAsia="Calibri" w:hAnsi="Calibri" w:cs="Calibri"/>
          <w:lang w:val="ro-RO"/>
        </w:rPr>
      </w:pPr>
      <w:r w:rsidRPr="00AF3608">
        <w:rPr>
          <w:rFonts w:ascii="Calibri" w:eastAsia="Calibri" w:hAnsi="Calibri" w:cs="Calibri"/>
          <w:b/>
          <w:i/>
          <w:color w:val="000000"/>
          <w:lang w:val="ro-RO"/>
        </w:rPr>
        <w:t xml:space="preserve">Contribuțiile de asigurări </w:t>
      </w:r>
      <w:r w:rsidRPr="00AF3608">
        <w:rPr>
          <w:rFonts w:ascii="Calibri" w:eastAsia="Calibri" w:hAnsi="Calibri" w:cs="Calibri"/>
          <w:color w:val="000000"/>
          <w:lang w:val="ro-RO"/>
        </w:rPr>
        <w:t>au totalizat 112,25 mld lei în 2020, înregistrând o creștere marginală de 0,7% (an/an)</w:t>
      </w:r>
      <w:r w:rsidRPr="00AF3608">
        <w:rPr>
          <w:rFonts w:ascii="Calibri" w:eastAsia="Calibri" w:hAnsi="Calibri" w:cs="Calibri"/>
          <w:lang w:val="ro-RO"/>
        </w:rPr>
        <w:t>. Similar impozitului pe salarii, evoluția lunară a contribuțiilor reflectă o accelerare în decembrie (+9.3% an/an), peste dinamica fondului de salarii din economie, de 5,8% (Fig. 2).</w:t>
      </w:r>
    </w:p>
    <w:p w:rsidR="005C01EF" w:rsidRPr="00AF3608" w:rsidRDefault="005C01EF" w:rsidP="00B723C0">
      <w:pPr>
        <w:spacing w:before="120"/>
        <w:jc w:val="both"/>
        <w:rPr>
          <w:rFonts w:ascii="Calibri" w:eastAsia="Calibri" w:hAnsi="Calibri" w:cs="Calibri"/>
          <w:lang w:val="ro-RO"/>
        </w:rPr>
      </w:pPr>
      <w:r w:rsidRPr="00AF3608">
        <w:rPr>
          <w:rFonts w:ascii="Calibri" w:eastAsia="Calibri" w:hAnsi="Calibri" w:cs="Calibri"/>
          <w:lang w:val="ro-RO"/>
        </w:rPr>
        <w:t>Evoluția încasărilor din contribuții sociale a fost influențată de: (i) posibilitatea restructurării/eșalonării obligațiilor bugetare cu termen de plată până la 25 decembrie 2020, (ii) modificarea bazei de calcul a CAS și CASS datorată de salariații cu contract individual de muncă cu timp parțial și (iii) scutirea de la plată a contribuției asiguratorii în muncă (pentru șomajul tehnic)</w:t>
      </w:r>
      <w:r w:rsidRPr="00AF3608">
        <w:rPr>
          <w:rFonts w:ascii="Calibri" w:eastAsia="Calibri" w:hAnsi="Calibri" w:cs="Calibri"/>
          <w:vertAlign w:val="superscript"/>
          <w:lang w:val="ro-RO"/>
        </w:rPr>
        <w:footnoteReference w:id="11"/>
      </w:r>
      <w:r w:rsidRPr="00AF3608">
        <w:rPr>
          <w:rFonts w:ascii="Calibri" w:eastAsia="Calibri" w:hAnsi="Calibri" w:cs="Calibri"/>
          <w:lang w:val="ro-RO"/>
        </w:rPr>
        <w:t>.</w:t>
      </w:r>
    </w:p>
    <w:p w:rsidR="005C01EF" w:rsidRPr="00AF3608" w:rsidRDefault="005C01EF" w:rsidP="00B723C0">
      <w:pPr>
        <w:jc w:val="center"/>
        <w:rPr>
          <w:rFonts w:ascii="Calibri" w:eastAsia="Calibri" w:hAnsi="Calibri" w:cs="Calibri"/>
          <w:lang w:val="ro-RO"/>
        </w:rPr>
      </w:pPr>
      <w:r w:rsidRPr="00AF3608">
        <w:rPr>
          <w:rFonts w:ascii="Calibri" w:eastAsia="Calibri" w:hAnsi="Calibri" w:cs="Calibri"/>
          <w:noProof/>
          <w:color w:val="FF0000"/>
        </w:rPr>
        <w:lastRenderedPageBreak/>
        <w:drawing>
          <wp:inline distT="0" distB="0" distL="0" distR="0" wp14:anchorId="009D96C5" wp14:editId="38ADAF07">
            <wp:extent cx="5638800" cy="24479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8800" cy="2447925"/>
                    </a:xfrm>
                    <a:prstGeom prst="rect">
                      <a:avLst/>
                    </a:prstGeom>
                    <a:noFill/>
                    <a:ln>
                      <a:noFill/>
                    </a:ln>
                  </pic:spPr>
                </pic:pic>
              </a:graphicData>
            </a:graphic>
          </wp:inline>
        </w:drawing>
      </w:r>
    </w:p>
    <w:p w:rsidR="005C01EF" w:rsidRPr="00AF3608" w:rsidRDefault="005C01EF" w:rsidP="00B723C0">
      <w:pPr>
        <w:spacing w:after="160" w:line="360" w:lineRule="auto"/>
        <w:ind w:left="720"/>
        <w:contextualSpacing/>
        <w:jc w:val="both"/>
        <w:rPr>
          <w:rFonts w:ascii="Calibri" w:eastAsia="Calibri" w:hAnsi="Calibri" w:cs="Calibri"/>
          <w:color w:val="A6A6A6"/>
          <w:lang w:val="ro-RO"/>
        </w:rPr>
      </w:pPr>
      <w:r w:rsidRPr="00AF3608">
        <w:rPr>
          <w:rFonts w:ascii="Calibri" w:eastAsia="Calibri" w:hAnsi="Calibri" w:cs="Calibri"/>
          <w:color w:val="A6A6A6"/>
          <w:lang w:val="ro-RO"/>
        </w:rPr>
        <w:t>Sursa: MF, INS, calcule proprii</w:t>
      </w:r>
    </w:p>
    <w:p w:rsidR="005C01EF" w:rsidRPr="00AF3608" w:rsidRDefault="005C01EF" w:rsidP="00B723C0">
      <w:pPr>
        <w:spacing w:after="160" w:line="360" w:lineRule="auto"/>
        <w:ind w:left="720"/>
        <w:contextualSpacing/>
        <w:jc w:val="center"/>
        <w:rPr>
          <w:rFonts w:ascii="Calibri" w:eastAsia="Calibri" w:hAnsi="Calibri" w:cs="Calibri"/>
          <w:b/>
          <w:color w:val="A6A6A6"/>
          <w:lang w:val="ro-RO"/>
        </w:rPr>
      </w:pPr>
      <w:r w:rsidRPr="00AF3608">
        <w:rPr>
          <w:rFonts w:ascii="Calibri" w:eastAsia="Calibri" w:hAnsi="Calibri" w:cs="Calibri"/>
          <w:b/>
          <w:color w:val="A6A6A6"/>
          <w:lang w:val="ro-RO"/>
        </w:rPr>
        <w:t xml:space="preserve">Fig.2.Contribuții de asigurări </w:t>
      </w:r>
    </w:p>
    <w:p w:rsidR="005C01EF" w:rsidRPr="00AF3608" w:rsidRDefault="005C01EF" w:rsidP="00B723C0">
      <w:pPr>
        <w:spacing w:before="120"/>
        <w:jc w:val="both"/>
        <w:rPr>
          <w:rFonts w:ascii="Calibri" w:eastAsia="Calibri" w:hAnsi="Calibri" w:cs="Calibri"/>
          <w:lang w:val="ro-RO"/>
        </w:rPr>
      </w:pPr>
      <w:r w:rsidRPr="00AF3608">
        <w:rPr>
          <w:rFonts w:ascii="Calibri" w:eastAsia="Calibri" w:hAnsi="Calibri" w:cs="Calibri"/>
          <w:color w:val="000000"/>
          <w:lang w:val="ro-RO"/>
        </w:rPr>
        <w:t xml:space="preserve">Încasările din </w:t>
      </w:r>
      <w:r w:rsidRPr="00AF3608">
        <w:rPr>
          <w:rFonts w:ascii="Calibri" w:eastAsia="Calibri" w:hAnsi="Calibri" w:cs="Calibri"/>
          <w:b/>
          <w:i/>
          <w:color w:val="000000"/>
          <w:lang w:val="ro-RO"/>
        </w:rPr>
        <w:t xml:space="preserve">impozitul pe profit </w:t>
      </w:r>
      <w:r w:rsidRPr="00AF3608">
        <w:rPr>
          <w:rFonts w:ascii="Calibri" w:eastAsia="Calibri" w:hAnsi="Calibri" w:cs="Calibri"/>
          <w:color w:val="000000"/>
          <w:lang w:val="ro-RO"/>
        </w:rPr>
        <w:t xml:space="preserve">au însumat 15,99 mld lei în 2020, în </w:t>
      </w:r>
      <w:r w:rsidRPr="00AF3608">
        <w:rPr>
          <w:rFonts w:ascii="Calibri" w:eastAsia="Calibri" w:hAnsi="Calibri" w:cs="Calibri"/>
          <w:lang w:val="ro-RO"/>
        </w:rPr>
        <w:t>scădere cu 9,8% (an/an). În structură, principala componentă – încasările din impozitul pe profit de la agenții economici s-au diminuat cu 5,2% (an/an)</w:t>
      </w:r>
      <w:r w:rsidRPr="00AF3608">
        <w:rPr>
          <w:rFonts w:ascii="Calibri" w:eastAsia="Calibri" w:hAnsi="Calibri" w:cs="Calibri"/>
          <w:vertAlign w:val="superscript"/>
          <w:lang w:val="ro-RO"/>
        </w:rPr>
        <w:footnoteReference w:id="12"/>
      </w:r>
      <w:r w:rsidRPr="00AF3608">
        <w:rPr>
          <w:rFonts w:ascii="Calibri" w:eastAsia="Calibri" w:hAnsi="Calibri" w:cs="Calibri"/>
          <w:lang w:val="ro-RO"/>
        </w:rPr>
        <w:t xml:space="preserve">, în timp ce veniturile din impozitul pe profit de la băncile comerciale au scăzut cu 44,0% (an/an).  </w:t>
      </w:r>
    </w:p>
    <w:p w:rsidR="005C01EF" w:rsidRPr="00AF3608" w:rsidRDefault="005C01EF" w:rsidP="00B723C0">
      <w:pPr>
        <w:spacing w:before="120"/>
        <w:jc w:val="both"/>
        <w:rPr>
          <w:rFonts w:ascii="Calibri" w:eastAsia="Calibri" w:hAnsi="Calibri" w:cs="Calibri"/>
          <w:color w:val="000000"/>
          <w:lang w:val="ro-RO"/>
        </w:rPr>
      </w:pPr>
      <w:r w:rsidRPr="00AF3608">
        <w:rPr>
          <w:rFonts w:ascii="Calibri" w:eastAsia="Calibri" w:hAnsi="Calibri" w:cs="Calibri"/>
          <w:lang w:val="ro-RO"/>
        </w:rPr>
        <w:t>Evoluția negativă este explicată în principal de contracția activității economice, restructurarea/reeșalonarea obligațiilor fiscale</w:t>
      </w:r>
      <w:r w:rsidRPr="00AF3608">
        <w:rPr>
          <w:rFonts w:ascii="Calibri" w:eastAsia="Calibri" w:hAnsi="Calibri" w:cs="Calibri"/>
          <w:color w:val="000000"/>
          <w:lang w:val="ro-RO"/>
        </w:rPr>
        <w:t xml:space="preserve">, precum și de bonificațiile de 5% pentru marii contribuabili, respectiv 10% pentru contribuabilii mici și mijlocii, acordate pentru plata la scadență a impozitului pe profit (OUG 33/2020, bonificații acordate în sumă de cca 0,9 mld lei). </w:t>
      </w:r>
    </w:p>
    <w:p w:rsidR="005C01EF" w:rsidRPr="00AF3608" w:rsidRDefault="005C01EF" w:rsidP="00B723C0">
      <w:pPr>
        <w:spacing w:before="120"/>
        <w:jc w:val="both"/>
        <w:rPr>
          <w:rFonts w:ascii="Calibri" w:eastAsia="Calibri" w:hAnsi="Calibri" w:cs="Calibri"/>
          <w:lang w:val="ro-RO"/>
        </w:rPr>
      </w:pPr>
      <w:r w:rsidRPr="00AF3608">
        <w:rPr>
          <w:rFonts w:ascii="Calibri" w:eastAsia="Calibri" w:hAnsi="Calibri" w:cs="Calibri"/>
          <w:b/>
          <w:i/>
          <w:lang w:val="ro-RO"/>
        </w:rPr>
        <w:t>Alte impozite pe venit, profit și câștiguri din capital de la persoane juridice</w:t>
      </w:r>
      <w:r w:rsidRPr="00AF3608">
        <w:rPr>
          <w:rFonts w:ascii="Calibri" w:eastAsia="Calibri" w:hAnsi="Calibri" w:cs="Calibri"/>
          <w:lang w:val="ro-RO"/>
        </w:rPr>
        <w:t xml:space="preserve"> au înregistrat 3,15 mld lei în anul 2020, în scădere cu 15,4% (an/an). Dinamica acestor încasări a fost afectată, de asemenea, de conjunctura economică nefavorabilă, restructurarea/reeșalonarea obligațiilor fiscale declarate de către contribuabilii plătitori de impozit</w:t>
      </w:r>
      <w:r w:rsidRPr="00AF3608">
        <w:rPr>
          <w:rFonts w:ascii="Calibri" w:eastAsia="Calibri" w:hAnsi="Calibri" w:cs="Calibri"/>
          <w:color w:val="FF0000"/>
          <w:lang w:val="ro-RO"/>
        </w:rPr>
        <w:t xml:space="preserve"> </w:t>
      </w:r>
      <w:r w:rsidRPr="00AF3608">
        <w:rPr>
          <w:rFonts w:ascii="Calibri" w:eastAsia="Calibri" w:hAnsi="Calibri" w:cs="Calibri"/>
          <w:lang w:val="ro-RO"/>
        </w:rPr>
        <w:t>pe veniturile microîntreprinderilor, precum și de bonificațiile de 10% acordate acestora pentru plata impozitului la scadență (OUG 33/2020).</w:t>
      </w:r>
    </w:p>
    <w:p w:rsidR="005C01EF" w:rsidRPr="00AF3608" w:rsidRDefault="005C01EF" w:rsidP="00B723C0">
      <w:pPr>
        <w:spacing w:before="120"/>
        <w:jc w:val="both"/>
        <w:rPr>
          <w:rFonts w:ascii="Calibri" w:eastAsia="Calibri" w:hAnsi="Calibri" w:cs="Calibri"/>
          <w:color w:val="000000"/>
          <w:lang w:val="ro-RO"/>
        </w:rPr>
      </w:pPr>
      <w:r w:rsidRPr="00AF3608">
        <w:rPr>
          <w:rFonts w:ascii="Calibri" w:eastAsia="Calibri" w:hAnsi="Calibri" w:cs="Calibri"/>
          <w:color w:val="000000"/>
          <w:lang w:val="ro-RO"/>
        </w:rPr>
        <w:t xml:space="preserve">Încasările nete din </w:t>
      </w:r>
      <w:r w:rsidRPr="00AF3608">
        <w:rPr>
          <w:rFonts w:ascii="Calibri" w:eastAsia="Calibri" w:hAnsi="Calibri" w:cs="Calibri"/>
          <w:b/>
          <w:i/>
          <w:color w:val="000000"/>
          <w:lang w:val="ro-RO"/>
        </w:rPr>
        <w:t>TVA</w:t>
      </w:r>
      <w:r w:rsidRPr="00AF3608">
        <w:rPr>
          <w:rFonts w:ascii="Calibri" w:eastAsia="Calibri" w:hAnsi="Calibri" w:cs="Calibri"/>
          <w:b/>
          <w:i/>
          <w:color w:val="000000"/>
          <w:vertAlign w:val="superscript"/>
          <w:lang w:val="ro-RO"/>
        </w:rPr>
        <w:footnoteReference w:id="13"/>
      </w:r>
      <w:r w:rsidRPr="00AF3608">
        <w:rPr>
          <w:rFonts w:ascii="Calibri" w:eastAsia="Calibri" w:hAnsi="Calibri" w:cs="Calibri"/>
          <w:color w:val="000000"/>
          <w:lang w:val="ro-RO"/>
        </w:rPr>
        <w:t xml:space="preserve"> au înregistrat 60,82 mld lei în 2020, în scădere cu 7,0% comparativ cu nivelul înregistrat în anul precedent. Evoluția lunară reflectă însă o recuperare însemnată în decembrie (+16% an/an, Fig. 3). </w:t>
      </w:r>
    </w:p>
    <w:p w:rsidR="005C01EF" w:rsidRPr="00AF3608" w:rsidRDefault="005C01EF" w:rsidP="00B723C0">
      <w:pPr>
        <w:spacing w:before="120"/>
        <w:jc w:val="both"/>
        <w:rPr>
          <w:rFonts w:ascii="Calibri" w:eastAsia="Calibri" w:hAnsi="Calibri" w:cs="Calibri"/>
          <w:lang w:val="ro-RO"/>
        </w:rPr>
      </w:pPr>
      <w:r w:rsidRPr="00AF3608">
        <w:rPr>
          <w:rFonts w:ascii="Calibri" w:eastAsia="Calibri" w:hAnsi="Calibri" w:cs="Calibri"/>
          <w:lang w:val="ro-RO"/>
        </w:rPr>
        <w:t>Evoluția încasărilor din TVA în anul 2020 a fost influențată negativ de: (i) creșterea rambursărilor de TVA cu 14,5%, an/an (+2,72 mld lei)</w:t>
      </w:r>
      <w:r w:rsidRPr="00AF3608">
        <w:rPr>
          <w:rFonts w:ascii="Calibri" w:eastAsia="Calibri" w:hAnsi="Calibri" w:cs="Calibri"/>
          <w:vertAlign w:val="superscript"/>
          <w:lang w:val="ro-RO"/>
        </w:rPr>
        <w:footnoteReference w:id="14"/>
      </w:r>
      <w:r w:rsidRPr="00AF3608">
        <w:rPr>
          <w:rFonts w:ascii="Calibri" w:eastAsia="Calibri" w:hAnsi="Calibri" w:cs="Calibri"/>
          <w:lang w:val="ro-RO"/>
        </w:rPr>
        <w:t xml:space="preserve"> cu scopul de a asigura companiilor un nivel de lichiditate suplimentar pe perioada crizei; (ii) posibilitatea restructurării/reeșalonării obligațiilor fiscale; (iii) evoluțiile nefavorabile din sectoarele economice începând cu luna martie (cu precădere industrie, servicii pentru populație și comerțul cu autovehicule).</w:t>
      </w:r>
    </w:p>
    <w:p w:rsidR="005C01EF" w:rsidRPr="00AF3608" w:rsidRDefault="005C01EF" w:rsidP="00B723C0">
      <w:pPr>
        <w:spacing w:before="240" w:after="120"/>
        <w:jc w:val="both"/>
        <w:rPr>
          <w:rFonts w:ascii="Calibri" w:eastAsia="Calibri" w:hAnsi="Calibri" w:cs="Calibri"/>
          <w:lang w:val="ro-RO"/>
        </w:rPr>
      </w:pPr>
    </w:p>
    <w:p w:rsidR="005C01EF" w:rsidRPr="00AF3608" w:rsidRDefault="005C01EF" w:rsidP="00B723C0">
      <w:pPr>
        <w:spacing w:after="120" w:line="360" w:lineRule="auto"/>
        <w:jc w:val="both"/>
        <w:rPr>
          <w:rFonts w:ascii="Calibri" w:eastAsia="Calibri" w:hAnsi="Calibri" w:cs="Calibri"/>
          <w:lang w:val="ro-RO"/>
        </w:rPr>
      </w:pPr>
      <w:r w:rsidRPr="00AF3608">
        <w:rPr>
          <w:rFonts w:ascii="Calibri" w:eastAsia="Calibri" w:hAnsi="Calibri" w:cs="Calibri"/>
          <w:b/>
          <w:noProof/>
          <w:color w:val="808080"/>
        </w:rPr>
        <w:lastRenderedPageBreak/>
        <w:drawing>
          <wp:inline distT="0" distB="0" distL="0" distR="0" wp14:anchorId="7A206081" wp14:editId="47232CAC">
            <wp:extent cx="5657850" cy="2838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7850" cy="2838450"/>
                    </a:xfrm>
                    <a:prstGeom prst="rect">
                      <a:avLst/>
                    </a:prstGeom>
                    <a:noFill/>
                    <a:ln>
                      <a:noFill/>
                    </a:ln>
                  </pic:spPr>
                </pic:pic>
              </a:graphicData>
            </a:graphic>
          </wp:inline>
        </w:drawing>
      </w:r>
    </w:p>
    <w:p w:rsidR="005C01EF" w:rsidRPr="00AF3608" w:rsidRDefault="005C01EF" w:rsidP="00B723C0">
      <w:pPr>
        <w:spacing w:after="160" w:line="360" w:lineRule="auto"/>
        <w:ind w:left="720"/>
        <w:contextualSpacing/>
        <w:jc w:val="both"/>
        <w:rPr>
          <w:rFonts w:ascii="Calibri" w:eastAsia="Calibri" w:hAnsi="Calibri" w:cs="Calibri"/>
          <w:color w:val="808080"/>
          <w:lang w:val="ro-RO"/>
        </w:rPr>
      </w:pPr>
      <w:r w:rsidRPr="00AF3608">
        <w:rPr>
          <w:rFonts w:ascii="Calibri" w:eastAsia="Calibri" w:hAnsi="Calibri" w:cs="Calibri"/>
          <w:color w:val="808080"/>
          <w:lang w:val="ro-RO"/>
        </w:rPr>
        <w:t>Sursa: MF, INS, calcule proprii</w:t>
      </w:r>
    </w:p>
    <w:p w:rsidR="005C01EF" w:rsidRPr="00AF3608" w:rsidRDefault="005C01EF" w:rsidP="00B723C0">
      <w:pPr>
        <w:spacing w:before="240" w:after="160" w:line="360" w:lineRule="auto"/>
        <w:ind w:left="720"/>
        <w:contextualSpacing/>
        <w:jc w:val="center"/>
        <w:rPr>
          <w:rFonts w:ascii="Calibri" w:eastAsia="Calibri" w:hAnsi="Calibri" w:cs="Calibri"/>
          <w:b/>
          <w:color w:val="808080"/>
          <w:lang w:val="ro-RO"/>
        </w:rPr>
      </w:pPr>
      <w:r w:rsidRPr="00AF3608">
        <w:rPr>
          <w:rFonts w:ascii="Calibri" w:eastAsia="Calibri" w:hAnsi="Calibri" w:cs="Calibri"/>
          <w:b/>
          <w:color w:val="808080"/>
          <w:lang w:val="ro-RO"/>
        </w:rPr>
        <w:t xml:space="preserve">Fig.3 Încasările din taxa pe valoarea adăugată </w:t>
      </w:r>
    </w:p>
    <w:p w:rsidR="005C01EF" w:rsidRPr="00AF3608" w:rsidRDefault="005C01EF" w:rsidP="00B723C0">
      <w:pPr>
        <w:spacing w:before="240" w:after="160" w:line="360" w:lineRule="auto"/>
        <w:ind w:left="720"/>
        <w:contextualSpacing/>
        <w:jc w:val="center"/>
        <w:rPr>
          <w:rFonts w:ascii="Calibri" w:eastAsia="Calibri" w:hAnsi="Calibri" w:cs="Calibri"/>
          <w:b/>
          <w:color w:val="808080"/>
          <w:lang w:val="ro-RO"/>
        </w:rPr>
      </w:pPr>
    </w:p>
    <w:p w:rsidR="005C01EF" w:rsidRPr="00AF3608" w:rsidRDefault="005C01EF" w:rsidP="00B723C0">
      <w:pPr>
        <w:spacing w:before="120"/>
        <w:jc w:val="both"/>
        <w:rPr>
          <w:rFonts w:ascii="Calibri" w:eastAsia="Calibri" w:hAnsi="Calibri" w:cs="Calibri"/>
          <w:color w:val="000000"/>
          <w:lang w:val="ro-RO"/>
        </w:rPr>
      </w:pPr>
      <w:r w:rsidRPr="00AF3608">
        <w:rPr>
          <w:rFonts w:ascii="Calibri" w:eastAsia="Calibri" w:hAnsi="Calibri" w:cs="Calibri"/>
          <w:color w:val="000000"/>
          <w:lang w:val="ro-RO"/>
        </w:rPr>
        <w:t xml:space="preserve">Veniturile din </w:t>
      </w:r>
      <w:r w:rsidRPr="00AF3608">
        <w:rPr>
          <w:rFonts w:ascii="Calibri" w:eastAsia="Calibri" w:hAnsi="Calibri" w:cs="Calibri"/>
          <w:b/>
          <w:i/>
          <w:color w:val="000000"/>
          <w:lang w:val="ro-RO"/>
        </w:rPr>
        <w:t>accize</w:t>
      </w:r>
      <w:r w:rsidRPr="00AF3608">
        <w:rPr>
          <w:rFonts w:ascii="Calibri" w:eastAsia="Calibri" w:hAnsi="Calibri" w:cs="Calibri"/>
          <w:color w:val="000000"/>
          <w:lang w:val="ro-RO"/>
        </w:rPr>
        <w:t xml:space="preserve"> au însumat 30,72 mld lei în anul 2020, în scădere cu 2,4% (an/an) față de nivelul înregistrat în anul precedent. Luna decembrie consemnează totuși o accelerare de 3,1% (an/an) a acestora.</w:t>
      </w:r>
    </w:p>
    <w:p w:rsidR="005C01EF" w:rsidRPr="00AF3608" w:rsidRDefault="005C01EF" w:rsidP="00B723C0">
      <w:pPr>
        <w:spacing w:before="120"/>
        <w:jc w:val="both"/>
        <w:rPr>
          <w:rFonts w:ascii="Calibri" w:eastAsia="Calibri" w:hAnsi="Calibri" w:cs="Calibri"/>
          <w:lang w:val="ro-RO"/>
        </w:rPr>
      </w:pPr>
      <w:r w:rsidRPr="00AF3608">
        <w:rPr>
          <w:rFonts w:ascii="Calibri" w:eastAsia="Calibri" w:hAnsi="Calibri" w:cs="Calibri"/>
          <w:lang w:val="ro-RO"/>
        </w:rPr>
        <w:t xml:space="preserve">Dinamica nefavorabilă din anul 2020 este explicată de contracția încasărilor din </w:t>
      </w:r>
      <w:r w:rsidRPr="00AF3608">
        <w:rPr>
          <w:rFonts w:ascii="Calibri" w:eastAsia="Calibri" w:hAnsi="Calibri" w:cs="Calibri"/>
          <w:i/>
          <w:lang w:val="ro-RO"/>
        </w:rPr>
        <w:t>accizele pentru produse energetice</w:t>
      </w:r>
      <w:r w:rsidRPr="00AF3608">
        <w:rPr>
          <w:rFonts w:ascii="Calibri" w:eastAsia="Calibri" w:hAnsi="Calibri" w:cs="Calibri"/>
          <w:i/>
          <w:vertAlign w:val="superscript"/>
          <w:lang w:val="ro-RO"/>
        </w:rPr>
        <w:footnoteReference w:id="15"/>
      </w:r>
      <w:r w:rsidRPr="00AF3608">
        <w:rPr>
          <w:rFonts w:ascii="Calibri" w:eastAsia="Calibri" w:hAnsi="Calibri" w:cs="Calibri"/>
          <w:lang w:val="ro-RO"/>
        </w:rPr>
        <w:t xml:space="preserve"> (-12,6%, an/an), în special ca urmare a reducerii consumului de carburanți în conjunctura economică actuală (limitarea consumului anumitor servicii – turism și creșterea incidenței muncii la domiciliu). În schimb, veniturile din </w:t>
      </w:r>
      <w:r w:rsidRPr="00AF3608">
        <w:rPr>
          <w:rFonts w:ascii="Calibri" w:eastAsia="Calibri" w:hAnsi="Calibri" w:cs="Calibri"/>
          <w:i/>
          <w:lang w:val="ro-RO"/>
        </w:rPr>
        <w:t>accizele pentru produsele din tutun</w:t>
      </w:r>
      <w:r w:rsidRPr="00AF3608">
        <w:rPr>
          <w:rFonts w:ascii="Calibri" w:eastAsia="Calibri" w:hAnsi="Calibri" w:cs="Calibri"/>
          <w:lang w:val="ro-RO"/>
        </w:rPr>
        <w:t xml:space="preserve"> au înregistrat o creștere de 10,9% (an/an), susținută și de majorarea nivelului accizei la țigarete.</w:t>
      </w:r>
    </w:p>
    <w:p w:rsidR="005C01EF" w:rsidRPr="00AF3608" w:rsidRDefault="005C01EF" w:rsidP="00B723C0">
      <w:pPr>
        <w:spacing w:after="160" w:line="360" w:lineRule="auto"/>
        <w:contextualSpacing/>
        <w:jc w:val="center"/>
        <w:rPr>
          <w:rFonts w:ascii="Calibri" w:eastAsia="Calibri" w:hAnsi="Calibri" w:cs="Calibri"/>
          <w:lang w:val="ro-RO"/>
        </w:rPr>
      </w:pPr>
    </w:p>
    <w:p w:rsidR="005C01EF" w:rsidRPr="00AF3608" w:rsidRDefault="005C01EF" w:rsidP="00B723C0">
      <w:pPr>
        <w:spacing w:after="160" w:line="360" w:lineRule="auto"/>
        <w:contextualSpacing/>
        <w:jc w:val="center"/>
        <w:rPr>
          <w:rFonts w:ascii="Calibri" w:eastAsia="Calibri" w:hAnsi="Calibri" w:cs="Calibri"/>
          <w:lang w:val="ro-RO"/>
        </w:rPr>
      </w:pPr>
      <w:r w:rsidRPr="00AF3608">
        <w:rPr>
          <w:rFonts w:ascii="Calibri" w:eastAsia="Calibri" w:hAnsi="Calibri" w:cs="Calibri"/>
          <w:noProof/>
          <w:color w:val="FF0000"/>
        </w:rPr>
        <w:drawing>
          <wp:inline distT="0" distB="0" distL="0" distR="0" wp14:anchorId="2B75AD69" wp14:editId="5C8A5056">
            <wp:extent cx="5762625" cy="32004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3200400"/>
                    </a:xfrm>
                    <a:prstGeom prst="rect">
                      <a:avLst/>
                    </a:prstGeom>
                    <a:noFill/>
                    <a:ln>
                      <a:noFill/>
                    </a:ln>
                  </pic:spPr>
                </pic:pic>
              </a:graphicData>
            </a:graphic>
          </wp:inline>
        </w:drawing>
      </w:r>
    </w:p>
    <w:p w:rsidR="005C01EF" w:rsidRPr="00AF3608" w:rsidRDefault="005C01EF" w:rsidP="00B723C0">
      <w:pPr>
        <w:spacing w:after="160" w:line="360" w:lineRule="auto"/>
        <w:ind w:left="720"/>
        <w:contextualSpacing/>
        <w:jc w:val="both"/>
        <w:rPr>
          <w:rFonts w:ascii="Calibri" w:eastAsia="Calibri" w:hAnsi="Calibri" w:cs="Calibri"/>
          <w:color w:val="808080"/>
          <w:lang w:val="ro-RO"/>
        </w:rPr>
      </w:pPr>
      <w:r w:rsidRPr="00AF3608">
        <w:rPr>
          <w:rFonts w:ascii="Calibri" w:eastAsia="Calibri" w:hAnsi="Calibri" w:cs="Calibri"/>
          <w:color w:val="808080"/>
          <w:lang w:val="ro-RO"/>
        </w:rPr>
        <w:lastRenderedPageBreak/>
        <w:t>Sursa: MF, INS, calcule proprii</w:t>
      </w:r>
    </w:p>
    <w:p w:rsidR="005C01EF" w:rsidRPr="00AF3608" w:rsidRDefault="005C01EF" w:rsidP="00B723C0">
      <w:pPr>
        <w:spacing w:after="160" w:line="360" w:lineRule="auto"/>
        <w:ind w:left="720"/>
        <w:contextualSpacing/>
        <w:jc w:val="center"/>
        <w:rPr>
          <w:rFonts w:ascii="Calibri" w:eastAsia="Calibri" w:hAnsi="Calibri" w:cs="Calibri"/>
          <w:lang w:val="ro-RO"/>
        </w:rPr>
      </w:pPr>
      <w:r w:rsidRPr="00AF3608">
        <w:rPr>
          <w:rFonts w:ascii="Calibri" w:eastAsia="Calibri" w:hAnsi="Calibri" w:cs="Calibri"/>
          <w:b/>
          <w:lang w:val="ro-RO"/>
        </w:rPr>
        <w:t xml:space="preserve">Fig.4 Încasările din accize </w:t>
      </w:r>
    </w:p>
    <w:p w:rsidR="003B0CF1" w:rsidRPr="00AF3608" w:rsidRDefault="003B0CF1" w:rsidP="00B723C0">
      <w:pPr>
        <w:spacing w:before="120"/>
        <w:jc w:val="both"/>
        <w:rPr>
          <w:rFonts w:ascii="Calibri" w:eastAsia="Calibri" w:hAnsi="Calibri" w:cs="Calibri"/>
          <w:lang w:val="ro-RO"/>
        </w:rPr>
      </w:pPr>
    </w:p>
    <w:p w:rsidR="005C01EF" w:rsidRPr="00AF3608" w:rsidRDefault="005C01EF" w:rsidP="00B723C0">
      <w:pPr>
        <w:spacing w:before="120"/>
        <w:jc w:val="both"/>
        <w:rPr>
          <w:rFonts w:ascii="Calibri" w:eastAsia="Calibri" w:hAnsi="Calibri" w:cs="Calibri"/>
          <w:lang w:val="ro-RO"/>
        </w:rPr>
      </w:pPr>
      <w:r w:rsidRPr="00AF3608">
        <w:rPr>
          <w:rFonts w:ascii="Calibri" w:eastAsia="Calibri" w:hAnsi="Calibri" w:cs="Calibri"/>
          <w:lang w:val="ro-RO"/>
        </w:rPr>
        <w:t xml:space="preserve">Veniturile din </w:t>
      </w:r>
      <w:r w:rsidRPr="00AF3608">
        <w:rPr>
          <w:rFonts w:ascii="Calibri" w:eastAsia="Calibri" w:hAnsi="Calibri" w:cs="Calibri"/>
          <w:b/>
          <w:i/>
          <w:lang w:val="ro-RO"/>
        </w:rPr>
        <w:t>taxele pe utilizarea bunurilor,</w:t>
      </w:r>
      <w:r w:rsidRPr="00AF3608">
        <w:rPr>
          <w:rFonts w:ascii="Calibri" w:eastAsia="Calibri" w:hAnsi="Calibri" w:cs="Calibri"/>
          <w:lang w:val="ro-RO"/>
        </w:rPr>
        <w:t xml:space="preserve"> </w:t>
      </w:r>
      <w:r w:rsidRPr="00AF3608">
        <w:rPr>
          <w:rFonts w:ascii="Calibri" w:eastAsia="Calibri" w:hAnsi="Calibri" w:cs="Calibri"/>
          <w:b/>
          <w:i/>
          <w:lang w:val="ro-RO"/>
        </w:rPr>
        <w:t>autorizarea utilizării bunurilor sau pe desfășurarea de activități</w:t>
      </w:r>
      <w:r w:rsidRPr="00AF3608">
        <w:rPr>
          <w:rFonts w:ascii="Calibri" w:eastAsia="Calibri" w:hAnsi="Calibri" w:cs="Calibri"/>
          <w:lang w:val="ro-RO"/>
        </w:rPr>
        <w:t xml:space="preserve"> au înregistrat 3,77 mld lei în 2020. Deși au consemnat un avans semnificativ față de încasările înregistrate în anul precedent, dinamica este explicată în principal de baza foarte redusă aferentă anului 2019, în condițiile în care au fost restituite taxe pentru prima înmatriculare încasate în anii precedenți. De asemenea, avansul se datorează și încasării taxelor de licență de la ANCOM</w:t>
      </w:r>
      <w:r w:rsidRPr="00AF3608">
        <w:rPr>
          <w:rFonts w:ascii="Calibri" w:eastAsia="Calibri" w:hAnsi="Calibri" w:cs="Calibri"/>
          <w:vertAlign w:val="superscript"/>
          <w:lang w:val="ro-RO"/>
        </w:rPr>
        <w:footnoteReference w:id="16"/>
      </w:r>
      <w:r w:rsidRPr="00AF3608">
        <w:rPr>
          <w:rFonts w:ascii="Calibri" w:eastAsia="Calibri" w:hAnsi="Calibri" w:cs="Calibri"/>
          <w:lang w:val="ro-RO"/>
        </w:rPr>
        <w:t xml:space="preserve">. </w:t>
      </w:r>
    </w:p>
    <w:p w:rsidR="005C01EF" w:rsidRPr="00AF3608" w:rsidRDefault="005C01EF" w:rsidP="00B723C0">
      <w:pPr>
        <w:spacing w:before="120"/>
        <w:jc w:val="both"/>
        <w:rPr>
          <w:rFonts w:ascii="Calibri" w:eastAsia="Calibri" w:hAnsi="Calibri" w:cs="Calibri"/>
          <w:lang w:val="ro-RO"/>
        </w:rPr>
      </w:pPr>
      <w:r w:rsidRPr="00AF3608">
        <w:rPr>
          <w:rFonts w:ascii="Calibri" w:eastAsia="Calibri" w:hAnsi="Calibri" w:cs="Calibri"/>
          <w:lang w:val="ro-RO"/>
        </w:rPr>
        <w:t xml:space="preserve">Veniturile </w:t>
      </w:r>
      <w:r w:rsidRPr="00AF3608">
        <w:rPr>
          <w:rFonts w:ascii="Calibri" w:eastAsia="Calibri" w:hAnsi="Calibri" w:cs="Calibri"/>
          <w:b/>
          <w:i/>
          <w:lang w:val="ro-RO"/>
        </w:rPr>
        <w:t>nefiscale</w:t>
      </w:r>
      <w:r w:rsidRPr="00AF3608">
        <w:rPr>
          <w:rFonts w:ascii="Calibri" w:eastAsia="Calibri" w:hAnsi="Calibri" w:cs="Calibri"/>
          <w:lang w:val="ro-RO"/>
        </w:rPr>
        <w:t xml:space="preserve"> au înregistrat 24,39 mld lei în 2020, în scădere cu 9,8% (an/an). Dinamica acestora a fost influențată în principal de veniturile din dividende, care s-au diminuat cu 2,0 mld lei.  </w:t>
      </w:r>
    </w:p>
    <w:p w:rsidR="005C01EF" w:rsidRPr="00AF3608" w:rsidRDefault="005C01EF" w:rsidP="00B723C0">
      <w:pPr>
        <w:spacing w:before="120"/>
        <w:jc w:val="both"/>
        <w:rPr>
          <w:rFonts w:ascii="Calibri" w:eastAsia="Calibri" w:hAnsi="Calibri" w:cs="Calibri"/>
          <w:lang w:val="ro-RO"/>
        </w:rPr>
      </w:pPr>
      <w:r w:rsidRPr="00AF3608">
        <w:rPr>
          <w:rFonts w:ascii="Calibri" w:eastAsia="Calibri" w:hAnsi="Calibri" w:cs="Calibri"/>
          <w:b/>
          <w:i/>
          <w:lang w:val="ro-RO"/>
        </w:rPr>
        <w:t>Sumele rambursate de Uniunea Europeană în contul plăților efectuate</w:t>
      </w:r>
      <w:r w:rsidRPr="00AF3608">
        <w:rPr>
          <w:rFonts w:ascii="Calibri" w:eastAsia="Calibri" w:hAnsi="Calibri" w:cs="Calibri"/>
          <w:lang w:val="ro-RO"/>
        </w:rPr>
        <w:t xml:space="preserve"> și donații au totalizat 33,56 mld lei în anul 2020, în creștere cu 32,4% față de nivelul înregistrat în 2019.</w:t>
      </w:r>
    </w:p>
    <w:p w:rsidR="005C01EF" w:rsidRPr="00AF3608" w:rsidRDefault="005C01EF" w:rsidP="003A0B85">
      <w:pPr>
        <w:numPr>
          <w:ilvl w:val="0"/>
          <w:numId w:val="30"/>
        </w:numPr>
        <w:spacing w:before="120"/>
        <w:ind w:hanging="1080"/>
        <w:jc w:val="both"/>
        <w:rPr>
          <w:rFonts w:ascii="Calibri" w:eastAsia="Calibri" w:hAnsi="Calibri" w:cs="Calibri"/>
          <w:color w:val="002060"/>
          <w:lang w:val="ro-RO"/>
        </w:rPr>
      </w:pPr>
      <w:r w:rsidRPr="00AF3608">
        <w:rPr>
          <w:rFonts w:ascii="Calibri" w:eastAsia="Calibri" w:hAnsi="Calibri" w:cs="Calibri"/>
          <w:b/>
          <w:caps/>
          <w:color w:val="002060"/>
          <w:lang w:val="ro-RO"/>
        </w:rPr>
        <w:t>CHELTUIELILE bugetului general consolidat</w:t>
      </w:r>
    </w:p>
    <w:p w:rsidR="005C01EF" w:rsidRPr="00AF3608" w:rsidRDefault="005C01EF" w:rsidP="00B723C0">
      <w:pPr>
        <w:spacing w:before="120"/>
        <w:jc w:val="both"/>
        <w:rPr>
          <w:rFonts w:asciiTheme="minorHAnsi" w:hAnsiTheme="minorHAnsi" w:cs="Calibri"/>
          <w:color w:val="000000"/>
          <w:lang w:val="ro-RO" w:eastAsia="ro-RO"/>
        </w:rPr>
      </w:pPr>
      <w:r w:rsidRPr="00AF3608">
        <w:rPr>
          <w:rFonts w:ascii="Calibri" w:eastAsia="Calibri" w:hAnsi="Calibri" w:cs="Calibri"/>
          <w:lang w:val="ro-RO"/>
        </w:rPr>
        <w:t xml:space="preserve">Cheltuielile bugetului general consolidat în sumă de 424,43 mld lei au crescut în termeni nominali cu 14,8% față de anul 2019. Exprimate ca procent din Produsul Intern Brut, cheltuielile au înregistrat o creștere cu 5,9 puncte procentuale de la 34,9% din PIB în anul 2019 la 40,8% din PIB în 2020. Majorarea cheltuielilor se datorează și măsurilor care au fost avute în vedere pentru combaterea epidemiei de COVID-19, respectiv a </w:t>
      </w:r>
      <w:r w:rsidRPr="00AF3608">
        <w:rPr>
          <w:rFonts w:ascii="Calibri" w:hAnsi="Calibri" w:cs="Calibri"/>
          <w:color w:val="000000"/>
          <w:lang w:val="ro-RO" w:eastAsia="ro-RO"/>
        </w:rPr>
        <w:t>sumelor necesare finanțării în regim de urgență a cheltuielilor de gestionare a situației epidemiologice cauzate de răspândirea coronavirusului SARS-</w:t>
      </w:r>
      <w:r w:rsidRPr="00AF3608">
        <w:rPr>
          <w:rFonts w:asciiTheme="minorHAnsi" w:hAnsiTheme="minorHAnsi" w:cs="Calibri"/>
          <w:color w:val="000000"/>
          <w:lang w:val="ro-RO" w:eastAsia="ro-RO"/>
        </w:rPr>
        <w:t xml:space="preserve">CoV-2, pe de o parte, precum și a măsurilor cu caracter excepțional, în domeniul social și economic, pentru diminuarea efectelor negative asupra economiei cauzate de măsurile adoptate pentru limitarea infectării în rândul populației. </w:t>
      </w:r>
      <w:r w:rsidRPr="00AF3608">
        <w:rPr>
          <w:rFonts w:asciiTheme="minorHAnsi" w:eastAsia="Calibri" w:hAnsiTheme="minorHAnsi" w:cs="Calibri"/>
          <w:lang w:val="ro-RO"/>
        </w:rPr>
        <w:t>Astfel, până la finele lunii decembrie s-au plătit 4,25 mld lei pentru îndemnizații acordate pe perioada suspendării temporare a contractului individual de muncă din inițiativa angajatorului, 922,13 mil lei pentru îndemnizații acordate pentru alți profesioniștii, precum și pentru persoanele care au încheiate convenții individuale de muncă care întrerup activitatea ca urmare a efectelor SARS-CoV-2, 2,69 mld lei reprezentând sume acordate angajatorilor pentru decontarea unei părți a salariului brut al angajaților menținuți în muncă (41,5%), 96,15 mil lei pentru îndemnizații acordate părinților pentru supravegherea copiilor pe perioada închiderii temporare a unităților de învățământ</w:t>
      </w:r>
      <w:r w:rsidRPr="00AF3608">
        <w:rPr>
          <w:rFonts w:asciiTheme="minorHAnsi" w:hAnsiTheme="minorHAnsi" w:cs="Calibri"/>
          <w:color w:val="000000"/>
          <w:lang w:val="ro-RO" w:eastAsia="ro-RO"/>
        </w:rPr>
        <w:t xml:space="preserve"> și 121,9 milioane pentru indemnizații acordate pe perioada reducerii temporare a activității pentru profesioniști precum și pentru persoanele care au încheiate convenții individuale de muncă în baza Legii nr.1/2005. </w:t>
      </w:r>
    </w:p>
    <w:p w:rsidR="005C01EF" w:rsidRPr="00AF3608" w:rsidRDefault="005C01EF" w:rsidP="00B723C0">
      <w:pPr>
        <w:spacing w:before="120"/>
        <w:jc w:val="both"/>
        <w:rPr>
          <w:rFonts w:asciiTheme="minorHAnsi" w:eastAsia="Calibri" w:hAnsiTheme="minorHAnsi" w:cs="Calibri"/>
          <w:lang w:val="ro-RO"/>
        </w:rPr>
      </w:pPr>
      <w:r w:rsidRPr="00AF3608">
        <w:rPr>
          <w:rFonts w:asciiTheme="minorHAnsi" w:eastAsia="Calibri" w:hAnsiTheme="minorHAnsi" w:cs="Calibri"/>
          <w:b/>
          <w:i/>
          <w:lang w:val="ro-RO"/>
        </w:rPr>
        <w:t>Cheltuielile de personal</w:t>
      </w:r>
      <w:r w:rsidRPr="00AF3608">
        <w:rPr>
          <w:rFonts w:asciiTheme="minorHAnsi" w:eastAsia="Calibri" w:hAnsiTheme="minorHAnsi" w:cs="Calibri"/>
          <w:lang w:val="ro-RO"/>
        </w:rPr>
        <w:t xml:space="preserve"> au însumat 109,98 mld lei, în creștere cu 7,5% comparativ cu  anul precedent, reflectându-se majorările salariale, îndemnizația de hrană, atât cele aplicate începând cu 1 ianuarie 2019, acordate în temeiul Legii cadru nr.153/2017 privind salarizarea personalului plătit din fonduri publice, cât și majorările salariale aplicate cu 1 ianuarie 2020. Exprimate ca pondere în PIB, cheltuielile de personal reprezintă un nivel de 10,6% din PIB, cu 0,9 puncte procentuale peste nivelul anului anterior. Din total cheltuielilor de personal, plățile reprezentând stimulentul de risc acordat pentru COVID 19 au fost de 323,47 milioane lei.</w:t>
      </w:r>
    </w:p>
    <w:p w:rsidR="005C01EF" w:rsidRPr="00AF3608" w:rsidRDefault="005C01EF" w:rsidP="00B723C0">
      <w:pPr>
        <w:spacing w:before="120"/>
        <w:jc w:val="both"/>
        <w:rPr>
          <w:rFonts w:asciiTheme="minorHAnsi" w:eastAsia="Calibri" w:hAnsiTheme="minorHAnsi" w:cs="Calibri"/>
          <w:lang w:val="ro-RO"/>
        </w:rPr>
      </w:pPr>
      <w:r w:rsidRPr="00AF3608">
        <w:rPr>
          <w:rFonts w:asciiTheme="minorHAnsi" w:eastAsia="Calibri" w:hAnsiTheme="minorHAnsi" w:cs="Calibri"/>
          <w:lang w:val="ro-RO"/>
        </w:rPr>
        <w:t xml:space="preserve">Au fost achitate, de asemenea, diferențele salariale prevăzute de Legea nr. 85/2016, restante din anul 2019 și sume aferente anului 2020 - pentru universitățile de stat, precum și tranșele aferente hotărârilor judecătorești având ca obiect drepturi de natură salarială în domeniul educației și justiției, în valoare aproximativă de 0,95 mld lei. </w:t>
      </w:r>
    </w:p>
    <w:p w:rsidR="005C01EF" w:rsidRPr="00AF3608" w:rsidRDefault="005C01EF" w:rsidP="00B723C0">
      <w:pPr>
        <w:spacing w:before="120"/>
        <w:jc w:val="both"/>
        <w:rPr>
          <w:rFonts w:asciiTheme="minorHAnsi" w:eastAsia="Calibri" w:hAnsiTheme="minorHAnsi" w:cs="Calibri"/>
          <w:lang w:val="ro-RO"/>
        </w:rPr>
      </w:pPr>
      <w:r w:rsidRPr="00AF3608">
        <w:rPr>
          <w:rFonts w:asciiTheme="minorHAnsi" w:eastAsia="Calibri" w:hAnsiTheme="minorHAnsi" w:cs="Calibri"/>
          <w:b/>
          <w:i/>
          <w:lang w:val="ro-RO"/>
        </w:rPr>
        <w:t>Cheltuielile cu bunuri și servicii</w:t>
      </w:r>
      <w:r w:rsidRPr="00AF3608">
        <w:rPr>
          <w:rFonts w:asciiTheme="minorHAnsi" w:eastAsia="Calibri" w:hAnsiTheme="minorHAnsi" w:cs="Calibri"/>
          <w:lang w:val="ro-RO"/>
        </w:rPr>
        <w:t xml:space="preserve">  au fost 57,05 mld lei, în creștere cu 6,9% față de anul precedent. În cadrul bugetului general consolidat, majorările față de medie se înregistrează la nivelul </w:t>
      </w:r>
      <w:r w:rsidRPr="00AF3608">
        <w:rPr>
          <w:rFonts w:asciiTheme="minorHAnsi" w:eastAsia="Calibri" w:hAnsiTheme="minorHAnsi" w:cs="Calibri"/>
          <w:lang w:val="ro-RO"/>
        </w:rPr>
        <w:lastRenderedPageBreak/>
        <w:t xml:space="preserve">administrației locale inclusiv spitalele din subordinea acestora, majorări determinate în special de plăți suplimentare pentru medicamente, materiale sanitare, reactivi și alte produse necesare diagnosticării și tratării pacienților infectați cu coronavirusul SARS-CoV-2. </w:t>
      </w:r>
    </w:p>
    <w:p w:rsidR="005C01EF" w:rsidRPr="00AF3608" w:rsidRDefault="005C01EF" w:rsidP="00B723C0">
      <w:pPr>
        <w:spacing w:before="120"/>
        <w:jc w:val="both"/>
        <w:rPr>
          <w:rFonts w:asciiTheme="minorHAnsi" w:eastAsia="Calibri" w:hAnsiTheme="minorHAnsi" w:cs="Calibri"/>
          <w:lang w:val="ro-RO"/>
        </w:rPr>
      </w:pPr>
      <w:r w:rsidRPr="00AF3608">
        <w:rPr>
          <w:rFonts w:asciiTheme="minorHAnsi" w:eastAsia="Calibri" w:hAnsiTheme="minorHAnsi" w:cs="Calibri"/>
          <w:lang w:val="ro-RO"/>
        </w:rPr>
        <w:t>De asemenea, o creștere se reflectă și la bugetul Fondului național unic de asigurări sociale de sănătate de 3,7% față de anul anterior determinată de deconturile mai mari pentru plata medicamentelor care fac obiectul contractelor cost-volum rezultat și pentru decontarea serviciilor medicale în ambulatoriu.</w:t>
      </w:r>
    </w:p>
    <w:p w:rsidR="005C01EF" w:rsidRPr="00AF3608" w:rsidRDefault="005C01EF" w:rsidP="00B723C0">
      <w:pPr>
        <w:spacing w:before="120"/>
        <w:jc w:val="both"/>
        <w:rPr>
          <w:rFonts w:asciiTheme="minorHAnsi" w:eastAsia="Calibri" w:hAnsiTheme="minorHAnsi" w:cs="Calibri"/>
          <w:lang w:val="ro-RO"/>
        </w:rPr>
      </w:pPr>
      <w:r w:rsidRPr="00AF3608">
        <w:rPr>
          <w:rFonts w:asciiTheme="minorHAnsi" w:eastAsia="Calibri" w:hAnsiTheme="minorHAnsi" w:cs="Calibri"/>
          <w:b/>
          <w:i/>
          <w:lang w:val="ro-RO"/>
        </w:rPr>
        <w:t>Cheltuielile cu asistența socială</w:t>
      </w:r>
      <w:r w:rsidRPr="00AF3608">
        <w:rPr>
          <w:rFonts w:asciiTheme="minorHAnsi" w:eastAsia="Calibri" w:hAnsiTheme="minorHAnsi" w:cs="Calibri"/>
          <w:lang w:val="ro-RO"/>
        </w:rPr>
        <w:t xml:space="preserve"> au fost de 138,55 mld lei în creștere cu 20,8% comparativ cu anul anterior. Evoluția cheltuielilor cu asistența socială a fost influențată, în principal, de majorarea punctului de pensie de la 1 septembrie 2019, precum și de majorarea punctului de pensie de la 1 septembrie 2020 cu 177 lei, respectiv de la 1.265 lei la 1.442 lei. De asemnea, se reflectă și majorarea de la 1 septembrie a.c. a nivelului îndemnizației sociale pentru pensionari garantată de la 704 lei la 800 lei, precum și majorările privind alocațiile de stat pentru copii începând cu 1 mai 2019, 1 ianuarie 2020 și cea de la 1 august 2020 care reprezintă o creștere a alocației cu aprox. 20% mai mult decât cea plătită în luna iulie 2020.</w:t>
      </w:r>
    </w:p>
    <w:p w:rsidR="005C01EF" w:rsidRPr="00AF3608" w:rsidRDefault="005C01EF" w:rsidP="00B723C0">
      <w:pPr>
        <w:spacing w:before="120"/>
        <w:jc w:val="both"/>
        <w:rPr>
          <w:rFonts w:asciiTheme="minorHAnsi" w:eastAsia="Calibri" w:hAnsiTheme="minorHAnsi" w:cs="Calibri"/>
          <w:lang w:val="ro-RO"/>
        </w:rPr>
      </w:pPr>
      <w:r w:rsidRPr="00AF3608">
        <w:rPr>
          <w:rFonts w:asciiTheme="minorHAnsi" w:eastAsia="Calibri" w:hAnsiTheme="minorHAnsi" w:cs="Calibri"/>
          <w:lang w:val="ro-RO"/>
        </w:rPr>
        <w:t xml:space="preserve">Totodată, începând cu luna aprilie s-au realizat plăți determinate de măsurile care au fost luate cu caracter excepțional, în domeniul social și economic, pentru diminuarea efectelor negative generate de pandemia de COVID 19, cum ar fi plata pentru îndemnizații acordate pe perioada suspendării temporare a contractului individual de muncă din inițiativa angajatorului în valoare de 4,25 mld lei și pentru îndemnizații acordate pentru alți profesioniștii, pentru persoanele care au încheiate convenții individuale de muncă care întrerup activitatea ca urmare a efectelor SARS-CoV-2 în valoare de  922,13 mil lei, precum și sume acordate angajatorilor pentru decontarea unei părți a salariului brut al angajaților menținuți în muncă (41,5%) în valoare de 2,69 mld lei. De asemenea, se continuă decontările îndemnizațiilor de asigurări sociale de sănătate pentru concedii medicale în scopul diminuării stocului de plăți restante aferente acestora, astfel că până la sfârșitul lunii decembrie plățile au fost de 3,6 mld lei, în creștere cu 31,1% comparativ cu anul anterior. </w:t>
      </w:r>
    </w:p>
    <w:p w:rsidR="005C01EF" w:rsidRPr="00AF3608" w:rsidRDefault="005C01EF" w:rsidP="00B723C0">
      <w:pPr>
        <w:spacing w:before="120"/>
        <w:jc w:val="both"/>
        <w:rPr>
          <w:rFonts w:asciiTheme="minorHAnsi" w:eastAsia="Calibri" w:hAnsiTheme="minorHAnsi" w:cs="Calibri"/>
          <w:lang w:val="ro-RO"/>
        </w:rPr>
      </w:pPr>
      <w:r w:rsidRPr="00AF3608">
        <w:rPr>
          <w:rFonts w:asciiTheme="minorHAnsi" w:eastAsia="Calibri" w:hAnsiTheme="minorHAnsi" w:cs="Calibri"/>
          <w:b/>
          <w:lang w:val="ro-RO"/>
        </w:rPr>
        <w:t>Cheltuielile cu subvențiile</w:t>
      </w:r>
      <w:r w:rsidRPr="00AF3608">
        <w:rPr>
          <w:rFonts w:asciiTheme="minorHAnsi" w:eastAsia="Calibri" w:hAnsiTheme="minorHAnsi" w:cs="Calibri"/>
          <w:lang w:val="ro-RO"/>
        </w:rPr>
        <w:t xml:space="preserve">  au fost de 8,14 mld lei, cea mai mare parte dintre acestea fiind alocate către sectorul agricol și transporturi, respectiv subvenții pentru sprijinirea producătorilor agricoli, subvenții pentru transportul călătorilor și pentru diferențe de preț și tarif.</w:t>
      </w:r>
    </w:p>
    <w:p w:rsidR="005C01EF" w:rsidRPr="00AF3608" w:rsidRDefault="005C01EF" w:rsidP="00B723C0">
      <w:pPr>
        <w:spacing w:before="120"/>
        <w:jc w:val="both"/>
        <w:rPr>
          <w:rFonts w:asciiTheme="minorHAnsi" w:eastAsia="Calibri" w:hAnsiTheme="minorHAnsi" w:cs="Calibri"/>
          <w:bCs/>
          <w:lang w:val="ro-RO"/>
        </w:rPr>
      </w:pPr>
      <w:r w:rsidRPr="00AF3608">
        <w:rPr>
          <w:rFonts w:asciiTheme="minorHAnsi" w:eastAsia="Calibri" w:hAnsiTheme="minorHAnsi" w:cs="Calibri"/>
          <w:b/>
          <w:bCs/>
          <w:i/>
          <w:lang w:val="ro-RO"/>
        </w:rPr>
        <w:t>Alte cheltuieli</w:t>
      </w:r>
      <w:r w:rsidRPr="00AF3608">
        <w:rPr>
          <w:rFonts w:asciiTheme="minorHAnsi" w:eastAsia="Calibri" w:hAnsiTheme="minorHAnsi" w:cs="Calibri"/>
          <w:bCs/>
          <w:lang w:val="ro-RO"/>
        </w:rPr>
        <w:t xml:space="preserve">  au fost de 8,36 mld lei, reprezentând, în principal, sume aferente titlurilor de plată emise de Autoritatea Națională pentru Restituirea Proprietăților, conform legislației în vigoare, burse pentru elevi și studenți, alte despăgubiri civile,</w:t>
      </w:r>
      <w:r w:rsidRPr="00AF3608">
        <w:rPr>
          <w:rFonts w:asciiTheme="minorHAnsi" w:eastAsia="Calibri" w:hAnsiTheme="minorHAnsi" w:cs="Calibri"/>
          <w:lang w:val="ro-RO"/>
        </w:rPr>
        <w:t xml:space="preserve"> precum și îndemnizații acordate părinților pentru supravegherea copiilor pe perioada închiderii temporare a unităților de învățământ (96,15 milioane lei</w:t>
      </w:r>
      <w:r w:rsidRPr="00AF3608">
        <w:rPr>
          <w:rFonts w:asciiTheme="minorHAnsi" w:eastAsia="Calibri" w:hAnsiTheme="minorHAnsi" w:cs="Calibri"/>
          <w:bCs/>
          <w:lang w:val="ro-RO"/>
        </w:rPr>
        <w:t>). De asemenea, s-au plătit schemele de ajutor de stat acordate producătorilor agricoli care au fost afectați de secetă în valoare de 92</w:t>
      </w:r>
      <w:r w:rsidRPr="00AF3608">
        <w:rPr>
          <w:rFonts w:asciiTheme="minorHAnsi" w:eastAsia="Calibri" w:hAnsiTheme="minorHAnsi" w:cs="Calibri"/>
          <w:lang w:val="ro-RO"/>
        </w:rPr>
        <w:t xml:space="preserve">9,98 </w:t>
      </w:r>
      <w:r w:rsidRPr="00AF3608">
        <w:rPr>
          <w:rFonts w:asciiTheme="minorHAnsi" w:eastAsia="Calibri" w:hAnsiTheme="minorHAnsi" w:cs="Calibri"/>
          <w:bCs/>
          <w:lang w:val="ro-RO"/>
        </w:rPr>
        <w:t>milioane</w:t>
      </w:r>
      <w:r w:rsidRPr="00AF3608">
        <w:rPr>
          <w:rFonts w:asciiTheme="minorHAnsi" w:eastAsia="Calibri" w:hAnsiTheme="minorHAnsi" w:cs="Calibri"/>
          <w:lang w:val="ro-RO"/>
        </w:rPr>
        <w:t xml:space="preserve"> lei.</w:t>
      </w:r>
    </w:p>
    <w:p w:rsidR="005C01EF" w:rsidRPr="00AF3608" w:rsidRDefault="005C01EF" w:rsidP="00B723C0">
      <w:pPr>
        <w:spacing w:before="120"/>
        <w:jc w:val="both"/>
        <w:rPr>
          <w:rFonts w:asciiTheme="minorHAnsi" w:eastAsia="Calibri" w:hAnsiTheme="minorHAnsi" w:cs="Calibri"/>
          <w:bCs/>
          <w:lang w:val="ro-RO"/>
        </w:rPr>
      </w:pPr>
      <w:r w:rsidRPr="00AF3608">
        <w:rPr>
          <w:rFonts w:asciiTheme="minorHAnsi" w:eastAsia="Calibri" w:hAnsiTheme="minorHAnsi" w:cs="Calibri"/>
          <w:b/>
          <w:bCs/>
          <w:i/>
          <w:lang w:val="ro-RO"/>
        </w:rPr>
        <w:t>Cheltuielile privind proiectele finanțate din fonduri externe nerambursabile</w:t>
      </w:r>
      <w:r w:rsidRPr="00AF3608">
        <w:rPr>
          <w:rFonts w:asciiTheme="minorHAnsi" w:eastAsia="Calibri" w:hAnsiTheme="minorHAnsi" w:cs="Calibri"/>
          <w:bCs/>
          <w:lang w:val="ro-RO"/>
        </w:rPr>
        <w:t xml:space="preserve"> (inclusiv subvențiile de la Uniunea Europeană aferente agriculturii) au fost de 35,1 mld lei, cu 25,9% mai mari comparativ cu anul precedent.</w:t>
      </w:r>
    </w:p>
    <w:p w:rsidR="005C01EF" w:rsidRPr="00AF3608" w:rsidRDefault="005C01EF" w:rsidP="00B723C0">
      <w:pPr>
        <w:spacing w:before="120"/>
        <w:jc w:val="both"/>
        <w:rPr>
          <w:rFonts w:asciiTheme="minorHAnsi" w:eastAsia="Calibri" w:hAnsiTheme="minorHAnsi" w:cs="Calibri"/>
          <w:bCs/>
          <w:lang w:val="ro-RO"/>
        </w:rPr>
      </w:pPr>
      <w:r w:rsidRPr="00AF3608">
        <w:rPr>
          <w:rFonts w:asciiTheme="minorHAnsi" w:eastAsia="Calibri" w:hAnsiTheme="minorHAnsi" w:cs="Calibri"/>
          <w:b/>
          <w:i/>
          <w:color w:val="000000"/>
          <w:lang w:val="ro-RO"/>
        </w:rPr>
        <w:t>Cheltuielile pentru investiții</w:t>
      </w:r>
      <w:r w:rsidRPr="00AF3608">
        <w:rPr>
          <w:rFonts w:asciiTheme="minorHAnsi" w:eastAsia="Calibri" w:hAnsiTheme="minorHAnsi" w:cs="Calibri"/>
          <w:color w:val="000000"/>
          <w:lang w:val="ro-RO"/>
        </w:rPr>
        <w:t xml:space="preserve">, </w:t>
      </w:r>
      <w:r w:rsidRPr="00AF3608">
        <w:rPr>
          <w:rFonts w:asciiTheme="minorHAnsi" w:eastAsia="Calibri" w:hAnsiTheme="minorHAnsi" w:cs="Calibri"/>
          <w:bCs/>
          <w:lang w:val="ro-RO"/>
        </w:rPr>
        <w:t xml:space="preserve">care includ cheltuielile de capital, precum și cele aferente programelor de dezvoltare finanțate din surse interne și externe, au fost în valoare de </w:t>
      </w:r>
      <w:r w:rsidRPr="00AF3608">
        <w:rPr>
          <w:rFonts w:asciiTheme="minorHAnsi" w:eastAsia="Calibri" w:hAnsiTheme="minorHAnsi" w:cs="Calibri"/>
          <w:b/>
          <w:bCs/>
          <w:lang w:val="ro-RO"/>
        </w:rPr>
        <w:t>53,2 mld lei,</w:t>
      </w:r>
      <w:r w:rsidRPr="00AF3608">
        <w:rPr>
          <w:rFonts w:asciiTheme="minorHAnsi" w:eastAsia="Calibri" w:hAnsiTheme="minorHAnsi" w:cs="Calibri"/>
          <w:bCs/>
          <w:lang w:val="ro-RO"/>
        </w:rPr>
        <w:t xml:space="preserve"> cea mai mare sumă investită în economie în ultimii 10 ani, în creștere cu </w:t>
      </w:r>
      <w:r w:rsidRPr="00AF3608">
        <w:rPr>
          <w:rFonts w:asciiTheme="minorHAnsi" w:eastAsia="Calibri" w:hAnsiTheme="minorHAnsi" w:cs="Calibri"/>
          <w:b/>
          <w:bCs/>
          <w:lang w:val="ro-RO"/>
        </w:rPr>
        <w:t>9,5 mld lei</w:t>
      </w:r>
      <w:r w:rsidRPr="00AF3608">
        <w:rPr>
          <w:rFonts w:asciiTheme="minorHAnsi" w:eastAsia="Calibri" w:hAnsiTheme="minorHAnsi" w:cs="Calibri"/>
          <w:bCs/>
          <w:lang w:val="ro-RO"/>
        </w:rPr>
        <w:t xml:space="preserve"> față de anul precedent. În cadrul bugetului general consolidat, majorările apar la bugetul de stat și la bugetele locale atât din fonduri naționale, cât și aferente proiectelor finanțate din fonduri externe nerambursabile. Astfel, administrația locală a investit cu 64,6% mai mult față de aceeași perioadă a anului trecut în proiecte finanțate din fonduri externe nerambursabile aferente cadrului financiar 2014-2021.</w:t>
      </w:r>
    </w:p>
    <w:p w:rsidR="005C01EF" w:rsidRPr="00AF3608" w:rsidRDefault="005C01EF" w:rsidP="00B723C0">
      <w:pPr>
        <w:spacing w:before="120"/>
        <w:jc w:val="both"/>
        <w:rPr>
          <w:rFonts w:asciiTheme="minorHAnsi" w:eastAsia="Calibri" w:hAnsiTheme="minorHAnsi" w:cs="Calibri"/>
          <w:bCs/>
          <w:lang w:val="ro-RO"/>
        </w:rPr>
      </w:pPr>
      <w:r w:rsidRPr="00AF3608">
        <w:rPr>
          <w:rFonts w:asciiTheme="minorHAnsi" w:eastAsia="Calibri" w:hAnsiTheme="minorHAnsi" w:cs="Calibri"/>
          <w:bCs/>
          <w:lang w:val="ro-RO"/>
        </w:rPr>
        <w:lastRenderedPageBreak/>
        <w:t xml:space="preserve">De asemenea, din bugetul Ministerului Afacerilor Interne s-au plătit </w:t>
      </w:r>
      <w:r w:rsidRPr="00AF3608">
        <w:rPr>
          <w:rFonts w:asciiTheme="minorHAnsi" w:eastAsia="Calibri" w:hAnsiTheme="minorHAnsi" w:cs="Calibri"/>
          <w:b/>
          <w:bCs/>
          <w:lang w:val="ro-RO"/>
        </w:rPr>
        <w:t>561,2 milioane lei</w:t>
      </w:r>
      <w:r w:rsidRPr="00AF3608">
        <w:rPr>
          <w:rFonts w:asciiTheme="minorHAnsi" w:eastAsia="Calibri" w:hAnsiTheme="minorHAnsi" w:cs="Calibri"/>
          <w:bCs/>
          <w:lang w:val="ro-RO"/>
        </w:rPr>
        <w:t xml:space="preserve"> pentru achiziționarea de produse - stocuri de </w:t>
      </w:r>
      <w:r w:rsidRPr="00AF3608">
        <w:rPr>
          <w:rFonts w:asciiTheme="minorHAnsi" w:eastAsia="Calibri" w:hAnsiTheme="minorHAnsi" w:cs="Calibri"/>
          <w:bCs/>
          <w:i/>
          <w:lang w:val="ro-RO"/>
        </w:rPr>
        <w:t>urgență medicală, inclusiv scannere termice pentru combaterea răspândirii infecției cu coronavirusul SARS-COV-2.</w:t>
      </w:r>
      <w:r w:rsidRPr="00AF3608">
        <w:rPr>
          <w:rFonts w:asciiTheme="minorHAnsi" w:eastAsia="Calibri" w:hAnsiTheme="minorHAnsi" w:cs="Calibri"/>
          <w:bCs/>
          <w:lang w:val="ro-RO"/>
        </w:rPr>
        <w:t xml:space="preserve"> </w:t>
      </w:r>
    </w:p>
    <w:p w:rsidR="005C01EF" w:rsidRPr="00AF3608" w:rsidRDefault="005C01EF" w:rsidP="00B723C0">
      <w:pPr>
        <w:spacing w:before="120"/>
        <w:jc w:val="both"/>
        <w:rPr>
          <w:rFonts w:ascii="Calibri" w:eastAsia="Calibri" w:hAnsi="Calibri" w:cs="Calibri"/>
          <w:bCs/>
          <w:lang w:val="ro-RO"/>
        </w:rPr>
      </w:pPr>
    </w:p>
    <w:p w:rsidR="003D5822" w:rsidRPr="00AF3608" w:rsidRDefault="003D5822" w:rsidP="00B723C0">
      <w:pPr>
        <w:widowControl w:val="0"/>
        <w:autoSpaceDE w:val="0"/>
        <w:autoSpaceDN w:val="0"/>
        <w:adjustRightInd w:val="0"/>
        <w:spacing w:before="120"/>
        <w:jc w:val="both"/>
        <w:rPr>
          <w:rFonts w:asciiTheme="minorHAnsi" w:hAnsiTheme="minorHAnsi" w:cstheme="minorHAnsi"/>
          <w:bCs/>
          <w:lang w:val="ro-RO"/>
        </w:rPr>
      </w:pPr>
    </w:p>
    <w:p w:rsidR="000E79CA" w:rsidRPr="00AF3608" w:rsidRDefault="000E79CA" w:rsidP="005F3BD1">
      <w:pPr>
        <w:widowControl w:val="0"/>
        <w:shd w:val="clear" w:color="auto" w:fill="8EAADB" w:themeFill="accent5" w:themeFillTint="99"/>
        <w:spacing w:before="120"/>
        <w:jc w:val="both"/>
        <w:rPr>
          <w:rFonts w:ascii="Calibri" w:hAnsi="Calibri" w:cs="Calibri"/>
          <w:b/>
          <w:bCs/>
          <w:color w:val="000080"/>
          <w:lang w:val="ro-RO"/>
        </w:rPr>
      </w:pPr>
      <w:r w:rsidRPr="00AF3608">
        <w:rPr>
          <w:rFonts w:ascii="Calibri" w:hAnsi="Calibri" w:cs="Calibri"/>
          <w:b/>
          <w:bCs/>
          <w:color w:val="000080"/>
          <w:lang w:val="ro-RO"/>
        </w:rPr>
        <w:t>3.3.</w:t>
      </w:r>
      <w:r w:rsidRPr="00AF3608">
        <w:rPr>
          <w:rFonts w:ascii="Calibri" w:hAnsi="Calibri" w:cs="Calibri"/>
          <w:b/>
          <w:bCs/>
          <w:color w:val="000080"/>
          <w:lang w:val="ro-RO"/>
        </w:rPr>
        <w:tab/>
        <w:t>Prognoze macroeconomice pe termen mediu (2021-2023)</w:t>
      </w:r>
    </w:p>
    <w:p w:rsidR="000E79CA" w:rsidRPr="00AF3608" w:rsidRDefault="000E79CA" w:rsidP="00342B08">
      <w:pPr>
        <w:widowControl w:val="0"/>
        <w:spacing w:before="120"/>
        <w:jc w:val="both"/>
        <w:rPr>
          <w:rFonts w:ascii="Calibri" w:hAnsi="Calibri" w:cs="Calibri"/>
          <w:bCs/>
          <w:lang w:val="ro-RO"/>
        </w:rPr>
      </w:pPr>
      <w:r w:rsidRPr="00AF3608">
        <w:rPr>
          <w:rFonts w:ascii="Calibri" w:hAnsi="Calibri" w:cs="Calibri"/>
          <w:lang w:val="ro-RO"/>
        </w:rPr>
        <w:t xml:space="preserve">Pentru perioada 2021-2023, obiectivul la nivel macroeconomic este acela de a se anihila contracţia produsului intern brut din anul 2020. Pe întreg orizontul de prognoză s-a avut în vedere o </w:t>
      </w:r>
      <w:r w:rsidRPr="00AF3608">
        <w:rPr>
          <w:rFonts w:ascii="Calibri" w:hAnsi="Calibri" w:cs="Calibri"/>
          <w:bCs/>
          <w:lang w:val="ro-RO"/>
        </w:rPr>
        <w:t xml:space="preserve"> creştere economică sustenabilă, bazată pe investiţii, formarea brută de capital fix având evoluţii superioare consumului final.</w:t>
      </w:r>
    </w:p>
    <w:p w:rsidR="000E79CA" w:rsidRPr="00AF3608" w:rsidRDefault="000E79CA" w:rsidP="00342B08">
      <w:pPr>
        <w:widowControl w:val="0"/>
        <w:spacing w:before="120"/>
        <w:jc w:val="both"/>
        <w:rPr>
          <w:rFonts w:ascii="Calibri" w:hAnsi="Calibri" w:cs="Calibri"/>
          <w:lang w:val="ro-RO"/>
        </w:rPr>
      </w:pPr>
      <w:r w:rsidRPr="00AF3608">
        <w:rPr>
          <w:rFonts w:ascii="Calibri" w:hAnsi="Calibri" w:cs="Calibri"/>
          <w:lang w:val="ro-RO"/>
        </w:rPr>
        <w:t>Prognoza de iarnă 2021 prevede o creştere economică de 4,3% pentru anul 2021. Pentru 2022 - 2023, ritmul mediu anual de creştere al produsului intern brut (PIB) este estimat la 4,9% în termeni reali.</w:t>
      </w:r>
    </w:p>
    <w:p w:rsidR="000E79CA" w:rsidRPr="00AF3608" w:rsidRDefault="000E79CA" w:rsidP="00342B08">
      <w:pPr>
        <w:keepNext/>
        <w:keepLines/>
        <w:widowControl w:val="0"/>
        <w:spacing w:before="120"/>
        <w:jc w:val="both"/>
        <w:rPr>
          <w:rFonts w:ascii="Calibri" w:hAnsi="Calibri" w:cs="Calibri"/>
          <w:lang w:val="ro-RO"/>
        </w:rPr>
      </w:pPr>
    </w:p>
    <w:tbl>
      <w:tblPr>
        <w:tblW w:w="9078" w:type="dxa"/>
        <w:jc w:val="center"/>
        <w:tblBorders>
          <w:top w:val="single" w:sz="24" w:space="0" w:color="auto"/>
          <w:left w:val="single" w:sz="4" w:space="0" w:color="auto"/>
          <w:bottom w:val="single" w:sz="24" w:space="0" w:color="auto"/>
          <w:right w:val="single" w:sz="4" w:space="0" w:color="auto"/>
        </w:tblBorders>
        <w:tblLayout w:type="fixed"/>
        <w:tblLook w:val="01E0" w:firstRow="1" w:lastRow="1" w:firstColumn="1" w:lastColumn="1" w:noHBand="0" w:noVBand="0"/>
      </w:tblPr>
      <w:tblGrid>
        <w:gridCol w:w="5670"/>
        <w:gridCol w:w="1134"/>
        <w:gridCol w:w="1134"/>
        <w:gridCol w:w="1134"/>
        <w:gridCol w:w="6"/>
      </w:tblGrid>
      <w:tr w:rsidR="000E79CA" w:rsidRPr="00AF3608" w:rsidTr="005F3BD1">
        <w:trPr>
          <w:gridAfter w:val="1"/>
          <w:wAfter w:w="6" w:type="dxa"/>
          <w:trHeight w:val="19"/>
          <w:tblHeader/>
          <w:jc w:val="center"/>
        </w:trPr>
        <w:tc>
          <w:tcPr>
            <w:tcW w:w="5670" w:type="dxa"/>
            <w:tcBorders>
              <w:top w:val="single" w:sz="2" w:space="0" w:color="333399"/>
              <w:left w:val="nil"/>
              <w:bottom w:val="single" w:sz="4" w:space="0" w:color="333399"/>
            </w:tcBorders>
            <w:shd w:val="clear" w:color="auto" w:fill="8EAADB" w:themeFill="accent5" w:themeFillTint="99"/>
            <w:vAlign w:val="center"/>
          </w:tcPr>
          <w:p w:rsidR="000E79CA" w:rsidRPr="00AF3608" w:rsidRDefault="000E79CA" w:rsidP="00B723C0">
            <w:pPr>
              <w:keepNext/>
              <w:keepLines/>
              <w:widowControl w:val="0"/>
              <w:spacing w:before="120"/>
              <w:jc w:val="both"/>
              <w:outlineLvl w:val="1"/>
              <w:rPr>
                <w:rFonts w:ascii="Calibri" w:hAnsi="Calibri" w:cs="Calibri"/>
                <w:b/>
                <w:bCs/>
                <w:lang w:val="ro-RO"/>
              </w:rPr>
            </w:pPr>
            <w:r w:rsidRPr="00AF3608">
              <w:rPr>
                <w:rFonts w:ascii="Calibri" w:hAnsi="Calibri" w:cs="Calibri"/>
                <w:b/>
                <w:bCs/>
                <w:lang w:val="ro-RO"/>
              </w:rPr>
              <w:t>Creşterea economică</w:t>
            </w:r>
          </w:p>
        </w:tc>
        <w:tc>
          <w:tcPr>
            <w:tcW w:w="1134" w:type="dxa"/>
            <w:tcBorders>
              <w:top w:val="single" w:sz="2" w:space="0" w:color="333399"/>
              <w:bottom w:val="single" w:sz="4" w:space="0" w:color="333399"/>
            </w:tcBorders>
            <w:shd w:val="clear" w:color="auto" w:fill="8EAADB" w:themeFill="accent5" w:themeFillTint="99"/>
            <w:vAlign w:val="center"/>
          </w:tcPr>
          <w:p w:rsidR="000E79CA" w:rsidRPr="00AF3608" w:rsidRDefault="000E79CA" w:rsidP="00B723C0">
            <w:pPr>
              <w:keepNext/>
              <w:keepLines/>
              <w:widowControl w:val="0"/>
              <w:spacing w:before="120"/>
              <w:jc w:val="both"/>
              <w:outlineLvl w:val="1"/>
              <w:rPr>
                <w:rFonts w:ascii="Calibri" w:hAnsi="Calibri" w:cs="Calibri"/>
                <w:b/>
                <w:bCs/>
                <w:lang w:val="ro-RO"/>
              </w:rPr>
            </w:pPr>
            <w:r w:rsidRPr="00AF3608">
              <w:rPr>
                <w:rFonts w:ascii="Calibri" w:hAnsi="Calibri" w:cs="Calibri"/>
                <w:b/>
                <w:bCs/>
                <w:lang w:val="ro-RO"/>
              </w:rPr>
              <w:t>2021</w:t>
            </w:r>
          </w:p>
        </w:tc>
        <w:tc>
          <w:tcPr>
            <w:tcW w:w="1134" w:type="dxa"/>
            <w:tcBorders>
              <w:top w:val="single" w:sz="2" w:space="0" w:color="333399"/>
              <w:bottom w:val="single" w:sz="4" w:space="0" w:color="333399"/>
            </w:tcBorders>
            <w:shd w:val="clear" w:color="auto" w:fill="8EAADB" w:themeFill="accent5" w:themeFillTint="99"/>
            <w:vAlign w:val="center"/>
          </w:tcPr>
          <w:p w:rsidR="000E79CA" w:rsidRPr="00AF3608" w:rsidRDefault="000E79CA" w:rsidP="00B723C0">
            <w:pPr>
              <w:keepNext/>
              <w:keepLines/>
              <w:widowControl w:val="0"/>
              <w:spacing w:before="120"/>
              <w:jc w:val="both"/>
              <w:outlineLvl w:val="1"/>
              <w:rPr>
                <w:rFonts w:ascii="Calibri" w:hAnsi="Calibri" w:cs="Calibri"/>
                <w:b/>
                <w:bCs/>
                <w:lang w:val="ro-RO"/>
              </w:rPr>
            </w:pPr>
            <w:r w:rsidRPr="00AF3608">
              <w:rPr>
                <w:rFonts w:ascii="Calibri" w:hAnsi="Calibri" w:cs="Calibri"/>
                <w:b/>
                <w:bCs/>
                <w:lang w:val="ro-RO"/>
              </w:rPr>
              <w:t>2022</w:t>
            </w:r>
          </w:p>
        </w:tc>
        <w:tc>
          <w:tcPr>
            <w:tcW w:w="1134" w:type="dxa"/>
            <w:tcBorders>
              <w:top w:val="single" w:sz="2" w:space="0" w:color="333399"/>
              <w:bottom w:val="single" w:sz="4" w:space="0" w:color="333399"/>
              <w:right w:val="nil"/>
            </w:tcBorders>
            <w:shd w:val="clear" w:color="auto" w:fill="8EAADB" w:themeFill="accent5" w:themeFillTint="99"/>
            <w:vAlign w:val="center"/>
          </w:tcPr>
          <w:p w:rsidR="000E79CA" w:rsidRPr="00AF3608" w:rsidRDefault="000E79CA" w:rsidP="00B723C0">
            <w:pPr>
              <w:keepNext/>
              <w:keepLines/>
              <w:widowControl w:val="0"/>
              <w:spacing w:before="120"/>
              <w:jc w:val="both"/>
              <w:outlineLvl w:val="1"/>
              <w:rPr>
                <w:rFonts w:ascii="Calibri" w:hAnsi="Calibri" w:cs="Calibri"/>
                <w:b/>
                <w:bCs/>
                <w:lang w:val="ro-RO"/>
              </w:rPr>
            </w:pPr>
            <w:r w:rsidRPr="00AF3608">
              <w:rPr>
                <w:rFonts w:ascii="Calibri" w:hAnsi="Calibri" w:cs="Calibri"/>
                <w:b/>
                <w:bCs/>
                <w:lang w:val="ro-RO"/>
              </w:rPr>
              <w:t>2023</w:t>
            </w:r>
          </w:p>
        </w:tc>
      </w:tr>
      <w:tr w:rsidR="000E79CA" w:rsidRPr="00AF3608" w:rsidTr="005F3BD1">
        <w:trPr>
          <w:trHeight w:val="19"/>
          <w:jc w:val="center"/>
        </w:trPr>
        <w:tc>
          <w:tcPr>
            <w:tcW w:w="9078" w:type="dxa"/>
            <w:gridSpan w:val="5"/>
            <w:tcBorders>
              <w:top w:val="single" w:sz="4" w:space="0" w:color="333399"/>
              <w:left w:val="nil"/>
              <w:bottom w:val="single" w:sz="4" w:space="0" w:color="auto"/>
              <w:right w:val="nil"/>
            </w:tcBorders>
            <w:shd w:val="clear" w:color="auto" w:fill="8EAADB" w:themeFill="accent5" w:themeFillTint="99"/>
            <w:vAlign w:val="center"/>
          </w:tcPr>
          <w:p w:rsidR="000E79CA" w:rsidRPr="00AF3608" w:rsidRDefault="000E79CA" w:rsidP="00B723C0">
            <w:pPr>
              <w:keepNext/>
              <w:keepLines/>
              <w:widowControl w:val="0"/>
              <w:spacing w:before="120"/>
              <w:jc w:val="both"/>
              <w:outlineLvl w:val="1"/>
              <w:rPr>
                <w:rFonts w:ascii="Calibri" w:hAnsi="Calibri" w:cs="Calibri"/>
                <w:b/>
                <w:bCs/>
                <w:lang w:val="ro-RO"/>
              </w:rPr>
            </w:pPr>
            <w:r w:rsidRPr="00AF3608">
              <w:rPr>
                <w:rFonts w:ascii="Calibri" w:hAnsi="Calibri" w:cs="Calibri"/>
                <w:b/>
                <w:bCs/>
                <w:lang w:val="ro-RO"/>
              </w:rPr>
              <w:t>Modificări procentuale anuale</w:t>
            </w:r>
          </w:p>
        </w:tc>
      </w:tr>
      <w:tr w:rsidR="000E79CA" w:rsidRPr="00AF3608" w:rsidTr="00612785">
        <w:trPr>
          <w:gridAfter w:val="1"/>
          <w:wAfter w:w="6" w:type="dxa"/>
          <w:trHeight w:val="19"/>
          <w:jc w:val="center"/>
        </w:trPr>
        <w:tc>
          <w:tcPr>
            <w:tcW w:w="5670" w:type="dxa"/>
            <w:tcBorders>
              <w:top w:val="single" w:sz="4" w:space="0" w:color="auto"/>
              <w:left w:val="nil"/>
              <w:bottom w:val="nil"/>
              <w:right w:val="nil"/>
            </w:tcBorders>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PIB real</w:t>
            </w:r>
          </w:p>
        </w:tc>
        <w:tc>
          <w:tcPr>
            <w:tcW w:w="1134" w:type="dxa"/>
            <w:tcBorders>
              <w:top w:val="single" w:sz="4" w:space="0" w:color="auto"/>
              <w:left w:val="nil"/>
              <w:bottom w:val="nil"/>
              <w:right w:val="nil"/>
            </w:tcBorders>
            <w:vAlign w:val="center"/>
          </w:tcPr>
          <w:p w:rsidR="000E79CA" w:rsidRPr="00AF3608" w:rsidRDefault="000E79CA" w:rsidP="00B723C0">
            <w:pPr>
              <w:keepNext/>
              <w:keepLines/>
              <w:widowControl w:val="0"/>
              <w:rPr>
                <w:rFonts w:asciiTheme="minorHAnsi" w:hAnsiTheme="minorHAnsi" w:cs="Arial"/>
                <w:lang w:val="ro-RO"/>
              </w:rPr>
            </w:pPr>
            <w:r w:rsidRPr="00AF3608">
              <w:rPr>
                <w:rFonts w:asciiTheme="minorHAnsi" w:hAnsiTheme="minorHAnsi" w:cs="Arial"/>
                <w:lang w:val="ro-RO"/>
              </w:rPr>
              <w:t>4,3</w:t>
            </w:r>
          </w:p>
        </w:tc>
        <w:tc>
          <w:tcPr>
            <w:tcW w:w="1134" w:type="dxa"/>
            <w:tcBorders>
              <w:top w:val="single" w:sz="4" w:space="0" w:color="auto"/>
              <w:left w:val="nil"/>
              <w:bottom w:val="nil"/>
              <w:right w:val="nil"/>
            </w:tcBorders>
            <w:vAlign w:val="center"/>
          </w:tcPr>
          <w:p w:rsidR="000E79CA" w:rsidRPr="00AF3608" w:rsidRDefault="000E79CA" w:rsidP="00B723C0">
            <w:pPr>
              <w:keepNext/>
              <w:keepLines/>
              <w:widowControl w:val="0"/>
              <w:rPr>
                <w:rFonts w:asciiTheme="minorHAnsi" w:hAnsiTheme="minorHAnsi" w:cs="Arial"/>
                <w:lang w:val="ro-RO"/>
              </w:rPr>
            </w:pPr>
            <w:r w:rsidRPr="00AF3608">
              <w:rPr>
                <w:rFonts w:asciiTheme="minorHAnsi" w:hAnsiTheme="minorHAnsi" w:cs="Arial"/>
                <w:lang w:val="ro-RO"/>
              </w:rPr>
              <w:t>4,7</w:t>
            </w:r>
          </w:p>
        </w:tc>
        <w:tc>
          <w:tcPr>
            <w:tcW w:w="1134" w:type="dxa"/>
            <w:tcBorders>
              <w:top w:val="single" w:sz="4" w:space="0" w:color="auto"/>
              <w:left w:val="nil"/>
              <w:bottom w:val="nil"/>
              <w:right w:val="nil"/>
            </w:tcBorders>
            <w:vAlign w:val="center"/>
          </w:tcPr>
          <w:p w:rsidR="000E79CA" w:rsidRPr="00AF3608" w:rsidRDefault="000E79CA" w:rsidP="00B723C0">
            <w:pPr>
              <w:keepNext/>
              <w:keepLines/>
              <w:widowControl w:val="0"/>
              <w:rPr>
                <w:rFonts w:asciiTheme="minorHAnsi" w:hAnsiTheme="minorHAnsi" w:cs="Arial"/>
                <w:lang w:val="ro-RO"/>
              </w:rPr>
            </w:pPr>
            <w:r w:rsidRPr="00AF3608">
              <w:rPr>
                <w:rFonts w:asciiTheme="minorHAnsi" w:hAnsiTheme="minorHAnsi" w:cs="Arial"/>
                <w:lang w:val="ro-RO"/>
              </w:rPr>
              <w:t>5,0</w:t>
            </w:r>
          </w:p>
        </w:tc>
      </w:tr>
      <w:tr w:rsidR="000E79CA" w:rsidRPr="00AF3608" w:rsidTr="00612785">
        <w:trPr>
          <w:gridAfter w:val="1"/>
          <w:wAfter w:w="6" w:type="dxa"/>
          <w:trHeight w:val="19"/>
          <w:jc w:val="center"/>
        </w:trPr>
        <w:tc>
          <w:tcPr>
            <w:tcW w:w="5670" w:type="dxa"/>
            <w:tcBorders>
              <w:top w:val="nil"/>
              <w:left w:val="nil"/>
              <w:bottom w:val="single" w:sz="4" w:space="0" w:color="auto"/>
              <w:right w:val="nil"/>
            </w:tcBorders>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PIB nominal</w:t>
            </w:r>
          </w:p>
        </w:tc>
        <w:tc>
          <w:tcPr>
            <w:tcW w:w="1134" w:type="dxa"/>
            <w:tcBorders>
              <w:top w:val="nil"/>
              <w:left w:val="nil"/>
              <w:bottom w:val="single" w:sz="4" w:space="0" w:color="auto"/>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7,3</w:t>
            </w:r>
          </w:p>
        </w:tc>
        <w:tc>
          <w:tcPr>
            <w:tcW w:w="1134" w:type="dxa"/>
            <w:tcBorders>
              <w:top w:val="nil"/>
              <w:left w:val="nil"/>
              <w:bottom w:val="single" w:sz="4" w:space="0" w:color="auto"/>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7,8</w:t>
            </w:r>
          </w:p>
        </w:tc>
        <w:tc>
          <w:tcPr>
            <w:tcW w:w="1134" w:type="dxa"/>
            <w:tcBorders>
              <w:top w:val="nil"/>
              <w:left w:val="nil"/>
              <w:bottom w:val="single" w:sz="4" w:space="0" w:color="auto"/>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8,1</w:t>
            </w:r>
          </w:p>
        </w:tc>
      </w:tr>
      <w:tr w:rsidR="000E79CA" w:rsidRPr="00AF3608" w:rsidTr="005F3BD1">
        <w:trPr>
          <w:trHeight w:val="19"/>
          <w:jc w:val="center"/>
        </w:trPr>
        <w:tc>
          <w:tcPr>
            <w:tcW w:w="9078" w:type="dxa"/>
            <w:gridSpan w:val="5"/>
            <w:tcBorders>
              <w:top w:val="single" w:sz="4" w:space="0" w:color="auto"/>
              <w:left w:val="nil"/>
              <w:bottom w:val="single" w:sz="4" w:space="0" w:color="auto"/>
              <w:right w:val="nil"/>
            </w:tcBorders>
            <w:shd w:val="clear" w:color="auto" w:fill="8EAADB" w:themeFill="accent5" w:themeFillTint="99"/>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Componentele PIB-ului real</w:t>
            </w:r>
          </w:p>
        </w:tc>
      </w:tr>
      <w:tr w:rsidR="000E79CA" w:rsidRPr="00AF3608" w:rsidTr="00612785">
        <w:trPr>
          <w:gridAfter w:val="1"/>
          <w:wAfter w:w="6" w:type="dxa"/>
          <w:trHeight w:val="19"/>
          <w:jc w:val="center"/>
        </w:trPr>
        <w:tc>
          <w:tcPr>
            <w:tcW w:w="5670" w:type="dxa"/>
            <w:tcBorders>
              <w:top w:val="single" w:sz="4" w:space="0" w:color="auto"/>
              <w:left w:val="nil"/>
              <w:bottom w:val="nil"/>
              <w:right w:val="nil"/>
            </w:tcBorders>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Cererea internă, din care:</w:t>
            </w:r>
          </w:p>
        </w:tc>
        <w:tc>
          <w:tcPr>
            <w:tcW w:w="1134" w:type="dxa"/>
            <w:tcBorders>
              <w:top w:val="single" w:sz="4" w:space="0" w:color="auto"/>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5,5</w:t>
            </w:r>
          </w:p>
        </w:tc>
        <w:tc>
          <w:tcPr>
            <w:tcW w:w="1134" w:type="dxa"/>
            <w:tcBorders>
              <w:top w:val="single" w:sz="4" w:space="0" w:color="auto"/>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5,7</w:t>
            </w:r>
          </w:p>
        </w:tc>
        <w:tc>
          <w:tcPr>
            <w:tcW w:w="1134" w:type="dxa"/>
            <w:tcBorders>
              <w:top w:val="single" w:sz="4" w:space="0" w:color="auto"/>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5,9</w:t>
            </w:r>
          </w:p>
        </w:tc>
      </w:tr>
      <w:tr w:rsidR="000E79CA" w:rsidRPr="00AF3608" w:rsidTr="00612785">
        <w:trPr>
          <w:gridAfter w:val="1"/>
          <w:wAfter w:w="6" w:type="dxa"/>
          <w:trHeight w:val="19"/>
          <w:jc w:val="center"/>
        </w:trPr>
        <w:tc>
          <w:tcPr>
            <w:tcW w:w="5670" w:type="dxa"/>
            <w:tcBorders>
              <w:top w:val="nil"/>
              <w:left w:val="nil"/>
              <w:bottom w:val="nil"/>
              <w:right w:val="nil"/>
            </w:tcBorders>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 xml:space="preserve">   Consumul final</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3,5</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4,1</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4,4</w:t>
            </w:r>
          </w:p>
        </w:tc>
      </w:tr>
      <w:tr w:rsidR="000E79CA" w:rsidRPr="00AF3608" w:rsidTr="00612785">
        <w:trPr>
          <w:gridAfter w:val="1"/>
          <w:wAfter w:w="6" w:type="dxa"/>
          <w:trHeight w:val="19"/>
          <w:jc w:val="center"/>
        </w:trPr>
        <w:tc>
          <w:tcPr>
            <w:tcW w:w="5670" w:type="dxa"/>
            <w:tcBorders>
              <w:top w:val="nil"/>
              <w:left w:val="nil"/>
              <w:bottom w:val="nil"/>
              <w:right w:val="nil"/>
            </w:tcBorders>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 xml:space="preserve">      - Cheltuielile cu consumul privat, din care:</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3,7</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4,5</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4,9</w:t>
            </w:r>
          </w:p>
        </w:tc>
      </w:tr>
      <w:tr w:rsidR="000E79CA" w:rsidRPr="00AF3608" w:rsidTr="00612785">
        <w:trPr>
          <w:gridAfter w:val="1"/>
          <w:wAfter w:w="6" w:type="dxa"/>
          <w:trHeight w:val="19"/>
          <w:jc w:val="center"/>
        </w:trPr>
        <w:tc>
          <w:tcPr>
            <w:tcW w:w="5670" w:type="dxa"/>
            <w:tcBorders>
              <w:top w:val="nil"/>
              <w:left w:val="nil"/>
              <w:bottom w:val="nil"/>
              <w:right w:val="nil"/>
            </w:tcBorders>
            <w:vAlign w:val="center"/>
          </w:tcPr>
          <w:p w:rsidR="000E79CA" w:rsidRPr="00AF3608" w:rsidRDefault="000E79CA" w:rsidP="00B723C0">
            <w:pPr>
              <w:keepNext/>
              <w:keepLines/>
              <w:widowControl w:val="0"/>
              <w:spacing w:before="120"/>
              <w:ind w:hanging="595"/>
              <w:jc w:val="both"/>
              <w:rPr>
                <w:rFonts w:ascii="Calibri" w:hAnsi="Calibri" w:cs="Calibri"/>
                <w:lang w:val="ro-RO"/>
              </w:rPr>
            </w:pPr>
            <w:r w:rsidRPr="00AF3608">
              <w:rPr>
                <w:rFonts w:ascii="Calibri" w:hAnsi="Calibri" w:cs="Calibri"/>
                <w:lang w:val="ro-RO"/>
              </w:rPr>
              <w:t xml:space="preserve">              - Cheltuielile cu consumul final al populaţiei</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3,7</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4,5</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4,9</w:t>
            </w:r>
          </w:p>
        </w:tc>
      </w:tr>
      <w:tr w:rsidR="000E79CA" w:rsidRPr="00AF3608" w:rsidTr="00612785">
        <w:trPr>
          <w:gridAfter w:val="1"/>
          <w:wAfter w:w="6" w:type="dxa"/>
          <w:trHeight w:val="19"/>
          <w:jc w:val="center"/>
        </w:trPr>
        <w:tc>
          <w:tcPr>
            <w:tcW w:w="5670" w:type="dxa"/>
            <w:tcBorders>
              <w:top w:val="nil"/>
              <w:left w:val="nil"/>
              <w:bottom w:val="nil"/>
              <w:right w:val="nil"/>
            </w:tcBorders>
            <w:vAlign w:val="center"/>
          </w:tcPr>
          <w:p w:rsidR="000E79CA" w:rsidRPr="00AF3608" w:rsidRDefault="000E79CA" w:rsidP="00B723C0">
            <w:pPr>
              <w:keepNext/>
              <w:keepLines/>
              <w:widowControl w:val="0"/>
              <w:spacing w:before="120"/>
              <w:ind w:hanging="595"/>
              <w:jc w:val="both"/>
              <w:rPr>
                <w:rFonts w:ascii="Calibri" w:hAnsi="Calibri" w:cs="Calibri"/>
                <w:lang w:val="ro-RO"/>
              </w:rPr>
            </w:pPr>
            <w:r w:rsidRPr="00AF3608">
              <w:rPr>
                <w:rFonts w:ascii="Calibri" w:hAnsi="Calibri" w:cs="Calibri"/>
                <w:lang w:val="ro-RO"/>
              </w:rPr>
              <w:t xml:space="preserve">      - Cheltuielile cu consumul guvernamental, din care:</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3,0</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2,9</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2,8</w:t>
            </w:r>
          </w:p>
        </w:tc>
      </w:tr>
      <w:tr w:rsidR="000E79CA" w:rsidRPr="00AF3608" w:rsidTr="00612785">
        <w:trPr>
          <w:gridAfter w:val="1"/>
          <w:wAfter w:w="6" w:type="dxa"/>
          <w:trHeight w:val="19"/>
          <w:jc w:val="center"/>
        </w:trPr>
        <w:tc>
          <w:tcPr>
            <w:tcW w:w="5670" w:type="dxa"/>
            <w:tcBorders>
              <w:top w:val="nil"/>
              <w:left w:val="nil"/>
              <w:bottom w:val="nil"/>
              <w:right w:val="nil"/>
            </w:tcBorders>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 xml:space="preserve">              - Consumul colectiv al administraţiei publice</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3,4</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3,2</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3,1</w:t>
            </w:r>
          </w:p>
        </w:tc>
      </w:tr>
      <w:tr w:rsidR="000E79CA" w:rsidRPr="00AF3608" w:rsidTr="00612785">
        <w:trPr>
          <w:gridAfter w:val="1"/>
          <w:wAfter w:w="6" w:type="dxa"/>
          <w:trHeight w:val="19"/>
          <w:jc w:val="center"/>
        </w:trPr>
        <w:tc>
          <w:tcPr>
            <w:tcW w:w="5670" w:type="dxa"/>
            <w:tcBorders>
              <w:top w:val="nil"/>
              <w:left w:val="nil"/>
              <w:bottom w:val="nil"/>
              <w:right w:val="nil"/>
            </w:tcBorders>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 xml:space="preserve">   Formarea brută de capital fix</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6,5</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8,8</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9,3</w:t>
            </w:r>
          </w:p>
        </w:tc>
      </w:tr>
      <w:tr w:rsidR="000E79CA" w:rsidRPr="00AF3608" w:rsidTr="00612785">
        <w:trPr>
          <w:gridAfter w:val="1"/>
          <w:wAfter w:w="6" w:type="dxa"/>
          <w:trHeight w:val="19"/>
          <w:jc w:val="center"/>
        </w:trPr>
        <w:tc>
          <w:tcPr>
            <w:tcW w:w="5670" w:type="dxa"/>
            <w:tcBorders>
              <w:top w:val="nil"/>
              <w:left w:val="nil"/>
              <w:bottom w:val="nil"/>
              <w:right w:val="nil"/>
            </w:tcBorders>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Exporturi de bunuri şi servicii*)</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8,1</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5,7</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6,2</w:t>
            </w:r>
          </w:p>
        </w:tc>
      </w:tr>
      <w:tr w:rsidR="000E79CA" w:rsidRPr="00AF3608" w:rsidTr="00612785">
        <w:trPr>
          <w:gridAfter w:val="1"/>
          <w:wAfter w:w="6" w:type="dxa"/>
          <w:trHeight w:val="19"/>
          <w:jc w:val="center"/>
        </w:trPr>
        <w:tc>
          <w:tcPr>
            <w:tcW w:w="5670" w:type="dxa"/>
            <w:tcBorders>
              <w:top w:val="nil"/>
              <w:left w:val="nil"/>
              <w:bottom w:val="single" w:sz="4" w:space="0" w:color="auto"/>
              <w:right w:val="nil"/>
            </w:tcBorders>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Importuri de bunuri şi servicii*)</w:t>
            </w:r>
          </w:p>
        </w:tc>
        <w:tc>
          <w:tcPr>
            <w:tcW w:w="1134" w:type="dxa"/>
            <w:tcBorders>
              <w:top w:val="nil"/>
              <w:left w:val="nil"/>
              <w:bottom w:val="single" w:sz="4" w:space="0" w:color="auto"/>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10,6</w:t>
            </w:r>
          </w:p>
        </w:tc>
        <w:tc>
          <w:tcPr>
            <w:tcW w:w="1134" w:type="dxa"/>
            <w:tcBorders>
              <w:top w:val="nil"/>
              <w:left w:val="nil"/>
              <w:bottom w:val="single" w:sz="4" w:space="0" w:color="auto"/>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8,0</w:t>
            </w:r>
          </w:p>
        </w:tc>
        <w:tc>
          <w:tcPr>
            <w:tcW w:w="1134" w:type="dxa"/>
            <w:tcBorders>
              <w:top w:val="nil"/>
              <w:left w:val="nil"/>
              <w:bottom w:val="single" w:sz="4" w:space="0" w:color="auto"/>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8,2</w:t>
            </w:r>
          </w:p>
        </w:tc>
      </w:tr>
      <w:tr w:rsidR="000E79CA" w:rsidRPr="00AF3608" w:rsidTr="005F3BD1">
        <w:trPr>
          <w:trHeight w:val="19"/>
          <w:jc w:val="center"/>
        </w:trPr>
        <w:tc>
          <w:tcPr>
            <w:tcW w:w="9078" w:type="dxa"/>
            <w:gridSpan w:val="5"/>
            <w:tcBorders>
              <w:top w:val="single" w:sz="4" w:space="0" w:color="auto"/>
              <w:left w:val="nil"/>
              <w:bottom w:val="single" w:sz="4" w:space="0" w:color="auto"/>
              <w:right w:val="nil"/>
            </w:tcBorders>
            <w:shd w:val="clear" w:color="auto" w:fill="8EAADB" w:themeFill="accent5" w:themeFillTint="99"/>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Contribuţii la creşterea PIB (procente)</w:t>
            </w:r>
          </w:p>
        </w:tc>
      </w:tr>
      <w:tr w:rsidR="000E79CA" w:rsidRPr="00AF3608" w:rsidTr="00612785">
        <w:trPr>
          <w:gridAfter w:val="1"/>
          <w:wAfter w:w="6" w:type="dxa"/>
          <w:trHeight w:val="19"/>
          <w:jc w:val="center"/>
        </w:trPr>
        <w:tc>
          <w:tcPr>
            <w:tcW w:w="5670" w:type="dxa"/>
            <w:tcBorders>
              <w:top w:val="single" w:sz="4" w:space="0" w:color="auto"/>
              <w:left w:val="nil"/>
              <w:bottom w:val="nil"/>
              <w:right w:val="nil"/>
            </w:tcBorders>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Cererea internă finală</w:t>
            </w:r>
          </w:p>
        </w:tc>
        <w:tc>
          <w:tcPr>
            <w:tcW w:w="1134" w:type="dxa"/>
            <w:tcBorders>
              <w:top w:val="single" w:sz="4" w:space="0" w:color="auto"/>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4,6</w:t>
            </w:r>
          </w:p>
        </w:tc>
        <w:tc>
          <w:tcPr>
            <w:tcW w:w="1134" w:type="dxa"/>
            <w:tcBorders>
              <w:top w:val="single" w:sz="4" w:space="0" w:color="auto"/>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5,6</w:t>
            </w:r>
          </w:p>
        </w:tc>
        <w:tc>
          <w:tcPr>
            <w:tcW w:w="1134" w:type="dxa"/>
            <w:tcBorders>
              <w:top w:val="single" w:sz="4" w:space="0" w:color="auto"/>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6,0</w:t>
            </w:r>
          </w:p>
        </w:tc>
      </w:tr>
      <w:tr w:rsidR="000E79CA" w:rsidRPr="00AF3608" w:rsidTr="00612785">
        <w:trPr>
          <w:gridAfter w:val="1"/>
          <w:wAfter w:w="6" w:type="dxa"/>
          <w:trHeight w:val="19"/>
          <w:jc w:val="center"/>
        </w:trPr>
        <w:tc>
          <w:tcPr>
            <w:tcW w:w="5670" w:type="dxa"/>
            <w:tcBorders>
              <w:top w:val="nil"/>
              <w:left w:val="nil"/>
              <w:bottom w:val="nil"/>
              <w:right w:val="nil"/>
            </w:tcBorders>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Modificarea stocurilor</w:t>
            </w:r>
          </w:p>
        </w:tc>
        <w:tc>
          <w:tcPr>
            <w:tcW w:w="1134" w:type="dxa"/>
            <w:tcBorders>
              <w:top w:val="nil"/>
              <w:left w:val="nil"/>
              <w:bottom w:val="nil"/>
              <w:right w:val="nil"/>
            </w:tcBorders>
            <w:vAlign w:val="bottom"/>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1,1</w:t>
            </w:r>
          </w:p>
        </w:tc>
        <w:tc>
          <w:tcPr>
            <w:tcW w:w="1134" w:type="dxa"/>
            <w:tcBorders>
              <w:top w:val="nil"/>
              <w:left w:val="nil"/>
              <w:bottom w:val="nil"/>
              <w:right w:val="nil"/>
            </w:tcBorders>
            <w:vAlign w:val="bottom"/>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0,3</w:t>
            </w:r>
          </w:p>
        </w:tc>
        <w:tc>
          <w:tcPr>
            <w:tcW w:w="1134" w:type="dxa"/>
            <w:tcBorders>
              <w:top w:val="nil"/>
              <w:left w:val="nil"/>
              <w:bottom w:val="nil"/>
              <w:right w:val="nil"/>
            </w:tcBorders>
            <w:vAlign w:val="bottom"/>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0,1</w:t>
            </w:r>
          </w:p>
        </w:tc>
      </w:tr>
      <w:tr w:rsidR="000E79CA" w:rsidRPr="00AF3608" w:rsidTr="00612785">
        <w:trPr>
          <w:gridAfter w:val="1"/>
          <w:wAfter w:w="6" w:type="dxa"/>
          <w:trHeight w:val="19"/>
          <w:jc w:val="center"/>
        </w:trPr>
        <w:tc>
          <w:tcPr>
            <w:tcW w:w="5670" w:type="dxa"/>
            <w:tcBorders>
              <w:top w:val="nil"/>
              <w:left w:val="nil"/>
              <w:bottom w:val="single" w:sz="2" w:space="0" w:color="333399"/>
              <w:right w:val="nil"/>
            </w:tcBorders>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Export net</w:t>
            </w:r>
          </w:p>
        </w:tc>
        <w:tc>
          <w:tcPr>
            <w:tcW w:w="1134" w:type="dxa"/>
            <w:tcBorders>
              <w:top w:val="nil"/>
              <w:left w:val="nil"/>
              <w:bottom w:val="single" w:sz="2" w:space="0" w:color="333399"/>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-1,4</w:t>
            </w:r>
          </w:p>
        </w:tc>
        <w:tc>
          <w:tcPr>
            <w:tcW w:w="1134" w:type="dxa"/>
            <w:tcBorders>
              <w:top w:val="nil"/>
              <w:left w:val="nil"/>
              <w:bottom w:val="single" w:sz="2" w:space="0" w:color="333399"/>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-1,2</w:t>
            </w:r>
          </w:p>
        </w:tc>
        <w:tc>
          <w:tcPr>
            <w:tcW w:w="1134" w:type="dxa"/>
            <w:tcBorders>
              <w:top w:val="nil"/>
              <w:left w:val="nil"/>
              <w:bottom w:val="single" w:sz="2" w:space="0" w:color="333399"/>
              <w:right w:val="nil"/>
            </w:tcBorders>
            <w:vAlign w:val="center"/>
          </w:tcPr>
          <w:p w:rsidR="000E79CA" w:rsidRPr="00AF3608" w:rsidRDefault="000E79CA" w:rsidP="00B723C0">
            <w:pPr>
              <w:keepNext/>
              <w:keepLines/>
              <w:widowControl w:val="0"/>
              <w:spacing w:before="120"/>
              <w:rPr>
                <w:rFonts w:ascii="Calibri" w:hAnsi="Calibri" w:cs="Calibri"/>
                <w:lang w:val="ro-RO"/>
              </w:rPr>
            </w:pPr>
            <w:r w:rsidRPr="00AF3608">
              <w:rPr>
                <w:rFonts w:ascii="Calibri" w:hAnsi="Calibri" w:cs="Calibri"/>
                <w:lang w:val="ro-RO"/>
              </w:rPr>
              <w:t>-1,1</w:t>
            </w:r>
          </w:p>
        </w:tc>
      </w:tr>
      <w:tr w:rsidR="000E79CA" w:rsidRPr="00AF3608" w:rsidTr="005F3BD1">
        <w:trPr>
          <w:gridAfter w:val="1"/>
          <w:wAfter w:w="6" w:type="dxa"/>
          <w:trHeight w:val="19"/>
          <w:tblHeader/>
          <w:jc w:val="center"/>
        </w:trPr>
        <w:tc>
          <w:tcPr>
            <w:tcW w:w="5670" w:type="dxa"/>
            <w:tcBorders>
              <w:top w:val="single" w:sz="2" w:space="0" w:color="333399"/>
              <w:left w:val="nil"/>
              <w:bottom w:val="single" w:sz="4" w:space="0" w:color="333399"/>
            </w:tcBorders>
            <w:shd w:val="clear" w:color="auto" w:fill="8EAADB" w:themeFill="accent5" w:themeFillTint="99"/>
            <w:vAlign w:val="center"/>
          </w:tcPr>
          <w:p w:rsidR="000E79CA" w:rsidRPr="00AF3608" w:rsidRDefault="000E79CA" w:rsidP="00B723C0">
            <w:pPr>
              <w:keepNext/>
              <w:keepLines/>
              <w:widowControl w:val="0"/>
              <w:spacing w:before="120"/>
              <w:jc w:val="both"/>
              <w:outlineLvl w:val="1"/>
              <w:rPr>
                <w:rFonts w:ascii="Calibri" w:hAnsi="Calibri" w:cs="Calibri"/>
                <w:b/>
                <w:bCs/>
                <w:lang w:val="ro-RO"/>
              </w:rPr>
            </w:pPr>
          </w:p>
        </w:tc>
        <w:tc>
          <w:tcPr>
            <w:tcW w:w="1134" w:type="dxa"/>
            <w:tcBorders>
              <w:top w:val="single" w:sz="2" w:space="0" w:color="333399"/>
              <w:bottom w:val="single" w:sz="4" w:space="0" w:color="333399"/>
            </w:tcBorders>
            <w:shd w:val="clear" w:color="auto" w:fill="8EAADB" w:themeFill="accent5" w:themeFillTint="99"/>
            <w:vAlign w:val="center"/>
          </w:tcPr>
          <w:p w:rsidR="000E79CA" w:rsidRPr="00AF3608" w:rsidRDefault="000E79CA" w:rsidP="00B723C0">
            <w:pPr>
              <w:keepNext/>
              <w:keepLines/>
              <w:widowControl w:val="0"/>
              <w:spacing w:before="120"/>
              <w:jc w:val="center"/>
              <w:rPr>
                <w:rFonts w:ascii="Calibri" w:hAnsi="Calibri" w:cs="Calibri"/>
                <w:b/>
                <w:bCs/>
                <w:lang w:val="ro-RO"/>
              </w:rPr>
            </w:pPr>
          </w:p>
        </w:tc>
        <w:tc>
          <w:tcPr>
            <w:tcW w:w="1134" w:type="dxa"/>
            <w:tcBorders>
              <w:top w:val="single" w:sz="2" w:space="0" w:color="333399"/>
              <w:bottom w:val="single" w:sz="4" w:space="0" w:color="333399"/>
            </w:tcBorders>
            <w:shd w:val="clear" w:color="auto" w:fill="8EAADB" w:themeFill="accent5" w:themeFillTint="99"/>
            <w:vAlign w:val="center"/>
          </w:tcPr>
          <w:p w:rsidR="000E79CA" w:rsidRPr="00AF3608" w:rsidRDefault="000E79CA" w:rsidP="00B723C0">
            <w:pPr>
              <w:keepNext/>
              <w:keepLines/>
              <w:widowControl w:val="0"/>
              <w:spacing w:before="120"/>
              <w:jc w:val="center"/>
              <w:rPr>
                <w:rFonts w:ascii="Calibri" w:hAnsi="Calibri" w:cs="Calibri"/>
                <w:b/>
                <w:bCs/>
                <w:lang w:val="ro-RO"/>
              </w:rPr>
            </w:pPr>
          </w:p>
        </w:tc>
        <w:tc>
          <w:tcPr>
            <w:tcW w:w="1134" w:type="dxa"/>
            <w:tcBorders>
              <w:top w:val="single" w:sz="2" w:space="0" w:color="333399"/>
              <w:bottom w:val="single" w:sz="4" w:space="0" w:color="333399"/>
              <w:right w:val="nil"/>
            </w:tcBorders>
            <w:shd w:val="clear" w:color="auto" w:fill="8EAADB" w:themeFill="accent5" w:themeFillTint="99"/>
            <w:vAlign w:val="center"/>
          </w:tcPr>
          <w:p w:rsidR="000E79CA" w:rsidRPr="00AF3608" w:rsidRDefault="000E79CA" w:rsidP="00B723C0">
            <w:pPr>
              <w:keepNext/>
              <w:keepLines/>
              <w:widowControl w:val="0"/>
              <w:spacing w:before="120"/>
              <w:jc w:val="center"/>
              <w:rPr>
                <w:rFonts w:ascii="Calibri" w:hAnsi="Calibri" w:cs="Calibri"/>
                <w:b/>
                <w:bCs/>
                <w:lang w:val="ro-RO"/>
              </w:rPr>
            </w:pPr>
          </w:p>
        </w:tc>
      </w:tr>
    </w:tbl>
    <w:p w:rsidR="000E79CA" w:rsidRPr="00AF3608" w:rsidRDefault="000E79CA" w:rsidP="00B723C0">
      <w:pPr>
        <w:widowControl w:val="0"/>
        <w:spacing w:before="120"/>
        <w:ind w:firstLine="210"/>
        <w:jc w:val="both"/>
        <w:rPr>
          <w:rFonts w:ascii="Calibri" w:hAnsi="Calibri" w:cs="Calibri"/>
          <w:i/>
          <w:iCs/>
          <w:lang w:val="ro-RO"/>
        </w:rPr>
      </w:pPr>
      <w:r w:rsidRPr="00AF3608">
        <w:rPr>
          <w:rFonts w:ascii="Calibri" w:hAnsi="Calibri" w:cs="Calibri"/>
          <w:i/>
          <w:iCs/>
          <w:lang w:val="ro-RO"/>
        </w:rPr>
        <w:t>Sursa: Comisia Naţională de Strategie şi Prognoză</w:t>
      </w:r>
    </w:p>
    <w:p w:rsidR="000E79CA" w:rsidRPr="00AF3608" w:rsidRDefault="000E79CA" w:rsidP="00B723C0">
      <w:pPr>
        <w:widowControl w:val="0"/>
        <w:spacing w:before="120"/>
        <w:jc w:val="both"/>
        <w:rPr>
          <w:rFonts w:ascii="Calibri" w:hAnsi="Calibri" w:cs="Calibri"/>
          <w:lang w:val="ro-RO"/>
        </w:rPr>
      </w:pPr>
      <w:r w:rsidRPr="00AF3608">
        <w:rPr>
          <w:rFonts w:ascii="Calibri" w:hAnsi="Calibri" w:cs="Calibri"/>
          <w:lang w:val="ro-RO"/>
        </w:rPr>
        <w:t>*) Exporturile şi importurile de bunuri şi servicii sunt exprimate în termeni reali (de volum)</w:t>
      </w:r>
    </w:p>
    <w:p w:rsidR="000E79CA" w:rsidRPr="00AF3608" w:rsidRDefault="000E79CA" w:rsidP="00B723C0">
      <w:pPr>
        <w:widowControl w:val="0"/>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120"/>
        <w:jc w:val="both"/>
        <w:rPr>
          <w:rFonts w:ascii="Calibri" w:hAnsi="Calibri"/>
          <w:lang w:val="ro-RO"/>
        </w:rPr>
      </w:pPr>
    </w:p>
    <w:p w:rsidR="000E79CA" w:rsidRPr="00AF3608" w:rsidRDefault="000E79CA" w:rsidP="00B723C0">
      <w:pPr>
        <w:widowControl w:val="0"/>
        <w:spacing w:before="120"/>
        <w:jc w:val="both"/>
        <w:rPr>
          <w:rFonts w:ascii="Calibri" w:hAnsi="Calibri"/>
          <w:lang w:val="ro-RO"/>
        </w:rPr>
      </w:pPr>
      <w:r w:rsidRPr="00AF3608">
        <w:rPr>
          <w:rFonts w:ascii="Calibri" w:hAnsi="Calibri"/>
          <w:lang w:val="ro-RO"/>
        </w:rPr>
        <w:t xml:space="preserve">Pe partea cererii, formarea brută de capital fix va reprezenta principalul factor al creșterii economice, cu un ritm anual de 8,2%, scenariul luând în calcul impactul fondurilor europene alocate </w:t>
      </w:r>
      <w:r w:rsidRPr="00AF3608">
        <w:rPr>
          <w:rFonts w:ascii="Calibri" w:hAnsi="Calibri"/>
          <w:lang w:val="ro-RO"/>
        </w:rPr>
        <w:lastRenderedPageBreak/>
        <w:t xml:space="preserve">atât prin programul PNRR, cât și cele din cadrul financiar multianual. </w:t>
      </w:r>
    </w:p>
    <w:p w:rsidR="000E79CA" w:rsidRPr="00AF3608" w:rsidRDefault="000E79CA" w:rsidP="00B723C0">
      <w:pPr>
        <w:widowControl w:val="0"/>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120"/>
        <w:jc w:val="both"/>
        <w:rPr>
          <w:rFonts w:ascii="Calibri" w:hAnsi="Calibri"/>
          <w:lang w:val="ro-RO"/>
        </w:rPr>
      </w:pPr>
      <w:r w:rsidRPr="00AF3608">
        <w:rPr>
          <w:rFonts w:ascii="Calibri" w:hAnsi="Calibri"/>
          <w:lang w:val="ro-RO"/>
        </w:rPr>
        <w:t>Exporturile şi importurile de bunuri şi servicii vor înregistra ritmuri de creştere, în termeni reali, cu o medie anuală de 6,7%, respectiv 8,9%, exportul net având efect negativ asupra produsului intern brut, dar efectul de frânare asupra  creșterii economice se va diminua treptat.</w:t>
      </w:r>
    </w:p>
    <w:p w:rsidR="000E79CA" w:rsidRPr="00AF3608" w:rsidRDefault="000E79CA" w:rsidP="00B723C0">
      <w:pPr>
        <w:widowControl w:val="0"/>
        <w:spacing w:before="120"/>
        <w:jc w:val="both"/>
        <w:rPr>
          <w:rFonts w:asciiTheme="minorHAnsi" w:hAnsiTheme="minorHAnsi" w:cstheme="minorHAnsi"/>
          <w:lang w:val="ro-RO"/>
        </w:rPr>
      </w:pPr>
      <w:r w:rsidRPr="00AF3608">
        <w:rPr>
          <w:rFonts w:asciiTheme="minorHAnsi" w:hAnsiTheme="minorHAnsi" w:cstheme="minorHAnsi"/>
          <w:b/>
          <w:lang w:val="ro-RO"/>
        </w:rPr>
        <w:t>Numărul mediu de salariaţi</w:t>
      </w:r>
      <w:r w:rsidRPr="00AF3608">
        <w:rPr>
          <w:rFonts w:asciiTheme="minorHAnsi" w:hAnsiTheme="minorHAnsi" w:cstheme="minorHAnsi"/>
          <w:lang w:val="ro-RO"/>
        </w:rPr>
        <w:t xml:space="preserve"> se va majora în perioada 2021-2023, în medie cu 2,02% anual, iar </w:t>
      </w:r>
      <w:r w:rsidRPr="00AF3608">
        <w:rPr>
          <w:rFonts w:asciiTheme="minorHAnsi" w:hAnsiTheme="minorHAnsi" w:cstheme="minorHAnsi"/>
          <w:b/>
          <w:lang w:val="ro-RO"/>
        </w:rPr>
        <w:t>rata şomajului înregistrat la sfârşitul anului</w:t>
      </w:r>
      <w:r w:rsidRPr="00AF3608">
        <w:rPr>
          <w:rFonts w:asciiTheme="minorHAnsi" w:hAnsiTheme="minorHAnsi" w:cstheme="minorHAnsi"/>
          <w:lang w:val="ro-RO"/>
        </w:rPr>
        <w:t xml:space="preserve"> se va diminua,  ajungând la 2,8% la finalul anului 2023.</w:t>
      </w:r>
    </w:p>
    <w:p w:rsidR="000E79CA" w:rsidRPr="00AF3608" w:rsidRDefault="000E79CA" w:rsidP="00B723C0">
      <w:pPr>
        <w:widowControl w:val="0"/>
        <w:spacing w:before="120"/>
        <w:jc w:val="both"/>
        <w:rPr>
          <w:rFonts w:ascii="Calibri" w:hAnsi="Calibri" w:cs="Calibri"/>
          <w:lang w:val="ro-RO"/>
        </w:rPr>
      </w:pPr>
      <w:r w:rsidRPr="00AF3608">
        <w:rPr>
          <w:rFonts w:ascii="Calibri" w:hAnsi="Calibri" w:cs="Calibri"/>
          <w:lang w:val="ro-RO"/>
        </w:rPr>
        <w:t xml:space="preserve">În intervalul 2021-2023 se estimează că exporturile de bunuri se vor majora cu un ritm mediu anual de 7,2%, în timp ce importurile de bunuri vor avea o dinamică superioară, respectiv 8,4%. Creşterea mai accentuată a importurilor de bunuri se datorează unei majorări mai accentuate a achizițiilor de bunuri intermediare, în corelare cu evoluţiaaşteptată a producţiei industriale. Un trend similar este estimat şi în cazul importurilor de bunuri de capital, investiţiile necesitând în special achiziţii de pe pieţele externe. </w:t>
      </w:r>
    </w:p>
    <w:p w:rsidR="000E79CA" w:rsidRPr="00AF3608" w:rsidRDefault="000E79CA" w:rsidP="00B723C0">
      <w:pPr>
        <w:widowControl w:val="0"/>
        <w:spacing w:before="120"/>
        <w:jc w:val="both"/>
        <w:rPr>
          <w:rFonts w:ascii="Calibri" w:hAnsi="Calibri" w:cs="Calibri"/>
          <w:lang w:val="ro-RO"/>
        </w:rPr>
      </w:pPr>
      <w:r w:rsidRPr="00AF3608">
        <w:rPr>
          <w:rFonts w:ascii="Calibri" w:hAnsi="Calibri" w:cs="Calibri"/>
          <w:lang w:val="ro-RO"/>
        </w:rPr>
        <w:t>În ceea ce priveşte bunurile de consum şi acestea sunt prognozate în creştere, pe fondul revenirii cererii de consum a gospodăriilor, odată cu ridicarea restricțiilor de circulație și distanțare socială.</w:t>
      </w:r>
    </w:p>
    <w:p w:rsidR="000E79CA" w:rsidRPr="00AF3608" w:rsidRDefault="000E79CA" w:rsidP="00B723C0">
      <w:pPr>
        <w:keepNext/>
        <w:keepLines/>
        <w:widowControl w:val="0"/>
        <w:spacing w:before="120"/>
        <w:jc w:val="right"/>
        <w:rPr>
          <w:rFonts w:ascii="Calibri" w:hAnsi="Calibri"/>
          <w:lang w:val="ro-RO"/>
        </w:rPr>
      </w:pPr>
      <w:r w:rsidRPr="00AF3608">
        <w:rPr>
          <w:rFonts w:ascii="Calibri" w:hAnsi="Calibri"/>
          <w:lang w:val="ro-RO"/>
        </w:rPr>
        <w:t xml:space="preserve">  - mil. euro -</w:t>
      </w:r>
    </w:p>
    <w:tbl>
      <w:tblPr>
        <w:tblW w:w="9213" w:type="dxa"/>
        <w:jc w:val="center"/>
        <w:tblBorders>
          <w:top w:val="single" w:sz="24" w:space="0" w:color="auto"/>
          <w:bottom w:val="single" w:sz="24" w:space="0" w:color="auto"/>
        </w:tblBorders>
        <w:tblLayout w:type="fixed"/>
        <w:tblLook w:val="0000" w:firstRow="0" w:lastRow="0" w:firstColumn="0" w:lastColumn="0" w:noHBand="0" w:noVBand="0"/>
      </w:tblPr>
      <w:tblGrid>
        <w:gridCol w:w="4141"/>
        <w:gridCol w:w="1599"/>
        <w:gridCol w:w="1528"/>
        <w:gridCol w:w="1945"/>
      </w:tblGrid>
      <w:tr w:rsidR="000E79CA" w:rsidRPr="00AF3608" w:rsidTr="005F3BD1">
        <w:trPr>
          <w:tblHeader/>
          <w:jc w:val="center"/>
        </w:trPr>
        <w:tc>
          <w:tcPr>
            <w:tcW w:w="4141" w:type="dxa"/>
            <w:tcBorders>
              <w:top w:val="single" w:sz="2" w:space="0" w:color="333399"/>
              <w:bottom w:val="single" w:sz="2" w:space="0" w:color="333399"/>
            </w:tcBorders>
            <w:shd w:val="clear" w:color="auto" w:fill="8EAADB" w:themeFill="accent5" w:themeFillTint="99"/>
            <w:noWrap/>
            <w:vAlign w:val="center"/>
          </w:tcPr>
          <w:p w:rsidR="000E79CA" w:rsidRPr="00AF3608" w:rsidRDefault="000E79CA" w:rsidP="00B723C0">
            <w:pPr>
              <w:keepNext/>
              <w:keepLines/>
              <w:widowControl w:val="0"/>
              <w:spacing w:before="120"/>
              <w:jc w:val="both"/>
              <w:outlineLvl w:val="1"/>
              <w:rPr>
                <w:rFonts w:ascii="Calibri" w:hAnsi="Calibri" w:cs="Calibri"/>
                <w:b/>
                <w:bCs/>
                <w:lang w:val="ro-RO"/>
              </w:rPr>
            </w:pPr>
            <w:r w:rsidRPr="00AF3608">
              <w:rPr>
                <w:rFonts w:ascii="Calibri" w:hAnsi="Calibri" w:cs="Calibri"/>
                <w:b/>
                <w:bCs/>
                <w:lang w:val="ro-RO"/>
              </w:rPr>
              <w:t>Comerţul exterior şi contul curent</w:t>
            </w:r>
          </w:p>
        </w:tc>
        <w:tc>
          <w:tcPr>
            <w:tcW w:w="1599" w:type="dxa"/>
            <w:tcBorders>
              <w:top w:val="single" w:sz="2" w:space="0" w:color="333399"/>
              <w:bottom w:val="single" w:sz="2" w:space="0" w:color="333399"/>
            </w:tcBorders>
            <w:shd w:val="clear" w:color="auto" w:fill="8EAADB" w:themeFill="accent5" w:themeFillTint="99"/>
            <w:noWrap/>
            <w:vAlign w:val="center"/>
          </w:tcPr>
          <w:p w:rsidR="000E79CA" w:rsidRPr="00AF3608" w:rsidRDefault="000E79CA" w:rsidP="00B723C0">
            <w:pPr>
              <w:keepNext/>
              <w:keepLines/>
              <w:widowControl w:val="0"/>
              <w:spacing w:before="120"/>
              <w:jc w:val="center"/>
              <w:outlineLvl w:val="1"/>
              <w:rPr>
                <w:rFonts w:ascii="Calibri" w:hAnsi="Calibri" w:cs="Calibri"/>
                <w:b/>
                <w:bCs/>
                <w:lang w:val="ro-RO"/>
              </w:rPr>
            </w:pPr>
            <w:r w:rsidRPr="00AF3608">
              <w:rPr>
                <w:rFonts w:ascii="Calibri" w:hAnsi="Calibri" w:cs="Calibri"/>
                <w:b/>
                <w:bCs/>
                <w:lang w:val="ro-RO"/>
              </w:rPr>
              <w:t>2021</w:t>
            </w:r>
          </w:p>
        </w:tc>
        <w:tc>
          <w:tcPr>
            <w:tcW w:w="1528" w:type="dxa"/>
            <w:tcBorders>
              <w:top w:val="single" w:sz="2" w:space="0" w:color="333399"/>
              <w:bottom w:val="single" w:sz="2" w:space="0" w:color="333399"/>
            </w:tcBorders>
            <w:shd w:val="clear" w:color="auto" w:fill="8EAADB" w:themeFill="accent5" w:themeFillTint="99"/>
            <w:vAlign w:val="center"/>
          </w:tcPr>
          <w:p w:rsidR="000E79CA" w:rsidRPr="00AF3608" w:rsidRDefault="000E79CA" w:rsidP="00B723C0">
            <w:pPr>
              <w:keepNext/>
              <w:keepLines/>
              <w:widowControl w:val="0"/>
              <w:spacing w:before="120"/>
              <w:jc w:val="center"/>
              <w:outlineLvl w:val="1"/>
              <w:rPr>
                <w:rFonts w:ascii="Calibri" w:hAnsi="Calibri" w:cs="Calibri"/>
                <w:b/>
                <w:bCs/>
                <w:lang w:val="ro-RO"/>
              </w:rPr>
            </w:pPr>
            <w:r w:rsidRPr="00AF3608">
              <w:rPr>
                <w:rFonts w:ascii="Calibri" w:hAnsi="Calibri" w:cs="Calibri"/>
                <w:b/>
                <w:bCs/>
                <w:lang w:val="ro-RO"/>
              </w:rPr>
              <w:t>2022</w:t>
            </w:r>
          </w:p>
        </w:tc>
        <w:tc>
          <w:tcPr>
            <w:tcW w:w="1945" w:type="dxa"/>
            <w:tcBorders>
              <w:top w:val="single" w:sz="2" w:space="0" w:color="333399"/>
              <w:bottom w:val="single" w:sz="2" w:space="0" w:color="333399"/>
            </w:tcBorders>
            <w:shd w:val="clear" w:color="auto" w:fill="8EAADB" w:themeFill="accent5" w:themeFillTint="99"/>
            <w:vAlign w:val="center"/>
          </w:tcPr>
          <w:p w:rsidR="000E79CA" w:rsidRPr="00AF3608" w:rsidRDefault="000E79CA" w:rsidP="00B723C0">
            <w:pPr>
              <w:keepNext/>
              <w:keepLines/>
              <w:widowControl w:val="0"/>
              <w:spacing w:before="120"/>
              <w:jc w:val="center"/>
              <w:outlineLvl w:val="1"/>
              <w:rPr>
                <w:rFonts w:ascii="Calibri" w:hAnsi="Calibri" w:cs="Calibri"/>
                <w:b/>
                <w:bCs/>
                <w:lang w:val="ro-RO"/>
              </w:rPr>
            </w:pPr>
            <w:r w:rsidRPr="00AF3608">
              <w:rPr>
                <w:rFonts w:ascii="Calibri" w:hAnsi="Calibri" w:cs="Calibri"/>
                <w:b/>
                <w:bCs/>
                <w:lang w:val="ro-RO"/>
              </w:rPr>
              <w:t>2023</w:t>
            </w:r>
          </w:p>
        </w:tc>
      </w:tr>
      <w:tr w:rsidR="000E79CA" w:rsidRPr="00AF3608" w:rsidTr="00612785">
        <w:trPr>
          <w:jc w:val="center"/>
        </w:trPr>
        <w:tc>
          <w:tcPr>
            <w:tcW w:w="4141" w:type="dxa"/>
            <w:tcBorders>
              <w:top w:val="single" w:sz="2" w:space="0" w:color="333399"/>
              <w:left w:val="nil"/>
              <w:bottom w:val="nil"/>
              <w:right w:val="nil"/>
            </w:tcBorders>
            <w:noWrap/>
            <w:vAlign w:val="center"/>
          </w:tcPr>
          <w:p w:rsidR="000E79CA" w:rsidRPr="00AF3608" w:rsidRDefault="000E79CA" w:rsidP="00B723C0">
            <w:pPr>
              <w:keepNext/>
              <w:keepLines/>
              <w:widowControl w:val="0"/>
              <w:spacing w:before="120"/>
              <w:jc w:val="both"/>
              <w:rPr>
                <w:rFonts w:ascii="Calibri" w:hAnsi="Calibri" w:cs="Arial"/>
                <w:bCs/>
                <w:lang w:val="ro-RO"/>
              </w:rPr>
            </w:pPr>
            <w:r w:rsidRPr="00AF3608">
              <w:rPr>
                <w:rFonts w:ascii="Calibri" w:hAnsi="Calibri" w:cs="Arial"/>
                <w:bCs/>
                <w:lang w:val="ro-RO"/>
              </w:rPr>
              <w:t>Export de bunuri FOB</w:t>
            </w:r>
            <w:r w:rsidRPr="00AF3608">
              <w:rPr>
                <w:rFonts w:ascii="Calibri" w:hAnsi="Calibri" w:cs="Arial"/>
                <w:vertAlign w:val="superscript"/>
                <w:lang w:val="ro-RO"/>
              </w:rPr>
              <w:t>*)</w:t>
            </w:r>
          </w:p>
        </w:tc>
        <w:tc>
          <w:tcPr>
            <w:tcW w:w="1599" w:type="dxa"/>
            <w:tcBorders>
              <w:top w:val="single" w:sz="2" w:space="0" w:color="333399"/>
              <w:left w:val="nil"/>
              <w:bottom w:val="nil"/>
              <w:right w:val="nil"/>
            </w:tcBorders>
            <w:noWrap/>
            <w:vAlign w:val="center"/>
          </w:tcPr>
          <w:p w:rsidR="000E79CA" w:rsidRPr="00AF3608" w:rsidRDefault="000E79CA" w:rsidP="00B723C0">
            <w:pPr>
              <w:keepNext/>
              <w:keepLines/>
              <w:widowControl w:val="0"/>
              <w:spacing w:before="120"/>
              <w:jc w:val="center"/>
              <w:rPr>
                <w:rFonts w:ascii="Calibri" w:hAnsi="Calibri" w:cs="Arial"/>
                <w:lang w:val="ro-RO"/>
              </w:rPr>
            </w:pPr>
            <w:r w:rsidRPr="00AF3608">
              <w:rPr>
                <w:rFonts w:ascii="Calibri" w:hAnsi="Calibri" w:cs="Arial"/>
                <w:lang w:val="ro-RO"/>
              </w:rPr>
              <w:t>66.552</w:t>
            </w:r>
          </w:p>
        </w:tc>
        <w:tc>
          <w:tcPr>
            <w:tcW w:w="1528" w:type="dxa"/>
            <w:tcBorders>
              <w:top w:val="single" w:sz="2" w:space="0" w:color="333399"/>
              <w:left w:val="nil"/>
              <w:bottom w:val="nil"/>
              <w:right w:val="nil"/>
            </w:tcBorders>
            <w:vAlign w:val="center"/>
          </w:tcPr>
          <w:p w:rsidR="000E79CA" w:rsidRPr="00AF3608" w:rsidRDefault="000E79CA" w:rsidP="00B723C0">
            <w:pPr>
              <w:keepNext/>
              <w:keepLines/>
              <w:widowControl w:val="0"/>
              <w:spacing w:before="120"/>
              <w:jc w:val="center"/>
              <w:rPr>
                <w:rFonts w:ascii="Calibri" w:hAnsi="Calibri" w:cs="Arial"/>
                <w:lang w:val="ro-RO"/>
              </w:rPr>
            </w:pPr>
            <w:r w:rsidRPr="00AF3608">
              <w:rPr>
                <w:rFonts w:ascii="Calibri" w:hAnsi="Calibri" w:cs="Arial"/>
                <w:lang w:val="ro-RO"/>
              </w:rPr>
              <w:t>70.970</w:t>
            </w:r>
          </w:p>
        </w:tc>
        <w:tc>
          <w:tcPr>
            <w:tcW w:w="1945" w:type="dxa"/>
            <w:tcBorders>
              <w:top w:val="single" w:sz="2" w:space="0" w:color="333399"/>
              <w:left w:val="nil"/>
              <w:bottom w:val="nil"/>
              <w:right w:val="nil"/>
            </w:tcBorders>
            <w:vAlign w:val="center"/>
          </w:tcPr>
          <w:p w:rsidR="000E79CA" w:rsidRPr="00AF3608" w:rsidRDefault="000E79CA" w:rsidP="00B723C0">
            <w:pPr>
              <w:keepNext/>
              <w:keepLines/>
              <w:widowControl w:val="0"/>
              <w:spacing w:before="120"/>
              <w:jc w:val="center"/>
              <w:rPr>
                <w:rFonts w:ascii="Calibri" w:hAnsi="Calibri" w:cs="Arial"/>
                <w:lang w:val="ro-RO"/>
              </w:rPr>
            </w:pPr>
            <w:r w:rsidRPr="00AF3608">
              <w:rPr>
                <w:rFonts w:ascii="Calibri" w:hAnsi="Calibri" w:cs="Arial"/>
                <w:lang w:val="ro-RO"/>
              </w:rPr>
              <w:t>76.185</w:t>
            </w:r>
          </w:p>
        </w:tc>
      </w:tr>
      <w:tr w:rsidR="000E79CA" w:rsidRPr="00AF3608" w:rsidTr="00612785">
        <w:trPr>
          <w:jc w:val="center"/>
        </w:trPr>
        <w:tc>
          <w:tcPr>
            <w:tcW w:w="4141" w:type="dxa"/>
            <w:tcBorders>
              <w:top w:val="nil"/>
              <w:left w:val="nil"/>
              <w:bottom w:val="nil"/>
              <w:right w:val="nil"/>
            </w:tcBorders>
            <w:noWrap/>
            <w:vAlign w:val="center"/>
          </w:tcPr>
          <w:p w:rsidR="000E79CA" w:rsidRPr="00AF3608" w:rsidRDefault="000E79CA" w:rsidP="00B723C0">
            <w:pPr>
              <w:keepNext/>
              <w:keepLines/>
              <w:widowControl w:val="0"/>
              <w:spacing w:before="120"/>
              <w:jc w:val="both"/>
              <w:rPr>
                <w:rFonts w:ascii="Calibri" w:hAnsi="Calibri" w:cs="Arial"/>
                <w:bCs/>
                <w:lang w:val="ro-RO"/>
              </w:rPr>
            </w:pPr>
            <w:r w:rsidRPr="00AF3608">
              <w:rPr>
                <w:rFonts w:ascii="Calibri" w:hAnsi="Calibri" w:cs="Arial"/>
                <w:bCs/>
                <w:lang w:val="ro-RO"/>
              </w:rPr>
              <w:t xml:space="preserve">    - modificare procentuală anuală, %</w:t>
            </w:r>
          </w:p>
        </w:tc>
        <w:tc>
          <w:tcPr>
            <w:tcW w:w="1599" w:type="dxa"/>
            <w:tcBorders>
              <w:top w:val="nil"/>
              <w:left w:val="nil"/>
              <w:bottom w:val="nil"/>
              <w:right w:val="nil"/>
            </w:tcBorders>
            <w:noWrap/>
            <w:vAlign w:val="center"/>
          </w:tcPr>
          <w:p w:rsidR="000E79CA" w:rsidRPr="00AF3608" w:rsidRDefault="000E79CA" w:rsidP="00B723C0">
            <w:pPr>
              <w:keepNext/>
              <w:keepLines/>
              <w:widowControl w:val="0"/>
              <w:spacing w:before="120"/>
              <w:jc w:val="center"/>
              <w:rPr>
                <w:rFonts w:ascii="Calibri" w:hAnsi="Calibri" w:cs="Arial"/>
                <w:lang w:val="ro-RO"/>
              </w:rPr>
            </w:pPr>
            <w:r w:rsidRPr="00AF3608">
              <w:rPr>
                <w:rFonts w:ascii="Calibri" w:hAnsi="Calibri" w:cs="Arial"/>
                <w:lang w:val="ro-RO"/>
              </w:rPr>
              <w:t>7,7</w:t>
            </w:r>
          </w:p>
        </w:tc>
        <w:tc>
          <w:tcPr>
            <w:tcW w:w="1528"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Arial"/>
                <w:lang w:val="ro-RO"/>
              </w:rPr>
            </w:pPr>
            <w:r w:rsidRPr="00AF3608">
              <w:rPr>
                <w:rFonts w:ascii="Calibri" w:hAnsi="Calibri" w:cs="Arial"/>
                <w:lang w:val="ro-RO"/>
              </w:rPr>
              <w:t>6,6</w:t>
            </w:r>
          </w:p>
        </w:tc>
        <w:tc>
          <w:tcPr>
            <w:tcW w:w="1945"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Arial"/>
                <w:lang w:val="ro-RO"/>
              </w:rPr>
            </w:pPr>
            <w:r w:rsidRPr="00AF3608">
              <w:rPr>
                <w:rFonts w:ascii="Calibri" w:hAnsi="Calibri" w:cs="Arial"/>
                <w:lang w:val="ro-RO"/>
              </w:rPr>
              <w:t>7,3</w:t>
            </w:r>
          </w:p>
        </w:tc>
      </w:tr>
      <w:tr w:rsidR="000E79CA" w:rsidRPr="00AF3608" w:rsidTr="00612785">
        <w:trPr>
          <w:jc w:val="center"/>
        </w:trPr>
        <w:tc>
          <w:tcPr>
            <w:tcW w:w="4141" w:type="dxa"/>
            <w:tcBorders>
              <w:top w:val="nil"/>
              <w:left w:val="nil"/>
              <w:bottom w:val="nil"/>
              <w:right w:val="nil"/>
            </w:tcBorders>
            <w:noWrap/>
            <w:vAlign w:val="center"/>
          </w:tcPr>
          <w:p w:rsidR="000E79CA" w:rsidRPr="00AF3608" w:rsidRDefault="000E79CA" w:rsidP="00B723C0">
            <w:pPr>
              <w:keepNext/>
              <w:keepLines/>
              <w:widowControl w:val="0"/>
              <w:spacing w:before="120"/>
              <w:jc w:val="both"/>
              <w:rPr>
                <w:rFonts w:ascii="Calibri" w:hAnsi="Calibri" w:cs="Arial"/>
                <w:bCs/>
                <w:lang w:val="ro-RO"/>
              </w:rPr>
            </w:pPr>
            <w:r w:rsidRPr="00AF3608">
              <w:rPr>
                <w:rFonts w:ascii="Calibri" w:hAnsi="Calibri" w:cs="Arial"/>
                <w:bCs/>
                <w:lang w:val="ro-RO"/>
              </w:rPr>
              <w:t>Import de bunuri CIF</w:t>
            </w:r>
            <w:r w:rsidRPr="00AF3608">
              <w:rPr>
                <w:rFonts w:ascii="Calibri" w:hAnsi="Calibri" w:cs="Arial"/>
                <w:vertAlign w:val="superscript"/>
                <w:lang w:val="ro-RO"/>
              </w:rPr>
              <w:t>*)</w:t>
            </w:r>
          </w:p>
        </w:tc>
        <w:tc>
          <w:tcPr>
            <w:tcW w:w="1599" w:type="dxa"/>
            <w:tcBorders>
              <w:top w:val="nil"/>
              <w:left w:val="nil"/>
              <w:bottom w:val="nil"/>
              <w:right w:val="nil"/>
            </w:tcBorders>
            <w:noWrap/>
            <w:vAlign w:val="center"/>
          </w:tcPr>
          <w:p w:rsidR="000E79CA" w:rsidRPr="00AF3608" w:rsidRDefault="000E79CA" w:rsidP="00B723C0">
            <w:pPr>
              <w:keepNext/>
              <w:keepLines/>
              <w:widowControl w:val="0"/>
              <w:spacing w:before="120"/>
              <w:jc w:val="center"/>
              <w:rPr>
                <w:rFonts w:ascii="Calibri" w:hAnsi="Calibri" w:cs="Arial"/>
                <w:lang w:val="ro-RO"/>
              </w:rPr>
            </w:pPr>
            <w:r w:rsidRPr="00AF3608">
              <w:rPr>
                <w:rFonts w:ascii="Calibri" w:hAnsi="Calibri" w:cs="Arial"/>
                <w:lang w:val="ro-RO"/>
              </w:rPr>
              <w:t>87.937</w:t>
            </w:r>
          </w:p>
        </w:tc>
        <w:tc>
          <w:tcPr>
            <w:tcW w:w="1528"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Arial"/>
                <w:lang w:val="ro-RO"/>
              </w:rPr>
            </w:pPr>
            <w:r w:rsidRPr="00AF3608">
              <w:rPr>
                <w:rFonts w:ascii="Calibri" w:hAnsi="Calibri" w:cs="Arial"/>
                <w:lang w:val="ro-RO"/>
              </w:rPr>
              <w:t>95.270</w:t>
            </w:r>
          </w:p>
        </w:tc>
        <w:tc>
          <w:tcPr>
            <w:tcW w:w="1945"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Arial"/>
                <w:lang w:val="ro-RO"/>
              </w:rPr>
            </w:pPr>
            <w:r w:rsidRPr="00AF3608">
              <w:rPr>
                <w:rFonts w:ascii="Calibri" w:hAnsi="Calibri" w:cs="Arial"/>
                <w:lang w:val="ro-RO"/>
              </w:rPr>
              <w:t>103.370</w:t>
            </w:r>
          </w:p>
        </w:tc>
      </w:tr>
      <w:tr w:rsidR="000E79CA" w:rsidRPr="00AF3608" w:rsidTr="00612785">
        <w:trPr>
          <w:jc w:val="center"/>
        </w:trPr>
        <w:tc>
          <w:tcPr>
            <w:tcW w:w="4141" w:type="dxa"/>
            <w:tcBorders>
              <w:top w:val="nil"/>
              <w:left w:val="nil"/>
              <w:bottom w:val="nil"/>
              <w:right w:val="nil"/>
            </w:tcBorders>
            <w:noWrap/>
            <w:vAlign w:val="center"/>
          </w:tcPr>
          <w:p w:rsidR="000E79CA" w:rsidRPr="00AF3608" w:rsidRDefault="000E79CA" w:rsidP="00B723C0">
            <w:pPr>
              <w:keepNext/>
              <w:keepLines/>
              <w:widowControl w:val="0"/>
              <w:spacing w:before="120"/>
              <w:jc w:val="both"/>
              <w:rPr>
                <w:rFonts w:ascii="Calibri" w:hAnsi="Calibri" w:cs="Arial"/>
                <w:bCs/>
                <w:lang w:val="ro-RO"/>
              </w:rPr>
            </w:pPr>
            <w:r w:rsidRPr="00AF3608">
              <w:rPr>
                <w:rFonts w:ascii="Calibri" w:hAnsi="Calibri" w:cs="Arial"/>
                <w:bCs/>
                <w:lang w:val="ro-RO"/>
              </w:rPr>
              <w:t xml:space="preserve">   - modificare procentuală anuală, %</w:t>
            </w:r>
          </w:p>
        </w:tc>
        <w:tc>
          <w:tcPr>
            <w:tcW w:w="1599" w:type="dxa"/>
            <w:tcBorders>
              <w:top w:val="nil"/>
              <w:left w:val="nil"/>
              <w:bottom w:val="nil"/>
              <w:right w:val="nil"/>
            </w:tcBorders>
            <w:noWrap/>
            <w:vAlign w:val="center"/>
          </w:tcPr>
          <w:p w:rsidR="000E79CA" w:rsidRPr="00AF3608" w:rsidRDefault="000E79CA" w:rsidP="00B723C0">
            <w:pPr>
              <w:keepNext/>
              <w:keepLines/>
              <w:widowControl w:val="0"/>
              <w:spacing w:before="120"/>
              <w:jc w:val="center"/>
              <w:rPr>
                <w:rFonts w:ascii="Calibri" w:hAnsi="Calibri" w:cs="Arial"/>
                <w:lang w:val="ro-RO"/>
              </w:rPr>
            </w:pPr>
            <w:r w:rsidRPr="00AF3608">
              <w:rPr>
                <w:rFonts w:ascii="Calibri" w:hAnsi="Calibri" w:cs="Arial"/>
                <w:lang w:val="ro-RO"/>
              </w:rPr>
              <w:t>9,7</w:t>
            </w:r>
          </w:p>
        </w:tc>
        <w:tc>
          <w:tcPr>
            <w:tcW w:w="1528"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Arial"/>
                <w:lang w:val="ro-RO"/>
              </w:rPr>
            </w:pPr>
            <w:r w:rsidRPr="00AF3608">
              <w:rPr>
                <w:rFonts w:ascii="Calibri" w:hAnsi="Calibri" w:cs="Arial"/>
                <w:lang w:val="ro-RO"/>
              </w:rPr>
              <w:t>8,3</w:t>
            </w:r>
          </w:p>
        </w:tc>
        <w:tc>
          <w:tcPr>
            <w:tcW w:w="1945"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Arial"/>
                <w:lang w:val="ro-RO"/>
              </w:rPr>
            </w:pPr>
            <w:r w:rsidRPr="00AF3608">
              <w:rPr>
                <w:rFonts w:ascii="Calibri" w:hAnsi="Calibri" w:cs="Arial"/>
                <w:lang w:val="ro-RO"/>
              </w:rPr>
              <w:t>8,5</w:t>
            </w:r>
          </w:p>
        </w:tc>
      </w:tr>
      <w:tr w:rsidR="000E79CA" w:rsidRPr="00AF3608" w:rsidTr="00612785">
        <w:trPr>
          <w:jc w:val="center"/>
        </w:trPr>
        <w:tc>
          <w:tcPr>
            <w:tcW w:w="4141" w:type="dxa"/>
            <w:tcBorders>
              <w:top w:val="nil"/>
              <w:left w:val="nil"/>
              <w:bottom w:val="single" w:sz="4" w:space="0" w:color="auto"/>
              <w:right w:val="nil"/>
            </w:tcBorders>
            <w:noWrap/>
            <w:vAlign w:val="center"/>
          </w:tcPr>
          <w:p w:rsidR="000E79CA" w:rsidRPr="00AF3608" w:rsidRDefault="000E79CA" w:rsidP="00B723C0">
            <w:pPr>
              <w:keepNext/>
              <w:keepLines/>
              <w:widowControl w:val="0"/>
              <w:spacing w:before="120"/>
              <w:jc w:val="both"/>
              <w:rPr>
                <w:rFonts w:ascii="Calibri" w:hAnsi="Calibri" w:cs="Arial"/>
                <w:bCs/>
                <w:lang w:val="ro-RO"/>
              </w:rPr>
            </w:pPr>
            <w:r w:rsidRPr="00AF3608">
              <w:rPr>
                <w:rFonts w:ascii="Calibri" w:hAnsi="Calibri" w:cs="Arial"/>
                <w:bCs/>
                <w:lang w:val="ro-RO"/>
              </w:rPr>
              <w:t xml:space="preserve">Sold Balanţă Comercială FOB - CIF </w:t>
            </w:r>
          </w:p>
        </w:tc>
        <w:tc>
          <w:tcPr>
            <w:tcW w:w="1599" w:type="dxa"/>
            <w:tcBorders>
              <w:top w:val="nil"/>
              <w:left w:val="nil"/>
              <w:bottom w:val="single" w:sz="4" w:space="0" w:color="auto"/>
              <w:right w:val="nil"/>
            </w:tcBorders>
            <w:noWrap/>
            <w:vAlign w:val="center"/>
          </w:tcPr>
          <w:p w:rsidR="000E79CA" w:rsidRPr="00AF3608" w:rsidRDefault="000E79CA" w:rsidP="00B723C0">
            <w:pPr>
              <w:keepNext/>
              <w:keepLines/>
              <w:widowControl w:val="0"/>
              <w:spacing w:before="120"/>
              <w:jc w:val="center"/>
              <w:rPr>
                <w:rFonts w:ascii="Calibri" w:hAnsi="Calibri" w:cs="Arial"/>
                <w:lang w:val="ro-RO"/>
              </w:rPr>
            </w:pPr>
            <w:r w:rsidRPr="00AF3608">
              <w:rPr>
                <w:rFonts w:ascii="Calibri" w:hAnsi="Calibri" w:cs="Arial"/>
                <w:lang w:val="ro-RO"/>
              </w:rPr>
              <w:t>-21.385</w:t>
            </w:r>
          </w:p>
        </w:tc>
        <w:tc>
          <w:tcPr>
            <w:tcW w:w="1528" w:type="dxa"/>
            <w:tcBorders>
              <w:top w:val="nil"/>
              <w:left w:val="nil"/>
              <w:bottom w:val="single" w:sz="4" w:space="0" w:color="auto"/>
              <w:right w:val="nil"/>
            </w:tcBorders>
            <w:vAlign w:val="center"/>
          </w:tcPr>
          <w:p w:rsidR="000E79CA" w:rsidRPr="00AF3608" w:rsidRDefault="000E79CA" w:rsidP="00B723C0">
            <w:pPr>
              <w:keepNext/>
              <w:keepLines/>
              <w:widowControl w:val="0"/>
              <w:spacing w:before="120"/>
              <w:jc w:val="center"/>
              <w:rPr>
                <w:rFonts w:ascii="Calibri" w:hAnsi="Calibri" w:cs="Arial"/>
                <w:lang w:val="ro-RO"/>
              </w:rPr>
            </w:pPr>
            <w:r w:rsidRPr="00AF3608">
              <w:rPr>
                <w:rFonts w:ascii="Calibri" w:hAnsi="Calibri" w:cs="Arial"/>
                <w:lang w:val="ro-RO"/>
              </w:rPr>
              <w:t>-24.300</w:t>
            </w:r>
          </w:p>
        </w:tc>
        <w:tc>
          <w:tcPr>
            <w:tcW w:w="1945" w:type="dxa"/>
            <w:tcBorders>
              <w:top w:val="nil"/>
              <w:left w:val="nil"/>
              <w:bottom w:val="single" w:sz="4" w:space="0" w:color="auto"/>
              <w:right w:val="nil"/>
            </w:tcBorders>
            <w:vAlign w:val="center"/>
          </w:tcPr>
          <w:p w:rsidR="000E79CA" w:rsidRPr="00AF3608" w:rsidRDefault="000E79CA" w:rsidP="00B723C0">
            <w:pPr>
              <w:keepNext/>
              <w:keepLines/>
              <w:widowControl w:val="0"/>
              <w:spacing w:before="120"/>
              <w:jc w:val="center"/>
              <w:rPr>
                <w:rFonts w:ascii="Calibri" w:hAnsi="Calibri" w:cs="Arial"/>
                <w:lang w:val="ro-RO"/>
              </w:rPr>
            </w:pPr>
            <w:r w:rsidRPr="00AF3608">
              <w:rPr>
                <w:rFonts w:ascii="Calibri" w:hAnsi="Calibri" w:cs="Arial"/>
                <w:lang w:val="ro-RO"/>
              </w:rPr>
              <w:t>-27.185</w:t>
            </w:r>
          </w:p>
        </w:tc>
      </w:tr>
      <w:tr w:rsidR="000E79CA" w:rsidRPr="00AF3608" w:rsidTr="00612785">
        <w:trPr>
          <w:jc w:val="center"/>
        </w:trPr>
        <w:tc>
          <w:tcPr>
            <w:tcW w:w="4141" w:type="dxa"/>
            <w:tcBorders>
              <w:top w:val="single" w:sz="4" w:space="0" w:color="auto"/>
              <w:left w:val="nil"/>
              <w:bottom w:val="nil"/>
              <w:right w:val="nil"/>
            </w:tcBorders>
            <w:noWrap/>
            <w:vAlign w:val="center"/>
          </w:tcPr>
          <w:p w:rsidR="000E79CA" w:rsidRPr="00AF3608" w:rsidRDefault="000E79CA" w:rsidP="00B723C0">
            <w:pPr>
              <w:keepNext/>
              <w:keepLines/>
              <w:widowControl w:val="0"/>
              <w:spacing w:before="120"/>
              <w:jc w:val="both"/>
              <w:rPr>
                <w:rFonts w:ascii="Calibri" w:hAnsi="Calibri" w:cs="Arial"/>
                <w:bCs/>
                <w:lang w:val="ro-RO"/>
              </w:rPr>
            </w:pPr>
            <w:r w:rsidRPr="00AF3608">
              <w:rPr>
                <w:rFonts w:ascii="Calibri" w:hAnsi="Calibri" w:cs="Arial"/>
                <w:bCs/>
                <w:lang w:val="ro-RO"/>
              </w:rPr>
              <w:t>Soldul contului curent</w:t>
            </w:r>
          </w:p>
        </w:tc>
        <w:tc>
          <w:tcPr>
            <w:tcW w:w="1599" w:type="dxa"/>
            <w:tcBorders>
              <w:top w:val="single" w:sz="4" w:space="0" w:color="auto"/>
              <w:left w:val="nil"/>
              <w:bottom w:val="nil"/>
              <w:right w:val="nil"/>
            </w:tcBorders>
            <w:noWrap/>
            <w:vAlign w:val="center"/>
          </w:tcPr>
          <w:p w:rsidR="000E79CA" w:rsidRPr="00AF3608" w:rsidRDefault="000E79CA" w:rsidP="00B723C0">
            <w:pPr>
              <w:keepNext/>
              <w:keepLines/>
              <w:widowControl w:val="0"/>
              <w:spacing w:before="120"/>
              <w:jc w:val="center"/>
              <w:rPr>
                <w:rFonts w:ascii="Calibri" w:hAnsi="Calibri" w:cs="Arial"/>
                <w:b/>
                <w:bCs/>
                <w:lang w:val="ro-RO"/>
              </w:rPr>
            </w:pPr>
            <w:r w:rsidRPr="00AF3608">
              <w:rPr>
                <w:rFonts w:ascii="Calibri" w:hAnsi="Calibri" w:cs="Arial"/>
                <w:b/>
                <w:bCs/>
                <w:lang w:val="ro-RO"/>
              </w:rPr>
              <w:t>-10.566</w:t>
            </w:r>
          </w:p>
        </w:tc>
        <w:tc>
          <w:tcPr>
            <w:tcW w:w="1528" w:type="dxa"/>
            <w:tcBorders>
              <w:top w:val="single" w:sz="4" w:space="0" w:color="auto"/>
              <w:left w:val="nil"/>
              <w:bottom w:val="nil"/>
              <w:right w:val="nil"/>
            </w:tcBorders>
            <w:vAlign w:val="center"/>
          </w:tcPr>
          <w:p w:rsidR="000E79CA" w:rsidRPr="00AF3608" w:rsidRDefault="000E79CA" w:rsidP="00B723C0">
            <w:pPr>
              <w:keepNext/>
              <w:keepLines/>
              <w:widowControl w:val="0"/>
              <w:spacing w:before="120"/>
              <w:jc w:val="center"/>
              <w:rPr>
                <w:rFonts w:ascii="Calibri" w:hAnsi="Calibri" w:cs="Arial"/>
                <w:b/>
                <w:bCs/>
                <w:lang w:val="ro-RO"/>
              </w:rPr>
            </w:pPr>
            <w:r w:rsidRPr="00AF3608">
              <w:rPr>
                <w:rFonts w:ascii="Calibri" w:hAnsi="Calibri" w:cs="Arial"/>
                <w:b/>
                <w:bCs/>
                <w:lang w:val="ro-RO"/>
              </w:rPr>
              <w:t>-10.835</w:t>
            </w:r>
          </w:p>
        </w:tc>
        <w:tc>
          <w:tcPr>
            <w:tcW w:w="1945" w:type="dxa"/>
            <w:tcBorders>
              <w:top w:val="single" w:sz="4" w:space="0" w:color="auto"/>
              <w:left w:val="nil"/>
              <w:bottom w:val="nil"/>
              <w:right w:val="nil"/>
            </w:tcBorders>
            <w:vAlign w:val="center"/>
          </w:tcPr>
          <w:p w:rsidR="000E79CA" w:rsidRPr="00AF3608" w:rsidRDefault="000E79CA" w:rsidP="00B723C0">
            <w:pPr>
              <w:keepNext/>
              <w:keepLines/>
              <w:widowControl w:val="0"/>
              <w:spacing w:before="120"/>
              <w:jc w:val="center"/>
              <w:rPr>
                <w:rFonts w:ascii="Calibri" w:hAnsi="Calibri" w:cs="Arial"/>
                <w:b/>
                <w:bCs/>
                <w:lang w:val="ro-RO"/>
              </w:rPr>
            </w:pPr>
            <w:r w:rsidRPr="00AF3608">
              <w:rPr>
                <w:rFonts w:ascii="Calibri" w:hAnsi="Calibri" w:cs="Arial"/>
                <w:b/>
                <w:bCs/>
                <w:lang w:val="ro-RO"/>
              </w:rPr>
              <w:t>-10.776</w:t>
            </w:r>
          </w:p>
        </w:tc>
      </w:tr>
      <w:tr w:rsidR="000E79CA" w:rsidRPr="00AF3608" w:rsidTr="00612785">
        <w:trPr>
          <w:jc w:val="center"/>
        </w:trPr>
        <w:tc>
          <w:tcPr>
            <w:tcW w:w="4141" w:type="dxa"/>
            <w:tcBorders>
              <w:top w:val="nil"/>
              <w:left w:val="nil"/>
              <w:bottom w:val="single" w:sz="2" w:space="0" w:color="333399"/>
              <w:right w:val="nil"/>
            </w:tcBorders>
            <w:noWrap/>
            <w:vAlign w:val="center"/>
          </w:tcPr>
          <w:p w:rsidR="000E79CA" w:rsidRPr="00AF3608" w:rsidRDefault="000E79CA" w:rsidP="00B723C0">
            <w:pPr>
              <w:keepNext/>
              <w:keepLines/>
              <w:widowControl w:val="0"/>
              <w:spacing w:before="120"/>
              <w:jc w:val="both"/>
              <w:rPr>
                <w:rFonts w:ascii="Calibri" w:hAnsi="Calibri" w:cs="Arial"/>
                <w:bCs/>
                <w:lang w:val="ro-RO"/>
              </w:rPr>
            </w:pPr>
            <w:r w:rsidRPr="00AF3608">
              <w:rPr>
                <w:rFonts w:ascii="Calibri" w:hAnsi="Calibri" w:cs="Arial"/>
                <w:bCs/>
                <w:lang w:val="ro-RO"/>
              </w:rPr>
              <w:t xml:space="preserve">     - % din PIB</w:t>
            </w:r>
          </w:p>
        </w:tc>
        <w:tc>
          <w:tcPr>
            <w:tcW w:w="1599" w:type="dxa"/>
            <w:tcBorders>
              <w:top w:val="nil"/>
              <w:left w:val="nil"/>
              <w:bottom w:val="single" w:sz="2" w:space="0" w:color="333399"/>
              <w:right w:val="nil"/>
            </w:tcBorders>
            <w:noWrap/>
            <w:vAlign w:val="center"/>
          </w:tcPr>
          <w:p w:rsidR="000E79CA" w:rsidRPr="00AF3608" w:rsidRDefault="000E79CA" w:rsidP="00B723C0">
            <w:pPr>
              <w:keepNext/>
              <w:keepLines/>
              <w:widowControl w:val="0"/>
              <w:spacing w:before="120"/>
              <w:jc w:val="center"/>
              <w:rPr>
                <w:rFonts w:ascii="Calibri" w:hAnsi="Calibri" w:cs="Arial"/>
                <w:b/>
                <w:bCs/>
                <w:lang w:val="ro-RO"/>
              </w:rPr>
            </w:pPr>
            <w:r w:rsidRPr="00AF3608">
              <w:rPr>
                <w:rFonts w:ascii="Calibri" w:hAnsi="Calibri" w:cs="Arial"/>
                <w:b/>
                <w:bCs/>
                <w:lang w:val="ro-RO"/>
              </w:rPr>
              <w:t>-4,6</w:t>
            </w:r>
          </w:p>
        </w:tc>
        <w:tc>
          <w:tcPr>
            <w:tcW w:w="1528" w:type="dxa"/>
            <w:tcBorders>
              <w:top w:val="nil"/>
              <w:left w:val="nil"/>
              <w:bottom w:val="single" w:sz="2" w:space="0" w:color="333399"/>
              <w:right w:val="nil"/>
            </w:tcBorders>
            <w:vAlign w:val="center"/>
          </w:tcPr>
          <w:p w:rsidR="000E79CA" w:rsidRPr="00AF3608" w:rsidRDefault="000E79CA" w:rsidP="00B723C0">
            <w:pPr>
              <w:keepNext/>
              <w:keepLines/>
              <w:widowControl w:val="0"/>
              <w:spacing w:before="120"/>
              <w:jc w:val="center"/>
              <w:rPr>
                <w:rFonts w:ascii="Calibri" w:hAnsi="Calibri" w:cs="Arial"/>
                <w:b/>
                <w:bCs/>
                <w:lang w:val="ro-RO"/>
              </w:rPr>
            </w:pPr>
            <w:r w:rsidRPr="00AF3608">
              <w:rPr>
                <w:rFonts w:ascii="Calibri" w:hAnsi="Calibri" w:cs="Arial"/>
                <w:b/>
                <w:bCs/>
                <w:lang w:val="ro-RO"/>
              </w:rPr>
              <w:t>-4,4</w:t>
            </w:r>
          </w:p>
        </w:tc>
        <w:tc>
          <w:tcPr>
            <w:tcW w:w="1945" w:type="dxa"/>
            <w:tcBorders>
              <w:top w:val="nil"/>
              <w:left w:val="nil"/>
              <w:bottom w:val="single" w:sz="2" w:space="0" w:color="333399"/>
              <w:right w:val="nil"/>
            </w:tcBorders>
            <w:vAlign w:val="center"/>
          </w:tcPr>
          <w:p w:rsidR="000E79CA" w:rsidRPr="00AF3608" w:rsidRDefault="000E79CA" w:rsidP="00B723C0">
            <w:pPr>
              <w:keepNext/>
              <w:keepLines/>
              <w:widowControl w:val="0"/>
              <w:spacing w:before="120"/>
              <w:jc w:val="center"/>
              <w:rPr>
                <w:rFonts w:ascii="Calibri" w:hAnsi="Calibri" w:cs="Arial"/>
                <w:b/>
                <w:bCs/>
                <w:lang w:val="ro-RO"/>
              </w:rPr>
            </w:pPr>
            <w:r w:rsidRPr="00AF3608">
              <w:rPr>
                <w:rFonts w:ascii="Calibri" w:hAnsi="Calibri" w:cs="Arial"/>
                <w:b/>
                <w:bCs/>
                <w:lang w:val="ro-RO"/>
              </w:rPr>
              <w:t>-4,1</w:t>
            </w:r>
          </w:p>
        </w:tc>
      </w:tr>
    </w:tbl>
    <w:p w:rsidR="000E79CA" w:rsidRPr="00AF3608" w:rsidRDefault="000E79CA" w:rsidP="00B723C0">
      <w:pPr>
        <w:widowControl w:val="0"/>
        <w:spacing w:before="120"/>
        <w:jc w:val="both"/>
        <w:rPr>
          <w:rFonts w:ascii="Calibri" w:hAnsi="Calibri"/>
          <w:bCs/>
          <w:lang w:val="ro-RO"/>
        </w:rPr>
      </w:pPr>
      <w:r w:rsidRPr="00AF3608">
        <w:rPr>
          <w:rFonts w:ascii="Calibri" w:hAnsi="Calibri"/>
          <w:bCs/>
          <w:vertAlign w:val="superscript"/>
          <w:lang w:val="ro-RO"/>
        </w:rPr>
        <w:t xml:space="preserve">                *)</w:t>
      </w:r>
      <w:r w:rsidRPr="00AF3608">
        <w:rPr>
          <w:rFonts w:ascii="Calibri" w:hAnsi="Calibri"/>
          <w:bCs/>
          <w:lang w:val="ro-RO"/>
        </w:rPr>
        <w:t xml:space="preserve"> Exportul şi importul de bunuri sunt valori nominale exprimate în  euro.</w:t>
      </w:r>
    </w:p>
    <w:p w:rsidR="000E79CA" w:rsidRPr="00AF3608" w:rsidRDefault="000E79CA" w:rsidP="00B723C0">
      <w:pPr>
        <w:widowControl w:val="0"/>
        <w:spacing w:before="120"/>
        <w:ind w:firstLine="210"/>
        <w:jc w:val="both"/>
        <w:rPr>
          <w:rFonts w:ascii="Calibri" w:hAnsi="Calibri"/>
          <w:i/>
          <w:lang w:val="ro-RO"/>
        </w:rPr>
      </w:pPr>
      <w:r w:rsidRPr="00AF3608">
        <w:rPr>
          <w:rFonts w:ascii="Calibri" w:hAnsi="Calibri"/>
          <w:i/>
          <w:lang w:val="ro-RO"/>
        </w:rPr>
        <w:t>Sursa: Comisia Naţională de Strategie și Prognoză</w:t>
      </w:r>
    </w:p>
    <w:p w:rsidR="000E79CA" w:rsidRPr="00AF3608" w:rsidRDefault="000E79CA" w:rsidP="00B723C0">
      <w:pPr>
        <w:widowControl w:val="0"/>
        <w:spacing w:before="120"/>
        <w:jc w:val="both"/>
        <w:rPr>
          <w:rFonts w:ascii="Calibri" w:hAnsi="Calibri"/>
          <w:lang w:val="ro-RO"/>
        </w:rPr>
      </w:pPr>
      <w:r w:rsidRPr="00AF3608">
        <w:rPr>
          <w:rFonts w:ascii="Calibri" w:hAnsi="Calibri"/>
          <w:lang w:val="ro-RO"/>
        </w:rPr>
        <w:t xml:space="preserve">Nivelul </w:t>
      </w:r>
      <w:r w:rsidRPr="00AF3608">
        <w:rPr>
          <w:rFonts w:ascii="Calibri" w:hAnsi="Calibri"/>
          <w:b/>
          <w:lang w:val="ro-RO"/>
        </w:rPr>
        <w:t>deficitului de cont curent</w:t>
      </w:r>
      <w:r w:rsidRPr="00AF3608">
        <w:rPr>
          <w:rFonts w:ascii="Calibri" w:hAnsi="Calibri"/>
          <w:lang w:val="ro-RO"/>
        </w:rPr>
        <w:t xml:space="preserve"> se va situa în intervalul 2021-2023 în jurul valorii de 10,7 mld. euro, ponderea în PIB situându-se puțin peste 4% în anul 2023. </w:t>
      </w:r>
    </w:p>
    <w:p w:rsidR="000E79CA" w:rsidRPr="00AF3608" w:rsidRDefault="000E79CA" w:rsidP="00B723C0">
      <w:pPr>
        <w:widowControl w:val="0"/>
        <w:spacing w:before="120"/>
        <w:jc w:val="both"/>
        <w:rPr>
          <w:rFonts w:ascii="Calibri" w:hAnsi="Calibri" w:cs="Calibri"/>
          <w:lang w:val="ro-RO"/>
        </w:rPr>
      </w:pPr>
      <w:r w:rsidRPr="00AF3608">
        <w:rPr>
          <w:rFonts w:ascii="Calibri" w:hAnsi="Calibri" w:cs="Calibri"/>
          <w:lang w:val="ro-RO"/>
        </w:rPr>
        <w:t xml:space="preserve">Pentru anul 2021, se estimează că </w:t>
      </w:r>
      <w:r w:rsidRPr="00AF3608">
        <w:rPr>
          <w:rFonts w:ascii="Calibri" w:hAnsi="Calibri" w:cs="Calibri"/>
          <w:b/>
          <w:lang w:val="ro-RO"/>
        </w:rPr>
        <w:t xml:space="preserve">inflaţia </w:t>
      </w:r>
      <w:r w:rsidRPr="00AF3608">
        <w:rPr>
          <w:rFonts w:ascii="Calibri" w:hAnsi="Calibri" w:cs="Calibri"/>
          <w:lang w:val="ro-RO"/>
        </w:rPr>
        <w:t>se va reduce ca medie anuală până la 2,4%, în timp ce la sfârşitul anului se estimează că va ajunge la 2,5%. În perioada 2022-2023 se aşteaptăca inflaţia să-şi continue trendul descendent ajungând în anul 2023 la 2,3% la sfârşitul anului şi 2,5% ca medie anuală.</w:t>
      </w:r>
    </w:p>
    <w:p w:rsidR="000E79CA" w:rsidRPr="00AF3608" w:rsidRDefault="000E79CA" w:rsidP="00B723C0">
      <w:pPr>
        <w:widowControl w:val="0"/>
        <w:spacing w:before="120"/>
        <w:jc w:val="both"/>
        <w:rPr>
          <w:rFonts w:ascii="Calibri" w:hAnsi="Calibri" w:cs="Calibri"/>
          <w:lang w:val="ro-RO"/>
        </w:rPr>
      </w:pPr>
      <w:r w:rsidRPr="00AF3608">
        <w:rPr>
          <w:rFonts w:ascii="Calibri" w:hAnsi="Calibri" w:cs="Calibri"/>
          <w:lang w:val="ro-RO"/>
        </w:rPr>
        <w:t>Previziunile au luat în calcul ani agricoli normali precum şi o uşoară depreciere în termeni nominali  a monedei naţionale  în raport cu moneda europeană.</w:t>
      </w:r>
    </w:p>
    <w:p w:rsidR="000E79CA" w:rsidRPr="00AF3608" w:rsidRDefault="000E79CA" w:rsidP="00B723C0">
      <w:pPr>
        <w:widowControl w:val="0"/>
        <w:spacing w:before="120"/>
        <w:rPr>
          <w:rFonts w:ascii="Calibri" w:hAnsi="Calibri" w:cs="Calibri"/>
          <w:lang w:val="ro-RO"/>
        </w:rPr>
      </w:pPr>
    </w:p>
    <w:tbl>
      <w:tblPr>
        <w:tblW w:w="9299" w:type="dxa"/>
        <w:jc w:val="center"/>
        <w:tblBorders>
          <w:top w:val="single" w:sz="24" w:space="0" w:color="auto"/>
          <w:bottom w:val="single" w:sz="24" w:space="0" w:color="auto"/>
        </w:tblBorders>
        <w:shd w:val="clear" w:color="auto" w:fill="FBFBFF"/>
        <w:tblLook w:val="0000" w:firstRow="0" w:lastRow="0" w:firstColumn="0" w:lastColumn="0" w:noHBand="0" w:noVBand="0"/>
      </w:tblPr>
      <w:tblGrid>
        <w:gridCol w:w="5846"/>
        <w:gridCol w:w="1282"/>
        <w:gridCol w:w="1181"/>
        <w:gridCol w:w="990"/>
      </w:tblGrid>
      <w:tr w:rsidR="000E79CA" w:rsidRPr="00AF3608" w:rsidTr="00612785">
        <w:trPr>
          <w:trHeight w:val="502"/>
          <w:tblHeader/>
          <w:jc w:val="center"/>
        </w:trPr>
        <w:tc>
          <w:tcPr>
            <w:tcW w:w="5846" w:type="dxa"/>
            <w:tcBorders>
              <w:top w:val="single" w:sz="2" w:space="0" w:color="333399"/>
              <w:bottom w:val="single" w:sz="2" w:space="0" w:color="333399"/>
            </w:tcBorders>
            <w:shd w:val="clear" w:color="auto" w:fill="auto"/>
            <w:noWrap/>
            <w:vAlign w:val="center"/>
          </w:tcPr>
          <w:p w:rsidR="000E79CA" w:rsidRPr="00AF3608" w:rsidRDefault="000E79CA" w:rsidP="00B723C0">
            <w:pPr>
              <w:keepNext/>
              <w:keepLines/>
              <w:widowControl w:val="0"/>
              <w:spacing w:before="120"/>
              <w:jc w:val="both"/>
              <w:outlineLvl w:val="1"/>
              <w:rPr>
                <w:rFonts w:ascii="Calibri" w:hAnsi="Calibri" w:cs="Calibri"/>
                <w:b/>
                <w:bCs/>
                <w:lang w:val="ro-RO"/>
              </w:rPr>
            </w:pPr>
          </w:p>
        </w:tc>
        <w:tc>
          <w:tcPr>
            <w:tcW w:w="1282" w:type="dxa"/>
            <w:tcBorders>
              <w:top w:val="single" w:sz="2" w:space="0" w:color="333399"/>
              <w:bottom w:val="single" w:sz="2" w:space="0" w:color="333399"/>
            </w:tcBorders>
            <w:shd w:val="clear" w:color="auto" w:fill="auto"/>
            <w:noWrap/>
            <w:vAlign w:val="center"/>
          </w:tcPr>
          <w:p w:rsidR="000E79CA" w:rsidRPr="00AF3608" w:rsidRDefault="000E79CA" w:rsidP="00B723C0">
            <w:pPr>
              <w:keepNext/>
              <w:keepLines/>
              <w:widowControl w:val="0"/>
              <w:spacing w:before="120"/>
              <w:jc w:val="center"/>
              <w:outlineLvl w:val="1"/>
              <w:rPr>
                <w:rFonts w:ascii="Calibri" w:hAnsi="Calibri" w:cs="Calibri"/>
                <w:b/>
                <w:bCs/>
                <w:lang w:val="ro-RO"/>
              </w:rPr>
            </w:pPr>
          </w:p>
        </w:tc>
        <w:tc>
          <w:tcPr>
            <w:tcW w:w="1181" w:type="dxa"/>
            <w:tcBorders>
              <w:top w:val="single" w:sz="2" w:space="0" w:color="333399"/>
              <w:bottom w:val="single" w:sz="2" w:space="0" w:color="333399"/>
            </w:tcBorders>
            <w:shd w:val="clear" w:color="auto" w:fill="auto"/>
            <w:vAlign w:val="center"/>
          </w:tcPr>
          <w:p w:rsidR="000E79CA" w:rsidRPr="00AF3608" w:rsidRDefault="000E79CA" w:rsidP="00B723C0">
            <w:pPr>
              <w:keepNext/>
              <w:keepLines/>
              <w:widowControl w:val="0"/>
              <w:spacing w:before="120"/>
              <w:jc w:val="center"/>
              <w:outlineLvl w:val="1"/>
              <w:rPr>
                <w:rFonts w:ascii="Calibri" w:hAnsi="Calibri" w:cs="Calibri"/>
                <w:b/>
                <w:bCs/>
                <w:lang w:val="ro-RO"/>
              </w:rPr>
            </w:pPr>
          </w:p>
        </w:tc>
        <w:tc>
          <w:tcPr>
            <w:tcW w:w="990" w:type="dxa"/>
            <w:tcBorders>
              <w:top w:val="single" w:sz="2" w:space="0" w:color="333399"/>
              <w:bottom w:val="single" w:sz="2" w:space="0" w:color="333399"/>
            </w:tcBorders>
            <w:shd w:val="clear" w:color="auto" w:fill="auto"/>
            <w:vAlign w:val="center"/>
          </w:tcPr>
          <w:p w:rsidR="000E79CA" w:rsidRPr="00AF3608" w:rsidRDefault="000E79CA" w:rsidP="00B723C0">
            <w:pPr>
              <w:keepNext/>
              <w:keepLines/>
              <w:widowControl w:val="0"/>
              <w:spacing w:before="120"/>
              <w:jc w:val="center"/>
              <w:outlineLvl w:val="1"/>
              <w:rPr>
                <w:rFonts w:ascii="Calibri" w:hAnsi="Calibri" w:cs="Calibri"/>
                <w:b/>
                <w:bCs/>
                <w:lang w:val="ro-RO"/>
              </w:rPr>
            </w:pPr>
            <w:r w:rsidRPr="00AF3608">
              <w:rPr>
                <w:rFonts w:ascii="Calibri" w:eastAsia="MS Mincho" w:hAnsi="Calibri" w:cs="Calibri"/>
                <w:lang w:val="ro-RO" w:eastAsia="ja-JP"/>
              </w:rPr>
              <w:t>- %-</w:t>
            </w:r>
          </w:p>
        </w:tc>
      </w:tr>
      <w:tr w:rsidR="000E79CA" w:rsidRPr="00AF3608" w:rsidTr="005F3BD1">
        <w:trPr>
          <w:trHeight w:val="502"/>
          <w:tblHeader/>
          <w:jc w:val="center"/>
        </w:trPr>
        <w:tc>
          <w:tcPr>
            <w:tcW w:w="5846" w:type="dxa"/>
            <w:tcBorders>
              <w:top w:val="single" w:sz="2" w:space="0" w:color="333399"/>
              <w:bottom w:val="single" w:sz="2" w:space="0" w:color="333399"/>
            </w:tcBorders>
            <w:shd w:val="clear" w:color="auto" w:fill="8EAADB" w:themeFill="accent5" w:themeFillTint="99"/>
            <w:noWrap/>
            <w:vAlign w:val="center"/>
          </w:tcPr>
          <w:p w:rsidR="000E79CA" w:rsidRPr="00AF3608" w:rsidRDefault="000E79CA" w:rsidP="00B723C0">
            <w:pPr>
              <w:keepNext/>
              <w:keepLines/>
              <w:widowControl w:val="0"/>
              <w:spacing w:before="120"/>
              <w:jc w:val="both"/>
              <w:outlineLvl w:val="1"/>
              <w:rPr>
                <w:rFonts w:ascii="Calibri" w:hAnsi="Calibri" w:cs="Calibri"/>
                <w:b/>
                <w:bCs/>
                <w:lang w:val="ro-RO"/>
              </w:rPr>
            </w:pPr>
            <w:r w:rsidRPr="00AF3608">
              <w:rPr>
                <w:rFonts w:ascii="Calibri" w:hAnsi="Calibri" w:cs="Calibri"/>
                <w:b/>
                <w:bCs/>
                <w:lang w:val="ro-RO"/>
              </w:rPr>
              <w:t>Inflaţia</w:t>
            </w:r>
          </w:p>
        </w:tc>
        <w:tc>
          <w:tcPr>
            <w:tcW w:w="1282" w:type="dxa"/>
            <w:tcBorders>
              <w:top w:val="single" w:sz="2" w:space="0" w:color="333399"/>
              <w:bottom w:val="single" w:sz="2" w:space="0" w:color="333399"/>
            </w:tcBorders>
            <w:shd w:val="clear" w:color="auto" w:fill="8EAADB" w:themeFill="accent5" w:themeFillTint="99"/>
            <w:noWrap/>
            <w:vAlign w:val="center"/>
          </w:tcPr>
          <w:p w:rsidR="000E79CA" w:rsidRPr="00AF3608" w:rsidRDefault="000E79CA" w:rsidP="00B723C0">
            <w:pPr>
              <w:keepNext/>
              <w:keepLines/>
              <w:widowControl w:val="0"/>
              <w:spacing w:before="120"/>
              <w:jc w:val="center"/>
              <w:outlineLvl w:val="1"/>
              <w:rPr>
                <w:rFonts w:ascii="Calibri" w:hAnsi="Calibri" w:cs="Calibri"/>
                <w:b/>
                <w:bCs/>
                <w:lang w:val="ro-RO"/>
              </w:rPr>
            </w:pPr>
            <w:r w:rsidRPr="00AF3608">
              <w:rPr>
                <w:rFonts w:ascii="Calibri" w:hAnsi="Calibri" w:cs="Calibri"/>
                <w:b/>
                <w:bCs/>
                <w:lang w:val="ro-RO"/>
              </w:rPr>
              <w:t>2021</w:t>
            </w:r>
          </w:p>
        </w:tc>
        <w:tc>
          <w:tcPr>
            <w:tcW w:w="1181" w:type="dxa"/>
            <w:tcBorders>
              <w:top w:val="single" w:sz="2" w:space="0" w:color="333399"/>
              <w:bottom w:val="single" w:sz="2" w:space="0" w:color="333399"/>
            </w:tcBorders>
            <w:shd w:val="clear" w:color="auto" w:fill="8EAADB" w:themeFill="accent5" w:themeFillTint="99"/>
            <w:vAlign w:val="center"/>
          </w:tcPr>
          <w:p w:rsidR="000E79CA" w:rsidRPr="00AF3608" w:rsidRDefault="000E79CA" w:rsidP="00B723C0">
            <w:pPr>
              <w:keepNext/>
              <w:keepLines/>
              <w:widowControl w:val="0"/>
              <w:spacing w:before="120"/>
              <w:jc w:val="center"/>
              <w:outlineLvl w:val="1"/>
              <w:rPr>
                <w:rFonts w:ascii="Calibri" w:hAnsi="Calibri" w:cs="Calibri"/>
                <w:b/>
                <w:bCs/>
                <w:lang w:val="ro-RO"/>
              </w:rPr>
            </w:pPr>
            <w:r w:rsidRPr="00AF3608">
              <w:rPr>
                <w:rFonts w:ascii="Calibri" w:hAnsi="Calibri" w:cs="Calibri"/>
                <w:b/>
                <w:bCs/>
                <w:lang w:val="ro-RO"/>
              </w:rPr>
              <w:t>2022</w:t>
            </w:r>
          </w:p>
        </w:tc>
        <w:tc>
          <w:tcPr>
            <w:tcW w:w="990" w:type="dxa"/>
            <w:tcBorders>
              <w:top w:val="single" w:sz="2" w:space="0" w:color="333399"/>
              <w:bottom w:val="single" w:sz="2" w:space="0" w:color="333399"/>
            </w:tcBorders>
            <w:shd w:val="clear" w:color="auto" w:fill="8EAADB" w:themeFill="accent5" w:themeFillTint="99"/>
            <w:vAlign w:val="center"/>
          </w:tcPr>
          <w:p w:rsidR="000E79CA" w:rsidRPr="00AF3608" w:rsidRDefault="000E79CA" w:rsidP="00B723C0">
            <w:pPr>
              <w:keepNext/>
              <w:keepLines/>
              <w:widowControl w:val="0"/>
              <w:spacing w:before="120"/>
              <w:jc w:val="center"/>
              <w:outlineLvl w:val="1"/>
              <w:rPr>
                <w:rFonts w:ascii="Calibri" w:hAnsi="Calibri" w:cs="Calibri"/>
                <w:b/>
                <w:bCs/>
                <w:lang w:val="ro-RO"/>
              </w:rPr>
            </w:pPr>
            <w:r w:rsidRPr="00AF3608">
              <w:rPr>
                <w:rFonts w:ascii="Calibri" w:hAnsi="Calibri" w:cs="Calibri"/>
                <w:b/>
                <w:bCs/>
                <w:lang w:val="ro-RO"/>
              </w:rPr>
              <w:t>2023</w:t>
            </w:r>
          </w:p>
        </w:tc>
      </w:tr>
      <w:tr w:rsidR="000E79CA" w:rsidRPr="00AF3608" w:rsidTr="00612785">
        <w:trPr>
          <w:trHeight w:val="422"/>
          <w:jc w:val="center"/>
        </w:trPr>
        <w:tc>
          <w:tcPr>
            <w:tcW w:w="5846" w:type="dxa"/>
            <w:tcBorders>
              <w:top w:val="single" w:sz="2" w:space="0" w:color="333399"/>
              <w:left w:val="nil"/>
              <w:bottom w:val="nil"/>
              <w:right w:val="nil"/>
            </w:tcBorders>
            <w:shd w:val="clear" w:color="auto" w:fill="auto"/>
            <w:noWrap/>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 xml:space="preserve">   - sfârşitul anului</w:t>
            </w:r>
          </w:p>
        </w:tc>
        <w:tc>
          <w:tcPr>
            <w:tcW w:w="1282" w:type="dxa"/>
            <w:tcBorders>
              <w:top w:val="single" w:sz="2" w:space="0" w:color="333399"/>
              <w:left w:val="nil"/>
              <w:bottom w:val="nil"/>
              <w:right w:val="nil"/>
            </w:tcBorders>
            <w:shd w:val="clear" w:color="auto" w:fill="auto"/>
            <w:noWrap/>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2,5</w:t>
            </w:r>
          </w:p>
        </w:tc>
        <w:tc>
          <w:tcPr>
            <w:tcW w:w="1181" w:type="dxa"/>
            <w:tcBorders>
              <w:top w:val="single" w:sz="2" w:space="0" w:color="333399"/>
              <w:left w:val="nil"/>
              <w:bottom w:val="nil"/>
              <w:right w:val="nil"/>
            </w:tcBorders>
            <w:shd w:val="clear" w:color="auto" w:fill="auto"/>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2,4</w:t>
            </w:r>
          </w:p>
        </w:tc>
        <w:tc>
          <w:tcPr>
            <w:tcW w:w="990" w:type="dxa"/>
            <w:tcBorders>
              <w:top w:val="single" w:sz="2" w:space="0" w:color="333399"/>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2,3</w:t>
            </w:r>
          </w:p>
        </w:tc>
      </w:tr>
      <w:tr w:rsidR="000E79CA" w:rsidRPr="00AF3608" w:rsidTr="00612785">
        <w:trPr>
          <w:trHeight w:val="333"/>
          <w:jc w:val="center"/>
        </w:trPr>
        <w:tc>
          <w:tcPr>
            <w:tcW w:w="5846" w:type="dxa"/>
            <w:tcBorders>
              <w:top w:val="nil"/>
              <w:left w:val="nil"/>
              <w:bottom w:val="single" w:sz="2" w:space="0" w:color="333399"/>
              <w:right w:val="nil"/>
            </w:tcBorders>
            <w:shd w:val="clear" w:color="auto" w:fill="auto"/>
            <w:noWrap/>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 xml:space="preserve">   - medie anuală</w:t>
            </w:r>
          </w:p>
        </w:tc>
        <w:tc>
          <w:tcPr>
            <w:tcW w:w="1282" w:type="dxa"/>
            <w:tcBorders>
              <w:top w:val="nil"/>
              <w:left w:val="nil"/>
              <w:bottom w:val="single" w:sz="2" w:space="0" w:color="333399"/>
              <w:right w:val="nil"/>
            </w:tcBorders>
            <w:shd w:val="clear" w:color="auto" w:fill="auto"/>
            <w:noWrap/>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2,4</w:t>
            </w:r>
          </w:p>
        </w:tc>
        <w:tc>
          <w:tcPr>
            <w:tcW w:w="1181" w:type="dxa"/>
            <w:tcBorders>
              <w:top w:val="nil"/>
              <w:left w:val="nil"/>
              <w:bottom w:val="single" w:sz="2" w:space="0" w:color="333399"/>
              <w:right w:val="nil"/>
            </w:tcBorders>
            <w:shd w:val="clear" w:color="auto" w:fill="auto"/>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2,6</w:t>
            </w:r>
          </w:p>
        </w:tc>
        <w:tc>
          <w:tcPr>
            <w:tcW w:w="990" w:type="dxa"/>
            <w:tcBorders>
              <w:top w:val="nil"/>
              <w:left w:val="nil"/>
              <w:bottom w:val="single" w:sz="2" w:space="0" w:color="333399"/>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2,5</w:t>
            </w:r>
          </w:p>
        </w:tc>
      </w:tr>
    </w:tbl>
    <w:p w:rsidR="000E79CA" w:rsidRPr="00AF3608" w:rsidRDefault="000E79CA" w:rsidP="00B723C0">
      <w:pPr>
        <w:widowControl w:val="0"/>
        <w:spacing w:before="120"/>
        <w:jc w:val="both"/>
        <w:rPr>
          <w:rFonts w:ascii="Calibri" w:hAnsi="Calibri" w:cs="Calibri"/>
          <w:b/>
          <w:bCs/>
          <w:lang w:val="ro-RO"/>
        </w:rPr>
      </w:pPr>
    </w:p>
    <w:p w:rsidR="00450C35" w:rsidRPr="00AF3608" w:rsidRDefault="00450C35" w:rsidP="00B723C0">
      <w:pPr>
        <w:autoSpaceDE w:val="0"/>
        <w:autoSpaceDN w:val="0"/>
        <w:adjustRightInd w:val="0"/>
        <w:spacing w:before="120"/>
        <w:jc w:val="both"/>
        <w:rPr>
          <w:rFonts w:asciiTheme="minorHAnsi" w:hAnsiTheme="minorHAnsi" w:cstheme="minorHAnsi"/>
          <w:bCs/>
          <w:lang w:val="ro-RO"/>
        </w:rPr>
      </w:pPr>
    </w:p>
    <w:p w:rsidR="00B072F3" w:rsidRPr="00AF3608" w:rsidRDefault="00B072F3" w:rsidP="00B723C0">
      <w:pPr>
        <w:shd w:val="clear" w:color="auto" w:fill="002060"/>
        <w:autoSpaceDE w:val="0"/>
        <w:autoSpaceDN w:val="0"/>
        <w:adjustRightInd w:val="0"/>
        <w:spacing w:before="120"/>
        <w:jc w:val="both"/>
        <w:rPr>
          <w:rFonts w:asciiTheme="minorHAnsi" w:hAnsiTheme="minorHAnsi" w:cstheme="minorHAnsi"/>
          <w:bCs/>
          <w:color w:val="FFFFFF" w:themeColor="background1"/>
          <w:lang w:val="ro-RO"/>
        </w:rPr>
      </w:pPr>
    </w:p>
    <w:p w:rsidR="00F2662B" w:rsidRPr="00AF3608" w:rsidRDefault="00B072F3" w:rsidP="00B723C0">
      <w:pPr>
        <w:shd w:val="clear" w:color="auto" w:fill="002060"/>
        <w:autoSpaceDE w:val="0"/>
        <w:autoSpaceDN w:val="0"/>
        <w:adjustRightInd w:val="0"/>
        <w:spacing w:before="120"/>
        <w:jc w:val="both"/>
        <w:rPr>
          <w:rFonts w:asciiTheme="minorHAnsi" w:hAnsiTheme="minorHAnsi" w:cs="Arial"/>
          <w:b/>
          <w:color w:val="FFFFFF" w:themeColor="background1"/>
          <w:lang w:val="ro-RO"/>
        </w:rPr>
      </w:pPr>
      <w:r w:rsidRPr="00AF3608">
        <w:rPr>
          <w:rFonts w:asciiTheme="minorHAnsi" w:hAnsiTheme="minorHAnsi" w:cstheme="minorHAnsi"/>
          <w:b/>
          <w:bCs/>
          <w:color w:val="FFFFFF" w:themeColor="background1"/>
          <w:lang w:val="ro-RO"/>
        </w:rPr>
        <w:t>4.</w:t>
      </w:r>
      <w:r w:rsidRPr="00AF3608">
        <w:rPr>
          <w:rFonts w:asciiTheme="minorHAnsi" w:hAnsiTheme="minorHAnsi" w:cstheme="minorHAnsi"/>
          <w:bCs/>
          <w:color w:val="FFFFFF" w:themeColor="background1"/>
          <w:lang w:val="ro-RO"/>
        </w:rPr>
        <w:t xml:space="preserve"> </w:t>
      </w:r>
      <w:r w:rsidR="006E7E13" w:rsidRPr="00AF3608">
        <w:rPr>
          <w:rFonts w:asciiTheme="minorHAnsi" w:hAnsiTheme="minorHAnsi" w:cs="Arial"/>
          <w:b/>
          <w:color w:val="FFFFFF" w:themeColor="background1"/>
          <w:lang w:val="ro-RO"/>
        </w:rPr>
        <w:t xml:space="preserve">CADRUL </w:t>
      </w:r>
      <w:r w:rsidR="00FF4F37" w:rsidRPr="00AF3608">
        <w:rPr>
          <w:rFonts w:asciiTheme="minorHAnsi" w:hAnsiTheme="minorHAnsi" w:cs="Arial"/>
          <w:b/>
          <w:color w:val="FFFFFF" w:themeColor="background1"/>
          <w:lang w:val="ro-RO"/>
        </w:rPr>
        <w:t>FISCAL-BUGETAR PE ORIZONTUL 2021</w:t>
      </w:r>
      <w:r w:rsidR="006E7E13" w:rsidRPr="00AF3608">
        <w:rPr>
          <w:rFonts w:asciiTheme="minorHAnsi" w:hAnsiTheme="minorHAnsi" w:cs="Arial"/>
          <w:b/>
          <w:color w:val="FFFFFF" w:themeColor="background1"/>
          <w:lang w:val="ro-RO"/>
        </w:rPr>
        <w:t>-202</w:t>
      </w:r>
      <w:r w:rsidR="00FF4F37" w:rsidRPr="00AF3608">
        <w:rPr>
          <w:rFonts w:asciiTheme="minorHAnsi" w:hAnsiTheme="minorHAnsi" w:cs="Arial"/>
          <w:b/>
          <w:color w:val="FFFFFF" w:themeColor="background1"/>
          <w:lang w:val="ro-RO"/>
        </w:rPr>
        <w:t>3</w:t>
      </w:r>
    </w:p>
    <w:p w:rsidR="00B072F3" w:rsidRPr="00AF3608" w:rsidRDefault="00B072F3" w:rsidP="00B723C0">
      <w:pPr>
        <w:shd w:val="clear" w:color="auto" w:fill="002060"/>
        <w:autoSpaceDE w:val="0"/>
        <w:autoSpaceDN w:val="0"/>
        <w:adjustRightInd w:val="0"/>
        <w:spacing w:before="120"/>
        <w:jc w:val="both"/>
        <w:rPr>
          <w:rFonts w:asciiTheme="minorHAnsi" w:hAnsiTheme="minorHAnsi" w:cstheme="minorHAnsi"/>
          <w:bCs/>
          <w:color w:val="FFFFFF" w:themeColor="background1"/>
          <w:lang w:val="ro-RO"/>
        </w:rPr>
      </w:pPr>
    </w:p>
    <w:p w:rsidR="00F2662B" w:rsidRPr="00AF3608" w:rsidRDefault="00F2662B" w:rsidP="00B723C0">
      <w:pPr>
        <w:autoSpaceDE w:val="0"/>
        <w:autoSpaceDN w:val="0"/>
        <w:adjustRightInd w:val="0"/>
        <w:spacing w:before="120"/>
        <w:jc w:val="both"/>
        <w:rPr>
          <w:rFonts w:asciiTheme="minorHAnsi" w:hAnsiTheme="minorHAnsi" w:cstheme="minorHAnsi"/>
          <w:bCs/>
          <w:lang w:val="ro-RO"/>
        </w:rPr>
      </w:pPr>
    </w:p>
    <w:p w:rsidR="00F2662B" w:rsidRPr="00AF3608" w:rsidRDefault="00C4244C" w:rsidP="00B723C0">
      <w:pPr>
        <w:shd w:val="clear" w:color="auto" w:fill="0070C0"/>
        <w:autoSpaceDE w:val="0"/>
        <w:autoSpaceDN w:val="0"/>
        <w:adjustRightInd w:val="0"/>
        <w:spacing w:before="120"/>
        <w:jc w:val="both"/>
        <w:rPr>
          <w:rFonts w:asciiTheme="minorHAnsi" w:hAnsiTheme="minorHAnsi" w:cs="Arial"/>
          <w:b/>
          <w:bCs/>
          <w:color w:val="002060"/>
          <w:kern w:val="1"/>
          <w:lang w:val="ro-RO" w:eastAsia="zh-CN"/>
        </w:rPr>
      </w:pPr>
      <w:r w:rsidRPr="00AF3608">
        <w:rPr>
          <w:rFonts w:asciiTheme="minorHAnsi" w:hAnsiTheme="minorHAnsi" w:cs="Arial"/>
          <w:b/>
          <w:bCs/>
          <w:color w:val="002060"/>
          <w:kern w:val="1"/>
          <w:lang w:val="ro-RO" w:eastAsia="zh-CN"/>
        </w:rPr>
        <w:t>4</w:t>
      </w:r>
      <w:r w:rsidR="006E7E13" w:rsidRPr="00AF3608">
        <w:rPr>
          <w:rFonts w:asciiTheme="minorHAnsi" w:hAnsiTheme="minorHAnsi" w:cs="Arial"/>
          <w:b/>
          <w:bCs/>
          <w:color w:val="002060"/>
          <w:kern w:val="1"/>
          <w:lang w:val="ro-RO" w:eastAsia="zh-CN"/>
        </w:rPr>
        <w:t>.1. R</w:t>
      </w:r>
      <w:r w:rsidR="00B072F3" w:rsidRPr="00AF3608">
        <w:rPr>
          <w:rFonts w:asciiTheme="minorHAnsi" w:hAnsiTheme="minorHAnsi" w:cs="Arial"/>
          <w:b/>
          <w:bCs/>
          <w:color w:val="002060"/>
          <w:kern w:val="1"/>
          <w:lang w:val="ro-RO" w:eastAsia="zh-CN"/>
        </w:rPr>
        <w:t>ealizările estimate în anul 2020</w:t>
      </w:r>
      <w:r w:rsidR="006E7E13" w:rsidRPr="00AF3608">
        <w:rPr>
          <w:rFonts w:asciiTheme="minorHAnsi" w:hAnsiTheme="minorHAnsi" w:cs="Arial"/>
          <w:b/>
          <w:bCs/>
          <w:color w:val="002060"/>
          <w:kern w:val="1"/>
          <w:lang w:val="ro-RO" w:eastAsia="zh-CN"/>
        </w:rPr>
        <w:t xml:space="preserve"> față de măsurile asumate prin Strategia fiscal</w:t>
      </w:r>
      <w:r w:rsidR="00FF4F37" w:rsidRPr="00AF3608">
        <w:rPr>
          <w:rFonts w:asciiTheme="minorHAnsi" w:hAnsiTheme="minorHAnsi" w:cs="Arial"/>
          <w:b/>
          <w:bCs/>
          <w:color w:val="002060"/>
          <w:kern w:val="1"/>
          <w:lang w:val="ro-RO" w:eastAsia="zh-CN"/>
        </w:rPr>
        <w:t>-bugetară din perioada 2020-2022</w:t>
      </w:r>
    </w:p>
    <w:p w:rsidR="00CD226D" w:rsidRPr="00AF3608" w:rsidRDefault="00CD226D" w:rsidP="00B723C0">
      <w:pPr>
        <w:suppressAutoHyphens/>
        <w:spacing w:before="120"/>
        <w:jc w:val="both"/>
        <w:rPr>
          <w:rFonts w:asciiTheme="minorHAnsi" w:hAnsiTheme="minorHAnsi" w:cstheme="minorHAnsi"/>
          <w:kern w:val="1"/>
          <w:lang w:val="ro-RO" w:eastAsia="zh-CN"/>
        </w:rPr>
      </w:pPr>
    </w:p>
    <w:p w:rsidR="002C43A5" w:rsidRPr="00AF3608" w:rsidRDefault="002C43A5" w:rsidP="00B723C0">
      <w:pPr>
        <w:tabs>
          <w:tab w:val="left" w:pos="0"/>
        </w:tabs>
        <w:spacing w:before="120"/>
        <w:jc w:val="both"/>
        <w:rPr>
          <w:rFonts w:ascii="Calibri" w:hAnsi="Calibri" w:cs="Calibri"/>
          <w:b/>
          <w:bCs/>
          <w:iCs/>
          <w:color w:val="000000"/>
          <w:u w:val="single"/>
          <w:lang w:val="ro-RO"/>
        </w:rPr>
      </w:pPr>
      <w:r w:rsidRPr="00AF3608">
        <w:rPr>
          <w:rFonts w:ascii="Calibri" w:hAnsi="Calibri" w:cs="Calibri"/>
          <w:b/>
          <w:bCs/>
          <w:iCs/>
          <w:color w:val="000000"/>
          <w:u w:val="single"/>
          <w:lang w:val="ro-RO"/>
        </w:rPr>
        <w:t>În domeniul impozitelor directe:</w:t>
      </w:r>
    </w:p>
    <w:p w:rsidR="002C43A5" w:rsidRPr="00AF3608" w:rsidRDefault="002C43A5" w:rsidP="00B723C0">
      <w:pPr>
        <w:spacing w:before="120"/>
        <w:jc w:val="both"/>
        <w:rPr>
          <w:rFonts w:ascii="Calibri" w:hAnsi="Calibri" w:cs="Calibri"/>
          <w:color w:val="000000"/>
          <w:lang w:val="ro-RO"/>
        </w:rPr>
      </w:pPr>
      <w:r w:rsidRPr="00AF3608">
        <w:rPr>
          <w:rFonts w:ascii="Calibri" w:hAnsi="Calibri" w:cs="Calibri"/>
          <w:b/>
          <w:bCs/>
          <w:color w:val="000000"/>
          <w:lang w:val="ro-RO"/>
        </w:rPr>
        <w:t>Impozitul pe profit</w:t>
      </w:r>
    </w:p>
    <w:p w:rsidR="002C43A5" w:rsidRPr="00AF3608" w:rsidRDefault="002C43A5" w:rsidP="00B723C0">
      <w:pPr>
        <w:spacing w:before="120"/>
        <w:jc w:val="both"/>
        <w:rPr>
          <w:rFonts w:ascii="Calibri" w:hAnsi="Calibri" w:cs="Calibri"/>
          <w:color w:val="000000"/>
          <w:lang w:val="ro-RO"/>
        </w:rPr>
      </w:pPr>
      <w:r w:rsidRPr="00AF3608">
        <w:rPr>
          <w:rFonts w:ascii="Calibri" w:hAnsi="Calibri" w:cs="Calibri"/>
          <w:color w:val="000000"/>
          <w:lang w:val="ro-RO"/>
        </w:rPr>
        <w:t xml:space="preserve">● </w:t>
      </w:r>
      <w:r w:rsidRPr="00AF3608">
        <w:rPr>
          <w:rFonts w:ascii="Calibri" w:hAnsi="Calibri" w:cs="Calibri"/>
          <w:bCs/>
          <w:color w:val="000000"/>
          <w:lang w:val="ro-RO"/>
        </w:rPr>
        <w:t xml:space="preserve">în continuarea măsurilor de combatere a planificării fiscale, s-a transpus </w:t>
      </w:r>
      <w:r w:rsidRPr="00AF3608" w:rsidDel="009769E9">
        <w:rPr>
          <w:rFonts w:ascii="Calibri" w:hAnsi="Calibri" w:cs="Calibri"/>
          <w:bCs/>
          <w:color w:val="000000"/>
          <w:lang w:val="ro-RO"/>
        </w:rPr>
        <w:t xml:space="preserve"> </w:t>
      </w:r>
      <w:r w:rsidRPr="00AF3608">
        <w:rPr>
          <w:rFonts w:ascii="Calibri" w:hAnsi="Calibri" w:cs="Calibri"/>
          <w:bCs/>
          <w:color w:val="000000"/>
          <w:lang w:val="ro-RO"/>
        </w:rPr>
        <w:t xml:space="preserve">Directiva (UE) 2017/952 a Consiliului </w:t>
      </w:r>
      <w:r w:rsidRPr="00AF3608">
        <w:rPr>
          <w:rFonts w:ascii="Calibri" w:hAnsi="Calibri" w:cs="Calibri"/>
          <w:bCs/>
          <w:iCs/>
          <w:color w:val="000000"/>
          <w:lang w:val="ro-RO"/>
        </w:rPr>
        <w:t>din 29 mai 2017</w:t>
      </w:r>
      <w:r w:rsidRPr="00AF3608">
        <w:rPr>
          <w:rFonts w:ascii="Calibri" w:hAnsi="Calibri" w:cs="Calibri"/>
          <w:bCs/>
          <w:color w:val="000000"/>
          <w:lang w:val="ro-RO"/>
        </w:rPr>
        <w:t xml:space="preserve"> de modificare a Directivei (UE) 2016/1164 în ceea ce privește tratamentul neuniform al elementelor hibride care implică țări terțe, prin OUG 6/2020</w:t>
      </w:r>
      <w:r w:rsidRPr="00AF3608">
        <w:rPr>
          <w:rFonts w:ascii="Calibri" w:eastAsia="Calibri" w:hAnsi="Calibri" w:cs="Calibri"/>
          <w:bCs/>
          <w:color w:val="000000"/>
          <w:lang w:val="ro-RO"/>
        </w:rPr>
        <w:t>.</w:t>
      </w:r>
    </w:p>
    <w:p w:rsidR="002C43A5" w:rsidRPr="00AF3608" w:rsidRDefault="002C43A5" w:rsidP="00B723C0">
      <w:pPr>
        <w:spacing w:before="120"/>
        <w:jc w:val="both"/>
        <w:rPr>
          <w:rFonts w:ascii="Calibri" w:hAnsi="Calibri" w:cs="Calibri"/>
          <w:i/>
          <w:u w:val="single"/>
          <w:lang w:val="ro-RO"/>
        </w:rPr>
      </w:pPr>
      <w:r w:rsidRPr="00AF3608">
        <w:rPr>
          <w:rFonts w:ascii="Calibri" w:hAnsi="Calibri" w:cs="Calibri"/>
          <w:i/>
          <w:u w:val="single"/>
          <w:lang w:val="ro-RO"/>
        </w:rPr>
        <w:t>Activități derulate ca răspuns la criza cauzată de pandemia de COVID-19:</w:t>
      </w:r>
    </w:p>
    <w:p w:rsidR="00450C35" w:rsidRPr="00AF3608" w:rsidRDefault="002C43A5" w:rsidP="00450C35">
      <w:pPr>
        <w:spacing w:before="120"/>
        <w:jc w:val="both"/>
        <w:rPr>
          <w:rFonts w:ascii="Calibri" w:hAnsi="Calibri" w:cs="Calibri"/>
          <w:lang w:val="ro-RO"/>
        </w:rPr>
      </w:pPr>
      <w:r w:rsidRPr="00AF3608">
        <w:rPr>
          <w:rFonts w:ascii="Calibri" w:hAnsi="Calibri" w:cs="Calibri"/>
          <w:lang w:val="ro-RO"/>
        </w:rPr>
        <w:t>● în vederea stimulării plăţii obligaţiilor fiscale scadente, având în vedere necesităţile de finanţare a cheltuielilor bugetare, s-au acordat reduceri de la plata impozitului pe profit datorat, potrivit OUG nr.33/2020, sub formă de bonificaţii, pentru trimestrele I-III, astfel:</w:t>
      </w:r>
    </w:p>
    <w:p w:rsidR="00450C35" w:rsidRPr="00AF3608" w:rsidRDefault="002C43A5" w:rsidP="00450C35">
      <w:pPr>
        <w:spacing w:before="120"/>
        <w:ind w:firstLine="720"/>
        <w:jc w:val="both"/>
        <w:rPr>
          <w:rFonts w:ascii="Calibri" w:hAnsi="Calibri" w:cs="Calibri"/>
          <w:lang w:val="ro-RO"/>
        </w:rPr>
      </w:pPr>
      <w:r w:rsidRPr="00AF3608">
        <w:rPr>
          <w:rFonts w:ascii="Calibri" w:hAnsi="Calibri" w:cs="Calibri"/>
          <w:color w:val="000000"/>
          <w:lang w:val="ro-RO" w:eastAsia="ro-RO"/>
        </w:rPr>
        <w:t>a) 5% pentru contribuabilii mari stabiliţi potrivit prevederilor privind organizarea activităţii de administrare a marilor contribuabili;</w:t>
      </w:r>
    </w:p>
    <w:p w:rsidR="00450C35" w:rsidRPr="00AF3608" w:rsidRDefault="002C43A5" w:rsidP="00450C35">
      <w:pPr>
        <w:spacing w:before="120"/>
        <w:ind w:firstLine="720"/>
        <w:jc w:val="both"/>
        <w:rPr>
          <w:rFonts w:ascii="Calibri" w:hAnsi="Calibri" w:cs="Calibri"/>
          <w:lang w:val="ro-RO"/>
        </w:rPr>
      </w:pPr>
      <w:r w:rsidRPr="00AF3608">
        <w:rPr>
          <w:rFonts w:ascii="Calibri" w:hAnsi="Calibri" w:cs="Calibri"/>
          <w:color w:val="000000"/>
          <w:lang w:val="ro-RO" w:eastAsia="ro-RO"/>
        </w:rPr>
        <w:t>b) 10% pentru contribuabilii mijlocii stabiliţi potrivit prevederilor privind organizarea activităţii de administrare a contribuabililor mijlocii,</w:t>
      </w:r>
    </w:p>
    <w:p w:rsidR="002C43A5" w:rsidRPr="00AF3608" w:rsidRDefault="002C43A5" w:rsidP="00450C35">
      <w:pPr>
        <w:spacing w:before="120"/>
        <w:ind w:firstLine="720"/>
        <w:jc w:val="both"/>
        <w:rPr>
          <w:rFonts w:ascii="Calibri" w:hAnsi="Calibri" w:cs="Calibri"/>
          <w:lang w:val="ro-RO"/>
        </w:rPr>
      </w:pPr>
      <w:r w:rsidRPr="00AF3608">
        <w:rPr>
          <w:rFonts w:ascii="Calibri" w:hAnsi="Calibri" w:cs="Calibri"/>
          <w:color w:val="000000"/>
          <w:lang w:val="ro-RO" w:eastAsia="ro-RO"/>
        </w:rPr>
        <w:t>c) 10% pentru ceilalţi contribuabili.</w:t>
      </w:r>
    </w:p>
    <w:p w:rsidR="002C43A5" w:rsidRPr="00AF3608" w:rsidRDefault="002C43A5" w:rsidP="00B723C0">
      <w:pPr>
        <w:tabs>
          <w:tab w:val="left" w:pos="270"/>
        </w:tabs>
        <w:autoSpaceDE w:val="0"/>
        <w:autoSpaceDN w:val="0"/>
        <w:adjustRightInd w:val="0"/>
        <w:spacing w:before="120" w:after="160" w:line="254" w:lineRule="auto"/>
        <w:contextualSpacing/>
        <w:jc w:val="both"/>
        <w:rPr>
          <w:rFonts w:ascii="Calibri" w:eastAsia="Calibri" w:hAnsi="Calibri" w:cs="Calibri"/>
          <w:color w:val="000000"/>
          <w:lang w:val="ro-RO" w:eastAsia="ro-RO"/>
        </w:rPr>
      </w:pPr>
      <w:r w:rsidRPr="00AF3608">
        <w:rPr>
          <w:rFonts w:ascii="Calibri" w:eastAsia="Calibri" w:hAnsi="Calibri" w:cs="Calibri"/>
          <w:color w:val="000000"/>
          <w:lang w:val="ro-RO" w:eastAsia="ro-RO"/>
        </w:rPr>
        <w:t>Începând cu trim II cota de bonificație a fost de 10% pentru toate categoriile de contribuabili. Contribuabilii cu anul fiscal modificat au aplicat bonificațiile în mod corespunzător sistemului lor de calcul,  pentru trei trimestre.</w:t>
      </w:r>
    </w:p>
    <w:p w:rsidR="002C43A5" w:rsidRPr="00AF3608" w:rsidRDefault="002C43A5" w:rsidP="00B723C0">
      <w:pPr>
        <w:tabs>
          <w:tab w:val="left" w:pos="270"/>
        </w:tabs>
        <w:autoSpaceDE w:val="0"/>
        <w:autoSpaceDN w:val="0"/>
        <w:adjustRightInd w:val="0"/>
        <w:spacing w:before="120" w:after="160" w:line="254" w:lineRule="auto"/>
        <w:contextualSpacing/>
        <w:jc w:val="both"/>
        <w:rPr>
          <w:rFonts w:ascii="Calibri" w:eastAsia="Calibri" w:hAnsi="Calibri" w:cs="Calibri"/>
          <w:color w:val="000000"/>
          <w:lang w:val="ro-RO" w:eastAsia="ro-RO"/>
        </w:rPr>
      </w:pPr>
    </w:p>
    <w:p w:rsidR="002C43A5" w:rsidRPr="00AF3608" w:rsidRDefault="002C43A5" w:rsidP="00B723C0">
      <w:pPr>
        <w:tabs>
          <w:tab w:val="left" w:pos="270"/>
        </w:tabs>
        <w:autoSpaceDE w:val="0"/>
        <w:autoSpaceDN w:val="0"/>
        <w:adjustRightInd w:val="0"/>
        <w:spacing w:before="120"/>
        <w:contextualSpacing/>
        <w:jc w:val="both"/>
        <w:rPr>
          <w:rFonts w:ascii="Calibri" w:eastAsia="Calibri" w:hAnsi="Calibri" w:cs="Calibri"/>
          <w:color w:val="000000"/>
          <w:lang w:val="ro-RO" w:eastAsia="ro-RO"/>
        </w:rPr>
      </w:pPr>
      <w:r w:rsidRPr="00AF3608">
        <w:rPr>
          <w:rFonts w:ascii="Calibri" w:eastAsia="Calibri" w:hAnsi="Calibri" w:cs="Calibri"/>
          <w:color w:val="000000"/>
          <w:lang w:val="ro-RO" w:eastAsia="ro-RO"/>
        </w:rPr>
        <w:t>● pentru adaptarea plăților anticipate în contul impozitului pe profit la nivelul încasărilor realizate în anul 2020, s-a adoptat posibilitatea plății acestora la nivelul sumei calculate pe baza rezultatului fiscal curent, față de o pătrime din impozitul pe profit al anului precedent, prin OUG 29/2020.</w:t>
      </w:r>
    </w:p>
    <w:p w:rsidR="002C43A5" w:rsidRPr="00AF3608" w:rsidRDefault="002C43A5" w:rsidP="00B723C0">
      <w:pPr>
        <w:autoSpaceDE w:val="0"/>
        <w:autoSpaceDN w:val="0"/>
        <w:adjustRightInd w:val="0"/>
        <w:spacing w:before="120" w:after="160" w:line="254" w:lineRule="auto"/>
        <w:contextualSpacing/>
        <w:jc w:val="both"/>
        <w:rPr>
          <w:rFonts w:ascii="Calibri" w:eastAsia="Calibri" w:hAnsi="Calibri" w:cs="Calibri"/>
          <w:color w:val="000000"/>
          <w:lang w:val="ro-RO" w:eastAsia="ro-RO"/>
        </w:rPr>
      </w:pPr>
    </w:p>
    <w:p w:rsidR="002C43A5" w:rsidRPr="00AF3608" w:rsidRDefault="002C43A5" w:rsidP="00B723C0">
      <w:pPr>
        <w:spacing w:before="120"/>
        <w:jc w:val="both"/>
        <w:rPr>
          <w:rFonts w:ascii="Calibri" w:hAnsi="Calibri" w:cs="Calibri"/>
          <w:i/>
          <w:u w:val="single"/>
          <w:lang w:val="ro-RO"/>
        </w:rPr>
      </w:pPr>
      <w:r w:rsidRPr="00AF3608">
        <w:rPr>
          <w:rFonts w:ascii="Calibri" w:hAnsi="Calibri" w:cs="Calibri"/>
          <w:i/>
          <w:u w:val="single"/>
          <w:lang w:val="ro-RO"/>
        </w:rPr>
        <w:t>Alte măsuri:</w:t>
      </w:r>
    </w:p>
    <w:p w:rsidR="002C43A5" w:rsidRPr="00AF3608" w:rsidRDefault="002C43A5" w:rsidP="00B723C0">
      <w:pPr>
        <w:spacing w:before="120"/>
        <w:jc w:val="both"/>
        <w:rPr>
          <w:rFonts w:ascii="Calibri" w:hAnsi="Calibri" w:cs="Calibri"/>
          <w:lang w:val="ro-RO"/>
        </w:rPr>
      </w:pPr>
      <w:r w:rsidRPr="00AF3608">
        <w:rPr>
          <w:rFonts w:ascii="Calibri" w:hAnsi="Calibri" w:cs="Calibri"/>
          <w:lang w:val="ro-RO"/>
        </w:rPr>
        <w:t>● instituirea regulilor de consolidare fiscală(grup fiscal), cu aplicabilitate începând cu anul fiscal 2022, prin Legea nr.296/2020;</w:t>
      </w:r>
    </w:p>
    <w:p w:rsidR="002C43A5" w:rsidRPr="00AF3608" w:rsidRDefault="002C43A5" w:rsidP="00B723C0">
      <w:pPr>
        <w:spacing w:before="120"/>
        <w:jc w:val="both"/>
        <w:rPr>
          <w:rFonts w:ascii="Calibri" w:hAnsi="Calibri" w:cs="Calibri"/>
          <w:lang w:val="ro-RO"/>
        </w:rPr>
      </w:pPr>
      <w:r w:rsidRPr="00AF3608">
        <w:rPr>
          <w:rFonts w:ascii="Calibri" w:hAnsi="Calibri" w:cs="Calibri"/>
          <w:lang w:val="ro-RO"/>
        </w:rPr>
        <w:t>● acordarea unei reduceri la determinarea impozitului pe profit în funcţie de menţinerea/creşterea capitalurilor proprii, prin OUG 153/2020, pentru perioada 2021-2025 Procentele de reducere a impozitului se situează în intervalul 2%-10%, în funcție de înregistrarea capitalurilor proprii contabile pozitive sau de nivelul de creștere a capitalurilor ajustate fiscal;</w:t>
      </w:r>
    </w:p>
    <w:p w:rsidR="002C43A5" w:rsidRPr="00AF3608" w:rsidRDefault="002C43A5" w:rsidP="00B723C0">
      <w:pPr>
        <w:spacing w:before="120"/>
        <w:jc w:val="both"/>
        <w:rPr>
          <w:rFonts w:ascii="Calibri" w:hAnsi="Calibri" w:cs="Calibri"/>
          <w:lang w:val="ro-RO"/>
        </w:rPr>
      </w:pPr>
      <w:r w:rsidRPr="00AF3608">
        <w:rPr>
          <w:rFonts w:ascii="Calibri" w:hAnsi="Calibri" w:cs="Calibri"/>
          <w:lang w:val="ro-RO"/>
        </w:rPr>
        <w:t>● amânarea aplicării deducerii integrale a ajustărilor pentru creanțele neîncasate, pentru anul 2021.</w:t>
      </w:r>
    </w:p>
    <w:p w:rsidR="002C43A5" w:rsidRPr="00AF3608" w:rsidRDefault="002C43A5" w:rsidP="00B723C0">
      <w:pPr>
        <w:spacing w:before="120"/>
        <w:jc w:val="both"/>
        <w:rPr>
          <w:rFonts w:ascii="Calibri" w:hAnsi="Calibri" w:cs="Calibri"/>
          <w:lang w:val="ro-RO"/>
        </w:rPr>
      </w:pPr>
    </w:p>
    <w:p w:rsidR="002C43A5" w:rsidRPr="00AF3608" w:rsidRDefault="002C43A5" w:rsidP="00B723C0">
      <w:pPr>
        <w:tabs>
          <w:tab w:val="left" w:pos="270"/>
        </w:tabs>
        <w:spacing w:before="120"/>
        <w:jc w:val="both"/>
        <w:rPr>
          <w:rFonts w:ascii="Calibri" w:hAnsi="Calibri" w:cs="Calibri"/>
          <w:color w:val="000000"/>
          <w:lang w:val="ro-RO"/>
        </w:rPr>
      </w:pPr>
      <w:r w:rsidRPr="00AF3608">
        <w:rPr>
          <w:rFonts w:ascii="Calibri" w:hAnsi="Calibri" w:cs="Calibri"/>
          <w:b/>
          <w:bCs/>
          <w:color w:val="000000"/>
          <w:lang w:val="ro-RO"/>
        </w:rPr>
        <w:t>Impozitul pe veniturile microîntreprinderilor</w:t>
      </w:r>
    </w:p>
    <w:p w:rsidR="002C43A5" w:rsidRPr="00AF3608" w:rsidRDefault="002C43A5" w:rsidP="00B723C0">
      <w:pPr>
        <w:tabs>
          <w:tab w:val="left" w:pos="270"/>
        </w:tabs>
        <w:autoSpaceDE w:val="0"/>
        <w:autoSpaceDN w:val="0"/>
        <w:adjustRightInd w:val="0"/>
        <w:spacing w:before="120"/>
        <w:jc w:val="both"/>
        <w:rPr>
          <w:rFonts w:ascii="Calibri" w:eastAsia="Arial" w:hAnsi="Calibri" w:cs="Calibri"/>
          <w:color w:val="000000"/>
          <w:lang w:val="ro-RO"/>
        </w:rPr>
      </w:pPr>
      <w:r w:rsidRPr="00AF3608">
        <w:rPr>
          <w:rFonts w:ascii="Calibri" w:hAnsi="Calibri" w:cs="Calibri"/>
          <w:color w:val="000000"/>
          <w:lang w:val="ro-RO"/>
        </w:rPr>
        <w:t>●</w:t>
      </w:r>
      <w:r w:rsidRPr="00AF3608">
        <w:rPr>
          <w:rFonts w:ascii="Calibri" w:eastAsia="Arial" w:hAnsi="Calibri" w:cs="Calibri"/>
          <w:color w:val="000000"/>
          <w:lang w:val="ro-RO"/>
        </w:rPr>
        <w:t xml:space="preserve"> </w:t>
      </w:r>
      <w:r w:rsidRPr="00AF3608">
        <w:rPr>
          <w:rFonts w:ascii="Calibri" w:eastAsia="Arial" w:hAnsi="Calibri" w:cs="Calibri"/>
          <w:color w:val="000000"/>
          <w:lang w:val="ro-RO"/>
        </w:rPr>
        <w:tab/>
        <w:t>microîntreprinderile au beneficiat de bonificație pentru plata impozitului în cotă de 10% pentru trim I-III;</w:t>
      </w:r>
    </w:p>
    <w:p w:rsidR="002C43A5" w:rsidRPr="00AF3608" w:rsidRDefault="002C43A5" w:rsidP="00B723C0">
      <w:pPr>
        <w:tabs>
          <w:tab w:val="left" w:pos="270"/>
        </w:tabs>
        <w:autoSpaceDE w:val="0"/>
        <w:autoSpaceDN w:val="0"/>
        <w:adjustRightInd w:val="0"/>
        <w:spacing w:before="120"/>
        <w:jc w:val="both"/>
        <w:rPr>
          <w:rFonts w:ascii="Calibri" w:hAnsi="Calibri" w:cs="Calibri"/>
          <w:color w:val="000000"/>
          <w:lang w:val="ro-RO" w:eastAsia="ro-RO"/>
        </w:rPr>
      </w:pPr>
      <w:r w:rsidRPr="00AF3608">
        <w:rPr>
          <w:rFonts w:ascii="Calibri" w:eastAsia="Arial" w:hAnsi="Calibri" w:cs="Calibri"/>
          <w:color w:val="000000"/>
          <w:lang w:val="ro-RO"/>
        </w:rPr>
        <w:lastRenderedPageBreak/>
        <w:t xml:space="preserve">● </w:t>
      </w:r>
      <w:r w:rsidRPr="00AF3608">
        <w:rPr>
          <w:rFonts w:ascii="Calibri" w:eastAsia="SimSun" w:hAnsi="Calibri" w:cs="Calibri"/>
          <w:color w:val="000000"/>
          <w:lang w:val="ro-RO" w:bidi="hi-IN"/>
        </w:rPr>
        <w:t xml:space="preserve">pentru crearea unor surse suplimentare instituțiilor publice, s-a instituit posibilitatea de a scădea din impozitul pe veniturile microîntreprinderilor </w:t>
      </w:r>
      <w:r w:rsidRPr="00AF3608">
        <w:rPr>
          <w:rFonts w:ascii="Calibri" w:hAnsi="Calibri" w:cs="Calibri"/>
          <w:color w:val="000000"/>
          <w:lang w:val="ro-RO" w:eastAsia="ro-RO"/>
        </w:rPr>
        <w:t>sponsorizările efectuate către instituţiile şi autorităţile publice, cu menținerea procentului de deducere existent pentru sponsorizări.</w:t>
      </w:r>
    </w:p>
    <w:p w:rsidR="002C43A5" w:rsidRPr="00AF3608" w:rsidRDefault="002C43A5" w:rsidP="00B723C0">
      <w:pPr>
        <w:tabs>
          <w:tab w:val="left" w:pos="270"/>
        </w:tabs>
        <w:autoSpaceDE w:val="0"/>
        <w:autoSpaceDN w:val="0"/>
        <w:adjustRightInd w:val="0"/>
        <w:spacing w:before="120"/>
        <w:jc w:val="both"/>
        <w:rPr>
          <w:rFonts w:ascii="Calibri" w:hAnsi="Calibri" w:cs="Calibri"/>
          <w:color w:val="000000"/>
          <w:lang w:val="ro-RO" w:eastAsia="ro-RO"/>
        </w:rPr>
      </w:pPr>
      <w:r w:rsidRPr="00AF3608">
        <w:rPr>
          <w:rFonts w:ascii="Calibri" w:hAnsi="Calibri" w:cs="Calibri"/>
          <w:color w:val="000000"/>
          <w:lang w:val="ro-RO" w:eastAsia="ro-RO"/>
        </w:rPr>
        <w:t>● acordarea unei reduceri a impozitului pe veniturile microîntreprinderilor în funcţie de menţinerea/creşterea capitalurilor proprii, prin OUG 153/2020, pentru perioada 2021-2025;</w:t>
      </w:r>
    </w:p>
    <w:p w:rsidR="002C43A5" w:rsidRPr="00AF3608" w:rsidRDefault="002C43A5" w:rsidP="00B723C0">
      <w:pPr>
        <w:tabs>
          <w:tab w:val="left" w:pos="270"/>
        </w:tabs>
        <w:autoSpaceDE w:val="0"/>
        <w:autoSpaceDN w:val="0"/>
        <w:adjustRightInd w:val="0"/>
        <w:spacing w:before="120"/>
        <w:jc w:val="both"/>
        <w:rPr>
          <w:rFonts w:ascii="Calibri" w:eastAsia="Arial" w:hAnsi="Calibri" w:cs="Calibri"/>
          <w:color w:val="000000"/>
          <w:lang w:val="ro-RO"/>
        </w:rPr>
      </w:pPr>
      <w:r w:rsidRPr="00AF3608">
        <w:rPr>
          <w:rFonts w:ascii="Calibri" w:hAnsi="Calibri" w:cs="Calibri"/>
          <w:color w:val="000000"/>
          <w:lang w:val="ro-RO" w:eastAsia="ro-RO"/>
        </w:rPr>
        <w:t>● eliminarea din sfera de impozitare a veniturilor din dividende.</w:t>
      </w:r>
    </w:p>
    <w:p w:rsidR="00DE7BE2" w:rsidRPr="00AF3608" w:rsidRDefault="00DE7BE2" w:rsidP="00B723C0">
      <w:pPr>
        <w:widowControl w:val="0"/>
        <w:spacing w:before="120"/>
        <w:jc w:val="both"/>
        <w:rPr>
          <w:rFonts w:ascii="Calibri" w:eastAsia="Arial" w:hAnsi="Calibri" w:cs="Calibri"/>
          <w:b/>
          <w:color w:val="000000"/>
          <w:lang w:val="ro-RO"/>
        </w:rPr>
      </w:pPr>
    </w:p>
    <w:p w:rsidR="002C43A5" w:rsidRPr="00AF3608" w:rsidRDefault="002C43A5" w:rsidP="00B723C0">
      <w:pPr>
        <w:widowControl w:val="0"/>
        <w:spacing w:before="120"/>
        <w:jc w:val="both"/>
        <w:rPr>
          <w:rFonts w:ascii="Calibri" w:eastAsia="Arial" w:hAnsi="Calibri" w:cs="Calibri"/>
          <w:b/>
          <w:color w:val="000000"/>
          <w:lang w:val="ro-RO"/>
        </w:rPr>
      </w:pPr>
      <w:r w:rsidRPr="00AF3608">
        <w:rPr>
          <w:rFonts w:ascii="Calibri" w:eastAsia="Arial" w:hAnsi="Calibri" w:cs="Calibri"/>
          <w:b/>
          <w:color w:val="000000"/>
          <w:lang w:val="ro-RO"/>
        </w:rPr>
        <w:t>Alte impozite directe î</w:t>
      </w:r>
      <w:r w:rsidRPr="00AF3608">
        <w:rPr>
          <w:rFonts w:ascii="Calibri" w:eastAsia="Arial" w:hAnsi="Calibri" w:cs="Calibri"/>
          <w:b/>
          <w:bCs/>
          <w:color w:val="000000"/>
          <w:lang w:val="ro-RO"/>
        </w:rPr>
        <w:t>n domeniul resurselor naturale</w:t>
      </w:r>
      <w:r w:rsidRPr="00AF3608">
        <w:rPr>
          <w:rFonts w:ascii="Calibri" w:eastAsia="Arial" w:hAnsi="Calibri" w:cs="Calibri"/>
          <w:b/>
          <w:color w:val="000000"/>
          <w:lang w:val="ro-RO"/>
        </w:rPr>
        <w:t>:</w:t>
      </w:r>
    </w:p>
    <w:p w:rsidR="002C43A5" w:rsidRPr="00AF3608" w:rsidRDefault="002C43A5" w:rsidP="00B723C0">
      <w:pPr>
        <w:tabs>
          <w:tab w:val="left" w:pos="270"/>
        </w:tabs>
        <w:spacing w:before="120"/>
        <w:jc w:val="both"/>
        <w:rPr>
          <w:rFonts w:ascii="Calibri" w:eastAsia="Arial" w:hAnsi="Calibri" w:cs="Calibri"/>
          <w:lang w:val="ro-RO"/>
        </w:rPr>
      </w:pPr>
      <w:r w:rsidRPr="00AF3608">
        <w:rPr>
          <w:rFonts w:ascii="Calibri" w:eastAsia="Arial" w:hAnsi="Calibri" w:cs="Calibri"/>
          <w:lang w:val="ro-RO"/>
        </w:rPr>
        <w:t>● termenul din Ordonanţa Guvernului nr. 6/2013 privind instituirea unor măsuri speciale pentru impozitarea exploatării resurselor naturale, altele decât gazele naturale, aprobată cu modificări şi completări prin Legea nr. 261/2013, cu modificările ulterioare, este prorogat prin Ordonanța de urgență a Guvernului nr.114/2018</w:t>
      </w:r>
      <w:r w:rsidR="00DE7BE2" w:rsidRPr="00AF3608">
        <w:rPr>
          <w:rFonts w:ascii="Calibri" w:eastAsia="Arial" w:hAnsi="Calibri" w:cs="Calibri"/>
          <w:lang w:val="ro-RO"/>
        </w:rPr>
        <w:t>.</w:t>
      </w:r>
    </w:p>
    <w:p w:rsidR="002C43A5" w:rsidRPr="00AF3608" w:rsidRDefault="002C43A5" w:rsidP="00B723C0">
      <w:pPr>
        <w:tabs>
          <w:tab w:val="left" w:pos="270"/>
        </w:tabs>
        <w:spacing w:before="120"/>
        <w:jc w:val="both"/>
        <w:rPr>
          <w:rFonts w:ascii="Calibri" w:eastAsia="Arial" w:hAnsi="Calibri" w:cs="Calibri"/>
          <w:color w:val="000000"/>
          <w:lang w:val="ro-RO"/>
        </w:rPr>
      </w:pPr>
    </w:p>
    <w:p w:rsidR="002C43A5" w:rsidRPr="00AF3608" w:rsidRDefault="002C43A5" w:rsidP="00B723C0">
      <w:pPr>
        <w:spacing w:before="120"/>
        <w:jc w:val="both"/>
        <w:rPr>
          <w:rFonts w:ascii="Calibri" w:eastAsia="Arial" w:hAnsi="Calibri" w:cs="Calibri"/>
          <w:color w:val="000000"/>
          <w:lang w:val="ro-RO"/>
        </w:rPr>
      </w:pPr>
      <w:r w:rsidRPr="00AF3608">
        <w:rPr>
          <w:rFonts w:ascii="Calibri" w:eastAsia="Arial" w:hAnsi="Calibri" w:cs="Calibri"/>
          <w:b/>
          <w:color w:val="000000"/>
          <w:lang w:val="ro-RO"/>
        </w:rPr>
        <w:t>Alte impozite directe î</w:t>
      </w:r>
      <w:r w:rsidRPr="00AF3608">
        <w:rPr>
          <w:rFonts w:ascii="Calibri" w:eastAsia="Arial" w:hAnsi="Calibri" w:cs="Calibri"/>
          <w:b/>
          <w:bCs/>
          <w:color w:val="000000"/>
          <w:lang w:val="ro-RO"/>
        </w:rPr>
        <w:t>n domenii specifice</w:t>
      </w:r>
    </w:p>
    <w:p w:rsidR="002C43A5" w:rsidRPr="00AF3608" w:rsidRDefault="002C43A5" w:rsidP="00B723C0">
      <w:pPr>
        <w:tabs>
          <w:tab w:val="left" w:pos="270"/>
        </w:tabs>
        <w:suppressAutoHyphens/>
        <w:spacing w:before="120"/>
        <w:contextualSpacing/>
        <w:jc w:val="both"/>
        <w:rPr>
          <w:rFonts w:ascii="Calibri" w:eastAsia="Arial" w:hAnsi="Calibri" w:cs="Calibri"/>
          <w:color w:val="000000"/>
          <w:lang w:val="ro-RO" w:eastAsia="zh-CN"/>
        </w:rPr>
      </w:pPr>
      <w:r w:rsidRPr="00AF3608">
        <w:rPr>
          <w:rFonts w:ascii="Calibri" w:eastAsia="Arial" w:hAnsi="Calibri" w:cs="Calibri"/>
          <w:color w:val="000000"/>
          <w:lang w:val="ro-RO" w:eastAsia="zh-CN"/>
        </w:rPr>
        <w:t xml:space="preserve">● începând cu anul 2020 prin Ordonanța de urgență a Guvernului nr.1/2020, s-a abrogat </w:t>
      </w:r>
      <w:r w:rsidRPr="00AF3608">
        <w:rPr>
          <w:rFonts w:ascii="Calibri" w:eastAsia="Arial" w:hAnsi="Calibri" w:cs="Calibri"/>
          <w:i/>
          <w:color w:val="000000"/>
          <w:lang w:val="ro-RO" w:eastAsia="zh-CN"/>
        </w:rPr>
        <w:t>taxa pe activele financiare ale instituțiilor de credit</w:t>
      </w:r>
      <w:r w:rsidRPr="00AF3608">
        <w:rPr>
          <w:rFonts w:ascii="Calibri" w:eastAsia="Arial" w:hAnsi="Calibri" w:cs="Calibri"/>
          <w:color w:val="000000"/>
          <w:lang w:val="ro-RO" w:eastAsia="zh-CN"/>
        </w:rPr>
        <w:t>.</w:t>
      </w:r>
    </w:p>
    <w:p w:rsidR="002C43A5" w:rsidRPr="00AF3608" w:rsidRDefault="002C43A5" w:rsidP="00B723C0">
      <w:pPr>
        <w:suppressAutoHyphens/>
        <w:spacing w:before="120" w:after="160" w:line="254" w:lineRule="auto"/>
        <w:contextualSpacing/>
        <w:jc w:val="both"/>
        <w:rPr>
          <w:rFonts w:ascii="Calibri" w:eastAsia="Arial" w:hAnsi="Calibri" w:cs="Calibri"/>
          <w:color w:val="000000"/>
          <w:lang w:val="ro-RO" w:eastAsia="zh-CN"/>
        </w:rPr>
      </w:pPr>
    </w:p>
    <w:p w:rsidR="002C43A5" w:rsidRPr="00AF3608" w:rsidRDefault="002C43A5" w:rsidP="00B723C0">
      <w:pPr>
        <w:spacing w:before="120"/>
        <w:jc w:val="both"/>
        <w:rPr>
          <w:rFonts w:ascii="Calibri" w:eastAsia="Arial" w:hAnsi="Calibri" w:cs="Calibri"/>
          <w:i/>
          <w:u w:val="single"/>
          <w:lang w:val="ro-RO"/>
        </w:rPr>
      </w:pPr>
      <w:r w:rsidRPr="00AF3608">
        <w:rPr>
          <w:rFonts w:ascii="Calibri" w:hAnsi="Calibri" w:cs="Calibri"/>
          <w:i/>
          <w:u w:val="single"/>
          <w:lang w:val="ro-RO"/>
        </w:rPr>
        <w:t>Activități derulate ca răspuns la criza cauzată de pandemia de COVID-19:</w:t>
      </w:r>
    </w:p>
    <w:p w:rsidR="002C43A5" w:rsidRPr="00AF3608" w:rsidRDefault="002C43A5" w:rsidP="00B723C0">
      <w:pPr>
        <w:spacing w:before="120"/>
        <w:jc w:val="both"/>
        <w:rPr>
          <w:rFonts w:ascii="Calibri" w:hAnsi="Calibri" w:cs="Calibri"/>
          <w:lang w:val="ro-RO"/>
        </w:rPr>
      </w:pPr>
      <w:r w:rsidRPr="00AF3608">
        <w:rPr>
          <w:rFonts w:ascii="Calibri" w:hAnsi="Calibri" w:cs="Calibri"/>
          <w:lang w:val="ro-RO"/>
        </w:rPr>
        <w:t>● Contribuabilii obligați la plata impozitului specific potrivit Legii nr.170/2016 privind impozitul specific unor activitãți, pentru anul 2020 au beneficiat de scutiri de la plata impozitului specific, pentru:</w:t>
      </w:r>
    </w:p>
    <w:p w:rsidR="00450C35" w:rsidRPr="00AF3608" w:rsidRDefault="002C43A5" w:rsidP="00450C35">
      <w:pPr>
        <w:spacing w:before="120"/>
        <w:ind w:left="720"/>
        <w:jc w:val="both"/>
        <w:rPr>
          <w:rFonts w:ascii="Calibri" w:hAnsi="Calibri" w:cs="Calibri"/>
          <w:lang w:val="ro-RO"/>
        </w:rPr>
      </w:pPr>
      <w:r w:rsidRPr="00AF3608">
        <w:rPr>
          <w:rFonts w:ascii="Calibri" w:hAnsi="Calibri" w:cs="Calibri"/>
          <w:lang w:val="ro-RO"/>
        </w:rPr>
        <w:t>- perioada în care aceștia au întrerupt activitatea total sau parțial pe perioada stãrii de urgențã decretate, prin recalcularea impozitului specific anual și implicit a plãții semestriale, pentru reducerea impactului pe cash-fl</w:t>
      </w:r>
      <w:r w:rsidR="00450C35" w:rsidRPr="00AF3608">
        <w:rPr>
          <w:rFonts w:ascii="Calibri" w:hAnsi="Calibri" w:cs="Calibri"/>
          <w:lang w:val="ro-RO"/>
        </w:rPr>
        <w:t>ow, potrivit O.U.G. nr.48/2020;</w:t>
      </w:r>
    </w:p>
    <w:p w:rsidR="00450C35" w:rsidRPr="00AF3608" w:rsidRDefault="00450C35" w:rsidP="00450C35">
      <w:pPr>
        <w:spacing w:before="120"/>
        <w:ind w:left="720"/>
        <w:jc w:val="both"/>
        <w:rPr>
          <w:rFonts w:ascii="Calibri" w:hAnsi="Calibri" w:cs="Calibri"/>
          <w:lang w:val="ro-RO"/>
        </w:rPr>
      </w:pPr>
      <w:r w:rsidRPr="00AF3608">
        <w:rPr>
          <w:rFonts w:ascii="Calibri" w:hAnsi="Calibri" w:cs="Calibri"/>
          <w:lang w:val="ro-RO"/>
        </w:rPr>
        <w:t xml:space="preserve">- </w:t>
      </w:r>
      <w:r w:rsidR="002C43A5" w:rsidRPr="00AF3608">
        <w:rPr>
          <w:rFonts w:ascii="Calibri" w:hAnsi="Calibri" w:cs="Calibri"/>
          <w:lang w:val="ro-RO"/>
        </w:rPr>
        <w:t>o perioadã de 90 de zi</w:t>
      </w:r>
      <w:r w:rsidRPr="00AF3608">
        <w:rPr>
          <w:rFonts w:ascii="Calibri" w:hAnsi="Calibri" w:cs="Calibri"/>
          <w:lang w:val="ro-RO"/>
        </w:rPr>
        <w:t>le, conform O.U.G. nr. 99/2020;</w:t>
      </w:r>
    </w:p>
    <w:p w:rsidR="002C43A5" w:rsidRPr="00AF3608" w:rsidRDefault="00450C35" w:rsidP="00450C35">
      <w:pPr>
        <w:spacing w:before="120"/>
        <w:ind w:left="720"/>
        <w:jc w:val="both"/>
        <w:rPr>
          <w:rFonts w:ascii="Calibri" w:hAnsi="Calibri" w:cs="Calibri"/>
          <w:lang w:val="ro-RO"/>
        </w:rPr>
      </w:pPr>
      <w:r w:rsidRPr="00AF3608">
        <w:rPr>
          <w:rFonts w:ascii="Calibri" w:hAnsi="Calibri" w:cs="Calibri"/>
          <w:lang w:val="ro-RO"/>
        </w:rPr>
        <w:t xml:space="preserve">- </w:t>
      </w:r>
      <w:r w:rsidR="002C43A5" w:rsidRPr="00AF3608">
        <w:rPr>
          <w:rFonts w:ascii="Calibri" w:hAnsi="Calibri" w:cs="Calibri"/>
          <w:lang w:val="ro-RO"/>
        </w:rPr>
        <w:t>pentru perioada rãmasã pânã la finalul anului 2020 de la data intrãrii în vigoare a O.U.G. nr.181/2020, asigurâdu-se continuitatea pachetului de mãsuri fiscale adoptat anterior.</w:t>
      </w:r>
    </w:p>
    <w:p w:rsidR="002C43A5" w:rsidRPr="00AF3608" w:rsidRDefault="002C43A5" w:rsidP="00B723C0">
      <w:pPr>
        <w:autoSpaceDE w:val="0"/>
        <w:autoSpaceDN w:val="0"/>
        <w:adjustRightInd w:val="0"/>
        <w:spacing w:before="120"/>
        <w:jc w:val="both"/>
        <w:rPr>
          <w:rFonts w:ascii="Calibri" w:hAnsi="Calibri" w:cs="Calibri"/>
          <w:color w:val="000000"/>
          <w:lang w:val="ro-RO" w:eastAsia="ro-RO"/>
        </w:rPr>
      </w:pPr>
      <w:r w:rsidRPr="00AF3608">
        <w:rPr>
          <w:rFonts w:ascii="Calibri" w:hAnsi="Calibri" w:cs="Calibri"/>
          <w:color w:val="000000"/>
          <w:lang w:val="ro-RO" w:eastAsia="ro-RO"/>
        </w:rPr>
        <w:t>Scopul măsurilor au vizat reducerea sarcinii fiscale privind acești contribuabili, având în vedere că mecanismul de stabilire a impozitului specific unor activități în raport de anumite variabile (rangul localității, de suprafața utilă comercială/de servire/de desfășurare a activității, coeficient de sezonalitate, valoarea impozitului standard pentru hoteluri și alte facilitãți de cazare corespunzãtor categoriei și/sau tipului de structură de primire turistică menționate în certificatul de clasificare), și nu în legătură cu nivelul veniturilor realizate, afectează lichiditatea acestora.</w:t>
      </w:r>
    </w:p>
    <w:p w:rsidR="002C43A5" w:rsidRPr="00AF3608" w:rsidRDefault="002C43A5" w:rsidP="00B723C0">
      <w:pPr>
        <w:suppressAutoHyphens/>
        <w:spacing w:before="120" w:after="160" w:line="254" w:lineRule="auto"/>
        <w:contextualSpacing/>
        <w:jc w:val="both"/>
        <w:rPr>
          <w:rFonts w:ascii="Calibri" w:eastAsia="Arial" w:hAnsi="Calibri" w:cs="Calibri"/>
          <w:color w:val="000000"/>
          <w:lang w:val="ro-RO" w:eastAsia="zh-CN"/>
        </w:rPr>
      </w:pPr>
      <w:r w:rsidRPr="00AF3608">
        <w:rPr>
          <w:rFonts w:ascii="Calibri" w:eastAsia="Calibri" w:hAnsi="Calibri" w:cs="Calibri"/>
          <w:color w:val="000000"/>
          <w:lang w:val="ro-RO" w:eastAsia="ro-RO"/>
        </w:rPr>
        <w:t xml:space="preserve">Totodată, </w:t>
      </w:r>
      <w:r w:rsidRPr="00AF3608">
        <w:rPr>
          <w:rFonts w:ascii="Calibri" w:eastAsia="Calibri" w:hAnsi="Calibri" w:cs="Calibri"/>
          <w:b/>
          <w:bCs/>
          <w:color w:val="000000"/>
          <w:lang w:val="ro-RO" w:eastAsia="ro-RO"/>
        </w:rPr>
        <w:t>pentru anul 2021</w:t>
      </w:r>
      <w:r w:rsidRPr="00AF3608">
        <w:rPr>
          <w:rFonts w:ascii="Calibri" w:eastAsia="Calibri" w:hAnsi="Calibri" w:cs="Calibri"/>
          <w:color w:val="000000"/>
          <w:lang w:val="ro-RO" w:eastAsia="ro-RO"/>
        </w:rPr>
        <w:t xml:space="preserve">, s-a adoptat scutirea de la plata impozitului specific pentru o perioadã de 90 de zile calculată începând cu data de 1 ianuarie 2021, prin O.U.G. nr. 226/2020. </w:t>
      </w:r>
    </w:p>
    <w:p w:rsidR="002C43A5" w:rsidRPr="00AF3608" w:rsidRDefault="002C43A5" w:rsidP="00B723C0">
      <w:pPr>
        <w:autoSpaceDE w:val="0"/>
        <w:autoSpaceDN w:val="0"/>
        <w:adjustRightInd w:val="0"/>
        <w:spacing w:before="120" w:after="160" w:line="254" w:lineRule="auto"/>
        <w:contextualSpacing/>
        <w:jc w:val="both"/>
        <w:rPr>
          <w:rFonts w:ascii="Calibri" w:eastAsia="Calibri" w:hAnsi="Calibri" w:cs="Calibri"/>
          <w:color w:val="000000"/>
          <w:lang w:val="ro-RO" w:eastAsia="ro-RO"/>
        </w:rPr>
      </w:pPr>
    </w:p>
    <w:p w:rsidR="002C43A5" w:rsidRPr="00AF3608" w:rsidRDefault="002C43A5" w:rsidP="00B723C0">
      <w:pPr>
        <w:tabs>
          <w:tab w:val="left" w:pos="270"/>
        </w:tabs>
        <w:autoSpaceDE w:val="0"/>
        <w:autoSpaceDN w:val="0"/>
        <w:adjustRightInd w:val="0"/>
        <w:spacing w:before="120"/>
        <w:contextualSpacing/>
        <w:jc w:val="both"/>
        <w:rPr>
          <w:rFonts w:ascii="Calibri" w:eastAsia="Calibri" w:hAnsi="Calibri" w:cs="Calibri"/>
          <w:color w:val="000000"/>
          <w:lang w:val="ro-RO" w:eastAsia="ro-RO"/>
        </w:rPr>
      </w:pPr>
      <w:r w:rsidRPr="00AF3608">
        <w:rPr>
          <w:rFonts w:ascii="Calibri" w:eastAsia="Calibri" w:hAnsi="Calibri" w:cs="Calibri"/>
          <w:color w:val="000000"/>
          <w:lang w:val="ro-RO" w:eastAsia="ro-RO"/>
        </w:rPr>
        <w:t>● Măsura de reducere a impozitului în funcţie de menţinerea/creşterea capitalurilor proprii se aplică şi contribuabililor plătitori de impozit specific unor activităţi, pentru perioada 2021-2025.</w:t>
      </w:r>
    </w:p>
    <w:p w:rsidR="002C43A5" w:rsidRPr="00AF3608" w:rsidRDefault="002C43A5" w:rsidP="00B723C0">
      <w:pPr>
        <w:spacing w:before="120"/>
        <w:jc w:val="both"/>
        <w:rPr>
          <w:rFonts w:ascii="Calibri" w:hAnsi="Calibri" w:cs="Calibri"/>
          <w:b/>
          <w:bCs/>
          <w:color w:val="000000"/>
          <w:lang w:val="ro-RO"/>
        </w:rPr>
      </w:pPr>
      <w:r w:rsidRPr="00AF3608">
        <w:rPr>
          <w:rFonts w:ascii="Calibri" w:hAnsi="Calibri" w:cs="Calibri"/>
          <w:b/>
          <w:color w:val="000000"/>
          <w:lang w:val="ro-RO"/>
        </w:rPr>
        <w:t>În domeniul i</w:t>
      </w:r>
      <w:r w:rsidRPr="00AF3608">
        <w:rPr>
          <w:rFonts w:ascii="Calibri" w:hAnsi="Calibri" w:cs="Calibri"/>
          <w:b/>
          <w:bCs/>
          <w:color w:val="000000"/>
          <w:lang w:val="ro-RO"/>
        </w:rPr>
        <w:t>mpozitului pe venit</w:t>
      </w:r>
      <w:r w:rsidRPr="00AF3608">
        <w:rPr>
          <w:rFonts w:ascii="Calibri" w:hAnsi="Calibri" w:cs="Calibri"/>
          <w:b/>
          <w:color w:val="000000"/>
          <w:lang w:val="ro-RO"/>
        </w:rPr>
        <w:t xml:space="preserve"> și</w:t>
      </w:r>
      <w:r w:rsidRPr="00AF3608">
        <w:rPr>
          <w:rFonts w:ascii="Calibri" w:hAnsi="Calibri" w:cs="Calibri"/>
          <w:color w:val="000000"/>
          <w:lang w:val="ro-RO"/>
        </w:rPr>
        <w:t xml:space="preserve"> </w:t>
      </w:r>
      <w:r w:rsidRPr="00AF3608">
        <w:rPr>
          <w:rFonts w:ascii="Calibri" w:hAnsi="Calibri" w:cs="Calibri"/>
          <w:b/>
          <w:bCs/>
          <w:color w:val="000000"/>
          <w:lang w:val="ro-RO"/>
        </w:rPr>
        <w:t>contribuţiilor sociale obligatorii:</w:t>
      </w:r>
    </w:p>
    <w:p w:rsidR="002C43A5" w:rsidRPr="00AF3608" w:rsidRDefault="002C43A5" w:rsidP="00B723C0">
      <w:pPr>
        <w:spacing w:before="120"/>
        <w:jc w:val="both"/>
        <w:rPr>
          <w:rFonts w:ascii="Calibri" w:eastAsia="Arial" w:hAnsi="Calibri" w:cs="Calibri"/>
          <w:i/>
          <w:u w:val="single"/>
          <w:lang w:val="ro-RO"/>
        </w:rPr>
      </w:pPr>
      <w:r w:rsidRPr="00AF3608">
        <w:rPr>
          <w:rFonts w:ascii="Calibri" w:hAnsi="Calibri" w:cs="Calibri"/>
          <w:i/>
          <w:u w:val="single"/>
          <w:lang w:val="ro-RO"/>
        </w:rPr>
        <w:t>Activități derulate ca răspuns la criza cauzată de pandemia de COVID-19:</w:t>
      </w:r>
    </w:p>
    <w:p w:rsidR="002C43A5" w:rsidRPr="00AF3608" w:rsidRDefault="002C43A5" w:rsidP="00B723C0">
      <w:pPr>
        <w:spacing w:before="120"/>
        <w:jc w:val="both"/>
        <w:rPr>
          <w:rFonts w:ascii="Calibri" w:hAnsi="Calibri" w:cs="Calibri"/>
          <w:bCs/>
          <w:lang w:val="ro-RO"/>
        </w:rPr>
      </w:pPr>
      <w:r w:rsidRPr="00AF3608">
        <w:rPr>
          <w:rFonts w:ascii="Calibri" w:hAnsi="Calibri" w:cs="Calibri"/>
          <w:bCs/>
          <w:lang w:val="ro-RO"/>
        </w:rPr>
        <w:t xml:space="preserve">- s-au introdus bonificații la plata impozitului pe venit, contribuției de asigurări sociale și contribuției de asigurări sociale de sănătate, datorate de persoanele fizice pentru veniturile realizate în anul 2019, pentru care există obligația depunerii </w:t>
      </w:r>
      <w:r w:rsidRPr="00AF3608">
        <w:rPr>
          <w:rFonts w:ascii="Calibri" w:hAnsi="Calibri" w:cs="Calibri"/>
          <w:bCs/>
          <w:i/>
          <w:lang w:val="ro-RO"/>
        </w:rPr>
        <w:t>Declarației unice privind impozitul pe venit și contribuțiile sociale datorate de persoanele fizice</w:t>
      </w:r>
      <w:r w:rsidRPr="00AF3608">
        <w:rPr>
          <w:rFonts w:ascii="Calibri" w:hAnsi="Calibri" w:cs="Calibri"/>
          <w:bCs/>
          <w:lang w:val="ro-RO"/>
        </w:rPr>
        <w:t>, astfel:</w:t>
      </w:r>
    </w:p>
    <w:p w:rsidR="002C43A5" w:rsidRPr="00AF3608" w:rsidRDefault="002C43A5" w:rsidP="00B723C0">
      <w:pPr>
        <w:spacing w:before="120"/>
        <w:jc w:val="both"/>
        <w:rPr>
          <w:rFonts w:ascii="Calibri" w:hAnsi="Calibri" w:cs="Calibri"/>
          <w:bCs/>
          <w:lang w:val="ro-RO"/>
        </w:rPr>
      </w:pPr>
      <w:r w:rsidRPr="00AF3608">
        <w:rPr>
          <w:rFonts w:ascii="Calibri" w:hAnsi="Calibri" w:cs="Calibri"/>
          <w:bCs/>
          <w:lang w:val="ro-RO"/>
        </w:rPr>
        <w:lastRenderedPageBreak/>
        <w:t>a) o bonificație de 5% din impozitului pe venit, contribuția de asigurări sociale și contribuția de asigurări sociale de sănătate, reprezentând obligații fiscale anuale pentru anul 2019, dacă toate aceste obligații fiscale de plată se sting prin plată sau compensare, integral până la data 30 iunie 2020 inclusiv;</w:t>
      </w:r>
    </w:p>
    <w:p w:rsidR="002C43A5" w:rsidRPr="00AF3608" w:rsidRDefault="002C43A5" w:rsidP="00B723C0">
      <w:pPr>
        <w:spacing w:before="120"/>
        <w:jc w:val="both"/>
        <w:rPr>
          <w:rFonts w:ascii="Calibri" w:hAnsi="Calibri" w:cs="Calibri"/>
          <w:bCs/>
          <w:lang w:val="ro-RO"/>
        </w:rPr>
      </w:pPr>
      <w:r w:rsidRPr="00AF3608">
        <w:rPr>
          <w:rFonts w:ascii="Calibri" w:hAnsi="Calibri" w:cs="Calibri"/>
          <w:bCs/>
          <w:lang w:val="ro-RO"/>
        </w:rPr>
        <w:t>b) o bonificație de 5% din impozitul pe venit, contribuția de asigurări sociale și contribuția de asigurări sociale de sănătate, pentru depunerea Declarației unice privind impozitul pe venit și contribuțiile sociale datorate de persoanele fizice prin mijloace electronice de transmitere la distanță, până la 30 iunie 2020 inclusiv;</w:t>
      </w:r>
    </w:p>
    <w:p w:rsidR="002C43A5" w:rsidRPr="00AF3608" w:rsidRDefault="002C43A5" w:rsidP="00B723C0">
      <w:pPr>
        <w:spacing w:before="120"/>
        <w:jc w:val="both"/>
        <w:rPr>
          <w:rFonts w:ascii="Calibri" w:eastAsia="Calibri" w:hAnsi="Calibri" w:cs="Calibri"/>
          <w:lang w:val="ro-RO"/>
        </w:rPr>
      </w:pPr>
      <w:r w:rsidRPr="00AF3608">
        <w:rPr>
          <w:rFonts w:ascii="Calibri" w:hAnsi="Calibri" w:cs="Calibri"/>
          <w:bCs/>
          <w:lang w:val="ro-RO"/>
        </w:rPr>
        <w:t xml:space="preserve">- </w:t>
      </w:r>
      <w:r w:rsidRPr="00AF3608">
        <w:rPr>
          <w:rFonts w:ascii="Calibri" w:eastAsia="Calibri" w:hAnsi="Calibri" w:cs="Calibri"/>
          <w:lang w:val="ro-RO"/>
        </w:rPr>
        <w:t>neincluderea în baza de calcul a CAS, CASS și CAM a sumelor plătite până la data de 30 iunie 2020 inclusiv, reprezentând stimulente/prime acordate de către angajator din fondul de salarii, pentru perioada stării de urgenţă decretate potrivit legii pentru prevenirea răspândirii epidemiei COVID-19, persoanelor fizice care realizează venituri din salarii în baza contractului individual de muncă, ca urmare a desfăşurării de activităţi care presupun contact direct cu cetăţenii fiind supuse riscului de infectare cu SARS-CoV-2;</w:t>
      </w:r>
    </w:p>
    <w:p w:rsidR="002C43A5" w:rsidRPr="00AF3608" w:rsidRDefault="002C43A5" w:rsidP="00B723C0">
      <w:pPr>
        <w:spacing w:before="120"/>
        <w:jc w:val="both"/>
        <w:rPr>
          <w:rFonts w:ascii="Calibri" w:eastAsia="Calibri" w:hAnsi="Calibri" w:cs="Calibri"/>
          <w:lang w:val="ro-RO"/>
        </w:rPr>
      </w:pPr>
      <w:r w:rsidRPr="00AF3608">
        <w:rPr>
          <w:rFonts w:ascii="Calibri" w:eastAsia="Calibri" w:hAnsi="Calibri" w:cs="Calibri"/>
          <w:lang w:val="ro-RO"/>
        </w:rPr>
        <w:t>- prorogarea termenului prevăzut pentru depunerea Declaraţiei unice privind impozitul pe venit şi contribuţiile sociale datorate de persoanele fizice, precum și pentru plata impozitului pe venit şi a contribuţiilor sociale obligatorii, datorate de persoanele fizice în situaţiile reglementate de Codul fiscal, precum şi în alte acte normative, de până la 15 martie 2020, inclusiv, până la data de 30 iunie 2020 inclusiv;</w:t>
      </w:r>
    </w:p>
    <w:p w:rsidR="002C43A5" w:rsidRPr="00AF3608" w:rsidRDefault="002C43A5" w:rsidP="00B723C0">
      <w:pPr>
        <w:spacing w:before="120"/>
        <w:jc w:val="both"/>
        <w:rPr>
          <w:rFonts w:ascii="Calibri" w:eastAsia="Calibri" w:hAnsi="Calibri" w:cs="Calibri"/>
          <w:lang w:val="ro-RO"/>
        </w:rPr>
      </w:pPr>
      <w:r w:rsidRPr="00AF3608">
        <w:rPr>
          <w:rFonts w:ascii="Calibri" w:eastAsia="Calibri" w:hAnsi="Calibri" w:cs="Calibri"/>
          <w:lang w:val="ro-RO"/>
        </w:rPr>
        <w:t>- neimpozitarea și neincluderea în baza de calcul a contribuțiilor sociale obligatorii aferente a sumelor reprezentând contravaloarea testelor medicale de diagnosticare a infecţiei COVID-19, suportate de angajator, din iniţiativa acestuia, pentru persoanele fizice care realizează venituri din salarii şi asimilate salariilor, în scopul depistării şi prevenirii răspândirii coronavirusului SARS-CoV-2;</w:t>
      </w:r>
    </w:p>
    <w:p w:rsidR="002C43A5" w:rsidRPr="00AF3608" w:rsidRDefault="002C43A5" w:rsidP="00B723C0">
      <w:pPr>
        <w:spacing w:before="120"/>
        <w:jc w:val="both"/>
        <w:rPr>
          <w:rFonts w:ascii="Calibri" w:hAnsi="Calibri" w:cs="Calibri"/>
          <w:bCs/>
          <w:lang w:val="ro-RO"/>
        </w:rPr>
      </w:pPr>
      <w:r w:rsidRPr="00AF3608">
        <w:rPr>
          <w:rFonts w:ascii="Calibri" w:eastAsia="Calibri" w:hAnsi="Calibri" w:cs="Calibri"/>
          <w:lang w:val="ro-RO"/>
        </w:rPr>
        <w:t>- neimpozitarea și neincluderea în baza de calcul a contribuțiilor sociale obligatorii a avantajelor în natură acordate persoanelor fizice care realizează venituri din salarii şi asimilate salariilor ca urmare a ocupării unor funcţii considerate de către angajator/plătitor esenţiale pentru desfăşurarea activităţii şi care se află în izolare preventivă la locul de muncă sau în zone special dedicate în care nu au acces persoane din exterior, pentru o perioadă stabilită de angajator/plătitor, în cazul instituirii stării de asediu sau de urgenţă, potrivit legii.</w:t>
      </w:r>
    </w:p>
    <w:p w:rsidR="002C43A5" w:rsidRPr="00AF3608" w:rsidRDefault="002C43A5" w:rsidP="00B723C0">
      <w:pPr>
        <w:jc w:val="both"/>
        <w:rPr>
          <w:rFonts w:ascii="Calibri" w:hAnsi="Calibri" w:cs="Calibri"/>
          <w:bCs/>
          <w:lang w:val="ro-RO"/>
        </w:rPr>
      </w:pPr>
    </w:p>
    <w:p w:rsidR="002C43A5" w:rsidRPr="00AF3608" w:rsidRDefault="002C43A5" w:rsidP="00B723C0">
      <w:pPr>
        <w:spacing w:before="120"/>
        <w:jc w:val="both"/>
        <w:rPr>
          <w:rFonts w:ascii="Calibri" w:hAnsi="Calibri" w:cs="Calibri"/>
          <w:color w:val="000000"/>
          <w:lang w:val="ro-RO"/>
        </w:rPr>
      </w:pPr>
      <w:r w:rsidRPr="00AF3608">
        <w:rPr>
          <w:rFonts w:ascii="Calibri" w:hAnsi="Calibri" w:cs="Calibri"/>
          <w:b/>
          <w:bCs/>
          <w:color w:val="000000"/>
          <w:kern w:val="2"/>
          <w:lang w:val="ro-RO"/>
        </w:rPr>
        <w:t>În domeniul impozitelor și taxelor locale:</w:t>
      </w:r>
    </w:p>
    <w:p w:rsidR="002C43A5" w:rsidRPr="00AF3608" w:rsidRDefault="002C43A5" w:rsidP="00B723C0">
      <w:pPr>
        <w:shd w:val="clear" w:color="auto" w:fill="FFFFFF"/>
        <w:spacing w:before="120" w:after="160" w:line="254" w:lineRule="auto"/>
        <w:contextualSpacing/>
        <w:jc w:val="both"/>
        <w:rPr>
          <w:rFonts w:ascii="Calibri" w:eastAsia="Calibri" w:hAnsi="Calibri" w:cs="Calibri"/>
          <w:bCs/>
          <w:i/>
          <w:color w:val="000000"/>
          <w:u w:val="single"/>
          <w:lang w:val="ro-RO"/>
        </w:rPr>
      </w:pPr>
      <w:r w:rsidRPr="00AF3608">
        <w:rPr>
          <w:rFonts w:ascii="Calibri" w:eastAsia="Calibri" w:hAnsi="Calibri" w:cs="Calibri"/>
          <w:bCs/>
          <w:i/>
          <w:color w:val="000000"/>
          <w:u w:val="single"/>
          <w:lang w:val="ro-RO" w:eastAsia="zh-CN"/>
        </w:rPr>
        <w:t>Activități derulate ca răspuns la criza cauzată de pandemia de COVID-19:</w:t>
      </w:r>
    </w:p>
    <w:p w:rsidR="002C43A5" w:rsidRPr="00AF3608" w:rsidRDefault="002C43A5" w:rsidP="00B723C0">
      <w:pPr>
        <w:spacing w:before="120"/>
        <w:jc w:val="both"/>
        <w:rPr>
          <w:rFonts w:ascii="Calibri" w:hAnsi="Calibri" w:cs="Calibri"/>
          <w:bCs/>
          <w:color w:val="000000"/>
          <w:lang w:val="ro-RO"/>
        </w:rPr>
      </w:pPr>
      <w:r w:rsidRPr="00AF3608">
        <w:rPr>
          <w:rFonts w:ascii="Calibri" w:hAnsi="Calibri" w:cs="Calibri"/>
          <w:bCs/>
          <w:color w:val="000000"/>
          <w:lang w:val="ro-RO"/>
        </w:rPr>
        <w:t>În situația actuală, a pandemiei create de coronavirus COVID-19, Guvernul României a adoptat mai multe acte normative prin care au fost introduse măsuri fiscale care să protejeze afacerile și sistemul economic, menite să încurajeze solidaritatea mediului de afaceri, loialitatea contractuală și disponibilitatea de adaptare a raporturilor de afaceri la provocările ridicate de această criză sanitară fără precedent în istoria modernă. În acest sens, Guvernul României a adoptat Ordonanțele de urgență ale Guvernului nr. 29/2020 și nr. 69/2020.</w:t>
      </w:r>
    </w:p>
    <w:p w:rsidR="002C43A5" w:rsidRPr="00AF3608" w:rsidRDefault="002C43A5" w:rsidP="00B723C0">
      <w:pPr>
        <w:tabs>
          <w:tab w:val="left" w:pos="900"/>
        </w:tabs>
        <w:autoSpaceDE w:val="0"/>
        <w:autoSpaceDN w:val="0"/>
        <w:adjustRightInd w:val="0"/>
        <w:spacing w:before="120" w:after="160" w:line="254" w:lineRule="auto"/>
        <w:contextualSpacing/>
        <w:jc w:val="both"/>
        <w:rPr>
          <w:rFonts w:ascii="Calibri" w:eastAsia="Calibri" w:hAnsi="Calibri" w:cs="Calibri"/>
          <w:color w:val="000000"/>
          <w:lang w:val="ro-RO" w:eastAsia="zh-CN"/>
        </w:rPr>
      </w:pPr>
      <w:r w:rsidRPr="00AF3608">
        <w:rPr>
          <w:rFonts w:ascii="Calibri" w:eastAsia="Calibri" w:hAnsi="Calibri" w:cs="Calibri"/>
          <w:color w:val="000000"/>
          <w:lang w:val="ro-RO" w:eastAsia="zh-CN"/>
        </w:rPr>
        <w:t>Astfel,</w:t>
      </w:r>
      <w:r w:rsidRPr="00AF3608">
        <w:rPr>
          <w:rFonts w:ascii="Calibri" w:eastAsia="Calibri" w:hAnsi="Calibri" w:cs="Calibri"/>
          <w:i/>
          <w:color w:val="000000"/>
          <w:lang w:val="ro-RO" w:eastAsia="zh-CN"/>
        </w:rPr>
        <w:t xml:space="preserve"> în ceea ce privește impozitul pe proprietate</w:t>
      </w:r>
      <w:r w:rsidRPr="00AF3608">
        <w:rPr>
          <w:rFonts w:ascii="Calibri" w:eastAsia="Calibri" w:hAnsi="Calibri" w:cs="Calibri"/>
          <w:color w:val="000000"/>
          <w:lang w:val="ro-RO" w:eastAsia="zh-CN"/>
        </w:rPr>
        <w:t xml:space="preserve">, prin Ordonanța de urgență a Guvernului nr. 29/2020 </w:t>
      </w:r>
      <w:r w:rsidRPr="00AF3608">
        <w:rPr>
          <w:rFonts w:ascii="Calibri" w:eastAsia="SimSun" w:hAnsi="Calibri" w:cs="Calibri"/>
          <w:color w:val="000000"/>
          <w:lang w:val="ro-RO" w:eastAsia="zh-CN"/>
        </w:rPr>
        <w:t>privind unele măsuri economice şi fiscal-bugetare</w:t>
      </w:r>
      <w:r w:rsidRPr="00AF3608">
        <w:rPr>
          <w:rFonts w:ascii="Calibri" w:eastAsia="Calibri" w:hAnsi="Calibri" w:cs="Calibri"/>
          <w:color w:val="000000"/>
          <w:lang w:val="ro-RO" w:eastAsia="zh-CN"/>
        </w:rPr>
        <w:t>, Guvernul României a hotărât, în anul 2020, prorogarea termenului de plată a impozitului pe clădiri, impozitului pe teren și a impozitului pe mijloacele de transport, de la 31 martie inclusiv la 30 iunie inclusiv, precum și a bonificației stabilită de consiliul local.</w:t>
      </w:r>
    </w:p>
    <w:p w:rsidR="002C43A5" w:rsidRPr="00AF3608" w:rsidRDefault="002C43A5" w:rsidP="00B723C0">
      <w:pPr>
        <w:autoSpaceDE w:val="0"/>
        <w:autoSpaceDN w:val="0"/>
        <w:adjustRightInd w:val="0"/>
        <w:spacing w:before="120"/>
        <w:jc w:val="both"/>
        <w:rPr>
          <w:rFonts w:ascii="Calibri" w:eastAsia="Calibri" w:hAnsi="Calibri" w:cs="Calibri"/>
          <w:color w:val="000000"/>
          <w:lang w:val="ro-RO"/>
        </w:rPr>
      </w:pPr>
      <w:r w:rsidRPr="00AF3608">
        <w:rPr>
          <w:rFonts w:ascii="Calibri" w:hAnsi="Calibri" w:cs="Calibri"/>
          <w:color w:val="000000"/>
          <w:lang w:val="ro-RO"/>
        </w:rPr>
        <w:t xml:space="preserve">De asemenea, prin Ordonanţa de urgenţă a Guvernului nr. 69/2020 pentru modificarea şi completarea Legii nr. 227/2015 privind Codul fiscal, precum şi pentru instituirea unor măsuri fiscale, </w:t>
      </w:r>
      <w:r w:rsidRPr="00AF3608">
        <w:rPr>
          <w:rFonts w:ascii="Calibri" w:hAnsi="Calibri" w:cs="Calibri"/>
          <w:color w:val="000000"/>
          <w:kern w:val="2"/>
          <w:lang w:val="ro-RO" w:bidi="hi-IN"/>
        </w:rPr>
        <w:t xml:space="preserve">se acordă competențe consiliilor locale ca, </w:t>
      </w:r>
      <w:r w:rsidRPr="00AF3608">
        <w:rPr>
          <w:rFonts w:ascii="Calibri" w:hAnsi="Calibri" w:cs="Calibri"/>
          <w:color w:val="000000"/>
          <w:lang w:val="ro-RO"/>
        </w:rPr>
        <w:t xml:space="preserve">pentru </w:t>
      </w:r>
      <w:r w:rsidRPr="00AF3608">
        <w:rPr>
          <w:rFonts w:ascii="Calibri" w:eastAsia="SimSun" w:hAnsi="Calibri" w:cs="Calibri"/>
          <w:color w:val="000000"/>
          <w:lang w:val="ro-RO"/>
        </w:rPr>
        <w:t xml:space="preserve">durata stării de urgenţă, în cazul contribuabililor plătitori de impozit/taxă pe clădiri, </w:t>
      </w:r>
      <w:r w:rsidRPr="00AF3608">
        <w:rPr>
          <w:rFonts w:ascii="Calibri" w:hAnsi="Calibri" w:cs="Calibri"/>
          <w:color w:val="000000"/>
          <w:lang w:val="ro-RO"/>
        </w:rPr>
        <w:t xml:space="preserve">să poată adopta hotărâri privind reducerea impozitul anual pe </w:t>
      </w:r>
      <w:r w:rsidRPr="00AF3608">
        <w:rPr>
          <w:rFonts w:ascii="Calibri" w:hAnsi="Calibri" w:cs="Calibri"/>
          <w:color w:val="000000"/>
          <w:lang w:val="ro-RO"/>
        </w:rPr>
        <w:lastRenderedPageBreak/>
        <w:t xml:space="preserve">clădiri </w:t>
      </w:r>
      <w:r w:rsidRPr="00AF3608">
        <w:rPr>
          <w:rFonts w:ascii="Calibri" w:eastAsia="Calibri" w:hAnsi="Calibri" w:cs="Calibri"/>
          <w:color w:val="000000"/>
          <w:lang w:val="ro-RO"/>
        </w:rPr>
        <w:t xml:space="preserve">cu o cotă de până la 50%, pentru clădirile nerezidențiale, aflate în proprietatea persoanelor fizice/juridice, folosite pentru activitatea economică proprie a acestora sau date în folosință printr-un contract de închiriere, comodat sau prin alt tip de contract pentru desfășurarea unor activități economice către alte persoane fizice/juridice, </w:t>
      </w:r>
      <w:r w:rsidRPr="00AF3608">
        <w:rPr>
          <w:rFonts w:ascii="Calibri" w:hAnsi="Calibri" w:cs="Calibri"/>
          <w:color w:val="000000"/>
          <w:lang w:val="ro-RO"/>
        </w:rPr>
        <w:t>dacă în perioada pentru care s-a instituit starea de urgență, proprietarii sau utilizatorii clădirilor au fost obligați, potrivit legii, să își întrerupă total activitatea economică sau dețin certificatul pentru situații de urgență emis de Ministerul Economiei, Energiei și Mediului de Afaceri prin care se certifică întreruperea parțială a activității economice.</w:t>
      </w:r>
    </w:p>
    <w:p w:rsidR="002C43A5" w:rsidRPr="00AF3608" w:rsidRDefault="002C43A5" w:rsidP="00B723C0">
      <w:pPr>
        <w:widowControl w:val="0"/>
        <w:spacing w:before="120"/>
        <w:jc w:val="both"/>
        <w:rPr>
          <w:rFonts w:ascii="Calibri" w:hAnsi="Calibri" w:cs="Calibri"/>
          <w:color w:val="000000"/>
          <w:kern w:val="2"/>
          <w:lang w:val="ro-RO" w:bidi="hi-IN"/>
        </w:rPr>
      </w:pPr>
      <w:r w:rsidRPr="00AF3608">
        <w:rPr>
          <w:rFonts w:ascii="Calibri" w:eastAsia="Calibri" w:hAnsi="Calibri" w:cs="Calibri"/>
          <w:bCs/>
          <w:i/>
          <w:color w:val="000000"/>
          <w:lang w:val="ro-RO"/>
        </w:rPr>
        <w:t>În ceea ce privește taxa de ocupare a domeniului public, tot prin OUG nr.69/2020</w:t>
      </w:r>
      <w:r w:rsidRPr="00AF3608">
        <w:rPr>
          <w:rFonts w:ascii="Calibri" w:eastAsia="Calibri" w:hAnsi="Calibri" w:cs="Calibri"/>
          <w:bCs/>
          <w:color w:val="000000"/>
          <w:lang w:val="ro-RO"/>
        </w:rPr>
        <w:t xml:space="preserve"> se introduc </w:t>
      </w:r>
      <w:r w:rsidRPr="00AF3608">
        <w:rPr>
          <w:rFonts w:ascii="Calibri" w:eastAsia="Calibri" w:hAnsi="Calibri" w:cs="Calibri"/>
          <w:color w:val="000000"/>
          <w:lang w:val="ro-RO"/>
        </w:rPr>
        <w:t>scutiri și reduceri de taxe acordate de consiliul local pentru ocuparea domeniului public, astfel:</w:t>
      </w:r>
    </w:p>
    <w:p w:rsidR="002C43A5" w:rsidRPr="00AF3608" w:rsidRDefault="002C43A5" w:rsidP="00B723C0">
      <w:pPr>
        <w:spacing w:before="120"/>
        <w:jc w:val="both"/>
        <w:rPr>
          <w:rFonts w:ascii="Calibri" w:eastAsia="NSimSun" w:hAnsi="Calibri" w:cs="Calibri"/>
          <w:color w:val="000000"/>
          <w:kern w:val="2"/>
          <w:lang w:val="ro-RO" w:bidi="hi-IN"/>
        </w:rPr>
      </w:pPr>
      <w:r w:rsidRPr="00AF3608">
        <w:rPr>
          <w:rFonts w:ascii="Calibri" w:hAnsi="Calibri" w:cs="Calibri"/>
          <w:color w:val="000000"/>
          <w:kern w:val="2"/>
          <w:lang w:val="ro-RO" w:bidi="hi-IN"/>
        </w:rPr>
        <w:t xml:space="preserve">● În cazul panourilor de publicitate, </w:t>
      </w:r>
      <w:r w:rsidRPr="00AF3608">
        <w:rPr>
          <w:rFonts w:ascii="Calibri" w:eastAsia="NSimSun" w:hAnsi="Calibri" w:cs="Calibri"/>
          <w:color w:val="000000"/>
          <w:kern w:val="2"/>
          <w:lang w:val="ro-RO" w:bidi="hi-IN"/>
        </w:rPr>
        <w:t>plata  taxei și a chiriei datorate pentru ocuparea domeniului public, se datorează numai pentru panourile decorate, proportional cu perioada de timp în care respectivele panouri au fost efectiv decorate.</w:t>
      </w:r>
    </w:p>
    <w:p w:rsidR="002C43A5" w:rsidRPr="00AF3608" w:rsidRDefault="002C43A5" w:rsidP="00B723C0">
      <w:pPr>
        <w:spacing w:before="120"/>
        <w:jc w:val="both"/>
        <w:rPr>
          <w:rFonts w:ascii="Calibri" w:hAnsi="Calibri" w:cs="Calibri"/>
          <w:iCs/>
          <w:color w:val="000000"/>
          <w:kern w:val="2"/>
          <w:lang w:val="ro-RO" w:bidi="hi-IN"/>
        </w:rPr>
      </w:pPr>
      <w:r w:rsidRPr="00AF3608">
        <w:rPr>
          <w:rFonts w:ascii="Calibri" w:eastAsia="NSimSun" w:hAnsi="Calibri" w:cs="Calibri"/>
          <w:color w:val="000000"/>
          <w:kern w:val="2"/>
          <w:lang w:val="ro-RO" w:bidi="hi-IN"/>
        </w:rPr>
        <w:t xml:space="preserve">● </w:t>
      </w:r>
      <w:r w:rsidRPr="00AF3608">
        <w:rPr>
          <w:rFonts w:ascii="Calibri" w:hAnsi="Calibri" w:cs="Calibri"/>
          <w:color w:val="000000"/>
          <w:kern w:val="2"/>
          <w:lang w:val="ro-RO" w:bidi="hi-IN"/>
        </w:rPr>
        <w:t xml:space="preserve"> Scutirea de la plata taxei pentru utilizarea temporară a locurilor publice, de către </w:t>
      </w:r>
      <w:r w:rsidRPr="00AF3608">
        <w:rPr>
          <w:rFonts w:ascii="Calibri" w:hAnsi="Calibri" w:cs="Calibri"/>
          <w:iCs/>
          <w:color w:val="000000"/>
          <w:kern w:val="2"/>
          <w:lang w:val="ro-RO" w:bidi="hi-IN"/>
        </w:rPr>
        <w:t>utilizatorii suprafețelor care au fost obligați, potrivit legii, să își întrerupă total activitatea economică sau dețin certificatul pentru situații de urgență emis de Ministerul Economiei, Energiei și Mediului de Afaceri prin care se certifică întreruperea parțială a activitații economice.</w:t>
      </w:r>
    </w:p>
    <w:p w:rsidR="002C43A5" w:rsidRPr="00AF3608" w:rsidRDefault="002C43A5" w:rsidP="00B723C0">
      <w:pPr>
        <w:spacing w:before="120"/>
        <w:jc w:val="both"/>
        <w:rPr>
          <w:rFonts w:ascii="Calibri" w:hAnsi="Calibri" w:cs="Calibri"/>
          <w:iCs/>
          <w:color w:val="000000"/>
          <w:kern w:val="2"/>
          <w:lang w:val="ro-RO" w:bidi="hi-IN"/>
        </w:rPr>
      </w:pPr>
      <w:r w:rsidRPr="00AF3608">
        <w:rPr>
          <w:rFonts w:ascii="Calibri" w:hAnsi="Calibri" w:cs="Calibri"/>
          <w:iCs/>
          <w:color w:val="000000"/>
          <w:kern w:val="2"/>
          <w:lang w:val="ro-RO" w:bidi="hi-IN"/>
        </w:rPr>
        <w:t xml:space="preserve">● </w:t>
      </w:r>
      <w:r w:rsidRPr="00AF3608">
        <w:rPr>
          <w:rFonts w:ascii="Calibri" w:hAnsi="Calibri" w:cs="Calibri"/>
          <w:bCs/>
          <w:color w:val="000000"/>
          <w:lang w:val="ro-RO"/>
        </w:rPr>
        <w:t xml:space="preserve">Totodată, prin </w:t>
      </w:r>
      <w:r w:rsidRPr="00AF3608">
        <w:rPr>
          <w:rFonts w:ascii="Calibri" w:hAnsi="Calibri" w:cs="Calibri"/>
          <w:color w:val="000000"/>
          <w:lang w:val="ro-RO"/>
        </w:rPr>
        <w:t>O.U.G. nr. 181/2020,</w:t>
      </w:r>
      <w:r w:rsidRPr="00AF3608">
        <w:rPr>
          <w:rFonts w:ascii="Calibri" w:hAnsi="Calibri" w:cs="Calibri"/>
          <w:bCs/>
          <w:color w:val="000000"/>
          <w:lang w:val="ro-RO"/>
        </w:rPr>
        <w:t xml:space="preserve"> </w:t>
      </w:r>
      <w:r w:rsidRPr="00AF3608">
        <w:rPr>
          <w:rFonts w:ascii="Calibri" w:hAnsi="Calibri" w:cs="Calibri"/>
          <w:color w:val="000000"/>
          <w:lang w:val="ro-RO"/>
        </w:rPr>
        <w:t xml:space="preserve">până la data de 2 decembrie 2020, </w:t>
      </w:r>
      <w:r w:rsidRPr="00AF3608">
        <w:rPr>
          <w:rFonts w:ascii="Calibri" w:hAnsi="Calibri" w:cs="Calibri"/>
          <w:bCs/>
          <w:color w:val="000000"/>
          <w:lang w:val="ro-RO"/>
        </w:rPr>
        <w:t>autorităţile administraţiei publice locale aveau competență de a adopta hotărâri de reducere a impozitului pe clădirile nerezidenţiale,</w:t>
      </w:r>
      <w:r w:rsidRPr="00AF3608">
        <w:rPr>
          <w:rFonts w:ascii="Calibri" w:hAnsi="Calibri" w:cs="Calibri"/>
          <w:color w:val="000000"/>
          <w:lang w:val="ro-RO"/>
        </w:rPr>
        <w:t xml:space="preserve"> aflate în proprietatea persoanelor fizice sau juridice</w:t>
      </w:r>
      <w:r w:rsidRPr="00AF3608">
        <w:rPr>
          <w:rFonts w:ascii="Calibri" w:hAnsi="Calibri" w:cs="Calibri"/>
          <w:bCs/>
          <w:color w:val="000000"/>
          <w:lang w:val="ro-RO"/>
        </w:rPr>
        <w:t xml:space="preserve">, cu o cotă de până la 50%, pentru acele clădiri </w:t>
      </w:r>
      <w:r w:rsidRPr="00AF3608">
        <w:rPr>
          <w:rFonts w:ascii="Calibri" w:hAnsi="Calibri" w:cs="Calibri"/>
          <w:color w:val="000000"/>
          <w:lang w:val="ro-RO"/>
        </w:rPr>
        <w:t>folosite pentru activități economice proprii ale acestora.</w:t>
      </w:r>
    </w:p>
    <w:p w:rsidR="002C43A5" w:rsidRPr="00AF3608" w:rsidRDefault="002C43A5" w:rsidP="00B723C0">
      <w:pPr>
        <w:shd w:val="clear" w:color="auto" w:fill="FFFFFF"/>
        <w:spacing w:before="120"/>
        <w:ind w:left="720"/>
        <w:contextualSpacing/>
        <w:jc w:val="both"/>
        <w:rPr>
          <w:rFonts w:ascii="Calibri" w:hAnsi="Calibri" w:cs="Calibri"/>
          <w:bCs/>
          <w:color w:val="000000"/>
          <w:lang w:val="ro-RO"/>
        </w:rPr>
      </w:pPr>
    </w:p>
    <w:p w:rsidR="002C43A5" w:rsidRPr="00AF3608" w:rsidRDefault="002C43A5" w:rsidP="00B723C0">
      <w:pPr>
        <w:shd w:val="clear" w:color="auto" w:fill="FFFFFF"/>
        <w:spacing w:before="120"/>
        <w:jc w:val="both"/>
        <w:rPr>
          <w:rFonts w:ascii="Calibri" w:hAnsi="Calibri" w:cs="Calibri"/>
          <w:bCs/>
          <w:i/>
          <w:color w:val="000000"/>
          <w:u w:val="single"/>
          <w:lang w:val="ro-RO"/>
        </w:rPr>
      </w:pPr>
      <w:r w:rsidRPr="00AF3608">
        <w:rPr>
          <w:rFonts w:ascii="Calibri" w:hAnsi="Calibri" w:cs="Calibri"/>
          <w:bCs/>
          <w:i/>
          <w:color w:val="000000"/>
          <w:u w:val="single"/>
          <w:lang w:val="ro-RO"/>
        </w:rPr>
        <w:t>Alte măsuri:</w:t>
      </w:r>
    </w:p>
    <w:p w:rsidR="002C43A5" w:rsidRPr="00AF3608" w:rsidRDefault="002C43A5" w:rsidP="00B723C0">
      <w:pPr>
        <w:shd w:val="clear" w:color="auto" w:fill="FFFFFF"/>
        <w:spacing w:before="120"/>
        <w:jc w:val="both"/>
        <w:rPr>
          <w:rFonts w:ascii="Calibri" w:hAnsi="Calibri" w:cs="Calibri"/>
          <w:bCs/>
          <w:i/>
          <w:color w:val="000000"/>
          <w:lang w:val="ro-RO"/>
        </w:rPr>
      </w:pPr>
      <w:r w:rsidRPr="00AF3608">
        <w:rPr>
          <w:rFonts w:ascii="Calibri" w:hAnsi="Calibri" w:cs="Calibri"/>
          <w:bCs/>
          <w:color w:val="000000"/>
          <w:lang w:val="ro-RO"/>
        </w:rPr>
        <w:t>● Măsuri de sprijinire a mediului de afaceri, adoptate prin Legea nr. 296/2020 pentru modificarea și completarea </w:t>
      </w:r>
      <w:hyperlink r:id="rId19" w:history="1">
        <w:r w:rsidRPr="00AF3608">
          <w:rPr>
            <w:rFonts w:ascii="Calibri" w:hAnsi="Calibri" w:cs="Calibri"/>
            <w:bCs/>
            <w:color w:val="000000"/>
            <w:lang w:val="ro-RO"/>
          </w:rPr>
          <w:t>Legii nr. 227/2015 privind Codul fiscal</w:t>
        </w:r>
      </w:hyperlink>
      <w:r w:rsidRPr="00AF3608">
        <w:rPr>
          <w:rFonts w:ascii="Calibri" w:hAnsi="Calibri" w:cs="Calibri"/>
          <w:bCs/>
          <w:color w:val="000000"/>
          <w:lang w:val="ro-RO"/>
        </w:rPr>
        <w:t>, printre care menționăm:</w:t>
      </w:r>
    </w:p>
    <w:p w:rsidR="002C43A5" w:rsidRPr="00AF3608" w:rsidRDefault="002C43A5" w:rsidP="003A0B85">
      <w:pPr>
        <w:numPr>
          <w:ilvl w:val="0"/>
          <w:numId w:val="119"/>
        </w:numPr>
        <w:shd w:val="clear" w:color="auto" w:fill="FFFFFF"/>
        <w:spacing w:before="120"/>
        <w:ind w:hanging="270"/>
        <w:contextualSpacing/>
        <w:jc w:val="both"/>
        <w:rPr>
          <w:rFonts w:ascii="Calibri" w:eastAsia="Calibri" w:hAnsi="Calibri" w:cs="Calibri"/>
          <w:bCs/>
          <w:color w:val="000000"/>
          <w:lang w:val="ro-RO" w:eastAsia="zh-CN"/>
        </w:rPr>
      </w:pPr>
      <w:r w:rsidRPr="00AF3608">
        <w:rPr>
          <w:rFonts w:ascii="Calibri" w:eastAsia="SimSun" w:hAnsi="Calibri" w:cs="Calibri"/>
          <w:color w:val="000000"/>
          <w:lang w:val="ro-RO" w:eastAsia="zh-CN"/>
        </w:rPr>
        <w:t>Modificarea termenului de depunere a raportului de evaluare în cazul clădirilor nerezidențiale aflate în proprietatea persoanelor juridice de la 3 la 5 ani;</w:t>
      </w:r>
    </w:p>
    <w:p w:rsidR="002C43A5" w:rsidRPr="00AF3608" w:rsidRDefault="002C43A5" w:rsidP="003A0B85">
      <w:pPr>
        <w:numPr>
          <w:ilvl w:val="0"/>
          <w:numId w:val="119"/>
        </w:numPr>
        <w:shd w:val="clear" w:color="auto" w:fill="FFFFFF"/>
        <w:spacing w:before="120"/>
        <w:ind w:hanging="270"/>
        <w:contextualSpacing/>
        <w:jc w:val="both"/>
        <w:rPr>
          <w:rFonts w:ascii="Calibri" w:eastAsia="Calibri" w:hAnsi="Calibri" w:cs="Calibri"/>
          <w:bCs/>
          <w:color w:val="000000"/>
          <w:lang w:val="ro-RO" w:eastAsia="zh-CN"/>
        </w:rPr>
      </w:pPr>
      <w:r w:rsidRPr="00AF3608">
        <w:rPr>
          <w:rFonts w:ascii="Calibri" w:eastAsia="SimSun" w:hAnsi="Calibri" w:cs="Calibri"/>
          <w:color w:val="000000"/>
          <w:lang w:val="ro-RO" w:eastAsia="zh-CN"/>
        </w:rPr>
        <w:t xml:space="preserve">Acordarea de competență autorităților publice locale de a efectua indexarea autovehiculelor de transport de marfă cu masa totală autorizată egală sau mai mare de 12 tone, în funcţie de rata de schimb a monedei euro publicată în Jurnalul Uniunii Europene şi de nivelurile minime prevăzute în Directiva 1999/62/CE de aplicare la vehiculele grele de marfă pentru utilizarea anumitor infrastructuri. </w:t>
      </w:r>
    </w:p>
    <w:p w:rsidR="002C43A5" w:rsidRPr="00AF3608" w:rsidRDefault="002C43A5" w:rsidP="003A0B85">
      <w:pPr>
        <w:numPr>
          <w:ilvl w:val="0"/>
          <w:numId w:val="119"/>
        </w:numPr>
        <w:shd w:val="clear" w:color="auto" w:fill="FFFFFF"/>
        <w:autoSpaceDE w:val="0"/>
        <w:autoSpaceDN w:val="0"/>
        <w:adjustRightInd w:val="0"/>
        <w:spacing w:before="120"/>
        <w:ind w:hanging="270"/>
        <w:contextualSpacing/>
        <w:jc w:val="both"/>
        <w:rPr>
          <w:rFonts w:ascii="Calibri" w:eastAsia="Calibri" w:hAnsi="Calibri" w:cs="Calibri"/>
          <w:bCs/>
          <w:color w:val="000000"/>
          <w:lang w:val="ro-RO" w:eastAsia="zh-CN"/>
        </w:rPr>
      </w:pPr>
      <w:r w:rsidRPr="00AF3608">
        <w:rPr>
          <w:rFonts w:ascii="Calibri" w:eastAsia="Calibri" w:hAnsi="Calibri" w:cs="Calibri"/>
          <w:bCs/>
          <w:color w:val="000000"/>
          <w:lang w:val="ro-RO" w:eastAsia="zh-CN"/>
        </w:rPr>
        <w:t xml:space="preserve">Începând cu data de 1 ianuarie 2021 impozitul pe clădirile </w:t>
      </w:r>
      <w:r w:rsidRPr="00AF3608">
        <w:rPr>
          <w:rFonts w:ascii="Calibri" w:eastAsia="SimSun" w:hAnsi="Calibri" w:cs="Calibri"/>
          <w:iCs/>
          <w:color w:val="000000"/>
          <w:lang w:val="ro-RO" w:eastAsia="zh-CN"/>
        </w:rPr>
        <w:t>aflate în proprietatea persoanelor fizice şi juridice care sunt utilizate pentru prestarea de servicii turistice, pe o durată de cel mult 180 de zile consecutive sau cumulate, în cursul unui an calendaristic, se reduce cu 50%;</w:t>
      </w:r>
    </w:p>
    <w:p w:rsidR="002C43A5" w:rsidRPr="00AF3608" w:rsidRDefault="002C43A5" w:rsidP="003A0B85">
      <w:pPr>
        <w:numPr>
          <w:ilvl w:val="0"/>
          <w:numId w:val="119"/>
        </w:numPr>
        <w:shd w:val="clear" w:color="auto" w:fill="FFFFFF"/>
        <w:autoSpaceDE w:val="0"/>
        <w:autoSpaceDN w:val="0"/>
        <w:adjustRightInd w:val="0"/>
        <w:spacing w:before="120"/>
        <w:ind w:hanging="270"/>
        <w:contextualSpacing/>
        <w:jc w:val="both"/>
        <w:rPr>
          <w:rFonts w:ascii="Calibri" w:eastAsia="Calibri" w:hAnsi="Calibri" w:cs="Calibri"/>
          <w:bCs/>
          <w:color w:val="000000"/>
          <w:lang w:val="ro-RO" w:eastAsia="zh-CN"/>
        </w:rPr>
      </w:pPr>
      <w:r w:rsidRPr="00AF3608">
        <w:rPr>
          <w:rFonts w:ascii="Calibri" w:eastAsia="SimSun" w:hAnsi="Calibri" w:cs="Calibri"/>
          <w:bCs/>
          <w:color w:val="000000"/>
          <w:lang w:val="ro-RO" w:eastAsia="zh-CN"/>
        </w:rPr>
        <w:t>Indexarea impozitelor şi taxelor locale pentru anul fiscal 2021 cu rata inflației de 2,6% aferentă anului fiscal 2020, astfel cum este comunicat de către Institutul National de Statistică.</w:t>
      </w:r>
    </w:p>
    <w:p w:rsidR="002C43A5" w:rsidRPr="00AF3608" w:rsidRDefault="002C43A5" w:rsidP="00B723C0">
      <w:pPr>
        <w:tabs>
          <w:tab w:val="left" w:pos="0"/>
        </w:tabs>
        <w:spacing w:before="120"/>
        <w:jc w:val="both"/>
        <w:rPr>
          <w:rFonts w:ascii="Calibri" w:hAnsi="Calibri" w:cs="Calibri"/>
          <w:b/>
          <w:bCs/>
          <w:iCs/>
          <w:color w:val="000000"/>
          <w:u w:val="single"/>
          <w:lang w:val="ro-RO"/>
        </w:rPr>
      </w:pPr>
      <w:r w:rsidRPr="00AF3608">
        <w:rPr>
          <w:rFonts w:ascii="Calibri" w:hAnsi="Calibri" w:cs="Calibri"/>
          <w:b/>
          <w:bCs/>
          <w:iCs/>
          <w:color w:val="000000"/>
          <w:u w:val="single"/>
          <w:lang w:val="ro-RO"/>
        </w:rPr>
        <w:t>În domeniul impozitelor indirecte:</w:t>
      </w:r>
    </w:p>
    <w:p w:rsidR="002C43A5" w:rsidRPr="00AF3608" w:rsidRDefault="002C43A5" w:rsidP="00B723C0">
      <w:pPr>
        <w:tabs>
          <w:tab w:val="left" w:pos="0"/>
        </w:tabs>
        <w:spacing w:before="120"/>
        <w:jc w:val="both"/>
        <w:rPr>
          <w:rFonts w:ascii="Calibri" w:hAnsi="Calibri" w:cs="Calibri"/>
          <w:color w:val="000000"/>
          <w:lang w:val="ro-RO"/>
        </w:rPr>
      </w:pPr>
      <w:r w:rsidRPr="00AF3608">
        <w:rPr>
          <w:rFonts w:ascii="Calibri" w:hAnsi="Calibri" w:cs="Calibri"/>
          <w:b/>
          <w:bCs/>
          <w:color w:val="000000"/>
          <w:lang w:val="ro-RO"/>
        </w:rPr>
        <w:t>Taxa pe valoarea adăugată</w:t>
      </w:r>
    </w:p>
    <w:p w:rsidR="002C43A5" w:rsidRPr="00AF3608" w:rsidRDefault="002C43A5" w:rsidP="00B723C0">
      <w:pPr>
        <w:shd w:val="clear" w:color="auto" w:fill="FFFFFF"/>
        <w:spacing w:before="120" w:after="160" w:line="254" w:lineRule="auto"/>
        <w:contextualSpacing/>
        <w:jc w:val="both"/>
        <w:rPr>
          <w:rFonts w:ascii="Calibri" w:eastAsia="Calibri" w:hAnsi="Calibri" w:cs="Calibri"/>
          <w:bCs/>
          <w:i/>
          <w:color w:val="000000"/>
          <w:u w:val="single"/>
          <w:lang w:val="ro-RO" w:eastAsia="zh-CN"/>
        </w:rPr>
      </w:pPr>
      <w:r w:rsidRPr="00AF3608">
        <w:rPr>
          <w:rFonts w:ascii="Calibri" w:eastAsia="Calibri" w:hAnsi="Calibri" w:cs="Calibri"/>
          <w:bCs/>
          <w:i/>
          <w:color w:val="000000"/>
          <w:u w:val="single"/>
          <w:lang w:val="ro-RO" w:eastAsia="zh-CN"/>
        </w:rPr>
        <w:t>Activități derulate ca răspuns la criza cauzată de pandemia de COVID-19:</w:t>
      </w:r>
    </w:p>
    <w:p w:rsidR="002C43A5" w:rsidRPr="00AF3608" w:rsidRDefault="002C43A5" w:rsidP="00B723C0">
      <w:pPr>
        <w:spacing w:before="120"/>
        <w:jc w:val="both"/>
        <w:rPr>
          <w:rFonts w:ascii="Calibri" w:hAnsi="Calibri" w:cs="Calibri"/>
          <w:lang w:val="ro-RO"/>
        </w:rPr>
      </w:pPr>
      <w:r w:rsidRPr="00AF3608">
        <w:rPr>
          <w:rFonts w:ascii="Calibri" w:hAnsi="Calibri" w:cs="Calibri"/>
          <w:lang w:val="ro-RO"/>
        </w:rPr>
        <w:t>● Măsuri de atenuare a repercusiunilor negative asupra economiei naționale și de sprijinire a operatorilor economici:</w:t>
      </w:r>
    </w:p>
    <w:p w:rsidR="002C43A5" w:rsidRPr="00AF3608" w:rsidRDefault="002C43A5" w:rsidP="00B723C0">
      <w:pPr>
        <w:spacing w:before="120"/>
        <w:ind w:left="540"/>
        <w:jc w:val="both"/>
        <w:rPr>
          <w:rFonts w:ascii="Calibri" w:hAnsi="Calibri" w:cs="Calibri"/>
          <w:lang w:val="ro-RO"/>
        </w:rPr>
      </w:pPr>
      <w:r w:rsidRPr="00AF3608">
        <w:rPr>
          <w:rFonts w:ascii="Calibri" w:hAnsi="Calibri" w:cs="Calibri"/>
          <w:lang w:val="ro-RO"/>
        </w:rPr>
        <w:t xml:space="preserve">○ Amânarea de la plata în vamă a TVA pentru importurile de medicamente, echipamente de protecție, alte dispozitive sau echipamente medicale și materiale sanitare care pot fi utilizate în prevenirea, limitarea, tratarea și combaterea COVID-19 – măsură aplicabilă în perioada </w:t>
      </w:r>
      <w:r w:rsidRPr="00AF3608">
        <w:rPr>
          <w:rFonts w:ascii="Calibri" w:hAnsi="Calibri" w:cs="Calibri"/>
          <w:lang w:val="ro-RO"/>
        </w:rPr>
        <w:lastRenderedPageBreak/>
        <w:t>pentru care s-a instituit starea de urgenţă şi în următoarele 30 de zile calendaristice de la data încetării stării de urgenţă;</w:t>
      </w:r>
    </w:p>
    <w:p w:rsidR="002C43A5" w:rsidRPr="00AF3608" w:rsidRDefault="002C43A5" w:rsidP="00B723C0">
      <w:pPr>
        <w:spacing w:before="120"/>
        <w:ind w:left="540"/>
        <w:jc w:val="both"/>
        <w:rPr>
          <w:rFonts w:ascii="Calibri" w:hAnsi="Calibri" w:cs="Calibri"/>
          <w:lang w:val="ro-RO"/>
        </w:rPr>
      </w:pPr>
      <w:r w:rsidRPr="00AF3608">
        <w:rPr>
          <w:rFonts w:ascii="Calibri" w:hAnsi="Calibri" w:cs="Calibri"/>
          <w:lang w:val="ro-RO"/>
        </w:rPr>
        <w:t>○ Introducerea unei scutiri de TVA cu drept de deducere pentru livrările de medicamente, echipamente de protecție, dispozitive sau echipamente medicale și materialele sanitare achiziționate de către asociații/fundații, în condițiile în care bunurile respective vor fi utilizate de acestea direct în acțiunile de combatere a COVID-19 sau vor fi donate altor entități care le vor utiliza în același scop – măsură aplicabilă până la data de 1 septembrie 2020;</w:t>
      </w:r>
    </w:p>
    <w:p w:rsidR="002C43A5" w:rsidRPr="00AF3608" w:rsidRDefault="002C43A5" w:rsidP="00B723C0">
      <w:pPr>
        <w:spacing w:before="120"/>
        <w:ind w:left="540"/>
        <w:jc w:val="both"/>
        <w:rPr>
          <w:rFonts w:ascii="Calibri" w:hAnsi="Calibri" w:cs="Calibri"/>
          <w:lang w:val="ro-RO"/>
        </w:rPr>
      </w:pPr>
      <w:r w:rsidRPr="00AF3608">
        <w:rPr>
          <w:rFonts w:ascii="Calibri" w:hAnsi="Calibri" w:cs="Calibri"/>
          <w:lang w:val="ro-RO"/>
        </w:rPr>
        <w:t>○ Eliminarea procedurii de înregistrare în scopuri de TVA pe baza criteriilor pentru evaluarea riscului fiscal în cazul persoanelor impozabile, societăți cu sediul activității economice în România, înființate în baza Legii societăților nr. 31/1990, republicată, cu modificările și completările ulterioare, care solicită înregistarea la înființare sau ulterior, prin opțiune, în baza art. 316 alin. (1) lit. a) și c) din Codul fiscal;</w:t>
      </w:r>
    </w:p>
    <w:p w:rsidR="002C43A5" w:rsidRPr="00AF3608" w:rsidRDefault="002C43A5" w:rsidP="00B723C0">
      <w:pPr>
        <w:spacing w:before="120"/>
        <w:ind w:left="540"/>
        <w:jc w:val="both"/>
        <w:rPr>
          <w:rFonts w:ascii="Calibri" w:hAnsi="Calibri" w:cs="Calibri"/>
          <w:lang w:val="ro-RO"/>
        </w:rPr>
      </w:pPr>
      <w:r w:rsidRPr="00AF3608">
        <w:rPr>
          <w:rFonts w:ascii="Calibri" w:hAnsi="Calibri" w:cs="Calibri"/>
          <w:lang w:val="ro-RO"/>
        </w:rPr>
        <w:t>○ Introducerea unei scutiri de TVA cu drept de deducere pentru operațiunile cu măşti de protecţie individuale şi ventilatoare medicale pentru terapie intensivă, necesare pentru constituirea rescEU - rezerva de capacităţi a Uniunii Europene, efectuate în beneficiul instituţiilor publice responsabile cu constituirea acestei rezerve – măsură aplicabilă până la data de 1 octombrie 2020;</w:t>
      </w:r>
    </w:p>
    <w:p w:rsidR="002C43A5" w:rsidRPr="00AF3608" w:rsidRDefault="002C43A5" w:rsidP="00B723C0">
      <w:pPr>
        <w:spacing w:before="120"/>
        <w:ind w:left="540"/>
        <w:jc w:val="both"/>
        <w:rPr>
          <w:rFonts w:ascii="Calibri" w:hAnsi="Calibri" w:cs="Calibri"/>
          <w:lang w:val="ro-RO"/>
        </w:rPr>
      </w:pPr>
      <w:r w:rsidRPr="00AF3608">
        <w:rPr>
          <w:rFonts w:ascii="Calibri" w:hAnsi="Calibri" w:cs="Calibri"/>
          <w:lang w:val="ro-RO"/>
        </w:rPr>
        <w:t>○ Introducerea unei scutiri de TVA pentru achiziţiile intracomunitare de Remdesivir, în baza contractului-cadru semnat pe 7 octombrie 2020 de Comisia Europeană cu societatea farmaceutică Gilead pentru livrarea de Veklury, denumirea comercială a Remdesivir – măsură aplicabilă până la data de 31 decembrie 2022.</w:t>
      </w:r>
    </w:p>
    <w:p w:rsidR="002C43A5" w:rsidRPr="00AF3608" w:rsidRDefault="002C43A5" w:rsidP="00B723C0">
      <w:pPr>
        <w:shd w:val="clear" w:color="auto" w:fill="FFFFFF"/>
        <w:spacing w:before="120"/>
        <w:ind w:left="720"/>
        <w:contextualSpacing/>
        <w:jc w:val="both"/>
        <w:rPr>
          <w:rFonts w:ascii="Calibri" w:hAnsi="Calibri" w:cs="Calibri"/>
          <w:bCs/>
          <w:color w:val="000000"/>
          <w:lang w:val="ro-RO"/>
        </w:rPr>
      </w:pPr>
    </w:p>
    <w:p w:rsidR="002C43A5" w:rsidRPr="00AF3608" w:rsidRDefault="002C43A5" w:rsidP="00B723C0">
      <w:pPr>
        <w:spacing w:before="120"/>
        <w:jc w:val="both"/>
        <w:rPr>
          <w:rFonts w:ascii="Calibri" w:hAnsi="Calibri" w:cs="Calibri"/>
          <w:lang w:val="ro-RO"/>
        </w:rPr>
      </w:pPr>
      <w:r w:rsidRPr="00AF3608">
        <w:rPr>
          <w:rFonts w:ascii="Calibri" w:hAnsi="Calibri" w:cs="Calibri"/>
          <w:i/>
          <w:u w:val="single"/>
          <w:lang w:val="ro-RO"/>
        </w:rPr>
        <w:t>Alte măsuri în domeniul TVA</w:t>
      </w:r>
      <w:r w:rsidRPr="00AF3608">
        <w:rPr>
          <w:rFonts w:ascii="Calibri" w:hAnsi="Calibri" w:cs="Calibri"/>
          <w:lang w:val="ro-RO"/>
        </w:rPr>
        <w:t>:</w:t>
      </w:r>
    </w:p>
    <w:p w:rsidR="002C43A5" w:rsidRPr="00AF3608" w:rsidRDefault="002C43A5" w:rsidP="00B723C0">
      <w:pPr>
        <w:spacing w:before="120"/>
        <w:jc w:val="both"/>
        <w:rPr>
          <w:rFonts w:ascii="Calibri" w:hAnsi="Calibri" w:cs="Calibri"/>
          <w:lang w:val="ro-RO"/>
        </w:rPr>
      </w:pPr>
      <w:r w:rsidRPr="00AF3608">
        <w:rPr>
          <w:rFonts w:ascii="Calibri" w:hAnsi="Calibri" w:cs="Calibri"/>
          <w:lang w:val="ro-RO"/>
        </w:rPr>
        <w:t>● Transpunerea în legislația națională:</w:t>
      </w:r>
    </w:p>
    <w:p w:rsidR="002C43A5" w:rsidRPr="00AF3608" w:rsidRDefault="002C43A5" w:rsidP="00B723C0">
      <w:pPr>
        <w:spacing w:before="120"/>
        <w:ind w:left="540" w:hanging="540"/>
        <w:jc w:val="both"/>
        <w:rPr>
          <w:rFonts w:ascii="Calibri" w:hAnsi="Calibri" w:cs="Calibri"/>
          <w:lang w:val="ro-RO"/>
        </w:rPr>
      </w:pPr>
      <w:r w:rsidRPr="00AF3608">
        <w:rPr>
          <w:rFonts w:ascii="Calibri" w:hAnsi="Calibri" w:cs="Calibri"/>
          <w:lang w:val="ro-RO"/>
        </w:rPr>
        <w:t xml:space="preserve"> </w:t>
      </w:r>
      <w:r w:rsidRPr="00AF3608">
        <w:rPr>
          <w:rFonts w:ascii="Calibri" w:hAnsi="Calibri" w:cs="Calibri"/>
          <w:lang w:val="ro-RO"/>
        </w:rPr>
        <w:tab/>
        <w:t>○ prin Ordonanța Guvernului nr. 6/2020 pentru modificarea și completarea Legii nr. 227/2015, precum și pentru reglementarea unor măsuri fiscal-bugetare, a următoarelor directive comunitare:</w:t>
      </w:r>
    </w:p>
    <w:p w:rsidR="002C43A5" w:rsidRPr="00AF3608" w:rsidRDefault="002C43A5" w:rsidP="00B723C0">
      <w:pPr>
        <w:tabs>
          <w:tab w:val="left" w:pos="1080"/>
        </w:tabs>
        <w:spacing w:before="120"/>
        <w:ind w:left="1170" w:hanging="630"/>
        <w:jc w:val="both"/>
        <w:rPr>
          <w:rFonts w:ascii="Calibri" w:hAnsi="Calibri" w:cs="Calibri"/>
          <w:lang w:val="ro-RO"/>
        </w:rPr>
      </w:pPr>
      <w:r w:rsidRPr="00AF3608">
        <w:rPr>
          <w:rFonts w:ascii="Calibri" w:hAnsi="Calibri" w:cs="Calibri"/>
          <w:lang w:val="ro-RO"/>
        </w:rPr>
        <w:tab/>
      </w:r>
      <w:r w:rsidRPr="00AF3608">
        <w:rPr>
          <w:rFonts w:ascii="Calibri" w:hAnsi="Calibri" w:cs="Calibri"/>
          <w:lang w:val="ro-RO"/>
        </w:rPr>
        <w:tab/>
      </w:r>
      <w:r w:rsidRPr="00AF3608">
        <w:rPr>
          <w:rFonts w:ascii="Arial" w:hAnsi="Arial" w:cs="Arial"/>
          <w:lang w:val="ro-RO"/>
        </w:rPr>
        <w:t>►</w:t>
      </w:r>
      <w:r w:rsidRPr="00AF3608">
        <w:rPr>
          <w:rFonts w:ascii="Calibri" w:hAnsi="Calibri" w:cs="Calibri"/>
          <w:lang w:val="ro-RO"/>
        </w:rPr>
        <w:t xml:space="preserve"> Directiva (UE) 2018/1910 a Consiliului din 4 decembrie 2019 de modificare a Directivei 2006/112/CE în ceea ce privește armonizarea și simplificarea anumitor norme din sistemul taxei pe valoarea adăugată pentru impozitarea schimburilor comerciale dintre statele membre,</w:t>
      </w:r>
    </w:p>
    <w:p w:rsidR="002C43A5" w:rsidRPr="00AF3608" w:rsidRDefault="002C43A5" w:rsidP="00B723C0">
      <w:pPr>
        <w:tabs>
          <w:tab w:val="left" w:pos="1080"/>
        </w:tabs>
        <w:spacing w:before="120"/>
        <w:ind w:left="1170" w:hanging="630"/>
        <w:jc w:val="both"/>
        <w:rPr>
          <w:rFonts w:ascii="Calibri" w:hAnsi="Calibri" w:cs="Calibri"/>
          <w:lang w:val="ro-RO"/>
        </w:rPr>
      </w:pPr>
      <w:r w:rsidRPr="00AF3608">
        <w:rPr>
          <w:rFonts w:ascii="Calibri" w:hAnsi="Calibri" w:cs="Calibri"/>
          <w:lang w:val="ro-RO"/>
        </w:rPr>
        <w:tab/>
        <w:t xml:space="preserve"> </w:t>
      </w:r>
      <w:r w:rsidRPr="00AF3608">
        <w:rPr>
          <w:rFonts w:ascii="Arial" w:hAnsi="Arial" w:cs="Arial"/>
          <w:lang w:val="ro-RO"/>
        </w:rPr>
        <w:t>►</w:t>
      </w:r>
      <w:r w:rsidR="000D77EA">
        <w:rPr>
          <w:rFonts w:ascii="Calibri" w:hAnsi="Calibri" w:cs="Calibri"/>
          <w:lang w:val="ro-RO"/>
        </w:rPr>
        <w:t xml:space="preserve"> </w:t>
      </w:r>
      <w:r w:rsidRPr="00AF3608">
        <w:rPr>
          <w:rFonts w:ascii="Calibri" w:hAnsi="Calibri" w:cs="Calibri"/>
          <w:lang w:val="ro-RO"/>
        </w:rPr>
        <w:t>Directiva (UE) 2019/475 a Consiliului din 18 februarie 2019 de modificare a Directivelor 2006/112/CE și 2008/118/CE în ceea ce privește includerea comunei italiene Campione d'Italia și a apelor italiene ale lacului Lugano în teritoriul vamal al Uniunii și în domeniul de aplicare teritorială al Directivei 2008/118/CE</w:t>
      </w:r>
    </w:p>
    <w:p w:rsidR="002C43A5" w:rsidRPr="00AF3608" w:rsidRDefault="002C43A5" w:rsidP="00B723C0">
      <w:pPr>
        <w:spacing w:before="120"/>
        <w:ind w:left="630"/>
        <w:jc w:val="both"/>
        <w:rPr>
          <w:rFonts w:ascii="Calibri" w:hAnsi="Calibri" w:cs="Calibri"/>
          <w:lang w:val="ro-RO"/>
        </w:rPr>
      </w:pPr>
      <w:r w:rsidRPr="00AF3608">
        <w:rPr>
          <w:rFonts w:ascii="Calibri" w:hAnsi="Calibri" w:cs="Calibri"/>
          <w:lang w:val="ro-RO"/>
        </w:rPr>
        <w:t>○ prin Ordonanța de urgență a Guvernului nr. 226/2020 privind unele măsuri fiscal-bugetare și pentru modificarea și completarea unor acte normative și prorogarea unor termene, a următoarelor directive comunitare:</w:t>
      </w:r>
    </w:p>
    <w:p w:rsidR="002C43A5" w:rsidRPr="00AF3608" w:rsidRDefault="002C43A5" w:rsidP="00B723C0">
      <w:pPr>
        <w:spacing w:before="120"/>
        <w:ind w:left="1260"/>
        <w:jc w:val="both"/>
        <w:rPr>
          <w:rFonts w:ascii="Calibri" w:hAnsi="Calibri" w:cs="Calibri"/>
          <w:lang w:val="ro-RO"/>
        </w:rPr>
      </w:pPr>
      <w:r w:rsidRPr="00AF3608">
        <w:rPr>
          <w:rFonts w:ascii="Arial" w:hAnsi="Arial" w:cs="Arial"/>
          <w:lang w:val="ro-RO"/>
        </w:rPr>
        <w:t>►</w:t>
      </w:r>
      <w:r w:rsidRPr="00AF3608">
        <w:rPr>
          <w:rFonts w:ascii="Calibri" w:hAnsi="Calibri" w:cs="Calibri"/>
          <w:lang w:val="ro-RO"/>
        </w:rPr>
        <w:t xml:space="preserve"> Directiva (UE) 2020/1756 a Consiliului din 20 noiembrie 2020 de modificare a Directivei 2006/112/CE privind sistemul comun al taxei pe valoarea adăugată în ceea ce privește identificarea persoanelor impozabile în Irlanda de Nord;</w:t>
      </w:r>
    </w:p>
    <w:p w:rsidR="002C43A5" w:rsidRPr="00AF3608" w:rsidRDefault="002C43A5" w:rsidP="00B723C0">
      <w:pPr>
        <w:spacing w:before="120"/>
        <w:ind w:left="1260"/>
        <w:jc w:val="both"/>
        <w:rPr>
          <w:rFonts w:ascii="Calibri" w:hAnsi="Calibri" w:cs="Calibri"/>
          <w:lang w:val="ro-RO"/>
        </w:rPr>
      </w:pPr>
      <w:r w:rsidRPr="00AF3608">
        <w:rPr>
          <w:rFonts w:ascii="Arial" w:hAnsi="Arial" w:cs="Arial"/>
          <w:lang w:val="ro-RO"/>
        </w:rPr>
        <w:t>►</w:t>
      </w:r>
      <w:r w:rsidRPr="00AF3608">
        <w:rPr>
          <w:rFonts w:ascii="Calibri" w:hAnsi="Calibri" w:cs="Calibri"/>
          <w:lang w:val="ro-RO"/>
        </w:rPr>
        <w:t xml:space="preserve"> Directiva (UE) 2020/2020 a Consiliului din 7 decembrie 2020 de modificare a Directivei 2006/112/CE a Consiliului în ceea ce privește măsurile temporare privind taxa pe valoarea adăugată aplicabilă vaccinurilor împotriva Covid-19 și dispozitivelor medicale pentru diagnostic in vitro aferente, ca răspuns la pandemia de COVID-19.</w:t>
      </w:r>
    </w:p>
    <w:p w:rsidR="002C43A5" w:rsidRPr="00AF3608" w:rsidRDefault="002C43A5" w:rsidP="00B723C0">
      <w:pPr>
        <w:shd w:val="clear" w:color="auto" w:fill="FFFFFF"/>
        <w:spacing w:before="120"/>
        <w:contextualSpacing/>
        <w:jc w:val="both"/>
        <w:rPr>
          <w:rFonts w:ascii="Calibri" w:hAnsi="Calibri" w:cs="Calibri"/>
          <w:bCs/>
          <w:color w:val="000000"/>
          <w:lang w:val="ro-RO"/>
        </w:rPr>
      </w:pPr>
    </w:p>
    <w:p w:rsidR="002C43A5" w:rsidRPr="00AF3608" w:rsidRDefault="002C43A5" w:rsidP="00B723C0">
      <w:pPr>
        <w:shd w:val="clear" w:color="auto" w:fill="FFFFFF"/>
        <w:tabs>
          <w:tab w:val="left" w:pos="270"/>
        </w:tabs>
        <w:spacing w:before="120"/>
        <w:ind w:left="270"/>
        <w:contextualSpacing/>
        <w:jc w:val="both"/>
        <w:rPr>
          <w:rFonts w:ascii="Calibri" w:hAnsi="Calibri" w:cs="Calibri"/>
          <w:bCs/>
          <w:color w:val="000000"/>
          <w:lang w:val="ro-RO"/>
        </w:rPr>
      </w:pPr>
      <w:r w:rsidRPr="00AF3608">
        <w:rPr>
          <w:rFonts w:ascii="Calibri" w:hAnsi="Calibri" w:cs="Calibri"/>
          <w:bCs/>
          <w:color w:val="000000"/>
          <w:lang w:val="ro-RO"/>
        </w:rPr>
        <w:t>● Măsuri de sprijinire a mediului de afaceri, adoptate prin Legea nr. 296/2020 pentru modificarea și completarea </w:t>
      </w:r>
      <w:hyperlink r:id="rId20" w:history="1">
        <w:r w:rsidRPr="00AF3608">
          <w:rPr>
            <w:rFonts w:ascii="Calibri" w:hAnsi="Calibri" w:cs="Calibri"/>
            <w:bCs/>
            <w:color w:val="000000"/>
            <w:lang w:val="ro-RO"/>
          </w:rPr>
          <w:t>Legii nr. 227/2015 privind Codul fiscal</w:t>
        </w:r>
      </w:hyperlink>
      <w:r w:rsidRPr="00AF3608">
        <w:rPr>
          <w:rFonts w:ascii="Calibri" w:hAnsi="Calibri" w:cs="Calibri"/>
          <w:bCs/>
          <w:color w:val="000000"/>
          <w:lang w:val="ro-RO"/>
        </w:rPr>
        <w:t>, printre care menționăm:</w:t>
      </w:r>
    </w:p>
    <w:p w:rsidR="002C43A5" w:rsidRPr="00AF3608" w:rsidRDefault="002C43A5" w:rsidP="003A0B85">
      <w:pPr>
        <w:numPr>
          <w:ilvl w:val="1"/>
          <w:numId w:val="116"/>
        </w:numPr>
        <w:suppressAutoHyphens/>
        <w:spacing w:before="120"/>
        <w:ind w:hanging="270"/>
        <w:jc w:val="both"/>
        <w:rPr>
          <w:rFonts w:ascii="Calibri" w:hAnsi="Calibri" w:cs="Calibri"/>
          <w:bCs/>
          <w:color w:val="000000"/>
          <w:lang w:val="ro-RO"/>
        </w:rPr>
      </w:pPr>
      <w:r w:rsidRPr="00AF3608">
        <w:rPr>
          <w:rFonts w:ascii="Calibri" w:hAnsi="Calibri" w:cs="Calibri"/>
          <w:bCs/>
          <w:color w:val="000000"/>
          <w:lang w:val="ro-RO"/>
        </w:rPr>
        <w:t>transpunerea unor decizii ale Curții de Justiție a Uniunii Europene cu privire la acordarea dreptului de deducere a TVA;</w:t>
      </w:r>
    </w:p>
    <w:p w:rsidR="002C43A5" w:rsidRPr="00AF3608" w:rsidRDefault="002C43A5" w:rsidP="003A0B85">
      <w:pPr>
        <w:numPr>
          <w:ilvl w:val="1"/>
          <w:numId w:val="116"/>
        </w:numPr>
        <w:suppressAutoHyphens/>
        <w:spacing w:before="120"/>
        <w:ind w:hanging="270"/>
        <w:jc w:val="both"/>
        <w:rPr>
          <w:rFonts w:ascii="Calibri" w:hAnsi="Calibri" w:cs="Calibri"/>
          <w:bCs/>
          <w:color w:val="000000"/>
          <w:lang w:val="ro-RO"/>
        </w:rPr>
      </w:pPr>
      <w:r w:rsidRPr="00AF3608">
        <w:rPr>
          <w:rFonts w:ascii="Calibri" w:hAnsi="Calibri" w:cs="Calibri"/>
          <w:bCs/>
          <w:color w:val="000000"/>
          <w:lang w:val="ro-RO"/>
        </w:rPr>
        <w:t>introducerea unor prevederi privind ajustarea bazei de impozitare a TVA în cazul în care contravaloarea totală sau parţială a bunurilor livrate sau a serviciilor prestate nu a fost încasată de la beneficiarii persoane fizice, în vederea alinierii cu jurisprudența europeană;</w:t>
      </w:r>
    </w:p>
    <w:p w:rsidR="002C43A5" w:rsidRPr="00AF3608" w:rsidRDefault="002C43A5" w:rsidP="003A0B85">
      <w:pPr>
        <w:numPr>
          <w:ilvl w:val="1"/>
          <w:numId w:val="116"/>
        </w:numPr>
        <w:suppressAutoHyphens/>
        <w:spacing w:before="120"/>
        <w:ind w:hanging="270"/>
        <w:jc w:val="both"/>
        <w:rPr>
          <w:rFonts w:ascii="Calibri" w:hAnsi="Calibri" w:cs="Calibri"/>
          <w:color w:val="000000"/>
          <w:lang w:val="ro-RO"/>
        </w:rPr>
      </w:pPr>
      <w:r w:rsidRPr="00AF3608">
        <w:rPr>
          <w:rFonts w:ascii="Calibri" w:hAnsi="Calibri" w:cs="Calibri"/>
          <w:bCs/>
          <w:color w:val="000000"/>
          <w:lang w:val="ro-RO" w:eastAsia="ro-RO"/>
        </w:rPr>
        <w:t xml:space="preserve">acordarea dreptului de deducere a TVA pentru achizițiile de băuturi alcoolice şi produse din tutun și în alte situații decât cele în care era posibilă deducerea TVA anterior, respectiv și în situațiile în care bunurile sunt destinate acordării/prestării de servicii în mod gratuit, în scopuri legate de desfășurarea activității economice, în condițiile stabilite prin normele metodologice. </w:t>
      </w:r>
    </w:p>
    <w:p w:rsidR="002C43A5" w:rsidRPr="00AF3608" w:rsidRDefault="002C43A5" w:rsidP="00B723C0">
      <w:pPr>
        <w:tabs>
          <w:tab w:val="left" w:pos="0"/>
        </w:tabs>
        <w:spacing w:before="120"/>
        <w:jc w:val="both"/>
        <w:rPr>
          <w:rFonts w:ascii="Calibri" w:hAnsi="Calibri" w:cs="Calibri"/>
          <w:color w:val="000000"/>
          <w:lang w:val="ro-RO"/>
        </w:rPr>
      </w:pPr>
      <w:r w:rsidRPr="00AF3608">
        <w:rPr>
          <w:rFonts w:ascii="Calibri" w:hAnsi="Calibri" w:cs="Calibri"/>
          <w:b/>
          <w:bCs/>
          <w:color w:val="000000"/>
          <w:shd w:val="clear" w:color="auto" w:fill="FFFFFF"/>
          <w:lang w:val="ro-RO"/>
        </w:rPr>
        <w:t>Accize</w:t>
      </w:r>
    </w:p>
    <w:p w:rsidR="002C43A5" w:rsidRPr="00AF3608" w:rsidRDefault="002C43A5" w:rsidP="00B723C0">
      <w:pPr>
        <w:tabs>
          <w:tab w:val="left" w:pos="0"/>
        </w:tabs>
        <w:autoSpaceDE w:val="0"/>
        <w:spacing w:before="120"/>
        <w:jc w:val="both"/>
        <w:rPr>
          <w:rFonts w:ascii="Calibri" w:hAnsi="Calibri" w:cs="Calibri"/>
          <w:color w:val="000000"/>
          <w:lang w:val="ro-RO"/>
        </w:rPr>
      </w:pPr>
      <w:r w:rsidRPr="00AF3608">
        <w:rPr>
          <w:rFonts w:ascii="Calibri" w:hAnsi="Calibri" w:cs="Calibri"/>
          <w:bCs/>
          <w:i/>
          <w:color w:val="000000"/>
          <w:shd w:val="clear" w:color="auto" w:fill="FFFFFF"/>
          <w:lang w:val="ro-RO"/>
        </w:rPr>
        <w:t>● cu aplicabilitate de la data de 1 ianuarie 2020:</w:t>
      </w:r>
    </w:p>
    <w:p w:rsidR="002C43A5" w:rsidRPr="00AF3608" w:rsidRDefault="002C43A5" w:rsidP="003A0B85">
      <w:pPr>
        <w:numPr>
          <w:ilvl w:val="1"/>
          <w:numId w:val="118"/>
        </w:numPr>
        <w:tabs>
          <w:tab w:val="left" w:pos="0"/>
        </w:tabs>
        <w:spacing w:before="120"/>
        <w:ind w:left="630" w:hanging="180"/>
        <w:jc w:val="both"/>
        <w:rPr>
          <w:rFonts w:ascii="Calibri" w:hAnsi="Calibri" w:cs="Calibri"/>
          <w:color w:val="000000"/>
          <w:lang w:val="ro-RO"/>
        </w:rPr>
      </w:pPr>
      <w:r w:rsidRPr="00AF3608">
        <w:rPr>
          <w:rFonts w:ascii="Calibri" w:hAnsi="Calibri" w:cs="Calibri"/>
          <w:color w:val="000000"/>
          <w:lang w:val="ro-RO"/>
        </w:rPr>
        <w:t>A fost majorat nivelul accizei totale pentru țigarete de la 483,74 lei/1000 țigarete la 503,97 lei/1000 țigarete.</w:t>
      </w:r>
    </w:p>
    <w:p w:rsidR="002C43A5" w:rsidRPr="00AF3608" w:rsidRDefault="002C43A5" w:rsidP="003A0B85">
      <w:pPr>
        <w:numPr>
          <w:ilvl w:val="1"/>
          <w:numId w:val="118"/>
        </w:numPr>
        <w:tabs>
          <w:tab w:val="left" w:pos="0"/>
        </w:tabs>
        <w:spacing w:before="120"/>
        <w:ind w:left="630" w:hanging="180"/>
        <w:jc w:val="both"/>
        <w:rPr>
          <w:rFonts w:ascii="Calibri" w:hAnsi="Calibri" w:cs="Calibri"/>
          <w:color w:val="000000"/>
          <w:lang w:val="ro-RO"/>
        </w:rPr>
      </w:pPr>
      <w:r w:rsidRPr="00AF3608">
        <w:rPr>
          <w:rFonts w:ascii="Calibri" w:hAnsi="Calibri" w:cs="Calibri"/>
          <w:color w:val="000000"/>
          <w:lang w:val="ro-RO"/>
        </w:rPr>
        <w:t>A fost m</w:t>
      </w:r>
      <w:r w:rsidRPr="00AF3608">
        <w:rPr>
          <w:rFonts w:ascii="Calibri" w:eastAsia="Arial (W1)" w:hAnsi="Calibri" w:cs="Calibri"/>
          <w:color w:val="000000"/>
          <w:lang w:val="ro-RO" w:eastAsia="ro-RO"/>
        </w:rPr>
        <w:t>ajorat nivelul accizelor la tutun de fumat fin tăiat destinat rulării în țigarete, precum și la alte tutunuri de fumat de la 416,70 lei/kg la 435,40 lei/kg.</w:t>
      </w:r>
    </w:p>
    <w:p w:rsidR="002C43A5" w:rsidRPr="00AF3608" w:rsidRDefault="002C43A5" w:rsidP="003A0B85">
      <w:pPr>
        <w:numPr>
          <w:ilvl w:val="1"/>
          <w:numId w:val="118"/>
        </w:numPr>
        <w:tabs>
          <w:tab w:val="left" w:pos="0"/>
        </w:tabs>
        <w:spacing w:before="120"/>
        <w:ind w:left="630" w:hanging="180"/>
        <w:jc w:val="both"/>
        <w:rPr>
          <w:rFonts w:ascii="Calibri" w:hAnsi="Calibri" w:cs="Calibri"/>
          <w:color w:val="000000"/>
          <w:lang w:val="ro-RO"/>
        </w:rPr>
      </w:pPr>
      <w:r w:rsidRPr="00AF3608">
        <w:rPr>
          <w:rFonts w:ascii="Calibri" w:eastAsia="Arial (W1)" w:hAnsi="Calibri" w:cs="Calibri"/>
          <w:color w:val="000000"/>
          <w:lang w:val="ro-RO" w:eastAsia="ro-RO"/>
        </w:rPr>
        <w:t>De asemenea, precizăm că nivelul accizelor prevăzut în anexa nr. 1 de la Titlul VIII din Codul fiscal, cu excepția țigaretelor, a fost actualizat cu creșterea prețurilor de consum comunicată oficial de Institutul Național de Statistică.</w:t>
      </w:r>
    </w:p>
    <w:p w:rsidR="002C43A5" w:rsidRPr="00AF3608" w:rsidRDefault="002C43A5" w:rsidP="003A0B85">
      <w:pPr>
        <w:numPr>
          <w:ilvl w:val="1"/>
          <w:numId w:val="118"/>
        </w:numPr>
        <w:tabs>
          <w:tab w:val="left" w:pos="0"/>
        </w:tabs>
        <w:spacing w:before="120"/>
        <w:ind w:left="630" w:hanging="180"/>
        <w:jc w:val="both"/>
        <w:rPr>
          <w:rFonts w:ascii="Calibri" w:hAnsi="Calibri" w:cs="Calibri"/>
          <w:color w:val="000000"/>
          <w:lang w:val="ro-RO"/>
        </w:rPr>
      </w:pPr>
      <w:r w:rsidRPr="00AF3608">
        <w:rPr>
          <w:rFonts w:ascii="Calibri" w:hAnsi="Calibri" w:cs="Calibri"/>
          <w:color w:val="000000"/>
          <w:lang w:val="ro-RO"/>
        </w:rPr>
        <w:t>Totodată, prin Legea nr. 263/2019</w:t>
      </w:r>
      <w:r w:rsidRPr="00AF3608">
        <w:rPr>
          <w:rFonts w:ascii="Calibri" w:hAnsi="Calibri" w:cs="Calibri"/>
          <w:i/>
          <w:iCs/>
          <w:color w:val="000000"/>
          <w:lang w:val="ro-RO"/>
        </w:rPr>
        <w:t xml:space="preserve"> pentru modificarea Legii nr. 227/2015 privind Codul fiscal,</w:t>
      </w:r>
      <w:r w:rsidRPr="00AF3608">
        <w:rPr>
          <w:rFonts w:ascii="Calibri" w:hAnsi="Calibri" w:cs="Calibri"/>
          <w:color w:val="000000"/>
          <w:lang w:val="ro-RO"/>
        </w:rPr>
        <w:t xml:space="preserve"> a</w:t>
      </w:r>
      <w:r w:rsidRPr="00AF3608">
        <w:rPr>
          <w:rFonts w:ascii="Calibri" w:eastAsia="Arial (W1)" w:hAnsi="Calibri" w:cs="Calibri"/>
          <w:color w:val="000000"/>
          <w:lang w:val="ro-RO" w:eastAsia="ro-RO"/>
        </w:rPr>
        <w:t xml:space="preserve"> fost diminuat </w:t>
      </w:r>
      <w:r w:rsidRPr="00AF3608">
        <w:rPr>
          <w:rFonts w:ascii="Calibri" w:hAnsi="Calibri" w:cs="Calibri"/>
          <w:color w:val="000000"/>
          <w:lang w:val="ro-RO"/>
        </w:rPr>
        <w:t>nivelul accizelor la:</w:t>
      </w:r>
    </w:p>
    <w:p w:rsidR="002C43A5" w:rsidRPr="00AF3608" w:rsidRDefault="002C43A5" w:rsidP="003A0B85">
      <w:pPr>
        <w:numPr>
          <w:ilvl w:val="0"/>
          <w:numId w:val="117"/>
        </w:numPr>
        <w:tabs>
          <w:tab w:val="left" w:pos="390"/>
          <w:tab w:val="left" w:pos="1170"/>
        </w:tabs>
        <w:spacing w:before="120"/>
        <w:ind w:left="1170" w:hanging="270"/>
        <w:jc w:val="both"/>
        <w:rPr>
          <w:rFonts w:ascii="Calibri" w:hAnsi="Calibri" w:cs="Calibri"/>
          <w:color w:val="000000"/>
          <w:lang w:val="ro-RO"/>
        </w:rPr>
      </w:pPr>
      <w:r w:rsidRPr="00AF3608">
        <w:rPr>
          <w:rFonts w:ascii="Calibri" w:hAnsi="Calibri" w:cs="Calibri"/>
          <w:color w:val="000000"/>
          <w:lang w:val="ro-RO"/>
        </w:rPr>
        <w:t>motorină de la 1.838,04 lei/1000 l la 1.518,04 lei/1000 l respectiv de la 2.175,24 lei/tonă la 1.796,53 lei/tonă,</w:t>
      </w:r>
    </w:p>
    <w:p w:rsidR="002C43A5" w:rsidRPr="00AF3608" w:rsidRDefault="002C43A5" w:rsidP="003A0B85">
      <w:pPr>
        <w:numPr>
          <w:ilvl w:val="0"/>
          <w:numId w:val="117"/>
        </w:numPr>
        <w:tabs>
          <w:tab w:val="left" w:pos="390"/>
          <w:tab w:val="left" w:pos="1170"/>
        </w:tabs>
        <w:spacing w:before="120"/>
        <w:ind w:left="1170" w:hanging="270"/>
        <w:jc w:val="both"/>
        <w:rPr>
          <w:rFonts w:ascii="Calibri" w:hAnsi="Calibri" w:cs="Calibri"/>
          <w:color w:val="000000"/>
          <w:lang w:val="ro-RO"/>
        </w:rPr>
      </w:pPr>
      <w:r w:rsidRPr="00AF3608">
        <w:rPr>
          <w:rFonts w:ascii="Calibri" w:hAnsi="Calibri" w:cs="Calibri"/>
          <w:color w:val="000000"/>
          <w:lang w:val="ro-RO"/>
        </w:rPr>
        <w:t>benzină cu plumb de la 2.268,23 lei/1000l la 1.948,23 lei/1000 l, respectiv de la 2.945,75 lei/tonă la 2.530,17 lei/tonă,</w:t>
      </w:r>
    </w:p>
    <w:p w:rsidR="002C43A5" w:rsidRPr="00AF3608" w:rsidRDefault="002C43A5" w:rsidP="003A0B85">
      <w:pPr>
        <w:numPr>
          <w:ilvl w:val="0"/>
          <w:numId w:val="117"/>
        </w:numPr>
        <w:tabs>
          <w:tab w:val="left" w:pos="390"/>
          <w:tab w:val="left" w:pos="1170"/>
        </w:tabs>
        <w:spacing w:before="120"/>
        <w:ind w:left="1170" w:hanging="270"/>
        <w:jc w:val="both"/>
        <w:rPr>
          <w:rFonts w:ascii="Calibri" w:hAnsi="Calibri" w:cs="Calibri"/>
          <w:color w:val="000000"/>
          <w:lang w:val="ro-RO"/>
        </w:rPr>
      </w:pPr>
      <w:r w:rsidRPr="00AF3608">
        <w:rPr>
          <w:rFonts w:ascii="Calibri" w:hAnsi="Calibri" w:cs="Calibri"/>
          <w:color w:val="000000"/>
          <w:lang w:val="ro-RO"/>
        </w:rPr>
        <w:t>benzină fără plumb de la 1.976,36 lei/1000 l la 1.656,36 lei/1000 l, respectiv de la 2.566,71 lei/tonă la 2.151,13 lei/tonă.</w:t>
      </w:r>
    </w:p>
    <w:p w:rsidR="002C43A5" w:rsidRPr="00AF3608" w:rsidRDefault="002C43A5" w:rsidP="00B723C0">
      <w:pPr>
        <w:autoSpaceDE w:val="0"/>
        <w:spacing w:before="120"/>
        <w:jc w:val="both"/>
        <w:rPr>
          <w:rFonts w:ascii="Calibri" w:hAnsi="Calibri" w:cs="Calibri"/>
          <w:i/>
          <w:color w:val="000000"/>
          <w:lang w:val="ro-RO"/>
        </w:rPr>
      </w:pPr>
      <w:r w:rsidRPr="00AF3608">
        <w:rPr>
          <w:rFonts w:ascii="Calibri" w:hAnsi="Calibri" w:cs="Calibri"/>
          <w:bCs/>
          <w:i/>
          <w:color w:val="000000"/>
          <w:shd w:val="clear" w:color="auto" w:fill="FFFFFF"/>
          <w:lang w:val="ro-RO"/>
        </w:rPr>
        <w:t>● cu aplicabilitate de la data de 1 aprilie 2020:</w:t>
      </w:r>
    </w:p>
    <w:p w:rsidR="002C43A5" w:rsidRPr="00AF3608" w:rsidRDefault="002C43A5" w:rsidP="003A0B85">
      <w:pPr>
        <w:numPr>
          <w:ilvl w:val="1"/>
          <w:numId w:val="118"/>
        </w:numPr>
        <w:autoSpaceDE w:val="0"/>
        <w:spacing w:before="120"/>
        <w:ind w:left="720" w:hanging="180"/>
        <w:jc w:val="both"/>
        <w:rPr>
          <w:rFonts w:ascii="Calibri" w:hAnsi="Calibri" w:cs="Calibri"/>
          <w:color w:val="000000"/>
          <w:lang w:val="ro-RO"/>
        </w:rPr>
      </w:pPr>
      <w:r w:rsidRPr="00AF3608">
        <w:rPr>
          <w:rFonts w:ascii="Calibri" w:hAnsi="Calibri" w:cs="Calibri"/>
          <w:color w:val="000000"/>
          <w:lang w:val="ro-RO"/>
        </w:rPr>
        <w:t xml:space="preserve">A fost majorat nivelul accizei totale pentru țigarete </w:t>
      </w:r>
      <w:r w:rsidRPr="00AF3608">
        <w:rPr>
          <w:rFonts w:ascii="Calibri" w:eastAsia="Arial (W1)" w:hAnsi="Calibri" w:cs="Calibri"/>
          <w:color w:val="000000"/>
          <w:lang w:val="ro-RO" w:eastAsia="ro-RO"/>
        </w:rPr>
        <w:t>de la 503,97 lei/1000 țigarete la 533,97 lei/1000 țigarete.</w:t>
      </w:r>
    </w:p>
    <w:p w:rsidR="002C43A5" w:rsidRPr="00AF3608" w:rsidRDefault="002C43A5" w:rsidP="00B723C0">
      <w:pPr>
        <w:spacing w:before="120"/>
        <w:jc w:val="both"/>
        <w:rPr>
          <w:rFonts w:ascii="Calibri" w:hAnsi="Calibri" w:cs="Calibri"/>
          <w:b/>
          <w:bCs/>
          <w:color w:val="000000"/>
          <w:u w:val="single"/>
          <w:lang w:val="ro-RO"/>
        </w:rPr>
      </w:pPr>
      <w:r w:rsidRPr="00AF3608">
        <w:rPr>
          <w:rFonts w:ascii="Calibri" w:hAnsi="Calibri" w:cs="Calibri"/>
          <w:b/>
          <w:bCs/>
          <w:color w:val="000000"/>
          <w:u w:val="single"/>
          <w:lang w:val="ro-RO"/>
        </w:rPr>
        <w:t>În domeniul Codului de procedură fiscală</w:t>
      </w:r>
    </w:p>
    <w:p w:rsidR="002C43A5" w:rsidRPr="00AF3608" w:rsidRDefault="002C43A5" w:rsidP="00B723C0">
      <w:pPr>
        <w:shd w:val="clear" w:color="auto" w:fill="FFFFFF"/>
        <w:spacing w:before="120" w:after="160" w:line="254" w:lineRule="auto"/>
        <w:contextualSpacing/>
        <w:jc w:val="both"/>
        <w:rPr>
          <w:rFonts w:ascii="Calibri" w:eastAsia="Calibri" w:hAnsi="Calibri" w:cs="Calibri"/>
          <w:bCs/>
          <w:i/>
          <w:color w:val="000000"/>
          <w:u w:val="single"/>
          <w:lang w:val="ro-RO" w:eastAsia="zh-CN"/>
        </w:rPr>
      </w:pPr>
      <w:r w:rsidRPr="00AF3608">
        <w:rPr>
          <w:rFonts w:ascii="Calibri" w:eastAsia="Calibri" w:hAnsi="Calibri" w:cs="Calibri"/>
          <w:bCs/>
          <w:i/>
          <w:color w:val="000000"/>
          <w:u w:val="single"/>
          <w:lang w:val="ro-RO" w:eastAsia="zh-CN"/>
        </w:rPr>
        <w:t>Activități derulate ca răspuns la criza cauzată de pandemia de COVID-19:</w:t>
      </w:r>
    </w:p>
    <w:p w:rsidR="002C43A5" w:rsidRPr="00AF3608" w:rsidRDefault="002C43A5" w:rsidP="00B723C0">
      <w:pPr>
        <w:spacing w:before="120"/>
        <w:jc w:val="both"/>
        <w:rPr>
          <w:rFonts w:ascii="Calibri" w:hAnsi="Calibri" w:cs="Calibri"/>
          <w:color w:val="000000"/>
          <w:lang w:val="ro-RO"/>
        </w:rPr>
      </w:pPr>
      <w:r w:rsidRPr="00AF3608">
        <w:rPr>
          <w:rFonts w:ascii="Calibri" w:hAnsi="Calibri" w:cs="Calibri"/>
          <w:color w:val="000000"/>
          <w:lang w:val="ro-RO"/>
        </w:rPr>
        <w:t>- nedatorarea dobânzilor și penalitãților pentru obligațiile fiscale scadente începând cu luna martie 2020, pânã la 25 decembrie 2020;</w:t>
      </w:r>
    </w:p>
    <w:p w:rsidR="002C43A5" w:rsidRPr="00AF3608" w:rsidRDefault="002C43A5" w:rsidP="00B723C0">
      <w:pPr>
        <w:spacing w:before="120"/>
        <w:jc w:val="both"/>
        <w:rPr>
          <w:rFonts w:ascii="Calibri" w:hAnsi="Calibri" w:cs="Calibri"/>
          <w:color w:val="000000"/>
          <w:lang w:val="ro-RO"/>
        </w:rPr>
      </w:pPr>
      <w:r w:rsidRPr="00AF3608">
        <w:rPr>
          <w:rFonts w:ascii="Calibri" w:hAnsi="Calibri" w:cs="Calibri"/>
          <w:color w:val="000000"/>
          <w:lang w:val="ro-RO"/>
        </w:rPr>
        <w:t>- au fost suspendate termenele stabilite pentru îndeplinirea condițiilor de menținere a valabilitãții înlesnirilor la platã, pe perioada stãrii de urgențã și ulterior acesteia pânã la data de 25 decembrie 2020;</w:t>
      </w:r>
    </w:p>
    <w:p w:rsidR="002C43A5" w:rsidRPr="00AF3608" w:rsidRDefault="002C43A5" w:rsidP="00B723C0">
      <w:pPr>
        <w:spacing w:before="120"/>
        <w:jc w:val="both"/>
        <w:rPr>
          <w:rFonts w:ascii="Calibri" w:hAnsi="Calibri" w:cs="Calibri"/>
          <w:color w:val="000000"/>
          <w:lang w:val="ro-RO"/>
        </w:rPr>
      </w:pPr>
      <w:r w:rsidRPr="00AF3608">
        <w:rPr>
          <w:rFonts w:ascii="Calibri" w:hAnsi="Calibri" w:cs="Calibri"/>
          <w:color w:val="000000"/>
          <w:lang w:val="ro-RO"/>
        </w:rPr>
        <w:t xml:space="preserve">- au fost suspendate mãsurile de executare silitã a creanțelor bugetare, pe perioada stãrii de urgențã și, ulterior acesteia pânã la data de 25 decembrie 2020.Excepție de la aceastã regulã au fost </w:t>
      </w:r>
      <w:r w:rsidRPr="00AF3608">
        <w:rPr>
          <w:rFonts w:ascii="Calibri" w:hAnsi="Calibri" w:cs="Calibri"/>
          <w:color w:val="000000"/>
          <w:lang w:val="ro-RO"/>
        </w:rPr>
        <w:lastRenderedPageBreak/>
        <w:t>executãrile silite care se aplicã pentru recuperarea creanțelor bugetare stabilite prin hotãrâri judecãtorești pronunțate în materie penalã și executãrile silite care se realizeazãpentru ajutoarele de stat a cãror recuperare a fost dispusã printr –o decizie a Comisiei Europene/furnizorului ajutorului de stat sau a unei instanțe naționale;</w:t>
      </w:r>
    </w:p>
    <w:p w:rsidR="002C43A5" w:rsidRPr="00AF3608" w:rsidRDefault="002C43A5" w:rsidP="00B723C0">
      <w:pPr>
        <w:spacing w:before="120"/>
        <w:jc w:val="both"/>
        <w:rPr>
          <w:rFonts w:ascii="Calibri" w:hAnsi="Calibri" w:cs="Calibri"/>
          <w:color w:val="000000"/>
          <w:lang w:val="ro-RO"/>
        </w:rPr>
      </w:pPr>
      <w:r w:rsidRPr="00AF3608">
        <w:rPr>
          <w:rFonts w:ascii="Calibri" w:hAnsi="Calibri" w:cs="Calibri"/>
          <w:color w:val="000000"/>
          <w:lang w:val="ro-RO"/>
        </w:rPr>
        <w:t>- au fost suspendate sau nu au început termenele de prescripție a dreptului organului fiscal de a stabili creanțe fiscale și de a cere executarea silitã, precum și termenul de prescripție al contribuabilului/plãtitorului de a cere restituirea creanțelor fiscale, prevãzute de Codul de procedurã fiscalã, pe perioada stãrii de urgențã și ulterior acesteia pânã la data de 25 decembrie 2020;</w:t>
      </w:r>
    </w:p>
    <w:p w:rsidR="002C43A5" w:rsidRPr="00AF3608" w:rsidRDefault="002C43A5" w:rsidP="00B723C0">
      <w:pPr>
        <w:spacing w:before="120"/>
        <w:jc w:val="both"/>
        <w:rPr>
          <w:rFonts w:ascii="Calibri" w:hAnsi="Calibri" w:cs="Calibri"/>
          <w:color w:val="000000"/>
          <w:lang w:val="ro-RO"/>
        </w:rPr>
      </w:pPr>
      <w:r w:rsidRPr="00AF3608">
        <w:rPr>
          <w:rFonts w:ascii="Calibri" w:hAnsi="Calibri" w:cs="Calibri"/>
          <w:color w:val="000000"/>
          <w:lang w:val="ro-RO"/>
        </w:rPr>
        <w:t>- s-a reglementat faptul cã solicitarea la rambursare prin deconturile cu sumã negativã de taxã pe valoarea adãugatã cu opțiune de rambursare, depuse în cadrul termenului legal de depunere, sã se facã cu efectuarea ulterior a inspecției fiscale, pânã la data de 31 martie 2021;</w:t>
      </w:r>
    </w:p>
    <w:p w:rsidR="002C43A5" w:rsidRPr="00AF3608" w:rsidRDefault="002C43A5" w:rsidP="00B723C0">
      <w:pPr>
        <w:spacing w:before="120"/>
        <w:jc w:val="both"/>
        <w:rPr>
          <w:rFonts w:ascii="Calibri" w:hAnsi="Calibri" w:cs="Calibri"/>
          <w:color w:val="000000"/>
          <w:lang w:val="ro-RO"/>
        </w:rPr>
      </w:pPr>
      <w:r w:rsidRPr="00AF3608">
        <w:rPr>
          <w:rFonts w:ascii="Calibri" w:hAnsi="Calibri" w:cs="Calibri"/>
          <w:color w:val="000000"/>
          <w:lang w:val="ro-RO"/>
        </w:rPr>
        <w:t>- s-au  instituit mãsuri de acordare a unor facilitãți fiscale care vizeazã toți contribuabilii care au datorii restante la 31 martie 2020(persoane fizice, juridice, persoane fizice care desfãșoarã activitãți economice sau profesii libere, entitãți fãrã personalitate juridicã, instituții publice, etc.) respectiv de anulare a accesoriilor datorate cu condiția achitãrii obligațiilor bugetare principale și a obligațiilor bugetare;În acest caz cererea de anulare a accesoriilor se poate depune pânã la 31 martie 2021;</w:t>
      </w:r>
    </w:p>
    <w:p w:rsidR="002C43A5" w:rsidRPr="00AF3608" w:rsidRDefault="002C43A5" w:rsidP="00B723C0">
      <w:pPr>
        <w:tabs>
          <w:tab w:val="left" w:pos="426"/>
        </w:tabs>
        <w:spacing w:before="120"/>
        <w:ind w:left="98"/>
        <w:jc w:val="both"/>
        <w:rPr>
          <w:rFonts w:ascii="Calibri" w:hAnsi="Calibri" w:cs="Calibri"/>
          <w:color w:val="000000"/>
          <w:lang w:val="ro-RO"/>
        </w:rPr>
      </w:pPr>
      <w:r w:rsidRPr="00AF3608">
        <w:rPr>
          <w:rFonts w:ascii="Calibri" w:hAnsi="Calibri" w:cs="Calibri"/>
          <w:color w:val="000000"/>
          <w:lang w:val="ro-RO"/>
        </w:rPr>
        <w:t>- s-au flexibilizat condițiile de accesare a restructurãrii obligațiilor bugetare, prin adoptarea unor prevederi prin care sã se reglementeze: includerea în sfera obligațiilor bugetare pentru care se poate acorda restructurarea obligațiilor bugetare restante pânã la 31 decembrie 2020, prelungirea termenului de depunere a notificãrilor privind intenția de a beneficia de restructurarea obligațiilor bugetare pânã la 31 martie 2021, iar cererea de restructurare sã poatã fi depusã pânã la data de 30 iunie 2021;</w:t>
      </w:r>
    </w:p>
    <w:p w:rsidR="002C43A5" w:rsidRPr="00AF3608" w:rsidRDefault="002C43A5" w:rsidP="00B723C0">
      <w:pPr>
        <w:spacing w:before="120"/>
        <w:jc w:val="both"/>
        <w:rPr>
          <w:rFonts w:ascii="Calibri" w:hAnsi="Calibri" w:cs="Calibri"/>
          <w:color w:val="000000"/>
          <w:lang w:val="ro-RO"/>
        </w:rPr>
      </w:pPr>
      <w:r w:rsidRPr="00AF3608">
        <w:rPr>
          <w:rFonts w:ascii="Calibri" w:hAnsi="Calibri" w:cs="Calibri"/>
          <w:color w:val="000000"/>
          <w:lang w:val="ro-RO"/>
        </w:rPr>
        <w:t>- s-a reglementat o procedură simplificată de acordare a eșalonãrii la platã pentru cel mult 12 luni, pentru obligațiile bugetare principale și accesorii a cãror scadențã/termen de platã se împlinește dupã declarãrii stãrii de urgențã pânã la data eliberãrii certificatului de atestare fiscalã, dacã sunt îndeplinite anumite condiții; Cererea de acordare a eșalonãrii se poate depune pânã la 31 martie 2021.</w:t>
      </w:r>
    </w:p>
    <w:p w:rsidR="008579BD" w:rsidRPr="00AF3608" w:rsidRDefault="008579BD" w:rsidP="00B723C0">
      <w:pPr>
        <w:suppressAutoHyphens/>
        <w:spacing w:before="120"/>
        <w:jc w:val="both"/>
        <w:rPr>
          <w:rFonts w:asciiTheme="minorHAnsi" w:hAnsiTheme="minorHAnsi" w:cstheme="minorHAnsi"/>
          <w:kern w:val="1"/>
          <w:lang w:val="ro-RO" w:eastAsia="zh-CN"/>
        </w:rPr>
      </w:pPr>
    </w:p>
    <w:p w:rsidR="005F3BD1" w:rsidRPr="00AF3608" w:rsidRDefault="005F3BD1" w:rsidP="00B723C0">
      <w:pPr>
        <w:suppressAutoHyphens/>
        <w:spacing w:before="120"/>
        <w:jc w:val="both"/>
        <w:rPr>
          <w:rFonts w:asciiTheme="minorHAnsi" w:hAnsiTheme="minorHAnsi" w:cstheme="minorHAnsi"/>
          <w:kern w:val="1"/>
          <w:lang w:val="ro-RO" w:eastAsia="zh-CN"/>
        </w:rPr>
      </w:pPr>
    </w:p>
    <w:p w:rsidR="00CD226D" w:rsidRPr="00AF3608" w:rsidRDefault="00CD226D" w:rsidP="00B723C0">
      <w:pPr>
        <w:shd w:val="clear" w:color="auto" w:fill="00B0F0"/>
        <w:suppressAutoHyphens/>
        <w:spacing w:before="120"/>
        <w:jc w:val="both"/>
        <w:rPr>
          <w:rFonts w:asciiTheme="minorHAnsi" w:hAnsiTheme="minorHAnsi" w:cstheme="minorHAnsi"/>
          <w:b/>
          <w:bCs/>
          <w:color w:val="002060"/>
          <w:kern w:val="1"/>
          <w:lang w:val="ro-RO" w:eastAsia="zh-CN"/>
        </w:rPr>
      </w:pPr>
      <w:r w:rsidRPr="00AF3608">
        <w:rPr>
          <w:rFonts w:asciiTheme="minorHAnsi" w:hAnsiTheme="minorHAnsi" w:cstheme="minorHAnsi"/>
          <w:b/>
          <w:bCs/>
          <w:color w:val="002060"/>
          <w:kern w:val="1"/>
          <w:lang w:val="ro-RO" w:eastAsia="zh-CN"/>
        </w:rPr>
        <w:t>4.2. Scurtă caracterizare a po</w:t>
      </w:r>
      <w:r w:rsidR="00FF4F37" w:rsidRPr="00AF3608">
        <w:rPr>
          <w:rFonts w:asciiTheme="minorHAnsi" w:hAnsiTheme="minorHAnsi" w:cstheme="minorHAnsi"/>
          <w:b/>
          <w:bCs/>
          <w:color w:val="002060"/>
          <w:kern w:val="1"/>
          <w:lang w:val="ro-RO" w:eastAsia="zh-CN"/>
        </w:rPr>
        <w:t>liticii fiscale pe perioada 2021-2023</w:t>
      </w:r>
      <w:r w:rsidRPr="00AF3608">
        <w:rPr>
          <w:rFonts w:asciiTheme="minorHAnsi" w:hAnsiTheme="minorHAnsi" w:cstheme="minorHAnsi"/>
          <w:b/>
          <w:bCs/>
          <w:color w:val="002060"/>
          <w:kern w:val="1"/>
          <w:lang w:val="ro-RO" w:eastAsia="zh-CN"/>
        </w:rPr>
        <w:t>, principalele obiective pe termen mediu</w:t>
      </w:r>
    </w:p>
    <w:p w:rsidR="001C2FA9" w:rsidRPr="00AF3608" w:rsidRDefault="001C2FA9" w:rsidP="00342B08">
      <w:pPr>
        <w:spacing w:before="120"/>
        <w:jc w:val="both"/>
        <w:rPr>
          <w:rFonts w:ascii="Calibri" w:hAnsi="Calibri" w:cs="Arial"/>
          <w:bCs/>
          <w:color w:val="000000"/>
          <w:lang w:val="ro-RO"/>
        </w:rPr>
      </w:pPr>
      <w:r w:rsidRPr="00AF3608">
        <w:rPr>
          <w:rFonts w:ascii="Calibri" w:hAnsi="Calibri" w:cs="Arial"/>
          <w:color w:val="000000"/>
          <w:lang w:val="ro-RO"/>
        </w:rPr>
        <w:t>Principalele obiective ale politicii fiscale avute în vedere pe termen mediu vizează în principal următoarele aspecte</w:t>
      </w:r>
      <w:r w:rsidRPr="00AF3608">
        <w:rPr>
          <w:rFonts w:ascii="Calibri" w:hAnsi="Calibri" w:cs="Arial"/>
          <w:bCs/>
          <w:color w:val="000000"/>
          <w:lang w:val="ro-RO"/>
        </w:rPr>
        <w:t>:</w:t>
      </w:r>
    </w:p>
    <w:p w:rsidR="001C2FA9" w:rsidRPr="00AF3608" w:rsidRDefault="001C2FA9" w:rsidP="00342B08">
      <w:pPr>
        <w:numPr>
          <w:ilvl w:val="0"/>
          <w:numId w:val="120"/>
        </w:numPr>
        <w:tabs>
          <w:tab w:val="clear" w:pos="360"/>
          <w:tab w:val="num" w:pos="0"/>
          <w:tab w:val="left" w:pos="284"/>
          <w:tab w:val="num" w:pos="426"/>
          <w:tab w:val="left" w:pos="709"/>
        </w:tabs>
        <w:suppressAutoHyphens/>
        <w:autoSpaceDE w:val="0"/>
        <w:spacing w:before="120"/>
        <w:ind w:left="284" w:firstLine="0"/>
        <w:jc w:val="both"/>
        <w:rPr>
          <w:rFonts w:ascii="Calibri" w:hAnsi="Calibri" w:cs="Arial"/>
          <w:lang w:val="ro-RO"/>
        </w:rPr>
      </w:pPr>
      <w:r w:rsidRPr="00AF3608">
        <w:rPr>
          <w:rFonts w:ascii="Calibri" w:hAnsi="Calibri" w:cs="Arial"/>
          <w:lang w:val="ro-RO"/>
        </w:rPr>
        <w:t>Implementarea măsurilor cuprinse în Programul de guvernare 2020-2024, pe măsură ce spațiul fiscal-bugetar va permite;</w:t>
      </w:r>
    </w:p>
    <w:p w:rsidR="001C2FA9" w:rsidRPr="00AF3608" w:rsidRDefault="001C2FA9" w:rsidP="00342B08">
      <w:pPr>
        <w:numPr>
          <w:ilvl w:val="0"/>
          <w:numId w:val="120"/>
        </w:numPr>
        <w:tabs>
          <w:tab w:val="clear" w:pos="360"/>
          <w:tab w:val="num" w:pos="0"/>
          <w:tab w:val="left" w:pos="284"/>
          <w:tab w:val="num" w:pos="426"/>
          <w:tab w:val="left" w:pos="709"/>
        </w:tabs>
        <w:suppressAutoHyphens/>
        <w:autoSpaceDE w:val="0"/>
        <w:spacing w:before="120"/>
        <w:ind w:left="284" w:firstLine="0"/>
        <w:jc w:val="both"/>
        <w:rPr>
          <w:rFonts w:ascii="Calibri" w:hAnsi="Calibri" w:cs="Arial"/>
          <w:color w:val="000000"/>
          <w:lang w:val="ro-RO"/>
        </w:rPr>
      </w:pPr>
      <w:r w:rsidRPr="00AF3608">
        <w:rPr>
          <w:rFonts w:ascii="Calibri" w:hAnsi="Calibri" w:cs="Arial"/>
          <w:bCs/>
          <w:color w:val="000000"/>
          <w:lang w:val="ro-RO"/>
        </w:rPr>
        <w:t>Continuarea perfecționării legislației pentru a corespunde criteriilor de armonizare cu legislația comunitară, prin transpunerea în legislația națională a măsurilor adoptate la nivel european. Sunt avute în vedere și inițiativele propuse de Comisia Europeană în cadrul „Planului de acțiune pentru o fiscalitate echitabilă și simplificată în sprijinul strategiei de redresare” care au ca scop reducerea sarcinilor administrative la nivelul statelor membre și al contribuabililor, precum și simplificarea prevederilor legislative și a obligațiilor de înregistrare și raportare în domeniul TVA;</w:t>
      </w:r>
    </w:p>
    <w:p w:rsidR="001C2FA9" w:rsidRPr="00AF3608" w:rsidRDefault="001C2FA9" w:rsidP="00342B08">
      <w:pPr>
        <w:numPr>
          <w:ilvl w:val="0"/>
          <w:numId w:val="120"/>
        </w:numPr>
        <w:tabs>
          <w:tab w:val="clear" w:pos="360"/>
          <w:tab w:val="left" w:pos="-567"/>
          <w:tab w:val="num" w:pos="-76"/>
          <w:tab w:val="num" w:pos="0"/>
          <w:tab w:val="left" w:pos="284"/>
          <w:tab w:val="num" w:pos="426"/>
          <w:tab w:val="left" w:pos="709"/>
          <w:tab w:val="left" w:pos="851"/>
          <w:tab w:val="left" w:pos="993"/>
        </w:tabs>
        <w:suppressAutoHyphens/>
        <w:spacing w:before="120"/>
        <w:ind w:left="284" w:firstLine="0"/>
        <w:jc w:val="both"/>
        <w:rPr>
          <w:rFonts w:ascii="Calibri" w:hAnsi="Calibri" w:cs="Arial"/>
          <w:color w:val="000000"/>
          <w:lang w:val="ro-RO"/>
        </w:rPr>
      </w:pPr>
      <w:r w:rsidRPr="00AF3608">
        <w:rPr>
          <w:rFonts w:ascii="Calibri" w:hAnsi="Calibri" w:cs="Arial"/>
          <w:color w:val="000000"/>
          <w:lang w:val="ro-RO"/>
        </w:rPr>
        <w:t>Îmbunătățirea și simplificarea legislației fiscale, ca urmare a dialogului cu mediul de afaceri;</w:t>
      </w:r>
    </w:p>
    <w:p w:rsidR="001C2FA9" w:rsidRPr="00AF3608" w:rsidRDefault="001C2FA9" w:rsidP="00342B08">
      <w:pPr>
        <w:numPr>
          <w:ilvl w:val="0"/>
          <w:numId w:val="120"/>
        </w:numPr>
        <w:tabs>
          <w:tab w:val="clear" w:pos="360"/>
          <w:tab w:val="left" w:pos="-567"/>
          <w:tab w:val="num" w:pos="-76"/>
          <w:tab w:val="num" w:pos="0"/>
          <w:tab w:val="left" w:pos="284"/>
          <w:tab w:val="num" w:pos="426"/>
          <w:tab w:val="left" w:pos="709"/>
          <w:tab w:val="left" w:pos="851"/>
          <w:tab w:val="left" w:pos="993"/>
        </w:tabs>
        <w:suppressAutoHyphens/>
        <w:spacing w:before="120"/>
        <w:ind w:left="284" w:firstLine="0"/>
        <w:jc w:val="both"/>
        <w:rPr>
          <w:rFonts w:ascii="Calibri" w:eastAsia="Arial" w:hAnsi="Calibri" w:cs="Arial"/>
          <w:color w:val="000000"/>
          <w:lang w:val="ro-RO"/>
        </w:rPr>
      </w:pPr>
      <w:r w:rsidRPr="00AF3608">
        <w:rPr>
          <w:rFonts w:ascii="Calibri" w:hAnsi="Calibri" w:cs="Arial"/>
          <w:color w:val="000000"/>
          <w:lang w:val="ro-RO"/>
        </w:rPr>
        <w:lastRenderedPageBreak/>
        <w:t>Perfecționarea legislației în funcție de fenomenele evazioniste, în vederea contracarării acestora;</w:t>
      </w:r>
    </w:p>
    <w:p w:rsidR="001C2FA9" w:rsidRPr="00AF3608" w:rsidRDefault="001C2FA9" w:rsidP="00342B08">
      <w:pPr>
        <w:numPr>
          <w:ilvl w:val="0"/>
          <w:numId w:val="120"/>
        </w:numPr>
        <w:tabs>
          <w:tab w:val="clear" w:pos="360"/>
          <w:tab w:val="left" w:pos="-567"/>
          <w:tab w:val="num" w:pos="-76"/>
          <w:tab w:val="num" w:pos="0"/>
          <w:tab w:val="left" w:pos="284"/>
          <w:tab w:val="num" w:pos="426"/>
          <w:tab w:val="left" w:pos="709"/>
          <w:tab w:val="left" w:pos="851"/>
          <w:tab w:val="left" w:pos="993"/>
        </w:tabs>
        <w:suppressAutoHyphens/>
        <w:spacing w:before="120"/>
        <w:ind w:left="284" w:firstLine="0"/>
        <w:jc w:val="both"/>
        <w:rPr>
          <w:rFonts w:ascii="Calibri" w:eastAsia="Arial" w:hAnsi="Calibri" w:cs="Arial"/>
          <w:color w:val="000000"/>
          <w:lang w:val="ro-RO"/>
        </w:rPr>
      </w:pPr>
      <w:r w:rsidRPr="00AF3608">
        <w:rPr>
          <w:rFonts w:ascii="Calibri" w:hAnsi="Calibri" w:cs="Arial"/>
          <w:bCs/>
          <w:color w:val="000000"/>
          <w:lang w:val="ro-RO"/>
        </w:rPr>
        <w:t>Pregătirea unor reforme în domeniul fiscal care vor contribui la o creștere economică sustenabilă pe termen mediu și lung.</w:t>
      </w:r>
    </w:p>
    <w:p w:rsidR="00342B08" w:rsidRDefault="00342B08" w:rsidP="00342B08">
      <w:pPr>
        <w:spacing w:before="120"/>
        <w:jc w:val="both"/>
        <w:rPr>
          <w:rFonts w:ascii="Calibri" w:hAnsi="Calibri" w:cs="Arial"/>
          <w:b/>
          <w:bCs/>
          <w:color w:val="000000"/>
          <w:lang w:val="ro-RO"/>
        </w:rPr>
      </w:pPr>
    </w:p>
    <w:p w:rsidR="001C2FA9" w:rsidRPr="00AF3608" w:rsidRDefault="001C2FA9" w:rsidP="00342B08">
      <w:pPr>
        <w:spacing w:before="120"/>
        <w:jc w:val="both"/>
        <w:rPr>
          <w:rFonts w:ascii="Calibri" w:hAnsi="Calibri" w:cs="Arial"/>
          <w:b/>
          <w:bCs/>
          <w:color w:val="000000"/>
          <w:lang w:val="ro-RO"/>
        </w:rPr>
      </w:pPr>
      <w:r w:rsidRPr="00AF3608">
        <w:rPr>
          <w:rFonts w:ascii="Calibri" w:hAnsi="Calibri" w:cs="Arial"/>
          <w:b/>
          <w:bCs/>
          <w:color w:val="000000"/>
          <w:lang w:val="ro-RO"/>
        </w:rPr>
        <w:t>Urmărind obiectivele prezentate, principalele măsuri avute în vedere sunt:</w:t>
      </w:r>
    </w:p>
    <w:p w:rsidR="001C2FA9" w:rsidRPr="00AF3608" w:rsidRDefault="001C2FA9" w:rsidP="00342B08">
      <w:pPr>
        <w:spacing w:before="120"/>
        <w:jc w:val="both"/>
        <w:rPr>
          <w:rFonts w:ascii="Calibri" w:eastAsia="Arial" w:hAnsi="Calibri" w:cs="Arial"/>
          <w:color w:val="000000"/>
          <w:lang w:val="ro-RO"/>
        </w:rPr>
      </w:pPr>
      <w:r w:rsidRPr="00AF3608">
        <w:rPr>
          <w:rFonts w:ascii="Calibri" w:hAnsi="Calibri" w:cs="Arial"/>
          <w:b/>
          <w:bCs/>
          <w:color w:val="000000"/>
          <w:lang w:val="ro-RO"/>
        </w:rPr>
        <w:t>◊</w:t>
      </w:r>
      <w:r w:rsidRPr="00AF3608">
        <w:rPr>
          <w:rFonts w:ascii="Calibri" w:eastAsia="Arial" w:hAnsi="Calibri" w:cs="Arial"/>
          <w:b/>
          <w:color w:val="000000"/>
          <w:lang w:val="ro-RO"/>
        </w:rPr>
        <w:t xml:space="preserve"> </w:t>
      </w:r>
      <w:r w:rsidRPr="00AF3608">
        <w:rPr>
          <w:rFonts w:ascii="Calibri" w:hAnsi="Calibri" w:cs="Arial"/>
          <w:b/>
          <w:color w:val="000000"/>
          <w:lang w:val="ro-RO"/>
        </w:rPr>
        <w:t>În domeniul</w:t>
      </w:r>
      <w:r w:rsidRPr="00AF3608">
        <w:rPr>
          <w:rFonts w:ascii="Calibri" w:hAnsi="Calibri" w:cs="Arial"/>
          <w:b/>
          <w:bCs/>
          <w:color w:val="000000"/>
          <w:lang w:val="ro-RO"/>
        </w:rPr>
        <w:t xml:space="preserve"> i</w:t>
      </w:r>
      <w:r w:rsidRPr="00AF3608">
        <w:rPr>
          <w:rFonts w:ascii="Calibri" w:eastAsia="Arial" w:hAnsi="Calibri" w:cs="Arial"/>
          <w:b/>
          <w:bCs/>
          <w:color w:val="000000"/>
          <w:lang w:val="ro-RO"/>
        </w:rPr>
        <w:t>mpozitului pe profit</w:t>
      </w:r>
      <w:r w:rsidRPr="00AF3608">
        <w:rPr>
          <w:rFonts w:ascii="Calibri" w:eastAsia="Arial" w:hAnsi="Calibri" w:cs="Arial"/>
          <w:color w:val="000000"/>
          <w:lang w:val="ro-RO"/>
        </w:rPr>
        <w:t xml:space="preserve"> – revizuirea sistemului de provizioane aplicabile domeniilor de activitate.</w:t>
      </w:r>
    </w:p>
    <w:p w:rsidR="005D7C40" w:rsidRPr="00AF3608" w:rsidRDefault="001C2FA9" w:rsidP="00342B08">
      <w:pPr>
        <w:autoSpaceDE w:val="0"/>
        <w:autoSpaceDN w:val="0"/>
        <w:adjustRightInd w:val="0"/>
        <w:spacing w:before="120"/>
        <w:jc w:val="both"/>
        <w:rPr>
          <w:rFonts w:ascii="Calibri" w:hAnsi="Calibri" w:cs="Arial"/>
          <w:b/>
          <w:bCs/>
          <w:color w:val="000000"/>
          <w:lang w:val="ro-RO"/>
        </w:rPr>
      </w:pPr>
      <w:r w:rsidRPr="00AF3608">
        <w:rPr>
          <w:rFonts w:ascii="Calibri" w:hAnsi="Calibri" w:cs="Arial"/>
          <w:b/>
          <w:bCs/>
          <w:i/>
          <w:color w:val="000000"/>
          <w:lang w:val="ro-RO"/>
        </w:rPr>
        <w:t>◊</w:t>
      </w:r>
      <w:r w:rsidRPr="00AF3608">
        <w:rPr>
          <w:rFonts w:ascii="Calibri" w:eastAsia="Arial" w:hAnsi="Calibri" w:cs="Arial"/>
          <w:b/>
          <w:i/>
          <w:color w:val="000000"/>
          <w:lang w:val="ro-RO"/>
        </w:rPr>
        <w:t xml:space="preserve"> </w:t>
      </w:r>
      <w:r w:rsidRPr="00AF3608">
        <w:rPr>
          <w:rFonts w:ascii="Calibri" w:hAnsi="Calibri" w:cs="Arial"/>
          <w:b/>
          <w:color w:val="000000"/>
          <w:lang w:val="ro-RO"/>
        </w:rPr>
        <w:t>În domeniul i</w:t>
      </w:r>
      <w:r w:rsidRPr="00AF3608">
        <w:rPr>
          <w:rFonts w:ascii="Calibri" w:hAnsi="Calibri" w:cs="Arial"/>
          <w:b/>
          <w:bCs/>
          <w:color w:val="000000"/>
          <w:lang w:val="ro-RO"/>
        </w:rPr>
        <w:t>mpozitului pe venit</w:t>
      </w:r>
      <w:r w:rsidRPr="00AF3608">
        <w:rPr>
          <w:rFonts w:ascii="Calibri" w:hAnsi="Calibri" w:cs="Arial"/>
          <w:color w:val="000000"/>
          <w:lang w:val="ro-RO"/>
        </w:rPr>
        <w:t xml:space="preserve">, </w:t>
      </w:r>
      <w:r w:rsidRPr="00AF3608">
        <w:rPr>
          <w:rFonts w:ascii="Calibri" w:hAnsi="Calibri" w:cs="Arial"/>
          <w:b/>
          <w:bCs/>
          <w:color w:val="000000"/>
          <w:lang w:val="ro-RO"/>
        </w:rPr>
        <w:t>contribuţiilor sociale obligatorii,</w:t>
      </w:r>
      <w:r w:rsidRPr="00AF3608">
        <w:rPr>
          <w:rFonts w:ascii="Calibri" w:hAnsi="Calibri" w:cs="Arial"/>
          <w:color w:val="000000"/>
          <w:lang w:val="ro-RO"/>
        </w:rPr>
        <w:t xml:space="preserve"> </w:t>
      </w:r>
      <w:r w:rsidRPr="00AF3608">
        <w:rPr>
          <w:rFonts w:ascii="Calibri" w:hAnsi="Calibri" w:cs="Arial"/>
          <w:b/>
          <w:bCs/>
          <w:color w:val="000000"/>
          <w:lang w:val="ro-RO"/>
        </w:rPr>
        <w:t>impozitului pe veniturile obţinute din România de nerezidenţi şi impozitului pe reprezentanţele firmelor</w:t>
      </w:r>
      <w:r w:rsidR="005D7C40" w:rsidRPr="00AF3608">
        <w:rPr>
          <w:rFonts w:ascii="Calibri" w:hAnsi="Calibri" w:cs="Arial"/>
          <w:b/>
          <w:bCs/>
          <w:color w:val="000000"/>
          <w:lang w:val="ro-RO"/>
        </w:rPr>
        <w:t xml:space="preserve"> străine înfiinţate în România:</w:t>
      </w:r>
    </w:p>
    <w:p w:rsidR="005D7C40" w:rsidRPr="00AF3608" w:rsidRDefault="001C2FA9" w:rsidP="00342B08">
      <w:pPr>
        <w:pStyle w:val="ListParagraph"/>
        <w:numPr>
          <w:ilvl w:val="0"/>
          <w:numId w:val="117"/>
        </w:numPr>
        <w:autoSpaceDE w:val="0"/>
        <w:autoSpaceDN w:val="0"/>
        <w:adjustRightInd w:val="0"/>
        <w:spacing w:before="120" w:line="240" w:lineRule="auto"/>
        <w:contextualSpacing w:val="0"/>
        <w:jc w:val="both"/>
        <w:rPr>
          <w:rFonts w:ascii="Calibri" w:hAnsi="Calibri" w:cs="Arial"/>
          <w:b/>
          <w:bCs/>
          <w:color w:val="000000"/>
        </w:rPr>
      </w:pPr>
      <w:r w:rsidRPr="00AF3608">
        <w:rPr>
          <w:rFonts w:ascii="Calibri" w:hAnsi="Calibri" w:cs="Arial"/>
          <w:color w:val="000000"/>
        </w:rPr>
        <w:t>Elaborarea unui studiu de impact privind posibile facilităţi fiscale în vederea reformării impozitării muncii, inclusiv reducerea contribuţiilor şi impozitelor pe echivalentul salariului minim, şi începând cu anul 2022 pilotarea pentru doi ani pe un sector al economiei cel mai bine plasat în urma studiului de impact. Prelungirea şi/sau generalizarea măsurii va fi determinată de rezultatele înregistrate în urma pilotării la doi ani de la intrarea în vigoare în condiţiile unui deficit sub 3% sau doi ani de creştere economică peste potential;</w:t>
      </w:r>
    </w:p>
    <w:p w:rsidR="001C2FA9" w:rsidRPr="00AF3608" w:rsidRDefault="001C2FA9" w:rsidP="00342B08">
      <w:pPr>
        <w:pStyle w:val="ListParagraph"/>
        <w:numPr>
          <w:ilvl w:val="0"/>
          <w:numId w:val="117"/>
        </w:numPr>
        <w:autoSpaceDE w:val="0"/>
        <w:autoSpaceDN w:val="0"/>
        <w:adjustRightInd w:val="0"/>
        <w:spacing w:before="120" w:line="240" w:lineRule="auto"/>
        <w:contextualSpacing w:val="0"/>
        <w:jc w:val="both"/>
        <w:rPr>
          <w:rFonts w:ascii="Calibri" w:hAnsi="Calibri" w:cs="Arial"/>
          <w:b/>
          <w:bCs/>
          <w:color w:val="000000"/>
        </w:rPr>
      </w:pPr>
      <w:r w:rsidRPr="00AF3608">
        <w:rPr>
          <w:rFonts w:ascii="Calibri" w:hAnsi="Calibri" w:cs="Arial"/>
          <w:bCs/>
          <w:color w:val="000000"/>
        </w:rPr>
        <w:t>Continuarea demersurilor privind ratificarea de către partea română a Convenției multilaterale pentru implementarea în cadrul tratatelor fiscale a măsurilor legate de prevenirea erodării bazei impozabile și transferul profiturilor.</w:t>
      </w:r>
    </w:p>
    <w:p w:rsidR="001C2FA9" w:rsidRPr="00AF3608" w:rsidRDefault="001C2FA9" w:rsidP="00342B08">
      <w:pPr>
        <w:tabs>
          <w:tab w:val="left" w:pos="709"/>
        </w:tabs>
        <w:autoSpaceDE w:val="0"/>
        <w:spacing w:before="120"/>
        <w:jc w:val="both"/>
        <w:rPr>
          <w:rFonts w:ascii="Calibri" w:hAnsi="Calibri" w:cs="Arial"/>
          <w:b/>
          <w:color w:val="000000"/>
          <w:lang w:val="ro-RO"/>
        </w:rPr>
      </w:pPr>
      <w:r w:rsidRPr="00AF3608">
        <w:rPr>
          <w:rFonts w:ascii="Calibri" w:hAnsi="Calibri" w:cs="Arial"/>
          <w:b/>
          <w:bCs/>
          <w:i/>
          <w:color w:val="000000"/>
          <w:lang w:val="ro-RO"/>
        </w:rPr>
        <w:t>◊</w:t>
      </w:r>
      <w:r w:rsidRPr="00AF3608">
        <w:rPr>
          <w:rFonts w:ascii="Calibri" w:eastAsia="Arial" w:hAnsi="Calibri" w:cs="Arial"/>
          <w:b/>
          <w:i/>
          <w:color w:val="000000"/>
          <w:lang w:val="ro-RO"/>
        </w:rPr>
        <w:t xml:space="preserve"> </w:t>
      </w:r>
      <w:r w:rsidRPr="00AF3608">
        <w:rPr>
          <w:rFonts w:ascii="Calibri" w:hAnsi="Calibri" w:cs="Arial"/>
          <w:b/>
          <w:color w:val="000000"/>
          <w:lang w:val="ro-RO"/>
        </w:rPr>
        <w:t>În domeniul TVA:</w:t>
      </w:r>
    </w:p>
    <w:p w:rsidR="001C2FA9" w:rsidRPr="00AF3608" w:rsidRDefault="001C2FA9" w:rsidP="00342B08">
      <w:pPr>
        <w:pStyle w:val="ListParagraph"/>
        <w:numPr>
          <w:ilvl w:val="0"/>
          <w:numId w:val="117"/>
        </w:numPr>
        <w:tabs>
          <w:tab w:val="left" w:pos="709"/>
        </w:tabs>
        <w:autoSpaceDE w:val="0"/>
        <w:spacing w:before="120" w:line="240" w:lineRule="auto"/>
        <w:contextualSpacing w:val="0"/>
        <w:jc w:val="both"/>
        <w:rPr>
          <w:rFonts w:ascii="Calibri" w:hAnsi="Calibri" w:cs="Arial"/>
          <w:bCs/>
          <w:color w:val="000000"/>
        </w:rPr>
      </w:pPr>
      <w:r w:rsidRPr="00AF3608">
        <w:rPr>
          <w:rFonts w:ascii="Calibri" w:hAnsi="Calibri" w:cs="Arial"/>
          <w:bCs/>
          <w:color w:val="000000"/>
        </w:rPr>
        <w:t>Implementarea unui sistem obligatoriu de facturare electronică care să asigure creșterea eficienţei şi eficacităţii în colectarea impozitelor și taxelor, precum și prevenirea și combaterea fraudei/a evaziunii în domeniul TVA.</w:t>
      </w:r>
    </w:p>
    <w:p w:rsidR="001C2FA9" w:rsidRPr="00AF3608" w:rsidRDefault="001C2FA9" w:rsidP="00342B08">
      <w:pPr>
        <w:spacing w:before="120"/>
        <w:jc w:val="both"/>
        <w:rPr>
          <w:rFonts w:ascii="Calibri" w:hAnsi="Calibri" w:cs="Arial"/>
          <w:b/>
          <w:bCs/>
          <w:color w:val="000000"/>
          <w:lang w:val="ro-RO"/>
        </w:rPr>
      </w:pPr>
      <w:r w:rsidRPr="00AF3608">
        <w:rPr>
          <w:rFonts w:ascii="Calibri" w:eastAsia="Segoe UI Emoji" w:hAnsi="Calibri" w:cs="Arial"/>
          <w:b/>
          <w:bCs/>
          <w:color w:val="000000"/>
          <w:lang w:val="ro-RO"/>
        </w:rPr>
        <w:t xml:space="preserve">◊ </w:t>
      </w:r>
      <w:r w:rsidRPr="00AF3608">
        <w:rPr>
          <w:rFonts w:ascii="Calibri" w:hAnsi="Calibri" w:cs="Arial"/>
          <w:b/>
          <w:bCs/>
          <w:color w:val="000000"/>
          <w:lang w:val="ro-RO"/>
        </w:rPr>
        <w:t>În domeniul procedurii fiscale:</w:t>
      </w:r>
    </w:p>
    <w:p w:rsidR="005D7C40" w:rsidRPr="00AF3608" w:rsidRDefault="001C2FA9" w:rsidP="00342B08">
      <w:pPr>
        <w:spacing w:before="120"/>
        <w:jc w:val="both"/>
        <w:rPr>
          <w:rFonts w:ascii="Calibri" w:hAnsi="Calibri" w:cs="Arial"/>
          <w:color w:val="000000"/>
          <w:lang w:val="ro-RO"/>
        </w:rPr>
      </w:pPr>
      <w:r w:rsidRPr="00AF3608">
        <w:rPr>
          <w:rFonts w:ascii="Calibri" w:hAnsi="Calibri" w:cs="Arial"/>
          <w:color w:val="000000"/>
          <w:lang w:val="ro-RO"/>
        </w:rPr>
        <w:t>Măsurile fiscale din domeniul procedurii fiscale, luate în anul 2020 în vederea stopării efectelor negative ale pandemiei, în vederea sprijinirii populației și al mediului de afaceri vor continua și în anul 2021; astfel, principalele obiective pe termen mediu sunt următoarele:</w:t>
      </w:r>
    </w:p>
    <w:p w:rsidR="005D7C40" w:rsidRPr="00AF3608" w:rsidRDefault="001C2FA9" w:rsidP="00342B08">
      <w:pPr>
        <w:pStyle w:val="ListParagraph"/>
        <w:numPr>
          <w:ilvl w:val="0"/>
          <w:numId w:val="125"/>
        </w:numPr>
        <w:spacing w:before="120" w:line="240" w:lineRule="auto"/>
        <w:contextualSpacing w:val="0"/>
        <w:jc w:val="both"/>
        <w:rPr>
          <w:rFonts w:ascii="Calibri" w:hAnsi="Calibri" w:cs="Arial"/>
          <w:color w:val="000000"/>
        </w:rPr>
      </w:pPr>
      <w:r w:rsidRPr="00AF3608">
        <w:rPr>
          <w:rFonts w:ascii="Calibri" w:hAnsi="Calibri" w:cs="Arial"/>
          <w:color w:val="000000"/>
        </w:rPr>
        <w:t>solicitarea la rambursare prin deconturile cu sumã negativã de taxã pe valoarea adãugatã cu opțiune de rambursare, depuse în cadrul termenului legal de depunere, se va face cu efectuarea ulterior a inspecției fiscale, pânã la data de 31 martie 2021;</w:t>
      </w:r>
    </w:p>
    <w:p w:rsidR="005D7C40" w:rsidRPr="00AF3608" w:rsidRDefault="001C2FA9" w:rsidP="00342B08">
      <w:pPr>
        <w:pStyle w:val="ListParagraph"/>
        <w:numPr>
          <w:ilvl w:val="0"/>
          <w:numId w:val="125"/>
        </w:numPr>
        <w:spacing w:before="120" w:line="240" w:lineRule="auto"/>
        <w:contextualSpacing w:val="0"/>
        <w:jc w:val="both"/>
        <w:rPr>
          <w:rFonts w:ascii="Calibri" w:hAnsi="Calibri" w:cs="Arial"/>
          <w:color w:val="000000"/>
        </w:rPr>
      </w:pPr>
      <w:r w:rsidRPr="00AF3608">
        <w:rPr>
          <w:rFonts w:ascii="Calibri" w:hAnsi="Calibri" w:cs="Arial"/>
          <w:color w:val="000000"/>
        </w:rPr>
        <w:t>vor continua mãsurile de acordare a unor facilitãți fiscale care vizeazã toți contribuabilii care au datorii restante la 31 martie 2020 (persoane fizice, juridice, persoane fizice care desfãșoarã activitãți economice sau profesii libere, entitãți fãrã personalitate juridicã, instituții publice, etc.) respectiv de anulare a accesoriilor datorate cu condiția achitãrii obligațiilor bugetare principale și a obligațiilor bugetare;În acest caz cererea de anulare a accesoriilor se poate depune pânã la 31 martie 2021;</w:t>
      </w:r>
    </w:p>
    <w:p w:rsidR="005D7C40" w:rsidRPr="00AF3608" w:rsidRDefault="001C2FA9" w:rsidP="00342B08">
      <w:pPr>
        <w:pStyle w:val="ListParagraph"/>
        <w:numPr>
          <w:ilvl w:val="0"/>
          <w:numId w:val="125"/>
        </w:numPr>
        <w:spacing w:before="120" w:line="240" w:lineRule="auto"/>
        <w:contextualSpacing w:val="0"/>
        <w:jc w:val="both"/>
        <w:rPr>
          <w:rFonts w:ascii="Calibri" w:hAnsi="Calibri" w:cs="Arial"/>
          <w:color w:val="000000"/>
        </w:rPr>
      </w:pPr>
      <w:r w:rsidRPr="00AF3608">
        <w:rPr>
          <w:rFonts w:ascii="Calibri" w:hAnsi="Calibri" w:cs="Arial"/>
          <w:color w:val="000000"/>
        </w:rPr>
        <w:t>se va menține flexibilizarea condițiilor de accesare a restructurãrii obligațiilor bugetare, prin adoptarea unor prevederi prin care sã se reglementeze: includerea în sfera obligațiilor bugetare pentru care se poate acorda restructurarea obligațiilor bugetare restante pânã la 31 decembrie 2020, prelungirea termenului de depunere a notificãrilor privind intenția de a beneficia de restructurarea obligațiilor bugetare pânã la 31 martie 2021, iar cererea de restructurare sã poatã fi depusã pânã la data de 30 iunie 2021;</w:t>
      </w:r>
    </w:p>
    <w:p w:rsidR="005D7C40" w:rsidRPr="00AF3608" w:rsidRDefault="001C2FA9" w:rsidP="00342B08">
      <w:pPr>
        <w:pStyle w:val="ListParagraph"/>
        <w:numPr>
          <w:ilvl w:val="0"/>
          <w:numId w:val="125"/>
        </w:numPr>
        <w:spacing w:before="120" w:line="240" w:lineRule="auto"/>
        <w:contextualSpacing w:val="0"/>
        <w:jc w:val="both"/>
        <w:rPr>
          <w:rFonts w:ascii="Calibri" w:hAnsi="Calibri" w:cs="Arial"/>
          <w:color w:val="000000"/>
        </w:rPr>
      </w:pPr>
      <w:r w:rsidRPr="00AF3608">
        <w:rPr>
          <w:rFonts w:ascii="Calibri" w:hAnsi="Calibri" w:cs="Arial"/>
          <w:color w:val="000000"/>
        </w:rPr>
        <w:lastRenderedPageBreak/>
        <w:t>va continua procedura simplificată de acordare a eșalonãrii la platã pentru cel mult 12 luni, pentru obligațiile bugetare principale și accesorii a cãror scadențã/termen de platã se împlinește dupã declarãrii stãrii de urgențã pânã la data eliberãrii certificatului de atestare fiscalã, dacã sunt îndeplinite anumite condiții; Cererea de acordare a eșalonãrii se poate depune pânã la 31 martie 2021;</w:t>
      </w:r>
    </w:p>
    <w:p w:rsidR="001C2FA9" w:rsidRPr="00AF3608" w:rsidRDefault="001C2FA9" w:rsidP="00342B08">
      <w:pPr>
        <w:pStyle w:val="ListParagraph"/>
        <w:numPr>
          <w:ilvl w:val="0"/>
          <w:numId w:val="125"/>
        </w:numPr>
        <w:spacing w:before="120" w:line="240" w:lineRule="auto"/>
        <w:contextualSpacing w:val="0"/>
        <w:jc w:val="both"/>
        <w:rPr>
          <w:rFonts w:ascii="Calibri" w:hAnsi="Calibri" w:cs="Arial"/>
          <w:color w:val="000000"/>
        </w:rPr>
      </w:pPr>
      <w:r w:rsidRPr="00AF3608">
        <w:rPr>
          <w:rFonts w:ascii="Calibri" w:hAnsi="Calibri" w:cs="Arial"/>
          <w:color w:val="000000"/>
        </w:rPr>
        <w:t>finalizarea implementarii sistemului  informatic național de supraveghere și monitorizare a datelor fiscale, în vederea conectãrii aparatelor de marcat electronice fiscale și astfel, diminuarea evaziunii fiscale în acest domeniu.</w:t>
      </w:r>
    </w:p>
    <w:p w:rsidR="001C2FA9" w:rsidRPr="00AF3608" w:rsidRDefault="001C2FA9" w:rsidP="00342B08">
      <w:pPr>
        <w:spacing w:before="120"/>
        <w:ind w:left="-89"/>
        <w:jc w:val="both"/>
        <w:rPr>
          <w:rFonts w:ascii="Calibri" w:hAnsi="Calibri" w:cs="Arial"/>
          <w:color w:val="000000"/>
          <w:lang w:val="ro-RO"/>
        </w:rPr>
      </w:pPr>
    </w:p>
    <w:p w:rsidR="001C2FA9" w:rsidRPr="00AF3608" w:rsidRDefault="001C2FA9" w:rsidP="00342B08">
      <w:pPr>
        <w:shd w:val="clear" w:color="auto" w:fill="DEEAF6"/>
        <w:tabs>
          <w:tab w:val="left" w:pos="-567"/>
        </w:tabs>
        <w:spacing w:before="120"/>
        <w:jc w:val="both"/>
        <w:rPr>
          <w:rFonts w:ascii="Calibri" w:hAnsi="Calibri" w:cs="Arial"/>
          <w:b/>
          <w:bCs/>
          <w:color w:val="000000"/>
          <w:lang w:val="ro-RO"/>
        </w:rPr>
      </w:pPr>
      <w:r w:rsidRPr="00AF3608">
        <w:rPr>
          <w:rFonts w:ascii="Calibri" w:hAnsi="Calibri" w:cs="Arial"/>
          <w:b/>
          <w:bCs/>
          <w:color w:val="000000"/>
          <w:lang w:val="ro-RO"/>
        </w:rPr>
        <w:t>Principalele măsuri de politică fiscală, pe orizontul 2021-2023</w:t>
      </w:r>
    </w:p>
    <w:p w:rsidR="001C2FA9" w:rsidRPr="00AF3608" w:rsidRDefault="001C2FA9" w:rsidP="00342B08">
      <w:pPr>
        <w:tabs>
          <w:tab w:val="left" w:pos="-567"/>
        </w:tabs>
        <w:spacing w:before="120"/>
        <w:jc w:val="both"/>
        <w:rPr>
          <w:rFonts w:ascii="Calibri" w:hAnsi="Calibri" w:cs="Arial"/>
          <w:b/>
          <w:bCs/>
          <w:color w:val="000000"/>
          <w:u w:val="single"/>
          <w:lang w:val="ro-RO"/>
        </w:rPr>
      </w:pPr>
      <w:r w:rsidRPr="00AF3608">
        <w:rPr>
          <w:rFonts w:ascii="Calibri" w:hAnsi="Calibri" w:cs="Arial"/>
          <w:b/>
          <w:bCs/>
          <w:color w:val="000000"/>
          <w:u w:val="single"/>
          <w:lang w:val="ro-RO"/>
        </w:rPr>
        <w:t xml:space="preserve">În domeniul TVA </w:t>
      </w:r>
    </w:p>
    <w:p w:rsidR="001C2FA9" w:rsidRPr="00AF3608" w:rsidRDefault="001C2FA9" w:rsidP="00342B08">
      <w:pPr>
        <w:tabs>
          <w:tab w:val="left" w:pos="-567"/>
        </w:tabs>
        <w:spacing w:before="120"/>
        <w:jc w:val="both"/>
        <w:rPr>
          <w:rFonts w:ascii="Calibri" w:hAnsi="Calibri" w:cs="Arial"/>
          <w:b/>
          <w:bCs/>
          <w:color w:val="000000"/>
          <w:u w:val="single"/>
          <w:lang w:val="ro-RO"/>
        </w:rPr>
      </w:pPr>
      <w:r w:rsidRPr="00AF3608">
        <w:rPr>
          <w:rFonts w:ascii="Calibri" w:hAnsi="Calibri" w:cs="Arial"/>
          <w:bCs/>
          <w:color w:val="000000"/>
          <w:lang w:val="ro-RO"/>
        </w:rPr>
        <w:t xml:space="preserve">● Având în vedere obligația României, în calitate de stat membru al Uniunii Europene, de a armoniza legislaţia naţională cu legislaţia Uniunii Europene, a fost elaborat și urmează să  intre în procedură de avizare un proiect de act normativ, </w:t>
      </w:r>
      <w:r w:rsidRPr="00AF3608">
        <w:rPr>
          <w:rFonts w:ascii="Calibri" w:hAnsi="Calibri" w:cs="Arial"/>
          <w:bCs/>
          <w:i/>
          <w:color w:val="000000"/>
          <w:lang w:val="ro-RO"/>
        </w:rPr>
        <w:t>cu aplicabilitate de la data de 1 iulie 2021</w:t>
      </w:r>
      <w:r w:rsidRPr="00AF3608">
        <w:rPr>
          <w:rFonts w:ascii="Calibri" w:hAnsi="Calibri" w:cs="Arial"/>
          <w:bCs/>
          <w:color w:val="000000"/>
          <w:lang w:val="ro-RO"/>
        </w:rPr>
        <w:t>, prin care sunt transpuse în legislația națională prevederile art. 2 din Directiva (UE) 2017/2455 a Consiliului din 5 decembrie 2017 de modificare a Directivei 2006/112/EC și a Directivei 2009/132/CE în ceea ce privește anumite obligații privind taxa pe valoarea adăugată pentru prestările de servicii și vânzările de bunuri la distanță și a Directivei (UE) 2019/1995 a Consiliului din 21 noiembrie 2019 de modificare a Directivei 2006/112/CE în ceea ce privește dispozițiile referitoare la vânzările de bunuri la distanță și anumite livrări interne de bunuri, astfel cum au fost modificate prin Deciziei (UE) 2020/1109 a Consiliului din 20 iulie 2020 de modificare a Directivelor (UE) 2017/2455 și (UE) 2019/1995 în ceea ce privește datele de transpunere și aplicare, ca răspuns la pandemia de COVID-19.</w:t>
      </w:r>
    </w:p>
    <w:p w:rsidR="001C2FA9" w:rsidRPr="00AF3608" w:rsidRDefault="001C2FA9" w:rsidP="00342B08">
      <w:pPr>
        <w:tabs>
          <w:tab w:val="left" w:pos="-567"/>
        </w:tabs>
        <w:spacing w:before="120"/>
        <w:jc w:val="both"/>
        <w:rPr>
          <w:rFonts w:ascii="Calibri" w:hAnsi="Calibri" w:cs="Arial"/>
          <w:b/>
          <w:bCs/>
          <w:color w:val="000000"/>
          <w:u w:val="single"/>
          <w:lang w:val="ro-RO"/>
        </w:rPr>
      </w:pPr>
      <w:r w:rsidRPr="00AF3608">
        <w:rPr>
          <w:rFonts w:ascii="Calibri" w:hAnsi="Calibri" w:cs="Arial"/>
          <w:bCs/>
          <w:color w:val="000000"/>
          <w:lang w:val="ro-RO"/>
        </w:rPr>
        <w:t>● Tot în contextul procesului de armonizare cu legislația comunitară este avută în vedere și transpunerea în legislația națională, până la 30 iunie 2022, a Directivei (UE) 2019/2235 de modificare a Directivei 2006/112/CE privind sistemul comun al taxei pe valoarea adăugată și a Directivei 2008/118/CE privind regimul general al accizelor, în ceea ce privește acțiunile de apărare din cadrul Uniunii.</w:t>
      </w:r>
    </w:p>
    <w:p w:rsidR="001C2FA9" w:rsidRPr="00AF3608" w:rsidRDefault="001C2FA9" w:rsidP="00342B08">
      <w:pPr>
        <w:tabs>
          <w:tab w:val="left" w:pos="0"/>
        </w:tabs>
        <w:spacing w:before="120"/>
        <w:jc w:val="both"/>
        <w:rPr>
          <w:rFonts w:ascii="Calibri" w:hAnsi="Calibri" w:cs="Arial"/>
          <w:color w:val="000000"/>
          <w:lang w:val="ro-RO"/>
        </w:rPr>
      </w:pPr>
      <w:r w:rsidRPr="00AF3608">
        <w:rPr>
          <w:rFonts w:ascii="Calibri" w:hAnsi="Calibri" w:cs="Arial"/>
          <w:b/>
          <w:bCs/>
          <w:iCs/>
          <w:color w:val="000000"/>
          <w:u w:val="single"/>
          <w:lang w:val="ro-RO"/>
        </w:rPr>
        <w:t>În domeniul accizelor</w:t>
      </w:r>
      <w:r w:rsidRPr="00AF3608">
        <w:rPr>
          <w:rFonts w:ascii="Calibri" w:hAnsi="Calibri" w:cs="Arial"/>
          <w:color w:val="000000"/>
          <w:lang w:val="ro-RO"/>
        </w:rPr>
        <w:t>:</w:t>
      </w:r>
    </w:p>
    <w:p w:rsidR="001C2FA9" w:rsidRPr="00AF3608" w:rsidRDefault="001C2FA9" w:rsidP="00342B08">
      <w:pPr>
        <w:tabs>
          <w:tab w:val="left" w:pos="0"/>
        </w:tabs>
        <w:spacing w:before="120"/>
        <w:jc w:val="both"/>
        <w:rPr>
          <w:rFonts w:ascii="Calibri" w:hAnsi="Calibri" w:cs="Arial"/>
          <w:color w:val="000000"/>
          <w:lang w:val="ro-RO"/>
        </w:rPr>
      </w:pPr>
      <w:r w:rsidRPr="00AF3608">
        <w:rPr>
          <w:rFonts w:ascii="Calibri" w:hAnsi="Calibri" w:cs="Arial"/>
          <w:color w:val="000000"/>
          <w:lang w:val="ro-RO"/>
        </w:rPr>
        <w:t xml:space="preserve">● </w:t>
      </w:r>
      <w:r w:rsidRPr="00AF3608">
        <w:rPr>
          <w:rFonts w:ascii="Calibri" w:hAnsi="Calibri" w:cs="Arial"/>
          <w:bCs/>
          <w:i/>
          <w:color w:val="000000"/>
          <w:lang w:val="ro-RO"/>
        </w:rPr>
        <w:t>cu aplicabilitate de la data de 1 ianuarie 2021:</w:t>
      </w:r>
    </w:p>
    <w:p w:rsidR="005D7C40" w:rsidRPr="00AF3608" w:rsidRDefault="001C2FA9" w:rsidP="00342B08">
      <w:pPr>
        <w:pStyle w:val="ListParagraph"/>
        <w:numPr>
          <w:ilvl w:val="0"/>
          <w:numId w:val="124"/>
        </w:numPr>
        <w:tabs>
          <w:tab w:val="left" w:pos="108"/>
        </w:tabs>
        <w:spacing w:before="120" w:line="240" w:lineRule="auto"/>
        <w:contextualSpacing w:val="0"/>
        <w:jc w:val="both"/>
        <w:textAlignment w:val="baseline"/>
        <w:rPr>
          <w:rFonts w:ascii="Calibri" w:hAnsi="Calibri" w:cs="Arial"/>
          <w:bCs/>
          <w:i/>
          <w:color w:val="000000"/>
        </w:rPr>
      </w:pPr>
      <w:r w:rsidRPr="00AF3608">
        <w:rPr>
          <w:rFonts w:ascii="Calibri" w:hAnsi="Calibri" w:cs="Arial"/>
          <w:bCs/>
          <w:color w:val="000000"/>
        </w:rPr>
        <w:t>creșterea nivelului accizei totale pentru țigarete de la 533,97 lei/1000 țigarete la 546,21 lei/1000 țigarete astfel încât să fie respectate cerințele prevăzute de Directiva 2011/64/UE a Consiliului privind structura și ratele accizelor aplicate tutunului prelucrat.</w:t>
      </w:r>
    </w:p>
    <w:p w:rsidR="001C2FA9" w:rsidRPr="00AF3608" w:rsidRDefault="001C2FA9" w:rsidP="00342B08">
      <w:pPr>
        <w:pStyle w:val="ListParagraph"/>
        <w:numPr>
          <w:ilvl w:val="0"/>
          <w:numId w:val="124"/>
        </w:numPr>
        <w:tabs>
          <w:tab w:val="left" w:pos="108"/>
        </w:tabs>
        <w:spacing w:before="120" w:line="240" w:lineRule="auto"/>
        <w:contextualSpacing w:val="0"/>
        <w:jc w:val="both"/>
        <w:textAlignment w:val="baseline"/>
        <w:rPr>
          <w:rFonts w:ascii="Calibri" w:hAnsi="Calibri" w:cs="Arial"/>
          <w:bCs/>
          <w:i/>
          <w:color w:val="000000"/>
        </w:rPr>
      </w:pPr>
      <w:r w:rsidRPr="00AF3608">
        <w:rPr>
          <w:rFonts w:ascii="Calibri" w:hAnsi="Calibri" w:cs="Arial"/>
          <w:bCs/>
          <w:color w:val="000000"/>
        </w:rPr>
        <w:t>majorarea nivelului accizei la tutun de fumat fin tăiat destinat rulării în țigarete, precum și la alte tutunuri de fumat de la 435,40 lei/kg la 457,20 lei/kg potrivit calendarului de creștere graduală a nivelului accizelor prevăzut în Codul fiscal și a fost actualizat cu creșterea prețurilor de consum comunicată oficial de Institutul Național de Statistică, astfel nivelul accizelor aplicabil de la 1 ianuarie 2021 este de 504,34 lei/kg.</w:t>
      </w:r>
    </w:p>
    <w:p w:rsidR="001C2FA9" w:rsidRPr="00AF3608" w:rsidRDefault="001C2FA9" w:rsidP="00342B08">
      <w:pPr>
        <w:tabs>
          <w:tab w:val="left" w:pos="993"/>
        </w:tabs>
        <w:spacing w:before="120"/>
        <w:jc w:val="both"/>
        <w:textAlignment w:val="baseline"/>
        <w:rPr>
          <w:rFonts w:ascii="Calibri" w:hAnsi="Calibri" w:cs="Arial"/>
          <w:bCs/>
          <w:color w:val="000000"/>
          <w:lang w:val="ro-RO"/>
        </w:rPr>
      </w:pPr>
      <w:r w:rsidRPr="00AF3608">
        <w:rPr>
          <w:rFonts w:ascii="Calibri" w:hAnsi="Calibri" w:cs="Arial"/>
          <w:bCs/>
          <w:color w:val="000000"/>
          <w:lang w:val="ro-RO"/>
        </w:rPr>
        <w:t>De asemenea, precizăm că nivelul accizelor prevăzut în anexa nr. 1 de la Titlul VIII din Codul fiscal, cu excepția țigaretelor, a fost actualizat cu creșterea prețurilor de consum comunicată oficial de Institutul Național de Statistică.</w:t>
      </w:r>
    </w:p>
    <w:p w:rsidR="001C2FA9" w:rsidRPr="00AF3608" w:rsidRDefault="001C2FA9" w:rsidP="00342B08">
      <w:pPr>
        <w:tabs>
          <w:tab w:val="left" w:pos="810"/>
        </w:tabs>
        <w:spacing w:before="120"/>
        <w:jc w:val="both"/>
        <w:textAlignment w:val="baseline"/>
        <w:rPr>
          <w:rFonts w:ascii="Calibri" w:hAnsi="Calibri" w:cs="Arial"/>
          <w:bCs/>
          <w:i/>
          <w:color w:val="000000"/>
          <w:lang w:val="ro-RO"/>
        </w:rPr>
      </w:pPr>
      <w:r w:rsidRPr="00AF3608">
        <w:rPr>
          <w:rFonts w:ascii="Calibri" w:hAnsi="Calibri" w:cs="Arial"/>
          <w:bCs/>
          <w:color w:val="000000"/>
          <w:lang w:val="ro-RO"/>
        </w:rPr>
        <w:t xml:space="preserve">● </w:t>
      </w:r>
      <w:r w:rsidRPr="00AF3608">
        <w:rPr>
          <w:rFonts w:ascii="Calibri" w:hAnsi="Calibri" w:cs="Arial"/>
          <w:bCs/>
          <w:i/>
          <w:color w:val="000000"/>
          <w:lang w:val="ro-RO"/>
        </w:rPr>
        <w:t>cu aplicabilitate de la data de 1 aprilie 2021:</w:t>
      </w:r>
    </w:p>
    <w:p w:rsidR="001C2FA9" w:rsidRPr="00AF3608" w:rsidRDefault="001C2FA9" w:rsidP="00342B08">
      <w:pPr>
        <w:tabs>
          <w:tab w:val="left" w:pos="810"/>
        </w:tabs>
        <w:spacing w:before="120"/>
        <w:jc w:val="both"/>
        <w:textAlignment w:val="baseline"/>
        <w:rPr>
          <w:rFonts w:ascii="Calibri" w:hAnsi="Calibri" w:cs="Arial"/>
          <w:bCs/>
          <w:i/>
          <w:color w:val="000000"/>
          <w:lang w:val="ro-RO"/>
        </w:rPr>
      </w:pPr>
      <w:r w:rsidRPr="00AF3608">
        <w:rPr>
          <w:rFonts w:ascii="Calibri" w:hAnsi="Calibri" w:cs="Arial"/>
          <w:bCs/>
          <w:color w:val="000000"/>
          <w:lang w:val="ro-RO"/>
        </w:rPr>
        <w:t>Majorarea nivelului accizei totale pentru țigarete de la 546,21 lei/1000 țigarete la 563,97 lei/1000 țigarete potrivit calendarului de creștere graduală a nivelului accizei totale pentru țigarete prevăzut în Codul fiscal.</w:t>
      </w:r>
    </w:p>
    <w:p w:rsidR="001C2FA9" w:rsidRPr="00AF3608" w:rsidRDefault="001C2FA9" w:rsidP="00342B08">
      <w:pPr>
        <w:tabs>
          <w:tab w:val="left" w:pos="630"/>
        </w:tabs>
        <w:spacing w:before="120"/>
        <w:jc w:val="both"/>
        <w:textAlignment w:val="baseline"/>
        <w:rPr>
          <w:rFonts w:ascii="Calibri" w:hAnsi="Calibri" w:cs="Arial"/>
          <w:bCs/>
          <w:color w:val="000000"/>
          <w:lang w:val="ro-RO"/>
        </w:rPr>
      </w:pPr>
      <w:r w:rsidRPr="00AF3608">
        <w:rPr>
          <w:rFonts w:ascii="Calibri" w:hAnsi="Calibri" w:cs="Arial"/>
          <w:bCs/>
          <w:color w:val="000000"/>
          <w:lang w:val="ro-RO"/>
        </w:rPr>
        <w:lastRenderedPageBreak/>
        <w:t>Referitor la perspectiva 2022 – 2023, menționăm că începând cu 1 ianuarie 2022 va fi majorat nivelul accizei la tutun de fumat fin tăiat destinat rulării în țigarete, precum și la alte tutunuri de fumat de la 457,20 lei/kg la 480,10 lei/kg potrivit calendarului de creștere graduală a nivelului accizelor prevăzut în Codul fiscal.</w:t>
      </w:r>
    </w:p>
    <w:p w:rsidR="001C2FA9" w:rsidRPr="00AF3608" w:rsidRDefault="001C2FA9" w:rsidP="00342B08">
      <w:pPr>
        <w:tabs>
          <w:tab w:val="left" w:pos="630"/>
        </w:tabs>
        <w:spacing w:before="120"/>
        <w:jc w:val="both"/>
        <w:textAlignment w:val="baseline"/>
        <w:rPr>
          <w:rFonts w:ascii="Calibri" w:hAnsi="Calibri" w:cs="Arial"/>
          <w:bCs/>
          <w:color w:val="000000"/>
          <w:lang w:val="ro-RO"/>
        </w:rPr>
      </w:pPr>
      <w:r w:rsidRPr="00AF3608">
        <w:rPr>
          <w:rFonts w:ascii="Calibri" w:hAnsi="Calibri" w:cs="Arial"/>
          <w:bCs/>
          <w:color w:val="000000"/>
          <w:lang w:val="ro-RO"/>
        </w:rPr>
        <w:t>De asemenea, precizăm că nivelul accizelor prevăzut în anexa nr. 1 de la Titlul VIII din Codul fiscal, cu excepția țigaretelor, a fost actualizat cu creșterea prețurilor de consum comunicată oficial de Institutul Național de Statistică.</w:t>
      </w:r>
    </w:p>
    <w:p w:rsidR="001C2FA9" w:rsidRPr="00AF3608" w:rsidRDefault="001C2FA9" w:rsidP="00342B08">
      <w:pPr>
        <w:tabs>
          <w:tab w:val="left" w:pos="630"/>
        </w:tabs>
        <w:spacing w:before="120"/>
        <w:jc w:val="both"/>
        <w:textAlignment w:val="baseline"/>
        <w:rPr>
          <w:rFonts w:ascii="Calibri" w:hAnsi="Calibri" w:cs="Arial"/>
          <w:bCs/>
          <w:color w:val="000000"/>
          <w:lang w:val="ro-RO"/>
        </w:rPr>
      </w:pPr>
      <w:r w:rsidRPr="00AF3608">
        <w:rPr>
          <w:rFonts w:ascii="Calibri" w:hAnsi="Calibri" w:cs="Arial"/>
          <w:bCs/>
          <w:color w:val="000000"/>
          <w:lang w:val="ro-RO"/>
        </w:rPr>
        <w:t>Având în vedere obligația României, în calitate de stat membru al Uniunii Europene, de a armoniza legislaţia naţională cu legislaţia Uniunii Europene, este avută în vedere transpunerea în legislația națională până la data de 31 decembrie 2021 a Directivei (UE) 2020/262 a Consiliului din 19 decembrie 2019 de stabilire a regimului general al accizelor (reformare), precum și a Directivei (UE) 2020/1151 a Consiliului din 29 iulie 2020 de modificare a Directivei 92/83/CEE privind armonizarea structurilor accizelor la alcool și băuturi alcoolice.</w:t>
      </w:r>
    </w:p>
    <w:p w:rsidR="005D7C40" w:rsidRPr="00AF3608" w:rsidRDefault="005D7C40" w:rsidP="00342B08">
      <w:pPr>
        <w:tabs>
          <w:tab w:val="left" w:pos="630"/>
        </w:tabs>
        <w:spacing w:before="120"/>
        <w:jc w:val="both"/>
        <w:textAlignment w:val="baseline"/>
        <w:rPr>
          <w:rFonts w:ascii="Calibri" w:hAnsi="Calibri" w:cs="Arial"/>
          <w:bCs/>
          <w:color w:val="000000"/>
          <w:lang w:val="ro-RO"/>
        </w:rPr>
      </w:pPr>
    </w:p>
    <w:p w:rsidR="001C2FA9" w:rsidRPr="00AF3608" w:rsidRDefault="001C2FA9" w:rsidP="00342B08">
      <w:pPr>
        <w:shd w:val="clear" w:color="auto" w:fill="DEEAF6"/>
        <w:tabs>
          <w:tab w:val="left" w:pos="993"/>
        </w:tabs>
        <w:spacing w:before="120"/>
        <w:jc w:val="both"/>
        <w:textAlignment w:val="baseline"/>
        <w:rPr>
          <w:rFonts w:ascii="Calibri" w:hAnsi="Calibri" w:cs="Arial"/>
          <w:b/>
          <w:bCs/>
          <w:color w:val="000000"/>
          <w:lang w:val="ro-RO"/>
        </w:rPr>
      </w:pPr>
      <w:r w:rsidRPr="00AF3608">
        <w:rPr>
          <w:rFonts w:ascii="Calibri" w:hAnsi="Calibri" w:cs="Arial"/>
          <w:b/>
          <w:bCs/>
          <w:color w:val="000000"/>
          <w:lang w:val="ro-RO"/>
        </w:rPr>
        <w:t xml:space="preserve">Efectele măsurilor avute în vedere asupra mediului de afaceri pe orizontul 2021-2024: </w:t>
      </w:r>
    </w:p>
    <w:p w:rsidR="001C2FA9" w:rsidRPr="00AF3608" w:rsidRDefault="001C2FA9" w:rsidP="00342B08">
      <w:pPr>
        <w:tabs>
          <w:tab w:val="left" w:pos="993"/>
        </w:tabs>
        <w:spacing w:before="120"/>
        <w:jc w:val="both"/>
        <w:textAlignment w:val="baseline"/>
        <w:rPr>
          <w:rFonts w:ascii="Calibri" w:hAnsi="Calibri" w:cs="Arial"/>
          <w:b/>
          <w:bCs/>
          <w:color w:val="000000"/>
          <w:lang w:val="ro-RO"/>
        </w:rPr>
      </w:pPr>
      <w:r w:rsidRPr="00AF3608">
        <w:rPr>
          <w:rFonts w:ascii="Calibri" w:hAnsi="Calibri" w:cs="Arial"/>
          <w:color w:val="000000"/>
          <w:lang w:val="ro-RO"/>
        </w:rPr>
        <w:t>Măsura în domeniul impozitului pe profit va conduce la reducerea sarcinii fiscale corespunzător nivelului de încasare a creanțelor sau de îndeplinire a unor obligații legale.</w:t>
      </w:r>
    </w:p>
    <w:p w:rsidR="001C2FA9" w:rsidRPr="00AF3608" w:rsidRDefault="001C2FA9" w:rsidP="00342B08">
      <w:pPr>
        <w:spacing w:before="120"/>
        <w:jc w:val="both"/>
        <w:rPr>
          <w:rFonts w:ascii="Calibri" w:hAnsi="Calibri" w:cs="Arial"/>
          <w:color w:val="000000"/>
          <w:lang w:val="ro-RO"/>
        </w:rPr>
      </w:pPr>
      <w:r w:rsidRPr="00AF3608">
        <w:rPr>
          <w:rFonts w:ascii="Calibri" w:hAnsi="Calibri" w:cs="Arial"/>
          <w:color w:val="000000"/>
          <w:lang w:val="ro-RO"/>
        </w:rPr>
        <w:t>În ceea ce privește nivelul accizelor aplicabil produselor din tutun prelucrat, prin adoptarea unui calendar de creștere graduală a nivelului accizelor se asigură, din perspectiva taxării, o predictibilitate pe termen mediu asupra activității desfășurate de operatorii economici.</w:t>
      </w:r>
    </w:p>
    <w:p w:rsidR="001C2FA9" w:rsidRPr="00AF3608" w:rsidRDefault="001C2FA9" w:rsidP="00342B08">
      <w:pPr>
        <w:spacing w:before="120"/>
        <w:jc w:val="both"/>
        <w:rPr>
          <w:rFonts w:ascii="Calibri" w:hAnsi="Calibri" w:cs="Arial"/>
          <w:color w:val="000000"/>
          <w:lang w:val="ro-RO"/>
        </w:rPr>
      </w:pPr>
      <w:r w:rsidRPr="00AF3608">
        <w:rPr>
          <w:rFonts w:ascii="Calibri" w:hAnsi="Calibri" w:cs="Arial"/>
          <w:color w:val="000000"/>
          <w:lang w:val="ro-RO"/>
        </w:rPr>
        <w:t>Referitor la adoptarea unor măsuri cu efect de prevenire și combatere a evaziunii fiscale, acestea vor contribui la consolidarea unui mediu concurențial onest, prin eliminarea din economie a operatorilor economici care, printr-o conduită neconformă regulilor fiscale și procedural fiscale, generează concurență neloială față de acei contribuabili care își desfășoară activitatea în mod onest și cu respectarea tuturor reglementărilor specifice unei economii de piață.</w:t>
      </w:r>
    </w:p>
    <w:p w:rsidR="001C2FA9" w:rsidRPr="00AF3608" w:rsidRDefault="001C2FA9" w:rsidP="00342B08">
      <w:pPr>
        <w:spacing w:before="120"/>
        <w:jc w:val="both"/>
        <w:rPr>
          <w:rFonts w:ascii="Calibri" w:hAnsi="Calibri" w:cs="Arial"/>
          <w:color w:val="000000"/>
          <w:kern w:val="2"/>
          <w:lang w:val="ro-RO"/>
        </w:rPr>
      </w:pPr>
      <w:r w:rsidRPr="00AF3608">
        <w:rPr>
          <w:rFonts w:ascii="Calibri" w:hAnsi="Calibri" w:cs="Arial"/>
          <w:color w:val="000000"/>
          <w:kern w:val="2"/>
          <w:lang w:val="ro-RO"/>
        </w:rPr>
        <w:t>Totodată, se va continua îmbunătățirea legislației fiscale pentru a corespunde unor principii, printre care, din perspectiva politicii fiscale menționăm simplificarea, transparenţa,</w:t>
      </w:r>
      <w:r w:rsidRPr="00AF3608">
        <w:rPr>
          <w:rFonts w:ascii="Calibri" w:eastAsia="Arial" w:hAnsi="Calibri" w:cs="Arial"/>
          <w:color w:val="000000"/>
          <w:kern w:val="2"/>
          <w:lang w:val="ro-RO"/>
        </w:rPr>
        <w:t xml:space="preserve"> </w:t>
      </w:r>
      <w:r w:rsidRPr="00AF3608">
        <w:rPr>
          <w:rFonts w:ascii="Calibri" w:hAnsi="Calibri" w:cs="Arial"/>
          <w:color w:val="000000"/>
          <w:kern w:val="2"/>
          <w:lang w:val="ro-RO"/>
        </w:rPr>
        <w:t>stabilitatea, predictibilitatea, prevenţia și încurajarea.</w:t>
      </w:r>
    </w:p>
    <w:p w:rsidR="001C2FA9" w:rsidRPr="00AF3608" w:rsidRDefault="001C2FA9" w:rsidP="00342B08">
      <w:pPr>
        <w:spacing w:before="120"/>
        <w:jc w:val="both"/>
        <w:rPr>
          <w:rFonts w:ascii="Calibri" w:hAnsi="Calibri" w:cs="Arial"/>
          <w:color w:val="000000"/>
          <w:kern w:val="2"/>
          <w:lang w:val="ro-RO"/>
        </w:rPr>
      </w:pPr>
      <w:r w:rsidRPr="00AF3608">
        <w:rPr>
          <w:rFonts w:ascii="Calibri" w:hAnsi="Calibri" w:cs="Arial"/>
          <w:color w:val="000000"/>
          <w:kern w:val="2"/>
          <w:lang w:val="ro-RO"/>
        </w:rPr>
        <w:t>Totodată, se va continua îmbunătățirea legislației fiscale pentru a corespunde unor principii, printre care, din perspectiva politicii fiscale menționăm simplificarea,</w:t>
      </w:r>
      <w:r w:rsidRPr="00AF3608">
        <w:rPr>
          <w:rFonts w:ascii="Calibri" w:eastAsia="Arial" w:hAnsi="Calibri" w:cs="Arial"/>
          <w:color w:val="000000"/>
          <w:kern w:val="2"/>
          <w:lang w:val="ro-RO"/>
        </w:rPr>
        <w:t xml:space="preserve"> </w:t>
      </w:r>
      <w:r w:rsidRPr="00AF3608">
        <w:rPr>
          <w:rFonts w:ascii="Calibri" w:hAnsi="Calibri" w:cs="Arial"/>
          <w:color w:val="000000"/>
          <w:kern w:val="2"/>
          <w:lang w:val="ro-RO"/>
        </w:rPr>
        <w:t>transparenţa,</w:t>
      </w:r>
      <w:r w:rsidRPr="00AF3608">
        <w:rPr>
          <w:rFonts w:ascii="Calibri" w:eastAsia="Arial" w:hAnsi="Calibri" w:cs="Arial"/>
          <w:color w:val="000000"/>
          <w:kern w:val="2"/>
          <w:lang w:val="ro-RO"/>
        </w:rPr>
        <w:t xml:space="preserve"> </w:t>
      </w:r>
      <w:r w:rsidRPr="00AF3608">
        <w:rPr>
          <w:rFonts w:ascii="Calibri" w:hAnsi="Calibri" w:cs="Arial"/>
          <w:color w:val="000000"/>
          <w:kern w:val="2"/>
          <w:lang w:val="ro-RO"/>
        </w:rPr>
        <w:t>stabilitatea, predictibilitatea, prevenţia și încurajarea.</w:t>
      </w:r>
    </w:p>
    <w:p w:rsidR="001C2FA9" w:rsidRPr="00AF3608" w:rsidRDefault="001C2FA9" w:rsidP="00342B08">
      <w:pPr>
        <w:spacing w:before="120"/>
        <w:jc w:val="both"/>
        <w:rPr>
          <w:rFonts w:ascii="Calibri" w:hAnsi="Calibri" w:cs="Arial"/>
          <w:color w:val="000000"/>
          <w:lang w:val="ro-RO"/>
        </w:rPr>
      </w:pPr>
    </w:p>
    <w:p w:rsidR="001C2FA9" w:rsidRPr="00AF3608" w:rsidRDefault="001C2FA9" w:rsidP="00342B08">
      <w:pPr>
        <w:shd w:val="clear" w:color="auto" w:fill="DEEAF6"/>
        <w:tabs>
          <w:tab w:val="left" w:pos="993"/>
        </w:tabs>
        <w:suppressAutoHyphens/>
        <w:overflowPunct w:val="0"/>
        <w:autoSpaceDE w:val="0"/>
        <w:spacing w:before="120"/>
        <w:jc w:val="both"/>
        <w:textAlignment w:val="baseline"/>
        <w:rPr>
          <w:rFonts w:ascii="Calibri" w:hAnsi="Calibri" w:cs="Calibri"/>
          <w:b/>
          <w:kern w:val="1"/>
          <w:lang w:val="ro-RO" w:eastAsia="zh-CN"/>
        </w:rPr>
      </w:pPr>
      <w:r w:rsidRPr="00AF3608">
        <w:rPr>
          <w:rFonts w:ascii="Calibri" w:hAnsi="Calibri" w:cs="Calibri"/>
          <w:b/>
          <w:kern w:val="1"/>
          <w:lang w:val="ro-RO" w:eastAsia="zh-CN"/>
        </w:rPr>
        <w:t xml:space="preserve">Indicatorii bugetari pe anul 2021 </w:t>
      </w:r>
    </w:p>
    <w:p w:rsidR="002D35C4" w:rsidRPr="00AF3608" w:rsidRDefault="002D35C4" w:rsidP="00342B08">
      <w:pPr>
        <w:widowControl w:val="0"/>
        <w:tabs>
          <w:tab w:val="num" w:pos="1920"/>
        </w:tabs>
        <w:spacing w:before="120"/>
        <w:jc w:val="both"/>
        <w:rPr>
          <w:rFonts w:ascii="Calibri" w:hAnsi="Calibri" w:cs="Arial"/>
          <w:lang w:val="ro-RO"/>
        </w:rPr>
      </w:pPr>
      <w:r w:rsidRPr="00AF3608">
        <w:rPr>
          <w:rFonts w:ascii="Calibri" w:hAnsi="Calibri" w:cs="Arial"/>
          <w:b/>
          <w:color w:val="000050"/>
          <w:lang w:val="ro-RO"/>
        </w:rPr>
        <w:t>Proiecţia veniturilor bugetului general consolidat pe perioada 2021-2023</w:t>
      </w:r>
      <w:r w:rsidRPr="00AF3608">
        <w:rPr>
          <w:rFonts w:ascii="Calibri" w:hAnsi="Calibri" w:cs="Arial"/>
          <w:lang w:val="ro-RO"/>
        </w:rPr>
        <w:t xml:space="preserve"> s-a realizat pe baza indicatorilor macroeconomici pentru orizontul de referinţă, precum şi a reglementărilor existente în prezent în domeniul fiscal.</w:t>
      </w:r>
    </w:p>
    <w:p w:rsidR="002D35C4" w:rsidRPr="00AF3608" w:rsidRDefault="002D35C4" w:rsidP="00342B08">
      <w:pPr>
        <w:widowControl w:val="0"/>
        <w:tabs>
          <w:tab w:val="num" w:pos="1920"/>
        </w:tabs>
        <w:spacing w:before="120"/>
        <w:jc w:val="both"/>
        <w:rPr>
          <w:rFonts w:ascii="Calibri" w:hAnsi="Calibri" w:cs="Arial"/>
          <w:lang w:val="ro-RO"/>
        </w:rPr>
      </w:pPr>
      <w:r w:rsidRPr="00AF3608">
        <w:rPr>
          <w:rFonts w:ascii="Calibri" w:hAnsi="Calibri" w:cs="Arial"/>
          <w:lang w:val="ro-RO"/>
        </w:rPr>
        <w:t>Pe termen mediu, pe fondul revigorării economice, veniturile bugetare se vor înscrie pe un trend ascendent în valoare nominală.</w:t>
      </w:r>
    </w:p>
    <w:p w:rsidR="002D35C4" w:rsidRPr="00AF3608" w:rsidRDefault="002D35C4" w:rsidP="00342B08">
      <w:pPr>
        <w:widowControl w:val="0"/>
        <w:tabs>
          <w:tab w:val="num" w:pos="1920"/>
        </w:tabs>
        <w:spacing w:before="120"/>
        <w:jc w:val="both"/>
        <w:rPr>
          <w:rFonts w:ascii="Calibri" w:hAnsi="Calibri" w:cs="Arial"/>
          <w:color w:val="000000"/>
          <w:lang w:val="ro-RO"/>
        </w:rPr>
      </w:pPr>
      <w:r w:rsidRPr="00AF3608">
        <w:rPr>
          <w:rFonts w:ascii="Calibri" w:hAnsi="Calibri" w:cs="Arial"/>
          <w:lang w:val="ro-RO"/>
        </w:rPr>
        <w:t>Astfel, în anul 2021 veniturile bugetare în termeni nominali sunt estimate la  364,9 miliarde lei ( 32,7 din PIB), în creștere în valoare nominală pe orizontul de referință, ajungând în anul 2023 la 403,0  miliarde lei (30,9  % din PIB).</w:t>
      </w:r>
    </w:p>
    <w:p w:rsidR="002D35C4" w:rsidRPr="00AF3608" w:rsidRDefault="002D35C4" w:rsidP="00342B08">
      <w:pPr>
        <w:widowControl w:val="0"/>
        <w:tabs>
          <w:tab w:val="num" w:pos="1920"/>
        </w:tabs>
        <w:spacing w:before="120"/>
        <w:jc w:val="both"/>
        <w:rPr>
          <w:rFonts w:ascii="Calibri" w:hAnsi="Calibri" w:cs="Arial"/>
          <w:b/>
          <w:color w:val="00006C"/>
          <w:lang w:val="ro-RO"/>
        </w:rPr>
      </w:pPr>
      <w:r w:rsidRPr="00AF3608">
        <w:rPr>
          <w:rFonts w:ascii="Calibri" w:hAnsi="Calibri" w:cs="Arial"/>
          <w:lang w:val="ro-RO"/>
        </w:rPr>
        <w:t xml:space="preserve">Cele mai mari ponderi în cadrul veniturilor bugetare în anul 2021 le înregistrează </w:t>
      </w:r>
      <w:r w:rsidRPr="00AF3608">
        <w:rPr>
          <w:rFonts w:ascii="Calibri" w:hAnsi="Calibri" w:cs="Arial"/>
          <w:b/>
          <w:color w:val="000050"/>
          <w:lang w:val="ro-RO"/>
        </w:rPr>
        <w:t xml:space="preserve">contribuțiile de asigurări </w:t>
      </w:r>
      <w:r w:rsidRPr="00AF3608">
        <w:rPr>
          <w:rFonts w:ascii="Calibri" w:hAnsi="Calibri" w:cs="Arial"/>
          <w:b/>
          <w:color w:val="00006C"/>
          <w:lang w:val="ro-RO"/>
        </w:rPr>
        <w:t>sociale (33,1% din total venituri), urmate de TVA (19,1%) sume primite de la UE 13,0( % din total venituri)</w:t>
      </w:r>
      <w:r w:rsidRPr="00AF3608">
        <w:rPr>
          <w:rFonts w:ascii="Calibri" w:hAnsi="Calibri" w:cs="Arial"/>
          <w:color w:val="00006C"/>
          <w:lang w:val="ro-RO"/>
        </w:rPr>
        <w:t xml:space="preserve">, </w:t>
      </w:r>
      <w:r w:rsidRPr="00AF3608">
        <w:rPr>
          <w:rFonts w:ascii="Calibri" w:hAnsi="Calibri" w:cs="Arial"/>
          <w:b/>
          <w:color w:val="00006C"/>
          <w:lang w:val="ro-RO"/>
        </w:rPr>
        <w:t>și accize ( 9,1%).</w:t>
      </w:r>
    </w:p>
    <w:p w:rsidR="002D35C4" w:rsidRPr="00AF3608" w:rsidRDefault="002D35C4" w:rsidP="00342B08">
      <w:pPr>
        <w:spacing w:before="120"/>
        <w:jc w:val="both"/>
        <w:rPr>
          <w:rFonts w:ascii="Calibri" w:hAnsi="Calibri" w:cs="Calibri"/>
          <w:lang w:val="ro-RO" w:eastAsia="ro-RO"/>
        </w:rPr>
      </w:pPr>
      <w:r w:rsidRPr="00AF3608">
        <w:rPr>
          <w:rFonts w:ascii="Calibri" w:hAnsi="Calibri" w:cs="Calibri"/>
          <w:lang w:val="ro-RO" w:eastAsia="ro-RO"/>
        </w:rPr>
        <w:lastRenderedPageBreak/>
        <w:t xml:space="preserve">De remarcat </w:t>
      </w:r>
      <w:r w:rsidRPr="00AF3608">
        <w:rPr>
          <w:rFonts w:ascii="Calibri" w:hAnsi="Calibri" w:cs="Calibri"/>
          <w:b/>
          <w:color w:val="000000"/>
          <w:lang w:val="ro-RO" w:eastAsia="ro-RO"/>
        </w:rPr>
        <w:t>tendința de crestere in anul 2021 în  totalul veniturilor  bugetare față de anul 2020 a sumelor provenind de la UE</w:t>
      </w:r>
      <w:r w:rsidRPr="00AF3608">
        <w:rPr>
          <w:rFonts w:ascii="Calibri" w:hAnsi="Calibri" w:cs="Calibri"/>
          <w:lang w:val="ro-RO" w:eastAsia="ro-RO"/>
        </w:rPr>
        <w:t xml:space="preserve"> , ce vor avea o contributie pozitivă la cresterea economică,  banii europeni constituind o sursa de finanțare care degrevează bugetul național.</w:t>
      </w:r>
    </w:p>
    <w:tbl>
      <w:tblPr>
        <w:tblW w:w="9781" w:type="dxa"/>
        <w:tblInd w:w="108" w:type="dxa"/>
        <w:tblLook w:val="04A0" w:firstRow="1" w:lastRow="0" w:firstColumn="1" w:lastColumn="0" w:noHBand="0" w:noVBand="1"/>
      </w:tblPr>
      <w:tblGrid>
        <w:gridCol w:w="9781"/>
      </w:tblGrid>
      <w:tr w:rsidR="00404DEF" w:rsidRPr="00AF3608" w:rsidTr="001B5141">
        <w:trPr>
          <w:trHeight w:val="60"/>
        </w:trPr>
        <w:tc>
          <w:tcPr>
            <w:tcW w:w="9781" w:type="dxa"/>
            <w:tcBorders>
              <w:top w:val="nil"/>
              <w:left w:val="nil"/>
              <w:bottom w:val="nil"/>
              <w:right w:val="nil"/>
            </w:tcBorders>
            <w:shd w:val="clear" w:color="auto" w:fill="auto"/>
            <w:vAlign w:val="bottom"/>
          </w:tcPr>
          <w:tbl>
            <w:tblPr>
              <w:tblW w:w="7362" w:type="dxa"/>
              <w:tblLook w:val="04A0" w:firstRow="1" w:lastRow="0" w:firstColumn="1" w:lastColumn="0" w:noHBand="0" w:noVBand="1"/>
            </w:tblPr>
            <w:tblGrid>
              <w:gridCol w:w="2492"/>
              <w:gridCol w:w="1235"/>
              <w:gridCol w:w="939"/>
              <w:gridCol w:w="1323"/>
              <w:gridCol w:w="1373"/>
            </w:tblGrid>
            <w:tr w:rsidR="001B5141" w:rsidRPr="00AF3608" w:rsidTr="00342B08">
              <w:trPr>
                <w:trHeight w:val="555"/>
              </w:trPr>
              <w:tc>
                <w:tcPr>
                  <w:tcW w:w="7362" w:type="dxa"/>
                  <w:gridSpan w:val="5"/>
                  <w:tcBorders>
                    <w:top w:val="nil"/>
                    <w:left w:val="nil"/>
                    <w:bottom w:val="nil"/>
                    <w:right w:val="nil"/>
                  </w:tcBorders>
                  <w:shd w:val="clear" w:color="auto" w:fill="auto"/>
                  <w:vAlign w:val="bottom"/>
                  <w:hideMark/>
                </w:tcPr>
                <w:p w:rsidR="001B5141" w:rsidRPr="00AF3608" w:rsidRDefault="001B5141" w:rsidP="001B5141">
                  <w:pPr>
                    <w:jc w:val="center"/>
                    <w:rPr>
                      <w:rFonts w:ascii="Arial" w:hAnsi="Arial" w:cs="Arial"/>
                      <w:sz w:val="20"/>
                      <w:szCs w:val="20"/>
                      <w:lang w:val="ro-RO"/>
                    </w:rPr>
                  </w:pPr>
                  <w:r w:rsidRPr="00AF3608">
                    <w:rPr>
                      <w:rFonts w:ascii="Arial" w:hAnsi="Arial" w:cs="Arial"/>
                      <w:sz w:val="20"/>
                      <w:szCs w:val="20"/>
                      <w:lang w:val="ro-RO"/>
                    </w:rPr>
                    <w:t>Ponderea veniturilor in total venituri bugetare pe anii 2020-2021</w:t>
                  </w:r>
                </w:p>
              </w:tc>
            </w:tr>
            <w:tr w:rsidR="001B5141" w:rsidRPr="00AF3608" w:rsidTr="00342B08">
              <w:trPr>
                <w:trHeight w:val="255"/>
              </w:trPr>
              <w:tc>
                <w:tcPr>
                  <w:tcW w:w="2492" w:type="dxa"/>
                  <w:tcBorders>
                    <w:top w:val="nil"/>
                    <w:left w:val="nil"/>
                    <w:bottom w:val="nil"/>
                    <w:right w:val="nil"/>
                  </w:tcBorders>
                  <w:shd w:val="clear" w:color="auto" w:fill="auto"/>
                  <w:noWrap/>
                  <w:vAlign w:val="bottom"/>
                  <w:hideMark/>
                </w:tcPr>
                <w:p w:rsidR="001B5141" w:rsidRPr="00AF3608" w:rsidRDefault="001B5141" w:rsidP="001B5141">
                  <w:pPr>
                    <w:jc w:val="center"/>
                    <w:rPr>
                      <w:rFonts w:ascii="Arial" w:hAnsi="Arial" w:cs="Arial"/>
                      <w:sz w:val="20"/>
                      <w:szCs w:val="20"/>
                      <w:lang w:val="ro-RO"/>
                    </w:rPr>
                  </w:pPr>
                </w:p>
              </w:tc>
              <w:tc>
                <w:tcPr>
                  <w:tcW w:w="1235" w:type="dxa"/>
                  <w:tcBorders>
                    <w:top w:val="nil"/>
                    <w:left w:val="nil"/>
                    <w:bottom w:val="nil"/>
                    <w:right w:val="nil"/>
                  </w:tcBorders>
                  <w:shd w:val="clear" w:color="auto" w:fill="auto"/>
                  <w:noWrap/>
                  <w:vAlign w:val="bottom"/>
                  <w:hideMark/>
                </w:tcPr>
                <w:p w:rsidR="001B5141" w:rsidRPr="00AF3608" w:rsidRDefault="001B5141" w:rsidP="001B5141">
                  <w:pPr>
                    <w:rPr>
                      <w:sz w:val="20"/>
                      <w:szCs w:val="20"/>
                      <w:lang w:val="ro-RO"/>
                    </w:rPr>
                  </w:pPr>
                </w:p>
              </w:tc>
              <w:tc>
                <w:tcPr>
                  <w:tcW w:w="939" w:type="dxa"/>
                  <w:tcBorders>
                    <w:top w:val="nil"/>
                    <w:left w:val="nil"/>
                    <w:bottom w:val="nil"/>
                    <w:right w:val="nil"/>
                  </w:tcBorders>
                  <w:shd w:val="clear" w:color="auto" w:fill="auto"/>
                  <w:noWrap/>
                  <w:vAlign w:val="bottom"/>
                  <w:hideMark/>
                </w:tcPr>
                <w:p w:rsidR="001B5141" w:rsidRPr="00AF3608" w:rsidRDefault="001B5141" w:rsidP="001B5141">
                  <w:pPr>
                    <w:rPr>
                      <w:sz w:val="20"/>
                      <w:szCs w:val="20"/>
                      <w:lang w:val="ro-RO"/>
                    </w:rPr>
                  </w:pPr>
                </w:p>
              </w:tc>
              <w:tc>
                <w:tcPr>
                  <w:tcW w:w="1323" w:type="dxa"/>
                  <w:tcBorders>
                    <w:top w:val="nil"/>
                    <w:left w:val="nil"/>
                    <w:bottom w:val="nil"/>
                    <w:right w:val="nil"/>
                  </w:tcBorders>
                  <w:shd w:val="clear" w:color="auto" w:fill="auto"/>
                  <w:noWrap/>
                  <w:vAlign w:val="bottom"/>
                  <w:hideMark/>
                </w:tcPr>
                <w:p w:rsidR="001B5141" w:rsidRPr="00AF3608" w:rsidRDefault="001B5141" w:rsidP="001B5141">
                  <w:pPr>
                    <w:rPr>
                      <w:sz w:val="20"/>
                      <w:szCs w:val="20"/>
                      <w:lang w:val="ro-RO"/>
                    </w:rPr>
                  </w:pPr>
                </w:p>
              </w:tc>
              <w:tc>
                <w:tcPr>
                  <w:tcW w:w="1373" w:type="dxa"/>
                  <w:tcBorders>
                    <w:top w:val="nil"/>
                    <w:left w:val="nil"/>
                    <w:bottom w:val="nil"/>
                    <w:right w:val="nil"/>
                  </w:tcBorders>
                  <w:shd w:val="clear" w:color="auto" w:fill="auto"/>
                  <w:noWrap/>
                  <w:vAlign w:val="bottom"/>
                  <w:hideMark/>
                </w:tcPr>
                <w:p w:rsidR="001B5141" w:rsidRPr="00AF3608" w:rsidRDefault="001B5141" w:rsidP="001B5141">
                  <w:pPr>
                    <w:rPr>
                      <w:sz w:val="20"/>
                      <w:szCs w:val="20"/>
                      <w:lang w:val="ro-RO"/>
                    </w:rPr>
                  </w:pPr>
                </w:p>
              </w:tc>
            </w:tr>
            <w:tr w:rsidR="001B5141" w:rsidRPr="00AF3608" w:rsidTr="00342B08">
              <w:trPr>
                <w:trHeight w:val="255"/>
              </w:trPr>
              <w:tc>
                <w:tcPr>
                  <w:tcW w:w="2492" w:type="dxa"/>
                  <w:tcBorders>
                    <w:top w:val="nil"/>
                    <w:left w:val="nil"/>
                    <w:bottom w:val="single" w:sz="4" w:space="0" w:color="000000"/>
                    <w:right w:val="nil"/>
                  </w:tcBorders>
                  <w:shd w:val="clear" w:color="auto" w:fill="auto"/>
                  <w:noWrap/>
                  <w:vAlign w:val="bottom"/>
                  <w:hideMark/>
                </w:tcPr>
                <w:p w:rsidR="001B5141" w:rsidRPr="00AF3608" w:rsidRDefault="001B5141" w:rsidP="001B5141">
                  <w:pPr>
                    <w:rPr>
                      <w:rFonts w:ascii="Arial" w:hAnsi="Arial" w:cs="Arial"/>
                      <w:sz w:val="20"/>
                      <w:szCs w:val="20"/>
                      <w:lang w:val="ro-RO"/>
                    </w:rPr>
                  </w:pPr>
                  <w:r w:rsidRPr="00AF3608">
                    <w:rPr>
                      <w:rFonts w:ascii="Arial" w:hAnsi="Arial" w:cs="Arial"/>
                      <w:sz w:val="20"/>
                      <w:szCs w:val="20"/>
                      <w:lang w:val="ro-RO"/>
                    </w:rPr>
                    <w:t> </w:t>
                  </w:r>
                </w:p>
              </w:tc>
              <w:tc>
                <w:tcPr>
                  <w:tcW w:w="1235" w:type="dxa"/>
                  <w:tcBorders>
                    <w:top w:val="nil"/>
                    <w:left w:val="nil"/>
                    <w:bottom w:val="single" w:sz="4" w:space="0" w:color="000000"/>
                    <w:right w:val="nil"/>
                  </w:tcBorders>
                  <w:shd w:val="clear" w:color="auto" w:fill="auto"/>
                  <w:noWrap/>
                  <w:vAlign w:val="bottom"/>
                  <w:hideMark/>
                </w:tcPr>
                <w:p w:rsidR="001B5141" w:rsidRPr="00AF3608" w:rsidRDefault="001B5141" w:rsidP="001B5141">
                  <w:pPr>
                    <w:rPr>
                      <w:rFonts w:ascii="Arial" w:hAnsi="Arial" w:cs="Arial"/>
                      <w:sz w:val="20"/>
                      <w:szCs w:val="20"/>
                      <w:lang w:val="ro-RO"/>
                    </w:rPr>
                  </w:pPr>
                  <w:r w:rsidRPr="00AF3608">
                    <w:rPr>
                      <w:rFonts w:ascii="Arial" w:hAnsi="Arial" w:cs="Arial"/>
                      <w:sz w:val="20"/>
                      <w:szCs w:val="20"/>
                      <w:lang w:val="ro-RO"/>
                    </w:rPr>
                    <w:t> </w:t>
                  </w:r>
                </w:p>
              </w:tc>
              <w:tc>
                <w:tcPr>
                  <w:tcW w:w="939" w:type="dxa"/>
                  <w:tcBorders>
                    <w:top w:val="nil"/>
                    <w:left w:val="nil"/>
                    <w:bottom w:val="single" w:sz="4" w:space="0" w:color="000000"/>
                    <w:right w:val="nil"/>
                  </w:tcBorders>
                  <w:shd w:val="clear" w:color="auto" w:fill="auto"/>
                  <w:noWrap/>
                  <w:vAlign w:val="bottom"/>
                  <w:hideMark/>
                </w:tcPr>
                <w:p w:rsidR="001B5141" w:rsidRPr="00AF3608" w:rsidRDefault="001B5141" w:rsidP="001B5141">
                  <w:pPr>
                    <w:rPr>
                      <w:rFonts w:ascii="Arial" w:hAnsi="Arial" w:cs="Arial"/>
                      <w:sz w:val="20"/>
                      <w:szCs w:val="20"/>
                      <w:lang w:val="ro-RO"/>
                    </w:rPr>
                  </w:pPr>
                  <w:r w:rsidRPr="00AF3608">
                    <w:rPr>
                      <w:rFonts w:ascii="Arial" w:hAnsi="Arial" w:cs="Arial"/>
                      <w:sz w:val="20"/>
                      <w:szCs w:val="20"/>
                      <w:lang w:val="ro-RO"/>
                    </w:rPr>
                    <w:t> </w:t>
                  </w:r>
                </w:p>
              </w:tc>
              <w:tc>
                <w:tcPr>
                  <w:tcW w:w="1323" w:type="dxa"/>
                  <w:tcBorders>
                    <w:top w:val="nil"/>
                    <w:left w:val="nil"/>
                    <w:bottom w:val="single" w:sz="4" w:space="0" w:color="000000"/>
                    <w:right w:val="nil"/>
                  </w:tcBorders>
                  <w:shd w:val="clear" w:color="auto" w:fill="auto"/>
                  <w:noWrap/>
                  <w:vAlign w:val="bottom"/>
                  <w:hideMark/>
                </w:tcPr>
                <w:p w:rsidR="001B5141" w:rsidRPr="00AF3608" w:rsidRDefault="001B5141" w:rsidP="001B5141">
                  <w:pPr>
                    <w:rPr>
                      <w:rFonts w:ascii="Arial" w:hAnsi="Arial" w:cs="Arial"/>
                      <w:sz w:val="20"/>
                      <w:szCs w:val="20"/>
                      <w:lang w:val="ro-RO"/>
                    </w:rPr>
                  </w:pPr>
                  <w:r w:rsidRPr="00AF3608">
                    <w:rPr>
                      <w:rFonts w:ascii="Arial" w:hAnsi="Arial" w:cs="Arial"/>
                      <w:sz w:val="20"/>
                      <w:szCs w:val="20"/>
                      <w:lang w:val="ro-RO"/>
                    </w:rPr>
                    <w:t> </w:t>
                  </w:r>
                </w:p>
              </w:tc>
              <w:tc>
                <w:tcPr>
                  <w:tcW w:w="1373" w:type="dxa"/>
                  <w:tcBorders>
                    <w:top w:val="nil"/>
                    <w:left w:val="nil"/>
                    <w:bottom w:val="single" w:sz="4" w:space="0" w:color="000000"/>
                    <w:right w:val="nil"/>
                  </w:tcBorders>
                  <w:shd w:val="clear" w:color="auto" w:fill="auto"/>
                  <w:noWrap/>
                  <w:vAlign w:val="bottom"/>
                  <w:hideMark/>
                </w:tcPr>
                <w:p w:rsidR="001B5141" w:rsidRPr="00AF3608" w:rsidRDefault="001B5141" w:rsidP="001B5141">
                  <w:pPr>
                    <w:rPr>
                      <w:rFonts w:ascii="Arial" w:hAnsi="Arial" w:cs="Arial"/>
                      <w:sz w:val="20"/>
                      <w:szCs w:val="20"/>
                      <w:lang w:val="ro-RO"/>
                    </w:rPr>
                  </w:pPr>
                  <w:r w:rsidRPr="00AF3608">
                    <w:rPr>
                      <w:rFonts w:ascii="Arial" w:hAnsi="Arial" w:cs="Arial"/>
                      <w:sz w:val="20"/>
                      <w:szCs w:val="20"/>
                      <w:lang w:val="ro-RO"/>
                    </w:rPr>
                    <w:t xml:space="preserve"> - milioane lei-</w:t>
                  </w:r>
                </w:p>
              </w:tc>
            </w:tr>
            <w:tr w:rsidR="001B5141" w:rsidRPr="00AF3608" w:rsidTr="00342B08">
              <w:trPr>
                <w:trHeight w:val="255"/>
              </w:trPr>
              <w:tc>
                <w:tcPr>
                  <w:tcW w:w="2492" w:type="dxa"/>
                  <w:tcBorders>
                    <w:top w:val="nil"/>
                    <w:left w:val="nil"/>
                    <w:bottom w:val="nil"/>
                    <w:right w:val="nil"/>
                  </w:tcBorders>
                  <w:shd w:val="clear" w:color="000080" w:fill="99CCFF"/>
                  <w:noWrap/>
                  <w:vAlign w:val="bottom"/>
                  <w:hideMark/>
                </w:tcPr>
                <w:p w:rsidR="001B5141" w:rsidRPr="00AF3608" w:rsidRDefault="001B5141" w:rsidP="001B5141">
                  <w:pPr>
                    <w:rPr>
                      <w:rFonts w:ascii="Arial" w:hAnsi="Arial" w:cs="Arial"/>
                      <w:sz w:val="20"/>
                      <w:szCs w:val="20"/>
                      <w:lang w:val="ro-RO"/>
                    </w:rPr>
                  </w:pPr>
                  <w:r w:rsidRPr="00AF3608">
                    <w:rPr>
                      <w:rFonts w:ascii="Arial" w:hAnsi="Arial" w:cs="Arial"/>
                      <w:sz w:val="20"/>
                      <w:szCs w:val="20"/>
                      <w:lang w:val="ro-RO"/>
                    </w:rPr>
                    <w:t> </w:t>
                  </w:r>
                </w:p>
              </w:tc>
              <w:tc>
                <w:tcPr>
                  <w:tcW w:w="2174" w:type="dxa"/>
                  <w:gridSpan w:val="2"/>
                  <w:tcBorders>
                    <w:top w:val="single" w:sz="4" w:space="0" w:color="000000"/>
                    <w:left w:val="nil"/>
                    <w:bottom w:val="single" w:sz="4" w:space="0" w:color="000000"/>
                    <w:right w:val="nil"/>
                  </w:tcBorders>
                  <w:shd w:val="clear" w:color="000080" w:fill="99CCFF"/>
                  <w:noWrap/>
                  <w:vAlign w:val="bottom"/>
                  <w:hideMark/>
                </w:tcPr>
                <w:p w:rsidR="001B5141" w:rsidRPr="00AF3608" w:rsidRDefault="001B5141" w:rsidP="001B5141">
                  <w:pPr>
                    <w:jc w:val="center"/>
                    <w:rPr>
                      <w:rFonts w:ascii="Arial" w:hAnsi="Arial" w:cs="Arial"/>
                      <w:b/>
                      <w:bCs/>
                      <w:sz w:val="20"/>
                      <w:szCs w:val="20"/>
                      <w:lang w:val="ro-RO"/>
                    </w:rPr>
                  </w:pPr>
                  <w:r w:rsidRPr="00AF3608">
                    <w:rPr>
                      <w:rFonts w:ascii="Arial" w:hAnsi="Arial" w:cs="Arial"/>
                      <w:b/>
                      <w:bCs/>
                      <w:sz w:val="20"/>
                      <w:szCs w:val="20"/>
                      <w:lang w:val="ro-RO"/>
                    </w:rPr>
                    <w:t>2020</w:t>
                  </w:r>
                </w:p>
              </w:tc>
              <w:tc>
                <w:tcPr>
                  <w:tcW w:w="2696" w:type="dxa"/>
                  <w:gridSpan w:val="2"/>
                  <w:tcBorders>
                    <w:top w:val="single" w:sz="4" w:space="0" w:color="000000"/>
                    <w:left w:val="nil"/>
                    <w:bottom w:val="single" w:sz="4" w:space="0" w:color="000000"/>
                    <w:right w:val="nil"/>
                  </w:tcBorders>
                  <w:shd w:val="clear" w:color="000080" w:fill="99CCFF"/>
                  <w:noWrap/>
                  <w:vAlign w:val="bottom"/>
                  <w:hideMark/>
                </w:tcPr>
                <w:p w:rsidR="001B5141" w:rsidRPr="00AF3608" w:rsidRDefault="001B5141" w:rsidP="001B5141">
                  <w:pPr>
                    <w:jc w:val="center"/>
                    <w:rPr>
                      <w:rFonts w:ascii="Arial" w:hAnsi="Arial" w:cs="Arial"/>
                      <w:b/>
                      <w:bCs/>
                      <w:sz w:val="20"/>
                      <w:szCs w:val="20"/>
                      <w:lang w:val="ro-RO"/>
                    </w:rPr>
                  </w:pPr>
                  <w:r w:rsidRPr="00AF3608">
                    <w:rPr>
                      <w:rFonts w:ascii="Arial" w:hAnsi="Arial" w:cs="Arial"/>
                      <w:b/>
                      <w:bCs/>
                      <w:sz w:val="20"/>
                      <w:szCs w:val="20"/>
                      <w:lang w:val="ro-RO"/>
                    </w:rPr>
                    <w:t>2021</w:t>
                  </w:r>
                </w:p>
              </w:tc>
            </w:tr>
            <w:tr w:rsidR="001B5141" w:rsidRPr="00AF3608" w:rsidTr="00342B08">
              <w:trPr>
                <w:trHeight w:val="255"/>
              </w:trPr>
              <w:tc>
                <w:tcPr>
                  <w:tcW w:w="2492" w:type="dxa"/>
                  <w:tcBorders>
                    <w:top w:val="nil"/>
                    <w:left w:val="nil"/>
                    <w:bottom w:val="nil"/>
                    <w:right w:val="nil"/>
                  </w:tcBorders>
                  <w:shd w:val="clear" w:color="000080" w:fill="99CCFF"/>
                  <w:noWrap/>
                  <w:vAlign w:val="bottom"/>
                  <w:hideMark/>
                </w:tcPr>
                <w:p w:rsidR="001B5141" w:rsidRPr="00AF3608" w:rsidRDefault="001B5141" w:rsidP="001B5141">
                  <w:pPr>
                    <w:rPr>
                      <w:rFonts w:ascii="Arial" w:hAnsi="Arial" w:cs="Arial"/>
                      <w:sz w:val="20"/>
                      <w:szCs w:val="20"/>
                      <w:lang w:val="ro-RO"/>
                    </w:rPr>
                  </w:pPr>
                  <w:r w:rsidRPr="00AF3608">
                    <w:rPr>
                      <w:rFonts w:ascii="Arial" w:hAnsi="Arial" w:cs="Arial"/>
                      <w:sz w:val="20"/>
                      <w:szCs w:val="20"/>
                      <w:lang w:val="ro-RO"/>
                    </w:rPr>
                    <w:t> </w:t>
                  </w:r>
                </w:p>
              </w:tc>
              <w:tc>
                <w:tcPr>
                  <w:tcW w:w="1235" w:type="dxa"/>
                  <w:tcBorders>
                    <w:top w:val="nil"/>
                    <w:left w:val="nil"/>
                    <w:bottom w:val="nil"/>
                    <w:right w:val="nil"/>
                  </w:tcBorders>
                  <w:shd w:val="clear" w:color="000080" w:fill="99CCFF"/>
                  <w:vAlign w:val="bottom"/>
                  <w:hideMark/>
                </w:tcPr>
                <w:p w:rsidR="001B5141" w:rsidRPr="00AF3608" w:rsidRDefault="001B5141" w:rsidP="001B5141">
                  <w:pPr>
                    <w:jc w:val="center"/>
                    <w:rPr>
                      <w:rFonts w:ascii="Arial" w:hAnsi="Arial" w:cs="Arial"/>
                      <w:b/>
                      <w:bCs/>
                      <w:sz w:val="18"/>
                      <w:szCs w:val="18"/>
                      <w:lang w:val="ro-RO"/>
                    </w:rPr>
                  </w:pPr>
                  <w:r w:rsidRPr="00AF3608">
                    <w:rPr>
                      <w:rFonts w:ascii="Arial" w:hAnsi="Arial" w:cs="Arial"/>
                      <w:b/>
                      <w:bCs/>
                      <w:sz w:val="18"/>
                      <w:szCs w:val="18"/>
                      <w:lang w:val="ro-RO"/>
                    </w:rPr>
                    <w:t>% din total</w:t>
                  </w:r>
                </w:p>
              </w:tc>
              <w:tc>
                <w:tcPr>
                  <w:tcW w:w="939" w:type="dxa"/>
                  <w:tcBorders>
                    <w:top w:val="nil"/>
                    <w:left w:val="nil"/>
                    <w:bottom w:val="nil"/>
                    <w:right w:val="nil"/>
                  </w:tcBorders>
                  <w:shd w:val="clear" w:color="000080" w:fill="99CCFF"/>
                  <w:noWrap/>
                  <w:vAlign w:val="bottom"/>
                  <w:hideMark/>
                </w:tcPr>
                <w:p w:rsidR="001B5141" w:rsidRPr="00AF3608" w:rsidRDefault="001B5141" w:rsidP="001B5141">
                  <w:pPr>
                    <w:jc w:val="center"/>
                    <w:rPr>
                      <w:rFonts w:ascii="Arial" w:hAnsi="Arial" w:cs="Arial"/>
                      <w:b/>
                      <w:bCs/>
                      <w:sz w:val="18"/>
                      <w:szCs w:val="18"/>
                      <w:lang w:val="ro-RO"/>
                    </w:rPr>
                  </w:pPr>
                  <w:r w:rsidRPr="00AF3608">
                    <w:rPr>
                      <w:rFonts w:ascii="Arial" w:hAnsi="Arial" w:cs="Arial"/>
                      <w:b/>
                      <w:bCs/>
                      <w:sz w:val="18"/>
                      <w:szCs w:val="18"/>
                      <w:lang w:val="ro-RO"/>
                    </w:rPr>
                    <w:t>Sume</w:t>
                  </w:r>
                </w:p>
              </w:tc>
              <w:tc>
                <w:tcPr>
                  <w:tcW w:w="1323" w:type="dxa"/>
                  <w:tcBorders>
                    <w:top w:val="nil"/>
                    <w:left w:val="nil"/>
                    <w:bottom w:val="nil"/>
                    <w:right w:val="nil"/>
                  </w:tcBorders>
                  <w:shd w:val="clear" w:color="000080" w:fill="99CCFF"/>
                  <w:vAlign w:val="bottom"/>
                  <w:hideMark/>
                </w:tcPr>
                <w:p w:rsidR="001B5141" w:rsidRPr="00AF3608" w:rsidRDefault="001B5141" w:rsidP="001B5141">
                  <w:pPr>
                    <w:jc w:val="center"/>
                    <w:rPr>
                      <w:rFonts w:ascii="Arial" w:hAnsi="Arial" w:cs="Arial"/>
                      <w:b/>
                      <w:bCs/>
                      <w:sz w:val="18"/>
                      <w:szCs w:val="18"/>
                      <w:lang w:val="ro-RO"/>
                    </w:rPr>
                  </w:pPr>
                  <w:r w:rsidRPr="00AF3608">
                    <w:rPr>
                      <w:rFonts w:ascii="Arial" w:hAnsi="Arial" w:cs="Arial"/>
                      <w:b/>
                      <w:bCs/>
                      <w:sz w:val="18"/>
                      <w:szCs w:val="18"/>
                      <w:lang w:val="ro-RO"/>
                    </w:rPr>
                    <w:t>% din total</w:t>
                  </w:r>
                </w:p>
              </w:tc>
              <w:tc>
                <w:tcPr>
                  <w:tcW w:w="1373" w:type="dxa"/>
                  <w:tcBorders>
                    <w:top w:val="nil"/>
                    <w:left w:val="nil"/>
                    <w:bottom w:val="nil"/>
                    <w:right w:val="nil"/>
                  </w:tcBorders>
                  <w:shd w:val="clear" w:color="000080" w:fill="99CCFF"/>
                  <w:noWrap/>
                  <w:vAlign w:val="bottom"/>
                  <w:hideMark/>
                </w:tcPr>
                <w:p w:rsidR="001B5141" w:rsidRPr="00AF3608" w:rsidRDefault="001B5141" w:rsidP="001B5141">
                  <w:pPr>
                    <w:jc w:val="center"/>
                    <w:rPr>
                      <w:rFonts w:ascii="Arial" w:hAnsi="Arial" w:cs="Arial"/>
                      <w:b/>
                      <w:bCs/>
                      <w:sz w:val="18"/>
                      <w:szCs w:val="18"/>
                      <w:lang w:val="ro-RO"/>
                    </w:rPr>
                  </w:pPr>
                  <w:r w:rsidRPr="00AF3608">
                    <w:rPr>
                      <w:rFonts w:ascii="Arial" w:hAnsi="Arial" w:cs="Arial"/>
                      <w:b/>
                      <w:bCs/>
                      <w:sz w:val="18"/>
                      <w:szCs w:val="18"/>
                      <w:lang w:val="ro-RO"/>
                    </w:rPr>
                    <w:t>Sume</w:t>
                  </w:r>
                </w:p>
              </w:tc>
            </w:tr>
            <w:tr w:rsidR="001B5141" w:rsidRPr="00AF3608" w:rsidTr="00342B08">
              <w:trPr>
                <w:trHeight w:val="255"/>
              </w:trPr>
              <w:tc>
                <w:tcPr>
                  <w:tcW w:w="2492" w:type="dxa"/>
                  <w:tcBorders>
                    <w:top w:val="nil"/>
                    <w:left w:val="nil"/>
                    <w:bottom w:val="single" w:sz="4" w:space="0" w:color="000000"/>
                    <w:right w:val="nil"/>
                  </w:tcBorders>
                  <w:shd w:val="clear" w:color="000080" w:fill="99CCFF"/>
                  <w:noWrap/>
                  <w:vAlign w:val="bottom"/>
                  <w:hideMark/>
                </w:tcPr>
                <w:p w:rsidR="001B5141" w:rsidRPr="00AF3608" w:rsidRDefault="001B5141" w:rsidP="001B5141">
                  <w:pPr>
                    <w:rPr>
                      <w:rFonts w:ascii="Arial" w:hAnsi="Arial" w:cs="Arial"/>
                      <w:sz w:val="20"/>
                      <w:szCs w:val="20"/>
                      <w:lang w:val="ro-RO"/>
                    </w:rPr>
                  </w:pPr>
                  <w:r w:rsidRPr="00AF3608">
                    <w:rPr>
                      <w:rFonts w:ascii="Arial" w:hAnsi="Arial" w:cs="Arial"/>
                      <w:sz w:val="20"/>
                      <w:szCs w:val="20"/>
                      <w:lang w:val="ro-RO"/>
                    </w:rPr>
                    <w:t> </w:t>
                  </w:r>
                </w:p>
              </w:tc>
              <w:tc>
                <w:tcPr>
                  <w:tcW w:w="1235" w:type="dxa"/>
                  <w:tcBorders>
                    <w:top w:val="nil"/>
                    <w:left w:val="nil"/>
                    <w:bottom w:val="single" w:sz="4" w:space="0" w:color="000000"/>
                    <w:right w:val="nil"/>
                  </w:tcBorders>
                  <w:shd w:val="clear" w:color="000080" w:fill="99CCFF"/>
                  <w:noWrap/>
                  <w:vAlign w:val="bottom"/>
                  <w:hideMark/>
                </w:tcPr>
                <w:p w:rsidR="001B5141" w:rsidRPr="00AF3608" w:rsidRDefault="001B5141" w:rsidP="001B5141">
                  <w:pPr>
                    <w:rPr>
                      <w:rFonts w:ascii="Arial" w:hAnsi="Arial" w:cs="Arial"/>
                      <w:b/>
                      <w:bCs/>
                      <w:sz w:val="20"/>
                      <w:szCs w:val="20"/>
                      <w:lang w:val="ro-RO"/>
                    </w:rPr>
                  </w:pPr>
                  <w:r w:rsidRPr="00AF3608">
                    <w:rPr>
                      <w:rFonts w:ascii="Arial" w:hAnsi="Arial" w:cs="Arial"/>
                      <w:b/>
                      <w:bCs/>
                      <w:sz w:val="20"/>
                      <w:szCs w:val="20"/>
                      <w:lang w:val="ro-RO"/>
                    </w:rPr>
                    <w:t> </w:t>
                  </w:r>
                </w:p>
              </w:tc>
              <w:tc>
                <w:tcPr>
                  <w:tcW w:w="939" w:type="dxa"/>
                  <w:tcBorders>
                    <w:top w:val="nil"/>
                    <w:left w:val="nil"/>
                    <w:bottom w:val="single" w:sz="4" w:space="0" w:color="000000"/>
                    <w:right w:val="nil"/>
                  </w:tcBorders>
                  <w:shd w:val="clear" w:color="000080" w:fill="99CCFF"/>
                  <w:noWrap/>
                  <w:vAlign w:val="bottom"/>
                  <w:hideMark/>
                </w:tcPr>
                <w:p w:rsidR="001B5141" w:rsidRPr="00AF3608" w:rsidRDefault="001B5141" w:rsidP="001B5141">
                  <w:pPr>
                    <w:rPr>
                      <w:rFonts w:ascii="Arial" w:hAnsi="Arial" w:cs="Arial"/>
                      <w:b/>
                      <w:bCs/>
                      <w:sz w:val="20"/>
                      <w:szCs w:val="20"/>
                      <w:lang w:val="ro-RO"/>
                    </w:rPr>
                  </w:pPr>
                  <w:r w:rsidRPr="00AF3608">
                    <w:rPr>
                      <w:rFonts w:ascii="Arial" w:hAnsi="Arial" w:cs="Arial"/>
                      <w:b/>
                      <w:bCs/>
                      <w:sz w:val="20"/>
                      <w:szCs w:val="20"/>
                      <w:lang w:val="ro-RO"/>
                    </w:rPr>
                    <w:t> </w:t>
                  </w:r>
                </w:p>
              </w:tc>
              <w:tc>
                <w:tcPr>
                  <w:tcW w:w="1323" w:type="dxa"/>
                  <w:tcBorders>
                    <w:top w:val="nil"/>
                    <w:left w:val="nil"/>
                    <w:bottom w:val="single" w:sz="4" w:space="0" w:color="000000"/>
                    <w:right w:val="nil"/>
                  </w:tcBorders>
                  <w:shd w:val="clear" w:color="000080" w:fill="99CCFF"/>
                  <w:noWrap/>
                  <w:vAlign w:val="bottom"/>
                  <w:hideMark/>
                </w:tcPr>
                <w:p w:rsidR="001B5141" w:rsidRPr="00AF3608" w:rsidRDefault="001B5141" w:rsidP="001B5141">
                  <w:pPr>
                    <w:rPr>
                      <w:rFonts w:ascii="Arial" w:hAnsi="Arial" w:cs="Arial"/>
                      <w:b/>
                      <w:bCs/>
                      <w:sz w:val="20"/>
                      <w:szCs w:val="20"/>
                      <w:lang w:val="ro-RO"/>
                    </w:rPr>
                  </w:pPr>
                  <w:r w:rsidRPr="00AF3608">
                    <w:rPr>
                      <w:rFonts w:ascii="Arial" w:hAnsi="Arial" w:cs="Arial"/>
                      <w:b/>
                      <w:bCs/>
                      <w:sz w:val="20"/>
                      <w:szCs w:val="20"/>
                      <w:lang w:val="ro-RO"/>
                    </w:rPr>
                    <w:t> </w:t>
                  </w:r>
                </w:p>
              </w:tc>
              <w:tc>
                <w:tcPr>
                  <w:tcW w:w="1373" w:type="dxa"/>
                  <w:tcBorders>
                    <w:top w:val="nil"/>
                    <w:left w:val="nil"/>
                    <w:bottom w:val="single" w:sz="4" w:space="0" w:color="000000"/>
                    <w:right w:val="nil"/>
                  </w:tcBorders>
                  <w:shd w:val="clear" w:color="000080" w:fill="99CCFF"/>
                  <w:noWrap/>
                  <w:vAlign w:val="bottom"/>
                  <w:hideMark/>
                </w:tcPr>
                <w:p w:rsidR="001B5141" w:rsidRPr="00AF3608" w:rsidRDefault="001B5141" w:rsidP="001B5141">
                  <w:pPr>
                    <w:rPr>
                      <w:rFonts w:ascii="Arial" w:hAnsi="Arial" w:cs="Arial"/>
                      <w:b/>
                      <w:bCs/>
                      <w:sz w:val="20"/>
                      <w:szCs w:val="20"/>
                      <w:lang w:val="ro-RO"/>
                    </w:rPr>
                  </w:pPr>
                  <w:r w:rsidRPr="00AF3608">
                    <w:rPr>
                      <w:rFonts w:ascii="Arial" w:hAnsi="Arial" w:cs="Arial"/>
                      <w:b/>
                      <w:bCs/>
                      <w:sz w:val="20"/>
                      <w:szCs w:val="20"/>
                      <w:lang w:val="ro-RO"/>
                    </w:rPr>
                    <w:t> </w:t>
                  </w:r>
                </w:p>
              </w:tc>
            </w:tr>
            <w:tr w:rsidR="001B5141" w:rsidRPr="00AF3608" w:rsidTr="00342B08">
              <w:trPr>
                <w:trHeight w:val="255"/>
              </w:trPr>
              <w:tc>
                <w:tcPr>
                  <w:tcW w:w="2492" w:type="dxa"/>
                  <w:tcBorders>
                    <w:top w:val="nil"/>
                    <w:left w:val="nil"/>
                    <w:bottom w:val="nil"/>
                    <w:right w:val="nil"/>
                  </w:tcBorders>
                  <w:shd w:val="clear" w:color="CCFFCC" w:fill="CCFFFF"/>
                  <w:noWrap/>
                  <w:vAlign w:val="bottom"/>
                  <w:hideMark/>
                </w:tcPr>
                <w:p w:rsidR="001B5141" w:rsidRPr="00AF3608" w:rsidRDefault="001B5141" w:rsidP="001B5141">
                  <w:pPr>
                    <w:rPr>
                      <w:rFonts w:ascii="Arial" w:hAnsi="Arial" w:cs="Arial"/>
                      <w:sz w:val="20"/>
                      <w:szCs w:val="20"/>
                      <w:lang w:val="ro-RO"/>
                    </w:rPr>
                  </w:pPr>
                  <w:r w:rsidRPr="00AF3608">
                    <w:rPr>
                      <w:rFonts w:ascii="Arial" w:hAnsi="Arial" w:cs="Arial"/>
                      <w:sz w:val="20"/>
                      <w:szCs w:val="20"/>
                      <w:lang w:val="ro-RO"/>
                    </w:rPr>
                    <w:t> </w:t>
                  </w:r>
                </w:p>
              </w:tc>
              <w:tc>
                <w:tcPr>
                  <w:tcW w:w="1235" w:type="dxa"/>
                  <w:tcBorders>
                    <w:top w:val="nil"/>
                    <w:left w:val="nil"/>
                    <w:bottom w:val="nil"/>
                    <w:right w:val="nil"/>
                  </w:tcBorders>
                  <w:shd w:val="clear" w:color="auto" w:fill="auto"/>
                  <w:noWrap/>
                  <w:vAlign w:val="bottom"/>
                  <w:hideMark/>
                </w:tcPr>
                <w:p w:rsidR="001B5141" w:rsidRPr="00AF3608" w:rsidRDefault="001B5141" w:rsidP="001B5141">
                  <w:pPr>
                    <w:rPr>
                      <w:rFonts w:ascii="Arial" w:hAnsi="Arial" w:cs="Arial"/>
                      <w:sz w:val="20"/>
                      <w:szCs w:val="20"/>
                      <w:lang w:val="ro-RO"/>
                    </w:rPr>
                  </w:pPr>
                </w:p>
              </w:tc>
              <w:tc>
                <w:tcPr>
                  <w:tcW w:w="939" w:type="dxa"/>
                  <w:tcBorders>
                    <w:top w:val="nil"/>
                    <w:left w:val="nil"/>
                    <w:bottom w:val="nil"/>
                    <w:right w:val="nil"/>
                  </w:tcBorders>
                  <w:shd w:val="clear" w:color="auto" w:fill="auto"/>
                  <w:noWrap/>
                  <w:vAlign w:val="bottom"/>
                  <w:hideMark/>
                </w:tcPr>
                <w:p w:rsidR="001B5141" w:rsidRPr="00AF3608" w:rsidRDefault="001B5141" w:rsidP="001B5141">
                  <w:pPr>
                    <w:rPr>
                      <w:sz w:val="20"/>
                      <w:szCs w:val="20"/>
                      <w:lang w:val="ro-RO"/>
                    </w:rPr>
                  </w:pPr>
                </w:p>
              </w:tc>
              <w:tc>
                <w:tcPr>
                  <w:tcW w:w="1323" w:type="dxa"/>
                  <w:tcBorders>
                    <w:top w:val="nil"/>
                    <w:left w:val="nil"/>
                    <w:bottom w:val="nil"/>
                    <w:right w:val="nil"/>
                  </w:tcBorders>
                  <w:shd w:val="clear" w:color="auto" w:fill="auto"/>
                  <w:noWrap/>
                  <w:vAlign w:val="bottom"/>
                  <w:hideMark/>
                </w:tcPr>
                <w:p w:rsidR="001B5141" w:rsidRPr="00AF3608" w:rsidRDefault="001B5141" w:rsidP="001B5141">
                  <w:pPr>
                    <w:rPr>
                      <w:sz w:val="20"/>
                      <w:szCs w:val="20"/>
                      <w:lang w:val="ro-RO"/>
                    </w:rPr>
                  </w:pPr>
                </w:p>
              </w:tc>
              <w:tc>
                <w:tcPr>
                  <w:tcW w:w="1373" w:type="dxa"/>
                  <w:tcBorders>
                    <w:top w:val="nil"/>
                    <w:left w:val="nil"/>
                    <w:bottom w:val="nil"/>
                    <w:right w:val="nil"/>
                  </w:tcBorders>
                  <w:shd w:val="clear" w:color="auto" w:fill="auto"/>
                  <w:noWrap/>
                  <w:vAlign w:val="bottom"/>
                  <w:hideMark/>
                </w:tcPr>
                <w:p w:rsidR="001B5141" w:rsidRPr="00AF3608" w:rsidRDefault="001B5141" w:rsidP="001B5141">
                  <w:pPr>
                    <w:rPr>
                      <w:sz w:val="20"/>
                      <w:szCs w:val="20"/>
                      <w:lang w:val="ro-RO"/>
                    </w:rPr>
                  </w:pPr>
                </w:p>
              </w:tc>
            </w:tr>
            <w:tr w:rsidR="001B5141" w:rsidRPr="00AF3608" w:rsidTr="00342B08">
              <w:trPr>
                <w:trHeight w:val="390"/>
              </w:trPr>
              <w:tc>
                <w:tcPr>
                  <w:tcW w:w="2492" w:type="dxa"/>
                  <w:tcBorders>
                    <w:top w:val="nil"/>
                    <w:left w:val="nil"/>
                    <w:bottom w:val="nil"/>
                    <w:right w:val="nil"/>
                  </w:tcBorders>
                  <w:shd w:val="clear" w:color="CCFFCC" w:fill="CCFFFF"/>
                  <w:vAlign w:val="bottom"/>
                  <w:hideMark/>
                </w:tcPr>
                <w:p w:rsidR="001B5141" w:rsidRPr="00AF3608" w:rsidRDefault="001B5141" w:rsidP="001B5141">
                  <w:pPr>
                    <w:rPr>
                      <w:rFonts w:ascii="Arial" w:hAnsi="Arial" w:cs="Arial"/>
                      <w:b/>
                      <w:bCs/>
                      <w:sz w:val="20"/>
                      <w:szCs w:val="20"/>
                      <w:lang w:val="ro-RO"/>
                    </w:rPr>
                  </w:pPr>
                  <w:r w:rsidRPr="00AF3608">
                    <w:rPr>
                      <w:rFonts w:ascii="Arial" w:hAnsi="Arial" w:cs="Arial"/>
                      <w:b/>
                      <w:bCs/>
                      <w:sz w:val="20"/>
                      <w:szCs w:val="20"/>
                      <w:lang w:val="ro-RO"/>
                    </w:rPr>
                    <w:t xml:space="preserve">Venituri bugetare total </w:t>
                  </w:r>
                </w:p>
              </w:tc>
              <w:tc>
                <w:tcPr>
                  <w:tcW w:w="1235"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b/>
                      <w:bCs/>
                      <w:sz w:val="20"/>
                      <w:szCs w:val="20"/>
                      <w:lang w:val="ro-RO"/>
                    </w:rPr>
                  </w:pPr>
                  <w:r w:rsidRPr="00AF3608">
                    <w:rPr>
                      <w:rFonts w:ascii="Arial" w:hAnsi="Arial" w:cs="Arial"/>
                      <w:b/>
                      <w:bCs/>
                      <w:sz w:val="20"/>
                      <w:szCs w:val="20"/>
                      <w:lang w:val="ro-RO"/>
                    </w:rPr>
                    <w:t>100,0</w:t>
                  </w:r>
                </w:p>
              </w:tc>
              <w:tc>
                <w:tcPr>
                  <w:tcW w:w="939"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b/>
                      <w:bCs/>
                      <w:sz w:val="20"/>
                      <w:szCs w:val="20"/>
                      <w:lang w:val="ro-RO"/>
                    </w:rPr>
                  </w:pPr>
                  <w:r w:rsidRPr="00AF3608">
                    <w:rPr>
                      <w:rFonts w:ascii="Arial" w:hAnsi="Arial" w:cs="Arial"/>
                      <w:b/>
                      <w:bCs/>
                      <w:sz w:val="20"/>
                      <w:szCs w:val="20"/>
                      <w:lang w:val="ro-RO"/>
                    </w:rPr>
                    <w:t>322.518</w:t>
                  </w:r>
                </w:p>
              </w:tc>
              <w:tc>
                <w:tcPr>
                  <w:tcW w:w="132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b/>
                      <w:bCs/>
                      <w:sz w:val="20"/>
                      <w:szCs w:val="20"/>
                      <w:lang w:val="ro-RO"/>
                    </w:rPr>
                  </w:pPr>
                  <w:r w:rsidRPr="00AF3608">
                    <w:rPr>
                      <w:rFonts w:ascii="Arial" w:hAnsi="Arial" w:cs="Arial"/>
                      <w:b/>
                      <w:bCs/>
                      <w:sz w:val="20"/>
                      <w:szCs w:val="20"/>
                      <w:lang w:val="ro-RO"/>
                    </w:rPr>
                    <w:t>100,0</w:t>
                  </w:r>
                </w:p>
              </w:tc>
              <w:tc>
                <w:tcPr>
                  <w:tcW w:w="137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b/>
                      <w:bCs/>
                      <w:sz w:val="20"/>
                      <w:szCs w:val="20"/>
                      <w:lang w:val="ro-RO"/>
                    </w:rPr>
                  </w:pPr>
                  <w:r w:rsidRPr="00AF3608">
                    <w:rPr>
                      <w:rFonts w:ascii="Arial" w:hAnsi="Arial" w:cs="Arial"/>
                      <w:b/>
                      <w:bCs/>
                      <w:sz w:val="20"/>
                      <w:szCs w:val="20"/>
                      <w:lang w:val="ro-RO"/>
                    </w:rPr>
                    <w:t>364.907</w:t>
                  </w:r>
                </w:p>
              </w:tc>
            </w:tr>
            <w:tr w:rsidR="001B5141" w:rsidRPr="00AF3608" w:rsidTr="00342B08">
              <w:trPr>
                <w:trHeight w:val="255"/>
              </w:trPr>
              <w:tc>
                <w:tcPr>
                  <w:tcW w:w="2492" w:type="dxa"/>
                  <w:tcBorders>
                    <w:top w:val="nil"/>
                    <w:left w:val="nil"/>
                    <w:bottom w:val="nil"/>
                    <w:right w:val="nil"/>
                  </w:tcBorders>
                  <w:shd w:val="clear" w:color="CCFFCC" w:fill="CCFFFF"/>
                  <w:noWrap/>
                  <w:vAlign w:val="bottom"/>
                  <w:hideMark/>
                </w:tcPr>
                <w:p w:rsidR="001B5141" w:rsidRPr="00AF3608" w:rsidRDefault="001B5141" w:rsidP="001B5141">
                  <w:pPr>
                    <w:rPr>
                      <w:rFonts w:ascii="Arial" w:hAnsi="Arial" w:cs="Arial"/>
                      <w:sz w:val="16"/>
                      <w:szCs w:val="16"/>
                      <w:lang w:val="ro-RO"/>
                    </w:rPr>
                  </w:pPr>
                  <w:r w:rsidRPr="00AF3608">
                    <w:rPr>
                      <w:rFonts w:ascii="Arial" w:hAnsi="Arial" w:cs="Arial"/>
                      <w:sz w:val="16"/>
                      <w:szCs w:val="16"/>
                      <w:lang w:val="ro-RO"/>
                    </w:rPr>
                    <w:t xml:space="preserve">Impozit pe profit                  </w:t>
                  </w:r>
                </w:p>
              </w:tc>
              <w:tc>
                <w:tcPr>
                  <w:tcW w:w="1235"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5,0</w:t>
                  </w:r>
                </w:p>
              </w:tc>
              <w:tc>
                <w:tcPr>
                  <w:tcW w:w="939"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15.988</w:t>
                  </w:r>
                </w:p>
              </w:tc>
              <w:tc>
                <w:tcPr>
                  <w:tcW w:w="132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4,8</w:t>
                  </w:r>
                </w:p>
              </w:tc>
              <w:tc>
                <w:tcPr>
                  <w:tcW w:w="137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17.409</w:t>
                  </w:r>
                </w:p>
              </w:tc>
            </w:tr>
            <w:tr w:rsidR="001B5141" w:rsidRPr="00AF3608" w:rsidTr="00342B08">
              <w:trPr>
                <w:trHeight w:val="375"/>
              </w:trPr>
              <w:tc>
                <w:tcPr>
                  <w:tcW w:w="2492" w:type="dxa"/>
                  <w:tcBorders>
                    <w:top w:val="nil"/>
                    <w:left w:val="nil"/>
                    <w:bottom w:val="nil"/>
                    <w:right w:val="nil"/>
                  </w:tcBorders>
                  <w:shd w:val="clear" w:color="CCFFCC" w:fill="CCFFFF"/>
                  <w:vAlign w:val="bottom"/>
                  <w:hideMark/>
                </w:tcPr>
                <w:p w:rsidR="001B5141" w:rsidRPr="00AF3608" w:rsidRDefault="001B5141" w:rsidP="001B5141">
                  <w:pPr>
                    <w:rPr>
                      <w:rFonts w:ascii="Arial" w:hAnsi="Arial" w:cs="Arial"/>
                      <w:sz w:val="16"/>
                      <w:szCs w:val="16"/>
                      <w:lang w:val="ro-RO"/>
                    </w:rPr>
                  </w:pPr>
                  <w:r w:rsidRPr="00AF3608">
                    <w:rPr>
                      <w:rFonts w:ascii="Arial" w:hAnsi="Arial" w:cs="Arial"/>
                      <w:sz w:val="16"/>
                      <w:szCs w:val="16"/>
                      <w:lang w:val="ro-RO"/>
                    </w:rPr>
                    <w:t>Impozit pe salarii si venit</w:t>
                  </w:r>
                </w:p>
              </w:tc>
              <w:tc>
                <w:tcPr>
                  <w:tcW w:w="1235"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7,5</w:t>
                  </w:r>
                </w:p>
              </w:tc>
              <w:tc>
                <w:tcPr>
                  <w:tcW w:w="939"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24.334</w:t>
                  </w:r>
                </w:p>
              </w:tc>
              <w:tc>
                <w:tcPr>
                  <w:tcW w:w="132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7,2</w:t>
                  </w:r>
                </w:p>
              </w:tc>
              <w:tc>
                <w:tcPr>
                  <w:tcW w:w="137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26.245</w:t>
                  </w:r>
                </w:p>
              </w:tc>
            </w:tr>
            <w:tr w:rsidR="001B5141" w:rsidRPr="00AF3608" w:rsidTr="00342B08">
              <w:trPr>
                <w:trHeight w:val="525"/>
              </w:trPr>
              <w:tc>
                <w:tcPr>
                  <w:tcW w:w="2492" w:type="dxa"/>
                  <w:tcBorders>
                    <w:top w:val="nil"/>
                    <w:left w:val="nil"/>
                    <w:bottom w:val="nil"/>
                    <w:right w:val="nil"/>
                  </w:tcBorders>
                  <w:shd w:val="clear" w:color="CCFFCC" w:fill="CCFFFF"/>
                  <w:vAlign w:val="bottom"/>
                  <w:hideMark/>
                </w:tcPr>
                <w:p w:rsidR="001B5141" w:rsidRPr="00AF3608" w:rsidRDefault="001B5141" w:rsidP="001B5141">
                  <w:pPr>
                    <w:rPr>
                      <w:rFonts w:ascii="Arial" w:hAnsi="Arial" w:cs="Arial"/>
                      <w:sz w:val="16"/>
                      <w:szCs w:val="16"/>
                      <w:lang w:val="ro-RO"/>
                    </w:rPr>
                  </w:pPr>
                  <w:r w:rsidRPr="00AF3608">
                    <w:rPr>
                      <w:rFonts w:ascii="Arial" w:hAnsi="Arial" w:cs="Arial"/>
                      <w:sz w:val="16"/>
                      <w:szCs w:val="16"/>
                      <w:lang w:val="ro-RO"/>
                    </w:rPr>
                    <w:t xml:space="preserve">Impozite si taxe pe proprietate              </w:t>
                  </w:r>
                </w:p>
              </w:tc>
              <w:tc>
                <w:tcPr>
                  <w:tcW w:w="1235"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1,8</w:t>
                  </w:r>
                </w:p>
              </w:tc>
              <w:tc>
                <w:tcPr>
                  <w:tcW w:w="939"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5.936</w:t>
                  </w:r>
                </w:p>
              </w:tc>
              <w:tc>
                <w:tcPr>
                  <w:tcW w:w="132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1,7</w:t>
                  </w:r>
                </w:p>
              </w:tc>
              <w:tc>
                <w:tcPr>
                  <w:tcW w:w="137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6.105</w:t>
                  </w:r>
                </w:p>
              </w:tc>
            </w:tr>
            <w:tr w:rsidR="001B5141" w:rsidRPr="00AF3608" w:rsidTr="00342B08">
              <w:trPr>
                <w:trHeight w:val="315"/>
              </w:trPr>
              <w:tc>
                <w:tcPr>
                  <w:tcW w:w="2492" w:type="dxa"/>
                  <w:tcBorders>
                    <w:top w:val="nil"/>
                    <w:left w:val="nil"/>
                    <w:bottom w:val="nil"/>
                    <w:right w:val="nil"/>
                  </w:tcBorders>
                  <w:shd w:val="clear" w:color="CCFFCC" w:fill="CCFFFF"/>
                  <w:noWrap/>
                  <w:vAlign w:val="bottom"/>
                  <w:hideMark/>
                </w:tcPr>
                <w:p w:rsidR="001B5141" w:rsidRPr="00AF3608" w:rsidRDefault="001B5141" w:rsidP="001B5141">
                  <w:pPr>
                    <w:rPr>
                      <w:rFonts w:ascii="Arial" w:hAnsi="Arial" w:cs="Arial"/>
                      <w:sz w:val="16"/>
                      <w:szCs w:val="16"/>
                      <w:lang w:val="ro-RO"/>
                    </w:rPr>
                  </w:pPr>
                  <w:r w:rsidRPr="00AF3608">
                    <w:rPr>
                      <w:rFonts w:ascii="Arial" w:hAnsi="Arial" w:cs="Arial"/>
                      <w:sz w:val="16"/>
                      <w:szCs w:val="16"/>
                      <w:lang w:val="ro-RO"/>
                    </w:rPr>
                    <w:t xml:space="preserve">TVA                                          </w:t>
                  </w:r>
                </w:p>
              </w:tc>
              <w:tc>
                <w:tcPr>
                  <w:tcW w:w="1235"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18,9</w:t>
                  </w:r>
                </w:p>
              </w:tc>
              <w:tc>
                <w:tcPr>
                  <w:tcW w:w="939"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60.817</w:t>
                  </w:r>
                </w:p>
              </w:tc>
              <w:tc>
                <w:tcPr>
                  <w:tcW w:w="132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19,1</w:t>
                  </w:r>
                </w:p>
              </w:tc>
              <w:tc>
                <w:tcPr>
                  <w:tcW w:w="137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69.698</w:t>
                  </w:r>
                </w:p>
              </w:tc>
            </w:tr>
            <w:tr w:rsidR="001B5141" w:rsidRPr="00AF3608" w:rsidTr="00342B08">
              <w:trPr>
                <w:trHeight w:val="270"/>
              </w:trPr>
              <w:tc>
                <w:tcPr>
                  <w:tcW w:w="2492" w:type="dxa"/>
                  <w:tcBorders>
                    <w:top w:val="nil"/>
                    <w:left w:val="nil"/>
                    <w:bottom w:val="nil"/>
                    <w:right w:val="nil"/>
                  </w:tcBorders>
                  <w:shd w:val="clear" w:color="CCFFCC" w:fill="CCFFFF"/>
                  <w:noWrap/>
                  <w:vAlign w:val="bottom"/>
                  <w:hideMark/>
                </w:tcPr>
                <w:p w:rsidR="001B5141" w:rsidRPr="00AF3608" w:rsidRDefault="001B5141" w:rsidP="001B5141">
                  <w:pPr>
                    <w:rPr>
                      <w:rFonts w:ascii="Arial" w:hAnsi="Arial" w:cs="Arial"/>
                      <w:sz w:val="16"/>
                      <w:szCs w:val="16"/>
                      <w:lang w:val="ro-RO"/>
                    </w:rPr>
                  </w:pPr>
                  <w:r w:rsidRPr="00AF3608">
                    <w:rPr>
                      <w:rFonts w:ascii="Arial" w:hAnsi="Arial" w:cs="Arial"/>
                      <w:sz w:val="16"/>
                      <w:szCs w:val="16"/>
                      <w:lang w:val="ro-RO"/>
                    </w:rPr>
                    <w:t xml:space="preserve"> Accize  </w:t>
                  </w:r>
                </w:p>
              </w:tc>
              <w:tc>
                <w:tcPr>
                  <w:tcW w:w="1235"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9,5</w:t>
                  </w:r>
                </w:p>
              </w:tc>
              <w:tc>
                <w:tcPr>
                  <w:tcW w:w="939"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30.715</w:t>
                  </w:r>
                </w:p>
              </w:tc>
              <w:tc>
                <w:tcPr>
                  <w:tcW w:w="132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9,1</w:t>
                  </w:r>
                </w:p>
              </w:tc>
              <w:tc>
                <w:tcPr>
                  <w:tcW w:w="137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33.096</w:t>
                  </w:r>
                </w:p>
              </w:tc>
            </w:tr>
            <w:tr w:rsidR="001B5141" w:rsidRPr="00AF3608" w:rsidTr="00342B08">
              <w:trPr>
                <w:trHeight w:val="525"/>
              </w:trPr>
              <w:tc>
                <w:tcPr>
                  <w:tcW w:w="2492" w:type="dxa"/>
                  <w:tcBorders>
                    <w:top w:val="nil"/>
                    <w:left w:val="nil"/>
                    <w:bottom w:val="nil"/>
                    <w:right w:val="nil"/>
                  </w:tcBorders>
                  <w:shd w:val="clear" w:color="CCFFCC" w:fill="CCFFFF"/>
                  <w:vAlign w:val="bottom"/>
                  <w:hideMark/>
                </w:tcPr>
                <w:p w:rsidR="001B5141" w:rsidRPr="00AF3608" w:rsidRDefault="001B5141" w:rsidP="001B5141">
                  <w:pPr>
                    <w:rPr>
                      <w:rFonts w:ascii="Arial" w:hAnsi="Arial" w:cs="Arial"/>
                      <w:sz w:val="16"/>
                      <w:szCs w:val="16"/>
                      <w:lang w:val="ro-RO"/>
                    </w:rPr>
                  </w:pPr>
                  <w:r w:rsidRPr="00AF3608">
                    <w:rPr>
                      <w:rFonts w:ascii="Arial" w:hAnsi="Arial" w:cs="Arial"/>
                      <w:sz w:val="16"/>
                      <w:szCs w:val="16"/>
                      <w:lang w:val="ro-RO"/>
                    </w:rPr>
                    <w:t xml:space="preserve">Impozit pe comert exterior si tranzactiile internationale              </w:t>
                  </w:r>
                </w:p>
              </w:tc>
              <w:tc>
                <w:tcPr>
                  <w:tcW w:w="1235"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0,3</w:t>
                  </w:r>
                </w:p>
              </w:tc>
              <w:tc>
                <w:tcPr>
                  <w:tcW w:w="939"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1.120</w:t>
                  </w:r>
                </w:p>
              </w:tc>
              <w:tc>
                <w:tcPr>
                  <w:tcW w:w="132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0,3</w:t>
                  </w:r>
                </w:p>
              </w:tc>
              <w:tc>
                <w:tcPr>
                  <w:tcW w:w="137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1.132</w:t>
                  </w:r>
                </w:p>
              </w:tc>
            </w:tr>
            <w:tr w:rsidR="001B5141" w:rsidRPr="00AF3608" w:rsidTr="00342B08">
              <w:trPr>
                <w:trHeight w:val="270"/>
              </w:trPr>
              <w:tc>
                <w:tcPr>
                  <w:tcW w:w="2492" w:type="dxa"/>
                  <w:tcBorders>
                    <w:top w:val="nil"/>
                    <w:left w:val="nil"/>
                    <w:bottom w:val="nil"/>
                    <w:right w:val="nil"/>
                  </w:tcBorders>
                  <w:shd w:val="clear" w:color="CCFFCC" w:fill="CCFFFF"/>
                  <w:vAlign w:val="bottom"/>
                  <w:hideMark/>
                </w:tcPr>
                <w:p w:rsidR="001B5141" w:rsidRPr="00AF3608" w:rsidRDefault="001B5141" w:rsidP="001B5141">
                  <w:pPr>
                    <w:rPr>
                      <w:rFonts w:ascii="Arial" w:hAnsi="Arial" w:cs="Arial"/>
                      <w:sz w:val="16"/>
                      <w:szCs w:val="16"/>
                      <w:lang w:val="ro-RO"/>
                    </w:rPr>
                  </w:pPr>
                  <w:r w:rsidRPr="00AF3608">
                    <w:rPr>
                      <w:rFonts w:ascii="Arial" w:hAnsi="Arial" w:cs="Arial"/>
                      <w:sz w:val="16"/>
                      <w:szCs w:val="16"/>
                      <w:lang w:val="ro-RO"/>
                    </w:rPr>
                    <w:t xml:space="preserve">Alte venituri fiscale </w:t>
                  </w:r>
                </w:p>
              </w:tc>
              <w:tc>
                <w:tcPr>
                  <w:tcW w:w="1235"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3,8</w:t>
                  </w:r>
                </w:p>
              </w:tc>
              <w:tc>
                <w:tcPr>
                  <w:tcW w:w="939"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12.370</w:t>
                  </w:r>
                </w:p>
              </w:tc>
              <w:tc>
                <w:tcPr>
                  <w:tcW w:w="132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4,2</w:t>
                  </w:r>
                </w:p>
              </w:tc>
              <w:tc>
                <w:tcPr>
                  <w:tcW w:w="137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15.214</w:t>
                  </w:r>
                </w:p>
              </w:tc>
            </w:tr>
            <w:tr w:rsidR="001B5141" w:rsidRPr="00AF3608" w:rsidTr="00342B08">
              <w:trPr>
                <w:trHeight w:val="255"/>
              </w:trPr>
              <w:tc>
                <w:tcPr>
                  <w:tcW w:w="2492" w:type="dxa"/>
                  <w:tcBorders>
                    <w:top w:val="nil"/>
                    <w:left w:val="nil"/>
                    <w:bottom w:val="nil"/>
                    <w:right w:val="nil"/>
                  </w:tcBorders>
                  <w:shd w:val="clear" w:color="CCFFCC" w:fill="CCFFFF"/>
                  <w:noWrap/>
                  <w:vAlign w:val="bottom"/>
                  <w:hideMark/>
                </w:tcPr>
                <w:p w:rsidR="001B5141" w:rsidRPr="00AF3608" w:rsidRDefault="001B5141" w:rsidP="001B5141">
                  <w:pPr>
                    <w:rPr>
                      <w:rFonts w:ascii="Arial" w:hAnsi="Arial" w:cs="Arial"/>
                      <w:sz w:val="16"/>
                      <w:szCs w:val="16"/>
                      <w:lang w:val="ro-RO"/>
                    </w:rPr>
                  </w:pPr>
                  <w:r w:rsidRPr="00AF3608">
                    <w:rPr>
                      <w:rFonts w:ascii="Arial" w:hAnsi="Arial" w:cs="Arial"/>
                      <w:sz w:val="16"/>
                      <w:szCs w:val="16"/>
                      <w:lang w:val="ro-RO"/>
                    </w:rPr>
                    <w:t>Contributii asigurari sociale</w:t>
                  </w:r>
                </w:p>
              </w:tc>
              <w:tc>
                <w:tcPr>
                  <w:tcW w:w="1235"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34,8</w:t>
                  </w:r>
                </w:p>
              </w:tc>
              <w:tc>
                <w:tcPr>
                  <w:tcW w:w="939"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112.251</w:t>
                  </w:r>
                </w:p>
              </w:tc>
              <w:tc>
                <w:tcPr>
                  <w:tcW w:w="132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33,1</w:t>
                  </w:r>
                </w:p>
              </w:tc>
              <w:tc>
                <w:tcPr>
                  <w:tcW w:w="137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120.826</w:t>
                  </w:r>
                </w:p>
              </w:tc>
            </w:tr>
            <w:tr w:rsidR="001B5141" w:rsidRPr="00AF3608" w:rsidTr="00342B08">
              <w:trPr>
                <w:trHeight w:val="255"/>
              </w:trPr>
              <w:tc>
                <w:tcPr>
                  <w:tcW w:w="2492" w:type="dxa"/>
                  <w:tcBorders>
                    <w:top w:val="nil"/>
                    <w:left w:val="nil"/>
                    <w:bottom w:val="nil"/>
                    <w:right w:val="nil"/>
                  </w:tcBorders>
                  <w:shd w:val="clear" w:color="CCFFCC" w:fill="CCFFFF"/>
                  <w:noWrap/>
                  <w:vAlign w:val="bottom"/>
                  <w:hideMark/>
                </w:tcPr>
                <w:p w:rsidR="001B5141" w:rsidRPr="00AF3608" w:rsidRDefault="001B5141" w:rsidP="001B5141">
                  <w:pPr>
                    <w:rPr>
                      <w:rFonts w:ascii="Arial" w:hAnsi="Arial" w:cs="Arial"/>
                      <w:sz w:val="16"/>
                      <w:szCs w:val="16"/>
                      <w:lang w:val="ro-RO"/>
                    </w:rPr>
                  </w:pPr>
                  <w:r w:rsidRPr="00AF3608">
                    <w:rPr>
                      <w:rFonts w:ascii="Arial" w:hAnsi="Arial" w:cs="Arial"/>
                      <w:sz w:val="16"/>
                      <w:szCs w:val="16"/>
                      <w:lang w:val="ro-RO"/>
                    </w:rPr>
                    <w:t xml:space="preserve"> Venituri nefiscale                      </w:t>
                  </w:r>
                </w:p>
              </w:tc>
              <w:tc>
                <w:tcPr>
                  <w:tcW w:w="1235"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7,6</w:t>
                  </w:r>
                </w:p>
              </w:tc>
              <w:tc>
                <w:tcPr>
                  <w:tcW w:w="939"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24.655</w:t>
                  </w:r>
                </w:p>
              </w:tc>
              <w:tc>
                <w:tcPr>
                  <w:tcW w:w="132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7,4</w:t>
                  </w:r>
                </w:p>
              </w:tc>
              <w:tc>
                <w:tcPr>
                  <w:tcW w:w="137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26.970</w:t>
                  </w:r>
                </w:p>
              </w:tc>
            </w:tr>
            <w:tr w:rsidR="001B5141" w:rsidRPr="00AF3608" w:rsidTr="00342B08">
              <w:trPr>
                <w:trHeight w:val="345"/>
              </w:trPr>
              <w:tc>
                <w:tcPr>
                  <w:tcW w:w="2492" w:type="dxa"/>
                  <w:tcBorders>
                    <w:top w:val="nil"/>
                    <w:left w:val="nil"/>
                    <w:bottom w:val="nil"/>
                    <w:right w:val="nil"/>
                  </w:tcBorders>
                  <w:shd w:val="clear" w:color="CCFFCC" w:fill="CCFFFF"/>
                  <w:noWrap/>
                  <w:vAlign w:val="bottom"/>
                  <w:hideMark/>
                </w:tcPr>
                <w:p w:rsidR="001B5141" w:rsidRPr="00AF3608" w:rsidRDefault="001B5141" w:rsidP="001B5141">
                  <w:pPr>
                    <w:rPr>
                      <w:rFonts w:ascii="Arial" w:hAnsi="Arial" w:cs="Arial"/>
                      <w:sz w:val="16"/>
                      <w:szCs w:val="16"/>
                      <w:lang w:val="ro-RO"/>
                    </w:rPr>
                  </w:pPr>
                  <w:r w:rsidRPr="00AF3608">
                    <w:rPr>
                      <w:rFonts w:ascii="Arial" w:hAnsi="Arial" w:cs="Arial"/>
                      <w:sz w:val="16"/>
                      <w:szCs w:val="16"/>
                      <w:lang w:val="ro-RO"/>
                    </w:rPr>
                    <w:t xml:space="preserve"> Venituri din capital    </w:t>
                  </w:r>
                </w:p>
              </w:tc>
              <w:tc>
                <w:tcPr>
                  <w:tcW w:w="1235"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0,2</w:t>
                  </w:r>
                </w:p>
              </w:tc>
              <w:tc>
                <w:tcPr>
                  <w:tcW w:w="939"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776</w:t>
                  </w:r>
                </w:p>
              </w:tc>
              <w:tc>
                <w:tcPr>
                  <w:tcW w:w="132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0,2</w:t>
                  </w:r>
                </w:p>
              </w:tc>
              <w:tc>
                <w:tcPr>
                  <w:tcW w:w="137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821</w:t>
                  </w:r>
                </w:p>
              </w:tc>
            </w:tr>
            <w:tr w:rsidR="001B5141" w:rsidRPr="00AF3608" w:rsidTr="00342B08">
              <w:trPr>
                <w:trHeight w:val="270"/>
              </w:trPr>
              <w:tc>
                <w:tcPr>
                  <w:tcW w:w="2492" w:type="dxa"/>
                  <w:tcBorders>
                    <w:top w:val="nil"/>
                    <w:left w:val="nil"/>
                    <w:bottom w:val="single" w:sz="4" w:space="0" w:color="000000"/>
                    <w:right w:val="nil"/>
                  </w:tcBorders>
                  <w:shd w:val="clear" w:color="CCFFCC" w:fill="CCFFFF"/>
                  <w:noWrap/>
                  <w:vAlign w:val="bottom"/>
                  <w:hideMark/>
                </w:tcPr>
                <w:p w:rsidR="001B5141" w:rsidRPr="00AF3608" w:rsidRDefault="001B5141" w:rsidP="001B5141">
                  <w:pPr>
                    <w:rPr>
                      <w:rFonts w:ascii="Arial" w:hAnsi="Arial" w:cs="Arial"/>
                      <w:sz w:val="16"/>
                      <w:szCs w:val="16"/>
                      <w:lang w:val="ro-RO"/>
                    </w:rPr>
                  </w:pPr>
                  <w:r w:rsidRPr="00AF3608">
                    <w:rPr>
                      <w:rFonts w:ascii="Arial" w:hAnsi="Arial" w:cs="Arial"/>
                      <w:sz w:val="16"/>
                      <w:szCs w:val="16"/>
                      <w:lang w:val="ro-RO"/>
                    </w:rPr>
                    <w:t>Sume primite de la UE</w:t>
                  </w:r>
                </w:p>
              </w:tc>
              <w:tc>
                <w:tcPr>
                  <w:tcW w:w="1235" w:type="dxa"/>
                  <w:tcBorders>
                    <w:top w:val="nil"/>
                    <w:left w:val="nil"/>
                    <w:bottom w:val="single" w:sz="4" w:space="0" w:color="000000"/>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10,4</w:t>
                  </w:r>
                </w:p>
              </w:tc>
              <w:tc>
                <w:tcPr>
                  <w:tcW w:w="939" w:type="dxa"/>
                  <w:tcBorders>
                    <w:top w:val="nil"/>
                    <w:left w:val="nil"/>
                    <w:bottom w:val="single" w:sz="4" w:space="0" w:color="000000"/>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33.557</w:t>
                  </w:r>
                </w:p>
              </w:tc>
              <w:tc>
                <w:tcPr>
                  <w:tcW w:w="1323" w:type="dxa"/>
                  <w:tcBorders>
                    <w:top w:val="nil"/>
                    <w:left w:val="nil"/>
                    <w:bottom w:val="single" w:sz="4" w:space="0" w:color="000000"/>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13,0</w:t>
                  </w:r>
                </w:p>
              </w:tc>
              <w:tc>
                <w:tcPr>
                  <w:tcW w:w="1373" w:type="dxa"/>
                  <w:tcBorders>
                    <w:top w:val="nil"/>
                    <w:left w:val="nil"/>
                    <w:bottom w:val="single" w:sz="4" w:space="0" w:color="000000"/>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47.392</w:t>
                  </w:r>
                </w:p>
              </w:tc>
            </w:tr>
          </w:tbl>
          <w:p w:rsidR="008B7484" w:rsidRPr="00AF3608" w:rsidRDefault="008B7484" w:rsidP="008B7484">
            <w:pPr>
              <w:widowControl w:val="0"/>
              <w:tabs>
                <w:tab w:val="num" w:pos="1920"/>
              </w:tabs>
              <w:spacing w:before="120"/>
              <w:jc w:val="center"/>
              <w:rPr>
                <w:rFonts w:ascii="Calibri" w:hAnsi="Calibri" w:cs="Arial"/>
                <w:lang w:val="ro-RO"/>
              </w:rPr>
            </w:pPr>
          </w:p>
          <w:p w:rsidR="001B5141" w:rsidRPr="00AF3608" w:rsidRDefault="001B5141" w:rsidP="008B7484">
            <w:pPr>
              <w:widowControl w:val="0"/>
              <w:tabs>
                <w:tab w:val="num" w:pos="1920"/>
              </w:tabs>
              <w:spacing w:before="120"/>
              <w:jc w:val="center"/>
              <w:rPr>
                <w:rFonts w:ascii="Calibri" w:hAnsi="Calibri" w:cs="Arial"/>
                <w:lang w:val="ro-RO"/>
              </w:rPr>
            </w:pPr>
            <w:r w:rsidRPr="00AF3608">
              <w:rPr>
                <w:noProof/>
              </w:rPr>
              <w:lastRenderedPageBreak/>
              <w:drawing>
                <wp:inline distT="0" distB="0" distL="0" distR="0" wp14:anchorId="01BA5BB1" wp14:editId="1D39104F">
                  <wp:extent cx="4572000" cy="4486275"/>
                  <wp:effectExtent l="0" t="0" r="0"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B7484" w:rsidRPr="00AF3608" w:rsidRDefault="008B7484" w:rsidP="008B7484">
            <w:pPr>
              <w:widowControl w:val="0"/>
              <w:tabs>
                <w:tab w:val="num" w:pos="1920"/>
              </w:tabs>
              <w:spacing w:before="120"/>
              <w:jc w:val="center"/>
              <w:rPr>
                <w:lang w:val="ro-RO"/>
              </w:rPr>
            </w:pPr>
          </w:p>
          <w:p w:rsidR="008B7484" w:rsidRPr="00AF3608" w:rsidRDefault="001B5141" w:rsidP="008B7484">
            <w:pPr>
              <w:widowControl w:val="0"/>
              <w:tabs>
                <w:tab w:val="num" w:pos="1920"/>
              </w:tabs>
              <w:spacing w:before="120"/>
              <w:jc w:val="center"/>
              <w:rPr>
                <w:lang w:val="ro-RO"/>
              </w:rPr>
            </w:pPr>
            <w:r w:rsidRPr="00AF3608">
              <w:rPr>
                <w:noProof/>
              </w:rPr>
              <w:drawing>
                <wp:inline distT="0" distB="0" distL="0" distR="0" wp14:anchorId="00FDABCC" wp14:editId="1EB44FC2">
                  <wp:extent cx="5010150" cy="3762375"/>
                  <wp:effectExtent l="0" t="0" r="0"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F01DC" w:rsidRPr="00AF3608" w:rsidRDefault="005F01DC" w:rsidP="005F01DC">
            <w:pPr>
              <w:rPr>
                <w:rFonts w:ascii="Arial" w:hAnsi="Arial" w:cs="Arial"/>
                <w:sz w:val="20"/>
                <w:szCs w:val="20"/>
                <w:lang w:val="ro-RO" w:eastAsia="ro-RO"/>
              </w:rPr>
            </w:pPr>
          </w:p>
        </w:tc>
      </w:tr>
    </w:tbl>
    <w:p w:rsidR="005F01DC" w:rsidRPr="00AF3608" w:rsidRDefault="005F01DC" w:rsidP="005F01DC">
      <w:pPr>
        <w:widowControl w:val="0"/>
        <w:spacing w:before="120"/>
        <w:ind w:right="-58"/>
        <w:jc w:val="both"/>
        <w:rPr>
          <w:rFonts w:ascii="Calibri" w:hAnsi="Calibri" w:cs="Arial"/>
          <w:lang w:val="ro-RO"/>
        </w:rPr>
      </w:pPr>
    </w:p>
    <w:p w:rsidR="005F01DC" w:rsidRPr="00AF3608" w:rsidRDefault="005F01DC" w:rsidP="005F01DC">
      <w:pPr>
        <w:widowControl w:val="0"/>
        <w:spacing w:before="120"/>
        <w:ind w:right="-58"/>
        <w:jc w:val="both"/>
        <w:rPr>
          <w:rFonts w:ascii="Calibri" w:hAnsi="Calibri" w:cs="Arial"/>
          <w:lang w:val="ro-RO"/>
        </w:rPr>
      </w:pPr>
    </w:p>
    <w:p w:rsidR="005F01DC" w:rsidRPr="00AF3608" w:rsidRDefault="005F01DC" w:rsidP="005F01DC">
      <w:pPr>
        <w:widowControl w:val="0"/>
        <w:spacing w:before="120"/>
        <w:ind w:right="-58"/>
        <w:jc w:val="both"/>
        <w:rPr>
          <w:rFonts w:ascii="Calibri" w:hAnsi="Calibri" w:cs="Arial"/>
          <w:lang w:val="ro-RO"/>
        </w:rPr>
      </w:pPr>
    </w:p>
    <w:p w:rsidR="002D35C4" w:rsidRPr="00AF3608" w:rsidRDefault="002D35C4" w:rsidP="002D35C4">
      <w:pPr>
        <w:widowControl w:val="0"/>
        <w:shd w:val="clear" w:color="auto" w:fill="BFBFBF" w:themeFill="background1" w:themeFillShade="BF"/>
        <w:spacing w:before="120"/>
        <w:ind w:right="-58"/>
        <w:jc w:val="both"/>
        <w:rPr>
          <w:rFonts w:ascii="Calibri" w:hAnsi="Calibri"/>
          <w:b/>
          <w:color w:val="002060"/>
          <w:lang w:val="ro-RO"/>
        </w:rPr>
      </w:pPr>
      <w:r w:rsidRPr="00AF3608">
        <w:rPr>
          <w:rFonts w:ascii="Calibri" w:hAnsi="Calibri" w:cs="Arial"/>
          <w:b/>
          <w:color w:val="002060"/>
          <w:lang w:val="ro-RO"/>
        </w:rPr>
        <w:t>4.3 Politica de cheltuieli</w:t>
      </w:r>
    </w:p>
    <w:p w:rsidR="002D35C4" w:rsidRPr="00AF3608" w:rsidRDefault="002D35C4" w:rsidP="002D35C4">
      <w:pPr>
        <w:widowControl w:val="0"/>
        <w:spacing w:before="120"/>
        <w:jc w:val="both"/>
        <w:rPr>
          <w:rFonts w:ascii="Calibri" w:hAnsi="Calibri"/>
          <w:b/>
          <w:color w:val="002060"/>
          <w:lang w:val="ro-RO"/>
        </w:rPr>
      </w:pPr>
      <w:r w:rsidRPr="00AF3608">
        <w:rPr>
          <w:rFonts w:ascii="Calibri" w:hAnsi="Calibri"/>
          <w:b/>
          <w:color w:val="002060"/>
          <w:lang w:val="ro-RO"/>
        </w:rPr>
        <w:t xml:space="preserve">Măsuri pe termen mediu </w:t>
      </w:r>
    </w:p>
    <w:p w:rsidR="002D35C4" w:rsidRPr="00AF3608" w:rsidRDefault="002D35C4" w:rsidP="003A0B85">
      <w:pPr>
        <w:widowControl w:val="0"/>
        <w:numPr>
          <w:ilvl w:val="0"/>
          <w:numId w:val="102"/>
        </w:numPr>
        <w:spacing w:before="120"/>
        <w:jc w:val="both"/>
        <w:rPr>
          <w:rFonts w:ascii="Calibri" w:eastAsia="Calibri" w:hAnsi="Calibri"/>
          <w:b/>
          <w:color w:val="002060"/>
          <w:szCs w:val="22"/>
          <w:lang w:val="ro-RO"/>
        </w:rPr>
      </w:pPr>
      <w:r w:rsidRPr="00AF3608">
        <w:rPr>
          <w:rFonts w:ascii="Calibri" w:eastAsia="Calibri" w:hAnsi="Calibri" w:cs="Calibri"/>
          <w:szCs w:val="22"/>
          <w:lang w:val="ro-RO"/>
        </w:rPr>
        <w:t>Asigurarea unui nivel sustenabil pentru cheltuielile cu salariile şi  pensiile în sectorul public;</w:t>
      </w:r>
    </w:p>
    <w:p w:rsidR="002D35C4" w:rsidRPr="00AF3608" w:rsidRDefault="002D35C4" w:rsidP="003A0B85">
      <w:pPr>
        <w:widowControl w:val="0"/>
        <w:numPr>
          <w:ilvl w:val="0"/>
          <w:numId w:val="102"/>
        </w:numPr>
        <w:spacing w:before="120"/>
        <w:ind w:left="714" w:hanging="357"/>
        <w:jc w:val="both"/>
        <w:rPr>
          <w:rFonts w:ascii="Calibri" w:eastAsia="Calibri" w:hAnsi="Calibri"/>
          <w:b/>
          <w:color w:val="002060"/>
          <w:szCs w:val="22"/>
          <w:lang w:val="ro-RO"/>
        </w:rPr>
      </w:pPr>
      <w:r w:rsidRPr="00AF3608">
        <w:rPr>
          <w:rFonts w:ascii="Calibri" w:eastAsia="Calibri" w:hAnsi="Calibri" w:cs="Calibri"/>
          <w:szCs w:val="22"/>
          <w:lang w:val="ro-RO"/>
        </w:rPr>
        <w:t>Orientarea resurselor disponibile către investiţii publice de antrenare în domeniile: infrastructură, agricultură şi  dezvoltarea rurală, energia şi  tehnologia avansată;</w:t>
      </w:r>
    </w:p>
    <w:p w:rsidR="002D35C4" w:rsidRPr="00AF3608" w:rsidRDefault="002D35C4" w:rsidP="003A0B85">
      <w:pPr>
        <w:widowControl w:val="0"/>
        <w:numPr>
          <w:ilvl w:val="0"/>
          <w:numId w:val="102"/>
        </w:numPr>
        <w:spacing w:before="120"/>
        <w:jc w:val="both"/>
        <w:rPr>
          <w:rFonts w:ascii="Calibri" w:eastAsia="Calibri" w:hAnsi="Calibri"/>
          <w:b/>
          <w:color w:val="002060"/>
          <w:szCs w:val="22"/>
          <w:lang w:val="ro-RO"/>
        </w:rPr>
      </w:pPr>
      <w:r w:rsidRPr="00AF3608">
        <w:rPr>
          <w:rFonts w:ascii="Calibri" w:eastAsia="Calibri" w:hAnsi="Calibri" w:cs="Calibri"/>
          <w:szCs w:val="22"/>
          <w:lang w:val="ro-RO" w:eastAsia="ro-RO"/>
        </w:rPr>
        <w:t>Reorientarea cheltuielilor de investiţii publice în vederea realizării unei treceri treptate de la investiţiile finanţate integral din surse naţionale la investiţii cofinanţate din fonduri europene;</w:t>
      </w:r>
    </w:p>
    <w:p w:rsidR="002D35C4" w:rsidRPr="00AF3608" w:rsidRDefault="002D35C4" w:rsidP="003A0B85">
      <w:pPr>
        <w:widowControl w:val="0"/>
        <w:numPr>
          <w:ilvl w:val="0"/>
          <w:numId w:val="102"/>
        </w:numPr>
        <w:spacing w:before="120"/>
        <w:jc w:val="both"/>
        <w:rPr>
          <w:rFonts w:ascii="Calibri" w:eastAsia="Calibri" w:hAnsi="Calibri"/>
          <w:b/>
          <w:color w:val="002060"/>
          <w:szCs w:val="22"/>
          <w:lang w:val="ro-RO"/>
        </w:rPr>
      </w:pPr>
      <w:r w:rsidRPr="00AF3608">
        <w:rPr>
          <w:rFonts w:ascii="Calibri" w:eastAsia="Calibri" w:hAnsi="Calibri" w:cs="Calibri"/>
          <w:szCs w:val="22"/>
          <w:lang w:val="ro-RO" w:eastAsia="ro-RO"/>
        </w:rPr>
        <w:t>Accelerarea ritmului de cheltuire a fondurilor europene pentru îmbunătăţirea ratei de absorbţie;</w:t>
      </w:r>
    </w:p>
    <w:p w:rsidR="002D35C4" w:rsidRPr="00AF3608" w:rsidRDefault="002D35C4" w:rsidP="003A0B85">
      <w:pPr>
        <w:widowControl w:val="0"/>
        <w:numPr>
          <w:ilvl w:val="0"/>
          <w:numId w:val="102"/>
        </w:numPr>
        <w:spacing w:before="120"/>
        <w:ind w:left="714" w:hanging="357"/>
        <w:jc w:val="both"/>
        <w:rPr>
          <w:rFonts w:ascii="Calibri" w:eastAsia="Calibri" w:hAnsi="Calibri"/>
          <w:b/>
          <w:color w:val="002060"/>
          <w:szCs w:val="22"/>
          <w:lang w:val="ro-RO"/>
        </w:rPr>
      </w:pPr>
      <w:r w:rsidRPr="00AF3608">
        <w:rPr>
          <w:rFonts w:ascii="Calibri" w:eastAsia="Calibri" w:hAnsi="Calibri" w:cs="Calibri"/>
          <w:szCs w:val="22"/>
          <w:lang w:val="ro-RO" w:eastAsia="ro-RO"/>
        </w:rPr>
        <w:t>Continuarea finanţării schemelor de ajutor de stat şi în perioada 2020-2024, pentru a contribui la  crearea de noi locuri de muncă, realizarea de investiţii care utilizează tehnologii noi, obţinerea de produse, servicii, tehnologii inovative, cu efecte asupra creşterii economice şi asigurării  stabilităţii macroeconomice.</w:t>
      </w:r>
    </w:p>
    <w:p w:rsidR="002D35C4" w:rsidRPr="00AF3608" w:rsidRDefault="002D35C4" w:rsidP="003A0B85">
      <w:pPr>
        <w:widowControl w:val="0"/>
        <w:numPr>
          <w:ilvl w:val="0"/>
          <w:numId w:val="102"/>
        </w:numPr>
        <w:spacing w:before="120"/>
        <w:jc w:val="both"/>
        <w:rPr>
          <w:rFonts w:ascii="Calibri" w:eastAsia="Calibri" w:hAnsi="Calibri" w:cs="Courier New"/>
          <w:color w:val="000000"/>
          <w:szCs w:val="22"/>
          <w:lang w:val="ro-RO"/>
        </w:rPr>
      </w:pPr>
      <w:r w:rsidRPr="00AF3608">
        <w:rPr>
          <w:rFonts w:ascii="Calibri" w:eastAsia="Calibri" w:hAnsi="Calibri" w:cs="Courier New"/>
          <w:color w:val="000000"/>
          <w:szCs w:val="22"/>
          <w:lang w:val="ro-RO"/>
        </w:rPr>
        <w:t>Continuarea procesului  de eficientizare  calitativă a cheltuielilor bugetare.</w:t>
      </w:r>
    </w:p>
    <w:p w:rsidR="002D35C4" w:rsidRPr="00AF3608" w:rsidRDefault="002D35C4" w:rsidP="002D35C4">
      <w:pPr>
        <w:autoSpaceDE w:val="0"/>
        <w:autoSpaceDN w:val="0"/>
        <w:adjustRightInd w:val="0"/>
        <w:spacing w:before="120"/>
        <w:jc w:val="both"/>
        <w:rPr>
          <w:rFonts w:ascii="Calibri" w:eastAsia="Calibri" w:hAnsi="Calibri" w:cs="Courier New"/>
          <w:color w:val="000000"/>
          <w:szCs w:val="22"/>
          <w:lang w:val="ro-RO"/>
        </w:rPr>
      </w:pPr>
      <w:r w:rsidRPr="00AF3608">
        <w:rPr>
          <w:rFonts w:ascii="Calibri" w:eastAsia="Calibri" w:hAnsi="Calibri" w:cs="Courier New"/>
          <w:b/>
          <w:color w:val="002060"/>
          <w:szCs w:val="22"/>
          <w:lang w:val="ro-RO"/>
        </w:rPr>
        <w:t>Cheltuielile bugetare estimate pentru anul 2021</w:t>
      </w:r>
      <w:r w:rsidRPr="00AF3608">
        <w:rPr>
          <w:rFonts w:ascii="Calibri" w:eastAsia="Calibri" w:hAnsi="Calibri" w:cs="Courier New"/>
          <w:color w:val="002060"/>
          <w:szCs w:val="22"/>
          <w:lang w:val="ro-RO"/>
        </w:rPr>
        <w:t xml:space="preserve"> </w:t>
      </w:r>
      <w:r w:rsidR="00404DEF" w:rsidRPr="00AF3608">
        <w:rPr>
          <w:rFonts w:ascii="Calibri" w:eastAsia="Calibri" w:hAnsi="Calibri" w:cs="Courier New"/>
          <w:color w:val="000000"/>
          <w:szCs w:val="22"/>
          <w:lang w:val="ro-RO"/>
        </w:rPr>
        <w:t>sunt în sumă de  444</w:t>
      </w:r>
      <w:r w:rsidR="001B5141" w:rsidRPr="00AF3608">
        <w:rPr>
          <w:rFonts w:ascii="Calibri" w:eastAsia="Calibri" w:hAnsi="Calibri" w:cs="Courier New"/>
          <w:color w:val="000000"/>
          <w:szCs w:val="22"/>
          <w:lang w:val="ro-RO"/>
        </w:rPr>
        <w:t>,9</w:t>
      </w:r>
      <w:r w:rsidRPr="00AF3608">
        <w:rPr>
          <w:rFonts w:ascii="Calibri" w:eastAsia="Calibri" w:hAnsi="Calibri" w:cs="Courier New"/>
          <w:color w:val="000000"/>
          <w:szCs w:val="22"/>
          <w:lang w:val="ro-RO"/>
        </w:rPr>
        <w:t xml:space="preserve"> miliarde lei,  în anul 2023 acestea ajung la  459,9 miliarde lei  respectiv 35,3% din PIB,  înregistrând o tendință de scădere  ca pondere  în PIB  pe orizontul de referință datorită necesității de reducere a deficitului bugetar.</w:t>
      </w:r>
    </w:p>
    <w:p w:rsidR="002D35C4" w:rsidRPr="00AF3608" w:rsidRDefault="002D35C4" w:rsidP="002D35C4">
      <w:pPr>
        <w:autoSpaceDE w:val="0"/>
        <w:autoSpaceDN w:val="0"/>
        <w:adjustRightInd w:val="0"/>
        <w:spacing w:before="120"/>
        <w:jc w:val="both"/>
        <w:rPr>
          <w:rFonts w:ascii="Calibri" w:eastAsia="Calibri" w:hAnsi="Calibri" w:cs="Courier New"/>
          <w:color w:val="000000"/>
          <w:szCs w:val="22"/>
          <w:lang w:val="ro-RO"/>
        </w:rPr>
      </w:pPr>
      <w:r w:rsidRPr="00AF3608">
        <w:rPr>
          <w:rFonts w:ascii="Calibri" w:eastAsia="Calibri" w:hAnsi="Calibri" w:cs="Courier New"/>
          <w:color w:val="000000"/>
          <w:szCs w:val="22"/>
          <w:lang w:val="ro-RO"/>
        </w:rPr>
        <w:t xml:space="preserve">Cea mai mare creștere pe orizontul de referință o înregistrează </w:t>
      </w:r>
      <w:r w:rsidRPr="00AF3608">
        <w:rPr>
          <w:rFonts w:ascii="Calibri" w:eastAsia="Calibri" w:hAnsi="Calibri" w:cs="Courier New"/>
          <w:b/>
          <w:color w:val="002060"/>
          <w:szCs w:val="22"/>
          <w:lang w:val="ro-RO"/>
        </w:rPr>
        <w:t>cheltuielile cu asistența socială</w:t>
      </w:r>
      <w:r w:rsidRPr="00AF3608">
        <w:rPr>
          <w:rFonts w:ascii="Calibri" w:eastAsia="Calibri" w:hAnsi="Calibri" w:cs="Courier New"/>
          <w:color w:val="002060"/>
          <w:szCs w:val="22"/>
          <w:lang w:val="ro-RO"/>
        </w:rPr>
        <w:t xml:space="preserve">  </w:t>
      </w:r>
      <w:r w:rsidR="00404DEF" w:rsidRPr="00AF3608">
        <w:rPr>
          <w:rFonts w:ascii="Calibri" w:eastAsia="Calibri" w:hAnsi="Calibri" w:cs="Courier New"/>
          <w:color w:val="000000"/>
          <w:szCs w:val="22"/>
          <w:lang w:val="ro-RO"/>
        </w:rPr>
        <w:t>respectiv 12,8</w:t>
      </w:r>
      <w:r w:rsidRPr="00AF3608">
        <w:rPr>
          <w:rFonts w:ascii="Calibri" w:eastAsia="Calibri" w:hAnsi="Calibri" w:cs="Courier New"/>
          <w:color w:val="000000"/>
          <w:szCs w:val="22"/>
          <w:lang w:val="ro-RO"/>
        </w:rPr>
        <w:t xml:space="preserve"> % din PIB in anul 2021, totusi evidentiindu-se o tendinta de scadere pe orizontul de referintă.</w:t>
      </w:r>
    </w:p>
    <w:p w:rsidR="002D35C4" w:rsidRPr="00AF3608" w:rsidRDefault="002D35C4" w:rsidP="002D35C4">
      <w:pPr>
        <w:autoSpaceDE w:val="0"/>
        <w:autoSpaceDN w:val="0"/>
        <w:adjustRightInd w:val="0"/>
        <w:spacing w:before="120"/>
        <w:jc w:val="both"/>
        <w:rPr>
          <w:rFonts w:ascii="Calibri" w:eastAsia="Calibri" w:hAnsi="Calibri" w:cs="Courier New"/>
          <w:color w:val="000000"/>
          <w:lang w:val="ro-RO"/>
        </w:rPr>
      </w:pPr>
      <w:r w:rsidRPr="00AF3608">
        <w:rPr>
          <w:rFonts w:ascii="Calibri" w:eastAsia="Calibri" w:hAnsi="Calibri" w:cs="Courier New"/>
          <w:b/>
          <w:color w:val="002060"/>
          <w:lang w:val="ro-RO"/>
        </w:rPr>
        <w:t>Cheltuielile de personal</w:t>
      </w:r>
      <w:r w:rsidRPr="00AF3608">
        <w:rPr>
          <w:rFonts w:ascii="Calibri" w:eastAsia="Calibri" w:hAnsi="Calibri" w:cs="Courier New"/>
          <w:color w:val="002060"/>
          <w:lang w:val="ro-RO"/>
        </w:rPr>
        <w:t xml:space="preserve"> </w:t>
      </w:r>
      <w:r w:rsidRPr="00AF3608">
        <w:rPr>
          <w:rFonts w:ascii="Calibri" w:eastAsia="Calibri" w:hAnsi="Calibri" w:cs="Courier New"/>
          <w:color w:val="000000"/>
          <w:lang w:val="ro-RO"/>
        </w:rPr>
        <w:t>sunt în sumă de 109,5 milirde lei   în anul 20</w:t>
      </w:r>
      <w:r w:rsidR="00404DEF" w:rsidRPr="00AF3608">
        <w:rPr>
          <w:rFonts w:ascii="Calibri" w:eastAsia="Calibri" w:hAnsi="Calibri" w:cs="Courier New"/>
          <w:color w:val="000000"/>
          <w:lang w:val="ro-RO"/>
        </w:rPr>
        <w:t>21, ajungând în anul 2023 la 110,1</w:t>
      </w:r>
      <w:r w:rsidRPr="00AF3608">
        <w:rPr>
          <w:rFonts w:ascii="Calibri" w:eastAsia="Calibri" w:hAnsi="Calibri" w:cs="Courier New"/>
          <w:color w:val="000000"/>
          <w:lang w:val="ro-RO"/>
        </w:rPr>
        <w:t xml:space="preserve"> miliarde lei, diminuându-se ca pondere în PIB pe orizontul de referință.</w:t>
      </w:r>
    </w:p>
    <w:p w:rsidR="002D35C4" w:rsidRPr="00AF3608" w:rsidRDefault="002D35C4" w:rsidP="002D35C4">
      <w:pPr>
        <w:autoSpaceDE w:val="0"/>
        <w:autoSpaceDN w:val="0"/>
        <w:adjustRightInd w:val="0"/>
        <w:spacing w:before="120"/>
        <w:jc w:val="both"/>
        <w:rPr>
          <w:rFonts w:ascii="Calibri" w:eastAsia="Calibri" w:hAnsi="Calibri" w:cs="Courier New"/>
          <w:color w:val="000000"/>
          <w:szCs w:val="22"/>
          <w:lang w:val="ro-RO"/>
        </w:rPr>
      </w:pPr>
      <w:r w:rsidRPr="00AF3608">
        <w:rPr>
          <w:rFonts w:ascii="Calibri" w:eastAsia="Calibri" w:hAnsi="Calibri" w:cs="Courier New"/>
          <w:b/>
          <w:color w:val="002060"/>
          <w:szCs w:val="22"/>
          <w:lang w:val="ro-RO"/>
        </w:rPr>
        <w:t>Bunurile și serviciile</w:t>
      </w:r>
      <w:r w:rsidRPr="00AF3608">
        <w:rPr>
          <w:rFonts w:ascii="Calibri" w:eastAsia="Calibri" w:hAnsi="Calibri" w:cs="Courier New"/>
          <w:color w:val="002060"/>
          <w:szCs w:val="22"/>
          <w:lang w:val="ro-RO"/>
        </w:rPr>
        <w:t xml:space="preserve"> </w:t>
      </w:r>
      <w:r w:rsidRPr="00AF3608">
        <w:rPr>
          <w:rFonts w:ascii="Calibri" w:eastAsia="Calibri" w:hAnsi="Calibri" w:cs="Courier New"/>
          <w:color w:val="000000"/>
          <w:szCs w:val="22"/>
          <w:lang w:val="ro-RO"/>
        </w:rPr>
        <w:t>înregistrează o tendință de scădere pe orizontul de referință, în timp ce cheltuielile cu dobanzile  înregistrează de asemenea o  diminuare  ca pondere în PIB pe perioada 2022-2024.</w:t>
      </w:r>
    </w:p>
    <w:p w:rsidR="002D35C4" w:rsidRPr="00AF3608" w:rsidRDefault="002D35C4" w:rsidP="002D35C4">
      <w:pPr>
        <w:widowControl w:val="0"/>
        <w:spacing w:before="120"/>
        <w:jc w:val="both"/>
        <w:rPr>
          <w:rFonts w:ascii="Calibri" w:hAnsi="Calibri" w:cs="Calibri"/>
          <w:color w:val="000000"/>
          <w:lang w:val="ro-RO" w:eastAsia="zh-CN"/>
        </w:rPr>
      </w:pPr>
      <w:r w:rsidRPr="00AF3608">
        <w:rPr>
          <w:rFonts w:ascii="Calibri" w:eastAsia="Calibri" w:hAnsi="Calibri" w:cs="Courier New"/>
          <w:b/>
          <w:color w:val="002060"/>
          <w:szCs w:val="22"/>
          <w:lang w:val="ro-RO"/>
        </w:rPr>
        <w:t>Cheltuielile cu investițiile</w:t>
      </w:r>
      <w:r w:rsidR="00BB2CC0" w:rsidRPr="00AF3608">
        <w:rPr>
          <w:rFonts w:ascii="Calibri" w:eastAsia="Calibri" w:hAnsi="Calibri" w:cs="Courier New"/>
          <w:color w:val="002060"/>
          <w:szCs w:val="22"/>
          <w:lang w:val="ro-RO"/>
        </w:rPr>
        <w:t xml:space="preserve"> insumeaza in anul 2023, 63</w:t>
      </w:r>
      <w:r w:rsidR="00404DEF" w:rsidRPr="00AF3608">
        <w:rPr>
          <w:rFonts w:ascii="Calibri" w:eastAsia="Calibri" w:hAnsi="Calibri" w:cs="Courier New"/>
          <w:color w:val="002060"/>
          <w:szCs w:val="22"/>
          <w:lang w:val="ro-RO"/>
        </w:rPr>
        <w:t>,7</w:t>
      </w:r>
      <w:r w:rsidRPr="00AF3608">
        <w:rPr>
          <w:rFonts w:ascii="Calibri" w:eastAsia="Calibri" w:hAnsi="Calibri" w:cs="Courier New"/>
          <w:color w:val="002060"/>
          <w:szCs w:val="22"/>
          <w:lang w:val="ro-RO"/>
        </w:rPr>
        <w:t xml:space="preserve"> miliarde lei cu un varf in perioada 2020-2022.</w:t>
      </w:r>
    </w:p>
    <w:p w:rsidR="007951C9" w:rsidRPr="00AF3608" w:rsidRDefault="007951C9" w:rsidP="007951C9">
      <w:pPr>
        <w:widowControl w:val="0"/>
        <w:spacing w:before="40" w:after="100" w:line="269" w:lineRule="auto"/>
        <w:contextualSpacing/>
        <w:jc w:val="both"/>
        <w:rPr>
          <w:rFonts w:ascii="Calibri" w:hAnsi="Calibri" w:cs="Calibri"/>
          <w:lang w:val="ro-RO"/>
        </w:rPr>
      </w:pPr>
    </w:p>
    <w:p w:rsidR="007951C9" w:rsidRPr="00AF3608" w:rsidRDefault="007951C9" w:rsidP="005F3BD1">
      <w:pPr>
        <w:widowControl w:val="0"/>
        <w:spacing w:before="40" w:after="100" w:line="269" w:lineRule="auto"/>
        <w:contextualSpacing/>
        <w:jc w:val="both"/>
        <w:rPr>
          <w:rFonts w:ascii="Calibri" w:eastAsia="Calibri" w:hAnsi="Calibri" w:cs="Courier New"/>
          <w:b/>
          <w:color w:val="000000"/>
          <w:szCs w:val="22"/>
          <w:lang w:val="ro-RO"/>
        </w:rPr>
      </w:pPr>
      <w:r w:rsidRPr="00AF3608">
        <w:rPr>
          <w:rFonts w:ascii="Calibri" w:hAnsi="Calibri" w:cs="Calibri"/>
          <w:lang w:val="ro-RO"/>
        </w:rPr>
        <w:t>După cum se observă din tabelul de mai sus, cu ponderi mari în total cheltuieli în anul 2021 se situeaza asistența socială (32,1% din total cheltuieli), cheltuieli de personal (24,6% din total) și cheltuieli de investiții (13,8% din total). Totuși, î</w:t>
      </w:r>
      <w:r w:rsidRPr="00AF3608">
        <w:rPr>
          <w:rFonts w:ascii="Calibri" w:eastAsia="Calibri" w:hAnsi="Calibri" w:cs="Courier New"/>
          <w:color w:val="000000"/>
          <w:szCs w:val="22"/>
          <w:lang w:val="ro-RO"/>
        </w:rPr>
        <w:t xml:space="preserve">n structura cheltuielilor bugetare se constată față de anul 2020 o creștere a ponderii cheltuielilor cu investițiile în anul 2021, diminuare  a cheltuielilor cu bunurile și serviciile, a cheltuielilor de personal, a asistenței sociale, </w:t>
      </w:r>
      <w:r w:rsidRPr="00AF3608">
        <w:rPr>
          <w:rFonts w:ascii="Calibri" w:eastAsia="Calibri" w:hAnsi="Calibri" w:cs="Courier New"/>
          <w:b/>
          <w:color w:val="000000"/>
          <w:szCs w:val="22"/>
          <w:lang w:val="ro-RO"/>
        </w:rPr>
        <w:t>ceea ce reflectă procesul de eficientizare  calitativă a cheltuielilor bugetare.</w:t>
      </w:r>
    </w:p>
    <w:p w:rsidR="000245CE" w:rsidRDefault="000245CE" w:rsidP="00B723C0">
      <w:pPr>
        <w:suppressAutoHyphens/>
        <w:spacing w:before="120"/>
        <w:jc w:val="both"/>
        <w:rPr>
          <w:rFonts w:ascii="Calibri" w:hAnsi="Calibri" w:cs="Calibri"/>
          <w:bCs/>
          <w:color w:val="000000"/>
          <w:lang w:val="ro-RO" w:eastAsia="zh-CN"/>
        </w:rPr>
      </w:pPr>
    </w:p>
    <w:p w:rsidR="00342B08" w:rsidRDefault="00342B08" w:rsidP="00B723C0">
      <w:pPr>
        <w:suppressAutoHyphens/>
        <w:spacing w:before="120"/>
        <w:jc w:val="both"/>
        <w:rPr>
          <w:rFonts w:ascii="Calibri" w:hAnsi="Calibri" w:cs="Calibri"/>
          <w:bCs/>
          <w:color w:val="000000"/>
          <w:lang w:val="ro-RO" w:eastAsia="zh-CN"/>
        </w:rPr>
      </w:pPr>
    </w:p>
    <w:p w:rsidR="00342B08" w:rsidRPr="00AF3608" w:rsidRDefault="00342B08" w:rsidP="00B723C0">
      <w:pPr>
        <w:suppressAutoHyphens/>
        <w:spacing w:before="120"/>
        <w:jc w:val="both"/>
        <w:rPr>
          <w:rFonts w:ascii="Calibri" w:hAnsi="Calibri" w:cs="Calibri"/>
          <w:bCs/>
          <w:color w:val="000000"/>
          <w:lang w:val="ro-RO" w:eastAsia="zh-CN"/>
        </w:rPr>
      </w:pPr>
    </w:p>
    <w:p w:rsidR="005F01DC" w:rsidRPr="00AF3608" w:rsidRDefault="005F01DC" w:rsidP="00B723C0">
      <w:pPr>
        <w:suppressAutoHyphens/>
        <w:spacing w:before="120"/>
        <w:jc w:val="both"/>
        <w:rPr>
          <w:lang w:val="ro-RO" w:eastAsia="zh-CN"/>
        </w:rPr>
      </w:pPr>
    </w:p>
    <w:p w:rsidR="005F01DC" w:rsidRPr="00AF3608" w:rsidRDefault="005F01DC" w:rsidP="00B723C0">
      <w:pPr>
        <w:suppressAutoHyphens/>
        <w:spacing w:before="120"/>
        <w:jc w:val="both"/>
        <w:rPr>
          <w:lang w:val="ro-RO" w:eastAsia="zh-CN"/>
        </w:rPr>
      </w:pPr>
    </w:p>
    <w:p w:rsidR="005F01DC" w:rsidRPr="00AF3608" w:rsidRDefault="005F01DC" w:rsidP="0014588A">
      <w:pPr>
        <w:suppressAutoHyphens/>
        <w:spacing w:before="120"/>
        <w:jc w:val="center"/>
        <w:rPr>
          <w:lang w:val="ro-RO" w:eastAsia="zh-CN"/>
        </w:rPr>
      </w:pPr>
    </w:p>
    <w:p w:rsidR="00BB2CC0" w:rsidRPr="00AF3608" w:rsidRDefault="00BB2CC0" w:rsidP="0014588A">
      <w:pPr>
        <w:suppressAutoHyphens/>
        <w:spacing w:before="120"/>
        <w:jc w:val="center"/>
        <w:rPr>
          <w:rFonts w:asciiTheme="minorHAnsi" w:eastAsiaTheme="minorHAnsi" w:hAnsiTheme="minorHAnsi" w:cstheme="minorBidi"/>
          <w:sz w:val="22"/>
          <w:szCs w:val="22"/>
          <w:lang w:val="ro-RO"/>
        </w:rPr>
      </w:pPr>
      <w:r w:rsidRPr="00AF3608">
        <w:rPr>
          <w:lang w:val="ro-RO" w:eastAsia="zh-CN"/>
        </w:rPr>
        <w:lastRenderedPageBreak/>
        <w:fldChar w:fldCharType="begin"/>
      </w:r>
      <w:r w:rsidRPr="00AF3608">
        <w:rPr>
          <w:lang w:val="ro-RO" w:eastAsia="zh-CN"/>
        </w:rPr>
        <w:instrText xml:space="preserve"> LINK </w:instrText>
      </w:r>
      <w:r w:rsidR="00573BB3" w:rsidRPr="00AF3608">
        <w:rPr>
          <w:lang w:val="ro-RO" w:eastAsia="zh-CN"/>
        </w:rPr>
        <w:instrText xml:space="preserve">Excel.Sheet.8 "C:\\Users\\92522075\\Desktop\\BGC 2015-2024 - estimari 11 februarie retea.xls" "raport stefania!R5C1:R17C5" </w:instrText>
      </w:r>
      <w:r w:rsidRPr="00AF3608">
        <w:rPr>
          <w:lang w:val="ro-RO" w:eastAsia="zh-CN"/>
        </w:rPr>
        <w:instrText xml:space="preserve">\a \f 4 \h </w:instrText>
      </w:r>
      <w:r w:rsidR="0014588A" w:rsidRPr="00AF3608">
        <w:rPr>
          <w:lang w:val="ro-RO" w:eastAsia="zh-CN"/>
        </w:rPr>
        <w:instrText xml:space="preserve"> \* MERGEFORMAT </w:instrText>
      </w:r>
      <w:r w:rsidRPr="00AF3608">
        <w:rPr>
          <w:lang w:val="ro-RO" w:eastAsia="zh-CN"/>
        </w:rPr>
        <w:fldChar w:fldCharType="separate"/>
      </w:r>
    </w:p>
    <w:tbl>
      <w:tblPr>
        <w:tblW w:w="7300" w:type="dxa"/>
        <w:tblInd w:w="1134" w:type="dxa"/>
        <w:tblLook w:val="04A0" w:firstRow="1" w:lastRow="0" w:firstColumn="1" w:lastColumn="0" w:noHBand="0" w:noVBand="1"/>
      </w:tblPr>
      <w:tblGrid>
        <w:gridCol w:w="2276"/>
        <w:gridCol w:w="1136"/>
        <w:gridCol w:w="1296"/>
        <w:gridCol w:w="1216"/>
        <w:gridCol w:w="1376"/>
      </w:tblGrid>
      <w:tr w:rsidR="00BB2CC0" w:rsidRPr="00AF3608" w:rsidTr="0014588A">
        <w:trPr>
          <w:trHeight w:val="255"/>
        </w:trPr>
        <w:tc>
          <w:tcPr>
            <w:tcW w:w="2276" w:type="dxa"/>
            <w:tcBorders>
              <w:top w:val="nil"/>
              <w:left w:val="nil"/>
              <w:bottom w:val="single" w:sz="4" w:space="0" w:color="000000"/>
              <w:right w:val="nil"/>
            </w:tcBorders>
            <w:shd w:val="clear" w:color="000080" w:fill="000080"/>
            <w:noWrap/>
            <w:vAlign w:val="bottom"/>
            <w:hideMark/>
          </w:tcPr>
          <w:p w:rsidR="00BB2CC0" w:rsidRPr="00AF3608" w:rsidRDefault="00BB2CC0" w:rsidP="0014588A">
            <w:pPr>
              <w:jc w:val="center"/>
              <w:rPr>
                <w:rFonts w:ascii="Arial" w:hAnsi="Arial" w:cs="Arial"/>
                <w:b/>
                <w:bCs/>
                <w:color w:val="FFFFFF"/>
                <w:sz w:val="20"/>
                <w:szCs w:val="20"/>
                <w:lang w:val="ro-RO"/>
              </w:rPr>
            </w:pPr>
          </w:p>
        </w:tc>
        <w:tc>
          <w:tcPr>
            <w:tcW w:w="1136" w:type="dxa"/>
            <w:tcBorders>
              <w:top w:val="nil"/>
              <w:left w:val="nil"/>
              <w:bottom w:val="single" w:sz="4" w:space="0" w:color="000000"/>
              <w:right w:val="nil"/>
            </w:tcBorders>
            <w:shd w:val="clear" w:color="000080" w:fill="000080"/>
            <w:noWrap/>
            <w:vAlign w:val="bottom"/>
            <w:hideMark/>
          </w:tcPr>
          <w:p w:rsidR="00BB2CC0" w:rsidRPr="00AF3608" w:rsidRDefault="00BB2CC0" w:rsidP="0014588A">
            <w:pPr>
              <w:jc w:val="center"/>
              <w:rPr>
                <w:rFonts w:ascii="Arial" w:hAnsi="Arial" w:cs="Arial"/>
                <w:b/>
                <w:bCs/>
                <w:color w:val="FFFFFF"/>
                <w:sz w:val="20"/>
                <w:szCs w:val="20"/>
                <w:lang w:val="ro-RO"/>
              </w:rPr>
            </w:pPr>
          </w:p>
        </w:tc>
        <w:tc>
          <w:tcPr>
            <w:tcW w:w="1296" w:type="dxa"/>
            <w:tcBorders>
              <w:top w:val="nil"/>
              <w:left w:val="nil"/>
              <w:bottom w:val="single" w:sz="4" w:space="0" w:color="000000"/>
              <w:right w:val="nil"/>
            </w:tcBorders>
            <w:shd w:val="clear" w:color="000080" w:fill="000080"/>
            <w:noWrap/>
            <w:vAlign w:val="bottom"/>
            <w:hideMark/>
          </w:tcPr>
          <w:p w:rsidR="00BB2CC0" w:rsidRPr="00AF3608" w:rsidRDefault="00BB2CC0" w:rsidP="0014588A">
            <w:pPr>
              <w:jc w:val="center"/>
              <w:rPr>
                <w:rFonts w:ascii="Arial" w:hAnsi="Arial" w:cs="Arial"/>
                <w:b/>
                <w:bCs/>
                <w:color w:val="FFFFFF"/>
                <w:sz w:val="20"/>
                <w:szCs w:val="20"/>
                <w:lang w:val="ro-RO"/>
              </w:rPr>
            </w:pPr>
          </w:p>
        </w:tc>
        <w:tc>
          <w:tcPr>
            <w:tcW w:w="1216" w:type="dxa"/>
            <w:tcBorders>
              <w:top w:val="nil"/>
              <w:left w:val="nil"/>
              <w:bottom w:val="single" w:sz="4" w:space="0" w:color="000000"/>
              <w:right w:val="nil"/>
            </w:tcBorders>
            <w:shd w:val="clear" w:color="000080" w:fill="000080"/>
            <w:noWrap/>
            <w:vAlign w:val="bottom"/>
            <w:hideMark/>
          </w:tcPr>
          <w:p w:rsidR="00BB2CC0" w:rsidRPr="00AF3608" w:rsidRDefault="00BB2CC0" w:rsidP="0014588A">
            <w:pPr>
              <w:jc w:val="center"/>
              <w:rPr>
                <w:rFonts w:ascii="Arial" w:hAnsi="Arial" w:cs="Arial"/>
                <w:b/>
                <w:bCs/>
                <w:color w:val="FFFFFF"/>
                <w:sz w:val="20"/>
                <w:szCs w:val="20"/>
                <w:lang w:val="ro-RO"/>
              </w:rPr>
            </w:pPr>
          </w:p>
        </w:tc>
        <w:tc>
          <w:tcPr>
            <w:tcW w:w="1376" w:type="dxa"/>
            <w:tcBorders>
              <w:top w:val="nil"/>
              <w:left w:val="nil"/>
              <w:bottom w:val="single" w:sz="4" w:space="0" w:color="000000"/>
              <w:right w:val="nil"/>
            </w:tcBorders>
            <w:shd w:val="clear" w:color="000080" w:fill="000080"/>
            <w:noWrap/>
            <w:vAlign w:val="bottom"/>
            <w:hideMark/>
          </w:tcPr>
          <w:p w:rsidR="00BB2CC0" w:rsidRPr="00AF3608" w:rsidRDefault="00BB2CC0" w:rsidP="0014588A">
            <w:pPr>
              <w:jc w:val="center"/>
              <w:rPr>
                <w:rFonts w:ascii="Arial" w:hAnsi="Arial" w:cs="Arial"/>
                <w:b/>
                <w:bCs/>
                <w:color w:val="FFFFFF"/>
                <w:sz w:val="20"/>
                <w:szCs w:val="20"/>
                <w:lang w:val="ro-RO"/>
              </w:rPr>
            </w:pPr>
            <w:r w:rsidRPr="00AF3608">
              <w:rPr>
                <w:rFonts w:ascii="Arial" w:hAnsi="Arial" w:cs="Arial"/>
                <w:b/>
                <w:bCs/>
                <w:color w:val="FFFFFF"/>
                <w:sz w:val="20"/>
                <w:szCs w:val="20"/>
                <w:lang w:val="ro-RO"/>
              </w:rPr>
              <w:t>- milioane lei-</w:t>
            </w:r>
          </w:p>
        </w:tc>
      </w:tr>
      <w:tr w:rsidR="00BB2CC0" w:rsidRPr="00AF3608" w:rsidTr="0014588A">
        <w:trPr>
          <w:trHeight w:val="255"/>
        </w:trPr>
        <w:tc>
          <w:tcPr>
            <w:tcW w:w="2276" w:type="dxa"/>
            <w:tcBorders>
              <w:top w:val="nil"/>
              <w:left w:val="nil"/>
              <w:bottom w:val="nil"/>
              <w:right w:val="nil"/>
            </w:tcBorders>
            <w:shd w:val="clear" w:color="CCCCFF" w:fill="99CCFF"/>
            <w:noWrap/>
            <w:vAlign w:val="bottom"/>
            <w:hideMark/>
          </w:tcPr>
          <w:p w:rsidR="00BB2CC0" w:rsidRPr="00AF3608" w:rsidRDefault="00BB2CC0" w:rsidP="0014588A">
            <w:pPr>
              <w:jc w:val="center"/>
              <w:rPr>
                <w:rFonts w:ascii="Arial" w:hAnsi="Arial" w:cs="Arial"/>
                <w:color w:val="FFFFFF"/>
                <w:sz w:val="20"/>
                <w:szCs w:val="20"/>
                <w:lang w:val="ro-RO"/>
              </w:rPr>
            </w:pPr>
          </w:p>
        </w:tc>
        <w:tc>
          <w:tcPr>
            <w:tcW w:w="2432" w:type="dxa"/>
            <w:gridSpan w:val="2"/>
            <w:tcBorders>
              <w:top w:val="single" w:sz="4" w:space="0" w:color="000000"/>
              <w:left w:val="nil"/>
              <w:bottom w:val="single" w:sz="4" w:space="0" w:color="000000"/>
              <w:right w:val="nil"/>
            </w:tcBorders>
            <w:shd w:val="clear" w:color="CCCCFF" w:fill="99CCFF"/>
            <w:noWrap/>
            <w:vAlign w:val="bottom"/>
            <w:hideMark/>
          </w:tcPr>
          <w:p w:rsidR="00BB2CC0" w:rsidRPr="00AF3608" w:rsidRDefault="00BB2CC0" w:rsidP="0014588A">
            <w:pPr>
              <w:jc w:val="center"/>
              <w:rPr>
                <w:rFonts w:ascii="Arial" w:hAnsi="Arial" w:cs="Arial"/>
                <w:b/>
                <w:bCs/>
                <w:sz w:val="20"/>
                <w:szCs w:val="20"/>
                <w:lang w:val="ro-RO"/>
              </w:rPr>
            </w:pPr>
            <w:r w:rsidRPr="00AF3608">
              <w:rPr>
                <w:rFonts w:ascii="Arial" w:hAnsi="Arial" w:cs="Arial"/>
                <w:b/>
                <w:bCs/>
                <w:sz w:val="20"/>
                <w:szCs w:val="20"/>
                <w:lang w:val="ro-RO"/>
              </w:rPr>
              <w:t>2020</w:t>
            </w:r>
          </w:p>
        </w:tc>
        <w:tc>
          <w:tcPr>
            <w:tcW w:w="2592" w:type="dxa"/>
            <w:gridSpan w:val="2"/>
            <w:tcBorders>
              <w:top w:val="single" w:sz="4" w:space="0" w:color="000000"/>
              <w:left w:val="nil"/>
              <w:bottom w:val="single" w:sz="4" w:space="0" w:color="000000"/>
              <w:right w:val="nil"/>
            </w:tcBorders>
            <w:shd w:val="clear" w:color="CCCCFF" w:fill="99CCFF"/>
            <w:noWrap/>
            <w:vAlign w:val="bottom"/>
            <w:hideMark/>
          </w:tcPr>
          <w:p w:rsidR="00BB2CC0" w:rsidRPr="00AF3608" w:rsidRDefault="00BB2CC0" w:rsidP="0014588A">
            <w:pPr>
              <w:jc w:val="center"/>
              <w:rPr>
                <w:rFonts w:ascii="Arial" w:hAnsi="Arial" w:cs="Arial"/>
                <w:b/>
                <w:bCs/>
                <w:sz w:val="20"/>
                <w:szCs w:val="20"/>
                <w:lang w:val="ro-RO"/>
              </w:rPr>
            </w:pPr>
            <w:r w:rsidRPr="00AF3608">
              <w:rPr>
                <w:rFonts w:ascii="Arial" w:hAnsi="Arial" w:cs="Arial"/>
                <w:b/>
                <w:bCs/>
                <w:sz w:val="20"/>
                <w:szCs w:val="20"/>
                <w:lang w:val="ro-RO"/>
              </w:rPr>
              <w:t>2021</w:t>
            </w:r>
          </w:p>
        </w:tc>
      </w:tr>
      <w:tr w:rsidR="00BB2CC0" w:rsidRPr="00AF3608" w:rsidTr="0014588A">
        <w:trPr>
          <w:trHeight w:val="327"/>
        </w:trPr>
        <w:tc>
          <w:tcPr>
            <w:tcW w:w="2276" w:type="dxa"/>
            <w:tcBorders>
              <w:top w:val="nil"/>
              <w:left w:val="nil"/>
              <w:bottom w:val="nil"/>
              <w:right w:val="nil"/>
            </w:tcBorders>
            <w:shd w:val="clear" w:color="CCCCFF" w:fill="99CCFF"/>
            <w:noWrap/>
            <w:vAlign w:val="bottom"/>
            <w:hideMark/>
          </w:tcPr>
          <w:p w:rsidR="00BB2CC0" w:rsidRPr="00AF3608" w:rsidRDefault="00BB2CC0" w:rsidP="0014588A">
            <w:pPr>
              <w:jc w:val="center"/>
              <w:rPr>
                <w:rFonts w:ascii="Arial" w:hAnsi="Arial" w:cs="Arial"/>
                <w:color w:val="FFFFFF"/>
                <w:sz w:val="20"/>
                <w:szCs w:val="20"/>
                <w:lang w:val="ro-RO"/>
              </w:rPr>
            </w:pPr>
          </w:p>
        </w:tc>
        <w:tc>
          <w:tcPr>
            <w:tcW w:w="1136" w:type="dxa"/>
            <w:tcBorders>
              <w:top w:val="nil"/>
              <w:left w:val="nil"/>
              <w:bottom w:val="nil"/>
              <w:right w:val="nil"/>
            </w:tcBorders>
            <w:shd w:val="clear" w:color="CCCCFF" w:fill="99CCFF"/>
            <w:vAlign w:val="bottom"/>
            <w:hideMark/>
          </w:tcPr>
          <w:p w:rsidR="00BB2CC0" w:rsidRPr="00AF3608" w:rsidRDefault="00BB2CC0" w:rsidP="0014588A">
            <w:pPr>
              <w:jc w:val="center"/>
              <w:rPr>
                <w:rFonts w:ascii="Arial" w:hAnsi="Arial" w:cs="Arial"/>
                <w:b/>
                <w:bCs/>
                <w:sz w:val="18"/>
                <w:szCs w:val="18"/>
                <w:lang w:val="ro-RO"/>
              </w:rPr>
            </w:pPr>
            <w:r w:rsidRPr="00AF3608">
              <w:rPr>
                <w:rFonts w:ascii="Arial" w:hAnsi="Arial" w:cs="Arial"/>
                <w:b/>
                <w:bCs/>
                <w:sz w:val="18"/>
                <w:szCs w:val="18"/>
                <w:lang w:val="ro-RO"/>
              </w:rPr>
              <w:t>% din total</w:t>
            </w:r>
          </w:p>
        </w:tc>
        <w:tc>
          <w:tcPr>
            <w:tcW w:w="1296" w:type="dxa"/>
            <w:tcBorders>
              <w:top w:val="nil"/>
              <w:left w:val="nil"/>
              <w:bottom w:val="nil"/>
              <w:right w:val="nil"/>
            </w:tcBorders>
            <w:shd w:val="clear" w:color="CCCCFF" w:fill="99CCFF"/>
            <w:noWrap/>
            <w:vAlign w:val="bottom"/>
            <w:hideMark/>
          </w:tcPr>
          <w:p w:rsidR="00BB2CC0" w:rsidRPr="00AF3608" w:rsidRDefault="00BB2CC0" w:rsidP="0014588A">
            <w:pPr>
              <w:jc w:val="center"/>
              <w:rPr>
                <w:rFonts w:ascii="Arial" w:hAnsi="Arial" w:cs="Arial"/>
                <w:b/>
                <w:bCs/>
                <w:sz w:val="18"/>
                <w:szCs w:val="18"/>
                <w:lang w:val="ro-RO"/>
              </w:rPr>
            </w:pPr>
            <w:r w:rsidRPr="00AF3608">
              <w:rPr>
                <w:rFonts w:ascii="Arial" w:hAnsi="Arial" w:cs="Arial"/>
                <w:b/>
                <w:bCs/>
                <w:sz w:val="18"/>
                <w:szCs w:val="18"/>
                <w:lang w:val="ro-RO"/>
              </w:rPr>
              <w:t>Sume</w:t>
            </w:r>
          </w:p>
        </w:tc>
        <w:tc>
          <w:tcPr>
            <w:tcW w:w="1216" w:type="dxa"/>
            <w:tcBorders>
              <w:top w:val="nil"/>
              <w:left w:val="nil"/>
              <w:bottom w:val="nil"/>
              <w:right w:val="nil"/>
            </w:tcBorders>
            <w:shd w:val="clear" w:color="CCCCFF" w:fill="99CCFF"/>
            <w:vAlign w:val="bottom"/>
            <w:hideMark/>
          </w:tcPr>
          <w:p w:rsidR="00BB2CC0" w:rsidRPr="00AF3608" w:rsidRDefault="00BB2CC0" w:rsidP="0014588A">
            <w:pPr>
              <w:jc w:val="center"/>
              <w:rPr>
                <w:rFonts w:ascii="Arial" w:hAnsi="Arial" w:cs="Arial"/>
                <w:b/>
                <w:bCs/>
                <w:sz w:val="18"/>
                <w:szCs w:val="18"/>
                <w:lang w:val="ro-RO"/>
              </w:rPr>
            </w:pPr>
            <w:r w:rsidRPr="00AF3608">
              <w:rPr>
                <w:rFonts w:ascii="Arial" w:hAnsi="Arial" w:cs="Arial"/>
                <w:b/>
                <w:bCs/>
                <w:sz w:val="18"/>
                <w:szCs w:val="18"/>
                <w:lang w:val="ro-RO"/>
              </w:rPr>
              <w:t>% din total</w:t>
            </w:r>
          </w:p>
        </w:tc>
        <w:tc>
          <w:tcPr>
            <w:tcW w:w="1376" w:type="dxa"/>
            <w:tcBorders>
              <w:top w:val="nil"/>
              <w:left w:val="nil"/>
              <w:bottom w:val="nil"/>
              <w:right w:val="nil"/>
            </w:tcBorders>
            <w:shd w:val="clear" w:color="CCCCFF" w:fill="99CCFF"/>
            <w:noWrap/>
            <w:vAlign w:val="bottom"/>
            <w:hideMark/>
          </w:tcPr>
          <w:p w:rsidR="00BB2CC0" w:rsidRPr="00AF3608" w:rsidRDefault="00BB2CC0" w:rsidP="0014588A">
            <w:pPr>
              <w:jc w:val="center"/>
              <w:rPr>
                <w:rFonts w:ascii="Arial" w:hAnsi="Arial" w:cs="Arial"/>
                <w:b/>
                <w:bCs/>
                <w:sz w:val="18"/>
                <w:szCs w:val="18"/>
                <w:lang w:val="ro-RO"/>
              </w:rPr>
            </w:pPr>
            <w:r w:rsidRPr="00AF3608">
              <w:rPr>
                <w:rFonts w:ascii="Arial" w:hAnsi="Arial" w:cs="Arial"/>
                <w:b/>
                <w:bCs/>
                <w:sz w:val="18"/>
                <w:szCs w:val="18"/>
                <w:lang w:val="ro-RO"/>
              </w:rPr>
              <w:t>Sume</w:t>
            </w:r>
          </w:p>
        </w:tc>
      </w:tr>
      <w:tr w:rsidR="00BB2CC0" w:rsidRPr="00AF3608" w:rsidTr="0014588A">
        <w:trPr>
          <w:trHeight w:val="255"/>
        </w:trPr>
        <w:tc>
          <w:tcPr>
            <w:tcW w:w="2276" w:type="dxa"/>
            <w:tcBorders>
              <w:top w:val="nil"/>
              <w:left w:val="nil"/>
              <w:bottom w:val="single" w:sz="4" w:space="0" w:color="000000"/>
              <w:right w:val="nil"/>
            </w:tcBorders>
            <w:shd w:val="clear" w:color="CCCCFF" w:fill="99CCFF"/>
            <w:noWrap/>
            <w:vAlign w:val="bottom"/>
            <w:hideMark/>
          </w:tcPr>
          <w:p w:rsidR="00BB2CC0" w:rsidRPr="00AF3608" w:rsidRDefault="00BB2CC0" w:rsidP="0014588A">
            <w:pPr>
              <w:jc w:val="center"/>
              <w:rPr>
                <w:rFonts w:ascii="Arial" w:hAnsi="Arial" w:cs="Arial"/>
                <w:color w:val="FFFFFF"/>
                <w:sz w:val="20"/>
                <w:szCs w:val="20"/>
                <w:lang w:val="ro-RO"/>
              </w:rPr>
            </w:pPr>
          </w:p>
        </w:tc>
        <w:tc>
          <w:tcPr>
            <w:tcW w:w="1136" w:type="dxa"/>
            <w:tcBorders>
              <w:top w:val="nil"/>
              <w:left w:val="nil"/>
              <w:bottom w:val="single" w:sz="4" w:space="0" w:color="000000"/>
              <w:right w:val="nil"/>
            </w:tcBorders>
            <w:shd w:val="clear" w:color="CCCCFF" w:fill="99CCFF"/>
            <w:noWrap/>
            <w:vAlign w:val="bottom"/>
            <w:hideMark/>
          </w:tcPr>
          <w:p w:rsidR="00BB2CC0" w:rsidRPr="00AF3608" w:rsidRDefault="00BB2CC0" w:rsidP="0014588A">
            <w:pPr>
              <w:jc w:val="center"/>
              <w:rPr>
                <w:rFonts w:ascii="Arial" w:hAnsi="Arial" w:cs="Arial"/>
                <w:sz w:val="20"/>
                <w:szCs w:val="20"/>
                <w:lang w:val="ro-RO"/>
              </w:rPr>
            </w:pPr>
          </w:p>
        </w:tc>
        <w:tc>
          <w:tcPr>
            <w:tcW w:w="1296" w:type="dxa"/>
            <w:tcBorders>
              <w:top w:val="nil"/>
              <w:left w:val="nil"/>
              <w:bottom w:val="single" w:sz="4" w:space="0" w:color="000000"/>
              <w:right w:val="nil"/>
            </w:tcBorders>
            <w:shd w:val="clear" w:color="CCCCFF" w:fill="99CCFF"/>
            <w:noWrap/>
            <w:vAlign w:val="bottom"/>
            <w:hideMark/>
          </w:tcPr>
          <w:p w:rsidR="00BB2CC0" w:rsidRPr="00AF3608" w:rsidRDefault="00BB2CC0" w:rsidP="0014588A">
            <w:pPr>
              <w:jc w:val="center"/>
              <w:rPr>
                <w:rFonts w:ascii="Arial" w:hAnsi="Arial" w:cs="Arial"/>
                <w:sz w:val="20"/>
                <w:szCs w:val="20"/>
                <w:lang w:val="ro-RO"/>
              </w:rPr>
            </w:pPr>
          </w:p>
        </w:tc>
        <w:tc>
          <w:tcPr>
            <w:tcW w:w="1216" w:type="dxa"/>
            <w:tcBorders>
              <w:top w:val="nil"/>
              <w:left w:val="nil"/>
              <w:bottom w:val="single" w:sz="4" w:space="0" w:color="000000"/>
              <w:right w:val="nil"/>
            </w:tcBorders>
            <w:shd w:val="clear" w:color="CCCCFF" w:fill="99CCFF"/>
            <w:noWrap/>
            <w:vAlign w:val="bottom"/>
            <w:hideMark/>
          </w:tcPr>
          <w:p w:rsidR="00BB2CC0" w:rsidRPr="00AF3608" w:rsidRDefault="00BB2CC0" w:rsidP="0014588A">
            <w:pPr>
              <w:jc w:val="center"/>
              <w:rPr>
                <w:rFonts w:ascii="Arial" w:hAnsi="Arial" w:cs="Arial"/>
                <w:sz w:val="20"/>
                <w:szCs w:val="20"/>
                <w:lang w:val="ro-RO"/>
              </w:rPr>
            </w:pPr>
          </w:p>
        </w:tc>
        <w:tc>
          <w:tcPr>
            <w:tcW w:w="1376" w:type="dxa"/>
            <w:tcBorders>
              <w:top w:val="nil"/>
              <w:left w:val="nil"/>
              <w:bottom w:val="single" w:sz="4" w:space="0" w:color="000000"/>
              <w:right w:val="nil"/>
            </w:tcBorders>
            <w:shd w:val="clear" w:color="CCCCFF" w:fill="99CCFF"/>
            <w:noWrap/>
            <w:vAlign w:val="bottom"/>
            <w:hideMark/>
          </w:tcPr>
          <w:p w:rsidR="00BB2CC0" w:rsidRPr="00AF3608" w:rsidRDefault="00BB2CC0" w:rsidP="0014588A">
            <w:pPr>
              <w:jc w:val="center"/>
              <w:rPr>
                <w:rFonts w:ascii="Arial" w:hAnsi="Arial" w:cs="Arial"/>
                <w:sz w:val="20"/>
                <w:szCs w:val="20"/>
                <w:lang w:val="ro-RO"/>
              </w:rPr>
            </w:pPr>
          </w:p>
        </w:tc>
      </w:tr>
      <w:tr w:rsidR="00BB2CC0" w:rsidRPr="00AF3608" w:rsidTr="0014588A">
        <w:trPr>
          <w:trHeight w:val="255"/>
        </w:trPr>
        <w:tc>
          <w:tcPr>
            <w:tcW w:w="227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p>
        </w:tc>
        <w:tc>
          <w:tcPr>
            <w:tcW w:w="1136" w:type="dxa"/>
            <w:tcBorders>
              <w:top w:val="nil"/>
              <w:left w:val="nil"/>
              <w:bottom w:val="nil"/>
              <w:right w:val="nil"/>
            </w:tcBorders>
            <w:shd w:val="clear" w:color="auto" w:fill="auto"/>
            <w:noWrap/>
            <w:vAlign w:val="bottom"/>
            <w:hideMark/>
          </w:tcPr>
          <w:p w:rsidR="00BB2CC0" w:rsidRPr="00AF3608" w:rsidRDefault="00BB2CC0" w:rsidP="0014588A">
            <w:pPr>
              <w:jc w:val="center"/>
              <w:rPr>
                <w:sz w:val="20"/>
                <w:szCs w:val="20"/>
                <w:lang w:val="ro-RO"/>
              </w:rPr>
            </w:pPr>
          </w:p>
        </w:tc>
        <w:tc>
          <w:tcPr>
            <w:tcW w:w="1296" w:type="dxa"/>
            <w:tcBorders>
              <w:top w:val="nil"/>
              <w:left w:val="nil"/>
              <w:bottom w:val="nil"/>
              <w:right w:val="nil"/>
            </w:tcBorders>
            <w:shd w:val="clear" w:color="auto" w:fill="auto"/>
            <w:noWrap/>
            <w:vAlign w:val="bottom"/>
            <w:hideMark/>
          </w:tcPr>
          <w:p w:rsidR="00BB2CC0" w:rsidRPr="00AF3608" w:rsidRDefault="00BB2CC0" w:rsidP="0014588A">
            <w:pPr>
              <w:jc w:val="center"/>
              <w:rPr>
                <w:sz w:val="20"/>
                <w:szCs w:val="20"/>
                <w:lang w:val="ro-RO"/>
              </w:rPr>
            </w:pPr>
          </w:p>
        </w:tc>
        <w:tc>
          <w:tcPr>
            <w:tcW w:w="1216" w:type="dxa"/>
            <w:tcBorders>
              <w:top w:val="nil"/>
              <w:left w:val="nil"/>
              <w:bottom w:val="nil"/>
              <w:right w:val="nil"/>
            </w:tcBorders>
            <w:shd w:val="clear" w:color="auto" w:fill="auto"/>
            <w:noWrap/>
            <w:vAlign w:val="bottom"/>
            <w:hideMark/>
          </w:tcPr>
          <w:p w:rsidR="00BB2CC0" w:rsidRPr="00AF3608" w:rsidRDefault="00BB2CC0" w:rsidP="0014588A">
            <w:pPr>
              <w:jc w:val="center"/>
              <w:rPr>
                <w:sz w:val="20"/>
                <w:szCs w:val="20"/>
                <w:lang w:val="ro-RO"/>
              </w:rPr>
            </w:pPr>
          </w:p>
        </w:tc>
        <w:tc>
          <w:tcPr>
            <w:tcW w:w="1376" w:type="dxa"/>
            <w:tcBorders>
              <w:top w:val="nil"/>
              <w:left w:val="nil"/>
              <w:bottom w:val="nil"/>
              <w:right w:val="nil"/>
            </w:tcBorders>
            <w:shd w:val="clear" w:color="auto" w:fill="auto"/>
            <w:noWrap/>
            <w:vAlign w:val="bottom"/>
            <w:hideMark/>
          </w:tcPr>
          <w:p w:rsidR="00BB2CC0" w:rsidRPr="00AF3608" w:rsidRDefault="00BB2CC0" w:rsidP="0014588A">
            <w:pPr>
              <w:jc w:val="center"/>
              <w:rPr>
                <w:sz w:val="20"/>
                <w:szCs w:val="20"/>
                <w:lang w:val="ro-RO"/>
              </w:rPr>
            </w:pPr>
          </w:p>
        </w:tc>
      </w:tr>
      <w:tr w:rsidR="00BB2CC0" w:rsidRPr="00AF3608" w:rsidTr="0014588A">
        <w:trPr>
          <w:trHeight w:val="330"/>
        </w:trPr>
        <w:tc>
          <w:tcPr>
            <w:tcW w:w="227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b/>
                <w:bCs/>
                <w:sz w:val="18"/>
                <w:szCs w:val="18"/>
                <w:lang w:val="ro-RO"/>
              </w:rPr>
            </w:pPr>
            <w:r w:rsidRPr="00AF3608">
              <w:rPr>
                <w:rFonts w:ascii="Arial" w:hAnsi="Arial" w:cs="Arial"/>
                <w:b/>
                <w:bCs/>
                <w:sz w:val="18"/>
                <w:szCs w:val="18"/>
                <w:lang w:val="ro-RO"/>
              </w:rPr>
              <w:t>Cheltuieli total</w:t>
            </w:r>
          </w:p>
        </w:tc>
        <w:tc>
          <w:tcPr>
            <w:tcW w:w="113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b/>
                <w:bCs/>
                <w:sz w:val="20"/>
                <w:szCs w:val="20"/>
                <w:lang w:val="ro-RO"/>
              </w:rPr>
            </w:pPr>
            <w:r w:rsidRPr="00AF3608">
              <w:rPr>
                <w:rFonts w:ascii="Arial" w:hAnsi="Arial" w:cs="Arial"/>
                <w:b/>
                <w:bCs/>
                <w:sz w:val="20"/>
                <w:szCs w:val="20"/>
                <w:lang w:val="ro-RO"/>
              </w:rPr>
              <w:t>100,0</w:t>
            </w:r>
          </w:p>
        </w:tc>
        <w:tc>
          <w:tcPr>
            <w:tcW w:w="129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b/>
                <w:bCs/>
                <w:sz w:val="20"/>
                <w:szCs w:val="20"/>
                <w:lang w:val="ro-RO"/>
              </w:rPr>
            </w:pPr>
            <w:r w:rsidRPr="00AF3608">
              <w:rPr>
                <w:rFonts w:ascii="Arial" w:hAnsi="Arial" w:cs="Arial"/>
                <w:b/>
                <w:bCs/>
                <w:sz w:val="20"/>
                <w:szCs w:val="20"/>
                <w:lang w:val="ro-RO"/>
              </w:rPr>
              <w:t>424.434</w:t>
            </w:r>
          </w:p>
        </w:tc>
        <w:tc>
          <w:tcPr>
            <w:tcW w:w="121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b/>
                <w:bCs/>
                <w:sz w:val="20"/>
                <w:szCs w:val="20"/>
                <w:lang w:val="ro-RO"/>
              </w:rPr>
            </w:pPr>
            <w:r w:rsidRPr="00AF3608">
              <w:rPr>
                <w:rFonts w:ascii="Arial" w:hAnsi="Arial" w:cs="Arial"/>
                <w:b/>
                <w:bCs/>
                <w:sz w:val="20"/>
                <w:szCs w:val="20"/>
                <w:lang w:val="ro-RO"/>
              </w:rPr>
              <w:t>100,0</w:t>
            </w:r>
          </w:p>
        </w:tc>
        <w:tc>
          <w:tcPr>
            <w:tcW w:w="137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b/>
                <w:bCs/>
                <w:sz w:val="20"/>
                <w:szCs w:val="20"/>
                <w:lang w:val="ro-RO"/>
              </w:rPr>
            </w:pPr>
            <w:r w:rsidRPr="00AF3608">
              <w:rPr>
                <w:rFonts w:ascii="Arial" w:hAnsi="Arial" w:cs="Arial"/>
                <w:b/>
                <w:bCs/>
                <w:sz w:val="20"/>
                <w:szCs w:val="20"/>
                <w:lang w:val="ro-RO"/>
              </w:rPr>
              <w:t>444.907</w:t>
            </w:r>
          </w:p>
        </w:tc>
      </w:tr>
      <w:tr w:rsidR="00BB2CC0" w:rsidRPr="00AF3608" w:rsidTr="0014588A">
        <w:trPr>
          <w:trHeight w:val="360"/>
        </w:trPr>
        <w:tc>
          <w:tcPr>
            <w:tcW w:w="2276" w:type="dxa"/>
            <w:tcBorders>
              <w:top w:val="nil"/>
              <w:left w:val="nil"/>
              <w:bottom w:val="nil"/>
              <w:right w:val="nil"/>
            </w:tcBorders>
            <w:shd w:val="clear" w:color="auto" w:fill="auto"/>
            <w:vAlign w:val="bottom"/>
            <w:hideMark/>
          </w:tcPr>
          <w:p w:rsidR="00BB2CC0" w:rsidRPr="00AF3608" w:rsidRDefault="00BB2CC0" w:rsidP="0014588A">
            <w:pPr>
              <w:jc w:val="center"/>
              <w:rPr>
                <w:rFonts w:ascii="Arial" w:hAnsi="Arial" w:cs="Arial"/>
                <w:sz w:val="18"/>
                <w:szCs w:val="18"/>
                <w:lang w:val="ro-RO"/>
              </w:rPr>
            </w:pPr>
            <w:r w:rsidRPr="00AF3608">
              <w:rPr>
                <w:rFonts w:ascii="Arial" w:hAnsi="Arial" w:cs="Arial"/>
                <w:sz w:val="18"/>
                <w:szCs w:val="18"/>
                <w:lang w:val="ro-RO"/>
              </w:rPr>
              <w:t>Cheltuieli de personal</w:t>
            </w:r>
          </w:p>
        </w:tc>
        <w:tc>
          <w:tcPr>
            <w:tcW w:w="113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25,9</w:t>
            </w:r>
          </w:p>
        </w:tc>
        <w:tc>
          <w:tcPr>
            <w:tcW w:w="129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109.978</w:t>
            </w:r>
          </w:p>
        </w:tc>
        <w:tc>
          <w:tcPr>
            <w:tcW w:w="121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24,6</w:t>
            </w:r>
          </w:p>
        </w:tc>
        <w:tc>
          <w:tcPr>
            <w:tcW w:w="137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109.511</w:t>
            </w:r>
          </w:p>
        </w:tc>
      </w:tr>
      <w:tr w:rsidR="00BB2CC0" w:rsidRPr="00AF3608" w:rsidTr="0014588A">
        <w:trPr>
          <w:trHeight w:val="330"/>
        </w:trPr>
        <w:tc>
          <w:tcPr>
            <w:tcW w:w="2276" w:type="dxa"/>
            <w:tcBorders>
              <w:top w:val="nil"/>
              <w:left w:val="nil"/>
              <w:bottom w:val="nil"/>
              <w:right w:val="nil"/>
            </w:tcBorders>
            <w:shd w:val="clear" w:color="auto" w:fill="auto"/>
            <w:vAlign w:val="bottom"/>
            <w:hideMark/>
          </w:tcPr>
          <w:p w:rsidR="00BB2CC0" w:rsidRPr="00AF3608" w:rsidRDefault="00BB2CC0" w:rsidP="0014588A">
            <w:pPr>
              <w:jc w:val="center"/>
              <w:rPr>
                <w:rFonts w:ascii="Arial" w:hAnsi="Arial" w:cs="Arial"/>
                <w:sz w:val="18"/>
                <w:szCs w:val="18"/>
                <w:lang w:val="ro-RO"/>
              </w:rPr>
            </w:pPr>
            <w:r w:rsidRPr="00AF3608">
              <w:rPr>
                <w:rFonts w:ascii="Arial" w:hAnsi="Arial" w:cs="Arial"/>
                <w:sz w:val="18"/>
                <w:szCs w:val="18"/>
                <w:lang w:val="ro-RO"/>
              </w:rPr>
              <w:t>Bunuri si servicii</w:t>
            </w:r>
          </w:p>
        </w:tc>
        <w:tc>
          <w:tcPr>
            <w:tcW w:w="113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13,4</w:t>
            </w:r>
          </w:p>
        </w:tc>
        <w:tc>
          <w:tcPr>
            <w:tcW w:w="129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57.045</w:t>
            </w:r>
          </w:p>
        </w:tc>
        <w:tc>
          <w:tcPr>
            <w:tcW w:w="121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12,4</w:t>
            </w:r>
          </w:p>
        </w:tc>
        <w:tc>
          <w:tcPr>
            <w:tcW w:w="137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55.382</w:t>
            </w:r>
          </w:p>
        </w:tc>
      </w:tr>
      <w:tr w:rsidR="00BB2CC0" w:rsidRPr="00AF3608" w:rsidTr="0014588A">
        <w:trPr>
          <w:trHeight w:val="345"/>
        </w:trPr>
        <w:tc>
          <w:tcPr>
            <w:tcW w:w="2276" w:type="dxa"/>
            <w:tcBorders>
              <w:top w:val="nil"/>
              <w:left w:val="nil"/>
              <w:bottom w:val="nil"/>
              <w:right w:val="nil"/>
            </w:tcBorders>
            <w:shd w:val="clear" w:color="auto" w:fill="auto"/>
            <w:vAlign w:val="bottom"/>
            <w:hideMark/>
          </w:tcPr>
          <w:p w:rsidR="00BB2CC0" w:rsidRPr="00AF3608" w:rsidRDefault="00BB2CC0" w:rsidP="0014588A">
            <w:pPr>
              <w:jc w:val="center"/>
              <w:rPr>
                <w:rFonts w:ascii="Arial" w:hAnsi="Arial" w:cs="Arial"/>
                <w:sz w:val="18"/>
                <w:szCs w:val="18"/>
                <w:lang w:val="ro-RO"/>
              </w:rPr>
            </w:pPr>
            <w:r w:rsidRPr="00AF3608">
              <w:rPr>
                <w:rFonts w:ascii="Arial" w:hAnsi="Arial" w:cs="Arial"/>
                <w:sz w:val="18"/>
                <w:szCs w:val="18"/>
                <w:lang w:val="ro-RO"/>
              </w:rPr>
              <w:t>Dobanzi</w:t>
            </w:r>
          </w:p>
        </w:tc>
        <w:tc>
          <w:tcPr>
            <w:tcW w:w="113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3,4</w:t>
            </w:r>
          </w:p>
        </w:tc>
        <w:tc>
          <w:tcPr>
            <w:tcW w:w="129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14.510</w:t>
            </w:r>
          </w:p>
        </w:tc>
        <w:tc>
          <w:tcPr>
            <w:tcW w:w="121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3,8</w:t>
            </w:r>
          </w:p>
        </w:tc>
        <w:tc>
          <w:tcPr>
            <w:tcW w:w="137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16.865</w:t>
            </w:r>
          </w:p>
        </w:tc>
      </w:tr>
      <w:tr w:rsidR="00BB2CC0" w:rsidRPr="00AF3608" w:rsidTr="0014588A">
        <w:trPr>
          <w:trHeight w:val="300"/>
        </w:trPr>
        <w:tc>
          <w:tcPr>
            <w:tcW w:w="227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18"/>
                <w:szCs w:val="18"/>
                <w:lang w:val="ro-RO"/>
              </w:rPr>
            </w:pPr>
            <w:r w:rsidRPr="00AF3608">
              <w:rPr>
                <w:rFonts w:ascii="Arial" w:hAnsi="Arial" w:cs="Arial"/>
                <w:sz w:val="18"/>
                <w:szCs w:val="18"/>
                <w:lang w:val="ro-RO"/>
              </w:rPr>
              <w:t>Subventii</w:t>
            </w:r>
          </w:p>
        </w:tc>
        <w:tc>
          <w:tcPr>
            <w:tcW w:w="113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1,9</w:t>
            </w:r>
          </w:p>
        </w:tc>
        <w:tc>
          <w:tcPr>
            <w:tcW w:w="129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8.140</w:t>
            </w:r>
          </w:p>
        </w:tc>
        <w:tc>
          <w:tcPr>
            <w:tcW w:w="121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1,6</w:t>
            </w:r>
          </w:p>
        </w:tc>
        <w:tc>
          <w:tcPr>
            <w:tcW w:w="137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6.964</w:t>
            </w:r>
          </w:p>
        </w:tc>
      </w:tr>
      <w:tr w:rsidR="00BB2CC0" w:rsidRPr="00AF3608" w:rsidTr="0014588A">
        <w:trPr>
          <w:trHeight w:val="345"/>
        </w:trPr>
        <w:tc>
          <w:tcPr>
            <w:tcW w:w="2276" w:type="dxa"/>
            <w:tcBorders>
              <w:top w:val="nil"/>
              <w:left w:val="nil"/>
              <w:bottom w:val="nil"/>
              <w:right w:val="nil"/>
            </w:tcBorders>
            <w:shd w:val="clear" w:color="auto" w:fill="auto"/>
            <w:vAlign w:val="bottom"/>
            <w:hideMark/>
          </w:tcPr>
          <w:p w:rsidR="00BB2CC0" w:rsidRPr="00AF3608" w:rsidRDefault="00BB2CC0" w:rsidP="0014588A">
            <w:pPr>
              <w:jc w:val="center"/>
              <w:rPr>
                <w:rFonts w:ascii="Arial" w:hAnsi="Arial" w:cs="Arial"/>
                <w:sz w:val="18"/>
                <w:szCs w:val="18"/>
                <w:lang w:val="ro-RO"/>
              </w:rPr>
            </w:pPr>
            <w:r w:rsidRPr="00AF3608">
              <w:rPr>
                <w:rFonts w:ascii="Arial" w:hAnsi="Arial" w:cs="Arial"/>
                <w:sz w:val="18"/>
                <w:szCs w:val="18"/>
                <w:lang w:val="ro-RO"/>
              </w:rPr>
              <w:t>Asistenta sociala</w:t>
            </w:r>
          </w:p>
        </w:tc>
        <w:tc>
          <w:tcPr>
            <w:tcW w:w="113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32,6</w:t>
            </w:r>
          </w:p>
        </w:tc>
        <w:tc>
          <w:tcPr>
            <w:tcW w:w="129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138.553</w:t>
            </w:r>
          </w:p>
        </w:tc>
        <w:tc>
          <w:tcPr>
            <w:tcW w:w="121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32,1</w:t>
            </w:r>
          </w:p>
        </w:tc>
        <w:tc>
          <w:tcPr>
            <w:tcW w:w="137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142.939</w:t>
            </w:r>
          </w:p>
        </w:tc>
      </w:tr>
      <w:tr w:rsidR="00BB2CC0" w:rsidRPr="00AF3608" w:rsidTr="0014588A">
        <w:trPr>
          <w:trHeight w:val="345"/>
        </w:trPr>
        <w:tc>
          <w:tcPr>
            <w:tcW w:w="2276" w:type="dxa"/>
            <w:tcBorders>
              <w:top w:val="nil"/>
              <w:left w:val="nil"/>
              <w:bottom w:val="nil"/>
              <w:right w:val="nil"/>
            </w:tcBorders>
            <w:shd w:val="clear" w:color="auto" w:fill="auto"/>
            <w:vAlign w:val="bottom"/>
            <w:hideMark/>
          </w:tcPr>
          <w:p w:rsidR="00BB2CC0" w:rsidRPr="00AF3608" w:rsidRDefault="00BB2CC0" w:rsidP="0014588A">
            <w:pPr>
              <w:jc w:val="center"/>
              <w:rPr>
                <w:rFonts w:ascii="Arial" w:hAnsi="Arial" w:cs="Arial"/>
                <w:sz w:val="18"/>
                <w:szCs w:val="18"/>
                <w:lang w:val="ro-RO"/>
              </w:rPr>
            </w:pPr>
            <w:r w:rsidRPr="00AF3608">
              <w:rPr>
                <w:rFonts w:ascii="Arial" w:hAnsi="Arial" w:cs="Arial"/>
                <w:sz w:val="18"/>
                <w:szCs w:val="18"/>
                <w:lang w:val="ro-RO"/>
              </w:rPr>
              <w:t>Alte transferuri</w:t>
            </w:r>
          </w:p>
        </w:tc>
        <w:tc>
          <w:tcPr>
            <w:tcW w:w="113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10,2</w:t>
            </w:r>
          </w:p>
        </w:tc>
        <w:tc>
          <w:tcPr>
            <w:tcW w:w="129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43.128</w:t>
            </w:r>
          </w:p>
        </w:tc>
        <w:tc>
          <w:tcPr>
            <w:tcW w:w="121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11,6</w:t>
            </w:r>
          </w:p>
        </w:tc>
        <w:tc>
          <w:tcPr>
            <w:tcW w:w="137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51.817</w:t>
            </w:r>
          </w:p>
        </w:tc>
      </w:tr>
      <w:tr w:rsidR="00BB2CC0" w:rsidRPr="00AF3608" w:rsidTr="0014588A">
        <w:trPr>
          <w:trHeight w:val="390"/>
        </w:trPr>
        <w:tc>
          <w:tcPr>
            <w:tcW w:w="2276" w:type="dxa"/>
            <w:tcBorders>
              <w:top w:val="nil"/>
              <w:left w:val="nil"/>
              <w:bottom w:val="single" w:sz="8" w:space="0" w:color="000000"/>
              <w:right w:val="nil"/>
            </w:tcBorders>
            <w:shd w:val="clear" w:color="auto" w:fill="auto"/>
            <w:vAlign w:val="bottom"/>
            <w:hideMark/>
          </w:tcPr>
          <w:p w:rsidR="00BB2CC0" w:rsidRPr="00AF3608" w:rsidRDefault="00BB2CC0" w:rsidP="0014588A">
            <w:pPr>
              <w:jc w:val="center"/>
              <w:rPr>
                <w:rFonts w:ascii="Arial" w:hAnsi="Arial" w:cs="Arial"/>
                <w:sz w:val="18"/>
                <w:szCs w:val="18"/>
                <w:lang w:val="ro-RO"/>
              </w:rPr>
            </w:pPr>
            <w:r w:rsidRPr="00AF3608">
              <w:rPr>
                <w:rFonts w:ascii="Arial" w:hAnsi="Arial" w:cs="Arial"/>
                <w:sz w:val="18"/>
                <w:szCs w:val="18"/>
                <w:lang w:val="ro-RO"/>
              </w:rPr>
              <w:t>Cheltuieli de investitii</w:t>
            </w:r>
          </w:p>
        </w:tc>
        <w:tc>
          <w:tcPr>
            <w:tcW w:w="1136" w:type="dxa"/>
            <w:tcBorders>
              <w:top w:val="nil"/>
              <w:left w:val="nil"/>
              <w:bottom w:val="single" w:sz="8" w:space="0" w:color="auto"/>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12,5</w:t>
            </w:r>
          </w:p>
        </w:tc>
        <w:tc>
          <w:tcPr>
            <w:tcW w:w="1296" w:type="dxa"/>
            <w:tcBorders>
              <w:top w:val="nil"/>
              <w:left w:val="nil"/>
              <w:bottom w:val="single" w:sz="8" w:space="0" w:color="000000"/>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53.080</w:t>
            </w:r>
          </w:p>
        </w:tc>
        <w:tc>
          <w:tcPr>
            <w:tcW w:w="1216" w:type="dxa"/>
            <w:tcBorders>
              <w:top w:val="nil"/>
              <w:left w:val="nil"/>
              <w:bottom w:val="single" w:sz="8" w:space="0" w:color="000000"/>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13,8</w:t>
            </w:r>
          </w:p>
        </w:tc>
        <w:tc>
          <w:tcPr>
            <w:tcW w:w="1376" w:type="dxa"/>
            <w:tcBorders>
              <w:top w:val="nil"/>
              <w:left w:val="nil"/>
              <w:bottom w:val="single" w:sz="8" w:space="0" w:color="000000"/>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61.428,9</w:t>
            </w:r>
          </w:p>
        </w:tc>
      </w:tr>
    </w:tbl>
    <w:p w:rsidR="000245CE" w:rsidRPr="00AF3608" w:rsidRDefault="00BB2CC0" w:rsidP="0014588A">
      <w:pPr>
        <w:suppressAutoHyphens/>
        <w:spacing w:before="120"/>
        <w:jc w:val="center"/>
        <w:rPr>
          <w:rFonts w:ascii="Calibri" w:hAnsi="Calibri" w:cs="Calibri"/>
          <w:bCs/>
          <w:color w:val="000000"/>
          <w:lang w:val="ro-RO" w:eastAsia="zh-CN"/>
        </w:rPr>
      </w:pPr>
      <w:r w:rsidRPr="00AF3608">
        <w:rPr>
          <w:rFonts w:ascii="Calibri" w:hAnsi="Calibri" w:cs="Calibri"/>
          <w:bCs/>
          <w:color w:val="000000"/>
          <w:lang w:val="ro-RO" w:eastAsia="zh-CN"/>
        </w:rPr>
        <w:fldChar w:fldCharType="end"/>
      </w:r>
    </w:p>
    <w:p w:rsidR="00BB2CC0" w:rsidRPr="00AF3608" w:rsidRDefault="00BB2CC0" w:rsidP="0014588A">
      <w:pPr>
        <w:suppressAutoHyphens/>
        <w:spacing w:before="120"/>
        <w:jc w:val="center"/>
        <w:rPr>
          <w:rFonts w:ascii="Calibri" w:hAnsi="Calibri" w:cs="Calibri"/>
          <w:bCs/>
          <w:color w:val="000000"/>
          <w:lang w:val="ro-RO" w:eastAsia="zh-CN"/>
        </w:rPr>
      </w:pPr>
      <w:r w:rsidRPr="00AF3608">
        <w:rPr>
          <w:noProof/>
        </w:rPr>
        <w:drawing>
          <wp:inline distT="0" distB="0" distL="0" distR="0" wp14:anchorId="1A5D84CB" wp14:editId="10BC2356">
            <wp:extent cx="4572000" cy="2924175"/>
            <wp:effectExtent l="0" t="0" r="0" b="95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B2CC0" w:rsidRPr="00AF3608" w:rsidRDefault="00BB2CC0" w:rsidP="0014588A">
      <w:pPr>
        <w:suppressAutoHyphens/>
        <w:spacing w:before="120"/>
        <w:jc w:val="center"/>
        <w:rPr>
          <w:rFonts w:ascii="Calibri" w:hAnsi="Calibri" w:cs="Calibri"/>
          <w:bCs/>
          <w:color w:val="000000"/>
          <w:lang w:val="ro-RO" w:eastAsia="zh-CN"/>
        </w:rPr>
      </w:pPr>
      <w:r w:rsidRPr="00AF3608">
        <w:rPr>
          <w:noProof/>
        </w:rPr>
        <w:drawing>
          <wp:inline distT="0" distB="0" distL="0" distR="0" wp14:anchorId="1CA44794" wp14:editId="655AA81E">
            <wp:extent cx="4448175" cy="3019425"/>
            <wp:effectExtent l="0" t="0" r="9525" b="952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245CE" w:rsidRPr="00AF3608" w:rsidRDefault="000245CE" w:rsidP="000245CE">
      <w:pPr>
        <w:shd w:val="clear" w:color="auto" w:fill="4B91D1"/>
        <w:suppressAutoHyphens/>
        <w:spacing w:before="120"/>
        <w:jc w:val="both"/>
        <w:rPr>
          <w:rFonts w:ascii="Calibri" w:hAnsi="Calibri" w:cs="Calibri"/>
          <w:bCs/>
          <w:color w:val="000000"/>
          <w:lang w:val="ro-RO" w:eastAsia="zh-CN"/>
        </w:rPr>
      </w:pPr>
      <w:r w:rsidRPr="00AF3608">
        <w:rPr>
          <w:rFonts w:ascii="Calibri" w:hAnsi="Calibri" w:cs="Calibri"/>
          <w:b/>
          <w:color w:val="002060"/>
          <w:lang w:val="ro-RO" w:eastAsia="zh-CN"/>
        </w:rPr>
        <w:lastRenderedPageBreak/>
        <w:t>4.4 Politica de administrare fiscală</w:t>
      </w:r>
    </w:p>
    <w:p w:rsidR="000245CE" w:rsidRPr="00AF3608" w:rsidRDefault="000245CE" w:rsidP="000245CE">
      <w:pPr>
        <w:suppressAutoHyphens/>
        <w:spacing w:before="120"/>
        <w:jc w:val="both"/>
        <w:rPr>
          <w:rFonts w:ascii="Calibri" w:hAnsi="Calibri" w:cs="Calibri"/>
          <w:bCs/>
          <w:color w:val="000000"/>
          <w:lang w:val="ro-RO" w:eastAsia="zh-CN"/>
        </w:rPr>
      </w:pPr>
    </w:p>
    <w:p w:rsidR="00CE04E1" w:rsidRPr="00AF3608" w:rsidRDefault="00CE04E1" w:rsidP="00B723C0">
      <w:pPr>
        <w:shd w:val="clear" w:color="auto" w:fill="E5F2FF"/>
        <w:suppressAutoHyphens/>
        <w:spacing w:before="120"/>
        <w:rPr>
          <w:rFonts w:ascii="Calibri" w:hAnsi="Calibri" w:cs="Calibri"/>
          <w:b/>
          <w:color w:val="000000"/>
          <w:lang w:val="ro-RO" w:eastAsia="zh-CN"/>
          <w14:shadow w14:blurRad="50800" w14:dist="38100" w14:dir="2700000" w14:sx="100000" w14:sy="100000" w14:kx="0" w14:ky="0" w14:algn="tl">
            <w14:srgbClr w14:val="000000">
              <w14:alpha w14:val="60000"/>
            </w14:srgbClr>
          </w14:shadow>
        </w:rPr>
      </w:pPr>
      <w:r w:rsidRPr="00AF3608">
        <w:rPr>
          <w:rFonts w:ascii="Calibri" w:hAnsi="Calibri" w:cs="Calibri"/>
          <w:b/>
          <w:color w:val="000000"/>
          <w:lang w:val="ro-RO" w:eastAsia="zh-CN"/>
        </w:rPr>
        <w:t xml:space="preserve">I. </w:t>
      </w:r>
      <w:r w:rsidRPr="00AF3608">
        <w:rPr>
          <w:rFonts w:ascii="Calibri" w:hAnsi="Calibri" w:cs="Calibri"/>
          <w:b/>
          <w:color w:val="000000"/>
          <w:shd w:val="clear" w:color="auto" w:fill="DEEAF6" w:themeFill="accent1" w:themeFillTint="33"/>
          <w:lang w:val="ro-RO" w:eastAsia="zh-CN"/>
        </w:rPr>
        <w:t xml:space="preserve">Realizările ANAF în </w:t>
      </w:r>
      <w:r w:rsidR="00016063" w:rsidRPr="00AF3608">
        <w:rPr>
          <w:rFonts w:ascii="Calibri" w:hAnsi="Calibri" w:cs="Calibri"/>
          <w:b/>
          <w:color w:val="000000"/>
          <w:shd w:val="clear" w:color="auto" w:fill="DEEAF6" w:themeFill="accent1" w:themeFillTint="33"/>
          <w:lang w:val="ro-RO" w:eastAsia="zh-CN"/>
        </w:rPr>
        <w:t>anul 2020</w:t>
      </w:r>
    </w:p>
    <w:p w:rsidR="00016063" w:rsidRPr="00AF3608" w:rsidRDefault="00016063" w:rsidP="00B723C0">
      <w:pPr>
        <w:suppressAutoHyphens/>
        <w:spacing w:before="120"/>
        <w:jc w:val="both"/>
        <w:rPr>
          <w:rFonts w:ascii="Calibri" w:eastAsia="Calibri" w:hAnsi="Calibri" w:cs="Calibri"/>
          <w:color w:val="000000"/>
          <w:lang w:val="ro-RO"/>
        </w:rPr>
      </w:pPr>
      <w:r w:rsidRPr="00AF3608">
        <w:rPr>
          <w:rFonts w:ascii="Calibri" w:eastAsia="Calibri" w:hAnsi="Calibri" w:cs="Calibri"/>
          <w:color w:val="000000"/>
          <w:lang w:val="ro-RO"/>
        </w:rPr>
        <w:t xml:space="preserve">În anul 2020 Agenția Națională de Administrare Fiscală a colectat suma de </w:t>
      </w:r>
      <w:r w:rsidRPr="00AF3608">
        <w:rPr>
          <w:rFonts w:ascii="Calibri" w:eastAsia="Calibri" w:hAnsi="Calibri" w:cs="Calibri"/>
          <w:b/>
          <w:color w:val="000000"/>
          <w:lang w:val="ro-RO"/>
        </w:rPr>
        <w:t xml:space="preserve">263,6 mld. </w:t>
      </w:r>
      <w:r w:rsidRPr="00AF3608">
        <w:rPr>
          <w:rFonts w:ascii="Calibri" w:eastAsia="Calibri" w:hAnsi="Calibri" w:cs="Calibri"/>
          <w:color w:val="000000"/>
          <w:lang w:val="ro-RO"/>
        </w:rPr>
        <w:t xml:space="preserve">lei fiind înregistrat un grad de realizare a programului de încasări venituri bugetare de 97,2%. </w:t>
      </w:r>
    </w:p>
    <w:p w:rsidR="00016063" w:rsidRPr="00AF3608" w:rsidRDefault="00016063" w:rsidP="00B723C0">
      <w:pPr>
        <w:suppressAutoHyphens/>
        <w:spacing w:before="120"/>
        <w:jc w:val="both"/>
        <w:rPr>
          <w:rFonts w:ascii="Calibri" w:eastAsia="Calibri" w:hAnsi="Calibri" w:cs="Calibri"/>
          <w:color w:val="000000"/>
          <w:lang w:val="ro-RO"/>
        </w:rPr>
      </w:pPr>
      <w:r w:rsidRPr="00AF3608">
        <w:rPr>
          <w:rFonts w:ascii="Calibri" w:eastAsia="Calibri" w:hAnsi="Calibri" w:cs="Calibri"/>
          <w:color w:val="000000"/>
          <w:lang w:val="ro-RO"/>
        </w:rPr>
        <w:t>Comparativ cu anul 2019, a fost înregistrată o scădere nominală de 3%</w:t>
      </w:r>
      <w:r w:rsidR="0087224D" w:rsidRPr="00AF3608">
        <w:rPr>
          <w:rFonts w:ascii="Calibri" w:eastAsia="Calibri" w:hAnsi="Calibri" w:cs="Calibri"/>
          <w:color w:val="000000"/>
          <w:lang w:val="ro-RO"/>
        </w:rPr>
        <w:t>,</w:t>
      </w:r>
      <w:r w:rsidRPr="00AF3608">
        <w:rPr>
          <w:rFonts w:ascii="Calibri" w:eastAsia="Calibri" w:hAnsi="Calibri" w:cs="Calibri"/>
          <w:color w:val="000000"/>
          <w:lang w:val="ro-RO"/>
        </w:rPr>
        <w:t xml:space="preserve"> după un avans însemnat în primele două luni ale anului 2020 (cu o creștere nominală de 10% a veniturilor colectate și un grad de conformare la plată mai mare cu 1,7 p.p. față de aceeași perioadă a  anului 2019).</w:t>
      </w:r>
    </w:p>
    <w:p w:rsidR="00016063" w:rsidRPr="00AF3608" w:rsidRDefault="00016063" w:rsidP="00B723C0">
      <w:pPr>
        <w:suppressAutoHyphens/>
        <w:spacing w:before="120"/>
        <w:jc w:val="both"/>
        <w:rPr>
          <w:rFonts w:ascii="Calibri" w:eastAsia="Calibri" w:hAnsi="Calibri" w:cs="Calibri"/>
          <w:color w:val="000000"/>
          <w:lang w:val="ro-RO"/>
        </w:rPr>
      </w:pPr>
      <w:r w:rsidRPr="00AF3608">
        <w:rPr>
          <w:rFonts w:ascii="Calibri" w:eastAsia="Calibri" w:hAnsi="Calibri" w:cs="Calibri"/>
          <w:color w:val="000000"/>
          <w:lang w:val="ro-RO"/>
        </w:rPr>
        <w:t>Volumul obligațiilor fiscale declarate a fost în sumă de 287,6 mld. lei, cu 3,2% mai mult decât în anul 2019.</w:t>
      </w:r>
    </w:p>
    <w:p w:rsidR="00016063" w:rsidRPr="00AF3608" w:rsidRDefault="00016063" w:rsidP="00B723C0">
      <w:pPr>
        <w:suppressAutoHyphens/>
        <w:spacing w:before="120"/>
        <w:jc w:val="both"/>
        <w:rPr>
          <w:rFonts w:ascii="Calibri" w:eastAsia="Calibri" w:hAnsi="Calibri" w:cs="Calibri"/>
          <w:color w:val="000000"/>
          <w:lang w:val="ro-RO"/>
        </w:rPr>
      </w:pPr>
      <w:r w:rsidRPr="00AF3608">
        <w:rPr>
          <w:rFonts w:ascii="Calibri" w:eastAsia="Calibri" w:hAnsi="Calibri" w:cs="Calibri"/>
          <w:color w:val="000000"/>
          <w:lang w:val="ro-RO"/>
        </w:rPr>
        <w:t>Evoluția încasărilor bugetare a fost influențată, în principal, de amânarea plății obligațiilor fiscale curente de către agenții economici pe perioada stării de urgență și de restituirile suplimentare de TVA pentru susținerea lichidităților în sectorul privat (</w:t>
      </w:r>
      <w:r w:rsidR="00B71363" w:rsidRPr="00AF3608">
        <w:rPr>
          <w:rFonts w:ascii="Calibri" w:eastAsia="Calibri" w:hAnsi="Calibri" w:cs="Calibri"/>
          <w:b/>
          <w:color w:val="000000"/>
          <w:lang w:val="ro-RO"/>
        </w:rPr>
        <w:t>2,72</w:t>
      </w:r>
      <w:r w:rsidRPr="00AF3608">
        <w:rPr>
          <w:rFonts w:ascii="Calibri" w:eastAsia="Calibri" w:hAnsi="Calibri" w:cs="Calibri"/>
          <w:b/>
          <w:color w:val="000000"/>
          <w:lang w:val="ro-RO"/>
        </w:rPr>
        <w:t xml:space="preserve"> mld. lei</w:t>
      </w:r>
      <w:r w:rsidRPr="00AF3608">
        <w:rPr>
          <w:rFonts w:ascii="Calibri" w:eastAsia="Calibri" w:hAnsi="Calibri" w:cs="Calibri"/>
          <w:color w:val="000000"/>
          <w:lang w:val="ro-RO"/>
        </w:rPr>
        <w:t xml:space="preserve"> în plus față de anul 2019).</w:t>
      </w:r>
    </w:p>
    <w:p w:rsidR="00016063" w:rsidRPr="00AF3608" w:rsidRDefault="00016063" w:rsidP="00B723C0">
      <w:pPr>
        <w:spacing w:before="120"/>
        <w:jc w:val="both"/>
        <w:rPr>
          <w:rFonts w:ascii="Calibri" w:eastAsia="Calibri" w:hAnsi="Calibri" w:cs="Calibri"/>
          <w:color w:val="000000"/>
          <w:lang w:val="ro-RO"/>
        </w:rPr>
      </w:pPr>
      <w:r w:rsidRPr="00AF3608">
        <w:rPr>
          <w:rFonts w:ascii="Calibri" w:eastAsia="Calibri" w:hAnsi="Calibri" w:cs="Calibri"/>
          <w:color w:val="000000"/>
          <w:lang w:val="ro-RO"/>
        </w:rPr>
        <w:t xml:space="preserve">În primul semestru al anului 2020, ANAF și-a desfășurat activitatea conform obiectivelor </w:t>
      </w:r>
      <w:r w:rsidRPr="00AF3608">
        <w:rPr>
          <w:rFonts w:ascii="Calibri" w:eastAsia="Calibri" w:hAnsi="Calibri" w:cs="Calibri"/>
          <w:b/>
          <w:bCs/>
          <w:i/>
          <w:iCs/>
          <w:color w:val="000000"/>
          <w:lang w:val="ro-RO"/>
        </w:rPr>
        <w:t>Planului de măsuri pentru eficientizarea colectării veniturilor la Bugetul General Consolidat</w:t>
      </w:r>
      <w:r w:rsidRPr="00AF3608">
        <w:rPr>
          <w:rFonts w:ascii="Calibri" w:eastAsia="Calibri" w:hAnsi="Calibri" w:cs="Calibri"/>
          <w:color w:val="000000"/>
          <w:lang w:val="ro-RO"/>
        </w:rPr>
        <w:t>, publicat în luna iunie 2019.</w:t>
      </w:r>
    </w:p>
    <w:p w:rsidR="0087224D" w:rsidRPr="00AF3608" w:rsidRDefault="00016063" w:rsidP="00B723C0">
      <w:pPr>
        <w:shd w:val="clear" w:color="auto" w:fill="FFFFFF"/>
        <w:overflowPunct w:val="0"/>
        <w:snapToGrid w:val="0"/>
        <w:spacing w:before="120"/>
        <w:jc w:val="both"/>
        <w:rPr>
          <w:rFonts w:ascii="Calibri" w:eastAsia="Calibri" w:hAnsi="Calibri" w:cs="Calibri"/>
          <w:color w:val="000000"/>
          <w:lang w:val="ro-RO"/>
        </w:rPr>
      </w:pPr>
      <w:r w:rsidRPr="00AF3608">
        <w:rPr>
          <w:rFonts w:ascii="Calibri" w:eastAsia="Calibri" w:hAnsi="Calibri" w:cs="Calibri"/>
          <w:color w:val="000000"/>
          <w:lang w:val="ro-RO"/>
        </w:rPr>
        <w:t xml:space="preserve">Totodată, ca răspuns la situația deosebită creată de pandemia SARS-COV19, a fost elaborat </w:t>
      </w:r>
      <w:r w:rsidRPr="00AF3608">
        <w:rPr>
          <w:rFonts w:ascii="Calibri" w:eastAsia="Calibri" w:hAnsi="Calibri" w:cs="Calibri"/>
          <w:b/>
          <w:bCs/>
          <w:i/>
          <w:iCs/>
          <w:color w:val="000000"/>
          <w:lang w:val="ro-RO"/>
        </w:rPr>
        <w:t>Planul operational de recuperare a veniturilor</w:t>
      </w:r>
      <w:r w:rsidRPr="00AF3608">
        <w:rPr>
          <w:rFonts w:ascii="Calibri" w:eastAsia="Calibri" w:hAnsi="Calibri" w:cs="Calibri"/>
          <w:color w:val="000000"/>
          <w:lang w:val="ro-RO"/>
        </w:rPr>
        <w:t>, identificând măsurile necesare perioadei de recuperare și modul în care trebuie să își concentreze atenția și resursele existente pentru o colectare bugetară eficientă în condiții de protecție sanitară a personalului propriu și a contribuabililor.</w:t>
      </w:r>
    </w:p>
    <w:p w:rsidR="0087224D" w:rsidRPr="00AF3608" w:rsidRDefault="00016063" w:rsidP="00B723C0">
      <w:pPr>
        <w:shd w:val="clear" w:color="auto" w:fill="FFFFFF"/>
        <w:overflowPunct w:val="0"/>
        <w:snapToGrid w:val="0"/>
        <w:spacing w:before="120"/>
        <w:jc w:val="both"/>
        <w:rPr>
          <w:rFonts w:ascii="Calibri" w:eastAsia="Calibri" w:hAnsi="Calibri" w:cs="Calibri"/>
          <w:color w:val="000000"/>
          <w:lang w:val="ro-RO"/>
        </w:rPr>
      </w:pPr>
      <w:r w:rsidRPr="00AF3608">
        <w:rPr>
          <w:rFonts w:ascii="Calibri" w:eastAsia="Calibri" w:hAnsi="Calibri" w:cs="Calibri"/>
          <w:color w:val="000000"/>
          <w:lang w:val="ro-RO"/>
        </w:rPr>
        <w:t>În continuare sunt prezentate măsurile întreprinse de ANAF în anul 2020:</w:t>
      </w:r>
    </w:p>
    <w:p w:rsidR="0087224D" w:rsidRPr="00AF3608" w:rsidRDefault="00016063" w:rsidP="003A0B85">
      <w:pPr>
        <w:pStyle w:val="ListParagraph"/>
        <w:numPr>
          <w:ilvl w:val="0"/>
          <w:numId w:val="33"/>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t xml:space="preserve">ANAF a formulat propuneri de modificare a legislației și a participat alături de Ministerul Finanțelor Publice la </w:t>
      </w:r>
      <w:r w:rsidRPr="00AF3608">
        <w:rPr>
          <w:rFonts w:ascii="Calibri" w:hAnsi="Calibri" w:cs="Calibri"/>
          <w:b/>
          <w:color w:val="000000"/>
        </w:rPr>
        <w:t>elaborarea</w:t>
      </w:r>
      <w:r w:rsidRPr="00AF3608">
        <w:rPr>
          <w:rFonts w:ascii="Calibri" w:hAnsi="Calibri" w:cs="Calibri"/>
          <w:color w:val="000000"/>
        </w:rPr>
        <w:t xml:space="preserve"> </w:t>
      </w:r>
      <w:r w:rsidRPr="00AF3608">
        <w:rPr>
          <w:rFonts w:ascii="Calibri" w:hAnsi="Calibri" w:cs="Calibri"/>
          <w:b/>
          <w:color w:val="000000"/>
        </w:rPr>
        <w:t xml:space="preserve">actelor normative care au reglementat măsuri fiscale în domeniul colectării creanțelor bugetare </w:t>
      </w:r>
      <w:r w:rsidRPr="00AF3608">
        <w:rPr>
          <w:rFonts w:ascii="Calibri" w:hAnsi="Calibri" w:cs="Calibri"/>
          <w:color w:val="000000"/>
        </w:rPr>
        <w:t>(Ordonanțele de urgență ale Guvernului nr. 29/2020, nr. 33/2020, nr. 48/2020, nr. 69/2020, nr. 90/2020, nr. 99/2020, respectiv Legea 114/2020). Măsurile adoptate au avut în vedere asigurarea lichidităților necesare continuării afacerilor și susținerii locurilor de muncă.</w:t>
      </w:r>
    </w:p>
    <w:p w:rsidR="0087224D" w:rsidRPr="00AF3608" w:rsidRDefault="00016063" w:rsidP="003A0B85">
      <w:pPr>
        <w:pStyle w:val="ListParagraph"/>
        <w:numPr>
          <w:ilvl w:val="0"/>
          <w:numId w:val="33"/>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t xml:space="preserve">În vederea </w:t>
      </w:r>
      <w:r w:rsidRPr="00AF3608">
        <w:rPr>
          <w:rFonts w:ascii="Calibri" w:hAnsi="Calibri" w:cs="Calibri"/>
          <w:b/>
          <w:color w:val="000000"/>
        </w:rPr>
        <w:t>sprijinirii conformării la plată a obligațiilor fiscale</w:t>
      </w:r>
      <w:r w:rsidRPr="00AF3608">
        <w:rPr>
          <w:rFonts w:ascii="Calibri" w:hAnsi="Calibri" w:cs="Calibri"/>
          <w:color w:val="000000"/>
        </w:rPr>
        <w:t>, în perioada crizei sanitare au fost aplicate următoarele facilități fiscale:</w:t>
      </w:r>
    </w:p>
    <w:p w:rsidR="0087224D" w:rsidRPr="00AF3608" w:rsidRDefault="00016063" w:rsidP="003A0B85">
      <w:pPr>
        <w:pStyle w:val="ListParagraph"/>
        <w:numPr>
          <w:ilvl w:val="1"/>
          <w:numId w:val="33"/>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t>nu s-au calculat dobânzi și penalități de întârziere pentru obligațiile fiscale scadente începând cu data intrării în vigoare a ordonanței de urgență (art. VII din OUG nr. 29/2020, cu modificările ulterioare);</w:t>
      </w:r>
    </w:p>
    <w:p w:rsidR="0087224D" w:rsidRPr="00AF3608" w:rsidRDefault="00016063" w:rsidP="003A0B85">
      <w:pPr>
        <w:pStyle w:val="ListParagraph"/>
        <w:numPr>
          <w:ilvl w:val="1"/>
          <w:numId w:val="33"/>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t>nu s-au calculat și nu se datorează dobânzi și penalități, conform Codului de procedură fiscală, pentru plata cu întârziere a ratelor din graficele de eșalonare neachitate până la împlinirea termenului de încetare a măsurii fiscale (art. XII si XIII din OUG nr. 48/2020, cu modificările ulterioare);</w:t>
      </w:r>
    </w:p>
    <w:p w:rsidR="0087224D" w:rsidRPr="00AF3608" w:rsidRDefault="00016063" w:rsidP="003A0B85">
      <w:pPr>
        <w:pStyle w:val="ListParagraph"/>
        <w:numPr>
          <w:ilvl w:val="1"/>
          <w:numId w:val="33"/>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t>s-au suspendat condițiile de menținere a valabilității eșalonărilor la plată acordate potrivit legii (art. XII si XIII din OUG nr. 48/2020, cu modificările ulterioare);</w:t>
      </w:r>
    </w:p>
    <w:p w:rsidR="0087224D" w:rsidRPr="00AF3608" w:rsidRDefault="00016063" w:rsidP="003A0B85">
      <w:pPr>
        <w:pStyle w:val="ListParagraph"/>
        <w:numPr>
          <w:ilvl w:val="1"/>
          <w:numId w:val="33"/>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t>s-au suspendat sau nu au început măsurile de executare silită a creanțelor bugetare cu excepția executărilor silite care se aplică pentru recuperarea creanțelor bugetare stabilite prin hotărâri judecătorești definitive pronunțate în materie penală, provenite din săvârșirea de infracțiuni (art. XII si XIII din OUG nr. 48/2020, cu modificările ulterioare);</w:t>
      </w:r>
    </w:p>
    <w:p w:rsidR="0087224D" w:rsidRPr="00AF3608" w:rsidRDefault="00016063" w:rsidP="003A0B85">
      <w:pPr>
        <w:pStyle w:val="ListParagraph"/>
        <w:numPr>
          <w:ilvl w:val="1"/>
          <w:numId w:val="33"/>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lastRenderedPageBreak/>
        <w:t>s-au suspendat sau nu a început curgerea termenelor de prescripție a dreptului organului fiscal de a stabili creanțe fiscale și de a cere executarea silită, precum și cel al contribuabilului/plătitorului de a cere restituirea creanțelor fiscale, prevăzute de Codul de procedură fiscală (art. XII si XIII din OUG nr. 48/2020, cu modificările ulterioare);</w:t>
      </w:r>
    </w:p>
    <w:p w:rsidR="0087224D" w:rsidRPr="00AF3608" w:rsidRDefault="00016063" w:rsidP="003A0B85">
      <w:pPr>
        <w:pStyle w:val="ListParagraph"/>
        <w:numPr>
          <w:ilvl w:val="1"/>
          <w:numId w:val="33"/>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t>s-au acordat bonificații contribuabililor - persoane fizice,  pentru plata impozitului pe venit, a contribuției de asigurări sociale și a contribuției de asigurări sociale de sănătate, reprezentând obligații fiscale anuale pentru anul 2019, precum și s-a decalat depunerea Declarației unice privind impozitul pe venit și contribuțiile sociale datorate de persoanele fizice, aceasta putând fi depusă și prin mijloace electronice de transmitere la distanț</w:t>
      </w:r>
      <w:r w:rsidR="0087224D" w:rsidRPr="00AF3608">
        <w:rPr>
          <w:rFonts w:ascii="Calibri" w:hAnsi="Calibri" w:cs="Calibri"/>
          <w:color w:val="000000"/>
        </w:rPr>
        <w:t>ă (art. II din OUG nr. 69/2020);</w:t>
      </w:r>
    </w:p>
    <w:p w:rsidR="0087224D" w:rsidRPr="00AF3608" w:rsidRDefault="00016063" w:rsidP="003A0B85">
      <w:pPr>
        <w:pStyle w:val="ListParagraph"/>
        <w:numPr>
          <w:ilvl w:val="1"/>
          <w:numId w:val="33"/>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t>s-au anulat obligațiile de plată accesorii în condițiile prevăzute de Cap.II din OUG nr. 69/2020; termenul de accesare a facilității fiscale a fost data de 15.12.2020, inclusiv - termen ulterior prorogat prin OUG nr. 226/2020, pentru data de 31.03.2021, inclusiv;</w:t>
      </w:r>
    </w:p>
    <w:p w:rsidR="0087224D" w:rsidRPr="00AF3608" w:rsidRDefault="00016063" w:rsidP="003A0B85">
      <w:pPr>
        <w:pStyle w:val="ListParagraph"/>
        <w:numPr>
          <w:ilvl w:val="1"/>
          <w:numId w:val="33"/>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t>s-au acordat bonificații contribuabililor plătitori de impozit pe profit/venituri microintreprinderi, indiferent de sistemul de declarare și plată prevăzut de art. 41 din Legea nr. 227/2015 privind Codul fiscal, cu modificările și completările ulterioare, care au plătit în termen impozitul datorat (art. 1 din OUG nr. 33/20</w:t>
      </w:r>
      <w:r w:rsidR="0087224D" w:rsidRPr="00AF3608">
        <w:rPr>
          <w:rFonts w:ascii="Calibri" w:hAnsi="Calibri" w:cs="Calibri"/>
          <w:color w:val="000000"/>
        </w:rPr>
        <w:t>20, cu modificările ulterioare);</w:t>
      </w:r>
    </w:p>
    <w:p w:rsidR="0087224D" w:rsidRPr="00AF3608" w:rsidRDefault="00016063" w:rsidP="003A0B85">
      <w:pPr>
        <w:pStyle w:val="ListParagraph"/>
        <w:numPr>
          <w:ilvl w:val="1"/>
          <w:numId w:val="33"/>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t xml:space="preserve">s-au acordat eșalonări la plată în forma simplificată (maxim 12 luni) pentru obligațiile fiscale principale și accesorii a căror scadență/termen de plată s-a împlinit după data declarării stării de urgență și au rămas nestinse până la data eliberării certificatului de atestare fiscală (Cap.I din O.U.G. nr. 181/2020).Termenul de accesare a acestei facilități fiscale a fost data de 15.12.2020, inclusiv - termen ulterior prorogat prin O.U.G. nr. 226/2020, pentru data de 31.03.2021, inclusiv. </w:t>
      </w:r>
    </w:p>
    <w:p w:rsidR="0087224D" w:rsidRPr="00AF3608" w:rsidRDefault="00016063" w:rsidP="003A0B85">
      <w:pPr>
        <w:pStyle w:val="ListParagraph"/>
        <w:numPr>
          <w:ilvl w:val="0"/>
          <w:numId w:val="34"/>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t xml:space="preserve">În vederea </w:t>
      </w:r>
      <w:r w:rsidRPr="00AF3608">
        <w:rPr>
          <w:rFonts w:ascii="Calibri" w:hAnsi="Calibri" w:cs="Calibri"/>
          <w:b/>
          <w:color w:val="000000"/>
        </w:rPr>
        <w:t>creșterii conformării fiscale, a prevenirii și combaterii evaziunii fiscale</w:t>
      </w:r>
      <w:r w:rsidRPr="00AF3608">
        <w:rPr>
          <w:rFonts w:ascii="Calibri" w:hAnsi="Calibri" w:cs="Calibri"/>
          <w:color w:val="000000"/>
        </w:rPr>
        <w:t>, ANAF a reglementat și implementat următoarele măsuri:</w:t>
      </w:r>
    </w:p>
    <w:p w:rsidR="0087224D" w:rsidRPr="00AF3608" w:rsidRDefault="00016063" w:rsidP="003A0B85">
      <w:pPr>
        <w:pStyle w:val="ListParagraph"/>
        <w:numPr>
          <w:ilvl w:val="1"/>
          <w:numId w:val="34"/>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t>modificarea declarației unice pentru persoanele fizice. Noul formular a fost aprobat prin OPANAF nr. 1.107/2020;</w:t>
      </w:r>
    </w:p>
    <w:p w:rsidR="0087224D" w:rsidRPr="00AF3608" w:rsidRDefault="00016063" w:rsidP="003A0B85">
      <w:pPr>
        <w:pStyle w:val="ListParagraph"/>
        <w:numPr>
          <w:ilvl w:val="1"/>
          <w:numId w:val="34"/>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t>identificarea la nivel național a persoanelor afiliate, inventarierea tranzacțiilor susceptibile a fi verificate în domeniul prețurilor de transfer și notificarea acestor contribuabili in scopul corectării/ rectificării declarațiilor fiscale, sens în care a fost modificată declarația 394 “Declaraţie informativă privind livrările/prestările şi achiziţiile efectuate pe teritoriul naţional”, potrivit ordinului OPANAF 3281/2020;</w:t>
      </w:r>
    </w:p>
    <w:p w:rsidR="0087224D" w:rsidRPr="00AF3608" w:rsidRDefault="00016063" w:rsidP="003A0B85">
      <w:pPr>
        <w:pStyle w:val="ListParagraph"/>
        <w:numPr>
          <w:ilvl w:val="1"/>
          <w:numId w:val="34"/>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t>stabilirea competențelor organelor fiscale pentru efectuarea verificării documentare de către structurile cu atribuții de inspecție fiscalã, de structurile cu atribuții de control antifraudã și de structurile cu atribuții de verificare a situației fiscale personale, prin OPANAF nr. 3632/05.10.2020. Prin implementarea verificãrii documentare la nivelul structurilor cu atribuții de control antifraudã, acestea vor avea și competența sã emitã titluri de creanțã, sub rezerva verificãrii ulterioare. Aceasta reprezintă o etapă premergătoare desk-audit-ului;</w:t>
      </w:r>
    </w:p>
    <w:p w:rsidR="0087224D" w:rsidRPr="00AF3608" w:rsidRDefault="00016063" w:rsidP="003A0B85">
      <w:pPr>
        <w:pStyle w:val="ListParagraph"/>
        <w:numPr>
          <w:ilvl w:val="1"/>
          <w:numId w:val="34"/>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t>aprobarea modelului şi conţinutului formularelor şi a documentelor utilizate în activitatea de verificare documentară, potrivit OPANAF nr 3666/07.10.2020;</w:t>
      </w:r>
    </w:p>
    <w:p w:rsidR="0087224D" w:rsidRPr="00AF3608" w:rsidRDefault="00016063" w:rsidP="003A0B85">
      <w:pPr>
        <w:pStyle w:val="ListParagraph"/>
        <w:numPr>
          <w:ilvl w:val="1"/>
          <w:numId w:val="34"/>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t xml:space="preserve">în vederea asigurării transparentizării activității de inspecție fiscală, a responsabilizării funcționarilor publici implicați în activitatea de inspecție fiscală </w:t>
      </w:r>
      <w:r w:rsidRPr="00AF3608">
        <w:rPr>
          <w:rFonts w:ascii="Calibri" w:hAnsi="Calibri" w:cs="Calibri"/>
          <w:color w:val="000000"/>
        </w:rPr>
        <w:lastRenderedPageBreak/>
        <w:t>precum și pentru creșterea conformării voluntare a contribuabililor, a fost aprobat Ordinul Președintelui ANAF pentru aprobarea procedurii de întocmire, avizare și aprobare a raportului de inspecție fiscală. Procedura de lucru a organelor  de inspectie fiscală cu privire la întocmirea, avizarea și aprobarea Raportului de inspecție fiscală a fost transparentizată prin OPANAF nr. 4077/2020. Prin aceasta sunt reglementate și situațiile în care apar divergențe între organele fiscale în stabilirea corectă a stării de fapt fiscale la un contribuabil verificat, precum și modalitatea de soluționare a acestora, prin consensul opiniilor între reprezentanții echipei de inspecție fiscală, șeful de serviciu și conducătorul activității de inspecție fiscală;</w:t>
      </w:r>
    </w:p>
    <w:p w:rsidR="0087224D" w:rsidRPr="00AF3608" w:rsidRDefault="00016063" w:rsidP="003A0B85">
      <w:pPr>
        <w:pStyle w:val="ListParagraph"/>
        <w:numPr>
          <w:ilvl w:val="1"/>
          <w:numId w:val="34"/>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t>extinderea implementării procedurilor vamale simplificate în vederea alinierii la media europeană de utiliz</w:t>
      </w:r>
      <w:r w:rsidR="0087224D" w:rsidRPr="00AF3608">
        <w:rPr>
          <w:rFonts w:ascii="Calibri" w:hAnsi="Calibri" w:cs="Calibri"/>
          <w:color w:val="000000"/>
        </w:rPr>
        <w:t xml:space="preserve">are într-un procent de 65%; </w:t>
      </w:r>
    </w:p>
    <w:p w:rsidR="0087224D" w:rsidRPr="00AF3608" w:rsidRDefault="00016063" w:rsidP="003A0B85">
      <w:pPr>
        <w:pStyle w:val="ListParagraph"/>
        <w:numPr>
          <w:ilvl w:val="1"/>
          <w:numId w:val="34"/>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t>în vederea stabilirii principalelor activități pentru prevenirea și combaterea evaziunii, la nivelul ANAF, a fost realizată o nouă estimare cu privire la decalajul fiscal la TVA, utilizând o metodologie de calcul alternativă, de tip TOP-DOWN, cu dezagregare pe sectoarele economice de activitate.</w:t>
      </w:r>
    </w:p>
    <w:p w:rsidR="0087224D" w:rsidRPr="00AF3608" w:rsidRDefault="00016063" w:rsidP="003A0B85">
      <w:pPr>
        <w:pStyle w:val="ListParagraph"/>
        <w:numPr>
          <w:ilvl w:val="0"/>
          <w:numId w:val="34"/>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t xml:space="preserve">Referitor la măsurile luate în ceea ce privește </w:t>
      </w:r>
      <w:r w:rsidRPr="00AF3608">
        <w:rPr>
          <w:rFonts w:ascii="Calibri" w:hAnsi="Calibri" w:cs="Calibri"/>
          <w:b/>
          <w:bCs/>
          <w:color w:val="000000"/>
        </w:rPr>
        <w:t>prevenirea și combaterea evaziunii fiscale</w:t>
      </w:r>
      <w:r w:rsidRPr="00AF3608">
        <w:rPr>
          <w:rFonts w:ascii="Calibri" w:hAnsi="Calibri" w:cs="Calibri"/>
          <w:color w:val="000000"/>
        </w:rPr>
        <w:t>, în perioada stărilor de urgenţă și de alertă, ANAF, prin structura de antifraudă fiscală și prin structura vamală, a dus la îndeplinire sarcinile care au decurs din aplicarea ordonanţelor militare îndeosebi în ceea ce priveşte transportul dispozitivelor medicale şi materialelor sanitare care asigură prevenţia şi tratarea afecţiunilor asociate COVID-19, precum şi al medicamentelor destinate a fi livrate în afara teritoriului naţional. ANAF a acordat o importanţă deosebită atât cazurilor de actualitate, îndeosebi a celor manifestate în timpul stării de urgenţă cât şi finalizării cazurilor a căror instrumentare a</w:t>
      </w:r>
      <w:r w:rsidR="00785238" w:rsidRPr="00AF3608">
        <w:rPr>
          <w:rFonts w:ascii="Calibri" w:hAnsi="Calibri" w:cs="Calibri"/>
          <w:color w:val="000000"/>
        </w:rPr>
        <w:t xml:space="preserve"> început în perioada anterioară.</w:t>
      </w:r>
    </w:p>
    <w:p w:rsidR="00785238" w:rsidRPr="00AF3608" w:rsidRDefault="00785238" w:rsidP="00B723C0">
      <w:pPr>
        <w:shd w:val="clear" w:color="auto" w:fill="FFFFFF"/>
        <w:overflowPunct w:val="0"/>
        <w:snapToGrid w:val="0"/>
        <w:spacing w:before="120"/>
        <w:ind w:left="360"/>
        <w:jc w:val="both"/>
        <w:rPr>
          <w:rFonts w:ascii="Calibri" w:hAnsi="Calibri" w:cs="Calibri"/>
          <w:color w:val="000000"/>
          <w:lang w:val="ro-RO"/>
        </w:rPr>
      </w:pPr>
    </w:p>
    <w:p w:rsidR="00785238" w:rsidRPr="00AF3608" w:rsidRDefault="00016063" w:rsidP="00B723C0">
      <w:pPr>
        <w:shd w:val="clear" w:color="auto" w:fill="D9D9D9" w:themeFill="background1" w:themeFillShade="D9"/>
        <w:suppressAutoHyphens/>
        <w:ind w:firstLine="720"/>
        <w:jc w:val="both"/>
        <w:rPr>
          <w:rFonts w:ascii="Calibri" w:eastAsia="Calibri" w:hAnsi="Calibri" w:cs="Calibri"/>
          <w:b/>
          <w:bCs/>
          <w:i/>
          <w:color w:val="000000"/>
          <w:lang w:val="ro-RO"/>
        </w:rPr>
      </w:pPr>
      <w:r w:rsidRPr="00AF3608">
        <w:rPr>
          <w:rFonts w:ascii="Calibri" w:eastAsia="Calibri" w:hAnsi="Calibri" w:cs="Calibri"/>
          <w:b/>
          <w:bCs/>
          <w:i/>
          <w:color w:val="000000"/>
          <w:lang w:val="ro-RO"/>
        </w:rPr>
        <w:t>Activitatea de inspecție fiscală</w:t>
      </w:r>
    </w:p>
    <w:p w:rsidR="00785238" w:rsidRPr="00AF3608" w:rsidRDefault="00785238" w:rsidP="00B723C0">
      <w:pPr>
        <w:suppressAutoHyphens/>
        <w:spacing w:after="60"/>
        <w:jc w:val="both"/>
        <w:rPr>
          <w:rFonts w:ascii="Calibri" w:eastAsia="Calibri" w:hAnsi="Calibri" w:cs="Calibri"/>
          <w:color w:val="000000"/>
          <w:lang w:val="ro-RO"/>
        </w:rPr>
      </w:pPr>
      <w:r w:rsidRPr="00AF3608">
        <w:rPr>
          <w:rFonts w:ascii="Calibri" w:eastAsia="Calibri" w:hAnsi="Calibri" w:cs="Calibri"/>
          <w:color w:val="000000"/>
          <w:lang w:val="ro-RO"/>
        </w:rPr>
        <w:t>În domeniul inspectiei fiscale, din perspectiva controalelor efectuate la contribuabili persoane juridice și fizice, au fost stabilite obligații în valoare de aprox. 4,2 mld. lei în urma desfășurării unui număr de  24.792 inspecții fiscale și 10.702 controale.</w:t>
      </w:r>
    </w:p>
    <w:p w:rsidR="00785238" w:rsidRPr="00AF3608" w:rsidRDefault="00016063" w:rsidP="00B723C0">
      <w:pPr>
        <w:suppressAutoHyphens/>
        <w:spacing w:after="60"/>
        <w:jc w:val="both"/>
        <w:rPr>
          <w:rFonts w:ascii="Calibri" w:eastAsia="Calibri" w:hAnsi="Calibri" w:cs="Calibri"/>
          <w:color w:val="000000"/>
          <w:lang w:val="ro-RO"/>
        </w:rPr>
      </w:pPr>
      <w:r w:rsidRPr="00AF3608">
        <w:rPr>
          <w:rFonts w:ascii="Calibri" w:eastAsia="Calibri" w:hAnsi="Calibri" w:cs="Calibri"/>
          <w:color w:val="000000"/>
          <w:lang w:val="ro-RO"/>
        </w:rPr>
        <w:t xml:space="preserve">În ceea ce priveşte inspecţiile fiscale desfăşurate la contribuabilii care au derulat tranzacţii cu persoanele afiliate în cadrul cărora au fost verificate şi preţurile de transfer practicate, mentionam faptul că, totalul tranzacțiilor verificate a fost în cuantum de 32,7 mld. lei, pentru care a rezultat o diferență a bazei de impozitare în sumă de 1,99 mld. lei. </w:t>
      </w:r>
    </w:p>
    <w:p w:rsidR="00016063" w:rsidRPr="00AF3608" w:rsidRDefault="00016063" w:rsidP="00B723C0">
      <w:pPr>
        <w:suppressAutoHyphens/>
        <w:spacing w:after="60"/>
        <w:jc w:val="both"/>
        <w:rPr>
          <w:rFonts w:ascii="Calibri" w:eastAsia="Calibri" w:hAnsi="Calibri" w:cs="Calibri"/>
          <w:color w:val="000000"/>
          <w:lang w:val="ro-RO"/>
        </w:rPr>
      </w:pPr>
      <w:r w:rsidRPr="00AF3608">
        <w:rPr>
          <w:rFonts w:ascii="Calibri" w:eastAsia="Calibri" w:hAnsi="Calibri" w:cs="Calibri"/>
          <w:color w:val="000000"/>
          <w:lang w:val="ro-RO"/>
        </w:rPr>
        <w:t>Astfel, diferența suplimentară de bază de impozitare a determinat impozit pe profit stabilit suplimentar de plata în sumă de 158,2 mil. lei și diminuarea pierderii fiscale cu 981,1 mil. lei.</w:t>
      </w:r>
    </w:p>
    <w:p w:rsidR="00785238" w:rsidRPr="00AF3608" w:rsidRDefault="00785238" w:rsidP="00B723C0">
      <w:pPr>
        <w:suppressAutoHyphens/>
        <w:spacing w:after="60"/>
        <w:jc w:val="both"/>
        <w:rPr>
          <w:rFonts w:ascii="Calibri" w:eastAsia="Calibri" w:hAnsi="Calibri" w:cs="Calibri"/>
          <w:color w:val="000000"/>
          <w:lang w:val="ro-RO"/>
        </w:rPr>
      </w:pPr>
    </w:p>
    <w:p w:rsidR="00016063" w:rsidRPr="00AF3608" w:rsidRDefault="00016063" w:rsidP="00B723C0">
      <w:pPr>
        <w:shd w:val="clear" w:color="auto" w:fill="D9D9D9" w:themeFill="background1" w:themeFillShade="D9"/>
        <w:suppressAutoHyphens/>
        <w:ind w:firstLine="720"/>
        <w:jc w:val="both"/>
        <w:rPr>
          <w:rFonts w:ascii="Calibri" w:eastAsia="Calibri" w:hAnsi="Calibri" w:cs="Calibri"/>
          <w:b/>
          <w:bCs/>
          <w:i/>
          <w:color w:val="000000"/>
          <w:lang w:val="ro-RO"/>
        </w:rPr>
      </w:pPr>
      <w:r w:rsidRPr="00AF3608">
        <w:rPr>
          <w:rFonts w:ascii="Calibri" w:eastAsia="Calibri" w:hAnsi="Calibri" w:cs="Calibri"/>
          <w:b/>
          <w:bCs/>
          <w:i/>
          <w:color w:val="000000"/>
          <w:lang w:val="ro-RO"/>
        </w:rPr>
        <w:t>Activitatea de antifraudă fiscală</w:t>
      </w:r>
    </w:p>
    <w:p w:rsidR="00016063" w:rsidRPr="00AF3608" w:rsidRDefault="00016063" w:rsidP="00B723C0">
      <w:pPr>
        <w:suppressAutoHyphens/>
        <w:spacing w:after="60"/>
        <w:jc w:val="both"/>
        <w:rPr>
          <w:rFonts w:ascii="Calibri" w:eastAsia="Calibri" w:hAnsi="Calibri" w:cs="Calibri"/>
          <w:color w:val="000000"/>
          <w:lang w:val="ro-RO"/>
        </w:rPr>
      </w:pPr>
      <w:r w:rsidRPr="00AF3608">
        <w:rPr>
          <w:rFonts w:ascii="Calibri" w:eastAsia="Calibri" w:hAnsi="Calibri" w:cs="Calibri"/>
          <w:color w:val="000000"/>
          <w:lang w:val="ro-RO"/>
        </w:rPr>
        <w:t>În vederea prevenirii, descoperirii și combaterii evaziunii fiscale, ca urmare a acțiunilor de control desfășurate de structura de antifraudă fiscală, în anul 2020, au fost cuantificate/estimate implicaţii fiscale (reprezentând TVA, impozite, contribuţii sociale şi de sănătate, alte creanţe) şi aplicate sancţiuni contravenţionale (amenzi şi confiscări) în sumă totală de 1,5 mld. lei.</w:t>
      </w:r>
    </w:p>
    <w:p w:rsidR="00016063" w:rsidRPr="00AF3608" w:rsidRDefault="00016063" w:rsidP="00B723C0">
      <w:pPr>
        <w:suppressAutoHyphens/>
        <w:spacing w:after="60"/>
        <w:jc w:val="both"/>
        <w:rPr>
          <w:rFonts w:ascii="Calibri" w:eastAsia="Calibri" w:hAnsi="Calibri" w:cs="Calibri"/>
          <w:color w:val="000000"/>
          <w:lang w:val="ro-RO"/>
        </w:rPr>
      </w:pPr>
      <w:r w:rsidRPr="00AF3608">
        <w:rPr>
          <w:rFonts w:ascii="Calibri" w:eastAsia="Calibri" w:hAnsi="Calibri" w:cs="Calibri"/>
          <w:color w:val="000000"/>
          <w:lang w:val="ro-RO"/>
        </w:rPr>
        <w:t>Totodată, au fost înaintate organelor de urmărire penală 183 de acte de sesizare, valoarea prejudiciilor însumând 503,6 mil. lei iar pentru asigurarea recuperării prejudiciilor aferente cazurilor investigate, au fost dispuse 251 măsuri asigurătorii în sumă de 346,8 mil. lei.</w:t>
      </w:r>
    </w:p>
    <w:p w:rsidR="00016063" w:rsidRPr="00AF3608" w:rsidRDefault="00016063" w:rsidP="00B723C0">
      <w:pPr>
        <w:suppressAutoHyphens/>
        <w:spacing w:after="60"/>
        <w:jc w:val="both"/>
        <w:rPr>
          <w:rFonts w:ascii="Calibri" w:eastAsia="Calibri" w:hAnsi="Calibri" w:cs="Calibri"/>
          <w:color w:val="000000"/>
          <w:lang w:val="ro-RO"/>
        </w:rPr>
      </w:pPr>
      <w:r w:rsidRPr="00AF3608">
        <w:rPr>
          <w:rFonts w:ascii="Calibri" w:eastAsia="Calibri" w:hAnsi="Calibri" w:cs="Calibri"/>
          <w:color w:val="000000"/>
          <w:lang w:val="ro-RO"/>
        </w:rPr>
        <w:t>Pe linia "Risc fiscal asociat activităţilor de comerţ în mediul online", au fost înregistrate următoarele rezultate, în urma verificării a 562 contribuabili: implicaţii fiscale/obligaţii de plată estimate în acte de control în sumă de 57,7 mil. lei și sancțiuni aplicate în valoare de 1,1 mld. lei.</w:t>
      </w:r>
    </w:p>
    <w:p w:rsidR="00016063" w:rsidRPr="00AF3608" w:rsidRDefault="00016063" w:rsidP="00B723C0">
      <w:pPr>
        <w:suppressAutoHyphens/>
        <w:spacing w:after="60"/>
        <w:jc w:val="both"/>
        <w:rPr>
          <w:rFonts w:ascii="Calibri" w:eastAsia="Calibri" w:hAnsi="Calibri" w:cs="Calibri"/>
          <w:color w:val="000000"/>
          <w:lang w:val="ro-RO"/>
        </w:rPr>
      </w:pPr>
      <w:r w:rsidRPr="00AF3608">
        <w:rPr>
          <w:rFonts w:ascii="Calibri" w:eastAsia="Calibri" w:hAnsi="Calibri" w:cs="Calibri"/>
          <w:color w:val="000000"/>
          <w:lang w:val="ro-RO"/>
        </w:rPr>
        <w:lastRenderedPageBreak/>
        <w:t xml:space="preserve">În perioada de referință, activitatea de monitorizare transporturilor rutiere s-a efectuat cu intermintențe, fiind suspendată pe perioada stării de urgență și a fost asigurată de un număr mediu de 79 inspectori, care au efectuat verificări şi înregistrări privind un număr de peste 850.000 transporturi cu destinație națională şi peste 300.000 transporturi aflate în tranzit. Informațiile acumulate și analizele de risc efectuate au fost valorificate în cadrul controalelor antifraudă care au vizat tranzacțiile intracomunitare, sens în care au fost verificaţi 571 contribuabili la care au fost cuantificate implicații fiscale în valoare totală de 63,3 mil. lei şi aplicate sancțiuni contravenţionale (amenzi şi confiscări) în valoare totală de 9,3 mil. lei. </w:t>
      </w:r>
    </w:p>
    <w:p w:rsidR="00016063" w:rsidRPr="00AF3608" w:rsidRDefault="00016063" w:rsidP="00B723C0">
      <w:pPr>
        <w:suppressAutoHyphens/>
        <w:spacing w:after="60"/>
        <w:jc w:val="both"/>
        <w:rPr>
          <w:rFonts w:ascii="Calibri" w:eastAsia="Calibri" w:hAnsi="Calibri" w:cs="Calibri"/>
          <w:color w:val="000000"/>
          <w:lang w:val="ro-RO"/>
        </w:rPr>
      </w:pPr>
      <w:r w:rsidRPr="00AF3608">
        <w:rPr>
          <w:rFonts w:ascii="Calibri" w:eastAsia="Calibri" w:hAnsi="Calibri" w:cs="Calibri"/>
          <w:color w:val="000000"/>
          <w:lang w:val="ro-RO"/>
        </w:rPr>
        <w:t>Referitor la frauda transfrontalieră, structura de antifraudă fiscală a participat la desfãșurarea a 2 controale multilaterale.</w:t>
      </w:r>
    </w:p>
    <w:p w:rsidR="00785238" w:rsidRPr="00AF3608" w:rsidRDefault="00785238" w:rsidP="00B723C0">
      <w:pPr>
        <w:suppressAutoHyphens/>
        <w:spacing w:before="120"/>
        <w:jc w:val="both"/>
        <w:rPr>
          <w:rFonts w:ascii="Calibri" w:eastAsia="Calibri" w:hAnsi="Calibri" w:cs="Calibri"/>
          <w:color w:val="000000"/>
          <w:lang w:val="ro-RO"/>
        </w:rPr>
      </w:pPr>
    </w:p>
    <w:p w:rsidR="00016063" w:rsidRPr="00AF3608" w:rsidRDefault="00016063" w:rsidP="00B723C0">
      <w:pPr>
        <w:shd w:val="clear" w:color="auto" w:fill="D9D9D9" w:themeFill="background1" w:themeFillShade="D9"/>
        <w:suppressAutoHyphens/>
        <w:spacing w:before="120"/>
        <w:ind w:firstLine="720"/>
        <w:jc w:val="both"/>
        <w:rPr>
          <w:rFonts w:ascii="Calibri" w:eastAsia="Calibri" w:hAnsi="Calibri" w:cs="Calibri"/>
          <w:b/>
          <w:bCs/>
          <w:i/>
          <w:color w:val="000000"/>
          <w:lang w:val="ro-RO"/>
        </w:rPr>
      </w:pPr>
      <w:r w:rsidRPr="00AF3608">
        <w:rPr>
          <w:rFonts w:ascii="Calibri" w:eastAsia="Calibri" w:hAnsi="Calibri" w:cs="Calibri"/>
          <w:b/>
          <w:bCs/>
          <w:i/>
          <w:color w:val="000000"/>
          <w:lang w:val="ro-RO"/>
        </w:rPr>
        <w:t>Activitatea vamală</w:t>
      </w:r>
    </w:p>
    <w:p w:rsidR="00016063" w:rsidRPr="00AF3608" w:rsidRDefault="00016063" w:rsidP="00B723C0">
      <w:pPr>
        <w:suppressAutoHyphens/>
        <w:spacing w:before="120"/>
        <w:jc w:val="both"/>
        <w:rPr>
          <w:rFonts w:ascii="Calibri" w:eastAsia="Calibri" w:hAnsi="Calibri" w:cs="Calibri"/>
          <w:color w:val="000000"/>
          <w:lang w:val="ro-RO"/>
        </w:rPr>
      </w:pPr>
      <w:r w:rsidRPr="00AF3608">
        <w:rPr>
          <w:rFonts w:ascii="Calibri" w:eastAsia="Calibri" w:hAnsi="Calibri" w:cs="Calibri"/>
          <w:color w:val="000000"/>
          <w:lang w:val="ro-RO"/>
        </w:rPr>
        <w:t>Pe durata stării de urgență, autoritatea vamală a elaborat și aprobat un plan de măsuri la nivelul structurilor vamale pentru asigurarea îndeplinirii cu celeritate a formalităților vamale pentru dispozitivele medicale, materialele sanitare și medicamentele care asigură prevenția și tratarea afecțiunilor asociate COVID-19.</w:t>
      </w:r>
    </w:p>
    <w:p w:rsidR="00016063" w:rsidRPr="00AF3608" w:rsidRDefault="00016063" w:rsidP="00B723C0">
      <w:pPr>
        <w:suppressAutoHyphens/>
        <w:spacing w:before="120"/>
        <w:jc w:val="both"/>
        <w:rPr>
          <w:rFonts w:ascii="Calibri" w:eastAsia="Calibri" w:hAnsi="Calibri" w:cs="Calibri"/>
          <w:color w:val="000000"/>
          <w:lang w:val="ro-RO"/>
        </w:rPr>
      </w:pPr>
      <w:r w:rsidRPr="00AF3608">
        <w:rPr>
          <w:rFonts w:ascii="Calibri" w:eastAsia="Calibri" w:hAnsi="Calibri" w:cs="Calibri"/>
          <w:color w:val="000000"/>
          <w:lang w:val="ro-RO"/>
        </w:rPr>
        <w:t>În ceea ce privește prevenirea si combaterea fraudelor vamale, în anul 2020 au fost stabilite obligații fiscale în valoare totală de 104,6 mil. lei. Valoarea confiscărilor de numerar și bunuri incluzând un număt de aprox. 21,8 mil. bucăţi ţigarete) a fost de 56,6 mil. lei.</w:t>
      </w:r>
    </w:p>
    <w:p w:rsidR="00785238" w:rsidRPr="00AF3608" w:rsidRDefault="00016063" w:rsidP="00B723C0">
      <w:pPr>
        <w:suppressAutoHyphens/>
        <w:spacing w:before="120"/>
        <w:jc w:val="both"/>
        <w:rPr>
          <w:rFonts w:ascii="Calibri" w:eastAsia="Calibri" w:hAnsi="Calibri" w:cs="Calibri"/>
          <w:color w:val="000000"/>
          <w:lang w:val="ro-RO"/>
        </w:rPr>
      </w:pPr>
      <w:r w:rsidRPr="00AF3608">
        <w:rPr>
          <w:rFonts w:ascii="Calibri" w:eastAsia="Calibri" w:hAnsi="Calibri" w:cs="Calibri"/>
          <w:color w:val="000000"/>
          <w:lang w:val="ro-RO"/>
        </w:rPr>
        <w:t>Referitor la îmbunătățirea infrastructurii vamale și modernizarea birourilor vamale, la nivelul ANAF se au fost demarate următoarele proiecte cu finanțare externă:</w:t>
      </w:r>
    </w:p>
    <w:p w:rsidR="00785238" w:rsidRPr="00AF3608" w:rsidRDefault="00016063" w:rsidP="003A0B85">
      <w:pPr>
        <w:pStyle w:val="ListParagraph"/>
        <w:numPr>
          <w:ilvl w:val="0"/>
          <w:numId w:val="35"/>
        </w:numPr>
        <w:suppressAutoHyphens/>
        <w:spacing w:before="120" w:line="240" w:lineRule="auto"/>
        <w:contextualSpacing w:val="0"/>
        <w:jc w:val="both"/>
        <w:rPr>
          <w:rFonts w:ascii="Calibri" w:hAnsi="Calibri" w:cs="Calibri"/>
          <w:color w:val="000000"/>
        </w:rPr>
      </w:pPr>
      <w:r w:rsidRPr="00AF3608">
        <w:rPr>
          <w:rFonts w:ascii="Calibri" w:hAnsi="Calibri" w:cs="Calibri"/>
          <w:i/>
          <w:color w:val="000000"/>
        </w:rPr>
        <w:t>Îmbunătățirea infrastructurii vamale pentru fluidizarea traficului la punctul de trecere a frontierei de la punctul vamal Siret</w:t>
      </w:r>
      <w:r w:rsidRPr="00AF3608">
        <w:rPr>
          <w:rFonts w:ascii="Calibri" w:hAnsi="Calibri" w:cs="Calibri"/>
          <w:color w:val="000000"/>
        </w:rPr>
        <w:t xml:space="preserve"> (10,9 milioane euro, conform HG nr. 188/2020, POIM);</w:t>
      </w:r>
    </w:p>
    <w:p w:rsidR="00016063" w:rsidRPr="00AF3608" w:rsidRDefault="00016063" w:rsidP="003A0B85">
      <w:pPr>
        <w:pStyle w:val="ListParagraph"/>
        <w:numPr>
          <w:ilvl w:val="0"/>
          <w:numId w:val="35"/>
        </w:numPr>
        <w:suppressAutoHyphens/>
        <w:spacing w:before="120" w:line="240" w:lineRule="auto"/>
        <w:contextualSpacing w:val="0"/>
        <w:jc w:val="both"/>
        <w:rPr>
          <w:rFonts w:ascii="Calibri" w:hAnsi="Calibri" w:cs="Calibri"/>
          <w:color w:val="000000"/>
        </w:rPr>
      </w:pPr>
      <w:r w:rsidRPr="00AF3608">
        <w:rPr>
          <w:rFonts w:ascii="Calibri" w:hAnsi="Calibri" w:cs="Calibri"/>
          <w:i/>
          <w:color w:val="000000"/>
        </w:rPr>
        <w:t xml:space="preserve">Reabilitarea și modernizarea birourilor vamale de frontieră de pe granița România – Moldova, respectiv birourile vamale Albița, Sculeni și Giurgiulești </w:t>
      </w:r>
      <w:r w:rsidRPr="00AF3608">
        <w:rPr>
          <w:rFonts w:ascii="Calibri" w:hAnsi="Calibri" w:cs="Calibri"/>
          <w:color w:val="000000"/>
        </w:rPr>
        <w:t>(10 milioane euro suma totală, din care 5 milioane euro, Instrumentul European de Vecinătate pentru investițiile pe teritoriul României).</w:t>
      </w:r>
    </w:p>
    <w:p w:rsidR="00016063" w:rsidRPr="00AF3608" w:rsidRDefault="00016063" w:rsidP="00B723C0">
      <w:pPr>
        <w:suppressAutoHyphens/>
        <w:spacing w:before="120"/>
        <w:jc w:val="both"/>
        <w:rPr>
          <w:rFonts w:ascii="Calibri" w:eastAsia="Calibri" w:hAnsi="Calibri" w:cs="Calibri"/>
          <w:color w:val="000000"/>
          <w:lang w:val="ro-RO"/>
        </w:rPr>
      </w:pPr>
      <w:r w:rsidRPr="00AF3608">
        <w:rPr>
          <w:rFonts w:ascii="Calibri" w:eastAsia="Calibri" w:hAnsi="Calibri" w:cs="Calibri"/>
          <w:b/>
          <w:i/>
          <w:color w:val="000000"/>
          <w:lang w:val="ro-RO"/>
        </w:rPr>
        <w:t>Implementarea Strategiei UE privind managementul riscurilor vamale</w:t>
      </w:r>
      <w:r w:rsidRPr="00AF3608">
        <w:rPr>
          <w:rFonts w:ascii="Calibri" w:eastAsia="Calibri" w:hAnsi="Calibri" w:cs="Calibri"/>
          <w:color w:val="000000"/>
          <w:lang w:val="ro-RO"/>
        </w:rPr>
        <w:t xml:space="preserve"> - măsura contribuie la implementarea prevederilor Codului Vamal Unional, aprobat prin Regulamentul UE 952/2013. În luna octombrie a fost semnat contractul de achiziție pentru prestarea de servicii de dezvoltare software a sistemului național ICS2-RO Faza I. Sistemul național ICS2-RO Faza I se află în stadiul de dezvoltare software, având termen de finalizare 01.10.2021.</w:t>
      </w:r>
    </w:p>
    <w:p w:rsidR="00016063" w:rsidRPr="00AF3608" w:rsidRDefault="00016063" w:rsidP="00B723C0">
      <w:pPr>
        <w:suppressAutoHyphens/>
        <w:spacing w:before="120"/>
        <w:jc w:val="both"/>
        <w:rPr>
          <w:rFonts w:ascii="Calibri" w:eastAsia="Calibri" w:hAnsi="Calibri" w:cs="Calibri"/>
          <w:b/>
          <w:bCs/>
          <w:i/>
          <w:color w:val="000000"/>
          <w:lang w:val="ro-RO"/>
        </w:rPr>
      </w:pPr>
      <w:r w:rsidRPr="00AF3608">
        <w:rPr>
          <w:rFonts w:ascii="Calibri" w:eastAsia="Calibri" w:hAnsi="Calibri" w:cs="Calibri"/>
          <w:b/>
          <w:bCs/>
          <w:i/>
          <w:color w:val="000000"/>
          <w:lang w:val="ro-RO"/>
        </w:rPr>
        <w:t>Activitatea de verificare a persoanelor fizice cu averi mari/cu risc fiscal</w:t>
      </w:r>
    </w:p>
    <w:p w:rsidR="00016063" w:rsidRPr="00AF3608" w:rsidRDefault="00016063" w:rsidP="00B723C0">
      <w:pPr>
        <w:suppressAutoHyphens/>
        <w:spacing w:before="120"/>
        <w:jc w:val="both"/>
        <w:rPr>
          <w:rFonts w:ascii="Calibri" w:eastAsia="Calibri" w:hAnsi="Calibri" w:cs="Calibri"/>
          <w:color w:val="000000"/>
          <w:lang w:val="ro-RO"/>
        </w:rPr>
      </w:pPr>
      <w:r w:rsidRPr="00AF3608">
        <w:rPr>
          <w:rFonts w:ascii="Calibri" w:eastAsia="Calibri" w:hAnsi="Calibri" w:cs="Calibri"/>
          <w:color w:val="000000"/>
          <w:lang w:val="ro-RO"/>
        </w:rPr>
        <w:t>În anul 2020, structurile de control venituri persoane fizice au continuat desfǎşurarea activitǎţilor specifice în cadrul celor 357 acțiuni de verificare a situaţiei fiscale personale şi de inspecţie fiscală parţială cu privire la impozitul pe venit. Prin cele 78 decizii de impunere emise, au fost constatate venituri suplimentare în sumă de 182,9 mil lei, pentru care au fost stabilite creanţe fiscale în sumă de 43,8 mil lei.</w:t>
      </w:r>
    </w:p>
    <w:p w:rsidR="00785238" w:rsidRPr="00AF3608" w:rsidRDefault="00785238" w:rsidP="00B723C0">
      <w:pPr>
        <w:tabs>
          <w:tab w:val="left" w:pos="426"/>
        </w:tabs>
        <w:suppressAutoHyphens/>
        <w:spacing w:before="120"/>
        <w:jc w:val="both"/>
        <w:rPr>
          <w:rFonts w:ascii="Calibri" w:eastAsia="Calibri" w:hAnsi="Calibri" w:cs="Calibri"/>
          <w:color w:val="000000"/>
          <w:lang w:val="ro-RO"/>
        </w:rPr>
      </w:pPr>
    </w:p>
    <w:p w:rsidR="00785238" w:rsidRPr="00AF3608" w:rsidRDefault="00016063" w:rsidP="00B723C0">
      <w:pPr>
        <w:tabs>
          <w:tab w:val="left" w:pos="426"/>
        </w:tabs>
        <w:suppressAutoHyphens/>
        <w:spacing w:before="120"/>
        <w:jc w:val="both"/>
        <w:rPr>
          <w:rFonts w:ascii="Calibri" w:eastAsia="Calibri" w:hAnsi="Calibri" w:cs="Calibri"/>
          <w:color w:val="000000"/>
          <w:lang w:val="ro-RO"/>
        </w:rPr>
      </w:pPr>
      <w:r w:rsidRPr="00AF3608">
        <w:rPr>
          <w:rFonts w:ascii="Calibri" w:eastAsia="Calibri" w:hAnsi="Calibri" w:cs="Calibri"/>
          <w:color w:val="000000"/>
          <w:lang w:val="ro-RO"/>
        </w:rPr>
        <w:t xml:space="preserve">ANAF </w:t>
      </w:r>
      <w:r w:rsidRPr="00AF3608">
        <w:rPr>
          <w:rFonts w:ascii="Calibri" w:eastAsia="Calibri" w:hAnsi="Calibri" w:cs="Calibri"/>
          <w:b/>
          <w:color w:val="000000"/>
          <w:lang w:val="ro-RO"/>
        </w:rPr>
        <w:t>a accelerat procesul de informatizare pentru a crește gradul de colectare prin conformare voluntară</w:t>
      </w:r>
      <w:r w:rsidRPr="00AF3608">
        <w:rPr>
          <w:rFonts w:ascii="Calibri" w:eastAsia="Calibri" w:hAnsi="Calibri" w:cs="Calibri"/>
          <w:color w:val="000000"/>
          <w:lang w:val="ro-RO"/>
        </w:rPr>
        <w:t>, fiind adoptate următoarele măsuri:</w:t>
      </w:r>
    </w:p>
    <w:p w:rsidR="00785238" w:rsidRPr="00AF3608" w:rsidRDefault="00016063" w:rsidP="00120AA6">
      <w:pPr>
        <w:pStyle w:val="ListParagraph"/>
        <w:numPr>
          <w:ilvl w:val="0"/>
          <w:numId w:val="13"/>
        </w:numPr>
        <w:tabs>
          <w:tab w:val="left" w:pos="426"/>
        </w:tabs>
        <w:suppressAutoHyphens/>
        <w:spacing w:before="120" w:line="240" w:lineRule="auto"/>
        <w:contextualSpacing w:val="0"/>
        <w:jc w:val="both"/>
        <w:rPr>
          <w:rFonts w:ascii="Calibri" w:hAnsi="Calibri" w:cs="Calibri"/>
          <w:color w:val="000000"/>
        </w:rPr>
      </w:pPr>
      <w:r w:rsidRPr="00AF3608">
        <w:rPr>
          <w:rFonts w:ascii="Calibri" w:hAnsi="Calibri" w:cs="Calibri"/>
          <w:color w:val="000000"/>
        </w:rPr>
        <w:t>conectarea aparatelor de marcat electronice fiscale și implementarea sistemului        informatic SAF-T (Standard Audit File for Tax);</w:t>
      </w:r>
    </w:p>
    <w:p w:rsidR="00785238" w:rsidRPr="00AF3608" w:rsidRDefault="00016063" w:rsidP="00120AA6">
      <w:pPr>
        <w:pStyle w:val="ListParagraph"/>
        <w:numPr>
          <w:ilvl w:val="0"/>
          <w:numId w:val="13"/>
        </w:numPr>
        <w:tabs>
          <w:tab w:val="left" w:pos="426"/>
        </w:tabs>
        <w:suppressAutoHyphens/>
        <w:spacing w:before="120" w:line="240" w:lineRule="auto"/>
        <w:contextualSpacing w:val="0"/>
        <w:jc w:val="both"/>
        <w:rPr>
          <w:rFonts w:ascii="Calibri" w:hAnsi="Calibri" w:cs="Calibri"/>
          <w:color w:val="000000"/>
        </w:rPr>
      </w:pPr>
      <w:r w:rsidRPr="00AF3608">
        <w:rPr>
          <w:rFonts w:ascii="Calibri" w:hAnsi="Calibri" w:cs="Calibri"/>
          <w:color w:val="000000"/>
        </w:rPr>
        <w:lastRenderedPageBreak/>
        <w:t>posibilitatea persoanelor juridice de a avea acces la platforma Ghișeul.ro pentru facilitatea îndeplinirii obligațiilor de plată ale contribuabililor;</w:t>
      </w:r>
    </w:p>
    <w:p w:rsidR="00785238" w:rsidRPr="00AF3608" w:rsidRDefault="00016063" w:rsidP="00120AA6">
      <w:pPr>
        <w:pStyle w:val="ListParagraph"/>
        <w:numPr>
          <w:ilvl w:val="0"/>
          <w:numId w:val="13"/>
        </w:numPr>
        <w:tabs>
          <w:tab w:val="left" w:pos="426"/>
        </w:tabs>
        <w:suppressAutoHyphens/>
        <w:spacing w:before="120" w:line="240" w:lineRule="auto"/>
        <w:contextualSpacing w:val="0"/>
        <w:jc w:val="both"/>
        <w:rPr>
          <w:rFonts w:ascii="Calibri" w:hAnsi="Calibri" w:cs="Calibri"/>
          <w:color w:val="000000"/>
        </w:rPr>
      </w:pPr>
      <w:r w:rsidRPr="00AF3608">
        <w:rPr>
          <w:rFonts w:ascii="Calibri" w:hAnsi="Calibri" w:cs="Calibri"/>
          <w:color w:val="000000"/>
        </w:rPr>
        <w:t>introducerea de noi documente pe baza cărora contribuabilii persoane fizice să se poată identifica electronic în SPV și implementarea identificării vizuale online, pentru înregistrarea în SPV;</w:t>
      </w:r>
    </w:p>
    <w:p w:rsidR="00785238" w:rsidRPr="00AF3608" w:rsidRDefault="00016063" w:rsidP="00120AA6">
      <w:pPr>
        <w:pStyle w:val="ListParagraph"/>
        <w:numPr>
          <w:ilvl w:val="0"/>
          <w:numId w:val="13"/>
        </w:numPr>
        <w:tabs>
          <w:tab w:val="left" w:pos="426"/>
        </w:tabs>
        <w:suppressAutoHyphens/>
        <w:spacing w:before="120" w:line="240" w:lineRule="auto"/>
        <w:contextualSpacing w:val="0"/>
        <w:jc w:val="both"/>
        <w:rPr>
          <w:rFonts w:ascii="Calibri" w:hAnsi="Calibri" w:cs="Calibri"/>
          <w:color w:val="000000"/>
        </w:rPr>
      </w:pPr>
      <w:r w:rsidRPr="00AF3608">
        <w:rPr>
          <w:rFonts w:ascii="Calibri" w:hAnsi="Calibri" w:cs="Calibri"/>
          <w:color w:val="000000"/>
        </w:rPr>
        <w:t>crearea posibilității de transmitere electronică de către contribuabili și primire a documentelor specifice evitării dublei impuneri și acorduri fiscale internaționale prin intermediul SPV și e-guvernare, formularistică aprobată prin Ordinul ministrului finanțelor publice nr. 1099/2016 (începând cu luna aprilie 2020) și prin intermediul formularului de contact din SPV (începând cu luna mai 2020) a formularisticii aprobate prin Ordinul ministrului finanțelor publice nr. 583/2016, cu modificările și completările ulterioare;</w:t>
      </w:r>
    </w:p>
    <w:p w:rsidR="00785238" w:rsidRPr="00AF3608" w:rsidRDefault="00016063" w:rsidP="00120AA6">
      <w:pPr>
        <w:pStyle w:val="ListParagraph"/>
        <w:numPr>
          <w:ilvl w:val="0"/>
          <w:numId w:val="13"/>
        </w:numPr>
        <w:tabs>
          <w:tab w:val="left" w:pos="426"/>
        </w:tabs>
        <w:suppressAutoHyphens/>
        <w:spacing w:before="120" w:line="240" w:lineRule="auto"/>
        <w:contextualSpacing w:val="0"/>
        <w:jc w:val="both"/>
        <w:rPr>
          <w:rFonts w:ascii="Calibri" w:hAnsi="Calibri" w:cs="Calibri"/>
          <w:color w:val="000000"/>
        </w:rPr>
      </w:pPr>
      <w:r w:rsidRPr="00AF3608">
        <w:rPr>
          <w:rFonts w:ascii="Calibri" w:hAnsi="Calibri" w:cs="Calibri"/>
          <w:color w:val="000000"/>
        </w:rPr>
        <w:t>crearea cadrului legal în vederea identificării vizuale on-line (video) pentru aprobarea înregistrării contribuabililor în Spațiul Privat Virtual și lansarea de către MFP și ANAF în luna august 2020 a posibilității de identificare vizuală on-line pentru persoanele fizice;</w:t>
      </w:r>
    </w:p>
    <w:p w:rsidR="00785238" w:rsidRPr="00AF3608" w:rsidRDefault="00016063" w:rsidP="00120AA6">
      <w:pPr>
        <w:pStyle w:val="ListParagraph"/>
        <w:numPr>
          <w:ilvl w:val="0"/>
          <w:numId w:val="13"/>
        </w:numPr>
        <w:tabs>
          <w:tab w:val="left" w:pos="426"/>
        </w:tabs>
        <w:suppressAutoHyphens/>
        <w:spacing w:before="120" w:line="240" w:lineRule="auto"/>
        <w:contextualSpacing w:val="0"/>
        <w:jc w:val="both"/>
        <w:rPr>
          <w:rFonts w:ascii="Calibri" w:hAnsi="Calibri" w:cs="Calibri"/>
          <w:color w:val="000000"/>
        </w:rPr>
      </w:pPr>
      <w:r w:rsidRPr="00AF3608">
        <w:rPr>
          <w:rFonts w:ascii="Calibri" w:hAnsi="Calibri" w:cs="Calibri"/>
          <w:color w:val="000000"/>
        </w:rPr>
        <w:t>extinderea serviciului de programări on-line pentru efectuarea unei vizite la sediul unității fiscale, implementarea One Stop Shop;</w:t>
      </w:r>
    </w:p>
    <w:p w:rsidR="00785238" w:rsidRPr="00AF3608" w:rsidRDefault="00016063" w:rsidP="00120AA6">
      <w:pPr>
        <w:pStyle w:val="ListParagraph"/>
        <w:numPr>
          <w:ilvl w:val="0"/>
          <w:numId w:val="13"/>
        </w:numPr>
        <w:tabs>
          <w:tab w:val="left" w:pos="426"/>
        </w:tabs>
        <w:suppressAutoHyphens/>
        <w:spacing w:before="120" w:line="240" w:lineRule="auto"/>
        <w:contextualSpacing w:val="0"/>
        <w:jc w:val="both"/>
        <w:rPr>
          <w:rFonts w:ascii="Calibri" w:hAnsi="Calibri" w:cs="Calibri"/>
          <w:color w:val="000000"/>
        </w:rPr>
      </w:pPr>
      <w:r w:rsidRPr="00AF3608">
        <w:rPr>
          <w:rFonts w:ascii="Calibri" w:hAnsi="Calibri" w:cs="Calibri"/>
          <w:color w:val="000000"/>
        </w:rPr>
        <w:t>facilitarea îndeplinirii obligațiilor de plată a persoanelor fizice și juridice prin interconectarea SPV cu Ghiseul.ro;</w:t>
      </w:r>
    </w:p>
    <w:p w:rsidR="00785238" w:rsidRPr="00AF3608" w:rsidRDefault="00016063" w:rsidP="00120AA6">
      <w:pPr>
        <w:pStyle w:val="ListParagraph"/>
        <w:numPr>
          <w:ilvl w:val="0"/>
          <w:numId w:val="13"/>
        </w:numPr>
        <w:tabs>
          <w:tab w:val="left" w:pos="426"/>
        </w:tabs>
        <w:suppressAutoHyphens/>
        <w:spacing w:before="120" w:line="240" w:lineRule="auto"/>
        <w:contextualSpacing w:val="0"/>
        <w:jc w:val="both"/>
        <w:rPr>
          <w:rFonts w:ascii="Calibri" w:hAnsi="Calibri" w:cs="Calibri"/>
          <w:color w:val="000000"/>
        </w:rPr>
      </w:pPr>
      <w:r w:rsidRPr="00AF3608">
        <w:rPr>
          <w:rFonts w:ascii="Calibri" w:hAnsi="Calibri" w:cs="Calibri"/>
          <w:color w:val="000000"/>
        </w:rPr>
        <w:t>introducerea în cadrul SPV de noi documente si rapoarte: istoric declarații depuse de persoanele fizice, pentru persoanele juridice acesta fiind disponibil anterior, și raportul privind drepturile de reprezentare în SPV și de depunere declarații;</w:t>
      </w:r>
    </w:p>
    <w:p w:rsidR="00785238" w:rsidRPr="00AF3608" w:rsidRDefault="00016063" w:rsidP="00120AA6">
      <w:pPr>
        <w:pStyle w:val="ListParagraph"/>
        <w:numPr>
          <w:ilvl w:val="0"/>
          <w:numId w:val="13"/>
        </w:numPr>
        <w:tabs>
          <w:tab w:val="left" w:pos="426"/>
        </w:tabs>
        <w:suppressAutoHyphens/>
        <w:spacing w:before="120" w:line="240" w:lineRule="auto"/>
        <w:contextualSpacing w:val="0"/>
        <w:jc w:val="both"/>
        <w:rPr>
          <w:rFonts w:ascii="Calibri" w:hAnsi="Calibri" w:cs="Calibri"/>
          <w:color w:val="000000"/>
        </w:rPr>
      </w:pPr>
      <w:r w:rsidRPr="00AF3608">
        <w:rPr>
          <w:rFonts w:ascii="Calibri" w:hAnsi="Calibri" w:cs="Calibri"/>
          <w:color w:val="000000"/>
        </w:rPr>
        <w:t>crearea posibilității prin Spațiul Privat Virtual de efectuare a plăților în numele oricărei alte persoane fizice în ceea ce privește impozitul pe venit și contribuțiile sociale din Declarația unică;</w:t>
      </w:r>
    </w:p>
    <w:p w:rsidR="00785238" w:rsidRPr="00AF3608" w:rsidRDefault="00016063" w:rsidP="00120AA6">
      <w:pPr>
        <w:pStyle w:val="ListParagraph"/>
        <w:numPr>
          <w:ilvl w:val="0"/>
          <w:numId w:val="13"/>
        </w:numPr>
        <w:tabs>
          <w:tab w:val="left" w:pos="426"/>
        </w:tabs>
        <w:suppressAutoHyphens/>
        <w:spacing w:before="120" w:line="240" w:lineRule="auto"/>
        <w:contextualSpacing w:val="0"/>
        <w:jc w:val="both"/>
        <w:rPr>
          <w:rFonts w:ascii="Calibri" w:hAnsi="Calibri" w:cs="Calibri"/>
          <w:color w:val="000000"/>
        </w:rPr>
      </w:pPr>
      <w:r w:rsidRPr="00AF3608">
        <w:rPr>
          <w:rFonts w:ascii="Calibri" w:hAnsi="Calibri" w:cs="Calibri"/>
          <w:color w:val="000000"/>
        </w:rPr>
        <w:t>asigurarea, de la distanță, a serviciului de asistență a contribuabililor și dezvoltarea Call-center-ului (prin furnizarea de servicii electronice si telefonice) pentru asigurarea catre contribuabili a unui numãr unic de telefon la nivel național;</w:t>
      </w:r>
    </w:p>
    <w:p w:rsidR="00785238" w:rsidRPr="00AF3608" w:rsidRDefault="00016063" w:rsidP="00120AA6">
      <w:pPr>
        <w:pStyle w:val="ListParagraph"/>
        <w:numPr>
          <w:ilvl w:val="0"/>
          <w:numId w:val="13"/>
        </w:numPr>
        <w:tabs>
          <w:tab w:val="left" w:pos="426"/>
        </w:tabs>
        <w:suppressAutoHyphens/>
        <w:spacing w:before="120" w:line="240" w:lineRule="auto"/>
        <w:contextualSpacing w:val="0"/>
        <w:jc w:val="both"/>
        <w:rPr>
          <w:rFonts w:ascii="Calibri" w:hAnsi="Calibri" w:cs="Calibri"/>
          <w:color w:val="000000"/>
        </w:rPr>
      </w:pPr>
      <w:r w:rsidRPr="00AF3608">
        <w:rPr>
          <w:rFonts w:ascii="Calibri" w:hAnsi="Calibri" w:cs="Calibri"/>
          <w:color w:val="000000"/>
        </w:rPr>
        <w:t>pentru prima dată de la înființarea ANAF, un număr de 900 de  inspectori au acces de la distanță la bazele de date necesare desfășurării unor activități specifice,  fiind posibilă soluționarea de la distanță a solicitărilor depuse de contribuabili;</w:t>
      </w:r>
    </w:p>
    <w:p w:rsidR="00785238" w:rsidRPr="00AF3608" w:rsidRDefault="00016063" w:rsidP="00120AA6">
      <w:pPr>
        <w:pStyle w:val="ListParagraph"/>
        <w:numPr>
          <w:ilvl w:val="0"/>
          <w:numId w:val="13"/>
        </w:numPr>
        <w:tabs>
          <w:tab w:val="left" w:pos="426"/>
        </w:tabs>
        <w:suppressAutoHyphens/>
        <w:spacing w:before="120" w:line="240" w:lineRule="auto"/>
        <w:contextualSpacing w:val="0"/>
        <w:jc w:val="both"/>
        <w:rPr>
          <w:rFonts w:ascii="Calibri" w:hAnsi="Calibri" w:cs="Calibri"/>
          <w:color w:val="000000"/>
        </w:rPr>
      </w:pPr>
      <w:r w:rsidRPr="00AF3608">
        <w:rPr>
          <w:rFonts w:ascii="Calibri" w:hAnsi="Calibri" w:cs="Calibri"/>
          <w:color w:val="000000"/>
        </w:rPr>
        <w:t>simplificarea fișei pe plătitor și operaționalizarea transferului electronic al actelor administrativ fiscale emise de către organele de inspecție fiscală în evidența pe plătitor;</w:t>
      </w:r>
    </w:p>
    <w:p w:rsidR="00016063" w:rsidRPr="00AF3608" w:rsidRDefault="00016063" w:rsidP="00120AA6">
      <w:pPr>
        <w:pStyle w:val="ListParagraph"/>
        <w:numPr>
          <w:ilvl w:val="0"/>
          <w:numId w:val="13"/>
        </w:numPr>
        <w:tabs>
          <w:tab w:val="left" w:pos="426"/>
        </w:tabs>
        <w:suppressAutoHyphens/>
        <w:spacing w:before="120" w:line="240" w:lineRule="auto"/>
        <w:contextualSpacing w:val="0"/>
        <w:jc w:val="both"/>
        <w:rPr>
          <w:rFonts w:ascii="Calibri" w:hAnsi="Calibri" w:cs="Calibri"/>
          <w:color w:val="000000"/>
        </w:rPr>
      </w:pPr>
      <w:r w:rsidRPr="00AF3608">
        <w:rPr>
          <w:rFonts w:ascii="Calibri" w:hAnsi="Calibri" w:cs="Calibri"/>
          <w:color w:val="000000"/>
        </w:rPr>
        <w:t xml:space="preserve">implementarea sistemului informatic NOES și realizarea sistemului informatic pentru poprirea și ridicarea popririi asupra conturilor bancare prin mijloace </w:t>
      </w:r>
      <w:r w:rsidR="00785238" w:rsidRPr="00AF3608">
        <w:rPr>
          <w:rFonts w:ascii="Calibri" w:hAnsi="Calibri" w:cs="Calibri"/>
          <w:color w:val="000000"/>
        </w:rPr>
        <w:t>electronice.</w:t>
      </w:r>
    </w:p>
    <w:p w:rsidR="00785238" w:rsidRPr="00AF3608" w:rsidRDefault="00785238" w:rsidP="00B723C0">
      <w:pPr>
        <w:tabs>
          <w:tab w:val="left" w:pos="426"/>
        </w:tabs>
        <w:suppressAutoHyphens/>
        <w:spacing w:before="120"/>
        <w:jc w:val="both"/>
        <w:rPr>
          <w:rFonts w:ascii="Calibri" w:eastAsia="Calibri" w:hAnsi="Calibri" w:cs="Calibri"/>
          <w:color w:val="000000"/>
          <w:lang w:val="ro-RO"/>
        </w:rPr>
      </w:pPr>
    </w:p>
    <w:p w:rsidR="00785238" w:rsidRPr="00AF3608" w:rsidRDefault="00016063" w:rsidP="00B723C0">
      <w:pPr>
        <w:tabs>
          <w:tab w:val="left" w:pos="426"/>
        </w:tabs>
        <w:suppressAutoHyphens/>
        <w:spacing w:before="120"/>
        <w:jc w:val="both"/>
        <w:rPr>
          <w:rFonts w:ascii="Calibri" w:eastAsia="Calibri" w:hAnsi="Calibri" w:cs="Calibri"/>
          <w:b/>
          <w:color w:val="000000"/>
          <w:lang w:val="ro-RO"/>
        </w:rPr>
      </w:pPr>
      <w:r w:rsidRPr="00AF3608">
        <w:rPr>
          <w:rFonts w:ascii="Calibri" w:eastAsia="Calibri" w:hAnsi="Calibri" w:cs="Calibri"/>
          <w:color w:val="000000"/>
          <w:lang w:val="ro-RO"/>
        </w:rPr>
        <w:t>În vederea</w:t>
      </w:r>
      <w:r w:rsidRPr="00AF3608">
        <w:rPr>
          <w:rFonts w:ascii="Calibri" w:eastAsia="Calibri" w:hAnsi="Calibri" w:cs="Calibri"/>
          <w:b/>
          <w:color w:val="000000"/>
          <w:lang w:val="ro-RO"/>
        </w:rPr>
        <w:t xml:space="preserve"> creșterii calității serviciilor destinate contribuabililor</w:t>
      </w:r>
    </w:p>
    <w:p w:rsidR="00016063" w:rsidRPr="00AF3608" w:rsidRDefault="00785238" w:rsidP="00B723C0">
      <w:pPr>
        <w:tabs>
          <w:tab w:val="left" w:pos="426"/>
        </w:tabs>
        <w:suppressAutoHyphens/>
        <w:spacing w:before="120"/>
        <w:ind w:left="426"/>
        <w:jc w:val="both"/>
        <w:rPr>
          <w:rFonts w:ascii="Calibri" w:eastAsia="Calibri" w:hAnsi="Calibri" w:cs="Calibri"/>
          <w:b/>
          <w:color w:val="000000"/>
          <w:lang w:val="ro-RO"/>
        </w:rPr>
      </w:pPr>
      <w:r w:rsidRPr="00AF3608">
        <w:rPr>
          <w:rFonts w:ascii="Calibri" w:eastAsia="Calibri" w:hAnsi="Calibri" w:cs="Calibri"/>
          <w:b/>
          <w:color w:val="000000"/>
          <w:lang w:val="ro-RO"/>
        </w:rPr>
        <w:tab/>
      </w:r>
      <w:r w:rsidR="00016063" w:rsidRPr="00AF3608">
        <w:rPr>
          <w:rFonts w:ascii="Calibri" w:eastAsia="Calibri" w:hAnsi="Calibri" w:cs="Calibri"/>
          <w:color w:val="000000"/>
          <w:lang w:val="ro-RO"/>
        </w:rPr>
        <w:t>Pentru a veni în sprijinul contribuabililor, ca răspuns la criza provocată de pandemia COVID-19, ANAF a lansat aplicația „</w:t>
      </w:r>
      <w:r w:rsidR="00016063" w:rsidRPr="00AF3608">
        <w:rPr>
          <w:rFonts w:ascii="Calibri" w:eastAsia="Calibri" w:hAnsi="Calibri" w:cs="Calibri"/>
          <w:i/>
          <w:iCs/>
          <w:color w:val="000000"/>
          <w:lang w:val="ro-RO"/>
        </w:rPr>
        <w:t>Programări on-line</w:t>
      </w:r>
      <w:r w:rsidR="00016063" w:rsidRPr="00AF3608">
        <w:rPr>
          <w:rFonts w:ascii="Calibri" w:eastAsia="Calibri" w:hAnsi="Calibri" w:cs="Calibri"/>
          <w:color w:val="000000"/>
          <w:lang w:val="ro-RO"/>
        </w:rPr>
        <w:t>”, ca proiect pilot la nivelul DGRFP Galaţi. Începând cu luna august a anului 2020 a fost extins serviciul de programări online la nivelul administrațiilor județene ale finanțelor publice și administrațiilor sectoarelor 1 – 6 ale finanțelor publice, serviciul fiind disponibil contribuabililor atât în cadrul Spațiului Privat Virtual cât și pe portalul ANAF.</w:t>
      </w:r>
    </w:p>
    <w:p w:rsidR="00785238" w:rsidRPr="00AF3608" w:rsidRDefault="00785238" w:rsidP="00B723C0">
      <w:pPr>
        <w:tabs>
          <w:tab w:val="left" w:pos="426"/>
        </w:tabs>
        <w:suppressAutoHyphens/>
        <w:spacing w:before="120"/>
        <w:ind w:left="426"/>
        <w:jc w:val="both"/>
        <w:rPr>
          <w:rFonts w:ascii="Calibri" w:eastAsia="Calibri" w:hAnsi="Calibri" w:cs="Calibri"/>
          <w:color w:val="000000"/>
          <w:lang w:val="ro-RO"/>
        </w:rPr>
      </w:pPr>
      <w:r w:rsidRPr="00AF3608">
        <w:rPr>
          <w:rFonts w:ascii="Calibri" w:eastAsia="Calibri" w:hAnsi="Calibri" w:cs="Calibri"/>
          <w:color w:val="000000"/>
          <w:lang w:val="ro-RO"/>
        </w:rPr>
        <w:tab/>
      </w:r>
      <w:r w:rsidR="00016063" w:rsidRPr="00AF3608">
        <w:rPr>
          <w:rFonts w:ascii="Calibri" w:eastAsia="Calibri" w:hAnsi="Calibri" w:cs="Calibri"/>
          <w:color w:val="000000"/>
          <w:lang w:val="ro-RO"/>
        </w:rPr>
        <w:t xml:space="preserve">Prin intermediul acestui serviciu contribuabilii se pot programa online pentru efectuarea unei vizite la sediul unității fiscale precum si pentru identificarea vizuala on-line în vederea aprobării înrolarii în Spațiul Privat Virtual. Serviciul este pus la dispoziția contribuabililor pentru </w:t>
      </w:r>
      <w:r w:rsidR="00016063" w:rsidRPr="00AF3608">
        <w:rPr>
          <w:rFonts w:ascii="Calibri" w:eastAsia="Calibri" w:hAnsi="Calibri" w:cs="Calibri"/>
          <w:color w:val="000000"/>
          <w:lang w:val="ro-RO"/>
        </w:rPr>
        <w:lastRenderedPageBreak/>
        <w:t>aspecte ce nu necesită timp îndelungat de soluționare fiind primiți la ora programată, de personal specializat în funcție de domeniul selectat de contribuabili prin aplicația web dedicată.</w:t>
      </w:r>
    </w:p>
    <w:p w:rsidR="00785238" w:rsidRPr="00AF3608" w:rsidRDefault="00785238" w:rsidP="00B723C0">
      <w:pPr>
        <w:tabs>
          <w:tab w:val="left" w:pos="426"/>
        </w:tabs>
        <w:suppressAutoHyphens/>
        <w:spacing w:before="120"/>
        <w:ind w:left="426"/>
        <w:jc w:val="both"/>
        <w:rPr>
          <w:rFonts w:ascii="Calibri" w:eastAsia="Calibri" w:hAnsi="Calibri" w:cs="Calibri"/>
          <w:color w:val="000000"/>
          <w:lang w:val="ro-RO"/>
        </w:rPr>
      </w:pPr>
      <w:r w:rsidRPr="00AF3608">
        <w:rPr>
          <w:rFonts w:ascii="Calibri" w:eastAsia="Calibri" w:hAnsi="Calibri" w:cs="Calibri"/>
          <w:color w:val="000000"/>
          <w:lang w:val="ro-RO"/>
        </w:rPr>
        <w:tab/>
      </w:r>
      <w:r w:rsidR="00016063" w:rsidRPr="00AF3608">
        <w:rPr>
          <w:rFonts w:ascii="Calibri" w:eastAsia="Calibri" w:hAnsi="Calibri" w:cs="Calibri"/>
          <w:color w:val="000000"/>
          <w:lang w:val="ro-RO"/>
        </w:rPr>
        <w:t>Împreună cu Centrul Național pentru Informații Financiare, a fost implementată aplicația NRZCER - Evitarea Dublei Impuneri și Acorduri Fiscale Internaționale, care este utilizată în aplicarea prevederilor OMFP nr. 1.099/2016 pentru reglementarea unor aspecte privind rezidența în România a persoanelor fizice și a OMFP nr. 583/2016 pentru aprobarea formularisticii prevăzute de art. 230 și 232 din Legea nr. 227/2015 privind Codul fiscal, cu modificările și completările ulterioare.</w:t>
      </w:r>
    </w:p>
    <w:p w:rsidR="00785238" w:rsidRPr="00AF3608" w:rsidRDefault="00785238" w:rsidP="00B723C0">
      <w:pPr>
        <w:tabs>
          <w:tab w:val="left" w:pos="426"/>
        </w:tabs>
        <w:suppressAutoHyphens/>
        <w:spacing w:before="120"/>
        <w:ind w:left="426"/>
        <w:jc w:val="both"/>
        <w:rPr>
          <w:rFonts w:ascii="Calibri" w:eastAsia="Calibri" w:hAnsi="Calibri" w:cs="Calibri"/>
          <w:color w:val="000000"/>
          <w:lang w:val="ro-RO"/>
        </w:rPr>
      </w:pPr>
      <w:r w:rsidRPr="00AF3608">
        <w:rPr>
          <w:rFonts w:ascii="Calibri" w:eastAsia="Calibri" w:hAnsi="Calibri" w:cs="Calibri"/>
          <w:color w:val="000000"/>
          <w:lang w:val="ro-RO"/>
        </w:rPr>
        <w:tab/>
      </w:r>
      <w:r w:rsidR="00016063" w:rsidRPr="00AF3608">
        <w:rPr>
          <w:rFonts w:ascii="Calibri" w:eastAsia="Calibri" w:hAnsi="Calibri" w:cs="Calibri"/>
          <w:color w:val="000000"/>
          <w:lang w:val="ro-RO"/>
        </w:rPr>
        <w:t>O nouă facilitate pentru contribuabili, dezvoltată și implementată de ANAF în anul 2020, a fost plata cu cardul bancar. Astfel, persoanele înregistrate în SPV pot face plata obligațiilor fiscale direct cu cardul bancar, prin interconectarea cu platforma ghiseul.ro.</w:t>
      </w:r>
    </w:p>
    <w:p w:rsidR="00785238" w:rsidRPr="00AF3608" w:rsidRDefault="00785238" w:rsidP="00B723C0">
      <w:pPr>
        <w:tabs>
          <w:tab w:val="left" w:pos="426"/>
        </w:tabs>
        <w:suppressAutoHyphens/>
        <w:spacing w:before="120"/>
        <w:ind w:left="426"/>
        <w:jc w:val="both"/>
        <w:rPr>
          <w:rFonts w:ascii="Calibri" w:eastAsia="Calibri" w:hAnsi="Calibri" w:cs="Calibri"/>
          <w:color w:val="000000"/>
          <w:lang w:val="ro-RO"/>
        </w:rPr>
      </w:pPr>
      <w:r w:rsidRPr="00AF3608">
        <w:rPr>
          <w:rFonts w:ascii="Calibri" w:eastAsia="Calibri" w:hAnsi="Calibri" w:cs="Calibri"/>
          <w:color w:val="000000"/>
          <w:lang w:val="ro-RO"/>
        </w:rPr>
        <w:tab/>
      </w:r>
      <w:r w:rsidR="00016063" w:rsidRPr="00AF3608">
        <w:rPr>
          <w:rFonts w:ascii="Calibri" w:eastAsia="Calibri" w:hAnsi="Calibri" w:cs="Calibri"/>
          <w:color w:val="000000"/>
          <w:lang w:val="ro-RO"/>
        </w:rPr>
        <w:t>În vederea limitării deplasării contribuabililor la sediile ANAF, a fost extinsă posibilitatea înrolării în SPV de către persoanele fizice care nu dețin un certificat digital. În ceea ce privește utilizarea facilităților electronice puse la dispoziția contribuabililor, se remarcă  o creștere de 134,5% a contribuabililor persoane fizice înregis</w:t>
      </w:r>
      <w:r w:rsidRPr="00AF3608">
        <w:rPr>
          <w:rFonts w:ascii="Calibri" w:eastAsia="Calibri" w:hAnsi="Calibri" w:cs="Calibri"/>
          <w:color w:val="000000"/>
          <w:lang w:val="ro-RO"/>
        </w:rPr>
        <w:t>trate în Spațiul Privat Virtual;</w:t>
      </w:r>
    </w:p>
    <w:p w:rsidR="00785238" w:rsidRPr="00AF3608" w:rsidRDefault="00785238" w:rsidP="00B723C0">
      <w:pPr>
        <w:tabs>
          <w:tab w:val="left" w:pos="426"/>
        </w:tabs>
        <w:suppressAutoHyphens/>
        <w:spacing w:before="120"/>
        <w:ind w:left="426"/>
        <w:jc w:val="both"/>
        <w:rPr>
          <w:rFonts w:ascii="Calibri" w:eastAsia="Calibri" w:hAnsi="Calibri" w:cs="Calibri"/>
          <w:color w:val="000000"/>
          <w:lang w:val="ro-RO"/>
        </w:rPr>
      </w:pPr>
      <w:r w:rsidRPr="00AF3608">
        <w:rPr>
          <w:rFonts w:ascii="Calibri" w:eastAsia="Calibri" w:hAnsi="Calibri" w:cs="Calibri"/>
          <w:color w:val="000000"/>
          <w:lang w:val="ro-RO"/>
        </w:rPr>
        <w:tab/>
      </w:r>
      <w:r w:rsidR="00016063" w:rsidRPr="00AF3608">
        <w:rPr>
          <w:rFonts w:ascii="Calibri" w:eastAsia="Calibri" w:hAnsi="Calibri" w:cs="Calibri"/>
          <w:color w:val="000000"/>
          <w:lang w:val="ro-RO"/>
        </w:rPr>
        <w:t>ANAF și MF au început demersurile necesare în vederea extinderii și dezvoltării Call-center-ului Agentiei Nationale de Administrare Fiscala, inclusiv a gamei serviciilor oferite prin Call-center și capacității acestuia. Acest proiect include următoarele acțiuni:</w:t>
      </w:r>
    </w:p>
    <w:p w:rsidR="00785238" w:rsidRPr="00AF3608" w:rsidRDefault="00016063" w:rsidP="003A0B85">
      <w:pPr>
        <w:pStyle w:val="ListParagraph"/>
        <w:numPr>
          <w:ilvl w:val="0"/>
          <w:numId w:val="36"/>
        </w:numPr>
        <w:tabs>
          <w:tab w:val="left" w:pos="426"/>
        </w:tabs>
        <w:suppressAutoHyphens/>
        <w:spacing w:before="120"/>
        <w:jc w:val="both"/>
        <w:rPr>
          <w:rFonts w:ascii="Calibri" w:hAnsi="Calibri" w:cs="Calibri"/>
          <w:color w:val="000000"/>
        </w:rPr>
      </w:pPr>
      <w:r w:rsidRPr="00AF3608">
        <w:rPr>
          <w:rFonts w:ascii="Calibri" w:hAnsi="Calibri" w:cs="Calibri"/>
          <w:color w:val="000000"/>
        </w:rPr>
        <w:t>extinderea numărului unic la nivel național (achizitionare infrastructura si mărirea capacității structurii organizatorice a Call-center-ului etc.);</w:t>
      </w:r>
    </w:p>
    <w:p w:rsidR="00785238" w:rsidRPr="00AF3608" w:rsidRDefault="00016063" w:rsidP="003A0B85">
      <w:pPr>
        <w:pStyle w:val="ListParagraph"/>
        <w:numPr>
          <w:ilvl w:val="0"/>
          <w:numId w:val="36"/>
        </w:numPr>
        <w:tabs>
          <w:tab w:val="left" w:pos="426"/>
        </w:tabs>
        <w:suppressAutoHyphens/>
        <w:spacing w:before="120"/>
        <w:jc w:val="both"/>
        <w:rPr>
          <w:rFonts w:ascii="Calibri" w:hAnsi="Calibri" w:cs="Calibri"/>
          <w:color w:val="000000"/>
        </w:rPr>
      </w:pPr>
      <w:r w:rsidRPr="00AF3608">
        <w:rPr>
          <w:rFonts w:ascii="Calibri" w:hAnsi="Calibri" w:cs="Calibri"/>
          <w:color w:val="000000"/>
        </w:rPr>
        <w:t>modificarea modului de interacțiune cu contribuabilii (analizarea posibilitatii de a oferi informatii supuse secretului fiscal, a modului în care se va acorda prin Call-center asistența digitalizată - chat/chatbot/asistent virtual etc);</w:t>
      </w:r>
    </w:p>
    <w:p w:rsidR="00016063" w:rsidRPr="00AF3608" w:rsidRDefault="00016063" w:rsidP="003A0B85">
      <w:pPr>
        <w:pStyle w:val="ListParagraph"/>
        <w:numPr>
          <w:ilvl w:val="0"/>
          <w:numId w:val="36"/>
        </w:numPr>
        <w:tabs>
          <w:tab w:val="left" w:pos="426"/>
        </w:tabs>
        <w:suppressAutoHyphens/>
        <w:spacing w:before="120"/>
        <w:jc w:val="both"/>
        <w:rPr>
          <w:rFonts w:ascii="Calibri" w:hAnsi="Calibri" w:cs="Calibri"/>
          <w:color w:val="000000"/>
        </w:rPr>
      </w:pPr>
      <w:r w:rsidRPr="00AF3608">
        <w:rPr>
          <w:rFonts w:ascii="Calibri" w:hAnsi="Calibri" w:cs="Calibri"/>
          <w:color w:val="000000"/>
        </w:rPr>
        <w:t>analizarea de noi funcționalități pentru oferirea de servicii noi contribuabililor prin Call-center.</w:t>
      </w:r>
    </w:p>
    <w:p w:rsidR="00785238" w:rsidRPr="00AF3608" w:rsidRDefault="00785238" w:rsidP="00B723C0">
      <w:pPr>
        <w:tabs>
          <w:tab w:val="left" w:pos="426"/>
        </w:tabs>
        <w:suppressAutoHyphens/>
        <w:spacing w:before="120"/>
        <w:ind w:left="426"/>
        <w:jc w:val="both"/>
        <w:rPr>
          <w:rFonts w:ascii="Calibri" w:eastAsia="Calibri" w:hAnsi="Calibri" w:cs="Calibri"/>
          <w:color w:val="000000"/>
          <w:lang w:val="ro-RO"/>
        </w:rPr>
      </w:pPr>
      <w:r w:rsidRPr="00AF3608">
        <w:rPr>
          <w:rFonts w:ascii="Calibri" w:eastAsia="Calibri" w:hAnsi="Calibri" w:cs="Calibri"/>
          <w:color w:val="000000"/>
          <w:lang w:val="ro-RO"/>
        </w:rPr>
        <w:tab/>
      </w:r>
      <w:r w:rsidR="00016063" w:rsidRPr="00AF3608">
        <w:rPr>
          <w:rFonts w:ascii="Calibri" w:eastAsia="Calibri" w:hAnsi="Calibri" w:cs="Calibri"/>
          <w:color w:val="000000"/>
          <w:lang w:val="ro-RO"/>
        </w:rPr>
        <w:t>În vederea informării contribuabililor cu privire la facilitățile fiscale a fost publicat pe site-ul ANAF, în secțiunea Asistență contribuabili, în luna noiembrie, materialul informativ intitulat  ,,</w:t>
      </w:r>
      <w:r w:rsidR="00016063" w:rsidRPr="00AF3608">
        <w:rPr>
          <w:rFonts w:ascii="Calibri" w:eastAsia="Calibri" w:hAnsi="Calibri" w:cs="Calibri"/>
          <w:i/>
          <w:iCs/>
          <w:color w:val="000000"/>
          <w:lang w:val="ro-RO"/>
        </w:rPr>
        <w:t>Tipuri de facilități fiscale ce pot fi accesate pentru conformarea la plată a obligațiilor fiscale</w:t>
      </w:r>
      <w:r w:rsidR="00016063" w:rsidRPr="00AF3608">
        <w:rPr>
          <w:rFonts w:ascii="Calibri" w:eastAsia="Calibri" w:hAnsi="Calibri" w:cs="Calibri"/>
          <w:color w:val="000000"/>
          <w:lang w:val="ro-RO"/>
        </w:rPr>
        <w:t>”.</w:t>
      </w:r>
    </w:p>
    <w:p w:rsidR="00016063" w:rsidRPr="00AF3608" w:rsidRDefault="00785238" w:rsidP="00B723C0">
      <w:pPr>
        <w:tabs>
          <w:tab w:val="left" w:pos="426"/>
        </w:tabs>
        <w:suppressAutoHyphens/>
        <w:spacing w:before="120"/>
        <w:ind w:left="426"/>
        <w:jc w:val="both"/>
        <w:rPr>
          <w:rFonts w:ascii="Calibri" w:eastAsia="Calibri" w:hAnsi="Calibri" w:cs="Calibri"/>
          <w:color w:val="000000"/>
          <w:lang w:val="ro-RO"/>
        </w:rPr>
      </w:pPr>
      <w:r w:rsidRPr="00AF3608">
        <w:rPr>
          <w:rFonts w:ascii="Calibri" w:eastAsia="Calibri" w:hAnsi="Calibri" w:cs="Calibri"/>
          <w:color w:val="000000"/>
          <w:lang w:val="ro-RO"/>
        </w:rPr>
        <w:tab/>
      </w:r>
      <w:r w:rsidR="00016063" w:rsidRPr="00AF3608">
        <w:rPr>
          <w:rFonts w:ascii="Calibri" w:eastAsia="Calibri" w:hAnsi="Calibri" w:cs="Calibri"/>
          <w:color w:val="000000"/>
          <w:lang w:val="ro-RO"/>
        </w:rPr>
        <w:t>În vederea cunoașterii schimbărilor preconizate de digitalizare și a serviciilor nou lansate pentru contribuabili, în anul 2020, au fost organizate sesiuni de instruire cu tema ,,</w:t>
      </w:r>
      <w:r w:rsidR="00016063" w:rsidRPr="00AF3608">
        <w:rPr>
          <w:rFonts w:ascii="Calibri" w:eastAsia="Calibri" w:hAnsi="Calibri" w:cs="Calibri"/>
          <w:i/>
          <w:iCs/>
          <w:color w:val="000000"/>
          <w:lang w:val="ro-RO"/>
        </w:rPr>
        <w:t>Serviciile oferite contribuabililor – Înregistrarea în SPV</w:t>
      </w:r>
      <w:r w:rsidR="00016063" w:rsidRPr="00AF3608">
        <w:rPr>
          <w:rFonts w:ascii="Calibri" w:eastAsia="Calibri" w:hAnsi="Calibri" w:cs="Calibri"/>
          <w:color w:val="000000"/>
          <w:lang w:val="ro-RO"/>
        </w:rPr>
        <w:t>” și „</w:t>
      </w:r>
      <w:r w:rsidR="00016063" w:rsidRPr="00AF3608">
        <w:rPr>
          <w:rFonts w:ascii="Calibri" w:eastAsia="Calibri" w:hAnsi="Calibri" w:cs="Calibri"/>
          <w:i/>
          <w:iCs/>
          <w:color w:val="000000"/>
          <w:lang w:val="ro-RO"/>
        </w:rPr>
        <w:t>Programarea on-line</w:t>
      </w:r>
      <w:r w:rsidR="00016063" w:rsidRPr="00AF3608">
        <w:rPr>
          <w:rFonts w:ascii="Calibri" w:eastAsia="Calibri" w:hAnsi="Calibri" w:cs="Calibri"/>
          <w:color w:val="000000"/>
          <w:lang w:val="ro-RO"/>
        </w:rPr>
        <w:t xml:space="preserve">” la care au participat funcționari publici care aprobă înrolarea în SPV a persoanelor fizice prin identificare vizuală on-line. </w:t>
      </w:r>
    </w:p>
    <w:p w:rsidR="00785238" w:rsidRPr="00AF3608" w:rsidRDefault="00785238" w:rsidP="00B723C0">
      <w:pPr>
        <w:tabs>
          <w:tab w:val="left" w:pos="426"/>
        </w:tabs>
        <w:suppressAutoHyphens/>
        <w:spacing w:before="120"/>
        <w:jc w:val="both"/>
        <w:rPr>
          <w:rFonts w:ascii="Calibri" w:eastAsia="Calibri" w:hAnsi="Calibri" w:cs="Calibri"/>
          <w:color w:val="000000"/>
          <w:lang w:val="ro-RO"/>
        </w:rPr>
      </w:pPr>
    </w:p>
    <w:p w:rsidR="00785238" w:rsidRPr="00AF3608" w:rsidRDefault="00016063" w:rsidP="00B723C0">
      <w:pPr>
        <w:tabs>
          <w:tab w:val="left" w:pos="426"/>
        </w:tabs>
        <w:suppressAutoHyphens/>
        <w:spacing w:before="120"/>
        <w:jc w:val="both"/>
        <w:rPr>
          <w:rFonts w:ascii="Calibri" w:eastAsia="Calibri" w:hAnsi="Calibri" w:cs="Calibri"/>
          <w:color w:val="000000"/>
          <w:lang w:val="ro-RO"/>
        </w:rPr>
      </w:pPr>
      <w:r w:rsidRPr="00AF3608">
        <w:rPr>
          <w:rFonts w:ascii="Calibri" w:eastAsia="Calibri" w:hAnsi="Calibri" w:cs="Calibri"/>
          <w:color w:val="000000"/>
          <w:lang w:val="ro-RO"/>
        </w:rPr>
        <w:t xml:space="preserve">În anul 2020 </w:t>
      </w:r>
      <w:r w:rsidRPr="00AF3608">
        <w:rPr>
          <w:rFonts w:ascii="Calibri" w:eastAsia="Calibri" w:hAnsi="Calibri" w:cs="Calibri"/>
          <w:b/>
          <w:color w:val="000000"/>
          <w:lang w:val="ro-RO"/>
        </w:rPr>
        <w:t>a fost finalizată reorganizarea ANAF</w:t>
      </w:r>
      <w:r w:rsidRPr="00AF3608">
        <w:rPr>
          <w:rFonts w:ascii="Calibri" w:eastAsia="Calibri" w:hAnsi="Calibri" w:cs="Calibri"/>
          <w:color w:val="000000"/>
          <w:lang w:val="ro-RO"/>
        </w:rPr>
        <w:t xml:space="preserve"> având ca principal obiectiv implementarea unui nou design arhitectural al organizației prin alocarea resursei umane în sectoarele de activitate unde aceasta era deficitară. În acest context au fost atinse următoarele ținte: </w:t>
      </w:r>
    </w:p>
    <w:p w:rsidR="00785238" w:rsidRPr="00AF3608" w:rsidRDefault="00016063" w:rsidP="003A0B85">
      <w:pPr>
        <w:pStyle w:val="ListParagraph"/>
        <w:numPr>
          <w:ilvl w:val="0"/>
          <w:numId w:val="37"/>
        </w:numPr>
        <w:tabs>
          <w:tab w:val="left" w:pos="426"/>
        </w:tabs>
        <w:suppressAutoHyphens/>
        <w:spacing w:before="120"/>
        <w:jc w:val="both"/>
        <w:rPr>
          <w:rFonts w:ascii="Calibri" w:hAnsi="Calibri" w:cs="Calibri"/>
          <w:color w:val="000000"/>
        </w:rPr>
      </w:pPr>
      <w:r w:rsidRPr="00AF3608">
        <w:rPr>
          <w:rFonts w:ascii="Calibri" w:hAnsi="Calibri" w:cs="Calibri"/>
          <w:color w:val="000000"/>
        </w:rPr>
        <w:t>reducerea cu 2000 de posturi a aparatului ANAF;</w:t>
      </w:r>
    </w:p>
    <w:p w:rsidR="00785238" w:rsidRPr="00AF3608" w:rsidRDefault="00016063" w:rsidP="003A0B85">
      <w:pPr>
        <w:pStyle w:val="ListParagraph"/>
        <w:numPr>
          <w:ilvl w:val="0"/>
          <w:numId w:val="37"/>
        </w:numPr>
        <w:tabs>
          <w:tab w:val="left" w:pos="426"/>
        </w:tabs>
        <w:suppressAutoHyphens/>
        <w:spacing w:before="120"/>
        <w:jc w:val="both"/>
        <w:rPr>
          <w:rFonts w:ascii="Calibri" w:hAnsi="Calibri" w:cs="Calibri"/>
          <w:color w:val="000000"/>
        </w:rPr>
      </w:pPr>
      <w:r w:rsidRPr="00AF3608">
        <w:rPr>
          <w:rFonts w:ascii="Calibri" w:hAnsi="Calibri" w:cs="Calibri"/>
          <w:color w:val="000000"/>
        </w:rPr>
        <w:t>reducerea numărului cabinetelor de demnitari de la 4 la 3 vicepreședinți;</w:t>
      </w:r>
    </w:p>
    <w:p w:rsidR="00785238" w:rsidRPr="00AF3608" w:rsidRDefault="00016063" w:rsidP="003A0B85">
      <w:pPr>
        <w:pStyle w:val="ListParagraph"/>
        <w:numPr>
          <w:ilvl w:val="0"/>
          <w:numId w:val="37"/>
        </w:numPr>
        <w:tabs>
          <w:tab w:val="left" w:pos="426"/>
        </w:tabs>
        <w:suppressAutoHyphens/>
        <w:spacing w:before="120"/>
        <w:jc w:val="both"/>
        <w:rPr>
          <w:rFonts w:ascii="Calibri" w:hAnsi="Calibri" w:cs="Calibri"/>
          <w:color w:val="000000"/>
        </w:rPr>
      </w:pPr>
      <w:r w:rsidRPr="00AF3608">
        <w:rPr>
          <w:rFonts w:ascii="Calibri" w:hAnsi="Calibri" w:cs="Calibri"/>
          <w:color w:val="000000"/>
        </w:rPr>
        <w:t>reconfigurarea structurii organizatorice a Direcției Generale Antifraudă Fiscală pentru creşterea aportului acesteia în procesul de colectare a creanţelor bugetare;</w:t>
      </w:r>
    </w:p>
    <w:p w:rsidR="00785238" w:rsidRPr="00AF3608" w:rsidRDefault="00016063" w:rsidP="003A0B85">
      <w:pPr>
        <w:pStyle w:val="ListParagraph"/>
        <w:numPr>
          <w:ilvl w:val="0"/>
          <w:numId w:val="37"/>
        </w:numPr>
        <w:tabs>
          <w:tab w:val="left" w:pos="426"/>
        </w:tabs>
        <w:suppressAutoHyphens/>
        <w:spacing w:before="120"/>
        <w:jc w:val="both"/>
        <w:rPr>
          <w:rFonts w:ascii="Calibri" w:hAnsi="Calibri" w:cs="Calibri"/>
          <w:color w:val="000000"/>
        </w:rPr>
      </w:pPr>
      <w:r w:rsidRPr="00AF3608">
        <w:rPr>
          <w:rFonts w:ascii="Calibri" w:hAnsi="Calibri" w:cs="Calibri"/>
          <w:color w:val="000000"/>
        </w:rPr>
        <w:t xml:space="preserve">crearea structurii de management a riscului, care contribuie în mod semnificativ la stimularea conformării fiscale voluntare a contribuabililor prin programe vizând riscurile critice identificate;  </w:t>
      </w:r>
    </w:p>
    <w:p w:rsidR="00785238" w:rsidRPr="00AF3608" w:rsidRDefault="00016063" w:rsidP="003A0B85">
      <w:pPr>
        <w:pStyle w:val="ListParagraph"/>
        <w:numPr>
          <w:ilvl w:val="0"/>
          <w:numId w:val="37"/>
        </w:numPr>
        <w:tabs>
          <w:tab w:val="left" w:pos="426"/>
        </w:tabs>
        <w:suppressAutoHyphens/>
        <w:spacing w:before="120"/>
        <w:jc w:val="both"/>
        <w:rPr>
          <w:rFonts w:ascii="Calibri" w:hAnsi="Calibri" w:cs="Calibri"/>
          <w:color w:val="000000"/>
        </w:rPr>
      </w:pPr>
      <w:r w:rsidRPr="00AF3608">
        <w:rPr>
          <w:rFonts w:ascii="Calibri" w:hAnsi="Calibri" w:cs="Calibri"/>
          <w:color w:val="000000"/>
        </w:rPr>
        <w:lastRenderedPageBreak/>
        <w:t>înființarea unei structuri care va susține procesul decizional al conducerii ANAF cu privire la prioritățile strategice ale instituției asigurând, de la nivel central, optimizarea procesului de alocare a resurselor Agenției;</w:t>
      </w:r>
    </w:p>
    <w:p w:rsidR="00016063" w:rsidRPr="00AF3608" w:rsidRDefault="00016063" w:rsidP="003A0B85">
      <w:pPr>
        <w:pStyle w:val="ListParagraph"/>
        <w:numPr>
          <w:ilvl w:val="0"/>
          <w:numId w:val="37"/>
        </w:numPr>
        <w:tabs>
          <w:tab w:val="left" w:pos="426"/>
        </w:tabs>
        <w:suppressAutoHyphens/>
        <w:spacing w:before="120"/>
        <w:jc w:val="both"/>
        <w:rPr>
          <w:rFonts w:ascii="Calibri" w:hAnsi="Calibri" w:cs="Calibri"/>
          <w:color w:val="000000"/>
        </w:rPr>
      </w:pPr>
      <w:r w:rsidRPr="00AF3608">
        <w:rPr>
          <w:rFonts w:ascii="Calibri" w:hAnsi="Calibri" w:cs="Calibri"/>
          <w:color w:val="000000"/>
        </w:rPr>
        <w:t>înființarea Unității de management a informației cu scopul de a accelera procesul de informatizare a agenției și prioritățile instituției în acest domeniu.</w:t>
      </w:r>
    </w:p>
    <w:p w:rsidR="00016063" w:rsidRPr="00AF3608" w:rsidRDefault="00016063" w:rsidP="00B723C0">
      <w:pPr>
        <w:overflowPunct w:val="0"/>
        <w:spacing w:before="120"/>
        <w:jc w:val="both"/>
        <w:rPr>
          <w:rFonts w:ascii="Calibri" w:eastAsia="Calibri" w:hAnsi="Calibri" w:cs="Calibri"/>
          <w:color w:val="000000"/>
          <w:lang w:val="ro-RO"/>
        </w:rPr>
      </w:pPr>
      <w:r w:rsidRPr="00AF3608">
        <w:rPr>
          <w:rFonts w:ascii="Calibri" w:eastAsia="Calibri" w:hAnsi="Calibri" w:cs="Calibri"/>
          <w:color w:val="000000"/>
          <w:lang w:val="ro-RO"/>
        </w:rPr>
        <w:t xml:space="preserve">În contextul crizei sanitare, au fost adoptate măsuri speciale de protecție a contribuabililor și a personalului propriu, fiind organizată activitatea de muncă la domiciliu prin punerea la dispoziția salariaților de echipamente mobile (tablete, laptopuri), pentru comunicarea la distanță și accesarea bazelor de date. </w:t>
      </w:r>
    </w:p>
    <w:p w:rsidR="00785238" w:rsidRPr="00AF3608" w:rsidRDefault="00785238" w:rsidP="00B723C0">
      <w:pPr>
        <w:overflowPunct w:val="0"/>
        <w:spacing w:before="120"/>
        <w:ind w:firstLine="426"/>
        <w:jc w:val="both"/>
        <w:rPr>
          <w:rFonts w:ascii="Calibri" w:eastAsia="Calibri" w:hAnsi="Calibri" w:cs="Calibri"/>
          <w:color w:val="000000"/>
          <w:lang w:val="ro-RO"/>
        </w:rPr>
      </w:pPr>
    </w:p>
    <w:p w:rsidR="00016063" w:rsidRPr="00AF3608" w:rsidRDefault="00016063" w:rsidP="00B723C0">
      <w:pPr>
        <w:shd w:val="clear" w:color="auto" w:fill="DEEAF6" w:themeFill="accent1" w:themeFillTint="33"/>
        <w:suppressAutoHyphens/>
        <w:spacing w:after="160" w:line="259" w:lineRule="auto"/>
        <w:jc w:val="both"/>
        <w:rPr>
          <w:rFonts w:ascii="Calibri" w:eastAsia="Calibri" w:hAnsi="Calibri" w:cs="Calibri"/>
          <w:b/>
          <w:color w:val="000000"/>
          <w:lang w:val="ro-RO" w:eastAsia="zh-CN"/>
        </w:rPr>
      </w:pPr>
      <w:r w:rsidRPr="00AF3608">
        <w:rPr>
          <w:rFonts w:ascii="Calibri" w:eastAsia="Calibri" w:hAnsi="Calibri" w:cs="Calibri"/>
          <w:b/>
          <w:color w:val="000000"/>
          <w:lang w:val="ro-RO" w:eastAsia="zh-CN"/>
        </w:rPr>
        <w:t>II. Obiective strategice ale ANAF pe termen scurt şi mediu – prezentare selectivă</w:t>
      </w:r>
    </w:p>
    <w:p w:rsidR="00016063" w:rsidRPr="00AF3608" w:rsidRDefault="00785238" w:rsidP="00B723C0">
      <w:pPr>
        <w:spacing w:before="120"/>
        <w:jc w:val="both"/>
        <w:rPr>
          <w:rFonts w:ascii="Calibri" w:eastAsia="Calibri" w:hAnsi="Calibri" w:cs="Calibri"/>
          <w:color w:val="000000"/>
          <w:lang w:val="ro-RO"/>
        </w:rPr>
      </w:pPr>
      <w:r w:rsidRPr="00AF3608">
        <w:rPr>
          <w:rFonts w:ascii="Calibri" w:eastAsia="Calibri" w:hAnsi="Calibri" w:cs="Calibri"/>
          <w:color w:val="000000"/>
          <w:lang w:val="ro-RO"/>
        </w:rPr>
        <w:t xml:space="preserve">În contextul </w:t>
      </w:r>
      <w:r w:rsidR="00016063" w:rsidRPr="00AF3608">
        <w:rPr>
          <w:rFonts w:ascii="Calibri" w:eastAsia="Calibri" w:hAnsi="Calibri" w:cs="Calibri"/>
          <w:color w:val="000000"/>
          <w:lang w:val="ro-RO"/>
        </w:rPr>
        <w:t xml:space="preserve">impactului economic și fiscal al situației generate de pandemia SARS-Cov-2, ANAF a elaborat </w:t>
      </w:r>
      <w:r w:rsidR="00016063" w:rsidRPr="00AF3608">
        <w:rPr>
          <w:rFonts w:ascii="Calibri" w:eastAsia="Calibri" w:hAnsi="Calibri" w:cs="Calibri"/>
          <w:b/>
          <w:color w:val="000000"/>
          <w:lang w:val="ro-RO"/>
        </w:rPr>
        <w:t xml:space="preserve">Planul operational de recuperare a veniturilor, </w:t>
      </w:r>
      <w:r w:rsidR="00016063" w:rsidRPr="00AF3608">
        <w:rPr>
          <w:rFonts w:ascii="Calibri" w:eastAsia="Calibri" w:hAnsi="Calibri" w:cs="Calibri"/>
          <w:color w:val="000000"/>
          <w:lang w:val="ro-RO"/>
        </w:rPr>
        <w:t xml:space="preserve">document în care se regăsesc măsurile necesare perioadei de recuperare și modul în care trebuie să se concentreze atenția și resursele existente pentru o colectare bugetară eficientă în condiții de protecție sanitară a personalului propriu și a contribuabililor. Implementarea planului a debutat la începutul lunii iulie 2020 și are un orizont de implementare de 12 luni. </w:t>
      </w:r>
    </w:p>
    <w:p w:rsidR="00016063" w:rsidRPr="00AF3608" w:rsidRDefault="00016063" w:rsidP="00B723C0">
      <w:pPr>
        <w:spacing w:before="120"/>
        <w:jc w:val="both"/>
        <w:rPr>
          <w:rFonts w:ascii="Calibri" w:eastAsia="Calibri" w:hAnsi="Calibri" w:cs="Calibri"/>
          <w:color w:val="000000"/>
          <w:lang w:val="ro-RO"/>
        </w:rPr>
      </w:pPr>
      <w:r w:rsidRPr="00AF3608">
        <w:rPr>
          <w:rFonts w:ascii="Calibri" w:eastAsia="Calibri" w:hAnsi="Calibri" w:cs="Calibri"/>
          <w:color w:val="000000"/>
          <w:lang w:val="ro-RO"/>
        </w:rPr>
        <w:t>Documentul este structurat pe trei mari capitole:</w:t>
      </w:r>
    </w:p>
    <w:p w:rsidR="00016063" w:rsidRPr="00AF3608" w:rsidRDefault="00016063" w:rsidP="003A0B85">
      <w:pPr>
        <w:pStyle w:val="ListParagraph"/>
        <w:numPr>
          <w:ilvl w:val="0"/>
          <w:numId w:val="31"/>
        </w:numPr>
        <w:tabs>
          <w:tab w:val="left" w:pos="420"/>
        </w:tabs>
        <w:spacing w:before="120"/>
        <w:jc w:val="both"/>
        <w:rPr>
          <w:rFonts w:ascii="Calibri" w:hAnsi="Calibri" w:cs="Calibri"/>
          <w:color w:val="000000"/>
        </w:rPr>
      </w:pPr>
      <w:r w:rsidRPr="00AF3608">
        <w:rPr>
          <w:rFonts w:ascii="Calibri" w:hAnsi="Calibri" w:cs="Calibri"/>
          <w:b/>
          <w:color w:val="000000"/>
        </w:rPr>
        <w:t>Capitolul I ”Măsuri de salvgardare a veniturilor”</w:t>
      </w:r>
      <w:r w:rsidRPr="00AF3608">
        <w:rPr>
          <w:rFonts w:ascii="Calibri" w:hAnsi="Calibri" w:cs="Calibri"/>
          <w:color w:val="000000"/>
        </w:rPr>
        <w:t xml:space="preserve"> cuprinde măsuri în domenii prioritare pentru ANAF precum managementul riscurilor, sprijinirea activității de conformare voluntară, activitatea de colectare și activitatea de control fiscal.</w:t>
      </w:r>
    </w:p>
    <w:p w:rsidR="00016063" w:rsidRPr="00AF3608" w:rsidRDefault="00016063" w:rsidP="003A0B85">
      <w:pPr>
        <w:numPr>
          <w:ilvl w:val="0"/>
          <w:numId w:val="31"/>
        </w:numPr>
        <w:tabs>
          <w:tab w:val="left" w:pos="420"/>
        </w:tabs>
        <w:spacing w:before="120"/>
        <w:jc w:val="both"/>
        <w:rPr>
          <w:rFonts w:ascii="Calibri" w:eastAsia="Calibri" w:hAnsi="Calibri" w:cs="Calibri"/>
          <w:color w:val="000000"/>
          <w:lang w:val="ro-RO"/>
        </w:rPr>
      </w:pPr>
      <w:r w:rsidRPr="00AF3608">
        <w:rPr>
          <w:rFonts w:ascii="Calibri" w:eastAsia="Calibri" w:hAnsi="Calibri" w:cs="Calibri"/>
          <w:b/>
          <w:color w:val="000000"/>
          <w:lang w:val="ro-RO"/>
        </w:rPr>
        <w:t xml:space="preserve">Capitolul II ”Asigurarea disponibilității serviciilor pentru contribuabili” </w:t>
      </w:r>
      <w:r w:rsidRPr="00AF3608">
        <w:rPr>
          <w:rFonts w:ascii="Calibri" w:eastAsia="Calibri" w:hAnsi="Calibri" w:cs="Calibri"/>
          <w:color w:val="000000"/>
          <w:lang w:val="ro-RO"/>
        </w:rPr>
        <w:t>conține măsuri care vizează îmbunătățirea comunicării cu contribuabilii și facilitarea migrării contribuabililor către mediul electronic.</w:t>
      </w:r>
    </w:p>
    <w:p w:rsidR="00016063" w:rsidRPr="00AF3608" w:rsidRDefault="00016063" w:rsidP="003A0B85">
      <w:pPr>
        <w:numPr>
          <w:ilvl w:val="0"/>
          <w:numId w:val="31"/>
        </w:numPr>
        <w:tabs>
          <w:tab w:val="left" w:pos="420"/>
        </w:tabs>
        <w:spacing w:before="120"/>
        <w:jc w:val="both"/>
        <w:rPr>
          <w:rFonts w:ascii="Calibri" w:eastAsia="Calibri" w:hAnsi="Calibri" w:cs="Calibri"/>
          <w:color w:val="000000"/>
          <w:lang w:val="ro-RO"/>
        </w:rPr>
      </w:pPr>
      <w:r w:rsidRPr="00AF3608">
        <w:rPr>
          <w:rFonts w:ascii="Calibri" w:eastAsia="Calibri" w:hAnsi="Calibri" w:cs="Calibri"/>
          <w:b/>
          <w:color w:val="000000"/>
          <w:lang w:val="ro-RO"/>
        </w:rPr>
        <w:t xml:space="preserve">Capitolul III ”Măsuri pentru susținerea proceselor de business vizează continuitatea derulării activităților și securitatea și sănătatea personalului și a contribuabililor” </w:t>
      </w:r>
      <w:r w:rsidRPr="00AF3608">
        <w:rPr>
          <w:rFonts w:ascii="Calibri" w:eastAsia="Calibri" w:hAnsi="Calibri" w:cs="Calibri"/>
          <w:color w:val="000000"/>
          <w:lang w:val="ro-RO"/>
        </w:rPr>
        <w:t>prezintă măsuri pentru definirea activităților de comunicare internă și externă în noul context precum și de continuitate a activității personalului ANAF.</w:t>
      </w:r>
    </w:p>
    <w:p w:rsidR="00016063" w:rsidRPr="00AF3608" w:rsidRDefault="00016063" w:rsidP="00B723C0">
      <w:pPr>
        <w:spacing w:before="120"/>
        <w:jc w:val="both"/>
        <w:rPr>
          <w:rFonts w:ascii="Calibri" w:eastAsia="Calibri" w:hAnsi="Calibri" w:cs="Calibri"/>
          <w:color w:val="000000"/>
          <w:lang w:val="ro-RO"/>
        </w:rPr>
      </w:pPr>
      <w:r w:rsidRPr="00AF3608">
        <w:rPr>
          <w:rFonts w:ascii="Calibri" w:eastAsia="Calibri" w:hAnsi="Calibri" w:cs="Calibri"/>
          <w:color w:val="000000"/>
          <w:lang w:val="ro-RO"/>
        </w:rPr>
        <w:t xml:space="preserve">Viziunea ANAF pentru următorii patru ani este de a deveni o administraţie fiscală și vamală </w:t>
      </w:r>
      <w:r w:rsidRPr="00AF3608">
        <w:rPr>
          <w:rFonts w:ascii="Calibri" w:eastAsia="Calibri" w:hAnsi="Calibri" w:cs="Calibri"/>
          <w:b/>
          <w:bCs/>
          <w:color w:val="000000"/>
          <w:lang w:val="ro-RO"/>
        </w:rPr>
        <w:t>inovatoare și eficientă, capabilă să răspundă provocărilor mediului extern, care să ofere servicii noi și adaptate diferitelor categorii de contribuabili</w:t>
      </w:r>
      <w:r w:rsidRPr="00AF3608">
        <w:rPr>
          <w:rFonts w:ascii="Calibri" w:eastAsia="Calibri" w:hAnsi="Calibri" w:cs="Calibri"/>
          <w:color w:val="000000"/>
          <w:lang w:val="ro-RO"/>
        </w:rPr>
        <w:t>.</w:t>
      </w:r>
    </w:p>
    <w:p w:rsidR="00785238" w:rsidRPr="00AF3608" w:rsidRDefault="00016063" w:rsidP="00B723C0">
      <w:pPr>
        <w:spacing w:before="120"/>
        <w:jc w:val="both"/>
        <w:rPr>
          <w:rFonts w:ascii="Calibri" w:eastAsia="Calibri" w:hAnsi="Calibri" w:cs="Calibri"/>
          <w:color w:val="000000"/>
          <w:lang w:val="ro-RO"/>
        </w:rPr>
      </w:pPr>
      <w:r w:rsidRPr="00AF3608">
        <w:rPr>
          <w:rFonts w:ascii="Calibri" w:eastAsia="Calibri" w:hAnsi="Calibri" w:cs="Calibri"/>
          <w:color w:val="000000"/>
          <w:lang w:val="ro-RO"/>
        </w:rPr>
        <w:t>În îndeplinirea acestei viziuni, obiectivele strategice sunt formulate urmărind patru direcții majore de acțiune, prezentate în cele ce urmează, separat pentru anul 2021 și cumulat pentru anii 2022 - 2024.</w:t>
      </w:r>
    </w:p>
    <w:p w:rsidR="008C29EF" w:rsidRPr="00AF3608" w:rsidRDefault="008C29EF" w:rsidP="00B723C0">
      <w:pPr>
        <w:spacing w:before="120"/>
        <w:jc w:val="both"/>
        <w:rPr>
          <w:rFonts w:ascii="Calibri" w:eastAsia="Calibri" w:hAnsi="Calibri" w:cs="Calibri"/>
          <w:color w:val="000000"/>
          <w:lang w:val="ro-RO"/>
        </w:rPr>
      </w:pPr>
    </w:p>
    <w:p w:rsidR="00016063" w:rsidRPr="00AF3608" w:rsidRDefault="00016063" w:rsidP="00B723C0">
      <w:pPr>
        <w:shd w:val="clear" w:color="auto" w:fill="BFBFBF" w:themeFill="background1" w:themeFillShade="BF"/>
        <w:spacing w:before="120"/>
        <w:jc w:val="both"/>
        <w:rPr>
          <w:rFonts w:ascii="Calibri" w:eastAsia="Calibri" w:hAnsi="Calibri" w:cs="Calibri"/>
          <w:color w:val="000000"/>
          <w:lang w:val="ro-RO"/>
        </w:rPr>
      </w:pPr>
      <w:r w:rsidRPr="00AF3608">
        <w:rPr>
          <w:rFonts w:ascii="Calibri" w:eastAsia="Calibri" w:hAnsi="Calibri" w:cs="Calibri"/>
          <w:b/>
          <w:bCs/>
          <w:color w:val="000000"/>
          <w:u w:val="single"/>
          <w:lang w:val="ro-RO"/>
        </w:rPr>
        <w:t>Acțiuni prioritare în anul 2021:</w:t>
      </w:r>
    </w:p>
    <w:p w:rsidR="00016063" w:rsidRPr="00AF3608" w:rsidRDefault="00016063" w:rsidP="00B723C0">
      <w:pPr>
        <w:spacing w:before="120"/>
        <w:jc w:val="both"/>
        <w:rPr>
          <w:rFonts w:ascii="Calibri" w:eastAsia="Calibri" w:hAnsi="Calibri" w:cs="Calibri"/>
          <w:color w:val="000000"/>
          <w:lang w:val="ro-RO"/>
        </w:rPr>
      </w:pPr>
      <w:r w:rsidRPr="00AF3608">
        <w:rPr>
          <w:rFonts w:ascii="Calibri" w:eastAsia="Calibri" w:hAnsi="Calibri" w:cs="Calibri"/>
          <w:color w:val="000000"/>
          <w:lang w:val="ro-RO"/>
        </w:rPr>
        <w:t xml:space="preserve">Începând cu luna ianuarie, ANAF a reluat treptat activităție normale de administrare fiscală, propunându-și </w:t>
      </w:r>
      <w:r w:rsidRPr="00AF3608">
        <w:rPr>
          <w:rFonts w:ascii="Calibri" w:eastAsia="Calibri" w:hAnsi="Calibri" w:cs="Calibri"/>
          <w:b/>
          <w:bCs/>
          <w:color w:val="000000"/>
          <w:lang w:val="ro-RO"/>
        </w:rPr>
        <w:t>o revenire rapidă la nivelul conformării fiscale înregistrare la finalul anului 2019</w:t>
      </w:r>
      <w:r w:rsidRPr="00AF3608">
        <w:rPr>
          <w:rFonts w:ascii="Calibri" w:eastAsia="Calibri" w:hAnsi="Calibri" w:cs="Calibri"/>
          <w:color w:val="000000"/>
          <w:lang w:val="ro-RO"/>
        </w:rPr>
        <w:t xml:space="preserve">, principalele linii de acțiune stabilite pentru acest an încadrându-se în viziunea mai extinsă pe termen mediu, fructificând totodată lecțiile învățate din provocările determinate de pandemie. </w:t>
      </w:r>
    </w:p>
    <w:p w:rsidR="00016063" w:rsidRPr="00AF3608" w:rsidRDefault="00016063" w:rsidP="00B723C0">
      <w:pPr>
        <w:spacing w:before="120"/>
        <w:jc w:val="both"/>
        <w:rPr>
          <w:rFonts w:ascii="Calibri" w:eastAsia="Calibri" w:hAnsi="Calibri" w:cs="Calibri"/>
          <w:color w:val="000000"/>
          <w:lang w:val="ro-RO"/>
        </w:rPr>
      </w:pPr>
      <w:r w:rsidRPr="00AF3608">
        <w:rPr>
          <w:rFonts w:ascii="Calibri" w:eastAsia="Calibri" w:hAnsi="Calibri" w:cs="Calibri"/>
          <w:color w:val="000000"/>
          <w:lang w:val="ro-RO"/>
        </w:rPr>
        <w:t>În perioada imediat următoare se va acționa prioritar în următoarele domenii:</w:t>
      </w:r>
    </w:p>
    <w:p w:rsidR="008C29EF" w:rsidRPr="00AF3608" w:rsidRDefault="00016063" w:rsidP="003A0B85">
      <w:pPr>
        <w:pStyle w:val="ListParagraph"/>
        <w:numPr>
          <w:ilvl w:val="0"/>
          <w:numId w:val="32"/>
        </w:numPr>
        <w:spacing w:before="120" w:line="240" w:lineRule="auto"/>
        <w:contextualSpacing w:val="0"/>
        <w:jc w:val="both"/>
        <w:rPr>
          <w:rFonts w:ascii="Calibri" w:hAnsi="Calibri" w:cs="Calibri"/>
          <w:color w:val="000000"/>
        </w:rPr>
      </w:pPr>
      <w:r w:rsidRPr="00AF3608">
        <w:rPr>
          <w:rFonts w:ascii="Calibri" w:hAnsi="Calibri" w:cs="Calibri"/>
          <w:b/>
          <w:bCs/>
          <w:color w:val="000000"/>
        </w:rPr>
        <w:t>Simplificarea procedurilor de administrare fiscală</w:t>
      </w:r>
      <w:r w:rsidRPr="00AF3608">
        <w:rPr>
          <w:rFonts w:ascii="Calibri" w:hAnsi="Calibri" w:cs="Calibri"/>
          <w:color w:val="000000"/>
        </w:rPr>
        <w:t xml:space="preserve">: simplificarea declarațiilor fiscale, continuarea procesului de extindere a depunerii on-line a declarațiilor de înregistrare fiscală, </w:t>
      </w:r>
      <w:r w:rsidRPr="00AF3608">
        <w:rPr>
          <w:rFonts w:ascii="Calibri" w:hAnsi="Calibri" w:cs="Calibri"/>
          <w:color w:val="000000"/>
        </w:rPr>
        <w:lastRenderedPageBreak/>
        <w:t>asigurarea posibilității contribuabililor de a solicita înregistrarea fiscală inițială prin mijloace electronice;</w:t>
      </w:r>
    </w:p>
    <w:p w:rsidR="008C29EF" w:rsidRPr="00AF3608" w:rsidRDefault="00016063" w:rsidP="003A0B85">
      <w:pPr>
        <w:pStyle w:val="ListParagraph"/>
        <w:numPr>
          <w:ilvl w:val="0"/>
          <w:numId w:val="32"/>
        </w:numPr>
        <w:spacing w:before="120" w:line="240" w:lineRule="auto"/>
        <w:contextualSpacing w:val="0"/>
        <w:jc w:val="both"/>
        <w:rPr>
          <w:rFonts w:ascii="Calibri" w:hAnsi="Calibri" w:cs="Calibri"/>
          <w:color w:val="000000"/>
        </w:rPr>
      </w:pPr>
      <w:r w:rsidRPr="00AF3608">
        <w:rPr>
          <w:rFonts w:ascii="Calibri" w:hAnsi="Calibri" w:cs="Calibri"/>
          <w:b/>
          <w:bCs/>
          <w:color w:val="000000"/>
        </w:rPr>
        <w:t>Accelerarea procesului de digitalizare:</w:t>
      </w:r>
      <w:r w:rsidRPr="00AF3608">
        <w:rPr>
          <w:rFonts w:ascii="Calibri" w:hAnsi="Calibri" w:cs="Calibri"/>
          <w:color w:val="000000"/>
        </w:rPr>
        <w:t xml:space="preserve"> stabilirea priorităților multianuale de dezvoltare IT necesare susținerii activității de conformare, punerea la dispoziția contribuabililor de noi servicii electronice/ noi funcționaliăți pentru serviciile electronice/telefonice existente, etc.;</w:t>
      </w:r>
    </w:p>
    <w:p w:rsidR="008C29EF" w:rsidRPr="00AF3608" w:rsidRDefault="00016063" w:rsidP="003A0B85">
      <w:pPr>
        <w:pStyle w:val="ListParagraph"/>
        <w:numPr>
          <w:ilvl w:val="0"/>
          <w:numId w:val="32"/>
        </w:numPr>
        <w:spacing w:before="120" w:line="240" w:lineRule="auto"/>
        <w:contextualSpacing w:val="0"/>
        <w:jc w:val="both"/>
        <w:rPr>
          <w:rFonts w:ascii="Calibri" w:hAnsi="Calibri" w:cs="Calibri"/>
          <w:color w:val="000000"/>
        </w:rPr>
      </w:pPr>
      <w:r w:rsidRPr="00AF3608">
        <w:rPr>
          <w:rFonts w:ascii="Calibri" w:hAnsi="Calibri" w:cs="Calibri"/>
          <w:b/>
          <w:bCs/>
          <w:color w:val="000000"/>
        </w:rPr>
        <w:t>Management integrat al riscului,</w:t>
      </w:r>
      <w:r w:rsidRPr="00AF3608">
        <w:rPr>
          <w:rFonts w:ascii="Calibri" w:hAnsi="Calibri" w:cs="Calibri"/>
          <w:color w:val="000000"/>
        </w:rPr>
        <w:t xml:space="preserve"> conform noului design al agenției, ca urmare a procesului de operaționalizare a Direcției Generale de Management a Riscului. Va fi accelerată dezvoltarea unor proiecte de conformare fiscală, pentru a înțelege mai bine resorturile și mecanismele unor comportamente fiscale și pentru a dezvolta planuri țintite de măsuri pentru stimularea conformării fiscale pe diferite paliere.  </w:t>
      </w:r>
    </w:p>
    <w:p w:rsidR="00016063" w:rsidRPr="00AF3608" w:rsidRDefault="00016063" w:rsidP="003A0B85">
      <w:pPr>
        <w:pStyle w:val="ListParagraph"/>
        <w:numPr>
          <w:ilvl w:val="0"/>
          <w:numId w:val="32"/>
        </w:numPr>
        <w:spacing w:before="120" w:line="240" w:lineRule="auto"/>
        <w:contextualSpacing w:val="0"/>
        <w:jc w:val="both"/>
        <w:rPr>
          <w:rFonts w:ascii="Calibri" w:hAnsi="Calibri" w:cs="Calibri"/>
          <w:color w:val="000000"/>
        </w:rPr>
      </w:pPr>
      <w:r w:rsidRPr="00AF3608">
        <w:rPr>
          <w:rFonts w:ascii="Calibri" w:hAnsi="Calibri" w:cs="Calibri"/>
          <w:b/>
          <w:bCs/>
          <w:color w:val="000000"/>
        </w:rPr>
        <w:t>Campanii intense de informare și conștientizare a cetățenilor,</w:t>
      </w:r>
      <w:r w:rsidRPr="00AF3608">
        <w:rPr>
          <w:rFonts w:ascii="Calibri" w:hAnsi="Calibri" w:cs="Calibri"/>
          <w:color w:val="000000"/>
        </w:rPr>
        <w:t xml:space="preserve"> crearea unor servicii de chat și a unui sistem webinar prin care se vor derula întâlniri virtuale cu contribuabilii, etc.</w:t>
      </w:r>
    </w:p>
    <w:p w:rsidR="00016063" w:rsidRPr="00AF3608" w:rsidRDefault="00016063" w:rsidP="00B723C0">
      <w:pPr>
        <w:spacing w:before="120"/>
        <w:jc w:val="both"/>
        <w:rPr>
          <w:rFonts w:ascii="Calibri" w:eastAsia="Calibri" w:hAnsi="Calibri" w:cs="Calibri"/>
          <w:color w:val="000000"/>
          <w:lang w:val="ro-RO"/>
        </w:rPr>
      </w:pPr>
      <w:r w:rsidRPr="00AF3608">
        <w:rPr>
          <w:rFonts w:ascii="Calibri" w:eastAsia="Calibri" w:hAnsi="Calibri" w:cs="Calibri"/>
          <w:color w:val="000000"/>
          <w:lang w:val="ro-RO"/>
        </w:rPr>
        <w:t xml:space="preserve">Totodată, se va continua implementarea obiectivelor care vor duce la îndeplinirea viziunii ANAF pe termen mediu, astfel: </w:t>
      </w:r>
    </w:p>
    <w:p w:rsidR="00016063" w:rsidRPr="00AF3608" w:rsidRDefault="00016063" w:rsidP="00B723C0">
      <w:pPr>
        <w:shd w:val="clear" w:color="auto" w:fill="D9D9D9" w:themeFill="background1" w:themeFillShade="D9"/>
        <w:spacing w:before="120"/>
        <w:jc w:val="both"/>
        <w:rPr>
          <w:rFonts w:asciiTheme="minorHAnsi" w:eastAsia="Calibri" w:hAnsiTheme="minorHAnsi" w:cstheme="minorHAnsi"/>
          <w:b/>
          <w:bCs/>
          <w:color w:val="002060"/>
          <w:lang w:val="ro-RO"/>
        </w:rPr>
      </w:pPr>
      <w:r w:rsidRPr="00AF3608">
        <w:rPr>
          <w:rFonts w:asciiTheme="minorHAnsi" w:eastAsia="Calibri" w:hAnsiTheme="minorHAnsi" w:cstheme="minorHAnsi"/>
          <w:b/>
          <w:bCs/>
          <w:color w:val="002060"/>
          <w:lang w:val="ro-RO"/>
        </w:rPr>
        <w:t>Obiectivul I:</w:t>
      </w:r>
    </w:p>
    <w:p w:rsidR="00016063" w:rsidRPr="00AF3608" w:rsidRDefault="00016063" w:rsidP="00B723C0">
      <w:pPr>
        <w:shd w:val="clear" w:color="auto" w:fill="D9D9D9" w:themeFill="background1" w:themeFillShade="D9"/>
        <w:spacing w:before="120"/>
        <w:jc w:val="both"/>
        <w:rPr>
          <w:rFonts w:asciiTheme="minorHAnsi" w:eastAsia="Calibri" w:hAnsiTheme="minorHAnsi" w:cstheme="minorHAnsi"/>
          <w:bCs/>
          <w:color w:val="002060"/>
          <w:lang w:val="ro-RO"/>
        </w:rPr>
      </w:pPr>
      <w:r w:rsidRPr="00AF3608">
        <w:rPr>
          <w:rFonts w:asciiTheme="minorHAnsi" w:eastAsia="Calibri" w:hAnsiTheme="minorHAnsi" w:cstheme="minorHAnsi"/>
          <w:b/>
          <w:bCs/>
          <w:color w:val="002060"/>
          <w:lang w:val="ro-RO"/>
        </w:rPr>
        <w:t xml:space="preserve">SERVICII - </w:t>
      </w:r>
      <w:r w:rsidRPr="00AF3608">
        <w:rPr>
          <w:rFonts w:asciiTheme="minorHAnsi" w:eastAsia="Calibri" w:hAnsiTheme="minorHAnsi" w:cstheme="minorHAnsi"/>
          <w:b/>
          <w:color w:val="002060"/>
          <w:lang w:val="ro-RO"/>
        </w:rPr>
        <w:t xml:space="preserve">dezvoltarea unei relații de parteneriat cu contribuabilii pentru serviciile prestate, </w:t>
      </w:r>
      <w:r w:rsidRPr="00AF3608">
        <w:rPr>
          <w:rFonts w:asciiTheme="minorHAnsi" w:eastAsia="Calibri" w:hAnsiTheme="minorHAnsi" w:cstheme="minorHAnsi"/>
          <w:bCs/>
          <w:color w:val="002060"/>
          <w:lang w:val="ro-RO"/>
        </w:rPr>
        <w:t>prin:</w:t>
      </w:r>
    </w:p>
    <w:p w:rsidR="008C29EF" w:rsidRPr="00AF3608" w:rsidRDefault="00016063" w:rsidP="003A0B85">
      <w:pPr>
        <w:pStyle w:val="ListParagraph"/>
        <w:numPr>
          <w:ilvl w:val="0"/>
          <w:numId w:val="38"/>
        </w:numPr>
        <w:spacing w:before="120" w:line="240" w:lineRule="auto"/>
        <w:contextualSpacing w:val="0"/>
        <w:jc w:val="both"/>
        <w:rPr>
          <w:rFonts w:ascii="Calibri" w:hAnsi="Calibri" w:cs="Arial"/>
          <w:i/>
          <w:color w:val="000000"/>
        </w:rPr>
      </w:pPr>
      <w:r w:rsidRPr="00AF3608">
        <w:rPr>
          <w:rFonts w:ascii="Calibri" w:hAnsi="Calibri" w:cs="Arial"/>
          <w:i/>
          <w:color w:val="000000"/>
        </w:rPr>
        <w:t>Design nou și inovator de procese de activitate și servicii în interacțiunea cu contribuabilii;</w:t>
      </w:r>
    </w:p>
    <w:p w:rsidR="008C29EF" w:rsidRPr="00AF3608" w:rsidRDefault="00016063" w:rsidP="003A0B85">
      <w:pPr>
        <w:pStyle w:val="ListParagraph"/>
        <w:numPr>
          <w:ilvl w:val="0"/>
          <w:numId w:val="38"/>
        </w:numPr>
        <w:spacing w:before="120" w:line="240" w:lineRule="auto"/>
        <w:contextualSpacing w:val="0"/>
        <w:jc w:val="both"/>
        <w:rPr>
          <w:rFonts w:ascii="Calibri" w:hAnsi="Calibri" w:cs="Arial"/>
          <w:i/>
          <w:color w:val="000000"/>
        </w:rPr>
      </w:pPr>
      <w:r w:rsidRPr="00AF3608">
        <w:rPr>
          <w:rFonts w:ascii="Calibri" w:hAnsi="Calibri" w:cs="Arial"/>
          <w:i/>
          <w:color w:val="000000"/>
        </w:rPr>
        <w:t>Utilizarea design-ului centrat pe contribuabili și în colaborare cu aceștia în dezvoltarea serviciilor oferite;</w:t>
      </w:r>
    </w:p>
    <w:p w:rsidR="008C29EF" w:rsidRPr="00AF3608" w:rsidRDefault="00016063" w:rsidP="003A0B85">
      <w:pPr>
        <w:pStyle w:val="ListParagraph"/>
        <w:numPr>
          <w:ilvl w:val="0"/>
          <w:numId w:val="38"/>
        </w:numPr>
        <w:spacing w:before="120" w:line="240" w:lineRule="auto"/>
        <w:contextualSpacing w:val="0"/>
        <w:jc w:val="both"/>
        <w:rPr>
          <w:rFonts w:ascii="Calibri" w:hAnsi="Calibri" w:cs="Arial"/>
          <w:i/>
          <w:color w:val="000000"/>
        </w:rPr>
      </w:pPr>
      <w:r w:rsidRPr="00AF3608">
        <w:rPr>
          <w:rFonts w:ascii="Calibri" w:hAnsi="Calibri" w:cs="Arial"/>
          <w:i/>
          <w:color w:val="000000"/>
        </w:rPr>
        <w:t>Dezvoltarea/extinderea de servicii simple și accesibile pentru contribuabili;</w:t>
      </w:r>
    </w:p>
    <w:p w:rsidR="008C29EF" w:rsidRPr="00AF3608" w:rsidRDefault="00016063" w:rsidP="003A0B85">
      <w:pPr>
        <w:pStyle w:val="ListParagraph"/>
        <w:numPr>
          <w:ilvl w:val="0"/>
          <w:numId w:val="38"/>
        </w:numPr>
        <w:spacing w:before="120" w:line="240" w:lineRule="auto"/>
        <w:contextualSpacing w:val="0"/>
        <w:jc w:val="both"/>
        <w:rPr>
          <w:rFonts w:ascii="Calibri" w:hAnsi="Calibri" w:cs="Arial"/>
          <w:i/>
          <w:color w:val="000000"/>
        </w:rPr>
      </w:pPr>
      <w:r w:rsidRPr="00AF3608">
        <w:rPr>
          <w:rFonts w:ascii="Calibri" w:hAnsi="Calibri" w:cs="Arial"/>
          <w:i/>
          <w:color w:val="000000"/>
        </w:rPr>
        <w:t>Sprijinirea contribuabililor pentru înțelegerea simplă, rapidă și corectă a obligațiilor fiscale;</w:t>
      </w:r>
    </w:p>
    <w:p w:rsidR="00016063" w:rsidRPr="00AF3608" w:rsidRDefault="00016063" w:rsidP="003A0B85">
      <w:pPr>
        <w:pStyle w:val="ListParagraph"/>
        <w:numPr>
          <w:ilvl w:val="0"/>
          <w:numId w:val="38"/>
        </w:numPr>
        <w:spacing w:before="120" w:line="240" w:lineRule="auto"/>
        <w:contextualSpacing w:val="0"/>
        <w:jc w:val="both"/>
        <w:rPr>
          <w:rFonts w:ascii="Calibri" w:hAnsi="Calibri" w:cs="Arial"/>
          <w:i/>
          <w:color w:val="000000"/>
        </w:rPr>
      </w:pPr>
      <w:r w:rsidRPr="00AF3608">
        <w:rPr>
          <w:rFonts w:ascii="Calibri" w:hAnsi="Calibri" w:cs="Arial"/>
          <w:i/>
          <w:color w:val="000000"/>
        </w:rPr>
        <w:t>Consolidarea mecanismului consultativ de colaborare cu mediul de afaceri și contribuabilii și colaborarea cu parteneri externi pentru identificarea de soluții inovatoare.</w:t>
      </w:r>
    </w:p>
    <w:p w:rsidR="00016063" w:rsidRPr="00AF3608" w:rsidRDefault="00016063" w:rsidP="00B723C0">
      <w:pPr>
        <w:shd w:val="clear" w:color="auto" w:fill="D9D9D9" w:themeFill="background1" w:themeFillShade="D9"/>
        <w:spacing w:before="120"/>
        <w:jc w:val="both"/>
        <w:rPr>
          <w:rFonts w:ascii="Calibri" w:eastAsia="Calibri" w:hAnsi="Calibri" w:cs="Calibri"/>
          <w:b/>
          <w:color w:val="002060"/>
          <w:lang w:val="ro-RO"/>
        </w:rPr>
      </w:pPr>
      <w:r w:rsidRPr="00AF3608">
        <w:rPr>
          <w:rFonts w:ascii="Calibri" w:eastAsia="Calibri" w:hAnsi="Calibri" w:cs="Calibri"/>
          <w:b/>
          <w:color w:val="002060"/>
          <w:lang w:val="ro-RO"/>
        </w:rPr>
        <w:t xml:space="preserve">Obiectivul II: </w:t>
      </w:r>
    </w:p>
    <w:p w:rsidR="00016063" w:rsidRPr="00AF3608" w:rsidRDefault="00016063" w:rsidP="00B723C0">
      <w:pPr>
        <w:shd w:val="clear" w:color="auto" w:fill="D9D9D9" w:themeFill="background1" w:themeFillShade="D9"/>
        <w:spacing w:before="120"/>
        <w:jc w:val="both"/>
        <w:rPr>
          <w:rFonts w:ascii="Calibri" w:eastAsia="Calibri" w:hAnsi="Calibri" w:cs="Calibri"/>
          <w:i/>
          <w:iCs/>
          <w:color w:val="002060"/>
          <w:lang w:val="ro-RO"/>
        </w:rPr>
      </w:pPr>
      <w:r w:rsidRPr="00AF3608">
        <w:rPr>
          <w:rFonts w:ascii="Calibri" w:eastAsia="Calibri" w:hAnsi="Calibri" w:cs="Calibri"/>
          <w:b/>
          <w:color w:val="002060"/>
          <w:lang w:val="ro-RO"/>
        </w:rPr>
        <w:t xml:space="preserve">SOLUȚII DIGITALE INTEGRATE - </w:t>
      </w:r>
      <w:r w:rsidRPr="00AF3608">
        <w:rPr>
          <w:rFonts w:ascii="Calibri" w:eastAsia="Calibri" w:hAnsi="Calibri" w:cs="Calibri"/>
          <w:b/>
          <w:bCs/>
          <w:color w:val="002060"/>
          <w:lang w:val="ro-RO"/>
        </w:rPr>
        <w:t>t</w:t>
      </w:r>
      <w:r w:rsidRPr="00AF3608">
        <w:rPr>
          <w:rFonts w:ascii="Calibri" w:eastAsia="Calibri" w:hAnsi="Calibri" w:cs="Calibri"/>
          <w:b/>
          <w:color w:val="002060"/>
          <w:lang w:val="ro-RO"/>
        </w:rPr>
        <w:t>ransformarea ANAF într-o organizație performantă și inteligentă cu soluții digitale integrate,</w:t>
      </w:r>
      <w:r w:rsidRPr="00AF3608">
        <w:rPr>
          <w:rFonts w:ascii="Calibri" w:eastAsia="Calibri" w:hAnsi="Calibri" w:cs="Calibri"/>
          <w:b/>
          <w:bCs/>
          <w:color w:val="002060"/>
          <w:lang w:val="ro-RO"/>
        </w:rPr>
        <w:t xml:space="preserve"> </w:t>
      </w:r>
      <w:r w:rsidRPr="00AF3608">
        <w:rPr>
          <w:rFonts w:ascii="Calibri" w:eastAsia="Calibri" w:hAnsi="Calibri" w:cs="Calibri"/>
          <w:b/>
          <w:color w:val="002060"/>
          <w:lang w:val="ro-RO"/>
        </w:rPr>
        <w:t>care utilizează la maxim</w:t>
      </w:r>
      <w:r w:rsidRPr="00AF3608">
        <w:rPr>
          <w:rFonts w:ascii="Calibri" w:eastAsia="Calibri" w:hAnsi="Calibri" w:cs="Calibri"/>
          <w:b/>
          <w:bCs/>
          <w:color w:val="002060"/>
          <w:lang w:val="ro-RO"/>
        </w:rPr>
        <w:t xml:space="preserve">um datele și informațiile </w:t>
      </w:r>
      <w:r w:rsidRPr="00AF3608">
        <w:rPr>
          <w:rFonts w:ascii="Calibri" w:eastAsia="Calibri" w:hAnsi="Calibri" w:cs="Calibri"/>
          <w:b/>
          <w:color w:val="002060"/>
          <w:lang w:val="ro-RO"/>
        </w:rPr>
        <w:t xml:space="preserve">disponibile, </w:t>
      </w:r>
      <w:r w:rsidRPr="00AF3608">
        <w:rPr>
          <w:rFonts w:ascii="Calibri" w:eastAsia="Calibri" w:hAnsi="Calibri" w:cs="Calibri"/>
          <w:bCs/>
          <w:color w:val="002060"/>
          <w:lang w:val="ro-RO"/>
        </w:rPr>
        <w:t>prin s</w:t>
      </w:r>
      <w:r w:rsidRPr="00AF3608">
        <w:rPr>
          <w:rFonts w:ascii="Calibri" w:eastAsia="Calibri" w:hAnsi="Calibri" w:cs="Calibri"/>
          <w:iCs/>
          <w:color w:val="002060"/>
          <w:lang w:val="ro-RO"/>
        </w:rPr>
        <w:t xml:space="preserve">tabilirea priorităților multianuale de dezvoltare prin </w:t>
      </w:r>
      <w:r w:rsidRPr="00AF3608">
        <w:rPr>
          <w:rFonts w:ascii="Calibri" w:eastAsia="Calibri" w:hAnsi="Calibri" w:cs="Calibri"/>
          <w:b/>
          <w:bCs/>
          <w:iCs/>
          <w:color w:val="002060"/>
          <w:lang w:val="ro-RO"/>
        </w:rPr>
        <w:t>Strategia digitală a ANAF</w:t>
      </w:r>
      <w:r w:rsidRPr="00AF3608">
        <w:rPr>
          <w:rFonts w:ascii="Calibri" w:eastAsia="Calibri" w:hAnsi="Calibri" w:cs="Calibri"/>
          <w:iCs/>
          <w:color w:val="002060"/>
          <w:lang w:val="ro-RO"/>
        </w:rPr>
        <w:t>, prin care sunt stabilite următoarele obiective specifice:</w:t>
      </w:r>
    </w:p>
    <w:p w:rsidR="008C29EF" w:rsidRPr="00AF3608" w:rsidRDefault="00016063" w:rsidP="003A0B85">
      <w:pPr>
        <w:pStyle w:val="ListParagraph"/>
        <w:numPr>
          <w:ilvl w:val="0"/>
          <w:numId w:val="39"/>
        </w:numPr>
        <w:tabs>
          <w:tab w:val="left" w:pos="-426"/>
        </w:tabs>
        <w:overflowPunct w:val="0"/>
        <w:spacing w:before="120" w:line="240" w:lineRule="auto"/>
        <w:contextualSpacing w:val="0"/>
        <w:jc w:val="both"/>
        <w:rPr>
          <w:rFonts w:ascii="Calibri" w:hAnsi="Calibri" w:cs="Calibri"/>
          <w:i/>
          <w:color w:val="000000"/>
        </w:rPr>
      </w:pPr>
      <w:r w:rsidRPr="00AF3608">
        <w:rPr>
          <w:rFonts w:ascii="Calibri" w:hAnsi="Calibri" w:cs="Calibri"/>
          <w:i/>
          <w:color w:val="000000"/>
        </w:rPr>
        <w:t>Utilizarea digitalizării ca abordare inteligentă pentru domeniile funcționale ale administrației fiscale;</w:t>
      </w:r>
    </w:p>
    <w:p w:rsidR="008C29EF" w:rsidRPr="00AF3608" w:rsidRDefault="00016063" w:rsidP="003A0B85">
      <w:pPr>
        <w:pStyle w:val="ListParagraph"/>
        <w:numPr>
          <w:ilvl w:val="0"/>
          <w:numId w:val="39"/>
        </w:numPr>
        <w:tabs>
          <w:tab w:val="left" w:pos="-426"/>
        </w:tabs>
        <w:overflowPunct w:val="0"/>
        <w:spacing w:before="120" w:line="240" w:lineRule="auto"/>
        <w:contextualSpacing w:val="0"/>
        <w:jc w:val="both"/>
        <w:rPr>
          <w:rFonts w:ascii="Calibri" w:hAnsi="Calibri" w:cs="Calibri"/>
          <w:i/>
          <w:color w:val="000000"/>
        </w:rPr>
      </w:pPr>
      <w:r w:rsidRPr="00AF3608">
        <w:rPr>
          <w:rFonts w:ascii="Calibri" w:hAnsi="Calibri" w:cs="Calibri"/>
          <w:bCs/>
          <w:i/>
          <w:color w:val="000000"/>
        </w:rPr>
        <w:t>Consolidarea capacității administrative necesare procesului de transformare digitală;</w:t>
      </w:r>
    </w:p>
    <w:p w:rsidR="00016063" w:rsidRPr="00AF3608" w:rsidRDefault="00016063" w:rsidP="003A0B85">
      <w:pPr>
        <w:pStyle w:val="ListParagraph"/>
        <w:numPr>
          <w:ilvl w:val="0"/>
          <w:numId w:val="39"/>
        </w:numPr>
        <w:tabs>
          <w:tab w:val="left" w:pos="-426"/>
        </w:tabs>
        <w:overflowPunct w:val="0"/>
        <w:spacing w:before="120" w:line="240" w:lineRule="auto"/>
        <w:contextualSpacing w:val="0"/>
        <w:jc w:val="both"/>
        <w:rPr>
          <w:rFonts w:ascii="Calibri" w:hAnsi="Calibri" w:cs="Calibri"/>
          <w:i/>
          <w:color w:val="000000"/>
        </w:rPr>
      </w:pPr>
      <w:r w:rsidRPr="00AF3608">
        <w:rPr>
          <w:rFonts w:ascii="Calibri" w:hAnsi="Calibri" w:cs="Calibri"/>
          <w:bCs/>
          <w:i/>
          <w:color w:val="000000"/>
        </w:rPr>
        <w:t>Asigurarea cadrului tehnologic necesar tranziției către o administrație fiscală digitală</w:t>
      </w:r>
      <w:r w:rsidR="008C29EF" w:rsidRPr="00AF3608">
        <w:rPr>
          <w:rFonts w:ascii="Calibri" w:hAnsi="Calibri" w:cs="Calibri"/>
          <w:bCs/>
          <w:i/>
          <w:color w:val="000000"/>
        </w:rPr>
        <w:t>.</w:t>
      </w:r>
    </w:p>
    <w:p w:rsidR="00B223F0" w:rsidRPr="00AF3608" w:rsidRDefault="00B223F0" w:rsidP="00B723C0">
      <w:pPr>
        <w:shd w:val="clear" w:color="auto" w:fill="D9D9D9" w:themeFill="background1" w:themeFillShade="D9"/>
        <w:tabs>
          <w:tab w:val="left" w:pos="-426"/>
        </w:tabs>
        <w:overflowPunct w:val="0"/>
        <w:spacing w:before="120"/>
        <w:jc w:val="both"/>
        <w:rPr>
          <w:rFonts w:ascii="Calibri" w:eastAsia="Calibri" w:hAnsi="Calibri" w:cs="Calibri"/>
          <w:b/>
          <w:bCs/>
          <w:color w:val="002060"/>
          <w:lang w:val="ro-RO"/>
        </w:rPr>
      </w:pPr>
      <w:r w:rsidRPr="00AF3608">
        <w:rPr>
          <w:rFonts w:ascii="Calibri" w:eastAsia="Calibri" w:hAnsi="Calibri" w:cs="Calibri"/>
          <w:b/>
          <w:bCs/>
          <w:color w:val="002060"/>
          <w:lang w:val="ro-RO"/>
        </w:rPr>
        <w:t>Obiectivul III:</w:t>
      </w:r>
    </w:p>
    <w:p w:rsidR="00B223F0" w:rsidRPr="00AF3608" w:rsidRDefault="00B223F0" w:rsidP="00B723C0">
      <w:pPr>
        <w:shd w:val="clear" w:color="auto" w:fill="D9D9D9" w:themeFill="background1" w:themeFillShade="D9"/>
        <w:tabs>
          <w:tab w:val="left" w:pos="-426"/>
        </w:tabs>
        <w:overflowPunct w:val="0"/>
        <w:spacing w:before="120"/>
        <w:jc w:val="both"/>
        <w:rPr>
          <w:rFonts w:ascii="Calibri" w:eastAsia="Calibri" w:hAnsi="Calibri" w:cs="Calibri"/>
          <w:b/>
          <w:color w:val="002060"/>
          <w:lang w:val="ro-RO"/>
        </w:rPr>
      </w:pPr>
      <w:r w:rsidRPr="00AF3608">
        <w:rPr>
          <w:rFonts w:ascii="Calibri" w:eastAsia="Calibri" w:hAnsi="Calibri" w:cs="Calibri"/>
          <w:b/>
          <w:bCs/>
          <w:color w:val="002060"/>
          <w:lang w:val="ro-RO"/>
        </w:rPr>
        <w:t xml:space="preserve">PREVENIREA ȘI COMBATEREA FRAUDEI FISCALE - </w:t>
      </w:r>
      <w:r w:rsidRPr="00AF3608">
        <w:rPr>
          <w:rFonts w:ascii="Calibri" w:eastAsia="Calibri" w:hAnsi="Calibri" w:cs="Calibri"/>
          <w:b/>
          <w:color w:val="002060"/>
          <w:lang w:val="ro-RO"/>
        </w:rPr>
        <w:t>o instituție ce vine în sprijinul conformării contribuabililor și al menținerii unui mediu economic echitabil</w:t>
      </w:r>
    </w:p>
    <w:p w:rsidR="00B223F0" w:rsidRPr="00AF3608" w:rsidRDefault="00016063" w:rsidP="003A0B85">
      <w:pPr>
        <w:pStyle w:val="ListParagraph"/>
        <w:numPr>
          <w:ilvl w:val="0"/>
          <w:numId w:val="40"/>
        </w:numPr>
        <w:tabs>
          <w:tab w:val="left" w:pos="-426"/>
        </w:tabs>
        <w:overflowPunct w:val="0"/>
        <w:snapToGrid w:val="0"/>
        <w:spacing w:before="120" w:line="240" w:lineRule="auto"/>
        <w:contextualSpacing w:val="0"/>
        <w:jc w:val="both"/>
        <w:rPr>
          <w:rFonts w:ascii="Calibri" w:hAnsi="Calibri" w:cs="Calibri"/>
          <w:i/>
          <w:color w:val="000000"/>
        </w:rPr>
      </w:pPr>
      <w:r w:rsidRPr="00AF3608">
        <w:rPr>
          <w:rFonts w:ascii="Calibri" w:hAnsi="Calibri" w:cs="Calibri"/>
          <w:i/>
          <w:color w:val="000000"/>
        </w:rPr>
        <w:t>Actualizarea permanentă a registrului riscurilor în urma analizării schimbărilor intervenite în cadrul economico social, ca urmare a operaționalizării Direcției Generale de Management a Riscului;</w:t>
      </w:r>
    </w:p>
    <w:p w:rsidR="00B223F0" w:rsidRPr="00AF3608" w:rsidRDefault="00016063" w:rsidP="003A0B85">
      <w:pPr>
        <w:pStyle w:val="ListParagraph"/>
        <w:numPr>
          <w:ilvl w:val="0"/>
          <w:numId w:val="40"/>
        </w:numPr>
        <w:tabs>
          <w:tab w:val="left" w:pos="-426"/>
        </w:tabs>
        <w:overflowPunct w:val="0"/>
        <w:snapToGrid w:val="0"/>
        <w:spacing w:before="120" w:line="240" w:lineRule="auto"/>
        <w:contextualSpacing w:val="0"/>
        <w:jc w:val="both"/>
        <w:rPr>
          <w:rFonts w:ascii="Calibri" w:hAnsi="Calibri" w:cs="Calibri"/>
          <w:i/>
          <w:color w:val="000000"/>
        </w:rPr>
      </w:pPr>
      <w:r w:rsidRPr="00AF3608">
        <w:rPr>
          <w:rFonts w:ascii="Calibri" w:hAnsi="Calibri" w:cs="Calibri"/>
          <w:i/>
          <w:color w:val="000000"/>
        </w:rPr>
        <w:t xml:space="preserve">Identificarea și abordarea timpurie a riscurilor de neconformare cu implementarea de </w:t>
      </w:r>
      <w:r w:rsidRPr="00AF3608">
        <w:rPr>
          <w:rFonts w:ascii="Calibri" w:hAnsi="Calibri" w:cs="Calibri"/>
          <w:b/>
          <w:i/>
          <w:color w:val="000000"/>
          <w:u w:val="single"/>
        </w:rPr>
        <w:t>instrumente noi</w:t>
      </w:r>
      <w:r w:rsidRPr="00AF3608">
        <w:rPr>
          <w:rFonts w:ascii="Calibri" w:hAnsi="Calibri" w:cs="Calibri"/>
          <w:i/>
          <w:color w:val="000000"/>
          <w:u w:val="single"/>
        </w:rPr>
        <w:t xml:space="preserve"> pentru organele fiscale</w:t>
      </w:r>
      <w:r w:rsidRPr="00AF3608">
        <w:rPr>
          <w:rFonts w:ascii="Calibri" w:hAnsi="Calibri" w:cs="Calibri"/>
          <w:i/>
          <w:color w:val="000000"/>
        </w:rPr>
        <w:t>:</w:t>
      </w:r>
    </w:p>
    <w:p w:rsidR="00B223F0" w:rsidRPr="00AF3608" w:rsidRDefault="00016063" w:rsidP="003A0B85">
      <w:pPr>
        <w:pStyle w:val="ListParagraph"/>
        <w:numPr>
          <w:ilvl w:val="1"/>
          <w:numId w:val="40"/>
        </w:numPr>
        <w:tabs>
          <w:tab w:val="left" w:pos="-426"/>
        </w:tabs>
        <w:overflowPunct w:val="0"/>
        <w:snapToGrid w:val="0"/>
        <w:spacing w:before="120" w:line="240" w:lineRule="auto"/>
        <w:contextualSpacing w:val="0"/>
        <w:jc w:val="both"/>
        <w:rPr>
          <w:rFonts w:ascii="Calibri" w:hAnsi="Calibri" w:cs="Calibri"/>
          <w:i/>
          <w:color w:val="000000"/>
        </w:rPr>
      </w:pPr>
      <w:r w:rsidRPr="00AF3608">
        <w:rPr>
          <w:rFonts w:ascii="Calibri" w:hAnsi="Calibri" w:cs="Calibri"/>
          <w:b/>
          <w:bCs/>
          <w:iCs/>
          <w:color w:val="000000"/>
        </w:rPr>
        <w:lastRenderedPageBreak/>
        <w:t>Desk-audit</w:t>
      </w:r>
      <w:r w:rsidRPr="00AF3608">
        <w:rPr>
          <w:rFonts w:ascii="Calibri" w:hAnsi="Calibri" w:cs="Calibri"/>
          <w:iCs/>
          <w:color w:val="000000"/>
        </w:rPr>
        <w:t xml:space="preserve"> - dezvoltarea componentei de control fiscal ce vizează verificarea documentară de către structurile cu atribuții de inspecție fiscală, structurile cu atribuții de antifraudă fiscală (începând cu anul 2020) si de către structurile cu atribuții de verificare a situatiei patrimoniale personale în acțiuni de prevenire și conformare. Ca urmare a efectuării verificării documentare, organul fiscal va emite o </w:t>
      </w:r>
      <w:r w:rsidRPr="00AF3608">
        <w:rPr>
          <w:rFonts w:ascii="Calibri" w:hAnsi="Calibri" w:cs="Calibri"/>
          <w:b/>
          <w:bCs/>
          <w:iCs/>
          <w:color w:val="000000"/>
        </w:rPr>
        <w:t>decizie de impunere, sub rezerva verificării ulterioare;</w:t>
      </w:r>
    </w:p>
    <w:p w:rsidR="00B223F0" w:rsidRPr="00AF3608" w:rsidRDefault="00016063" w:rsidP="003A0B85">
      <w:pPr>
        <w:pStyle w:val="ListParagraph"/>
        <w:numPr>
          <w:ilvl w:val="1"/>
          <w:numId w:val="40"/>
        </w:numPr>
        <w:tabs>
          <w:tab w:val="left" w:pos="-426"/>
        </w:tabs>
        <w:overflowPunct w:val="0"/>
        <w:snapToGrid w:val="0"/>
        <w:spacing w:before="120" w:line="240" w:lineRule="auto"/>
        <w:contextualSpacing w:val="0"/>
        <w:jc w:val="both"/>
        <w:rPr>
          <w:rFonts w:ascii="Calibri" w:hAnsi="Calibri" w:cs="Calibri"/>
          <w:i/>
          <w:color w:val="000000"/>
        </w:rPr>
      </w:pPr>
      <w:r w:rsidRPr="00AF3608">
        <w:rPr>
          <w:rFonts w:ascii="Calibri" w:hAnsi="Calibri" w:cs="Calibri"/>
          <w:b/>
          <w:bCs/>
          <w:iCs/>
          <w:color w:val="000000"/>
        </w:rPr>
        <w:t xml:space="preserve">Controlul comerțului electronic - </w:t>
      </w:r>
      <w:r w:rsidRPr="00AF3608">
        <w:rPr>
          <w:rFonts w:ascii="Calibri" w:hAnsi="Calibri" w:cs="Calibri"/>
          <w:iCs/>
          <w:color w:val="000000"/>
        </w:rPr>
        <w:t xml:space="preserve">noile atribuții ale Direcției Generale Antifraudă Fiscală în acest domeniu având un rol esențial în identificarea și instrumentarea cazurilor de evaziune fiscală, prin structura nou creată (Direcția Comerț Electronic). </w:t>
      </w:r>
      <w:r w:rsidRPr="00AF3608">
        <w:rPr>
          <w:rFonts w:ascii="Calibri" w:hAnsi="Calibri" w:cs="Calibri"/>
          <w:i/>
          <w:color w:val="000000"/>
        </w:rPr>
        <w:t xml:space="preserve">Operațiunea “Mercur” </w:t>
      </w:r>
      <w:r w:rsidRPr="00AF3608">
        <w:rPr>
          <w:rFonts w:ascii="Calibri" w:hAnsi="Calibri" w:cs="Calibri"/>
          <w:iCs/>
          <w:color w:val="000000"/>
        </w:rPr>
        <w:t>va continua în ritm accelerat și va fi extinsă pentru asigurarea fiscalizării încasărilor provenite din vânzările on-line de bunuri și servicii, fiind cea mai amplă acțiune în domeniul comerțului electronic nefiscalizat;</w:t>
      </w:r>
    </w:p>
    <w:p w:rsidR="00016063" w:rsidRPr="00AF3608" w:rsidRDefault="00016063" w:rsidP="003A0B85">
      <w:pPr>
        <w:pStyle w:val="ListParagraph"/>
        <w:numPr>
          <w:ilvl w:val="1"/>
          <w:numId w:val="40"/>
        </w:numPr>
        <w:tabs>
          <w:tab w:val="left" w:pos="-426"/>
        </w:tabs>
        <w:overflowPunct w:val="0"/>
        <w:snapToGrid w:val="0"/>
        <w:spacing w:before="120" w:line="240" w:lineRule="auto"/>
        <w:contextualSpacing w:val="0"/>
        <w:jc w:val="both"/>
        <w:rPr>
          <w:rFonts w:ascii="Calibri" w:hAnsi="Calibri" w:cs="Calibri"/>
          <w:i/>
          <w:color w:val="000000"/>
        </w:rPr>
      </w:pPr>
      <w:r w:rsidRPr="00AF3608">
        <w:rPr>
          <w:rFonts w:ascii="Calibri" w:hAnsi="Calibri" w:cs="Calibri"/>
          <w:b/>
          <w:bCs/>
          <w:iCs/>
          <w:color w:val="000000"/>
        </w:rPr>
        <w:t>Implementarea SAF-T</w:t>
      </w:r>
      <w:r w:rsidRPr="00AF3608">
        <w:rPr>
          <w:rFonts w:ascii="Calibri" w:hAnsi="Calibri" w:cs="Calibri"/>
          <w:iCs/>
          <w:color w:val="000000"/>
        </w:rPr>
        <w:t xml:space="preserve"> (fișierul standard internațional de control) </w:t>
      </w:r>
      <w:r w:rsidRPr="00AF3608">
        <w:rPr>
          <w:rFonts w:ascii="Calibri" w:hAnsi="Calibri" w:cs="Calibri"/>
          <w:b/>
          <w:bCs/>
          <w:iCs/>
          <w:color w:val="000000"/>
        </w:rPr>
        <w:t>în sistem pilot la marii contribuabili</w:t>
      </w:r>
      <w:r w:rsidRPr="00AF3608">
        <w:rPr>
          <w:rFonts w:ascii="Calibri" w:hAnsi="Calibri" w:cs="Calibri"/>
          <w:iCs/>
          <w:color w:val="000000"/>
        </w:rPr>
        <w:t>, rolul acestuia fiind de raportare standardizată a unor informații financiare, de a simplifica astfel, interacțiunea contribuabililor cu autoritățile fiscale, principalul avantaj fiind facilitarea identificării corecte și a sancționării ferme a comportamentelor neconforme.</w:t>
      </w:r>
    </w:p>
    <w:p w:rsidR="00B223F0" w:rsidRPr="00AF3608" w:rsidRDefault="00016063" w:rsidP="003A0B85">
      <w:pPr>
        <w:pStyle w:val="ListParagraph"/>
        <w:numPr>
          <w:ilvl w:val="0"/>
          <w:numId w:val="41"/>
        </w:numPr>
        <w:tabs>
          <w:tab w:val="left" w:pos="-426"/>
        </w:tabs>
        <w:overflowPunct w:val="0"/>
        <w:snapToGrid w:val="0"/>
        <w:spacing w:before="120" w:line="240" w:lineRule="auto"/>
        <w:contextualSpacing w:val="0"/>
        <w:jc w:val="both"/>
        <w:rPr>
          <w:rFonts w:ascii="Calibri" w:hAnsi="Calibri" w:cs="Calibri"/>
          <w:i/>
          <w:color w:val="000000"/>
        </w:rPr>
      </w:pPr>
      <w:r w:rsidRPr="00AF3608">
        <w:rPr>
          <w:rFonts w:ascii="Calibri" w:hAnsi="Calibri" w:cs="Calibri"/>
          <w:i/>
          <w:color w:val="000000"/>
        </w:rPr>
        <w:t>Dezvoltarea de proiecte pilot de conformare voluntară pe sectoarele și categoriile de risc fiscal, informarea și comunicarea către contribuabili a modalităților de conformare voluntară;</w:t>
      </w:r>
    </w:p>
    <w:p w:rsidR="00B223F0" w:rsidRPr="00AF3608" w:rsidRDefault="00016063" w:rsidP="003A0B85">
      <w:pPr>
        <w:pStyle w:val="ListParagraph"/>
        <w:numPr>
          <w:ilvl w:val="0"/>
          <w:numId w:val="41"/>
        </w:numPr>
        <w:tabs>
          <w:tab w:val="left" w:pos="-426"/>
        </w:tabs>
        <w:overflowPunct w:val="0"/>
        <w:snapToGrid w:val="0"/>
        <w:spacing w:before="120" w:line="240" w:lineRule="auto"/>
        <w:contextualSpacing w:val="0"/>
        <w:jc w:val="both"/>
        <w:rPr>
          <w:rFonts w:ascii="Calibri" w:hAnsi="Calibri" w:cs="Calibri"/>
          <w:i/>
          <w:color w:val="000000"/>
        </w:rPr>
      </w:pPr>
      <w:r w:rsidRPr="00AF3608">
        <w:rPr>
          <w:rFonts w:ascii="Calibri" w:hAnsi="Calibri" w:cs="Calibri"/>
          <w:i/>
          <w:color w:val="000000"/>
        </w:rPr>
        <w:t>Îmbunătațirea procesului de colectare a datelor și înțelegerea aprofundată a riscurilor de neconformare utilizând date și tehnologii avansate de analiză;</w:t>
      </w:r>
    </w:p>
    <w:p w:rsidR="00B223F0" w:rsidRPr="00AF3608" w:rsidRDefault="00016063" w:rsidP="003A0B85">
      <w:pPr>
        <w:pStyle w:val="ListParagraph"/>
        <w:numPr>
          <w:ilvl w:val="0"/>
          <w:numId w:val="41"/>
        </w:numPr>
        <w:tabs>
          <w:tab w:val="left" w:pos="-426"/>
        </w:tabs>
        <w:overflowPunct w:val="0"/>
        <w:snapToGrid w:val="0"/>
        <w:spacing w:before="120" w:line="240" w:lineRule="auto"/>
        <w:contextualSpacing w:val="0"/>
        <w:jc w:val="both"/>
        <w:rPr>
          <w:rFonts w:ascii="Calibri" w:hAnsi="Calibri" w:cs="Calibri"/>
          <w:i/>
          <w:color w:val="000000"/>
        </w:rPr>
      </w:pPr>
      <w:r w:rsidRPr="00AF3608">
        <w:rPr>
          <w:rFonts w:ascii="Calibri" w:hAnsi="Calibri" w:cs="Calibri"/>
          <w:i/>
          <w:color w:val="000000"/>
        </w:rPr>
        <w:t>Utilizarea datelor și informațiilor de la terți precum și a celor disponibile intern pentru folosirea unitară între funcțiile din interiorul administrației fiscale în vederea creșterii conformării voluntare;</w:t>
      </w:r>
    </w:p>
    <w:p w:rsidR="00B223F0" w:rsidRPr="00AF3608" w:rsidRDefault="00016063" w:rsidP="003A0B85">
      <w:pPr>
        <w:pStyle w:val="ListParagraph"/>
        <w:numPr>
          <w:ilvl w:val="0"/>
          <w:numId w:val="41"/>
        </w:numPr>
        <w:tabs>
          <w:tab w:val="left" w:pos="-426"/>
        </w:tabs>
        <w:overflowPunct w:val="0"/>
        <w:snapToGrid w:val="0"/>
        <w:spacing w:before="120" w:line="240" w:lineRule="auto"/>
        <w:contextualSpacing w:val="0"/>
        <w:jc w:val="both"/>
        <w:rPr>
          <w:rFonts w:ascii="Calibri" w:hAnsi="Calibri" w:cs="Calibri"/>
          <w:i/>
          <w:color w:val="000000"/>
        </w:rPr>
      </w:pPr>
      <w:r w:rsidRPr="00AF3608">
        <w:rPr>
          <w:rFonts w:ascii="Calibri" w:hAnsi="Calibri" w:cs="Calibri"/>
          <w:i/>
          <w:color w:val="000000"/>
        </w:rPr>
        <w:t>Creșterea volumului informațiilor disponibile din platformele on-line în vederea identificării de comportamente fiscale neconforme și adaptarea măsurilor aplicate;</w:t>
      </w:r>
    </w:p>
    <w:p w:rsidR="00016063" w:rsidRPr="00AF3608" w:rsidRDefault="00016063" w:rsidP="003A0B85">
      <w:pPr>
        <w:pStyle w:val="ListParagraph"/>
        <w:numPr>
          <w:ilvl w:val="0"/>
          <w:numId w:val="41"/>
        </w:numPr>
        <w:tabs>
          <w:tab w:val="left" w:pos="-426"/>
        </w:tabs>
        <w:overflowPunct w:val="0"/>
        <w:snapToGrid w:val="0"/>
        <w:spacing w:before="120" w:line="240" w:lineRule="auto"/>
        <w:contextualSpacing w:val="0"/>
        <w:jc w:val="both"/>
        <w:rPr>
          <w:rFonts w:ascii="Calibri" w:hAnsi="Calibri" w:cs="Calibri"/>
          <w:i/>
          <w:color w:val="000000"/>
        </w:rPr>
      </w:pPr>
      <w:r w:rsidRPr="00AF3608">
        <w:rPr>
          <w:rFonts w:ascii="Calibri" w:hAnsi="Calibri" w:cs="Calibri"/>
          <w:i/>
          <w:color w:val="000000"/>
        </w:rPr>
        <w:t>Combaterea fermă a comportamentelor neconforme și a fraudei fiscale în vederea asigurării unui mediu fiscal echitabil pentru toți contribuabilii și descurajarea concurenței neloiale.</w:t>
      </w:r>
    </w:p>
    <w:p w:rsidR="00B223F0" w:rsidRPr="00AF3608" w:rsidRDefault="00B223F0" w:rsidP="00B723C0">
      <w:pPr>
        <w:shd w:val="clear" w:color="auto" w:fill="D9D9D9" w:themeFill="background1" w:themeFillShade="D9"/>
        <w:tabs>
          <w:tab w:val="left" w:pos="-426"/>
        </w:tabs>
        <w:overflowPunct w:val="0"/>
        <w:snapToGrid w:val="0"/>
        <w:spacing w:before="120"/>
        <w:jc w:val="both"/>
        <w:rPr>
          <w:rFonts w:ascii="Calibri" w:hAnsi="Calibri" w:cs="Calibri"/>
          <w:b/>
          <w:bCs/>
          <w:color w:val="002060"/>
          <w:lang w:val="ro-RO"/>
        </w:rPr>
      </w:pPr>
      <w:r w:rsidRPr="00AF3608">
        <w:rPr>
          <w:rFonts w:ascii="Calibri" w:hAnsi="Calibri" w:cs="Calibri"/>
          <w:b/>
          <w:bCs/>
          <w:color w:val="002060"/>
          <w:lang w:val="ro-RO"/>
        </w:rPr>
        <w:t>Obiectivul IV:</w:t>
      </w:r>
    </w:p>
    <w:p w:rsidR="00B223F0" w:rsidRPr="00AF3608" w:rsidRDefault="00B223F0" w:rsidP="00B723C0">
      <w:pPr>
        <w:shd w:val="clear" w:color="auto" w:fill="D9D9D9" w:themeFill="background1" w:themeFillShade="D9"/>
        <w:tabs>
          <w:tab w:val="left" w:pos="-426"/>
        </w:tabs>
        <w:overflowPunct w:val="0"/>
        <w:snapToGrid w:val="0"/>
        <w:spacing w:before="120"/>
        <w:jc w:val="both"/>
        <w:rPr>
          <w:rFonts w:ascii="Calibri" w:hAnsi="Calibri" w:cs="Calibri"/>
          <w:b/>
          <w:color w:val="002060"/>
          <w:lang w:val="ro-RO"/>
        </w:rPr>
      </w:pPr>
      <w:r w:rsidRPr="00AF3608">
        <w:rPr>
          <w:rFonts w:ascii="Calibri" w:hAnsi="Calibri" w:cs="Calibri"/>
          <w:b/>
          <w:bCs/>
          <w:color w:val="002060"/>
          <w:lang w:val="ro-RO"/>
        </w:rPr>
        <w:t>EFICIENȚĂ ȘI TRANSPARENȚĂ - t</w:t>
      </w:r>
      <w:r w:rsidRPr="00AF3608">
        <w:rPr>
          <w:rFonts w:ascii="Calibri" w:hAnsi="Calibri" w:cs="Calibri"/>
          <w:b/>
          <w:color w:val="002060"/>
          <w:lang w:val="ro-RO"/>
        </w:rPr>
        <w:t xml:space="preserve">ransformarea ANAF într-o instituție solidă, modernă și de încredere, </w:t>
      </w:r>
      <w:r w:rsidRPr="00AF3608">
        <w:rPr>
          <w:rFonts w:ascii="Calibri" w:hAnsi="Calibri" w:cs="Calibri"/>
          <w:bCs/>
          <w:color w:val="002060"/>
          <w:lang w:val="ro-RO"/>
        </w:rPr>
        <w:t>prin:</w:t>
      </w:r>
    </w:p>
    <w:p w:rsidR="00B223F0" w:rsidRPr="00AF3608" w:rsidRDefault="00016063" w:rsidP="003A0B85">
      <w:pPr>
        <w:pStyle w:val="ListParagraph"/>
        <w:numPr>
          <w:ilvl w:val="0"/>
          <w:numId w:val="42"/>
        </w:numPr>
        <w:tabs>
          <w:tab w:val="left" w:pos="-426"/>
        </w:tabs>
        <w:overflowPunct w:val="0"/>
        <w:spacing w:before="120" w:line="240" w:lineRule="auto"/>
        <w:contextualSpacing w:val="0"/>
        <w:jc w:val="both"/>
        <w:rPr>
          <w:rFonts w:ascii="Calibri" w:hAnsi="Calibri" w:cs="Calibri"/>
          <w:i/>
          <w:color w:val="000000"/>
        </w:rPr>
      </w:pPr>
      <w:r w:rsidRPr="00AF3608">
        <w:rPr>
          <w:rFonts w:ascii="Calibri" w:hAnsi="Calibri" w:cs="Calibri"/>
          <w:i/>
          <w:color w:val="000000"/>
        </w:rPr>
        <w:t>Crearea unei culturi organizaționale colaborative capabile să fructifice competențele și avantajele fiecărei generații;</w:t>
      </w:r>
    </w:p>
    <w:p w:rsidR="00B223F0" w:rsidRPr="00AF3608" w:rsidRDefault="00016063" w:rsidP="003A0B85">
      <w:pPr>
        <w:pStyle w:val="ListParagraph"/>
        <w:numPr>
          <w:ilvl w:val="0"/>
          <w:numId w:val="42"/>
        </w:numPr>
        <w:tabs>
          <w:tab w:val="left" w:pos="-426"/>
        </w:tabs>
        <w:overflowPunct w:val="0"/>
        <w:spacing w:before="120" w:line="240" w:lineRule="auto"/>
        <w:contextualSpacing w:val="0"/>
        <w:jc w:val="both"/>
        <w:rPr>
          <w:rFonts w:ascii="Calibri" w:hAnsi="Calibri" w:cs="Calibri"/>
          <w:i/>
          <w:color w:val="000000"/>
        </w:rPr>
      </w:pPr>
      <w:r w:rsidRPr="00AF3608">
        <w:rPr>
          <w:rFonts w:ascii="Calibri" w:hAnsi="Calibri" w:cs="Calibri"/>
          <w:i/>
          <w:color w:val="000000"/>
        </w:rPr>
        <w:t>Introducerea de procese formale de încurajare a inovației și implementarea unei abordări cuprinzătoare care are în centrul existenței procesul de activitate, de la începutul până la finalul său;</w:t>
      </w:r>
    </w:p>
    <w:p w:rsidR="00B223F0" w:rsidRPr="00AF3608" w:rsidRDefault="00016063" w:rsidP="003A0B85">
      <w:pPr>
        <w:pStyle w:val="ListParagraph"/>
        <w:numPr>
          <w:ilvl w:val="0"/>
          <w:numId w:val="42"/>
        </w:numPr>
        <w:tabs>
          <w:tab w:val="left" w:pos="-426"/>
        </w:tabs>
        <w:overflowPunct w:val="0"/>
        <w:spacing w:before="120" w:line="240" w:lineRule="auto"/>
        <w:contextualSpacing w:val="0"/>
        <w:jc w:val="both"/>
        <w:rPr>
          <w:rFonts w:ascii="Calibri" w:hAnsi="Calibri" w:cs="Calibri"/>
          <w:i/>
          <w:color w:val="000000"/>
        </w:rPr>
      </w:pPr>
      <w:r w:rsidRPr="00AF3608">
        <w:rPr>
          <w:rFonts w:ascii="Calibri" w:hAnsi="Calibri" w:cs="Calibri"/>
          <w:i/>
          <w:color w:val="000000"/>
        </w:rPr>
        <w:t>Flexibilizarea modului și mediului de lucru, ajustarea resurselor umane existente pentru a se adapta unui mediu în continuă schimbare și conștientizarea schimbărilor rapide în necesarul de competențe;</w:t>
      </w:r>
    </w:p>
    <w:p w:rsidR="00B223F0" w:rsidRPr="00AF3608" w:rsidRDefault="00016063" w:rsidP="003A0B85">
      <w:pPr>
        <w:pStyle w:val="ListParagraph"/>
        <w:numPr>
          <w:ilvl w:val="0"/>
          <w:numId w:val="42"/>
        </w:numPr>
        <w:tabs>
          <w:tab w:val="left" w:pos="-426"/>
        </w:tabs>
        <w:overflowPunct w:val="0"/>
        <w:spacing w:before="120" w:line="240" w:lineRule="auto"/>
        <w:contextualSpacing w:val="0"/>
        <w:jc w:val="both"/>
        <w:rPr>
          <w:rFonts w:ascii="Calibri" w:hAnsi="Calibri" w:cs="Calibri"/>
          <w:i/>
          <w:color w:val="000000"/>
        </w:rPr>
      </w:pPr>
      <w:r w:rsidRPr="00AF3608">
        <w:rPr>
          <w:rFonts w:ascii="Calibri" w:hAnsi="Calibri" w:cs="Calibri"/>
          <w:i/>
          <w:color w:val="000000"/>
        </w:rPr>
        <w:t xml:space="preserve">Dematerializarea fluxurilor de activitate curentă și tranziția spre un mediu de lucru predominant digital, astfel încât să crească transparența modului de lucru și să faciliteze colaborarea în interiorul organizației (inclusiv, corespondența electronică, mediu de lucru </w:t>
      </w:r>
      <w:r w:rsidRPr="00AF3608">
        <w:rPr>
          <w:rFonts w:ascii="Calibri" w:hAnsi="Calibri" w:cs="Calibri"/>
          <w:i/>
          <w:color w:val="000000"/>
        </w:rPr>
        <w:lastRenderedPageBreak/>
        <w:t>digital partajat, generalizarea utilizării semnăturii electronice și accesul din orice locație la bazele de date);</w:t>
      </w:r>
    </w:p>
    <w:p w:rsidR="00B223F0" w:rsidRPr="00AF3608" w:rsidRDefault="00016063" w:rsidP="003A0B85">
      <w:pPr>
        <w:pStyle w:val="ListParagraph"/>
        <w:numPr>
          <w:ilvl w:val="0"/>
          <w:numId w:val="42"/>
        </w:numPr>
        <w:tabs>
          <w:tab w:val="left" w:pos="-426"/>
        </w:tabs>
        <w:overflowPunct w:val="0"/>
        <w:spacing w:before="120" w:line="240" w:lineRule="auto"/>
        <w:contextualSpacing w:val="0"/>
        <w:jc w:val="both"/>
        <w:rPr>
          <w:rFonts w:ascii="Calibri" w:hAnsi="Calibri" w:cs="Calibri"/>
          <w:i/>
          <w:color w:val="000000"/>
        </w:rPr>
      </w:pPr>
      <w:r w:rsidRPr="00AF3608">
        <w:rPr>
          <w:rFonts w:ascii="Calibri" w:hAnsi="Calibri" w:cs="Calibri"/>
          <w:i/>
          <w:color w:val="000000"/>
        </w:rPr>
        <w:t>Consolidarea colaborării și comunicării cu alte administrații fiscale/vamale sau organisme internaționale pe ariile de interes/prioritățile comune existente la nivel internațional.</w:t>
      </w:r>
    </w:p>
    <w:p w:rsidR="00B223F0" w:rsidRPr="00AF3608" w:rsidRDefault="00016063" w:rsidP="00B723C0">
      <w:pPr>
        <w:tabs>
          <w:tab w:val="left" w:pos="-426"/>
        </w:tabs>
        <w:overflowPunct w:val="0"/>
        <w:spacing w:before="120"/>
        <w:jc w:val="both"/>
        <w:rPr>
          <w:rFonts w:ascii="Calibri" w:eastAsia="Calibri" w:hAnsi="Calibri" w:cs="Calibri"/>
          <w:i/>
          <w:color w:val="000000"/>
          <w:lang w:val="ro-RO"/>
        </w:rPr>
      </w:pPr>
      <w:r w:rsidRPr="00AF3608">
        <w:rPr>
          <w:rFonts w:ascii="Calibri" w:eastAsia="Calibri" w:hAnsi="Calibri" w:cs="Calibri"/>
          <w:b/>
          <w:bCs/>
          <w:color w:val="000000"/>
          <w:lang w:val="ro-RO"/>
        </w:rPr>
        <w:t xml:space="preserve">Totodată, în vederea creșterii veniturilor bugetare, ANAF va impulsiona recuperaea sumelor provenite din ducerea la îndeplinire a măsurilor asiguratorii și efectuarea de proceduri de executare silită în cazuri speciale de executare silită care fac obiectul hotărârilor judecătorești pronunțate în materie penală, precum și în alte cazuri de valorificare a bunurilor sechestrate și/sau confiscate în materie penală. </w:t>
      </w:r>
    </w:p>
    <w:p w:rsidR="00561CD0" w:rsidRPr="00AF3608" w:rsidRDefault="00561CD0" w:rsidP="00B723C0">
      <w:pPr>
        <w:tabs>
          <w:tab w:val="left" w:pos="-426"/>
        </w:tabs>
        <w:overflowPunct w:val="0"/>
        <w:spacing w:before="120"/>
        <w:jc w:val="both"/>
        <w:rPr>
          <w:rFonts w:ascii="Calibri" w:eastAsia="Calibri" w:hAnsi="Calibri" w:cs="Calibri"/>
          <w:b/>
          <w:bCs/>
          <w:color w:val="000000"/>
          <w:u w:val="single"/>
          <w:lang w:val="ro-RO"/>
        </w:rPr>
      </w:pPr>
    </w:p>
    <w:p w:rsidR="00016063" w:rsidRPr="00AF3608" w:rsidRDefault="00016063" w:rsidP="00B723C0">
      <w:pPr>
        <w:tabs>
          <w:tab w:val="left" w:pos="-426"/>
        </w:tabs>
        <w:overflowPunct w:val="0"/>
        <w:spacing w:before="120"/>
        <w:jc w:val="both"/>
        <w:rPr>
          <w:rFonts w:ascii="Calibri" w:eastAsia="Calibri" w:hAnsi="Calibri" w:cs="Calibri"/>
          <w:i/>
          <w:color w:val="000000"/>
          <w:lang w:val="ro-RO"/>
        </w:rPr>
      </w:pPr>
      <w:r w:rsidRPr="00AF3608">
        <w:rPr>
          <w:rFonts w:ascii="Calibri" w:eastAsia="Calibri" w:hAnsi="Calibri" w:cs="Calibri"/>
          <w:b/>
          <w:bCs/>
          <w:color w:val="000000"/>
          <w:u w:val="single"/>
          <w:lang w:val="ro-RO"/>
        </w:rPr>
        <w:t>Acțiuni prioritare în perioada 2022 – 2024</w:t>
      </w:r>
      <w:r w:rsidRPr="00AF3608">
        <w:rPr>
          <w:rFonts w:ascii="Calibri" w:eastAsia="Calibri" w:hAnsi="Calibri" w:cs="Calibri"/>
          <w:b/>
          <w:bCs/>
          <w:color w:val="000000"/>
          <w:lang w:val="ro-RO"/>
        </w:rPr>
        <w:t>:</w:t>
      </w:r>
    </w:p>
    <w:p w:rsidR="008C7877" w:rsidRPr="00AF3608" w:rsidRDefault="008C7877" w:rsidP="00B723C0">
      <w:pPr>
        <w:shd w:val="clear" w:color="auto" w:fill="D9D9D9" w:themeFill="background1" w:themeFillShade="D9"/>
        <w:tabs>
          <w:tab w:val="left" w:pos="0"/>
          <w:tab w:val="left" w:pos="8647"/>
          <w:tab w:val="left" w:pos="8931"/>
        </w:tabs>
        <w:spacing w:before="120"/>
        <w:rPr>
          <w:rFonts w:ascii="Calibri" w:eastAsia="Calibri" w:hAnsi="Calibri" w:cs="Calibri"/>
          <w:b/>
          <w:bCs/>
          <w:color w:val="002060"/>
          <w:lang w:val="ro-RO"/>
        </w:rPr>
      </w:pPr>
      <w:r w:rsidRPr="00AF3608">
        <w:rPr>
          <w:rFonts w:ascii="Calibri" w:eastAsia="Calibri" w:hAnsi="Calibri" w:cs="Calibri"/>
          <w:b/>
          <w:bCs/>
          <w:color w:val="002060"/>
          <w:lang w:val="ro-RO"/>
        </w:rPr>
        <w:t>Obiectivul I:</w:t>
      </w:r>
    </w:p>
    <w:p w:rsidR="008C7877" w:rsidRPr="00AF3608" w:rsidRDefault="008C7877" w:rsidP="00B723C0">
      <w:pPr>
        <w:shd w:val="clear" w:color="auto" w:fill="D9D9D9" w:themeFill="background1" w:themeFillShade="D9"/>
        <w:tabs>
          <w:tab w:val="left" w:pos="0"/>
          <w:tab w:val="left" w:pos="8647"/>
          <w:tab w:val="left" w:pos="8931"/>
        </w:tabs>
        <w:spacing w:before="120"/>
        <w:rPr>
          <w:rFonts w:ascii="Calibri" w:eastAsia="Calibri" w:hAnsi="Calibri" w:cs="Calibri"/>
          <w:b/>
          <w:bCs/>
          <w:color w:val="002060"/>
          <w:lang w:val="ro-RO"/>
        </w:rPr>
      </w:pPr>
      <w:r w:rsidRPr="00AF3608">
        <w:rPr>
          <w:rFonts w:ascii="Calibri" w:eastAsia="Calibri" w:hAnsi="Calibri" w:cs="Calibri"/>
          <w:b/>
          <w:bCs/>
          <w:color w:val="002060"/>
          <w:lang w:val="ro-RO"/>
        </w:rPr>
        <w:t xml:space="preserve">SERVICII - dezvoltarea unei relații de parteneriat cu contribuabilii pentru serviciile prestate, </w:t>
      </w:r>
      <w:r w:rsidRPr="00AF3608">
        <w:rPr>
          <w:rFonts w:ascii="Calibri" w:eastAsia="Calibri" w:hAnsi="Calibri" w:cs="Calibri"/>
          <w:bCs/>
          <w:color w:val="002060"/>
          <w:lang w:val="ro-RO"/>
        </w:rPr>
        <w:t>prin:</w:t>
      </w:r>
    </w:p>
    <w:p w:rsidR="008C7877" w:rsidRPr="00AF3608" w:rsidRDefault="008C7877" w:rsidP="003A0B85">
      <w:pPr>
        <w:pStyle w:val="ListParagraph"/>
        <w:numPr>
          <w:ilvl w:val="0"/>
          <w:numId w:val="43"/>
        </w:numPr>
        <w:tabs>
          <w:tab w:val="left" w:pos="0"/>
          <w:tab w:val="left" w:pos="8647"/>
          <w:tab w:val="left" w:pos="8931"/>
        </w:tabs>
        <w:spacing w:before="120" w:line="240" w:lineRule="auto"/>
        <w:contextualSpacing w:val="0"/>
        <w:rPr>
          <w:rFonts w:ascii="Calibri" w:hAnsi="Calibri" w:cs="Calibri"/>
          <w:bCs/>
          <w:i/>
          <w:color w:val="000000"/>
        </w:rPr>
      </w:pPr>
      <w:r w:rsidRPr="00AF3608">
        <w:rPr>
          <w:rFonts w:ascii="Calibri" w:hAnsi="Calibri" w:cs="Calibri"/>
          <w:bCs/>
          <w:i/>
          <w:color w:val="000000"/>
        </w:rPr>
        <w:t>Design nou și inovator de procese de activitate și servicii în interacțiunea cu contribuabilii;</w:t>
      </w:r>
    </w:p>
    <w:p w:rsidR="008C7877" w:rsidRPr="00AF3608" w:rsidRDefault="008C7877" w:rsidP="003A0B85">
      <w:pPr>
        <w:pStyle w:val="ListParagraph"/>
        <w:numPr>
          <w:ilvl w:val="0"/>
          <w:numId w:val="43"/>
        </w:numPr>
        <w:tabs>
          <w:tab w:val="left" w:pos="0"/>
          <w:tab w:val="left" w:pos="8647"/>
          <w:tab w:val="left" w:pos="8931"/>
        </w:tabs>
        <w:spacing w:before="120" w:line="240" w:lineRule="auto"/>
        <w:contextualSpacing w:val="0"/>
        <w:rPr>
          <w:rFonts w:ascii="Calibri" w:hAnsi="Calibri" w:cs="Calibri"/>
          <w:bCs/>
          <w:i/>
          <w:color w:val="000000"/>
        </w:rPr>
      </w:pPr>
      <w:r w:rsidRPr="00AF3608">
        <w:rPr>
          <w:rFonts w:ascii="Calibri" w:hAnsi="Calibri" w:cs="Calibri"/>
          <w:bCs/>
          <w:i/>
          <w:color w:val="000000"/>
        </w:rPr>
        <w:t>Utilizarea design-ului centrat pe contribuabili și în colaborare cu aceștia în dezvoltarea serviciilor oferite;</w:t>
      </w:r>
    </w:p>
    <w:p w:rsidR="008C7877" w:rsidRPr="00AF3608" w:rsidRDefault="008C7877" w:rsidP="003A0B85">
      <w:pPr>
        <w:pStyle w:val="ListParagraph"/>
        <w:numPr>
          <w:ilvl w:val="0"/>
          <w:numId w:val="43"/>
        </w:numPr>
        <w:tabs>
          <w:tab w:val="left" w:pos="0"/>
          <w:tab w:val="left" w:pos="8647"/>
          <w:tab w:val="left" w:pos="8931"/>
        </w:tabs>
        <w:spacing w:before="120" w:line="240" w:lineRule="auto"/>
        <w:contextualSpacing w:val="0"/>
        <w:rPr>
          <w:rFonts w:ascii="Calibri" w:hAnsi="Calibri" w:cs="Calibri"/>
          <w:bCs/>
          <w:i/>
          <w:color w:val="000000"/>
        </w:rPr>
      </w:pPr>
      <w:r w:rsidRPr="00AF3608">
        <w:rPr>
          <w:rFonts w:ascii="Calibri" w:hAnsi="Calibri" w:cs="Calibri"/>
          <w:bCs/>
          <w:i/>
          <w:color w:val="000000"/>
        </w:rPr>
        <w:t>Dezvoltarea și extinderea de servicii simple și accesibile pentru contribuabili;</w:t>
      </w:r>
    </w:p>
    <w:p w:rsidR="008C7877" w:rsidRPr="00AF3608" w:rsidRDefault="008C7877" w:rsidP="003A0B85">
      <w:pPr>
        <w:pStyle w:val="ListParagraph"/>
        <w:numPr>
          <w:ilvl w:val="0"/>
          <w:numId w:val="43"/>
        </w:numPr>
        <w:tabs>
          <w:tab w:val="left" w:pos="0"/>
          <w:tab w:val="left" w:pos="8647"/>
          <w:tab w:val="left" w:pos="8931"/>
        </w:tabs>
        <w:spacing w:before="120" w:line="240" w:lineRule="auto"/>
        <w:contextualSpacing w:val="0"/>
        <w:rPr>
          <w:rFonts w:ascii="Calibri" w:hAnsi="Calibri" w:cs="Calibri"/>
          <w:bCs/>
          <w:i/>
          <w:color w:val="000000"/>
        </w:rPr>
      </w:pPr>
      <w:r w:rsidRPr="00AF3608">
        <w:rPr>
          <w:rFonts w:ascii="Calibri" w:hAnsi="Calibri" w:cs="Calibri"/>
          <w:bCs/>
          <w:i/>
          <w:color w:val="000000"/>
        </w:rPr>
        <w:t>Sprijinirea contribuabililor pentru înțelegerea simplă, rapidă și corectă a obligațiilor fiscale;</w:t>
      </w:r>
    </w:p>
    <w:p w:rsidR="008C7877" w:rsidRPr="00AF3608" w:rsidRDefault="008C7877" w:rsidP="003A0B85">
      <w:pPr>
        <w:pStyle w:val="ListParagraph"/>
        <w:numPr>
          <w:ilvl w:val="0"/>
          <w:numId w:val="43"/>
        </w:numPr>
        <w:tabs>
          <w:tab w:val="left" w:pos="0"/>
          <w:tab w:val="left" w:pos="8647"/>
          <w:tab w:val="left" w:pos="8931"/>
        </w:tabs>
        <w:spacing w:before="120" w:line="240" w:lineRule="auto"/>
        <w:contextualSpacing w:val="0"/>
        <w:rPr>
          <w:rFonts w:ascii="Calibri" w:hAnsi="Calibri" w:cs="Calibri"/>
          <w:bCs/>
          <w:i/>
          <w:color w:val="000000"/>
        </w:rPr>
      </w:pPr>
      <w:r w:rsidRPr="00AF3608">
        <w:rPr>
          <w:rFonts w:ascii="Calibri" w:hAnsi="Calibri" w:cs="Calibri"/>
          <w:bCs/>
          <w:i/>
          <w:color w:val="000000"/>
        </w:rPr>
        <w:t>Continuarea dezvoltării mecanismului consultativ de colaborare cu mediul de afaceri și contribuabilii și colaborarea cu parteneri externi pentru identificarea de soluții inovatoare.</w:t>
      </w:r>
    </w:p>
    <w:p w:rsidR="00016063" w:rsidRPr="00AF3608" w:rsidRDefault="00016063" w:rsidP="00B723C0">
      <w:pPr>
        <w:shd w:val="clear" w:color="auto" w:fill="D9D9D9" w:themeFill="background1" w:themeFillShade="D9"/>
        <w:spacing w:before="120"/>
        <w:jc w:val="both"/>
        <w:rPr>
          <w:rFonts w:ascii="Calibri" w:eastAsia="Calibri" w:hAnsi="Calibri" w:cs="Calibri"/>
          <w:b/>
          <w:color w:val="002060"/>
          <w:lang w:val="ro-RO"/>
        </w:rPr>
      </w:pPr>
      <w:r w:rsidRPr="00AF3608">
        <w:rPr>
          <w:rFonts w:ascii="Calibri" w:eastAsia="Calibri" w:hAnsi="Calibri" w:cs="Calibri"/>
          <w:b/>
          <w:color w:val="002060"/>
          <w:lang w:val="ro-RO"/>
        </w:rPr>
        <w:t>Obiectivul II:</w:t>
      </w:r>
    </w:p>
    <w:p w:rsidR="00016063" w:rsidRPr="00AF3608" w:rsidRDefault="00016063" w:rsidP="00B723C0">
      <w:pPr>
        <w:shd w:val="clear" w:color="auto" w:fill="D9D9D9" w:themeFill="background1" w:themeFillShade="D9"/>
        <w:spacing w:before="120"/>
        <w:jc w:val="both"/>
        <w:rPr>
          <w:rFonts w:ascii="Calibri" w:eastAsia="Calibri" w:hAnsi="Calibri" w:cs="Calibri"/>
          <w:color w:val="002060"/>
          <w:lang w:val="ro-RO"/>
        </w:rPr>
      </w:pPr>
      <w:r w:rsidRPr="00AF3608">
        <w:rPr>
          <w:rFonts w:ascii="Calibri" w:eastAsia="Calibri" w:hAnsi="Calibri" w:cs="Calibri"/>
          <w:b/>
          <w:color w:val="002060"/>
          <w:lang w:val="ro-RO"/>
        </w:rPr>
        <w:t xml:space="preserve">SOLUȚII DIGITATE INTEGRATE - </w:t>
      </w:r>
      <w:r w:rsidRPr="00AF3608">
        <w:rPr>
          <w:rFonts w:ascii="Calibri" w:eastAsia="Calibri" w:hAnsi="Calibri" w:cs="Calibri"/>
          <w:b/>
          <w:bCs/>
          <w:color w:val="002060"/>
          <w:lang w:val="ro-RO"/>
        </w:rPr>
        <w:t>t</w:t>
      </w:r>
      <w:r w:rsidRPr="00AF3608">
        <w:rPr>
          <w:rFonts w:ascii="Calibri" w:eastAsia="Calibri" w:hAnsi="Calibri" w:cs="Calibri"/>
          <w:b/>
          <w:color w:val="002060"/>
          <w:lang w:val="ro-RO"/>
        </w:rPr>
        <w:t>ransformarea ANAF într-o instituție performantă și inteligentă cu soluții digitale integrate,</w:t>
      </w:r>
      <w:r w:rsidRPr="00AF3608">
        <w:rPr>
          <w:rFonts w:ascii="Calibri" w:eastAsia="Calibri" w:hAnsi="Calibri" w:cs="Calibri"/>
          <w:b/>
          <w:bCs/>
          <w:color w:val="002060"/>
          <w:lang w:val="ro-RO"/>
        </w:rPr>
        <w:t xml:space="preserve"> </w:t>
      </w:r>
      <w:r w:rsidRPr="00AF3608">
        <w:rPr>
          <w:rFonts w:ascii="Calibri" w:eastAsia="Calibri" w:hAnsi="Calibri" w:cs="Calibri"/>
          <w:b/>
          <w:color w:val="002060"/>
          <w:lang w:val="ro-RO"/>
        </w:rPr>
        <w:t>care utilizează la maxim</w:t>
      </w:r>
      <w:r w:rsidRPr="00AF3608">
        <w:rPr>
          <w:rFonts w:ascii="Calibri" w:eastAsia="Calibri" w:hAnsi="Calibri" w:cs="Calibri"/>
          <w:b/>
          <w:bCs/>
          <w:color w:val="002060"/>
          <w:lang w:val="ro-RO"/>
        </w:rPr>
        <w:t xml:space="preserve">um datele și informațiile </w:t>
      </w:r>
      <w:r w:rsidRPr="00AF3608">
        <w:rPr>
          <w:rFonts w:ascii="Calibri" w:eastAsia="Calibri" w:hAnsi="Calibri" w:cs="Calibri"/>
          <w:b/>
          <w:color w:val="002060"/>
          <w:lang w:val="ro-RO"/>
        </w:rPr>
        <w:t xml:space="preserve">disponibile, </w:t>
      </w:r>
      <w:r w:rsidRPr="00AF3608">
        <w:rPr>
          <w:rFonts w:ascii="Calibri" w:eastAsia="Calibri" w:hAnsi="Calibri" w:cs="Calibri"/>
          <w:color w:val="002060"/>
          <w:lang w:val="ro-RO"/>
        </w:rPr>
        <w:t>prin:</w:t>
      </w:r>
    </w:p>
    <w:p w:rsidR="008C7877" w:rsidRPr="00AF3608" w:rsidRDefault="00016063" w:rsidP="003A0B85">
      <w:pPr>
        <w:pStyle w:val="ListParagraph"/>
        <w:numPr>
          <w:ilvl w:val="0"/>
          <w:numId w:val="45"/>
        </w:numPr>
        <w:tabs>
          <w:tab w:val="left" w:pos="-426"/>
        </w:tabs>
        <w:overflowPunct w:val="0"/>
        <w:snapToGrid w:val="0"/>
        <w:spacing w:before="120" w:line="240" w:lineRule="auto"/>
        <w:contextualSpacing w:val="0"/>
        <w:jc w:val="both"/>
        <w:rPr>
          <w:rFonts w:ascii="Calibri" w:hAnsi="Calibri" w:cs="Calibri"/>
          <w:i/>
          <w:iCs/>
          <w:color w:val="000000"/>
        </w:rPr>
      </w:pPr>
      <w:r w:rsidRPr="00AF3608">
        <w:rPr>
          <w:rFonts w:ascii="Calibri" w:hAnsi="Calibri" w:cs="Calibri"/>
          <w:i/>
          <w:iCs/>
          <w:color w:val="000000"/>
        </w:rPr>
        <w:t xml:space="preserve">Implementarea obiectivelor stabilite prin </w:t>
      </w:r>
      <w:r w:rsidRPr="00AF3608">
        <w:rPr>
          <w:rFonts w:ascii="Calibri" w:hAnsi="Calibri" w:cs="Calibri"/>
          <w:b/>
          <w:bCs/>
          <w:i/>
          <w:iCs/>
          <w:color w:val="000000"/>
        </w:rPr>
        <w:t>Strategia digitală a ANAF</w:t>
      </w:r>
      <w:r w:rsidRPr="00AF3608">
        <w:rPr>
          <w:rFonts w:ascii="Calibri" w:hAnsi="Calibri" w:cs="Calibri"/>
          <w:i/>
          <w:iCs/>
          <w:color w:val="000000"/>
        </w:rPr>
        <w:t>:</w:t>
      </w:r>
    </w:p>
    <w:p w:rsidR="008C7877" w:rsidRPr="00AF3608" w:rsidRDefault="00016063" w:rsidP="003A0B85">
      <w:pPr>
        <w:pStyle w:val="ListParagraph"/>
        <w:numPr>
          <w:ilvl w:val="1"/>
          <w:numId w:val="45"/>
        </w:numPr>
        <w:tabs>
          <w:tab w:val="left" w:pos="-426"/>
        </w:tabs>
        <w:overflowPunct w:val="0"/>
        <w:snapToGrid w:val="0"/>
        <w:spacing w:before="120" w:line="240" w:lineRule="auto"/>
        <w:contextualSpacing w:val="0"/>
        <w:jc w:val="both"/>
        <w:rPr>
          <w:rFonts w:ascii="Calibri" w:hAnsi="Calibri" w:cs="Calibri"/>
          <w:i/>
          <w:iCs/>
          <w:color w:val="000000"/>
        </w:rPr>
      </w:pPr>
      <w:r w:rsidRPr="00AF3608">
        <w:rPr>
          <w:rFonts w:ascii="Calibri" w:hAnsi="Calibri" w:cs="Calibri"/>
          <w:color w:val="000000"/>
        </w:rPr>
        <w:t>utilizarea digitalizării ca abordare inteligentă pentru domeniile funcționale ale administrației fiscale;</w:t>
      </w:r>
    </w:p>
    <w:p w:rsidR="008C7877" w:rsidRPr="00AF3608" w:rsidRDefault="00016063" w:rsidP="003A0B85">
      <w:pPr>
        <w:pStyle w:val="ListParagraph"/>
        <w:numPr>
          <w:ilvl w:val="1"/>
          <w:numId w:val="45"/>
        </w:numPr>
        <w:tabs>
          <w:tab w:val="left" w:pos="-426"/>
        </w:tabs>
        <w:overflowPunct w:val="0"/>
        <w:snapToGrid w:val="0"/>
        <w:spacing w:before="120" w:line="240" w:lineRule="auto"/>
        <w:contextualSpacing w:val="0"/>
        <w:jc w:val="both"/>
        <w:rPr>
          <w:rFonts w:ascii="Calibri" w:hAnsi="Calibri" w:cs="Calibri"/>
          <w:i/>
          <w:iCs/>
          <w:color w:val="000000"/>
        </w:rPr>
      </w:pPr>
      <w:r w:rsidRPr="00AF3608">
        <w:rPr>
          <w:rFonts w:ascii="Calibri" w:hAnsi="Calibri" w:cs="Calibri"/>
          <w:bCs/>
          <w:color w:val="000000"/>
        </w:rPr>
        <w:t>consolidarea capacității administrative necesare procesului de transformare digitală;</w:t>
      </w:r>
    </w:p>
    <w:p w:rsidR="008C7877" w:rsidRPr="00AF3608" w:rsidRDefault="00016063" w:rsidP="003A0B85">
      <w:pPr>
        <w:pStyle w:val="ListParagraph"/>
        <w:numPr>
          <w:ilvl w:val="1"/>
          <w:numId w:val="45"/>
        </w:numPr>
        <w:tabs>
          <w:tab w:val="left" w:pos="-426"/>
        </w:tabs>
        <w:overflowPunct w:val="0"/>
        <w:snapToGrid w:val="0"/>
        <w:spacing w:before="120" w:line="240" w:lineRule="auto"/>
        <w:contextualSpacing w:val="0"/>
        <w:jc w:val="both"/>
        <w:rPr>
          <w:rFonts w:ascii="Calibri" w:hAnsi="Calibri" w:cs="Calibri"/>
          <w:i/>
          <w:iCs/>
          <w:color w:val="000000"/>
        </w:rPr>
      </w:pPr>
      <w:r w:rsidRPr="00AF3608">
        <w:rPr>
          <w:rFonts w:ascii="Calibri" w:hAnsi="Calibri" w:cs="Calibri"/>
          <w:bCs/>
          <w:color w:val="000000"/>
        </w:rPr>
        <w:t>asigurarea cadrului tehnologic necesar tranziției către o administrație fiscală digitală;</w:t>
      </w:r>
    </w:p>
    <w:p w:rsidR="008C7877" w:rsidRPr="00AF3608" w:rsidRDefault="00016063" w:rsidP="003A0B85">
      <w:pPr>
        <w:pStyle w:val="ListParagraph"/>
        <w:numPr>
          <w:ilvl w:val="0"/>
          <w:numId w:val="44"/>
        </w:numPr>
        <w:tabs>
          <w:tab w:val="left" w:pos="-426"/>
        </w:tabs>
        <w:overflowPunct w:val="0"/>
        <w:spacing w:before="120" w:line="240" w:lineRule="auto"/>
        <w:contextualSpacing w:val="0"/>
        <w:jc w:val="both"/>
        <w:rPr>
          <w:rFonts w:ascii="Calibri" w:hAnsi="Calibri" w:cs="Calibri"/>
          <w:bCs/>
          <w:color w:val="000000"/>
        </w:rPr>
      </w:pPr>
      <w:r w:rsidRPr="00AF3608">
        <w:rPr>
          <w:rFonts w:ascii="Calibri" w:hAnsi="Calibri" w:cs="Calibri"/>
          <w:bCs/>
          <w:i/>
          <w:color w:val="000000"/>
        </w:rPr>
        <w:t>Continuarea procesului de digitalizare al ANAF, efectuarea de investiții în tehnologie și în dezvoltarea aplicațiilor utilizate, în vederea creșterii gradului de colectare, prin implementarea de proiecte;</w:t>
      </w:r>
    </w:p>
    <w:p w:rsidR="00016063" w:rsidRPr="00AF3608" w:rsidRDefault="00016063" w:rsidP="003A0B85">
      <w:pPr>
        <w:pStyle w:val="ListParagraph"/>
        <w:numPr>
          <w:ilvl w:val="0"/>
          <w:numId w:val="44"/>
        </w:numPr>
        <w:tabs>
          <w:tab w:val="left" w:pos="-426"/>
        </w:tabs>
        <w:overflowPunct w:val="0"/>
        <w:spacing w:before="120" w:line="240" w:lineRule="auto"/>
        <w:contextualSpacing w:val="0"/>
        <w:jc w:val="both"/>
        <w:rPr>
          <w:rFonts w:ascii="Calibri" w:hAnsi="Calibri" w:cs="Calibri"/>
          <w:bCs/>
          <w:color w:val="000000"/>
        </w:rPr>
      </w:pPr>
      <w:r w:rsidRPr="00AF3608">
        <w:rPr>
          <w:rFonts w:ascii="Calibri" w:hAnsi="Calibri" w:cs="Calibri"/>
          <w:i/>
          <w:color w:val="000000"/>
        </w:rPr>
        <w:t>Introducerea de soluții tehnologice având drept scop creșterea valorii adăugate a muncii angajaților, mai ales în zona de analiză, sinteză și raportare; informatizarea activităților de back office.</w:t>
      </w:r>
    </w:p>
    <w:p w:rsidR="006762E5" w:rsidRPr="00AF3608" w:rsidRDefault="006762E5" w:rsidP="00B723C0">
      <w:pPr>
        <w:shd w:val="clear" w:color="auto" w:fill="D9D9D9" w:themeFill="background1" w:themeFillShade="D9"/>
        <w:tabs>
          <w:tab w:val="left" w:pos="-426"/>
        </w:tabs>
        <w:overflowPunct w:val="0"/>
        <w:spacing w:before="120"/>
        <w:jc w:val="both"/>
        <w:rPr>
          <w:rFonts w:ascii="Calibri" w:eastAsia="Calibri" w:hAnsi="Calibri" w:cs="Calibri"/>
          <w:b/>
          <w:bCs/>
          <w:color w:val="002060"/>
          <w:lang w:val="ro-RO"/>
        </w:rPr>
      </w:pPr>
      <w:r w:rsidRPr="00AF3608">
        <w:rPr>
          <w:rFonts w:ascii="Calibri" w:eastAsia="Calibri" w:hAnsi="Calibri" w:cs="Calibri"/>
          <w:b/>
          <w:bCs/>
          <w:color w:val="002060"/>
          <w:lang w:val="ro-RO"/>
        </w:rPr>
        <w:t>Obiectivul III:</w:t>
      </w:r>
    </w:p>
    <w:p w:rsidR="006762E5" w:rsidRPr="00AF3608" w:rsidRDefault="006762E5" w:rsidP="00B723C0">
      <w:pPr>
        <w:shd w:val="clear" w:color="auto" w:fill="D9D9D9" w:themeFill="background1" w:themeFillShade="D9"/>
        <w:tabs>
          <w:tab w:val="left" w:pos="-426"/>
        </w:tabs>
        <w:overflowPunct w:val="0"/>
        <w:spacing w:before="120"/>
        <w:jc w:val="both"/>
        <w:rPr>
          <w:rFonts w:ascii="Calibri" w:eastAsia="Calibri" w:hAnsi="Calibri" w:cs="Calibri"/>
          <w:b/>
          <w:bCs/>
          <w:color w:val="002060"/>
          <w:lang w:val="ro-RO"/>
        </w:rPr>
      </w:pPr>
      <w:r w:rsidRPr="00AF3608">
        <w:rPr>
          <w:rFonts w:ascii="Calibri" w:eastAsia="Calibri" w:hAnsi="Calibri" w:cs="Calibri"/>
          <w:b/>
          <w:bCs/>
          <w:color w:val="002060"/>
          <w:lang w:val="ro-RO"/>
        </w:rPr>
        <w:t>PREVENIREA ȘI COMBATEREA FRAUDEI FISCALE - o organizație ce vine în sprijinul conformării contribuabililor și al menținerii unui mediu economic echitabil</w:t>
      </w:r>
    </w:p>
    <w:p w:rsidR="006762E5" w:rsidRPr="00AF3608" w:rsidRDefault="006762E5" w:rsidP="003A0B85">
      <w:pPr>
        <w:pStyle w:val="ListParagraph"/>
        <w:numPr>
          <w:ilvl w:val="0"/>
          <w:numId w:val="46"/>
        </w:numPr>
        <w:tabs>
          <w:tab w:val="left" w:pos="-426"/>
        </w:tabs>
        <w:overflowPunct w:val="0"/>
        <w:spacing w:before="120" w:line="240" w:lineRule="auto"/>
        <w:contextualSpacing w:val="0"/>
        <w:jc w:val="both"/>
        <w:rPr>
          <w:rFonts w:ascii="Calibri" w:hAnsi="Calibri" w:cs="Calibri"/>
          <w:bCs/>
          <w:i/>
        </w:rPr>
      </w:pPr>
      <w:r w:rsidRPr="00AF3608">
        <w:rPr>
          <w:rFonts w:ascii="Calibri" w:hAnsi="Calibri" w:cs="Calibri"/>
          <w:bCs/>
          <w:i/>
        </w:rPr>
        <w:t>Combaterea eficientă a comportamentelor neconforme și a fraudei fiscale prin  acțiuni complexe, țintite, la contribuabilii cu risc fiscal ridicat, în vederea asigurării unui mediu fiscal echitabil pentru toți contribuabilii și descurajării concurenței neloiale;</w:t>
      </w:r>
    </w:p>
    <w:p w:rsidR="006762E5" w:rsidRPr="00AF3608" w:rsidRDefault="006762E5" w:rsidP="003A0B85">
      <w:pPr>
        <w:pStyle w:val="ListParagraph"/>
        <w:numPr>
          <w:ilvl w:val="0"/>
          <w:numId w:val="46"/>
        </w:numPr>
        <w:tabs>
          <w:tab w:val="left" w:pos="-426"/>
        </w:tabs>
        <w:overflowPunct w:val="0"/>
        <w:spacing w:before="120" w:line="240" w:lineRule="auto"/>
        <w:contextualSpacing w:val="0"/>
        <w:jc w:val="both"/>
        <w:rPr>
          <w:rFonts w:ascii="Calibri" w:hAnsi="Calibri" w:cs="Calibri"/>
          <w:bCs/>
          <w:i/>
        </w:rPr>
      </w:pPr>
      <w:r w:rsidRPr="00AF3608">
        <w:rPr>
          <w:rFonts w:ascii="Calibri" w:hAnsi="Calibri" w:cs="Calibri"/>
          <w:bCs/>
          <w:i/>
        </w:rPr>
        <w:lastRenderedPageBreak/>
        <w:t>Utilizarea unui nou model de estimare a decalajului fiscal privind TVA, dezvoltat pe sectoarele economice de activitate, de tip TOP-DOWN, pentru a asigura realizarea de acțiuni concentrate de prevenire și combatere a evaziunii, în aceste sectoare.</w:t>
      </w:r>
    </w:p>
    <w:p w:rsidR="006762E5" w:rsidRPr="00AF3608" w:rsidRDefault="006762E5" w:rsidP="00B723C0">
      <w:pPr>
        <w:shd w:val="clear" w:color="auto" w:fill="D9D9D9" w:themeFill="background1" w:themeFillShade="D9"/>
        <w:tabs>
          <w:tab w:val="left" w:pos="-426"/>
        </w:tabs>
        <w:overflowPunct w:val="0"/>
        <w:spacing w:before="120"/>
        <w:jc w:val="both"/>
        <w:rPr>
          <w:rFonts w:ascii="Calibri" w:eastAsia="Calibri" w:hAnsi="Calibri" w:cs="Calibri"/>
          <w:b/>
          <w:bCs/>
          <w:color w:val="002060"/>
          <w:lang w:val="ro-RO"/>
        </w:rPr>
      </w:pPr>
      <w:r w:rsidRPr="00AF3608">
        <w:rPr>
          <w:rFonts w:ascii="Calibri" w:eastAsia="Calibri" w:hAnsi="Calibri" w:cs="Calibri"/>
          <w:b/>
          <w:bCs/>
          <w:color w:val="002060"/>
          <w:lang w:val="ro-RO"/>
        </w:rPr>
        <w:t>Obiectivul IV:</w:t>
      </w:r>
    </w:p>
    <w:p w:rsidR="006762E5" w:rsidRPr="00AF3608" w:rsidRDefault="006762E5" w:rsidP="00B723C0">
      <w:pPr>
        <w:shd w:val="clear" w:color="auto" w:fill="D9D9D9" w:themeFill="background1" w:themeFillShade="D9"/>
        <w:tabs>
          <w:tab w:val="left" w:pos="-426"/>
        </w:tabs>
        <w:overflowPunct w:val="0"/>
        <w:spacing w:before="120"/>
        <w:jc w:val="both"/>
        <w:rPr>
          <w:rFonts w:ascii="Calibri" w:eastAsia="Calibri" w:hAnsi="Calibri" w:cs="Calibri"/>
          <w:b/>
          <w:bCs/>
          <w:color w:val="002060"/>
          <w:lang w:val="ro-RO"/>
        </w:rPr>
      </w:pPr>
      <w:r w:rsidRPr="00AF3608">
        <w:rPr>
          <w:rFonts w:ascii="Calibri" w:eastAsia="Calibri" w:hAnsi="Calibri" w:cs="Calibri"/>
          <w:b/>
          <w:bCs/>
          <w:color w:val="002060"/>
          <w:lang w:val="ro-RO"/>
        </w:rPr>
        <w:t xml:space="preserve">EFICIENȚĂ ȘI TRANSPARENȚĂ - transformarea ANAF într-o instituție solidă, modernă și de încredere, </w:t>
      </w:r>
      <w:r w:rsidRPr="00AF3608">
        <w:rPr>
          <w:rFonts w:ascii="Calibri" w:eastAsia="Calibri" w:hAnsi="Calibri" w:cs="Calibri"/>
          <w:bCs/>
          <w:color w:val="002060"/>
          <w:lang w:val="ro-RO"/>
        </w:rPr>
        <w:t>prin:</w:t>
      </w:r>
    </w:p>
    <w:p w:rsidR="006762E5" w:rsidRPr="00AF3608" w:rsidRDefault="006762E5" w:rsidP="003A0B85">
      <w:pPr>
        <w:pStyle w:val="ListParagraph"/>
        <w:numPr>
          <w:ilvl w:val="0"/>
          <w:numId w:val="47"/>
        </w:numPr>
        <w:tabs>
          <w:tab w:val="left" w:pos="-426"/>
        </w:tabs>
        <w:overflowPunct w:val="0"/>
        <w:spacing w:before="120" w:line="240" w:lineRule="auto"/>
        <w:contextualSpacing w:val="0"/>
        <w:jc w:val="both"/>
        <w:rPr>
          <w:rFonts w:ascii="Calibri" w:hAnsi="Calibri" w:cs="Calibri"/>
          <w:bCs/>
          <w:i/>
        </w:rPr>
      </w:pPr>
      <w:r w:rsidRPr="00AF3608">
        <w:rPr>
          <w:rFonts w:ascii="Calibri" w:hAnsi="Calibri" w:cs="Calibri"/>
          <w:bCs/>
          <w:i/>
        </w:rPr>
        <w:t>Crearea unei culturi organizaționale colaborative capabile să fructifice competențele și avantajele fiecărei generații;</w:t>
      </w:r>
    </w:p>
    <w:p w:rsidR="006762E5" w:rsidRPr="00AF3608" w:rsidRDefault="006762E5" w:rsidP="003A0B85">
      <w:pPr>
        <w:pStyle w:val="ListParagraph"/>
        <w:numPr>
          <w:ilvl w:val="0"/>
          <w:numId w:val="47"/>
        </w:numPr>
        <w:tabs>
          <w:tab w:val="left" w:pos="-426"/>
        </w:tabs>
        <w:overflowPunct w:val="0"/>
        <w:spacing w:before="120" w:line="240" w:lineRule="auto"/>
        <w:contextualSpacing w:val="0"/>
        <w:jc w:val="both"/>
        <w:rPr>
          <w:rFonts w:ascii="Calibri" w:hAnsi="Calibri" w:cs="Calibri"/>
          <w:bCs/>
          <w:i/>
        </w:rPr>
      </w:pPr>
      <w:r w:rsidRPr="00AF3608">
        <w:rPr>
          <w:rFonts w:ascii="Calibri" w:hAnsi="Calibri" w:cs="Calibri"/>
          <w:bCs/>
          <w:i/>
        </w:rPr>
        <w:t>Introducerea de procese formale de încurajare a inovației și implementarea unei abordări cuprinzătoare care are în centrul existenței procesul de activitate, de la începutul până la finalul său;</w:t>
      </w:r>
    </w:p>
    <w:p w:rsidR="006762E5" w:rsidRPr="00AF3608" w:rsidRDefault="006762E5" w:rsidP="003A0B85">
      <w:pPr>
        <w:pStyle w:val="ListParagraph"/>
        <w:numPr>
          <w:ilvl w:val="0"/>
          <w:numId w:val="47"/>
        </w:numPr>
        <w:tabs>
          <w:tab w:val="left" w:pos="-426"/>
        </w:tabs>
        <w:overflowPunct w:val="0"/>
        <w:spacing w:before="120" w:line="240" w:lineRule="auto"/>
        <w:contextualSpacing w:val="0"/>
        <w:jc w:val="both"/>
        <w:rPr>
          <w:rFonts w:ascii="Calibri" w:hAnsi="Calibri" w:cs="Calibri"/>
          <w:bCs/>
          <w:i/>
        </w:rPr>
      </w:pPr>
      <w:r w:rsidRPr="00AF3608">
        <w:rPr>
          <w:rFonts w:ascii="Calibri" w:hAnsi="Calibri" w:cs="Calibri"/>
          <w:bCs/>
          <w:i/>
        </w:rPr>
        <w:t>Flexibilizarea modului și mediului de lucru, ajustarea resurselor umane existente pentru a se adapta unui mediu în continuă schimbare și conștientizarea schimbărilor rapide în necesarul de competențe;</w:t>
      </w:r>
    </w:p>
    <w:p w:rsidR="006762E5" w:rsidRPr="00AF3608" w:rsidRDefault="006762E5" w:rsidP="003A0B85">
      <w:pPr>
        <w:pStyle w:val="ListParagraph"/>
        <w:numPr>
          <w:ilvl w:val="0"/>
          <w:numId w:val="47"/>
        </w:numPr>
        <w:tabs>
          <w:tab w:val="left" w:pos="-426"/>
        </w:tabs>
        <w:overflowPunct w:val="0"/>
        <w:spacing w:before="120" w:line="240" w:lineRule="auto"/>
        <w:contextualSpacing w:val="0"/>
        <w:jc w:val="both"/>
        <w:rPr>
          <w:rFonts w:ascii="Calibri" w:hAnsi="Calibri" w:cs="Calibri"/>
          <w:bCs/>
          <w:i/>
        </w:rPr>
      </w:pPr>
      <w:r w:rsidRPr="00AF3608">
        <w:rPr>
          <w:rFonts w:ascii="Calibri" w:hAnsi="Calibri" w:cs="Calibri"/>
          <w:bCs/>
          <w:i/>
        </w:rPr>
        <w:t>Dematerializarea fluxurilor de activitate curentă și tranziția spre un mediu de lucru predominant digital care să includă corespondența electronică, generalizarea utilizării semnăturii electronice și accesul de la distanță a bazelor de date;</w:t>
      </w:r>
    </w:p>
    <w:p w:rsidR="006762E5" w:rsidRPr="00AF3608" w:rsidRDefault="006762E5" w:rsidP="003A0B85">
      <w:pPr>
        <w:pStyle w:val="ListParagraph"/>
        <w:numPr>
          <w:ilvl w:val="0"/>
          <w:numId w:val="47"/>
        </w:numPr>
        <w:tabs>
          <w:tab w:val="left" w:pos="-426"/>
        </w:tabs>
        <w:overflowPunct w:val="0"/>
        <w:spacing w:before="120" w:line="240" w:lineRule="auto"/>
        <w:contextualSpacing w:val="0"/>
        <w:jc w:val="both"/>
        <w:rPr>
          <w:rFonts w:ascii="Calibri" w:hAnsi="Calibri" w:cs="Calibri"/>
          <w:bCs/>
          <w:i/>
        </w:rPr>
      </w:pPr>
      <w:r w:rsidRPr="00AF3608">
        <w:rPr>
          <w:rFonts w:ascii="Calibri" w:hAnsi="Calibri" w:cs="Calibri"/>
          <w:bCs/>
          <w:i/>
        </w:rPr>
        <w:t>Consolidarea colaborării și comunicării cu alte administrații fiscale, precum și cu organisme internaționale, pe ariile de interes și prioritățile comune existente la nivel internațional;</w:t>
      </w:r>
    </w:p>
    <w:p w:rsidR="006762E5" w:rsidRPr="00AF3608" w:rsidRDefault="006762E5" w:rsidP="003A0B85">
      <w:pPr>
        <w:pStyle w:val="ListParagraph"/>
        <w:numPr>
          <w:ilvl w:val="0"/>
          <w:numId w:val="47"/>
        </w:numPr>
        <w:tabs>
          <w:tab w:val="left" w:pos="-426"/>
        </w:tabs>
        <w:overflowPunct w:val="0"/>
        <w:spacing w:before="120" w:line="240" w:lineRule="auto"/>
        <w:contextualSpacing w:val="0"/>
        <w:jc w:val="both"/>
        <w:rPr>
          <w:rFonts w:ascii="Calibri" w:hAnsi="Calibri" w:cs="Calibri"/>
          <w:bCs/>
          <w:i/>
        </w:rPr>
      </w:pPr>
      <w:r w:rsidRPr="00AF3608">
        <w:rPr>
          <w:rFonts w:ascii="Calibri" w:hAnsi="Calibri" w:cs="Calibri"/>
          <w:bCs/>
          <w:i/>
        </w:rPr>
        <w:t>Întinerirea personalului ANAF și dezvoltarea competențelor angajaților prin participarea la cursuri de pregătire profesională;</w:t>
      </w:r>
    </w:p>
    <w:p w:rsidR="006762E5" w:rsidRPr="00AF3608" w:rsidRDefault="006762E5" w:rsidP="003A0B85">
      <w:pPr>
        <w:pStyle w:val="ListParagraph"/>
        <w:numPr>
          <w:ilvl w:val="0"/>
          <w:numId w:val="47"/>
        </w:numPr>
        <w:tabs>
          <w:tab w:val="left" w:pos="-426"/>
        </w:tabs>
        <w:overflowPunct w:val="0"/>
        <w:spacing w:before="120" w:line="240" w:lineRule="auto"/>
        <w:contextualSpacing w:val="0"/>
        <w:jc w:val="both"/>
        <w:rPr>
          <w:rFonts w:ascii="Calibri" w:hAnsi="Calibri" w:cs="Calibri"/>
          <w:bCs/>
          <w:i/>
        </w:rPr>
      </w:pPr>
      <w:r w:rsidRPr="00AF3608">
        <w:rPr>
          <w:rFonts w:ascii="Calibri" w:hAnsi="Calibri" w:cs="Calibri"/>
          <w:bCs/>
          <w:i/>
        </w:rPr>
        <w:t>Simplificarea procesului decizional în interiorul agenției în scopul debirocratizării;</w:t>
      </w:r>
    </w:p>
    <w:p w:rsidR="006762E5" w:rsidRPr="00AF3608" w:rsidRDefault="006762E5" w:rsidP="003A0B85">
      <w:pPr>
        <w:pStyle w:val="ListParagraph"/>
        <w:numPr>
          <w:ilvl w:val="0"/>
          <w:numId w:val="47"/>
        </w:numPr>
        <w:tabs>
          <w:tab w:val="left" w:pos="-426"/>
        </w:tabs>
        <w:overflowPunct w:val="0"/>
        <w:spacing w:before="120" w:line="240" w:lineRule="auto"/>
        <w:contextualSpacing w:val="0"/>
        <w:jc w:val="both"/>
        <w:rPr>
          <w:rFonts w:ascii="Calibri" w:hAnsi="Calibri" w:cs="Calibri"/>
          <w:bCs/>
          <w:i/>
        </w:rPr>
      </w:pPr>
      <w:r w:rsidRPr="00AF3608">
        <w:rPr>
          <w:rFonts w:ascii="Calibri" w:hAnsi="Calibri" w:cs="Calibri"/>
          <w:bCs/>
          <w:i/>
        </w:rPr>
        <w:t>Optimizarea procesului de alocare și utilizare a resurselor în concordanță cu prioritățile strategice ale agenției.</w:t>
      </w:r>
    </w:p>
    <w:p w:rsidR="007F2A88" w:rsidRPr="00AF3608" w:rsidRDefault="007F2A88" w:rsidP="00B723C0">
      <w:pPr>
        <w:spacing w:before="120"/>
        <w:rPr>
          <w:rFonts w:ascii="Calibri" w:hAnsi="Calibri" w:cs="Calibri"/>
          <w:lang w:val="ro-RO"/>
        </w:rPr>
      </w:pPr>
    </w:p>
    <w:p w:rsidR="00B069A2" w:rsidRPr="00AF3608" w:rsidRDefault="00B069A2" w:rsidP="00B723C0">
      <w:pPr>
        <w:spacing w:before="120"/>
        <w:rPr>
          <w:rFonts w:ascii="Calibri" w:hAnsi="Calibri" w:cs="Calibri"/>
          <w:lang w:val="ro-RO"/>
        </w:rPr>
      </w:pPr>
    </w:p>
    <w:p w:rsidR="00B069A2" w:rsidRPr="00AF3608" w:rsidRDefault="00B069A2" w:rsidP="00B723C0">
      <w:pPr>
        <w:spacing w:before="120"/>
        <w:rPr>
          <w:rFonts w:ascii="Calibri" w:hAnsi="Calibri" w:cs="Calibri"/>
          <w:lang w:val="ro-RO"/>
        </w:rPr>
      </w:pPr>
    </w:p>
    <w:p w:rsidR="000941AE" w:rsidRPr="00AF3608" w:rsidRDefault="000941AE" w:rsidP="00B723C0">
      <w:pPr>
        <w:widowControl w:val="0"/>
        <w:shd w:val="clear" w:color="auto" w:fill="8EAADB" w:themeFill="accent5" w:themeFillTint="99"/>
        <w:spacing w:line="320" w:lineRule="exact"/>
        <w:rPr>
          <w:rFonts w:ascii="Calibri" w:hAnsi="Calibri"/>
          <w:b/>
          <w:color w:val="000080"/>
          <w:lang w:val="ro-RO"/>
        </w:rPr>
      </w:pPr>
      <w:r w:rsidRPr="00AF3608">
        <w:rPr>
          <w:rFonts w:ascii="Calibri" w:hAnsi="Calibri"/>
          <w:b/>
          <w:color w:val="000080"/>
          <w:lang w:val="ro-RO"/>
        </w:rPr>
        <w:t xml:space="preserve">4.5 Bugetul General Consolidat </w:t>
      </w:r>
    </w:p>
    <w:p w:rsidR="003752B3" w:rsidRPr="00AF3608" w:rsidRDefault="003752B3" w:rsidP="003752B3">
      <w:pPr>
        <w:spacing w:before="120" w:after="120"/>
        <w:jc w:val="both"/>
        <w:rPr>
          <w:rFonts w:asciiTheme="minorHAnsi" w:hAnsiTheme="minorHAnsi"/>
          <w:lang w:val="ro-RO"/>
        </w:rPr>
      </w:pPr>
      <w:r w:rsidRPr="00AF3608">
        <w:rPr>
          <w:rFonts w:asciiTheme="minorHAnsi" w:hAnsiTheme="minorHAnsi"/>
          <w:lang w:val="ro-RO"/>
        </w:rPr>
        <w:t xml:space="preserve">Obiectivul general al politicii fiscal-bugetare pe termen mediu este reprezentat de </w:t>
      </w:r>
      <w:r w:rsidRPr="00AF3608">
        <w:rPr>
          <w:rFonts w:asciiTheme="minorHAnsi" w:hAnsiTheme="minorHAnsi"/>
          <w:b/>
          <w:lang w:val="ro-RO"/>
        </w:rPr>
        <w:t>reducerea deficitului în așa fel încât să nu fie puse în pericol perspectivele redresării economice</w:t>
      </w:r>
      <w:r w:rsidRPr="00AF3608">
        <w:rPr>
          <w:rFonts w:asciiTheme="minorHAnsi" w:hAnsiTheme="minorHAnsi"/>
          <w:lang w:val="ro-RO"/>
        </w:rPr>
        <w:t xml:space="preserve">, urmărindu-se continuarea sprijinirii economiei și a sistemului de sănătate, care rămân prioritare în circumstanțele dificile induse de pandemia Covid-19. </w:t>
      </w:r>
    </w:p>
    <w:p w:rsidR="003752B3" w:rsidRPr="00AF3608" w:rsidRDefault="003752B3" w:rsidP="003752B3">
      <w:pPr>
        <w:spacing w:before="120" w:after="120"/>
        <w:jc w:val="both"/>
        <w:rPr>
          <w:rFonts w:asciiTheme="minorHAnsi" w:hAnsiTheme="minorHAnsi"/>
          <w:lang w:val="ro-RO"/>
        </w:rPr>
      </w:pPr>
      <w:r w:rsidRPr="00AF3608">
        <w:rPr>
          <w:rFonts w:asciiTheme="minorHAnsi" w:hAnsiTheme="minorHAnsi"/>
          <w:lang w:val="ro-RO"/>
        </w:rPr>
        <w:t>Ajustarea deficitului cash cu aproape 7 puncte procentuale la finele anului 2024 față de 2020 reprezintă un efort semnificativ, cu atȃt mai mult cu cȃt criza Covid-19 s-a suprapus peste un dezechilibru fiscal structural instalat după o perioadă de relaxare fiscală prociclică în perioada 2016-2019, în care deficitul bugetar s-a majorat pe baza creșterii accelerate a cheltuielilor bugetare ce nu a putut fi susținută de o evoluție similară a veniturilor.</w:t>
      </w:r>
    </w:p>
    <w:p w:rsidR="003752B3" w:rsidRPr="00AF3608" w:rsidRDefault="003752B3" w:rsidP="003752B3">
      <w:pPr>
        <w:spacing w:before="120" w:after="120"/>
        <w:jc w:val="both"/>
        <w:rPr>
          <w:rFonts w:asciiTheme="minorHAnsi" w:hAnsiTheme="minorHAnsi"/>
          <w:lang w:val="ro-RO"/>
        </w:rPr>
      </w:pPr>
      <w:r w:rsidRPr="00AF3608">
        <w:rPr>
          <w:rFonts w:asciiTheme="minorHAnsi" w:hAnsiTheme="minorHAnsi"/>
          <w:lang w:val="ro-RO"/>
        </w:rPr>
        <w:t xml:space="preserve">Astfel, </w:t>
      </w:r>
      <w:r w:rsidRPr="00AF3608">
        <w:rPr>
          <w:rFonts w:asciiTheme="minorHAnsi" w:hAnsiTheme="minorHAnsi"/>
          <w:b/>
          <w:lang w:val="ro-RO"/>
        </w:rPr>
        <w:t>începȃnd cu anul 2021 Romȃnia se reînscrie pe traiectoria de ajustare a deficitului</w:t>
      </w:r>
      <w:r w:rsidRPr="00AF3608">
        <w:rPr>
          <w:rFonts w:asciiTheme="minorHAnsi" w:hAnsiTheme="minorHAnsi"/>
          <w:lang w:val="ro-RO"/>
        </w:rPr>
        <w:t xml:space="preserve"> către valoarea țintă recomandată de instituțiile Uniunii Europene pentru Obiectivul Bugetar pe Termen Mediu (în engleză, prescurtat: MTO), însă </w:t>
      </w:r>
      <w:r w:rsidRPr="00AF3608">
        <w:rPr>
          <w:rFonts w:asciiTheme="minorHAnsi" w:hAnsiTheme="minorHAnsi"/>
          <w:b/>
          <w:lang w:val="ro-RO"/>
        </w:rPr>
        <w:t>cu asigurarea unei creșteri economice sustenabile</w:t>
      </w:r>
      <w:r w:rsidRPr="00AF3608">
        <w:rPr>
          <w:rFonts w:asciiTheme="minorHAnsi" w:hAnsiTheme="minorHAnsi"/>
          <w:lang w:val="ro-RO"/>
        </w:rPr>
        <w:t xml:space="preserve"> pe întreg orizontul de prognoză. Se urmărește astfel ajustarea treptată a deficitului ESA pȃnă la un nivel de sub 3% din PIB la finele anului 2024 pentru a permite </w:t>
      </w:r>
      <w:r w:rsidRPr="00AF3608">
        <w:rPr>
          <w:rFonts w:asciiTheme="minorHAnsi" w:hAnsiTheme="minorHAnsi"/>
          <w:b/>
          <w:lang w:val="ro-RO"/>
        </w:rPr>
        <w:t>ieșirea de sub incidența procedurii europene de deficit excesiv</w:t>
      </w:r>
      <w:r w:rsidRPr="00AF3608">
        <w:rPr>
          <w:rFonts w:asciiTheme="minorHAnsi" w:hAnsiTheme="minorHAnsi"/>
          <w:lang w:val="ro-RO"/>
        </w:rPr>
        <w:t>.</w:t>
      </w:r>
    </w:p>
    <w:p w:rsidR="003752B3" w:rsidRPr="00AF3608" w:rsidRDefault="003752B3" w:rsidP="003752B3">
      <w:pPr>
        <w:spacing w:before="120" w:after="120"/>
        <w:jc w:val="both"/>
        <w:rPr>
          <w:rFonts w:asciiTheme="minorHAnsi" w:hAnsiTheme="minorHAnsi"/>
          <w:lang w:val="ro-RO"/>
        </w:rPr>
      </w:pPr>
    </w:p>
    <w:p w:rsidR="003752B3" w:rsidRPr="00AF3608" w:rsidRDefault="003752B3" w:rsidP="003752B3">
      <w:pPr>
        <w:jc w:val="center"/>
        <w:rPr>
          <w:rFonts w:ascii="Calibri" w:hAnsi="Calibri"/>
          <w:lang w:val="ro-RO"/>
        </w:rPr>
      </w:pPr>
      <w:r w:rsidRPr="00AF3608">
        <w:rPr>
          <w:noProof/>
        </w:rPr>
        <w:drawing>
          <wp:inline distT="0" distB="0" distL="0" distR="0" wp14:anchorId="796BA9F1" wp14:editId="32637544">
            <wp:extent cx="5715000" cy="24993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5326" cy="2503876"/>
                    </a:xfrm>
                    <a:prstGeom prst="rect">
                      <a:avLst/>
                    </a:prstGeom>
                    <a:noFill/>
                    <a:ln>
                      <a:noFill/>
                    </a:ln>
                  </pic:spPr>
                </pic:pic>
              </a:graphicData>
            </a:graphic>
          </wp:inline>
        </w:drawing>
      </w:r>
    </w:p>
    <w:p w:rsidR="003752B3" w:rsidRPr="00AF3608" w:rsidRDefault="003752B3" w:rsidP="003752B3">
      <w:pPr>
        <w:jc w:val="both"/>
        <w:rPr>
          <w:rFonts w:ascii="Calibri" w:eastAsia="SimSun" w:hAnsi="Calibri"/>
          <w:lang w:val="ro-RO"/>
        </w:rPr>
      </w:pPr>
    </w:p>
    <w:p w:rsidR="003752B3" w:rsidRPr="00AF3608" w:rsidRDefault="003752B3" w:rsidP="003752B3">
      <w:pPr>
        <w:widowControl w:val="0"/>
        <w:spacing w:after="120"/>
        <w:jc w:val="both"/>
        <w:rPr>
          <w:rFonts w:ascii="Calibri" w:hAnsi="Calibri"/>
          <w:lang w:val="ro-RO"/>
        </w:rPr>
      </w:pPr>
      <w:r w:rsidRPr="00AF3608">
        <w:rPr>
          <w:rFonts w:ascii="Calibri" w:hAnsi="Calibri"/>
          <w:lang w:val="ro-RO"/>
        </w:rPr>
        <w:t>Previziunile cele mai recente ale Comisiei Europene în ceea ce privește deficitul bugetar al Romȃniei sunt prezentate în tabelul de mai jos:</w:t>
      </w:r>
    </w:p>
    <w:p w:rsidR="003752B3" w:rsidRPr="00AF3608" w:rsidRDefault="003752B3" w:rsidP="003752B3">
      <w:pPr>
        <w:widowControl w:val="0"/>
        <w:spacing w:after="120"/>
        <w:jc w:val="both"/>
        <w:rPr>
          <w:rFonts w:ascii="Calibri" w:hAnsi="Calibri"/>
          <w:lang w:val="ro-RO"/>
        </w:rPr>
      </w:pPr>
    </w:p>
    <w:p w:rsidR="003752B3" w:rsidRPr="00AF3608" w:rsidRDefault="003752B3" w:rsidP="00561CD0">
      <w:pPr>
        <w:widowControl w:val="0"/>
        <w:jc w:val="center"/>
        <w:rPr>
          <w:rFonts w:ascii="Calibri" w:hAnsi="Calibri"/>
          <w:lang w:val="ro-RO"/>
        </w:rPr>
      </w:pPr>
      <w:r w:rsidRPr="00AF3608">
        <w:rPr>
          <w:noProof/>
        </w:rPr>
        <w:drawing>
          <wp:inline distT="0" distB="0" distL="0" distR="0" wp14:anchorId="2C968F24" wp14:editId="26FE1EF6">
            <wp:extent cx="4876800" cy="17176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6800" cy="1717675"/>
                    </a:xfrm>
                    <a:prstGeom prst="rect">
                      <a:avLst/>
                    </a:prstGeom>
                    <a:noFill/>
                    <a:ln>
                      <a:noFill/>
                    </a:ln>
                  </pic:spPr>
                </pic:pic>
              </a:graphicData>
            </a:graphic>
          </wp:inline>
        </w:drawing>
      </w:r>
    </w:p>
    <w:p w:rsidR="003E7D2E" w:rsidRPr="00AF3608" w:rsidRDefault="003E7D2E" w:rsidP="00B723C0">
      <w:pPr>
        <w:widowControl w:val="0"/>
        <w:spacing w:before="120"/>
        <w:rPr>
          <w:rFonts w:ascii="Calibri" w:hAnsi="Calibri"/>
          <w:lang w:val="ro-RO"/>
        </w:rPr>
      </w:pPr>
    </w:p>
    <w:p w:rsidR="006E2C27" w:rsidRPr="00AF3608" w:rsidRDefault="006E2C27" w:rsidP="00B723C0">
      <w:pPr>
        <w:widowControl w:val="0"/>
        <w:spacing w:before="120"/>
        <w:rPr>
          <w:rFonts w:ascii="Calibri" w:hAnsi="Calibri"/>
          <w:lang w:val="ro-RO"/>
        </w:rPr>
      </w:pPr>
    </w:p>
    <w:p w:rsidR="000941AE" w:rsidRPr="00AF3608" w:rsidRDefault="000941AE" w:rsidP="00B723C0">
      <w:pPr>
        <w:widowControl w:val="0"/>
        <w:shd w:val="clear" w:color="auto" w:fill="D9E2F3" w:themeFill="accent5" w:themeFillTint="33"/>
        <w:spacing w:after="120" w:line="320" w:lineRule="exact"/>
        <w:rPr>
          <w:rFonts w:ascii="Calibri" w:hAnsi="Calibri"/>
          <w:b/>
          <w:color w:val="000080"/>
          <w:lang w:val="ro-RO"/>
        </w:rPr>
      </w:pPr>
      <w:r w:rsidRPr="00AF3608">
        <w:rPr>
          <w:rFonts w:ascii="Calibri" w:hAnsi="Calibri"/>
          <w:b/>
          <w:color w:val="000080"/>
          <w:lang w:val="ro-RO"/>
        </w:rPr>
        <w:t>4.5.1 Evoluţii recente şi tendinţe ale veniturilor bugetare</w:t>
      </w:r>
      <w:r w:rsidRPr="00AF3608">
        <w:rPr>
          <w:rFonts w:ascii="Calibri" w:hAnsi="Calibri"/>
          <w:b/>
          <w:color w:val="000080"/>
          <w:vertAlign w:val="superscript"/>
          <w:lang w:val="ro-RO"/>
        </w:rPr>
        <w:footnoteReference w:id="17"/>
      </w:r>
    </w:p>
    <w:p w:rsidR="00E36317" w:rsidRPr="00AF3608" w:rsidRDefault="00E36317" w:rsidP="00E36317">
      <w:pPr>
        <w:widowControl w:val="0"/>
        <w:spacing w:before="120" w:after="120"/>
        <w:jc w:val="both"/>
        <w:rPr>
          <w:rFonts w:ascii="Calibri" w:hAnsi="Calibri" w:cs="Arial"/>
          <w:lang w:val="ro-RO"/>
        </w:rPr>
      </w:pPr>
      <w:r w:rsidRPr="00AF3608">
        <w:rPr>
          <w:rFonts w:ascii="Calibri" w:hAnsi="Calibri"/>
          <w:lang w:val="ro-RO"/>
        </w:rPr>
        <w:t xml:space="preserve">Estimarea evoluţiei principalelor categorii de impozite şi taxe pe perioada 2021-2023 are la bază cea mai recentă proiecţie a indicatorilor macroeconomici prezentată în Prognoza de iarna 2021, </w:t>
      </w:r>
      <w:r w:rsidRPr="00AF3608">
        <w:rPr>
          <w:rFonts w:ascii="Calibri" w:hAnsi="Calibri" w:cs="Arial"/>
          <w:lang w:val="ro-RO"/>
        </w:rPr>
        <w:t>corelată cu evoluția încasării veniturilor și prevederile legislative în vigoare.</w:t>
      </w:r>
    </w:p>
    <w:p w:rsidR="00C47D9F" w:rsidRPr="00C47D9F" w:rsidRDefault="00C47D9F" w:rsidP="00C47D9F">
      <w:pPr>
        <w:widowControl w:val="0"/>
        <w:tabs>
          <w:tab w:val="num" w:pos="1920"/>
        </w:tabs>
        <w:spacing w:before="120"/>
        <w:jc w:val="both"/>
        <w:rPr>
          <w:rFonts w:ascii="Calibri" w:hAnsi="Calibri" w:cs="Arial"/>
          <w:lang w:val="ro-RO"/>
        </w:rPr>
      </w:pPr>
      <w:r w:rsidRPr="00C47D9F">
        <w:rPr>
          <w:rFonts w:ascii="Calibri" w:hAnsi="Calibri" w:cs="Arial"/>
          <w:lang w:val="ro-RO"/>
        </w:rPr>
        <w:t xml:space="preserve">În anul 2021 veniturile bugetare în termeni nominali sunt estimate la 364,9 miliarde lei (32,7% din PIB), în creștere comparativ cu anul 2020, pe seama recuperării unor obligații fiscale declarate și amânate la plată în anul 2020 prin efectul legii, de 7,3 miliarde lei (O.U.G. nr.29/2020 cu modificările și completările ulterioare) și 2,7 miliarde lei din măsuri de îmbunătățire a colectării, a valorificării frecvențelor radio în noile benzi de frecvențe armonizate la nivel european pentru sisteme de comunicații mobile terestre de bandă largă 5G (2,5 miliarde lei), dar și a majorării veniturilor din sume de la UE cu 1 p.p. raportat la PIB (peste 13 miliarde lei). </w:t>
      </w:r>
    </w:p>
    <w:p w:rsidR="00E36317" w:rsidRPr="00AF3608" w:rsidRDefault="00E36317" w:rsidP="00E36317">
      <w:pPr>
        <w:widowControl w:val="0"/>
        <w:tabs>
          <w:tab w:val="num" w:pos="1920"/>
        </w:tabs>
        <w:spacing w:before="120" w:after="120"/>
        <w:jc w:val="both"/>
        <w:rPr>
          <w:rFonts w:ascii="Calibri" w:hAnsi="Calibri" w:cs="Arial"/>
          <w:lang w:val="ro-RO"/>
        </w:rPr>
      </w:pPr>
      <w:r w:rsidRPr="00AF3608">
        <w:rPr>
          <w:rFonts w:ascii="Calibri" w:hAnsi="Calibri" w:cs="Arial"/>
          <w:lang w:val="ro-RO"/>
        </w:rPr>
        <w:t>Proiecția veniturilor bugetare pe perioada 2021-2024 se înscrie pe un trend ascendent în valoare nominală de la 364,9 miliarde lei (32,7% din PIB) în anul 2021 la 403 miliarde lei în 2023, însa în scadere ca pondere în PIB începand cu anul 2022 (31,4% din PIB), în conditiile aplicarii masurilor legislative cu impact negativ asupra impozitului pe profit (</w:t>
      </w:r>
      <w:r w:rsidRPr="00AF3608">
        <w:rPr>
          <w:rFonts w:ascii="Calibri" w:hAnsi="Calibri"/>
          <w:color w:val="000000" w:themeColor="text1"/>
          <w:lang w:val="ro-RO"/>
        </w:rPr>
        <w:t xml:space="preserve">acordarea deductibilitatii integrale a </w:t>
      </w:r>
      <w:r w:rsidRPr="00AF3608">
        <w:rPr>
          <w:rFonts w:ascii="Calibri" w:hAnsi="Calibri"/>
          <w:color w:val="000000" w:themeColor="text1"/>
          <w:lang w:val="ro-RO"/>
        </w:rPr>
        <w:lastRenderedPageBreak/>
        <w:t>ajustărilor pentru deprecierea creanțelor)</w:t>
      </w:r>
      <w:r w:rsidRPr="00AF3608">
        <w:rPr>
          <w:rFonts w:ascii="Calibri" w:hAnsi="Calibri" w:cs="Arial"/>
          <w:lang w:val="ro-RO"/>
        </w:rPr>
        <w:t xml:space="preserve"> si TVA (majorare a plafonului pentru aplicarea cotei reduse de TVA de 5% pentru livrarea locuințelor).</w:t>
      </w:r>
    </w:p>
    <w:p w:rsidR="00E36317" w:rsidRPr="00AF3608" w:rsidRDefault="00E36317" w:rsidP="00E36317">
      <w:pPr>
        <w:widowControl w:val="0"/>
        <w:spacing w:after="120"/>
        <w:jc w:val="both"/>
        <w:rPr>
          <w:rFonts w:ascii="Calibri" w:hAnsi="Calibri"/>
          <w:color w:val="000000" w:themeColor="text1"/>
          <w:lang w:val="ro-RO"/>
        </w:rPr>
      </w:pPr>
      <w:r w:rsidRPr="00AF3608">
        <w:rPr>
          <w:rFonts w:ascii="Calibri" w:hAnsi="Calibri"/>
          <w:color w:val="000000" w:themeColor="text1"/>
          <w:lang w:val="ro-RO"/>
        </w:rPr>
        <w:t>Detaliat, metodologia de estimare și evoluția principalelor categorii de venituri este următoarea:</w:t>
      </w:r>
    </w:p>
    <w:p w:rsidR="00E36317" w:rsidRPr="00AF3608" w:rsidRDefault="00E36317" w:rsidP="00E36317">
      <w:pPr>
        <w:widowControl w:val="0"/>
        <w:spacing w:after="120"/>
        <w:jc w:val="both"/>
        <w:rPr>
          <w:lang w:val="ro-RO"/>
        </w:rPr>
      </w:pPr>
      <w:r w:rsidRPr="00AF3608">
        <w:rPr>
          <w:rFonts w:ascii="Calibri" w:hAnsi="Calibri"/>
          <w:color w:val="000000" w:themeColor="text1"/>
          <w:lang w:val="ro-RO"/>
        </w:rPr>
        <w:t xml:space="preserve">Veniturile din </w:t>
      </w:r>
      <w:r w:rsidRPr="00AF3608">
        <w:rPr>
          <w:rFonts w:ascii="Calibri" w:hAnsi="Calibri"/>
          <w:b/>
          <w:color w:val="000000" w:themeColor="text1"/>
          <w:lang w:val="ro-RO"/>
        </w:rPr>
        <w:t xml:space="preserve">impozit pe profit </w:t>
      </w:r>
      <w:r w:rsidRPr="00AF3608">
        <w:rPr>
          <w:rFonts w:ascii="Calibri" w:hAnsi="Calibri"/>
          <w:color w:val="000000" w:themeColor="text1"/>
          <w:lang w:val="ro-RO"/>
        </w:rPr>
        <w:t>au scazut ca pondere în PIB % în anul 2020, de la 1,7% din PIB în anul precedent la 1,5% din PIB, pe fondul crizei sanitare caracterizata prin scaderea volumului activității chiar și în condițiile modificărilor legislative din domeniul impozitului pe profit aprobate în cursul anului 2020 (efectuarea plăților anticipate la nivelul sumei rezultate din calculul impozitului pe profit trimestrial curent cu acordarea de bonificații de pentru plata anticipată efectuată trimestrial, amânarea la plată a obligațiilor fiscale de către agenții economici).  Impozitul pe profit în anul 2021, a fost estimat în crestere ca pondere în PIB la 1,6%, pe seama</w:t>
      </w:r>
      <w:r w:rsidRPr="00AF3608">
        <w:rPr>
          <w:rFonts w:ascii="Calibri" w:hAnsi="Calibri" w:cs="Arial"/>
          <w:lang w:val="ro-RO"/>
        </w:rPr>
        <w:t xml:space="preserve"> recuperării unor obligații fiscale declarate și amânate la plată prin efectul legii, iar începând cu anul 2022 a fost menținut la un</w:t>
      </w:r>
      <w:r w:rsidRPr="00AF3608">
        <w:rPr>
          <w:rFonts w:ascii="Calibri" w:hAnsi="Calibri"/>
          <w:color w:val="000000" w:themeColor="text1"/>
          <w:lang w:val="ro-RO"/>
        </w:rPr>
        <w:t xml:space="preserve"> nivel constant de 1,5% din PIB, incluzȃnd și efectul măsurii legislative privind acoradarea de deductibilitate integrală (modificare fata de 30%) a ajustărilor pentru deprecierea creanțelor, înregistrate potrivit reglementărilor contabile aplicabile, de către contribuabilii din sectorul nefinanciar.</w:t>
      </w:r>
    </w:p>
    <w:p w:rsidR="00E36317" w:rsidRPr="00AF3608" w:rsidRDefault="00E36317" w:rsidP="00E36317">
      <w:pPr>
        <w:widowControl w:val="0"/>
        <w:spacing w:after="120"/>
        <w:jc w:val="both"/>
        <w:rPr>
          <w:rFonts w:ascii="Calibri" w:hAnsi="Calibri"/>
          <w:color w:val="000000" w:themeColor="text1"/>
          <w:lang w:val="ro-RO"/>
        </w:rPr>
      </w:pPr>
      <w:r w:rsidRPr="00AF3608">
        <w:rPr>
          <w:rFonts w:ascii="Calibri" w:hAnsi="Calibri"/>
          <w:color w:val="000000" w:themeColor="text1"/>
          <w:lang w:val="ro-RO"/>
        </w:rPr>
        <w:t xml:space="preserve">Încasările din </w:t>
      </w:r>
      <w:r w:rsidRPr="00AF3608">
        <w:rPr>
          <w:rFonts w:ascii="Calibri" w:hAnsi="Calibri"/>
          <w:b/>
          <w:color w:val="000000" w:themeColor="text1"/>
          <w:lang w:val="ro-RO"/>
        </w:rPr>
        <w:t>impozitul pe venit</w:t>
      </w:r>
      <w:r w:rsidRPr="00AF3608">
        <w:rPr>
          <w:rFonts w:ascii="Calibri" w:hAnsi="Calibri"/>
          <w:color w:val="000000" w:themeColor="text1"/>
          <w:lang w:val="ro-RO"/>
        </w:rPr>
        <w:t xml:space="preserve"> sunt prognozate să crească la 2,4% din PIB pe tot orizontul de prognoza 2021-2023, </w:t>
      </w:r>
      <w:r w:rsidRPr="00AF3608">
        <w:rPr>
          <w:rFonts w:ascii="Calibri" w:hAnsi="Calibri"/>
          <w:lang w:val="ro-RO" w:eastAsia="zh-CN"/>
        </w:rPr>
        <w:t>evoluție determinată de majorarea prognozată a câștigului salarial mediu și a numărului de salariați</w:t>
      </w:r>
      <w:r w:rsidRPr="00AF3608">
        <w:rPr>
          <w:rFonts w:ascii="Calibri" w:hAnsi="Calibri"/>
          <w:color w:val="000000" w:themeColor="text1"/>
          <w:lang w:val="ro-RO"/>
        </w:rPr>
        <w:t xml:space="preserve">. </w:t>
      </w:r>
    </w:p>
    <w:p w:rsidR="00E36317" w:rsidRPr="00AF3608" w:rsidRDefault="00E36317" w:rsidP="00E36317">
      <w:pPr>
        <w:widowControl w:val="0"/>
        <w:spacing w:after="120"/>
        <w:jc w:val="both"/>
        <w:rPr>
          <w:rFonts w:ascii="Calibri" w:hAnsi="Calibri"/>
          <w:lang w:val="ro-RO"/>
        </w:rPr>
      </w:pPr>
      <w:r w:rsidRPr="00AF3608">
        <w:rPr>
          <w:rFonts w:ascii="Calibri" w:hAnsi="Calibri" w:cs="Arial"/>
          <w:lang w:val="ro-RO"/>
        </w:rPr>
        <w:t xml:space="preserve">Veniturile din </w:t>
      </w:r>
      <w:r w:rsidRPr="00AF3608">
        <w:rPr>
          <w:rFonts w:ascii="Calibri" w:hAnsi="Calibri" w:cs="Arial"/>
          <w:b/>
          <w:lang w:val="ro-RO"/>
        </w:rPr>
        <w:t>TVA</w:t>
      </w:r>
      <w:r w:rsidRPr="00AF3608">
        <w:rPr>
          <w:rFonts w:ascii="Calibri" w:hAnsi="Calibri" w:cs="Arial"/>
          <w:lang w:val="ro-RO"/>
        </w:rPr>
        <w:t xml:space="preserve"> </w:t>
      </w:r>
      <w:r w:rsidRPr="00AF3608">
        <w:rPr>
          <w:rFonts w:ascii="Calibri" w:hAnsi="Calibri"/>
          <w:lang w:val="ro-RO" w:eastAsia="zh-CN"/>
        </w:rPr>
        <w:t xml:space="preserve">estimate în anul 2021 la un nivel de 6,2% din PIB, se vor menține relativ constante ca pondere în PIB pe întreg orizontul de prognoză, iar încasările din </w:t>
      </w:r>
      <w:r w:rsidRPr="00AF3608">
        <w:rPr>
          <w:rFonts w:ascii="Calibri" w:hAnsi="Calibri"/>
          <w:b/>
          <w:lang w:val="ro-RO" w:eastAsia="zh-CN"/>
        </w:rPr>
        <w:t>accize</w:t>
      </w:r>
      <w:r w:rsidRPr="00AF3608">
        <w:rPr>
          <w:rFonts w:ascii="Calibri" w:hAnsi="Calibri"/>
          <w:lang w:val="ro-RO" w:eastAsia="zh-CN"/>
        </w:rPr>
        <w:t xml:space="preserve"> la 3% din PIB.</w:t>
      </w:r>
      <w:r w:rsidRPr="00AF3608">
        <w:rPr>
          <w:rFonts w:ascii="Calibri" w:hAnsi="Calibri" w:cs="Arial"/>
          <w:lang w:val="ro-RO"/>
        </w:rPr>
        <w:t xml:space="preserve"> În estimarea TVA pentru perioada 2021-2024, pe fondul trendului crescător al consumului gospodăriilor (3,7% în 2021, respectiv 4,7% în 2024), s-a luat în calcul venitul suplimentar estimat din recuperarea TVA declarat și amânat la plată în anul 2020, prin efectul legii (O.U.G. nr.29/2020 cu modificările și completările ulterioare) coroborat cu o îmbunătățire a colectării veniturilor din TVA.</w:t>
      </w:r>
      <w:r w:rsidRPr="00AF3608">
        <w:rPr>
          <w:rFonts w:ascii="Calibri" w:hAnsi="Calibri" w:cs="Arial"/>
          <w:color w:val="000000" w:themeColor="text1"/>
          <w:lang w:val="ro-RO"/>
        </w:rPr>
        <w:t xml:space="preserve"> Proiecțiile încasărilor din accize au în vedere prevederile legislației în vigoare, precum și majorarea nivelului accizei totale pentru țigarete astfel încât să fie respectate cerințele prevăzute de Directiva 2011/64/UE a Consiliului privind structura și ratele accizelor aplicate tutunului prelucrat și a nivelului accizei la tutun de fumat fin tăiat destinat rulării în țigarete, cu aplicabilitate de la data de 1 ianuarie 2021 și 1 aprilie 2021.</w:t>
      </w:r>
    </w:p>
    <w:p w:rsidR="00E36317" w:rsidRPr="00AF3608" w:rsidRDefault="00E36317" w:rsidP="00E36317">
      <w:pPr>
        <w:widowControl w:val="0"/>
        <w:spacing w:after="120"/>
        <w:jc w:val="both"/>
        <w:rPr>
          <w:rFonts w:ascii="Calibri" w:hAnsi="Calibri" w:cs="Arial"/>
          <w:color w:val="000000" w:themeColor="text1"/>
          <w:lang w:val="ro-RO"/>
        </w:rPr>
      </w:pPr>
      <w:r w:rsidRPr="00AF3608">
        <w:rPr>
          <w:rFonts w:ascii="Calibri" w:hAnsi="Calibri" w:cs="Arial"/>
          <w:color w:val="000000" w:themeColor="text1"/>
          <w:lang w:val="ro-RO"/>
        </w:rPr>
        <w:t xml:space="preserve">Încasările din </w:t>
      </w:r>
      <w:r w:rsidRPr="00AF3608">
        <w:rPr>
          <w:rFonts w:ascii="Calibri" w:hAnsi="Calibri"/>
          <w:b/>
          <w:color w:val="000000" w:themeColor="text1"/>
          <w:lang w:val="ro-RO"/>
        </w:rPr>
        <w:t>taxa pe utilizarea bunurilor, autorizarea utilizării bunurilor sau pe desfășurarea de activități</w:t>
      </w:r>
      <w:r w:rsidRPr="00AF3608">
        <w:rPr>
          <w:rFonts w:ascii="Calibri" w:hAnsi="Calibri"/>
          <w:color w:val="000000" w:themeColor="text1"/>
          <w:lang w:val="ro-RO"/>
        </w:rPr>
        <w:t xml:space="preserve"> în anul 2021 vor crește ca pondere în PIB, de la 0,3% în 2020 la 0,6% din PIB, ca urmare a includerii în estimări a valorificării licențelor 5G, iar pe termen mediu se vor </w:t>
      </w:r>
      <w:r w:rsidRPr="00AF3608">
        <w:rPr>
          <w:rFonts w:ascii="Calibri" w:hAnsi="Calibri"/>
          <w:lang w:val="ro-RO" w:eastAsia="zh-CN"/>
        </w:rPr>
        <w:t>menține relativ constante ca pondere în PIB la 0,3%</w:t>
      </w:r>
      <w:r w:rsidRPr="00AF3608">
        <w:rPr>
          <w:rFonts w:ascii="Calibri" w:hAnsi="Calibri"/>
          <w:color w:val="000000" w:themeColor="text1"/>
          <w:lang w:val="ro-RO"/>
        </w:rPr>
        <w:t xml:space="preserve">. </w:t>
      </w:r>
    </w:p>
    <w:p w:rsidR="00E36317" w:rsidRPr="00AF3608" w:rsidRDefault="00E36317" w:rsidP="00E36317">
      <w:pPr>
        <w:widowControl w:val="0"/>
        <w:spacing w:after="120"/>
        <w:jc w:val="both"/>
        <w:rPr>
          <w:rFonts w:ascii="Calibri" w:hAnsi="Calibri" w:cs="Arial"/>
          <w:color w:val="000000" w:themeColor="text1"/>
          <w:lang w:val="ro-RO"/>
        </w:rPr>
      </w:pPr>
      <w:r w:rsidRPr="00AF3608">
        <w:rPr>
          <w:rFonts w:ascii="Calibri" w:hAnsi="Calibri" w:cs="Arial"/>
          <w:color w:val="000000" w:themeColor="text1"/>
          <w:lang w:val="ro-RO"/>
        </w:rPr>
        <w:t xml:space="preserve">Veniturile estimate din </w:t>
      </w:r>
      <w:r w:rsidRPr="00AF3608">
        <w:rPr>
          <w:rFonts w:ascii="Calibri" w:hAnsi="Calibri" w:cs="Arial"/>
          <w:b/>
          <w:color w:val="000000" w:themeColor="text1"/>
          <w:lang w:val="ro-RO"/>
        </w:rPr>
        <w:t>impozitul pe comerțul exterior și tranzacții internaționale</w:t>
      </w:r>
      <w:r w:rsidRPr="00AF3608">
        <w:rPr>
          <w:rFonts w:ascii="Calibri" w:hAnsi="Calibri" w:cs="Arial"/>
          <w:color w:val="000000" w:themeColor="text1"/>
          <w:lang w:val="ro-RO"/>
        </w:rPr>
        <w:t xml:space="preserve"> se vor menține la 0,1% din PIB pe întreg intervalul de prognoză, valoare similară cu cea înregistrată în anii precedenți.</w:t>
      </w:r>
    </w:p>
    <w:p w:rsidR="00E36317" w:rsidRPr="00AF3608" w:rsidRDefault="00E36317" w:rsidP="00E36317">
      <w:pPr>
        <w:widowControl w:val="0"/>
        <w:spacing w:after="120"/>
        <w:jc w:val="both"/>
        <w:rPr>
          <w:rFonts w:asciiTheme="minorHAnsi" w:hAnsiTheme="minorHAnsi" w:cstheme="minorHAnsi"/>
          <w:color w:val="000000" w:themeColor="text1"/>
          <w:lang w:val="ro-RO" w:eastAsia="zh-CN"/>
        </w:rPr>
      </w:pPr>
      <w:r w:rsidRPr="00AF3608">
        <w:rPr>
          <w:rFonts w:asciiTheme="minorHAnsi" w:hAnsiTheme="minorHAnsi" w:cstheme="minorHAnsi"/>
          <w:b/>
          <w:color w:val="000000" w:themeColor="text1"/>
          <w:lang w:val="ro-RO" w:eastAsia="zh-CN"/>
        </w:rPr>
        <w:t>Veniturile nefiscale</w:t>
      </w:r>
      <w:r w:rsidRPr="00AF3608">
        <w:rPr>
          <w:rFonts w:asciiTheme="minorHAnsi" w:hAnsiTheme="minorHAnsi" w:cstheme="minorHAnsi"/>
          <w:color w:val="000000" w:themeColor="text1"/>
          <w:lang w:val="ro-RO" w:eastAsia="zh-CN"/>
        </w:rPr>
        <w:t xml:space="preserve"> sunt estimate la 2,4%</w:t>
      </w:r>
      <w:r w:rsidRPr="00AF3608">
        <w:rPr>
          <w:rFonts w:asciiTheme="minorHAnsi" w:hAnsiTheme="minorHAnsi" w:cstheme="minorHAnsi"/>
          <w:color w:val="000000" w:themeColor="text1"/>
          <w:lang w:val="ro-RO"/>
        </w:rPr>
        <w:t xml:space="preserve"> din PIB</w:t>
      </w:r>
      <w:r w:rsidRPr="00AF3608">
        <w:rPr>
          <w:rFonts w:asciiTheme="minorHAnsi" w:hAnsiTheme="minorHAnsi" w:cstheme="minorHAnsi"/>
          <w:color w:val="000000" w:themeColor="text1"/>
          <w:lang w:val="ro-RO" w:eastAsia="zh-CN"/>
        </w:rPr>
        <w:t xml:space="preserve"> în anul 2021, în principal, ca urmare a colectării dividendelor de la societățile naționale, companiile naționale și societățile cu capital integral sau majoritar de stat, precum și a vărsămintelor de la regiile autonome din majorarea procentului de repartizare a dividendelor/vărsămintelor. Pe termen mediu se estimează o ușoară oscilație a ponderii în PIB a veniturilor nefiscale între valorile de 2,3 - 2,4 %. </w:t>
      </w:r>
    </w:p>
    <w:p w:rsidR="00E36317" w:rsidRPr="00AF3608" w:rsidRDefault="00E36317" w:rsidP="00E36317">
      <w:pPr>
        <w:widowControl w:val="0"/>
        <w:spacing w:after="120"/>
        <w:jc w:val="both"/>
        <w:rPr>
          <w:rFonts w:asciiTheme="minorHAnsi" w:hAnsiTheme="minorHAnsi" w:cstheme="minorHAnsi"/>
          <w:color w:val="000000" w:themeColor="text1"/>
          <w:lang w:val="ro-RO"/>
        </w:rPr>
      </w:pPr>
      <w:r w:rsidRPr="00AF3608">
        <w:rPr>
          <w:rFonts w:asciiTheme="minorHAnsi" w:hAnsiTheme="minorHAnsi" w:cstheme="minorHAnsi"/>
          <w:color w:val="000000" w:themeColor="text1"/>
          <w:lang w:val="ro-RO" w:eastAsia="zh-CN"/>
        </w:rPr>
        <w:t xml:space="preserve">Încasările din </w:t>
      </w:r>
      <w:r w:rsidRPr="00AF3608">
        <w:rPr>
          <w:rFonts w:asciiTheme="minorHAnsi" w:hAnsiTheme="minorHAnsi" w:cstheme="minorHAnsi"/>
          <w:b/>
          <w:color w:val="000000" w:themeColor="text1"/>
          <w:lang w:val="ro-RO" w:eastAsia="zh-CN"/>
        </w:rPr>
        <w:t>contribuții de asigurări sociale</w:t>
      </w:r>
      <w:r w:rsidRPr="00AF3608">
        <w:rPr>
          <w:rFonts w:asciiTheme="minorHAnsi" w:hAnsiTheme="minorHAnsi" w:cstheme="minorHAnsi"/>
          <w:color w:val="000000" w:themeColor="text1"/>
          <w:lang w:val="ro-RO" w:eastAsia="zh-CN"/>
        </w:rPr>
        <w:t xml:space="preserve"> în anul 2021 sunt estimate la 10,8% din PIB, </w:t>
      </w:r>
      <w:r w:rsidRPr="00AF3608">
        <w:rPr>
          <w:rFonts w:asciiTheme="minorHAnsi" w:hAnsiTheme="minorHAnsi" w:cstheme="minorHAnsi"/>
          <w:lang w:val="ro-RO"/>
        </w:rPr>
        <w:t xml:space="preserve"> în condițiile </w:t>
      </w:r>
      <w:r w:rsidRPr="00AF3608">
        <w:rPr>
          <w:rFonts w:asciiTheme="minorHAnsi" w:hAnsiTheme="minorHAnsi" w:cstheme="minorHAnsi"/>
          <w:lang w:val="ro-RO" w:eastAsia="zh-CN"/>
        </w:rPr>
        <w:t>majorării prognozate a fondului de salarii pe total economie (câștig salarial mediu și număr de salariați)</w:t>
      </w:r>
      <w:r w:rsidRPr="00AF3608">
        <w:rPr>
          <w:rFonts w:asciiTheme="minorHAnsi" w:hAnsiTheme="minorHAnsi" w:cstheme="minorHAnsi"/>
          <w:lang w:val="ro-RO"/>
        </w:rPr>
        <w:t xml:space="preserve"> si a recuperarii contributiilor sociale declarate și amânate la plată în anul 2020, prin efectul legii (O.U.G. nr.29/2020 cu modificările și completările ulterioare)</w:t>
      </w:r>
      <w:r w:rsidRPr="00AF3608">
        <w:rPr>
          <w:rFonts w:asciiTheme="minorHAnsi" w:hAnsiTheme="minorHAnsi" w:cstheme="minorHAnsi"/>
          <w:color w:val="000000" w:themeColor="text1"/>
          <w:lang w:val="ro-RO" w:eastAsia="zh-CN"/>
        </w:rPr>
        <w:t xml:space="preserve">. </w:t>
      </w:r>
      <w:r w:rsidRPr="00AF3608">
        <w:rPr>
          <w:rFonts w:asciiTheme="minorHAnsi" w:hAnsiTheme="minorHAnsi" w:cstheme="minorHAnsi"/>
          <w:color w:val="000000" w:themeColor="text1"/>
          <w:lang w:val="ro-RO"/>
        </w:rPr>
        <w:t xml:space="preserve">Pe termen mediu, ponderea acestora este prognozată să ajungă la 10,9% din PIB în anul 2023, creștere  determinată de evolutia câștigului salarial mediu și a numărului de salariați. Pentru estimarea contribuțiilor de </w:t>
      </w:r>
      <w:r w:rsidRPr="00AF3608">
        <w:rPr>
          <w:rFonts w:asciiTheme="minorHAnsi" w:hAnsiTheme="minorHAnsi" w:cstheme="minorHAnsi"/>
          <w:color w:val="000000" w:themeColor="text1"/>
          <w:lang w:val="ro-RO"/>
        </w:rPr>
        <w:lastRenderedPageBreak/>
        <w:t>asigurări sociale de stat s-a menținut cota de transfer către Pilonul II de pensii de 3,75% pe întreg orizontul de prognoză. Estimările au fost realizate având în vedere prevederile legislative în vigoare.</w:t>
      </w:r>
    </w:p>
    <w:p w:rsidR="00E36317" w:rsidRPr="00AF3608" w:rsidRDefault="00E36317" w:rsidP="00E36317">
      <w:pPr>
        <w:widowControl w:val="0"/>
        <w:spacing w:after="120"/>
        <w:jc w:val="both"/>
        <w:rPr>
          <w:rFonts w:asciiTheme="minorHAnsi" w:hAnsiTheme="minorHAnsi" w:cstheme="minorHAnsi"/>
          <w:color w:val="000000" w:themeColor="text1"/>
          <w:lang w:val="ro-RO"/>
        </w:rPr>
      </w:pPr>
    </w:p>
    <w:p w:rsidR="00E36317" w:rsidRPr="00AF3608" w:rsidRDefault="00E36317" w:rsidP="00E36317">
      <w:pPr>
        <w:spacing w:after="120"/>
        <w:jc w:val="center"/>
        <w:rPr>
          <w:rFonts w:ascii="Calibri" w:hAnsi="Calibri"/>
          <w:lang w:val="ro-RO" w:eastAsia="zh-CN"/>
        </w:rPr>
      </w:pPr>
      <w:r w:rsidRPr="00AF3608">
        <w:rPr>
          <w:noProof/>
        </w:rPr>
        <w:drawing>
          <wp:inline distT="0" distB="0" distL="0" distR="0" wp14:anchorId="67EDE143" wp14:editId="2BE7C093">
            <wp:extent cx="5400675" cy="4010025"/>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697" cy="4032316"/>
                    </a:xfrm>
                    <a:prstGeom prst="rect">
                      <a:avLst/>
                    </a:prstGeom>
                    <a:noFill/>
                    <a:ln>
                      <a:noFill/>
                    </a:ln>
                  </pic:spPr>
                </pic:pic>
              </a:graphicData>
            </a:graphic>
          </wp:inline>
        </w:drawing>
      </w:r>
    </w:p>
    <w:p w:rsidR="00E36317" w:rsidRPr="00AF3608" w:rsidRDefault="00561CD0" w:rsidP="00E36317">
      <w:pPr>
        <w:spacing w:after="120"/>
        <w:jc w:val="center"/>
        <w:rPr>
          <w:rFonts w:ascii="Calibri" w:hAnsi="Calibri"/>
          <w:lang w:val="ro-RO" w:eastAsia="zh-CN"/>
        </w:rPr>
      </w:pPr>
      <w:r w:rsidRPr="00AF3608">
        <w:rPr>
          <w:noProof/>
        </w:rPr>
        <w:lastRenderedPageBreak/>
        <w:drawing>
          <wp:anchor distT="0" distB="0" distL="114300" distR="114300" simplePos="0" relativeHeight="251870208" behindDoc="0" locked="0" layoutInCell="1" allowOverlap="1" wp14:anchorId="67F9BBC3" wp14:editId="72A517A1">
            <wp:simplePos x="0" y="0"/>
            <wp:positionH relativeFrom="column">
              <wp:posOffset>-69215</wp:posOffset>
            </wp:positionH>
            <wp:positionV relativeFrom="line">
              <wp:posOffset>4022090</wp:posOffset>
            </wp:positionV>
            <wp:extent cx="6313805" cy="291846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13805" cy="2918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317" w:rsidRPr="00AF3608">
        <w:rPr>
          <w:noProof/>
        </w:rPr>
        <w:drawing>
          <wp:inline distT="0" distB="0" distL="0" distR="0" wp14:anchorId="664DA1BE" wp14:editId="4B42DD59">
            <wp:extent cx="5257800" cy="39715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2031" cy="3997412"/>
                    </a:xfrm>
                    <a:prstGeom prst="rect">
                      <a:avLst/>
                    </a:prstGeom>
                    <a:noFill/>
                    <a:ln>
                      <a:noFill/>
                    </a:ln>
                  </pic:spPr>
                </pic:pic>
              </a:graphicData>
            </a:graphic>
          </wp:inline>
        </w:drawing>
      </w:r>
    </w:p>
    <w:p w:rsidR="00E36317" w:rsidRPr="00AF3608" w:rsidRDefault="00E36317" w:rsidP="00342B08">
      <w:pPr>
        <w:widowControl w:val="0"/>
        <w:tabs>
          <w:tab w:val="left" w:pos="2112"/>
        </w:tabs>
        <w:spacing w:before="120" w:line="320" w:lineRule="exact"/>
        <w:jc w:val="both"/>
        <w:rPr>
          <w:rFonts w:ascii="Calibri" w:hAnsi="Calibri"/>
          <w:lang w:val="ro-RO"/>
        </w:rPr>
      </w:pPr>
    </w:p>
    <w:p w:rsidR="00E36317" w:rsidRPr="00AF3608" w:rsidRDefault="00E36317" w:rsidP="00342B08">
      <w:pPr>
        <w:widowControl w:val="0"/>
        <w:tabs>
          <w:tab w:val="left" w:pos="2112"/>
        </w:tabs>
        <w:spacing w:before="120" w:line="320" w:lineRule="exact"/>
        <w:jc w:val="both"/>
        <w:rPr>
          <w:rFonts w:ascii="Calibri" w:hAnsi="Calibri"/>
          <w:b/>
          <w:lang w:val="ro-RO"/>
        </w:rPr>
      </w:pPr>
      <w:r w:rsidRPr="00AF3608">
        <w:rPr>
          <w:rFonts w:ascii="Calibri" w:hAnsi="Calibri"/>
          <w:lang w:val="ro-RO"/>
        </w:rPr>
        <w:t xml:space="preserve">Cea mai mare pondere în veniturile bugetului general consolidat o deține Bugetul de stat, urmat, începând cu anul 2021, de Bugetul asigurărilor sociale de stat și Bugetele locale. </w:t>
      </w:r>
    </w:p>
    <w:p w:rsidR="00E36317" w:rsidRPr="00AF3608" w:rsidRDefault="00E36317" w:rsidP="00342B08">
      <w:pPr>
        <w:widowControl w:val="0"/>
        <w:spacing w:before="120"/>
        <w:jc w:val="both"/>
        <w:rPr>
          <w:rFonts w:ascii="Calibri" w:hAnsi="Calibri"/>
          <w:lang w:val="ro-RO"/>
        </w:rPr>
      </w:pPr>
      <w:r w:rsidRPr="00AF3608">
        <w:rPr>
          <w:rFonts w:ascii="Calibri" w:hAnsi="Calibri"/>
          <w:lang w:val="ro-RO"/>
        </w:rPr>
        <w:t xml:space="preserve">Cele mai mari subvenții de la Bugetul de stat le primește, începȃnd cu anul 2021, Bugetul asigurărilor sociale de stat pentru corectarea dezechilibrului sistemului public de pensii, ceea ce explică în parte </w:t>
      </w:r>
      <w:r w:rsidRPr="00AF3608">
        <w:rPr>
          <w:noProof/>
        </w:rPr>
        <w:lastRenderedPageBreak/>
        <w:drawing>
          <wp:anchor distT="0" distB="0" distL="114300" distR="114300" simplePos="0" relativeHeight="251871232" behindDoc="0" locked="0" layoutInCell="1" allowOverlap="1" wp14:anchorId="1F7C9B33" wp14:editId="0A5AB984">
            <wp:simplePos x="0" y="0"/>
            <wp:positionH relativeFrom="column">
              <wp:posOffset>676275</wp:posOffset>
            </wp:positionH>
            <wp:positionV relativeFrom="line">
              <wp:posOffset>402590</wp:posOffset>
            </wp:positionV>
            <wp:extent cx="5461000" cy="4524375"/>
            <wp:effectExtent l="0" t="0" r="635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1000" cy="452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3608">
        <w:rPr>
          <w:rFonts w:ascii="Calibri" w:hAnsi="Calibri"/>
          <w:lang w:val="ro-RO"/>
        </w:rPr>
        <w:t>nivelul veniturilor acestuia.</w:t>
      </w:r>
    </w:p>
    <w:p w:rsidR="002A45A5" w:rsidRPr="00AF3608" w:rsidRDefault="002A45A5" w:rsidP="00B723C0">
      <w:pPr>
        <w:widowControl w:val="0"/>
        <w:shd w:val="clear" w:color="auto" w:fill="FFFFFF" w:themeFill="background1"/>
        <w:spacing w:after="120" w:line="320" w:lineRule="exact"/>
        <w:rPr>
          <w:rFonts w:ascii="Calibri" w:hAnsi="Calibri"/>
          <w:lang w:val="ro-RO"/>
        </w:rPr>
      </w:pPr>
    </w:p>
    <w:p w:rsidR="00E36317" w:rsidRDefault="00E36317" w:rsidP="00B723C0">
      <w:pPr>
        <w:widowControl w:val="0"/>
        <w:shd w:val="clear" w:color="auto" w:fill="FFFFFF" w:themeFill="background1"/>
        <w:spacing w:after="120" w:line="320" w:lineRule="exact"/>
        <w:rPr>
          <w:rFonts w:ascii="Calibri" w:hAnsi="Calibri"/>
          <w:lang w:val="ro-RO"/>
        </w:rPr>
      </w:pPr>
    </w:p>
    <w:p w:rsidR="00342B08" w:rsidRPr="00AF3608" w:rsidRDefault="00342B08" w:rsidP="00B723C0">
      <w:pPr>
        <w:widowControl w:val="0"/>
        <w:shd w:val="clear" w:color="auto" w:fill="FFFFFF" w:themeFill="background1"/>
        <w:spacing w:after="120" w:line="320" w:lineRule="exact"/>
        <w:rPr>
          <w:rFonts w:ascii="Calibri" w:hAnsi="Calibri"/>
          <w:lang w:val="ro-RO"/>
        </w:rPr>
      </w:pPr>
    </w:p>
    <w:p w:rsidR="000941AE" w:rsidRPr="00AF3608" w:rsidRDefault="000941AE" w:rsidP="00B723C0">
      <w:pPr>
        <w:widowControl w:val="0"/>
        <w:shd w:val="clear" w:color="auto" w:fill="D9E2F3" w:themeFill="accent5" w:themeFillTint="33"/>
        <w:spacing w:after="120" w:line="320" w:lineRule="exact"/>
        <w:rPr>
          <w:rFonts w:ascii="Calibri" w:hAnsi="Calibri"/>
          <w:b/>
          <w:color w:val="000080"/>
          <w:lang w:val="ro-RO"/>
        </w:rPr>
      </w:pPr>
      <w:r w:rsidRPr="00AF3608">
        <w:rPr>
          <w:rFonts w:ascii="Calibri" w:hAnsi="Calibri"/>
          <w:b/>
          <w:color w:val="000080"/>
          <w:lang w:val="ro-RO"/>
        </w:rPr>
        <w:t>4.5.2 Evoluţii recente şi tendinţe ale cheltuielilor bugetare</w:t>
      </w:r>
      <w:r w:rsidRPr="00AF3608">
        <w:rPr>
          <w:rFonts w:ascii="Calibri" w:hAnsi="Calibri"/>
          <w:b/>
          <w:color w:val="000080"/>
          <w:vertAlign w:val="superscript"/>
          <w:lang w:val="ro-RO"/>
        </w:rPr>
        <w:footnoteReference w:id="18"/>
      </w:r>
    </w:p>
    <w:p w:rsidR="005F558B" w:rsidRPr="00AF3608" w:rsidRDefault="005F558B" w:rsidP="005F558B">
      <w:pPr>
        <w:pStyle w:val="Style35001908"/>
        <w:spacing w:after="120"/>
        <w:jc w:val="both"/>
        <w:rPr>
          <w:rFonts w:asciiTheme="minorHAnsi" w:hAnsiTheme="minorHAnsi"/>
          <w:lang w:val="ro-RO"/>
        </w:rPr>
      </w:pPr>
      <w:r w:rsidRPr="00AF3608">
        <w:rPr>
          <w:rFonts w:asciiTheme="minorHAnsi" w:hAnsiTheme="minorHAnsi"/>
          <w:lang w:val="ro-RO"/>
        </w:rPr>
        <w:t xml:space="preserve">Dacă pȃnă în anul 2020 inclusiv, cheltuielile bugetare totale și-au majorat în mod semnificativ ponderea în PIB (în 2020 și datorită crizei Covid-19), începȃnd cu anul 2021 se realizează o corecție a acestei tendințe pentru a susține obiectivul de ajustare a deficitului bugetar către nivele sustenabile. </w:t>
      </w:r>
    </w:p>
    <w:p w:rsidR="005F558B" w:rsidRPr="00AF3608" w:rsidRDefault="005F558B" w:rsidP="005F558B">
      <w:pPr>
        <w:pStyle w:val="Style35001908"/>
        <w:spacing w:after="120"/>
        <w:jc w:val="both"/>
        <w:rPr>
          <w:rFonts w:asciiTheme="minorHAnsi" w:hAnsiTheme="minorHAnsi"/>
          <w:lang w:val="ro-RO"/>
        </w:rPr>
      </w:pPr>
      <w:r w:rsidRPr="00AF3608">
        <w:rPr>
          <w:rFonts w:asciiTheme="minorHAnsi" w:hAnsiTheme="minorHAnsi"/>
          <w:lang w:val="ro-RO"/>
        </w:rPr>
        <w:t>Chiar dacă în valoare nominală cheltuielile totale se majorează pe termen mediu, raportat la PIB se înregistrează o diminuare de peste 5 pp față de nivelul din anul 2020 pe fondul reașezării structurale a cheltuielilor de personal și a celor cu asistența socială (includ pensiile) pe de o parte, și a menținerii unui nivel ridicat al cheltuielilor de investiții pentru stimularea unei creșteri economice robuste pe de altă parte.</w:t>
      </w:r>
    </w:p>
    <w:p w:rsidR="005F558B" w:rsidRPr="00AF3608" w:rsidRDefault="005F558B" w:rsidP="005F558B">
      <w:pPr>
        <w:pStyle w:val="Style35001908"/>
        <w:jc w:val="both"/>
        <w:rPr>
          <w:rFonts w:asciiTheme="minorHAnsi" w:hAnsiTheme="minorHAnsi"/>
          <w:lang w:val="ro-RO"/>
        </w:rPr>
      </w:pPr>
      <w:r w:rsidRPr="00AF3608">
        <w:rPr>
          <w:rFonts w:asciiTheme="minorHAnsi" w:hAnsiTheme="minorHAnsi"/>
          <w:lang w:val="ro-RO"/>
        </w:rPr>
        <w:t>Prin măsurile de ajustare a cheltuielilor aplicate în anul 2021, în termeni nominali, pentru majoritatea categoriilor de cheltuieli a fost asigurată o creștere temperată pȃnă la finele orizontului de planificare (2023) prin păstrarea unei dinamici inferioare celei a PIB.</w:t>
      </w:r>
    </w:p>
    <w:p w:rsidR="005F558B" w:rsidRPr="00AF3608" w:rsidRDefault="005F558B" w:rsidP="005F558B">
      <w:pPr>
        <w:pStyle w:val="Style35001908"/>
        <w:jc w:val="both"/>
        <w:rPr>
          <w:rFonts w:ascii="Calibri" w:hAnsi="Calibri"/>
          <w:lang w:val="ro-RO" w:eastAsia="ro-RO"/>
        </w:rPr>
      </w:pPr>
    </w:p>
    <w:p w:rsidR="005F558B" w:rsidRPr="00AF3608" w:rsidRDefault="005F558B" w:rsidP="005F558B">
      <w:pPr>
        <w:pStyle w:val="Style35001908"/>
        <w:jc w:val="center"/>
        <w:rPr>
          <w:rFonts w:ascii="Calibri" w:hAnsi="Calibri"/>
          <w:lang w:val="ro-RO" w:eastAsia="ro-RO"/>
        </w:rPr>
      </w:pPr>
      <w:r w:rsidRPr="00AF3608">
        <w:rPr>
          <w:noProof/>
        </w:rPr>
        <w:lastRenderedPageBreak/>
        <w:drawing>
          <wp:inline distT="0" distB="0" distL="0" distR="0" wp14:anchorId="7957D683" wp14:editId="39CD565A">
            <wp:extent cx="5772150" cy="27292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86597" cy="2736061"/>
                    </a:xfrm>
                    <a:prstGeom prst="rect">
                      <a:avLst/>
                    </a:prstGeom>
                    <a:noFill/>
                    <a:ln>
                      <a:noFill/>
                    </a:ln>
                  </pic:spPr>
                </pic:pic>
              </a:graphicData>
            </a:graphic>
          </wp:inline>
        </w:drawing>
      </w:r>
    </w:p>
    <w:p w:rsidR="005F558B" w:rsidRPr="00AF3608" w:rsidRDefault="005F558B" w:rsidP="005F558B">
      <w:pPr>
        <w:pStyle w:val="Style35001908"/>
        <w:jc w:val="center"/>
        <w:rPr>
          <w:rFonts w:ascii="Calibri" w:hAnsi="Calibri"/>
          <w:lang w:val="ro-RO" w:eastAsia="ro-RO"/>
        </w:rPr>
      </w:pPr>
      <w:r w:rsidRPr="00AF3608">
        <w:rPr>
          <w:noProof/>
        </w:rPr>
        <w:drawing>
          <wp:inline distT="0" distB="0" distL="0" distR="0" wp14:anchorId="157690CA" wp14:editId="009D63E9">
            <wp:extent cx="5762625" cy="275780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6146" cy="2769061"/>
                    </a:xfrm>
                    <a:prstGeom prst="rect">
                      <a:avLst/>
                    </a:prstGeom>
                    <a:noFill/>
                    <a:ln>
                      <a:noFill/>
                    </a:ln>
                  </pic:spPr>
                </pic:pic>
              </a:graphicData>
            </a:graphic>
          </wp:inline>
        </w:drawing>
      </w:r>
    </w:p>
    <w:p w:rsidR="005F558B" w:rsidRPr="00AF3608" w:rsidRDefault="005F558B" w:rsidP="005F558B">
      <w:pPr>
        <w:pStyle w:val="Style35001908"/>
        <w:jc w:val="both"/>
        <w:rPr>
          <w:rFonts w:ascii="Calibri" w:hAnsi="Calibri"/>
          <w:lang w:val="ro-RO" w:eastAsia="ro-RO"/>
        </w:rPr>
      </w:pPr>
      <w:r w:rsidRPr="00AF3608">
        <w:rPr>
          <w:noProof/>
        </w:rPr>
        <w:drawing>
          <wp:inline distT="0" distB="0" distL="0" distR="0" wp14:anchorId="310EA2E9" wp14:editId="198C8024">
            <wp:extent cx="6246495" cy="2527839"/>
            <wp:effectExtent l="0" t="0" r="1905"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46495" cy="2527839"/>
                    </a:xfrm>
                    <a:prstGeom prst="rect">
                      <a:avLst/>
                    </a:prstGeom>
                    <a:noFill/>
                    <a:ln>
                      <a:noFill/>
                    </a:ln>
                  </pic:spPr>
                </pic:pic>
              </a:graphicData>
            </a:graphic>
          </wp:inline>
        </w:drawing>
      </w:r>
    </w:p>
    <w:p w:rsidR="005F558B" w:rsidRPr="00AF3608" w:rsidRDefault="005F558B" w:rsidP="005F558B">
      <w:pPr>
        <w:pStyle w:val="Style35001908"/>
        <w:jc w:val="both"/>
        <w:rPr>
          <w:rFonts w:ascii="Calibri" w:hAnsi="Calibri"/>
          <w:lang w:val="ro-RO" w:eastAsia="ro-RO"/>
        </w:rPr>
      </w:pPr>
    </w:p>
    <w:p w:rsidR="005F558B" w:rsidRPr="00AF3608" w:rsidRDefault="005F558B" w:rsidP="005F558B">
      <w:pPr>
        <w:pStyle w:val="Style35001908"/>
        <w:spacing w:after="120"/>
        <w:jc w:val="both"/>
        <w:rPr>
          <w:rFonts w:ascii="Calibri" w:hAnsi="Calibri"/>
          <w:lang w:val="ro-RO"/>
        </w:rPr>
      </w:pPr>
      <w:r w:rsidRPr="00AF3608">
        <w:rPr>
          <w:rFonts w:ascii="Calibri" w:hAnsi="Calibri"/>
          <w:lang w:val="ro-RO"/>
        </w:rPr>
        <w:t>Cea mai importantă componentă a bugetului general consolidat o reprezintă bugetul de stat care deţine ponderea cea mai mare din totalul cheltuielilor bugetare. Următoarea componentă, ca pondere, este, începȃnd cu anul 2021, bugetul asigurărilor sociale de stat urmat îndeaproape de bugetul centralizat al unităţilor administrativ-teritoriale.</w:t>
      </w:r>
    </w:p>
    <w:p w:rsidR="005F558B" w:rsidRPr="00AF3608" w:rsidRDefault="005F558B" w:rsidP="005F558B">
      <w:pPr>
        <w:jc w:val="both"/>
        <w:rPr>
          <w:rFonts w:ascii="Calibri" w:hAnsi="Calibri"/>
          <w:lang w:val="ro-RO"/>
        </w:rPr>
      </w:pPr>
      <w:r w:rsidRPr="00AF3608">
        <w:rPr>
          <w:rFonts w:ascii="Calibri" w:hAnsi="Calibri"/>
          <w:lang w:val="ro-RO"/>
        </w:rPr>
        <w:lastRenderedPageBreak/>
        <w:t>La dimensiunea cheltuielilor bugetului de stat concură şi sumele care se transferă din acesta către alte componente ale bugetului general consolidat, fie pentru echilibrarea acestora (bugetele de asigurări sociale) fie pentru finanţarea unor activităţi descentralizate la nivelul comunităţilor locale.</w:t>
      </w:r>
    </w:p>
    <w:p w:rsidR="005F558B" w:rsidRPr="00AF3608" w:rsidRDefault="005F558B" w:rsidP="005F558B">
      <w:pPr>
        <w:pStyle w:val="Style35001908"/>
        <w:spacing w:after="240"/>
        <w:jc w:val="both"/>
        <w:rPr>
          <w:rFonts w:ascii="Calibri" w:hAnsi="Calibri"/>
          <w:lang w:val="ro-RO"/>
        </w:rPr>
      </w:pPr>
      <w:r w:rsidRPr="00AF3608">
        <w:rPr>
          <w:rFonts w:ascii="Calibri" w:hAnsi="Calibri"/>
          <w:lang w:val="ro-RO"/>
        </w:rPr>
        <w:t>Toate transferurile care se acordă din bugetul de stat către alte bugete sunt eliminate la agregarea bugetului general consolidat pentru a evita dubla înregistrare a acestora.</w:t>
      </w:r>
    </w:p>
    <w:p w:rsidR="005F558B" w:rsidRPr="00AF3608" w:rsidRDefault="005F558B" w:rsidP="005F558B">
      <w:pPr>
        <w:pStyle w:val="Style35001908"/>
        <w:jc w:val="center"/>
        <w:rPr>
          <w:rFonts w:ascii="Calibri" w:hAnsi="Calibri"/>
          <w:lang w:val="ro-RO"/>
        </w:rPr>
      </w:pPr>
      <w:r w:rsidRPr="00AF3608">
        <w:rPr>
          <w:noProof/>
        </w:rPr>
        <w:drawing>
          <wp:inline distT="0" distB="0" distL="0" distR="0" wp14:anchorId="3E1CAC99" wp14:editId="6D163EA9">
            <wp:extent cx="4648200" cy="44996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54147" cy="4505367"/>
                    </a:xfrm>
                    <a:prstGeom prst="rect">
                      <a:avLst/>
                    </a:prstGeom>
                    <a:noFill/>
                    <a:ln>
                      <a:noFill/>
                    </a:ln>
                  </pic:spPr>
                </pic:pic>
              </a:graphicData>
            </a:graphic>
          </wp:inline>
        </w:drawing>
      </w:r>
    </w:p>
    <w:p w:rsidR="006E2C27" w:rsidRPr="00AF3608" w:rsidRDefault="006E2C27" w:rsidP="00B723C0">
      <w:pPr>
        <w:widowControl w:val="0"/>
        <w:autoSpaceDE w:val="0"/>
        <w:autoSpaceDN w:val="0"/>
        <w:adjustRightInd w:val="0"/>
        <w:spacing w:before="120"/>
        <w:jc w:val="both"/>
        <w:rPr>
          <w:rFonts w:asciiTheme="minorHAnsi" w:hAnsiTheme="minorHAnsi" w:cstheme="minorHAnsi"/>
          <w:bCs/>
          <w:lang w:val="ro-RO"/>
        </w:rPr>
      </w:pPr>
    </w:p>
    <w:p w:rsidR="005F558B" w:rsidRPr="00AF3608" w:rsidRDefault="005F558B" w:rsidP="00B723C0">
      <w:pPr>
        <w:widowControl w:val="0"/>
        <w:autoSpaceDE w:val="0"/>
        <w:autoSpaceDN w:val="0"/>
        <w:adjustRightInd w:val="0"/>
        <w:spacing w:before="120"/>
        <w:jc w:val="both"/>
        <w:rPr>
          <w:rFonts w:asciiTheme="minorHAnsi" w:hAnsiTheme="minorHAnsi" w:cstheme="minorHAnsi"/>
          <w:bCs/>
          <w:lang w:val="ro-RO"/>
        </w:rPr>
      </w:pPr>
    </w:p>
    <w:p w:rsidR="000E79CA" w:rsidRPr="00AF3608" w:rsidRDefault="000E79CA" w:rsidP="00B723C0">
      <w:pPr>
        <w:widowControl w:val="0"/>
        <w:shd w:val="clear" w:color="auto" w:fill="DEEAF6" w:themeFill="accent1" w:themeFillTint="33"/>
        <w:spacing w:before="120"/>
        <w:rPr>
          <w:rFonts w:ascii="Calibri" w:hAnsi="Calibri" w:cs="Calibri"/>
          <w:b/>
          <w:bCs/>
          <w:color w:val="000080"/>
          <w:lang w:val="ro-RO"/>
        </w:rPr>
      </w:pPr>
      <w:r w:rsidRPr="00AF3608">
        <w:rPr>
          <w:rFonts w:ascii="Calibri" w:hAnsi="Calibri" w:cs="Calibri"/>
          <w:b/>
          <w:bCs/>
          <w:color w:val="000080"/>
          <w:lang w:val="ro-RO"/>
        </w:rPr>
        <w:t>4.5.3 Diferenţe faţă de strategia anterioară</w:t>
      </w:r>
    </w:p>
    <w:p w:rsidR="000E79CA" w:rsidRPr="00AF3608" w:rsidRDefault="000E79CA" w:rsidP="00B723C0">
      <w:pPr>
        <w:widowControl w:val="0"/>
        <w:spacing w:before="120"/>
        <w:jc w:val="both"/>
        <w:rPr>
          <w:rFonts w:ascii="Calibri" w:hAnsi="Calibri" w:cs="Calibri"/>
          <w:lang w:val="ro-RO"/>
        </w:rPr>
      </w:pPr>
      <w:r w:rsidRPr="00AF3608">
        <w:rPr>
          <w:rFonts w:ascii="Calibri" w:hAnsi="Calibri" w:cs="Calibri"/>
          <w:lang w:val="ro-RO"/>
        </w:rPr>
        <w:t>Datele privind</w:t>
      </w:r>
      <w:r w:rsidRPr="00AF3608">
        <w:rPr>
          <w:rFonts w:ascii="Calibri" w:hAnsi="Calibri" w:cs="Calibri"/>
          <w:b/>
          <w:lang w:val="ro-RO"/>
        </w:rPr>
        <w:t xml:space="preserve"> creşterea economică</w:t>
      </w:r>
      <w:r w:rsidRPr="00AF3608">
        <w:rPr>
          <w:rFonts w:ascii="Calibri" w:hAnsi="Calibri" w:cs="Calibri"/>
          <w:lang w:val="ro-RO"/>
        </w:rPr>
        <w:t xml:space="preserve"> şi dinamica </w:t>
      </w:r>
      <w:r w:rsidRPr="00AF3608">
        <w:rPr>
          <w:rFonts w:ascii="Calibri" w:hAnsi="Calibri" w:cs="Calibri"/>
          <w:b/>
          <w:lang w:val="ro-RO"/>
        </w:rPr>
        <w:t>numărului mediu de salariaţi</w:t>
      </w:r>
      <w:r w:rsidRPr="00AF3608">
        <w:rPr>
          <w:rFonts w:ascii="Calibri" w:hAnsi="Calibri" w:cs="Calibri"/>
          <w:lang w:val="ro-RO"/>
        </w:rPr>
        <w:t xml:space="preserve"> din scenariul de prognoză al Strategiei fiscal-bugetare 2021-2023 diferă semnificativ de cea din varianta anterioară, în principal ca urmare a influenţelor nefavorabile pe care criza sanitară a avut-o asupra evoluţiei economiei româneşti în anul 2020. Astfel pe primele 9 luni, produsul intern brut s-a diminuat cu 5%  faţă de aceeaşi perioadă din 2019, iar pe întregul an, conform prognozei de iarnă, se estimează o reducere cu 4,4%. Pentru anul 2021, obiectivul la nivel macroeconomic  este acela de a recupera, în mare parte, scăderea din anul 2020. Pentru perioada 2022 - 2023, ritmul mediu anual de creștere economică estimat este la 4,9%, peste dinamicile prevăzute în strategia anterioară, investiţiile reprezentând motorul creşterii economice, acestea fiind susţinute de fondurile europene alocate atât prin PNRR cât și cele d</w:t>
      </w:r>
      <w:r w:rsidR="00633677">
        <w:rPr>
          <w:rFonts w:ascii="Calibri" w:hAnsi="Calibri" w:cs="Calibri"/>
          <w:lang w:val="ro-RO"/>
        </w:rPr>
        <w:t>in cadrul financiar multianual.</w:t>
      </w:r>
      <w:r w:rsidRPr="00AF3608">
        <w:rPr>
          <w:rFonts w:ascii="Calibri" w:hAnsi="Calibri" w:cs="Calibri"/>
          <w:lang w:val="ro-RO"/>
        </w:rPr>
        <w:t xml:space="preserve"> În ceea ce priveşte numărul mediu de salariați, realizările din primele  primele nouă luni au determinat o estimare de -1,4%.pentru întreg anul 2020. </w:t>
      </w:r>
    </w:p>
    <w:p w:rsidR="000E79CA" w:rsidRPr="00AF3608" w:rsidRDefault="000E79CA" w:rsidP="00B723C0">
      <w:pPr>
        <w:widowControl w:val="0"/>
        <w:spacing w:before="120"/>
        <w:jc w:val="both"/>
        <w:rPr>
          <w:rFonts w:ascii="Calibri" w:hAnsi="Calibri" w:cs="Calibri"/>
          <w:lang w:val="ro-RO"/>
        </w:rPr>
      </w:pPr>
      <w:r w:rsidRPr="00AF3608">
        <w:rPr>
          <w:rFonts w:ascii="Calibri" w:hAnsi="Calibri" w:cs="Calibri"/>
          <w:lang w:val="ro-RO"/>
        </w:rPr>
        <w:t>Diferenţa între dinamicile</w:t>
      </w:r>
      <w:r w:rsidRPr="00AF3608">
        <w:rPr>
          <w:rFonts w:ascii="Calibri" w:hAnsi="Calibri" w:cs="Calibri"/>
          <w:b/>
          <w:lang w:val="ro-RO"/>
        </w:rPr>
        <w:t xml:space="preserve"> exporturilor de bunuri</w:t>
      </w:r>
      <w:r w:rsidRPr="00AF3608">
        <w:rPr>
          <w:rFonts w:ascii="Calibri" w:hAnsi="Calibri" w:cs="Calibri"/>
          <w:lang w:val="ro-RO"/>
        </w:rPr>
        <w:t xml:space="preserve"> din cele două strategii pentru anul 2020 se datorează apariţiei pandemiei la începutul anului 2020, ceea ce a condus la o contracţie a cererii la nivel mondial. In aceste condiţii, cererea externă s-a redus semnificativ,determinând scăderea </w:t>
      </w:r>
      <w:r w:rsidRPr="00AF3608">
        <w:rPr>
          <w:rFonts w:ascii="Calibri" w:hAnsi="Calibri" w:cs="Calibri"/>
          <w:lang w:val="ro-RO"/>
        </w:rPr>
        <w:lastRenderedPageBreak/>
        <w:t>consistentă a exportului de bunuri. Evoluţia exporturilor din perioada 2021 - 2022 reprezintă practic o recuperare a declinului din anul 2020, dinamicile fiind superioare celor estimate anterior şi corelate cu evoluţiile economice ale principalilor parteneri comerciali, în special Germania.</w:t>
      </w:r>
    </w:p>
    <w:p w:rsidR="000E79CA" w:rsidRPr="00AF3608" w:rsidRDefault="000E79CA" w:rsidP="00B723C0">
      <w:pPr>
        <w:widowControl w:val="0"/>
        <w:spacing w:before="120"/>
        <w:jc w:val="both"/>
        <w:rPr>
          <w:rFonts w:ascii="Calibri" w:hAnsi="Calibri"/>
          <w:lang w:val="ro-RO"/>
        </w:rPr>
      </w:pPr>
      <w:r w:rsidRPr="00AF3608">
        <w:rPr>
          <w:rFonts w:ascii="Calibri" w:hAnsi="Calibri"/>
          <w:lang w:val="ro-RO"/>
        </w:rPr>
        <w:t xml:space="preserve">In condiţiile prezentate anterior, </w:t>
      </w:r>
      <w:r w:rsidRPr="00AF3608">
        <w:rPr>
          <w:rFonts w:ascii="Calibri" w:hAnsi="Calibri"/>
          <w:b/>
          <w:lang w:val="ro-RO"/>
        </w:rPr>
        <w:t>contul curent</w:t>
      </w:r>
      <w:r w:rsidRPr="00AF3608">
        <w:rPr>
          <w:rFonts w:ascii="Calibri" w:hAnsi="Calibri"/>
          <w:lang w:val="ro-RO"/>
        </w:rPr>
        <w:t xml:space="preserve"> aferent anului 2020 a cunoscut o înrăutăţire, pe seama deteriorării soldului comercial. In acest sens, este de manţionat reducerea mai amplă a exportului de bunuri decât cea a importurilor. Ca şi în strategia anterioară, evoluţiile viitoare prevăd o îmbunătăţire treptată a soldului contului curent, nivelul mai ridicat al deficitului reflectându-se, totuşi, în ponderea acestuia în PIB.</w:t>
      </w:r>
    </w:p>
    <w:p w:rsidR="000E79CA" w:rsidRPr="00AF3608" w:rsidRDefault="000E79CA" w:rsidP="00B723C0">
      <w:pPr>
        <w:widowControl w:val="0"/>
        <w:spacing w:before="120"/>
        <w:jc w:val="both"/>
        <w:rPr>
          <w:rFonts w:ascii="Calibri" w:hAnsi="Calibri"/>
          <w:lang w:val="ro-RO"/>
        </w:rPr>
      </w:pPr>
      <w:r w:rsidRPr="00AF3608">
        <w:rPr>
          <w:rFonts w:ascii="Calibri" w:hAnsi="Calibri"/>
          <w:lang w:val="ro-RO"/>
        </w:rPr>
        <w:t>Diferenţa de 1 punct procentual în cazul</w:t>
      </w:r>
      <w:r w:rsidRPr="00AF3608">
        <w:rPr>
          <w:rFonts w:ascii="Calibri" w:hAnsi="Calibri"/>
          <w:b/>
          <w:lang w:val="ro-RO"/>
        </w:rPr>
        <w:t xml:space="preserve"> inflaţiei</w:t>
      </w:r>
      <w:r w:rsidRPr="00AF3608">
        <w:rPr>
          <w:rFonts w:ascii="Calibri" w:hAnsi="Calibri"/>
          <w:b/>
          <w:i/>
          <w:lang w:val="ro-RO"/>
        </w:rPr>
        <w:t xml:space="preserve"> </w:t>
      </w:r>
      <w:r w:rsidRPr="00AF3608">
        <w:rPr>
          <w:rFonts w:ascii="Calibri" w:hAnsi="Calibri"/>
          <w:lang w:val="ro-RO"/>
        </w:rPr>
        <w:t xml:space="preserve">la sfârşitul anului 2020 se datorează unei cereri de consum în scădere, în concordanţă cu evoluţiile la nivel mondial. Tendinţa de reducere a inflaţiei se păstrează pe perioada de prognoză, decalajele faţă de strategia anterioară ajungând la 0,2 puncte procentuale în anul 2023. </w:t>
      </w:r>
    </w:p>
    <w:p w:rsidR="000E79CA" w:rsidRPr="00AF3608" w:rsidRDefault="000E79CA" w:rsidP="00B723C0">
      <w:pPr>
        <w:widowControl w:val="0"/>
        <w:spacing w:before="120"/>
        <w:jc w:val="both"/>
        <w:rPr>
          <w:rFonts w:ascii="Calibri" w:hAnsi="Calibri" w:cs="Calibri"/>
          <w:lang w:val="ro-RO"/>
        </w:rPr>
      </w:pPr>
    </w:p>
    <w:tbl>
      <w:tblPr>
        <w:tblW w:w="5000" w:type="pct"/>
        <w:jc w:val="center"/>
        <w:tblBorders>
          <w:top w:val="single" w:sz="4" w:space="0" w:color="1F497D"/>
          <w:left w:val="single" w:sz="4" w:space="0" w:color="1F497D"/>
          <w:bottom w:val="single" w:sz="4" w:space="0" w:color="1F497D"/>
          <w:right w:val="single" w:sz="4" w:space="0" w:color="1F497D"/>
        </w:tblBorders>
        <w:tblLook w:val="01E0" w:firstRow="1" w:lastRow="1" w:firstColumn="1" w:lastColumn="1" w:noHBand="0" w:noVBand="0"/>
      </w:tblPr>
      <w:tblGrid>
        <w:gridCol w:w="1836"/>
        <w:gridCol w:w="975"/>
        <w:gridCol w:w="975"/>
        <w:gridCol w:w="974"/>
        <w:gridCol w:w="974"/>
        <w:gridCol w:w="974"/>
        <w:gridCol w:w="974"/>
        <w:gridCol w:w="974"/>
        <w:gridCol w:w="973"/>
      </w:tblGrid>
      <w:tr w:rsidR="000E79CA" w:rsidRPr="00AF3608" w:rsidTr="00612785">
        <w:trPr>
          <w:trHeight w:val="191"/>
          <w:jc w:val="center"/>
        </w:trPr>
        <w:tc>
          <w:tcPr>
            <w:tcW w:w="953" w:type="pct"/>
            <w:tcBorders>
              <w:top w:val="single" w:sz="4" w:space="0" w:color="1F497D"/>
              <w:bottom w:val="single" w:sz="2" w:space="0" w:color="1F497D"/>
              <w:right w:val="single" w:sz="2" w:space="0" w:color="1F497D"/>
            </w:tcBorders>
            <w:vAlign w:val="center"/>
          </w:tcPr>
          <w:p w:rsidR="000E79CA" w:rsidRPr="00AF3608" w:rsidRDefault="000E79CA" w:rsidP="00B723C0">
            <w:pPr>
              <w:keepNext/>
              <w:keepLines/>
              <w:widowControl w:val="0"/>
              <w:tabs>
                <w:tab w:val="left" w:pos="1301"/>
              </w:tabs>
              <w:spacing w:before="120"/>
              <w:jc w:val="center"/>
              <w:rPr>
                <w:rFonts w:ascii="Calibri" w:hAnsi="Calibri" w:cs="Calibri"/>
                <w:b/>
                <w:bCs/>
                <w:sz w:val="18"/>
                <w:szCs w:val="18"/>
                <w:lang w:val="ro-RO"/>
              </w:rPr>
            </w:pPr>
          </w:p>
        </w:tc>
        <w:tc>
          <w:tcPr>
            <w:tcW w:w="1012" w:type="pct"/>
            <w:gridSpan w:val="2"/>
            <w:tcBorders>
              <w:top w:val="single" w:sz="4" w:space="0" w:color="1F497D"/>
              <w:left w:val="single" w:sz="2" w:space="0" w:color="1F497D"/>
              <w:bottom w:val="single" w:sz="2" w:space="0" w:color="1F497D"/>
              <w:right w:val="single" w:sz="2" w:space="0" w:color="1F497D"/>
            </w:tcBorders>
            <w:vAlign w:val="center"/>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2019</w:t>
            </w:r>
          </w:p>
        </w:tc>
        <w:tc>
          <w:tcPr>
            <w:tcW w:w="1012" w:type="pct"/>
            <w:gridSpan w:val="2"/>
            <w:tcBorders>
              <w:top w:val="single" w:sz="4" w:space="0" w:color="1F497D"/>
              <w:left w:val="single" w:sz="2" w:space="0" w:color="1F497D"/>
              <w:bottom w:val="single" w:sz="2" w:space="0" w:color="1F497D"/>
              <w:right w:val="single" w:sz="2" w:space="0" w:color="1F497D"/>
            </w:tcBorders>
            <w:vAlign w:val="center"/>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2020</w:t>
            </w:r>
          </w:p>
        </w:tc>
        <w:tc>
          <w:tcPr>
            <w:tcW w:w="1012" w:type="pct"/>
            <w:gridSpan w:val="2"/>
            <w:tcBorders>
              <w:top w:val="single" w:sz="4" w:space="0" w:color="1F497D"/>
              <w:left w:val="single" w:sz="2" w:space="0" w:color="1F497D"/>
              <w:bottom w:val="single" w:sz="2" w:space="0" w:color="1F497D"/>
              <w:right w:val="single" w:sz="2" w:space="0" w:color="1F497D"/>
            </w:tcBorders>
            <w:vAlign w:val="center"/>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2021</w:t>
            </w:r>
          </w:p>
        </w:tc>
        <w:tc>
          <w:tcPr>
            <w:tcW w:w="1011" w:type="pct"/>
            <w:gridSpan w:val="2"/>
            <w:tcBorders>
              <w:top w:val="single" w:sz="4" w:space="0" w:color="1F497D"/>
              <w:left w:val="single" w:sz="2" w:space="0" w:color="1F497D"/>
              <w:bottom w:val="single" w:sz="2" w:space="0" w:color="1F497D"/>
            </w:tcBorders>
            <w:vAlign w:val="center"/>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2022</w:t>
            </w:r>
          </w:p>
        </w:tc>
      </w:tr>
      <w:tr w:rsidR="000E79CA" w:rsidRPr="00AF3608" w:rsidTr="00612785">
        <w:trPr>
          <w:jc w:val="center"/>
        </w:trPr>
        <w:tc>
          <w:tcPr>
            <w:tcW w:w="953" w:type="pct"/>
            <w:tcBorders>
              <w:top w:val="single" w:sz="2" w:space="0" w:color="1F497D"/>
              <w:bottom w:val="single" w:sz="2" w:space="0" w:color="1F497D"/>
              <w:right w:val="single" w:sz="2" w:space="0" w:color="1F497D"/>
            </w:tcBorders>
          </w:tcPr>
          <w:p w:rsidR="000E79CA" w:rsidRPr="00AF3608" w:rsidRDefault="000E79CA" w:rsidP="00B723C0">
            <w:pPr>
              <w:keepNext/>
              <w:keepLines/>
              <w:widowControl w:val="0"/>
              <w:spacing w:before="120"/>
              <w:jc w:val="both"/>
              <w:rPr>
                <w:rFonts w:ascii="Calibri" w:hAnsi="Calibri" w:cs="Calibri"/>
                <w:b/>
                <w:bCs/>
                <w:sz w:val="18"/>
                <w:szCs w:val="18"/>
                <w:lang w:val="ro-RO"/>
              </w:rPr>
            </w:pPr>
          </w:p>
        </w:tc>
        <w:tc>
          <w:tcPr>
            <w:tcW w:w="506" w:type="pct"/>
            <w:tcBorders>
              <w:top w:val="single" w:sz="2" w:space="0" w:color="1F497D"/>
              <w:left w:val="single" w:sz="2" w:space="0" w:color="1F497D"/>
              <w:bottom w:val="single" w:sz="2" w:space="0" w:color="1F497D"/>
            </w:tcBorders>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SFB 2020-2022</w:t>
            </w:r>
          </w:p>
        </w:tc>
        <w:tc>
          <w:tcPr>
            <w:tcW w:w="506" w:type="pct"/>
            <w:tcBorders>
              <w:top w:val="single" w:sz="2" w:space="0" w:color="1F497D"/>
              <w:bottom w:val="single" w:sz="2" w:space="0" w:color="1F497D"/>
              <w:right w:val="single" w:sz="2" w:space="0" w:color="1F497D"/>
            </w:tcBorders>
            <w:shd w:val="clear" w:color="auto" w:fill="DBE5F1"/>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SFB 2021-2023</w:t>
            </w:r>
          </w:p>
        </w:tc>
        <w:tc>
          <w:tcPr>
            <w:tcW w:w="506" w:type="pct"/>
            <w:tcBorders>
              <w:top w:val="single" w:sz="2" w:space="0" w:color="1F497D"/>
              <w:left w:val="single" w:sz="2" w:space="0" w:color="1F497D"/>
              <w:bottom w:val="single" w:sz="2" w:space="0" w:color="1F497D"/>
            </w:tcBorders>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SFB 2020-2022</w:t>
            </w:r>
          </w:p>
        </w:tc>
        <w:tc>
          <w:tcPr>
            <w:tcW w:w="506" w:type="pct"/>
            <w:tcBorders>
              <w:top w:val="single" w:sz="2" w:space="0" w:color="1F497D"/>
              <w:bottom w:val="single" w:sz="2" w:space="0" w:color="1F497D"/>
              <w:right w:val="single" w:sz="2" w:space="0" w:color="1F497D"/>
            </w:tcBorders>
            <w:shd w:val="clear" w:color="auto" w:fill="DBE5F1"/>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SFB 2021-2023</w:t>
            </w:r>
          </w:p>
        </w:tc>
        <w:tc>
          <w:tcPr>
            <w:tcW w:w="506" w:type="pct"/>
            <w:tcBorders>
              <w:top w:val="single" w:sz="2" w:space="0" w:color="1F497D"/>
              <w:left w:val="single" w:sz="2" w:space="0" w:color="1F497D"/>
              <w:bottom w:val="single" w:sz="2" w:space="0" w:color="1F497D"/>
            </w:tcBorders>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SFB 2020-2022</w:t>
            </w:r>
          </w:p>
        </w:tc>
        <w:tc>
          <w:tcPr>
            <w:tcW w:w="506" w:type="pct"/>
            <w:tcBorders>
              <w:top w:val="single" w:sz="2" w:space="0" w:color="1F497D"/>
              <w:bottom w:val="single" w:sz="2" w:space="0" w:color="1F497D"/>
              <w:right w:val="single" w:sz="2" w:space="0" w:color="1F497D"/>
            </w:tcBorders>
            <w:shd w:val="clear" w:color="auto" w:fill="DBE5F1"/>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SFB 2021-2023</w:t>
            </w:r>
          </w:p>
        </w:tc>
        <w:tc>
          <w:tcPr>
            <w:tcW w:w="506" w:type="pct"/>
            <w:tcBorders>
              <w:top w:val="single" w:sz="2" w:space="0" w:color="1F497D"/>
              <w:left w:val="single" w:sz="2" w:space="0" w:color="1F497D"/>
              <w:bottom w:val="single" w:sz="2" w:space="0" w:color="1F497D"/>
            </w:tcBorders>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SFB 2020-2022</w:t>
            </w:r>
          </w:p>
        </w:tc>
        <w:tc>
          <w:tcPr>
            <w:tcW w:w="505" w:type="pct"/>
            <w:tcBorders>
              <w:top w:val="single" w:sz="2" w:space="0" w:color="1F497D"/>
              <w:bottom w:val="single" w:sz="2" w:space="0" w:color="1F497D"/>
            </w:tcBorders>
            <w:shd w:val="clear" w:color="auto" w:fill="DBE5F1"/>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SFB 2021-2023</w:t>
            </w:r>
          </w:p>
        </w:tc>
      </w:tr>
      <w:tr w:rsidR="000E79CA" w:rsidRPr="00AF3608" w:rsidTr="00612785">
        <w:trPr>
          <w:trHeight w:val="294"/>
          <w:jc w:val="center"/>
        </w:trPr>
        <w:tc>
          <w:tcPr>
            <w:tcW w:w="953" w:type="pct"/>
            <w:tcBorders>
              <w:top w:val="single" w:sz="2" w:space="0" w:color="1F497D"/>
              <w:right w:val="single" w:sz="2" w:space="0" w:color="1F497D"/>
            </w:tcBorders>
            <w:vAlign w:val="bottom"/>
          </w:tcPr>
          <w:p w:rsidR="000E79CA" w:rsidRPr="00AF3608" w:rsidRDefault="000E79CA" w:rsidP="00B723C0">
            <w:pPr>
              <w:keepNext/>
              <w:keepLines/>
              <w:widowControl w:val="0"/>
              <w:spacing w:before="120"/>
              <w:rPr>
                <w:rFonts w:ascii="Calibri" w:hAnsi="Calibri" w:cs="Calibri"/>
                <w:b/>
                <w:bCs/>
                <w:i/>
                <w:iCs/>
                <w:sz w:val="18"/>
                <w:szCs w:val="18"/>
                <w:lang w:val="ro-RO"/>
              </w:rPr>
            </w:pPr>
            <w:r w:rsidRPr="00AF3608">
              <w:rPr>
                <w:rFonts w:ascii="Calibri" w:hAnsi="Calibri" w:cs="Calibri"/>
                <w:b/>
                <w:bCs/>
                <w:sz w:val="18"/>
                <w:szCs w:val="18"/>
                <w:lang w:val="ro-RO"/>
              </w:rPr>
              <w:t>PIB – creștere reală, %</w:t>
            </w:r>
          </w:p>
        </w:tc>
        <w:tc>
          <w:tcPr>
            <w:tcW w:w="506" w:type="pct"/>
            <w:tcBorders>
              <w:top w:val="single" w:sz="2" w:space="0" w:color="1F497D"/>
              <w:left w:val="single" w:sz="2" w:space="0" w:color="1F497D"/>
              <w:bottom w:val="nil"/>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4,0</w:t>
            </w:r>
          </w:p>
        </w:tc>
        <w:tc>
          <w:tcPr>
            <w:tcW w:w="506" w:type="pct"/>
            <w:tcBorders>
              <w:top w:val="single" w:sz="2" w:space="0" w:color="1F497D"/>
              <w:bottom w:val="nil"/>
              <w:right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4,1</w:t>
            </w:r>
          </w:p>
        </w:tc>
        <w:tc>
          <w:tcPr>
            <w:tcW w:w="506" w:type="pct"/>
            <w:tcBorders>
              <w:top w:val="single" w:sz="2" w:space="0" w:color="1F497D"/>
              <w:left w:val="single" w:sz="2"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4,1</w:t>
            </w:r>
          </w:p>
        </w:tc>
        <w:tc>
          <w:tcPr>
            <w:tcW w:w="506" w:type="pct"/>
            <w:tcBorders>
              <w:top w:val="single" w:sz="2" w:space="0" w:color="1F497D"/>
              <w:right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-4,4</w:t>
            </w:r>
          </w:p>
        </w:tc>
        <w:tc>
          <w:tcPr>
            <w:tcW w:w="506" w:type="pct"/>
            <w:tcBorders>
              <w:top w:val="single" w:sz="2" w:space="0" w:color="1F497D"/>
              <w:left w:val="single" w:sz="2" w:space="0" w:color="1F497D"/>
              <w:bottom w:val="nil"/>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4,2</w:t>
            </w:r>
          </w:p>
        </w:tc>
        <w:tc>
          <w:tcPr>
            <w:tcW w:w="506" w:type="pct"/>
            <w:tcBorders>
              <w:top w:val="single" w:sz="2" w:space="0" w:color="1F497D"/>
              <w:bottom w:val="nil"/>
              <w:right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4,3</w:t>
            </w:r>
          </w:p>
        </w:tc>
        <w:tc>
          <w:tcPr>
            <w:tcW w:w="506" w:type="pct"/>
            <w:tcBorders>
              <w:top w:val="single" w:sz="2" w:space="0" w:color="1F497D"/>
              <w:left w:val="single" w:sz="2"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4,2</w:t>
            </w:r>
          </w:p>
        </w:tc>
        <w:tc>
          <w:tcPr>
            <w:tcW w:w="505" w:type="pct"/>
            <w:tcBorders>
              <w:top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4,7</w:t>
            </w:r>
          </w:p>
        </w:tc>
      </w:tr>
      <w:tr w:rsidR="000E79CA" w:rsidRPr="00AF3608" w:rsidTr="00612785">
        <w:trPr>
          <w:trHeight w:val="269"/>
          <w:jc w:val="center"/>
        </w:trPr>
        <w:tc>
          <w:tcPr>
            <w:tcW w:w="953" w:type="pct"/>
            <w:tcBorders>
              <w:right w:val="single" w:sz="2" w:space="0" w:color="1F497D"/>
            </w:tcBorders>
            <w:vAlign w:val="bottom"/>
          </w:tcPr>
          <w:p w:rsidR="000E79CA" w:rsidRPr="00AF3608" w:rsidRDefault="000E79CA" w:rsidP="00B723C0">
            <w:pPr>
              <w:keepNext/>
              <w:keepLines/>
              <w:widowControl w:val="0"/>
              <w:spacing w:before="120"/>
              <w:rPr>
                <w:rFonts w:ascii="Calibri" w:hAnsi="Calibri" w:cs="Calibri"/>
                <w:b/>
                <w:bCs/>
                <w:sz w:val="18"/>
                <w:szCs w:val="18"/>
                <w:lang w:val="ro-RO"/>
              </w:rPr>
            </w:pPr>
            <w:r w:rsidRPr="00AF3608">
              <w:rPr>
                <w:rFonts w:ascii="Calibri" w:hAnsi="Calibri" w:cs="Calibri"/>
                <w:b/>
                <w:bCs/>
                <w:sz w:val="18"/>
                <w:szCs w:val="18"/>
                <w:lang w:val="ro-RO"/>
              </w:rPr>
              <w:t>Exportul de bunuri, %</w:t>
            </w:r>
          </w:p>
        </w:tc>
        <w:tc>
          <w:tcPr>
            <w:tcW w:w="506" w:type="pct"/>
            <w:tcBorders>
              <w:top w:val="nil"/>
              <w:left w:val="single" w:sz="2" w:space="0" w:color="1F497D"/>
              <w:bottom w:val="nil"/>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2,7</w:t>
            </w:r>
          </w:p>
        </w:tc>
        <w:tc>
          <w:tcPr>
            <w:tcW w:w="506" w:type="pct"/>
            <w:tcBorders>
              <w:top w:val="nil"/>
              <w:bottom w:val="nil"/>
              <w:right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1,9</w:t>
            </w:r>
          </w:p>
        </w:tc>
        <w:tc>
          <w:tcPr>
            <w:tcW w:w="506" w:type="pct"/>
            <w:tcBorders>
              <w:left w:val="single" w:sz="2"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4,5</w:t>
            </w:r>
          </w:p>
        </w:tc>
        <w:tc>
          <w:tcPr>
            <w:tcW w:w="506" w:type="pct"/>
            <w:tcBorders>
              <w:right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-10,4</w:t>
            </w:r>
          </w:p>
        </w:tc>
        <w:tc>
          <w:tcPr>
            <w:tcW w:w="506" w:type="pct"/>
            <w:tcBorders>
              <w:top w:val="nil"/>
              <w:left w:val="single" w:sz="2" w:space="0" w:color="1F497D"/>
              <w:bottom w:val="nil"/>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4,9</w:t>
            </w:r>
          </w:p>
        </w:tc>
        <w:tc>
          <w:tcPr>
            <w:tcW w:w="506" w:type="pct"/>
            <w:tcBorders>
              <w:top w:val="nil"/>
              <w:bottom w:val="nil"/>
              <w:right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7,7</w:t>
            </w:r>
          </w:p>
        </w:tc>
        <w:tc>
          <w:tcPr>
            <w:tcW w:w="506" w:type="pct"/>
            <w:tcBorders>
              <w:left w:val="single" w:sz="2"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5,3</w:t>
            </w:r>
          </w:p>
        </w:tc>
        <w:tc>
          <w:tcPr>
            <w:tcW w:w="505" w:type="pct"/>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6,6</w:t>
            </w:r>
          </w:p>
        </w:tc>
      </w:tr>
      <w:tr w:rsidR="000E79CA" w:rsidRPr="00AF3608" w:rsidTr="00612785">
        <w:trPr>
          <w:jc w:val="center"/>
        </w:trPr>
        <w:tc>
          <w:tcPr>
            <w:tcW w:w="953" w:type="pct"/>
            <w:tcBorders>
              <w:right w:val="single" w:sz="2" w:space="0" w:color="1F497D"/>
            </w:tcBorders>
            <w:vAlign w:val="bottom"/>
          </w:tcPr>
          <w:p w:rsidR="000E79CA" w:rsidRPr="00AF3608" w:rsidRDefault="000E79CA" w:rsidP="00B723C0">
            <w:pPr>
              <w:keepNext/>
              <w:keepLines/>
              <w:widowControl w:val="0"/>
              <w:spacing w:before="120"/>
              <w:rPr>
                <w:rFonts w:ascii="Calibri" w:hAnsi="Calibri" w:cs="Calibri"/>
                <w:b/>
                <w:bCs/>
                <w:sz w:val="18"/>
                <w:szCs w:val="18"/>
                <w:lang w:val="ro-RO"/>
              </w:rPr>
            </w:pPr>
            <w:r w:rsidRPr="00AF3608">
              <w:rPr>
                <w:rFonts w:ascii="Calibri" w:hAnsi="Calibri" w:cs="Calibri"/>
                <w:b/>
                <w:bCs/>
                <w:sz w:val="18"/>
                <w:szCs w:val="18"/>
                <w:lang w:val="ro-RO"/>
              </w:rPr>
              <w:t>IPC - sfârşitul anului, %</w:t>
            </w:r>
          </w:p>
        </w:tc>
        <w:tc>
          <w:tcPr>
            <w:tcW w:w="506" w:type="pct"/>
            <w:tcBorders>
              <w:top w:val="nil"/>
              <w:left w:val="single" w:sz="2" w:space="0" w:color="1F497D"/>
              <w:bottom w:val="nil"/>
            </w:tcBorders>
            <w:vAlign w:val="center"/>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3,8</w:t>
            </w:r>
          </w:p>
        </w:tc>
        <w:tc>
          <w:tcPr>
            <w:tcW w:w="506" w:type="pct"/>
            <w:tcBorders>
              <w:top w:val="nil"/>
              <w:bottom w:val="nil"/>
              <w:right w:val="single" w:sz="2" w:space="0" w:color="1F497D"/>
            </w:tcBorders>
            <w:shd w:val="clear" w:color="auto" w:fill="DBE5F1"/>
            <w:vAlign w:val="center"/>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4,04</w:t>
            </w:r>
          </w:p>
        </w:tc>
        <w:tc>
          <w:tcPr>
            <w:tcW w:w="506" w:type="pct"/>
            <w:tcBorders>
              <w:left w:val="single" w:sz="2" w:space="0" w:color="1F497D"/>
            </w:tcBorders>
            <w:vAlign w:val="center"/>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3,0</w:t>
            </w:r>
          </w:p>
        </w:tc>
        <w:tc>
          <w:tcPr>
            <w:tcW w:w="506" w:type="pct"/>
            <w:tcBorders>
              <w:right w:val="single" w:sz="2" w:space="0" w:color="1F497D"/>
            </w:tcBorders>
            <w:shd w:val="clear" w:color="auto" w:fill="DBE5F1"/>
            <w:vAlign w:val="center"/>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2,06</w:t>
            </w:r>
          </w:p>
        </w:tc>
        <w:tc>
          <w:tcPr>
            <w:tcW w:w="506" w:type="pct"/>
            <w:tcBorders>
              <w:top w:val="nil"/>
              <w:left w:val="single" w:sz="2" w:space="0" w:color="1F497D"/>
              <w:bottom w:val="nil"/>
            </w:tcBorders>
            <w:vAlign w:val="center"/>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2,8</w:t>
            </w:r>
          </w:p>
        </w:tc>
        <w:tc>
          <w:tcPr>
            <w:tcW w:w="506" w:type="pct"/>
            <w:tcBorders>
              <w:top w:val="nil"/>
              <w:bottom w:val="nil"/>
              <w:right w:val="single" w:sz="2" w:space="0" w:color="1F497D"/>
            </w:tcBorders>
            <w:shd w:val="clear" w:color="auto" w:fill="DBE5F1"/>
            <w:vAlign w:val="center"/>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2,5</w:t>
            </w:r>
          </w:p>
        </w:tc>
        <w:tc>
          <w:tcPr>
            <w:tcW w:w="506" w:type="pct"/>
            <w:tcBorders>
              <w:left w:val="single" w:sz="2" w:space="0" w:color="1F497D"/>
            </w:tcBorders>
            <w:vAlign w:val="center"/>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2,6</w:t>
            </w:r>
          </w:p>
        </w:tc>
        <w:tc>
          <w:tcPr>
            <w:tcW w:w="505" w:type="pct"/>
            <w:shd w:val="clear" w:color="auto" w:fill="DBE5F1"/>
            <w:vAlign w:val="center"/>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2,4</w:t>
            </w:r>
          </w:p>
        </w:tc>
      </w:tr>
      <w:tr w:rsidR="000E79CA" w:rsidRPr="00AF3608" w:rsidTr="00612785">
        <w:trPr>
          <w:trHeight w:val="252"/>
          <w:jc w:val="center"/>
        </w:trPr>
        <w:tc>
          <w:tcPr>
            <w:tcW w:w="953" w:type="pct"/>
            <w:tcBorders>
              <w:right w:val="single" w:sz="2" w:space="0" w:color="1F497D"/>
            </w:tcBorders>
            <w:vAlign w:val="bottom"/>
          </w:tcPr>
          <w:p w:rsidR="000E79CA" w:rsidRPr="00AF3608" w:rsidRDefault="00FF0106" w:rsidP="00120AA6">
            <w:pPr>
              <w:pStyle w:val="ListParagraph"/>
              <w:keepNext/>
              <w:keepLines/>
              <w:widowControl w:val="0"/>
              <w:numPr>
                <w:ilvl w:val="0"/>
                <w:numId w:val="13"/>
              </w:numPr>
              <w:spacing w:before="120"/>
              <w:rPr>
                <w:rFonts w:ascii="Calibri" w:hAnsi="Calibri" w:cs="Calibri"/>
                <w:b/>
                <w:bCs/>
                <w:sz w:val="18"/>
                <w:szCs w:val="18"/>
              </w:rPr>
            </w:pPr>
            <w:r w:rsidRPr="00AF3608">
              <w:rPr>
                <w:rFonts w:ascii="Calibri" w:hAnsi="Calibri" w:cs="Calibri"/>
                <w:b/>
                <w:bCs/>
                <w:sz w:val="18"/>
                <w:szCs w:val="18"/>
              </w:rPr>
              <w:t>m</w:t>
            </w:r>
            <w:r w:rsidR="000E79CA" w:rsidRPr="00AF3608">
              <w:rPr>
                <w:rFonts w:ascii="Calibri" w:hAnsi="Calibri" w:cs="Calibri"/>
                <w:b/>
                <w:bCs/>
                <w:sz w:val="18"/>
                <w:szCs w:val="18"/>
              </w:rPr>
              <w:t>edia anuală, %</w:t>
            </w:r>
          </w:p>
        </w:tc>
        <w:tc>
          <w:tcPr>
            <w:tcW w:w="506" w:type="pct"/>
            <w:tcBorders>
              <w:top w:val="nil"/>
              <w:left w:val="single" w:sz="2" w:space="0" w:color="1F497D"/>
              <w:bottom w:val="nil"/>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3,8</w:t>
            </w:r>
          </w:p>
        </w:tc>
        <w:tc>
          <w:tcPr>
            <w:tcW w:w="506" w:type="pct"/>
            <w:tcBorders>
              <w:top w:val="nil"/>
              <w:bottom w:val="nil"/>
              <w:right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3,83</w:t>
            </w:r>
          </w:p>
        </w:tc>
        <w:tc>
          <w:tcPr>
            <w:tcW w:w="506" w:type="pct"/>
            <w:tcBorders>
              <w:left w:val="single" w:sz="2"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3,1</w:t>
            </w:r>
          </w:p>
        </w:tc>
        <w:tc>
          <w:tcPr>
            <w:tcW w:w="506" w:type="pct"/>
            <w:tcBorders>
              <w:right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2,63</w:t>
            </w:r>
          </w:p>
        </w:tc>
        <w:tc>
          <w:tcPr>
            <w:tcW w:w="506" w:type="pct"/>
            <w:tcBorders>
              <w:top w:val="nil"/>
              <w:left w:val="single" w:sz="2" w:space="0" w:color="1F497D"/>
              <w:bottom w:val="nil"/>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2,9</w:t>
            </w:r>
          </w:p>
        </w:tc>
        <w:tc>
          <w:tcPr>
            <w:tcW w:w="506" w:type="pct"/>
            <w:tcBorders>
              <w:top w:val="nil"/>
              <w:bottom w:val="nil"/>
              <w:right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2,4</w:t>
            </w:r>
          </w:p>
        </w:tc>
        <w:tc>
          <w:tcPr>
            <w:tcW w:w="506" w:type="pct"/>
            <w:tcBorders>
              <w:left w:val="single" w:sz="2"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2,8</w:t>
            </w:r>
          </w:p>
        </w:tc>
        <w:tc>
          <w:tcPr>
            <w:tcW w:w="505" w:type="pct"/>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2,6</w:t>
            </w:r>
          </w:p>
        </w:tc>
      </w:tr>
      <w:tr w:rsidR="000E79CA" w:rsidRPr="00AF3608" w:rsidTr="00612785">
        <w:trPr>
          <w:jc w:val="center"/>
        </w:trPr>
        <w:tc>
          <w:tcPr>
            <w:tcW w:w="953" w:type="pct"/>
            <w:tcBorders>
              <w:right w:val="single" w:sz="2" w:space="0" w:color="1F497D"/>
            </w:tcBorders>
            <w:vAlign w:val="bottom"/>
          </w:tcPr>
          <w:p w:rsidR="000E79CA" w:rsidRPr="00AF3608" w:rsidRDefault="000E79CA" w:rsidP="00B723C0">
            <w:pPr>
              <w:keepNext/>
              <w:keepLines/>
              <w:widowControl w:val="0"/>
              <w:spacing w:before="120"/>
              <w:rPr>
                <w:rFonts w:ascii="Calibri" w:hAnsi="Calibri" w:cs="Calibri"/>
                <w:b/>
                <w:bCs/>
                <w:sz w:val="18"/>
                <w:szCs w:val="18"/>
                <w:lang w:val="ro-RO"/>
              </w:rPr>
            </w:pPr>
            <w:r w:rsidRPr="00AF3608">
              <w:rPr>
                <w:rFonts w:ascii="Calibri" w:hAnsi="Calibri" w:cs="Calibri"/>
                <w:b/>
                <w:bCs/>
                <w:sz w:val="18"/>
                <w:szCs w:val="18"/>
                <w:lang w:val="ro-RO"/>
              </w:rPr>
              <w:t>Număr mediu de salariaţi %</w:t>
            </w:r>
          </w:p>
        </w:tc>
        <w:tc>
          <w:tcPr>
            <w:tcW w:w="506" w:type="pct"/>
            <w:tcBorders>
              <w:top w:val="nil"/>
              <w:left w:val="single" w:sz="2" w:space="0" w:color="1F497D"/>
              <w:bottom w:val="nil"/>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2,0</w:t>
            </w:r>
          </w:p>
        </w:tc>
        <w:tc>
          <w:tcPr>
            <w:tcW w:w="506" w:type="pct"/>
            <w:tcBorders>
              <w:top w:val="nil"/>
              <w:bottom w:val="nil"/>
              <w:right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1,9</w:t>
            </w:r>
          </w:p>
        </w:tc>
        <w:tc>
          <w:tcPr>
            <w:tcW w:w="506" w:type="pct"/>
            <w:tcBorders>
              <w:left w:val="single" w:sz="2"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1,9</w:t>
            </w:r>
          </w:p>
        </w:tc>
        <w:tc>
          <w:tcPr>
            <w:tcW w:w="506" w:type="pct"/>
            <w:tcBorders>
              <w:right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-1,4</w:t>
            </w:r>
          </w:p>
        </w:tc>
        <w:tc>
          <w:tcPr>
            <w:tcW w:w="506" w:type="pct"/>
            <w:tcBorders>
              <w:top w:val="nil"/>
              <w:left w:val="single" w:sz="2" w:space="0" w:color="1F497D"/>
              <w:bottom w:val="nil"/>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2,1</w:t>
            </w:r>
          </w:p>
        </w:tc>
        <w:tc>
          <w:tcPr>
            <w:tcW w:w="506" w:type="pct"/>
            <w:tcBorders>
              <w:top w:val="nil"/>
              <w:bottom w:val="nil"/>
              <w:right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1,3</w:t>
            </w:r>
          </w:p>
        </w:tc>
        <w:tc>
          <w:tcPr>
            <w:tcW w:w="506" w:type="pct"/>
            <w:tcBorders>
              <w:left w:val="single" w:sz="2"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2,0</w:t>
            </w:r>
          </w:p>
        </w:tc>
        <w:tc>
          <w:tcPr>
            <w:tcW w:w="505" w:type="pct"/>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2,3</w:t>
            </w:r>
          </w:p>
        </w:tc>
      </w:tr>
      <w:tr w:rsidR="000E79CA" w:rsidRPr="00AF3608" w:rsidTr="00612785">
        <w:trPr>
          <w:trHeight w:val="327"/>
          <w:jc w:val="center"/>
        </w:trPr>
        <w:tc>
          <w:tcPr>
            <w:tcW w:w="953" w:type="pct"/>
            <w:tcBorders>
              <w:top w:val="nil"/>
              <w:bottom w:val="single" w:sz="4" w:space="0" w:color="1F497D"/>
              <w:right w:val="single" w:sz="2" w:space="0" w:color="1F497D"/>
            </w:tcBorders>
            <w:vAlign w:val="bottom"/>
          </w:tcPr>
          <w:p w:rsidR="000E79CA" w:rsidRPr="00AF3608" w:rsidRDefault="000E79CA" w:rsidP="00B723C0">
            <w:pPr>
              <w:keepNext/>
              <w:keepLines/>
              <w:widowControl w:val="0"/>
              <w:spacing w:before="120"/>
              <w:rPr>
                <w:rFonts w:ascii="Calibri" w:hAnsi="Calibri" w:cs="Calibri"/>
                <w:b/>
                <w:bCs/>
                <w:sz w:val="18"/>
                <w:szCs w:val="18"/>
                <w:lang w:val="ro-RO"/>
              </w:rPr>
            </w:pPr>
            <w:r w:rsidRPr="00AF3608">
              <w:rPr>
                <w:rFonts w:ascii="Calibri" w:hAnsi="Calibri" w:cs="Calibri"/>
                <w:b/>
                <w:bCs/>
                <w:sz w:val="18"/>
                <w:szCs w:val="18"/>
                <w:lang w:val="ro-RO"/>
              </w:rPr>
              <w:t>Soldul contului curent, % din PIB</w:t>
            </w:r>
          </w:p>
        </w:tc>
        <w:tc>
          <w:tcPr>
            <w:tcW w:w="506" w:type="pct"/>
            <w:tcBorders>
              <w:top w:val="nil"/>
              <w:left w:val="single" w:sz="2" w:space="0" w:color="1F497D"/>
              <w:bottom w:val="single" w:sz="4"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-4,9</w:t>
            </w:r>
          </w:p>
        </w:tc>
        <w:tc>
          <w:tcPr>
            <w:tcW w:w="506" w:type="pct"/>
            <w:tcBorders>
              <w:top w:val="nil"/>
              <w:bottom w:val="single" w:sz="4" w:space="0" w:color="1F497D"/>
              <w:right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-4,7</w:t>
            </w:r>
          </w:p>
        </w:tc>
        <w:tc>
          <w:tcPr>
            <w:tcW w:w="506" w:type="pct"/>
            <w:tcBorders>
              <w:top w:val="nil"/>
              <w:left w:val="single" w:sz="2" w:space="0" w:color="1F497D"/>
              <w:bottom w:val="single" w:sz="4"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-4,5</w:t>
            </w:r>
          </w:p>
        </w:tc>
        <w:tc>
          <w:tcPr>
            <w:tcW w:w="506" w:type="pct"/>
            <w:tcBorders>
              <w:top w:val="nil"/>
              <w:bottom w:val="single" w:sz="4" w:space="0" w:color="1F497D"/>
              <w:right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-5,0</w:t>
            </w:r>
          </w:p>
        </w:tc>
        <w:tc>
          <w:tcPr>
            <w:tcW w:w="506" w:type="pct"/>
            <w:tcBorders>
              <w:top w:val="nil"/>
              <w:left w:val="single" w:sz="2" w:space="0" w:color="1F497D"/>
              <w:bottom w:val="single" w:sz="4"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-4,0</w:t>
            </w:r>
          </w:p>
        </w:tc>
        <w:tc>
          <w:tcPr>
            <w:tcW w:w="506" w:type="pct"/>
            <w:tcBorders>
              <w:top w:val="nil"/>
              <w:bottom w:val="single" w:sz="4" w:space="0" w:color="1F497D"/>
              <w:right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-4,6</w:t>
            </w:r>
          </w:p>
        </w:tc>
        <w:tc>
          <w:tcPr>
            <w:tcW w:w="506" w:type="pct"/>
            <w:tcBorders>
              <w:top w:val="nil"/>
              <w:left w:val="single" w:sz="2" w:space="0" w:color="1F497D"/>
              <w:bottom w:val="single" w:sz="4"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-3,8</w:t>
            </w:r>
          </w:p>
        </w:tc>
        <w:tc>
          <w:tcPr>
            <w:tcW w:w="505" w:type="pct"/>
            <w:tcBorders>
              <w:top w:val="nil"/>
              <w:bottom w:val="single" w:sz="4"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-4,4</w:t>
            </w:r>
          </w:p>
        </w:tc>
      </w:tr>
      <w:tr w:rsidR="000E79CA" w:rsidRPr="00AF3608" w:rsidTr="00612785">
        <w:trPr>
          <w:trHeight w:val="252"/>
          <w:jc w:val="center"/>
        </w:trPr>
        <w:tc>
          <w:tcPr>
            <w:tcW w:w="953" w:type="pct"/>
            <w:tcBorders>
              <w:top w:val="single" w:sz="4" w:space="0" w:color="1F497D"/>
              <w:right w:val="single" w:sz="4" w:space="0" w:color="1F497D"/>
            </w:tcBorders>
            <w:vAlign w:val="bottom"/>
          </w:tcPr>
          <w:p w:rsidR="000E79CA" w:rsidRPr="00AF3608" w:rsidRDefault="000E79CA" w:rsidP="00B723C0">
            <w:pPr>
              <w:keepNext/>
              <w:keepLines/>
              <w:widowControl w:val="0"/>
              <w:spacing w:before="120"/>
              <w:rPr>
                <w:rFonts w:ascii="Calibri" w:hAnsi="Calibri" w:cs="Calibri"/>
                <w:b/>
                <w:bCs/>
                <w:color w:val="365F91"/>
                <w:sz w:val="18"/>
                <w:szCs w:val="18"/>
                <w:lang w:val="ro-RO"/>
              </w:rPr>
            </w:pPr>
          </w:p>
        </w:tc>
        <w:tc>
          <w:tcPr>
            <w:tcW w:w="4047" w:type="pct"/>
            <w:gridSpan w:val="8"/>
            <w:tcBorders>
              <w:top w:val="single" w:sz="4" w:space="0" w:color="1F497D"/>
              <w:left w:val="single" w:sz="4" w:space="0" w:color="1F497D"/>
              <w:bottom w:val="nil"/>
            </w:tcBorders>
            <w:vAlign w:val="bottom"/>
          </w:tcPr>
          <w:p w:rsidR="000E79CA" w:rsidRPr="00AF3608" w:rsidRDefault="000E79CA" w:rsidP="00B723C0">
            <w:pPr>
              <w:keepNext/>
              <w:keepLines/>
              <w:widowControl w:val="0"/>
              <w:spacing w:before="120"/>
              <w:jc w:val="right"/>
              <w:rPr>
                <w:rFonts w:ascii="Calibri" w:hAnsi="Calibri" w:cs="Calibri"/>
                <w:b/>
                <w:bCs/>
                <w:color w:val="365F91"/>
                <w:sz w:val="18"/>
                <w:szCs w:val="18"/>
                <w:lang w:val="ro-RO"/>
              </w:rPr>
            </w:pPr>
            <w:r w:rsidRPr="00AF3608">
              <w:rPr>
                <w:rFonts w:ascii="Calibri" w:hAnsi="Calibri"/>
                <w:b/>
                <w:sz w:val="18"/>
                <w:szCs w:val="18"/>
                <w:lang w:val="ro-RO"/>
              </w:rPr>
              <w:t>(% din PIB)</w:t>
            </w:r>
          </w:p>
        </w:tc>
      </w:tr>
      <w:tr w:rsidR="000E79CA" w:rsidRPr="00AF3608" w:rsidTr="00612785">
        <w:trPr>
          <w:trHeight w:val="269"/>
          <w:jc w:val="center"/>
        </w:trPr>
        <w:tc>
          <w:tcPr>
            <w:tcW w:w="953" w:type="pct"/>
            <w:tcBorders>
              <w:top w:val="single" w:sz="4" w:space="0" w:color="1F497D"/>
              <w:right w:val="single" w:sz="2" w:space="0" w:color="1F497D"/>
            </w:tcBorders>
            <w:vAlign w:val="center"/>
          </w:tcPr>
          <w:p w:rsidR="000E79CA" w:rsidRPr="00AF3608" w:rsidRDefault="000E79CA" w:rsidP="00B723C0">
            <w:pPr>
              <w:keepNext/>
              <w:keepLines/>
              <w:widowControl w:val="0"/>
              <w:spacing w:before="120"/>
              <w:rPr>
                <w:rFonts w:ascii="Calibri" w:hAnsi="Calibri" w:cs="Calibri"/>
                <w:b/>
                <w:bCs/>
                <w:sz w:val="18"/>
                <w:szCs w:val="18"/>
                <w:lang w:val="ro-RO"/>
              </w:rPr>
            </w:pPr>
            <w:r w:rsidRPr="00AF3608">
              <w:rPr>
                <w:rFonts w:ascii="Calibri" w:hAnsi="Calibri" w:cs="Calibri"/>
                <w:b/>
                <w:bCs/>
                <w:sz w:val="18"/>
                <w:szCs w:val="18"/>
                <w:lang w:val="ro-RO"/>
              </w:rPr>
              <w:t>Venituri (metodologie cash)</w:t>
            </w:r>
          </w:p>
        </w:tc>
        <w:tc>
          <w:tcPr>
            <w:tcW w:w="506" w:type="pct"/>
            <w:tcBorders>
              <w:top w:val="single" w:sz="4" w:space="0" w:color="1F497D"/>
              <w:left w:val="single" w:sz="2" w:space="0" w:color="1F497D"/>
              <w:bottom w:val="nil"/>
            </w:tcBorders>
            <w:vAlign w:val="center"/>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31,4</w:t>
            </w:r>
          </w:p>
        </w:tc>
        <w:tc>
          <w:tcPr>
            <w:tcW w:w="506" w:type="pct"/>
            <w:tcBorders>
              <w:top w:val="single" w:sz="4" w:space="0" w:color="1F497D"/>
              <w:bottom w:val="nil"/>
              <w:right w:val="single" w:sz="2" w:space="0" w:color="1F497D"/>
            </w:tcBorders>
            <w:shd w:val="clear" w:color="auto" w:fill="DBE5F1"/>
            <w:vAlign w:val="center"/>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30,3</w:t>
            </w:r>
          </w:p>
        </w:tc>
        <w:tc>
          <w:tcPr>
            <w:tcW w:w="506" w:type="pct"/>
            <w:tcBorders>
              <w:top w:val="single" w:sz="4" w:space="0" w:color="1F497D"/>
              <w:left w:val="single" w:sz="2" w:space="0" w:color="1F497D"/>
            </w:tcBorders>
            <w:vAlign w:val="center"/>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31,8</w:t>
            </w:r>
          </w:p>
        </w:tc>
        <w:tc>
          <w:tcPr>
            <w:tcW w:w="506" w:type="pct"/>
            <w:tcBorders>
              <w:top w:val="single" w:sz="4" w:space="0" w:color="1F497D"/>
              <w:right w:val="single" w:sz="2" w:space="0" w:color="1F497D"/>
            </w:tcBorders>
            <w:shd w:val="clear" w:color="auto" w:fill="DBE5F1"/>
            <w:vAlign w:val="center"/>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31,0</w:t>
            </w:r>
          </w:p>
        </w:tc>
        <w:tc>
          <w:tcPr>
            <w:tcW w:w="506" w:type="pct"/>
            <w:tcBorders>
              <w:top w:val="single" w:sz="4" w:space="0" w:color="1F497D"/>
              <w:left w:val="single" w:sz="2" w:space="0" w:color="1F497D"/>
              <w:bottom w:val="nil"/>
            </w:tcBorders>
            <w:vAlign w:val="center"/>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31,4</w:t>
            </w:r>
          </w:p>
        </w:tc>
        <w:tc>
          <w:tcPr>
            <w:tcW w:w="506" w:type="pct"/>
            <w:tcBorders>
              <w:top w:val="single" w:sz="4" w:space="0" w:color="1F497D"/>
              <w:bottom w:val="nil"/>
              <w:right w:val="single" w:sz="2" w:space="0" w:color="1F497D"/>
            </w:tcBorders>
            <w:shd w:val="clear" w:color="auto" w:fill="DBE5F1"/>
            <w:vAlign w:val="center"/>
          </w:tcPr>
          <w:p w:rsidR="000E79CA" w:rsidRPr="00AF3608" w:rsidRDefault="00861035"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32,7</w:t>
            </w:r>
          </w:p>
        </w:tc>
        <w:tc>
          <w:tcPr>
            <w:tcW w:w="506" w:type="pct"/>
            <w:tcBorders>
              <w:top w:val="single" w:sz="4" w:space="0" w:color="1F497D"/>
              <w:left w:val="single" w:sz="2" w:space="0" w:color="1F497D"/>
            </w:tcBorders>
            <w:vAlign w:val="center"/>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32,05</w:t>
            </w:r>
          </w:p>
        </w:tc>
        <w:tc>
          <w:tcPr>
            <w:tcW w:w="505" w:type="pct"/>
            <w:tcBorders>
              <w:top w:val="single" w:sz="4" w:space="0" w:color="1F497D"/>
            </w:tcBorders>
            <w:shd w:val="clear" w:color="auto" w:fill="DBE5F1"/>
            <w:vAlign w:val="center"/>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31,4</w:t>
            </w:r>
          </w:p>
        </w:tc>
      </w:tr>
      <w:tr w:rsidR="000E79CA" w:rsidRPr="00AF3608" w:rsidTr="00612785">
        <w:trPr>
          <w:jc w:val="center"/>
        </w:trPr>
        <w:tc>
          <w:tcPr>
            <w:tcW w:w="953" w:type="pct"/>
            <w:tcBorders>
              <w:right w:val="single" w:sz="2" w:space="0" w:color="1F497D"/>
            </w:tcBorders>
            <w:vAlign w:val="bottom"/>
          </w:tcPr>
          <w:p w:rsidR="000E79CA" w:rsidRPr="00AF3608" w:rsidRDefault="000E79CA" w:rsidP="00B723C0">
            <w:pPr>
              <w:keepNext/>
              <w:keepLines/>
              <w:widowControl w:val="0"/>
              <w:spacing w:before="120"/>
              <w:rPr>
                <w:rFonts w:ascii="Calibri" w:hAnsi="Calibri" w:cs="Calibri"/>
                <w:b/>
                <w:bCs/>
                <w:sz w:val="18"/>
                <w:szCs w:val="18"/>
                <w:lang w:val="ro-RO"/>
              </w:rPr>
            </w:pPr>
            <w:r w:rsidRPr="00AF3608">
              <w:rPr>
                <w:rFonts w:ascii="Calibri" w:hAnsi="Calibri" w:cs="Calibri"/>
                <w:b/>
                <w:bCs/>
                <w:sz w:val="18"/>
                <w:szCs w:val="18"/>
                <w:lang w:val="ro-RO"/>
              </w:rPr>
              <w:t>Cheltuieli (metodologie cash)</w:t>
            </w:r>
          </w:p>
        </w:tc>
        <w:tc>
          <w:tcPr>
            <w:tcW w:w="506" w:type="pct"/>
            <w:tcBorders>
              <w:top w:val="nil"/>
              <w:left w:val="single" w:sz="2" w:space="0" w:color="1F497D"/>
              <w:bottom w:val="nil"/>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35,8</w:t>
            </w:r>
          </w:p>
        </w:tc>
        <w:tc>
          <w:tcPr>
            <w:tcW w:w="506" w:type="pct"/>
            <w:tcBorders>
              <w:top w:val="nil"/>
              <w:bottom w:val="nil"/>
              <w:right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34,9</w:t>
            </w:r>
          </w:p>
        </w:tc>
        <w:tc>
          <w:tcPr>
            <w:tcW w:w="506" w:type="pct"/>
            <w:tcBorders>
              <w:left w:val="single" w:sz="2"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35,4</w:t>
            </w:r>
          </w:p>
        </w:tc>
        <w:tc>
          <w:tcPr>
            <w:tcW w:w="506" w:type="pct"/>
            <w:tcBorders>
              <w:right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40,8</w:t>
            </w:r>
          </w:p>
        </w:tc>
        <w:tc>
          <w:tcPr>
            <w:tcW w:w="506" w:type="pct"/>
            <w:tcBorders>
              <w:top w:val="nil"/>
              <w:left w:val="single" w:sz="2" w:space="0" w:color="1F497D"/>
              <w:bottom w:val="nil"/>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34,8</w:t>
            </w:r>
          </w:p>
        </w:tc>
        <w:tc>
          <w:tcPr>
            <w:tcW w:w="506" w:type="pct"/>
            <w:tcBorders>
              <w:top w:val="nil"/>
              <w:bottom w:val="nil"/>
              <w:right w:val="single" w:sz="2" w:space="0" w:color="1F497D"/>
            </w:tcBorders>
            <w:shd w:val="clear" w:color="auto" w:fill="DBE5F1"/>
            <w:vAlign w:val="bottom"/>
          </w:tcPr>
          <w:p w:rsidR="000E79CA" w:rsidRPr="00AF3608" w:rsidRDefault="00861035"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39,8</w:t>
            </w:r>
          </w:p>
        </w:tc>
        <w:tc>
          <w:tcPr>
            <w:tcW w:w="506" w:type="pct"/>
            <w:tcBorders>
              <w:left w:val="single" w:sz="2"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34,58</w:t>
            </w:r>
          </w:p>
        </w:tc>
        <w:tc>
          <w:tcPr>
            <w:tcW w:w="505" w:type="pct"/>
            <w:shd w:val="clear" w:color="auto" w:fill="DBE5F1"/>
            <w:vAlign w:val="bottom"/>
          </w:tcPr>
          <w:p w:rsidR="000E79CA" w:rsidRPr="00AF3608" w:rsidRDefault="00861035"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37,2</w:t>
            </w:r>
          </w:p>
        </w:tc>
      </w:tr>
      <w:tr w:rsidR="005A4B0D" w:rsidRPr="00AF3608" w:rsidTr="00612785">
        <w:trPr>
          <w:trHeight w:val="247"/>
          <w:jc w:val="center"/>
        </w:trPr>
        <w:tc>
          <w:tcPr>
            <w:tcW w:w="953" w:type="pct"/>
            <w:tcBorders>
              <w:right w:val="single" w:sz="2" w:space="0" w:color="1F497D"/>
            </w:tcBorders>
            <w:vAlign w:val="bottom"/>
          </w:tcPr>
          <w:p w:rsidR="000E79CA" w:rsidRPr="00AF3608" w:rsidRDefault="000E79CA" w:rsidP="00B723C0">
            <w:pPr>
              <w:keepNext/>
              <w:keepLines/>
              <w:widowControl w:val="0"/>
              <w:spacing w:before="120"/>
              <w:rPr>
                <w:rFonts w:ascii="Calibri" w:hAnsi="Calibri" w:cs="Calibri"/>
                <w:b/>
                <w:bCs/>
                <w:sz w:val="18"/>
                <w:szCs w:val="18"/>
                <w:lang w:val="ro-RO"/>
              </w:rPr>
            </w:pPr>
            <w:r w:rsidRPr="00AF3608">
              <w:rPr>
                <w:rFonts w:ascii="Calibri" w:hAnsi="Calibri" w:cs="Calibri"/>
                <w:b/>
                <w:bCs/>
                <w:sz w:val="18"/>
                <w:szCs w:val="18"/>
                <w:lang w:val="ro-RO"/>
              </w:rPr>
              <w:t>Sold (metodologie cash)</w:t>
            </w:r>
          </w:p>
        </w:tc>
        <w:tc>
          <w:tcPr>
            <w:tcW w:w="506" w:type="pct"/>
            <w:tcBorders>
              <w:top w:val="nil"/>
              <w:left w:val="single" w:sz="2" w:space="0" w:color="1F497D"/>
              <w:bottom w:val="nil"/>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-4,43</w:t>
            </w:r>
          </w:p>
        </w:tc>
        <w:tc>
          <w:tcPr>
            <w:tcW w:w="506" w:type="pct"/>
            <w:tcBorders>
              <w:top w:val="nil"/>
              <w:bottom w:val="nil"/>
              <w:right w:val="single" w:sz="2" w:space="0" w:color="1F497D"/>
            </w:tcBorders>
            <w:shd w:val="clear" w:color="auto" w:fill="DBE5F1"/>
            <w:vAlign w:val="bottom"/>
          </w:tcPr>
          <w:p w:rsidR="000E79CA" w:rsidRPr="00AF3608" w:rsidRDefault="005E6824"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-4,59</w:t>
            </w:r>
          </w:p>
        </w:tc>
        <w:tc>
          <w:tcPr>
            <w:tcW w:w="506" w:type="pct"/>
            <w:tcBorders>
              <w:left w:val="single" w:sz="2"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-3,6</w:t>
            </w:r>
          </w:p>
        </w:tc>
        <w:tc>
          <w:tcPr>
            <w:tcW w:w="506" w:type="pct"/>
            <w:tcBorders>
              <w:right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-9,79</w:t>
            </w:r>
          </w:p>
        </w:tc>
        <w:tc>
          <w:tcPr>
            <w:tcW w:w="506" w:type="pct"/>
            <w:tcBorders>
              <w:top w:val="nil"/>
              <w:left w:val="single" w:sz="2" w:space="0" w:color="1F497D"/>
              <w:bottom w:val="nil"/>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-3,34</w:t>
            </w:r>
          </w:p>
        </w:tc>
        <w:tc>
          <w:tcPr>
            <w:tcW w:w="506" w:type="pct"/>
            <w:tcBorders>
              <w:top w:val="nil"/>
              <w:bottom w:val="nil"/>
              <w:right w:val="single" w:sz="2" w:space="0" w:color="1F497D"/>
            </w:tcBorders>
            <w:shd w:val="clear" w:color="auto" w:fill="DBE5F1"/>
            <w:vAlign w:val="bottom"/>
          </w:tcPr>
          <w:p w:rsidR="000E79CA" w:rsidRPr="00AF3608" w:rsidRDefault="003721C1"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-7,16</w:t>
            </w:r>
          </w:p>
        </w:tc>
        <w:tc>
          <w:tcPr>
            <w:tcW w:w="506" w:type="pct"/>
            <w:tcBorders>
              <w:left w:val="single" w:sz="2"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-2,53</w:t>
            </w:r>
          </w:p>
        </w:tc>
        <w:tc>
          <w:tcPr>
            <w:tcW w:w="505" w:type="pct"/>
            <w:shd w:val="clear" w:color="auto" w:fill="DBE5F1"/>
            <w:vAlign w:val="bottom"/>
          </w:tcPr>
          <w:p w:rsidR="000E79CA" w:rsidRPr="00AF3608" w:rsidRDefault="00861035"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-5,84</w:t>
            </w:r>
          </w:p>
        </w:tc>
      </w:tr>
      <w:tr w:rsidR="005A4B0D" w:rsidRPr="00AF3608" w:rsidTr="00612785">
        <w:trPr>
          <w:trHeight w:val="309"/>
          <w:jc w:val="center"/>
        </w:trPr>
        <w:tc>
          <w:tcPr>
            <w:tcW w:w="953" w:type="pct"/>
            <w:tcBorders>
              <w:right w:val="single" w:sz="2" w:space="0" w:color="1F497D"/>
            </w:tcBorders>
            <w:vAlign w:val="bottom"/>
          </w:tcPr>
          <w:p w:rsidR="000E79CA" w:rsidRPr="00AF3608" w:rsidRDefault="000E79CA" w:rsidP="00B723C0">
            <w:pPr>
              <w:keepNext/>
              <w:keepLines/>
              <w:widowControl w:val="0"/>
              <w:spacing w:before="120"/>
              <w:rPr>
                <w:rFonts w:ascii="Calibri" w:hAnsi="Calibri" w:cs="Calibri"/>
                <w:b/>
                <w:bCs/>
                <w:sz w:val="18"/>
                <w:szCs w:val="18"/>
                <w:lang w:val="ro-RO"/>
              </w:rPr>
            </w:pPr>
            <w:r w:rsidRPr="00AF3608">
              <w:rPr>
                <w:rFonts w:ascii="Calibri" w:hAnsi="Calibri" w:cs="Calibri"/>
                <w:b/>
                <w:bCs/>
                <w:sz w:val="18"/>
                <w:szCs w:val="18"/>
                <w:lang w:val="ro-RO"/>
              </w:rPr>
              <w:t>Sold  ESA</w:t>
            </w:r>
          </w:p>
        </w:tc>
        <w:tc>
          <w:tcPr>
            <w:tcW w:w="506" w:type="pct"/>
            <w:tcBorders>
              <w:top w:val="nil"/>
              <w:left w:val="single" w:sz="2" w:space="0" w:color="1F497D"/>
              <w:bottom w:val="nil"/>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-3,82</w:t>
            </w:r>
          </w:p>
        </w:tc>
        <w:tc>
          <w:tcPr>
            <w:tcW w:w="506" w:type="pct"/>
            <w:tcBorders>
              <w:top w:val="nil"/>
              <w:bottom w:val="nil"/>
              <w:right w:val="single" w:sz="2" w:space="0" w:color="1F497D"/>
            </w:tcBorders>
            <w:shd w:val="clear" w:color="auto" w:fill="DBE5F1"/>
            <w:vAlign w:val="bottom"/>
          </w:tcPr>
          <w:p w:rsidR="000E79CA" w:rsidRPr="00AF3608" w:rsidRDefault="005E6824"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-4,37</w:t>
            </w:r>
          </w:p>
        </w:tc>
        <w:tc>
          <w:tcPr>
            <w:tcW w:w="506" w:type="pct"/>
            <w:tcBorders>
              <w:left w:val="single" w:sz="2"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-3,58</w:t>
            </w:r>
          </w:p>
        </w:tc>
        <w:tc>
          <w:tcPr>
            <w:tcW w:w="506" w:type="pct"/>
            <w:tcBorders>
              <w:right w:val="single" w:sz="2" w:space="0" w:color="1F497D"/>
            </w:tcBorders>
            <w:shd w:val="clear" w:color="auto" w:fill="DBE5F1"/>
            <w:vAlign w:val="bottom"/>
          </w:tcPr>
          <w:p w:rsidR="000E79CA" w:rsidRPr="00AF3608" w:rsidRDefault="005E6824"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-9,10</w:t>
            </w:r>
          </w:p>
        </w:tc>
        <w:tc>
          <w:tcPr>
            <w:tcW w:w="506" w:type="pct"/>
            <w:tcBorders>
              <w:top w:val="nil"/>
              <w:left w:val="single" w:sz="2" w:space="0" w:color="1F497D"/>
              <w:bottom w:val="nil"/>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-3,44</w:t>
            </w:r>
          </w:p>
        </w:tc>
        <w:tc>
          <w:tcPr>
            <w:tcW w:w="506" w:type="pct"/>
            <w:tcBorders>
              <w:top w:val="nil"/>
              <w:bottom w:val="nil"/>
              <w:right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w:t>
            </w:r>
            <w:r w:rsidR="009D3107" w:rsidRPr="00AF3608">
              <w:rPr>
                <w:rFonts w:ascii="Calibri" w:hAnsi="Calibri" w:cs="Calibri"/>
                <w:b/>
                <w:bCs/>
                <w:sz w:val="18"/>
                <w:szCs w:val="18"/>
                <w:lang w:val="ro-RO"/>
              </w:rPr>
              <w:t>8,23</w:t>
            </w:r>
          </w:p>
        </w:tc>
        <w:tc>
          <w:tcPr>
            <w:tcW w:w="506" w:type="pct"/>
            <w:tcBorders>
              <w:left w:val="single" w:sz="2"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-2,77</w:t>
            </w:r>
          </w:p>
        </w:tc>
        <w:tc>
          <w:tcPr>
            <w:tcW w:w="505" w:type="pct"/>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w:t>
            </w:r>
            <w:r w:rsidR="009D3107" w:rsidRPr="00AF3608">
              <w:rPr>
                <w:rFonts w:ascii="Calibri" w:hAnsi="Calibri" w:cs="Calibri"/>
                <w:b/>
                <w:bCs/>
                <w:sz w:val="18"/>
                <w:szCs w:val="18"/>
                <w:lang w:val="ro-RO"/>
              </w:rPr>
              <w:t>6,36</w:t>
            </w:r>
          </w:p>
        </w:tc>
      </w:tr>
      <w:tr w:rsidR="005A4B0D" w:rsidRPr="00AF3608" w:rsidTr="00612785">
        <w:trPr>
          <w:trHeight w:val="230"/>
          <w:jc w:val="center"/>
        </w:trPr>
        <w:tc>
          <w:tcPr>
            <w:tcW w:w="953" w:type="pct"/>
            <w:tcBorders>
              <w:bottom w:val="single" w:sz="4" w:space="0" w:color="1F497D"/>
              <w:right w:val="single" w:sz="2" w:space="0" w:color="1F497D"/>
            </w:tcBorders>
            <w:vAlign w:val="bottom"/>
          </w:tcPr>
          <w:p w:rsidR="000E79CA" w:rsidRPr="00AF3608" w:rsidRDefault="000E79CA" w:rsidP="00B723C0">
            <w:pPr>
              <w:keepNext/>
              <w:keepLines/>
              <w:widowControl w:val="0"/>
              <w:spacing w:before="120"/>
              <w:rPr>
                <w:rFonts w:ascii="Calibri" w:hAnsi="Calibri" w:cs="Calibri"/>
                <w:b/>
                <w:bCs/>
                <w:sz w:val="18"/>
                <w:szCs w:val="18"/>
                <w:lang w:val="ro-RO"/>
              </w:rPr>
            </w:pPr>
            <w:r w:rsidRPr="00AF3608">
              <w:rPr>
                <w:rFonts w:ascii="Calibri" w:hAnsi="Calibri" w:cs="Calibri"/>
                <w:b/>
                <w:bCs/>
                <w:sz w:val="18"/>
                <w:szCs w:val="18"/>
                <w:lang w:val="ro-RO"/>
              </w:rPr>
              <w:t>Sold structural</w:t>
            </w:r>
          </w:p>
        </w:tc>
        <w:tc>
          <w:tcPr>
            <w:tcW w:w="506" w:type="pct"/>
            <w:tcBorders>
              <w:top w:val="nil"/>
              <w:left w:val="single" w:sz="2" w:space="0" w:color="1F497D"/>
              <w:bottom w:val="single" w:sz="4"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-3,71</w:t>
            </w:r>
          </w:p>
        </w:tc>
        <w:tc>
          <w:tcPr>
            <w:tcW w:w="506" w:type="pct"/>
            <w:tcBorders>
              <w:top w:val="nil"/>
              <w:bottom w:val="single" w:sz="4" w:space="0" w:color="1F497D"/>
              <w:right w:val="single" w:sz="2" w:space="0" w:color="1F497D"/>
            </w:tcBorders>
            <w:shd w:val="clear" w:color="auto" w:fill="DBE5F1"/>
            <w:vAlign w:val="bottom"/>
          </w:tcPr>
          <w:p w:rsidR="000E79CA" w:rsidRPr="00AF3608" w:rsidRDefault="005E6824"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-5,10</w:t>
            </w:r>
          </w:p>
        </w:tc>
        <w:tc>
          <w:tcPr>
            <w:tcW w:w="506" w:type="pct"/>
            <w:tcBorders>
              <w:left w:val="single" w:sz="2" w:space="0" w:color="1F497D"/>
              <w:bottom w:val="single" w:sz="4"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-3,39</w:t>
            </w:r>
          </w:p>
        </w:tc>
        <w:tc>
          <w:tcPr>
            <w:tcW w:w="506" w:type="pct"/>
            <w:tcBorders>
              <w:bottom w:val="single" w:sz="4" w:space="0" w:color="1F497D"/>
              <w:right w:val="single" w:sz="2" w:space="0" w:color="1F497D"/>
            </w:tcBorders>
            <w:shd w:val="clear" w:color="auto" w:fill="DBE5F1"/>
            <w:vAlign w:val="bottom"/>
          </w:tcPr>
          <w:p w:rsidR="000E79CA" w:rsidRPr="00AF3608" w:rsidRDefault="005E6824"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-7,76</w:t>
            </w:r>
          </w:p>
        </w:tc>
        <w:tc>
          <w:tcPr>
            <w:tcW w:w="506" w:type="pct"/>
            <w:tcBorders>
              <w:top w:val="nil"/>
              <w:left w:val="single" w:sz="2" w:space="0" w:color="1F497D"/>
              <w:bottom w:val="single" w:sz="4"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-3,24</w:t>
            </w:r>
          </w:p>
        </w:tc>
        <w:tc>
          <w:tcPr>
            <w:tcW w:w="506" w:type="pct"/>
            <w:tcBorders>
              <w:top w:val="nil"/>
              <w:bottom w:val="single" w:sz="4" w:space="0" w:color="1F497D"/>
              <w:right w:val="single" w:sz="2" w:space="0" w:color="1F497D"/>
            </w:tcBorders>
            <w:shd w:val="clear" w:color="auto" w:fill="DBE5F1"/>
            <w:vAlign w:val="bottom"/>
          </w:tcPr>
          <w:p w:rsidR="000E79CA" w:rsidRPr="00AF3608" w:rsidRDefault="009D3107"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-7,42</w:t>
            </w:r>
          </w:p>
        </w:tc>
        <w:tc>
          <w:tcPr>
            <w:tcW w:w="506" w:type="pct"/>
            <w:tcBorders>
              <w:left w:val="single" w:sz="2" w:space="0" w:color="1F497D"/>
              <w:bottom w:val="single" w:sz="4"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-2,62</w:t>
            </w:r>
          </w:p>
        </w:tc>
        <w:tc>
          <w:tcPr>
            <w:tcW w:w="505" w:type="pct"/>
            <w:tcBorders>
              <w:bottom w:val="single" w:sz="4" w:space="0" w:color="1F497D"/>
            </w:tcBorders>
            <w:shd w:val="clear" w:color="auto" w:fill="DBE5F1"/>
            <w:vAlign w:val="bottom"/>
          </w:tcPr>
          <w:p w:rsidR="000E79CA" w:rsidRPr="00AF3608" w:rsidRDefault="009D3107"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-6,07</w:t>
            </w:r>
          </w:p>
        </w:tc>
      </w:tr>
    </w:tbl>
    <w:p w:rsidR="000E79CA" w:rsidRPr="00AF3608" w:rsidRDefault="000E79CA" w:rsidP="00B723C0">
      <w:pPr>
        <w:widowControl w:val="0"/>
        <w:spacing w:before="120"/>
        <w:jc w:val="both"/>
        <w:rPr>
          <w:rFonts w:ascii="Arial Narrow" w:hAnsi="Arial Narrow" w:cs="Arial Narrow"/>
          <w:i/>
          <w:iCs/>
          <w:sz w:val="16"/>
          <w:szCs w:val="16"/>
          <w:lang w:val="ro-RO"/>
        </w:rPr>
      </w:pPr>
      <w:r w:rsidRPr="00AF3608">
        <w:rPr>
          <w:rFonts w:ascii="Arial Narrow" w:hAnsi="Arial Narrow" w:cs="Arial Narrow"/>
          <w:i/>
          <w:iCs/>
          <w:sz w:val="16"/>
          <w:szCs w:val="16"/>
          <w:lang w:val="ro-RO"/>
        </w:rPr>
        <w:t>Sursa: CNSP, MFP</w:t>
      </w:r>
    </w:p>
    <w:p w:rsidR="000E79CA" w:rsidRPr="00AF3608" w:rsidRDefault="000E79CA" w:rsidP="00B723C0">
      <w:pPr>
        <w:widowControl w:val="0"/>
        <w:autoSpaceDE w:val="0"/>
        <w:autoSpaceDN w:val="0"/>
        <w:adjustRightInd w:val="0"/>
        <w:spacing w:before="120"/>
        <w:rPr>
          <w:rFonts w:ascii="Calibri" w:hAnsi="Calibri" w:cs="Calibri"/>
          <w:sz w:val="12"/>
          <w:szCs w:val="12"/>
          <w:lang w:val="ro-RO"/>
        </w:rPr>
      </w:pPr>
    </w:p>
    <w:p w:rsidR="000E79CA" w:rsidRPr="00AF3608" w:rsidRDefault="000E79CA" w:rsidP="00B723C0">
      <w:pPr>
        <w:widowControl w:val="0"/>
        <w:autoSpaceDE w:val="0"/>
        <w:autoSpaceDN w:val="0"/>
        <w:adjustRightInd w:val="0"/>
        <w:spacing w:before="120"/>
        <w:jc w:val="both"/>
        <w:rPr>
          <w:rFonts w:ascii="Calibri" w:hAnsi="Calibri" w:cs="Calibri"/>
          <w:b/>
          <w:lang w:val="ro-RO"/>
        </w:rPr>
      </w:pPr>
      <w:r w:rsidRPr="00AF3608">
        <w:rPr>
          <w:rFonts w:ascii="Calibri" w:hAnsi="Calibri" w:cs="Calibri"/>
          <w:lang w:val="ro-RO"/>
        </w:rPr>
        <w:t xml:space="preserve">Totodată, este prezentată </w:t>
      </w:r>
      <w:r w:rsidRPr="00AF3608">
        <w:rPr>
          <w:rFonts w:ascii="Calibri" w:hAnsi="Calibri" w:cs="Calibri"/>
          <w:b/>
          <w:bCs/>
          <w:i/>
          <w:iCs/>
          <w:lang w:val="ro-RO"/>
        </w:rPr>
        <w:t>situaţia consolidată comparativă a veniturilor, cheltuielilor şi deficitului bugetului general consolidat</w:t>
      </w:r>
      <w:r w:rsidRPr="00AF3608">
        <w:rPr>
          <w:rFonts w:ascii="Calibri" w:hAnsi="Calibri" w:cs="Calibri"/>
          <w:lang w:val="ro-RO"/>
        </w:rPr>
        <w:t xml:space="preserve">, aferente </w:t>
      </w:r>
      <w:r w:rsidRPr="00AF3608">
        <w:rPr>
          <w:rFonts w:ascii="Calibri" w:hAnsi="Calibri" w:cs="Calibri"/>
          <w:b/>
          <w:bCs/>
          <w:i/>
          <w:iCs/>
          <w:lang w:val="ro-RO"/>
        </w:rPr>
        <w:t xml:space="preserve">Strategiei fiscal-bugetare 2020-2022 </w:t>
      </w:r>
      <w:r w:rsidRPr="00AF3608">
        <w:rPr>
          <w:rFonts w:ascii="Calibri" w:hAnsi="Calibri" w:cs="Calibri"/>
          <w:lang w:val="ro-RO"/>
        </w:rPr>
        <w:t xml:space="preserve">şi </w:t>
      </w:r>
      <w:r w:rsidRPr="00AF3608">
        <w:rPr>
          <w:rFonts w:ascii="Calibri" w:hAnsi="Calibri" w:cs="Calibri"/>
          <w:b/>
          <w:bCs/>
          <w:i/>
          <w:iCs/>
          <w:lang w:val="ro-RO"/>
        </w:rPr>
        <w:t>Strategiei fiscal-bugetare 2021-2023</w:t>
      </w:r>
      <w:r w:rsidRPr="00AF3608">
        <w:rPr>
          <w:rFonts w:ascii="Calibri" w:hAnsi="Calibri" w:cs="Calibri"/>
          <w:lang w:val="ro-RO"/>
        </w:rPr>
        <w:t>.</w:t>
      </w:r>
    </w:p>
    <w:p w:rsidR="00FC25BC" w:rsidRPr="00AF3608" w:rsidRDefault="00FC25BC" w:rsidP="00B723C0">
      <w:pPr>
        <w:pStyle w:val="List"/>
        <w:spacing w:before="120"/>
        <w:ind w:left="0" w:firstLine="0"/>
        <w:jc w:val="both"/>
        <w:rPr>
          <w:rFonts w:asciiTheme="minorHAnsi" w:hAnsiTheme="minorHAnsi" w:cstheme="minorHAnsi"/>
          <w:bCs/>
          <w:shd w:val="clear" w:color="auto" w:fill="99CCFF"/>
          <w:lang w:val="ro-RO"/>
        </w:rPr>
      </w:pPr>
    </w:p>
    <w:p w:rsidR="009E25C2" w:rsidRPr="00AF3608" w:rsidRDefault="009E25C2" w:rsidP="00B723C0">
      <w:pPr>
        <w:pStyle w:val="List"/>
        <w:spacing w:before="120"/>
        <w:ind w:left="0" w:firstLine="0"/>
        <w:jc w:val="both"/>
        <w:rPr>
          <w:rFonts w:asciiTheme="minorHAnsi" w:hAnsiTheme="minorHAnsi" w:cstheme="minorHAnsi"/>
          <w:bCs/>
          <w:shd w:val="clear" w:color="auto" w:fill="99CCFF"/>
          <w:lang w:val="ro-RO"/>
        </w:rPr>
      </w:pPr>
    </w:p>
    <w:p w:rsidR="00561CD0" w:rsidRPr="00AF3608" w:rsidRDefault="00561CD0" w:rsidP="00B723C0">
      <w:pPr>
        <w:pStyle w:val="List"/>
        <w:spacing w:before="120"/>
        <w:ind w:left="0" w:firstLine="0"/>
        <w:jc w:val="both"/>
        <w:rPr>
          <w:rFonts w:asciiTheme="minorHAnsi" w:hAnsiTheme="minorHAnsi" w:cstheme="minorHAnsi"/>
          <w:bCs/>
          <w:shd w:val="clear" w:color="auto" w:fill="99CCFF"/>
          <w:lang w:val="ro-RO"/>
        </w:rPr>
      </w:pPr>
    </w:p>
    <w:p w:rsidR="00561CD0" w:rsidRPr="00AF3608" w:rsidRDefault="00561CD0" w:rsidP="00B723C0">
      <w:pPr>
        <w:pStyle w:val="List"/>
        <w:spacing w:before="120"/>
        <w:ind w:left="0" w:firstLine="0"/>
        <w:jc w:val="both"/>
        <w:rPr>
          <w:rFonts w:asciiTheme="minorHAnsi" w:hAnsiTheme="minorHAnsi" w:cstheme="minorHAnsi"/>
          <w:bCs/>
          <w:shd w:val="clear" w:color="auto" w:fill="99CCFF"/>
          <w:lang w:val="ro-RO"/>
        </w:rPr>
      </w:pPr>
    </w:p>
    <w:p w:rsidR="00561CD0" w:rsidRPr="00AF3608" w:rsidRDefault="00561CD0" w:rsidP="00B723C0">
      <w:pPr>
        <w:pStyle w:val="List"/>
        <w:spacing w:before="120"/>
        <w:ind w:left="0" w:firstLine="0"/>
        <w:jc w:val="both"/>
        <w:rPr>
          <w:rFonts w:asciiTheme="minorHAnsi" w:hAnsiTheme="minorHAnsi" w:cstheme="minorHAnsi"/>
          <w:bCs/>
          <w:shd w:val="clear" w:color="auto" w:fill="99CCFF"/>
          <w:lang w:val="ro-RO"/>
        </w:rPr>
      </w:pPr>
    </w:p>
    <w:p w:rsidR="009E25C2" w:rsidRPr="00AF3608" w:rsidRDefault="009E25C2" w:rsidP="00B723C0">
      <w:pPr>
        <w:pStyle w:val="List"/>
        <w:spacing w:before="120"/>
        <w:ind w:left="0" w:firstLine="0"/>
        <w:jc w:val="both"/>
        <w:rPr>
          <w:rFonts w:asciiTheme="minorHAnsi" w:hAnsiTheme="minorHAnsi" w:cstheme="minorHAnsi"/>
          <w:bCs/>
          <w:shd w:val="clear" w:color="auto" w:fill="99CCFF"/>
          <w:lang w:val="ro-RO"/>
        </w:rPr>
      </w:pPr>
    </w:p>
    <w:p w:rsidR="00FC25BC" w:rsidRPr="00AF3608" w:rsidRDefault="00FC25BC" w:rsidP="003A0B85">
      <w:pPr>
        <w:pStyle w:val="ListParagraph"/>
        <w:numPr>
          <w:ilvl w:val="1"/>
          <w:numId w:val="32"/>
        </w:numPr>
        <w:shd w:val="clear" w:color="auto" w:fill="538135" w:themeFill="accent6" w:themeFillShade="BF"/>
        <w:autoSpaceDE w:val="0"/>
        <w:autoSpaceDN w:val="0"/>
        <w:adjustRightInd w:val="0"/>
        <w:rPr>
          <w:rFonts w:ascii="Calibri" w:hAnsi="Calibri" w:cs="Arial"/>
          <w:b/>
        </w:rPr>
      </w:pPr>
      <w:r w:rsidRPr="00AF3608">
        <w:rPr>
          <w:rFonts w:ascii="Calibri" w:hAnsi="Calibri" w:cs="Arial"/>
          <w:b/>
        </w:rPr>
        <w:lastRenderedPageBreak/>
        <w:t>POLITICI PUBLICE</w:t>
      </w:r>
    </w:p>
    <w:p w:rsidR="000E79CA" w:rsidRPr="00AF3608" w:rsidRDefault="000E79CA" w:rsidP="00B723C0">
      <w:pPr>
        <w:pStyle w:val="List"/>
        <w:spacing w:before="120"/>
        <w:ind w:left="0" w:firstLine="0"/>
        <w:jc w:val="both"/>
        <w:rPr>
          <w:rFonts w:asciiTheme="minorHAnsi" w:hAnsiTheme="minorHAnsi" w:cstheme="minorHAnsi"/>
          <w:bCs/>
          <w:shd w:val="clear" w:color="auto" w:fill="99CCFF"/>
          <w:lang w:val="ro-RO"/>
        </w:rPr>
      </w:pPr>
    </w:p>
    <w:p w:rsidR="00627688" w:rsidRPr="00AF3608" w:rsidRDefault="00627688" w:rsidP="00B723C0">
      <w:pPr>
        <w:shd w:val="clear" w:color="auto" w:fill="A8D08D" w:themeFill="accent6" w:themeFillTint="99"/>
        <w:rPr>
          <w:rFonts w:ascii="Calibri" w:hAnsi="Calibri" w:cs="Arial Narrow"/>
          <w:b/>
          <w:lang w:val="ro-RO"/>
        </w:rPr>
      </w:pPr>
      <w:r w:rsidRPr="00AF3608">
        <w:rPr>
          <w:rFonts w:ascii="Calibri" w:hAnsi="Calibri" w:cs="Arial Narrow"/>
          <w:b/>
          <w:lang w:val="ro-RO"/>
        </w:rPr>
        <w:t>Politica salarială</w:t>
      </w:r>
    </w:p>
    <w:p w:rsidR="0042284F" w:rsidRPr="00AF3608" w:rsidRDefault="0042284F" w:rsidP="00EC02AE">
      <w:pPr>
        <w:shd w:val="clear" w:color="auto" w:fill="FFFFFF"/>
        <w:spacing w:before="120"/>
        <w:jc w:val="both"/>
        <w:rPr>
          <w:rFonts w:ascii="Calibri" w:hAnsi="Calibri" w:cs="Calibri"/>
          <w:lang w:val="ro-RO"/>
        </w:rPr>
      </w:pPr>
      <w:r w:rsidRPr="00AF3608">
        <w:rPr>
          <w:rFonts w:ascii="Calibri" w:hAnsi="Calibri" w:cs="Calibri"/>
          <w:lang w:val="ro-RO"/>
        </w:rPr>
        <w:t>Actele normative care reglementează salarizarea și alte drepturi de natură salarială pentru personalul plătit din fonduri publice, respectiv măsuri privind posturile din cadrul autorităților și instituțiilor publice sunt:</w:t>
      </w:r>
    </w:p>
    <w:p w:rsidR="0042284F" w:rsidRPr="00AF3608" w:rsidRDefault="0042284F" w:rsidP="003A0B85">
      <w:pPr>
        <w:pStyle w:val="ListParagraph"/>
        <w:numPr>
          <w:ilvl w:val="0"/>
          <w:numId w:val="71"/>
        </w:numPr>
        <w:shd w:val="clear" w:color="auto" w:fill="FFFFFF"/>
        <w:spacing w:before="120" w:line="240" w:lineRule="auto"/>
        <w:contextualSpacing w:val="0"/>
        <w:jc w:val="both"/>
        <w:rPr>
          <w:rFonts w:ascii="Calibri" w:eastAsia="Times New Roman" w:hAnsi="Calibri" w:cs="Calibri"/>
          <w:szCs w:val="24"/>
        </w:rPr>
      </w:pPr>
      <w:r w:rsidRPr="00AF3608">
        <w:rPr>
          <w:rFonts w:ascii="Calibri" w:hAnsi="Calibri" w:cs="Calibri"/>
          <w:i/>
        </w:rPr>
        <w:t>Legea-cadru nr. 153/2017 privind salarizarea personalului plătit din fonduri publice, cu modificările și completările ulterioare;</w:t>
      </w:r>
    </w:p>
    <w:p w:rsidR="0042284F" w:rsidRPr="00AF3608" w:rsidRDefault="0042284F" w:rsidP="003A0B85">
      <w:pPr>
        <w:pStyle w:val="ListParagraph"/>
        <w:numPr>
          <w:ilvl w:val="0"/>
          <w:numId w:val="71"/>
        </w:numPr>
        <w:shd w:val="clear" w:color="auto" w:fill="FFFFFF"/>
        <w:spacing w:before="120" w:line="240" w:lineRule="auto"/>
        <w:contextualSpacing w:val="0"/>
        <w:jc w:val="both"/>
        <w:rPr>
          <w:rFonts w:ascii="Calibri" w:eastAsia="Times New Roman" w:hAnsi="Calibri" w:cs="Calibri"/>
          <w:szCs w:val="24"/>
        </w:rPr>
      </w:pPr>
      <w:r w:rsidRPr="00AF3608">
        <w:rPr>
          <w:rFonts w:ascii="Calibri" w:hAnsi="Calibri" w:cs="Calibri"/>
          <w:i/>
        </w:rPr>
        <w:t>Ordonanța de urgență a Guvernului nr. 114/2018 privind instituirea unor măsuri în domeniul investiţiilor publice şi a unor măsuri fiscal-bugetare, modificarea şi completarea unor acte normative şi prorogarea unor termene, cu modificările și completările ulterioare</w:t>
      </w:r>
      <w:r w:rsidRPr="00AF3608">
        <w:rPr>
          <w:rFonts w:ascii="Calibri" w:hAnsi="Calibri" w:cs="Calibri"/>
        </w:rPr>
        <w:t>;</w:t>
      </w:r>
    </w:p>
    <w:p w:rsidR="0042284F" w:rsidRPr="00AF3608" w:rsidRDefault="0042284F" w:rsidP="003A0B85">
      <w:pPr>
        <w:pStyle w:val="ListParagraph"/>
        <w:numPr>
          <w:ilvl w:val="0"/>
          <w:numId w:val="71"/>
        </w:numPr>
        <w:shd w:val="clear" w:color="auto" w:fill="FFFFFF"/>
        <w:spacing w:before="120" w:line="240" w:lineRule="auto"/>
        <w:contextualSpacing w:val="0"/>
        <w:jc w:val="both"/>
        <w:rPr>
          <w:rFonts w:ascii="Calibri" w:eastAsia="Times New Roman" w:hAnsi="Calibri" w:cs="Calibri"/>
          <w:szCs w:val="24"/>
        </w:rPr>
      </w:pPr>
      <w:r w:rsidRPr="00AF3608">
        <w:rPr>
          <w:rFonts w:ascii="Calibri" w:hAnsi="Calibri" w:cs="Calibri"/>
          <w:i/>
        </w:rPr>
        <w:t>Ordonanța de urgență a Guvernului nr</w:t>
      </w:r>
      <w:r w:rsidRPr="00AF3608">
        <w:rPr>
          <w:rFonts w:ascii="Calibri" w:hAnsi="Calibri" w:cs="Calibri"/>
        </w:rPr>
        <w:t>. 226/2020 privind unele măsuri fiscal-bugetare şi pentru modificarea şi completarea unor acte normative şi prorogarea unor termene.</w:t>
      </w:r>
    </w:p>
    <w:p w:rsidR="00D56B57" w:rsidRPr="00AF3608" w:rsidRDefault="00D56B57" w:rsidP="00EC02AE">
      <w:pPr>
        <w:shd w:val="clear" w:color="auto" w:fill="FFFFFF"/>
        <w:spacing w:before="120"/>
        <w:jc w:val="both"/>
        <w:rPr>
          <w:rFonts w:ascii="Calibri" w:hAnsi="Calibri" w:cs="Calibri"/>
          <w:lang w:val="ro-RO"/>
        </w:rPr>
      </w:pPr>
    </w:p>
    <w:p w:rsidR="0042284F" w:rsidRPr="00AF3608" w:rsidRDefault="0042284F" w:rsidP="00EC02AE">
      <w:pPr>
        <w:shd w:val="clear" w:color="auto" w:fill="FFFFFF"/>
        <w:spacing w:before="120"/>
        <w:jc w:val="both"/>
        <w:rPr>
          <w:rFonts w:ascii="Calibri" w:hAnsi="Calibri" w:cs="Calibri"/>
          <w:lang w:val="ro-RO"/>
        </w:rPr>
      </w:pPr>
      <w:r w:rsidRPr="00AF3608">
        <w:rPr>
          <w:rFonts w:ascii="Calibri" w:hAnsi="Calibri" w:cs="Calibri"/>
          <w:lang w:val="ro-RO"/>
        </w:rPr>
        <w:t>La estimarea cheltuielilor de personal ale bugetului general consolidat pentru anul 2021  a fost avut în vedere:</w:t>
      </w:r>
    </w:p>
    <w:p w:rsidR="0042284F" w:rsidRPr="00AF3608" w:rsidRDefault="0042284F" w:rsidP="003A0B85">
      <w:pPr>
        <w:pStyle w:val="ListParagraph"/>
        <w:numPr>
          <w:ilvl w:val="0"/>
          <w:numId w:val="72"/>
        </w:numPr>
        <w:shd w:val="clear" w:color="auto" w:fill="FFFFFF"/>
        <w:spacing w:before="120" w:line="240" w:lineRule="auto"/>
        <w:contextualSpacing w:val="0"/>
        <w:jc w:val="both"/>
        <w:rPr>
          <w:rFonts w:ascii="Calibri" w:hAnsi="Calibri" w:cs="Calibri"/>
        </w:rPr>
      </w:pPr>
      <w:r w:rsidRPr="00AF3608">
        <w:rPr>
          <w:rFonts w:ascii="Calibri" w:hAnsi="Calibri" w:cs="Calibri"/>
          <w:iCs/>
        </w:rPr>
        <w:t xml:space="preserve">menținerea în anul 2021 a cuantumului brut al salariilor de bază/soldelor de funcţie/salariilor de funcţie /indemnizaţiilor de încadrare lunară de care beneficiază personalul plătit din fonduri publice, precum și a indemnizațiilor aferente funcțiilor de demnitate publică și funcțiilor asimilate acestora, prevăzute în anexa nr. IX la </w:t>
      </w:r>
      <w:r w:rsidRPr="00AF3608">
        <w:rPr>
          <w:rFonts w:ascii="Calibri" w:hAnsi="Calibri" w:cs="Calibri"/>
          <w:i/>
          <w:iCs/>
        </w:rPr>
        <w:t>Legea-cadru nr. 153/2017</w:t>
      </w:r>
      <w:r w:rsidRPr="00AF3608">
        <w:rPr>
          <w:rFonts w:ascii="Calibri" w:hAnsi="Calibri" w:cs="Calibri"/>
          <w:iCs/>
        </w:rPr>
        <w:t>, la nivelul acordat pentru luna decembrie 2020;</w:t>
      </w:r>
    </w:p>
    <w:p w:rsidR="0042284F" w:rsidRPr="00AF3608" w:rsidRDefault="0042284F" w:rsidP="003A0B85">
      <w:pPr>
        <w:pStyle w:val="ListParagraph"/>
        <w:numPr>
          <w:ilvl w:val="0"/>
          <w:numId w:val="72"/>
        </w:numPr>
        <w:shd w:val="clear" w:color="auto" w:fill="FFFFFF"/>
        <w:spacing w:before="120" w:line="240" w:lineRule="auto"/>
        <w:contextualSpacing w:val="0"/>
        <w:jc w:val="both"/>
        <w:rPr>
          <w:rFonts w:ascii="Calibri" w:hAnsi="Calibri" w:cs="Calibri"/>
        </w:rPr>
      </w:pPr>
      <w:r w:rsidRPr="00AF3608">
        <w:rPr>
          <w:rFonts w:ascii="Calibri" w:hAnsi="Calibri" w:cs="Calibri"/>
          <w:iCs/>
        </w:rPr>
        <w:t>menținerea în anul 2021 a cuantumului sporurilor, indemnizaţiilor, compensaţiilor, primelor şi al celorlalte elemente ale sistemului de salarizare care fac parte, potrivit legii, din salariul brut lunar cel mult la nivelul cuantumului acordat pentru luna decembrie 2020, în măsura în care personalul ocupă aceeași funcție și își desfășoară activitatea în aceleași condiții;</w:t>
      </w:r>
    </w:p>
    <w:p w:rsidR="0042284F" w:rsidRPr="00AF3608" w:rsidRDefault="0042284F" w:rsidP="003A0B85">
      <w:pPr>
        <w:pStyle w:val="ListParagraph"/>
        <w:numPr>
          <w:ilvl w:val="0"/>
          <w:numId w:val="72"/>
        </w:numPr>
        <w:shd w:val="clear" w:color="auto" w:fill="FFFFFF"/>
        <w:spacing w:before="120" w:line="240" w:lineRule="auto"/>
        <w:contextualSpacing w:val="0"/>
        <w:jc w:val="both"/>
        <w:rPr>
          <w:rFonts w:ascii="Calibri" w:hAnsi="Calibri" w:cs="Calibri"/>
        </w:rPr>
      </w:pPr>
      <w:r w:rsidRPr="00AF3608">
        <w:rPr>
          <w:rFonts w:ascii="Calibri" w:hAnsi="Calibri" w:cs="Calibri"/>
          <w:iCs/>
        </w:rPr>
        <w:t>menținerea în anul 2021 a cuantumului indemnizației de hrană la nivelul stabilit pentru anul 2020;</w:t>
      </w:r>
    </w:p>
    <w:p w:rsidR="0042284F" w:rsidRPr="00AF3608" w:rsidRDefault="0042284F" w:rsidP="003A0B85">
      <w:pPr>
        <w:pStyle w:val="ListParagraph"/>
        <w:numPr>
          <w:ilvl w:val="0"/>
          <w:numId w:val="72"/>
        </w:numPr>
        <w:shd w:val="clear" w:color="auto" w:fill="FFFFFF"/>
        <w:spacing w:before="120" w:line="240" w:lineRule="auto"/>
        <w:contextualSpacing w:val="0"/>
        <w:jc w:val="both"/>
        <w:rPr>
          <w:rFonts w:ascii="Calibri" w:hAnsi="Calibri" w:cs="Calibri"/>
        </w:rPr>
      </w:pPr>
      <w:r w:rsidRPr="00AF3608">
        <w:rPr>
          <w:rFonts w:ascii="Calibri" w:hAnsi="Calibri" w:cs="Calibri"/>
          <w:iCs/>
        </w:rPr>
        <w:t xml:space="preserve">neacordarea de premii și a indemnizaţiei de vacanţă prevăzută de </w:t>
      </w:r>
      <w:r w:rsidRPr="00AF3608">
        <w:rPr>
          <w:rFonts w:ascii="Calibri" w:hAnsi="Calibri" w:cs="Calibri"/>
          <w:i/>
          <w:iCs/>
        </w:rPr>
        <w:t>Legea-cadru nr. 153/2017;</w:t>
      </w:r>
    </w:p>
    <w:p w:rsidR="0042284F" w:rsidRPr="00AF3608" w:rsidRDefault="0042284F" w:rsidP="003A0B85">
      <w:pPr>
        <w:pStyle w:val="ListParagraph"/>
        <w:numPr>
          <w:ilvl w:val="0"/>
          <w:numId w:val="72"/>
        </w:numPr>
        <w:shd w:val="clear" w:color="auto" w:fill="FFFFFF"/>
        <w:spacing w:before="120" w:line="240" w:lineRule="auto"/>
        <w:contextualSpacing w:val="0"/>
        <w:jc w:val="both"/>
        <w:rPr>
          <w:rFonts w:ascii="Calibri" w:hAnsi="Calibri" w:cs="Calibri"/>
        </w:rPr>
      </w:pPr>
      <w:r w:rsidRPr="00AF3608">
        <w:rPr>
          <w:rFonts w:ascii="Calibri" w:hAnsi="Calibri" w:cs="Calibri"/>
          <w:bCs/>
        </w:rPr>
        <w:t>compensarea orelor suplimentare pentru personalul bugetar numai cu timp liber corespunzător; pentru polițiști și cadre militare se mențin reglementările din anii anteriori care vizează acordarea drepturilor salariale pentru activitatea desfășurată în zilele de sărbători legale;</w:t>
      </w:r>
    </w:p>
    <w:p w:rsidR="0042284F" w:rsidRPr="00AF3608" w:rsidRDefault="0042284F" w:rsidP="003A0B85">
      <w:pPr>
        <w:pStyle w:val="ListParagraph"/>
        <w:numPr>
          <w:ilvl w:val="0"/>
          <w:numId w:val="72"/>
        </w:numPr>
        <w:shd w:val="clear" w:color="auto" w:fill="FFFFFF"/>
        <w:spacing w:before="120" w:line="240" w:lineRule="auto"/>
        <w:contextualSpacing w:val="0"/>
        <w:jc w:val="both"/>
        <w:rPr>
          <w:rFonts w:ascii="Calibri" w:hAnsi="Calibri" w:cs="Calibri"/>
        </w:rPr>
      </w:pPr>
      <w:r w:rsidRPr="00AF3608">
        <w:rPr>
          <w:rFonts w:ascii="Calibri" w:hAnsi="Calibri" w:cs="Calibri"/>
        </w:rPr>
        <w:t xml:space="preserve">salariul de bază minim brut pe țară garantat în plată de 2300 lei lunar; </w:t>
      </w:r>
    </w:p>
    <w:p w:rsidR="008E2CB7" w:rsidRPr="00AF3608" w:rsidRDefault="0042284F" w:rsidP="003A0B85">
      <w:pPr>
        <w:pStyle w:val="ListParagraph"/>
        <w:numPr>
          <w:ilvl w:val="0"/>
          <w:numId w:val="72"/>
        </w:numPr>
        <w:shd w:val="clear" w:color="auto" w:fill="FFFFFF"/>
        <w:spacing w:before="120" w:line="240" w:lineRule="auto"/>
        <w:contextualSpacing w:val="0"/>
        <w:jc w:val="both"/>
        <w:rPr>
          <w:rFonts w:ascii="Calibri" w:hAnsi="Calibri" w:cs="Calibri"/>
        </w:rPr>
      </w:pPr>
      <w:r w:rsidRPr="00AF3608">
        <w:rPr>
          <w:rFonts w:ascii="Calibri" w:hAnsi="Calibri" w:cs="Calibri"/>
        </w:rPr>
        <w:t>numărul maxim de posturi finanţat din fonduri publice de către instituţiile publice,</w:t>
      </w:r>
      <w:r w:rsidRPr="00AF3608">
        <w:rPr>
          <w:rFonts w:ascii="Calibri" w:hAnsi="Calibri" w:cs="Calibri"/>
          <w:bCs/>
          <w:sz w:val="28"/>
          <w:szCs w:val="28"/>
        </w:rPr>
        <w:t xml:space="preserve"> </w:t>
      </w:r>
      <w:r w:rsidRPr="00AF3608">
        <w:rPr>
          <w:rFonts w:ascii="Calibri" w:hAnsi="Calibri" w:cs="Calibri"/>
          <w:bCs/>
        </w:rPr>
        <w:t>indiferent de modul de finanţare şi subordonare,</w:t>
      </w:r>
      <w:r w:rsidRPr="00AF3608">
        <w:rPr>
          <w:rFonts w:ascii="Calibri" w:hAnsi="Calibri" w:cs="Calibri"/>
        </w:rPr>
        <w:t xml:space="preserve"> în anul 2021, se stabilește de ordonatorii de credite astfel încât să se asigure plata integrală a drepturilor de natură salarială acordate în condiţiile legii cu încadrar</w:t>
      </w:r>
      <w:r w:rsidR="004E727F" w:rsidRPr="00AF3608">
        <w:rPr>
          <w:rFonts w:ascii="Calibri" w:hAnsi="Calibri" w:cs="Calibri"/>
        </w:rPr>
        <w:t>ea în cheltuielile de personal;</w:t>
      </w:r>
    </w:p>
    <w:p w:rsidR="008E2CB7" w:rsidRPr="00AF3608" w:rsidRDefault="008E2CB7" w:rsidP="003A0B85">
      <w:pPr>
        <w:pStyle w:val="ListParagraph"/>
        <w:numPr>
          <w:ilvl w:val="0"/>
          <w:numId w:val="72"/>
        </w:numPr>
        <w:shd w:val="clear" w:color="auto" w:fill="FFFFFF"/>
        <w:spacing w:before="120" w:line="240" w:lineRule="auto"/>
        <w:contextualSpacing w:val="0"/>
        <w:jc w:val="both"/>
        <w:rPr>
          <w:rFonts w:ascii="Calibri" w:hAnsi="Calibri" w:cs="Calibri"/>
        </w:rPr>
      </w:pPr>
      <w:r w:rsidRPr="00AF3608">
        <w:rPr>
          <w:rFonts w:asciiTheme="minorHAnsi" w:hAnsiTheme="minorHAnsi" w:cs="Arial"/>
          <w:iCs/>
        </w:rPr>
        <w:t xml:space="preserve">prelungirea folosirii voucherelor de vacanță emise în anul 2019 și anul 2020 până la sfărșitul anului 2021 și suspendarea emiterii de vouchere de vacanță pentu anul 2021 de către autoritățile și instituțiile publice, astfel cum sunt definite la art. 2 alin. (1) pct. 30 din Legea nr. 500/2002, cu modificările şi completările ulterioare, şi la art. 2 alin. (1) pct. 39 din Legea nr. 273/2006, cu modificările şi completările ulterioare, indiferent de sistemul de finanţare şi de subordonare, inclusiv activităţile finanţate integral din venituri proprii, înfiinţate pe </w:t>
      </w:r>
      <w:r w:rsidRPr="00AF3608">
        <w:rPr>
          <w:rFonts w:asciiTheme="minorHAnsi" w:hAnsiTheme="minorHAnsi" w:cs="Arial"/>
          <w:iCs/>
        </w:rPr>
        <w:lastRenderedPageBreak/>
        <w:t>lângă instituţiile publice, precum și serviciile publice autonome de interes naţional, cu personalitate juridică, reglementate prin Legea nr.41/1994.</w:t>
      </w:r>
    </w:p>
    <w:p w:rsidR="002715C2" w:rsidRPr="00AF3608" w:rsidRDefault="002715C2" w:rsidP="00B723C0">
      <w:pPr>
        <w:jc w:val="both"/>
        <w:rPr>
          <w:rFonts w:asciiTheme="minorHAnsi" w:hAnsiTheme="minorHAnsi" w:cs="Arial"/>
          <w:bCs/>
          <w:lang w:val="ro-RO"/>
        </w:rPr>
      </w:pPr>
    </w:p>
    <w:p w:rsidR="002715C2" w:rsidRPr="00AF3608" w:rsidRDefault="002715C2" w:rsidP="00B723C0">
      <w:pPr>
        <w:jc w:val="both"/>
        <w:rPr>
          <w:rFonts w:asciiTheme="minorHAnsi" w:hAnsiTheme="minorHAnsi" w:cs="Arial"/>
          <w:bCs/>
          <w:lang w:val="ro-RO"/>
        </w:rPr>
      </w:pPr>
    </w:p>
    <w:p w:rsidR="003B553C" w:rsidRPr="00AF3608" w:rsidRDefault="002715C2" w:rsidP="003D5822">
      <w:pPr>
        <w:shd w:val="clear" w:color="auto" w:fill="A8D08D" w:themeFill="accent6" w:themeFillTint="99"/>
        <w:jc w:val="both"/>
        <w:rPr>
          <w:rFonts w:asciiTheme="minorHAnsi" w:hAnsiTheme="minorHAnsi" w:cstheme="minorHAnsi"/>
          <w:b/>
          <w:bCs/>
          <w:lang w:val="ro-RO"/>
        </w:rPr>
      </w:pPr>
      <w:r w:rsidRPr="00AF3608">
        <w:rPr>
          <w:rFonts w:asciiTheme="minorHAnsi" w:hAnsiTheme="minorHAnsi" w:cstheme="minorHAnsi"/>
          <w:b/>
          <w:bCs/>
          <w:lang w:val="ro-RO"/>
        </w:rPr>
        <w:t>Politica în domeniul muncii și protecției sociale</w:t>
      </w:r>
    </w:p>
    <w:p w:rsidR="003D5822" w:rsidRPr="00AF3608" w:rsidRDefault="003D5822" w:rsidP="003D5822">
      <w:pPr>
        <w:shd w:val="clear" w:color="auto" w:fill="F2F2F2" w:themeFill="background1" w:themeFillShade="F2"/>
        <w:spacing w:before="120"/>
        <w:jc w:val="both"/>
        <w:rPr>
          <w:rFonts w:asciiTheme="minorHAnsi" w:hAnsiTheme="minorHAnsi" w:cstheme="minorHAnsi"/>
          <w:bCs/>
          <w:lang w:val="ro-RO"/>
        </w:rPr>
      </w:pPr>
      <w:r w:rsidRPr="00AF3608">
        <w:rPr>
          <w:rFonts w:asciiTheme="minorHAnsi" w:hAnsiTheme="minorHAnsi" w:cstheme="minorHAnsi"/>
          <w:bCs/>
          <w:lang w:val="ro-RO"/>
        </w:rPr>
        <w:t>Principalele obiective strategice vizate de politica în domeniul muncii și protecției sociale sunt:</w:t>
      </w: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bCs/>
          <w:lang w:val="ro-RO"/>
        </w:rPr>
        <w:t>I POLITICI ACTIVE DE OCUPARE ȘI STIMULARE A MUNCII</w:t>
      </w:r>
    </w:p>
    <w:p w:rsidR="003D5822" w:rsidRPr="00AF3608" w:rsidRDefault="003D5822" w:rsidP="003D5822">
      <w:pPr>
        <w:autoSpaceDE w:val="0"/>
        <w:autoSpaceDN w:val="0"/>
        <w:spacing w:before="120"/>
        <w:jc w:val="both"/>
        <w:rPr>
          <w:rFonts w:asciiTheme="minorHAnsi" w:hAnsiTheme="minorHAnsi" w:cstheme="minorHAnsi"/>
          <w:lang w:val="ro-RO"/>
        </w:rPr>
      </w:pPr>
      <w:r w:rsidRPr="00AF3608">
        <w:rPr>
          <w:rFonts w:asciiTheme="minorHAnsi" w:hAnsiTheme="minorHAnsi" w:cstheme="minorHAnsi"/>
          <w:bCs/>
          <w:lang w:val="ro-RO"/>
        </w:rPr>
        <w:t xml:space="preserve">Obiectiv: </w:t>
      </w:r>
      <w:r w:rsidRPr="00AF3608">
        <w:rPr>
          <w:rFonts w:asciiTheme="minorHAnsi" w:hAnsiTheme="minorHAnsi" w:cstheme="minorHAnsi"/>
          <w:lang w:val="ro-RO"/>
        </w:rPr>
        <w:t>Eficientizarea politicii de ocupare și de stimulare a muncii, astfel încât să se ofere servicii competitive și adaptate realităților din piața muncii atât pentru angajatori, cât și pentru persoanele aflate în căutarea unui loc de muncă.</w:t>
      </w:r>
    </w:p>
    <w:p w:rsidR="003D5822" w:rsidRPr="00AF3608" w:rsidRDefault="003D5822" w:rsidP="003D5822">
      <w:pPr>
        <w:autoSpaceDE w:val="0"/>
        <w:autoSpaceDN w:val="0"/>
        <w:adjustRightInd w:val="0"/>
        <w:spacing w:before="120"/>
        <w:jc w:val="both"/>
        <w:rPr>
          <w:rFonts w:asciiTheme="minorHAnsi" w:hAnsiTheme="minorHAnsi" w:cstheme="minorHAnsi"/>
          <w:color w:val="000000"/>
          <w:lang w:val="ro-RO" w:eastAsia="en-GB"/>
        </w:rPr>
      </w:pPr>
      <w:r w:rsidRPr="00AF3608">
        <w:rPr>
          <w:rFonts w:asciiTheme="minorHAnsi" w:hAnsiTheme="minorHAnsi" w:cstheme="minorHAnsi"/>
          <w:color w:val="000000"/>
          <w:lang w:val="ro-RO" w:eastAsia="en-GB"/>
        </w:rPr>
        <w:t xml:space="preserve">Principalele măsuri: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Creșterea capacității Agenției Naționale pentru Ocuparea Forței de Muncă (Agenția) de identificare a oportunităților de angajare și sprijinirea, prin resurse proprii sau externalizate, a șomerilor, în găsirea unui loc de muncă;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Facilitarea accesului angajatorilor la resurse europene/naționale pentru pregătirea angajaților astfel încât să crească eficiența programelor de formare;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Creșterea capacității Agenției de a realiza prognoze/evaluări ex-ante privind evoluția pieței muncii, astfel încât să se anticipeze prioritățile în domeniu respectiv să se fundamenteze corespunzător luarea deciziilor;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Evaluarea măsurilor de sprijin pentru acordarea de beneficii persoanelor vulnerabile din punct de vedere economic;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Aplicarea legii privind la Venitul Minim de Incluziune în raport cu condițiile macroeconomice.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Actualizarea în conformitate cu nevoile pieței muncii a legii privind asigurările pentru șomaj și stimularea ocupării forței de muncă;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Continuarea măsurilor de sprijin a angajaților și angajatorilor în perioada post-pandemie Covid-19, inclusiv prin susținerea acestora din fonduri europene sau alte mecanisme (SURE) ;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Îmbunătățirea conținutului programelor de formare pentru ca cererea de locuri de muncă să se intersecteze cu oferta angajatorilor, inclusiv pentru categoriile de persoane care și-au pierdut locul de muncă în perioada pandemiei, prin prioritizarea dobândirii de cunoștințe în folosirea tehnologiei IT;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Sprijinirea Ministerului Educației și Cercetării în dezvoltarea unui program național de educație profesionala si vocațională, precum și în modificarea legii educației naționale pentru a elimina barierele administrative care împiedică dezvoltarea învățământului profesional si vocațional în sistem clasic sau în sistem dual;</w:t>
      </w:r>
    </w:p>
    <w:p w:rsidR="003D5822" w:rsidRPr="00AF3608" w:rsidRDefault="003D5822" w:rsidP="003A0B85">
      <w:pPr>
        <w:pStyle w:val="ListParagraph"/>
        <w:numPr>
          <w:ilvl w:val="0"/>
          <w:numId w:val="63"/>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Introducerea unui sistem de plată sub forma unor vouchere ca sistem de plată pentru muncă, non-birocratic, pentru zilieri și lucrători casnici, precum și pentru îngrijirea la domiciliu și bone.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În zonele cu o pondere semnificativă a unei minorități naționale se vor organiza cursurile de calificare și recalificare pentru persoanele aparținând acestor minorități și în limba lor maternă, facilitând în acest fel însușirea mai ușoară de competențe specifice necesare pentru integrarea pe piața forței de muncă.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szCs w:val="24"/>
        </w:rPr>
        <w:lastRenderedPageBreak/>
        <w:t>Asigurarea cadrului legal si procedural prin care activitatea intreprinderilor sociale de insertie este considerata masura activa de ocupare si incadrata in programele de incluziune in muncă.</w:t>
      </w:r>
    </w:p>
    <w:p w:rsidR="003D5822" w:rsidRPr="00AF3608" w:rsidRDefault="003D5822" w:rsidP="003D5822">
      <w:pPr>
        <w:autoSpaceDE w:val="0"/>
        <w:autoSpaceDN w:val="0"/>
        <w:adjustRightInd w:val="0"/>
        <w:spacing w:before="120"/>
        <w:jc w:val="both"/>
        <w:rPr>
          <w:rFonts w:asciiTheme="minorHAnsi" w:hAnsiTheme="minorHAnsi" w:cstheme="minorHAnsi"/>
          <w:color w:val="000000"/>
          <w:lang w:val="ro-RO" w:eastAsia="en-GB"/>
        </w:rPr>
      </w:pPr>
    </w:p>
    <w:p w:rsidR="003D5822" w:rsidRPr="00AF3608" w:rsidRDefault="003D5822" w:rsidP="003D5822">
      <w:pPr>
        <w:spacing w:before="120"/>
        <w:jc w:val="both"/>
        <w:rPr>
          <w:rFonts w:asciiTheme="minorHAnsi" w:hAnsiTheme="minorHAnsi" w:cstheme="minorHAnsi"/>
          <w:lang w:val="ro-RO"/>
        </w:rPr>
      </w:pPr>
      <w:r w:rsidRPr="00AF3608">
        <w:rPr>
          <w:rFonts w:asciiTheme="minorHAnsi" w:hAnsiTheme="minorHAnsi" w:cstheme="minorHAnsi"/>
          <w:lang w:val="ro-RO"/>
        </w:rPr>
        <w:t xml:space="preserve">Sunt în implementare măsuri prevăzute de acte normative în vigoare care vizează măsuri active și pasive destinate șomerilor și personelor în căutarea unui loc de muncă, acordă subvenții angajatorilor în vederea activării și încurajării ocupării categoriilor de persoane cu acces mai dificil pe piața muncii, precum și alte măsuri de sprijin financiar acordate angajatorilor, astfel: </w:t>
      </w:r>
    </w:p>
    <w:p w:rsidR="003D5822" w:rsidRPr="00AF3608" w:rsidRDefault="003D5822" w:rsidP="003A0B85">
      <w:pPr>
        <w:numPr>
          <w:ilvl w:val="0"/>
          <w:numId w:val="60"/>
        </w:numPr>
        <w:spacing w:before="120"/>
        <w:jc w:val="both"/>
        <w:rPr>
          <w:rFonts w:asciiTheme="minorHAnsi" w:hAnsiTheme="minorHAnsi" w:cstheme="minorHAnsi"/>
          <w:lang w:val="ro-RO"/>
        </w:rPr>
      </w:pPr>
      <w:r w:rsidRPr="00AF3608">
        <w:rPr>
          <w:rFonts w:asciiTheme="minorHAnsi" w:hAnsiTheme="minorHAnsi" w:cstheme="minorHAnsi"/>
          <w:lang w:val="ro-RO"/>
        </w:rPr>
        <w:t>Legea nr. 76/2002 privind sistemul asigurărilor pentru șomaj și stimularea ocupării forței de muncă, cu modificările și completările ulterioare:</w:t>
      </w:r>
    </w:p>
    <w:p w:rsidR="003D5822" w:rsidRPr="00AF3608" w:rsidRDefault="003D5822" w:rsidP="003A0B85">
      <w:pPr>
        <w:numPr>
          <w:ilvl w:val="0"/>
          <w:numId w:val="62"/>
        </w:numPr>
        <w:spacing w:before="120"/>
        <w:jc w:val="both"/>
        <w:rPr>
          <w:rFonts w:asciiTheme="minorHAnsi" w:hAnsiTheme="minorHAnsi" w:cstheme="minorHAnsi"/>
          <w:lang w:val="ro-RO"/>
        </w:rPr>
      </w:pPr>
      <w:r w:rsidRPr="00AF3608">
        <w:rPr>
          <w:rFonts w:asciiTheme="minorHAnsi" w:hAnsiTheme="minorHAnsi" w:cstheme="minorHAnsi"/>
          <w:lang w:val="ro-RO"/>
        </w:rPr>
        <w:t>Indemnizația de șomaj - art. 39</w:t>
      </w:r>
    </w:p>
    <w:p w:rsidR="003D5822" w:rsidRPr="00AF3608" w:rsidRDefault="003D5822" w:rsidP="003A0B85">
      <w:pPr>
        <w:numPr>
          <w:ilvl w:val="0"/>
          <w:numId w:val="62"/>
        </w:numPr>
        <w:spacing w:before="120"/>
        <w:jc w:val="both"/>
        <w:rPr>
          <w:rFonts w:asciiTheme="minorHAnsi" w:hAnsiTheme="minorHAnsi" w:cstheme="minorHAnsi"/>
          <w:lang w:val="ro-RO"/>
        </w:rPr>
      </w:pPr>
      <w:r w:rsidRPr="00AF3608">
        <w:rPr>
          <w:rFonts w:asciiTheme="minorHAnsi" w:hAnsiTheme="minorHAnsi" w:cstheme="minorHAnsi"/>
          <w:lang w:val="ro-RO"/>
        </w:rPr>
        <w:t>Formare profesională - art. 481</w:t>
      </w:r>
    </w:p>
    <w:p w:rsidR="003D5822" w:rsidRPr="00AF3608" w:rsidRDefault="003D5822" w:rsidP="003A0B85">
      <w:pPr>
        <w:numPr>
          <w:ilvl w:val="0"/>
          <w:numId w:val="62"/>
        </w:numPr>
        <w:spacing w:before="120"/>
        <w:jc w:val="both"/>
        <w:rPr>
          <w:rFonts w:asciiTheme="minorHAnsi" w:hAnsiTheme="minorHAnsi" w:cstheme="minorHAnsi"/>
          <w:lang w:val="ro-RO"/>
        </w:rPr>
      </w:pPr>
      <w:r w:rsidRPr="00AF3608">
        <w:rPr>
          <w:rFonts w:asciiTheme="minorHAnsi" w:hAnsiTheme="minorHAnsi" w:cstheme="minorHAnsi"/>
          <w:lang w:val="ro-RO"/>
        </w:rPr>
        <w:t xml:space="preserve">Stimularea creării de locuri de muncă - art.57 </w:t>
      </w:r>
    </w:p>
    <w:p w:rsidR="003D5822" w:rsidRPr="00AF3608" w:rsidRDefault="003D5822" w:rsidP="003A0B85">
      <w:pPr>
        <w:numPr>
          <w:ilvl w:val="0"/>
          <w:numId w:val="62"/>
        </w:numPr>
        <w:spacing w:before="120"/>
        <w:jc w:val="both"/>
        <w:rPr>
          <w:rFonts w:asciiTheme="minorHAnsi" w:hAnsiTheme="minorHAnsi" w:cstheme="minorHAnsi"/>
          <w:lang w:val="ro-RO"/>
        </w:rPr>
      </w:pPr>
      <w:r w:rsidRPr="00AF3608">
        <w:rPr>
          <w:rFonts w:asciiTheme="minorHAnsi" w:hAnsiTheme="minorHAnsi" w:cstheme="minorHAnsi"/>
          <w:lang w:val="ro-RO"/>
        </w:rPr>
        <w:t xml:space="preserve">Stimularea șomerilor care se angajează înainte de expirarea perioadei de șomaj - art. 72 </w:t>
      </w:r>
    </w:p>
    <w:p w:rsidR="003D5822" w:rsidRPr="00AF3608" w:rsidRDefault="003D5822" w:rsidP="003A0B85">
      <w:pPr>
        <w:numPr>
          <w:ilvl w:val="0"/>
          <w:numId w:val="62"/>
        </w:numPr>
        <w:spacing w:before="120"/>
        <w:jc w:val="both"/>
        <w:rPr>
          <w:rFonts w:asciiTheme="minorHAnsi" w:hAnsiTheme="minorHAnsi" w:cstheme="minorHAnsi"/>
          <w:lang w:val="ro-RO"/>
        </w:rPr>
      </w:pPr>
      <w:r w:rsidRPr="00AF3608">
        <w:rPr>
          <w:rFonts w:asciiTheme="minorHAnsi" w:hAnsiTheme="minorHAnsi" w:cstheme="minorHAnsi"/>
          <w:lang w:val="ro-RO"/>
        </w:rPr>
        <w:t>Prima de inserție care se acordă absolvenților instituțiilor de învățământ și absolvenților școlilor speciale - art. 731</w:t>
      </w:r>
    </w:p>
    <w:p w:rsidR="003D5822" w:rsidRPr="00AF3608" w:rsidRDefault="003D5822" w:rsidP="003A0B85">
      <w:pPr>
        <w:numPr>
          <w:ilvl w:val="0"/>
          <w:numId w:val="61"/>
        </w:numPr>
        <w:spacing w:before="120"/>
        <w:jc w:val="both"/>
        <w:rPr>
          <w:rFonts w:asciiTheme="minorHAnsi" w:hAnsiTheme="minorHAnsi" w:cstheme="minorHAnsi"/>
          <w:lang w:val="ro-RO"/>
        </w:rPr>
      </w:pPr>
      <w:r w:rsidRPr="00AF3608">
        <w:rPr>
          <w:rFonts w:asciiTheme="minorHAnsi" w:hAnsiTheme="minorHAnsi" w:cstheme="minorHAnsi"/>
          <w:lang w:val="ro-RO"/>
        </w:rPr>
        <w:t>Prima de activare care se acordă șomerilor care nu beneficiază de indemnizație de șomaj și care se încadrează în muncă pentru o perioadă mai mare de 3 luni – art. 732</w:t>
      </w:r>
    </w:p>
    <w:p w:rsidR="003D5822" w:rsidRPr="00AF3608" w:rsidRDefault="003D5822" w:rsidP="003A0B85">
      <w:pPr>
        <w:numPr>
          <w:ilvl w:val="0"/>
          <w:numId w:val="61"/>
        </w:numPr>
        <w:spacing w:before="120"/>
        <w:jc w:val="both"/>
        <w:rPr>
          <w:rFonts w:asciiTheme="minorHAnsi" w:hAnsiTheme="minorHAnsi" w:cstheme="minorHAnsi"/>
          <w:lang w:val="ro-RO"/>
        </w:rPr>
      </w:pPr>
      <w:r w:rsidRPr="00AF3608">
        <w:rPr>
          <w:rFonts w:asciiTheme="minorHAnsi" w:hAnsiTheme="minorHAnsi" w:cstheme="minorHAnsi"/>
          <w:lang w:val="ro-RO"/>
        </w:rPr>
        <w:t>Stimularea mobilității persoanelor înregistrate ca șomeri prin acordarea primei de încadrare – art. 74, primei de instalare – art. 75 și primei de relocare (chirie) – art. 762</w:t>
      </w:r>
    </w:p>
    <w:p w:rsidR="003D5822" w:rsidRPr="00AF3608" w:rsidRDefault="003D5822" w:rsidP="003A0B85">
      <w:pPr>
        <w:numPr>
          <w:ilvl w:val="0"/>
          <w:numId w:val="61"/>
        </w:numPr>
        <w:spacing w:before="120"/>
        <w:jc w:val="both"/>
        <w:rPr>
          <w:rFonts w:asciiTheme="minorHAnsi" w:hAnsiTheme="minorHAnsi" w:cstheme="minorHAnsi"/>
          <w:lang w:val="ro-RO"/>
        </w:rPr>
      </w:pPr>
      <w:r w:rsidRPr="00AF3608">
        <w:rPr>
          <w:rFonts w:asciiTheme="minorHAnsi" w:hAnsiTheme="minorHAnsi" w:cstheme="minorHAnsi"/>
          <w:lang w:val="ro-RO"/>
        </w:rPr>
        <w:t>Lucrări publice - Transferuri din bugetul asigurărilor pentru șomaj către bugetele locale pentru finanțarea programelor pentru ocuparea temporară a forței de muncă - art. 771</w:t>
      </w:r>
    </w:p>
    <w:p w:rsidR="003D5822" w:rsidRPr="00AF3608" w:rsidRDefault="003D5822" w:rsidP="003A0B85">
      <w:pPr>
        <w:numPr>
          <w:ilvl w:val="0"/>
          <w:numId w:val="61"/>
        </w:numPr>
        <w:spacing w:before="120"/>
        <w:jc w:val="both"/>
        <w:rPr>
          <w:rFonts w:asciiTheme="minorHAnsi" w:hAnsiTheme="minorHAnsi" w:cstheme="minorHAnsi"/>
          <w:lang w:val="ro-RO"/>
        </w:rPr>
      </w:pPr>
      <w:r w:rsidRPr="00AF3608">
        <w:rPr>
          <w:rFonts w:asciiTheme="minorHAnsi" w:hAnsiTheme="minorHAnsi" w:cstheme="minorHAnsi"/>
          <w:lang w:val="ro-RO"/>
        </w:rPr>
        <w:t xml:space="preserve">Stimularea angajatorilor care angajează absolvenți - art.80 </w:t>
      </w:r>
    </w:p>
    <w:p w:rsidR="003D5822" w:rsidRPr="00AF3608" w:rsidRDefault="003D5822" w:rsidP="003A0B85">
      <w:pPr>
        <w:numPr>
          <w:ilvl w:val="0"/>
          <w:numId w:val="61"/>
        </w:numPr>
        <w:spacing w:before="120"/>
        <w:jc w:val="both"/>
        <w:rPr>
          <w:rFonts w:asciiTheme="minorHAnsi" w:hAnsiTheme="minorHAnsi" w:cstheme="minorHAnsi"/>
          <w:lang w:val="ro-RO"/>
        </w:rPr>
      </w:pPr>
      <w:r w:rsidRPr="00AF3608">
        <w:rPr>
          <w:rFonts w:asciiTheme="minorHAnsi" w:hAnsiTheme="minorHAnsi" w:cstheme="minorHAnsi"/>
          <w:lang w:val="ro-RO"/>
        </w:rPr>
        <w:t>Stimularea angajatorilor care angajează șomeri apaținând unor categorii defavorizate - art.85</w:t>
      </w:r>
    </w:p>
    <w:p w:rsidR="003D5822" w:rsidRPr="00AF3608" w:rsidRDefault="003D5822" w:rsidP="003A0B85">
      <w:pPr>
        <w:numPr>
          <w:ilvl w:val="0"/>
          <w:numId w:val="61"/>
        </w:numPr>
        <w:spacing w:before="120"/>
        <w:jc w:val="both"/>
        <w:rPr>
          <w:rFonts w:asciiTheme="minorHAnsi" w:hAnsiTheme="minorHAnsi" w:cstheme="minorHAnsi"/>
          <w:lang w:val="ro-RO"/>
        </w:rPr>
      </w:pPr>
      <w:r w:rsidRPr="00AF3608">
        <w:rPr>
          <w:rFonts w:asciiTheme="minorHAnsi" w:hAnsiTheme="minorHAnsi" w:cstheme="minorHAnsi"/>
          <w:lang w:val="ro-RO"/>
        </w:rPr>
        <w:t xml:space="preserve">Combaterea marginalizarii sociale - art. 931, art. 934, art. 936 </w:t>
      </w:r>
    </w:p>
    <w:p w:rsidR="003D5822" w:rsidRPr="00AF3608" w:rsidRDefault="003D5822" w:rsidP="003A0B85">
      <w:pPr>
        <w:numPr>
          <w:ilvl w:val="0"/>
          <w:numId w:val="61"/>
        </w:numPr>
        <w:spacing w:before="120"/>
        <w:jc w:val="both"/>
        <w:rPr>
          <w:rFonts w:asciiTheme="minorHAnsi" w:hAnsiTheme="minorHAnsi" w:cstheme="minorHAnsi"/>
          <w:lang w:val="ro-RO"/>
        </w:rPr>
      </w:pPr>
      <w:r w:rsidRPr="00AF3608">
        <w:rPr>
          <w:rFonts w:asciiTheme="minorHAnsi" w:hAnsiTheme="minorHAnsi" w:cstheme="minorHAnsi"/>
          <w:lang w:val="ro-RO"/>
        </w:rPr>
        <w:t>Bursa locurilor de muncă</w:t>
      </w:r>
    </w:p>
    <w:p w:rsidR="003D5822" w:rsidRPr="00AF3608" w:rsidRDefault="003D5822" w:rsidP="003A0B85">
      <w:pPr>
        <w:numPr>
          <w:ilvl w:val="0"/>
          <w:numId w:val="61"/>
        </w:numPr>
        <w:spacing w:before="120"/>
        <w:jc w:val="both"/>
        <w:rPr>
          <w:rFonts w:asciiTheme="minorHAnsi" w:hAnsiTheme="minorHAnsi" w:cstheme="minorHAnsi"/>
          <w:lang w:val="ro-RO"/>
        </w:rPr>
      </w:pPr>
      <w:r w:rsidRPr="00AF3608">
        <w:rPr>
          <w:rFonts w:asciiTheme="minorHAnsi" w:hAnsiTheme="minorHAnsi" w:cstheme="minorHAnsi"/>
          <w:lang w:val="ro-RO"/>
        </w:rPr>
        <w:t>Transferuri către instituții publice</w:t>
      </w:r>
    </w:p>
    <w:p w:rsidR="003D5822" w:rsidRPr="00AF3608" w:rsidRDefault="003D5822" w:rsidP="003A0B85">
      <w:pPr>
        <w:numPr>
          <w:ilvl w:val="0"/>
          <w:numId w:val="60"/>
        </w:numPr>
        <w:spacing w:before="120"/>
        <w:jc w:val="both"/>
        <w:rPr>
          <w:rFonts w:asciiTheme="minorHAnsi" w:hAnsiTheme="minorHAnsi" w:cstheme="minorHAnsi"/>
          <w:lang w:val="ro-RO"/>
        </w:rPr>
      </w:pPr>
      <w:r w:rsidRPr="00AF3608">
        <w:rPr>
          <w:rFonts w:asciiTheme="minorHAnsi" w:hAnsiTheme="minorHAnsi" w:cstheme="minorHAnsi"/>
          <w:lang w:val="ro-RO"/>
        </w:rPr>
        <w:t>Legea nr. 279/2005 privind ucenicia la locul de muncă, republicată, cu modificările și completările ulterioare:</w:t>
      </w:r>
    </w:p>
    <w:p w:rsidR="003D5822" w:rsidRPr="00AF3608" w:rsidRDefault="003D5822" w:rsidP="003A0B85">
      <w:pPr>
        <w:numPr>
          <w:ilvl w:val="0"/>
          <w:numId w:val="61"/>
        </w:numPr>
        <w:spacing w:before="120"/>
        <w:jc w:val="both"/>
        <w:rPr>
          <w:rFonts w:asciiTheme="minorHAnsi" w:hAnsiTheme="minorHAnsi" w:cstheme="minorHAnsi"/>
          <w:lang w:val="ro-RO"/>
        </w:rPr>
      </w:pPr>
      <w:r w:rsidRPr="00AF3608">
        <w:rPr>
          <w:rFonts w:asciiTheme="minorHAnsi" w:hAnsiTheme="minorHAnsi" w:cstheme="minorHAnsi"/>
          <w:lang w:val="ro-RO"/>
        </w:rPr>
        <w:t xml:space="preserve">Stimularea angajatorilor pentru formarea profesionala a ucenicilor </w:t>
      </w:r>
    </w:p>
    <w:p w:rsidR="003D5822" w:rsidRPr="00AF3608" w:rsidRDefault="003D5822" w:rsidP="003A0B85">
      <w:pPr>
        <w:numPr>
          <w:ilvl w:val="0"/>
          <w:numId w:val="60"/>
        </w:numPr>
        <w:spacing w:before="120"/>
        <w:jc w:val="both"/>
        <w:rPr>
          <w:rFonts w:asciiTheme="minorHAnsi" w:hAnsiTheme="minorHAnsi" w:cstheme="minorHAnsi"/>
          <w:lang w:val="ro-RO"/>
        </w:rPr>
      </w:pPr>
      <w:r w:rsidRPr="00AF3608">
        <w:rPr>
          <w:rFonts w:asciiTheme="minorHAnsi" w:hAnsiTheme="minorHAnsi" w:cstheme="minorHAnsi"/>
          <w:lang w:val="ro-RO"/>
        </w:rPr>
        <w:t>Legea nr. 335/2013 privind efectuarea stagiului pentru absolvenții de învățământ superior, cu modificările și completările ulterioare:</w:t>
      </w:r>
    </w:p>
    <w:p w:rsidR="003D5822" w:rsidRPr="00AF3608" w:rsidRDefault="003D5822" w:rsidP="003A0B85">
      <w:pPr>
        <w:numPr>
          <w:ilvl w:val="0"/>
          <w:numId w:val="61"/>
        </w:numPr>
        <w:spacing w:before="120"/>
        <w:jc w:val="both"/>
        <w:rPr>
          <w:rFonts w:asciiTheme="minorHAnsi" w:hAnsiTheme="minorHAnsi" w:cstheme="minorHAnsi"/>
          <w:lang w:val="ro-RO"/>
        </w:rPr>
      </w:pPr>
      <w:r w:rsidRPr="00AF3608">
        <w:rPr>
          <w:rFonts w:asciiTheme="minorHAnsi" w:hAnsiTheme="minorHAnsi" w:cstheme="minorHAnsi"/>
          <w:lang w:val="ro-RO"/>
        </w:rPr>
        <w:t xml:space="preserve">Stimularea angajatorilor care angajeaza stagiari </w:t>
      </w:r>
    </w:p>
    <w:p w:rsidR="003D5822" w:rsidRPr="00AF3608" w:rsidRDefault="003D5822" w:rsidP="003A0B85">
      <w:pPr>
        <w:numPr>
          <w:ilvl w:val="0"/>
          <w:numId w:val="60"/>
        </w:numPr>
        <w:spacing w:before="120"/>
        <w:jc w:val="both"/>
        <w:rPr>
          <w:rFonts w:asciiTheme="minorHAnsi" w:hAnsiTheme="minorHAnsi" w:cstheme="minorHAnsi"/>
          <w:lang w:val="ro-RO"/>
        </w:rPr>
      </w:pPr>
      <w:r w:rsidRPr="00AF3608">
        <w:rPr>
          <w:rFonts w:asciiTheme="minorHAnsi" w:hAnsiTheme="minorHAnsi" w:cstheme="minorHAnsi"/>
          <w:lang w:val="ro-RO"/>
        </w:rPr>
        <w:t>Legea nr. 72/2007 privind stimularea încadrării în muncă a elevilor şi studenţilor, cu modificările și completările ulterioare:</w:t>
      </w:r>
    </w:p>
    <w:p w:rsidR="003D5822" w:rsidRPr="00AF3608" w:rsidRDefault="003D5822" w:rsidP="003A0B85">
      <w:pPr>
        <w:numPr>
          <w:ilvl w:val="0"/>
          <w:numId w:val="61"/>
        </w:numPr>
        <w:spacing w:before="120"/>
        <w:jc w:val="both"/>
        <w:rPr>
          <w:rFonts w:asciiTheme="minorHAnsi" w:hAnsiTheme="minorHAnsi" w:cstheme="minorHAnsi"/>
          <w:lang w:val="ro-RO"/>
        </w:rPr>
      </w:pPr>
      <w:r w:rsidRPr="00AF3608">
        <w:rPr>
          <w:rFonts w:asciiTheme="minorHAnsi" w:hAnsiTheme="minorHAnsi" w:cstheme="minorHAnsi"/>
          <w:lang w:val="ro-RO"/>
        </w:rPr>
        <w:lastRenderedPageBreak/>
        <w:t>Stimularea angajatorilor care încadrează în muncă elevi și studenți pe perioada vacanțelor</w:t>
      </w:r>
    </w:p>
    <w:p w:rsidR="003D5822" w:rsidRPr="00AF3608" w:rsidRDefault="003D5822" w:rsidP="003D5822">
      <w:pPr>
        <w:autoSpaceDE w:val="0"/>
        <w:autoSpaceDN w:val="0"/>
        <w:adjustRightInd w:val="0"/>
        <w:spacing w:before="120"/>
        <w:jc w:val="both"/>
        <w:rPr>
          <w:rFonts w:asciiTheme="minorHAnsi" w:hAnsiTheme="minorHAnsi" w:cstheme="minorHAnsi"/>
          <w:color w:val="000000"/>
          <w:lang w:val="ro-RO" w:eastAsia="en-GB"/>
        </w:rPr>
      </w:pPr>
      <w:r w:rsidRPr="00AF3608">
        <w:rPr>
          <w:rFonts w:asciiTheme="minorHAnsi" w:hAnsiTheme="minorHAnsi" w:cstheme="minorHAnsi"/>
          <w:b/>
          <w:bCs/>
          <w:color w:val="000000"/>
          <w:lang w:val="ro-RO" w:eastAsia="en-GB"/>
        </w:rPr>
        <w:t xml:space="preserve">Măsuri pentru salariații din România: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Introducerea și încurajarea formelor flexibile de muncă pentru a preveni evaziunea fiscală ;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Digitalizarea relațiilor de muncă, în sensul utilizării semnăturii electronic în toate documentele necesare desfășurării acestora și simplificarea mecanismelor de desfășurarea a telemuncii (inclusiv în ce privește sănătatea și securitatea în muncă);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Creșterea capacității partenerilor sociali pentru angajarea activă și eficientă în desfășurarea negocierilor colective;</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Înregistrarea tuturor salariaților din România (indiferent de forma contractuală) într-un sistem unic de evidență;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Implementarea unui mecanism obiectiv de stabilire a salariului minim brut pe țară garantat în plată, care să implice și consultarea între partenerii sociali;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Elaborarea unui proiect de lege privind organizarea și funcționarea Inspecției Muncii, corelat cu standardele de lucru ale instituțiilor similare din UE;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szCs w:val="24"/>
        </w:rPr>
        <w:t xml:space="preserve">Demararea unei ample evaluări obiective asupra criteriilor care stau la baza salarizării în sistemul public, ca o condiție esențială a îmbunătățirii cadrului legislativ (Legea nr.153/2017).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Sprijinirea Ministerului Finanțelor Publice (prin analizarea facilităților fiscale oportune) și a autorităților locale din marile aglomerări urbane pentru amenajarea de creșe în incinta clădirilor de birouri, ca o măsură activă de stimulare a reîntoarcerii la serviciu înainte de expirarea perioadei de 2 ani, și implicit, de creștere a natalității;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Sprijinirea Ministerului Finanțelor Publice în aplicarea unor măsuri de deductibilitate pentru familiile cu mai mulți copii, ca măsură activă de încurajare a creșterii natalității, cu punctaje diferențiate în funcție de numărul de copii și în accesul la programe de creditare de locuire pentru achiziționarea unor noi locuințe sau renovarea și extinderea celor existente; această măsură trebuie corelată cu o activă implicare a autorităților locale în dezvoltarea infrastructurii necesare pentru îngrijirea copiilor, astfel încât părinții să fie încurajați să revină la muncă;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Flexibilizarea acordării celor 730 de zile de concediu de creștere a copilului pentru ambii părinți pe o perioadă mai lungă de timp, păstrând sistemul prezent ca un drept la latitudinea angajatului și introducând și mecanisme flexibile în acord cu angajatorul, urmărind modelul suedez, fără creșterea impactului bugetar ;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Colaborarea cu Ministerul Finanțelor Publice pentru a analiza oportunitatea și forma revizuirii actualului nivel de impozitare a muncii în România. O asemenea măsură va contribui la reducerea fenomenului muncii la negru ; </w:t>
      </w:r>
    </w:p>
    <w:p w:rsidR="003D5822" w:rsidRPr="00AF3608" w:rsidRDefault="003D5822" w:rsidP="003D5822">
      <w:pPr>
        <w:pStyle w:val="ListParagraph"/>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bCs/>
          <w:lang w:val="ro-RO"/>
        </w:rPr>
        <w:t>II POLITICI CORECTE ȘI EFICIENTE VIZÂND PENSIILE</w:t>
      </w:r>
    </w:p>
    <w:p w:rsidR="003D5822" w:rsidRPr="00AF3608" w:rsidRDefault="003D5822" w:rsidP="003D5822">
      <w:pPr>
        <w:autoSpaceDE w:val="0"/>
        <w:autoSpaceDN w:val="0"/>
        <w:spacing w:before="120"/>
        <w:jc w:val="both"/>
        <w:rPr>
          <w:rFonts w:asciiTheme="minorHAnsi" w:hAnsiTheme="minorHAnsi" w:cstheme="minorHAnsi"/>
          <w:lang w:val="ro-RO"/>
        </w:rPr>
      </w:pPr>
      <w:r w:rsidRPr="00AF3608">
        <w:rPr>
          <w:rFonts w:asciiTheme="minorHAnsi" w:hAnsiTheme="minorHAnsi" w:cstheme="minorHAnsi"/>
          <w:lang w:val="ro-RO"/>
        </w:rPr>
        <w:t xml:space="preserve">Aplicarea generală a principiului contributivității în stabilirea dreptului la pensie. </w:t>
      </w:r>
    </w:p>
    <w:p w:rsidR="003D5822" w:rsidRPr="00AF3608" w:rsidRDefault="003D5822" w:rsidP="003D5822">
      <w:pPr>
        <w:autoSpaceDE w:val="0"/>
        <w:autoSpaceDN w:val="0"/>
        <w:adjustRightInd w:val="0"/>
        <w:spacing w:before="120"/>
        <w:jc w:val="both"/>
        <w:rPr>
          <w:rFonts w:asciiTheme="minorHAnsi" w:hAnsiTheme="minorHAnsi" w:cstheme="minorHAnsi"/>
          <w:color w:val="000000"/>
          <w:lang w:val="ro-RO" w:eastAsia="en-GB"/>
        </w:rPr>
      </w:pPr>
      <w:r w:rsidRPr="00AF3608">
        <w:rPr>
          <w:rFonts w:asciiTheme="minorHAnsi" w:hAnsiTheme="minorHAnsi" w:cstheme="minorHAnsi"/>
          <w:color w:val="000000"/>
          <w:lang w:val="ro-RO" w:eastAsia="en-GB"/>
        </w:rPr>
        <w:t>Creșterea nivelului de informare a pensionarilor cu privire la întreg cadrul legal și a modificărilor din ultimii ani. Întărirea capacității sistemului de identificare și implementare a soluțiilor de creștere a eficienței în furnizarea serviciilor pentru pensionari, indiferent de locul de reședință. Dezvoltarea de programe de implicarea a pensionarilor în comunitate prin activități de voluntariat sau petrecere a timpului liber.</w:t>
      </w:r>
    </w:p>
    <w:p w:rsidR="003D5822" w:rsidRPr="00AF3608" w:rsidRDefault="003D5822" w:rsidP="003D5822">
      <w:pPr>
        <w:autoSpaceDE w:val="0"/>
        <w:autoSpaceDN w:val="0"/>
        <w:spacing w:before="120"/>
        <w:jc w:val="both"/>
        <w:rPr>
          <w:rFonts w:asciiTheme="minorHAnsi" w:hAnsiTheme="minorHAnsi" w:cstheme="minorHAnsi"/>
          <w:color w:val="000000"/>
          <w:lang w:val="ro-RO" w:eastAsia="en-GB"/>
        </w:rPr>
      </w:pPr>
      <w:r w:rsidRPr="00AF3608">
        <w:rPr>
          <w:rFonts w:asciiTheme="minorHAnsi" w:hAnsiTheme="minorHAnsi" w:cstheme="minorHAnsi"/>
          <w:lang w:val="ro-RO"/>
        </w:rPr>
        <w:lastRenderedPageBreak/>
        <w:t>Consolidarea  abilităților de management la nivelul conducerii caselor de pensii, prin fixarea, de la începutul anului 2021 a unor indicatori de performanță clari pentru toate casele. Un criteriu de evaluare esențial se va referi la recuperarea în totalitate a întârzierilor (unele extrem de mari) în emiterea deciziilor de pensionare, a deciziilor de recalculare respectiv a deciziilor pentru pensiile comunitare.</w:t>
      </w:r>
    </w:p>
    <w:p w:rsidR="003D5822" w:rsidRPr="00AF3608" w:rsidRDefault="003D5822" w:rsidP="003D5822">
      <w:pPr>
        <w:autoSpaceDE w:val="0"/>
        <w:autoSpaceDN w:val="0"/>
        <w:adjustRightInd w:val="0"/>
        <w:spacing w:before="120"/>
        <w:jc w:val="both"/>
        <w:rPr>
          <w:rFonts w:asciiTheme="minorHAnsi" w:hAnsiTheme="minorHAnsi" w:cstheme="minorHAnsi"/>
          <w:color w:val="000000"/>
          <w:lang w:val="ro-RO" w:eastAsia="en-GB"/>
        </w:rPr>
      </w:pPr>
      <w:r w:rsidRPr="00AF3608">
        <w:rPr>
          <w:rFonts w:asciiTheme="minorHAnsi" w:hAnsiTheme="minorHAnsi" w:cstheme="minorHAnsi"/>
          <w:color w:val="000000"/>
          <w:lang w:val="ro-RO" w:eastAsia="en-GB"/>
        </w:rPr>
        <w:t xml:space="preserve">Principalele măsuri: </w:t>
      </w:r>
    </w:p>
    <w:p w:rsidR="003D5822" w:rsidRPr="00AF3608" w:rsidRDefault="003D5822" w:rsidP="003A0B85">
      <w:pPr>
        <w:pStyle w:val="ListParagraph"/>
        <w:numPr>
          <w:ilvl w:val="0"/>
          <w:numId w:val="64"/>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Creșterea capacității caselor de pensii în folosirea tehnologiei pentru rezolvarea solicitărilor pensionarilor;</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Întărirea capacității de comunicare/ răspuns la solicitările de informații ale beneficiarilor;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Eficientizarea activității caselor de pensii, inclusiv prin evaluarea oportunității externalizării unor componente în furnizarea serviciilor;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Stabilirea unui mecanism privind predictibilitatea creșterii anuale a punctului de pensie;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Evaluarea impactului legii pensiilor din sistemul public în urma activității unui grup de lucru cu Ministerul Finanțelor Publice, cu Casa Națională de Pensii Publice și cu Comisia Națională de Strategie și Prognoză, precum si organizații reprezentative ale vârstnicilor, în urma căreia să se identifice măsuri pentru reducerea inechităților din sistemul public de pensii (cu apreciere pentru activitatea celor care au muncit cu un nivel redus de contribuții la stat);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Crearea unei comisii speciale parlamentare pentru identificarea și rezolvarea inechităților din tot sistemul de pensii.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Creșterea contribuțiilor către Pilonul II de pensii cu un punct procentual de la 3,75%, cât este în prezent, după transferul contribuțiilor sociale în sarcina angajaților, până la 4,75% în 2024;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Promovarea unor soluții legislative pentru dezvoltarea sistemului de pensii private: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Contribuții la completarea cadrului legislativ care vizează regimul fiscal aplicabil fondurilor de pensii ocupaționale, administratorilor acestora, participanților la fonduri și angajatorilor;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Susținerea adoptării cadrului legal necesar introducerii produselor pan-europene de pensii ca nou vehicul de economisire pentru investiții europene și finanțare durabilă;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Promovarea cadrului legal care vizează organizarea și funcționarea sistemului de plată a pensiilor private (proiect de Lege privind plata pensiilor private);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Flexibilizarea și dezvoltarea legislației de pensii facultative, prin adaptarea profilului de risc la parametrii persoanei în cauză (vârstă, obiectiv), a criteriilor de deductibilitate a cheltuielilor angajatorilor care contribuie la pensiile facultative și crearea de noi produse de acest tip; </w:t>
      </w:r>
    </w:p>
    <w:p w:rsidR="003D5822"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Politici publice eficiente pentru salariații din România, inclusiv prin descurajarea încălcării legislației privind relațiile de muncă printr-o activitate eficientă a Inspecției Muncii și eliminarea interferenței politice în activitatea din teren a acesteia. </w:t>
      </w:r>
    </w:p>
    <w:p w:rsidR="00497313" w:rsidRPr="00AF3608" w:rsidRDefault="00497313"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bCs/>
          <w:lang w:val="ro-RO"/>
        </w:rPr>
        <w:t>III ASISTENȚĂ SOCIALĂ ÎNDREPTATĂ CĂTRE NEVOILE REALE ALE BENEFICIARILOR</w:t>
      </w:r>
    </w:p>
    <w:p w:rsidR="003D5822" w:rsidRPr="00AF3608" w:rsidRDefault="003D5822" w:rsidP="003D5822">
      <w:pPr>
        <w:autoSpaceDE w:val="0"/>
        <w:autoSpaceDN w:val="0"/>
        <w:spacing w:before="120"/>
        <w:jc w:val="both"/>
        <w:rPr>
          <w:rFonts w:asciiTheme="minorHAnsi" w:hAnsiTheme="minorHAnsi" w:cstheme="minorHAnsi"/>
          <w:lang w:val="ro-RO"/>
        </w:rPr>
      </w:pPr>
      <w:r w:rsidRPr="00AF3608">
        <w:rPr>
          <w:rFonts w:asciiTheme="minorHAnsi" w:hAnsiTheme="minorHAnsi" w:cstheme="minorHAnsi"/>
          <w:lang w:val="ro-RO"/>
        </w:rPr>
        <w:t xml:space="preserve">Nevoile persoanelor vulnerabile abordate coordonat și intersectorial cu măsuri țintite, precum  accesibilizarea mediului fizic și informațional pentru persoanele cu dizabilități, întărirea capacității de intervenție integrată în cazurile de violență domestica. </w:t>
      </w: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lang w:val="ro-RO"/>
        </w:rPr>
        <w:t>Adresarea nevoilor specifice ale clientului vulnerabil din sistemul energetic, atât prin redefinirea consumatorului vulnerabil cât și prin asigurarea conectarii si accesului la electricitate in gospodariile vulnerabile, cu prioritate pentru cele cu copii, sprijinind astfel și accesul la educație online.</w:t>
      </w: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bCs/>
          <w:lang w:val="ro-RO"/>
        </w:rPr>
        <w:lastRenderedPageBreak/>
        <w:t>Obiectiv: Asigurarea unor condiții de trai decente pentru familiile în dificultate și categoriile sociale vulnerabile.</w:t>
      </w: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bCs/>
          <w:lang w:val="ro-RO"/>
        </w:rPr>
        <w:t xml:space="preserve">Beneficii și servicii de asistență socială și inspecție socială </w:t>
      </w:r>
    </w:p>
    <w:p w:rsidR="003D5822" w:rsidRPr="00AF3608" w:rsidRDefault="003D5822" w:rsidP="003A0B85">
      <w:pPr>
        <w:pStyle w:val="ListParagraph"/>
        <w:numPr>
          <w:ilvl w:val="0"/>
          <w:numId w:val="65"/>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Stabilirea măsurilor de protecție socială pentru clientul vulnerabil din sistemul energetic; </w:t>
      </w:r>
    </w:p>
    <w:p w:rsidR="003D5822" w:rsidRPr="00AF3608" w:rsidRDefault="003D5822" w:rsidP="003A0B85">
      <w:pPr>
        <w:pStyle w:val="ListParagraph"/>
        <w:numPr>
          <w:ilvl w:val="0"/>
          <w:numId w:val="65"/>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Stabilirea unui mecanism obiectiv de creștere anuală a indicelui social de referință; </w:t>
      </w:r>
    </w:p>
    <w:p w:rsidR="003D5822" w:rsidRPr="00AF3608" w:rsidRDefault="003D5822" w:rsidP="003A0B85">
      <w:pPr>
        <w:pStyle w:val="ListParagraph"/>
        <w:numPr>
          <w:ilvl w:val="0"/>
          <w:numId w:val="65"/>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Colaborarea cu Ministerul Educației și Cercetării și cu Ministerul Sănătății, în vederea furnizării de servicii și beneficii integrate;</w:t>
      </w:r>
    </w:p>
    <w:p w:rsidR="003D5822" w:rsidRPr="00AF3608" w:rsidRDefault="003D5822" w:rsidP="003A0B85">
      <w:pPr>
        <w:pStyle w:val="ListParagraph"/>
        <w:numPr>
          <w:ilvl w:val="0"/>
          <w:numId w:val="65"/>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Dezvoltarea unui sistem integrat de management al informațiilor din domeniul asistenței și beneficiilor sociale; </w:t>
      </w:r>
    </w:p>
    <w:p w:rsidR="003D5822" w:rsidRPr="00AF3608" w:rsidRDefault="003D5822" w:rsidP="003A0B85">
      <w:pPr>
        <w:pStyle w:val="ListParagraph"/>
        <w:numPr>
          <w:ilvl w:val="0"/>
          <w:numId w:val="65"/>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Îmbunătățirea procedurilor de realizare a inspecției sociale; </w:t>
      </w:r>
    </w:p>
    <w:p w:rsidR="003D5822" w:rsidRPr="00AF3608" w:rsidRDefault="003D5822" w:rsidP="003A0B85">
      <w:pPr>
        <w:pStyle w:val="ListParagraph"/>
        <w:numPr>
          <w:ilvl w:val="0"/>
          <w:numId w:val="65"/>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Întărirea capacității de intervenție integrată în cazurile de violență domestică, prin formarea tuturor categoriilor persoanelor responsabile; </w:t>
      </w:r>
    </w:p>
    <w:p w:rsidR="003D5822" w:rsidRPr="00AF3608" w:rsidRDefault="003D5822" w:rsidP="003A0B85">
      <w:pPr>
        <w:pStyle w:val="ListParagraph"/>
        <w:numPr>
          <w:ilvl w:val="0"/>
          <w:numId w:val="65"/>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Crearea unui cadru pentru a face posibile transferurile de cazuri sociale între județe și de finanțare a acestora; </w:t>
      </w:r>
    </w:p>
    <w:p w:rsidR="003D5822" w:rsidRPr="00AF3608" w:rsidRDefault="003D5822" w:rsidP="003A0B85">
      <w:pPr>
        <w:pStyle w:val="ListParagraph"/>
        <w:numPr>
          <w:ilvl w:val="0"/>
          <w:numId w:val="65"/>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Intensificarea colaborării cu autoritățile locale pentru cunoașterea serviciilor la nivelul comunităților și pentru încurajarea accesării acestora; </w:t>
      </w:r>
    </w:p>
    <w:p w:rsidR="003D5822" w:rsidRPr="00AF3608" w:rsidRDefault="003D5822" w:rsidP="003A0B85">
      <w:pPr>
        <w:pStyle w:val="ListParagraph"/>
        <w:numPr>
          <w:ilvl w:val="0"/>
          <w:numId w:val="65"/>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szCs w:val="24"/>
        </w:rPr>
        <w:t>Finanțarea investitiilor pentru centre de zi pentru copii, pentru persoane cu dizabilități și adulte, inclusiv pentru centre rezidențiale pentru persoane vârstnice.</w:t>
      </w:r>
    </w:p>
    <w:p w:rsidR="003D5822" w:rsidRPr="00AF3608" w:rsidRDefault="003D5822" w:rsidP="003A0B85">
      <w:pPr>
        <w:pStyle w:val="ListParagraph"/>
        <w:numPr>
          <w:ilvl w:val="0"/>
          <w:numId w:val="65"/>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szCs w:val="24"/>
        </w:rPr>
        <w:t>Dezvoltarea sistemului public și privat de îngrijire pe termen lung;</w:t>
      </w:r>
    </w:p>
    <w:p w:rsidR="003D5822" w:rsidRPr="00AF3608" w:rsidRDefault="003D5822" w:rsidP="003A0B85">
      <w:pPr>
        <w:pStyle w:val="ListParagraph"/>
        <w:numPr>
          <w:ilvl w:val="0"/>
          <w:numId w:val="65"/>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szCs w:val="24"/>
        </w:rPr>
        <w:t>Stimularea reîntoarcerii în țară a personalului calificat în domeniul îngrijirii din Diaspora.</w:t>
      </w: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bCs/>
          <w:lang w:val="ro-RO"/>
        </w:rPr>
        <w:t>Ministerul Muncii și Protecției Sociale este responsabil de elaborarea proiectului Strategiei de incluziune socială și reducere a sărăciei 2021-2027 care reprezintă una dintre condițiile favorizante impuse de Comisia Europeană - CS 13. Cadru de politică strategic național pentru incluziune socială și reducerea sărăciei. De realizarea acestui document strategic depinde finanțarea măsurilor din domeniul incluziunii sociale și reducerii sărăciei din fondurile europene aferente cadrului financiar 2021-2027.</w:t>
      </w: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bCs/>
          <w:lang w:val="ro-RO"/>
        </w:rPr>
        <w:t>Obiectivul general al Strategiei este reducerea cu cel puțin 10%, față de anul 2020, a numărului de persoane expuse riscului de sărăcie sau excluziune socială, până în anul 2027.</w:t>
      </w: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bCs/>
          <w:lang w:val="ro-RO"/>
        </w:rPr>
        <w:t>Activitatea serviciilor sociale are impact atât în redresarea socială și economică post-Covid-19, contribuind la efortul de a contracara situațiile de criză, cât și prin rolul în reducerea sărăciei și incluziunii sociale, printr-o abordare integrată împreună cu serviciile de sănătate, educație și ocupare.</w:t>
      </w: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bCs/>
          <w:lang w:val="ro-RO"/>
        </w:rPr>
        <w:t>Totodată, digitalizarea unui sector cheie precum sistemul de asistență socială, atât în componenta de furnizare a serviciilor și cea de acordare a beneficiilor se încadrează atât în componenta de reziliență în fața unor șocuri viitoare, dar și în obiectivul tranziției către o Europă digitală. Totodată, este cheie investiția în abilitățile digitale ale populației vulnerabile pentru a face posibilă utilizarea unor servicii modernizate și mai accesibile.</w:t>
      </w:r>
    </w:p>
    <w:p w:rsidR="003D5822" w:rsidRPr="00AF3608" w:rsidRDefault="003D5822" w:rsidP="003D5822">
      <w:pPr>
        <w:autoSpaceDE w:val="0"/>
        <w:autoSpaceDN w:val="0"/>
        <w:spacing w:before="120"/>
        <w:jc w:val="both"/>
        <w:rPr>
          <w:rFonts w:asciiTheme="minorHAnsi" w:hAnsiTheme="minorHAnsi" w:cstheme="minorHAnsi"/>
          <w:bCs/>
          <w:i/>
          <w:lang w:val="ro-RO"/>
        </w:rPr>
      </w:pPr>
      <w:r w:rsidRPr="00AF3608">
        <w:rPr>
          <w:rFonts w:asciiTheme="minorHAnsi" w:hAnsiTheme="minorHAnsi" w:cstheme="minorHAnsi"/>
          <w:bCs/>
          <w:i/>
          <w:lang w:val="ro-RO"/>
        </w:rPr>
        <w:t>Copii</w:t>
      </w:r>
    </w:p>
    <w:p w:rsidR="003D5822" w:rsidRPr="00AF3608" w:rsidRDefault="003D5822" w:rsidP="003D5822">
      <w:pPr>
        <w:autoSpaceDE w:val="0"/>
        <w:autoSpaceDN w:val="0"/>
        <w:adjustRightInd w:val="0"/>
        <w:spacing w:before="120"/>
        <w:ind w:left="360"/>
        <w:jc w:val="both"/>
        <w:rPr>
          <w:rFonts w:asciiTheme="minorHAnsi" w:hAnsiTheme="minorHAnsi" w:cstheme="minorHAnsi"/>
          <w:color w:val="000000"/>
          <w:lang w:val="ro-RO" w:eastAsia="en-GB"/>
        </w:rPr>
      </w:pPr>
      <w:r w:rsidRPr="00AF3608">
        <w:rPr>
          <w:rFonts w:asciiTheme="minorHAnsi" w:hAnsiTheme="minorHAnsi" w:cstheme="minorHAnsi"/>
          <w:color w:val="000000"/>
          <w:lang w:val="ro-RO" w:eastAsia="en-GB"/>
        </w:rPr>
        <w:t>Măsuri prioritare:</w:t>
      </w:r>
    </w:p>
    <w:p w:rsidR="003D5822" w:rsidRPr="00AF3608" w:rsidRDefault="003D5822" w:rsidP="003A0B85">
      <w:pPr>
        <w:pStyle w:val="ListParagraph"/>
        <w:numPr>
          <w:ilvl w:val="0"/>
          <w:numId w:val="66"/>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Asigurarea plății alocației pentru copii;</w:t>
      </w:r>
    </w:p>
    <w:p w:rsidR="003D5822" w:rsidRPr="00AF3608" w:rsidRDefault="003D5822" w:rsidP="003A0B85">
      <w:pPr>
        <w:pStyle w:val="ListParagraph"/>
        <w:numPr>
          <w:ilvl w:val="0"/>
          <w:numId w:val="66"/>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Stabilirea unui mecanism obiectiv de creștere anuală a alocațiilor pentru copii; </w:t>
      </w:r>
    </w:p>
    <w:p w:rsidR="003D5822" w:rsidRPr="00AF3608" w:rsidRDefault="003D5822" w:rsidP="003A0B85">
      <w:pPr>
        <w:pStyle w:val="ListParagraph"/>
        <w:numPr>
          <w:ilvl w:val="0"/>
          <w:numId w:val="66"/>
        </w:numPr>
        <w:autoSpaceDE w:val="0"/>
        <w:autoSpaceDN w:val="0"/>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lastRenderedPageBreak/>
        <w:t>Introducerea garanției pentru copii, un pachet de monitorizare, alertă timpurie și sprijin pentru prevenirea separării copilului de familie;</w:t>
      </w:r>
    </w:p>
    <w:p w:rsidR="003D5822" w:rsidRPr="00AF3608" w:rsidRDefault="003D5822" w:rsidP="003A0B85">
      <w:pPr>
        <w:pStyle w:val="ListParagraph"/>
        <w:numPr>
          <w:ilvl w:val="0"/>
          <w:numId w:val="66"/>
        </w:numPr>
        <w:autoSpaceDE w:val="0"/>
        <w:autoSpaceDN w:val="0"/>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Introducerea registruluii local și național al copiilor în situații de risc; situația fiecărui copil în situație de risc și nevoile lui sociale, educaționale, de sănătate și siguranță.</w:t>
      </w:r>
    </w:p>
    <w:p w:rsidR="003D5822" w:rsidRPr="00AF3608" w:rsidRDefault="003D5822" w:rsidP="003A0B85">
      <w:pPr>
        <w:pStyle w:val="ListParagraph"/>
        <w:numPr>
          <w:ilvl w:val="0"/>
          <w:numId w:val="66"/>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Monitorizarea procesului de adopție și a managementului de caz, în urma modificărilor de procedură de adopție internă inițiate de ANDPDCA;</w:t>
      </w:r>
    </w:p>
    <w:p w:rsidR="003D5822" w:rsidRPr="00AF3608" w:rsidRDefault="003D5822" w:rsidP="003A0B85">
      <w:pPr>
        <w:pStyle w:val="ListParagraph"/>
        <w:numPr>
          <w:ilvl w:val="0"/>
          <w:numId w:val="66"/>
        </w:numPr>
        <w:autoSpaceDE w:val="0"/>
        <w:autoSpaceDN w:val="0"/>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Dezvoltarea rețelei de cantine școlare și, după caz, a sălilor de masă cu furnizori de hrană autorizați și asigurarea nutriției adecvate prin programul ”masa caldă la școală”;</w:t>
      </w:r>
    </w:p>
    <w:p w:rsidR="003D5822" w:rsidRPr="00AF3608" w:rsidRDefault="003D5822" w:rsidP="003A0B85">
      <w:pPr>
        <w:pStyle w:val="ListParagraph"/>
        <w:numPr>
          <w:ilvl w:val="0"/>
          <w:numId w:val="66"/>
        </w:numPr>
        <w:autoSpaceDE w:val="0"/>
        <w:autoSpaceDN w:val="0"/>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Tinerii care părăsesc sistemul de protecție vor fi însoțiți de măsuri de sprijin și de încurajare a abilităților de viață independentă.</w:t>
      </w:r>
    </w:p>
    <w:p w:rsidR="003D5822" w:rsidRPr="00AF3608" w:rsidRDefault="003D5822" w:rsidP="003A0B85">
      <w:pPr>
        <w:pStyle w:val="ListParagraph"/>
        <w:numPr>
          <w:ilvl w:val="0"/>
          <w:numId w:val="66"/>
        </w:numPr>
        <w:autoSpaceDE w:val="0"/>
        <w:autoSpaceDN w:val="0"/>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 xml:space="preserve">Sprijinirea Ministerului Afacerilor Interne pentru eficientizarea activității în domeniul dispariției minorilor; </w:t>
      </w: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bCs/>
          <w:lang w:val="ro-RO"/>
        </w:rPr>
        <w:t>Drepturile persoanelor cu dizabilități</w:t>
      </w:r>
    </w:p>
    <w:p w:rsidR="003D5822" w:rsidRPr="00AF3608" w:rsidRDefault="003D5822" w:rsidP="003A0B85">
      <w:pPr>
        <w:pStyle w:val="ListParagraph"/>
        <w:numPr>
          <w:ilvl w:val="0"/>
          <w:numId w:val="68"/>
        </w:numPr>
        <w:autoSpaceDE w:val="0"/>
        <w:autoSpaceDN w:val="0"/>
        <w:spacing w:before="120" w:line="240" w:lineRule="auto"/>
        <w:contextualSpacing w:val="0"/>
        <w:jc w:val="both"/>
        <w:rPr>
          <w:rFonts w:asciiTheme="minorHAnsi" w:hAnsiTheme="minorHAnsi" w:cstheme="minorHAnsi"/>
          <w:bCs/>
          <w:szCs w:val="24"/>
        </w:rPr>
      </w:pPr>
      <w:r w:rsidRPr="00AF3608">
        <w:rPr>
          <w:rFonts w:asciiTheme="minorHAnsi" w:hAnsiTheme="minorHAnsi" w:cstheme="minorHAnsi"/>
          <w:szCs w:val="24"/>
        </w:rPr>
        <w:t>Dezinstituționalizarea persoanelor cu dizabilități, va urmări incluziunea socială a acestora și dezvoltarea abilităților de viață independentă în comunitate.</w:t>
      </w:r>
    </w:p>
    <w:p w:rsidR="003D5822" w:rsidRPr="00AF3608" w:rsidRDefault="003D5822" w:rsidP="003A0B85">
      <w:pPr>
        <w:pStyle w:val="ListParagraph"/>
        <w:numPr>
          <w:ilvl w:val="0"/>
          <w:numId w:val="68"/>
        </w:numPr>
        <w:autoSpaceDE w:val="0"/>
        <w:autoSpaceDN w:val="0"/>
        <w:spacing w:before="120" w:line="240" w:lineRule="auto"/>
        <w:contextualSpacing w:val="0"/>
        <w:jc w:val="both"/>
        <w:rPr>
          <w:rFonts w:asciiTheme="minorHAnsi" w:hAnsiTheme="minorHAnsi" w:cstheme="minorHAnsi"/>
          <w:bCs/>
          <w:szCs w:val="24"/>
        </w:rPr>
      </w:pPr>
      <w:r w:rsidRPr="00AF3608">
        <w:rPr>
          <w:rFonts w:asciiTheme="minorHAnsi" w:hAnsiTheme="minorHAnsi" w:cstheme="minorHAnsi"/>
          <w:szCs w:val="24"/>
        </w:rPr>
        <w:t xml:space="preserve">Sisteme de sprijin și suport pentru viață independentă vor fi acordate și persoanelor cu dizabilități care nu sunt instituționalizate. </w:t>
      </w:r>
    </w:p>
    <w:p w:rsidR="003D5822" w:rsidRPr="00AF3608" w:rsidRDefault="003D5822" w:rsidP="003A0B85">
      <w:pPr>
        <w:pStyle w:val="ListParagraph"/>
        <w:numPr>
          <w:ilvl w:val="0"/>
          <w:numId w:val="68"/>
        </w:numPr>
        <w:autoSpaceDE w:val="0"/>
        <w:autoSpaceDN w:val="0"/>
        <w:spacing w:before="120" w:line="240" w:lineRule="auto"/>
        <w:contextualSpacing w:val="0"/>
        <w:jc w:val="both"/>
        <w:rPr>
          <w:rFonts w:asciiTheme="minorHAnsi" w:hAnsiTheme="minorHAnsi" w:cstheme="minorHAnsi"/>
          <w:bCs/>
          <w:szCs w:val="24"/>
        </w:rPr>
      </w:pPr>
      <w:r w:rsidRPr="00AF3608">
        <w:rPr>
          <w:rFonts w:asciiTheme="minorHAnsi" w:hAnsiTheme="minorHAnsi" w:cstheme="minorHAnsi"/>
          <w:szCs w:val="24"/>
        </w:rPr>
        <w:t>Reevaluarea în colaborare cu Casa Națională de Asigurări de Sănătate a cuantumului decontabil și a listei tehnologiilor asistive disponibile ca sprijin pentru o viață activă și incluziune în muncă, urmărind principiul în care o investiție în tehnologia asistivă potrivită și modernă este o investiție care se recuperează în timp prin participarea persoanei respective în viața comunității și diminuarea costurilor directe și indirecte ale lipsei de independență.</w:t>
      </w:r>
    </w:p>
    <w:p w:rsidR="003D5822" w:rsidRPr="00AF3608" w:rsidRDefault="003D5822" w:rsidP="003A0B85">
      <w:pPr>
        <w:pStyle w:val="ListParagraph"/>
        <w:numPr>
          <w:ilvl w:val="0"/>
          <w:numId w:val="67"/>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Dezvoltarea serviciilor de tip respiro/ centre de zi pentru adulți și copii cu dizabilități; </w:t>
      </w:r>
    </w:p>
    <w:p w:rsidR="003D5822" w:rsidRPr="00AF3608" w:rsidRDefault="003D5822" w:rsidP="003A0B85">
      <w:pPr>
        <w:pStyle w:val="ListParagraph"/>
        <w:numPr>
          <w:ilvl w:val="0"/>
          <w:numId w:val="67"/>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Verificarea aplicării măsurilor de promovare a accesibilizării mediului fizic și informațional pentru persoanele cu dizabilități. </w:t>
      </w: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bCs/>
          <w:lang w:val="ro-RO"/>
        </w:rPr>
        <w:t>Combaterea violenței în familie și combaterea traficului de persoane</w:t>
      </w: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bCs/>
          <w:lang w:val="ro-RO"/>
        </w:rPr>
        <w:t>Combaterea violenței domestice</w:t>
      </w:r>
    </w:p>
    <w:p w:rsidR="003D5822" w:rsidRPr="00AF3608" w:rsidRDefault="003D5822" w:rsidP="003A0B85">
      <w:pPr>
        <w:pStyle w:val="ListParagraph"/>
        <w:numPr>
          <w:ilvl w:val="0"/>
          <w:numId w:val="6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Dezvoltarea de noi servicii pentru victimele violenței domestice, prin finantarea inființări mai multor centre de primiri în regim de urgență si extinderea rețelei de locuinte protejate pentru victimele violentei domestice; </w:t>
      </w:r>
    </w:p>
    <w:p w:rsidR="003D5822" w:rsidRPr="00AF3608" w:rsidRDefault="003D5822" w:rsidP="003A0B85">
      <w:pPr>
        <w:pStyle w:val="ListParagraph"/>
        <w:numPr>
          <w:ilvl w:val="0"/>
          <w:numId w:val="6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Colaborarea cu Ministerul Afacerilor Interne, inițiator al măsurilor legislative specifice, pentru implementarea soluțiilor de monitorizare a agresorilor și prevenire a violențelor împotriva victimelor (operaționalizarea brățărilor electronice); </w:t>
      </w:r>
    </w:p>
    <w:p w:rsidR="003D5822" w:rsidRPr="00AF3608" w:rsidRDefault="003D5822" w:rsidP="003A0B85">
      <w:pPr>
        <w:pStyle w:val="ListParagraph"/>
        <w:numPr>
          <w:ilvl w:val="0"/>
          <w:numId w:val="6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Asigurarea accesului victimelor violenței domestice  la alocarea de locuinte sociale prin  stabilirea unui punctaj dedicat si dezvoltarea centrelor pentru agresori pentru a permite mai usor separarea victimei de agresor, dar si pentru a diminua comportamentul repetitiv în cazurile de violență domestică,  la nivelul fiecărui județ,  și posibilitatea primirii de beneficiari indiferent de județul de apartenență; </w:t>
      </w:r>
    </w:p>
    <w:p w:rsidR="003D5822" w:rsidRPr="00AF3608" w:rsidRDefault="003D5822" w:rsidP="003A0B85">
      <w:pPr>
        <w:pStyle w:val="ListParagraph"/>
        <w:numPr>
          <w:ilvl w:val="0"/>
          <w:numId w:val="6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Formarea celor implicați în domeniul prevenirii și combaterii violenței domestice, a egalității de sșnse între femei și bărbați, mai ales cu scopul prevenirii victimizării secundare; </w:t>
      </w:r>
    </w:p>
    <w:p w:rsidR="003D5822" w:rsidRPr="00AF3608" w:rsidRDefault="003D5822" w:rsidP="003A0B85">
      <w:pPr>
        <w:pStyle w:val="ListParagraph"/>
        <w:numPr>
          <w:ilvl w:val="0"/>
          <w:numId w:val="6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Realizarea unor programe de consiliere și suport psihologic pentru agresori, pentru a preveni recidiva. </w:t>
      </w:r>
    </w:p>
    <w:p w:rsidR="003D5822" w:rsidRPr="00AF3608" w:rsidRDefault="003D5822" w:rsidP="003A0B85">
      <w:pPr>
        <w:pStyle w:val="ListParagraph"/>
        <w:numPr>
          <w:ilvl w:val="0"/>
          <w:numId w:val="6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lastRenderedPageBreak/>
        <w:t xml:space="preserve"> Analiza jurisprudenței  în scopul promovării unor soluții  privind judecarea cu celeritate a cazurilor de violență domestică ce implică copii și tineri; </w:t>
      </w:r>
    </w:p>
    <w:p w:rsidR="003D5822" w:rsidRPr="00AF3608" w:rsidRDefault="003D5822" w:rsidP="003A0B85">
      <w:pPr>
        <w:pStyle w:val="ListParagraph"/>
        <w:numPr>
          <w:ilvl w:val="0"/>
          <w:numId w:val="6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Apelul la linia telefonică pentru ajutor specializat oferit victimelor violenței domestice să fie accesibil și în limba minorităților naționale, cheltuielile cu acest serviciu fiind acoperite din fonduri bugetare. </w:t>
      </w:r>
    </w:p>
    <w:p w:rsidR="003D5822" w:rsidRPr="00AF3608" w:rsidRDefault="003D5822" w:rsidP="003A0B85">
      <w:pPr>
        <w:pStyle w:val="ListParagraph"/>
        <w:numPr>
          <w:ilvl w:val="0"/>
          <w:numId w:val="6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Apelul la linia telefonică pentru ajutor specializat oferit victimelor violenței domestice să fie accesibil și în limba minorităților naționale, cheltuielile cu acest serviciu fiind acoperite din fonduri bugetare. </w:t>
      </w:r>
    </w:p>
    <w:p w:rsidR="003D5822" w:rsidRPr="00AF3608" w:rsidRDefault="003D5822" w:rsidP="003A0B85">
      <w:pPr>
        <w:pStyle w:val="ListParagraph"/>
        <w:numPr>
          <w:ilvl w:val="0"/>
          <w:numId w:val="69"/>
        </w:numPr>
        <w:autoSpaceDE w:val="0"/>
        <w:autoSpaceDN w:val="0"/>
        <w:spacing w:before="120" w:line="240" w:lineRule="auto"/>
        <w:contextualSpacing w:val="0"/>
        <w:jc w:val="both"/>
        <w:rPr>
          <w:rFonts w:asciiTheme="minorHAnsi" w:hAnsiTheme="minorHAnsi" w:cstheme="minorHAnsi"/>
          <w:bCs/>
          <w:szCs w:val="24"/>
        </w:rPr>
      </w:pPr>
      <w:r w:rsidRPr="00AF3608">
        <w:rPr>
          <w:rFonts w:asciiTheme="minorHAnsi" w:hAnsiTheme="minorHAnsi" w:cstheme="minorHAnsi"/>
          <w:color w:val="000000"/>
          <w:szCs w:val="24"/>
          <w:lang w:eastAsia="en-GB"/>
        </w:rPr>
        <w:t>Creșterea numărului de locuințe protejate astfel încât fiecare oraș să beneficieze de cel puțin un centru pentru victimele violenței domestice, totodată crearea de centre de recuperare pentru agresori în fiecare reședință de județ.</w:t>
      </w:r>
    </w:p>
    <w:p w:rsidR="003D5822" w:rsidRPr="00AF3608" w:rsidRDefault="003D5822" w:rsidP="003A0B85">
      <w:pPr>
        <w:pStyle w:val="ListParagraph"/>
        <w:numPr>
          <w:ilvl w:val="0"/>
          <w:numId w:val="69"/>
        </w:numPr>
        <w:autoSpaceDE w:val="0"/>
        <w:autoSpaceDN w:val="0"/>
        <w:spacing w:before="120" w:line="240" w:lineRule="auto"/>
        <w:contextualSpacing w:val="0"/>
        <w:jc w:val="both"/>
        <w:rPr>
          <w:rFonts w:asciiTheme="minorHAnsi" w:hAnsiTheme="minorHAnsi" w:cstheme="minorHAnsi"/>
          <w:bCs/>
          <w:szCs w:val="24"/>
        </w:rPr>
      </w:pPr>
      <w:r w:rsidRPr="00AF3608">
        <w:rPr>
          <w:rFonts w:asciiTheme="minorHAnsi" w:hAnsiTheme="minorHAnsi" w:cstheme="minorHAnsi"/>
          <w:bCs/>
          <w:szCs w:val="24"/>
        </w:rPr>
        <w:t>Prevenirea tuturor formelor de violență împotriva femeilor și punerea în aplicare a legii,  și unor strategii de prevenire suplimentare, cât și punerea la dispoziție la scară largă de servicii specializate de sprijin și de protecție pentru ca victimele să aibă acces la ele.</w:t>
      </w:r>
    </w:p>
    <w:p w:rsidR="003D5822" w:rsidRPr="00AF3608" w:rsidRDefault="003D5822" w:rsidP="003D5822">
      <w:pPr>
        <w:autoSpaceDE w:val="0"/>
        <w:autoSpaceDN w:val="0"/>
        <w:adjustRightInd w:val="0"/>
        <w:spacing w:before="120"/>
        <w:jc w:val="both"/>
        <w:rPr>
          <w:rFonts w:asciiTheme="minorHAnsi" w:hAnsiTheme="minorHAnsi" w:cstheme="minorHAnsi"/>
          <w:b/>
          <w:bCs/>
          <w:color w:val="000000"/>
          <w:lang w:val="ro-RO" w:eastAsia="en-GB"/>
        </w:rPr>
      </w:pPr>
    </w:p>
    <w:p w:rsidR="003D5822" w:rsidRPr="00AF3608" w:rsidRDefault="003D5822" w:rsidP="003D5822">
      <w:pPr>
        <w:autoSpaceDE w:val="0"/>
        <w:autoSpaceDN w:val="0"/>
        <w:adjustRightInd w:val="0"/>
        <w:spacing w:before="120"/>
        <w:jc w:val="both"/>
        <w:rPr>
          <w:rFonts w:asciiTheme="minorHAnsi" w:hAnsiTheme="minorHAnsi" w:cstheme="minorHAnsi"/>
          <w:color w:val="000000"/>
          <w:lang w:val="ro-RO" w:eastAsia="en-GB"/>
        </w:rPr>
      </w:pPr>
      <w:r w:rsidRPr="00AF3608">
        <w:rPr>
          <w:rFonts w:asciiTheme="minorHAnsi" w:hAnsiTheme="minorHAnsi" w:cstheme="minorHAnsi"/>
          <w:b/>
          <w:bCs/>
          <w:color w:val="000000"/>
          <w:lang w:val="ro-RO" w:eastAsia="en-GB"/>
        </w:rPr>
        <w:t xml:space="preserve">Protecție pentru victimele traficului de persoane </w:t>
      </w:r>
    </w:p>
    <w:p w:rsidR="003D5822" w:rsidRPr="00AF3608" w:rsidRDefault="003D5822" w:rsidP="003D5822">
      <w:pPr>
        <w:autoSpaceDE w:val="0"/>
        <w:autoSpaceDN w:val="0"/>
        <w:adjustRightInd w:val="0"/>
        <w:spacing w:before="120"/>
        <w:jc w:val="both"/>
        <w:rPr>
          <w:rFonts w:asciiTheme="minorHAnsi" w:hAnsiTheme="minorHAnsi" w:cstheme="minorHAnsi"/>
          <w:color w:val="000000"/>
          <w:lang w:val="ro-RO" w:eastAsia="en-GB"/>
        </w:rPr>
      </w:pPr>
      <w:r w:rsidRPr="00AF3608">
        <w:rPr>
          <w:rFonts w:asciiTheme="minorHAnsi" w:hAnsiTheme="minorHAnsi" w:cstheme="minorHAnsi"/>
          <w:color w:val="000000"/>
          <w:lang w:val="ro-RO" w:eastAsia="en-GB"/>
        </w:rPr>
        <w:t xml:space="preserve">România este printre principalele țări sursă ale victimelor traficului de persoane din Uniunea Europeană. Aproape jumătate din victimele identificate sunt minore. Momentan, statul este deficitar pe partea de servicii de asistență și protecție pentru acest grup vulnerabil. </w:t>
      </w:r>
    </w:p>
    <w:p w:rsidR="003D5822" w:rsidRPr="00AF3608" w:rsidRDefault="003D5822" w:rsidP="003D5822">
      <w:pPr>
        <w:autoSpaceDE w:val="0"/>
        <w:autoSpaceDN w:val="0"/>
        <w:adjustRightInd w:val="0"/>
        <w:spacing w:before="120"/>
        <w:jc w:val="both"/>
        <w:rPr>
          <w:rFonts w:asciiTheme="minorHAnsi" w:hAnsiTheme="minorHAnsi" w:cstheme="minorHAnsi"/>
          <w:color w:val="000000"/>
          <w:lang w:val="ro-RO" w:eastAsia="en-GB"/>
        </w:rPr>
      </w:pPr>
      <w:r w:rsidRPr="00AF3608">
        <w:rPr>
          <w:rFonts w:asciiTheme="minorHAnsi" w:hAnsiTheme="minorHAnsi" w:cstheme="minorHAnsi"/>
          <w:color w:val="000000"/>
          <w:lang w:val="ro-RO" w:eastAsia="en-GB"/>
        </w:rPr>
        <w:t xml:space="preserve">Măsuri: </w:t>
      </w:r>
    </w:p>
    <w:p w:rsidR="003D5822" w:rsidRPr="00AF3608" w:rsidRDefault="003D5822" w:rsidP="003A0B85">
      <w:pPr>
        <w:pStyle w:val="ListParagraph"/>
        <w:numPr>
          <w:ilvl w:val="0"/>
          <w:numId w:val="6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Bună coordonare cu structurile de combatere pentru a livra servicii de protecție centrate pe nevoile victimelor și informate de experiența supraviețuitorilor;</w:t>
      </w:r>
    </w:p>
    <w:p w:rsidR="003D5822" w:rsidRPr="00AF3608" w:rsidRDefault="003D5822" w:rsidP="003A0B85">
      <w:pPr>
        <w:pStyle w:val="ListParagraph"/>
        <w:numPr>
          <w:ilvl w:val="0"/>
          <w:numId w:val="6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Asigurarea unor adăposturi specializate pentru victimele traficului de persoane, atât pentru adulți cât și minori; </w:t>
      </w:r>
    </w:p>
    <w:p w:rsidR="003D5822" w:rsidRPr="00AF3608" w:rsidRDefault="003D5822" w:rsidP="003A0B85">
      <w:pPr>
        <w:pStyle w:val="ListParagraph"/>
        <w:numPr>
          <w:ilvl w:val="0"/>
          <w:numId w:val="6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Prevenirea cazurilor de trafic de minori din centrele de tip rezidențial prin sesiuni informative și un mecanism de raportare imediată a suspiciunilor; </w:t>
      </w:r>
    </w:p>
    <w:p w:rsidR="003D5822" w:rsidRPr="00AF3608" w:rsidRDefault="003D5822" w:rsidP="003A0B85">
      <w:pPr>
        <w:pStyle w:val="ListParagraph"/>
        <w:numPr>
          <w:ilvl w:val="0"/>
          <w:numId w:val="6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Formarea specialiștilor pe impactul traumei asupra beneficiarilor, prin formări pe tema traumei complexe; </w:t>
      </w:r>
    </w:p>
    <w:p w:rsidR="003D5822" w:rsidRPr="00AF3608" w:rsidRDefault="003D5822" w:rsidP="003A0B85">
      <w:pPr>
        <w:pStyle w:val="ListParagraph"/>
        <w:numPr>
          <w:ilvl w:val="0"/>
          <w:numId w:val="6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Colectarea în timp real de statistici din sistemul de protecție legate de cazurile de exploatare; </w:t>
      </w:r>
    </w:p>
    <w:p w:rsidR="003D5822" w:rsidRPr="00AF3608" w:rsidRDefault="003D5822" w:rsidP="003A0B85">
      <w:pPr>
        <w:pStyle w:val="ListParagraph"/>
        <w:numPr>
          <w:ilvl w:val="0"/>
          <w:numId w:val="6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Integrarea victimelor în societate prin programe adaptate nevoilor și provocărilor date de trecutul de exploatare și abuz; </w:t>
      </w:r>
    </w:p>
    <w:p w:rsidR="003D5822" w:rsidRPr="00AF3608" w:rsidRDefault="003D5822" w:rsidP="003A0B85">
      <w:pPr>
        <w:pStyle w:val="ListParagraph"/>
        <w:numPr>
          <w:ilvl w:val="0"/>
          <w:numId w:val="6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Coordonarea eforturilor de prevenire a fenomenului traficului de persoane, în special în rândul grupurilor vulnerabile, cu ceilalți actori implicați în lupta împotriva traficului de persoane </w:t>
      </w: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bCs/>
          <w:lang w:val="ro-RO"/>
        </w:rPr>
        <w:t>Egalitatea de șanse între femei și bărbați</w:t>
      </w:r>
    </w:p>
    <w:p w:rsidR="003D5822" w:rsidRPr="00AF3608" w:rsidRDefault="003D5822" w:rsidP="003A0B85">
      <w:pPr>
        <w:pStyle w:val="ListParagraph"/>
        <w:numPr>
          <w:ilvl w:val="0"/>
          <w:numId w:val="70"/>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Integrarea perspectivei drepturilor femeilor în procesele de elaborare a politicilor publice; </w:t>
      </w:r>
    </w:p>
    <w:p w:rsidR="003D5822" w:rsidRPr="00AF3608" w:rsidRDefault="003D5822" w:rsidP="003A0B85">
      <w:pPr>
        <w:pStyle w:val="ListParagraph"/>
        <w:numPr>
          <w:ilvl w:val="0"/>
          <w:numId w:val="70"/>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Asigurarea reprezentării femeilor la toate nivelurile procesului decizional politic; </w:t>
      </w:r>
    </w:p>
    <w:p w:rsidR="003D5822" w:rsidRPr="00AF3608" w:rsidRDefault="003D5822" w:rsidP="003A0B85">
      <w:pPr>
        <w:pStyle w:val="ListParagraph"/>
        <w:numPr>
          <w:ilvl w:val="0"/>
          <w:numId w:val="70"/>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Sprijinirea măsurilor și acțiunilor menite să îmbunătățească accesul femeilor la serviciile de sănătate sexuală și reproductivă și să le informeze despre drepturile lor și serviciile disponibile. </w:t>
      </w:r>
    </w:p>
    <w:p w:rsidR="003D5822" w:rsidRPr="00AF3608" w:rsidRDefault="003D5822" w:rsidP="003A0B85">
      <w:pPr>
        <w:pStyle w:val="ListParagraph"/>
        <w:numPr>
          <w:ilvl w:val="0"/>
          <w:numId w:val="70"/>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bCs/>
          <w:color w:val="000000"/>
          <w:szCs w:val="24"/>
          <w:lang w:eastAsia="en-GB"/>
        </w:rPr>
        <w:t>Promovarea participării femeilor la piața muncii</w:t>
      </w:r>
      <w:r w:rsidRPr="00AF3608">
        <w:rPr>
          <w:rFonts w:asciiTheme="minorHAnsi" w:hAnsiTheme="minorHAnsi" w:cstheme="minorHAnsi"/>
          <w:b/>
          <w:bCs/>
          <w:color w:val="000000"/>
          <w:szCs w:val="24"/>
          <w:lang w:eastAsia="en-GB"/>
        </w:rPr>
        <w:t xml:space="preserve">; </w:t>
      </w:r>
      <w:r w:rsidRPr="00AF3608">
        <w:rPr>
          <w:rFonts w:asciiTheme="minorHAnsi" w:hAnsiTheme="minorHAnsi" w:cstheme="minorHAnsi"/>
          <w:szCs w:val="24"/>
        </w:rPr>
        <w:t xml:space="preserve">intervenții legate de activarea și promovarea angajării, pentru facilitarea ocupării femeilor, prin îmbunătățirea angajabilității </w:t>
      </w:r>
      <w:r w:rsidRPr="00AF3608">
        <w:rPr>
          <w:rFonts w:asciiTheme="minorHAnsi" w:hAnsiTheme="minorHAnsi" w:cstheme="minorHAnsi"/>
          <w:szCs w:val="24"/>
        </w:rPr>
        <w:lastRenderedPageBreak/>
        <w:t>și autonomiei acestora. Aceste măsuri vizează și sprijinul pentru familiile monoparentale, pentru îmbunătățirea angajabilității și autonomiei părintelui singur.</w:t>
      </w:r>
    </w:p>
    <w:p w:rsidR="003D5822" w:rsidRPr="00AF3608" w:rsidRDefault="003D5822" w:rsidP="003A0B85">
      <w:pPr>
        <w:pStyle w:val="ListParagraph"/>
        <w:numPr>
          <w:ilvl w:val="0"/>
          <w:numId w:val="70"/>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szCs w:val="24"/>
        </w:rPr>
        <w:t>Se vor lua măsuri sociale și economice sensibile la dimensiunea de gen pentru a sprijini femeile și fetele în situații vulnerabile, inclusiv cele cu risc de a-și pierde locul de muncă, cu risc de a trăi în sărăcie sau care se confruntă cu sărăcia la locul de muncă.</w:t>
      </w:r>
    </w:p>
    <w:p w:rsidR="003D5822" w:rsidRPr="00AF3608" w:rsidRDefault="003D5822" w:rsidP="003A0B85">
      <w:pPr>
        <w:pStyle w:val="ListParagraph"/>
        <w:numPr>
          <w:ilvl w:val="0"/>
          <w:numId w:val="70"/>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szCs w:val="24"/>
        </w:rPr>
        <w:t>Finanțarea (acoperirea cheltuielilor) cursurilor de reconversie profesională pentru femei de peste 40 ani.</w:t>
      </w:r>
    </w:p>
    <w:p w:rsidR="003D5822" w:rsidRPr="00AF3608" w:rsidRDefault="003D5822" w:rsidP="003D5822">
      <w:pPr>
        <w:pStyle w:val="ListParagraph"/>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p>
    <w:p w:rsidR="003D5822" w:rsidRPr="00AF3608" w:rsidRDefault="003D5822" w:rsidP="003D5822">
      <w:pPr>
        <w:autoSpaceDE w:val="0"/>
        <w:autoSpaceDN w:val="0"/>
        <w:adjustRightInd w:val="0"/>
        <w:spacing w:before="120"/>
        <w:jc w:val="both"/>
        <w:rPr>
          <w:rFonts w:asciiTheme="minorHAnsi" w:hAnsiTheme="minorHAnsi" w:cstheme="minorHAnsi"/>
          <w:color w:val="000000"/>
          <w:lang w:val="ro-RO" w:eastAsia="en-GB"/>
        </w:rPr>
      </w:pPr>
      <w:r w:rsidRPr="00AF3608">
        <w:rPr>
          <w:rFonts w:asciiTheme="minorHAnsi" w:hAnsiTheme="minorHAnsi" w:cstheme="minorHAnsi"/>
          <w:color w:val="000000"/>
          <w:lang w:val="ro-RO" w:eastAsia="en-GB"/>
        </w:rPr>
        <w:t>IV DIALOGUL SOCIAL</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Creșterea capacității partenerilor sociali pentru angajarea activă și eficientă în desfășurarea negocierilor colective.</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szCs w:val="24"/>
        </w:rPr>
        <w:t>Impulsionarea consultărilor instituționale în cadrul structurilor tripartite de dialog social pe toate temele de interes și identificarea parteneriatelor de acțiune.</w:t>
      </w:r>
    </w:p>
    <w:p w:rsidR="003D5822" w:rsidRPr="00AF3608" w:rsidRDefault="003D5822" w:rsidP="003A0B85">
      <w:pPr>
        <w:numPr>
          <w:ilvl w:val="0"/>
          <w:numId w:val="59"/>
        </w:numPr>
        <w:spacing w:before="120"/>
        <w:jc w:val="both"/>
        <w:rPr>
          <w:rFonts w:asciiTheme="minorHAnsi" w:eastAsiaTheme="minorHAnsi" w:hAnsiTheme="minorHAnsi" w:cstheme="minorHAnsi"/>
          <w:color w:val="000000"/>
          <w:lang w:val="ro-RO" w:eastAsia="en-GB"/>
        </w:rPr>
      </w:pPr>
      <w:r w:rsidRPr="00AF3608">
        <w:rPr>
          <w:rFonts w:asciiTheme="minorHAnsi" w:eastAsiaTheme="minorHAnsi" w:hAnsiTheme="minorHAnsi" w:cstheme="minorHAnsi"/>
          <w:color w:val="000000"/>
          <w:lang w:val="ro-RO" w:eastAsia="en-GB"/>
        </w:rPr>
        <w:t>Consolidarea dialogului bipartit şi a implicării partenerilor sociali la toate nivelurile de guvernanţă economică, în Planul de Redresare şi Rezilienţă şi în planurile de tranziţie şi reformă, cu susţinerea capacității structurale și de acțiune a organizaţiilor partenerilor sociali.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szCs w:val="24"/>
        </w:rPr>
        <w:t>Susținerea îmbunătățirii cadrului de desfășurare a dialogului social pentru promovarea şi sprijinirea negocierii colective la nivel de unitate şi la nivel de sector.</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szCs w:val="24"/>
        </w:rPr>
        <w:t>Ducerea la îndeplinire a obiectivelor și angajamentelor externe de măsuri, raportare privind aplicarea garanțiilor de drepturi și de participare la dialogul european.</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szCs w:val="24"/>
        </w:rPr>
        <w:t>Consolidarea mecanismelor de monitorizare a conflictelor colective de muncă și de soluționare amiabilă a conflictelor colective de muncă.</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szCs w:val="24"/>
        </w:rPr>
        <w:t>Consolidarea diseminării de date și rezultate în susținerea capacității de implicare a partenerilor sociali în dialogul național.</w:t>
      </w:r>
    </w:p>
    <w:p w:rsidR="003D5822" w:rsidRPr="000D77EA"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szCs w:val="24"/>
        </w:rPr>
        <w:t>Creșterea capacității ministerului de coordonare a consultărilor.</w:t>
      </w:r>
    </w:p>
    <w:p w:rsidR="000D77EA" w:rsidRPr="000D77EA" w:rsidRDefault="000D77EA" w:rsidP="000D77EA">
      <w:pPr>
        <w:autoSpaceDE w:val="0"/>
        <w:autoSpaceDN w:val="0"/>
        <w:adjustRightInd w:val="0"/>
        <w:spacing w:before="120"/>
        <w:jc w:val="both"/>
        <w:rPr>
          <w:rFonts w:asciiTheme="minorHAnsi" w:hAnsiTheme="minorHAnsi" w:cstheme="minorHAnsi"/>
          <w:color w:val="000000"/>
          <w:lang w:eastAsia="en-GB"/>
        </w:rPr>
      </w:pP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bCs/>
          <w:lang w:val="ro-RO"/>
        </w:rPr>
        <w:t>V.DEZVOLTAREA CAPACITĂȚII INSTITUȚIONALE SI DIGITALIZAREA ÎN DOMENIUL MUNCII ȘI PROTECȚIEI SOCIALE</w:t>
      </w:r>
    </w:p>
    <w:p w:rsidR="003D5822" w:rsidRPr="00AF3608" w:rsidRDefault="003D5822" w:rsidP="003D5822">
      <w:pPr>
        <w:autoSpaceDE w:val="0"/>
        <w:autoSpaceDN w:val="0"/>
        <w:spacing w:before="120"/>
        <w:jc w:val="both"/>
        <w:rPr>
          <w:rFonts w:asciiTheme="minorHAnsi" w:hAnsiTheme="minorHAnsi" w:cstheme="minorHAnsi"/>
          <w:b/>
          <w:bCs/>
          <w:lang w:val="ro-RO"/>
        </w:rPr>
      </w:pPr>
      <w:r w:rsidRPr="00AF3608">
        <w:rPr>
          <w:rFonts w:asciiTheme="minorHAnsi" w:hAnsiTheme="minorHAnsi" w:cstheme="minorHAnsi"/>
          <w:b/>
          <w:bCs/>
          <w:lang w:val="ro-RO"/>
        </w:rPr>
        <w:t>Digitalizarea</w:t>
      </w: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bCs/>
          <w:lang w:val="ro-RO"/>
        </w:rPr>
        <w:t>Interconectarea bazelor de date între instituțiile din coordonarea Ministerului Muncii și Protecției Sociale și între acestea și cele ale altor instituții de ale căror informații depinde furnizarea promptă a serviciilor Ministerului. Calitatea serviciilor oferite de Ministerul Muncii și Protecției Sociale respectiv de instituțiile din coordonare depinde astăzi, în mod direct, de digitalizarea sistemului.</w:t>
      </w: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bCs/>
          <w:lang w:val="ro-RO"/>
        </w:rPr>
        <w:t>Digitalizarea serviciilor publice cu accent pe interfața de comunicare cu cetățenii; toate instituțiile din coordonarea ministerului vor utiliza comunicarea prin mijloace electronice în mod prioritar.</w:t>
      </w: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bCs/>
          <w:lang w:val="ro-RO"/>
        </w:rPr>
        <w:t>Pregătirea personalului pentru a dobândi competențele necesare în aplicarea digitalizării. Întărirea capacității de absorbție a fondurilor structurale, mai ales, pentru domeniul măsurilor active/de sprijin destinate beneficiarilor instituțiilor din coordonarea Ministerului Muncii și Protecții Sociale.</w:t>
      </w: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bCs/>
          <w:lang w:val="ro-RO"/>
        </w:rPr>
        <w:t>Obiectiv: consolidarea capacității MMPS de a-și îndeplinii funcțiile de elaborare și implementare a politicilor publice și de reglementare din domeniul său de activitate; digitalizarea proceselor și serviciilor.</w:t>
      </w:r>
    </w:p>
    <w:p w:rsidR="003D5822" w:rsidRPr="00AF3608" w:rsidRDefault="003D5822" w:rsidP="003A0B85">
      <w:pPr>
        <w:pStyle w:val="ListParagraph"/>
        <w:numPr>
          <w:ilvl w:val="0"/>
          <w:numId w:val="159"/>
        </w:numPr>
        <w:autoSpaceDE w:val="0"/>
        <w:autoSpaceDN w:val="0"/>
        <w:spacing w:before="120" w:line="240" w:lineRule="auto"/>
        <w:contextualSpacing w:val="0"/>
        <w:jc w:val="both"/>
        <w:rPr>
          <w:rFonts w:asciiTheme="minorHAnsi" w:hAnsiTheme="minorHAnsi" w:cstheme="minorHAnsi"/>
          <w:bCs/>
          <w:szCs w:val="24"/>
        </w:rPr>
      </w:pPr>
      <w:r w:rsidRPr="00AF3608">
        <w:rPr>
          <w:rFonts w:asciiTheme="minorHAnsi" w:hAnsiTheme="minorHAnsi" w:cstheme="minorHAnsi"/>
          <w:bCs/>
          <w:szCs w:val="24"/>
        </w:rPr>
        <w:lastRenderedPageBreak/>
        <w:t>Dezvoltarea capacității administrative a instituțiilor din sectorul muncă și protecție socială.</w:t>
      </w:r>
    </w:p>
    <w:p w:rsidR="003D5822" w:rsidRPr="00AF3608" w:rsidRDefault="003D5822" w:rsidP="003A0B85">
      <w:pPr>
        <w:pStyle w:val="ListParagraph"/>
        <w:numPr>
          <w:ilvl w:val="0"/>
          <w:numId w:val="159"/>
        </w:numPr>
        <w:autoSpaceDE w:val="0"/>
        <w:autoSpaceDN w:val="0"/>
        <w:spacing w:before="120" w:line="240" w:lineRule="auto"/>
        <w:contextualSpacing w:val="0"/>
        <w:jc w:val="both"/>
        <w:rPr>
          <w:rFonts w:asciiTheme="minorHAnsi" w:hAnsiTheme="minorHAnsi" w:cstheme="minorHAnsi"/>
          <w:bCs/>
          <w:szCs w:val="24"/>
        </w:rPr>
      </w:pPr>
      <w:r w:rsidRPr="00AF3608">
        <w:rPr>
          <w:rFonts w:asciiTheme="minorHAnsi" w:hAnsiTheme="minorHAnsi" w:cstheme="minorHAnsi"/>
          <w:bCs/>
          <w:szCs w:val="24"/>
        </w:rPr>
        <w:t>Tehnologia Informațiilor și Comunicațiilor (TIC) în sectorul muncă și protecție socială; guvernanță TIC și securitate cibernetică (Cybersecurity) eficientă; politici performante de resurse umane pentru specialiștii TIC; mentenanța, dezvoltarea și modernizarea sistemelor TIC</w:t>
      </w: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bCs/>
          <w:lang w:val="ro-RO"/>
        </w:rPr>
        <w:t xml:space="preserve">Rezultate urmărite: </w:t>
      </w:r>
    </w:p>
    <w:p w:rsidR="003D5822" w:rsidRPr="00AF3608" w:rsidRDefault="003D5822" w:rsidP="003A0B85">
      <w:pPr>
        <w:pStyle w:val="ListParagraph"/>
        <w:numPr>
          <w:ilvl w:val="0"/>
          <w:numId w:val="160"/>
        </w:numPr>
        <w:autoSpaceDE w:val="0"/>
        <w:autoSpaceDN w:val="0"/>
        <w:spacing w:before="120" w:line="240" w:lineRule="auto"/>
        <w:contextualSpacing w:val="0"/>
        <w:jc w:val="both"/>
        <w:rPr>
          <w:rFonts w:asciiTheme="minorHAnsi" w:hAnsiTheme="minorHAnsi" w:cstheme="minorHAnsi"/>
          <w:bCs/>
          <w:szCs w:val="24"/>
        </w:rPr>
      </w:pPr>
      <w:r w:rsidRPr="00AF3608">
        <w:rPr>
          <w:rFonts w:asciiTheme="minorHAnsi" w:hAnsiTheme="minorHAnsi" w:cstheme="minorHAnsi"/>
          <w:bCs/>
          <w:szCs w:val="24"/>
        </w:rPr>
        <w:t>Îmbunătățirea stabilității funcționale a MMPS și a instituțiilor aflate în subordinea acestuia, asigurarea unui management performant al fondurilor publice prin aplicarea standardelor de control intern/managerial</w:t>
      </w:r>
    </w:p>
    <w:p w:rsidR="003D5822" w:rsidRPr="00AF3608" w:rsidRDefault="003D5822" w:rsidP="003A0B85">
      <w:pPr>
        <w:pStyle w:val="ListParagraph"/>
        <w:numPr>
          <w:ilvl w:val="0"/>
          <w:numId w:val="160"/>
        </w:numPr>
        <w:autoSpaceDE w:val="0"/>
        <w:autoSpaceDN w:val="0"/>
        <w:spacing w:before="120" w:line="240" w:lineRule="auto"/>
        <w:contextualSpacing w:val="0"/>
        <w:jc w:val="both"/>
        <w:rPr>
          <w:rFonts w:asciiTheme="minorHAnsi" w:hAnsiTheme="minorHAnsi" w:cstheme="minorHAnsi"/>
          <w:bCs/>
          <w:szCs w:val="24"/>
        </w:rPr>
      </w:pPr>
      <w:r w:rsidRPr="00AF3608">
        <w:rPr>
          <w:rFonts w:asciiTheme="minorHAnsi" w:hAnsiTheme="minorHAnsi" w:cstheme="minorHAnsi"/>
          <w:bCs/>
          <w:szCs w:val="24"/>
        </w:rPr>
        <w:t>Creșterea eficacității și transparenței proceselor de elaborare, evaluare și implementare a unor politici publice de calitate, fundamentate pe studii de impact</w:t>
      </w:r>
    </w:p>
    <w:p w:rsidR="003D5822" w:rsidRPr="00AF3608" w:rsidRDefault="003D5822" w:rsidP="003A0B85">
      <w:pPr>
        <w:pStyle w:val="ListParagraph"/>
        <w:numPr>
          <w:ilvl w:val="0"/>
          <w:numId w:val="160"/>
        </w:numPr>
        <w:autoSpaceDE w:val="0"/>
        <w:autoSpaceDN w:val="0"/>
        <w:spacing w:before="120" w:line="240" w:lineRule="auto"/>
        <w:contextualSpacing w:val="0"/>
        <w:jc w:val="both"/>
        <w:rPr>
          <w:rFonts w:asciiTheme="minorHAnsi" w:hAnsiTheme="minorHAnsi" w:cstheme="minorHAnsi"/>
          <w:bCs/>
          <w:szCs w:val="24"/>
        </w:rPr>
      </w:pPr>
      <w:r w:rsidRPr="00AF3608">
        <w:rPr>
          <w:rFonts w:asciiTheme="minorHAnsi" w:hAnsiTheme="minorHAnsi" w:cstheme="minorHAnsi"/>
          <w:bCs/>
          <w:szCs w:val="24"/>
        </w:rPr>
        <w:t>Creșterea calității profesionale a resurselor umane din sectorul muncă și protecție socială, a gradului de cunoaștere, înțelegere și aplicare a standardelor de integritate</w:t>
      </w:r>
    </w:p>
    <w:p w:rsidR="003D5822" w:rsidRPr="00AF3608" w:rsidRDefault="003D5822" w:rsidP="003A0B85">
      <w:pPr>
        <w:pStyle w:val="ListParagraph"/>
        <w:numPr>
          <w:ilvl w:val="0"/>
          <w:numId w:val="160"/>
        </w:numPr>
        <w:autoSpaceDE w:val="0"/>
        <w:autoSpaceDN w:val="0"/>
        <w:spacing w:before="120" w:line="240" w:lineRule="auto"/>
        <w:contextualSpacing w:val="0"/>
        <w:jc w:val="both"/>
        <w:rPr>
          <w:rFonts w:asciiTheme="minorHAnsi" w:hAnsiTheme="minorHAnsi" w:cstheme="minorHAnsi"/>
          <w:bCs/>
          <w:szCs w:val="24"/>
        </w:rPr>
      </w:pPr>
      <w:r w:rsidRPr="00AF3608">
        <w:rPr>
          <w:rFonts w:asciiTheme="minorHAnsi" w:hAnsiTheme="minorHAnsi" w:cstheme="minorHAnsi"/>
          <w:bCs/>
          <w:szCs w:val="24"/>
        </w:rPr>
        <w:t>Întărirea guvernanței TIC, adoptarea cros-minister de standarde și politici TIC, precum  și creșterea calității profesionale a specialiștilor TIC din sectorul muncă și protecție socială</w:t>
      </w:r>
    </w:p>
    <w:p w:rsidR="003D5822" w:rsidRPr="00AF3608" w:rsidRDefault="003D5822" w:rsidP="003A0B85">
      <w:pPr>
        <w:pStyle w:val="ListParagraph"/>
        <w:numPr>
          <w:ilvl w:val="0"/>
          <w:numId w:val="160"/>
        </w:numPr>
        <w:autoSpaceDE w:val="0"/>
        <w:autoSpaceDN w:val="0"/>
        <w:spacing w:before="120" w:line="240" w:lineRule="auto"/>
        <w:contextualSpacing w:val="0"/>
        <w:jc w:val="both"/>
        <w:rPr>
          <w:rFonts w:asciiTheme="minorHAnsi" w:hAnsiTheme="minorHAnsi" w:cstheme="minorHAnsi"/>
          <w:bCs/>
          <w:szCs w:val="24"/>
        </w:rPr>
      </w:pPr>
      <w:r w:rsidRPr="00AF3608">
        <w:rPr>
          <w:rFonts w:asciiTheme="minorHAnsi" w:hAnsiTheme="minorHAnsi" w:cstheme="minorHAnsi"/>
          <w:bCs/>
          <w:szCs w:val="24"/>
        </w:rPr>
        <w:t>Îmbunătățirea stabilității funcționale a sistemelor și echipamentelor TIC; modernizarea și simplificarea fluxurilor informaționale prin digitizare și creșterea interoperabilității/schimbului de date cros-minister; creșterea capacitații de analize complexe cros-minister; precum și creșterea transparenței și datelor publice/deschise.</w:t>
      </w:r>
    </w:p>
    <w:p w:rsidR="0042284F" w:rsidRPr="00AF3608" w:rsidRDefault="0042284F" w:rsidP="003D5822">
      <w:pPr>
        <w:spacing w:before="120"/>
        <w:jc w:val="both"/>
        <w:rPr>
          <w:rFonts w:asciiTheme="minorHAnsi" w:hAnsiTheme="minorHAnsi" w:cstheme="minorHAnsi"/>
          <w:lang w:val="ro-RO"/>
        </w:rPr>
      </w:pPr>
    </w:p>
    <w:p w:rsidR="00794177" w:rsidRPr="00AF3608" w:rsidRDefault="00794177" w:rsidP="00B723C0">
      <w:pPr>
        <w:suppressAutoHyphens/>
        <w:spacing w:before="120"/>
        <w:jc w:val="both"/>
        <w:rPr>
          <w:rFonts w:asciiTheme="minorHAnsi" w:hAnsiTheme="minorHAnsi" w:cstheme="minorHAnsi"/>
          <w:lang w:val="ro-RO"/>
        </w:rPr>
      </w:pPr>
    </w:p>
    <w:p w:rsidR="00794177" w:rsidRPr="00AF3608" w:rsidRDefault="00794177" w:rsidP="002715C2">
      <w:pPr>
        <w:shd w:val="clear" w:color="auto" w:fill="A8D08D" w:themeFill="accent6" w:themeFillTint="99"/>
        <w:spacing w:before="120"/>
        <w:rPr>
          <w:rFonts w:asciiTheme="minorHAnsi" w:hAnsiTheme="minorHAnsi" w:cstheme="minorHAnsi"/>
          <w:b/>
          <w:lang w:val="ro-RO"/>
        </w:rPr>
      </w:pPr>
      <w:r w:rsidRPr="00AF3608">
        <w:rPr>
          <w:rFonts w:asciiTheme="minorHAnsi" w:hAnsiTheme="minorHAnsi" w:cstheme="minorHAnsi"/>
          <w:b/>
          <w:shd w:val="clear" w:color="auto" w:fill="C5E0B3" w:themeFill="accent6" w:themeFillTint="66"/>
          <w:lang w:val="ro-RO"/>
        </w:rPr>
        <w:t>Politica î</w:t>
      </w:r>
      <w:r w:rsidR="00B0107E" w:rsidRPr="00AF3608">
        <w:rPr>
          <w:rFonts w:asciiTheme="minorHAnsi" w:hAnsiTheme="minorHAnsi" w:cstheme="minorHAnsi"/>
          <w:b/>
          <w:shd w:val="clear" w:color="auto" w:fill="C5E0B3" w:themeFill="accent6" w:themeFillTint="66"/>
          <w:lang w:val="ro-RO"/>
        </w:rPr>
        <w:t>n domeniul transporturilor și</w:t>
      </w:r>
      <w:r w:rsidRPr="00AF3608">
        <w:rPr>
          <w:rFonts w:asciiTheme="minorHAnsi" w:hAnsiTheme="minorHAnsi" w:cstheme="minorHAnsi"/>
          <w:b/>
          <w:shd w:val="clear" w:color="auto" w:fill="C5E0B3" w:themeFill="accent6" w:themeFillTint="66"/>
          <w:lang w:val="ro-RO"/>
        </w:rPr>
        <w:t xml:space="preserve"> infrastructurii </w:t>
      </w:r>
    </w:p>
    <w:p w:rsidR="00195E42" w:rsidRPr="00AF3608" w:rsidRDefault="00195E42" w:rsidP="00B723C0">
      <w:pPr>
        <w:spacing w:before="120"/>
        <w:jc w:val="both"/>
        <w:rPr>
          <w:rFonts w:asciiTheme="minorHAnsi" w:hAnsiTheme="minorHAnsi" w:cstheme="minorHAnsi"/>
          <w:lang w:val="ro-RO"/>
        </w:rPr>
      </w:pPr>
      <w:r w:rsidRPr="00AF3608">
        <w:rPr>
          <w:rFonts w:asciiTheme="minorHAnsi" w:hAnsiTheme="minorHAnsi" w:cstheme="minorHAnsi"/>
          <w:lang w:val="ro-RO"/>
        </w:rPr>
        <w:t>Activitatea în domeniul transporturilor și infrastructurii vizează, în principal, creşterea conectivităţii naţionale între polii de creştere economică ai României şi a conectivităţii transeuropene pentru societate şi mediul de afaceri.</w:t>
      </w:r>
    </w:p>
    <w:p w:rsidR="00195E42" w:rsidRPr="00AF3608" w:rsidRDefault="00195E42" w:rsidP="00B723C0">
      <w:pPr>
        <w:spacing w:before="120"/>
        <w:jc w:val="both"/>
        <w:rPr>
          <w:rFonts w:asciiTheme="minorHAnsi" w:eastAsia="Calibri" w:hAnsiTheme="minorHAnsi" w:cstheme="minorHAnsi"/>
          <w:lang w:val="ro-RO" w:eastAsia="ro-RO" w:bidi="ro-RO"/>
        </w:rPr>
      </w:pPr>
      <w:r w:rsidRPr="00AF3608">
        <w:rPr>
          <w:rFonts w:asciiTheme="minorHAnsi" w:eastAsia="Calibri" w:hAnsiTheme="minorHAnsi" w:cstheme="minorHAnsi"/>
          <w:b/>
          <w:lang w:val="ro-RO" w:eastAsia="ro-RO" w:bidi="ro-RO"/>
        </w:rPr>
        <w:t xml:space="preserve">Prioritățile strategice în domeniul transporturilor și infrastructurii </w:t>
      </w:r>
      <w:r w:rsidRPr="00AF3608">
        <w:rPr>
          <w:rFonts w:asciiTheme="minorHAnsi" w:eastAsia="Calibri" w:hAnsiTheme="minorHAnsi" w:cstheme="minorHAnsi"/>
          <w:lang w:val="ro-RO" w:eastAsia="ro-RO" w:bidi="ro-RO"/>
        </w:rPr>
        <w:t>vor avea în vedere următoarele obiective:</w:t>
      </w:r>
    </w:p>
    <w:p w:rsidR="00195E42" w:rsidRPr="00AF3608" w:rsidRDefault="00195E42" w:rsidP="003A0B85">
      <w:pPr>
        <w:pStyle w:val="ListParagraph"/>
        <w:numPr>
          <w:ilvl w:val="0"/>
          <w:numId w:val="77"/>
        </w:numPr>
        <w:spacing w:before="120" w:line="240" w:lineRule="auto"/>
        <w:contextualSpacing w:val="0"/>
        <w:jc w:val="both"/>
        <w:rPr>
          <w:rFonts w:asciiTheme="minorHAnsi" w:hAnsiTheme="minorHAnsi" w:cstheme="minorHAnsi"/>
          <w:lang w:eastAsia="ro-RO" w:bidi="ro-RO"/>
        </w:rPr>
      </w:pPr>
      <w:r w:rsidRPr="00AF3608">
        <w:rPr>
          <w:rFonts w:asciiTheme="minorHAnsi" w:eastAsia="Trebuchet MS" w:hAnsiTheme="minorHAnsi" w:cstheme="minorHAnsi"/>
        </w:rPr>
        <w:t>asigurarea conectivităţii şi a accesabilităţii la principalele coridoare de transport care să conducă la îmbunătăţirea legăturilor între principalii poli economici de creştere, va constitui principalul obiectiv al politicilor de transport;</w:t>
      </w:r>
    </w:p>
    <w:p w:rsidR="00195E42" w:rsidRPr="00AF3608" w:rsidRDefault="00195E42" w:rsidP="003A0B85">
      <w:pPr>
        <w:pStyle w:val="ListParagraph"/>
        <w:numPr>
          <w:ilvl w:val="0"/>
          <w:numId w:val="77"/>
        </w:numPr>
        <w:spacing w:before="120" w:line="240" w:lineRule="auto"/>
        <w:contextualSpacing w:val="0"/>
        <w:jc w:val="both"/>
        <w:rPr>
          <w:rFonts w:asciiTheme="minorHAnsi" w:hAnsiTheme="minorHAnsi" w:cstheme="minorHAnsi"/>
          <w:lang w:eastAsia="ro-RO" w:bidi="ro-RO"/>
        </w:rPr>
      </w:pPr>
      <w:r w:rsidRPr="00AF3608">
        <w:rPr>
          <w:rFonts w:asciiTheme="minorHAnsi" w:eastAsia="Trebuchet MS" w:hAnsiTheme="minorHAnsi" w:cstheme="minorHAnsi"/>
          <w:szCs w:val="24"/>
        </w:rPr>
        <w:t>accelerarea investițiilor publice;</w:t>
      </w:r>
    </w:p>
    <w:p w:rsidR="00195E42" w:rsidRPr="00AF3608" w:rsidRDefault="00195E42" w:rsidP="003A0B85">
      <w:pPr>
        <w:pStyle w:val="ListParagraph"/>
        <w:numPr>
          <w:ilvl w:val="0"/>
          <w:numId w:val="77"/>
        </w:numPr>
        <w:spacing w:before="120" w:line="240" w:lineRule="auto"/>
        <w:contextualSpacing w:val="0"/>
        <w:jc w:val="both"/>
        <w:rPr>
          <w:rFonts w:asciiTheme="minorHAnsi" w:hAnsiTheme="minorHAnsi" w:cstheme="minorHAnsi"/>
          <w:lang w:eastAsia="ro-RO" w:bidi="ro-RO"/>
        </w:rPr>
      </w:pPr>
      <w:r w:rsidRPr="00AF3608">
        <w:rPr>
          <w:rFonts w:asciiTheme="minorHAnsi" w:eastAsia="Trebuchet MS" w:hAnsiTheme="minorHAnsi" w:cstheme="minorHAnsi"/>
          <w:szCs w:val="24"/>
        </w:rPr>
        <w:t>asigurarea resurselor financiare şi umane corect dimensionate pentru implementarea cu succes a proiectelor de investiţii;</w:t>
      </w:r>
    </w:p>
    <w:p w:rsidR="00195E42" w:rsidRPr="00AF3608" w:rsidRDefault="00195E42" w:rsidP="003A0B85">
      <w:pPr>
        <w:pStyle w:val="ListParagraph"/>
        <w:numPr>
          <w:ilvl w:val="0"/>
          <w:numId w:val="77"/>
        </w:numPr>
        <w:spacing w:before="120" w:line="240" w:lineRule="auto"/>
        <w:contextualSpacing w:val="0"/>
        <w:jc w:val="both"/>
        <w:rPr>
          <w:rFonts w:asciiTheme="minorHAnsi" w:hAnsiTheme="minorHAnsi" w:cstheme="minorHAnsi"/>
          <w:lang w:eastAsia="ro-RO" w:bidi="ro-RO"/>
        </w:rPr>
      </w:pPr>
      <w:r w:rsidRPr="00AF3608">
        <w:rPr>
          <w:rFonts w:asciiTheme="minorHAnsi" w:eastAsia="Trebuchet MS" w:hAnsiTheme="minorHAnsi" w:cstheme="minorHAnsi"/>
          <w:szCs w:val="24"/>
        </w:rPr>
        <w:t>asumarea unor decizii strategice care să declanşeze reforme structurale şi să asigure o capacitate administrativă sporită;</w:t>
      </w:r>
    </w:p>
    <w:p w:rsidR="00195E42" w:rsidRPr="00AF3608" w:rsidRDefault="00195E42" w:rsidP="003A0B85">
      <w:pPr>
        <w:pStyle w:val="ListParagraph"/>
        <w:numPr>
          <w:ilvl w:val="0"/>
          <w:numId w:val="77"/>
        </w:numPr>
        <w:spacing w:before="120" w:line="240" w:lineRule="auto"/>
        <w:contextualSpacing w:val="0"/>
        <w:jc w:val="both"/>
        <w:rPr>
          <w:rFonts w:asciiTheme="minorHAnsi" w:hAnsiTheme="minorHAnsi" w:cstheme="minorHAnsi"/>
          <w:lang w:eastAsia="ro-RO" w:bidi="ro-RO"/>
        </w:rPr>
      </w:pPr>
      <w:r w:rsidRPr="00AF3608">
        <w:rPr>
          <w:rFonts w:asciiTheme="minorHAnsi" w:eastAsia="Trebuchet MS" w:hAnsiTheme="minorHAnsi" w:cstheme="minorHAnsi"/>
          <w:szCs w:val="24"/>
        </w:rPr>
        <w:t>prioritizarea investiţiilor în domeniul transporturilor astfel încât să reflecte nevoile de conectivitate şi de mobilitate, de reducere a aglomerărilor şi de asigurare a fluenţei circulaţiei;</w:t>
      </w:r>
    </w:p>
    <w:p w:rsidR="00195E42" w:rsidRPr="00AF3608" w:rsidRDefault="00195E42" w:rsidP="003A0B85">
      <w:pPr>
        <w:pStyle w:val="ListParagraph"/>
        <w:numPr>
          <w:ilvl w:val="0"/>
          <w:numId w:val="77"/>
        </w:numPr>
        <w:spacing w:before="120" w:line="240" w:lineRule="auto"/>
        <w:contextualSpacing w:val="0"/>
        <w:jc w:val="both"/>
        <w:rPr>
          <w:rFonts w:asciiTheme="minorHAnsi" w:hAnsiTheme="minorHAnsi" w:cstheme="minorHAnsi"/>
          <w:lang w:eastAsia="ro-RO" w:bidi="ro-RO"/>
        </w:rPr>
      </w:pPr>
      <w:r w:rsidRPr="00AF3608">
        <w:rPr>
          <w:rFonts w:asciiTheme="minorHAnsi" w:eastAsia="Trebuchet MS" w:hAnsiTheme="minorHAnsi" w:cstheme="minorHAnsi"/>
          <w:szCs w:val="24"/>
        </w:rPr>
        <w:t>accelerarea implementării proiectelor aflate în execuţie printr-un management responsabil şi proactiv, printr-un dialog continuu cu antreprenorii şi o colaborare interinstituţională eficientă, astfel încât să fie identificate rapid soluţiile în vederea eliminării eventualelor blocaje apărute pe parcursul derulării acestor proiecte;</w:t>
      </w:r>
    </w:p>
    <w:p w:rsidR="00195E42" w:rsidRPr="00AF3608" w:rsidRDefault="00195E42" w:rsidP="003A0B85">
      <w:pPr>
        <w:pStyle w:val="ListParagraph"/>
        <w:numPr>
          <w:ilvl w:val="0"/>
          <w:numId w:val="77"/>
        </w:numPr>
        <w:spacing w:before="120" w:line="240" w:lineRule="auto"/>
        <w:contextualSpacing w:val="0"/>
        <w:jc w:val="both"/>
        <w:rPr>
          <w:rFonts w:asciiTheme="minorHAnsi" w:hAnsiTheme="minorHAnsi" w:cstheme="minorHAnsi"/>
          <w:lang w:eastAsia="ro-RO" w:bidi="ro-RO"/>
        </w:rPr>
      </w:pPr>
      <w:r w:rsidRPr="00AF3608">
        <w:rPr>
          <w:rFonts w:asciiTheme="minorHAnsi" w:eastAsia="Trebuchet MS" w:hAnsiTheme="minorHAnsi" w:cstheme="minorHAnsi"/>
          <w:szCs w:val="24"/>
        </w:rPr>
        <w:lastRenderedPageBreak/>
        <w:t>monitorizarea atentă a proiectelor aflate în derulare pe principalele coridoare de conectivitate europeană, astfel încât perspectiva lor de finalizare să se încadreze într-un orizont mediu de timp;</w:t>
      </w:r>
    </w:p>
    <w:p w:rsidR="00195E42" w:rsidRPr="00AF3608" w:rsidRDefault="00195E42" w:rsidP="003A0B85">
      <w:pPr>
        <w:pStyle w:val="ListParagraph"/>
        <w:numPr>
          <w:ilvl w:val="0"/>
          <w:numId w:val="77"/>
        </w:numPr>
        <w:spacing w:before="120" w:line="240" w:lineRule="auto"/>
        <w:contextualSpacing w:val="0"/>
        <w:jc w:val="both"/>
        <w:rPr>
          <w:rFonts w:asciiTheme="minorHAnsi" w:hAnsiTheme="minorHAnsi" w:cstheme="minorHAnsi"/>
          <w:lang w:eastAsia="ro-RO" w:bidi="ro-RO"/>
        </w:rPr>
      </w:pPr>
      <w:r w:rsidRPr="00AF3608">
        <w:rPr>
          <w:rFonts w:asciiTheme="minorHAnsi" w:eastAsia="Trebuchet MS" w:hAnsiTheme="minorHAnsi" w:cstheme="minorHAnsi"/>
          <w:szCs w:val="24"/>
        </w:rPr>
        <w:t>demararea de noi proiecte de investiţii în infrastructura de transport prin promovarea unor documentaţii mature şi bine fundamentate, care să aibă la bază eficienţa economică a acestor proiecte;</w:t>
      </w:r>
    </w:p>
    <w:p w:rsidR="00195E42" w:rsidRPr="00AF3608" w:rsidRDefault="00195E42" w:rsidP="003A0B85">
      <w:pPr>
        <w:pStyle w:val="ListParagraph"/>
        <w:numPr>
          <w:ilvl w:val="0"/>
          <w:numId w:val="77"/>
        </w:numPr>
        <w:spacing w:before="120" w:line="240" w:lineRule="auto"/>
        <w:contextualSpacing w:val="0"/>
        <w:jc w:val="both"/>
        <w:rPr>
          <w:rFonts w:asciiTheme="minorHAnsi" w:hAnsiTheme="minorHAnsi" w:cstheme="minorHAnsi"/>
          <w:lang w:eastAsia="ro-RO" w:bidi="ro-RO"/>
        </w:rPr>
      </w:pPr>
      <w:r w:rsidRPr="00AF3608">
        <w:rPr>
          <w:rFonts w:asciiTheme="minorHAnsi" w:eastAsia="Trebuchet MS" w:hAnsiTheme="minorHAnsi" w:cstheme="minorHAnsi"/>
          <w:szCs w:val="24"/>
        </w:rPr>
        <w:t>realizarea conectivităţii între regiunile istorice prin intensificarea procesului de închidere a coridorului IV rutier şi feroviar paneuropean şi a implementării proiectelor de infrastructură mare din Regiunea Moldovei, pe Coridorul IX pan-european, precum şi pe axa Est-Vest;</w:t>
      </w:r>
    </w:p>
    <w:p w:rsidR="00195E42" w:rsidRPr="00AF3608" w:rsidRDefault="00195E42" w:rsidP="003A0B85">
      <w:pPr>
        <w:pStyle w:val="ListParagraph"/>
        <w:numPr>
          <w:ilvl w:val="0"/>
          <w:numId w:val="77"/>
        </w:numPr>
        <w:spacing w:before="120" w:line="240" w:lineRule="auto"/>
        <w:contextualSpacing w:val="0"/>
        <w:jc w:val="both"/>
        <w:rPr>
          <w:rFonts w:asciiTheme="minorHAnsi" w:hAnsiTheme="minorHAnsi" w:cstheme="minorHAnsi"/>
          <w:lang w:eastAsia="ro-RO" w:bidi="ro-RO"/>
        </w:rPr>
      </w:pPr>
      <w:r w:rsidRPr="00AF3608">
        <w:rPr>
          <w:rFonts w:asciiTheme="minorHAnsi" w:eastAsia="Trebuchet MS" w:hAnsiTheme="minorHAnsi" w:cstheme="minorHAnsi"/>
          <w:szCs w:val="24"/>
        </w:rPr>
        <w:t>continuarea programului de redresare a companiilor de stat din domeniul transporturilor şi a procesului de selecţie a managerilor profesionişti în baza unei analize transparente şi solide;</w:t>
      </w:r>
    </w:p>
    <w:p w:rsidR="00195E42" w:rsidRPr="00AF3608" w:rsidRDefault="00195E42" w:rsidP="003A0B85">
      <w:pPr>
        <w:pStyle w:val="ListParagraph"/>
        <w:numPr>
          <w:ilvl w:val="0"/>
          <w:numId w:val="77"/>
        </w:numPr>
        <w:spacing w:before="120" w:line="240" w:lineRule="auto"/>
        <w:contextualSpacing w:val="0"/>
        <w:jc w:val="both"/>
        <w:rPr>
          <w:rFonts w:asciiTheme="minorHAnsi" w:hAnsiTheme="minorHAnsi" w:cstheme="minorHAnsi"/>
          <w:lang w:eastAsia="ro-RO" w:bidi="ro-RO"/>
        </w:rPr>
      </w:pPr>
      <w:r w:rsidRPr="00AF3608">
        <w:rPr>
          <w:rFonts w:asciiTheme="minorHAnsi" w:eastAsia="Trebuchet MS" w:hAnsiTheme="minorHAnsi" w:cstheme="minorHAnsi"/>
          <w:szCs w:val="24"/>
        </w:rPr>
        <w:t>atragerea specialiştilor români care lucrează în străinătate ("repatrierea") în implementarea unor proiecte majore de miliarde de euro;</w:t>
      </w:r>
    </w:p>
    <w:p w:rsidR="00195E42" w:rsidRPr="00AF3608" w:rsidRDefault="00195E42" w:rsidP="003A0B85">
      <w:pPr>
        <w:pStyle w:val="ListParagraph"/>
        <w:numPr>
          <w:ilvl w:val="0"/>
          <w:numId w:val="77"/>
        </w:numPr>
        <w:spacing w:before="120" w:line="240" w:lineRule="auto"/>
        <w:contextualSpacing w:val="0"/>
        <w:jc w:val="both"/>
        <w:rPr>
          <w:rFonts w:asciiTheme="minorHAnsi" w:hAnsiTheme="minorHAnsi" w:cstheme="minorHAnsi"/>
          <w:lang w:eastAsia="ro-RO" w:bidi="ro-RO"/>
        </w:rPr>
      </w:pPr>
      <w:r w:rsidRPr="00AF3608">
        <w:rPr>
          <w:rFonts w:asciiTheme="minorHAnsi" w:eastAsia="Trebuchet MS" w:hAnsiTheme="minorHAnsi" w:cstheme="minorHAnsi"/>
          <w:szCs w:val="24"/>
        </w:rPr>
        <w:t>parteneriate cu instituţii publice care gestionează infrastructură în alte state membre UE pentru asistenţă tehnică;</w:t>
      </w:r>
    </w:p>
    <w:p w:rsidR="00195E42" w:rsidRPr="00AF3608" w:rsidRDefault="00195E42" w:rsidP="003A0B85">
      <w:pPr>
        <w:pStyle w:val="ListParagraph"/>
        <w:numPr>
          <w:ilvl w:val="0"/>
          <w:numId w:val="77"/>
        </w:numPr>
        <w:spacing w:before="120" w:line="240" w:lineRule="auto"/>
        <w:contextualSpacing w:val="0"/>
        <w:jc w:val="both"/>
        <w:rPr>
          <w:rFonts w:asciiTheme="minorHAnsi" w:hAnsiTheme="minorHAnsi" w:cstheme="minorHAnsi"/>
          <w:lang w:eastAsia="ro-RO" w:bidi="ro-RO"/>
        </w:rPr>
      </w:pPr>
      <w:r w:rsidRPr="00AF3608">
        <w:rPr>
          <w:rFonts w:asciiTheme="minorHAnsi" w:eastAsia="Trebuchet MS" w:hAnsiTheme="minorHAnsi" w:cstheme="minorHAnsi"/>
          <w:szCs w:val="24"/>
        </w:rPr>
        <w:t xml:space="preserve">implementarea </w:t>
      </w:r>
      <w:r w:rsidRPr="00AF3608">
        <w:rPr>
          <w:rFonts w:asciiTheme="minorHAnsi" w:eastAsia="Trebuchet MS" w:hAnsiTheme="minorHAnsi" w:cstheme="minorHAnsi"/>
          <w:b/>
          <w:szCs w:val="24"/>
        </w:rPr>
        <w:t>Planului investiţional pentru dezvoltarea infrastructurii de transport pentru perioada 2020-2030</w:t>
      </w:r>
      <w:r w:rsidRPr="00AF3608">
        <w:rPr>
          <w:rFonts w:asciiTheme="minorHAnsi" w:eastAsia="Trebuchet MS" w:hAnsiTheme="minorHAnsi" w:cstheme="minorHAnsi"/>
          <w:szCs w:val="24"/>
        </w:rPr>
        <w:t>, document care actualizează strategia de implementare a Master Planului General de Transport şi care va sta la baza accesării fondurilor europene în viitorul exerciţiu financiar european;</w:t>
      </w:r>
    </w:p>
    <w:p w:rsidR="00195E42" w:rsidRPr="00AF3608" w:rsidRDefault="00195E42" w:rsidP="003A0B85">
      <w:pPr>
        <w:pStyle w:val="ListParagraph"/>
        <w:numPr>
          <w:ilvl w:val="0"/>
          <w:numId w:val="77"/>
        </w:numPr>
        <w:spacing w:before="120" w:line="240" w:lineRule="auto"/>
        <w:contextualSpacing w:val="0"/>
        <w:jc w:val="both"/>
        <w:rPr>
          <w:rFonts w:asciiTheme="minorHAnsi" w:hAnsiTheme="minorHAnsi" w:cstheme="minorHAnsi"/>
          <w:lang w:eastAsia="ro-RO" w:bidi="ro-RO"/>
        </w:rPr>
      </w:pPr>
      <w:r w:rsidRPr="00AF3608">
        <w:rPr>
          <w:rFonts w:asciiTheme="minorHAnsi" w:eastAsia="Trebuchet MS" w:hAnsiTheme="minorHAnsi" w:cstheme="minorHAnsi"/>
          <w:szCs w:val="24"/>
        </w:rPr>
        <w:t>adoptarea unei noi strategii de finanţare a proiectelor de infrastructură care să asigure implementarea proiectelor în mod sustenabil şi eficient. Vor fi susţinute investiţiile majore în infrastructură având ca principală sursă de finanţare fondurile europene nerambursabile, acesta fiind un factor-cheie al modernizării României. Uniunea Europeană încurajează statele în accesarea, pe lângă fondurile europene, şi a altor instrumente de finanţare pentru a maximiza impactul acestora şi pentru a permite dezvoltarea unui număr mai mare de proiecte;</w:t>
      </w:r>
    </w:p>
    <w:p w:rsidR="00195E42" w:rsidRPr="00AF3608" w:rsidRDefault="00195E42" w:rsidP="003A0B85">
      <w:pPr>
        <w:pStyle w:val="ListParagraph"/>
        <w:numPr>
          <w:ilvl w:val="0"/>
          <w:numId w:val="77"/>
        </w:numPr>
        <w:spacing w:before="120" w:line="240" w:lineRule="auto"/>
        <w:contextualSpacing w:val="0"/>
        <w:jc w:val="both"/>
        <w:rPr>
          <w:rFonts w:asciiTheme="minorHAnsi" w:hAnsiTheme="minorHAnsi" w:cstheme="minorHAnsi"/>
          <w:lang w:eastAsia="ro-RO" w:bidi="ro-RO"/>
        </w:rPr>
      </w:pPr>
      <w:r w:rsidRPr="00AF3608">
        <w:rPr>
          <w:rFonts w:asciiTheme="minorHAnsi" w:hAnsiTheme="minorHAnsi" w:cstheme="minorHAnsi"/>
          <w:szCs w:val="24"/>
          <w:lang w:eastAsia="ro-RO" w:bidi="ro-RO"/>
        </w:rPr>
        <w:t>finanțarea cheltuielilor de mentenanţă pentru reţeaua terestră de transport, rutieră şi feroviară;</w:t>
      </w:r>
    </w:p>
    <w:p w:rsidR="00195E42" w:rsidRPr="00AF3608" w:rsidRDefault="00195E42" w:rsidP="003A0B85">
      <w:pPr>
        <w:pStyle w:val="ListParagraph"/>
        <w:numPr>
          <w:ilvl w:val="0"/>
          <w:numId w:val="77"/>
        </w:numPr>
        <w:spacing w:before="120" w:line="240" w:lineRule="auto"/>
        <w:contextualSpacing w:val="0"/>
        <w:jc w:val="both"/>
        <w:rPr>
          <w:rFonts w:asciiTheme="minorHAnsi" w:hAnsiTheme="minorHAnsi" w:cstheme="minorHAnsi"/>
          <w:lang w:eastAsia="ro-RO" w:bidi="ro-RO"/>
        </w:rPr>
      </w:pPr>
      <w:r w:rsidRPr="00AF3608">
        <w:rPr>
          <w:rFonts w:asciiTheme="minorHAnsi" w:hAnsiTheme="minorHAnsi" w:cstheme="minorHAnsi"/>
          <w:szCs w:val="24"/>
          <w:lang w:eastAsia="ro-RO" w:bidi="ro-RO"/>
        </w:rPr>
        <w:t>accelerarea implementării şi finalizarea investiţiilor în execuţie;</w:t>
      </w:r>
    </w:p>
    <w:p w:rsidR="00195E42" w:rsidRPr="00AF3608" w:rsidRDefault="00195E42" w:rsidP="003A0B85">
      <w:pPr>
        <w:pStyle w:val="ListParagraph"/>
        <w:numPr>
          <w:ilvl w:val="0"/>
          <w:numId w:val="77"/>
        </w:numPr>
        <w:spacing w:before="120" w:line="240" w:lineRule="auto"/>
        <w:contextualSpacing w:val="0"/>
        <w:jc w:val="both"/>
        <w:rPr>
          <w:rFonts w:asciiTheme="minorHAnsi" w:hAnsiTheme="minorHAnsi" w:cstheme="minorHAnsi"/>
          <w:lang w:eastAsia="ro-RO" w:bidi="ro-RO"/>
        </w:rPr>
      </w:pPr>
      <w:r w:rsidRPr="00AF3608">
        <w:rPr>
          <w:rFonts w:asciiTheme="minorHAnsi" w:hAnsiTheme="minorHAnsi" w:cstheme="minorHAnsi"/>
          <w:szCs w:val="24"/>
          <w:lang w:eastAsia="ro-RO" w:bidi="ro-RO"/>
        </w:rPr>
        <w:t>pregătirea proiectelor de mare infrastructură de transport, cu precădere a portofoliului de proiecte ce urmează să fie incluse pe lista Programului operaţional pentru transporturi (POIM) în exerciţiul bugetar al UE 2021-2027, în limitele prevăzute de lege.</w:t>
      </w:r>
    </w:p>
    <w:p w:rsidR="00195E42" w:rsidRPr="00AF3608" w:rsidRDefault="00195E42" w:rsidP="00B723C0">
      <w:pPr>
        <w:spacing w:before="120"/>
        <w:jc w:val="both"/>
        <w:rPr>
          <w:rFonts w:asciiTheme="minorHAnsi" w:eastAsia="Calibri" w:hAnsiTheme="minorHAnsi" w:cstheme="minorHAnsi"/>
          <w:lang w:val="ro-RO" w:eastAsia="ro-RO" w:bidi="ro-RO"/>
        </w:rPr>
      </w:pPr>
      <w:r w:rsidRPr="00AF3608">
        <w:rPr>
          <w:rFonts w:asciiTheme="minorHAnsi" w:eastAsia="Calibri" w:hAnsiTheme="minorHAnsi" w:cstheme="minorHAnsi"/>
          <w:b/>
          <w:lang w:val="ro-RO" w:eastAsia="ro-RO" w:bidi="ro-RO"/>
        </w:rPr>
        <w:t xml:space="preserve">Alocarea resurselor </w:t>
      </w:r>
      <w:r w:rsidRPr="00AF3608">
        <w:rPr>
          <w:rFonts w:asciiTheme="minorHAnsi" w:eastAsia="Calibri" w:hAnsiTheme="minorHAnsi" w:cstheme="minorHAnsi"/>
          <w:lang w:val="ro-RO" w:eastAsia="ro-RO" w:bidi="ro-RO"/>
        </w:rPr>
        <w:t xml:space="preserve">financiare va fi focalizată, în principal, </w:t>
      </w:r>
      <w:r w:rsidRPr="00AF3608">
        <w:rPr>
          <w:rFonts w:asciiTheme="minorHAnsi" w:eastAsia="Calibri" w:hAnsiTheme="minorHAnsi" w:cstheme="minorHAnsi"/>
          <w:b/>
          <w:lang w:val="ro-RO" w:eastAsia="ro-RO" w:bidi="ro-RO"/>
        </w:rPr>
        <w:t>pentru</w:t>
      </w:r>
      <w:r w:rsidRPr="00AF3608">
        <w:rPr>
          <w:rFonts w:asciiTheme="minorHAnsi" w:eastAsia="Calibri" w:hAnsiTheme="minorHAnsi" w:cstheme="minorHAnsi"/>
          <w:lang w:val="ro-RO" w:eastAsia="ro-RO" w:bidi="ro-RO"/>
        </w:rPr>
        <w:t>:</w:t>
      </w:r>
    </w:p>
    <w:p w:rsidR="00195E42" w:rsidRPr="00AF3608" w:rsidRDefault="00195E42" w:rsidP="003A0B85">
      <w:pPr>
        <w:pStyle w:val="ListParagraph"/>
        <w:numPr>
          <w:ilvl w:val="0"/>
          <w:numId w:val="78"/>
        </w:numPr>
        <w:spacing w:before="120" w:line="240" w:lineRule="auto"/>
        <w:contextualSpacing w:val="0"/>
        <w:jc w:val="both"/>
        <w:rPr>
          <w:rFonts w:asciiTheme="minorHAnsi" w:hAnsiTheme="minorHAnsi" w:cstheme="minorHAnsi"/>
          <w:lang w:eastAsia="ro-RO" w:bidi="ro-RO"/>
        </w:rPr>
      </w:pPr>
      <w:r w:rsidRPr="00AF3608">
        <w:rPr>
          <w:rFonts w:asciiTheme="minorHAnsi" w:hAnsiTheme="minorHAnsi" w:cstheme="minorHAnsi"/>
          <w:lang w:eastAsia="ro-RO" w:bidi="ro-RO"/>
        </w:rPr>
        <w:t>Realizarea programului de întreţinere curentă şi periodică, reparaţii pentru reţeaua terestră, rutieră şi feroviară, inclusiv lucrările de reparaţii capitale, siguranţa circulaţiei, eliminarea punctelor negre la drumuri conform normativelor de întreţinere pe baza managementului reţelei prin PMS (pavement management system), pentru drumuri, şi BMS (bridge management system), pentru poduri, şi a restricţiilor de circulaţie la calea ferată conform Instrucţiilor de construcţie şi întreţinere a căii ferate;</w:t>
      </w:r>
    </w:p>
    <w:p w:rsidR="00195E42" w:rsidRPr="00AF3608" w:rsidRDefault="00195E42" w:rsidP="003A0B85">
      <w:pPr>
        <w:pStyle w:val="ListParagraph"/>
        <w:numPr>
          <w:ilvl w:val="0"/>
          <w:numId w:val="78"/>
        </w:numPr>
        <w:spacing w:before="120" w:line="240" w:lineRule="auto"/>
        <w:contextualSpacing w:val="0"/>
        <w:jc w:val="both"/>
        <w:rPr>
          <w:rFonts w:asciiTheme="minorHAnsi" w:hAnsiTheme="minorHAnsi" w:cstheme="minorHAnsi"/>
          <w:lang w:eastAsia="ro-RO" w:bidi="ro-RO"/>
        </w:rPr>
      </w:pPr>
      <w:r w:rsidRPr="00AF3608">
        <w:rPr>
          <w:rFonts w:asciiTheme="minorHAnsi" w:hAnsiTheme="minorHAnsi" w:cstheme="minorHAnsi"/>
          <w:szCs w:val="24"/>
          <w:lang w:eastAsia="ro-RO" w:bidi="ro-RO"/>
        </w:rPr>
        <w:t>accelerarea implementării şi finalizarea investiţiilor în continuare în scopul dezvoltării şi modernizării reţelei terestre de transport şi pentru creşterea absorbţiei de fonduri europene nerambursabile pentru exerciţiul financiar 2014-2020;</w:t>
      </w:r>
    </w:p>
    <w:p w:rsidR="00195E42" w:rsidRPr="00AF3608" w:rsidRDefault="00195E42" w:rsidP="003A0B85">
      <w:pPr>
        <w:pStyle w:val="ListParagraph"/>
        <w:numPr>
          <w:ilvl w:val="0"/>
          <w:numId w:val="78"/>
        </w:numPr>
        <w:spacing w:before="120" w:line="240" w:lineRule="auto"/>
        <w:contextualSpacing w:val="0"/>
        <w:jc w:val="both"/>
        <w:rPr>
          <w:rFonts w:asciiTheme="minorHAnsi" w:hAnsiTheme="minorHAnsi" w:cstheme="minorHAnsi"/>
          <w:lang w:eastAsia="ro-RO" w:bidi="ro-RO"/>
        </w:rPr>
      </w:pPr>
      <w:r w:rsidRPr="00AF3608">
        <w:rPr>
          <w:rFonts w:asciiTheme="minorHAnsi" w:hAnsiTheme="minorHAnsi" w:cstheme="minorHAnsi"/>
          <w:szCs w:val="24"/>
          <w:lang w:eastAsia="ro-RO" w:bidi="ro-RO"/>
        </w:rPr>
        <w:lastRenderedPageBreak/>
        <w:t>accelerarea pregătirii portofoliului de proiecte ce urmează să fie incluse pe lista Programului operaţional pentru transporturi (POIM) în exerciţiul bugetar al UE 2021-2027, în limitele prevăzute de lege, cu prioritate a proiectelor de mare infrastructură de transport de reabilitare a căii ferate şi a proiectelor de autostrăzi şi drumuri expres, eligibile pentru finanţare din fondurile europene, FC şi FEDR, până la limita valorii de 200% faţă de suma alocată (valoare suplimentară pentru semnare de contracte permisă de legislaţie).</w:t>
      </w:r>
    </w:p>
    <w:p w:rsidR="00FC25BC" w:rsidRPr="00AF3608" w:rsidRDefault="00FC25BC" w:rsidP="00B723C0">
      <w:pPr>
        <w:spacing w:before="120"/>
        <w:jc w:val="both"/>
        <w:rPr>
          <w:rFonts w:asciiTheme="minorHAnsi" w:hAnsiTheme="minorHAnsi" w:cstheme="minorHAnsi"/>
          <w:lang w:val="ro-RO" w:eastAsia="ro-RO" w:bidi="ro-RO"/>
        </w:rPr>
      </w:pPr>
    </w:p>
    <w:p w:rsidR="00195E42" w:rsidRPr="00AF3608" w:rsidRDefault="00195E42" w:rsidP="00B723C0">
      <w:pPr>
        <w:pStyle w:val="ListParagraph"/>
        <w:spacing w:before="120" w:line="240" w:lineRule="auto"/>
        <w:ind w:left="0"/>
        <w:contextualSpacing w:val="0"/>
        <w:jc w:val="both"/>
        <w:rPr>
          <w:rFonts w:asciiTheme="minorHAnsi" w:hAnsiTheme="minorHAnsi" w:cstheme="minorHAnsi"/>
          <w:szCs w:val="24"/>
        </w:rPr>
      </w:pPr>
      <w:r w:rsidRPr="00AF3608">
        <w:rPr>
          <w:rFonts w:asciiTheme="minorHAnsi" w:hAnsiTheme="minorHAnsi" w:cstheme="minorHAnsi"/>
          <w:b/>
          <w:szCs w:val="24"/>
        </w:rPr>
        <w:t>Programul Operațional Infrastructură Mare (POIM) 2014-2020</w:t>
      </w:r>
      <w:r w:rsidRPr="00AF3608">
        <w:rPr>
          <w:rFonts w:asciiTheme="minorHAnsi" w:hAnsiTheme="minorHAnsi" w:cstheme="minorHAnsi"/>
          <w:szCs w:val="24"/>
        </w:rPr>
        <w:t xml:space="preserve"> a fost elaborat pentru a răspunde nevoilor de dezvoltare ale României identificate în Master Planul General de Transport al României (MPGT), Acordul de Parteneriat 2014-2020 și în acord cu Cadrul Strategic Comun (CSC) și Documentul de Poziție al serviciilor Comisiei Europene. </w:t>
      </w:r>
    </w:p>
    <w:p w:rsidR="00195E42" w:rsidRPr="00AF3608" w:rsidRDefault="00195E42" w:rsidP="00B723C0">
      <w:pPr>
        <w:pStyle w:val="ListParagraph"/>
        <w:spacing w:before="120" w:line="240" w:lineRule="auto"/>
        <w:ind w:left="0"/>
        <w:contextualSpacing w:val="0"/>
        <w:jc w:val="both"/>
        <w:rPr>
          <w:rFonts w:asciiTheme="minorHAnsi" w:hAnsiTheme="minorHAnsi" w:cstheme="minorHAnsi"/>
          <w:szCs w:val="24"/>
        </w:rPr>
      </w:pPr>
      <w:r w:rsidRPr="00AF3608">
        <w:rPr>
          <w:rFonts w:asciiTheme="minorHAnsi" w:hAnsiTheme="minorHAnsi" w:cstheme="minorHAnsi"/>
          <w:szCs w:val="24"/>
        </w:rPr>
        <w:t>În cadrul POIM 2014-2020 alocarea UE pentru sectorul de transport este de aproximativ 5 miliarde Euro. Conform programării agreate cu Comisia Europeană, eforturile POIM 2014-2020 au fost în principal orientate spre dezvoltarea rețelei centrale TEN-T, în particular spre dezvoltarea coridoarelor care traversează România, și anume: Rhine–Danube și Orient/East-Mediterranean.</w:t>
      </w:r>
    </w:p>
    <w:p w:rsidR="00195E42" w:rsidRPr="00AF3608" w:rsidRDefault="00195E42" w:rsidP="00B723C0">
      <w:pPr>
        <w:pStyle w:val="ListParagraph"/>
        <w:spacing w:before="120" w:line="240" w:lineRule="auto"/>
        <w:ind w:left="0"/>
        <w:contextualSpacing w:val="0"/>
        <w:jc w:val="both"/>
        <w:rPr>
          <w:rFonts w:asciiTheme="minorHAnsi" w:hAnsiTheme="minorHAnsi" w:cstheme="minorHAnsi"/>
          <w:szCs w:val="24"/>
        </w:rPr>
      </w:pPr>
      <w:r w:rsidRPr="00AF3608">
        <w:rPr>
          <w:rFonts w:asciiTheme="minorHAnsi" w:hAnsiTheme="minorHAnsi" w:cstheme="minorHAnsi"/>
          <w:szCs w:val="24"/>
        </w:rPr>
        <w:t>În cadrul POIM au fost depuse până în prezent 225 de proiecte și au fost contractate 121 de proiecte a căror valoare totală este de aproximativ 12 Mld. Euro.</w:t>
      </w:r>
    </w:p>
    <w:p w:rsidR="00195E42" w:rsidRPr="00AF3608" w:rsidRDefault="00195E42" w:rsidP="00B723C0">
      <w:pPr>
        <w:pStyle w:val="ListParagraph"/>
        <w:spacing w:before="120" w:line="240" w:lineRule="auto"/>
        <w:ind w:left="0"/>
        <w:contextualSpacing w:val="0"/>
        <w:jc w:val="both"/>
        <w:rPr>
          <w:rFonts w:asciiTheme="minorHAnsi" w:hAnsiTheme="minorHAnsi" w:cstheme="minorHAnsi"/>
          <w:szCs w:val="24"/>
        </w:rPr>
      </w:pPr>
      <w:r w:rsidRPr="00AF3608">
        <w:rPr>
          <w:rFonts w:asciiTheme="minorHAnsi" w:hAnsiTheme="minorHAnsi" w:cstheme="minorHAnsi"/>
          <w:szCs w:val="24"/>
        </w:rPr>
        <w:t xml:space="preserve">Totodată, a fost transmis și se află în curs de evaluare la nivelul Comisiei Europene proiectul </w:t>
      </w:r>
      <w:r w:rsidRPr="00AF3608">
        <w:rPr>
          <w:rFonts w:asciiTheme="minorHAnsi" w:hAnsiTheme="minorHAnsi" w:cstheme="minorHAnsi"/>
          <w:i/>
          <w:szCs w:val="24"/>
        </w:rPr>
        <w:t>Drum expres Craiova Pitești cu o valoare totală de 1,012,689,698.98 Euro</w:t>
      </w:r>
    </w:p>
    <w:p w:rsidR="00FC25BC" w:rsidRPr="00AF3608" w:rsidRDefault="00FC25BC" w:rsidP="00B723C0">
      <w:pPr>
        <w:pStyle w:val="ListParagraph"/>
        <w:spacing w:before="120" w:line="240" w:lineRule="auto"/>
        <w:ind w:left="0"/>
        <w:contextualSpacing w:val="0"/>
        <w:jc w:val="both"/>
        <w:rPr>
          <w:rFonts w:asciiTheme="minorHAnsi" w:hAnsiTheme="minorHAnsi" w:cstheme="minorHAnsi"/>
          <w:szCs w:val="24"/>
        </w:rPr>
      </w:pPr>
    </w:p>
    <w:p w:rsidR="00195E42" w:rsidRPr="00AF3608" w:rsidRDefault="00195E42" w:rsidP="00B723C0">
      <w:pPr>
        <w:pStyle w:val="ListParagraph"/>
        <w:spacing w:before="120" w:line="240" w:lineRule="auto"/>
        <w:ind w:left="0"/>
        <w:contextualSpacing w:val="0"/>
        <w:jc w:val="both"/>
        <w:rPr>
          <w:rFonts w:asciiTheme="minorHAnsi" w:hAnsiTheme="minorHAnsi" w:cstheme="minorHAnsi"/>
          <w:szCs w:val="24"/>
        </w:rPr>
      </w:pPr>
      <w:r w:rsidRPr="00AF3608">
        <w:rPr>
          <w:rFonts w:asciiTheme="minorHAnsi" w:hAnsiTheme="minorHAnsi" w:cstheme="minorHAnsi"/>
          <w:szCs w:val="24"/>
        </w:rPr>
        <w:t>În același timp, se află în pregătire mai multe proiecte majore ce vor fi transmise către Comisia Europeană în următoarea perioadă:</w:t>
      </w:r>
    </w:p>
    <w:p w:rsidR="00195E42" w:rsidRPr="00AF3608" w:rsidRDefault="00195E42" w:rsidP="003A0B85">
      <w:pPr>
        <w:pStyle w:val="ListParagraph"/>
        <w:numPr>
          <w:ilvl w:val="0"/>
          <w:numId w:val="74"/>
        </w:numPr>
        <w:spacing w:before="120" w:line="240" w:lineRule="auto"/>
        <w:contextualSpacing w:val="0"/>
        <w:jc w:val="both"/>
        <w:rPr>
          <w:rFonts w:asciiTheme="minorHAnsi" w:hAnsiTheme="minorHAnsi" w:cstheme="minorHAnsi"/>
          <w:i/>
          <w:szCs w:val="24"/>
        </w:rPr>
      </w:pPr>
      <w:r w:rsidRPr="00AF3608">
        <w:rPr>
          <w:rFonts w:asciiTheme="minorHAnsi" w:hAnsiTheme="minorHAnsi" w:cstheme="minorHAnsi"/>
          <w:i/>
          <w:szCs w:val="24"/>
        </w:rPr>
        <w:t>Achiziție material rulant ARF (417,517,083 euro);</w:t>
      </w:r>
    </w:p>
    <w:p w:rsidR="00195E42" w:rsidRPr="00AF3608" w:rsidRDefault="00195E42" w:rsidP="003A0B85">
      <w:pPr>
        <w:pStyle w:val="ListParagraph"/>
        <w:numPr>
          <w:ilvl w:val="0"/>
          <w:numId w:val="74"/>
        </w:numPr>
        <w:spacing w:before="120" w:line="240" w:lineRule="auto"/>
        <w:contextualSpacing w:val="0"/>
        <w:jc w:val="both"/>
        <w:rPr>
          <w:rFonts w:asciiTheme="minorHAnsi" w:hAnsiTheme="minorHAnsi" w:cstheme="minorHAnsi"/>
          <w:i/>
          <w:szCs w:val="24"/>
        </w:rPr>
      </w:pPr>
      <w:r w:rsidRPr="00AF3608">
        <w:rPr>
          <w:rFonts w:asciiTheme="minorHAnsi" w:hAnsiTheme="minorHAnsi" w:cstheme="minorHAnsi"/>
          <w:i/>
          <w:szCs w:val="24"/>
        </w:rPr>
        <w:t>Construcție Centură Nord București (972.521.318 euro);</w:t>
      </w:r>
    </w:p>
    <w:p w:rsidR="00195E42" w:rsidRPr="00AF3608" w:rsidRDefault="00195E42" w:rsidP="003A0B85">
      <w:pPr>
        <w:pStyle w:val="ListParagraph"/>
        <w:numPr>
          <w:ilvl w:val="0"/>
          <w:numId w:val="74"/>
        </w:numPr>
        <w:spacing w:before="120" w:line="240" w:lineRule="auto"/>
        <w:contextualSpacing w:val="0"/>
        <w:jc w:val="both"/>
        <w:rPr>
          <w:rFonts w:asciiTheme="minorHAnsi" w:hAnsiTheme="minorHAnsi" w:cstheme="minorHAnsi"/>
          <w:i/>
          <w:szCs w:val="24"/>
        </w:rPr>
      </w:pPr>
      <w:r w:rsidRPr="00AF3608">
        <w:rPr>
          <w:rFonts w:asciiTheme="minorHAnsi" w:hAnsiTheme="minorHAnsi" w:cstheme="minorHAnsi"/>
          <w:i/>
          <w:szCs w:val="24"/>
        </w:rPr>
        <w:t>Modernizarea liniei CF București Nord - Jilava - Giurgiu Nord - Giurgiu Nord Frontiera, Lot 1: Redeschiderea circulației feroviare pe pod peste Argeș între Vidra și Comana (129,891,666 mil euro)</w:t>
      </w:r>
    </w:p>
    <w:p w:rsidR="00195E42" w:rsidRPr="00AF3608" w:rsidRDefault="00195E42" w:rsidP="00B723C0">
      <w:pPr>
        <w:pStyle w:val="ListParagraph"/>
        <w:spacing w:before="120" w:line="240" w:lineRule="auto"/>
        <w:ind w:left="1440"/>
        <w:contextualSpacing w:val="0"/>
        <w:jc w:val="both"/>
        <w:rPr>
          <w:rFonts w:asciiTheme="minorHAnsi" w:hAnsiTheme="minorHAnsi" w:cstheme="minorHAnsi"/>
          <w:szCs w:val="24"/>
        </w:rPr>
      </w:pPr>
    </w:p>
    <w:p w:rsidR="00195E42" w:rsidRPr="00AF3608" w:rsidRDefault="00195E42" w:rsidP="00B723C0">
      <w:pPr>
        <w:pStyle w:val="ListParagraph"/>
        <w:spacing w:before="120" w:line="240" w:lineRule="auto"/>
        <w:ind w:left="0"/>
        <w:contextualSpacing w:val="0"/>
        <w:jc w:val="both"/>
        <w:rPr>
          <w:rFonts w:asciiTheme="minorHAnsi" w:hAnsiTheme="minorHAnsi" w:cstheme="minorHAnsi"/>
          <w:szCs w:val="24"/>
        </w:rPr>
      </w:pPr>
      <w:r w:rsidRPr="00AF3608">
        <w:rPr>
          <w:rFonts w:asciiTheme="minorHAnsi" w:hAnsiTheme="minorHAnsi" w:cstheme="minorHAnsi"/>
          <w:b/>
          <w:szCs w:val="24"/>
        </w:rPr>
        <w:t xml:space="preserve">Programul Operațional Transport (POT) 2021 – 2027  </w:t>
      </w:r>
      <w:r w:rsidRPr="00AF3608">
        <w:rPr>
          <w:rFonts w:asciiTheme="minorHAnsi" w:hAnsiTheme="minorHAnsi" w:cstheme="minorHAnsi"/>
          <w:szCs w:val="24"/>
        </w:rPr>
        <w:t>este documentul programatic aflat în curs de negociere cu reprezentanții Comisiei Europene prin care se va continua finanțarea investițiilor în infrastructura de transport, derulate pe parcursul actualei perioade de programare, pe baza priorităților de investiții identificate în Planul Investițional pentru infrastructura de transport 2020 – 2030.</w:t>
      </w:r>
    </w:p>
    <w:p w:rsidR="00195E42" w:rsidRPr="00AF3608" w:rsidRDefault="00195E42" w:rsidP="00B723C0">
      <w:pPr>
        <w:pStyle w:val="ListParagraph"/>
        <w:spacing w:before="120" w:line="240" w:lineRule="auto"/>
        <w:ind w:left="0"/>
        <w:contextualSpacing w:val="0"/>
        <w:jc w:val="both"/>
        <w:rPr>
          <w:rFonts w:asciiTheme="minorHAnsi" w:hAnsiTheme="minorHAnsi" w:cstheme="minorHAnsi"/>
          <w:szCs w:val="24"/>
        </w:rPr>
      </w:pPr>
      <w:r w:rsidRPr="00AF3608">
        <w:rPr>
          <w:rFonts w:asciiTheme="minorHAnsi" w:hAnsiTheme="minorHAnsi" w:cstheme="minorHAnsi"/>
          <w:szCs w:val="24"/>
        </w:rPr>
        <w:t>Lista de proiecte prioritare ce va fi inclusă în POT va fi definitivată o dată cu finalizarea negocierilor cu reprezentanții Comisiei Europene și va include proiecte pe toate modurile de transport.</w:t>
      </w:r>
    </w:p>
    <w:p w:rsidR="00FC25BC" w:rsidRPr="00AF3608" w:rsidRDefault="00FC25BC" w:rsidP="00B723C0">
      <w:pPr>
        <w:pStyle w:val="ListParagraph"/>
        <w:spacing w:before="120" w:line="240" w:lineRule="auto"/>
        <w:ind w:left="0"/>
        <w:contextualSpacing w:val="0"/>
        <w:jc w:val="both"/>
        <w:rPr>
          <w:rFonts w:asciiTheme="minorHAnsi" w:hAnsiTheme="minorHAnsi" w:cstheme="minorHAnsi"/>
          <w:szCs w:val="24"/>
        </w:rPr>
      </w:pPr>
    </w:p>
    <w:p w:rsidR="00195E42" w:rsidRPr="00AF3608" w:rsidRDefault="00195E42" w:rsidP="00B723C0">
      <w:pPr>
        <w:pStyle w:val="ListParagraph"/>
        <w:spacing w:before="120" w:line="240" w:lineRule="auto"/>
        <w:ind w:left="0"/>
        <w:contextualSpacing w:val="0"/>
        <w:jc w:val="both"/>
        <w:rPr>
          <w:rFonts w:asciiTheme="minorHAnsi" w:hAnsiTheme="minorHAnsi" w:cstheme="minorHAnsi"/>
          <w:szCs w:val="24"/>
        </w:rPr>
      </w:pPr>
      <w:r w:rsidRPr="00AF3608">
        <w:rPr>
          <w:rFonts w:asciiTheme="minorHAnsi" w:hAnsiTheme="minorHAnsi" w:cstheme="minorHAnsi"/>
          <w:b/>
          <w:szCs w:val="24"/>
        </w:rPr>
        <w:t>Planul Național de Redresare și Reziliență 2021 – 2026</w:t>
      </w:r>
      <w:r w:rsidRPr="00AF3608">
        <w:rPr>
          <w:rFonts w:asciiTheme="minorHAnsi" w:hAnsiTheme="minorHAnsi" w:cstheme="minorHAnsi"/>
          <w:szCs w:val="24"/>
        </w:rPr>
        <w:t xml:space="preserve"> reprezintă un nou mecanism de finanțare pus la dispoziția statelor membre UE prin care urmează a fi stabilite domeniile prioritare de investiții ale României pentru ieșirea din criză, relansarea economică și creșterea capacității de reziliență a statului român.</w:t>
      </w:r>
    </w:p>
    <w:p w:rsidR="00195E42" w:rsidRPr="00AF3608" w:rsidRDefault="00195E42" w:rsidP="00B723C0">
      <w:pPr>
        <w:pStyle w:val="ListParagraph"/>
        <w:spacing w:before="120" w:line="240" w:lineRule="auto"/>
        <w:ind w:left="0"/>
        <w:contextualSpacing w:val="0"/>
        <w:jc w:val="both"/>
        <w:rPr>
          <w:rFonts w:asciiTheme="minorHAnsi" w:hAnsiTheme="minorHAnsi" w:cstheme="minorHAnsi"/>
          <w:szCs w:val="24"/>
        </w:rPr>
      </w:pPr>
      <w:r w:rsidRPr="00AF3608">
        <w:rPr>
          <w:rFonts w:asciiTheme="minorHAnsi" w:hAnsiTheme="minorHAnsi" w:cstheme="minorHAnsi"/>
          <w:szCs w:val="24"/>
        </w:rPr>
        <w:t xml:space="preserve">Pentru componenta de infrastructură de transport, investițiile incluse în acest program vor fi orientate spre continuarea investițiilor demarate în perioada 2014-2020, având ca obiectiv principal finalizarea coridoarelor reţelei TEN-T ce tranzitează România, respectiv Rhine-Dunăre şi Orient/East Med, prin realizarea tronsoanelor lipsă, precum şi dezvoltarea şi modernizarea reţelei naţionale de </w:t>
      </w:r>
      <w:r w:rsidRPr="00AF3608">
        <w:rPr>
          <w:rFonts w:asciiTheme="minorHAnsi" w:hAnsiTheme="minorHAnsi" w:cstheme="minorHAnsi"/>
          <w:szCs w:val="24"/>
        </w:rPr>
        <w:lastRenderedPageBreak/>
        <w:t>drumuri care asigură conectarea la rețeaua TEN-T şi modernizarea reţelei de căi ferate, contribuind astfel la crearea premiselor pentru dezvoltarea economică locală şi regională a României.</w:t>
      </w:r>
    </w:p>
    <w:p w:rsidR="00195E42" w:rsidRPr="00AF3608" w:rsidRDefault="00195E42" w:rsidP="00B723C0">
      <w:pPr>
        <w:pStyle w:val="ListParagraph"/>
        <w:spacing w:before="120" w:line="240" w:lineRule="auto"/>
        <w:ind w:left="0"/>
        <w:contextualSpacing w:val="0"/>
        <w:jc w:val="both"/>
        <w:rPr>
          <w:rFonts w:asciiTheme="minorHAnsi" w:hAnsiTheme="minorHAnsi" w:cstheme="minorHAnsi"/>
          <w:szCs w:val="24"/>
        </w:rPr>
      </w:pPr>
      <w:r w:rsidRPr="00AF3608">
        <w:rPr>
          <w:rFonts w:asciiTheme="minorHAnsi" w:hAnsiTheme="minorHAnsi" w:cstheme="minorHAnsi"/>
          <w:szCs w:val="24"/>
        </w:rPr>
        <w:t>Lista de proiecte prioritare ce va fi inclusă în PNRR va fi definitivată o dată cu finalizarea negocierilor cu reprezentanții Comisiei Europene.</w:t>
      </w:r>
    </w:p>
    <w:p w:rsidR="00FC25BC" w:rsidRPr="00AF3608" w:rsidRDefault="00FC25BC" w:rsidP="00B723C0">
      <w:pPr>
        <w:pStyle w:val="ListParagraph"/>
        <w:spacing w:before="120" w:line="240" w:lineRule="auto"/>
        <w:ind w:left="0"/>
        <w:contextualSpacing w:val="0"/>
        <w:jc w:val="both"/>
        <w:rPr>
          <w:rFonts w:asciiTheme="minorHAnsi" w:hAnsiTheme="minorHAnsi" w:cstheme="minorHAnsi"/>
          <w:b/>
          <w:szCs w:val="24"/>
        </w:rPr>
      </w:pPr>
    </w:p>
    <w:p w:rsidR="00195E42" w:rsidRPr="00AF3608" w:rsidRDefault="00195E42" w:rsidP="00B723C0">
      <w:pPr>
        <w:pStyle w:val="ListParagraph"/>
        <w:spacing w:before="120" w:line="240" w:lineRule="auto"/>
        <w:ind w:left="0"/>
        <w:contextualSpacing w:val="0"/>
        <w:jc w:val="both"/>
        <w:rPr>
          <w:rFonts w:asciiTheme="minorHAnsi" w:hAnsiTheme="minorHAnsi" w:cstheme="minorHAnsi"/>
          <w:b/>
          <w:szCs w:val="24"/>
        </w:rPr>
      </w:pPr>
      <w:r w:rsidRPr="00AF3608">
        <w:rPr>
          <w:rFonts w:asciiTheme="minorHAnsi" w:hAnsiTheme="minorHAnsi" w:cstheme="minorHAnsi"/>
          <w:b/>
          <w:szCs w:val="24"/>
        </w:rPr>
        <w:t>Mecanismul pentru Interconectarea Europei (CEF - Connecting Europe Facility)</w:t>
      </w:r>
    </w:p>
    <w:p w:rsidR="00195E42" w:rsidRPr="00AF3608" w:rsidRDefault="00195E42" w:rsidP="00B723C0">
      <w:pPr>
        <w:pStyle w:val="ListParagraph"/>
        <w:spacing w:before="120" w:line="240" w:lineRule="auto"/>
        <w:ind w:left="0"/>
        <w:contextualSpacing w:val="0"/>
        <w:jc w:val="both"/>
        <w:rPr>
          <w:rFonts w:asciiTheme="minorHAnsi" w:hAnsiTheme="minorHAnsi" w:cstheme="minorHAnsi"/>
          <w:szCs w:val="24"/>
        </w:rPr>
      </w:pPr>
      <w:r w:rsidRPr="00AF3608">
        <w:rPr>
          <w:rFonts w:asciiTheme="minorHAnsi" w:hAnsiTheme="minorHAnsi" w:cstheme="minorHAnsi"/>
          <w:szCs w:val="24"/>
        </w:rPr>
        <w:t>Finanțarea din partea UE acordată prin Mecanismul pentru Interconectarea Europei (CEF) vizează finalizarea rețelei TEN-T centrale şi, în special, a coridoarelor rețelei TEN-T centrale,  România fiind traversată de două coridoare, respectiv Orient Est-Med şi Rin-Dunăre.</w:t>
      </w:r>
    </w:p>
    <w:p w:rsidR="00195E42" w:rsidRPr="00AF3608" w:rsidRDefault="00195E42" w:rsidP="00B723C0">
      <w:pPr>
        <w:pStyle w:val="ListParagraph"/>
        <w:spacing w:before="120" w:line="240" w:lineRule="auto"/>
        <w:ind w:left="0"/>
        <w:contextualSpacing w:val="0"/>
        <w:jc w:val="both"/>
        <w:rPr>
          <w:rFonts w:asciiTheme="minorHAnsi" w:hAnsiTheme="minorHAnsi" w:cstheme="minorHAnsi"/>
          <w:szCs w:val="24"/>
        </w:rPr>
      </w:pPr>
      <w:r w:rsidRPr="00AF3608">
        <w:rPr>
          <w:rFonts w:asciiTheme="minorHAnsi" w:hAnsiTheme="minorHAnsi" w:cstheme="minorHAnsi"/>
          <w:szCs w:val="24"/>
        </w:rPr>
        <w:t>Portofoliul proiectelor finanțate din CEF în România însumează mai multe acţiuni (call-urile I, II, III, respectiv apelul pe blending – 2017 și reflow 2019), situate pe cele două coridoare de transport menţionate mai sus, după cum urmează:</w:t>
      </w:r>
    </w:p>
    <w:p w:rsidR="00195E42" w:rsidRPr="00AF3608" w:rsidRDefault="00195E42" w:rsidP="00B723C0">
      <w:pPr>
        <w:pStyle w:val="ListParagraph"/>
        <w:spacing w:before="120" w:line="240" w:lineRule="auto"/>
        <w:ind w:left="0"/>
        <w:contextualSpacing w:val="0"/>
        <w:jc w:val="both"/>
        <w:rPr>
          <w:rFonts w:asciiTheme="minorHAnsi" w:hAnsiTheme="minorHAnsi" w:cstheme="minorHAnsi"/>
          <w:szCs w:val="24"/>
        </w:rPr>
      </w:pPr>
      <w:r w:rsidRPr="00AF3608">
        <w:rPr>
          <w:rFonts w:asciiTheme="minorHAnsi" w:hAnsiTheme="minorHAnsi" w:cstheme="minorHAnsi"/>
          <w:szCs w:val="24"/>
        </w:rPr>
        <w:t>În termeni financiari, ponderile modurilor de transport/priorităţilor finanţate sunt următoarele (raportate la alocarea pentru România din Fondul de Coeziune, aprox. 1,2 mld. euro):</w:t>
      </w:r>
    </w:p>
    <w:p w:rsidR="00195E42" w:rsidRPr="00AF3608" w:rsidRDefault="00195E42" w:rsidP="003A0B85">
      <w:pPr>
        <w:pStyle w:val="ListParagraph"/>
        <w:numPr>
          <w:ilvl w:val="1"/>
          <w:numId w:val="75"/>
        </w:numPr>
        <w:spacing w:before="120" w:line="240" w:lineRule="auto"/>
        <w:ind w:left="1530"/>
        <w:contextualSpacing w:val="0"/>
        <w:jc w:val="both"/>
        <w:rPr>
          <w:rFonts w:asciiTheme="minorHAnsi" w:hAnsiTheme="minorHAnsi" w:cstheme="minorHAnsi"/>
          <w:szCs w:val="24"/>
        </w:rPr>
      </w:pPr>
      <w:r w:rsidRPr="00AF3608">
        <w:rPr>
          <w:rFonts w:asciiTheme="minorHAnsi" w:hAnsiTheme="minorHAnsi" w:cstheme="minorHAnsi"/>
          <w:szCs w:val="24"/>
        </w:rPr>
        <w:t>sectorul feroviar: 92%;</w:t>
      </w:r>
    </w:p>
    <w:p w:rsidR="00195E42" w:rsidRPr="00AF3608" w:rsidRDefault="00195E42" w:rsidP="003A0B85">
      <w:pPr>
        <w:pStyle w:val="ListParagraph"/>
        <w:numPr>
          <w:ilvl w:val="1"/>
          <w:numId w:val="75"/>
        </w:numPr>
        <w:spacing w:before="120" w:line="240" w:lineRule="auto"/>
        <w:ind w:left="1530"/>
        <w:contextualSpacing w:val="0"/>
        <w:jc w:val="both"/>
        <w:rPr>
          <w:rFonts w:asciiTheme="minorHAnsi" w:hAnsiTheme="minorHAnsi" w:cstheme="minorHAnsi"/>
          <w:szCs w:val="24"/>
        </w:rPr>
      </w:pPr>
      <w:r w:rsidRPr="00AF3608">
        <w:rPr>
          <w:rFonts w:asciiTheme="minorHAnsi" w:hAnsiTheme="minorHAnsi" w:cstheme="minorHAnsi"/>
          <w:szCs w:val="24"/>
        </w:rPr>
        <w:t>sectorul IWW: 5%;</w:t>
      </w:r>
    </w:p>
    <w:p w:rsidR="00195E42" w:rsidRPr="00AF3608" w:rsidRDefault="00195E42" w:rsidP="003A0B85">
      <w:pPr>
        <w:pStyle w:val="ListParagraph"/>
        <w:numPr>
          <w:ilvl w:val="1"/>
          <w:numId w:val="75"/>
        </w:numPr>
        <w:spacing w:before="120" w:line="240" w:lineRule="auto"/>
        <w:ind w:left="1530"/>
        <w:contextualSpacing w:val="0"/>
        <w:jc w:val="both"/>
        <w:rPr>
          <w:rFonts w:asciiTheme="minorHAnsi" w:hAnsiTheme="minorHAnsi" w:cstheme="minorHAnsi"/>
          <w:szCs w:val="24"/>
        </w:rPr>
      </w:pPr>
      <w:r w:rsidRPr="00AF3608">
        <w:rPr>
          <w:rFonts w:asciiTheme="minorHAnsi" w:hAnsiTheme="minorHAnsi" w:cstheme="minorHAnsi"/>
          <w:szCs w:val="24"/>
        </w:rPr>
        <w:t>ITS: 3%;</w:t>
      </w:r>
    </w:p>
    <w:p w:rsidR="00195E42" w:rsidRPr="00AF3608" w:rsidRDefault="00195E42" w:rsidP="003A0B85">
      <w:pPr>
        <w:pStyle w:val="ListParagraph"/>
        <w:numPr>
          <w:ilvl w:val="1"/>
          <w:numId w:val="75"/>
        </w:numPr>
        <w:spacing w:before="120" w:line="240" w:lineRule="auto"/>
        <w:ind w:left="1530"/>
        <w:contextualSpacing w:val="0"/>
        <w:jc w:val="both"/>
        <w:rPr>
          <w:rFonts w:asciiTheme="minorHAnsi" w:hAnsiTheme="minorHAnsi" w:cstheme="minorHAnsi"/>
          <w:szCs w:val="24"/>
        </w:rPr>
      </w:pPr>
      <w:r w:rsidRPr="00AF3608">
        <w:rPr>
          <w:rFonts w:asciiTheme="minorHAnsi" w:hAnsiTheme="minorHAnsi" w:cstheme="minorHAnsi"/>
          <w:szCs w:val="24"/>
        </w:rPr>
        <w:t>sectorul aerian: 1%.</w:t>
      </w:r>
    </w:p>
    <w:p w:rsidR="00195E42" w:rsidRPr="00AF3608" w:rsidRDefault="00195E42" w:rsidP="00B723C0">
      <w:pPr>
        <w:pStyle w:val="ListParagraph"/>
        <w:spacing w:before="120" w:line="240" w:lineRule="auto"/>
        <w:ind w:left="0"/>
        <w:contextualSpacing w:val="0"/>
        <w:jc w:val="both"/>
        <w:rPr>
          <w:rFonts w:asciiTheme="minorHAnsi" w:hAnsiTheme="minorHAnsi" w:cstheme="minorHAnsi"/>
          <w:szCs w:val="24"/>
        </w:rPr>
      </w:pPr>
      <w:r w:rsidRPr="00AF3608">
        <w:rPr>
          <w:rFonts w:asciiTheme="minorHAnsi" w:hAnsiTheme="minorHAnsi" w:cstheme="minorHAnsi"/>
          <w:szCs w:val="24"/>
        </w:rPr>
        <w:t>Totalul contractat la nivelul CEF în actuala perioadă de programare (Fond de coeziune + Anvelopa generală) se ridică la o valoare de aprox. 1,48 mld. euro).</w:t>
      </w:r>
    </w:p>
    <w:p w:rsidR="00195E42" w:rsidRPr="00AF3608" w:rsidRDefault="00195E42" w:rsidP="00B723C0">
      <w:pPr>
        <w:pStyle w:val="ListParagraph"/>
        <w:spacing w:before="120" w:line="240" w:lineRule="auto"/>
        <w:ind w:left="0"/>
        <w:contextualSpacing w:val="0"/>
        <w:jc w:val="both"/>
        <w:rPr>
          <w:rFonts w:asciiTheme="minorHAnsi" w:hAnsiTheme="minorHAnsi" w:cstheme="minorHAnsi"/>
          <w:szCs w:val="24"/>
        </w:rPr>
      </w:pPr>
      <w:r w:rsidRPr="00AF3608">
        <w:rPr>
          <w:rFonts w:asciiTheme="minorHAnsi" w:hAnsiTheme="minorHAnsi" w:cstheme="minorHAnsi"/>
          <w:szCs w:val="24"/>
        </w:rPr>
        <w:t>O prioritate la nivel național este eficientizarea transportul feroviar, obiectiv operațional propus a fi realizat printr-o serie de intervenții privind reabilitarea coridoarelor feroviare în scopul creșterii fiabilității transportului de marfă și a vitezelor de livrare.</w:t>
      </w:r>
    </w:p>
    <w:p w:rsidR="00195E42" w:rsidRPr="00AF3608" w:rsidRDefault="00195E42" w:rsidP="00B723C0">
      <w:pPr>
        <w:pStyle w:val="ListParagraph"/>
        <w:spacing w:before="120" w:line="240" w:lineRule="auto"/>
        <w:ind w:left="0"/>
        <w:contextualSpacing w:val="0"/>
        <w:jc w:val="both"/>
        <w:rPr>
          <w:rFonts w:asciiTheme="minorHAnsi" w:hAnsiTheme="minorHAnsi" w:cstheme="minorHAnsi"/>
          <w:szCs w:val="24"/>
        </w:rPr>
      </w:pPr>
      <w:r w:rsidRPr="00AF3608">
        <w:rPr>
          <w:rFonts w:asciiTheme="minorHAnsi" w:hAnsiTheme="minorHAnsi" w:cstheme="minorHAnsi"/>
          <w:szCs w:val="24"/>
        </w:rPr>
        <w:t>Dintre proiectele care au beneficiat de finanțarea CEF, CNCF CFR SA are în implementare 11 proiecte finanțate din CEF: 3 proiecte de execuție lucrări de modernizare a căii ferate şi 8 proiecte privind realizarea unor studii de fezabilitate:.</w:t>
      </w:r>
    </w:p>
    <w:p w:rsidR="00195E42" w:rsidRPr="00AF3608" w:rsidRDefault="00195E42" w:rsidP="003A0B85">
      <w:pPr>
        <w:pStyle w:val="ListParagraph"/>
        <w:numPr>
          <w:ilvl w:val="0"/>
          <w:numId w:val="76"/>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Reabilitarea liniei de cale ferată Braşov -  Simeria, componentă a Coridorului Rin-Dunăre, pentru circulația cu viteza maximă de 160 km/h; Secțiunea : Brașov - Sighişoara. Subsecțiuni: 1. Brașov – Apaţa și 3. Caţa – Sighişoara;</w:t>
      </w:r>
    </w:p>
    <w:p w:rsidR="00195E42" w:rsidRPr="00AF3608" w:rsidRDefault="00195E42" w:rsidP="003A0B85">
      <w:pPr>
        <w:pStyle w:val="ListParagraph"/>
        <w:numPr>
          <w:ilvl w:val="0"/>
          <w:numId w:val="76"/>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Reabilitarea secțiunii de cale ferată Braşov – Sighișoara, subsecțiunea  Apața – Cața</w:t>
      </w:r>
    </w:p>
    <w:p w:rsidR="00195E42" w:rsidRPr="00AF3608" w:rsidRDefault="00195E42" w:rsidP="003A0B85">
      <w:pPr>
        <w:pStyle w:val="ListParagraph"/>
        <w:numPr>
          <w:ilvl w:val="0"/>
          <w:numId w:val="76"/>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Modernizarea liniei de cale ferată București Nord – Aeroport Internaţional Henri Coandă Bucureşti;</w:t>
      </w:r>
    </w:p>
    <w:p w:rsidR="00195E42" w:rsidRPr="00AF3608" w:rsidRDefault="00195E42" w:rsidP="003A0B85">
      <w:pPr>
        <w:pStyle w:val="ListParagraph"/>
        <w:numPr>
          <w:ilvl w:val="0"/>
          <w:numId w:val="76"/>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Revizuirea Studiului de fezabilitate pentru reabilitarea liniei de cale ferată Craiova – Calafat;</w:t>
      </w:r>
    </w:p>
    <w:p w:rsidR="00195E42" w:rsidRPr="00AF3608" w:rsidRDefault="00195E42" w:rsidP="003A0B85">
      <w:pPr>
        <w:pStyle w:val="ListParagraph"/>
        <w:numPr>
          <w:ilvl w:val="0"/>
          <w:numId w:val="76"/>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Studiu de Fezabilitate pentru reabilitarea liniei de cale ferată Craiova - Drobeta Turnu Severin – Caransebeş;</w:t>
      </w:r>
    </w:p>
    <w:p w:rsidR="00195E42" w:rsidRPr="00AF3608" w:rsidRDefault="00195E42" w:rsidP="003A0B85">
      <w:pPr>
        <w:pStyle w:val="ListParagraph"/>
        <w:numPr>
          <w:ilvl w:val="0"/>
          <w:numId w:val="76"/>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Studiu de Fezabilitate pentru modernizarea secțiunii feroviare Predeal-Brașov;</w:t>
      </w:r>
    </w:p>
    <w:p w:rsidR="00195E42" w:rsidRPr="00AF3608" w:rsidRDefault="00195E42" w:rsidP="003A0B85">
      <w:pPr>
        <w:pStyle w:val="ListParagraph"/>
        <w:numPr>
          <w:ilvl w:val="0"/>
          <w:numId w:val="76"/>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Studiu de Fezabilitate pentru modernizarea infrastructurii feroviare din Portul Constanța;</w:t>
      </w:r>
    </w:p>
    <w:p w:rsidR="00195E42" w:rsidRPr="00AF3608" w:rsidRDefault="00195E42" w:rsidP="003A0B85">
      <w:pPr>
        <w:pStyle w:val="ListParagraph"/>
        <w:numPr>
          <w:ilvl w:val="0"/>
          <w:numId w:val="76"/>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Studiu de Fezabilitate Gara de Nord  Bucureşti – modernizarea dispozitivului de linii;</w:t>
      </w:r>
    </w:p>
    <w:p w:rsidR="00195E42" w:rsidRPr="00AF3608" w:rsidRDefault="00195E42" w:rsidP="003A0B85">
      <w:pPr>
        <w:pStyle w:val="ListParagraph"/>
        <w:numPr>
          <w:ilvl w:val="0"/>
          <w:numId w:val="76"/>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lastRenderedPageBreak/>
        <w:t>Studiu de Fezabilitate pentru modernizarea tronsonului de cale ferată Coșlariu – Cluj Napoca;</w:t>
      </w:r>
    </w:p>
    <w:p w:rsidR="00195E42" w:rsidRPr="00AF3608" w:rsidRDefault="00195E42" w:rsidP="003A0B85">
      <w:pPr>
        <w:pStyle w:val="ListParagraph"/>
        <w:numPr>
          <w:ilvl w:val="0"/>
          <w:numId w:val="76"/>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Studiu de Fezabilitate pentru modernizarea tronsonului de cale ferată Apahida – Suceava;</w:t>
      </w:r>
    </w:p>
    <w:p w:rsidR="00195E42" w:rsidRPr="00AF3608" w:rsidRDefault="00195E42" w:rsidP="003A0B85">
      <w:pPr>
        <w:pStyle w:val="ListParagraph"/>
        <w:numPr>
          <w:ilvl w:val="0"/>
          <w:numId w:val="76"/>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Studiu de Fezabilitate pentru modernizarea tronsonului de cale ferată București – Craiova.</w:t>
      </w:r>
    </w:p>
    <w:p w:rsidR="00195E42" w:rsidRPr="00AF3608" w:rsidRDefault="00195E42" w:rsidP="00B723C0">
      <w:pPr>
        <w:pStyle w:val="ListParagraph"/>
        <w:spacing w:before="120" w:line="240" w:lineRule="auto"/>
        <w:ind w:left="0"/>
        <w:contextualSpacing w:val="0"/>
        <w:jc w:val="both"/>
        <w:rPr>
          <w:rFonts w:asciiTheme="minorHAnsi" w:hAnsiTheme="minorHAnsi" w:cstheme="minorHAnsi"/>
          <w:szCs w:val="24"/>
        </w:rPr>
      </w:pPr>
      <w:r w:rsidRPr="00AF3608">
        <w:rPr>
          <w:rFonts w:asciiTheme="minorHAnsi" w:hAnsiTheme="minorHAnsi" w:cstheme="minorHAnsi"/>
          <w:szCs w:val="24"/>
        </w:rPr>
        <w:t>Precizăm că lucrările aferente proiectelor aflate în curs de pregătire urmează a fi finanțate în următoarea perioadă programatică (2021-2027).</w:t>
      </w:r>
    </w:p>
    <w:p w:rsidR="00195E42" w:rsidRPr="00AF3608" w:rsidRDefault="00195E42" w:rsidP="00B723C0">
      <w:pPr>
        <w:spacing w:before="120"/>
        <w:jc w:val="both"/>
        <w:rPr>
          <w:rFonts w:asciiTheme="minorHAnsi" w:hAnsiTheme="minorHAnsi" w:cstheme="minorHAnsi"/>
          <w:lang w:val="ro-RO"/>
        </w:rPr>
      </w:pPr>
      <w:r w:rsidRPr="00AF3608">
        <w:rPr>
          <w:rFonts w:asciiTheme="minorHAnsi" w:hAnsiTheme="minorHAnsi" w:cstheme="minorHAnsi"/>
          <w:lang w:val="ro-RO"/>
        </w:rPr>
        <w:t>În contextul politicii europene în domeniul transporturilor, ce prevede realizarea unei reţele europene integrate orientată spre dezvoltarea unei reţele centrale, cu termen de finalizare 2030 şi a unei reţele globale ce va susţine reţeaua centrală, cu termen de finalizare 2050, România va trebui să continue investițiile în infrastructura de transport, orientate spre dezvoltarea coridoarelor multimodale transnaţionale care traversează România, Rin-Dunăre și Orient/Est-Mediteranean, corelate cu priorităţile naţionale specifice.</w:t>
      </w:r>
    </w:p>
    <w:p w:rsidR="00FC25BC" w:rsidRPr="00AF3608" w:rsidRDefault="00FC25BC" w:rsidP="00B723C0">
      <w:pPr>
        <w:spacing w:before="120"/>
        <w:rPr>
          <w:rFonts w:asciiTheme="minorHAnsi" w:hAnsiTheme="minorHAnsi" w:cstheme="minorHAnsi"/>
          <w:b/>
          <w:u w:val="single"/>
          <w:lang w:val="ro-RO"/>
        </w:rPr>
      </w:pPr>
    </w:p>
    <w:p w:rsidR="00195E42" w:rsidRPr="00AF3608" w:rsidRDefault="00195E42" w:rsidP="00B723C0">
      <w:pPr>
        <w:spacing w:before="120"/>
        <w:rPr>
          <w:rFonts w:asciiTheme="minorHAnsi" w:hAnsiTheme="minorHAnsi" w:cstheme="minorHAnsi"/>
          <w:b/>
          <w:u w:val="single"/>
          <w:lang w:val="ro-RO"/>
        </w:rPr>
      </w:pPr>
      <w:r w:rsidRPr="00AF3608">
        <w:rPr>
          <w:rFonts w:asciiTheme="minorHAnsi" w:hAnsiTheme="minorHAnsi" w:cstheme="minorHAnsi"/>
          <w:b/>
          <w:u w:val="single"/>
          <w:lang w:val="ro-RO"/>
        </w:rPr>
        <w:t>CNAIR SA</w:t>
      </w:r>
    </w:p>
    <w:p w:rsidR="00195E42" w:rsidRPr="00AF3608" w:rsidRDefault="00195E42" w:rsidP="00B723C0">
      <w:pPr>
        <w:spacing w:before="120"/>
        <w:jc w:val="both"/>
        <w:rPr>
          <w:rFonts w:asciiTheme="minorHAnsi" w:hAnsiTheme="minorHAnsi" w:cstheme="minorHAnsi"/>
          <w:lang w:val="ro-RO"/>
        </w:rPr>
      </w:pPr>
      <w:r w:rsidRPr="00AF3608">
        <w:rPr>
          <w:rFonts w:asciiTheme="minorHAnsi" w:hAnsiTheme="minorHAnsi" w:cstheme="minorHAnsi"/>
          <w:lang w:val="ro-RO"/>
        </w:rPr>
        <w:t xml:space="preserve">Priorităţile strategice investitionale ale Ministerului </w:t>
      </w:r>
      <w:r w:rsidRPr="00AF3608">
        <w:rPr>
          <w:rFonts w:asciiTheme="minorHAnsi" w:eastAsia="Calibri" w:hAnsiTheme="minorHAnsi" w:cstheme="minorHAnsi"/>
          <w:lang w:val="ro-RO" w:eastAsia="ro-RO" w:bidi="ro-RO"/>
        </w:rPr>
        <w:t>Transporturilor și Infrastructurii</w:t>
      </w:r>
      <w:r w:rsidRPr="00AF3608">
        <w:rPr>
          <w:rFonts w:asciiTheme="minorHAnsi" w:hAnsiTheme="minorHAnsi" w:cstheme="minorHAnsi"/>
          <w:lang w:val="ro-RO"/>
        </w:rPr>
        <w:t xml:space="preserve"> pentru perioada 2021-2024 sunt focalizate în principal pe finalizarea lucrărilor la obiectivele/proiectele de investiţii aflate într-un stadiu avansat de realizare, cu finanţare asigurată şi continuarea lucrărilor la obiectivele/proiectele de investiţii aflate în derulare, precum şi începerea de noi lucrări, situate pe reţeaua TEN-T, cu finanţare asigurată din fonduri nerambursabile şi fonduri rambursabile, concretizându-se în:</w:t>
      </w:r>
    </w:p>
    <w:p w:rsidR="00195E42" w:rsidRPr="00AF3608" w:rsidRDefault="00195E42" w:rsidP="003A0B85">
      <w:pPr>
        <w:pStyle w:val="ListParagraph"/>
        <w:numPr>
          <w:ilvl w:val="0"/>
          <w:numId w:val="61"/>
        </w:numPr>
        <w:shd w:val="clear" w:color="auto" w:fill="F2F2F2" w:themeFill="background1" w:themeFillShade="F2"/>
        <w:spacing w:before="120" w:line="240" w:lineRule="auto"/>
        <w:contextualSpacing w:val="0"/>
        <w:jc w:val="both"/>
        <w:rPr>
          <w:rStyle w:val="FontStyle17"/>
          <w:rFonts w:asciiTheme="minorHAnsi" w:hAnsiTheme="minorHAnsi" w:cstheme="minorHAnsi"/>
          <w:b w:val="0"/>
          <w:bCs w:val="0"/>
          <w:sz w:val="24"/>
          <w:szCs w:val="24"/>
        </w:rPr>
      </w:pPr>
      <w:r w:rsidRPr="00AF3608">
        <w:rPr>
          <w:rStyle w:val="FontStyle17"/>
          <w:rFonts w:asciiTheme="minorHAnsi" w:hAnsiTheme="minorHAnsi" w:cstheme="minorHAnsi"/>
          <w:sz w:val="24"/>
          <w:szCs w:val="24"/>
        </w:rPr>
        <w:t>construcţia de autostrăzi/drumuri expres pe TEN-T</w:t>
      </w:r>
    </w:p>
    <w:p w:rsidR="00195E42" w:rsidRPr="00AF3608" w:rsidRDefault="00195E42" w:rsidP="00B723C0">
      <w:pPr>
        <w:spacing w:before="120"/>
        <w:jc w:val="both"/>
        <w:rPr>
          <w:rStyle w:val="FontStyle21"/>
          <w:rFonts w:asciiTheme="minorHAnsi" w:hAnsiTheme="minorHAnsi" w:cstheme="minorHAnsi"/>
          <w:iCs/>
          <w:sz w:val="24"/>
          <w:szCs w:val="24"/>
          <w:lang w:val="ro-RO"/>
        </w:rPr>
      </w:pPr>
      <w:r w:rsidRPr="00AF3608">
        <w:rPr>
          <w:rStyle w:val="FontStyle25"/>
          <w:rFonts w:asciiTheme="minorHAnsi" w:hAnsiTheme="minorHAnsi" w:cstheme="minorHAnsi"/>
          <w:sz w:val="24"/>
          <w:szCs w:val="24"/>
          <w:lang w:val="ro-RO"/>
        </w:rPr>
        <w:t xml:space="preserve">Lista principalelor proiecte de construcţie autostrăzi/VO, introduse în Buget în anul 2021 cuprinde următoarele obiective: </w:t>
      </w:r>
      <w:r w:rsidRPr="00AF3608">
        <w:rPr>
          <w:rStyle w:val="FontStyle21"/>
          <w:rFonts w:asciiTheme="minorHAnsi" w:hAnsiTheme="minorHAnsi" w:cstheme="minorHAnsi"/>
          <w:sz w:val="24"/>
          <w:szCs w:val="24"/>
          <w:lang w:val="ro-RO"/>
        </w:rPr>
        <w:t>Autostrada Sibiu - Piteşti secţiunile 1, 2,3, 4 și 5, Autostrada Lugoj - Deva (sector Dumbrava-Deva), Autostrada Sebeş – Turda, Autostrada Nadaselu - Suplacu de Barcau - Borş, inclusiv legătura Centura Oradea (Giratie Calea Sintandrei) - Autostrada A3 (Biharia), Autostrada Câmpia Turzii – Ogra - Târgu Mureş, Autostrada de Centura Sud a municipiului Bucureşti, inclusiv intervenţiile privind Centura existentă (Lărgire la 4 benzi de circulaţie a Centurii Bucureşti între A1 - DN 5, DN 2 - A2 şi A1 - DN 7, pasajele Berceni, Domneşti, Olteniţa si Mogoşoaia), Autostrada de Centura Nord a municipiului Bucureşti, Varianta de ocolire Bacău (profil de autostradă şi drum naţional), Drum expres Craiova – Piteşti, Drum expres Brăila – Galaţi, Podul suspendat peste Dunăre în zona Brăila, Varianta de ocolire Galaţi.</w:t>
      </w:r>
    </w:p>
    <w:p w:rsidR="00195E42" w:rsidRPr="00AF3608" w:rsidRDefault="00195E42" w:rsidP="00B723C0">
      <w:pPr>
        <w:pStyle w:val="Style8"/>
        <w:widowControl/>
        <w:spacing w:before="120" w:line="240" w:lineRule="auto"/>
        <w:jc w:val="left"/>
        <w:rPr>
          <w:rStyle w:val="FontStyle25"/>
          <w:rFonts w:asciiTheme="minorHAnsi" w:hAnsiTheme="minorHAnsi" w:cstheme="minorHAnsi"/>
          <w:sz w:val="24"/>
          <w:szCs w:val="24"/>
        </w:rPr>
      </w:pPr>
      <w:r w:rsidRPr="00AF3608">
        <w:rPr>
          <w:rStyle w:val="FontStyle25"/>
          <w:rFonts w:asciiTheme="minorHAnsi" w:hAnsiTheme="minorHAnsi" w:cstheme="minorHAnsi"/>
          <w:sz w:val="24"/>
          <w:szCs w:val="24"/>
        </w:rPr>
        <w:t>Proiectele de autostrăzi în pregătire, cuprind:</w:t>
      </w:r>
    </w:p>
    <w:p w:rsidR="00195E42" w:rsidRPr="00AF3608" w:rsidRDefault="00195E42" w:rsidP="003A0B85">
      <w:pPr>
        <w:pStyle w:val="Style8"/>
        <w:widowControl/>
        <w:numPr>
          <w:ilvl w:val="0"/>
          <w:numId w:val="79"/>
        </w:numPr>
        <w:spacing w:before="120" w:line="240" w:lineRule="auto"/>
        <w:jc w:val="left"/>
        <w:rPr>
          <w:rStyle w:val="FontStyle21"/>
          <w:rFonts w:asciiTheme="minorHAnsi" w:hAnsiTheme="minorHAnsi" w:cstheme="minorHAnsi"/>
          <w:iCs/>
          <w:sz w:val="24"/>
          <w:szCs w:val="24"/>
        </w:rPr>
      </w:pPr>
      <w:r w:rsidRPr="00AF3608">
        <w:rPr>
          <w:rStyle w:val="FontStyle21"/>
          <w:rFonts w:asciiTheme="minorHAnsi" w:hAnsiTheme="minorHAnsi" w:cstheme="minorHAnsi"/>
          <w:sz w:val="24"/>
          <w:szCs w:val="24"/>
        </w:rPr>
        <w:t xml:space="preserve">Elaborarea/completarea studiilor de fezabilitate pentru autostrăzile Sibiu-Făgăraş, Făgăraş – Braşov,  Târgu Neamţ - Târgu Mureş, Târgu Neamţ – Iaşi – Ungheni, Timişoara – Moraviţa; </w:t>
      </w:r>
    </w:p>
    <w:p w:rsidR="00195E42" w:rsidRPr="00AF3608" w:rsidRDefault="00195E42" w:rsidP="003A0B85">
      <w:pPr>
        <w:pStyle w:val="Style8"/>
        <w:widowControl/>
        <w:numPr>
          <w:ilvl w:val="0"/>
          <w:numId w:val="79"/>
        </w:numPr>
        <w:spacing w:before="120" w:line="240" w:lineRule="auto"/>
        <w:jc w:val="left"/>
        <w:rPr>
          <w:rStyle w:val="FontStyle21"/>
          <w:rFonts w:asciiTheme="minorHAnsi" w:hAnsiTheme="minorHAnsi" w:cstheme="minorHAnsi"/>
          <w:iCs/>
          <w:sz w:val="24"/>
          <w:szCs w:val="24"/>
        </w:rPr>
      </w:pPr>
      <w:r w:rsidRPr="00AF3608">
        <w:rPr>
          <w:rStyle w:val="FontStyle21"/>
          <w:rFonts w:asciiTheme="minorHAnsi" w:hAnsiTheme="minorHAnsi" w:cstheme="minorHAnsi"/>
          <w:sz w:val="24"/>
          <w:szCs w:val="24"/>
        </w:rPr>
        <w:t xml:space="preserve">Elaborarea studiilor de fezabilitate şi a proiectelor tehnice pentru Autostrada Braşov - Bacău şi pentru drumurile de mare viteză Ploieşti - Buzău - Focşani - Bacău – Paşcani - Suceava – Siret; </w:t>
      </w:r>
    </w:p>
    <w:p w:rsidR="00195E42" w:rsidRPr="00AF3608" w:rsidRDefault="00195E42" w:rsidP="003A0B85">
      <w:pPr>
        <w:pStyle w:val="Style8"/>
        <w:widowControl/>
        <w:numPr>
          <w:ilvl w:val="0"/>
          <w:numId w:val="79"/>
        </w:numPr>
        <w:spacing w:before="120" w:line="240" w:lineRule="auto"/>
        <w:jc w:val="left"/>
        <w:rPr>
          <w:rStyle w:val="FontStyle21"/>
          <w:rFonts w:asciiTheme="minorHAnsi" w:hAnsiTheme="minorHAnsi" w:cstheme="minorHAnsi"/>
          <w:iCs/>
          <w:sz w:val="24"/>
          <w:szCs w:val="24"/>
        </w:rPr>
      </w:pPr>
      <w:r w:rsidRPr="00AF3608">
        <w:rPr>
          <w:rStyle w:val="FontStyle21"/>
          <w:rFonts w:asciiTheme="minorHAnsi" w:hAnsiTheme="minorHAnsi" w:cstheme="minorHAnsi"/>
          <w:sz w:val="24"/>
          <w:szCs w:val="24"/>
        </w:rPr>
        <w:t>Elaborarea studiilor de fezabilitate şi a proiectelor tehnice pentru drumurile expres: Craiova – Târgu Jiu, Ovidiu - Tulcea, Brăila - Tulcea, Brăila - Buzău, Focşani - Brăila, Găeşti – Ploieşti, Piteşti – Mioveni, Bacău – Piatra Neamţ;</w:t>
      </w:r>
    </w:p>
    <w:p w:rsidR="00195E42" w:rsidRPr="00AF3608" w:rsidRDefault="00195E42" w:rsidP="003A0B85">
      <w:pPr>
        <w:pStyle w:val="Style8"/>
        <w:widowControl/>
        <w:numPr>
          <w:ilvl w:val="0"/>
          <w:numId w:val="79"/>
        </w:numPr>
        <w:spacing w:before="120" w:line="240" w:lineRule="auto"/>
        <w:jc w:val="left"/>
        <w:rPr>
          <w:rStyle w:val="FontStyle21"/>
          <w:rFonts w:asciiTheme="minorHAnsi" w:hAnsiTheme="minorHAnsi" w:cstheme="minorHAnsi"/>
          <w:iCs/>
          <w:sz w:val="24"/>
          <w:szCs w:val="24"/>
        </w:rPr>
      </w:pPr>
      <w:r w:rsidRPr="00AF3608">
        <w:rPr>
          <w:rStyle w:val="FontStyle21"/>
          <w:rFonts w:asciiTheme="minorHAnsi" w:hAnsiTheme="minorHAnsi" w:cstheme="minorHAnsi"/>
          <w:sz w:val="24"/>
          <w:szCs w:val="24"/>
        </w:rPr>
        <w:lastRenderedPageBreak/>
        <w:t>Elaborarea/ completarea studiilor de fezabilitate pentru Drum Expres/ Autostrada (Drum Expres Conexiune Satu Mare (VO Satu Mare) - Oar (Granița Româno - Ungară - Drum Expres M49 Ungaria), Satu Mare - Baia Mare şi Autostrada Nordului/Drum de Mare Viteză Baia Mare – Suceava (Lot 1, Baia Mare – Bistrița; Lot 2 Bistrița – Vatra Dornei; Lot 3 Vatra Dornei – Suceava), Tisita – Albiţa;</w:t>
      </w:r>
    </w:p>
    <w:p w:rsidR="00195E42" w:rsidRPr="00AF3608" w:rsidRDefault="00195E42" w:rsidP="003A0B85">
      <w:pPr>
        <w:pStyle w:val="Style8"/>
        <w:widowControl/>
        <w:numPr>
          <w:ilvl w:val="0"/>
          <w:numId w:val="79"/>
        </w:numPr>
        <w:spacing w:before="120" w:line="240" w:lineRule="auto"/>
        <w:jc w:val="left"/>
        <w:rPr>
          <w:rStyle w:val="FontStyle21"/>
          <w:rFonts w:asciiTheme="minorHAnsi" w:hAnsiTheme="minorHAnsi" w:cstheme="minorHAnsi"/>
          <w:iCs/>
          <w:sz w:val="24"/>
          <w:szCs w:val="24"/>
        </w:rPr>
      </w:pPr>
      <w:r w:rsidRPr="00AF3608">
        <w:rPr>
          <w:rStyle w:val="FontStyle21"/>
          <w:rFonts w:asciiTheme="minorHAnsi" w:hAnsiTheme="minorHAnsi" w:cstheme="minorHAnsi"/>
          <w:sz w:val="24"/>
          <w:szCs w:val="24"/>
        </w:rPr>
        <w:t>Completarea studiului de fezabilitate pentru drum expres Arad - Oradea;</w:t>
      </w:r>
    </w:p>
    <w:p w:rsidR="00195E42" w:rsidRPr="00AF3608" w:rsidRDefault="00195E42" w:rsidP="00B723C0">
      <w:pPr>
        <w:pStyle w:val="Style8"/>
        <w:widowControl/>
        <w:spacing w:before="120" w:line="240" w:lineRule="auto"/>
        <w:jc w:val="both"/>
        <w:rPr>
          <w:rStyle w:val="FontStyle25"/>
          <w:rFonts w:asciiTheme="minorHAnsi" w:hAnsiTheme="minorHAnsi" w:cstheme="minorHAnsi"/>
          <w:sz w:val="24"/>
          <w:szCs w:val="24"/>
        </w:rPr>
      </w:pPr>
      <w:r w:rsidRPr="00AF3608">
        <w:rPr>
          <w:rStyle w:val="FontStyle25"/>
          <w:rFonts w:asciiTheme="minorHAnsi" w:hAnsiTheme="minorHAnsi" w:cstheme="minorHAnsi"/>
          <w:sz w:val="24"/>
          <w:szCs w:val="24"/>
        </w:rPr>
        <w:t>Obiectivul “Autostrada A7, sectoarele Ploieşti – Buzău – Focşani – Bacău – Paşcani ” va fi bugetat pe parcursul anului 2021, după obţinerea aprobărilor legale necesare, aflate în prezent în etapa de pregătire/atribuire în vederea elaborării documentaţiilor tehnico-economice sau proiectării şi execuţiei.</w:t>
      </w:r>
    </w:p>
    <w:p w:rsidR="00195E42" w:rsidRPr="00AF3608" w:rsidRDefault="00195E42" w:rsidP="00B723C0">
      <w:pPr>
        <w:pStyle w:val="Style8"/>
        <w:widowControl/>
        <w:spacing w:before="120" w:line="240" w:lineRule="auto"/>
        <w:jc w:val="both"/>
        <w:rPr>
          <w:rStyle w:val="FontStyle25"/>
          <w:rFonts w:asciiTheme="minorHAnsi" w:hAnsiTheme="minorHAnsi" w:cstheme="minorHAnsi"/>
          <w:i w:val="0"/>
          <w:sz w:val="24"/>
          <w:szCs w:val="24"/>
        </w:rPr>
      </w:pPr>
    </w:p>
    <w:p w:rsidR="00195E42" w:rsidRPr="00AF3608" w:rsidRDefault="00195E42" w:rsidP="003A0B85">
      <w:pPr>
        <w:pStyle w:val="Style8"/>
        <w:widowControl/>
        <w:numPr>
          <w:ilvl w:val="0"/>
          <w:numId w:val="61"/>
        </w:numPr>
        <w:shd w:val="clear" w:color="auto" w:fill="F2F2F2" w:themeFill="background1" w:themeFillShade="F2"/>
        <w:spacing w:before="120" w:line="240" w:lineRule="auto"/>
        <w:jc w:val="both"/>
        <w:rPr>
          <w:rStyle w:val="FontStyle21"/>
          <w:rFonts w:asciiTheme="minorHAnsi" w:hAnsiTheme="minorHAnsi" w:cstheme="minorHAnsi"/>
          <w:i/>
          <w:iCs/>
          <w:sz w:val="24"/>
          <w:szCs w:val="24"/>
        </w:rPr>
      </w:pPr>
      <w:r w:rsidRPr="00AF3608">
        <w:rPr>
          <w:rStyle w:val="FontStyle21"/>
          <w:rFonts w:asciiTheme="minorHAnsi" w:hAnsiTheme="minorHAnsi" w:cstheme="minorHAnsi"/>
          <w:b/>
          <w:sz w:val="24"/>
          <w:szCs w:val="24"/>
        </w:rPr>
        <w:t>modernizarea şi dezvoltarea  reţelei de drumuri naţionale, inclusiv prin construcţia de variante de ocolire;</w:t>
      </w:r>
    </w:p>
    <w:p w:rsidR="00195E42" w:rsidRPr="00AF3608" w:rsidRDefault="00195E42" w:rsidP="00B723C0">
      <w:pPr>
        <w:pStyle w:val="Style8"/>
        <w:widowControl/>
        <w:spacing w:before="120" w:line="240" w:lineRule="auto"/>
        <w:jc w:val="both"/>
        <w:rPr>
          <w:rStyle w:val="FontStyle21"/>
          <w:rFonts w:asciiTheme="minorHAnsi" w:hAnsiTheme="minorHAnsi" w:cstheme="minorHAnsi"/>
          <w:sz w:val="24"/>
          <w:szCs w:val="24"/>
        </w:rPr>
      </w:pPr>
      <w:r w:rsidRPr="00AF3608">
        <w:rPr>
          <w:rStyle w:val="FontStyle21"/>
          <w:rFonts w:asciiTheme="minorHAnsi" w:hAnsiTheme="minorHAnsi" w:cstheme="minorHAnsi"/>
          <w:sz w:val="24"/>
          <w:szCs w:val="24"/>
        </w:rPr>
        <w:t>Lista principalelor proiecte de construcţie variante de ocolire, introduse în buget în anul 2021 cuprinde următoarele obiective:</w:t>
      </w:r>
    </w:p>
    <w:p w:rsidR="00195E42" w:rsidRPr="00AF3608" w:rsidRDefault="00195E42" w:rsidP="00B723C0">
      <w:pPr>
        <w:pStyle w:val="Style4"/>
        <w:widowControl/>
        <w:spacing w:before="120" w:line="240" w:lineRule="auto"/>
        <w:ind w:firstLine="360"/>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 Variantele de ocolire aflate în execuţie: Modernizarea centurii rutiere a Municipiului Bucureşti (pasaje Berceni, Olteniţa, Mogoşoaia, Domneşti, DN 2-A2), Tecuci, Mihăileşti, Bârlad, Satu Mare, Stei, Rădăuţi, Timişoara Sud, Săcueni, Zalău, Drum de legătură DN 5 - Podul Prieteniei (VO Giurgiu Vest), Târgu Jiu;</w:t>
      </w:r>
    </w:p>
    <w:p w:rsidR="00195E42" w:rsidRPr="00AF3608" w:rsidRDefault="00195E42" w:rsidP="00B723C0">
      <w:pPr>
        <w:pStyle w:val="Style4"/>
        <w:widowControl/>
        <w:spacing w:before="120" w:line="240" w:lineRule="auto"/>
        <w:ind w:firstLine="360"/>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 Variantele de ocolire care vor intra în execuție/proiectare și execuție: Târgu Mureş, Mihăileşti, Sfântu Gheorghe, Giurgiu (Est), Sighişoara, pasaj Drajna, Buftea;</w:t>
      </w:r>
    </w:p>
    <w:p w:rsidR="00195E42" w:rsidRPr="00AF3608" w:rsidRDefault="00195E42" w:rsidP="00B723C0">
      <w:pPr>
        <w:pStyle w:val="Style4"/>
        <w:widowControl/>
        <w:spacing w:before="120" w:line="240" w:lineRule="auto"/>
        <w:ind w:firstLine="360"/>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 Variante de ocolire care vor intra în etapa de proiectare/proiectare şi execuţie în baza unor parteneriate cu UAT: Alesd, Stei, Beclean, Inel ocolitor al municipiului Târgu Mureş (prin interconectarea autostrăzii A3, E60, DN 15 si DJ 152 A), Arad Est, Mediaş, Sibiu Sud, Drum de ocolire în partea de vest a municipiului Sebeş, Gura Humorului.</w:t>
      </w:r>
    </w:p>
    <w:p w:rsidR="00195E42" w:rsidRPr="00AF3608" w:rsidRDefault="00195E42" w:rsidP="00B723C0">
      <w:pPr>
        <w:pStyle w:val="Style4"/>
        <w:widowControl/>
        <w:spacing w:before="120" w:line="240" w:lineRule="auto"/>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Portofoliul de proiecte în pregătire, pentru care există deja alocări bugetare în anul 2020 cuprinde variante de ocolire aflate în etapa de pregătire (elaborare Studiu de Prefezabilitate, Studii de Fezabilitate şi Proiecte Tehnice); Râmnicu Vâlcea, Vaslui şi Techirghiol, Timişoara Vest, Varianta de Ocolire Piteşti Vest; pasaj Roman.</w:t>
      </w:r>
    </w:p>
    <w:p w:rsidR="00FC25BC" w:rsidRPr="00AF3608" w:rsidRDefault="00FC25BC" w:rsidP="00B723C0">
      <w:pPr>
        <w:pStyle w:val="Style4"/>
        <w:widowControl/>
        <w:spacing w:before="120" w:line="240" w:lineRule="auto"/>
        <w:jc w:val="both"/>
        <w:rPr>
          <w:rStyle w:val="FontStyle21"/>
          <w:rFonts w:asciiTheme="minorHAnsi" w:hAnsiTheme="minorHAnsi" w:cstheme="minorHAnsi"/>
          <w:b/>
          <w:sz w:val="24"/>
          <w:szCs w:val="24"/>
          <w:lang w:val="ro-RO"/>
        </w:rPr>
      </w:pPr>
    </w:p>
    <w:p w:rsidR="00195E42" w:rsidRPr="00AF3608" w:rsidRDefault="00195E42" w:rsidP="00B723C0">
      <w:pPr>
        <w:pStyle w:val="Style4"/>
        <w:widowControl/>
        <w:spacing w:before="120" w:line="240" w:lineRule="auto"/>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b/>
          <w:sz w:val="24"/>
          <w:szCs w:val="24"/>
          <w:lang w:val="ro-RO"/>
        </w:rPr>
        <w:t>Principalele proiecte de modernizare drumuri nationale</w:t>
      </w:r>
      <w:r w:rsidRPr="00AF3608">
        <w:rPr>
          <w:rStyle w:val="FontStyle21"/>
          <w:rFonts w:asciiTheme="minorHAnsi" w:hAnsiTheme="minorHAnsi" w:cstheme="minorHAnsi"/>
          <w:sz w:val="24"/>
          <w:szCs w:val="24"/>
          <w:lang w:val="ro-RO"/>
        </w:rPr>
        <w:t>, introduse în Buget în anul 2021 sunt: DN 18, Moisei - Iacobeni; DN 66, parcarea Lainici, DN 76, Ioneşti - Varfurile - Stei - Beius – Oradea (finalizarea în integralitate), DN 5, București - Adunații Copăceni; DN 6, Alexandria - Craiova (lot 2); DN 73, Piteşti - Câmpulung - Braşov; Modernizarea infrastructurii privind siguranţa circulaţiei pe DN 1, în "Sate liniare şi puncte negre"; A 1 - Titu - Bâldana - Târgovişte - Sinaia; DN 52, Alexandria - Turnu Magurele; DN 28B, Târgu Frumos - Botoşani; DN 29D, Botoşani – Ştefăneşti, DN 2L, Soveja - Lepşa; Lărgire DN 7, Valea Oltului, la 3 benzi/4 benzi; Drum de legătură Autostrada A1 Arad - Timişoara - DN69, Remediere defecțiuni pe DN1H km 6+000 - km 12+000.</w:t>
      </w:r>
    </w:p>
    <w:p w:rsidR="00FC25BC" w:rsidRPr="00AF3608" w:rsidRDefault="00FC25BC" w:rsidP="00B723C0">
      <w:pPr>
        <w:pStyle w:val="Style4"/>
        <w:widowControl/>
        <w:spacing w:before="120" w:line="240" w:lineRule="auto"/>
        <w:jc w:val="both"/>
        <w:rPr>
          <w:rStyle w:val="FontStyle21"/>
          <w:rFonts w:asciiTheme="minorHAnsi" w:hAnsiTheme="minorHAnsi" w:cstheme="minorHAnsi"/>
          <w:b/>
          <w:sz w:val="24"/>
          <w:szCs w:val="24"/>
          <w:lang w:val="ro-RO"/>
        </w:rPr>
      </w:pPr>
    </w:p>
    <w:p w:rsidR="00195E42" w:rsidRPr="00AF3608" w:rsidRDefault="00195E42" w:rsidP="00B723C0">
      <w:pPr>
        <w:pStyle w:val="Style4"/>
        <w:widowControl/>
        <w:spacing w:before="120" w:line="240" w:lineRule="auto"/>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b/>
          <w:sz w:val="24"/>
          <w:szCs w:val="24"/>
          <w:lang w:val="ro-RO"/>
        </w:rPr>
        <w:t>Proiectele în pregătire, pentru care există deja alocări bugetare în anul 2021 cuprind</w:t>
      </w:r>
      <w:r w:rsidRPr="00AF3608">
        <w:rPr>
          <w:rStyle w:val="FontStyle21"/>
          <w:rFonts w:asciiTheme="minorHAnsi" w:hAnsiTheme="minorHAnsi" w:cstheme="minorHAnsi"/>
          <w:sz w:val="24"/>
          <w:szCs w:val="24"/>
          <w:lang w:val="ro-RO"/>
        </w:rPr>
        <w:t>:</w:t>
      </w:r>
    </w:p>
    <w:p w:rsidR="00195E42" w:rsidRPr="00AF3608" w:rsidRDefault="00195E42" w:rsidP="00B723C0">
      <w:pPr>
        <w:pStyle w:val="Style4"/>
        <w:widowControl/>
        <w:spacing w:before="120" w:line="240" w:lineRule="auto"/>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 DN 7C, Transfăgărăşan (expertiza tehnică şi elaborare Studiu de Fezabilitate);</w:t>
      </w:r>
    </w:p>
    <w:p w:rsidR="00195E42" w:rsidRPr="00AF3608" w:rsidRDefault="00195E42" w:rsidP="00B723C0">
      <w:pPr>
        <w:pStyle w:val="Style4"/>
        <w:widowControl/>
        <w:spacing w:before="120" w:line="240" w:lineRule="auto"/>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 Drum de legătură A1 - DN 7 (Titu/ DJ 711A) (Revizuire/Actualizare Studiu de Fezabilitate şi Elaborare Proiect Tehnic);</w:t>
      </w:r>
    </w:p>
    <w:p w:rsidR="00195E42" w:rsidRPr="00AF3608" w:rsidRDefault="00195E42" w:rsidP="00B723C0">
      <w:pPr>
        <w:pStyle w:val="Style4"/>
        <w:widowControl/>
        <w:spacing w:before="120" w:line="240" w:lineRule="auto"/>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lastRenderedPageBreak/>
        <w:t>- Realizare Conexiune DN 73C cu Autostrada Sibiu-Piteşti (Nod Tigveni) şi Modernizare DN 73C, km 44+800 – km 68+000 (elaborare Studiu de fezabilitate şi Proiect Tehnic de Execuţie);</w:t>
      </w:r>
    </w:p>
    <w:p w:rsidR="00195E42" w:rsidRPr="00AF3608" w:rsidRDefault="00195E42" w:rsidP="00B723C0">
      <w:pPr>
        <w:pStyle w:val="Style4"/>
        <w:widowControl/>
        <w:spacing w:before="120" w:line="240" w:lineRule="auto"/>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 Realizarea a 6 noduri rutiere pe Autostrăzile A1 si A3, în zona de Vest a României.</w:t>
      </w:r>
    </w:p>
    <w:p w:rsidR="00195E42" w:rsidRPr="00AF3608" w:rsidRDefault="00195E42" w:rsidP="00B723C0">
      <w:pPr>
        <w:pStyle w:val="Style4"/>
        <w:widowControl/>
        <w:spacing w:before="120" w:line="240" w:lineRule="auto"/>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Proiecte care vor fi bugetate pe parcursul anului 2021, după obţinerea aprobărilor legale necesare, aflate în prezent în etapa de pregătire/atribuire în vederea elaborării documentaţiilor tehnico-economice sau proiectării şi execuţiei:</w:t>
      </w:r>
    </w:p>
    <w:p w:rsidR="00195E42" w:rsidRPr="00AF3608" w:rsidRDefault="00195E42" w:rsidP="00B723C0">
      <w:pPr>
        <w:pStyle w:val="Style4"/>
        <w:widowControl/>
        <w:spacing w:before="120" w:line="240" w:lineRule="auto"/>
        <w:ind w:left="360"/>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 Nod Cumpăna (conexiune la A4 - DN 39E);</w:t>
      </w:r>
    </w:p>
    <w:p w:rsidR="00195E42" w:rsidRPr="00AF3608" w:rsidRDefault="00195E42" w:rsidP="00B723C0">
      <w:pPr>
        <w:pStyle w:val="Style4"/>
        <w:widowControl/>
        <w:spacing w:before="120" w:line="240" w:lineRule="auto"/>
        <w:ind w:left="720" w:hanging="360"/>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 Nod Martineşti (conexiune la A 1 si DN 1);</w:t>
      </w:r>
    </w:p>
    <w:p w:rsidR="00195E42" w:rsidRPr="00AF3608" w:rsidRDefault="00195E42" w:rsidP="00B723C0">
      <w:pPr>
        <w:pStyle w:val="Style4"/>
        <w:widowControl/>
        <w:spacing w:before="120" w:line="240" w:lineRule="auto"/>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Poduri în execuţie/ce vor intra în execuţie în anul 2021:</w:t>
      </w:r>
    </w:p>
    <w:p w:rsidR="00195E42" w:rsidRPr="00AF3608" w:rsidRDefault="00195E42" w:rsidP="00B723C0">
      <w:pPr>
        <w:pStyle w:val="Style4"/>
        <w:widowControl/>
        <w:spacing w:before="120" w:line="240" w:lineRule="auto"/>
        <w:ind w:left="360"/>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 Pod pe DN 10 km 46+471 peste Basca la Cislău;</w:t>
      </w:r>
    </w:p>
    <w:p w:rsidR="00195E42" w:rsidRPr="00AF3608" w:rsidRDefault="00195E42" w:rsidP="00B723C0">
      <w:pPr>
        <w:pStyle w:val="Style4"/>
        <w:widowControl/>
        <w:spacing w:before="120" w:line="240" w:lineRule="auto"/>
        <w:ind w:left="360"/>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 Consolidare pod pe DN2B km 149+841 peste Prut Galaţi - Giurgiulești;</w:t>
      </w:r>
    </w:p>
    <w:p w:rsidR="00195E42" w:rsidRPr="00AF3608" w:rsidRDefault="00195E42" w:rsidP="00B723C0">
      <w:pPr>
        <w:pStyle w:val="Style4"/>
        <w:widowControl/>
        <w:spacing w:before="120" w:line="240" w:lineRule="auto"/>
        <w:ind w:left="360"/>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 Pod pe DN 1 km 135+332 peste pârâul Azuga la Azuga;</w:t>
      </w:r>
    </w:p>
    <w:p w:rsidR="00195E42" w:rsidRPr="00AF3608" w:rsidRDefault="00195E42" w:rsidP="00B723C0">
      <w:pPr>
        <w:pStyle w:val="Style4"/>
        <w:widowControl/>
        <w:spacing w:before="120" w:line="240" w:lineRule="auto"/>
        <w:ind w:left="360"/>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 Pod pe DN 24 km 105+678 la Crasna;</w:t>
      </w:r>
    </w:p>
    <w:p w:rsidR="00195E42" w:rsidRPr="00AF3608" w:rsidRDefault="00195E42" w:rsidP="00B723C0">
      <w:pPr>
        <w:pStyle w:val="Style4"/>
        <w:widowControl/>
        <w:spacing w:before="120" w:line="240" w:lineRule="auto"/>
        <w:ind w:left="360"/>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 Pod pe DN 13C km 1+200, la Vânători;</w:t>
      </w:r>
    </w:p>
    <w:p w:rsidR="00195E42" w:rsidRPr="00AF3608" w:rsidRDefault="00195E42" w:rsidP="00B723C0">
      <w:pPr>
        <w:pStyle w:val="Style4"/>
        <w:widowControl/>
        <w:spacing w:before="120" w:line="240" w:lineRule="auto"/>
        <w:ind w:left="360"/>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 Podul de la Cernavodă, situat pe Autostrada A2, la km 157+600;</w:t>
      </w:r>
    </w:p>
    <w:p w:rsidR="00195E42" w:rsidRPr="00AF3608" w:rsidRDefault="00195E42" w:rsidP="00B723C0">
      <w:pPr>
        <w:pStyle w:val="Style4"/>
        <w:widowControl/>
        <w:spacing w:before="120" w:line="240" w:lineRule="auto"/>
        <w:ind w:left="360"/>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 Podul peste brațul Borcea, situat pe Autostrada A2, la km 149+680;</w:t>
      </w:r>
    </w:p>
    <w:p w:rsidR="00195E42" w:rsidRPr="00AF3608" w:rsidRDefault="00195E42" w:rsidP="00B723C0">
      <w:pPr>
        <w:pStyle w:val="Style4"/>
        <w:widowControl/>
        <w:spacing w:before="120" w:line="240" w:lineRule="auto"/>
        <w:ind w:left="360"/>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 Pod nou de la Cosmești, peste Siret, pe DN24, km 7+620;</w:t>
      </w:r>
    </w:p>
    <w:p w:rsidR="00195E42" w:rsidRPr="00AF3608" w:rsidRDefault="00195E42" w:rsidP="00B723C0">
      <w:pPr>
        <w:pStyle w:val="Style4"/>
        <w:widowControl/>
        <w:spacing w:before="120" w:line="240" w:lineRule="auto"/>
        <w:ind w:left="567" w:hanging="207"/>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 Apărarea împotriva inundaţiilor a localității Babadag, judeţul Tulcea/Refacere 5 poduri pe DN 22 km 210+291, km 211+812, km 212+045, km 212+495, km 213+600”;</w:t>
      </w:r>
    </w:p>
    <w:p w:rsidR="00195E42" w:rsidRPr="00AF3608" w:rsidRDefault="00195E42" w:rsidP="00B723C0">
      <w:pPr>
        <w:pStyle w:val="Style4"/>
        <w:widowControl/>
        <w:spacing w:before="120" w:line="240" w:lineRule="auto"/>
        <w:ind w:left="360"/>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 Pod peste râul Dâmbovița pe DN 73, km 78+519;</w:t>
      </w:r>
    </w:p>
    <w:p w:rsidR="00195E42" w:rsidRPr="00AF3608" w:rsidRDefault="00195E42" w:rsidP="00B723C0">
      <w:pPr>
        <w:pStyle w:val="Style4"/>
        <w:widowControl/>
        <w:spacing w:before="120" w:line="240" w:lineRule="auto"/>
        <w:ind w:left="360"/>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 Podul peste Tisa (proiectare şi execuţie).</w:t>
      </w:r>
    </w:p>
    <w:p w:rsidR="00195E42" w:rsidRPr="00AF3608" w:rsidRDefault="00195E42" w:rsidP="00B723C0">
      <w:pPr>
        <w:pStyle w:val="Style4"/>
        <w:widowControl/>
        <w:spacing w:before="120" w:line="240" w:lineRule="auto"/>
        <w:jc w:val="both"/>
        <w:rPr>
          <w:rStyle w:val="FontStyle21"/>
          <w:rFonts w:asciiTheme="minorHAnsi" w:hAnsiTheme="minorHAnsi" w:cstheme="minorHAnsi"/>
          <w:sz w:val="24"/>
          <w:szCs w:val="24"/>
          <w:lang w:val="ro-RO"/>
        </w:rPr>
      </w:pPr>
    </w:p>
    <w:p w:rsidR="00195E42" w:rsidRPr="00AF3608" w:rsidRDefault="00195E42" w:rsidP="003A0B85">
      <w:pPr>
        <w:pStyle w:val="Style4"/>
        <w:widowControl/>
        <w:numPr>
          <w:ilvl w:val="0"/>
          <w:numId w:val="61"/>
        </w:numPr>
        <w:shd w:val="clear" w:color="auto" w:fill="F2F2F2" w:themeFill="background1" w:themeFillShade="F2"/>
        <w:spacing w:before="120" w:line="240" w:lineRule="auto"/>
        <w:jc w:val="both"/>
        <w:rPr>
          <w:rStyle w:val="FontStyle21"/>
          <w:rFonts w:asciiTheme="minorHAnsi" w:hAnsiTheme="minorHAnsi" w:cstheme="minorHAnsi"/>
          <w:b/>
          <w:sz w:val="24"/>
          <w:szCs w:val="24"/>
          <w:lang w:val="ro-RO"/>
        </w:rPr>
      </w:pPr>
      <w:r w:rsidRPr="00AF3608">
        <w:rPr>
          <w:rStyle w:val="FontStyle21"/>
          <w:rFonts w:asciiTheme="minorHAnsi" w:hAnsiTheme="minorHAnsi" w:cstheme="minorHAnsi"/>
          <w:b/>
          <w:sz w:val="24"/>
          <w:szCs w:val="24"/>
          <w:lang w:val="ro-RO"/>
        </w:rPr>
        <w:t>întretinerea infrastructurii rutiere</w:t>
      </w:r>
    </w:p>
    <w:p w:rsidR="00195E42" w:rsidRPr="00AF3608" w:rsidRDefault="00195E42" w:rsidP="00342B08">
      <w:pPr>
        <w:pStyle w:val="Style4"/>
        <w:widowControl/>
        <w:spacing w:before="120" w:line="240" w:lineRule="auto"/>
        <w:jc w:val="both"/>
        <w:rPr>
          <w:rFonts w:asciiTheme="minorHAnsi" w:hAnsiTheme="minorHAnsi" w:cstheme="minorHAnsi"/>
          <w:lang w:val="ro-RO"/>
        </w:rPr>
      </w:pPr>
      <w:r w:rsidRPr="00AF3608">
        <w:rPr>
          <w:rStyle w:val="FontStyle21"/>
          <w:rFonts w:asciiTheme="minorHAnsi" w:hAnsiTheme="minorHAnsi" w:cstheme="minorHAnsi"/>
          <w:sz w:val="24"/>
          <w:szCs w:val="24"/>
          <w:lang w:val="ro-RO"/>
        </w:rPr>
        <w:t>CNAIR - SA asigură în prezent administrarea şi întreţinerea unei reţele de 16.758 km din care 847,149 km de autostrăzi şi 15.910,851 km drumuri naţionale, reţea care este dezvoltată pe întreg teritoriul României, din care peste 58,6 % are durata de funcţionare expirată (durata normală de funcţionare a unui drum este durata de utilizare exprimată în ani, de la darea în circulaţie a drumului ca nou şi până la introducerea sa în prima reparaţie capitală sau între două reparaţii capitale). Aceasta reprezintă o pondere ridicată şi sugerează faptul că mecanismele organizaţionale existente nu fac decât să conserve starea tehnică existentă prin executarea de lucrări de întreţinere insuficiente şi nu au avut ca obiectiv accelerarea îmbunătăţirii stării tehnice şi continuitate în modernizare, deoarece posibilităţile de finanţare din ultimii ani au fost sub nivelul necesităţilor reale. Durata normală de funcţionare va putea fi prelungită în cazul în care starea tehnică a sistemelor rutiere existente şi capacitatea portantă a drumului se menţin în limite admisibile prevăzute de reglementările tehnice în vigoare la data expirării duratei normale de funcţionare prin executarea unor lucrări de întreţinere periodică (tratamente bituminoase, straturi rutiere foarte subţiri, covoare asfaltice, reciclări în SITU) şi reparaţii curente (ranforsări sisteme rutiere), conform reglementărilor tehnice în vigoare şi în ritmicitatea prevăzută de acestea. Neasigurarea unui buget corespunzător pentru execuţia acestor tipuri de lucrări până la construirea reţelei de autostrăzi, va conduce la distrugerea întregii reţele rutiere din administrare, iar costurile de remediere ar fi mult mai mari, deoarece lucrările de modernizare, respectiv reabilitare implica costuri mult mai mari (ex. un km de drum modernizat/reabilitat costa cca 800.000 euro).</w:t>
      </w:r>
    </w:p>
    <w:p w:rsidR="00195E42" w:rsidRPr="00AF3608" w:rsidRDefault="00195E42" w:rsidP="00B723C0">
      <w:pPr>
        <w:spacing w:before="120"/>
        <w:jc w:val="both"/>
        <w:rPr>
          <w:rFonts w:asciiTheme="minorHAnsi" w:hAnsiTheme="minorHAnsi" w:cstheme="minorHAnsi"/>
          <w:b/>
          <w:u w:val="single"/>
          <w:lang w:val="ro-RO"/>
        </w:rPr>
      </w:pPr>
      <w:r w:rsidRPr="00AF3608">
        <w:rPr>
          <w:rFonts w:asciiTheme="minorHAnsi" w:hAnsiTheme="minorHAnsi" w:cstheme="minorHAnsi"/>
          <w:b/>
          <w:u w:val="single"/>
          <w:lang w:val="ro-RO"/>
        </w:rPr>
        <w:lastRenderedPageBreak/>
        <w:t>CNCF CFR - SA</w:t>
      </w:r>
    </w:p>
    <w:p w:rsidR="00195E42" w:rsidRPr="00AF3608" w:rsidRDefault="00195E42" w:rsidP="00B723C0">
      <w:pPr>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CNCF CFR - SA propune următoarele priorităţi strategice care sunt focalizate în principal pe:</w:t>
      </w:r>
    </w:p>
    <w:p w:rsidR="00195E42" w:rsidRPr="00AF3608" w:rsidRDefault="00195E42" w:rsidP="003A0B85">
      <w:pPr>
        <w:numPr>
          <w:ilvl w:val="0"/>
          <w:numId w:val="73"/>
        </w:numPr>
        <w:spacing w:before="120"/>
        <w:ind w:hanging="436"/>
        <w:jc w:val="both"/>
        <w:rPr>
          <w:rFonts w:asciiTheme="minorHAnsi" w:hAnsiTheme="minorHAnsi" w:cstheme="minorHAnsi"/>
          <w:lang w:val="ro-RO" w:eastAsia="ro-RO"/>
        </w:rPr>
      </w:pPr>
      <w:r w:rsidRPr="00AF3608">
        <w:rPr>
          <w:rFonts w:asciiTheme="minorHAnsi" w:hAnsiTheme="minorHAnsi" w:cstheme="minorHAnsi"/>
          <w:lang w:val="ro-RO" w:eastAsia="ro-RO"/>
        </w:rPr>
        <w:t>continuarea și finalizarea lucrărilor Coridorului IV ramura nordică;</w:t>
      </w:r>
    </w:p>
    <w:p w:rsidR="00195E42" w:rsidRPr="00AF3608" w:rsidRDefault="00195E42" w:rsidP="003A0B85">
      <w:pPr>
        <w:numPr>
          <w:ilvl w:val="0"/>
          <w:numId w:val="73"/>
        </w:numPr>
        <w:spacing w:before="120"/>
        <w:ind w:hanging="436"/>
        <w:jc w:val="both"/>
        <w:rPr>
          <w:rFonts w:asciiTheme="minorHAnsi" w:hAnsiTheme="minorHAnsi" w:cstheme="minorHAnsi"/>
          <w:lang w:val="ro-RO" w:eastAsia="ro-RO"/>
        </w:rPr>
      </w:pPr>
      <w:r w:rsidRPr="00AF3608">
        <w:rPr>
          <w:rFonts w:asciiTheme="minorHAnsi" w:hAnsiTheme="minorHAnsi" w:cstheme="minorHAnsi"/>
          <w:lang w:val="ro-RO" w:eastAsia="ro-RO"/>
        </w:rPr>
        <w:t>programe de eliminare a restricţiilor de viteză de pe întreaga reţea TEN-T centrală și globală</w:t>
      </w:r>
      <w:r w:rsidRPr="00AF3608">
        <w:rPr>
          <w:rFonts w:asciiTheme="minorHAnsi" w:eastAsia="Calibri" w:hAnsiTheme="minorHAnsi" w:cstheme="minorHAnsi"/>
          <w:lang w:val="ro-RO"/>
        </w:rPr>
        <w:t xml:space="preserve"> cu </w:t>
      </w:r>
      <w:r w:rsidRPr="00AF3608">
        <w:rPr>
          <w:rFonts w:asciiTheme="minorHAnsi" w:hAnsiTheme="minorHAnsi" w:cstheme="minorHAnsi"/>
          <w:lang w:val="ro-RO" w:eastAsia="ro-RO"/>
        </w:rPr>
        <w:t>impact direct și imediat asupra duratei călătoriei și / sau asupra creșterii siguranței și confortului călătorilor;</w:t>
      </w:r>
    </w:p>
    <w:p w:rsidR="00195E42" w:rsidRPr="00AF3608" w:rsidRDefault="00195E42" w:rsidP="003A0B85">
      <w:pPr>
        <w:numPr>
          <w:ilvl w:val="0"/>
          <w:numId w:val="73"/>
        </w:numPr>
        <w:spacing w:before="120"/>
        <w:ind w:hanging="436"/>
        <w:jc w:val="both"/>
        <w:rPr>
          <w:rFonts w:asciiTheme="minorHAnsi" w:hAnsiTheme="minorHAnsi" w:cstheme="minorHAnsi"/>
          <w:lang w:val="ro-RO" w:eastAsia="ro-RO"/>
        </w:rPr>
      </w:pPr>
      <w:r w:rsidRPr="00AF3608">
        <w:rPr>
          <w:rFonts w:asciiTheme="minorHAnsi" w:hAnsiTheme="minorHAnsi" w:cstheme="minorHAnsi"/>
          <w:lang w:val="ro-RO" w:eastAsia="ro-RO"/>
        </w:rPr>
        <w:t>modernizarea sistemelor de siguranță și centralizare, inclusiv prin proiecte de creștere a calității serviciilor de transport feroviar în stațiile CF;</w:t>
      </w:r>
    </w:p>
    <w:p w:rsidR="00195E42" w:rsidRPr="00AF3608" w:rsidRDefault="00195E42" w:rsidP="003A0B85">
      <w:pPr>
        <w:numPr>
          <w:ilvl w:val="0"/>
          <w:numId w:val="73"/>
        </w:numPr>
        <w:spacing w:before="120"/>
        <w:ind w:hanging="436"/>
        <w:jc w:val="both"/>
        <w:rPr>
          <w:rFonts w:asciiTheme="minorHAnsi" w:hAnsiTheme="minorHAnsi" w:cstheme="minorHAnsi"/>
          <w:lang w:val="ro-RO" w:eastAsia="ro-RO"/>
        </w:rPr>
      </w:pPr>
      <w:r w:rsidRPr="00AF3608">
        <w:rPr>
          <w:rFonts w:asciiTheme="minorHAnsi" w:hAnsiTheme="minorHAnsi" w:cstheme="minorHAnsi"/>
          <w:lang w:val="ro-RO" w:eastAsia="ro-RO"/>
        </w:rPr>
        <w:t>proiecte de electrificare a liniilor CF lipsă din reteaua TEN-T centrală și globală;</w:t>
      </w:r>
    </w:p>
    <w:p w:rsidR="00195E42" w:rsidRPr="00AF3608" w:rsidRDefault="00195E42" w:rsidP="003A0B85">
      <w:pPr>
        <w:numPr>
          <w:ilvl w:val="0"/>
          <w:numId w:val="73"/>
        </w:numPr>
        <w:spacing w:before="120"/>
        <w:ind w:hanging="436"/>
        <w:jc w:val="both"/>
        <w:rPr>
          <w:rFonts w:asciiTheme="minorHAnsi" w:hAnsiTheme="minorHAnsi" w:cstheme="minorHAnsi"/>
          <w:lang w:val="ro-RO" w:eastAsia="ro-RO"/>
        </w:rPr>
      </w:pPr>
      <w:r w:rsidRPr="00AF3608">
        <w:rPr>
          <w:rFonts w:asciiTheme="minorHAnsi" w:hAnsiTheme="minorHAnsi" w:cstheme="minorHAnsi"/>
          <w:lang w:val="ro-RO" w:eastAsia="ro-RO"/>
        </w:rPr>
        <w:t>reabilitarea și modernizarea Coridorul IV ramura sudică (Arad-Caransebeș-Craiova-Calafat) și pe linia CF Ploiești Sud-Focșani-Pașcani-Iași-Frontiera, Pașcani-Darmănești-Vicșani-Frontiera;</w:t>
      </w:r>
    </w:p>
    <w:p w:rsidR="00195E42" w:rsidRPr="00AF3608" w:rsidRDefault="00195E42" w:rsidP="003A0B85">
      <w:pPr>
        <w:numPr>
          <w:ilvl w:val="0"/>
          <w:numId w:val="73"/>
        </w:numPr>
        <w:spacing w:before="120"/>
        <w:ind w:left="709" w:hanging="425"/>
        <w:jc w:val="both"/>
        <w:rPr>
          <w:rFonts w:asciiTheme="minorHAnsi" w:hAnsiTheme="minorHAnsi" w:cstheme="minorHAnsi"/>
          <w:b/>
          <w:u w:val="single"/>
          <w:lang w:val="ro-RO"/>
        </w:rPr>
      </w:pPr>
      <w:r w:rsidRPr="00AF3608">
        <w:rPr>
          <w:rFonts w:asciiTheme="minorHAnsi" w:hAnsiTheme="minorHAnsi" w:cstheme="minorHAnsi"/>
          <w:lang w:val="ro-RO" w:eastAsia="ro-RO"/>
        </w:rPr>
        <w:t>achiziția de trenuri de lucru pentru activitatea de reînnoire (reparaţie capitală), reabilitare, modernizare, construirea unor elemente componente ale infrastructurii feroviare și creșterea gradului de siguranţă a circulaţiei feroviare;</w:t>
      </w:r>
    </w:p>
    <w:p w:rsidR="00195E42" w:rsidRPr="00AF3608" w:rsidRDefault="00195E42" w:rsidP="003A0B85">
      <w:pPr>
        <w:numPr>
          <w:ilvl w:val="0"/>
          <w:numId w:val="73"/>
        </w:numPr>
        <w:spacing w:before="120"/>
        <w:ind w:left="709" w:hanging="425"/>
        <w:jc w:val="both"/>
        <w:rPr>
          <w:rFonts w:asciiTheme="minorHAnsi" w:hAnsiTheme="minorHAnsi" w:cstheme="minorHAnsi"/>
          <w:b/>
          <w:u w:val="single"/>
          <w:lang w:val="ro-RO"/>
        </w:rPr>
      </w:pPr>
      <w:r w:rsidRPr="00AF3608">
        <w:rPr>
          <w:rFonts w:asciiTheme="minorHAnsi" w:hAnsiTheme="minorHAnsi" w:cstheme="minorHAnsi"/>
          <w:lang w:val="ro-RO" w:eastAsia="ro-RO"/>
        </w:rPr>
        <w:t>reabilitarea și modernizarea Complexului Feroviar Gara de Nord, inclusiv centura feroviară a Bucureştiului ca o alternativă pentru transportul urban al locuitorilor din  zonele periferice, un acces mai facil pentru marile centre comerciale și depozitare amplasate în zona centurii și crearea unor noduri intermodale la capătul linilor de transport.</w:t>
      </w:r>
    </w:p>
    <w:p w:rsidR="00195E42" w:rsidRPr="00AF3608" w:rsidRDefault="00195E42" w:rsidP="00B723C0">
      <w:pPr>
        <w:spacing w:before="120"/>
        <w:jc w:val="both"/>
        <w:rPr>
          <w:rFonts w:asciiTheme="minorHAnsi" w:hAnsiTheme="minorHAnsi" w:cstheme="minorHAnsi"/>
          <w:b/>
          <w:u w:val="single"/>
          <w:lang w:val="ro-RO"/>
        </w:rPr>
      </w:pPr>
      <w:r w:rsidRPr="00AF3608">
        <w:rPr>
          <w:rStyle w:val="FontStyle16"/>
          <w:rFonts w:asciiTheme="minorHAnsi" w:hAnsiTheme="minorHAnsi" w:cstheme="minorHAnsi"/>
          <w:iCs/>
          <w:sz w:val="24"/>
          <w:szCs w:val="24"/>
          <w:lang w:val="ro-RO" w:eastAsia="ro-RO"/>
        </w:rPr>
        <w:t>Principalele obiective se regăsesc și în Strategia de dezvoltare a infrastructurii feroviare 2021-2025</w:t>
      </w:r>
      <w:r w:rsidRPr="00AF3608">
        <w:rPr>
          <w:rStyle w:val="FontStyle16"/>
          <w:rFonts w:asciiTheme="minorHAnsi" w:hAnsiTheme="minorHAnsi" w:cstheme="minorHAnsi"/>
          <w:sz w:val="24"/>
          <w:szCs w:val="24"/>
          <w:lang w:val="ro-RO" w:eastAsia="ro-RO"/>
        </w:rPr>
        <w:t xml:space="preserve">. </w:t>
      </w:r>
    </w:p>
    <w:p w:rsidR="00195E42" w:rsidRPr="00AF3608" w:rsidRDefault="00195E42" w:rsidP="00B723C0">
      <w:pPr>
        <w:spacing w:before="120"/>
        <w:jc w:val="both"/>
        <w:rPr>
          <w:rFonts w:asciiTheme="minorHAnsi" w:hAnsiTheme="minorHAnsi" w:cstheme="minorHAnsi"/>
          <w:b/>
          <w:u w:val="single"/>
          <w:lang w:val="ro-RO"/>
        </w:rPr>
      </w:pPr>
      <w:r w:rsidRPr="00AF3608">
        <w:rPr>
          <w:rFonts w:asciiTheme="minorHAnsi" w:hAnsiTheme="minorHAnsi" w:cstheme="minorHAnsi"/>
          <w:b/>
          <w:u w:val="single"/>
          <w:lang w:val="ro-RO"/>
        </w:rPr>
        <w:t>METROREX SA</w:t>
      </w:r>
    </w:p>
    <w:p w:rsidR="00195E42" w:rsidRPr="00AF3608" w:rsidRDefault="00195E42" w:rsidP="00B723C0">
      <w:pPr>
        <w:spacing w:before="120"/>
        <w:jc w:val="both"/>
        <w:rPr>
          <w:rFonts w:asciiTheme="minorHAnsi" w:hAnsiTheme="minorHAnsi" w:cstheme="minorHAnsi"/>
          <w:b/>
          <w:lang w:val="ro-RO"/>
        </w:rPr>
      </w:pPr>
      <w:r w:rsidRPr="00AF3608">
        <w:rPr>
          <w:rFonts w:asciiTheme="minorHAnsi" w:hAnsiTheme="minorHAnsi" w:cstheme="minorHAnsi"/>
          <w:b/>
          <w:lang w:val="ro-RO"/>
        </w:rPr>
        <w:t>Sinteza politicilor și a programelor finanțate prin buget</w:t>
      </w:r>
    </w:p>
    <w:p w:rsidR="00195E42" w:rsidRPr="00AF3608" w:rsidRDefault="00195E42" w:rsidP="00B723C0">
      <w:pPr>
        <w:spacing w:before="120"/>
        <w:jc w:val="both"/>
        <w:rPr>
          <w:rFonts w:asciiTheme="minorHAnsi" w:hAnsiTheme="minorHAnsi" w:cstheme="minorHAnsi"/>
          <w:lang w:val="ro-RO"/>
        </w:rPr>
      </w:pPr>
      <w:r w:rsidRPr="00AF3608">
        <w:rPr>
          <w:rFonts w:asciiTheme="minorHAnsi" w:hAnsiTheme="minorHAnsi" w:cstheme="minorHAnsi"/>
          <w:lang w:val="ro-RO"/>
        </w:rPr>
        <w:t>Principalele obiective de investiții din domeniul transportului urban cu metrou ce urmează a fi dezvoltate în perioada de timp 2021-2024 sunt :</w:t>
      </w:r>
    </w:p>
    <w:p w:rsidR="00195E42" w:rsidRPr="00AF3608" w:rsidRDefault="00195E42" w:rsidP="00120AA6">
      <w:pPr>
        <w:pStyle w:val="ListParagraph"/>
        <w:numPr>
          <w:ilvl w:val="0"/>
          <w:numId w:val="23"/>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“Accesibilizarea stațiilor de metrou în funcțiune pentru persoanele cu deficiențe de vedere”, pentru care se propune pentru acest orizont de timp o finanțare cu credite bugetare în valoare totală de 25.000.000 lei;</w:t>
      </w:r>
    </w:p>
    <w:p w:rsidR="00195E42" w:rsidRPr="00AF3608" w:rsidRDefault="00195E42" w:rsidP="00120AA6">
      <w:pPr>
        <w:pStyle w:val="ListParagraph"/>
        <w:numPr>
          <w:ilvl w:val="0"/>
          <w:numId w:val="23"/>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 xml:space="preserve"> „Magistrala 5 Drumul Taberei – Pantelimon”, pentru care se propun alocații bugetare în sumă de aproximativ 310 milioane lei, din fonduri externe nerambursabile; </w:t>
      </w:r>
    </w:p>
    <w:p w:rsidR="00195E42" w:rsidRPr="00AF3608" w:rsidRDefault="00195E42" w:rsidP="00120AA6">
      <w:pPr>
        <w:pStyle w:val="ListParagraph"/>
        <w:numPr>
          <w:ilvl w:val="0"/>
          <w:numId w:val="23"/>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“Modernizarea instalațiilor pe magistralele I, II, III și TL de metrou” pentru care se propun alocații bugetare în sumă de aproximativ 515 milioane lei, din fonduri externe nerambursabile;</w:t>
      </w:r>
    </w:p>
    <w:p w:rsidR="00195E42" w:rsidRPr="00AF3608" w:rsidRDefault="00195E42" w:rsidP="00120AA6">
      <w:pPr>
        <w:pStyle w:val="ListParagraph"/>
        <w:numPr>
          <w:ilvl w:val="0"/>
          <w:numId w:val="23"/>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“Legătura rețelei de metrou cu Aeroportul Internațional Henri Coandă – Otopeni” pentru care se propun alocații bugetare în sumă de aproximativ 3,7 miliarde lei, din fonduri externe nerambursabile și alocații de la bugetul de stat;</w:t>
      </w:r>
    </w:p>
    <w:p w:rsidR="00195E42" w:rsidRPr="00AF3608" w:rsidRDefault="00195E42" w:rsidP="00120AA6">
      <w:pPr>
        <w:pStyle w:val="ListParagraph"/>
        <w:numPr>
          <w:ilvl w:val="0"/>
          <w:numId w:val="23"/>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Înnoirea materialului rulant pentru care s-au încheiat contracte în sumă de aproximativ 500 milioane lei.</w:t>
      </w:r>
    </w:p>
    <w:p w:rsidR="00195E42" w:rsidRPr="00AF3608" w:rsidRDefault="00195E42" w:rsidP="00B723C0">
      <w:pPr>
        <w:spacing w:before="120"/>
        <w:jc w:val="both"/>
        <w:rPr>
          <w:rFonts w:asciiTheme="minorHAnsi" w:hAnsiTheme="minorHAnsi" w:cstheme="minorHAnsi"/>
          <w:b/>
          <w:color w:val="000000"/>
          <w:u w:val="single"/>
          <w:lang w:val="ro-RO"/>
        </w:rPr>
      </w:pPr>
      <w:r w:rsidRPr="00AF3608">
        <w:rPr>
          <w:rFonts w:asciiTheme="minorHAnsi" w:hAnsiTheme="minorHAnsi" w:cstheme="minorHAnsi"/>
          <w:b/>
          <w:color w:val="000000"/>
          <w:u w:val="single"/>
          <w:lang w:val="ro-RO"/>
        </w:rPr>
        <w:t>DIRECȚIA TRANSPORT NAVAL</w:t>
      </w:r>
    </w:p>
    <w:p w:rsidR="00195E42" w:rsidRPr="00AF3608" w:rsidRDefault="00195E42" w:rsidP="00B723C0">
      <w:pPr>
        <w:spacing w:before="120"/>
        <w:jc w:val="both"/>
        <w:rPr>
          <w:rFonts w:asciiTheme="minorHAnsi" w:hAnsiTheme="minorHAnsi" w:cstheme="minorHAnsi"/>
          <w:color w:val="000000"/>
          <w:lang w:val="ro-RO"/>
        </w:rPr>
      </w:pPr>
      <w:r w:rsidRPr="00AF3608">
        <w:rPr>
          <w:rFonts w:asciiTheme="minorHAnsi" w:hAnsiTheme="minorHAnsi" w:cstheme="minorHAnsi"/>
          <w:lang w:val="ro-RO"/>
        </w:rPr>
        <w:t xml:space="preserve">În domeniul transportului naval, în perioada 2021 – 2024, prioritățile sunt conform Programului de Guvernare aprobat prin Hotărârea Parlamentului nr.31/2020 pentru acordarea încrederii Guvernului și vizează : </w:t>
      </w:r>
    </w:p>
    <w:p w:rsidR="00195E42" w:rsidRPr="00AF3608" w:rsidRDefault="00195E42" w:rsidP="00120AA6">
      <w:pPr>
        <w:pStyle w:val="ListParagraph"/>
        <w:numPr>
          <w:ilvl w:val="0"/>
          <w:numId w:val="24"/>
        </w:numPr>
        <w:spacing w:before="120" w:line="240" w:lineRule="auto"/>
        <w:ind w:left="0" w:firstLine="360"/>
        <w:contextualSpacing w:val="0"/>
        <w:jc w:val="both"/>
        <w:rPr>
          <w:rFonts w:asciiTheme="minorHAnsi" w:hAnsiTheme="minorHAnsi" w:cstheme="minorHAnsi"/>
          <w:szCs w:val="24"/>
        </w:rPr>
      </w:pPr>
      <w:r w:rsidRPr="00AF3608">
        <w:rPr>
          <w:rFonts w:asciiTheme="minorHAnsi" w:hAnsiTheme="minorHAnsi" w:cstheme="minorHAnsi"/>
          <w:szCs w:val="24"/>
        </w:rPr>
        <w:t xml:space="preserve">asigurarea condițiilor de navigație pe Dunăre, pe toată perioada anului;  </w:t>
      </w:r>
    </w:p>
    <w:p w:rsidR="00195E42" w:rsidRPr="00AF3608" w:rsidRDefault="00195E42" w:rsidP="00120AA6">
      <w:pPr>
        <w:pStyle w:val="ListParagraph"/>
        <w:numPr>
          <w:ilvl w:val="0"/>
          <w:numId w:val="24"/>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lastRenderedPageBreak/>
        <w:t xml:space="preserve">modernizarea infrastructurii porturilor maritime şi fluviale (Constanța, Galaţi, Giurgiu, Corabia, Calafat, Drobeta, Olteniţa etc.);  </w:t>
      </w:r>
    </w:p>
    <w:p w:rsidR="00195E42" w:rsidRPr="00AF3608" w:rsidRDefault="00195E42" w:rsidP="00120AA6">
      <w:pPr>
        <w:pStyle w:val="ListParagraph"/>
        <w:numPr>
          <w:ilvl w:val="0"/>
          <w:numId w:val="24"/>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 xml:space="preserve">dezvoltarea Portului Constanţa prin promovarea unui plan major de investiții, astfel încât acesta să-şi atingă potențialul maxim şi să îşi întărească rolul de port regional cu perspective să devină cel mai important port din regiune;  </w:t>
      </w:r>
    </w:p>
    <w:p w:rsidR="00195E42" w:rsidRPr="00AF3608" w:rsidRDefault="00195E42" w:rsidP="00120AA6">
      <w:pPr>
        <w:pStyle w:val="ListParagraph"/>
        <w:numPr>
          <w:ilvl w:val="0"/>
          <w:numId w:val="24"/>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 xml:space="preserve">creșterea siguranței traficului prin dezvoltarea infrastructurii pentru servicii de informare şi management al traficului maritim costier şi achiziționarea de nave tehnice;  </w:t>
      </w:r>
    </w:p>
    <w:p w:rsidR="00195E42" w:rsidRPr="00AF3608" w:rsidRDefault="00195E42" w:rsidP="00120AA6">
      <w:pPr>
        <w:pStyle w:val="ListParagraph"/>
        <w:numPr>
          <w:ilvl w:val="0"/>
          <w:numId w:val="24"/>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digitalizarea: actualizarea permanentă a hărților electronice de navigație; schimbul de informații RIS (River Information Services) la nivel regional; managementul căii navigabile; îmbunătățirea infrastructurii IT pentru stocarea şi procesarea datelor geospaţiale; realizarea bazelor de date pentru certificatele de calificare, la carnetele de serviciu şi la jurnalele de bord conform Directivei UE 2017/2397; implementarea ghișeului unic european în domeniul maritim (EMSWe) conform Regulamentului (UE) 2019/1.239. </w:t>
      </w:r>
    </w:p>
    <w:p w:rsidR="00195E42" w:rsidRPr="00AF3608" w:rsidRDefault="00195E42" w:rsidP="00B723C0">
      <w:pPr>
        <w:spacing w:before="120"/>
        <w:jc w:val="both"/>
        <w:rPr>
          <w:rFonts w:asciiTheme="minorHAnsi" w:hAnsiTheme="minorHAnsi" w:cstheme="minorHAnsi"/>
          <w:b/>
          <w:u w:val="single"/>
          <w:lang w:val="ro-RO"/>
        </w:rPr>
      </w:pPr>
      <w:r w:rsidRPr="00AF3608">
        <w:rPr>
          <w:rFonts w:asciiTheme="minorHAnsi" w:hAnsiTheme="minorHAnsi" w:cstheme="minorHAnsi"/>
          <w:b/>
          <w:u w:val="single"/>
          <w:lang w:val="ro-RO"/>
        </w:rPr>
        <w:t>DIRECȚIA TRANSPORT AERIAN</w:t>
      </w:r>
    </w:p>
    <w:p w:rsidR="00195E42" w:rsidRPr="00AF3608" w:rsidRDefault="00195E42" w:rsidP="00B723C0">
      <w:pPr>
        <w:spacing w:before="120"/>
        <w:jc w:val="both"/>
        <w:rPr>
          <w:rStyle w:val="FontStyle16"/>
          <w:rFonts w:asciiTheme="minorHAnsi" w:hAnsiTheme="minorHAnsi" w:cstheme="minorHAnsi"/>
          <w:sz w:val="24"/>
          <w:szCs w:val="24"/>
          <w:lang w:val="ro-RO" w:eastAsia="ro-RO"/>
        </w:rPr>
      </w:pPr>
      <w:r w:rsidRPr="00AF3608">
        <w:rPr>
          <w:rStyle w:val="FontStyle16"/>
          <w:rFonts w:asciiTheme="minorHAnsi" w:hAnsiTheme="minorHAnsi" w:cstheme="minorHAnsi"/>
          <w:sz w:val="24"/>
          <w:szCs w:val="24"/>
          <w:lang w:val="ro-RO" w:eastAsia="ro-RO"/>
        </w:rPr>
        <w:t>Priorități privind dezvoltarea obiectivelor de investiții din domeniul aerian pentru perioada 2021-2024 sunt:</w:t>
      </w:r>
    </w:p>
    <w:p w:rsidR="00195E42" w:rsidRPr="00AF3608" w:rsidRDefault="00195E42" w:rsidP="003A0B85">
      <w:pPr>
        <w:pStyle w:val="ListParagraph"/>
        <w:numPr>
          <w:ilvl w:val="0"/>
          <w:numId w:val="80"/>
        </w:numPr>
        <w:spacing w:before="120" w:line="240" w:lineRule="auto"/>
        <w:contextualSpacing w:val="0"/>
        <w:jc w:val="both"/>
        <w:rPr>
          <w:rStyle w:val="FontStyle16"/>
          <w:rFonts w:asciiTheme="minorHAnsi" w:hAnsiTheme="minorHAnsi" w:cstheme="minorHAnsi"/>
          <w:sz w:val="24"/>
          <w:szCs w:val="24"/>
          <w:lang w:eastAsia="ro-RO"/>
        </w:rPr>
      </w:pPr>
      <w:r w:rsidRPr="00AF3608">
        <w:rPr>
          <w:rStyle w:val="FontStyle16"/>
          <w:rFonts w:asciiTheme="minorHAnsi" w:hAnsiTheme="minorHAnsi" w:cstheme="minorHAnsi"/>
          <w:b/>
          <w:sz w:val="24"/>
          <w:szCs w:val="24"/>
          <w:lang w:eastAsia="ro-RO"/>
        </w:rPr>
        <w:t>Unitatea de aviație</w:t>
      </w:r>
      <w:r w:rsidRPr="00AF3608">
        <w:rPr>
          <w:rStyle w:val="FontStyle16"/>
          <w:rFonts w:asciiTheme="minorHAnsi" w:hAnsiTheme="minorHAnsi" w:cstheme="minorHAnsi"/>
          <w:sz w:val="24"/>
          <w:szCs w:val="24"/>
          <w:lang w:eastAsia="ro-RO"/>
        </w:rPr>
        <w:t xml:space="preserve"> : Aeroportul Internațional „Traian Vuia” Timișoara</w:t>
      </w:r>
    </w:p>
    <w:p w:rsidR="00195E42" w:rsidRPr="00AF3608" w:rsidRDefault="00195E42" w:rsidP="00B723C0">
      <w:pPr>
        <w:spacing w:before="120"/>
        <w:jc w:val="both"/>
        <w:rPr>
          <w:rStyle w:val="FontStyle16"/>
          <w:rFonts w:asciiTheme="minorHAnsi" w:hAnsiTheme="minorHAnsi" w:cstheme="minorHAnsi"/>
          <w:sz w:val="24"/>
          <w:szCs w:val="24"/>
          <w:lang w:val="ro-RO" w:eastAsia="ro-RO"/>
        </w:rPr>
      </w:pPr>
      <w:r w:rsidRPr="00AF3608">
        <w:rPr>
          <w:rStyle w:val="FontStyle16"/>
          <w:rFonts w:asciiTheme="minorHAnsi" w:hAnsiTheme="minorHAnsi" w:cstheme="minorHAnsi"/>
          <w:b/>
          <w:sz w:val="24"/>
          <w:szCs w:val="24"/>
          <w:lang w:val="ro-RO" w:eastAsia="ro-RO"/>
        </w:rPr>
        <w:t>Denumire program</w:t>
      </w:r>
      <w:r w:rsidRPr="00AF3608">
        <w:rPr>
          <w:rStyle w:val="FontStyle16"/>
          <w:rFonts w:asciiTheme="minorHAnsi" w:hAnsiTheme="minorHAnsi" w:cstheme="minorHAnsi"/>
          <w:sz w:val="24"/>
          <w:szCs w:val="24"/>
          <w:lang w:val="ro-RO" w:eastAsia="ro-RO"/>
        </w:rPr>
        <w:t>: Terminal plecări curse externe la Aeroportul Internaţional Timișoara – Traian Vuia SA</w:t>
      </w:r>
    </w:p>
    <w:p w:rsidR="00195E42" w:rsidRPr="00AF3608" w:rsidRDefault="00195E42" w:rsidP="00B723C0">
      <w:pPr>
        <w:spacing w:before="120"/>
        <w:jc w:val="both"/>
        <w:rPr>
          <w:rStyle w:val="FontStyle16"/>
          <w:rFonts w:asciiTheme="minorHAnsi" w:hAnsiTheme="minorHAnsi" w:cstheme="minorHAnsi"/>
          <w:sz w:val="24"/>
          <w:szCs w:val="24"/>
          <w:lang w:val="ro-RO" w:eastAsia="ro-RO"/>
        </w:rPr>
      </w:pPr>
      <w:r w:rsidRPr="00AF3608">
        <w:rPr>
          <w:rStyle w:val="FontStyle16"/>
          <w:rFonts w:asciiTheme="minorHAnsi" w:hAnsiTheme="minorHAnsi" w:cstheme="minorHAnsi"/>
          <w:b/>
          <w:sz w:val="24"/>
          <w:szCs w:val="24"/>
          <w:lang w:val="ro-RO" w:eastAsia="ro-RO"/>
        </w:rPr>
        <w:t>Valoare proiect</w:t>
      </w:r>
      <w:r w:rsidRPr="00AF3608">
        <w:rPr>
          <w:rStyle w:val="FontStyle16"/>
          <w:rFonts w:asciiTheme="minorHAnsi" w:hAnsiTheme="minorHAnsi" w:cstheme="minorHAnsi"/>
          <w:sz w:val="24"/>
          <w:szCs w:val="24"/>
          <w:lang w:val="ro-RO" w:eastAsia="ro-RO"/>
        </w:rPr>
        <w:t xml:space="preserve"> : 131.206 mii lei</w:t>
      </w:r>
    </w:p>
    <w:p w:rsidR="00195E42" w:rsidRPr="00AF3608" w:rsidRDefault="00195E42" w:rsidP="00B723C0">
      <w:pPr>
        <w:spacing w:before="120"/>
        <w:jc w:val="both"/>
        <w:rPr>
          <w:rStyle w:val="FontStyle16"/>
          <w:rFonts w:asciiTheme="minorHAnsi" w:hAnsiTheme="minorHAnsi" w:cstheme="minorHAnsi"/>
          <w:sz w:val="24"/>
          <w:szCs w:val="24"/>
          <w:lang w:val="ro-RO" w:eastAsia="ro-RO"/>
        </w:rPr>
      </w:pPr>
      <w:r w:rsidRPr="00AF3608">
        <w:rPr>
          <w:rStyle w:val="FontStyle16"/>
          <w:rFonts w:asciiTheme="minorHAnsi" w:hAnsiTheme="minorHAnsi" w:cstheme="minorHAnsi"/>
          <w:b/>
          <w:sz w:val="24"/>
          <w:szCs w:val="24"/>
          <w:lang w:val="ro-RO" w:eastAsia="ro-RO"/>
        </w:rPr>
        <w:t>Sursă finanțare</w:t>
      </w:r>
      <w:r w:rsidRPr="00AF3608">
        <w:rPr>
          <w:rStyle w:val="FontStyle16"/>
          <w:rFonts w:asciiTheme="minorHAnsi" w:hAnsiTheme="minorHAnsi" w:cstheme="minorHAnsi"/>
          <w:sz w:val="24"/>
          <w:szCs w:val="24"/>
          <w:lang w:val="ro-RO" w:eastAsia="ro-RO"/>
        </w:rPr>
        <w:t>: fonduri externe nerambursabile.</w:t>
      </w:r>
    </w:p>
    <w:p w:rsidR="00195E42" w:rsidRPr="00AF3608" w:rsidRDefault="00195E42" w:rsidP="00B723C0">
      <w:pPr>
        <w:pStyle w:val="ListParagraph"/>
        <w:spacing w:before="120" w:line="240" w:lineRule="auto"/>
        <w:ind w:left="435"/>
        <w:contextualSpacing w:val="0"/>
        <w:jc w:val="both"/>
        <w:rPr>
          <w:rStyle w:val="FontStyle16"/>
          <w:rFonts w:asciiTheme="minorHAnsi" w:hAnsiTheme="minorHAnsi" w:cstheme="minorHAnsi"/>
          <w:sz w:val="24"/>
          <w:szCs w:val="24"/>
          <w:lang w:eastAsia="ro-RO"/>
        </w:rPr>
      </w:pPr>
    </w:p>
    <w:p w:rsidR="00195E42" w:rsidRPr="00AF3608" w:rsidRDefault="00195E42" w:rsidP="003A0B85">
      <w:pPr>
        <w:pStyle w:val="ListParagraph"/>
        <w:numPr>
          <w:ilvl w:val="0"/>
          <w:numId w:val="80"/>
        </w:numPr>
        <w:spacing w:before="120" w:line="240" w:lineRule="auto"/>
        <w:contextualSpacing w:val="0"/>
        <w:jc w:val="both"/>
        <w:rPr>
          <w:rFonts w:asciiTheme="minorHAnsi" w:hAnsiTheme="minorHAnsi" w:cstheme="minorHAnsi"/>
        </w:rPr>
      </w:pPr>
      <w:r w:rsidRPr="00AF3608">
        <w:rPr>
          <w:rFonts w:asciiTheme="minorHAnsi" w:hAnsiTheme="minorHAnsi" w:cstheme="minorHAnsi"/>
          <w:b/>
        </w:rPr>
        <w:t>Unitatea de aviație</w:t>
      </w:r>
      <w:r w:rsidRPr="00AF3608">
        <w:rPr>
          <w:rFonts w:asciiTheme="minorHAnsi" w:hAnsiTheme="minorHAnsi" w:cstheme="minorHAnsi"/>
        </w:rPr>
        <w:t>: Aeroportul Internațional ”Mihail Kogălniceanu” Constanța</w:t>
      </w:r>
    </w:p>
    <w:p w:rsidR="00195E42" w:rsidRPr="00AF3608" w:rsidRDefault="00195E42" w:rsidP="00B723C0">
      <w:pPr>
        <w:spacing w:before="120"/>
        <w:jc w:val="both"/>
        <w:rPr>
          <w:rFonts w:asciiTheme="minorHAnsi" w:hAnsiTheme="minorHAnsi" w:cstheme="minorHAnsi"/>
          <w:lang w:val="ro-RO"/>
        </w:rPr>
      </w:pPr>
      <w:r w:rsidRPr="00AF3608">
        <w:rPr>
          <w:rFonts w:asciiTheme="minorHAnsi" w:hAnsiTheme="minorHAnsi" w:cstheme="minorHAnsi"/>
          <w:b/>
          <w:lang w:val="ro-RO"/>
        </w:rPr>
        <w:t>Denumire program/proiect</w:t>
      </w:r>
      <w:r w:rsidRPr="00AF3608">
        <w:rPr>
          <w:rFonts w:asciiTheme="minorHAnsi" w:hAnsiTheme="minorHAnsi" w:cstheme="minorHAnsi"/>
          <w:lang w:val="ro-RO"/>
        </w:rPr>
        <w:t>: Amenajare banda pistei și RESA</w:t>
      </w:r>
    </w:p>
    <w:p w:rsidR="00195E42" w:rsidRPr="00AF3608" w:rsidRDefault="00195E42" w:rsidP="00B723C0">
      <w:pPr>
        <w:spacing w:before="120"/>
        <w:jc w:val="both"/>
        <w:rPr>
          <w:rFonts w:asciiTheme="minorHAnsi" w:hAnsiTheme="minorHAnsi" w:cstheme="minorHAnsi"/>
          <w:lang w:val="ro-RO"/>
        </w:rPr>
      </w:pPr>
      <w:r w:rsidRPr="00AF3608">
        <w:rPr>
          <w:rFonts w:asciiTheme="minorHAnsi" w:hAnsiTheme="minorHAnsi" w:cstheme="minorHAnsi"/>
          <w:b/>
          <w:lang w:val="ro-RO"/>
        </w:rPr>
        <w:t>Valoare proiect/program</w:t>
      </w:r>
      <w:r w:rsidRPr="00AF3608">
        <w:rPr>
          <w:rFonts w:asciiTheme="minorHAnsi" w:hAnsiTheme="minorHAnsi" w:cstheme="minorHAnsi"/>
          <w:lang w:val="ro-RO"/>
        </w:rPr>
        <w:t>: Total: 49.901 mii lei</w:t>
      </w:r>
    </w:p>
    <w:p w:rsidR="00195E42" w:rsidRPr="00AF3608" w:rsidRDefault="00195E42" w:rsidP="00B723C0">
      <w:pPr>
        <w:spacing w:before="120"/>
        <w:jc w:val="both"/>
        <w:rPr>
          <w:rFonts w:asciiTheme="minorHAnsi" w:hAnsiTheme="minorHAnsi" w:cstheme="minorHAnsi"/>
          <w:lang w:val="ro-RO"/>
        </w:rPr>
      </w:pPr>
      <w:r w:rsidRPr="00AF3608">
        <w:rPr>
          <w:rFonts w:asciiTheme="minorHAnsi" w:hAnsiTheme="minorHAnsi" w:cstheme="minorHAnsi"/>
          <w:b/>
          <w:lang w:val="ro-RO"/>
        </w:rPr>
        <w:t>Sursă finanțare</w:t>
      </w:r>
      <w:r w:rsidRPr="00AF3608">
        <w:rPr>
          <w:rFonts w:asciiTheme="minorHAnsi" w:hAnsiTheme="minorHAnsi" w:cstheme="minorHAnsi"/>
          <w:lang w:val="ro-RO"/>
        </w:rPr>
        <w:t xml:space="preserve">: Buget de stat </w:t>
      </w:r>
    </w:p>
    <w:p w:rsidR="00195E42" w:rsidRPr="00AF3608" w:rsidRDefault="00195E42" w:rsidP="00B723C0">
      <w:pPr>
        <w:spacing w:before="120"/>
        <w:jc w:val="both"/>
        <w:rPr>
          <w:rFonts w:asciiTheme="minorHAnsi" w:hAnsiTheme="minorHAnsi" w:cstheme="minorHAnsi"/>
          <w:lang w:val="ro-RO"/>
        </w:rPr>
      </w:pPr>
      <w:r w:rsidRPr="00AF3608">
        <w:rPr>
          <w:rFonts w:asciiTheme="minorHAnsi" w:hAnsiTheme="minorHAnsi" w:cstheme="minorHAnsi"/>
          <w:b/>
          <w:lang w:val="ro-RO"/>
        </w:rPr>
        <w:t>Descriere</w:t>
      </w:r>
      <w:r w:rsidRPr="00AF3608">
        <w:rPr>
          <w:rFonts w:asciiTheme="minorHAnsi" w:hAnsiTheme="minorHAnsi" w:cstheme="minorHAnsi"/>
          <w:lang w:val="ro-RO"/>
        </w:rPr>
        <w:t>: În vederea respectării Regulamentului UE 139/2014, este necesar a se realiza lucrări de amenajare bandă pistă, cât și a suprafețelor de teren necesare operării în siguranță a aeroportului.</w:t>
      </w:r>
    </w:p>
    <w:p w:rsidR="00195E42" w:rsidRPr="00AF3608" w:rsidRDefault="00195E42" w:rsidP="00B723C0">
      <w:pPr>
        <w:spacing w:before="120"/>
        <w:jc w:val="both"/>
        <w:rPr>
          <w:rFonts w:asciiTheme="minorHAnsi" w:hAnsiTheme="minorHAnsi" w:cstheme="minorHAnsi"/>
          <w:lang w:val="ro-RO"/>
        </w:rPr>
      </w:pPr>
    </w:p>
    <w:p w:rsidR="00195E42" w:rsidRPr="00AF3608" w:rsidRDefault="00195E42" w:rsidP="003A0B85">
      <w:pPr>
        <w:pStyle w:val="ListParagraph"/>
        <w:numPr>
          <w:ilvl w:val="0"/>
          <w:numId w:val="80"/>
        </w:numPr>
        <w:spacing w:before="120" w:line="240" w:lineRule="auto"/>
        <w:contextualSpacing w:val="0"/>
        <w:jc w:val="both"/>
        <w:rPr>
          <w:rFonts w:asciiTheme="minorHAnsi" w:hAnsiTheme="minorHAnsi" w:cstheme="minorHAnsi"/>
        </w:rPr>
      </w:pPr>
      <w:r w:rsidRPr="00AF3608">
        <w:rPr>
          <w:rFonts w:asciiTheme="minorHAnsi" w:hAnsiTheme="minorHAnsi" w:cstheme="minorHAnsi"/>
          <w:b/>
        </w:rPr>
        <w:t>Unitatea de aviație</w:t>
      </w:r>
      <w:r w:rsidRPr="00AF3608">
        <w:rPr>
          <w:rFonts w:asciiTheme="minorHAnsi" w:hAnsiTheme="minorHAnsi" w:cstheme="minorHAnsi"/>
        </w:rPr>
        <w:t>: Școala Superioară de Aviație Civilă</w:t>
      </w:r>
    </w:p>
    <w:p w:rsidR="00195E42" w:rsidRPr="00AF3608" w:rsidRDefault="00195E42" w:rsidP="00B723C0">
      <w:pPr>
        <w:spacing w:before="120"/>
        <w:jc w:val="both"/>
        <w:rPr>
          <w:rFonts w:asciiTheme="minorHAnsi" w:hAnsiTheme="minorHAnsi" w:cstheme="minorHAnsi"/>
          <w:lang w:val="ro-RO"/>
        </w:rPr>
      </w:pPr>
      <w:r w:rsidRPr="00AF3608">
        <w:rPr>
          <w:rFonts w:asciiTheme="minorHAnsi" w:hAnsiTheme="minorHAnsi" w:cstheme="minorHAnsi"/>
          <w:b/>
          <w:lang w:val="ro-RO"/>
        </w:rPr>
        <w:t>Denumire program/proiect</w:t>
      </w:r>
      <w:r w:rsidRPr="00AF3608">
        <w:rPr>
          <w:rFonts w:asciiTheme="minorHAnsi" w:hAnsiTheme="minorHAnsi" w:cstheme="minorHAnsi"/>
          <w:lang w:val="ro-RO"/>
        </w:rPr>
        <w:t xml:space="preserve">: Centru de instruire sintetică construire corp P+3 clădire simulatoare de zbor și spații conexe echipată  cu un simulator de zbor FFS Boeing 737 NG </w:t>
      </w:r>
    </w:p>
    <w:p w:rsidR="00195E42" w:rsidRPr="00AF3608" w:rsidRDefault="00195E42" w:rsidP="00B723C0">
      <w:pPr>
        <w:spacing w:before="120"/>
        <w:jc w:val="both"/>
        <w:rPr>
          <w:rFonts w:asciiTheme="minorHAnsi" w:hAnsiTheme="minorHAnsi" w:cstheme="minorHAnsi"/>
          <w:lang w:val="ro-RO"/>
        </w:rPr>
      </w:pPr>
      <w:r w:rsidRPr="00AF3608">
        <w:rPr>
          <w:rFonts w:asciiTheme="minorHAnsi" w:hAnsiTheme="minorHAnsi" w:cstheme="minorHAnsi"/>
          <w:b/>
          <w:lang w:val="ro-RO"/>
        </w:rPr>
        <w:t>Valoare proiect/program</w:t>
      </w:r>
      <w:r w:rsidRPr="00AF3608">
        <w:rPr>
          <w:rFonts w:asciiTheme="minorHAnsi" w:hAnsiTheme="minorHAnsi" w:cstheme="minorHAnsi"/>
          <w:lang w:val="ro-RO"/>
        </w:rPr>
        <w:t>: Total: 76.759 mii lei</w:t>
      </w:r>
    </w:p>
    <w:p w:rsidR="00195E42" w:rsidRPr="00AF3608" w:rsidRDefault="00195E42" w:rsidP="00B723C0">
      <w:pPr>
        <w:spacing w:before="120"/>
        <w:jc w:val="both"/>
        <w:rPr>
          <w:rFonts w:asciiTheme="minorHAnsi" w:hAnsiTheme="minorHAnsi" w:cstheme="minorHAnsi"/>
          <w:lang w:val="ro-RO"/>
        </w:rPr>
      </w:pPr>
      <w:r w:rsidRPr="00AF3608">
        <w:rPr>
          <w:rFonts w:asciiTheme="minorHAnsi" w:hAnsiTheme="minorHAnsi" w:cstheme="minorHAnsi"/>
          <w:b/>
          <w:lang w:val="ro-RO"/>
        </w:rPr>
        <w:t>Sursă finanțare</w:t>
      </w:r>
      <w:r w:rsidRPr="00AF3608">
        <w:rPr>
          <w:rFonts w:asciiTheme="minorHAnsi" w:hAnsiTheme="minorHAnsi" w:cstheme="minorHAnsi"/>
          <w:lang w:val="ro-RO"/>
        </w:rPr>
        <w:t xml:space="preserve">: Buget de stat </w:t>
      </w:r>
    </w:p>
    <w:p w:rsidR="00195E42" w:rsidRPr="00AF3608" w:rsidRDefault="00195E42" w:rsidP="00B723C0">
      <w:pPr>
        <w:spacing w:before="120"/>
        <w:jc w:val="both"/>
        <w:rPr>
          <w:rFonts w:asciiTheme="minorHAnsi" w:hAnsiTheme="minorHAnsi" w:cstheme="minorHAnsi"/>
          <w:lang w:val="ro-RO"/>
        </w:rPr>
      </w:pPr>
      <w:r w:rsidRPr="00AF3608">
        <w:rPr>
          <w:rFonts w:asciiTheme="minorHAnsi" w:hAnsiTheme="minorHAnsi" w:cstheme="minorHAnsi"/>
          <w:b/>
          <w:lang w:val="ro-RO"/>
        </w:rPr>
        <w:t>Descriere:</w:t>
      </w:r>
      <w:r w:rsidRPr="00AF3608">
        <w:rPr>
          <w:rFonts w:asciiTheme="minorHAnsi" w:hAnsiTheme="minorHAnsi" w:cstheme="minorHAnsi"/>
          <w:lang w:val="ro-RO"/>
        </w:rPr>
        <w:t xml:space="preserve"> Programul urmărește construirea unui centru de pregătire în zbor sintetic, echipat în primă fază cu un singur simulator FFS, care să asigure pregătirea la cele mai înalte standarde ale piloților ce își desfășoară activitatea la companiile care operează în România. </w:t>
      </w:r>
    </w:p>
    <w:p w:rsidR="00195E42" w:rsidRDefault="00195E42" w:rsidP="00B723C0">
      <w:pPr>
        <w:spacing w:before="120"/>
        <w:jc w:val="both"/>
        <w:rPr>
          <w:rFonts w:asciiTheme="minorHAnsi" w:hAnsiTheme="minorHAnsi" w:cstheme="minorHAnsi"/>
          <w:lang w:val="ro-RO"/>
        </w:rPr>
      </w:pPr>
    </w:p>
    <w:p w:rsidR="00F00402" w:rsidRDefault="00F00402" w:rsidP="00B723C0">
      <w:pPr>
        <w:spacing w:before="120"/>
        <w:jc w:val="both"/>
        <w:rPr>
          <w:rFonts w:asciiTheme="minorHAnsi" w:hAnsiTheme="minorHAnsi" w:cstheme="minorHAnsi"/>
          <w:lang w:val="ro-RO"/>
        </w:rPr>
      </w:pPr>
    </w:p>
    <w:p w:rsidR="00F00402" w:rsidRPr="00AF3608" w:rsidRDefault="00F00402" w:rsidP="00B723C0">
      <w:pPr>
        <w:spacing w:before="120"/>
        <w:jc w:val="both"/>
        <w:rPr>
          <w:rFonts w:asciiTheme="minorHAnsi" w:hAnsiTheme="minorHAnsi" w:cstheme="minorHAnsi"/>
          <w:lang w:val="ro-RO"/>
        </w:rPr>
      </w:pPr>
    </w:p>
    <w:p w:rsidR="00195E42" w:rsidRPr="00AF3608" w:rsidRDefault="00195E42" w:rsidP="003A0B85">
      <w:pPr>
        <w:pStyle w:val="ListParagraph"/>
        <w:numPr>
          <w:ilvl w:val="0"/>
          <w:numId w:val="80"/>
        </w:numPr>
        <w:spacing w:before="120" w:line="240" w:lineRule="auto"/>
        <w:contextualSpacing w:val="0"/>
        <w:jc w:val="both"/>
        <w:rPr>
          <w:rFonts w:asciiTheme="minorHAnsi" w:hAnsiTheme="minorHAnsi" w:cstheme="minorHAnsi"/>
        </w:rPr>
      </w:pPr>
      <w:r w:rsidRPr="00AF3608">
        <w:rPr>
          <w:rFonts w:asciiTheme="minorHAnsi" w:hAnsiTheme="minorHAnsi" w:cstheme="minorHAnsi"/>
          <w:b/>
        </w:rPr>
        <w:lastRenderedPageBreak/>
        <w:t>Unitatea de aviație</w:t>
      </w:r>
      <w:r w:rsidRPr="00AF3608">
        <w:rPr>
          <w:rFonts w:asciiTheme="minorHAnsi" w:hAnsiTheme="minorHAnsi" w:cstheme="minorHAnsi"/>
        </w:rPr>
        <w:t>: Aeroclubul României</w:t>
      </w:r>
    </w:p>
    <w:p w:rsidR="00195E42" w:rsidRPr="00AF3608" w:rsidRDefault="00195E42" w:rsidP="00B723C0">
      <w:pPr>
        <w:spacing w:before="120"/>
        <w:jc w:val="both"/>
        <w:rPr>
          <w:rFonts w:asciiTheme="minorHAnsi" w:hAnsiTheme="minorHAnsi" w:cstheme="minorHAnsi"/>
          <w:lang w:val="ro-RO"/>
        </w:rPr>
      </w:pPr>
      <w:r w:rsidRPr="00AF3608">
        <w:rPr>
          <w:rFonts w:asciiTheme="minorHAnsi" w:hAnsiTheme="minorHAnsi" w:cstheme="minorHAnsi"/>
          <w:b/>
          <w:lang w:val="ro-RO"/>
        </w:rPr>
        <w:t>Denumire program/proiect</w:t>
      </w:r>
      <w:r w:rsidRPr="00AF3608">
        <w:rPr>
          <w:rFonts w:asciiTheme="minorHAnsi" w:hAnsiTheme="minorHAnsi" w:cstheme="minorHAnsi"/>
          <w:lang w:val="ro-RO"/>
        </w:rPr>
        <w:t xml:space="preserve">: Modernizare și asfaltare pistă Aeroclubul Teritorial București, comuna Clinceni </w:t>
      </w:r>
    </w:p>
    <w:p w:rsidR="00195E42" w:rsidRPr="00AF3608" w:rsidRDefault="00195E42" w:rsidP="00B723C0">
      <w:pPr>
        <w:spacing w:before="120"/>
        <w:jc w:val="both"/>
        <w:rPr>
          <w:rFonts w:asciiTheme="minorHAnsi" w:hAnsiTheme="minorHAnsi" w:cstheme="minorHAnsi"/>
          <w:lang w:val="ro-RO"/>
        </w:rPr>
      </w:pPr>
      <w:r w:rsidRPr="00AF3608">
        <w:rPr>
          <w:rFonts w:asciiTheme="minorHAnsi" w:hAnsiTheme="minorHAnsi" w:cstheme="minorHAnsi"/>
          <w:b/>
          <w:lang w:val="ro-RO"/>
        </w:rPr>
        <w:t>Valoare proiect/program</w:t>
      </w:r>
      <w:r w:rsidRPr="00AF3608">
        <w:rPr>
          <w:rFonts w:asciiTheme="minorHAnsi" w:hAnsiTheme="minorHAnsi" w:cstheme="minorHAnsi"/>
          <w:lang w:val="ro-RO"/>
        </w:rPr>
        <w:t>: Total: 22.810 mii lei</w:t>
      </w:r>
    </w:p>
    <w:p w:rsidR="00195E42" w:rsidRPr="00AF3608" w:rsidRDefault="00195E42" w:rsidP="00B723C0">
      <w:pPr>
        <w:spacing w:before="120"/>
        <w:jc w:val="both"/>
        <w:rPr>
          <w:rFonts w:asciiTheme="minorHAnsi" w:hAnsiTheme="minorHAnsi" w:cstheme="minorHAnsi"/>
          <w:lang w:val="ro-RO"/>
        </w:rPr>
      </w:pPr>
      <w:r w:rsidRPr="00AF3608">
        <w:rPr>
          <w:rFonts w:asciiTheme="minorHAnsi" w:hAnsiTheme="minorHAnsi" w:cstheme="minorHAnsi"/>
          <w:b/>
          <w:lang w:val="ro-RO"/>
        </w:rPr>
        <w:t>Sursă finanțare</w:t>
      </w:r>
      <w:r w:rsidRPr="00AF3608">
        <w:rPr>
          <w:rFonts w:asciiTheme="minorHAnsi" w:hAnsiTheme="minorHAnsi" w:cstheme="minorHAnsi"/>
          <w:lang w:val="ro-RO"/>
        </w:rPr>
        <w:t xml:space="preserve">: Buget de stat </w:t>
      </w:r>
    </w:p>
    <w:p w:rsidR="00195E42" w:rsidRPr="00AF3608" w:rsidRDefault="00195E42" w:rsidP="00B723C0">
      <w:pPr>
        <w:spacing w:before="120"/>
        <w:jc w:val="both"/>
        <w:rPr>
          <w:rFonts w:asciiTheme="minorHAnsi" w:hAnsiTheme="minorHAnsi" w:cstheme="minorHAnsi"/>
          <w:lang w:val="ro-RO"/>
        </w:rPr>
      </w:pPr>
    </w:p>
    <w:p w:rsidR="00195E42" w:rsidRPr="00AF3608" w:rsidRDefault="00195E42" w:rsidP="003A0B85">
      <w:pPr>
        <w:pStyle w:val="ListParagraph"/>
        <w:numPr>
          <w:ilvl w:val="0"/>
          <w:numId w:val="80"/>
        </w:numPr>
        <w:spacing w:before="120" w:line="240" w:lineRule="auto"/>
        <w:contextualSpacing w:val="0"/>
        <w:jc w:val="both"/>
        <w:rPr>
          <w:rFonts w:asciiTheme="minorHAnsi" w:hAnsiTheme="minorHAnsi" w:cstheme="minorHAnsi"/>
        </w:rPr>
      </w:pPr>
      <w:r w:rsidRPr="00AF3608">
        <w:rPr>
          <w:rFonts w:asciiTheme="minorHAnsi" w:hAnsiTheme="minorHAnsi" w:cstheme="minorHAnsi"/>
          <w:b/>
        </w:rPr>
        <w:t>Unitatea de aviație:</w:t>
      </w:r>
      <w:r w:rsidRPr="00AF3608">
        <w:rPr>
          <w:rFonts w:asciiTheme="minorHAnsi" w:hAnsiTheme="minorHAnsi" w:cstheme="minorHAnsi"/>
        </w:rPr>
        <w:t xml:space="preserve"> Aeroclubul României</w:t>
      </w:r>
    </w:p>
    <w:p w:rsidR="00195E42" w:rsidRPr="00AF3608" w:rsidRDefault="00195E42" w:rsidP="00B723C0">
      <w:pPr>
        <w:spacing w:before="120"/>
        <w:jc w:val="both"/>
        <w:rPr>
          <w:rFonts w:asciiTheme="minorHAnsi" w:hAnsiTheme="minorHAnsi" w:cstheme="minorHAnsi"/>
          <w:lang w:val="ro-RO"/>
        </w:rPr>
      </w:pPr>
      <w:r w:rsidRPr="00AF3608">
        <w:rPr>
          <w:rFonts w:asciiTheme="minorHAnsi" w:hAnsiTheme="minorHAnsi" w:cstheme="minorHAnsi"/>
          <w:b/>
          <w:lang w:val="ro-RO"/>
        </w:rPr>
        <w:t>Denumire program/proiect</w:t>
      </w:r>
      <w:r w:rsidRPr="00AF3608">
        <w:rPr>
          <w:rFonts w:asciiTheme="minorHAnsi" w:hAnsiTheme="minorHAnsi" w:cstheme="minorHAnsi"/>
          <w:lang w:val="ro-RO"/>
        </w:rPr>
        <w:t>: Modernizare și extindere infrastructură la Aeroclubul teritorial “Aurel Vlaicu” Clinceni</w:t>
      </w:r>
    </w:p>
    <w:p w:rsidR="00195E42" w:rsidRPr="00AF3608" w:rsidRDefault="00195E42" w:rsidP="00B723C0">
      <w:pPr>
        <w:spacing w:before="120"/>
        <w:jc w:val="both"/>
        <w:rPr>
          <w:rFonts w:asciiTheme="minorHAnsi" w:hAnsiTheme="minorHAnsi" w:cstheme="minorHAnsi"/>
          <w:lang w:val="ro-RO"/>
        </w:rPr>
      </w:pPr>
      <w:r w:rsidRPr="00AF3608">
        <w:rPr>
          <w:rFonts w:asciiTheme="minorHAnsi" w:hAnsiTheme="minorHAnsi" w:cstheme="minorHAnsi"/>
          <w:b/>
          <w:lang w:val="ro-RO"/>
        </w:rPr>
        <w:t>Valoare proiect/program</w:t>
      </w:r>
      <w:r w:rsidRPr="00AF3608">
        <w:rPr>
          <w:rFonts w:asciiTheme="minorHAnsi" w:hAnsiTheme="minorHAnsi" w:cstheme="minorHAnsi"/>
          <w:lang w:val="ro-RO"/>
        </w:rPr>
        <w:t>: Total : 17.606 mii lei</w:t>
      </w:r>
    </w:p>
    <w:p w:rsidR="00195E42" w:rsidRPr="00AF3608" w:rsidRDefault="00195E42" w:rsidP="00B723C0">
      <w:pPr>
        <w:spacing w:before="120"/>
        <w:jc w:val="both"/>
        <w:rPr>
          <w:rFonts w:asciiTheme="minorHAnsi" w:hAnsiTheme="minorHAnsi" w:cstheme="minorHAnsi"/>
          <w:lang w:val="ro-RO"/>
        </w:rPr>
      </w:pPr>
      <w:r w:rsidRPr="00AF3608">
        <w:rPr>
          <w:rFonts w:asciiTheme="minorHAnsi" w:hAnsiTheme="minorHAnsi" w:cstheme="minorHAnsi"/>
          <w:b/>
          <w:lang w:val="ro-RO"/>
        </w:rPr>
        <w:t>Sursă finanțare</w:t>
      </w:r>
      <w:r w:rsidRPr="00AF3608">
        <w:rPr>
          <w:rFonts w:asciiTheme="minorHAnsi" w:hAnsiTheme="minorHAnsi" w:cstheme="minorHAnsi"/>
          <w:lang w:val="ro-RO"/>
        </w:rPr>
        <w:t xml:space="preserve">: Buget de stat </w:t>
      </w:r>
    </w:p>
    <w:p w:rsidR="00195E42" w:rsidRPr="00AF3608" w:rsidRDefault="00195E42" w:rsidP="00B723C0">
      <w:pPr>
        <w:spacing w:before="120"/>
        <w:jc w:val="both"/>
        <w:rPr>
          <w:rFonts w:asciiTheme="minorHAnsi" w:hAnsiTheme="minorHAnsi" w:cstheme="minorHAnsi"/>
          <w:lang w:val="ro-RO"/>
        </w:rPr>
      </w:pPr>
      <w:r w:rsidRPr="00AF3608">
        <w:rPr>
          <w:rFonts w:asciiTheme="minorHAnsi" w:hAnsiTheme="minorHAnsi" w:cstheme="minorHAnsi"/>
          <w:b/>
          <w:lang w:val="ro-RO"/>
        </w:rPr>
        <w:t>Descriere</w:t>
      </w:r>
      <w:r w:rsidRPr="00AF3608">
        <w:rPr>
          <w:rFonts w:asciiTheme="minorHAnsi" w:hAnsiTheme="minorHAnsi" w:cstheme="minorHAnsi"/>
          <w:lang w:val="ro-RO"/>
        </w:rPr>
        <w:t>: Proiectul își propune suplimentarea infrastructurii necesare pentru desfășurarea activităților ce sunt organizate de către Aeroclubul Teritorial Clinceni: cursuri de inițiere în sporturile aviatice (zbor cu motor, acrobații aeriene, planorism, parașutism), pregătirea sportivilor de performanță.</w:t>
      </w:r>
    </w:p>
    <w:p w:rsidR="00195E42" w:rsidRPr="00AF3608" w:rsidRDefault="00195E42" w:rsidP="00B723C0">
      <w:pPr>
        <w:suppressAutoHyphens/>
        <w:spacing w:before="120"/>
        <w:jc w:val="both"/>
        <w:rPr>
          <w:rFonts w:ascii="Calibri" w:hAnsi="Calibri" w:cs="Calibri"/>
          <w:lang w:val="ro-RO"/>
        </w:rPr>
      </w:pPr>
    </w:p>
    <w:p w:rsidR="000B4623" w:rsidRPr="00AF3608" w:rsidRDefault="000B4623" w:rsidP="00B723C0">
      <w:pPr>
        <w:spacing w:before="120"/>
        <w:jc w:val="both"/>
        <w:rPr>
          <w:rFonts w:asciiTheme="minorHAnsi" w:hAnsiTheme="minorHAnsi" w:cstheme="minorHAnsi"/>
          <w:lang w:val="ro-RO"/>
        </w:rPr>
      </w:pPr>
    </w:p>
    <w:p w:rsidR="00A74201" w:rsidRPr="00AF3608" w:rsidRDefault="00A74201" w:rsidP="00B723C0">
      <w:pPr>
        <w:shd w:val="clear" w:color="auto" w:fill="A8D08D" w:themeFill="accent6" w:themeFillTint="99"/>
        <w:spacing w:before="120"/>
        <w:rPr>
          <w:rFonts w:asciiTheme="minorHAnsi" w:hAnsiTheme="minorHAnsi" w:cstheme="minorHAnsi"/>
          <w:b/>
          <w:lang w:val="ro-RO"/>
        </w:rPr>
      </w:pPr>
      <w:r w:rsidRPr="00AF3608">
        <w:rPr>
          <w:rFonts w:asciiTheme="minorHAnsi" w:hAnsiTheme="minorHAnsi" w:cstheme="minorHAnsi"/>
          <w:b/>
          <w:lang w:val="ro-RO"/>
        </w:rPr>
        <w:t xml:space="preserve">Politica în domeniul educaţiei </w:t>
      </w:r>
    </w:p>
    <w:p w:rsidR="0061290E" w:rsidRPr="00AF3608" w:rsidRDefault="0061290E" w:rsidP="00B723C0">
      <w:pPr>
        <w:widowControl w:val="0"/>
        <w:tabs>
          <w:tab w:val="left" w:pos="720"/>
          <w:tab w:val="center" w:pos="6480"/>
        </w:tabs>
        <w:spacing w:before="120"/>
        <w:jc w:val="both"/>
        <w:rPr>
          <w:rFonts w:asciiTheme="minorHAnsi" w:hAnsiTheme="minorHAnsi"/>
          <w:lang w:val="ro-RO"/>
        </w:rPr>
      </w:pPr>
      <w:r w:rsidRPr="00AF3608">
        <w:rPr>
          <w:rFonts w:asciiTheme="minorHAnsi" w:hAnsiTheme="minorHAnsi"/>
          <w:lang w:val="ro-RO"/>
        </w:rPr>
        <w:t xml:space="preserve">Proiectul Administrației Prezidențiale </w:t>
      </w:r>
      <w:r w:rsidRPr="00AF3608">
        <w:rPr>
          <w:rFonts w:asciiTheme="minorHAnsi" w:hAnsiTheme="minorHAnsi"/>
          <w:i/>
          <w:lang w:val="ro-RO"/>
        </w:rPr>
        <w:t>România Educată</w:t>
      </w:r>
      <w:r w:rsidRPr="00AF3608">
        <w:rPr>
          <w:rFonts w:asciiTheme="minorHAnsi" w:hAnsiTheme="minorHAnsi"/>
          <w:lang w:val="ro-RO"/>
        </w:rPr>
        <w:t xml:space="preserve"> și Programul de Guvernare 2020-2024 oferă proiecțiile perioadei următoare în domeniul educației și formării profesionale, răspunzând provocărilor viitorului pentru societatea prezentului. Este nevoie să construim noi modele de organizare a sistemului educațional, astfel încât acesta să fie capabil să răspundă schimbărilor. </w:t>
      </w:r>
    </w:p>
    <w:p w:rsidR="0061290E" w:rsidRPr="00AF3608" w:rsidRDefault="0061290E" w:rsidP="00B723C0">
      <w:pPr>
        <w:widowControl w:val="0"/>
        <w:tabs>
          <w:tab w:val="left" w:pos="720"/>
          <w:tab w:val="center" w:pos="6480"/>
        </w:tabs>
        <w:spacing w:before="120"/>
        <w:jc w:val="both"/>
        <w:rPr>
          <w:rFonts w:asciiTheme="minorHAnsi" w:hAnsiTheme="minorHAnsi"/>
          <w:lang w:val="ro-RO"/>
        </w:rPr>
      </w:pPr>
      <w:r w:rsidRPr="00AF3608">
        <w:rPr>
          <w:rFonts w:asciiTheme="minorHAnsi" w:hAnsiTheme="minorHAnsi"/>
          <w:lang w:val="ro-RO"/>
        </w:rPr>
        <w:t xml:space="preserve">De asemenea, principalele orientări strategice în domeniu sunt convergente cu documente europene programatice: </w:t>
      </w:r>
      <w:r w:rsidRPr="00AF3608">
        <w:rPr>
          <w:rFonts w:asciiTheme="minorHAnsi" w:eastAsia="Arial Unicode MS" w:hAnsiTheme="minorHAnsi"/>
          <w:lang w:val="ro-RO"/>
        </w:rPr>
        <w:t>European Green Deal, The 2030 Agenda for Sustainable Development, Recovery Plan for Europe</w:t>
      </w:r>
      <w:r w:rsidRPr="00AF3608">
        <w:rPr>
          <w:rFonts w:asciiTheme="minorHAnsi" w:hAnsiTheme="minorHAnsi"/>
          <w:lang w:val="ro-RO"/>
        </w:rPr>
        <w:t>, European Pillar of Social Rights, Towards for Sustainable Europe 2030, The EU’s approach to minding the education, research and innovation gap ș.a.</w:t>
      </w:r>
    </w:p>
    <w:p w:rsidR="0061290E" w:rsidRPr="00AF3608" w:rsidRDefault="0061290E" w:rsidP="00B723C0">
      <w:pPr>
        <w:widowControl w:val="0"/>
        <w:tabs>
          <w:tab w:val="left" w:pos="720"/>
          <w:tab w:val="center" w:pos="6480"/>
        </w:tabs>
        <w:jc w:val="both"/>
        <w:rPr>
          <w:rFonts w:asciiTheme="minorHAnsi" w:eastAsia="Arial Unicode MS" w:hAnsiTheme="minorHAnsi"/>
          <w:lang w:val="ro-RO"/>
        </w:rPr>
      </w:pPr>
    </w:p>
    <w:p w:rsidR="0061290E" w:rsidRPr="00AF3608" w:rsidRDefault="0061290E" w:rsidP="00B723C0">
      <w:pPr>
        <w:widowControl w:val="0"/>
        <w:tabs>
          <w:tab w:val="left" w:pos="360"/>
        </w:tabs>
        <w:suppressAutoHyphens/>
        <w:spacing w:before="120"/>
        <w:rPr>
          <w:rFonts w:asciiTheme="minorHAnsi" w:eastAsia="SimSun" w:hAnsiTheme="minorHAnsi"/>
          <w:b/>
          <w:color w:val="538135" w:themeColor="accent6" w:themeShade="BF"/>
          <w:kern w:val="1"/>
          <w:lang w:val="ro-RO" w:eastAsia="zh-CN" w:bidi="hi-IN"/>
        </w:rPr>
      </w:pPr>
      <w:r w:rsidRPr="00AF3608">
        <w:rPr>
          <w:rFonts w:asciiTheme="minorHAnsi" w:eastAsia="SimSun" w:hAnsiTheme="minorHAnsi"/>
          <w:b/>
          <w:color w:val="538135" w:themeColor="accent6" w:themeShade="BF"/>
          <w:kern w:val="1"/>
          <w:lang w:val="ro-RO" w:eastAsia="zh-CN" w:bidi="hi-IN"/>
        </w:rPr>
        <w:t>Prioritățile Ministerului Educației și Cercetării, pe termen scurt, sunt:</w:t>
      </w:r>
    </w:p>
    <w:p w:rsidR="0061290E" w:rsidRPr="00AF3608" w:rsidRDefault="0061290E" w:rsidP="00120AA6">
      <w:pPr>
        <w:pStyle w:val="ListParagraph"/>
        <w:widowControl w:val="0"/>
        <w:numPr>
          <w:ilvl w:val="0"/>
          <w:numId w:val="29"/>
        </w:numPr>
        <w:tabs>
          <w:tab w:val="left" w:pos="360"/>
        </w:tabs>
        <w:suppressAutoHyphens/>
        <w:spacing w:before="120" w:line="240" w:lineRule="auto"/>
        <w:contextualSpacing w:val="0"/>
        <w:jc w:val="both"/>
        <w:rPr>
          <w:rFonts w:asciiTheme="minorHAnsi" w:eastAsia="SimSun" w:hAnsiTheme="minorHAnsi"/>
          <w:b/>
          <w:color w:val="538135" w:themeColor="accent6" w:themeShade="BF"/>
          <w:kern w:val="1"/>
          <w:szCs w:val="24"/>
          <w:lang w:eastAsia="zh-CN" w:bidi="hi-IN"/>
        </w:rPr>
      </w:pPr>
      <w:r w:rsidRPr="00AF3608">
        <w:rPr>
          <w:rFonts w:asciiTheme="minorHAnsi" w:eastAsia="SimSun" w:hAnsiTheme="minorHAnsi"/>
          <w:b/>
          <w:color w:val="538135" w:themeColor="accent6" w:themeShade="BF"/>
          <w:kern w:val="1"/>
          <w:szCs w:val="24"/>
          <w:lang w:eastAsia="zh-CN" w:bidi="hi-IN"/>
        </w:rPr>
        <w:t>Asigurarea condițiilor de desfășurare a cursurilor scolare și universitare în condiții de siguranță sanitară</w:t>
      </w:r>
    </w:p>
    <w:p w:rsidR="0061290E" w:rsidRPr="00AF3608" w:rsidRDefault="0061290E" w:rsidP="00120AA6">
      <w:pPr>
        <w:pStyle w:val="ListParagraph"/>
        <w:widowControl w:val="0"/>
        <w:numPr>
          <w:ilvl w:val="0"/>
          <w:numId w:val="29"/>
        </w:numPr>
        <w:tabs>
          <w:tab w:val="left" w:pos="360"/>
        </w:tabs>
        <w:suppressAutoHyphens/>
        <w:spacing w:before="120" w:line="240" w:lineRule="auto"/>
        <w:contextualSpacing w:val="0"/>
        <w:jc w:val="both"/>
        <w:rPr>
          <w:rFonts w:asciiTheme="minorHAnsi" w:eastAsia="SimSun" w:hAnsiTheme="minorHAnsi"/>
          <w:b/>
          <w:color w:val="538135" w:themeColor="accent6" w:themeShade="BF"/>
          <w:kern w:val="1"/>
          <w:szCs w:val="24"/>
          <w:lang w:eastAsia="zh-CN" w:bidi="hi-IN"/>
        </w:rPr>
      </w:pPr>
      <w:r w:rsidRPr="00AF3608">
        <w:rPr>
          <w:rFonts w:asciiTheme="minorHAnsi" w:eastAsia="SimSun" w:hAnsiTheme="minorHAnsi"/>
          <w:b/>
          <w:color w:val="538135" w:themeColor="accent6" w:themeShade="BF"/>
          <w:kern w:val="1"/>
          <w:szCs w:val="24"/>
          <w:lang w:eastAsia="zh-CN" w:bidi="hi-IN"/>
        </w:rPr>
        <w:t>Organizarea învățământului la distanță sau hibrid în perioada pandemiei</w:t>
      </w:r>
    </w:p>
    <w:p w:rsidR="0061290E" w:rsidRPr="00AF3608" w:rsidRDefault="0061290E" w:rsidP="00120AA6">
      <w:pPr>
        <w:pStyle w:val="ListParagraph"/>
        <w:widowControl w:val="0"/>
        <w:numPr>
          <w:ilvl w:val="0"/>
          <w:numId w:val="29"/>
        </w:numPr>
        <w:tabs>
          <w:tab w:val="left" w:pos="360"/>
        </w:tabs>
        <w:suppressAutoHyphens/>
        <w:spacing w:before="120" w:line="240" w:lineRule="auto"/>
        <w:contextualSpacing w:val="0"/>
        <w:jc w:val="both"/>
        <w:rPr>
          <w:rFonts w:asciiTheme="minorHAnsi" w:eastAsia="SimSun" w:hAnsiTheme="minorHAnsi"/>
          <w:b/>
          <w:color w:val="538135" w:themeColor="accent6" w:themeShade="BF"/>
          <w:kern w:val="1"/>
          <w:szCs w:val="24"/>
          <w:lang w:eastAsia="zh-CN" w:bidi="hi-IN"/>
        </w:rPr>
      </w:pPr>
      <w:r w:rsidRPr="00AF3608">
        <w:rPr>
          <w:rFonts w:asciiTheme="minorHAnsi" w:eastAsia="SimSun" w:hAnsiTheme="minorHAnsi"/>
          <w:b/>
          <w:color w:val="538135" w:themeColor="accent6" w:themeShade="BF"/>
          <w:kern w:val="1"/>
          <w:szCs w:val="24"/>
          <w:lang w:eastAsia="zh-CN" w:bidi="hi-IN"/>
        </w:rPr>
        <w:t>Dotarea cu echipamente adecvate desfășurării cursurilor on-line pentru copii, elevi, studenți și cadre didactice.</w:t>
      </w:r>
    </w:p>
    <w:p w:rsidR="0061290E" w:rsidRPr="00AF3608" w:rsidRDefault="0061290E" w:rsidP="00B723C0">
      <w:pPr>
        <w:widowControl w:val="0"/>
        <w:tabs>
          <w:tab w:val="left" w:pos="720"/>
          <w:tab w:val="center" w:pos="6480"/>
        </w:tabs>
        <w:jc w:val="both"/>
        <w:rPr>
          <w:rFonts w:asciiTheme="minorHAnsi" w:eastAsia="Arial Unicode MS" w:hAnsiTheme="minorHAnsi"/>
          <w:lang w:val="ro-RO"/>
        </w:rPr>
      </w:pPr>
    </w:p>
    <w:tbl>
      <w:tblPr>
        <w:tblW w:w="10091" w:type="dxa"/>
        <w:jc w:val="center"/>
        <w:tblLayout w:type="fixed"/>
        <w:tblCellMar>
          <w:left w:w="115" w:type="dxa"/>
          <w:right w:w="115" w:type="dxa"/>
        </w:tblCellMar>
        <w:tblLook w:val="0000" w:firstRow="0" w:lastRow="0" w:firstColumn="0" w:lastColumn="0" w:noHBand="0" w:noVBand="0"/>
      </w:tblPr>
      <w:tblGrid>
        <w:gridCol w:w="2553"/>
        <w:gridCol w:w="7370"/>
        <w:gridCol w:w="168"/>
      </w:tblGrid>
      <w:tr w:rsidR="0061290E" w:rsidRPr="00AF3608" w:rsidTr="002715C2">
        <w:trPr>
          <w:gridAfter w:val="1"/>
          <w:wAfter w:w="168" w:type="dxa"/>
          <w:trHeight w:val="258"/>
          <w:tblHeader/>
          <w:jc w:val="center"/>
        </w:trPr>
        <w:tc>
          <w:tcPr>
            <w:tcW w:w="2553" w:type="dxa"/>
            <w:shd w:val="clear" w:color="auto" w:fill="E2EFD9" w:themeFill="accent6" w:themeFillTint="33"/>
            <w:vAlign w:val="center"/>
          </w:tcPr>
          <w:p w:rsidR="0061290E" w:rsidRPr="00AF3608" w:rsidRDefault="0061290E" w:rsidP="00B723C0">
            <w:pPr>
              <w:widowControl w:val="0"/>
              <w:tabs>
                <w:tab w:val="left" w:pos="360"/>
              </w:tabs>
              <w:suppressAutoHyphens/>
              <w:spacing w:line="276" w:lineRule="auto"/>
              <w:rPr>
                <w:rFonts w:asciiTheme="minorHAnsi" w:eastAsia="Arial Narrow" w:hAnsiTheme="minorHAnsi"/>
                <w:b/>
                <w:kern w:val="1"/>
                <w:lang w:val="ro-RO" w:eastAsia="zh-CN" w:bidi="hi-IN"/>
              </w:rPr>
            </w:pPr>
            <w:r w:rsidRPr="00AF3608">
              <w:rPr>
                <w:rFonts w:asciiTheme="minorHAnsi" w:eastAsia="SimSun" w:hAnsiTheme="minorHAnsi"/>
                <w:b/>
                <w:kern w:val="1"/>
                <w:lang w:val="ro-RO" w:eastAsia="zh-CN" w:bidi="hi-IN"/>
              </w:rPr>
              <w:t>Obiective</w:t>
            </w:r>
          </w:p>
        </w:tc>
        <w:tc>
          <w:tcPr>
            <w:tcW w:w="7370" w:type="dxa"/>
            <w:shd w:val="clear" w:color="auto" w:fill="E2EFD9" w:themeFill="accent6" w:themeFillTint="33"/>
            <w:vAlign w:val="center"/>
          </w:tcPr>
          <w:p w:rsidR="0061290E" w:rsidRPr="00AF3608" w:rsidRDefault="0061290E" w:rsidP="00B723C0">
            <w:pPr>
              <w:widowControl w:val="0"/>
              <w:suppressAutoHyphens/>
              <w:spacing w:line="276" w:lineRule="auto"/>
              <w:rPr>
                <w:rFonts w:asciiTheme="minorHAnsi" w:eastAsia="SimSun" w:hAnsiTheme="minorHAnsi"/>
                <w:kern w:val="1"/>
                <w:lang w:val="ro-RO" w:eastAsia="zh-CN" w:bidi="hi-IN"/>
              </w:rPr>
            </w:pPr>
            <w:r w:rsidRPr="00AF3608">
              <w:rPr>
                <w:rFonts w:asciiTheme="minorHAnsi" w:eastAsia="SimSun" w:hAnsiTheme="minorHAnsi"/>
                <w:b/>
                <w:kern w:val="1"/>
                <w:lang w:val="ro-RO" w:eastAsia="zh-CN" w:bidi="hi-IN"/>
              </w:rPr>
              <w:t>Direcţii de acţiune, programe, proiecte</w:t>
            </w:r>
          </w:p>
        </w:tc>
      </w:tr>
      <w:tr w:rsidR="0061290E" w:rsidRPr="00AF3608" w:rsidTr="005C01EF">
        <w:trPr>
          <w:gridAfter w:val="1"/>
          <w:wAfter w:w="168" w:type="dxa"/>
          <w:trHeight w:val="416"/>
          <w:jc w:val="center"/>
        </w:trPr>
        <w:tc>
          <w:tcPr>
            <w:tcW w:w="9923" w:type="dxa"/>
            <w:gridSpan w:val="2"/>
            <w:shd w:val="clear" w:color="auto" w:fill="auto"/>
            <w:vAlign w:val="center"/>
          </w:tcPr>
          <w:p w:rsidR="0061290E" w:rsidRPr="00AF3608" w:rsidRDefault="0061290E" w:rsidP="00B723C0">
            <w:pPr>
              <w:widowControl w:val="0"/>
              <w:tabs>
                <w:tab w:val="left" w:pos="360"/>
              </w:tabs>
              <w:suppressAutoHyphens/>
              <w:spacing w:line="276" w:lineRule="auto"/>
              <w:rPr>
                <w:rFonts w:asciiTheme="minorHAnsi" w:eastAsia="SimSun" w:hAnsiTheme="minorHAnsi"/>
                <w:kern w:val="1"/>
                <w:lang w:val="ro-RO" w:eastAsia="zh-CN" w:bidi="hi-IN"/>
              </w:rPr>
            </w:pPr>
            <w:r w:rsidRPr="00AF3608">
              <w:rPr>
                <w:rFonts w:asciiTheme="minorHAnsi" w:eastAsia="SimSun" w:hAnsiTheme="minorHAnsi"/>
                <w:b/>
                <w:color w:val="538135" w:themeColor="accent6" w:themeShade="BF"/>
                <w:kern w:val="1"/>
                <w:lang w:val="ro-RO" w:eastAsia="zh-CN" w:bidi="hi-IN"/>
              </w:rPr>
              <w:t>I. Învăţământ preuniversitar</w:t>
            </w:r>
          </w:p>
        </w:tc>
      </w:tr>
      <w:tr w:rsidR="0061290E" w:rsidRPr="00AF3608" w:rsidTr="005C01EF">
        <w:trPr>
          <w:gridAfter w:val="1"/>
          <w:wAfter w:w="168" w:type="dxa"/>
          <w:trHeight w:val="200"/>
          <w:jc w:val="center"/>
        </w:trPr>
        <w:tc>
          <w:tcPr>
            <w:tcW w:w="2553" w:type="dxa"/>
            <w:shd w:val="clear" w:color="auto" w:fill="auto"/>
            <w:vAlign w:val="center"/>
          </w:tcPr>
          <w:p w:rsidR="0061290E" w:rsidRPr="00AF3608" w:rsidRDefault="00854361" w:rsidP="00B723C0">
            <w:pPr>
              <w:widowControl w:val="0"/>
              <w:suppressAutoHyphens/>
              <w:snapToGrid w:val="0"/>
              <w:spacing w:after="200"/>
              <w:jc w:val="center"/>
              <w:rPr>
                <w:rFonts w:asciiTheme="minorHAnsi" w:eastAsia="SimSun" w:hAnsiTheme="minorHAnsi"/>
                <w:i/>
                <w:color w:val="538135" w:themeColor="accent6" w:themeShade="BF"/>
                <w:kern w:val="1"/>
                <w:lang w:val="ro-RO" w:eastAsia="zh-CN" w:bidi="hi-IN"/>
              </w:rPr>
            </w:pPr>
            <w:r w:rsidRPr="00AF3608">
              <w:rPr>
                <w:rFonts w:asciiTheme="minorHAnsi" w:hAnsiTheme="minorHAnsi"/>
                <w:color w:val="538135" w:themeColor="accent6" w:themeShade="BF"/>
                <w:lang w:val="ro-RO"/>
              </w:rPr>
              <w:t xml:space="preserve">1. </w:t>
            </w:r>
            <w:r w:rsidR="0061290E" w:rsidRPr="00AF3608">
              <w:rPr>
                <w:rFonts w:asciiTheme="minorHAnsi" w:hAnsiTheme="minorHAnsi"/>
                <w:color w:val="538135" w:themeColor="accent6" w:themeShade="BF"/>
                <w:lang w:val="ro-RO"/>
              </w:rPr>
              <w:t>Asigurarea echității în educație</w:t>
            </w:r>
          </w:p>
        </w:tc>
        <w:tc>
          <w:tcPr>
            <w:tcW w:w="7370" w:type="dxa"/>
            <w:shd w:val="clear" w:color="auto" w:fill="auto"/>
          </w:tcPr>
          <w:p w:rsidR="0061290E" w:rsidRPr="00AF3608" w:rsidRDefault="0061290E" w:rsidP="00120AA6">
            <w:pPr>
              <w:widowControl w:val="0"/>
              <w:numPr>
                <w:ilvl w:val="0"/>
                <w:numId w:val="26"/>
              </w:numPr>
              <w:suppressAutoHyphens/>
              <w:ind w:left="352" w:hanging="425"/>
              <w:jc w:val="both"/>
              <w:rPr>
                <w:rFonts w:asciiTheme="minorHAnsi" w:eastAsia="Calibri" w:hAnsiTheme="minorHAnsi"/>
                <w:lang w:val="ro-RO"/>
              </w:rPr>
            </w:pPr>
            <w:r w:rsidRPr="00AF3608">
              <w:rPr>
                <w:rFonts w:asciiTheme="minorHAnsi" w:eastAsia="Calibri" w:hAnsiTheme="minorHAnsi"/>
                <w:lang w:val="ro-RO"/>
              </w:rPr>
              <w:t xml:space="preserve">Asigurarea unei educații incluzive și finanțarea programelor de facilitare a integrării copiilor cu cerințe educaționale speciale </w:t>
            </w:r>
          </w:p>
          <w:p w:rsidR="0061290E" w:rsidRPr="00AF3608" w:rsidRDefault="0061290E" w:rsidP="00120AA6">
            <w:pPr>
              <w:widowControl w:val="0"/>
              <w:numPr>
                <w:ilvl w:val="0"/>
                <w:numId w:val="26"/>
              </w:numPr>
              <w:suppressAutoHyphens/>
              <w:ind w:left="352" w:hanging="425"/>
              <w:jc w:val="both"/>
              <w:rPr>
                <w:rFonts w:asciiTheme="minorHAnsi" w:eastAsia="Calibri" w:hAnsiTheme="minorHAnsi"/>
                <w:lang w:val="ro-RO"/>
              </w:rPr>
            </w:pPr>
            <w:r w:rsidRPr="00AF3608">
              <w:rPr>
                <w:rFonts w:asciiTheme="minorHAnsi" w:eastAsia="Calibri" w:hAnsiTheme="minorHAnsi"/>
                <w:lang w:val="ro-RO"/>
              </w:rPr>
              <w:t xml:space="preserve">Continuarea programelor naționale adresate copiilor cu risc ridicat </w:t>
            </w:r>
          </w:p>
          <w:p w:rsidR="0061290E" w:rsidRPr="00AF3608" w:rsidRDefault="0061290E" w:rsidP="00120AA6">
            <w:pPr>
              <w:widowControl w:val="0"/>
              <w:numPr>
                <w:ilvl w:val="0"/>
                <w:numId w:val="26"/>
              </w:numPr>
              <w:suppressAutoHyphens/>
              <w:ind w:left="352" w:hanging="425"/>
              <w:jc w:val="both"/>
              <w:rPr>
                <w:rFonts w:asciiTheme="minorHAnsi" w:eastAsia="Calibri" w:hAnsiTheme="minorHAnsi"/>
                <w:lang w:val="ro-RO"/>
              </w:rPr>
            </w:pPr>
            <w:r w:rsidRPr="00AF3608">
              <w:rPr>
                <w:rFonts w:asciiTheme="minorHAnsi" w:eastAsia="Calibri" w:hAnsiTheme="minorHAnsi"/>
                <w:lang w:val="ro-RO"/>
              </w:rPr>
              <w:t xml:space="preserve">Generalizarea programelor „Școală după școală” și extinderea programelor de tip „A doua șansă în unitățile de învățământ de stat” </w:t>
            </w:r>
          </w:p>
          <w:p w:rsidR="0061290E" w:rsidRPr="00AF3608" w:rsidRDefault="0061290E" w:rsidP="00120AA6">
            <w:pPr>
              <w:widowControl w:val="0"/>
              <w:numPr>
                <w:ilvl w:val="0"/>
                <w:numId w:val="26"/>
              </w:numPr>
              <w:suppressAutoHyphens/>
              <w:ind w:left="352" w:hanging="425"/>
              <w:jc w:val="both"/>
              <w:rPr>
                <w:rFonts w:asciiTheme="minorHAnsi" w:eastAsia="Calibri" w:hAnsiTheme="minorHAnsi"/>
                <w:lang w:val="ro-RO"/>
              </w:rPr>
            </w:pPr>
            <w:r w:rsidRPr="00AF3608">
              <w:rPr>
                <w:rFonts w:asciiTheme="minorHAnsi" w:eastAsia="Calibri" w:hAnsiTheme="minorHAnsi"/>
                <w:lang w:val="ro-RO"/>
              </w:rPr>
              <w:t>Asigurarea transportului elevilor și a burselor școlare</w:t>
            </w:r>
          </w:p>
          <w:p w:rsidR="0061290E" w:rsidRPr="00AF3608" w:rsidRDefault="0061290E" w:rsidP="00120AA6">
            <w:pPr>
              <w:widowControl w:val="0"/>
              <w:numPr>
                <w:ilvl w:val="0"/>
                <w:numId w:val="26"/>
              </w:numPr>
              <w:suppressAutoHyphens/>
              <w:ind w:left="352" w:hanging="425"/>
              <w:jc w:val="both"/>
              <w:rPr>
                <w:rFonts w:asciiTheme="minorHAnsi" w:eastAsia="Calibri" w:hAnsiTheme="minorHAnsi"/>
                <w:lang w:val="ro-RO"/>
              </w:rPr>
            </w:pPr>
            <w:r w:rsidRPr="00AF3608">
              <w:rPr>
                <w:rFonts w:asciiTheme="minorHAnsi" w:eastAsia="Calibri" w:hAnsiTheme="minorHAnsi"/>
                <w:lang w:val="ro-RO"/>
              </w:rPr>
              <w:lastRenderedPageBreak/>
              <w:t>Oferirea serviciilor de consiliere și orientare pentru toți elevii</w:t>
            </w:r>
          </w:p>
          <w:p w:rsidR="0061290E" w:rsidRPr="00AF3608" w:rsidRDefault="0061290E" w:rsidP="00120AA6">
            <w:pPr>
              <w:widowControl w:val="0"/>
              <w:numPr>
                <w:ilvl w:val="0"/>
                <w:numId w:val="26"/>
              </w:numPr>
              <w:suppressAutoHyphens/>
              <w:ind w:left="352" w:hanging="425"/>
              <w:jc w:val="both"/>
              <w:rPr>
                <w:rFonts w:asciiTheme="minorHAnsi" w:eastAsia="Calibri" w:hAnsiTheme="minorHAnsi"/>
                <w:lang w:val="ro-RO"/>
              </w:rPr>
            </w:pPr>
            <w:r w:rsidRPr="00AF3608">
              <w:rPr>
                <w:rFonts w:asciiTheme="minorHAnsi" w:eastAsia="Calibri" w:hAnsiTheme="minorHAnsi"/>
                <w:lang w:val="ro-RO"/>
              </w:rPr>
              <w:t>Consolidarea cadrului legal și desfășurarea de acțiuni pentru prevenirea și combaterea discriminării, segregării și a violenței în școli</w:t>
            </w:r>
          </w:p>
          <w:p w:rsidR="0061290E" w:rsidRPr="00AF3608" w:rsidRDefault="0061290E" w:rsidP="00120AA6">
            <w:pPr>
              <w:widowControl w:val="0"/>
              <w:numPr>
                <w:ilvl w:val="0"/>
                <w:numId w:val="26"/>
              </w:numPr>
              <w:suppressAutoHyphens/>
              <w:ind w:left="352" w:hanging="425"/>
              <w:jc w:val="both"/>
              <w:rPr>
                <w:rFonts w:asciiTheme="minorHAnsi" w:eastAsia="Calibri" w:hAnsiTheme="minorHAnsi"/>
                <w:lang w:val="ro-RO"/>
              </w:rPr>
            </w:pPr>
            <w:r w:rsidRPr="00AF3608">
              <w:rPr>
                <w:rFonts w:asciiTheme="minorHAnsi" w:eastAsia="Calibri" w:hAnsiTheme="minorHAnsi"/>
                <w:lang w:val="ro-RO"/>
              </w:rPr>
              <w:t xml:space="preserve">Implementarea măsurilor stabilite privind incluziunea rromilor  </w:t>
            </w:r>
          </w:p>
          <w:p w:rsidR="0061290E" w:rsidRPr="00AF3608" w:rsidRDefault="0061290E" w:rsidP="00120AA6">
            <w:pPr>
              <w:widowControl w:val="0"/>
              <w:numPr>
                <w:ilvl w:val="0"/>
                <w:numId w:val="26"/>
              </w:numPr>
              <w:suppressAutoHyphens/>
              <w:ind w:left="352" w:hanging="425"/>
              <w:jc w:val="both"/>
              <w:rPr>
                <w:rFonts w:asciiTheme="minorHAnsi" w:eastAsia="Calibri" w:hAnsiTheme="minorHAnsi"/>
                <w:lang w:val="ro-RO"/>
              </w:rPr>
            </w:pPr>
            <w:r w:rsidRPr="00AF3608">
              <w:rPr>
                <w:rFonts w:asciiTheme="minorHAnsi" w:eastAsia="Calibri" w:hAnsiTheme="minorHAnsi"/>
                <w:lang w:val="ro-RO"/>
              </w:rPr>
              <w:t>Implementarea de proiecte și programe finanțate destinate reducerii ratei părăsirii timpurii a școlii precum și a scăderii decalajelor rural - urban</w:t>
            </w:r>
          </w:p>
          <w:p w:rsidR="0061290E" w:rsidRPr="00AF3608" w:rsidRDefault="0061290E" w:rsidP="00120AA6">
            <w:pPr>
              <w:widowControl w:val="0"/>
              <w:numPr>
                <w:ilvl w:val="0"/>
                <w:numId w:val="26"/>
              </w:numPr>
              <w:suppressAutoHyphens/>
              <w:ind w:left="352" w:hanging="425"/>
              <w:jc w:val="both"/>
              <w:rPr>
                <w:rFonts w:asciiTheme="minorHAnsi" w:eastAsia="Calibri" w:hAnsiTheme="minorHAnsi"/>
                <w:lang w:val="ro-RO"/>
              </w:rPr>
            </w:pPr>
            <w:r w:rsidRPr="00AF3608">
              <w:rPr>
                <w:rFonts w:asciiTheme="minorHAnsi" w:eastAsia="Calibri" w:hAnsiTheme="minorHAnsi"/>
                <w:lang w:val="ro-RO"/>
              </w:rPr>
              <w:t>Implementarea unor programe de conștientizare și sprijin pentru părinți</w:t>
            </w:r>
          </w:p>
          <w:p w:rsidR="0061290E" w:rsidRPr="00AF3608" w:rsidRDefault="0061290E" w:rsidP="00120AA6">
            <w:pPr>
              <w:widowControl w:val="0"/>
              <w:numPr>
                <w:ilvl w:val="0"/>
                <w:numId w:val="26"/>
              </w:numPr>
              <w:suppressAutoHyphens/>
              <w:ind w:left="352" w:hanging="425"/>
              <w:jc w:val="both"/>
              <w:rPr>
                <w:rFonts w:asciiTheme="minorHAnsi" w:eastAsia="Calibri" w:hAnsiTheme="minorHAnsi"/>
                <w:lang w:val="ro-RO"/>
              </w:rPr>
            </w:pPr>
            <w:r w:rsidRPr="00AF3608">
              <w:rPr>
                <w:rFonts w:asciiTheme="minorHAnsi" w:eastAsia="Calibri" w:hAnsiTheme="minorHAnsi"/>
                <w:lang w:val="ro-RO"/>
              </w:rPr>
              <w:t xml:space="preserve">Dezvoltarea unui sistem de identificare a ariilor de performanță ale elevilor și de sprijinire a celor cu abilități și talente deosebite </w:t>
            </w:r>
          </w:p>
          <w:p w:rsidR="0061290E" w:rsidRPr="00AF3608" w:rsidRDefault="0061290E" w:rsidP="00120AA6">
            <w:pPr>
              <w:widowControl w:val="0"/>
              <w:numPr>
                <w:ilvl w:val="0"/>
                <w:numId w:val="26"/>
              </w:numPr>
              <w:suppressAutoHyphens/>
              <w:ind w:left="352" w:hanging="425"/>
              <w:jc w:val="both"/>
              <w:rPr>
                <w:rFonts w:asciiTheme="minorHAnsi" w:eastAsia="Calibri" w:hAnsiTheme="minorHAnsi"/>
                <w:lang w:val="ro-RO"/>
              </w:rPr>
            </w:pPr>
            <w:r w:rsidRPr="00AF3608">
              <w:rPr>
                <w:rFonts w:asciiTheme="minorHAnsi" w:eastAsia="Calibri" w:hAnsiTheme="minorHAnsi"/>
                <w:lang w:val="ro-RO"/>
              </w:rPr>
              <w:t>Identificarea și susținerea cadrelor didactice care activează în școli cu ponderi semnificative de copii proveniți din medii vulnerabile.</w:t>
            </w:r>
          </w:p>
          <w:p w:rsidR="0061290E" w:rsidRPr="00AF3608" w:rsidRDefault="0061290E" w:rsidP="00B723C0">
            <w:pPr>
              <w:widowControl w:val="0"/>
              <w:tabs>
                <w:tab w:val="left" w:pos="851"/>
              </w:tabs>
              <w:suppressAutoHyphens/>
              <w:spacing w:line="276" w:lineRule="auto"/>
              <w:ind w:left="360"/>
              <w:jc w:val="both"/>
              <w:rPr>
                <w:rFonts w:asciiTheme="minorHAnsi" w:eastAsia="Calibri" w:hAnsiTheme="minorHAnsi"/>
                <w:lang w:val="ro-RO"/>
              </w:rPr>
            </w:pPr>
          </w:p>
        </w:tc>
      </w:tr>
      <w:tr w:rsidR="0061290E" w:rsidRPr="00AF3608" w:rsidTr="005C01EF">
        <w:trPr>
          <w:gridAfter w:val="1"/>
          <w:wAfter w:w="168" w:type="dxa"/>
          <w:trHeight w:val="107"/>
          <w:jc w:val="center"/>
        </w:trPr>
        <w:tc>
          <w:tcPr>
            <w:tcW w:w="2553" w:type="dxa"/>
            <w:shd w:val="clear" w:color="auto" w:fill="auto"/>
            <w:vAlign w:val="center"/>
          </w:tcPr>
          <w:p w:rsidR="0061290E" w:rsidRPr="00AF3608" w:rsidRDefault="0061290E" w:rsidP="00B723C0">
            <w:pPr>
              <w:widowControl w:val="0"/>
              <w:suppressAutoHyphens/>
              <w:spacing w:line="276" w:lineRule="auto"/>
              <w:rPr>
                <w:rFonts w:asciiTheme="minorHAnsi" w:eastAsia="Calibri" w:hAnsiTheme="minorHAnsi"/>
                <w:color w:val="538135" w:themeColor="accent6" w:themeShade="BF"/>
                <w:lang w:val="ro-RO"/>
              </w:rPr>
            </w:pPr>
          </w:p>
          <w:p w:rsidR="0061290E" w:rsidRPr="00AF3608" w:rsidRDefault="0061290E" w:rsidP="00B723C0">
            <w:pPr>
              <w:widowControl w:val="0"/>
              <w:suppressAutoHyphens/>
              <w:spacing w:line="276" w:lineRule="auto"/>
              <w:rPr>
                <w:rFonts w:asciiTheme="minorHAnsi" w:eastAsia="Calibri" w:hAnsiTheme="minorHAnsi"/>
                <w:color w:val="538135" w:themeColor="accent6" w:themeShade="BF"/>
                <w:lang w:val="ro-RO"/>
              </w:rPr>
            </w:pPr>
          </w:p>
          <w:p w:rsidR="0061290E" w:rsidRPr="00AF3608" w:rsidRDefault="0061290E" w:rsidP="00B723C0">
            <w:pPr>
              <w:widowControl w:val="0"/>
              <w:suppressAutoHyphens/>
              <w:spacing w:line="276" w:lineRule="auto"/>
              <w:jc w:val="center"/>
              <w:rPr>
                <w:rFonts w:asciiTheme="minorHAnsi" w:eastAsia="SimSun" w:hAnsiTheme="minorHAnsi"/>
                <w:color w:val="538135" w:themeColor="accent6" w:themeShade="BF"/>
                <w:kern w:val="1"/>
                <w:lang w:val="ro-RO" w:eastAsia="zh-CN" w:bidi="hi-IN"/>
              </w:rPr>
            </w:pPr>
            <w:r w:rsidRPr="00AF3608">
              <w:rPr>
                <w:rFonts w:asciiTheme="minorHAnsi" w:eastAsia="Calibri" w:hAnsiTheme="minorHAnsi"/>
                <w:color w:val="538135" w:themeColor="accent6" w:themeShade="BF"/>
                <w:lang w:val="ro-RO"/>
              </w:rPr>
              <w:t>2. Susținerea carierei didactice</w:t>
            </w:r>
          </w:p>
        </w:tc>
        <w:tc>
          <w:tcPr>
            <w:tcW w:w="7370" w:type="dxa"/>
            <w:shd w:val="clear" w:color="auto" w:fill="auto"/>
          </w:tcPr>
          <w:p w:rsidR="0061290E" w:rsidRPr="00AF3608" w:rsidRDefault="0061290E" w:rsidP="00120AA6">
            <w:pPr>
              <w:widowControl w:val="0"/>
              <w:numPr>
                <w:ilvl w:val="0"/>
                <w:numId w:val="26"/>
              </w:numPr>
              <w:suppressAutoHyphens/>
              <w:ind w:left="352" w:hanging="425"/>
              <w:jc w:val="both"/>
              <w:rPr>
                <w:rFonts w:asciiTheme="minorHAnsi" w:eastAsia="Calibri" w:hAnsiTheme="minorHAnsi"/>
                <w:lang w:val="ro-RO"/>
              </w:rPr>
            </w:pPr>
            <w:r w:rsidRPr="00AF3608">
              <w:rPr>
                <w:rFonts w:asciiTheme="minorHAnsi" w:eastAsia="Calibri" w:hAnsiTheme="minorHAnsi"/>
                <w:lang w:val="ro-RO"/>
              </w:rPr>
              <w:t>Regândirea sistemului de formare inițială, valorificarea liceelor pedagogice în cariera didactică și extinderea masteratului didactic</w:t>
            </w:r>
          </w:p>
          <w:p w:rsidR="0061290E" w:rsidRPr="00AF3608" w:rsidRDefault="0061290E" w:rsidP="00120AA6">
            <w:pPr>
              <w:widowControl w:val="0"/>
              <w:numPr>
                <w:ilvl w:val="0"/>
                <w:numId w:val="26"/>
              </w:numPr>
              <w:suppressAutoHyphens/>
              <w:ind w:left="352" w:hanging="425"/>
              <w:jc w:val="both"/>
              <w:rPr>
                <w:rFonts w:asciiTheme="minorHAnsi" w:eastAsia="Calibri" w:hAnsiTheme="minorHAnsi"/>
                <w:lang w:val="ro-RO"/>
              </w:rPr>
            </w:pPr>
            <w:r w:rsidRPr="00AF3608">
              <w:rPr>
                <w:rFonts w:asciiTheme="minorHAnsi" w:eastAsia="Calibri" w:hAnsiTheme="minorHAnsi"/>
                <w:lang w:val="ro-RO"/>
              </w:rPr>
              <w:t xml:space="preserve">Creșterea ponderii practice în formarea inițială a cadrelor didactice </w:t>
            </w:r>
          </w:p>
          <w:p w:rsidR="0061290E" w:rsidRPr="00AF3608" w:rsidRDefault="0061290E" w:rsidP="00120AA6">
            <w:pPr>
              <w:widowControl w:val="0"/>
              <w:numPr>
                <w:ilvl w:val="0"/>
                <w:numId w:val="26"/>
              </w:numPr>
              <w:suppressAutoHyphens/>
              <w:ind w:left="352" w:hanging="425"/>
              <w:jc w:val="both"/>
              <w:rPr>
                <w:rFonts w:asciiTheme="minorHAnsi" w:eastAsia="Calibri" w:hAnsiTheme="minorHAnsi"/>
                <w:lang w:val="ro-RO"/>
              </w:rPr>
            </w:pPr>
            <w:r w:rsidRPr="00AF3608">
              <w:rPr>
                <w:rFonts w:asciiTheme="minorHAnsi" w:eastAsia="Calibri" w:hAnsiTheme="minorHAnsi"/>
                <w:lang w:val="ro-RO"/>
              </w:rPr>
              <w:t xml:space="preserve">Îmbunătățirea sistemului de salarizare în învățământ; redefinirea și creșterea ponderii criteriilor de performanță în salarizare </w:t>
            </w:r>
          </w:p>
          <w:p w:rsidR="0061290E" w:rsidRPr="00AF3608" w:rsidRDefault="0061290E" w:rsidP="00120AA6">
            <w:pPr>
              <w:widowControl w:val="0"/>
              <w:numPr>
                <w:ilvl w:val="0"/>
                <w:numId w:val="26"/>
              </w:numPr>
              <w:suppressAutoHyphens/>
              <w:ind w:left="352" w:hanging="425"/>
              <w:jc w:val="both"/>
              <w:rPr>
                <w:rFonts w:asciiTheme="minorHAnsi" w:eastAsia="Calibri" w:hAnsiTheme="minorHAnsi"/>
                <w:lang w:val="ro-RO"/>
              </w:rPr>
            </w:pPr>
            <w:r w:rsidRPr="00AF3608">
              <w:rPr>
                <w:rFonts w:asciiTheme="minorHAnsi" w:eastAsia="Calibri" w:hAnsiTheme="minorHAnsi"/>
                <w:lang w:val="ro-RO"/>
              </w:rPr>
              <w:t>Revigorarea și reorganizarea instituției mentoratului; centralizarea atribuțiilor privind cariera didactică în cadrul unei instituții naționale</w:t>
            </w:r>
          </w:p>
          <w:p w:rsidR="0061290E" w:rsidRPr="00AF3608" w:rsidRDefault="0061290E" w:rsidP="00120AA6">
            <w:pPr>
              <w:widowControl w:val="0"/>
              <w:numPr>
                <w:ilvl w:val="0"/>
                <w:numId w:val="26"/>
              </w:numPr>
              <w:suppressAutoHyphens/>
              <w:ind w:left="352" w:hanging="425"/>
              <w:jc w:val="both"/>
              <w:rPr>
                <w:rFonts w:asciiTheme="minorHAnsi" w:eastAsia="Calibri" w:hAnsiTheme="minorHAnsi"/>
                <w:lang w:val="ro-RO"/>
              </w:rPr>
            </w:pPr>
            <w:r w:rsidRPr="00AF3608">
              <w:rPr>
                <w:rFonts w:asciiTheme="minorHAnsi" w:eastAsia="Calibri" w:hAnsiTheme="minorHAnsi"/>
                <w:lang w:val="ro-RO"/>
              </w:rPr>
              <w:t xml:space="preserve">Schimbarea criteriilor de avansare în carieră; regândirea organizării examenului de titularizare și redefinirea noțiunii de titularizare. </w:t>
            </w:r>
          </w:p>
          <w:p w:rsidR="0061290E" w:rsidRPr="00AF3608" w:rsidRDefault="0061290E" w:rsidP="00B723C0">
            <w:pPr>
              <w:widowControl w:val="0"/>
              <w:suppressAutoHyphens/>
              <w:ind w:left="352"/>
              <w:jc w:val="both"/>
              <w:rPr>
                <w:rFonts w:asciiTheme="minorHAnsi" w:eastAsia="Calibri" w:hAnsiTheme="minorHAnsi"/>
                <w:lang w:val="ro-RO"/>
              </w:rPr>
            </w:pPr>
          </w:p>
        </w:tc>
      </w:tr>
      <w:tr w:rsidR="0061290E" w:rsidRPr="00AF3608" w:rsidTr="005C01EF">
        <w:trPr>
          <w:gridAfter w:val="1"/>
          <w:wAfter w:w="168" w:type="dxa"/>
          <w:trHeight w:val="67"/>
          <w:jc w:val="center"/>
        </w:trPr>
        <w:tc>
          <w:tcPr>
            <w:tcW w:w="2553" w:type="dxa"/>
            <w:shd w:val="clear" w:color="auto" w:fill="auto"/>
            <w:vAlign w:val="center"/>
          </w:tcPr>
          <w:p w:rsidR="0061290E" w:rsidRPr="00AF3608" w:rsidRDefault="0061290E" w:rsidP="00B723C0">
            <w:pPr>
              <w:widowControl w:val="0"/>
              <w:suppressAutoHyphens/>
              <w:spacing w:line="276" w:lineRule="auto"/>
              <w:ind w:left="22"/>
              <w:jc w:val="center"/>
              <w:rPr>
                <w:rFonts w:asciiTheme="minorHAnsi" w:eastAsia="SimSun" w:hAnsiTheme="minorHAnsi"/>
                <w:color w:val="538135" w:themeColor="accent6" w:themeShade="BF"/>
                <w:kern w:val="1"/>
                <w:lang w:val="ro-RO" w:eastAsia="zh-CN" w:bidi="hi-IN"/>
              </w:rPr>
            </w:pPr>
            <w:r w:rsidRPr="00AF3608">
              <w:rPr>
                <w:rFonts w:asciiTheme="minorHAnsi" w:hAnsiTheme="minorHAnsi"/>
                <w:color w:val="538135" w:themeColor="accent6" w:themeShade="BF"/>
                <w:lang w:val="ro-RO"/>
              </w:rPr>
              <w:t>3. Profesionalizarea managementului educațional</w:t>
            </w:r>
          </w:p>
        </w:tc>
        <w:tc>
          <w:tcPr>
            <w:tcW w:w="7370" w:type="dxa"/>
            <w:shd w:val="clear" w:color="auto" w:fill="auto"/>
            <w:vAlign w:val="center"/>
          </w:tcPr>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Clarificarea atribuțiilor autorităților locale concomitent cu implementarea unui sistem de recompense și sancțiuni</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Constituirea unui corp profesional al managerilor educaționali</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Dezvoltarea și implementarea unor module / programe specifice de formare inițială și continuă în management educațional</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Reformarea politicilor de resurse umane / recrutare a managerilor educaționali și evaluarea periodică a acestora</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 xml:space="preserve">Clarificarea atribuțiilor și responsabilităților inspectoratelor școlare; creșterea autonomiei unităților de învățământ </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 xml:space="preserve">Dezvoltarea unor instrumente de guvernanță care să stimuleze participarea activă a partenerilor educaționali </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 xml:space="preserve">Revizuirea metodologiei de concurs pentru directori și organizarea de concursuri astfel încât acestea să contribuie la creșterea atractivității funcției de director în rândul profesioniștilor </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Reproiectarea sistemului de asigurare a calității; dezvoltarea și implementarea de mecanisme de îmbunătățire a calității.</w:t>
            </w:r>
          </w:p>
          <w:p w:rsidR="0061290E" w:rsidRPr="00AF3608" w:rsidRDefault="0061290E" w:rsidP="00B723C0">
            <w:pPr>
              <w:jc w:val="both"/>
              <w:rPr>
                <w:rFonts w:asciiTheme="minorHAnsi" w:hAnsiTheme="minorHAnsi"/>
                <w:lang w:val="ro-RO"/>
              </w:rPr>
            </w:pPr>
          </w:p>
        </w:tc>
      </w:tr>
      <w:tr w:rsidR="0061290E" w:rsidRPr="00AF3608" w:rsidTr="005C01EF">
        <w:trPr>
          <w:gridAfter w:val="1"/>
          <w:wAfter w:w="168" w:type="dxa"/>
          <w:trHeight w:val="140"/>
          <w:jc w:val="center"/>
        </w:trPr>
        <w:tc>
          <w:tcPr>
            <w:tcW w:w="2553" w:type="dxa"/>
            <w:shd w:val="clear" w:color="auto" w:fill="auto"/>
            <w:vAlign w:val="center"/>
          </w:tcPr>
          <w:p w:rsidR="0061290E" w:rsidRPr="00AF3608" w:rsidRDefault="0061290E" w:rsidP="00B723C0">
            <w:pPr>
              <w:widowControl w:val="0"/>
              <w:suppressAutoHyphens/>
              <w:snapToGrid w:val="0"/>
              <w:spacing w:line="276" w:lineRule="auto"/>
              <w:jc w:val="center"/>
              <w:rPr>
                <w:rFonts w:asciiTheme="minorHAnsi" w:eastAsia="SimSun" w:hAnsiTheme="minorHAnsi"/>
                <w:i/>
                <w:color w:val="538135" w:themeColor="accent6" w:themeShade="BF"/>
                <w:kern w:val="1"/>
                <w:lang w:val="ro-RO" w:eastAsia="zh-CN" w:bidi="hi-IN"/>
              </w:rPr>
            </w:pPr>
            <w:r w:rsidRPr="00AF3608">
              <w:rPr>
                <w:rFonts w:asciiTheme="minorHAnsi" w:eastAsia="SimSun" w:hAnsiTheme="minorHAnsi"/>
                <w:color w:val="538135" w:themeColor="accent6" w:themeShade="BF"/>
                <w:kern w:val="1"/>
                <w:lang w:val="ro-RO" w:eastAsia="zh-CN" w:bidi="hi-IN"/>
              </w:rPr>
              <w:t>4</w:t>
            </w:r>
            <w:r w:rsidRPr="00AF3608">
              <w:rPr>
                <w:rFonts w:asciiTheme="minorHAnsi" w:eastAsia="SimSun" w:hAnsiTheme="minorHAnsi"/>
                <w:i/>
                <w:color w:val="538135" w:themeColor="accent6" w:themeShade="BF"/>
                <w:kern w:val="1"/>
                <w:lang w:val="ro-RO" w:eastAsia="zh-CN" w:bidi="hi-IN"/>
              </w:rPr>
              <w:t>.</w:t>
            </w:r>
            <w:r w:rsidRPr="00AF3608">
              <w:rPr>
                <w:rFonts w:asciiTheme="minorHAnsi" w:hAnsiTheme="minorHAnsi"/>
                <w:color w:val="538135" w:themeColor="accent6" w:themeShade="BF"/>
                <w:lang w:val="ro-RO"/>
              </w:rPr>
              <w:t xml:space="preserve"> Dezvoltarea  învățământului profesional și tehnic</w:t>
            </w:r>
          </w:p>
        </w:tc>
        <w:tc>
          <w:tcPr>
            <w:tcW w:w="7370" w:type="dxa"/>
            <w:shd w:val="clear" w:color="auto" w:fill="auto"/>
          </w:tcPr>
          <w:p w:rsidR="0061290E" w:rsidRPr="00AF3608" w:rsidRDefault="0061290E" w:rsidP="00B723C0">
            <w:pPr>
              <w:widowControl w:val="0"/>
              <w:numPr>
                <w:ilvl w:val="0"/>
                <w:numId w:val="1"/>
              </w:numPr>
              <w:tabs>
                <w:tab w:val="left" w:pos="851"/>
              </w:tabs>
              <w:suppressAutoHyphens/>
              <w:ind w:left="351" w:hanging="357"/>
              <w:jc w:val="both"/>
              <w:rPr>
                <w:rFonts w:asciiTheme="minorHAnsi" w:eastAsia="Calibri" w:hAnsiTheme="minorHAnsi"/>
                <w:lang w:val="ro-RO"/>
              </w:rPr>
            </w:pPr>
            <w:r w:rsidRPr="00AF3608">
              <w:rPr>
                <w:rFonts w:asciiTheme="minorHAnsi" w:eastAsia="Calibri" w:hAnsiTheme="minorHAnsi"/>
                <w:lang w:val="ro-RO"/>
              </w:rPr>
              <w:t>Dezvoltarea, de către unitățile de învățământ, de programe de calificare / formare continuă, în funcție de nevoile înregistrate pe piața muncii</w:t>
            </w:r>
          </w:p>
          <w:p w:rsidR="0061290E" w:rsidRPr="00AF3608" w:rsidRDefault="0061290E" w:rsidP="00B723C0">
            <w:pPr>
              <w:widowControl w:val="0"/>
              <w:numPr>
                <w:ilvl w:val="0"/>
                <w:numId w:val="1"/>
              </w:numPr>
              <w:tabs>
                <w:tab w:val="left" w:pos="851"/>
              </w:tabs>
              <w:suppressAutoHyphens/>
              <w:ind w:left="351" w:hanging="357"/>
              <w:jc w:val="both"/>
              <w:rPr>
                <w:rFonts w:asciiTheme="minorHAnsi" w:eastAsia="Calibri" w:hAnsiTheme="minorHAnsi"/>
                <w:lang w:val="ro-RO"/>
              </w:rPr>
            </w:pPr>
            <w:r w:rsidRPr="00AF3608">
              <w:rPr>
                <w:rFonts w:asciiTheme="minorHAnsi" w:eastAsia="Calibri" w:hAnsiTheme="minorHAnsi"/>
                <w:lang w:val="ro-RO"/>
              </w:rPr>
              <w:t>Încurajarea implicării mediului privat în promovarea și elaborarea ofertei pentru IPT, precum și în proiecte de investiții punctuale</w:t>
            </w:r>
          </w:p>
          <w:p w:rsidR="0061290E" w:rsidRPr="00AF3608" w:rsidRDefault="0061290E" w:rsidP="00B723C0">
            <w:pPr>
              <w:widowControl w:val="0"/>
              <w:numPr>
                <w:ilvl w:val="0"/>
                <w:numId w:val="1"/>
              </w:numPr>
              <w:tabs>
                <w:tab w:val="left" w:pos="851"/>
              </w:tabs>
              <w:suppressAutoHyphens/>
              <w:ind w:left="351" w:hanging="357"/>
              <w:jc w:val="both"/>
              <w:rPr>
                <w:rFonts w:asciiTheme="minorHAnsi" w:eastAsia="Calibri" w:hAnsiTheme="minorHAnsi"/>
                <w:lang w:val="ro-RO"/>
              </w:rPr>
            </w:pPr>
            <w:r w:rsidRPr="00AF3608">
              <w:rPr>
                <w:rFonts w:asciiTheme="minorHAnsi" w:eastAsia="Calibri" w:hAnsiTheme="minorHAnsi"/>
                <w:lang w:val="ro-RO"/>
              </w:rPr>
              <w:t xml:space="preserve">Realizarea de campanii de informare IPT pentru părinți și public </w:t>
            </w:r>
          </w:p>
          <w:p w:rsidR="0061290E" w:rsidRPr="00AF3608" w:rsidRDefault="0061290E" w:rsidP="00B723C0">
            <w:pPr>
              <w:widowControl w:val="0"/>
              <w:numPr>
                <w:ilvl w:val="0"/>
                <w:numId w:val="1"/>
              </w:numPr>
              <w:tabs>
                <w:tab w:val="left" w:pos="851"/>
              </w:tabs>
              <w:suppressAutoHyphens/>
              <w:ind w:left="351" w:hanging="357"/>
              <w:jc w:val="both"/>
              <w:rPr>
                <w:rFonts w:asciiTheme="minorHAnsi" w:eastAsia="Calibri" w:hAnsiTheme="minorHAnsi"/>
                <w:lang w:val="ro-RO"/>
              </w:rPr>
            </w:pPr>
            <w:r w:rsidRPr="00AF3608">
              <w:rPr>
                <w:rFonts w:asciiTheme="minorHAnsi" w:eastAsia="Calibri" w:hAnsiTheme="minorHAnsi"/>
                <w:lang w:val="ro-RO"/>
              </w:rPr>
              <w:t>Dezvoltarea rutelor în regim dual la nivel de calificare 4 și 5</w:t>
            </w:r>
          </w:p>
          <w:p w:rsidR="0061290E" w:rsidRPr="00AF3608" w:rsidRDefault="0061290E" w:rsidP="00B723C0">
            <w:pPr>
              <w:widowControl w:val="0"/>
              <w:numPr>
                <w:ilvl w:val="0"/>
                <w:numId w:val="1"/>
              </w:numPr>
              <w:tabs>
                <w:tab w:val="left" w:pos="851"/>
              </w:tabs>
              <w:suppressAutoHyphens/>
              <w:ind w:left="357"/>
              <w:jc w:val="both"/>
              <w:rPr>
                <w:rFonts w:asciiTheme="minorHAnsi" w:eastAsia="Calibri" w:hAnsiTheme="minorHAnsi"/>
                <w:lang w:val="ro-RO"/>
              </w:rPr>
            </w:pPr>
            <w:r w:rsidRPr="00AF3608">
              <w:rPr>
                <w:rFonts w:asciiTheme="minorHAnsi" w:eastAsia="Calibri" w:hAnsiTheme="minorHAnsi"/>
                <w:lang w:val="ro-RO"/>
              </w:rPr>
              <w:lastRenderedPageBreak/>
              <w:t xml:space="preserve">Reînființarea / modernizarea atelierelor - școală </w:t>
            </w:r>
          </w:p>
          <w:p w:rsidR="0061290E" w:rsidRPr="00AF3608" w:rsidRDefault="0061290E" w:rsidP="00B723C0">
            <w:pPr>
              <w:widowControl w:val="0"/>
              <w:numPr>
                <w:ilvl w:val="0"/>
                <w:numId w:val="1"/>
              </w:numPr>
              <w:tabs>
                <w:tab w:val="left" w:pos="851"/>
              </w:tabs>
              <w:suppressAutoHyphens/>
              <w:ind w:left="357"/>
              <w:jc w:val="both"/>
              <w:rPr>
                <w:rFonts w:asciiTheme="minorHAnsi" w:eastAsia="Calibri" w:hAnsiTheme="minorHAnsi"/>
                <w:lang w:val="ro-RO"/>
              </w:rPr>
            </w:pPr>
            <w:r w:rsidRPr="00AF3608">
              <w:rPr>
                <w:rFonts w:asciiTheme="minorHAnsi" w:eastAsia="Calibri" w:hAnsiTheme="minorHAnsi"/>
                <w:lang w:val="ro-RO"/>
              </w:rPr>
              <w:t>Finanțarea burselor, a cazării și a mesei pentru elevii din IPT</w:t>
            </w:r>
          </w:p>
          <w:p w:rsidR="0061290E" w:rsidRPr="00AF3608" w:rsidRDefault="0061290E" w:rsidP="00B723C0">
            <w:pPr>
              <w:widowControl w:val="0"/>
              <w:numPr>
                <w:ilvl w:val="0"/>
                <w:numId w:val="1"/>
              </w:numPr>
              <w:tabs>
                <w:tab w:val="left" w:pos="851"/>
              </w:tabs>
              <w:suppressAutoHyphens/>
              <w:ind w:left="357"/>
              <w:jc w:val="both"/>
              <w:rPr>
                <w:rFonts w:asciiTheme="minorHAnsi" w:eastAsia="Calibri" w:hAnsiTheme="minorHAnsi"/>
                <w:lang w:val="ro-RO"/>
              </w:rPr>
            </w:pPr>
            <w:r w:rsidRPr="00AF3608">
              <w:rPr>
                <w:rFonts w:asciiTheme="minorHAnsi" w:eastAsia="Calibri" w:hAnsiTheme="minorHAnsi"/>
                <w:lang w:val="ro-RO"/>
              </w:rPr>
              <w:t>Dezvoltarea sistemului național de monitorizare a inserției absolvenților pe piața muncii și a continuării studiilor într-o formă superioară.</w:t>
            </w:r>
          </w:p>
          <w:p w:rsidR="0061290E" w:rsidRPr="00AF3608" w:rsidRDefault="0061290E" w:rsidP="00B723C0">
            <w:pPr>
              <w:widowControl w:val="0"/>
              <w:tabs>
                <w:tab w:val="left" w:pos="851"/>
              </w:tabs>
              <w:suppressAutoHyphens/>
              <w:ind w:left="357"/>
              <w:jc w:val="both"/>
              <w:rPr>
                <w:rFonts w:asciiTheme="minorHAnsi" w:eastAsia="Calibri" w:hAnsiTheme="minorHAnsi"/>
                <w:lang w:val="ro-RO"/>
              </w:rPr>
            </w:pPr>
          </w:p>
        </w:tc>
      </w:tr>
      <w:tr w:rsidR="0061290E" w:rsidRPr="00AF3608" w:rsidTr="005C01EF">
        <w:trPr>
          <w:gridAfter w:val="1"/>
          <w:wAfter w:w="168" w:type="dxa"/>
          <w:trHeight w:val="44"/>
          <w:jc w:val="center"/>
        </w:trPr>
        <w:tc>
          <w:tcPr>
            <w:tcW w:w="2553" w:type="dxa"/>
            <w:shd w:val="clear" w:color="auto" w:fill="auto"/>
            <w:vAlign w:val="center"/>
          </w:tcPr>
          <w:p w:rsidR="0061290E" w:rsidRPr="00AF3608" w:rsidRDefault="0061290E" w:rsidP="00B723C0">
            <w:pPr>
              <w:widowControl w:val="0"/>
              <w:suppressAutoHyphens/>
              <w:spacing w:line="276" w:lineRule="auto"/>
              <w:jc w:val="center"/>
              <w:rPr>
                <w:rFonts w:asciiTheme="minorHAnsi" w:eastAsia="SimSun" w:hAnsiTheme="minorHAnsi"/>
                <w:color w:val="538135" w:themeColor="accent6" w:themeShade="BF"/>
                <w:kern w:val="1"/>
                <w:lang w:val="ro-RO" w:eastAsia="zh-CN" w:bidi="hi-IN"/>
              </w:rPr>
            </w:pPr>
            <w:r w:rsidRPr="00AF3608">
              <w:rPr>
                <w:rFonts w:asciiTheme="minorHAnsi" w:hAnsiTheme="minorHAnsi"/>
                <w:color w:val="538135" w:themeColor="accent6" w:themeShade="BF"/>
                <w:lang w:val="ro-RO"/>
              </w:rPr>
              <w:lastRenderedPageBreak/>
              <w:t>5. Dezvoltarea educației timpurii accesibile tuturor</w:t>
            </w:r>
          </w:p>
        </w:tc>
        <w:tc>
          <w:tcPr>
            <w:tcW w:w="7370" w:type="dxa"/>
            <w:shd w:val="clear" w:color="auto" w:fill="auto"/>
            <w:vAlign w:val="center"/>
          </w:tcPr>
          <w:p w:rsidR="0061290E" w:rsidRPr="00AF3608" w:rsidRDefault="0061290E" w:rsidP="00120AA6">
            <w:pPr>
              <w:widowControl w:val="0"/>
              <w:numPr>
                <w:ilvl w:val="0"/>
                <w:numId w:val="25"/>
              </w:numPr>
              <w:autoSpaceDE w:val="0"/>
              <w:autoSpaceDN w:val="0"/>
              <w:adjustRightInd w:val="0"/>
              <w:ind w:left="337" w:hanging="337"/>
              <w:jc w:val="both"/>
              <w:rPr>
                <w:rFonts w:asciiTheme="minorHAnsi" w:eastAsia="Calibri" w:hAnsiTheme="minorHAnsi"/>
                <w:lang w:val="ro-RO"/>
              </w:rPr>
            </w:pPr>
            <w:r w:rsidRPr="00AF3608">
              <w:rPr>
                <w:rFonts w:asciiTheme="minorHAnsi" w:eastAsia="Calibri" w:hAnsiTheme="minorHAnsi"/>
                <w:lang w:val="ro-RO"/>
              </w:rPr>
              <w:t xml:space="preserve">Extinderea unor modele de abordare integrată / inovativă de tip Centru multifuncțional, Grădiniță comunitară, Bibliotecă de jucării </w:t>
            </w:r>
          </w:p>
          <w:p w:rsidR="0061290E" w:rsidRPr="00AF3608" w:rsidRDefault="0061290E" w:rsidP="00120AA6">
            <w:pPr>
              <w:widowControl w:val="0"/>
              <w:numPr>
                <w:ilvl w:val="0"/>
                <w:numId w:val="25"/>
              </w:numPr>
              <w:autoSpaceDE w:val="0"/>
              <w:autoSpaceDN w:val="0"/>
              <w:adjustRightInd w:val="0"/>
              <w:ind w:left="337" w:hanging="337"/>
              <w:jc w:val="both"/>
              <w:rPr>
                <w:rFonts w:asciiTheme="minorHAnsi" w:eastAsia="Calibri" w:hAnsiTheme="minorHAnsi"/>
                <w:lang w:val="ro-RO"/>
              </w:rPr>
            </w:pPr>
            <w:r w:rsidRPr="00AF3608">
              <w:rPr>
                <w:rFonts w:asciiTheme="minorHAnsi" w:eastAsia="Calibri" w:hAnsiTheme="minorHAnsi"/>
                <w:lang w:val="ro-RO"/>
              </w:rPr>
              <w:t xml:space="preserve">Clarificarea răspunderii administrative pentru sectorul educației timpurii </w:t>
            </w:r>
          </w:p>
          <w:p w:rsidR="0061290E" w:rsidRPr="00AF3608" w:rsidRDefault="0061290E" w:rsidP="00120AA6">
            <w:pPr>
              <w:widowControl w:val="0"/>
              <w:numPr>
                <w:ilvl w:val="0"/>
                <w:numId w:val="25"/>
              </w:numPr>
              <w:autoSpaceDE w:val="0"/>
              <w:autoSpaceDN w:val="0"/>
              <w:adjustRightInd w:val="0"/>
              <w:ind w:left="337" w:hanging="337"/>
              <w:jc w:val="both"/>
              <w:rPr>
                <w:rFonts w:asciiTheme="minorHAnsi" w:eastAsia="Calibri" w:hAnsiTheme="minorHAnsi"/>
                <w:lang w:val="ro-RO"/>
              </w:rPr>
            </w:pPr>
            <w:r w:rsidRPr="00AF3608">
              <w:rPr>
                <w:rFonts w:asciiTheme="minorHAnsi" w:eastAsia="Calibri" w:hAnsiTheme="minorHAnsi"/>
                <w:lang w:val="ro-RO"/>
              </w:rPr>
              <w:t xml:space="preserve">Dezvoltarea de programe de outreach și de comunicare cu familiile </w:t>
            </w:r>
          </w:p>
          <w:p w:rsidR="0061290E" w:rsidRPr="00AF3608" w:rsidRDefault="0061290E" w:rsidP="00120AA6">
            <w:pPr>
              <w:pStyle w:val="ListParagraph"/>
              <w:numPr>
                <w:ilvl w:val="0"/>
                <w:numId w:val="25"/>
              </w:numPr>
              <w:spacing w:line="240" w:lineRule="auto"/>
              <w:ind w:left="337" w:hanging="337"/>
              <w:jc w:val="both"/>
              <w:rPr>
                <w:rFonts w:asciiTheme="minorHAnsi" w:hAnsiTheme="minorHAnsi"/>
                <w:szCs w:val="24"/>
              </w:rPr>
            </w:pPr>
            <w:r w:rsidRPr="00AF3608">
              <w:rPr>
                <w:rFonts w:asciiTheme="minorHAnsi" w:hAnsiTheme="minorHAnsi"/>
                <w:szCs w:val="24"/>
              </w:rPr>
              <w:t>Generalizarea cuprinderii copiilor de 5, 4 și 3 ani în învățământul preșcolar</w:t>
            </w:r>
          </w:p>
          <w:p w:rsidR="0061290E" w:rsidRPr="00AF3608" w:rsidRDefault="0061290E" w:rsidP="00120AA6">
            <w:pPr>
              <w:widowControl w:val="0"/>
              <w:numPr>
                <w:ilvl w:val="0"/>
                <w:numId w:val="25"/>
              </w:numPr>
              <w:autoSpaceDE w:val="0"/>
              <w:autoSpaceDN w:val="0"/>
              <w:adjustRightInd w:val="0"/>
              <w:ind w:left="337" w:hanging="337"/>
              <w:jc w:val="both"/>
              <w:rPr>
                <w:rFonts w:asciiTheme="minorHAnsi" w:eastAsia="Calibri" w:hAnsiTheme="minorHAnsi"/>
                <w:lang w:val="ro-RO"/>
              </w:rPr>
            </w:pPr>
            <w:r w:rsidRPr="00AF3608">
              <w:rPr>
                <w:rFonts w:asciiTheme="minorHAnsi" w:eastAsia="Calibri" w:hAnsiTheme="minorHAnsi"/>
                <w:lang w:val="ro-RO"/>
              </w:rPr>
              <w:t>Implicarea mediului economic și de business pentru a sprijini accesul și oferirea de servicii de calitate în educația timpurie.</w:t>
            </w:r>
          </w:p>
          <w:p w:rsidR="0061290E" w:rsidRPr="00AF3608" w:rsidRDefault="0061290E" w:rsidP="00B723C0">
            <w:pPr>
              <w:ind w:left="478"/>
              <w:contextualSpacing/>
              <w:jc w:val="both"/>
              <w:rPr>
                <w:rFonts w:asciiTheme="minorHAnsi" w:eastAsia="SimSun" w:hAnsiTheme="minorHAnsi"/>
                <w:kern w:val="1"/>
                <w:lang w:val="ro-RO" w:eastAsia="zh-CN" w:bidi="ro-RO"/>
              </w:rPr>
            </w:pPr>
          </w:p>
        </w:tc>
      </w:tr>
      <w:tr w:rsidR="0061290E" w:rsidRPr="00AF3608" w:rsidTr="005C01EF">
        <w:trPr>
          <w:gridAfter w:val="1"/>
          <w:wAfter w:w="168" w:type="dxa"/>
          <w:trHeight w:val="262"/>
          <w:jc w:val="center"/>
        </w:trPr>
        <w:tc>
          <w:tcPr>
            <w:tcW w:w="2553" w:type="dxa"/>
            <w:shd w:val="clear" w:color="auto" w:fill="auto"/>
            <w:vAlign w:val="center"/>
          </w:tcPr>
          <w:p w:rsidR="0061290E" w:rsidRPr="00AF3608" w:rsidRDefault="0061290E" w:rsidP="00B723C0">
            <w:pPr>
              <w:widowControl w:val="0"/>
              <w:tabs>
                <w:tab w:val="left" w:pos="803"/>
                <w:tab w:val="left" w:pos="1364"/>
              </w:tabs>
              <w:suppressAutoHyphens/>
              <w:snapToGrid w:val="0"/>
              <w:spacing w:line="276" w:lineRule="auto"/>
              <w:jc w:val="center"/>
              <w:rPr>
                <w:rFonts w:asciiTheme="minorHAnsi" w:hAnsiTheme="minorHAnsi"/>
                <w:color w:val="538135" w:themeColor="accent6" w:themeShade="BF"/>
                <w:lang w:val="ro-RO"/>
              </w:rPr>
            </w:pPr>
          </w:p>
          <w:p w:rsidR="0061290E" w:rsidRPr="00AF3608" w:rsidRDefault="0061290E" w:rsidP="00B723C0">
            <w:pPr>
              <w:widowControl w:val="0"/>
              <w:tabs>
                <w:tab w:val="left" w:pos="803"/>
                <w:tab w:val="left" w:pos="1364"/>
              </w:tabs>
              <w:suppressAutoHyphens/>
              <w:snapToGrid w:val="0"/>
              <w:spacing w:line="276" w:lineRule="auto"/>
              <w:ind w:left="284"/>
              <w:jc w:val="center"/>
              <w:rPr>
                <w:rFonts w:asciiTheme="minorHAnsi" w:hAnsiTheme="minorHAnsi"/>
                <w:color w:val="538135" w:themeColor="accent6" w:themeShade="BF"/>
                <w:lang w:val="ro-RO"/>
              </w:rPr>
            </w:pPr>
          </w:p>
          <w:p w:rsidR="0061290E" w:rsidRPr="00AF3608" w:rsidRDefault="0061290E" w:rsidP="00B723C0">
            <w:pPr>
              <w:widowControl w:val="0"/>
              <w:suppressAutoHyphens/>
              <w:snapToGrid w:val="0"/>
              <w:spacing w:line="276" w:lineRule="auto"/>
              <w:ind w:left="22"/>
              <w:jc w:val="center"/>
              <w:rPr>
                <w:rFonts w:asciiTheme="minorHAnsi" w:eastAsia="SimSun" w:hAnsiTheme="minorHAnsi"/>
                <w:i/>
                <w:color w:val="538135" w:themeColor="accent6" w:themeShade="BF"/>
                <w:kern w:val="1"/>
                <w:lang w:val="ro-RO" w:eastAsia="zh-CN" w:bidi="hi-IN"/>
              </w:rPr>
            </w:pPr>
            <w:r w:rsidRPr="00AF3608">
              <w:rPr>
                <w:rFonts w:asciiTheme="minorHAnsi" w:hAnsiTheme="minorHAnsi"/>
                <w:color w:val="538135" w:themeColor="accent6" w:themeShade="BF"/>
                <w:lang w:val="ro-RO"/>
              </w:rPr>
              <w:t>6. Modernizarea curriculumului și a evaluării</w:t>
            </w:r>
          </w:p>
        </w:tc>
        <w:tc>
          <w:tcPr>
            <w:tcW w:w="7370" w:type="dxa"/>
            <w:shd w:val="clear" w:color="auto" w:fill="auto"/>
            <w:vAlign w:val="center"/>
          </w:tcPr>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 xml:space="preserve">Revizuirea arhitecturii curriculare prin centrarea conținuturilor pe profilul celui care învață, pe competențele cheie și pe maximizarea potențialului </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Elaborarea noilor planuri-cadru și a programelor școlare pentru învățământul liceal pentru toate filierele și profilurile</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Valorificarea evaluărilor naționale și a evaluărilor curente</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Revizuirea standardelor ARACIP privind evaluarea elevilor</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Asigurarea de manuale și auxiliare necesare procesului didactic</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Scăderea semnificativă a ratei de analfabetism funcțional</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Definirea de standarde clare pentru ceea ce considerăm a fi ”o școală bună” și recompensarea celor ce îndeplinesc aceste standarde.</w:t>
            </w:r>
          </w:p>
          <w:p w:rsidR="0061290E" w:rsidRPr="00AF3608" w:rsidRDefault="0061290E" w:rsidP="00B723C0">
            <w:pPr>
              <w:widowControl w:val="0"/>
              <w:tabs>
                <w:tab w:val="left" w:pos="851"/>
              </w:tabs>
              <w:suppressAutoHyphens/>
              <w:ind w:left="357"/>
              <w:jc w:val="both"/>
              <w:rPr>
                <w:rFonts w:asciiTheme="minorHAnsi" w:eastAsia="Calibri" w:hAnsiTheme="minorHAnsi"/>
                <w:lang w:val="ro-RO"/>
              </w:rPr>
            </w:pPr>
          </w:p>
        </w:tc>
      </w:tr>
      <w:tr w:rsidR="0061290E" w:rsidRPr="00AF3608" w:rsidTr="005C01EF">
        <w:trPr>
          <w:gridAfter w:val="1"/>
          <w:wAfter w:w="168" w:type="dxa"/>
          <w:trHeight w:val="262"/>
          <w:jc w:val="center"/>
        </w:trPr>
        <w:tc>
          <w:tcPr>
            <w:tcW w:w="2553" w:type="dxa"/>
            <w:shd w:val="clear" w:color="auto" w:fill="auto"/>
            <w:vAlign w:val="center"/>
          </w:tcPr>
          <w:p w:rsidR="0061290E" w:rsidRPr="00AF3608" w:rsidRDefault="0061290E" w:rsidP="00B723C0">
            <w:pPr>
              <w:widowControl w:val="0"/>
              <w:tabs>
                <w:tab w:val="left" w:pos="803"/>
                <w:tab w:val="left" w:pos="1364"/>
              </w:tabs>
              <w:suppressAutoHyphens/>
              <w:snapToGrid w:val="0"/>
              <w:spacing w:line="276" w:lineRule="auto"/>
              <w:jc w:val="center"/>
              <w:rPr>
                <w:rFonts w:asciiTheme="minorHAnsi" w:hAnsiTheme="minorHAnsi"/>
                <w:color w:val="538135" w:themeColor="accent6" w:themeShade="BF"/>
                <w:lang w:val="ro-RO"/>
              </w:rPr>
            </w:pPr>
          </w:p>
          <w:p w:rsidR="0061290E" w:rsidRPr="00AF3608" w:rsidRDefault="0061290E" w:rsidP="00B723C0">
            <w:pPr>
              <w:widowControl w:val="0"/>
              <w:tabs>
                <w:tab w:val="left" w:pos="803"/>
                <w:tab w:val="left" w:pos="1364"/>
              </w:tabs>
              <w:suppressAutoHyphens/>
              <w:snapToGrid w:val="0"/>
              <w:spacing w:line="276" w:lineRule="auto"/>
              <w:ind w:left="284"/>
              <w:jc w:val="center"/>
              <w:rPr>
                <w:rFonts w:asciiTheme="minorHAnsi" w:hAnsiTheme="minorHAnsi"/>
                <w:color w:val="538135" w:themeColor="accent6" w:themeShade="BF"/>
                <w:lang w:val="ro-RO"/>
              </w:rPr>
            </w:pPr>
          </w:p>
          <w:p w:rsidR="0061290E" w:rsidRPr="00AF3608" w:rsidRDefault="0061290E" w:rsidP="00B723C0">
            <w:pPr>
              <w:widowControl w:val="0"/>
              <w:suppressAutoHyphens/>
              <w:snapToGrid w:val="0"/>
              <w:spacing w:line="276" w:lineRule="auto"/>
              <w:ind w:left="22"/>
              <w:jc w:val="center"/>
              <w:rPr>
                <w:rFonts w:asciiTheme="minorHAnsi" w:hAnsiTheme="minorHAnsi"/>
                <w:color w:val="538135" w:themeColor="accent6" w:themeShade="BF"/>
                <w:lang w:val="ro-RO"/>
              </w:rPr>
            </w:pPr>
            <w:r w:rsidRPr="00AF3608">
              <w:rPr>
                <w:rFonts w:asciiTheme="minorHAnsi" w:hAnsiTheme="minorHAnsi"/>
                <w:color w:val="538135" w:themeColor="accent6" w:themeShade="BF"/>
                <w:lang w:val="ro-RO"/>
              </w:rPr>
              <w:t>7. Susținerea învățământului în limbile minorităților naționale</w:t>
            </w:r>
          </w:p>
          <w:p w:rsidR="0061290E" w:rsidRPr="00AF3608" w:rsidRDefault="0061290E" w:rsidP="00B723C0">
            <w:pPr>
              <w:widowControl w:val="0"/>
              <w:tabs>
                <w:tab w:val="left" w:pos="803"/>
                <w:tab w:val="left" w:pos="1364"/>
              </w:tabs>
              <w:suppressAutoHyphens/>
              <w:snapToGrid w:val="0"/>
              <w:spacing w:line="276" w:lineRule="auto"/>
              <w:ind w:left="284"/>
              <w:jc w:val="center"/>
              <w:rPr>
                <w:rFonts w:asciiTheme="minorHAnsi" w:hAnsiTheme="minorHAnsi"/>
                <w:color w:val="538135" w:themeColor="accent6" w:themeShade="BF"/>
                <w:lang w:val="ro-RO"/>
              </w:rPr>
            </w:pPr>
          </w:p>
          <w:p w:rsidR="0061290E" w:rsidRPr="00AF3608" w:rsidRDefault="0061290E" w:rsidP="00B723C0">
            <w:pPr>
              <w:widowControl w:val="0"/>
              <w:tabs>
                <w:tab w:val="left" w:pos="803"/>
                <w:tab w:val="left" w:pos="1364"/>
              </w:tabs>
              <w:suppressAutoHyphens/>
              <w:snapToGrid w:val="0"/>
              <w:spacing w:line="276" w:lineRule="auto"/>
              <w:ind w:left="284"/>
              <w:jc w:val="center"/>
              <w:rPr>
                <w:rFonts w:asciiTheme="minorHAnsi" w:hAnsiTheme="minorHAnsi"/>
                <w:color w:val="538135" w:themeColor="accent6" w:themeShade="BF"/>
                <w:lang w:val="ro-RO"/>
              </w:rPr>
            </w:pPr>
          </w:p>
          <w:p w:rsidR="0061290E" w:rsidRPr="00AF3608" w:rsidRDefault="0061290E" w:rsidP="00B723C0">
            <w:pPr>
              <w:widowControl w:val="0"/>
              <w:tabs>
                <w:tab w:val="left" w:pos="803"/>
                <w:tab w:val="left" w:pos="1364"/>
              </w:tabs>
              <w:suppressAutoHyphens/>
              <w:snapToGrid w:val="0"/>
              <w:spacing w:line="276" w:lineRule="auto"/>
              <w:jc w:val="center"/>
              <w:rPr>
                <w:rFonts w:asciiTheme="minorHAnsi" w:hAnsiTheme="minorHAnsi"/>
                <w:color w:val="538135" w:themeColor="accent6" w:themeShade="BF"/>
                <w:lang w:val="ro-RO"/>
              </w:rPr>
            </w:pPr>
          </w:p>
        </w:tc>
        <w:tc>
          <w:tcPr>
            <w:tcW w:w="7370" w:type="dxa"/>
            <w:shd w:val="clear" w:color="auto" w:fill="auto"/>
            <w:vAlign w:val="center"/>
          </w:tcPr>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Mărirea fondurilor pentru proiectele școlare și comunitare menite să promoveze interculturalitatea și diversitatea etnică</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 xml:space="preserve">Formarea de suficient personal educațional vorbitor al limbilor materne </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Elaborarea / realizarea / finalizarea programelor pentru obținerea gradelor didactice pentru cadre didactice aparținând minorităților naționale</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Susținerea activităților de formare continuă, pentru profesorii ce predau în învățământul cu predare în limba maternă, alta decât limba română</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Elaborarea / reeditarea manualelor școlare în limbile minorităților</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Monitorizarea la toate nivelurile măsurilor propuse vizând menținerea copilului / adolescentului / tânărului rrom în sistemul educațional.</w:t>
            </w:r>
          </w:p>
          <w:p w:rsidR="0061290E" w:rsidRPr="00AF3608" w:rsidRDefault="0061290E" w:rsidP="00B723C0">
            <w:pPr>
              <w:widowControl w:val="0"/>
              <w:tabs>
                <w:tab w:val="left" w:pos="851"/>
              </w:tabs>
              <w:suppressAutoHyphens/>
              <w:spacing w:after="120"/>
              <w:ind w:left="360"/>
              <w:jc w:val="both"/>
              <w:rPr>
                <w:rFonts w:asciiTheme="minorHAnsi" w:eastAsia="Calibri" w:hAnsiTheme="minorHAnsi"/>
                <w:lang w:val="ro-RO"/>
              </w:rPr>
            </w:pPr>
          </w:p>
        </w:tc>
      </w:tr>
      <w:tr w:rsidR="0061290E" w:rsidRPr="00AF3608" w:rsidTr="005C01EF">
        <w:trPr>
          <w:gridAfter w:val="1"/>
          <w:wAfter w:w="168" w:type="dxa"/>
          <w:trHeight w:val="262"/>
          <w:jc w:val="center"/>
        </w:trPr>
        <w:tc>
          <w:tcPr>
            <w:tcW w:w="2553" w:type="dxa"/>
            <w:shd w:val="clear" w:color="auto" w:fill="auto"/>
            <w:vAlign w:val="center"/>
          </w:tcPr>
          <w:p w:rsidR="0061290E" w:rsidRPr="00AF3608" w:rsidRDefault="0061290E" w:rsidP="00B723C0">
            <w:pPr>
              <w:widowControl w:val="0"/>
              <w:suppressAutoHyphens/>
              <w:snapToGrid w:val="0"/>
              <w:spacing w:line="276" w:lineRule="auto"/>
              <w:ind w:left="22"/>
              <w:jc w:val="center"/>
              <w:rPr>
                <w:rFonts w:asciiTheme="minorHAnsi" w:hAnsiTheme="minorHAnsi"/>
                <w:color w:val="538135" w:themeColor="accent6" w:themeShade="BF"/>
                <w:lang w:val="ro-RO"/>
              </w:rPr>
            </w:pPr>
            <w:r w:rsidRPr="00AF3608">
              <w:rPr>
                <w:rFonts w:asciiTheme="minorHAnsi" w:hAnsiTheme="minorHAnsi"/>
                <w:color w:val="538135" w:themeColor="accent6" w:themeShade="BF"/>
                <w:lang w:val="ro-RO"/>
              </w:rPr>
              <w:t>8. Asigurarea finanțării şi modernizarea infrastructurii</w:t>
            </w:r>
          </w:p>
        </w:tc>
        <w:tc>
          <w:tcPr>
            <w:tcW w:w="7370" w:type="dxa"/>
            <w:shd w:val="clear" w:color="auto" w:fill="auto"/>
            <w:vAlign w:val="center"/>
          </w:tcPr>
          <w:p w:rsidR="0061290E" w:rsidRPr="00AF3608" w:rsidRDefault="0061290E" w:rsidP="00120AA6">
            <w:pPr>
              <w:widowControl w:val="0"/>
              <w:numPr>
                <w:ilvl w:val="0"/>
                <w:numId w:val="27"/>
              </w:numPr>
              <w:tabs>
                <w:tab w:val="left" w:pos="851"/>
              </w:tabs>
              <w:suppressAutoHyphens/>
              <w:ind w:left="357" w:hanging="357"/>
              <w:jc w:val="both"/>
              <w:rPr>
                <w:rFonts w:asciiTheme="minorHAnsi" w:eastAsiaTheme="minorHAnsi" w:hAnsiTheme="minorHAnsi"/>
                <w:lang w:val="ro-RO"/>
              </w:rPr>
            </w:pPr>
            <w:r w:rsidRPr="00AF3608">
              <w:rPr>
                <w:rFonts w:asciiTheme="minorHAnsi" w:eastAsiaTheme="minorHAnsi" w:hAnsiTheme="minorHAnsi"/>
                <w:lang w:val="ro-RO"/>
              </w:rPr>
              <w:t>Construirea de creșe și grădinițe, în acord cu obiectivele privind rata de cuprindere a copiilor cu vârsta 0-6 ani</w:t>
            </w:r>
          </w:p>
          <w:p w:rsidR="0061290E" w:rsidRPr="00AF3608" w:rsidRDefault="0061290E" w:rsidP="00120AA6">
            <w:pPr>
              <w:widowControl w:val="0"/>
              <w:numPr>
                <w:ilvl w:val="0"/>
                <w:numId w:val="27"/>
              </w:numPr>
              <w:tabs>
                <w:tab w:val="left" w:pos="851"/>
              </w:tabs>
              <w:suppressAutoHyphens/>
              <w:ind w:left="357" w:hanging="357"/>
              <w:jc w:val="both"/>
              <w:rPr>
                <w:rFonts w:asciiTheme="minorHAnsi" w:eastAsiaTheme="minorHAnsi" w:hAnsiTheme="minorHAnsi"/>
                <w:lang w:val="ro-RO"/>
              </w:rPr>
            </w:pPr>
            <w:r w:rsidRPr="00AF3608">
              <w:rPr>
                <w:rFonts w:asciiTheme="minorHAnsi" w:eastAsiaTheme="minorHAnsi" w:hAnsiTheme="minorHAnsi"/>
                <w:lang w:val="ro-RO"/>
              </w:rPr>
              <w:t xml:space="preserve">Finanțarea programului </w:t>
            </w:r>
            <w:r w:rsidRPr="00AF3608">
              <w:rPr>
                <w:rFonts w:asciiTheme="minorHAnsi" w:eastAsiaTheme="minorHAnsi" w:hAnsiTheme="minorHAnsi"/>
                <w:i/>
                <w:lang w:val="ro-RO"/>
              </w:rPr>
              <w:t>Romanian Secondary Education</w:t>
            </w:r>
            <w:r w:rsidRPr="00AF3608">
              <w:rPr>
                <w:rFonts w:asciiTheme="minorHAnsi" w:eastAsiaTheme="minorHAnsi" w:hAnsiTheme="minorHAnsi"/>
                <w:lang w:val="ro-RO"/>
              </w:rPr>
              <w:t xml:space="preserve"> ROSE</w:t>
            </w:r>
          </w:p>
          <w:p w:rsidR="0061290E" w:rsidRPr="00AF3608" w:rsidRDefault="0061290E" w:rsidP="00120AA6">
            <w:pPr>
              <w:widowControl w:val="0"/>
              <w:numPr>
                <w:ilvl w:val="0"/>
                <w:numId w:val="27"/>
              </w:numPr>
              <w:tabs>
                <w:tab w:val="left" w:pos="851"/>
              </w:tabs>
              <w:suppressAutoHyphens/>
              <w:ind w:left="357" w:hanging="357"/>
              <w:jc w:val="both"/>
              <w:rPr>
                <w:rFonts w:asciiTheme="minorHAnsi" w:eastAsiaTheme="minorHAnsi" w:hAnsiTheme="minorHAnsi"/>
                <w:lang w:val="ro-RO"/>
              </w:rPr>
            </w:pPr>
            <w:r w:rsidRPr="00AF3608">
              <w:rPr>
                <w:rFonts w:asciiTheme="minorHAnsi" w:eastAsiaTheme="minorHAnsi" w:hAnsiTheme="minorHAnsi"/>
                <w:lang w:val="ro-RO"/>
              </w:rPr>
              <w:t>Susținerea autorităților locale pentru rezolvarea integrală a situațiilor școlilor cu toalete în curte, fără acces la apă și canalizare sau fără Internet</w:t>
            </w:r>
          </w:p>
          <w:p w:rsidR="0061290E" w:rsidRPr="00AF3608" w:rsidRDefault="0061290E" w:rsidP="00120AA6">
            <w:pPr>
              <w:widowControl w:val="0"/>
              <w:numPr>
                <w:ilvl w:val="0"/>
                <w:numId w:val="27"/>
              </w:numPr>
              <w:tabs>
                <w:tab w:val="left" w:pos="851"/>
              </w:tabs>
              <w:suppressAutoHyphens/>
              <w:ind w:left="357" w:hanging="357"/>
              <w:jc w:val="both"/>
              <w:rPr>
                <w:rFonts w:asciiTheme="minorHAnsi" w:eastAsiaTheme="minorHAnsi" w:hAnsiTheme="minorHAnsi"/>
                <w:lang w:val="ro-RO"/>
              </w:rPr>
            </w:pPr>
            <w:r w:rsidRPr="00AF3608">
              <w:rPr>
                <w:rFonts w:asciiTheme="minorHAnsi" w:eastAsiaTheme="minorHAnsi" w:hAnsiTheme="minorHAnsi"/>
                <w:lang w:val="ro-RO"/>
              </w:rPr>
              <w:lastRenderedPageBreak/>
              <w:t xml:space="preserve">Elaborarea unui proiect național de reabilitare și extindere a rețelei de școli </w:t>
            </w:r>
          </w:p>
          <w:p w:rsidR="0061290E" w:rsidRPr="00AF3608" w:rsidRDefault="0061290E" w:rsidP="00120AA6">
            <w:pPr>
              <w:widowControl w:val="0"/>
              <w:numPr>
                <w:ilvl w:val="0"/>
                <w:numId w:val="27"/>
              </w:numPr>
              <w:tabs>
                <w:tab w:val="left" w:pos="851"/>
              </w:tabs>
              <w:suppressAutoHyphens/>
              <w:ind w:left="357" w:hanging="357"/>
              <w:jc w:val="both"/>
              <w:rPr>
                <w:rFonts w:asciiTheme="minorHAnsi" w:eastAsiaTheme="minorHAnsi" w:hAnsiTheme="minorHAnsi"/>
                <w:lang w:val="ro-RO"/>
              </w:rPr>
            </w:pPr>
            <w:r w:rsidRPr="00AF3608">
              <w:rPr>
                <w:rFonts w:asciiTheme="minorHAnsi" w:eastAsiaTheme="minorHAnsi" w:hAnsiTheme="minorHAnsi"/>
                <w:lang w:val="ro-RO"/>
              </w:rPr>
              <w:t xml:space="preserve">Identificarea și reabilitarea școlilor cu risc seismic sau cu vulnerabilități </w:t>
            </w:r>
          </w:p>
          <w:p w:rsidR="0061290E" w:rsidRPr="00AF3608" w:rsidRDefault="0061290E" w:rsidP="00120AA6">
            <w:pPr>
              <w:widowControl w:val="0"/>
              <w:numPr>
                <w:ilvl w:val="0"/>
                <w:numId w:val="27"/>
              </w:numPr>
              <w:tabs>
                <w:tab w:val="left" w:pos="851"/>
              </w:tabs>
              <w:suppressAutoHyphens/>
              <w:ind w:left="357" w:hanging="357"/>
              <w:jc w:val="both"/>
              <w:rPr>
                <w:rFonts w:asciiTheme="minorHAnsi" w:eastAsiaTheme="minorHAnsi" w:hAnsiTheme="minorHAnsi"/>
                <w:lang w:val="ro-RO"/>
              </w:rPr>
            </w:pPr>
            <w:r w:rsidRPr="00AF3608">
              <w:rPr>
                <w:rFonts w:asciiTheme="minorHAnsi" w:eastAsiaTheme="minorHAnsi" w:hAnsiTheme="minorHAnsi"/>
                <w:lang w:val="ro-RO"/>
              </w:rPr>
              <w:t xml:space="preserve">Construirea / Reabilitarea de campusuri școlare de toate tipurile; Construirea de terenuri și săli de sport; Renovarea și reutilizarea internatelor școlare și construcția de noi cămine și cantine </w:t>
            </w:r>
          </w:p>
          <w:p w:rsidR="0061290E" w:rsidRPr="00AF3608" w:rsidRDefault="0061290E" w:rsidP="00120AA6">
            <w:pPr>
              <w:widowControl w:val="0"/>
              <w:numPr>
                <w:ilvl w:val="0"/>
                <w:numId w:val="27"/>
              </w:numPr>
              <w:tabs>
                <w:tab w:val="left" w:pos="851"/>
              </w:tabs>
              <w:suppressAutoHyphens/>
              <w:ind w:left="357" w:hanging="357"/>
              <w:jc w:val="both"/>
              <w:rPr>
                <w:rFonts w:asciiTheme="minorHAnsi" w:eastAsiaTheme="minorHAnsi" w:hAnsiTheme="minorHAnsi"/>
                <w:lang w:val="ro-RO"/>
              </w:rPr>
            </w:pPr>
            <w:r w:rsidRPr="00AF3608">
              <w:rPr>
                <w:rFonts w:asciiTheme="minorHAnsi" w:eastAsiaTheme="minorHAnsi" w:hAnsiTheme="minorHAnsi"/>
                <w:lang w:val="ro-RO"/>
              </w:rPr>
              <w:t>Adecvarea finanțării școlilor (prin coeficientul de finanțare) din mediul rural la nevoile reale; pentru educația timpurie și IPT</w:t>
            </w:r>
          </w:p>
          <w:p w:rsidR="0061290E" w:rsidRPr="00AF3608" w:rsidRDefault="0061290E" w:rsidP="00120AA6">
            <w:pPr>
              <w:widowControl w:val="0"/>
              <w:numPr>
                <w:ilvl w:val="0"/>
                <w:numId w:val="27"/>
              </w:numPr>
              <w:tabs>
                <w:tab w:val="left" w:pos="851"/>
              </w:tabs>
              <w:suppressAutoHyphens/>
              <w:ind w:left="357" w:hanging="357"/>
              <w:jc w:val="both"/>
              <w:rPr>
                <w:rFonts w:asciiTheme="minorHAnsi" w:eastAsiaTheme="minorHAnsi" w:hAnsiTheme="minorHAnsi"/>
                <w:lang w:val="ro-RO"/>
              </w:rPr>
            </w:pPr>
            <w:r w:rsidRPr="00AF3608">
              <w:rPr>
                <w:rFonts w:asciiTheme="minorHAnsi" w:eastAsiaTheme="minorHAnsi" w:hAnsiTheme="minorHAnsi"/>
                <w:lang w:val="ro-RO"/>
              </w:rPr>
              <w:t>Asigurarea cofinanțării pentru derularea proiectelor europene</w:t>
            </w:r>
          </w:p>
          <w:p w:rsidR="0061290E" w:rsidRPr="00AF3608" w:rsidRDefault="0061290E" w:rsidP="00120AA6">
            <w:pPr>
              <w:widowControl w:val="0"/>
              <w:numPr>
                <w:ilvl w:val="0"/>
                <w:numId w:val="27"/>
              </w:numPr>
              <w:tabs>
                <w:tab w:val="left" w:pos="851"/>
              </w:tabs>
              <w:suppressAutoHyphens/>
              <w:ind w:left="357" w:hanging="357"/>
              <w:jc w:val="both"/>
              <w:rPr>
                <w:rFonts w:asciiTheme="minorHAnsi" w:eastAsiaTheme="minorHAnsi" w:hAnsiTheme="minorHAnsi"/>
                <w:lang w:val="ro-RO"/>
              </w:rPr>
            </w:pPr>
            <w:r w:rsidRPr="00AF3608">
              <w:rPr>
                <w:rFonts w:asciiTheme="minorHAnsi" w:eastAsiaTheme="minorHAnsi" w:hAnsiTheme="minorHAnsi"/>
                <w:lang w:val="ro-RO"/>
              </w:rPr>
              <w:t xml:space="preserve">Obținerea autorizațiilor de funcționare în condiții de siguranță de către toate unitățile de învățământ; eliminarea barierelor de acces fizic în clădiri </w:t>
            </w:r>
          </w:p>
          <w:p w:rsidR="0061290E" w:rsidRPr="00AF3608" w:rsidRDefault="0061290E" w:rsidP="00120AA6">
            <w:pPr>
              <w:widowControl w:val="0"/>
              <w:numPr>
                <w:ilvl w:val="0"/>
                <w:numId w:val="27"/>
              </w:numPr>
              <w:tabs>
                <w:tab w:val="left" w:pos="851"/>
              </w:tabs>
              <w:suppressAutoHyphens/>
              <w:ind w:left="357" w:hanging="357"/>
              <w:jc w:val="both"/>
              <w:rPr>
                <w:rFonts w:asciiTheme="minorHAnsi" w:eastAsiaTheme="minorHAnsi" w:hAnsiTheme="minorHAnsi"/>
                <w:lang w:val="ro-RO"/>
              </w:rPr>
            </w:pPr>
            <w:r w:rsidRPr="00AF3608">
              <w:rPr>
                <w:rFonts w:asciiTheme="minorHAnsi" w:eastAsiaTheme="minorHAnsi" w:hAnsiTheme="minorHAnsi"/>
                <w:lang w:val="ro-RO"/>
              </w:rPr>
              <w:t>Dotarea laboratoarelor, cabinetelor și atelierelor școală cu mobilier, echipamente și mijloace didactice moderne.</w:t>
            </w:r>
          </w:p>
          <w:p w:rsidR="0061290E" w:rsidRPr="00AF3608" w:rsidRDefault="0061290E" w:rsidP="00B723C0">
            <w:pPr>
              <w:widowControl w:val="0"/>
              <w:tabs>
                <w:tab w:val="left" w:pos="851"/>
              </w:tabs>
              <w:suppressAutoHyphens/>
              <w:ind w:left="357"/>
              <w:jc w:val="both"/>
              <w:rPr>
                <w:rFonts w:asciiTheme="minorHAnsi" w:eastAsiaTheme="minorHAnsi" w:hAnsiTheme="minorHAnsi"/>
                <w:lang w:val="ro-RO"/>
              </w:rPr>
            </w:pPr>
          </w:p>
        </w:tc>
      </w:tr>
      <w:tr w:rsidR="0061290E" w:rsidRPr="00AF3608" w:rsidTr="005C01EF">
        <w:trPr>
          <w:gridAfter w:val="1"/>
          <w:wAfter w:w="168" w:type="dxa"/>
          <w:trHeight w:val="262"/>
          <w:jc w:val="center"/>
        </w:trPr>
        <w:tc>
          <w:tcPr>
            <w:tcW w:w="2553" w:type="dxa"/>
            <w:shd w:val="clear" w:color="auto" w:fill="auto"/>
            <w:vAlign w:val="center"/>
          </w:tcPr>
          <w:p w:rsidR="0061290E" w:rsidRPr="00AF3608" w:rsidRDefault="0061290E" w:rsidP="00B723C0">
            <w:pPr>
              <w:widowControl w:val="0"/>
              <w:tabs>
                <w:tab w:val="left" w:pos="803"/>
                <w:tab w:val="left" w:pos="1364"/>
              </w:tabs>
              <w:suppressAutoHyphens/>
              <w:snapToGrid w:val="0"/>
              <w:spacing w:line="276" w:lineRule="auto"/>
              <w:ind w:left="284"/>
              <w:jc w:val="center"/>
              <w:rPr>
                <w:rFonts w:asciiTheme="minorHAnsi" w:hAnsiTheme="minorHAnsi"/>
                <w:color w:val="538135" w:themeColor="accent6" w:themeShade="BF"/>
                <w:lang w:val="ro-RO"/>
              </w:rPr>
            </w:pPr>
          </w:p>
          <w:p w:rsidR="0061290E" w:rsidRPr="00AF3608" w:rsidRDefault="0061290E" w:rsidP="00B723C0">
            <w:pPr>
              <w:widowControl w:val="0"/>
              <w:tabs>
                <w:tab w:val="left" w:pos="803"/>
                <w:tab w:val="left" w:pos="1364"/>
              </w:tabs>
              <w:suppressAutoHyphens/>
              <w:snapToGrid w:val="0"/>
              <w:spacing w:line="276" w:lineRule="auto"/>
              <w:ind w:left="284"/>
              <w:jc w:val="center"/>
              <w:rPr>
                <w:rFonts w:asciiTheme="minorHAnsi" w:hAnsiTheme="minorHAnsi"/>
                <w:color w:val="538135" w:themeColor="accent6" w:themeShade="BF"/>
                <w:lang w:val="ro-RO"/>
              </w:rPr>
            </w:pPr>
          </w:p>
          <w:p w:rsidR="0061290E" w:rsidRPr="00AF3608" w:rsidRDefault="0061290E" w:rsidP="00B723C0">
            <w:pPr>
              <w:widowControl w:val="0"/>
              <w:tabs>
                <w:tab w:val="left" w:pos="803"/>
                <w:tab w:val="left" w:pos="1364"/>
              </w:tabs>
              <w:suppressAutoHyphens/>
              <w:snapToGrid w:val="0"/>
              <w:spacing w:line="276" w:lineRule="auto"/>
              <w:ind w:left="284"/>
              <w:jc w:val="center"/>
              <w:rPr>
                <w:rFonts w:asciiTheme="minorHAnsi" w:hAnsiTheme="minorHAnsi"/>
                <w:color w:val="538135" w:themeColor="accent6" w:themeShade="BF"/>
                <w:lang w:val="ro-RO"/>
              </w:rPr>
            </w:pPr>
          </w:p>
          <w:p w:rsidR="0061290E" w:rsidRPr="00AF3608" w:rsidRDefault="0061290E" w:rsidP="00B723C0">
            <w:pPr>
              <w:widowControl w:val="0"/>
              <w:tabs>
                <w:tab w:val="left" w:pos="803"/>
                <w:tab w:val="left" w:pos="1364"/>
              </w:tabs>
              <w:suppressAutoHyphens/>
              <w:snapToGrid w:val="0"/>
              <w:spacing w:line="276" w:lineRule="auto"/>
              <w:ind w:left="284"/>
              <w:jc w:val="center"/>
              <w:rPr>
                <w:rFonts w:asciiTheme="minorHAnsi" w:hAnsiTheme="minorHAnsi"/>
                <w:color w:val="538135" w:themeColor="accent6" w:themeShade="BF"/>
                <w:lang w:val="ro-RO"/>
              </w:rPr>
            </w:pPr>
          </w:p>
          <w:p w:rsidR="0061290E" w:rsidRPr="00AF3608" w:rsidRDefault="0061290E" w:rsidP="00B723C0">
            <w:pPr>
              <w:widowControl w:val="0"/>
              <w:suppressAutoHyphens/>
              <w:snapToGrid w:val="0"/>
              <w:spacing w:line="276" w:lineRule="auto"/>
              <w:rPr>
                <w:rFonts w:asciiTheme="minorHAnsi" w:hAnsiTheme="minorHAnsi"/>
                <w:color w:val="538135" w:themeColor="accent6" w:themeShade="BF"/>
                <w:lang w:val="ro-RO"/>
              </w:rPr>
            </w:pPr>
          </w:p>
          <w:p w:rsidR="0061290E" w:rsidRPr="00AF3608" w:rsidRDefault="0061290E" w:rsidP="00B723C0">
            <w:pPr>
              <w:widowControl w:val="0"/>
              <w:suppressAutoHyphens/>
              <w:snapToGrid w:val="0"/>
              <w:spacing w:line="276" w:lineRule="auto"/>
              <w:jc w:val="center"/>
              <w:rPr>
                <w:rFonts w:asciiTheme="minorHAnsi" w:hAnsiTheme="minorHAnsi"/>
                <w:color w:val="538135" w:themeColor="accent6" w:themeShade="BF"/>
                <w:lang w:val="ro-RO"/>
              </w:rPr>
            </w:pPr>
            <w:r w:rsidRPr="00AF3608">
              <w:rPr>
                <w:rFonts w:asciiTheme="minorHAnsi" w:hAnsiTheme="minorHAnsi"/>
                <w:color w:val="538135" w:themeColor="accent6" w:themeShade="BF"/>
                <w:lang w:val="ro-RO"/>
              </w:rPr>
              <w:t>9. Transformarea digitală a educației</w:t>
            </w:r>
          </w:p>
        </w:tc>
        <w:tc>
          <w:tcPr>
            <w:tcW w:w="7370" w:type="dxa"/>
            <w:shd w:val="clear" w:color="auto" w:fill="auto"/>
            <w:vAlign w:val="center"/>
          </w:tcPr>
          <w:p w:rsidR="0061290E" w:rsidRPr="00AF3608" w:rsidRDefault="0061290E" w:rsidP="00120AA6">
            <w:pPr>
              <w:widowControl w:val="0"/>
              <w:numPr>
                <w:ilvl w:val="0"/>
                <w:numId w:val="27"/>
              </w:numPr>
              <w:tabs>
                <w:tab w:val="left" w:pos="851"/>
              </w:tabs>
              <w:suppressAutoHyphens/>
              <w:ind w:left="357" w:hanging="357"/>
              <w:jc w:val="both"/>
              <w:rPr>
                <w:rFonts w:asciiTheme="minorHAnsi" w:eastAsiaTheme="minorHAnsi" w:hAnsiTheme="minorHAnsi"/>
                <w:lang w:val="ro-RO"/>
              </w:rPr>
            </w:pPr>
            <w:r w:rsidRPr="00AF3608">
              <w:rPr>
                <w:rFonts w:asciiTheme="minorHAnsi" w:eastAsiaTheme="minorHAnsi" w:hAnsiTheme="minorHAnsi"/>
                <w:lang w:val="ro-RO"/>
              </w:rPr>
              <w:t>Îmbunătățirea infrastructurii digitale pentru reducerea decalajelor de conectivitate (conectare la Internet, rețele interne, dotare cu echipamente)</w:t>
            </w:r>
          </w:p>
          <w:p w:rsidR="0061290E" w:rsidRPr="00AF3608" w:rsidRDefault="0061290E" w:rsidP="00120AA6">
            <w:pPr>
              <w:widowControl w:val="0"/>
              <w:numPr>
                <w:ilvl w:val="0"/>
                <w:numId w:val="27"/>
              </w:numPr>
              <w:tabs>
                <w:tab w:val="left" w:pos="851"/>
              </w:tabs>
              <w:suppressAutoHyphens/>
              <w:ind w:left="357" w:hanging="357"/>
              <w:jc w:val="both"/>
              <w:rPr>
                <w:rFonts w:asciiTheme="minorHAnsi" w:eastAsiaTheme="minorHAnsi" w:hAnsiTheme="minorHAnsi"/>
                <w:lang w:val="ro-RO"/>
              </w:rPr>
            </w:pPr>
            <w:r w:rsidRPr="00AF3608">
              <w:rPr>
                <w:rFonts w:asciiTheme="minorHAnsi" w:eastAsiaTheme="minorHAnsi" w:hAnsiTheme="minorHAnsi"/>
                <w:lang w:val="ro-RO"/>
              </w:rPr>
              <w:t>Stimularea unităților de învățământ pentru a lansa oferte educaționale cu specializări și calificări adecvate meseriilor viitorului</w:t>
            </w:r>
          </w:p>
          <w:p w:rsidR="0061290E" w:rsidRPr="00AF3608" w:rsidRDefault="0061290E" w:rsidP="00120AA6">
            <w:pPr>
              <w:widowControl w:val="0"/>
              <w:numPr>
                <w:ilvl w:val="0"/>
                <w:numId w:val="27"/>
              </w:numPr>
              <w:tabs>
                <w:tab w:val="left" w:pos="851"/>
              </w:tabs>
              <w:suppressAutoHyphens/>
              <w:ind w:left="357" w:hanging="357"/>
              <w:jc w:val="both"/>
              <w:rPr>
                <w:rFonts w:asciiTheme="minorHAnsi" w:eastAsiaTheme="minorHAnsi" w:hAnsiTheme="minorHAnsi"/>
                <w:lang w:val="ro-RO"/>
              </w:rPr>
            </w:pPr>
            <w:r w:rsidRPr="00AF3608">
              <w:rPr>
                <w:rFonts w:asciiTheme="minorHAnsi" w:eastAsiaTheme="minorHAnsi" w:hAnsiTheme="minorHAnsi"/>
                <w:lang w:val="ro-RO"/>
              </w:rPr>
              <w:t xml:space="preserve">Realizarea de instrumente educaționale digitale, încurajarea inovării </w:t>
            </w:r>
          </w:p>
          <w:p w:rsidR="0061290E" w:rsidRPr="00AF3608" w:rsidRDefault="0061290E" w:rsidP="00120AA6">
            <w:pPr>
              <w:widowControl w:val="0"/>
              <w:numPr>
                <w:ilvl w:val="0"/>
                <w:numId w:val="27"/>
              </w:numPr>
              <w:tabs>
                <w:tab w:val="left" w:pos="851"/>
              </w:tabs>
              <w:suppressAutoHyphens/>
              <w:ind w:left="357" w:hanging="357"/>
              <w:jc w:val="both"/>
              <w:rPr>
                <w:rFonts w:asciiTheme="minorHAnsi" w:eastAsiaTheme="minorHAnsi" w:hAnsiTheme="minorHAnsi"/>
                <w:lang w:val="ro-RO"/>
              </w:rPr>
            </w:pPr>
            <w:r w:rsidRPr="00AF3608">
              <w:rPr>
                <w:rFonts w:asciiTheme="minorHAnsi" w:eastAsiaTheme="minorHAnsi" w:hAnsiTheme="minorHAnsi"/>
                <w:lang w:val="ro-RO"/>
              </w:rPr>
              <w:t>Crearea de Resurse Educaționale Deschise atractive</w:t>
            </w:r>
          </w:p>
          <w:p w:rsidR="0061290E" w:rsidRPr="00AF3608" w:rsidRDefault="0061290E" w:rsidP="00120AA6">
            <w:pPr>
              <w:widowControl w:val="0"/>
              <w:numPr>
                <w:ilvl w:val="0"/>
                <w:numId w:val="27"/>
              </w:numPr>
              <w:tabs>
                <w:tab w:val="left" w:pos="851"/>
              </w:tabs>
              <w:suppressAutoHyphens/>
              <w:ind w:left="357" w:hanging="357"/>
              <w:jc w:val="both"/>
              <w:rPr>
                <w:rFonts w:asciiTheme="minorHAnsi" w:eastAsiaTheme="minorHAnsi" w:hAnsiTheme="minorHAnsi"/>
                <w:lang w:val="ro-RO"/>
              </w:rPr>
            </w:pPr>
            <w:r w:rsidRPr="00AF3608">
              <w:rPr>
                <w:rFonts w:asciiTheme="minorHAnsi" w:eastAsiaTheme="minorHAnsi" w:hAnsiTheme="minorHAnsi"/>
                <w:lang w:val="ro-RO"/>
              </w:rPr>
              <w:t xml:space="preserve">Dezvoltarea și multiplicarea parteneriatelor public-privat și încurajarea schimburilor de bune practici </w:t>
            </w:r>
          </w:p>
          <w:p w:rsidR="0061290E" w:rsidRPr="00AF3608" w:rsidRDefault="0061290E" w:rsidP="00120AA6">
            <w:pPr>
              <w:widowControl w:val="0"/>
              <w:numPr>
                <w:ilvl w:val="0"/>
                <w:numId w:val="27"/>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Consolidarea dobândirii competențelor digitale prin dezvoltarea de programe de alfabetizare digitală pentru preșcolari și elevi</w:t>
            </w:r>
          </w:p>
          <w:p w:rsidR="0061290E" w:rsidRPr="00AF3608" w:rsidRDefault="0061290E" w:rsidP="00120AA6">
            <w:pPr>
              <w:widowControl w:val="0"/>
              <w:numPr>
                <w:ilvl w:val="0"/>
                <w:numId w:val="27"/>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Asigurarea securității cibernetice, protecția datelor, siguranță și etica IT</w:t>
            </w:r>
          </w:p>
          <w:p w:rsidR="0061290E" w:rsidRPr="00AF3608" w:rsidRDefault="0061290E" w:rsidP="00120AA6">
            <w:pPr>
              <w:widowControl w:val="0"/>
              <w:numPr>
                <w:ilvl w:val="0"/>
                <w:numId w:val="27"/>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Sprijinirea persoanelor cu CES în dezvoltarea de competențe digitale.</w:t>
            </w:r>
          </w:p>
          <w:p w:rsidR="0061290E" w:rsidRPr="00AF3608" w:rsidRDefault="0061290E" w:rsidP="00B723C0">
            <w:pPr>
              <w:widowControl w:val="0"/>
              <w:tabs>
                <w:tab w:val="left" w:pos="851"/>
              </w:tabs>
              <w:suppressAutoHyphens/>
              <w:jc w:val="both"/>
              <w:rPr>
                <w:rFonts w:asciiTheme="minorHAnsi" w:eastAsia="Calibri" w:hAnsiTheme="minorHAnsi"/>
                <w:lang w:val="ro-RO"/>
              </w:rPr>
            </w:pPr>
          </w:p>
        </w:tc>
      </w:tr>
      <w:tr w:rsidR="0061290E" w:rsidRPr="00AF3608" w:rsidTr="005C01EF">
        <w:trPr>
          <w:gridAfter w:val="1"/>
          <w:wAfter w:w="168" w:type="dxa"/>
          <w:trHeight w:val="262"/>
          <w:jc w:val="center"/>
        </w:trPr>
        <w:tc>
          <w:tcPr>
            <w:tcW w:w="2553" w:type="dxa"/>
            <w:shd w:val="clear" w:color="auto" w:fill="auto"/>
            <w:vAlign w:val="center"/>
          </w:tcPr>
          <w:p w:rsidR="0061290E" w:rsidRPr="00AF3608" w:rsidRDefault="0061290E" w:rsidP="00B723C0">
            <w:pPr>
              <w:widowControl w:val="0"/>
              <w:tabs>
                <w:tab w:val="left" w:pos="803"/>
                <w:tab w:val="left" w:pos="1364"/>
              </w:tabs>
              <w:suppressAutoHyphens/>
              <w:snapToGrid w:val="0"/>
              <w:spacing w:line="276" w:lineRule="auto"/>
              <w:ind w:left="284"/>
              <w:jc w:val="center"/>
              <w:rPr>
                <w:rFonts w:asciiTheme="minorHAnsi" w:hAnsiTheme="minorHAnsi"/>
                <w:color w:val="538135" w:themeColor="accent6" w:themeShade="BF"/>
                <w:lang w:val="ro-RO"/>
              </w:rPr>
            </w:pPr>
          </w:p>
          <w:p w:rsidR="0061290E" w:rsidRPr="00AF3608" w:rsidRDefault="0061290E" w:rsidP="00B723C0">
            <w:pPr>
              <w:widowControl w:val="0"/>
              <w:tabs>
                <w:tab w:val="left" w:pos="803"/>
                <w:tab w:val="left" w:pos="1364"/>
              </w:tabs>
              <w:suppressAutoHyphens/>
              <w:snapToGrid w:val="0"/>
              <w:spacing w:line="276" w:lineRule="auto"/>
              <w:ind w:left="284"/>
              <w:jc w:val="center"/>
              <w:rPr>
                <w:rFonts w:asciiTheme="minorHAnsi" w:hAnsiTheme="minorHAnsi"/>
                <w:color w:val="538135" w:themeColor="accent6" w:themeShade="BF"/>
                <w:lang w:val="ro-RO"/>
              </w:rPr>
            </w:pPr>
          </w:p>
          <w:p w:rsidR="0061290E" w:rsidRPr="00AF3608" w:rsidRDefault="0061290E" w:rsidP="00B723C0">
            <w:pPr>
              <w:widowControl w:val="0"/>
              <w:suppressAutoHyphens/>
              <w:snapToGrid w:val="0"/>
              <w:spacing w:line="276" w:lineRule="auto"/>
              <w:ind w:left="22"/>
              <w:jc w:val="center"/>
              <w:rPr>
                <w:rFonts w:asciiTheme="minorHAnsi" w:hAnsiTheme="minorHAnsi"/>
                <w:color w:val="538135" w:themeColor="accent6" w:themeShade="BF"/>
                <w:lang w:val="ro-RO"/>
              </w:rPr>
            </w:pPr>
            <w:r w:rsidRPr="00AF3608">
              <w:rPr>
                <w:rFonts w:asciiTheme="minorHAnsi" w:hAnsiTheme="minorHAnsi"/>
                <w:color w:val="538135" w:themeColor="accent6" w:themeShade="BF"/>
                <w:lang w:val="ro-RO"/>
              </w:rPr>
              <w:t>10. Dezvoltarea învățării pe tot parcursul vieții</w:t>
            </w:r>
          </w:p>
        </w:tc>
        <w:tc>
          <w:tcPr>
            <w:tcW w:w="7370" w:type="dxa"/>
            <w:shd w:val="clear" w:color="auto" w:fill="auto"/>
            <w:vAlign w:val="center"/>
          </w:tcPr>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color w:val="000000" w:themeColor="text1"/>
                <w:lang w:val="ro-RO"/>
              </w:rPr>
            </w:pPr>
            <w:bookmarkStart w:id="4" w:name="_Hlk60129412"/>
            <w:r w:rsidRPr="00AF3608">
              <w:rPr>
                <w:rFonts w:asciiTheme="minorHAnsi" w:eastAsiaTheme="minorHAnsi" w:hAnsiTheme="minorHAnsi"/>
                <w:color w:val="000000" w:themeColor="text1"/>
                <w:lang w:val="ro-RO"/>
              </w:rPr>
              <w:t>Multiplicarea oportunităților de educație non-formală de calitate</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color w:val="000000" w:themeColor="text1"/>
                <w:lang w:val="ro-RO"/>
              </w:rPr>
            </w:pPr>
            <w:r w:rsidRPr="00AF3608">
              <w:rPr>
                <w:rFonts w:asciiTheme="minorHAnsi" w:eastAsiaTheme="minorHAnsi" w:hAnsiTheme="minorHAnsi"/>
                <w:bCs/>
                <w:iCs/>
                <w:color w:val="000000" w:themeColor="text1"/>
                <w:lang w:val="ro-RO"/>
              </w:rPr>
              <w:t xml:space="preserve">Creșterea participării adulților la programe pentru dezvoltarea de competențe cheie/ dobândirea unei calificări profesionale </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orbel" w:hAnsiTheme="minorHAnsi"/>
                <w:bCs/>
                <w:color w:val="000000" w:themeColor="text1"/>
                <w:lang w:val="ro-RO"/>
              </w:rPr>
            </w:pPr>
            <w:r w:rsidRPr="00AF3608">
              <w:rPr>
                <w:rFonts w:asciiTheme="minorHAnsi" w:eastAsiaTheme="minorHAnsi" w:hAnsiTheme="minorHAnsi"/>
                <w:bCs/>
                <w:iCs/>
                <w:color w:val="000000" w:themeColor="text1"/>
                <w:lang w:val="ro-RO"/>
              </w:rPr>
              <w:t xml:space="preserve">Cresterea capacității de alfabetizare și numerație pentru: tineri vulnerabili, lucrători migranți, șomeri, membri ai minorităților etnice, persoane cu dizabilități, persoane în detenție, vârstnici, refugiați, persoane strămutate </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orbel" w:hAnsiTheme="minorHAnsi"/>
                <w:bCs/>
                <w:color w:val="000000" w:themeColor="text1"/>
                <w:lang w:val="ro-RO"/>
              </w:rPr>
            </w:pPr>
            <w:r w:rsidRPr="00AF3608">
              <w:rPr>
                <w:rFonts w:asciiTheme="minorHAnsi" w:eastAsia="Corbel" w:hAnsiTheme="minorHAnsi"/>
                <w:bCs/>
                <w:color w:val="000000" w:themeColor="text1"/>
                <w:lang w:val="ro-RO"/>
              </w:rPr>
              <w:t>Sprijinirea dezvoltării de competențe de bază pentru piața muncii</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orbel" w:hAnsiTheme="minorHAnsi"/>
                <w:bCs/>
                <w:color w:val="000000" w:themeColor="text1"/>
                <w:lang w:val="ro-RO"/>
              </w:rPr>
            </w:pPr>
            <w:r w:rsidRPr="00AF3608">
              <w:rPr>
                <w:rFonts w:asciiTheme="minorHAnsi" w:eastAsia="Corbel" w:hAnsiTheme="minorHAnsi"/>
                <w:bCs/>
                <w:color w:val="000000" w:themeColor="text1"/>
                <w:lang w:val="ro-RO"/>
              </w:rPr>
              <w:t>S</w:t>
            </w:r>
            <w:r w:rsidRPr="00AF3608">
              <w:rPr>
                <w:rFonts w:asciiTheme="minorHAnsi" w:eastAsia="Calibri" w:hAnsiTheme="minorHAnsi"/>
                <w:bCs/>
                <w:iCs/>
                <w:color w:val="000000" w:themeColor="text1"/>
                <w:lang w:val="ro-RO"/>
              </w:rPr>
              <w:t>prijinirea parteneriatelor între furnizori de formare și reprezentanți ai mediului de afaceri</w:t>
            </w:r>
            <w:bookmarkEnd w:id="4"/>
            <w:r w:rsidRPr="00AF3608">
              <w:rPr>
                <w:rFonts w:asciiTheme="minorHAnsi" w:eastAsia="Calibri" w:hAnsiTheme="minorHAnsi"/>
                <w:bCs/>
                <w:iCs/>
                <w:color w:val="000000" w:themeColor="text1"/>
                <w:lang w:val="ro-RO"/>
              </w:rPr>
              <w:t>.</w:t>
            </w:r>
          </w:p>
          <w:p w:rsidR="0061290E" w:rsidRPr="00AF3608" w:rsidRDefault="0061290E" w:rsidP="00B723C0">
            <w:pPr>
              <w:widowControl w:val="0"/>
              <w:tabs>
                <w:tab w:val="left" w:pos="851"/>
              </w:tabs>
              <w:suppressAutoHyphens/>
              <w:ind w:left="357"/>
              <w:jc w:val="both"/>
              <w:rPr>
                <w:rFonts w:asciiTheme="minorHAnsi" w:eastAsia="Corbel" w:hAnsiTheme="minorHAnsi"/>
                <w:bCs/>
                <w:color w:val="000000" w:themeColor="text1"/>
                <w:lang w:val="ro-RO"/>
              </w:rPr>
            </w:pPr>
          </w:p>
        </w:tc>
      </w:tr>
      <w:tr w:rsidR="0061290E" w:rsidRPr="00AF3608" w:rsidTr="005C01EF">
        <w:trPr>
          <w:gridAfter w:val="1"/>
          <w:wAfter w:w="168" w:type="dxa"/>
          <w:trHeight w:val="262"/>
          <w:jc w:val="center"/>
        </w:trPr>
        <w:tc>
          <w:tcPr>
            <w:tcW w:w="2553" w:type="dxa"/>
            <w:shd w:val="clear" w:color="auto" w:fill="auto"/>
            <w:vAlign w:val="center"/>
          </w:tcPr>
          <w:p w:rsidR="0061290E" w:rsidRPr="00AF3608" w:rsidRDefault="0061290E" w:rsidP="00B723C0">
            <w:pPr>
              <w:widowControl w:val="0"/>
              <w:suppressAutoHyphens/>
              <w:snapToGrid w:val="0"/>
              <w:spacing w:line="276" w:lineRule="auto"/>
              <w:ind w:left="22"/>
              <w:jc w:val="center"/>
              <w:rPr>
                <w:rFonts w:asciiTheme="minorHAnsi" w:hAnsiTheme="minorHAnsi"/>
                <w:color w:val="538135" w:themeColor="accent6" w:themeShade="BF"/>
                <w:lang w:val="ro-RO"/>
              </w:rPr>
            </w:pPr>
            <w:r w:rsidRPr="00AF3608">
              <w:rPr>
                <w:rFonts w:asciiTheme="minorHAnsi" w:hAnsiTheme="minorHAnsi"/>
                <w:color w:val="538135" w:themeColor="accent6" w:themeShade="BF"/>
                <w:lang w:val="ro-RO"/>
              </w:rPr>
              <w:t>11. Dezvoltarea dimensiunii internaționale a învățământului preuniversitar românesc</w:t>
            </w:r>
          </w:p>
        </w:tc>
        <w:tc>
          <w:tcPr>
            <w:tcW w:w="7370" w:type="dxa"/>
            <w:shd w:val="clear" w:color="auto" w:fill="auto"/>
            <w:vAlign w:val="center"/>
          </w:tcPr>
          <w:p w:rsidR="0061290E" w:rsidRPr="00AF3608" w:rsidRDefault="0061290E" w:rsidP="00B723C0">
            <w:pPr>
              <w:widowControl w:val="0"/>
              <w:numPr>
                <w:ilvl w:val="0"/>
                <w:numId w:val="1"/>
              </w:numPr>
              <w:tabs>
                <w:tab w:val="left" w:pos="851"/>
              </w:tabs>
              <w:suppressAutoHyphens/>
              <w:ind w:left="357" w:hanging="357"/>
              <w:jc w:val="both"/>
              <w:rPr>
                <w:rFonts w:asciiTheme="minorHAnsi" w:eastAsiaTheme="minorHAnsi" w:hAnsiTheme="minorHAnsi"/>
                <w:color w:val="000000" w:themeColor="text1"/>
                <w:lang w:val="ro-RO"/>
              </w:rPr>
            </w:pPr>
            <w:r w:rsidRPr="00AF3608">
              <w:rPr>
                <w:rFonts w:asciiTheme="minorHAnsi" w:eastAsiaTheme="minorHAnsi" w:hAnsiTheme="minorHAnsi"/>
                <w:color w:val="000000" w:themeColor="text1"/>
                <w:lang w:val="ro-RO"/>
              </w:rPr>
              <w:t>Dezvoltarea Proiectului Limbă, Cultură și Civilizație Românească (LCCR) și a programului lectorilor români în străinătate</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Theme="minorHAnsi" w:hAnsiTheme="minorHAnsi"/>
                <w:color w:val="000000" w:themeColor="text1"/>
                <w:lang w:val="ro-RO"/>
              </w:rPr>
            </w:pPr>
            <w:r w:rsidRPr="00AF3608">
              <w:rPr>
                <w:rFonts w:asciiTheme="minorHAnsi" w:eastAsiaTheme="minorHAnsi" w:hAnsiTheme="minorHAnsi"/>
                <w:color w:val="000000" w:themeColor="text1"/>
                <w:lang w:val="ro-RO"/>
              </w:rPr>
              <w:t>Continuarea derulării Programului Erasmus +</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Theme="minorHAnsi" w:hAnsiTheme="minorHAnsi"/>
                <w:color w:val="000000" w:themeColor="text1"/>
                <w:lang w:val="ro-RO"/>
              </w:rPr>
            </w:pPr>
            <w:r w:rsidRPr="00AF3608">
              <w:rPr>
                <w:rFonts w:asciiTheme="minorHAnsi" w:eastAsiaTheme="minorHAnsi" w:hAnsiTheme="minorHAnsi"/>
                <w:color w:val="000000" w:themeColor="text1"/>
                <w:lang w:val="ro-RO"/>
              </w:rPr>
              <w:t>Coordonarea politicilor de consolidare a parteneriatelor internaționale bilaterale și multilaterale și dezvoltarea unor noi direcții de cooperare</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Theme="minorHAnsi" w:hAnsiTheme="minorHAnsi"/>
                <w:color w:val="000000" w:themeColor="text1"/>
                <w:lang w:val="ro-RO"/>
              </w:rPr>
            </w:pPr>
            <w:r w:rsidRPr="00AF3608">
              <w:rPr>
                <w:rFonts w:asciiTheme="minorHAnsi" w:eastAsiaTheme="minorHAnsi" w:hAnsiTheme="minorHAnsi"/>
                <w:color w:val="000000" w:themeColor="text1"/>
                <w:lang w:val="ro-RO"/>
              </w:rPr>
              <w:t>Participarea la Programul de cooperare pentru Regiunea Dunării</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Theme="minorHAnsi" w:hAnsiTheme="minorHAnsi"/>
                <w:color w:val="000000" w:themeColor="text1"/>
                <w:lang w:val="ro-RO"/>
              </w:rPr>
            </w:pPr>
            <w:r w:rsidRPr="00AF3608">
              <w:rPr>
                <w:rFonts w:asciiTheme="minorHAnsi" w:eastAsiaTheme="minorHAnsi" w:hAnsiTheme="minorHAnsi"/>
                <w:color w:val="000000" w:themeColor="text1"/>
                <w:lang w:val="ro-RO"/>
              </w:rPr>
              <w:lastRenderedPageBreak/>
              <w:t>Acordarea unor locuri cu bursă și locuri cu scutire de taxe școlare, pentru comunitățile românești din străinătate.</w:t>
            </w:r>
          </w:p>
          <w:p w:rsidR="0061290E" w:rsidRPr="00AF3608" w:rsidRDefault="0061290E" w:rsidP="00B723C0">
            <w:pPr>
              <w:widowControl w:val="0"/>
              <w:autoSpaceDE w:val="0"/>
              <w:autoSpaceDN w:val="0"/>
              <w:adjustRightInd w:val="0"/>
              <w:spacing w:line="276" w:lineRule="auto"/>
              <w:ind w:left="337"/>
              <w:jc w:val="both"/>
              <w:rPr>
                <w:rFonts w:asciiTheme="minorHAnsi" w:eastAsia="Calibri" w:hAnsiTheme="minorHAnsi"/>
                <w:color w:val="000000"/>
                <w:lang w:val="ro-RO"/>
              </w:rPr>
            </w:pPr>
          </w:p>
        </w:tc>
      </w:tr>
      <w:tr w:rsidR="0061290E" w:rsidRPr="00AF3608" w:rsidTr="005C01EF">
        <w:trPr>
          <w:gridAfter w:val="1"/>
          <w:wAfter w:w="168" w:type="dxa"/>
          <w:trHeight w:val="467"/>
          <w:jc w:val="center"/>
        </w:trPr>
        <w:tc>
          <w:tcPr>
            <w:tcW w:w="9923" w:type="dxa"/>
            <w:gridSpan w:val="2"/>
            <w:shd w:val="clear" w:color="auto" w:fill="auto"/>
            <w:vAlign w:val="center"/>
          </w:tcPr>
          <w:p w:rsidR="0061290E" w:rsidRPr="00AF3608" w:rsidRDefault="0061290E" w:rsidP="00B723C0">
            <w:pPr>
              <w:widowControl w:val="0"/>
              <w:suppressAutoHyphens/>
              <w:spacing w:after="120" w:line="276" w:lineRule="auto"/>
              <w:jc w:val="both"/>
              <w:rPr>
                <w:rFonts w:asciiTheme="minorHAnsi" w:eastAsia="SimSun" w:hAnsiTheme="minorHAnsi"/>
                <w:b/>
                <w:color w:val="538135" w:themeColor="accent6" w:themeShade="BF"/>
                <w:kern w:val="1"/>
                <w:lang w:val="ro-RO" w:eastAsia="zh-CN" w:bidi="hi-IN"/>
              </w:rPr>
            </w:pPr>
            <w:r w:rsidRPr="00AF3608">
              <w:rPr>
                <w:rFonts w:asciiTheme="minorHAnsi" w:eastAsia="SimSun" w:hAnsiTheme="minorHAnsi"/>
                <w:b/>
                <w:color w:val="538135" w:themeColor="accent6" w:themeShade="BF"/>
                <w:kern w:val="1"/>
                <w:lang w:val="ro-RO" w:eastAsia="zh-CN" w:bidi="hi-IN"/>
              </w:rPr>
              <w:lastRenderedPageBreak/>
              <w:t>II. Învăţământ superior</w:t>
            </w:r>
          </w:p>
        </w:tc>
      </w:tr>
      <w:tr w:rsidR="0061290E" w:rsidRPr="00AF3608" w:rsidTr="005C01EF">
        <w:trPr>
          <w:gridAfter w:val="1"/>
          <w:wAfter w:w="168" w:type="dxa"/>
          <w:trHeight w:val="44"/>
          <w:jc w:val="center"/>
        </w:trPr>
        <w:tc>
          <w:tcPr>
            <w:tcW w:w="2553" w:type="dxa"/>
            <w:shd w:val="clear" w:color="auto" w:fill="auto"/>
            <w:vAlign w:val="center"/>
          </w:tcPr>
          <w:p w:rsidR="0061290E" w:rsidRPr="00AF3608" w:rsidRDefault="0061290E" w:rsidP="00B723C0">
            <w:pPr>
              <w:widowControl w:val="0"/>
              <w:suppressAutoHyphens/>
              <w:spacing w:line="276" w:lineRule="auto"/>
              <w:ind w:left="426"/>
              <w:jc w:val="center"/>
              <w:rPr>
                <w:rFonts w:asciiTheme="minorHAnsi" w:eastAsia="SimSun" w:hAnsiTheme="minorHAnsi"/>
                <w:color w:val="538135" w:themeColor="accent6" w:themeShade="BF"/>
                <w:kern w:val="1"/>
                <w:lang w:val="ro-RO" w:eastAsia="zh-CN" w:bidi="hi-IN"/>
              </w:rPr>
            </w:pPr>
          </w:p>
          <w:p w:rsidR="0061290E" w:rsidRPr="00AF3608" w:rsidRDefault="0061290E" w:rsidP="00B723C0">
            <w:pPr>
              <w:widowControl w:val="0"/>
              <w:suppressAutoHyphens/>
              <w:spacing w:line="276" w:lineRule="auto"/>
              <w:ind w:left="426"/>
              <w:jc w:val="center"/>
              <w:rPr>
                <w:rFonts w:asciiTheme="minorHAnsi" w:eastAsia="SimSun" w:hAnsiTheme="minorHAnsi"/>
                <w:color w:val="538135" w:themeColor="accent6" w:themeShade="BF"/>
                <w:kern w:val="1"/>
                <w:lang w:val="ro-RO" w:eastAsia="zh-CN" w:bidi="hi-IN"/>
              </w:rPr>
            </w:pPr>
          </w:p>
          <w:p w:rsidR="0061290E" w:rsidRPr="00AF3608" w:rsidRDefault="00854361" w:rsidP="00B723C0">
            <w:pPr>
              <w:widowControl w:val="0"/>
              <w:suppressAutoHyphens/>
              <w:autoSpaceDE w:val="0"/>
              <w:autoSpaceDN w:val="0"/>
              <w:adjustRightInd w:val="0"/>
              <w:spacing w:line="276" w:lineRule="auto"/>
              <w:jc w:val="center"/>
              <w:rPr>
                <w:rFonts w:asciiTheme="minorHAnsi" w:eastAsia="SimSun" w:hAnsiTheme="minorHAnsi"/>
                <w:color w:val="538135" w:themeColor="accent6" w:themeShade="BF"/>
                <w:kern w:val="1"/>
                <w:lang w:val="ro-RO" w:eastAsia="zh-CN" w:bidi="hi-IN"/>
              </w:rPr>
            </w:pPr>
            <w:r w:rsidRPr="00AF3608">
              <w:rPr>
                <w:rFonts w:asciiTheme="minorHAnsi" w:eastAsia="Calibri" w:hAnsiTheme="minorHAnsi"/>
                <w:color w:val="538135" w:themeColor="accent6" w:themeShade="BF"/>
                <w:lang w:val="ro-RO"/>
              </w:rPr>
              <w:t xml:space="preserve">1. </w:t>
            </w:r>
            <w:r w:rsidR="0061290E" w:rsidRPr="00AF3608">
              <w:rPr>
                <w:rFonts w:asciiTheme="minorHAnsi" w:eastAsia="Calibri" w:hAnsiTheme="minorHAnsi"/>
                <w:color w:val="538135" w:themeColor="accent6" w:themeShade="BF"/>
                <w:lang w:val="ro-RO"/>
              </w:rPr>
              <w:t>Creșterea autonomiei universitare, concomitent cu creșterea răspunderii publice a universităților</w:t>
            </w:r>
          </w:p>
          <w:p w:rsidR="0061290E" w:rsidRPr="00AF3608" w:rsidRDefault="0061290E" w:rsidP="00B723C0">
            <w:pPr>
              <w:widowControl w:val="0"/>
              <w:suppressAutoHyphens/>
              <w:spacing w:line="276" w:lineRule="auto"/>
              <w:ind w:left="426"/>
              <w:jc w:val="center"/>
              <w:rPr>
                <w:rFonts w:asciiTheme="minorHAnsi" w:eastAsia="SimSun" w:hAnsiTheme="minorHAnsi"/>
                <w:color w:val="538135" w:themeColor="accent6" w:themeShade="BF"/>
                <w:kern w:val="1"/>
                <w:lang w:val="ro-RO" w:eastAsia="zh-CN" w:bidi="hi-IN"/>
              </w:rPr>
            </w:pPr>
          </w:p>
          <w:p w:rsidR="0061290E" w:rsidRPr="00AF3608" w:rsidRDefault="0061290E" w:rsidP="00B723C0">
            <w:pPr>
              <w:widowControl w:val="0"/>
              <w:suppressAutoHyphens/>
              <w:spacing w:line="276" w:lineRule="auto"/>
              <w:ind w:left="426"/>
              <w:jc w:val="center"/>
              <w:rPr>
                <w:rFonts w:asciiTheme="minorHAnsi" w:eastAsia="SimSun" w:hAnsiTheme="minorHAnsi"/>
                <w:color w:val="538135" w:themeColor="accent6" w:themeShade="BF"/>
                <w:kern w:val="1"/>
                <w:lang w:val="ro-RO" w:eastAsia="zh-CN" w:bidi="hi-IN"/>
              </w:rPr>
            </w:pPr>
          </w:p>
        </w:tc>
        <w:tc>
          <w:tcPr>
            <w:tcW w:w="7370" w:type="dxa"/>
            <w:shd w:val="clear" w:color="auto" w:fill="auto"/>
            <w:vAlign w:val="center"/>
          </w:tcPr>
          <w:p w:rsidR="0061290E" w:rsidRPr="00AF3608" w:rsidRDefault="0061290E" w:rsidP="00B723C0">
            <w:pPr>
              <w:widowControl w:val="0"/>
              <w:numPr>
                <w:ilvl w:val="0"/>
                <w:numId w:val="1"/>
              </w:numPr>
              <w:tabs>
                <w:tab w:val="left" w:pos="851"/>
              </w:tabs>
              <w:suppressAutoHyphens/>
              <w:ind w:left="357" w:hanging="357"/>
              <w:jc w:val="both"/>
              <w:rPr>
                <w:rFonts w:asciiTheme="minorHAnsi" w:eastAsiaTheme="minorHAnsi" w:hAnsiTheme="minorHAnsi"/>
                <w:color w:val="000000" w:themeColor="text1"/>
                <w:lang w:val="ro-RO"/>
              </w:rPr>
            </w:pPr>
            <w:r w:rsidRPr="00AF3608">
              <w:rPr>
                <w:rFonts w:asciiTheme="minorHAnsi" w:eastAsiaTheme="minorHAnsi" w:hAnsiTheme="minorHAnsi"/>
                <w:color w:val="000000" w:themeColor="text1"/>
                <w:lang w:val="ro-RO"/>
              </w:rPr>
              <w:t>Creșterea treptată a procentului din PIB alocat pentru educație și cercetare, cu posibilitatea finanțării din surse extrabugetare</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Theme="minorHAnsi" w:hAnsiTheme="minorHAnsi"/>
                <w:color w:val="000000" w:themeColor="text1"/>
                <w:lang w:val="ro-RO"/>
              </w:rPr>
            </w:pPr>
            <w:r w:rsidRPr="00AF3608">
              <w:rPr>
                <w:rFonts w:asciiTheme="minorHAnsi" w:eastAsiaTheme="minorHAnsi" w:hAnsiTheme="minorHAnsi"/>
                <w:color w:val="000000" w:themeColor="text1"/>
                <w:lang w:val="ro-RO"/>
              </w:rPr>
              <w:t>Finanțarea multianuală a universităților cu stimularea, prin finanțare  suplimentară</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color w:val="000000"/>
                <w:lang w:val="ro-RO"/>
              </w:rPr>
            </w:pPr>
            <w:r w:rsidRPr="00AF3608">
              <w:rPr>
                <w:rFonts w:asciiTheme="minorHAnsi" w:eastAsiaTheme="minorHAnsi" w:hAnsiTheme="minorHAnsi"/>
                <w:color w:val="000000" w:themeColor="text1"/>
                <w:lang w:val="ro-RO"/>
              </w:rPr>
              <w:t>Creșterea autonomiei universitare și diversificarea rolurilor structurilor</w:t>
            </w:r>
            <w:r w:rsidRPr="00AF3608">
              <w:rPr>
                <w:rFonts w:asciiTheme="minorHAnsi" w:eastAsia="Calibri" w:hAnsiTheme="minorHAnsi"/>
                <w:color w:val="000000"/>
                <w:lang w:val="ro-RO"/>
              </w:rPr>
              <w:t xml:space="preserve"> universităților, precum și creșterea ponderii studenților / angajatorilor / reprezentanților autorităților publice locale în procesul decizional</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Clasificarea universităților în funcție de performanță, de misiunea asumată și de rolul pe care îl joacă la nivel internațional sau regional</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Asigurarea sprijinului financiar pentru studenți prin stabilirea unui cuantum minim al burselor studențești</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Renunțarea la blocarea fondurilor universităților la final de an</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Finanțarea suplimentară a temelor de cercetare doctorală finanțate de la buget care reprezintă cereri venite din mediul economico-social.</w:t>
            </w:r>
          </w:p>
          <w:p w:rsidR="0061290E" w:rsidRPr="00AF3608" w:rsidRDefault="0061290E" w:rsidP="00B723C0">
            <w:pPr>
              <w:widowControl w:val="0"/>
              <w:autoSpaceDE w:val="0"/>
              <w:autoSpaceDN w:val="0"/>
              <w:adjustRightInd w:val="0"/>
              <w:ind w:left="337"/>
              <w:jc w:val="both"/>
              <w:rPr>
                <w:rFonts w:asciiTheme="minorHAnsi" w:eastAsia="Calibri" w:hAnsiTheme="minorHAnsi"/>
                <w:color w:val="000000"/>
                <w:lang w:val="ro-RO"/>
              </w:rPr>
            </w:pPr>
          </w:p>
        </w:tc>
      </w:tr>
      <w:tr w:rsidR="0061290E" w:rsidRPr="00AF3608" w:rsidTr="005C01EF">
        <w:trPr>
          <w:gridAfter w:val="1"/>
          <w:wAfter w:w="168" w:type="dxa"/>
          <w:trHeight w:val="44"/>
          <w:jc w:val="center"/>
        </w:trPr>
        <w:tc>
          <w:tcPr>
            <w:tcW w:w="2553" w:type="dxa"/>
            <w:shd w:val="clear" w:color="auto" w:fill="auto"/>
            <w:vAlign w:val="center"/>
          </w:tcPr>
          <w:p w:rsidR="0061290E" w:rsidRPr="00AF3608" w:rsidRDefault="0061290E" w:rsidP="00B723C0">
            <w:pPr>
              <w:widowControl w:val="0"/>
              <w:autoSpaceDE w:val="0"/>
              <w:autoSpaceDN w:val="0"/>
              <w:adjustRightInd w:val="0"/>
              <w:spacing w:line="276" w:lineRule="auto"/>
              <w:jc w:val="center"/>
              <w:rPr>
                <w:rFonts w:asciiTheme="minorHAnsi" w:eastAsia="Calibri" w:hAnsiTheme="minorHAnsi"/>
                <w:color w:val="538135" w:themeColor="accent6" w:themeShade="BF"/>
                <w:lang w:val="ro-RO"/>
              </w:rPr>
            </w:pPr>
            <w:r w:rsidRPr="00AF3608">
              <w:rPr>
                <w:rFonts w:asciiTheme="minorHAnsi" w:eastAsia="Calibri" w:hAnsiTheme="minorHAnsi"/>
                <w:color w:val="538135" w:themeColor="accent6" w:themeShade="BF"/>
                <w:lang w:val="ro-RO"/>
              </w:rPr>
              <w:t>2. Dezvoltarea dimensiunii internaționale a învățământului terțiar</w:t>
            </w:r>
          </w:p>
          <w:p w:rsidR="0061290E" w:rsidRPr="00AF3608" w:rsidRDefault="0061290E" w:rsidP="00B723C0">
            <w:pPr>
              <w:widowControl w:val="0"/>
              <w:tabs>
                <w:tab w:val="left" w:pos="903"/>
                <w:tab w:val="left" w:pos="948"/>
              </w:tabs>
              <w:suppressAutoHyphens/>
              <w:spacing w:line="276" w:lineRule="auto"/>
              <w:ind w:left="384"/>
              <w:contextualSpacing/>
              <w:jc w:val="center"/>
              <w:rPr>
                <w:rFonts w:asciiTheme="minorHAnsi" w:hAnsiTheme="minorHAnsi"/>
                <w:color w:val="538135" w:themeColor="accent6" w:themeShade="BF"/>
                <w:kern w:val="1"/>
                <w:lang w:val="ro-RO" w:eastAsia="zh-CN" w:bidi="hi-IN"/>
              </w:rPr>
            </w:pPr>
          </w:p>
        </w:tc>
        <w:tc>
          <w:tcPr>
            <w:tcW w:w="7370" w:type="dxa"/>
            <w:shd w:val="clear" w:color="auto" w:fill="auto"/>
            <w:vAlign w:val="center"/>
          </w:tcPr>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 xml:space="preserve">Stimularea (financiară și prin intermediul indicatorilor de asigurare a calității) a universităților care: atrag studenți, cadre didactice și cercetători din alte state; susțin programele de mobilități; se implică în dezvoltarea de rețele europene; facilitează servicii pentru studenții internaționali; dezvoltă programe de studii double / joint-degree; investesc în infrastructură </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Punerea în comun a resurselor universităților și ale institutelor naționale de cercetare cu performanțe deosebite.</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 xml:space="preserve">Susținerea universităților românești membre ale unor Rețele de Universități Europene </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Simplificarea procedurilor de înmatriculare a studenților străini</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Atingerea unui nivel de participare în mobilități pentru minimum 20% dintre studenții de la licență și master și 80% dintre doctoranzi</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Reglementarea cadrului legal cu privire la joint degree</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Actualizarea calificărilor și standardelor ocupaționale.</w:t>
            </w:r>
          </w:p>
        </w:tc>
      </w:tr>
      <w:tr w:rsidR="0061290E" w:rsidRPr="00AF3608" w:rsidTr="005C01EF">
        <w:trPr>
          <w:trHeight w:val="44"/>
          <w:jc w:val="center"/>
        </w:trPr>
        <w:tc>
          <w:tcPr>
            <w:tcW w:w="2553" w:type="dxa"/>
            <w:shd w:val="clear" w:color="auto" w:fill="auto"/>
            <w:vAlign w:val="center"/>
          </w:tcPr>
          <w:p w:rsidR="0061290E" w:rsidRPr="00AF3608" w:rsidRDefault="0061290E" w:rsidP="00B723C0">
            <w:pPr>
              <w:widowControl w:val="0"/>
              <w:autoSpaceDE w:val="0"/>
              <w:autoSpaceDN w:val="0"/>
              <w:adjustRightInd w:val="0"/>
              <w:spacing w:after="120" w:line="276" w:lineRule="auto"/>
              <w:jc w:val="center"/>
              <w:rPr>
                <w:rFonts w:asciiTheme="minorHAnsi" w:eastAsia="Calibri" w:hAnsiTheme="minorHAnsi"/>
                <w:color w:val="538135" w:themeColor="accent6" w:themeShade="BF"/>
                <w:lang w:val="ro-RO"/>
              </w:rPr>
            </w:pPr>
            <w:r w:rsidRPr="00AF3608">
              <w:rPr>
                <w:rFonts w:asciiTheme="minorHAnsi" w:eastAsia="Calibri" w:hAnsiTheme="minorHAnsi"/>
                <w:color w:val="538135" w:themeColor="accent6" w:themeShade="BF"/>
                <w:lang w:val="ro-RO"/>
              </w:rPr>
              <w:t>3. Asigurarea calității educației, respectând misiunea universităților, recomandările și normele internaționale</w:t>
            </w:r>
          </w:p>
        </w:tc>
        <w:tc>
          <w:tcPr>
            <w:tcW w:w="7538" w:type="dxa"/>
            <w:gridSpan w:val="2"/>
            <w:shd w:val="clear" w:color="auto" w:fill="auto"/>
            <w:vAlign w:val="center"/>
          </w:tcPr>
          <w:p w:rsidR="0061290E" w:rsidRPr="00AF3608" w:rsidRDefault="0061290E" w:rsidP="00B723C0">
            <w:pPr>
              <w:widowControl w:val="0"/>
              <w:autoSpaceDE w:val="0"/>
              <w:autoSpaceDN w:val="0"/>
              <w:adjustRightInd w:val="0"/>
              <w:spacing w:line="276" w:lineRule="auto"/>
              <w:ind w:left="736"/>
              <w:jc w:val="both"/>
              <w:rPr>
                <w:rFonts w:asciiTheme="minorHAnsi" w:eastAsia="Calibri" w:hAnsiTheme="minorHAnsi"/>
                <w:color w:val="000000" w:themeColor="text1"/>
                <w:lang w:val="ro-RO"/>
              </w:rPr>
            </w:pP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 xml:space="preserve">Clarificarea procedurilor de evaluare externă și demararea lor pentru: școlile doctorale; programele joint-/ double- degree; programe derulate în universități europene; programe transfrontaliere </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Echiparea universităților cu echipamente pentru digitalizarea proceselor educaționale, inclusiv a evaluărilor</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 xml:space="preserve">Dezvoltarea sistemului de asigurare a calității </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Internaționalizarea proceselor de asigurare a calității prin facilitarea evaluărilor transfrontaliere</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Garantarea independenței alegerilor și a celei academice</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Dezvoltarea de programe în regim dual și acordarea de facilități absolvenților care vor lucra în IPT sau în zone defavorizate.</w:t>
            </w:r>
          </w:p>
          <w:p w:rsidR="0061290E" w:rsidRPr="00AF3608" w:rsidRDefault="0061290E" w:rsidP="00B723C0">
            <w:pPr>
              <w:widowControl w:val="0"/>
              <w:autoSpaceDE w:val="0"/>
              <w:autoSpaceDN w:val="0"/>
              <w:adjustRightInd w:val="0"/>
              <w:jc w:val="both"/>
              <w:rPr>
                <w:rFonts w:asciiTheme="minorHAnsi" w:eastAsia="Calibri" w:hAnsiTheme="minorHAnsi"/>
                <w:color w:val="000000"/>
                <w:lang w:val="ro-RO"/>
              </w:rPr>
            </w:pPr>
          </w:p>
        </w:tc>
      </w:tr>
      <w:tr w:rsidR="0061290E" w:rsidRPr="00AF3608" w:rsidTr="005C01EF">
        <w:trPr>
          <w:trHeight w:val="44"/>
          <w:jc w:val="center"/>
        </w:trPr>
        <w:tc>
          <w:tcPr>
            <w:tcW w:w="2553" w:type="dxa"/>
            <w:shd w:val="clear" w:color="auto" w:fill="auto"/>
            <w:vAlign w:val="center"/>
          </w:tcPr>
          <w:p w:rsidR="0061290E" w:rsidRPr="00AF3608" w:rsidRDefault="0061290E" w:rsidP="00B723C0">
            <w:pPr>
              <w:widowControl w:val="0"/>
              <w:autoSpaceDE w:val="0"/>
              <w:autoSpaceDN w:val="0"/>
              <w:adjustRightInd w:val="0"/>
              <w:jc w:val="center"/>
              <w:rPr>
                <w:rFonts w:asciiTheme="minorHAnsi" w:eastAsia="Calibri" w:hAnsiTheme="minorHAnsi"/>
                <w:color w:val="538135" w:themeColor="accent6" w:themeShade="BF"/>
                <w:lang w:val="ro-RO"/>
              </w:rPr>
            </w:pPr>
            <w:r w:rsidRPr="00AF3608">
              <w:rPr>
                <w:rFonts w:asciiTheme="minorHAnsi" w:eastAsia="Calibri" w:hAnsiTheme="minorHAnsi"/>
                <w:color w:val="538135" w:themeColor="accent6" w:themeShade="BF"/>
                <w:lang w:val="ro-RO"/>
              </w:rPr>
              <w:lastRenderedPageBreak/>
              <w:t>4. Dezvoltarea cercetării în universități și creșterea performanțelor școlilor doctorale în condiții de transparență, etică și integritate academică</w:t>
            </w:r>
          </w:p>
        </w:tc>
        <w:tc>
          <w:tcPr>
            <w:tcW w:w="7538" w:type="dxa"/>
            <w:gridSpan w:val="2"/>
            <w:shd w:val="clear" w:color="auto" w:fill="auto"/>
            <w:vAlign w:val="center"/>
          </w:tcPr>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Creșterea finanțării și diversificarea surselor de finanțare; finanțarea suplimentară a universităților conectate cu mediul economic</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 xml:space="preserve">Atragerea cercetătorilor afiliați la universitățile din străinătate </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 xml:space="preserve">Evaluarea impactului și revizuirea periodică a instrumentelor de monitorizare, evaluare și sancționare a abaterilor de la etică și integritatea academică; organizarea de cursuri explicite de etică </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Utilizarea de softuri anti-plagiat atât pentru evaluările majore cât și pentru evaluările curente din cadrul programelor de studii</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 xml:space="preserve">Suplimentarea finanțării de bază printr-un capitol bugetar dedicat finanțării cercetării științifice din universități </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themeColor="text1"/>
                <w:lang w:val="ro-RO"/>
              </w:rPr>
            </w:pPr>
            <w:r w:rsidRPr="00AF3608">
              <w:rPr>
                <w:rFonts w:asciiTheme="minorHAnsi" w:eastAsia="Calibri" w:hAnsiTheme="minorHAnsi"/>
                <w:color w:val="000000"/>
                <w:lang w:val="ro-RO"/>
              </w:rPr>
              <w:t>Evaluarea și reforma școlilor doctorale.</w:t>
            </w:r>
          </w:p>
          <w:p w:rsidR="0061290E" w:rsidRPr="00AF3608" w:rsidRDefault="0061290E" w:rsidP="00B723C0">
            <w:pPr>
              <w:widowControl w:val="0"/>
              <w:autoSpaceDE w:val="0"/>
              <w:autoSpaceDN w:val="0"/>
              <w:adjustRightInd w:val="0"/>
              <w:jc w:val="both"/>
              <w:rPr>
                <w:rFonts w:asciiTheme="minorHAnsi" w:eastAsia="Calibri" w:hAnsiTheme="minorHAnsi"/>
                <w:color w:val="000000" w:themeColor="text1"/>
                <w:lang w:val="ro-RO"/>
              </w:rPr>
            </w:pPr>
          </w:p>
        </w:tc>
      </w:tr>
      <w:tr w:rsidR="0061290E" w:rsidRPr="00AF3608" w:rsidTr="005C01EF">
        <w:trPr>
          <w:gridAfter w:val="1"/>
          <w:wAfter w:w="168" w:type="dxa"/>
          <w:trHeight w:val="44"/>
          <w:jc w:val="center"/>
        </w:trPr>
        <w:tc>
          <w:tcPr>
            <w:tcW w:w="2553" w:type="dxa"/>
            <w:shd w:val="clear" w:color="auto" w:fill="auto"/>
            <w:vAlign w:val="center"/>
          </w:tcPr>
          <w:p w:rsidR="0061290E" w:rsidRPr="00AF3608" w:rsidRDefault="0061290E" w:rsidP="00B723C0">
            <w:pPr>
              <w:widowControl w:val="0"/>
              <w:autoSpaceDE w:val="0"/>
              <w:autoSpaceDN w:val="0"/>
              <w:adjustRightInd w:val="0"/>
              <w:spacing w:line="276" w:lineRule="auto"/>
              <w:jc w:val="center"/>
              <w:rPr>
                <w:rFonts w:asciiTheme="minorHAnsi" w:eastAsia="Calibri" w:hAnsiTheme="minorHAnsi"/>
                <w:color w:val="538135" w:themeColor="accent6" w:themeShade="BF"/>
                <w:lang w:val="ro-RO"/>
              </w:rPr>
            </w:pPr>
            <w:r w:rsidRPr="00AF3608">
              <w:rPr>
                <w:rFonts w:asciiTheme="minorHAnsi" w:eastAsia="Calibri" w:hAnsiTheme="minorHAnsi"/>
                <w:color w:val="538135" w:themeColor="accent6" w:themeShade="BF"/>
                <w:lang w:val="ro-RO"/>
              </w:rPr>
              <w:t>5. Creșterea capacității universităților de a implementa politici (profesionalizarea managementului universitar)</w:t>
            </w:r>
          </w:p>
          <w:p w:rsidR="0061290E" w:rsidRPr="00AF3608" w:rsidRDefault="0061290E" w:rsidP="00B723C0">
            <w:pPr>
              <w:widowControl w:val="0"/>
              <w:tabs>
                <w:tab w:val="left" w:pos="27"/>
                <w:tab w:val="left" w:pos="452"/>
              </w:tabs>
              <w:suppressAutoHyphens/>
              <w:spacing w:line="276" w:lineRule="auto"/>
              <w:ind w:left="169"/>
              <w:contextualSpacing/>
              <w:jc w:val="center"/>
              <w:rPr>
                <w:rFonts w:asciiTheme="minorHAnsi" w:eastAsia="SimSun" w:hAnsiTheme="minorHAnsi"/>
                <w:i/>
                <w:color w:val="538135" w:themeColor="accent6" w:themeShade="BF"/>
                <w:kern w:val="1"/>
                <w:lang w:val="ro-RO" w:eastAsia="zh-CN" w:bidi="hi-IN"/>
              </w:rPr>
            </w:pPr>
          </w:p>
        </w:tc>
        <w:tc>
          <w:tcPr>
            <w:tcW w:w="7370" w:type="dxa"/>
            <w:shd w:val="clear" w:color="auto" w:fill="auto"/>
            <w:vAlign w:val="center"/>
          </w:tcPr>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Înființarea și finanțarea cu prioritate a unor programe de studii specializate în managementul educațional universitar</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Reformarea traseului managerilor universitari (prin noi trasee profesionale) și evaluarea periodică a acestora</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Extinderea Registrului Matricol Unic (RMU) și conectarea acestuia la date din REVISAL și la alte baze de date</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themeColor="text1"/>
                <w:lang w:val="ro-RO"/>
              </w:rPr>
            </w:pPr>
            <w:r w:rsidRPr="00AF3608">
              <w:rPr>
                <w:rFonts w:asciiTheme="minorHAnsi" w:eastAsia="Calibri" w:hAnsiTheme="minorHAnsi"/>
                <w:color w:val="000000"/>
                <w:lang w:val="ro-RO"/>
              </w:rPr>
              <w:t>Asigurarea unui ciclu coerent de colectare, interpretare și utilizare a rezultatelor evaluării studenților.</w:t>
            </w:r>
          </w:p>
          <w:p w:rsidR="0061290E" w:rsidRPr="00AF3608" w:rsidRDefault="0061290E" w:rsidP="00B723C0">
            <w:pPr>
              <w:widowControl w:val="0"/>
              <w:autoSpaceDE w:val="0"/>
              <w:autoSpaceDN w:val="0"/>
              <w:adjustRightInd w:val="0"/>
              <w:ind w:left="337"/>
              <w:jc w:val="both"/>
              <w:rPr>
                <w:rFonts w:asciiTheme="minorHAnsi" w:eastAsia="Calibri" w:hAnsiTheme="minorHAnsi"/>
                <w:color w:val="000000" w:themeColor="text1"/>
                <w:lang w:val="ro-RO"/>
              </w:rPr>
            </w:pPr>
          </w:p>
        </w:tc>
      </w:tr>
      <w:tr w:rsidR="0061290E" w:rsidRPr="00AF3608" w:rsidTr="005C01EF">
        <w:trPr>
          <w:gridAfter w:val="1"/>
          <w:wAfter w:w="168" w:type="dxa"/>
          <w:trHeight w:val="44"/>
          <w:jc w:val="center"/>
        </w:trPr>
        <w:tc>
          <w:tcPr>
            <w:tcW w:w="2553" w:type="dxa"/>
            <w:shd w:val="clear" w:color="auto" w:fill="auto"/>
            <w:vAlign w:val="center"/>
          </w:tcPr>
          <w:p w:rsidR="0061290E" w:rsidRPr="00AF3608" w:rsidRDefault="0061290E" w:rsidP="00B723C0">
            <w:pPr>
              <w:widowControl w:val="0"/>
              <w:autoSpaceDE w:val="0"/>
              <w:autoSpaceDN w:val="0"/>
              <w:adjustRightInd w:val="0"/>
              <w:spacing w:line="276" w:lineRule="auto"/>
              <w:jc w:val="center"/>
              <w:rPr>
                <w:rFonts w:asciiTheme="minorHAnsi" w:eastAsia="Calibri" w:hAnsiTheme="minorHAnsi"/>
                <w:color w:val="538135" w:themeColor="accent6" w:themeShade="BF"/>
                <w:lang w:val="ro-RO"/>
              </w:rPr>
            </w:pPr>
            <w:r w:rsidRPr="00AF3608">
              <w:rPr>
                <w:rFonts w:asciiTheme="minorHAnsi" w:eastAsia="Calibri" w:hAnsiTheme="minorHAnsi"/>
                <w:color w:val="538135" w:themeColor="accent6" w:themeShade="BF"/>
                <w:lang w:val="ro-RO"/>
              </w:rPr>
              <w:t>6. Dezvoltarea unui sistem echitabil care să sprijine accesul tuturor studenților la programe de studiu de calitate</w:t>
            </w:r>
          </w:p>
        </w:tc>
        <w:tc>
          <w:tcPr>
            <w:tcW w:w="7370" w:type="dxa"/>
            <w:shd w:val="clear" w:color="auto" w:fill="auto"/>
            <w:vAlign w:val="center"/>
          </w:tcPr>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Oferirea de pachete de sprijin potențialilor studenți cu risc crescut de abandon școlar: servicii de consiliere, cazare și masă gratuite, burse sociale și de performanță etc.</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Dezvoltarea unui pachet unitar de programe anti-sărăcie pentru studenții provenind din familii defavorizate (ex. Primul student în familie)</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themeColor="text1"/>
                <w:lang w:val="ro-RO"/>
              </w:rPr>
            </w:pPr>
            <w:r w:rsidRPr="00AF3608">
              <w:rPr>
                <w:rFonts w:asciiTheme="minorHAnsi" w:eastAsia="Calibri" w:hAnsiTheme="minorHAnsi"/>
                <w:color w:val="000000"/>
                <w:lang w:val="ro-RO"/>
              </w:rPr>
              <w:t>Monitorizarea, evaluarea și îmbunătățirea infrastructurii și a capacității universităților de a integra studenți cu dizabilități.</w:t>
            </w:r>
          </w:p>
        </w:tc>
      </w:tr>
    </w:tbl>
    <w:p w:rsidR="0061290E" w:rsidRPr="00AF3608" w:rsidRDefault="0061290E" w:rsidP="00B723C0">
      <w:pPr>
        <w:spacing w:line="276" w:lineRule="auto"/>
        <w:rPr>
          <w:rFonts w:asciiTheme="minorHAnsi" w:hAnsiTheme="minorHAnsi"/>
          <w:lang w:val="ro-RO"/>
        </w:rPr>
      </w:pPr>
    </w:p>
    <w:p w:rsidR="0061290E" w:rsidRPr="00AF3608" w:rsidRDefault="0061290E" w:rsidP="00B723C0">
      <w:pPr>
        <w:suppressAutoHyphens/>
        <w:spacing w:before="120"/>
        <w:jc w:val="both"/>
        <w:rPr>
          <w:rFonts w:ascii="Calibri" w:hAnsi="Calibri" w:cs="Calibri"/>
          <w:lang w:val="ro-RO"/>
        </w:rPr>
      </w:pPr>
    </w:p>
    <w:p w:rsidR="00D04074" w:rsidRPr="00AF3608" w:rsidRDefault="000E51B8" w:rsidP="002715C2">
      <w:pPr>
        <w:widowControl w:val="0"/>
        <w:shd w:val="clear" w:color="auto" w:fill="A8D08D" w:themeFill="accent6" w:themeFillTint="99"/>
        <w:suppressAutoHyphens/>
        <w:spacing w:before="120"/>
        <w:jc w:val="both"/>
        <w:rPr>
          <w:rFonts w:ascii="Calibri" w:eastAsia="SimSun" w:hAnsi="Calibri" w:cs="Arial Narrow"/>
          <w:b/>
          <w:kern w:val="2"/>
          <w:lang w:val="ro-RO" w:eastAsia="zh-CN" w:bidi="hi-IN"/>
        </w:rPr>
      </w:pPr>
      <w:r w:rsidRPr="00AF3608">
        <w:rPr>
          <w:rFonts w:ascii="Calibri" w:eastAsia="SimSun" w:hAnsi="Calibri" w:cs="Arial Narrow"/>
          <w:b/>
          <w:kern w:val="2"/>
          <w:lang w:val="ro-RO" w:eastAsia="zh-CN" w:bidi="hi-IN"/>
        </w:rPr>
        <w:t>Politica în domeniul economiei, antreprenoriatului și turismului</w:t>
      </w:r>
    </w:p>
    <w:p w:rsidR="000E51B8" w:rsidRPr="00AF3608" w:rsidRDefault="000E51B8" w:rsidP="00B723C0">
      <w:pPr>
        <w:autoSpaceDE w:val="0"/>
        <w:autoSpaceDN w:val="0"/>
        <w:adjustRightInd w:val="0"/>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Ministerul Economiei, Antreprenoriatului și Turismului î</w:t>
      </w:r>
      <w:r w:rsidRPr="00AF3608">
        <w:rPr>
          <w:rFonts w:asciiTheme="minorHAnsi" w:hAnsiTheme="minorHAnsi" w:cstheme="minorHAnsi"/>
          <w:kern w:val="1"/>
          <w:lang w:val="ro-RO" w:eastAsia="zh-CN"/>
        </w:rPr>
        <w:t xml:space="preserve">nființat în baza Ordonanței de Urgență a Guvernului </w:t>
      </w:r>
      <w:r w:rsidRPr="00AF3608">
        <w:rPr>
          <w:rFonts w:asciiTheme="minorHAnsi" w:hAnsiTheme="minorHAnsi" w:cstheme="minorHAnsi"/>
          <w:lang w:val="ro-RO"/>
        </w:rPr>
        <w:t xml:space="preserve">privind stabilirea unor măsuri la nivelul administraţiei publice centrale şi pentru modificarea şi completarea unor acte normative nr.212/2020, </w:t>
      </w:r>
      <w:r w:rsidRPr="00AF3608">
        <w:rPr>
          <w:rFonts w:asciiTheme="minorHAnsi" w:hAnsiTheme="minorHAnsi" w:cstheme="minorHAnsi"/>
          <w:kern w:val="1"/>
          <w:lang w:val="ro-RO" w:eastAsia="zh-CN"/>
        </w:rPr>
        <w:t>se organizează și functionează ca organ de specialitate al administrației publice centrale, în subordinea Guvernului</w:t>
      </w:r>
      <w:r w:rsidRPr="00AF3608">
        <w:rPr>
          <w:rFonts w:asciiTheme="minorHAnsi" w:hAnsiTheme="minorHAnsi" w:cstheme="minorHAnsi"/>
          <w:lang w:val="ro-RO"/>
        </w:rPr>
        <w:t xml:space="preserve"> care </w:t>
      </w:r>
      <w:r w:rsidRPr="00AF3608">
        <w:rPr>
          <w:rFonts w:asciiTheme="minorHAnsi" w:hAnsiTheme="minorHAnsi" w:cstheme="minorHAnsi"/>
          <w:lang w:val="ro-RO" w:eastAsia="ro-RO"/>
        </w:rPr>
        <w:t>aplică strategia și Programul de guvernare în domeniile economie, politici industriale, competitivitate, industria de apărare, resurse minerale neenergetice și dezvoltare durabilă, proprietate intelectuală, invenții și mărci, protecția consumatorilor, infrastructura calității și supravegherea pieței, întreprinderilor mici si mijlocii, cooperației și mediului de afaceri, comerțului, politicii comerciale și al relațiilor economice internaționale și investitiilor străine, în concordanță cu cerințele economiei de piață și pentru stimularea inițiativei operatorilor economici.</w:t>
      </w:r>
    </w:p>
    <w:p w:rsidR="000E51B8" w:rsidRDefault="000E51B8" w:rsidP="00B723C0">
      <w:pPr>
        <w:autoSpaceDE w:val="0"/>
        <w:autoSpaceDN w:val="0"/>
        <w:adjustRightInd w:val="0"/>
        <w:spacing w:before="120"/>
        <w:jc w:val="both"/>
        <w:rPr>
          <w:rFonts w:asciiTheme="minorHAnsi" w:hAnsiTheme="minorHAnsi" w:cstheme="minorHAnsi"/>
          <w:lang w:val="ro-RO"/>
        </w:rPr>
      </w:pPr>
    </w:p>
    <w:p w:rsidR="00AB6E79" w:rsidRDefault="00AB6E79" w:rsidP="00B723C0">
      <w:pPr>
        <w:autoSpaceDE w:val="0"/>
        <w:autoSpaceDN w:val="0"/>
        <w:adjustRightInd w:val="0"/>
        <w:spacing w:before="120"/>
        <w:jc w:val="both"/>
        <w:rPr>
          <w:rFonts w:asciiTheme="minorHAnsi" w:hAnsiTheme="minorHAnsi" w:cstheme="minorHAnsi"/>
          <w:lang w:val="ro-RO"/>
        </w:rPr>
      </w:pPr>
    </w:p>
    <w:p w:rsidR="00AB6E79" w:rsidRPr="00AF3608" w:rsidRDefault="00AB6E79" w:rsidP="00B723C0">
      <w:pPr>
        <w:autoSpaceDE w:val="0"/>
        <w:autoSpaceDN w:val="0"/>
        <w:adjustRightInd w:val="0"/>
        <w:spacing w:before="120"/>
        <w:jc w:val="both"/>
        <w:rPr>
          <w:rFonts w:asciiTheme="minorHAnsi" w:hAnsiTheme="minorHAnsi" w:cstheme="minorHAnsi"/>
          <w:lang w:val="ro-RO"/>
        </w:rPr>
      </w:pPr>
    </w:p>
    <w:p w:rsidR="000E51B8" w:rsidRPr="00AF3608" w:rsidRDefault="000E51B8" w:rsidP="00B723C0">
      <w:pPr>
        <w:autoSpaceDE w:val="0"/>
        <w:autoSpaceDN w:val="0"/>
        <w:adjustRightInd w:val="0"/>
        <w:spacing w:before="120"/>
        <w:jc w:val="both"/>
        <w:rPr>
          <w:rFonts w:asciiTheme="minorHAnsi" w:hAnsiTheme="minorHAnsi" w:cstheme="minorHAnsi"/>
          <w:b/>
          <w:lang w:val="ro-RO" w:eastAsia="ro-RO"/>
        </w:rPr>
      </w:pPr>
      <w:r w:rsidRPr="00AF3608">
        <w:rPr>
          <w:rFonts w:asciiTheme="minorHAnsi" w:hAnsiTheme="minorHAnsi" w:cstheme="minorHAnsi"/>
          <w:b/>
          <w:lang w:val="ro-RO" w:eastAsia="ro-RO"/>
        </w:rPr>
        <w:lastRenderedPageBreak/>
        <w:t>PRIORITĂŢI STRATEGICE PE TERMEN MEDIU ALE ORDONATORULUI</w:t>
      </w:r>
    </w:p>
    <w:p w:rsidR="000E51B8" w:rsidRPr="00AF3608" w:rsidRDefault="000E51B8" w:rsidP="003A0B85">
      <w:pPr>
        <w:pStyle w:val="ListParagraph"/>
        <w:numPr>
          <w:ilvl w:val="0"/>
          <w:numId w:val="100"/>
        </w:numPr>
        <w:shd w:val="clear" w:color="auto" w:fill="D9D9D9" w:themeFill="background1" w:themeFillShade="D9"/>
        <w:autoSpaceDE w:val="0"/>
        <w:autoSpaceDN w:val="0"/>
        <w:adjustRightInd w:val="0"/>
        <w:spacing w:before="120"/>
        <w:jc w:val="both"/>
        <w:rPr>
          <w:rFonts w:asciiTheme="minorHAnsi" w:hAnsiTheme="minorHAnsi" w:cstheme="minorHAnsi"/>
          <w:b/>
          <w:bCs/>
          <w:color w:val="000000"/>
          <w:lang w:eastAsia="ro-RO"/>
        </w:rPr>
      </w:pPr>
      <w:r w:rsidRPr="00AF3608">
        <w:rPr>
          <w:rFonts w:asciiTheme="minorHAnsi" w:hAnsiTheme="minorHAnsi" w:cstheme="minorHAnsi"/>
          <w:b/>
          <w:bCs/>
          <w:lang w:eastAsia="ro-RO"/>
        </w:rPr>
        <w:t xml:space="preserve">În domeniul </w:t>
      </w:r>
      <w:r w:rsidRPr="00AF3608">
        <w:rPr>
          <w:rFonts w:asciiTheme="minorHAnsi" w:hAnsiTheme="minorHAnsi" w:cstheme="minorHAnsi"/>
          <w:b/>
          <w:bCs/>
          <w:color w:val="000000"/>
          <w:lang w:eastAsia="ro-RO"/>
        </w:rPr>
        <w:t>economie, politici industriale, competitivitate, industria de apărare, resurse minerale neenergetice şi dezvoltare durabilă, proprietate intelectuală, invenţii şi mărci, protecţia consumatorilor, infrastructura calităţii şi supravegherea pieţei</w:t>
      </w:r>
    </w:p>
    <w:p w:rsidR="000E51B8" w:rsidRPr="00AF3608" w:rsidRDefault="000E51B8" w:rsidP="00B723C0">
      <w:pPr>
        <w:autoSpaceDE w:val="0"/>
        <w:autoSpaceDN w:val="0"/>
        <w:adjustRightInd w:val="0"/>
        <w:spacing w:before="120"/>
        <w:jc w:val="both"/>
        <w:rPr>
          <w:rFonts w:asciiTheme="minorHAnsi" w:hAnsiTheme="minorHAnsi" w:cstheme="minorHAnsi"/>
          <w:lang w:val="ro-RO"/>
        </w:rPr>
      </w:pPr>
    </w:p>
    <w:p w:rsidR="000E51B8" w:rsidRPr="00AF3608" w:rsidRDefault="00326DC8" w:rsidP="00B723C0">
      <w:pPr>
        <w:shd w:val="clear" w:color="auto" w:fill="F2F2F2" w:themeFill="background1" w:themeFillShade="F2"/>
        <w:spacing w:before="120"/>
        <w:rPr>
          <w:rFonts w:asciiTheme="minorHAnsi" w:hAnsiTheme="minorHAnsi" w:cstheme="minorHAnsi"/>
          <w:b/>
          <w:bCs/>
          <w:lang w:val="ro-RO" w:eastAsia="ro-RO"/>
        </w:rPr>
      </w:pPr>
      <w:r w:rsidRPr="00AF3608">
        <w:rPr>
          <w:rFonts w:asciiTheme="minorHAnsi" w:hAnsiTheme="minorHAnsi" w:cstheme="minorHAnsi"/>
          <w:b/>
          <w:bCs/>
          <w:lang w:val="ro-RO" w:eastAsia="ro-RO"/>
        </w:rPr>
        <w:t xml:space="preserve">1.1 </w:t>
      </w:r>
      <w:r w:rsidR="000E51B8" w:rsidRPr="00AF3608">
        <w:rPr>
          <w:rFonts w:asciiTheme="minorHAnsi" w:hAnsiTheme="minorHAnsi" w:cstheme="minorHAnsi"/>
          <w:b/>
          <w:bCs/>
          <w:lang w:val="ro-RO" w:eastAsia="ro-RO"/>
        </w:rPr>
        <w:t>Dezvoltarea competitivă și durabilă a industriei</w:t>
      </w:r>
    </w:p>
    <w:p w:rsidR="000E51B8" w:rsidRPr="00AF3608" w:rsidRDefault="000E51B8" w:rsidP="00B723C0">
      <w:pPr>
        <w:spacing w:before="120"/>
        <w:jc w:val="both"/>
        <w:rPr>
          <w:rFonts w:asciiTheme="minorHAnsi" w:hAnsiTheme="minorHAnsi" w:cstheme="minorHAnsi"/>
          <w:b/>
          <w:lang w:val="ro-RO" w:eastAsia="ro-RO"/>
        </w:rPr>
      </w:pPr>
      <w:r w:rsidRPr="00AF3608">
        <w:rPr>
          <w:rFonts w:asciiTheme="minorHAnsi" w:hAnsiTheme="minorHAnsi" w:cstheme="minorHAnsi"/>
          <w:b/>
          <w:lang w:val="ro-RO" w:eastAsia="ro-RO"/>
        </w:rPr>
        <w:t>Obiectiv:</w:t>
      </w:r>
    </w:p>
    <w:p w:rsidR="000E51B8" w:rsidRPr="00AF3608" w:rsidRDefault="000E51B8" w:rsidP="00B723C0">
      <w:pPr>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România, ca stat membru al Uniunii Europene, are ca obiectiv general atingerea țintelor strategice privind dezvoltarea industrială durabilă în concordanță cu strategiile de mediu și cele privind energia și schimbările climatice în vederea creșterii competitivității și performanțelor acelor sectoare industriale în care România consideră că poate avea un avantaj competitiv.</w:t>
      </w:r>
    </w:p>
    <w:p w:rsidR="000E51B8" w:rsidRPr="00AF3608" w:rsidRDefault="000E51B8" w:rsidP="00B723C0">
      <w:pPr>
        <w:spacing w:before="120"/>
        <w:jc w:val="both"/>
        <w:rPr>
          <w:rFonts w:asciiTheme="minorHAnsi" w:hAnsiTheme="minorHAnsi" w:cstheme="minorHAnsi"/>
          <w:b/>
          <w:lang w:val="ro-RO" w:eastAsia="ro-RO"/>
        </w:rPr>
      </w:pPr>
      <w:r w:rsidRPr="00AF3608">
        <w:rPr>
          <w:rFonts w:asciiTheme="minorHAnsi" w:hAnsiTheme="minorHAnsi" w:cstheme="minorHAnsi"/>
          <w:b/>
          <w:lang w:val="ro-RO" w:eastAsia="ro-RO"/>
        </w:rPr>
        <w:t xml:space="preserve">Măsuri: </w:t>
      </w:r>
    </w:p>
    <w:p w:rsidR="000E51B8" w:rsidRPr="00AF3608" w:rsidRDefault="000E51B8" w:rsidP="003A0B85">
      <w:pPr>
        <w:numPr>
          <w:ilvl w:val="0"/>
          <w:numId w:val="94"/>
        </w:numPr>
        <w:suppressAutoHyphens/>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 xml:space="preserve">Constituirea unor noi instrumente de investiții publice pentru sprijinirea dezvoltării economice prin investiții în infrastructura și în companii din domenii strategice; </w:t>
      </w:r>
    </w:p>
    <w:p w:rsidR="000E51B8" w:rsidRPr="00AF3608" w:rsidRDefault="000E51B8" w:rsidP="003A0B85">
      <w:pPr>
        <w:numPr>
          <w:ilvl w:val="0"/>
          <w:numId w:val="94"/>
        </w:numPr>
        <w:suppressAutoHyphens/>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Optimizarea eficienței economice a operatorilor economici aflați sub autoritatea Ministerului Economiei, Antreprenoriatului și Turismului;</w:t>
      </w:r>
    </w:p>
    <w:p w:rsidR="000E51B8" w:rsidRPr="00AF3608" w:rsidRDefault="000E51B8" w:rsidP="003A0B85">
      <w:pPr>
        <w:numPr>
          <w:ilvl w:val="0"/>
          <w:numId w:val="94"/>
        </w:numPr>
        <w:suppressAutoHyphens/>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 xml:space="preserve">Implementarea programului de creștere a competitivitțăii produselor industriale românești. </w:t>
      </w:r>
    </w:p>
    <w:p w:rsidR="000E51B8" w:rsidRPr="00AF3608" w:rsidRDefault="000E51B8" w:rsidP="00B723C0">
      <w:pPr>
        <w:suppressAutoHyphens/>
        <w:spacing w:before="120"/>
        <w:ind w:left="360"/>
        <w:jc w:val="both"/>
        <w:rPr>
          <w:rFonts w:asciiTheme="minorHAnsi" w:hAnsiTheme="minorHAnsi" w:cstheme="minorHAnsi"/>
          <w:lang w:val="ro-RO" w:eastAsia="ro-RO"/>
        </w:rPr>
      </w:pPr>
    </w:p>
    <w:p w:rsidR="000E51B8" w:rsidRPr="00AF3608" w:rsidRDefault="00326DC8" w:rsidP="00B723C0">
      <w:pPr>
        <w:shd w:val="clear" w:color="auto" w:fill="F2F2F2" w:themeFill="background1" w:themeFillShade="F2"/>
        <w:spacing w:before="120"/>
        <w:jc w:val="both"/>
        <w:rPr>
          <w:rFonts w:asciiTheme="minorHAnsi" w:hAnsiTheme="minorHAnsi" w:cstheme="minorHAnsi"/>
          <w:b/>
          <w:bCs/>
          <w:lang w:val="ro-RO" w:eastAsia="ro-RO"/>
        </w:rPr>
      </w:pPr>
      <w:r w:rsidRPr="00AF3608">
        <w:rPr>
          <w:rFonts w:asciiTheme="minorHAnsi" w:hAnsiTheme="minorHAnsi" w:cstheme="minorHAnsi"/>
          <w:b/>
          <w:bCs/>
          <w:lang w:val="ro-RO" w:eastAsia="ro-RO"/>
        </w:rPr>
        <w:t>1.2</w:t>
      </w:r>
      <w:r w:rsidR="000E51B8" w:rsidRPr="00AF3608">
        <w:rPr>
          <w:rFonts w:asciiTheme="minorHAnsi" w:hAnsiTheme="minorHAnsi" w:cstheme="minorHAnsi"/>
          <w:b/>
          <w:bCs/>
          <w:lang w:val="ro-RO" w:eastAsia="ro-RO"/>
        </w:rPr>
        <w:t xml:space="preserve"> Management-ul resurselor minerale neenergetice și al dezvoltării durabile</w:t>
      </w:r>
    </w:p>
    <w:p w:rsidR="000E51B8" w:rsidRPr="00AF3608" w:rsidRDefault="000E51B8" w:rsidP="00B723C0">
      <w:pPr>
        <w:spacing w:before="120"/>
        <w:jc w:val="both"/>
        <w:rPr>
          <w:rFonts w:asciiTheme="minorHAnsi" w:hAnsiTheme="minorHAnsi" w:cstheme="minorHAnsi"/>
          <w:b/>
          <w:lang w:val="ro-RO" w:eastAsia="ro-RO"/>
        </w:rPr>
      </w:pPr>
      <w:bookmarkStart w:id="5" w:name="_Hlk27117766"/>
      <w:r w:rsidRPr="00AF3608">
        <w:rPr>
          <w:rFonts w:asciiTheme="minorHAnsi" w:hAnsiTheme="minorHAnsi" w:cstheme="minorHAnsi"/>
          <w:b/>
          <w:lang w:val="ro-RO" w:eastAsia="ro-RO"/>
        </w:rPr>
        <w:t xml:space="preserve">Obiectiv: </w:t>
      </w:r>
    </w:p>
    <w:p w:rsidR="000E51B8" w:rsidRPr="00AF3608" w:rsidRDefault="000E51B8" w:rsidP="00B723C0">
      <w:pPr>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Îmbunătățirea cadrului legislativ și operațional de exploatare a resurselor minerale neenergetice, pentru alinierea la legislația europeană în domeniu.</w:t>
      </w:r>
    </w:p>
    <w:p w:rsidR="000E51B8" w:rsidRPr="00AF3608" w:rsidRDefault="000E51B8" w:rsidP="00B723C0">
      <w:pPr>
        <w:spacing w:before="120"/>
        <w:jc w:val="both"/>
        <w:rPr>
          <w:rFonts w:asciiTheme="minorHAnsi" w:hAnsiTheme="minorHAnsi" w:cstheme="minorHAnsi"/>
          <w:lang w:val="ro-RO" w:eastAsia="ro-RO"/>
        </w:rPr>
      </w:pPr>
    </w:p>
    <w:p w:rsidR="000E51B8" w:rsidRPr="00AF3608" w:rsidRDefault="00326DC8" w:rsidP="00B723C0">
      <w:pPr>
        <w:spacing w:before="120"/>
        <w:jc w:val="both"/>
        <w:rPr>
          <w:rFonts w:asciiTheme="minorHAnsi" w:hAnsiTheme="minorHAnsi" w:cstheme="minorHAnsi"/>
          <w:b/>
          <w:iCs/>
          <w:lang w:val="ro-RO" w:eastAsia="ro-RO"/>
        </w:rPr>
      </w:pPr>
      <w:r w:rsidRPr="00AF3608">
        <w:rPr>
          <w:rFonts w:asciiTheme="minorHAnsi" w:hAnsiTheme="minorHAnsi" w:cstheme="minorHAnsi"/>
          <w:b/>
          <w:iCs/>
          <w:lang w:val="ro-RO" w:eastAsia="ro-RO"/>
        </w:rPr>
        <w:t>1.2</w:t>
      </w:r>
      <w:r w:rsidR="000E51B8" w:rsidRPr="00AF3608">
        <w:rPr>
          <w:rFonts w:asciiTheme="minorHAnsi" w:hAnsiTheme="minorHAnsi" w:cstheme="minorHAnsi"/>
          <w:b/>
          <w:iCs/>
          <w:lang w:val="ro-RO" w:eastAsia="ro-RO"/>
        </w:rPr>
        <w:t>.1. Programul de conservare, închidere, reconstrucție ecologică și activități post-închidere a minelor</w:t>
      </w:r>
    </w:p>
    <w:p w:rsidR="000E51B8" w:rsidRPr="00AF3608" w:rsidRDefault="000E51B8" w:rsidP="00B723C0">
      <w:pPr>
        <w:spacing w:before="120"/>
        <w:jc w:val="both"/>
        <w:rPr>
          <w:rFonts w:asciiTheme="minorHAnsi" w:hAnsiTheme="minorHAnsi" w:cstheme="minorHAnsi"/>
          <w:b/>
          <w:lang w:val="ro-RO" w:eastAsia="ro-RO"/>
        </w:rPr>
      </w:pPr>
      <w:r w:rsidRPr="00AF3608">
        <w:rPr>
          <w:rFonts w:asciiTheme="minorHAnsi" w:hAnsiTheme="minorHAnsi" w:cstheme="minorHAnsi"/>
          <w:b/>
          <w:lang w:val="ro-RO" w:eastAsia="ro-RO"/>
        </w:rPr>
        <w:t xml:space="preserve">Măsuri: </w:t>
      </w:r>
    </w:p>
    <w:p w:rsidR="000E51B8" w:rsidRPr="00AF3608" w:rsidRDefault="000E51B8" w:rsidP="003A0B85">
      <w:pPr>
        <w:numPr>
          <w:ilvl w:val="0"/>
          <w:numId w:val="95"/>
        </w:numPr>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Conservarea, proiectarea, închiderea propriu-zisă conform specificului substanței minerale utile, ecologizarea suprafețelor, asistența tehnică de etapă, monitorizarea post-închidere;</w:t>
      </w:r>
    </w:p>
    <w:p w:rsidR="000E51B8" w:rsidRPr="00AF3608" w:rsidRDefault="000E51B8" w:rsidP="00B723C0">
      <w:pPr>
        <w:spacing w:before="120"/>
        <w:jc w:val="both"/>
        <w:rPr>
          <w:rFonts w:asciiTheme="minorHAnsi" w:hAnsiTheme="minorHAnsi" w:cstheme="minorHAnsi"/>
          <w:b/>
          <w:lang w:val="ro-RO" w:eastAsia="ro-RO"/>
        </w:rPr>
      </w:pPr>
      <w:r w:rsidRPr="00AF3608">
        <w:rPr>
          <w:rFonts w:asciiTheme="minorHAnsi" w:hAnsiTheme="minorHAnsi" w:cstheme="minorHAnsi"/>
          <w:b/>
          <w:lang w:val="ro-RO" w:eastAsia="ro-RO"/>
        </w:rPr>
        <w:t>Rezultate:</w:t>
      </w:r>
    </w:p>
    <w:bookmarkEnd w:id="5"/>
    <w:p w:rsidR="000E51B8" w:rsidRPr="00AF3608" w:rsidRDefault="000E51B8" w:rsidP="003A0B85">
      <w:pPr>
        <w:numPr>
          <w:ilvl w:val="0"/>
          <w:numId w:val="95"/>
        </w:numPr>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Creșterea numărului de obiective miniere închise cu recepții finale sau la terminarea lucrărilor și redarea a cât mai multor suprafețe afectate de activitate minieră deținătorilor inițiali, dupa ce acestea au fost dezafectate și ecologizate.</w:t>
      </w:r>
    </w:p>
    <w:p w:rsidR="000E51B8" w:rsidRPr="00AF3608" w:rsidRDefault="000E51B8" w:rsidP="00B723C0">
      <w:pPr>
        <w:spacing w:before="120"/>
        <w:rPr>
          <w:rFonts w:asciiTheme="minorHAnsi" w:hAnsiTheme="minorHAnsi" w:cstheme="minorHAnsi"/>
          <w:b/>
          <w:bCs/>
          <w:lang w:val="ro-RO" w:eastAsia="ro-RO"/>
        </w:rPr>
      </w:pPr>
    </w:p>
    <w:p w:rsidR="000E51B8" w:rsidRPr="00AF3608" w:rsidRDefault="000E51B8" w:rsidP="00B723C0">
      <w:pPr>
        <w:shd w:val="clear" w:color="auto" w:fill="F2F2F2" w:themeFill="background1" w:themeFillShade="F2"/>
        <w:spacing w:before="120"/>
        <w:rPr>
          <w:rFonts w:asciiTheme="minorHAnsi" w:hAnsiTheme="minorHAnsi" w:cstheme="minorHAnsi"/>
          <w:b/>
          <w:bCs/>
          <w:lang w:val="ro-RO" w:eastAsia="ro-RO"/>
        </w:rPr>
      </w:pPr>
      <w:r w:rsidRPr="00AF3608">
        <w:rPr>
          <w:rFonts w:asciiTheme="minorHAnsi" w:hAnsiTheme="minorHAnsi" w:cstheme="minorHAnsi"/>
          <w:b/>
          <w:bCs/>
          <w:lang w:val="ro-RO" w:eastAsia="ro-RO"/>
        </w:rPr>
        <w:t xml:space="preserve">1.3 Implicarea industriei naționale de apărare în procesele privind înzestrarea armatei române </w:t>
      </w:r>
    </w:p>
    <w:p w:rsidR="000E51B8" w:rsidRPr="00AF3608" w:rsidRDefault="000E51B8" w:rsidP="00B723C0">
      <w:pPr>
        <w:shd w:val="clear" w:color="auto" w:fill="F2F2F2" w:themeFill="background1" w:themeFillShade="F2"/>
        <w:spacing w:before="120"/>
        <w:jc w:val="both"/>
        <w:rPr>
          <w:rFonts w:asciiTheme="minorHAnsi" w:hAnsiTheme="minorHAnsi" w:cstheme="minorHAnsi"/>
          <w:b/>
          <w:iCs/>
          <w:color w:val="000000"/>
          <w:lang w:val="ro-RO" w:eastAsia="ro-RO"/>
        </w:rPr>
      </w:pPr>
      <w:r w:rsidRPr="00AF3608">
        <w:rPr>
          <w:rFonts w:asciiTheme="minorHAnsi" w:hAnsiTheme="minorHAnsi" w:cstheme="minorHAnsi"/>
          <w:b/>
          <w:iCs/>
          <w:color w:val="000000"/>
          <w:lang w:val="ro-RO" w:eastAsia="ro-RO"/>
        </w:rPr>
        <w:t>Sprijinirea înzestrării armatei române prin aportul industriei naționale de apărare</w:t>
      </w:r>
    </w:p>
    <w:p w:rsidR="000E51B8" w:rsidRPr="00AF3608" w:rsidRDefault="000E51B8" w:rsidP="00B723C0">
      <w:pPr>
        <w:spacing w:before="120"/>
        <w:jc w:val="both"/>
        <w:rPr>
          <w:rFonts w:asciiTheme="minorHAnsi" w:hAnsiTheme="minorHAnsi" w:cstheme="minorHAnsi"/>
          <w:b/>
          <w:color w:val="000000"/>
          <w:lang w:val="ro-RO" w:eastAsia="ro-RO"/>
        </w:rPr>
      </w:pPr>
      <w:r w:rsidRPr="00AF3608">
        <w:rPr>
          <w:rFonts w:asciiTheme="minorHAnsi" w:hAnsiTheme="minorHAnsi" w:cstheme="minorHAnsi"/>
          <w:b/>
          <w:color w:val="000000"/>
          <w:lang w:val="ro-RO" w:eastAsia="ro-RO"/>
        </w:rPr>
        <w:t xml:space="preserve">Obiectiv: </w:t>
      </w:r>
    </w:p>
    <w:p w:rsidR="000E51B8" w:rsidRPr="00AF3608" w:rsidRDefault="000E51B8" w:rsidP="00B723C0">
      <w:pPr>
        <w:spacing w:before="120"/>
        <w:jc w:val="both"/>
        <w:rPr>
          <w:rFonts w:asciiTheme="minorHAnsi" w:hAnsiTheme="minorHAnsi" w:cstheme="minorHAnsi"/>
          <w:color w:val="000000"/>
          <w:lang w:val="ro-RO" w:eastAsia="ro-RO"/>
        </w:rPr>
      </w:pPr>
      <w:r w:rsidRPr="00AF3608">
        <w:rPr>
          <w:rFonts w:asciiTheme="minorHAnsi" w:hAnsiTheme="minorHAnsi" w:cstheme="minorHAnsi"/>
          <w:color w:val="000000"/>
          <w:lang w:val="ro-RO" w:eastAsia="ro-RO"/>
        </w:rPr>
        <w:t>Implicarea operatorilor economici autorizați din industria națională de apărare la derularea/realizarea programelor de înzestrare și modernizare ale Ministerului Apărării Naționale</w:t>
      </w:r>
    </w:p>
    <w:p w:rsidR="000E51B8" w:rsidRPr="00AF3608" w:rsidRDefault="000E51B8" w:rsidP="00B723C0">
      <w:pPr>
        <w:spacing w:before="120"/>
        <w:jc w:val="both"/>
        <w:rPr>
          <w:rFonts w:asciiTheme="minorHAnsi" w:hAnsiTheme="minorHAnsi" w:cstheme="minorHAnsi"/>
          <w:b/>
          <w:lang w:val="ro-RO" w:eastAsia="ro-RO"/>
        </w:rPr>
      </w:pPr>
      <w:r w:rsidRPr="00AF3608">
        <w:rPr>
          <w:rFonts w:asciiTheme="minorHAnsi" w:hAnsiTheme="minorHAnsi" w:cstheme="minorHAnsi"/>
          <w:b/>
          <w:lang w:val="ro-RO" w:eastAsia="ro-RO"/>
        </w:rPr>
        <w:t>Măsuri:</w:t>
      </w:r>
    </w:p>
    <w:p w:rsidR="000E51B8" w:rsidRPr="00AF3608" w:rsidRDefault="000E51B8" w:rsidP="003A0B85">
      <w:pPr>
        <w:numPr>
          <w:ilvl w:val="0"/>
          <w:numId w:val="97"/>
        </w:numPr>
        <w:spacing w:before="120"/>
        <w:jc w:val="both"/>
        <w:rPr>
          <w:rFonts w:asciiTheme="minorHAnsi" w:hAnsiTheme="minorHAnsi" w:cstheme="minorHAnsi"/>
          <w:lang w:val="ro-RO"/>
        </w:rPr>
      </w:pPr>
      <w:r w:rsidRPr="00AF3608">
        <w:rPr>
          <w:rFonts w:asciiTheme="minorHAnsi" w:hAnsiTheme="minorHAnsi" w:cstheme="minorHAnsi"/>
          <w:lang w:val="ro-RO"/>
        </w:rPr>
        <w:lastRenderedPageBreak/>
        <w:t>facilitarea și încurajarea participării operatorilor economici autorizați din industria națională de apărare la programele de înzestrare și modernizare ale instituțiilor din cadrul fortelor sistemului national de aparare (FSNA), în special al Ministerului Apărării Naționale;</w:t>
      </w:r>
    </w:p>
    <w:p w:rsidR="000E51B8" w:rsidRPr="00AF3608" w:rsidRDefault="000E51B8" w:rsidP="003A0B85">
      <w:pPr>
        <w:numPr>
          <w:ilvl w:val="0"/>
          <w:numId w:val="97"/>
        </w:numPr>
        <w:spacing w:before="120"/>
        <w:jc w:val="both"/>
        <w:rPr>
          <w:rFonts w:asciiTheme="minorHAnsi" w:hAnsiTheme="minorHAnsi" w:cstheme="minorHAnsi"/>
          <w:b/>
          <w:lang w:val="ro-RO"/>
        </w:rPr>
      </w:pPr>
      <w:r w:rsidRPr="00AF3608">
        <w:rPr>
          <w:rFonts w:asciiTheme="minorHAnsi" w:hAnsiTheme="minorHAnsi" w:cstheme="minorHAnsi"/>
          <w:lang w:val="ro-RO"/>
        </w:rPr>
        <w:t xml:space="preserve">implicarea operatorilor economici autorizați în operațiunile de compensare tehnologică și industrială. </w:t>
      </w:r>
    </w:p>
    <w:p w:rsidR="000E51B8" w:rsidRPr="00AF3608" w:rsidRDefault="000E51B8" w:rsidP="00B723C0">
      <w:pPr>
        <w:spacing w:before="120"/>
        <w:jc w:val="both"/>
        <w:rPr>
          <w:rFonts w:asciiTheme="minorHAnsi" w:hAnsiTheme="minorHAnsi" w:cstheme="minorHAnsi"/>
          <w:b/>
          <w:lang w:val="ro-RO" w:eastAsia="ro-RO"/>
        </w:rPr>
      </w:pPr>
      <w:r w:rsidRPr="00AF3608">
        <w:rPr>
          <w:rFonts w:asciiTheme="minorHAnsi" w:hAnsiTheme="minorHAnsi" w:cstheme="minorHAnsi"/>
          <w:b/>
          <w:lang w:val="ro-RO" w:eastAsia="ro-RO"/>
        </w:rPr>
        <w:t>Rezultate:</w:t>
      </w:r>
    </w:p>
    <w:p w:rsidR="000E51B8" w:rsidRPr="00AF3608" w:rsidRDefault="000E51B8" w:rsidP="003A0B85">
      <w:pPr>
        <w:numPr>
          <w:ilvl w:val="0"/>
          <w:numId w:val="96"/>
        </w:numPr>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creșterea capacității și a resurselor investiționale la nivelul operatorilor economici din sectorul industriei de apărare în vederea satisfacerii necesităților de înzestrare ale instituțiilor din cadrul FSNA, în raport cu necesitatea protejării intereselor esențiale de securitate ale României și cu angajamentele asumate în cadrul NATO și al UE;</w:t>
      </w:r>
    </w:p>
    <w:p w:rsidR="000E51B8" w:rsidRPr="00AF3608" w:rsidRDefault="000E51B8" w:rsidP="003A0B85">
      <w:pPr>
        <w:numPr>
          <w:ilvl w:val="0"/>
          <w:numId w:val="96"/>
        </w:numPr>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îmbunătățirea cooperarii tehnice internaționale în domeniul industriei naționale de apărare în relațiile cu alte state, precum și cu organizații de profil din cadrul ONU, NATO și Uniunii Europene.</w:t>
      </w:r>
    </w:p>
    <w:p w:rsidR="00326DC8" w:rsidRPr="00AF3608" w:rsidRDefault="00326DC8" w:rsidP="00B723C0">
      <w:pPr>
        <w:spacing w:before="120"/>
        <w:jc w:val="both"/>
        <w:rPr>
          <w:rFonts w:asciiTheme="minorHAnsi" w:hAnsiTheme="minorHAnsi" w:cstheme="minorHAnsi"/>
          <w:lang w:val="ro-RO" w:eastAsia="ro-RO"/>
        </w:rPr>
      </w:pPr>
    </w:p>
    <w:p w:rsidR="000E51B8" w:rsidRPr="00AF3608" w:rsidRDefault="000E51B8" w:rsidP="003A0B85">
      <w:pPr>
        <w:pStyle w:val="ListParagraph"/>
        <w:numPr>
          <w:ilvl w:val="0"/>
          <w:numId w:val="100"/>
        </w:numPr>
        <w:shd w:val="clear" w:color="auto" w:fill="D9D9D9" w:themeFill="background1" w:themeFillShade="D9"/>
        <w:spacing w:before="120"/>
        <w:jc w:val="both"/>
        <w:rPr>
          <w:rFonts w:asciiTheme="minorHAnsi" w:hAnsiTheme="minorHAnsi" w:cstheme="minorHAnsi"/>
          <w:b/>
          <w:lang w:eastAsia="ro-RO"/>
        </w:rPr>
      </w:pPr>
      <w:r w:rsidRPr="00AF3608">
        <w:rPr>
          <w:rFonts w:asciiTheme="minorHAnsi" w:hAnsiTheme="minorHAnsi" w:cstheme="minorHAnsi"/>
          <w:b/>
          <w:bCs/>
          <w:lang w:eastAsia="ro-RO"/>
        </w:rPr>
        <w:t>În domeniul turismului</w:t>
      </w:r>
    </w:p>
    <w:p w:rsidR="00326DC8" w:rsidRPr="00AF3608" w:rsidRDefault="00326DC8" w:rsidP="00B723C0">
      <w:pPr>
        <w:spacing w:before="120"/>
        <w:jc w:val="both"/>
        <w:rPr>
          <w:rFonts w:asciiTheme="minorHAnsi" w:hAnsiTheme="minorHAnsi" w:cstheme="minorHAnsi"/>
          <w:b/>
          <w:iCs/>
          <w:lang w:val="ro-RO"/>
        </w:rPr>
      </w:pPr>
    </w:p>
    <w:p w:rsidR="000E51B8" w:rsidRPr="00AF3608" w:rsidRDefault="000E51B8" w:rsidP="00B723C0">
      <w:pPr>
        <w:shd w:val="clear" w:color="auto" w:fill="F2F2F2" w:themeFill="background1" w:themeFillShade="F2"/>
        <w:spacing w:before="120"/>
        <w:jc w:val="both"/>
        <w:rPr>
          <w:rFonts w:asciiTheme="minorHAnsi" w:hAnsiTheme="minorHAnsi" w:cstheme="minorHAnsi"/>
          <w:b/>
          <w:iCs/>
          <w:lang w:val="ro-RO"/>
        </w:rPr>
      </w:pPr>
      <w:r w:rsidRPr="00AF3608">
        <w:rPr>
          <w:rFonts w:asciiTheme="minorHAnsi" w:hAnsiTheme="minorHAnsi" w:cstheme="minorHAnsi"/>
          <w:b/>
          <w:iCs/>
          <w:lang w:val="ro-RO"/>
        </w:rPr>
        <w:t xml:space="preserve">2.1 Reprezentarea României în țările membre ale Uniunii Europene și în țări terțe </w:t>
      </w:r>
    </w:p>
    <w:p w:rsidR="000E51B8" w:rsidRPr="00AF3608" w:rsidRDefault="000E51B8" w:rsidP="00B723C0">
      <w:pPr>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 xml:space="preserve">Potrivit Ordonanței Guvernului nr. 58/1998 privind organizarea și desfășurarea activității de turism în România, cu modificările și completările ulterioare, statul sprijină și încurajează libera inițiativă în domeniul promovării și dezvoltării activității de turism și, îndeosebi, în stimularea și atragerea turiștilor străini în România, precum și în dezvoltarea activității stațiunilor turistice, prin organizarea de acțiuni de promovare turistică atât pe plan intern, cât și pe plan extern. </w:t>
      </w:r>
    </w:p>
    <w:p w:rsidR="000E51B8" w:rsidRPr="00AF3608" w:rsidRDefault="000E51B8" w:rsidP="00B723C0">
      <w:pPr>
        <w:spacing w:before="120"/>
        <w:jc w:val="both"/>
        <w:rPr>
          <w:rFonts w:asciiTheme="minorHAnsi" w:hAnsiTheme="minorHAnsi" w:cstheme="minorHAnsi"/>
          <w:b/>
          <w:iCs/>
          <w:lang w:val="ro-RO" w:eastAsia="ro-RO"/>
        </w:rPr>
      </w:pPr>
    </w:p>
    <w:p w:rsidR="000E51B8" w:rsidRPr="00AF3608" w:rsidRDefault="000E51B8" w:rsidP="00B723C0">
      <w:pPr>
        <w:shd w:val="clear" w:color="auto" w:fill="F2F2F2" w:themeFill="background1" w:themeFillShade="F2"/>
        <w:spacing w:before="120"/>
        <w:jc w:val="both"/>
        <w:rPr>
          <w:rFonts w:asciiTheme="minorHAnsi" w:hAnsiTheme="minorHAnsi" w:cstheme="minorHAnsi"/>
          <w:b/>
          <w:iCs/>
          <w:lang w:val="ro-RO" w:eastAsia="ro-RO"/>
        </w:rPr>
      </w:pPr>
      <w:r w:rsidRPr="00AF3608">
        <w:rPr>
          <w:rFonts w:asciiTheme="minorHAnsi" w:hAnsiTheme="minorHAnsi" w:cstheme="minorHAnsi"/>
          <w:b/>
          <w:iCs/>
          <w:lang w:val="ro-RO" w:eastAsia="ro-RO"/>
        </w:rPr>
        <w:t>2.2 Îndeplinirea rolului strategic privind promovarea turistică a României în conformitate cu prevederile Hotărârii Guvernului nr. 20 din 11 ianuarie 2012 privind aprobarea Programului multianual de marketing și promovare turistică și a Programului multianual de dezvoltare a destinațiilor, formelor și produselor turistice, cu modificările și completările ulterioare</w:t>
      </w:r>
    </w:p>
    <w:p w:rsidR="000E51B8" w:rsidRPr="00AF3608" w:rsidRDefault="000E51B8" w:rsidP="00B723C0">
      <w:pPr>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2.2.1.</w:t>
      </w:r>
      <w:r w:rsidRPr="00AF3608">
        <w:rPr>
          <w:rFonts w:asciiTheme="minorHAnsi" w:hAnsiTheme="minorHAnsi" w:cstheme="minorHAnsi"/>
          <w:u w:val="single"/>
          <w:lang w:val="ro-RO" w:eastAsia="ro-RO"/>
        </w:rPr>
        <w:t>Programul multianual de marketing și promovare turistică</w:t>
      </w:r>
      <w:r w:rsidRPr="00AF3608">
        <w:rPr>
          <w:rFonts w:asciiTheme="minorHAnsi" w:hAnsiTheme="minorHAnsi" w:cstheme="minorHAnsi"/>
          <w:lang w:val="ro-RO" w:eastAsia="ro-RO"/>
        </w:rPr>
        <w:t xml:space="preserve"> urmărește promovarea celor mai importante destinații și forme de turism din România pe piața internă și pe principalele piețe turistice din străinătate.</w:t>
      </w:r>
    </w:p>
    <w:p w:rsidR="000E51B8" w:rsidRPr="00AF3608" w:rsidRDefault="000E51B8" w:rsidP="00B723C0">
      <w:pPr>
        <w:shd w:val="clear" w:color="auto" w:fill="FFFFFF"/>
        <w:spacing w:before="120"/>
        <w:jc w:val="both"/>
        <w:rPr>
          <w:rFonts w:asciiTheme="minorHAnsi" w:hAnsiTheme="minorHAnsi" w:cstheme="minorHAnsi"/>
          <w:b/>
          <w:bCs/>
          <w:color w:val="000000"/>
          <w:lang w:val="ro-RO" w:eastAsia="ro-RO"/>
        </w:rPr>
      </w:pPr>
      <w:r w:rsidRPr="00AF3608">
        <w:rPr>
          <w:rFonts w:asciiTheme="minorHAnsi" w:hAnsiTheme="minorHAnsi" w:cstheme="minorHAnsi"/>
          <w:b/>
          <w:bCs/>
          <w:color w:val="000000"/>
          <w:lang w:val="ro-RO" w:eastAsia="ro-RO"/>
        </w:rPr>
        <w:t xml:space="preserve">Obiectiv general: </w:t>
      </w:r>
    </w:p>
    <w:p w:rsidR="000E51B8" w:rsidRPr="00AF3608" w:rsidRDefault="000E51B8" w:rsidP="00B723C0">
      <w:pPr>
        <w:shd w:val="clear" w:color="auto" w:fill="FFFFFF"/>
        <w:spacing w:before="120"/>
        <w:jc w:val="both"/>
        <w:rPr>
          <w:rFonts w:asciiTheme="minorHAnsi" w:hAnsiTheme="minorHAnsi" w:cstheme="minorHAnsi"/>
          <w:b/>
          <w:bCs/>
          <w:color w:val="000000"/>
          <w:lang w:val="ro-RO" w:eastAsia="ro-RO"/>
        </w:rPr>
      </w:pPr>
      <w:r w:rsidRPr="00AF3608">
        <w:rPr>
          <w:rFonts w:asciiTheme="minorHAnsi" w:hAnsiTheme="minorHAnsi" w:cstheme="minorHAnsi"/>
          <w:bCs/>
          <w:color w:val="000000"/>
          <w:lang w:val="ro-RO" w:eastAsia="ro-RO"/>
        </w:rPr>
        <w:t>Proiectarea imaginii României ca destinație turistică de calitate, unică, inovativă și verde, prin continuarea exercițiului de poziționare realizat în anii anteriori și adaptarea permanentă a acestuia prin politici și instrumente moderne.</w:t>
      </w:r>
      <w:r w:rsidRPr="00AF3608">
        <w:rPr>
          <w:rFonts w:asciiTheme="minorHAnsi" w:hAnsiTheme="minorHAnsi" w:cstheme="minorHAnsi"/>
          <w:b/>
          <w:bCs/>
          <w:color w:val="000000"/>
          <w:lang w:val="ro-RO" w:eastAsia="ro-RO"/>
        </w:rPr>
        <w:t xml:space="preserve"> </w:t>
      </w:r>
    </w:p>
    <w:p w:rsidR="000E51B8" w:rsidRPr="00AF3608" w:rsidRDefault="000E51B8" w:rsidP="00B723C0">
      <w:pPr>
        <w:shd w:val="clear" w:color="auto" w:fill="FFFFFF"/>
        <w:spacing w:before="120"/>
        <w:jc w:val="both"/>
        <w:rPr>
          <w:rFonts w:asciiTheme="minorHAnsi" w:hAnsiTheme="minorHAnsi" w:cstheme="minorHAnsi"/>
          <w:b/>
          <w:bCs/>
          <w:color w:val="000000"/>
          <w:lang w:val="ro-RO" w:eastAsia="ro-RO"/>
        </w:rPr>
      </w:pPr>
      <w:r w:rsidRPr="00AF3608">
        <w:rPr>
          <w:rFonts w:asciiTheme="minorHAnsi" w:hAnsiTheme="minorHAnsi" w:cstheme="minorHAnsi"/>
          <w:b/>
          <w:bCs/>
          <w:color w:val="000000"/>
          <w:lang w:val="ro-RO" w:eastAsia="ro-RO"/>
        </w:rPr>
        <w:t xml:space="preserve">Obiectiv specific: </w:t>
      </w:r>
    </w:p>
    <w:p w:rsidR="000E51B8" w:rsidRPr="00AF3608" w:rsidRDefault="000E51B8" w:rsidP="00B723C0">
      <w:pPr>
        <w:shd w:val="clear" w:color="auto" w:fill="FFFFFF"/>
        <w:spacing w:before="120"/>
        <w:jc w:val="both"/>
        <w:rPr>
          <w:rFonts w:asciiTheme="minorHAnsi" w:hAnsiTheme="minorHAnsi" w:cstheme="minorHAnsi"/>
          <w:bCs/>
          <w:color w:val="000000"/>
          <w:lang w:val="ro-RO" w:eastAsia="ro-RO"/>
        </w:rPr>
      </w:pPr>
      <w:r w:rsidRPr="00AF3608">
        <w:rPr>
          <w:rFonts w:asciiTheme="minorHAnsi" w:hAnsiTheme="minorHAnsi" w:cstheme="minorHAnsi"/>
          <w:bCs/>
          <w:color w:val="000000"/>
          <w:lang w:val="ro-RO" w:eastAsia="ro-RO"/>
        </w:rPr>
        <w:t>Creșterea notorietății pe piețele țintă și emergente, ca o destinație turistică de calitate, prin reconceptualizarea elementelor de diferențiere pe piața internațională a turismului și eficientizarea acțiunilor de promovare.</w:t>
      </w:r>
    </w:p>
    <w:p w:rsidR="000E51B8" w:rsidRPr="00AF3608" w:rsidRDefault="000E51B8" w:rsidP="00B723C0">
      <w:pPr>
        <w:shd w:val="clear" w:color="auto" w:fill="FFFFFF"/>
        <w:spacing w:before="120"/>
        <w:jc w:val="both"/>
        <w:rPr>
          <w:rFonts w:asciiTheme="minorHAnsi" w:hAnsiTheme="minorHAnsi" w:cstheme="minorHAnsi"/>
          <w:b/>
          <w:bCs/>
          <w:color w:val="000000"/>
          <w:lang w:val="ro-RO" w:eastAsia="ro-RO"/>
        </w:rPr>
      </w:pPr>
      <w:r w:rsidRPr="00AF3608">
        <w:rPr>
          <w:rFonts w:asciiTheme="minorHAnsi" w:hAnsiTheme="minorHAnsi" w:cstheme="minorHAnsi"/>
          <w:b/>
          <w:bCs/>
          <w:color w:val="000000"/>
          <w:lang w:val="ro-RO" w:eastAsia="ro-RO"/>
        </w:rPr>
        <w:t xml:space="preserve">Măsuri: </w:t>
      </w:r>
    </w:p>
    <w:p w:rsidR="000E51B8" w:rsidRPr="00AF3608" w:rsidRDefault="000E51B8" w:rsidP="003A0B85">
      <w:pPr>
        <w:numPr>
          <w:ilvl w:val="0"/>
          <w:numId w:val="99"/>
        </w:numPr>
        <w:shd w:val="clear" w:color="auto" w:fill="FFFFFF"/>
        <w:spacing w:before="120"/>
        <w:jc w:val="both"/>
        <w:rPr>
          <w:rFonts w:asciiTheme="minorHAnsi" w:hAnsiTheme="minorHAnsi" w:cstheme="minorHAnsi"/>
          <w:bCs/>
          <w:color w:val="000000"/>
          <w:lang w:val="ro-RO" w:eastAsia="ro-RO"/>
        </w:rPr>
      </w:pPr>
      <w:r w:rsidRPr="00AF3608">
        <w:rPr>
          <w:rFonts w:asciiTheme="minorHAnsi" w:hAnsiTheme="minorHAnsi" w:cstheme="minorHAnsi"/>
          <w:bCs/>
          <w:color w:val="000000"/>
          <w:lang w:val="ro-RO" w:eastAsia="ro-RO"/>
        </w:rPr>
        <w:t xml:space="preserve">Desfășurarea unei campanii de promovare integrate în anul </w:t>
      </w:r>
      <w:r w:rsidRPr="00AF3608">
        <w:rPr>
          <w:rFonts w:asciiTheme="minorHAnsi" w:hAnsiTheme="minorHAnsi" w:cstheme="minorHAnsi"/>
          <w:bCs/>
          <w:lang w:val="ro-RO" w:eastAsia="ro-RO"/>
        </w:rPr>
        <w:t xml:space="preserve">2021 </w:t>
      </w:r>
      <w:r w:rsidRPr="00AF3608">
        <w:rPr>
          <w:rFonts w:asciiTheme="minorHAnsi" w:hAnsiTheme="minorHAnsi" w:cstheme="minorHAnsi"/>
          <w:bCs/>
          <w:color w:val="000000"/>
          <w:lang w:val="ro-RO" w:eastAsia="ro-RO"/>
        </w:rPr>
        <w:t>pentru repoziționarea pe piața internațională a turismului;</w:t>
      </w:r>
    </w:p>
    <w:p w:rsidR="000E51B8" w:rsidRPr="00AF3608" w:rsidRDefault="000E51B8" w:rsidP="003A0B85">
      <w:pPr>
        <w:numPr>
          <w:ilvl w:val="0"/>
          <w:numId w:val="99"/>
        </w:numPr>
        <w:shd w:val="clear" w:color="auto" w:fill="FFFFFF"/>
        <w:spacing w:before="120"/>
        <w:jc w:val="both"/>
        <w:rPr>
          <w:rFonts w:asciiTheme="minorHAnsi" w:hAnsiTheme="minorHAnsi" w:cstheme="minorHAnsi"/>
          <w:bCs/>
          <w:lang w:val="ro-RO" w:eastAsia="ro-RO"/>
        </w:rPr>
      </w:pPr>
      <w:r w:rsidRPr="00AF3608">
        <w:rPr>
          <w:rFonts w:asciiTheme="minorHAnsi" w:hAnsiTheme="minorHAnsi" w:cstheme="minorHAnsi"/>
          <w:bCs/>
          <w:lang w:val="ro-RO" w:eastAsia="ro-RO"/>
        </w:rPr>
        <w:t>Efectuarea studiilor de marketing şi cercetărilor de piaţă;</w:t>
      </w:r>
    </w:p>
    <w:p w:rsidR="000E51B8" w:rsidRPr="00AF3608" w:rsidRDefault="000E51B8" w:rsidP="003A0B85">
      <w:pPr>
        <w:numPr>
          <w:ilvl w:val="0"/>
          <w:numId w:val="99"/>
        </w:numPr>
        <w:shd w:val="clear" w:color="auto" w:fill="FFFFFF"/>
        <w:spacing w:before="120"/>
        <w:jc w:val="both"/>
        <w:rPr>
          <w:rFonts w:asciiTheme="minorHAnsi" w:hAnsiTheme="minorHAnsi" w:cstheme="minorHAnsi"/>
          <w:bCs/>
          <w:lang w:val="ro-RO" w:eastAsia="ro-RO"/>
        </w:rPr>
      </w:pPr>
      <w:r w:rsidRPr="00AF3608">
        <w:rPr>
          <w:rFonts w:asciiTheme="minorHAnsi" w:hAnsiTheme="minorHAnsi" w:cstheme="minorHAnsi"/>
          <w:bCs/>
          <w:lang w:val="ro-RO" w:eastAsia="ro-RO"/>
        </w:rPr>
        <w:lastRenderedPageBreak/>
        <w:t xml:space="preserve">Derularea activităţilor de marketing digital, fără a se limita la acestea: motoarelor de căutare, reţelelor de socializare, platformelor, diverselor site-uri web şi blogurilor cu impact în creşterea circulaţiei turistice în România; </w:t>
      </w:r>
    </w:p>
    <w:p w:rsidR="000E51B8" w:rsidRPr="00AF3608" w:rsidRDefault="000E51B8" w:rsidP="00B723C0">
      <w:pPr>
        <w:spacing w:before="120"/>
        <w:jc w:val="both"/>
        <w:rPr>
          <w:rFonts w:asciiTheme="minorHAnsi" w:hAnsiTheme="minorHAnsi" w:cstheme="minorHAnsi"/>
          <w:lang w:val="ro-RO" w:eastAsia="ro-RO"/>
        </w:rPr>
      </w:pPr>
      <w:r w:rsidRPr="00AF3608">
        <w:rPr>
          <w:rFonts w:asciiTheme="minorHAnsi" w:eastAsia="Calibri" w:hAnsiTheme="minorHAnsi" w:cstheme="minorHAnsi"/>
          <w:lang w:val="ro-RO"/>
        </w:rPr>
        <w:t xml:space="preserve">2.2.2 </w:t>
      </w:r>
      <w:r w:rsidRPr="00AF3608">
        <w:rPr>
          <w:rFonts w:asciiTheme="minorHAnsi" w:eastAsia="Calibri" w:hAnsiTheme="minorHAnsi" w:cstheme="minorHAnsi"/>
          <w:u w:val="single"/>
          <w:lang w:val="ro-RO"/>
        </w:rPr>
        <w:t>Programul multianual de dezvoltare a destinațiilor, formelor și produselor turistice</w:t>
      </w:r>
      <w:r w:rsidRPr="00AF3608">
        <w:rPr>
          <w:rFonts w:asciiTheme="minorHAnsi" w:eastAsia="Calibri" w:hAnsiTheme="minorHAnsi" w:cstheme="minorHAnsi"/>
          <w:lang w:val="ro-RO"/>
        </w:rPr>
        <w:t xml:space="preserve"> urmărește susținerea turismului intern în vederea îmbunătățirii circulației turistice în paralel cu conservarea patrimoniului natural și cultural.</w:t>
      </w:r>
      <w:r w:rsidRPr="00AF3608">
        <w:rPr>
          <w:rFonts w:asciiTheme="minorHAnsi" w:hAnsiTheme="minorHAnsi" w:cstheme="minorHAnsi"/>
          <w:lang w:val="ro-RO" w:eastAsia="ro-RO"/>
        </w:rPr>
        <w:t>Programul anual de dezvoltare a formelor de turism urmărește dezvoltarea turismului intern și a turismului de incoming în vederea îmbunătățirii circulației turistice în paralel cu conservarea patrimoniului natural și cultural, creșterea notorietății destinațiilor turistice din România pe piața internă și internațională, diversificarea și dezvoltarea produselor turistice românești și creșterea calității serviciilor turistice în România pentru perioada 2021-2023.</w:t>
      </w:r>
    </w:p>
    <w:p w:rsidR="000E51B8" w:rsidRPr="00AF3608" w:rsidRDefault="000E51B8" w:rsidP="00B723C0">
      <w:pPr>
        <w:spacing w:before="120"/>
        <w:jc w:val="both"/>
        <w:rPr>
          <w:rFonts w:asciiTheme="minorHAnsi" w:hAnsiTheme="minorHAnsi" w:cstheme="minorHAnsi"/>
          <w:lang w:val="ro-RO" w:eastAsia="ro-RO"/>
        </w:rPr>
      </w:pPr>
      <w:r w:rsidRPr="00AF3608">
        <w:rPr>
          <w:rFonts w:asciiTheme="minorHAnsi" w:hAnsiTheme="minorHAnsi" w:cstheme="minorHAnsi"/>
          <w:b/>
          <w:lang w:val="ro-RO" w:eastAsia="ro-RO"/>
        </w:rPr>
        <w:t>Obiectiv general</w:t>
      </w:r>
      <w:r w:rsidRPr="00AF3608">
        <w:rPr>
          <w:rFonts w:asciiTheme="minorHAnsi" w:hAnsiTheme="minorHAnsi" w:cstheme="minorHAnsi"/>
          <w:lang w:val="ro-RO" w:eastAsia="ro-RO"/>
        </w:rPr>
        <w:t xml:space="preserve"> : Susținerea dezvoltării și revitalizării turismului în România. </w:t>
      </w:r>
    </w:p>
    <w:p w:rsidR="000E51B8" w:rsidRPr="00AF3608" w:rsidRDefault="000E51B8" w:rsidP="00B723C0">
      <w:pPr>
        <w:autoSpaceDE w:val="0"/>
        <w:autoSpaceDN w:val="0"/>
        <w:spacing w:before="120"/>
        <w:jc w:val="both"/>
        <w:rPr>
          <w:rFonts w:asciiTheme="minorHAnsi" w:hAnsiTheme="minorHAnsi" w:cstheme="minorHAnsi"/>
          <w:lang w:val="ro-RO" w:eastAsia="ro-RO"/>
        </w:rPr>
      </w:pPr>
      <w:r w:rsidRPr="00AF3608">
        <w:rPr>
          <w:rFonts w:asciiTheme="minorHAnsi" w:hAnsiTheme="minorHAnsi" w:cstheme="minorHAnsi"/>
          <w:b/>
          <w:lang w:val="ro-RO" w:eastAsia="ro-RO"/>
        </w:rPr>
        <w:t>Obiective specifice</w:t>
      </w:r>
      <w:r w:rsidRPr="00AF3608">
        <w:rPr>
          <w:rFonts w:asciiTheme="minorHAnsi" w:hAnsiTheme="minorHAnsi" w:cstheme="minorHAnsi"/>
          <w:lang w:val="ro-RO" w:eastAsia="ro-RO"/>
        </w:rPr>
        <w:t xml:space="preserve"> :</w:t>
      </w:r>
    </w:p>
    <w:p w:rsidR="000E51B8" w:rsidRPr="00AF3608" w:rsidRDefault="000E51B8" w:rsidP="003A0B85">
      <w:pPr>
        <w:numPr>
          <w:ilvl w:val="0"/>
          <w:numId w:val="99"/>
        </w:numPr>
        <w:autoSpaceDE w:val="0"/>
        <w:autoSpaceDN w:val="0"/>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Dezvoltarea și consolidarea turismului intern prin sprijinirea promovării produselor și destinațiilor turistice specifice și a activităților de marketing specifice;</w:t>
      </w:r>
    </w:p>
    <w:p w:rsidR="000E51B8" w:rsidRPr="00AF3608" w:rsidRDefault="000E51B8" w:rsidP="003A0B85">
      <w:pPr>
        <w:numPr>
          <w:ilvl w:val="0"/>
          <w:numId w:val="99"/>
        </w:numPr>
        <w:autoSpaceDE w:val="0"/>
        <w:autoSpaceDN w:val="0"/>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Crearea de locuri de muncă în comunitățile locale, inclusiv pentru grupurile vulnerabile, precum femeile, tinerii și persoanele din mediul rural, prin dezvoltarea sustenabilă a turismului;</w:t>
      </w:r>
    </w:p>
    <w:p w:rsidR="000E51B8" w:rsidRPr="00AF3608" w:rsidRDefault="000E51B8" w:rsidP="003A0B85">
      <w:pPr>
        <w:numPr>
          <w:ilvl w:val="0"/>
          <w:numId w:val="99"/>
        </w:numPr>
        <w:autoSpaceDE w:val="0"/>
        <w:autoSpaceDN w:val="0"/>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Creșterea ponderii turismului în economie;</w:t>
      </w:r>
    </w:p>
    <w:p w:rsidR="000E51B8" w:rsidRPr="00AF3608" w:rsidRDefault="000E51B8" w:rsidP="00B723C0">
      <w:pPr>
        <w:autoSpaceDE w:val="0"/>
        <w:autoSpaceDN w:val="0"/>
        <w:spacing w:before="120"/>
        <w:jc w:val="both"/>
        <w:rPr>
          <w:rFonts w:asciiTheme="minorHAnsi" w:hAnsiTheme="minorHAnsi" w:cstheme="minorHAnsi"/>
          <w:lang w:val="ro-RO" w:eastAsia="ro-RO"/>
        </w:rPr>
      </w:pPr>
      <w:r w:rsidRPr="00AF3608">
        <w:rPr>
          <w:rFonts w:asciiTheme="minorHAnsi" w:hAnsiTheme="minorHAnsi" w:cstheme="minorHAnsi"/>
          <w:b/>
          <w:bCs/>
          <w:lang w:val="ro-RO" w:eastAsia="ro-RO"/>
        </w:rPr>
        <w:t>Măsuri :</w:t>
      </w:r>
    </w:p>
    <w:p w:rsidR="000E51B8" w:rsidRPr="00AF3608" w:rsidRDefault="000E51B8" w:rsidP="003A0B85">
      <w:pPr>
        <w:numPr>
          <w:ilvl w:val="0"/>
          <w:numId w:val="99"/>
        </w:numPr>
        <w:autoSpaceDE w:val="0"/>
        <w:autoSpaceDN w:val="0"/>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Valorificarea și conservarea arhitecturii tradiționale;</w:t>
      </w:r>
    </w:p>
    <w:p w:rsidR="000E51B8" w:rsidRPr="00AF3608" w:rsidRDefault="000E51B8" w:rsidP="003A0B85">
      <w:pPr>
        <w:numPr>
          <w:ilvl w:val="0"/>
          <w:numId w:val="99"/>
        </w:numPr>
        <w:autoSpaceDE w:val="0"/>
        <w:autoSpaceDN w:val="0"/>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Susținerea gastronomiei locale;</w:t>
      </w:r>
    </w:p>
    <w:p w:rsidR="000E51B8" w:rsidRPr="00AF3608" w:rsidRDefault="000E51B8" w:rsidP="003A0B85">
      <w:pPr>
        <w:numPr>
          <w:ilvl w:val="0"/>
          <w:numId w:val="99"/>
        </w:numPr>
        <w:autoSpaceDE w:val="0"/>
        <w:autoSpaceDN w:val="0"/>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Dezvoltarea și promovarea rețelei naționale de destinații de ecoturism conform Strategiei Naționale de Ecoturism;</w:t>
      </w:r>
    </w:p>
    <w:p w:rsidR="000E51B8" w:rsidRPr="00AF3608" w:rsidRDefault="000E51B8" w:rsidP="003A0B85">
      <w:pPr>
        <w:numPr>
          <w:ilvl w:val="0"/>
          <w:numId w:val="99"/>
        </w:numPr>
        <w:autoSpaceDE w:val="0"/>
        <w:autoSpaceDN w:val="0"/>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Realizarea unui sistem de atestare a rutelor culturale dezvoltate la nivel național pentru promovarea eficace și eficientă a acestora;</w:t>
      </w:r>
    </w:p>
    <w:p w:rsidR="000E51B8" w:rsidRPr="00AF3608" w:rsidRDefault="000E51B8" w:rsidP="00B723C0">
      <w:pPr>
        <w:autoSpaceDE w:val="0"/>
        <w:autoSpaceDN w:val="0"/>
        <w:spacing w:before="120"/>
        <w:jc w:val="both"/>
        <w:rPr>
          <w:rFonts w:asciiTheme="minorHAnsi" w:hAnsiTheme="minorHAnsi" w:cstheme="minorHAnsi"/>
          <w:b/>
          <w:bCs/>
          <w:lang w:val="ro-RO" w:eastAsia="ro-RO"/>
        </w:rPr>
      </w:pPr>
    </w:p>
    <w:p w:rsidR="000E51B8" w:rsidRPr="00AF3608" w:rsidRDefault="00326DC8" w:rsidP="00B723C0">
      <w:pPr>
        <w:shd w:val="clear" w:color="auto" w:fill="F2F2F2" w:themeFill="background1" w:themeFillShade="F2"/>
        <w:autoSpaceDE w:val="0"/>
        <w:autoSpaceDN w:val="0"/>
        <w:spacing w:before="120"/>
        <w:jc w:val="both"/>
        <w:rPr>
          <w:rFonts w:asciiTheme="minorHAnsi" w:hAnsiTheme="minorHAnsi" w:cstheme="minorHAnsi"/>
          <w:b/>
          <w:bCs/>
          <w:lang w:val="ro-RO" w:eastAsia="ro-RO"/>
        </w:rPr>
      </w:pPr>
      <w:r w:rsidRPr="00AF3608">
        <w:rPr>
          <w:rFonts w:asciiTheme="minorHAnsi" w:hAnsiTheme="minorHAnsi" w:cstheme="minorHAnsi"/>
          <w:b/>
          <w:bCs/>
          <w:lang w:val="ro-RO" w:eastAsia="ro-RO"/>
        </w:rPr>
        <w:t>2.</w:t>
      </w:r>
      <w:r w:rsidR="000E51B8" w:rsidRPr="00AF3608">
        <w:rPr>
          <w:rFonts w:asciiTheme="minorHAnsi" w:hAnsiTheme="minorHAnsi" w:cstheme="minorHAnsi"/>
          <w:b/>
          <w:bCs/>
          <w:lang w:val="ro-RO" w:eastAsia="ro-RO"/>
        </w:rPr>
        <w:t xml:space="preserve">3 Politica în domeniul investițiilor publice </w:t>
      </w:r>
    </w:p>
    <w:p w:rsidR="000E51B8" w:rsidRPr="00AF3608" w:rsidRDefault="000E51B8" w:rsidP="00B723C0">
      <w:pPr>
        <w:autoSpaceDE w:val="0"/>
        <w:autoSpaceDN w:val="0"/>
        <w:spacing w:before="120"/>
        <w:jc w:val="both"/>
        <w:rPr>
          <w:rFonts w:asciiTheme="minorHAnsi" w:hAnsiTheme="minorHAnsi" w:cstheme="minorHAnsi"/>
          <w:lang w:val="ro-RO" w:eastAsia="ro-RO"/>
        </w:rPr>
      </w:pPr>
      <w:r w:rsidRPr="00AF3608">
        <w:rPr>
          <w:rFonts w:asciiTheme="minorHAnsi" w:hAnsiTheme="minorHAnsi" w:cstheme="minorHAnsi"/>
          <w:b/>
          <w:bCs/>
          <w:lang w:val="ro-RO" w:eastAsia="ro-RO"/>
        </w:rPr>
        <w:t>Programul pentru dezvoltarea investițiilor în turism</w:t>
      </w:r>
      <w:r w:rsidRPr="00AF3608">
        <w:rPr>
          <w:rFonts w:asciiTheme="minorHAnsi" w:hAnsiTheme="minorHAnsi" w:cstheme="minorHAnsi"/>
          <w:lang w:val="ro-RO" w:eastAsia="ro-RO"/>
        </w:rPr>
        <w:t xml:space="preserve"> - Masterplanul investițiilor în turism - și a criteriilor de eligibilitate a proiectelor de investiții în turism, aprobat prin Hotărârea Guvernului nr. 558/2017 cu modificările și completările ulterioare.</w:t>
      </w:r>
    </w:p>
    <w:p w:rsidR="000E51B8" w:rsidRPr="00AF3608" w:rsidRDefault="000E51B8" w:rsidP="00B723C0">
      <w:pPr>
        <w:autoSpaceDE w:val="0"/>
        <w:autoSpaceDN w:val="0"/>
        <w:spacing w:before="120"/>
        <w:jc w:val="both"/>
        <w:rPr>
          <w:rFonts w:asciiTheme="minorHAnsi" w:hAnsiTheme="minorHAnsi" w:cstheme="minorHAnsi"/>
          <w:b/>
          <w:bCs/>
          <w:lang w:val="ro-RO" w:eastAsia="ro-RO"/>
        </w:rPr>
      </w:pPr>
      <w:r w:rsidRPr="00AF3608">
        <w:rPr>
          <w:rFonts w:asciiTheme="minorHAnsi" w:hAnsiTheme="minorHAnsi" w:cstheme="minorHAnsi"/>
          <w:b/>
          <w:bCs/>
          <w:lang w:val="ro-RO" w:eastAsia="ro-RO"/>
        </w:rPr>
        <w:t xml:space="preserve">Obiective generale: </w:t>
      </w:r>
    </w:p>
    <w:p w:rsidR="000E51B8" w:rsidRPr="00AF3608" w:rsidRDefault="000E51B8" w:rsidP="00B723C0">
      <w:pPr>
        <w:autoSpaceDE w:val="0"/>
        <w:autoSpaceDN w:val="0"/>
        <w:spacing w:before="120"/>
        <w:ind w:firstLine="709"/>
        <w:jc w:val="both"/>
        <w:rPr>
          <w:rFonts w:asciiTheme="minorHAnsi" w:hAnsiTheme="minorHAnsi" w:cstheme="minorHAnsi"/>
          <w:lang w:val="ro-RO" w:eastAsia="ro-RO"/>
        </w:rPr>
      </w:pPr>
      <w:r w:rsidRPr="00AF3608">
        <w:rPr>
          <w:rFonts w:asciiTheme="minorHAnsi" w:hAnsiTheme="minorHAnsi" w:cstheme="minorHAnsi"/>
          <w:lang w:val="ro-RO" w:eastAsia="ro-RO"/>
        </w:rPr>
        <w:t>- dezvoltarea comunităților locale din zonele cu potențial turistic ridicat, prin creșterea investițiilor publice în infrastructura turistică;</w:t>
      </w:r>
    </w:p>
    <w:p w:rsidR="000E51B8" w:rsidRPr="00AF3608" w:rsidRDefault="000E51B8" w:rsidP="00B723C0">
      <w:pPr>
        <w:autoSpaceDE w:val="0"/>
        <w:autoSpaceDN w:val="0"/>
        <w:spacing w:before="120"/>
        <w:ind w:firstLine="709"/>
        <w:jc w:val="both"/>
        <w:rPr>
          <w:rFonts w:asciiTheme="minorHAnsi" w:hAnsiTheme="minorHAnsi" w:cstheme="minorHAnsi"/>
          <w:lang w:val="ro-RO" w:eastAsia="ro-RO"/>
        </w:rPr>
      </w:pPr>
      <w:r w:rsidRPr="00AF3608">
        <w:rPr>
          <w:rFonts w:asciiTheme="minorHAnsi" w:hAnsiTheme="minorHAnsi" w:cstheme="minorHAnsi"/>
          <w:lang w:val="ro-RO" w:eastAsia="ro-RO"/>
        </w:rPr>
        <w:t>- dezvoltarea competitivă a turismului prin identificarea, evaluarea, prioritizarea pe forme de turism și o direcționare eficientă a investițiilor publice;</w:t>
      </w:r>
    </w:p>
    <w:p w:rsidR="000E51B8" w:rsidRPr="00AF3608" w:rsidRDefault="000E51B8" w:rsidP="00B723C0">
      <w:pPr>
        <w:autoSpaceDE w:val="0"/>
        <w:autoSpaceDN w:val="0"/>
        <w:spacing w:before="120"/>
        <w:ind w:firstLine="709"/>
        <w:jc w:val="both"/>
        <w:rPr>
          <w:rFonts w:asciiTheme="minorHAnsi" w:hAnsiTheme="minorHAnsi" w:cstheme="minorHAnsi"/>
          <w:lang w:val="ro-RO" w:eastAsia="ro-RO"/>
        </w:rPr>
      </w:pPr>
      <w:r w:rsidRPr="00AF3608">
        <w:rPr>
          <w:rFonts w:asciiTheme="minorHAnsi" w:hAnsiTheme="minorHAnsi" w:cstheme="minorHAnsi"/>
          <w:lang w:val="ro-RO" w:eastAsia="ro-RO"/>
        </w:rPr>
        <w:t>- dezvoltarea unei rețele de destinații turistice competitive pe plan internațional;</w:t>
      </w:r>
    </w:p>
    <w:p w:rsidR="000E51B8" w:rsidRPr="00AF3608" w:rsidRDefault="000E51B8" w:rsidP="00B723C0">
      <w:pPr>
        <w:autoSpaceDE w:val="0"/>
        <w:autoSpaceDN w:val="0"/>
        <w:spacing w:before="120"/>
        <w:ind w:firstLine="709"/>
        <w:jc w:val="both"/>
        <w:rPr>
          <w:rFonts w:asciiTheme="minorHAnsi" w:hAnsiTheme="minorHAnsi" w:cstheme="minorHAnsi"/>
          <w:lang w:val="ro-RO" w:eastAsia="ro-RO"/>
        </w:rPr>
      </w:pPr>
      <w:r w:rsidRPr="00AF3608">
        <w:rPr>
          <w:rFonts w:asciiTheme="minorHAnsi" w:hAnsiTheme="minorHAnsi" w:cstheme="minorHAnsi"/>
          <w:lang w:val="ro-RO" w:eastAsia="ro-RO"/>
        </w:rPr>
        <w:t>- identificarea unei abordări integrate a politicii turistice la nivelul regiunilor, prin dezvoltarea durabilă a turismului.</w:t>
      </w:r>
    </w:p>
    <w:p w:rsidR="000E51B8" w:rsidRPr="00AF3608" w:rsidRDefault="000E51B8" w:rsidP="00B723C0">
      <w:pPr>
        <w:autoSpaceDE w:val="0"/>
        <w:autoSpaceDN w:val="0"/>
        <w:spacing w:before="120"/>
        <w:jc w:val="both"/>
        <w:rPr>
          <w:rFonts w:asciiTheme="minorHAnsi" w:hAnsiTheme="minorHAnsi" w:cstheme="minorHAnsi"/>
          <w:b/>
          <w:lang w:val="ro-RO" w:eastAsia="ro-RO"/>
        </w:rPr>
      </w:pPr>
      <w:r w:rsidRPr="00AF3608">
        <w:rPr>
          <w:rFonts w:asciiTheme="minorHAnsi" w:hAnsiTheme="minorHAnsi" w:cstheme="minorHAnsi"/>
          <w:b/>
          <w:lang w:val="ro-RO" w:eastAsia="ro-RO"/>
        </w:rPr>
        <w:t xml:space="preserve">Obiective specifice: </w:t>
      </w:r>
    </w:p>
    <w:p w:rsidR="000E51B8" w:rsidRPr="00AF3608" w:rsidRDefault="000E51B8" w:rsidP="00B723C0">
      <w:pPr>
        <w:autoSpaceDE w:val="0"/>
        <w:autoSpaceDN w:val="0"/>
        <w:spacing w:before="120"/>
        <w:ind w:firstLine="709"/>
        <w:jc w:val="both"/>
        <w:rPr>
          <w:rFonts w:asciiTheme="minorHAnsi" w:hAnsiTheme="minorHAnsi" w:cstheme="minorHAnsi"/>
          <w:lang w:val="ro-RO" w:eastAsia="ro-RO"/>
        </w:rPr>
      </w:pPr>
      <w:r w:rsidRPr="00AF3608">
        <w:rPr>
          <w:rFonts w:asciiTheme="minorHAnsi" w:hAnsiTheme="minorHAnsi" w:cstheme="minorHAnsi"/>
          <w:lang w:val="ro-RO" w:eastAsia="ro-RO"/>
        </w:rPr>
        <w:t>- dezvoltarea turismului de sănătate;</w:t>
      </w:r>
    </w:p>
    <w:p w:rsidR="000E51B8" w:rsidRPr="00AF3608" w:rsidRDefault="000E51B8" w:rsidP="00B723C0">
      <w:pPr>
        <w:autoSpaceDE w:val="0"/>
        <w:autoSpaceDN w:val="0"/>
        <w:spacing w:before="120"/>
        <w:ind w:firstLine="709"/>
        <w:jc w:val="both"/>
        <w:rPr>
          <w:rFonts w:asciiTheme="minorHAnsi" w:hAnsiTheme="minorHAnsi" w:cstheme="minorHAnsi"/>
          <w:lang w:val="ro-RO" w:eastAsia="ro-RO"/>
        </w:rPr>
      </w:pPr>
      <w:r w:rsidRPr="00AF3608">
        <w:rPr>
          <w:rFonts w:asciiTheme="minorHAnsi" w:hAnsiTheme="minorHAnsi" w:cstheme="minorHAnsi"/>
          <w:lang w:val="ro-RO" w:eastAsia="ro-RO"/>
        </w:rPr>
        <w:t>- dezvoltarea domeniului schiabil;</w:t>
      </w:r>
    </w:p>
    <w:p w:rsidR="000E51B8" w:rsidRPr="00AF3608" w:rsidRDefault="000E51B8" w:rsidP="00B723C0">
      <w:pPr>
        <w:autoSpaceDE w:val="0"/>
        <w:autoSpaceDN w:val="0"/>
        <w:spacing w:before="120"/>
        <w:ind w:firstLine="709"/>
        <w:jc w:val="both"/>
        <w:rPr>
          <w:rFonts w:asciiTheme="minorHAnsi" w:hAnsiTheme="minorHAnsi" w:cstheme="minorHAnsi"/>
          <w:lang w:val="ro-RO" w:eastAsia="ro-RO"/>
        </w:rPr>
      </w:pPr>
      <w:r w:rsidRPr="00AF3608">
        <w:rPr>
          <w:rFonts w:asciiTheme="minorHAnsi" w:hAnsiTheme="minorHAnsi" w:cstheme="minorHAnsi"/>
          <w:lang w:val="ro-RO" w:eastAsia="ro-RO"/>
        </w:rPr>
        <w:lastRenderedPageBreak/>
        <w:t>- dezvoltarea infrastructurii turistice de agrement;</w:t>
      </w:r>
    </w:p>
    <w:p w:rsidR="000E51B8" w:rsidRPr="00AF3608" w:rsidRDefault="000E51B8" w:rsidP="00B723C0">
      <w:pPr>
        <w:autoSpaceDE w:val="0"/>
        <w:autoSpaceDN w:val="0"/>
        <w:spacing w:before="120"/>
        <w:ind w:firstLine="709"/>
        <w:jc w:val="both"/>
        <w:rPr>
          <w:rFonts w:asciiTheme="minorHAnsi" w:hAnsiTheme="minorHAnsi" w:cstheme="minorHAnsi"/>
          <w:lang w:val="ro-RO" w:eastAsia="ro-RO"/>
        </w:rPr>
      </w:pPr>
      <w:r w:rsidRPr="00AF3608">
        <w:rPr>
          <w:rFonts w:asciiTheme="minorHAnsi" w:hAnsiTheme="minorHAnsi" w:cstheme="minorHAnsi"/>
          <w:lang w:val="ro-RO" w:eastAsia="ro-RO"/>
        </w:rPr>
        <w:t>- dezvoltarea turistică echilibrată și integrată a zonei turistice din Delta Dunării și a litoralului Mării Negre;</w:t>
      </w:r>
    </w:p>
    <w:p w:rsidR="000E51B8" w:rsidRPr="00AF3608" w:rsidRDefault="000E51B8" w:rsidP="00B723C0">
      <w:pPr>
        <w:autoSpaceDE w:val="0"/>
        <w:autoSpaceDN w:val="0"/>
        <w:spacing w:before="120"/>
        <w:ind w:firstLine="709"/>
        <w:jc w:val="both"/>
        <w:rPr>
          <w:rFonts w:asciiTheme="minorHAnsi" w:hAnsiTheme="minorHAnsi" w:cstheme="minorHAnsi"/>
          <w:lang w:val="ro-RO" w:eastAsia="ro-RO"/>
        </w:rPr>
      </w:pPr>
      <w:r w:rsidRPr="00AF3608">
        <w:rPr>
          <w:rFonts w:asciiTheme="minorHAnsi" w:hAnsiTheme="minorHAnsi" w:cstheme="minorHAnsi"/>
          <w:lang w:val="ro-RO" w:eastAsia="ro-RO"/>
        </w:rPr>
        <w:t>- dezvoltarea infrastructurii turistice de-a lungul Dunării;</w:t>
      </w:r>
    </w:p>
    <w:p w:rsidR="000E51B8" w:rsidRPr="00AF3608" w:rsidRDefault="000E51B8" w:rsidP="00B723C0">
      <w:pPr>
        <w:autoSpaceDE w:val="0"/>
        <w:autoSpaceDN w:val="0"/>
        <w:spacing w:before="120"/>
        <w:ind w:firstLine="709"/>
        <w:jc w:val="both"/>
        <w:rPr>
          <w:rFonts w:asciiTheme="minorHAnsi" w:hAnsiTheme="minorHAnsi" w:cstheme="minorHAnsi"/>
          <w:lang w:val="ro-RO" w:eastAsia="ro-RO"/>
        </w:rPr>
      </w:pPr>
      <w:r w:rsidRPr="00AF3608">
        <w:rPr>
          <w:rFonts w:asciiTheme="minorHAnsi" w:hAnsiTheme="minorHAnsi" w:cstheme="minorHAnsi"/>
          <w:lang w:val="ro-RO" w:eastAsia="ro-RO"/>
        </w:rPr>
        <w:t>- dezvoltarea infrastructurii turistice din zona montană înaltă.</w:t>
      </w:r>
    </w:p>
    <w:p w:rsidR="000E51B8" w:rsidRPr="00AF3608" w:rsidRDefault="000E51B8" w:rsidP="00B723C0">
      <w:pPr>
        <w:autoSpaceDE w:val="0"/>
        <w:autoSpaceDN w:val="0"/>
        <w:spacing w:before="120"/>
        <w:jc w:val="both"/>
        <w:rPr>
          <w:rFonts w:asciiTheme="minorHAnsi" w:hAnsiTheme="minorHAnsi" w:cstheme="minorHAnsi"/>
          <w:b/>
          <w:lang w:val="ro-RO" w:eastAsia="ro-RO"/>
        </w:rPr>
      </w:pPr>
      <w:r w:rsidRPr="00AF3608">
        <w:rPr>
          <w:rFonts w:asciiTheme="minorHAnsi" w:hAnsiTheme="minorHAnsi" w:cstheme="minorHAnsi"/>
          <w:b/>
          <w:lang w:val="ro-RO" w:eastAsia="ro-RO"/>
        </w:rPr>
        <w:t xml:space="preserve">Măsuri: </w:t>
      </w:r>
    </w:p>
    <w:p w:rsidR="000E51B8" w:rsidRPr="00AF3608" w:rsidRDefault="000E51B8" w:rsidP="00B723C0">
      <w:pPr>
        <w:autoSpaceDE w:val="0"/>
        <w:autoSpaceDN w:val="0"/>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 xml:space="preserve">Programul are în vedere susținerea financiară a unităților administrativ-teritoriale, în completarea surselor proprii ale acestora prin transferuri de la bugetul de stat, către bugetele locale. Astfel, se încheie contracte de finanţare multianuale cu autorităţile administraţiei publice locale pentru finanţarea investiţiilor în turism prevăzute în Anexa nr. 1 lit. A (pentru lucrările rămase de executat sau pentru lucrările executate şi nedecontate din contractele de lucrări aflate în derulare) şi lit. B la Hotărârea Guvernului nr. 558/2017 privind aprobarea Programului pentru dezvoltarea investiţiilor în turism – Masterplanul investiţiilor în turism – şi a criteriilor de eligibilitate a proiectelor de investiţii în turism, pe o perioadă de maximum 4 ani, în limita creditelor de angajament aprobate şi a creditelor bugetare aprobate şi/sau estimate cu această destinaţie, fără eşalonarea anuală a creditelor bugetare, care se înscriu cumulat pentru toată perioada de finanţare. În funcţie de prevederile bugetare aprobate anual cu această destinaţie, durata contractelor de finanţare poate fi prelungită până la maximum 2 ani. </w:t>
      </w:r>
    </w:p>
    <w:p w:rsidR="000E51B8" w:rsidRPr="00AF3608" w:rsidRDefault="000E51B8" w:rsidP="00B723C0">
      <w:pPr>
        <w:autoSpaceDE w:val="0"/>
        <w:autoSpaceDN w:val="0"/>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Pentru finalizarea, respectiv continuarea în bune condiții a Programului pentru dezvoltarea investițiilor în turism - Masterplanul investițiilor în turism,  țintele se vor încadra în limitele bugetare/de angajament aprobate.</w:t>
      </w:r>
    </w:p>
    <w:p w:rsidR="000E51B8" w:rsidRPr="00AF3608" w:rsidRDefault="000E51B8" w:rsidP="00B723C0">
      <w:pPr>
        <w:autoSpaceDE w:val="0"/>
        <w:autoSpaceDN w:val="0"/>
        <w:spacing w:before="120"/>
        <w:jc w:val="both"/>
        <w:rPr>
          <w:rFonts w:asciiTheme="minorHAnsi" w:hAnsiTheme="minorHAnsi" w:cstheme="minorHAnsi"/>
          <w:b/>
          <w:lang w:val="ro-RO" w:eastAsia="ro-RO"/>
        </w:rPr>
      </w:pPr>
      <w:r w:rsidRPr="00AF3608">
        <w:rPr>
          <w:rFonts w:asciiTheme="minorHAnsi" w:hAnsiTheme="minorHAnsi" w:cstheme="minorHAnsi"/>
          <w:b/>
          <w:lang w:val="ro-RO" w:eastAsia="ro-RO"/>
        </w:rPr>
        <w:t>Rezultate așteptate:</w:t>
      </w:r>
    </w:p>
    <w:p w:rsidR="000E51B8" w:rsidRPr="00AF3608" w:rsidRDefault="000E51B8" w:rsidP="00B723C0">
      <w:pPr>
        <w:autoSpaceDE w:val="0"/>
        <w:autoSpaceDN w:val="0"/>
        <w:spacing w:before="120"/>
        <w:jc w:val="both"/>
        <w:rPr>
          <w:rFonts w:asciiTheme="minorHAnsi" w:hAnsiTheme="minorHAnsi" w:cstheme="minorHAnsi"/>
          <w:b/>
          <w:lang w:val="ro-RO" w:eastAsia="ro-RO"/>
        </w:rPr>
      </w:pPr>
    </w:p>
    <w:p w:rsidR="000E51B8" w:rsidRPr="00AF3608" w:rsidRDefault="000E51B8" w:rsidP="00B723C0">
      <w:pPr>
        <w:autoSpaceDE w:val="0"/>
        <w:autoSpaceDN w:val="0"/>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 xml:space="preserve">Industria turistică generează un număr semnificativ de locuri de muncă, iar investiţiile în acest domeniu au o durată de amortizare relativ scurtă. Turiştii creează o cerere suplimentară de servicii şi bunuri de consum, stimulând astfel sectorul terţiar al economiei (serviciile, comerţul, industriile artizanale etc.). În acelaşi timp, localităţile turistice tind să aibă o infrastructură edilitară şi de servicii mai dezvoltată. Sectorul transporturilor şi sectorul imobiliar sunt alte două ramuri importante ce au de câştigat prin dezvoltarea turismului. Dacă în prezent ponderea turismului în produsul intern brut este redusă atât la nivel naţional, cât şi la nivel regional (cca 2-3%), pe termen mediu aceasta se poate dubla cu uşurinţă, chiar şi fără extinderea structurilor de primire turistică. </w:t>
      </w:r>
    </w:p>
    <w:p w:rsidR="000E51B8" w:rsidRPr="00AF3608" w:rsidRDefault="000E51B8" w:rsidP="00B723C0">
      <w:pPr>
        <w:autoSpaceDE w:val="0"/>
        <w:autoSpaceDN w:val="0"/>
        <w:spacing w:before="120"/>
        <w:jc w:val="both"/>
        <w:rPr>
          <w:rFonts w:asciiTheme="minorHAnsi" w:hAnsiTheme="minorHAnsi" w:cstheme="minorHAnsi"/>
          <w:lang w:val="ro-RO" w:eastAsia="ro-RO"/>
        </w:rPr>
      </w:pPr>
    </w:p>
    <w:p w:rsidR="000E51B8" w:rsidRPr="00AF3608" w:rsidRDefault="000E51B8" w:rsidP="003A0B85">
      <w:pPr>
        <w:pStyle w:val="ListParagraph"/>
        <w:numPr>
          <w:ilvl w:val="0"/>
          <w:numId w:val="100"/>
        </w:numPr>
        <w:shd w:val="clear" w:color="auto" w:fill="D9D9D9" w:themeFill="background1" w:themeFillShade="D9"/>
        <w:autoSpaceDE w:val="0"/>
        <w:autoSpaceDN w:val="0"/>
        <w:spacing w:before="120"/>
        <w:jc w:val="both"/>
        <w:rPr>
          <w:rFonts w:asciiTheme="minorHAnsi" w:hAnsiTheme="minorHAnsi" w:cstheme="minorHAnsi"/>
          <w:lang w:eastAsia="ro-RO"/>
        </w:rPr>
      </w:pPr>
      <w:r w:rsidRPr="00AF3608">
        <w:rPr>
          <w:rFonts w:asciiTheme="minorHAnsi" w:hAnsiTheme="minorHAnsi" w:cstheme="minorHAnsi"/>
          <w:b/>
          <w:bCs/>
          <w:lang w:eastAsia="ro-RO"/>
        </w:rPr>
        <w:t>În domeniul întreprinderilor mici și mijlocii, cooperației și mediului de afaceri, comerțului, politicii comerciale și al relațiilor economice internaționale și investițiilor străine, în concordanță cu cerințele economiei de piață și pentru stimularea inițiativei operatorilor economici.</w:t>
      </w:r>
    </w:p>
    <w:p w:rsidR="000E51B8" w:rsidRPr="00AF3608" w:rsidRDefault="000E51B8" w:rsidP="00B723C0">
      <w:pPr>
        <w:spacing w:before="120"/>
        <w:jc w:val="both"/>
        <w:rPr>
          <w:rFonts w:asciiTheme="minorHAnsi" w:hAnsiTheme="minorHAnsi" w:cstheme="minorHAnsi"/>
          <w:b/>
          <w:lang w:val="ro-RO" w:eastAsia="ro-RO"/>
        </w:rPr>
      </w:pPr>
    </w:p>
    <w:p w:rsidR="000E51B8" w:rsidRPr="00AF3608" w:rsidRDefault="000E51B8" w:rsidP="00B723C0">
      <w:pPr>
        <w:spacing w:before="120"/>
        <w:jc w:val="both"/>
        <w:rPr>
          <w:rFonts w:asciiTheme="minorHAnsi" w:hAnsiTheme="minorHAnsi" w:cstheme="minorHAnsi"/>
          <w:lang w:val="ro-RO" w:eastAsia="ro-RO"/>
        </w:rPr>
      </w:pPr>
      <w:r w:rsidRPr="00AF3608">
        <w:rPr>
          <w:rFonts w:asciiTheme="minorHAnsi" w:hAnsiTheme="minorHAnsi" w:cstheme="minorHAnsi"/>
          <w:b/>
          <w:bCs/>
          <w:lang w:val="ro-RO" w:eastAsia="ro-RO"/>
        </w:rPr>
        <w:t>3.</w:t>
      </w:r>
      <w:r w:rsidR="00326DC8" w:rsidRPr="00AF3608">
        <w:rPr>
          <w:rFonts w:asciiTheme="minorHAnsi" w:hAnsiTheme="minorHAnsi" w:cstheme="minorHAnsi"/>
          <w:b/>
          <w:bCs/>
          <w:lang w:val="ro-RO" w:eastAsia="ro-RO"/>
        </w:rPr>
        <w:t xml:space="preserve">1 </w:t>
      </w:r>
      <w:r w:rsidRPr="00AF3608">
        <w:rPr>
          <w:rFonts w:asciiTheme="minorHAnsi" w:hAnsiTheme="minorHAnsi" w:cstheme="minorHAnsi"/>
          <w:b/>
          <w:bCs/>
          <w:lang w:val="ro-RO" w:eastAsia="ro-RO"/>
        </w:rPr>
        <w:t xml:space="preserve">Crearea cadrului instituțional, legislativ și financiar favorabil susținerii IMM-urilor </w:t>
      </w:r>
    </w:p>
    <w:p w:rsidR="000E51B8" w:rsidRPr="00240C1D" w:rsidRDefault="000E51B8" w:rsidP="00B723C0">
      <w:pPr>
        <w:spacing w:before="120"/>
        <w:jc w:val="both"/>
        <w:rPr>
          <w:rFonts w:asciiTheme="minorHAnsi" w:hAnsiTheme="minorHAnsi" w:cstheme="minorHAnsi"/>
          <w:b/>
          <w:lang w:val="ro-RO" w:eastAsia="ro-RO"/>
        </w:rPr>
      </w:pPr>
      <w:r w:rsidRPr="00240C1D">
        <w:rPr>
          <w:rFonts w:asciiTheme="minorHAnsi" w:hAnsiTheme="minorHAnsi" w:cstheme="minorHAnsi"/>
          <w:b/>
          <w:lang w:val="ro-RO" w:eastAsia="ro-RO"/>
        </w:rPr>
        <w:t>Programul pentru stimularea înfiinţării întreprinderilor mici și mijlocii “Start-up Nation - ROMÂNIA”</w:t>
      </w:r>
    </w:p>
    <w:p w:rsidR="000E51B8" w:rsidRPr="00AF3608" w:rsidRDefault="000E51B8" w:rsidP="00B723C0">
      <w:pPr>
        <w:spacing w:before="120"/>
        <w:jc w:val="both"/>
        <w:rPr>
          <w:rFonts w:asciiTheme="minorHAnsi" w:hAnsiTheme="minorHAnsi" w:cstheme="minorHAnsi"/>
          <w:b/>
          <w:lang w:val="ro-RO" w:eastAsia="ro-RO"/>
        </w:rPr>
      </w:pPr>
      <w:r w:rsidRPr="00AF3608">
        <w:rPr>
          <w:rFonts w:asciiTheme="minorHAnsi" w:hAnsiTheme="minorHAnsi" w:cstheme="minorHAnsi"/>
          <w:b/>
          <w:lang w:val="ro-RO" w:eastAsia="ro-RO"/>
        </w:rPr>
        <w:t>Programul pentru acordarea de sprijin financiar pentru întreprinderile din domeniul turismului, structuri de cazare, structuri de alimentaţie şi agenţii de turism, a căror activitate a fost afectată în contextul pandemiei de COVID-19</w:t>
      </w:r>
    </w:p>
    <w:p w:rsidR="000E51B8" w:rsidRPr="00AF3608" w:rsidRDefault="000E51B8" w:rsidP="00B723C0">
      <w:pPr>
        <w:spacing w:before="120"/>
        <w:jc w:val="both"/>
        <w:rPr>
          <w:rFonts w:asciiTheme="minorHAnsi" w:hAnsiTheme="minorHAnsi" w:cstheme="minorHAnsi"/>
          <w:b/>
          <w:lang w:val="ro-RO" w:eastAsia="ro-RO"/>
        </w:rPr>
      </w:pPr>
      <w:r w:rsidRPr="00AF3608">
        <w:rPr>
          <w:rFonts w:asciiTheme="minorHAnsi" w:hAnsiTheme="minorHAnsi" w:cstheme="minorHAnsi"/>
          <w:b/>
          <w:lang w:val="ro-RO" w:eastAsia="ro-RO"/>
        </w:rPr>
        <w:lastRenderedPageBreak/>
        <w:t>Obiectiv:</w:t>
      </w:r>
    </w:p>
    <w:p w:rsidR="000E51B8" w:rsidRPr="00AF3608" w:rsidRDefault="000E51B8" w:rsidP="00B723C0">
      <w:pPr>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Obiectivul principal a sprijinului financiar este să asigure continuitatea activităţii operatorilor economici din sectorul turistic, structuri de cazare, structuri de alimentaţie, agenţii de turism, grav afectaţi de impactul economic al epidemiei de coronavirus prin îmbunătăţirea accesului la lichidităţi, pentru a-i ajuta să îşi continue activitatea şi să păstreze locurile de muncă.</w:t>
      </w:r>
    </w:p>
    <w:p w:rsidR="000E51B8" w:rsidRPr="00AF3608" w:rsidRDefault="000E51B8" w:rsidP="00B723C0">
      <w:pPr>
        <w:spacing w:before="120"/>
        <w:jc w:val="both"/>
        <w:rPr>
          <w:rFonts w:asciiTheme="minorHAnsi" w:hAnsiTheme="minorHAnsi" w:cstheme="minorHAnsi"/>
          <w:lang w:val="ro-RO" w:eastAsia="ro-RO"/>
        </w:rPr>
      </w:pPr>
      <w:r w:rsidRPr="00AF3608">
        <w:rPr>
          <w:rFonts w:asciiTheme="minorHAnsi" w:hAnsiTheme="minorHAnsi" w:cstheme="minorHAnsi"/>
          <w:b/>
          <w:lang w:val="ro-RO" w:eastAsia="ro-RO"/>
        </w:rPr>
        <w:t>Măsuri:</w:t>
      </w:r>
      <w:r w:rsidRPr="00AF3608">
        <w:rPr>
          <w:rFonts w:asciiTheme="minorHAnsi" w:hAnsiTheme="minorHAnsi" w:cstheme="minorHAnsi"/>
          <w:lang w:val="ro-RO" w:eastAsia="ro-RO"/>
        </w:rPr>
        <w:t xml:space="preserve"> </w:t>
      </w:r>
    </w:p>
    <w:p w:rsidR="000E51B8" w:rsidRPr="00AF3608" w:rsidRDefault="000E51B8" w:rsidP="00B723C0">
      <w:pPr>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Acordarea de ajutoare de stat pentru supravieţuirea şi relansarea sectorului turismului.</w:t>
      </w:r>
    </w:p>
    <w:p w:rsidR="000E51B8" w:rsidRPr="00AF3608" w:rsidRDefault="000E51B8" w:rsidP="00B723C0">
      <w:pPr>
        <w:spacing w:before="120"/>
        <w:jc w:val="both"/>
        <w:rPr>
          <w:rFonts w:asciiTheme="minorHAnsi" w:hAnsiTheme="minorHAnsi" w:cstheme="minorHAnsi"/>
          <w:b/>
          <w:lang w:val="ro-RO" w:eastAsia="ro-RO"/>
        </w:rPr>
      </w:pPr>
      <w:r w:rsidRPr="00AF3608">
        <w:rPr>
          <w:rFonts w:asciiTheme="minorHAnsi" w:hAnsiTheme="minorHAnsi" w:cstheme="minorHAnsi"/>
          <w:b/>
          <w:lang w:val="ro-RO" w:eastAsia="ro-RO"/>
        </w:rPr>
        <w:t xml:space="preserve">Rezultate: </w:t>
      </w:r>
    </w:p>
    <w:p w:rsidR="000E51B8" w:rsidRPr="00AF3608" w:rsidRDefault="000E51B8" w:rsidP="003A0B85">
      <w:pPr>
        <w:numPr>
          <w:ilvl w:val="0"/>
          <w:numId w:val="98"/>
        </w:numPr>
        <w:tabs>
          <w:tab w:val="clear" w:pos="1800"/>
          <w:tab w:val="num" w:pos="702"/>
        </w:tabs>
        <w:suppressAutoHyphens/>
        <w:spacing w:before="120"/>
        <w:ind w:left="702"/>
        <w:jc w:val="both"/>
        <w:rPr>
          <w:rFonts w:asciiTheme="minorHAnsi" w:hAnsiTheme="minorHAnsi" w:cstheme="minorHAnsi"/>
          <w:lang w:val="ro-RO" w:eastAsia="ro-RO"/>
        </w:rPr>
      </w:pPr>
      <w:r w:rsidRPr="00AF3608">
        <w:rPr>
          <w:rFonts w:asciiTheme="minorHAnsi" w:hAnsiTheme="minorHAnsi" w:cstheme="minorHAnsi"/>
          <w:lang w:val="ro-RO" w:eastAsia="ro-RO"/>
        </w:rPr>
        <w:t>Salvarea de la faliment a unui număr important de actori economici din sector şi salvarea locurilor de muncă generate de aceştia.</w:t>
      </w:r>
    </w:p>
    <w:p w:rsidR="000E51B8" w:rsidRPr="00AF3608" w:rsidRDefault="000E51B8" w:rsidP="003A0B85">
      <w:pPr>
        <w:numPr>
          <w:ilvl w:val="0"/>
          <w:numId w:val="98"/>
        </w:numPr>
        <w:tabs>
          <w:tab w:val="clear" w:pos="1800"/>
          <w:tab w:val="num" w:pos="702"/>
        </w:tabs>
        <w:suppressAutoHyphens/>
        <w:spacing w:before="120"/>
        <w:ind w:left="702"/>
        <w:jc w:val="both"/>
        <w:rPr>
          <w:rFonts w:asciiTheme="minorHAnsi" w:hAnsiTheme="minorHAnsi" w:cstheme="minorHAnsi"/>
          <w:lang w:val="ro-RO" w:eastAsia="ro-RO"/>
        </w:rPr>
      </w:pPr>
      <w:r w:rsidRPr="00AF3608">
        <w:rPr>
          <w:rFonts w:asciiTheme="minorHAnsi" w:hAnsiTheme="minorHAnsi" w:cstheme="minorHAnsi"/>
          <w:lang w:val="ro-RO" w:eastAsia="ro-RO"/>
        </w:rPr>
        <w:t>Stimularea întreprinderilor din acest sector să menţină activitatea pentru o perioadă de minimum 6 luni.</w:t>
      </w:r>
    </w:p>
    <w:p w:rsidR="000E51B8" w:rsidRPr="00AF3608" w:rsidRDefault="000E51B8" w:rsidP="00B723C0">
      <w:pPr>
        <w:spacing w:before="120"/>
        <w:jc w:val="both"/>
        <w:rPr>
          <w:rFonts w:asciiTheme="minorHAnsi" w:hAnsiTheme="minorHAnsi" w:cstheme="minorHAnsi"/>
          <w:b/>
          <w:lang w:val="ro-RO" w:eastAsia="ro-RO"/>
        </w:rPr>
      </w:pPr>
    </w:p>
    <w:p w:rsidR="000E51B8" w:rsidRPr="00AF3608" w:rsidRDefault="000E51B8" w:rsidP="00B723C0">
      <w:pPr>
        <w:spacing w:before="120"/>
        <w:jc w:val="both"/>
        <w:rPr>
          <w:rFonts w:asciiTheme="minorHAnsi" w:hAnsiTheme="minorHAnsi" w:cstheme="minorHAnsi"/>
          <w:b/>
          <w:lang w:val="ro-RO" w:eastAsia="ro-RO"/>
        </w:rPr>
      </w:pPr>
      <w:r w:rsidRPr="00AF3608">
        <w:rPr>
          <w:rFonts w:asciiTheme="minorHAnsi" w:hAnsiTheme="minorHAnsi" w:cstheme="minorHAnsi"/>
          <w:b/>
          <w:lang w:val="ro-RO" w:eastAsia="ro-RO"/>
        </w:rPr>
        <w:t>Programul Granturi pentru investiții</w:t>
      </w:r>
    </w:p>
    <w:p w:rsidR="000E51B8" w:rsidRPr="00AF3608" w:rsidRDefault="000E51B8" w:rsidP="00B723C0">
      <w:pPr>
        <w:spacing w:before="120"/>
        <w:jc w:val="both"/>
        <w:rPr>
          <w:rFonts w:asciiTheme="minorHAnsi" w:hAnsiTheme="minorHAnsi" w:cstheme="minorHAnsi"/>
          <w:b/>
          <w:lang w:val="ro-RO" w:eastAsia="ro-RO"/>
        </w:rPr>
      </w:pPr>
      <w:r w:rsidRPr="00AF3608">
        <w:rPr>
          <w:rFonts w:asciiTheme="minorHAnsi" w:hAnsiTheme="minorHAnsi" w:cstheme="minorHAnsi"/>
          <w:b/>
          <w:lang w:val="ro-RO" w:eastAsia="ro-RO"/>
        </w:rPr>
        <w:t>Obiectiv:</w:t>
      </w:r>
    </w:p>
    <w:p w:rsidR="000E51B8" w:rsidRPr="00AF3608" w:rsidRDefault="000E51B8" w:rsidP="00B723C0">
      <w:pPr>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Obiectivul principal al schemei de ajutor de stat îl constituie acordarea de sprijin financiar din fonduri externe nerambursabile, aferente Programului operațional Competitivitate 2014-2020, denumit în continuare POC, în contextul crizei provocate de COVID-19, pentru beneficiarii prevăzuți la art. 3, a căror activitate a fost afectată de răspândirea virusului SARS-CoV-2 sau a căror activitate a fost interzisă prin ordonanțe militare pe perioada stării de urgență sau îngrădite pe perioada stării de alertă.</w:t>
      </w:r>
    </w:p>
    <w:p w:rsidR="000E51B8" w:rsidRPr="00AF3608" w:rsidRDefault="000E51B8" w:rsidP="00B723C0">
      <w:pPr>
        <w:spacing w:before="120"/>
        <w:jc w:val="both"/>
        <w:rPr>
          <w:rFonts w:asciiTheme="minorHAnsi" w:hAnsiTheme="minorHAnsi" w:cstheme="minorHAnsi"/>
          <w:lang w:val="ro-RO" w:eastAsia="ro-RO"/>
        </w:rPr>
      </w:pPr>
      <w:r w:rsidRPr="00AF3608">
        <w:rPr>
          <w:rFonts w:asciiTheme="minorHAnsi" w:hAnsiTheme="minorHAnsi" w:cstheme="minorHAnsi"/>
          <w:b/>
          <w:lang w:val="ro-RO" w:eastAsia="ro-RO"/>
        </w:rPr>
        <w:t>Măsuri:</w:t>
      </w:r>
      <w:r w:rsidRPr="00AF3608">
        <w:rPr>
          <w:rFonts w:asciiTheme="minorHAnsi" w:hAnsiTheme="minorHAnsi" w:cstheme="minorHAnsi"/>
          <w:lang w:val="ro-RO" w:eastAsia="ro-RO"/>
        </w:rPr>
        <w:t xml:space="preserve"> </w:t>
      </w:r>
    </w:p>
    <w:p w:rsidR="000E51B8" w:rsidRPr="00AF3608" w:rsidRDefault="000E51B8" w:rsidP="00B723C0">
      <w:pPr>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Prin program se implementează o schemă de ajutor de stat. Acordarea ajutoarelor de stat în cadrul măsurii se va face numai cu respectarea criteriilor privind ajutorul de stat prevăzute de Cadrul temporar pentru măsuri de ajutor de stat de sprijinire a economiei în contextul actualei epidemii de COVID-19, aprobat de Comisia Europeană. Măsura se aplică regional în toate cele 8 regiuni de dezvoltare.</w:t>
      </w:r>
    </w:p>
    <w:p w:rsidR="00D04074" w:rsidRPr="00AF3608" w:rsidRDefault="00D04074" w:rsidP="00B723C0">
      <w:pPr>
        <w:suppressAutoHyphens/>
        <w:spacing w:before="120"/>
        <w:jc w:val="both"/>
        <w:rPr>
          <w:rFonts w:asciiTheme="minorHAnsi" w:hAnsiTheme="minorHAnsi" w:cstheme="minorHAnsi"/>
          <w:lang w:val="ro-RO"/>
        </w:rPr>
      </w:pPr>
    </w:p>
    <w:p w:rsidR="00D04074" w:rsidRPr="00AF3608" w:rsidRDefault="00D04074" w:rsidP="00B723C0">
      <w:pPr>
        <w:suppressAutoHyphens/>
        <w:spacing w:before="120"/>
        <w:jc w:val="both"/>
        <w:rPr>
          <w:rFonts w:ascii="Calibri" w:hAnsi="Calibri" w:cs="Calibri"/>
          <w:lang w:val="ro-RO"/>
        </w:rPr>
      </w:pPr>
    </w:p>
    <w:p w:rsidR="00D04074" w:rsidRPr="00AF3608" w:rsidRDefault="00D04074" w:rsidP="002715C2">
      <w:pPr>
        <w:shd w:val="clear" w:color="auto" w:fill="A8D08D" w:themeFill="accent6" w:themeFillTint="99"/>
        <w:spacing w:before="120"/>
        <w:rPr>
          <w:rFonts w:ascii="Calibri" w:hAnsi="Calibri" w:cs="Calibri"/>
          <w:b/>
          <w:lang w:val="ro-RO"/>
        </w:rPr>
      </w:pPr>
      <w:r w:rsidRPr="00AF3608">
        <w:rPr>
          <w:rFonts w:ascii="Calibri" w:hAnsi="Calibri" w:cs="Calibri"/>
          <w:b/>
          <w:lang w:val="ro-RO"/>
        </w:rPr>
        <w:t xml:space="preserve">Politica în domeniul afacerilor interne </w:t>
      </w:r>
    </w:p>
    <w:p w:rsidR="009D0B5E" w:rsidRPr="00AF3608" w:rsidRDefault="009D0B5E" w:rsidP="00B723C0">
      <w:pPr>
        <w:suppressAutoHyphens/>
        <w:spacing w:before="120"/>
        <w:jc w:val="both"/>
        <w:rPr>
          <w:rFonts w:ascii="Calibri" w:hAnsi="Calibri" w:cs="Calibri"/>
          <w:b/>
          <w:lang w:val="ro-RO" w:eastAsia="zh-CN"/>
        </w:rPr>
      </w:pPr>
      <w:r w:rsidRPr="00AF3608">
        <w:rPr>
          <w:rFonts w:ascii="Calibri" w:hAnsi="Calibri" w:cs="Calibri"/>
          <w:lang w:val="ro-RO" w:eastAsia="zh-CN"/>
        </w:rPr>
        <w:t xml:space="preserve">În acord cu Planul Strategic Instituțional, Ministerul Afacerilor Interne acționează pentru îndeplinirea următoarelor </w:t>
      </w:r>
      <w:r w:rsidRPr="00AF3608">
        <w:rPr>
          <w:rFonts w:ascii="Calibri" w:hAnsi="Calibri" w:cs="Calibri"/>
          <w:b/>
          <w:lang w:val="ro-RO" w:eastAsia="zh-CN"/>
        </w:rPr>
        <w:t xml:space="preserve">obiective strategice: </w:t>
      </w:r>
    </w:p>
    <w:p w:rsidR="009D0B5E" w:rsidRPr="00AF3608" w:rsidRDefault="009D0B5E" w:rsidP="003A0B85">
      <w:pPr>
        <w:pStyle w:val="ListParagraph"/>
        <w:numPr>
          <w:ilvl w:val="0"/>
          <w:numId w:val="57"/>
        </w:numPr>
        <w:tabs>
          <w:tab w:val="left" w:pos="1418"/>
        </w:tabs>
        <w:suppressAutoHyphens/>
        <w:spacing w:before="120" w:line="240" w:lineRule="auto"/>
        <w:contextualSpacing w:val="0"/>
        <w:jc w:val="both"/>
        <w:rPr>
          <w:rFonts w:ascii="Calibri" w:hAnsi="Calibri" w:cs="Calibri"/>
          <w:b/>
          <w:lang w:eastAsia="zh-CN"/>
        </w:rPr>
      </w:pPr>
      <w:r w:rsidRPr="00AF3608">
        <w:rPr>
          <w:rFonts w:ascii="Calibri" w:hAnsi="Calibri" w:cs="Calibri"/>
          <w:lang w:eastAsia="zh-CN"/>
        </w:rPr>
        <w:t>Asigurarea unui grad ridicat de siguranță a persoanelor și de protecție a patrimoniului;</w:t>
      </w:r>
    </w:p>
    <w:p w:rsidR="009D0B5E" w:rsidRPr="00AF3608" w:rsidRDefault="009D0B5E" w:rsidP="003A0B85">
      <w:pPr>
        <w:pStyle w:val="ListParagraph"/>
        <w:numPr>
          <w:ilvl w:val="0"/>
          <w:numId w:val="57"/>
        </w:numPr>
        <w:tabs>
          <w:tab w:val="left" w:pos="1418"/>
        </w:tabs>
        <w:suppressAutoHyphens/>
        <w:spacing w:before="120" w:line="240" w:lineRule="auto"/>
        <w:contextualSpacing w:val="0"/>
        <w:jc w:val="both"/>
        <w:rPr>
          <w:rFonts w:ascii="Calibri" w:hAnsi="Calibri" w:cs="Calibri"/>
          <w:b/>
          <w:lang w:eastAsia="zh-CN"/>
        </w:rPr>
      </w:pPr>
      <w:r w:rsidRPr="00AF3608">
        <w:rPr>
          <w:rFonts w:ascii="Calibri" w:hAnsi="Calibri" w:cs="Calibri"/>
          <w:lang w:eastAsia="zh-CN"/>
        </w:rPr>
        <w:t>Creșterea capacității MAI de gestionare a evenimentelor majore;</w:t>
      </w:r>
    </w:p>
    <w:p w:rsidR="009D0B5E" w:rsidRPr="00AF3608" w:rsidRDefault="009D0B5E" w:rsidP="003A0B85">
      <w:pPr>
        <w:pStyle w:val="ListParagraph"/>
        <w:numPr>
          <w:ilvl w:val="0"/>
          <w:numId w:val="57"/>
        </w:numPr>
        <w:tabs>
          <w:tab w:val="left" w:pos="1418"/>
        </w:tabs>
        <w:suppressAutoHyphens/>
        <w:spacing w:before="120" w:line="240" w:lineRule="auto"/>
        <w:contextualSpacing w:val="0"/>
        <w:jc w:val="both"/>
        <w:rPr>
          <w:rFonts w:ascii="Calibri" w:hAnsi="Calibri" w:cs="Calibri"/>
          <w:b/>
          <w:lang w:eastAsia="zh-CN"/>
        </w:rPr>
      </w:pPr>
      <w:r w:rsidRPr="00AF3608">
        <w:rPr>
          <w:rFonts w:ascii="Calibri" w:hAnsi="Calibri" w:cs="Calibri"/>
          <w:lang w:eastAsia="zh-CN"/>
        </w:rPr>
        <w:t>Creșterea eficienței și capacității administrative a MAI.</w:t>
      </w:r>
    </w:p>
    <w:p w:rsidR="009D0B5E" w:rsidRPr="00AF3608" w:rsidRDefault="009D0B5E" w:rsidP="00B723C0">
      <w:pPr>
        <w:suppressAutoHyphens/>
        <w:spacing w:before="120"/>
        <w:jc w:val="both"/>
        <w:rPr>
          <w:rFonts w:ascii="Calibri" w:hAnsi="Calibri" w:cs="Calibri"/>
          <w:lang w:val="ro-RO" w:eastAsia="zh-CN"/>
        </w:rPr>
      </w:pPr>
      <w:r w:rsidRPr="00AF3608">
        <w:rPr>
          <w:rFonts w:ascii="Calibri" w:hAnsi="Calibri" w:cs="Calibri"/>
          <w:lang w:val="ro-RO" w:eastAsia="zh-CN"/>
        </w:rPr>
        <w:t xml:space="preserve">Obiectivele strategice sunt susținute de următoarele </w:t>
      </w:r>
      <w:r w:rsidRPr="00AF3608">
        <w:rPr>
          <w:rFonts w:ascii="Calibri" w:hAnsi="Calibri" w:cs="Calibri"/>
          <w:b/>
          <w:lang w:val="ro-RO" w:eastAsia="zh-CN"/>
        </w:rPr>
        <w:t>programe:</w:t>
      </w:r>
      <w:r w:rsidRPr="00AF3608">
        <w:rPr>
          <w:rFonts w:ascii="Calibri" w:hAnsi="Calibri" w:cs="Calibri"/>
          <w:lang w:val="ro-RO" w:eastAsia="zh-CN"/>
        </w:rPr>
        <w:t xml:space="preserve"> </w:t>
      </w:r>
    </w:p>
    <w:p w:rsidR="009D0B5E" w:rsidRPr="00AF3608" w:rsidRDefault="009D0B5E" w:rsidP="003A0B85">
      <w:pPr>
        <w:pStyle w:val="ListParagraph"/>
        <w:numPr>
          <w:ilvl w:val="0"/>
          <w:numId w:val="58"/>
        </w:numPr>
        <w:suppressAutoHyphens/>
        <w:spacing w:before="120" w:line="240" w:lineRule="auto"/>
        <w:contextualSpacing w:val="0"/>
        <w:jc w:val="both"/>
        <w:rPr>
          <w:rFonts w:ascii="Calibri" w:hAnsi="Calibri" w:cs="Calibri"/>
          <w:lang w:eastAsia="zh-CN"/>
        </w:rPr>
      </w:pPr>
      <w:r w:rsidRPr="00AF3608">
        <w:rPr>
          <w:rFonts w:ascii="Calibri" w:hAnsi="Calibri" w:cs="Calibri"/>
          <w:lang w:eastAsia="zh-CN"/>
        </w:rPr>
        <w:t xml:space="preserve">Programul 1 “Ordine și siguranță publică ” </w:t>
      </w:r>
    </w:p>
    <w:p w:rsidR="009D0B5E" w:rsidRPr="00AF3608" w:rsidRDefault="009D0B5E" w:rsidP="003A0B85">
      <w:pPr>
        <w:pStyle w:val="ListParagraph"/>
        <w:numPr>
          <w:ilvl w:val="0"/>
          <w:numId w:val="58"/>
        </w:numPr>
        <w:suppressAutoHyphens/>
        <w:spacing w:before="120" w:line="240" w:lineRule="auto"/>
        <w:contextualSpacing w:val="0"/>
        <w:jc w:val="both"/>
        <w:rPr>
          <w:rFonts w:ascii="Calibri" w:hAnsi="Calibri" w:cs="Calibri"/>
          <w:lang w:eastAsia="zh-CN"/>
        </w:rPr>
      </w:pPr>
      <w:r w:rsidRPr="00AF3608">
        <w:rPr>
          <w:rFonts w:ascii="Calibri" w:hAnsi="Calibri" w:cs="Calibri"/>
          <w:lang w:eastAsia="zh-CN"/>
        </w:rPr>
        <w:t xml:space="preserve">Programul 2 “Siguranța frontierei de stat, migrație, azil și integrare” </w:t>
      </w:r>
    </w:p>
    <w:p w:rsidR="009D0B5E" w:rsidRPr="00AF3608" w:rsidRDefault="009D0B5E" w:rsidP="003A0B85">
      <w:pPr>
        <w:pStyle w:val="ListParagraph"/>
        <w:numPr>
          <w:ilvl w:val="0"/>
          <w:numId w:val="58"/>
        </w:numPr>
        <w:suppressAutoHyphens/>
        <w:spacing w:before="120" w:line="240" w:lineRule="auto"/>
        <w:contextualSpacing w:val="0"/>
        <w:jc w:val="both"/>
        <w:rPr>
          <w:rFonts w:ascii="Calibri" w:hAnsi="Calibri" w:cs="Calibri"/>
          <w:lang w:eastAsia="zh-CN"/>
        </w:rPr>
      </w:pPr>
      <w:r w:rsidRPr="00AF3608">
        <w:rPr>
          <w:rFonts w:ascii="Calibri" w:hAnsi="Calibri" w:cs="Calibri"/>
          <w:lang w:eastAsia="zh-CN"/>
        </w:rPr>
        <w:t xml:space="preserve">Programul 3 “ Protecție civilă și sprijin acordat comunității”  </w:t>
      </w:r>
    </w:p>
    <w:p w:rsidR="009D0B5E" w:rsidRPr="00AF3608" w:rsidRDefault="009D0B5E" w:rsidP="003A0B85">
      <w:pPr>
        <w:pStyle w:val="ListParagraph"/>
        <w:numPr>
          <w:ilvl w:val="0"/>
          <w:numId w:val="58"/>
        </w:numPr>
        <w:suppressAutoHyphens/>
        <w:spacing w:before="120" w:line="240" w:lineRule="auto"/>
        <w:contextualSpacing w:val="0"/>
        <w:jc w:val="both"/>
        <w:rPr>
          <w:rFonts w:ascii="Calibri" w:hAnsi="Calibri" w:cs="Calibri"/>
          <w:lang w:eastAsia="zh-CN"/>
        </w:rPr>
      </w:pPr>
      <w:r w:rsidRPr="00AF3608">
        <w:rPr>
          <w:rFonts w:ascii="Calibri" w:hAnsi="Calibri" w:cs="Calibri"/>
          <w:lang w:eastAsia="zh-CN"/>
        </w:rPr>
        <w:t>Programul 4 “ Servicii pentru cetățeni și persoane juridice”</w:t>
      </w:r>
    </w:p>
    <w:p w:rsidR="009D0B5E" w:rsidRPr="00AF3608" w:rsidRDefault="009D0B5E" w:rsidP="003A0B85">
      <w:pPr>
        <w:pStyle w:val="ListParagraph"/>
        <w:numPr>
          <w:ilvl w:val="0"/>
          <w:numId w:val="58"/>
        </w:numPr>
        <w:suppressAutoHyphens/>
        <w:spacing w:before="120" w:line="240" w:lineRule="auto"/>
        <w:contextualSpacing w:val="0"/>
        <w:jc w:val="both"/>
        <w:rPr>
          <w:rFonts w:ascii="Calibri" w:hAnsi="Calibri" w:cs="Calibri"/>
          <w:lang w:eastAsia="zh-CN"/>
        </w:rPr>
      </w:pPr>
      <w:r w:rsidRPr="00AF3608">
        <w:rPr>
          <w:rFonts w:ascii="Calibri" w:hAnsi="Calibri" w:cs="Calibri"/>
          <w:lang w:eastAsia="zh-CN"/>
        </w:rPr>
        <w:lastRenderedPageBreak/>
        <w:t>Programul 5 “Capacitate administrativă și sprijin operațional”</w:t>
      </w:r>
    </w:p>
    <w:p w:rsidR="009D0B5E" w:rsidRPr="00AF3608" w:rsidRDefault="009D0B5E" w:rsidP="00B723C0">
      <w:pPr>
        <w:suppressAutoHyphens/>
        <w:spacing w:before="120"/>
        <w:jc w:val="both"/>
        <w:rPr>
          <w:rFonts w:ascii="Calibri" w:hAnsi="Calibri" w:cs="Calibri"/>
          <w:lang w:val="ro-RO" w:eastAsia="zh-CN"/>
        </w:rPr>
      </w:pPr>
    </w:p>
    <w:p w:rsidR="009D0B5E" w:rsidRPr="00AF3608" w:rsidRDefault="009D0B5E" w:rsidP="00B723C0">
      <w:pPr>
        <w:suppressAutoHyphens/>
        <w:spacing w:before="120"/>
        <w:jc w:val="both"/>
        <w:rPr>
          <w:rFonts w:ascii="Calibri" w:hAnsi="Calibri" w:cs="Calibri"/>
          <w:lang w:val="ro-RO" w:eastAsia="zh-CN"/>
        </w:rPr>
      </w:pPr>
      <w:r w:rsidRPr="00AF3608">
        <w:rPr>
          <w:rFonts w:ascii="Calibri" w:hAnsi="Calibri" w:cs="Calibri"/>
          <w:lang w:val="ro-RO" w:eastAsia="zh-CN"/>
        </w:rPr>
        <w:t xml:space="preserve">În cuprinsul fiecărui program sunt stabilite măsuri și rezultate așteptate, astfel:  </w:t>
      </w:r>
    </w:p>
    <w:p w:rsidR="009D0B5E" w:rsidRPr="00AF3608" w:rsidRDefault="009D0B5E" w:rsidP="00B723C0">
      <w:pPr>
        <w:shd w:val="clear" w:color="auto" w:fill="D9D9D9" w:themeFill="background1" w:themeFillShade="D9"/>
        <w:suppressAutoHyphens/>
        <w:spacing w:before="120"/>
        <w:jc w:val="both"/>
        <w:rPr>
          <w:rFonts w:ascii="Calibri" w:hAnsi="Calibri"/>
          <w:b/>
          <w:lang w:val="ro-RO" w:eastAsia="zh-CN"/>
        </w:rPr>
      </w:pPr>
      <w:r w:rsidRPr="00AF3608">
        <w:rPr>
          <w:rFonts w:ascii="Calibri" w:hAnsi="Calibri"/>
          <w:b/>
          <w:lang w:val="ro-RO" w:eastAsia="zh-CN"/>
        </w:rPr>
        <w:t>PROGRAMUL 1.1 “ORDINE ȘI SIGURANȚĂ PUBLICĂ”</w:t>
      </w:r>
    </w:p>
    <w:p w:rsidR="009D0B5E" w:rsidRPr="00AF3608" w:rsidRDefault="009D0B5E" w:rsidP="00B723C0">
      <w:pPr>
        <w:suppressAutoHyphens/>
        <w:spacing w:before="120"/>
        <w:jc w:val="both"/>
        <w:rPr>
          <w:rFonts w:ascii="Calibri" w:hAnsi="Calibri"/>
          <w:b/>
          <w:lang w:val="ro-RO" w:eastAsia="zh-CN"/>
        </w:rPr>
      </w:pPr>
      <w:r w:rsidRPr="00AF3608">
        <w:rPr>
          <w:rFonts w:ascii="Calibri" w:hAnsi="Calibri"/>
          <w:lang w:val="ro-RO" w:eastAsia="zh-CN"/>
        </w:rPr>
        <w:t>Obiectiv strategic program</w:t>
      </w:r>
      <w:r w:rsidRPr="00AF3608">
        <w:rPr>
          <w:rFonts w:ascii="Calibri" w:hAnsi="Calibri"/>
          <w:b/>
          <w:lang w:val="ro-RO" w:eastAsia="zh-CN"/>
        </w:rPr>
        <w:t xml:space="preserve"> -  Asigurarea unui grad ridicat de siguranță a persoanelor și de protecție a patrimoniului</w:t>
      </w:r>
    </w:p>
    <w:p w:rsidR="009D0B5E" w:rsidRPr="00AF3608" w:rsidRDefault="009D0B5E" w:rsidP="003A0B85">
      <w:pPr>
        <w:numPr>
          <w:ilvl w:val="0"/>
          <w:numId w:val="51"/>
        </w:numPr>
        <w:suppressAutoHyphens/>
        <w:spacing w:before="120"/>
        <w:jc w:val="both"/>
        <w:rPr>
          <w:rFonts w:ascii="Calibri" w:hAnsi="Calibri"/>
          <w:b/>
          <w:u w:val="single"/>
          <w:lang w:val="ro-RO" w:eastAsia="zh-CN"/>
        </w:rPr>
      </w:pPr>
      <w:r w:rsidRPr="00AF3608">
        <w:rPr>
          <w:rFonts w:ascii="Calibri" w:hAnsi="Calibri"/>
          <w:b/>
          <w:u w:val="single"/>
          <w:lang w:val="ro-RO" w:eastAsia="zh-CN"/>
        </w:rPr>
        <w:t>Măsuri ale  programului 1.1:</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Prevenirea și combaterea infracțiunilor contra persoanei</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 xml:space="preserve">Prevenirea și combaterea infracțiunilor contra patrimoniului </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Prevenirea și combaterea infracțiunilor la regimul armelor și munițiilor, materialelor nucleare, al materiilor explozive, precum și al substanțelor periculoase</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Combaterea criminalității organizate pe linia traficului de persoane</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 xml:space="preserve">Combaterea criminalității organizate pe linia traficului de droguri </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Combaterea criminalității informatice</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Combaterea criminalității organizate pe linia finanțării terorismului și spălării banilor</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Prevenirea traficului de personae</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Acordarea de sprijin victimelor traficului de personae</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Prevenirea consumului de droguri</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Acordarea de asistență consumatorilor de droguri</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Prevenirea și combaterea evaziunii fiscal</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Prevenirea și combaterea contrabandei</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Prevenirea și combaterea criminalității în domeniul drepturilor de proprietate intelectuală</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Prevenirea și combaterea principalelor cauze generatoare de accidente rutiere</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Prevenirea și combaterea  abaterilor și infracțiunilor contra siguranței circulației pe căile ferate</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Prevenirea și combaterea  abaterilor și infracțiunilor la regimul transportului naval</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Prevenirea și combaterea infracțiunilor la regimul protejării patrimoniului cultural national</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Prevenirea și combaterea infracțiunilor silvice</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Prevenirea și combaterea infracțiunilor privind fondul piscicol, pescuitul și acvacultura</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 xml:space="preserve">Participarea reprezentanților Inspectoratului General al Poliției Române (IGPR) la misiuni și activități internaționale </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Desfășurarea formării profesionale inițială și continuă a polițiștilor în cadrul Școlii de Agenți de Poliție ”Vasile Lascăr”, Câmpina și a Școlii de Agenți de Poliție ”Septimiu Mureșan”, Cluj–Napoca</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lastRenderedPageBreak/>
        <w:t>Desfășurarea formării continue a polițiștilor în cadrul Centrului de Formare și Perfecționare a Polițiștilor ”Nicolae Golescu” Slatina și a Centrului Chinologic “ dr. Aurel Greblea” Sibiu</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Asigurarea unor intervenții operative la apelurile primite în centrele operaționale ale structurilor teritoriale ale MAI</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Asigurarea pazei, protecției, supravegherii și intervenției</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Desfășurarea de misiuni de menținere și asigurare a ordinii publice</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Prevenirea și combaterea terorismului</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Participarea reprezentanților Inspectoratului General al Jandarmeriei Române (IGJR) la misiuni și activități internaționale</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Desfășurarea formării profesionale inițială și continuă   în cadrul Școlii Militare de Subofițeri de Jandarmi “Grigore Alexandru Ghica”, Drăgășani și a Școlii Militare de Subofițeri de Jandarmi, Fălticeni</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 xml:space="preserve">Desfășurarea formării profesionale continuă a jandarmilor în cadrul Școlii de Aplicație pentru ofițeri ”Mihai Viteazul” București, Centrului de Pregătire și Perfecționare Gheorghieni, Centrului de Pregătire și Perfecționare Montan Sinaia și Centrului de Pregătire și Perfecționare Ochiuri </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Desfășurarea de activități informativ-operative pentru identificarea, prevenirea și contracararea amenințărilor, vulnerabilităților și a factorilor de risc care pot</w:t>
      </w:r>
      <w:r w:rsidRPr="00AF3608">
        <w:rPr>
          <w:rFonts w:ascii="Calibri" w:hAnsi="Calibri"/>
          <w:i/>
          <w:lang w:val="ro-RO" w:eastAsia="ja-JP"/>
        </w:rPr>
        <w:t xml:space="preserve"> </w:t>
      </w:r>
      <w:r w:rsidRPr="00AF3608">
        <w:rPr>
          <w:rFonts w:ascii="Calibri" w:hAnsi="Calibri"/>
          <w:lang w:val="ro-RO" w:eastAsia="ja-JP"/>
        </w:rPr>
        <w:t>conduce la tulburarea gravă a ordinii publice</w:t>
      </w:r>
    </w:p>
    <w:p w:rsidR="009D0B5E" w:rsidRPr="00AF3608" w:rsidRDefault="009D0B5E" w:rsidP="003A0B85">
      <w:pPr>
        <w:numPr>
          <w:ilvl w:val="0"/>
          <w:numId w:val="52"/>
        </w:numPr>
        <w:suppressAutoHyphens/>
        <w:spacing w:before="120"/>
        <w:jc w:val="both"/>
        <w:rPr>
          <w:rFonts w:ascii="Calibri" w:eastAsia="Calibri" w:hAnsi="Calibri"/>
          <w:b/>
          <w:u w:val="single"/>
          <w:lang w:val="ro-RO" w:eastAsia="zh-CN"/>
        </w:rPr>
      </w:pPr>
      <w:r w:rsidRPr="00AF3608">
        <w:rPr>
          <w:rFonts w:ascii="Calibri" w:eastAsia="Calibri" w:hAnsi="Calibri"/>
          <w:b/>
          <w:u w:val="single"/>
          <w:lang w:val="ro-RO" w:eastAsia="zh-CN"/>
        </w:rPr>
        <w:t>Rezultate așteptate ale programului 1.1:</w:t>
      </w:r>
    </w:p>
    <w:p w:rsidR="009D0B5E" w:rsidRPr="00AF3608" w:rsidRDefault="009D0B5E" w:rsidP="003A0B85">
      <w:pPr>
        <w:numPr>
          <w:ilvl w:val="1"/>
          <w:numId w:val="52"/>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Prevenirea și combaterea infracțiunilor comise contra persoanei, a patrimoniului, precum și la regimul armelor, munițiilor, materialelor nucleare, al materiilor explozive și substanțelor periculoase</w:t>
      </w:r>
    </w:p>
    <w:p w:rsidR="009D0B5E" w:rsidRPr="00AF3608" w:rsidRDefault="009D0B5E" w:rsidP="003A0B85">
      <w:pPr>
        <w:numPr>
          <w:ilvl w:val="1"/>
          <w:numId w:val="52"/>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Destructurarea grupurilor infracționale organizate</w:t>
      </w:r>
    </w:p>
    <w:p w:rsidR="009D0B5E" w:rsidRPr="00AF3608" w:rsidRDefault="009D0B5E" w:rsidP="003A0B85">
      <w:pPr>
        <w:numPr>
          <w:ilvl w:val="1"/>
          <w:numId w:val="52"/>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Creșterea capacității de autoprotecție a populației împotriva victimizării și revictimizării prin trafic de persoane</w:t>
      </w:r>
    </w:p>
    <w:p w:rsidR="009D0B5E" w:rsidRPr="00AF3608" w:rsidRDefault="009D0B5E" w:rsidP="003A0B85">
      <w:pPr>
        <w:numPr>
          <w:ilvl w:val="1"/>
          <w:numId w:val="52"/>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Reducere cererii și ofertei de droguri</w:t>
      </w:r>
    </w:p>
    <w:p w:rsidR="009D0B5E" w:rsidRPr="00AF3608" w:rsidRDefault="009D0B5E" w:rsidP="003A0B85">
      <w:pPr>
        <w:numPr>
          <w:ilvl w:val="1"/>
          <w:numId w:val="52"/>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Reducerea evaziunii fiscale și a altor forme ale criminalității economico – financiare</w:t>
      </w:r>
    </w:p>
    <w:p w:rsidR="009D0B5E" w:rsidRPr="00AF3608" w:rsidRDefault="009D0B5E" w:rsidP="003A0B85">
      <w:pPr>
        <w:numPr>
          <w:ilvl w:val="1"/>
          <w:numId w:val="52"/>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Reducerea abaterilor și infracțiunilor care generează risc rutier, feroviar și naval</w:t>
      </w:r>
    </w:p>
    <w:p w:rsidR="009D0B5E" w:rsidRPr="00AF3608" w:rsidRDefault="009D0B5E" w:rsidP="003A0B85">
      <w:pPr>
        <w:numPr>
          <w:ilvl w:val="1"/>
          <w:numId w:val="52"/>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Protecția patrimoniului cultural național și a ecosistemelor naturale naționale</w:t>
      </w:r>
    </w:p>
    <w:p w:rsidR="009D0B5E" w:rsidRPr="00AF3608" w:rsidRDefault="009D0B5E" w:rsidP="003A0B85">
      <w:pPr>
        <w:numPr>
          <w:ilvl w:val="1"/>
          <w:numId w:val="52"/>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Extinderea cooperării cu partenerii externi în domeniiile specific IGPR</w:t>
      </w:r>
    </w:p>
    <w:p w:rsidR="009D0B5E" w:rsidRPr="00AF3608" w:rsidRDefault="009D0B5E" w:rsidP="003A0B85">
      <w:pPr>
        <w:numPr>
          <w:ilvl w:val="1"/>
          <w:numId w:val="52"/>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Asigurarea resursei umane specializate – formarea ințială continuă a personalului IGPR</w:t>
      </w:r>
    </w:p>
    <w:p w:rsidR="009D0B5E" w:rsidRPr="00AF3608" w:rsidRDefault="009D0B5E" w:rsidP="003A0B85">
      <w:pPr>
        <w:numPr>
          <w:ilvl w:val="1"/>
          <w:numId w:val="52"/>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Menținerea unui procent ridicat al intervențiilor cu timp de răspuns sub 10 min la apelurile SNUAU 112</w:t>
      </w:r>
    </w:p>
    <w:p w:rsidR="009D0B5E" w:rsidRPr="00AF3608" w:rsidRDefault="009D0B5E" w:rsidP="003A0B85">
      <w:pPr>
        <w:numPr>
          <w:ilvl w:val="1"/>
          <w:numId w:val="52"/>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Reducerea incidentelor înregistrate la obiectivele, bunurile, valorile și transporturile din responsabilitatea Jandarmeriei Române</w:t>
      </w:r>
    </w:p>
    <w:p w:rsidR="009D0B5E" w:rsidRPr="00AF3608" w:rsidRDefault="009D0B5E" w:rsidP="003A0B85">
      <w:pPr>
        <w:numPr>
          <w:ilvl w:val="1"/>
          <w:numId w:val="52"/>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Reducerea numărului de fapte antisociale comise în segmentul stradal</w:t>
      </w:r>
    </w:p>
    <w:p w:rsidR="009D0B5E" w:rsidRPr="00AF3608" w:rsidRDefault="009D0B5E" w:rsidP="003A0B85">
      <w:pPr>
        <w:numPr>
          <w:ilvl w:val="1"/>
          <w:numId w:val="52"/>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Contribuție la menținerea amenințării teroriste la un nivel scăzut</w:t>
      </w:r>
    </w:p>
    <w:p w:rsidR="009D0B5E" w:rsidRPr="00AF3608" w:rsidRDefault="009D0B5E" w:rsidP="003A0B85">
      <w:pPr>
        <w:numPr>
          <w:ilvl w:val="1"/>
          <w:numId w:val="52"/>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Extinderea cooperării cu partenerii externi în domeniile specifice IGJR</w:t>
      </w:r>
    </w:p>
    <w:p w:rsidR="009D0B5E" w:rsidRPr="00AF3608" w:rsidRDefault="009D0B5E" w:rsidP="003A0B85">
      <w:pPr>
        <w:numPr>
          <w:ilvl w:val="1"/>
          <w:numId w:val="52"/>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lastRenderedPageBreak/>
        <w:t>Asigurarea resursei umane specializate – formare inițială și continuă a personalului IGJR</w:t>
      </w:r>
    </w:p>
    <w:p w:rsidR="009D0B5E" w:rsidRPr="00AF3608" w:rsidRDefault="009D0B5E" w:rsidP="003A0B85">
      <w:pPr>
        <w:numPr>
          <w:ilvl w:val="1"/>
          <w:numId w:val="52"/>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Asigurarea suportului decizional în activitatea de asigurare și restabilire a ordinii publice</w:t>
      </w:r>
    </w:p>
    <w:p w:rsidR="009D0B5E" w:rsidRPr="00AF3608" w:rsidRDefault="009D0B5E" w:rsidP="00B723C0">
      <w:pPr>
        <w:tabs>
          <w:tab w:val="left" w:pos="0"/>
        </w:tabs>
        <w:jc w:val="both"/>
        <w:rPr>
          <w:rFonts w:ascii="Calibri" w:hAnsi="Calibri"/>
          <w:lang w:val="ro-RO" w:eastAsia="zh-CN"/>
        </w:rPr>
      </w:pPr>
    </w:p>
    <w:p w:rsidR="009D0B5E" w:rsidRPr="00AF3608" w:rsidRDefault="009D0B5E" w:rsidP="003A0B85">
      <w:pPr>
        <w:numPr>
          <w:ilvl w:val="0"/>
          <w:numId w:val="52"/>
        </w:numPr>
        <w:tabs>
          <w:tab w:val="left" w:pos="0"/>
        </w:tabs>
        <w:suppressAutoHyphens/>
        <w:jc w:val="both"/>
        <w:rPr>
          <w:rFonts w:ascii="Calibri" w:hAnsi="Calibri"/>
          <w:b/>
          <w:u w:val="single"/>
          <w:lang w:val="ro-RO" w:eastAsia="zh-CN"/>
        </w:rPr>
      </w:pPr>
      <w:r w:rsidRPr="00AF3608">
        <w:rPr>
          <w:rFonts w:ascii="Calibri" w:hAnsi="Calibri"/>
          <w:b/>
          <w:u w:val="single"/>
          <w:lang w:val="ro-RO" w:eastAsia="zh-CN"/>
        </w:rPr>
        <w:t>Indicatori de impact ai programului 1.1:</w:t>
      </w:r>
    </w:p>
    <w:p w:rsidR="009D0B5E" w:rsidRPr="00AF3608" w:rsidRDefault="009D0B5E" w:rsidP="00B723C0">
      <w:pPr>
        <w:tabs>
          <w:tab w:val="left" w:pos="0"/>
        </w:tabs>
        <w:ind w:left="384"/>
        <w:jc w:val="both"/>
        <w:rPr>
          <w:rFonts w:ascii="Calibri" w:hAnsi="Calibri"/>
          <w:lang w:val="ro-RO" w:eastAsia="zh-CN"/>
        </w:rPr>
      </w:pPr>
    </w:p>
    <w:tbl>
      <w:tblPr>
        <w:tblW w:w="9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5224"/>
        <w:gridCol w:w="846"/>
        <w:gridCol w:w="1993"/>
      </w:tblGrid>
      <w:tr w:rsidR="009D0B5E" w:rsidRPr="00AF3608" w:rsidTr="009D0B5E">
        <w:trPr>
          <w:jc w:val="center"/>
        </w:trPr>
        <w:tc>
          <w:tcPr>
            <w:tcW w:w="1129" w:type="dxa"/>
            <w:shd w:val="clear" w:color="auto" w:fill="E2EFD9"/>
          </w:tcPr>
          <w:p w:rsidR="009D0B5E" w:rsidRPr="00AF3608" w:rsidRDefault="009D0B5E" w:rsidP="00B723C0">
            <w:pPr>
              <w:suppressAutoHyphens/>
              <w:jc w:val="both"/>
              <w:rPr>
                <w:rFonts w:ascii="Calibri" w:eastAsia="Calibri" w:hAnsi="Calibri"/>
                <w:b/>
                <w:lang w:val="ro-RO" w:eastAsia="zh-CN"/>
              </w:rPr>
            </w:pPr>
            <w:r w:rsidRPr="00AF3608">
              <w:rPr>
                <w:rFonts w:ascii="Calibri" w:eastAsia="Calibri" w:hAnsi="Calibri"/>
                <w:b/>
                <w:lang w:val="ro-RO" w:eastAsia="zh-CN"/>
              </w:rPr>
              <w:t>Nr.crt</w:t>
            </w:r>
          </w:p>
        </w:tc>
        <w:tc>
          <w:tcPr>
            <w:tcW w:w="5224" w:type="dxa"/>
            <w:shd w:val="clear" w:color="auto" w:fill="E2EFD9"/>
          </w:tcPr>
          <w:p w:rsidR="009D0B5E" w:rsidRPr="00AF3608" w:rsidRDefault="009D0B5E" w:rsidP="00B723C0">
            <w:pPr>
              <w:suppressAutoHyphens/>
              <w:jc w:val="both"/>
              <w:rPr>
                <w:rFonts w:ascii="Calibri" w:eastAsia="Calibri" w:hAnsi="Calibri"/>
                <w:b/>
                <w:lang w:val="ro-RO" w:eastAsia="zh-CN"/>
              </w:rPr>
            </w:pPr>
            <w:r w:rsidRPr="00AF3608">
              <w:rPr>
                <w:rFonts w:ascii="Calibri" w:eastAsia="Calibri" w:hAnsi="Calibri"/>
                <w:b/>
                <w:lang w:val="ro-RO" w:eastAsia="zh-CN"/>
              </w:rPr>
              <w:t>Denumire indicator</w:t>
            </w:r>
          </w:p>
        </w:tc>
        <w:tc>
          <w:tcPr>
            <w:tcW w:w="846" w:type="dxa"/>
            <w:shd w:val="clear" w:color="auto" w:fill="E2EFD9"/>
          </w:tcPr>
          <w:p w:rsidR="009D0B5E" w:rsidRPr="00AF3608" w:rsidRDefault="009D0B5E" w:rsidP="00B723C0">
            <w:pPr>
              <w:suppressAutoHyphens/>
              <w:jc w:val="both"/>
              <w:rPr>
                <w:rFonts w:ascii="Calibri" w:eastAsia="Calibri" w:hAnsi="Calibri"/>
                <w:b/>
                <w:lang w:val="ro-RO" w:eastAsia="zh-CN"/>
              </w:rPr>
            </w:pPr>
            <w:r w:rsidRPr="00AF3608">
              <w:rPr>
                <w:rFonts w:ascii="Calibri" w:eastAsia="Calibri" w:hAnsi="Calibri"/>
                <w:b/>
                <w:lang w:val="ro-RO" w:eastAsia="zh-CN"/>
              </w:rPr>
              <w:t>U.M</w:t>
            </w:r>
          </w:p>
        </w:tc>
        <w:tc>
          <w:tcPr>
            <w:tcW w:w="1993" w:type="dxa"/>
            <w:shd w:val="clear" w:color="auto" w:fill="E2EFD9"/>
          </w:tcPr>
          <w:p w:rsidR="009D0B5E" w:rsidRPr="00AF3608" w:rsidRDefault="009D0B5E" w:rsidP="00B723C0">
            <w:pPr>
              <w:suppressAutoHyphens/>
              <w:jc w:val="both"/>
              <w:rPr>
                <w:rFonts w:ascii="Calibri" w:eastAsia="Calibri" w:hAnsi="Calibri"/>
                <w:b/>
                <w:lang w:val="ro-RO" w:eastAsia="zh-CN"/>
              </w:rPr>
            </w:pPr>
            <w:r w:rsidRPr="00AF3608">
              <w:rPr>
                <w:rFonts w:ascii="Calibri" w:eastAsia="Calibri" w:hAnsi="Calibri"/>
                <w:b/>
                <w:lang w:val="ro-RO" w:eastAsia="zh-CN"/>
              </w:rPr>
              <w:t>Țintă 2023</w:t>
            </w:r>
          </w:p>
        </w:tc>
      </w:tr>
      <w:tr w:rsidR="009D0B5E" w:rsidRPr="00AF3608" w:rsidTr="009D0B5E">
        <w:trPr>
          <w:jc w:val="center"/>
        </w:trPr>
        <w:tc>
          <w:tcPr>
            <w:tcW w:w="1129" w:type="dxa"/>
            <w:shd w:val="clear" w:color="auto" w:fill="auto"/>
          </w:tcPr>
          <w:p w:rsidR="009D0B5E" w:rsidRPr="00AF3608" w:rsidRDefault="009D0B5E" w:rsidP="00B723C0">
            <w:pPr>
              <w:suppressAutoHyphens/>
              <w:jc w:val="both"/>
              <w:rPr>
                <w:rFonts w:ascii="Calibri" w:eastAsia="Calibri" w:hAnsi="Calibri"/>
                <w:lang w:val="ro-RO" w:eastAsia="zh-CN"/>
              </w:rPr>
            </w:pPr>
            <w:r w:rsidRPr="00AF3608">
              <w:rPr>
                <w:rFonts w:ascii="Calibri" w:eastAsia="Calibri" w:hAnsi="Calibri"/>
                <w:lang w:val="ro-RO" w:eastAsia="zh-CN"/>
              </w:rPr>
              <w:t>1.</w:t>
            </w:r>
          </w:p>
        </w:tc>
        <w:tc>
          <w:tcPr>
            <w:tcW w:w="5224" w:type="dxa"/>
            <w:shd w:val="clear" w:color="auto" w:fill="auto"/>
          </w:tcPr>
          <w:p w:rsidR="009D0B5E" w:rsidRPr="00AF3608" w:rsidRDefault="009D0B5E" w:rsidP="00B723C0">
            <w:pPr>
              <w:suppressAutoHyphens/>
              <w:jc w:val="both"/>
              <w:rPr>
                <w:rFonts w:ascii="Calibri" w:eastAsia="Calibri" w:hAnsi="Calibri"/>
                <w:lang w:val="ro-RO" w:eastAsia="zh-CN"/>
              </w:rPr>
            </w:pPr>
            <w:r w:rsidRPr="00AF3608">
              <w:rPr>
                <w:rFonts w:ascii="Calibri" w:eastAsia="Calibri" w:hAnsi="Calibri"/>
                <w:lang w:val="ro-RO" w:eastAsia="zh-CN"/>
              </w:rPr>
              <w:t>Numărul de infracțiuni la 100.000 de locuitori</w:t>
            </w:r>
          </w:p>
        </w:tc>
        <w:tc>
          <w:tcPr>
            <w:tcW w:w="846" w:type="dxa"/>
            <w:shd w:val="clear" w:color="auto" w:fill="auto"/>
          </w:tcPr>
          <w:p w:rsidR="009D0B5E" w:rsidRPr="00AF3608" w:rsidRDefault="009D0B5E" w:rsidP="00B723C0">
            <w:pPr>
              <w:suppressAutoHyphens/>
              <w:jc w:val="both"/>
              <w:rPr>
                <w:rFonts w:ascii="Calibri" w:eastAsia="Calibri" w:hAnsi="Calibri"/>
                <w:lang w:val="ro-RO" w:eastAsia="zh-CN"/>
              </w:rPr>
            </w:pPr>
            <w:r w:rsidRPr="00AF3608">
              <w:rPr>
                <w:rFonts w:ascii="Calibri" w:eastAsia="Calibri" w:hAnsi="Calibri"/>
                <w:lang w:val="ro-RO" w:eastAsia="zh-CN"/>
              </w:rPr>
              <w:t>Nr</w:t>
            </w:r>
          </w:p>
        </w:tc>
        <w:tc>
          <w:tcPr>
            <w:tcW w:w="1993" w:type="dxa"/>
            <w:shd w:val="clear" w:color="auto" w:fill="auto"/>
          </w:tcPr>
          <w:p w:rsidR="009D0B5E" w:rsidRPr="00AF3608" w:rsidRDefault="009D0B5E" w:rsidP="00B723C0">
            <w:pPr>
              <w:suppressAutoHyphens/>
              <w:jc w:val="both"/>
              <w:rPr>
                <w:rFonts w:ascii="Calibri" w:eastAsia="Calibri" w:hAnsi="Calibri"/>
                <w:lang w:val="ro-RO" w:eastAsia="zh-CN"/>
              </w:rPr>
            </w:pPr>
            <w:r w:rsidRPr="00AF3608">
              <w:rPr>
                <w:rFonts w:ascii="Calibri" w:eastAsia="Calibri" w:hAnsi="Calibri"/>
                <w:lang w:val="ro-RO" w:eastAsia="zh-CN"/>
              </w:rPr>
              <w:t>1.550</w:t>
            </w:r>
          </w:p>
        </w:tc>
      </w:tr>
      <w:tr w:rsidR="009D0B5E" w:rsidRPr="00AF3608" w:rsidTr="009D0B5E">
        <w:trPr>
          <w:jc w:val="center"/>
        </w:trPr>
        <w:tc>
          <w:tcPr>
            <w:tcW w:w="1129" w:type="dxa"/>
            <w:shd w:val="clear" w:color="auto" w:fill="auto"/>
          </w:tcPr>
          <w:p w:rsidR="009D0B5E" w:rsidRPr="00AF3608" w:rsidRDefault="009D0B5E" w:rsidP="00B723C0">
            <w:pPr>
              <w:suppressAutoHyphens/>
              <w:jc w:val="both"/>
              <w:rPr>
                <w:rFonts w:ascii="Calibri" w:eastAsia="Calibri" w:hAnsi="Calibri"/>
                <w:lang w:val="ro-RO" w:eastAsia="zh-CN"/>
              </w:rPr>
            </w:pPr>
            <w:r w:rsidRPr="00AF3608">
              <w:rPr>
                <w:rFonts w:ascii="Calibri" w:eastAsia="Calibri" w:hAnsi="Calibri"/>
                <w:lang w:val="ro-RO" w:eastAsia="zh-CN"/>
              </w:rPr>
              <w:t>2.</w:t>
            </w:r>
          </w:p>
        </w:tc>
        <w:tc>
          <w:tcPr>
            <w:tcW w:w="5224" w:type="dxa"/>
            <w:shd w:val="clear" w:color="auto" w:fill="auto"/>
          </w:tcPr>
          <w:p w:rsidR="009D0B5E" w:rsidRPr="00AF3608" w:rsidRDefault="009D0B5E" w:rsidP="00B723C0">
            <w:pPr>
              <w:suppressAutoHyphens/>
              <w:ind w:left="-190" w:firstLine="190"/>
              <w:jc w:val="both"/>
              <w:rPr>
                <w:rFonts w:ascii="Calibri" w:eastAsia="Calibri" w:hAnsi="Calibri"/>
                <w:lang w:val="ro-RO" w:eastAsia="zh-CN"/>
              </w:rPr>
            </w:pPr>
            <w:r w:rsidRPr="00AF3608">
              <w:rPr>
                <w:rFonts w:ascii="Calibri" w:eastAsia="Calibri" w:hAnsi="Calibri"/>
                <w:lang w:val="ro-RO" w:eastAsia="zh-CN"/>
              </w:rPr>
              <w:t>Nivelul de încredere al populației în structurile MAI (ponderea populației cu foarte multă si multă încredere în Poliție)</w:t>
            </w:r>
          </w:p>
        </w:tc>
        <w:tc>
          <w:tcPr>
            <w:tcW w:w="846" w:type="dxa"/>
            <w:shd w:val="clear" w:color="auto" w:fill="auto"/>
          </w:tcPr>
          <w:p w:rsidR="009D0B5E" w:rsidRPr="00AF3608" w:rsidRDefault="009D0B5E" w:rsidP="00B723C0">
            <w:pPr>
              <w:suppressAutoHyphens/>
              <w:jc w:val="both"/>
              <w:rPr>
                <w:rFonts w:ascii="Calibri" w:eastAsia="Calibri" w:hAnsi="Calibri"/>
                <w:lang w:val="ro-RO" w:eastAsia="zh-CN"/>
              </w:rPr>
            </w:pPr>
            <w:r w:rsidRPr="00AF3608">
              <w:rPr>
                <w:rFonts w:ascii="Calibri" w:eastAsia="Calibri" w:hAnsi="Calibri"/>
                <w:lang w:val="ro-RO" w:eastAsia="zh-CN"/>
              </w:rPr>
              <w:t>%</w:t>
            </w:r>
          </w:p>
        </w:tc>
        <w:tc>
          <w:tcPr>
            <w:tcW w:w="1993" w:type="dxa"/>
            <w:shd w:val="clear" w:color="auto" w:fill="auto"/>
          </w:tcPr>
          <w:p w:rsidR="009D0B5E" w:rsidRPr="00AF3608" w:rsidRDefault="009D0B5E" w:rsidP="00B723C0">
            <w:pPr>
              <w:suppressAutoHyphens/>
              <w:jc w:val="both"/>
              <w:rPr>
                <w:rFonts w:ascii="Calibri" w:eastAsia="Calibri" w:hAnsi="Calibri"/>
                <w:lang w:val="ro-RO" w:eastAsia="zh-CN"/>
              </w:rPr>
            </w:pPr>
            <w:r w:rsidRPr="00AF3608">
              <w:rPr>
                <w:rFonts w:ascii="Calibri" w:eastAsia="Calibri" w:hAnsi="Calibri"/>
                <w:lang w:val="ro-RO" w:eastAsia="zh-CN"/>
              </w:rPr>
              <w:t>53%</w:t>
            </w:r>
          </w:p>
          <w:p w:rsidR="009D0B5E" w:rsidRPr="00AF3608" w:rsidRDefault="009D0B5E" w:rsidP="00B723C0">
            <w:pPr>
              <w:suppressAutoHyphens/>
              <w:jc w:val="both"/>
              <w:rPr>
                <w:rFonts w:ascii="Calibri" w:eastAsia="Calibri" w:hAnsi="Calibri"/>
                <w:lang w:val="ro-RO" w:eastAsia="zh-CN"/>
              </w:rPr>
            </w:pPr>
          </w:p>
        </w:tc>
      </w:tr>
    </w:tbl>
    <w:p w:rsidR="009D0B5E" w:rsidRPr="00AF3608" w:rsidRDefault="009D0B5E" w:rsidP="00B723C0">
      <w:pPr>
        <w:tabs>
          <w:tab w:val="left" w:pos="0"/>
        </w:tabs>
        <w:jc w:val="both"/>
        <w:rPr>
          <w:rFonts w:ascii="Calibri" w:hAnsi="Calibri"/>
          <w:lang w:val="ro-RO" w:eastAsia="zh-CN"/>
        </w:rPr>
      </w:pPr>
    </w:p>
    <w:p w:rsidR="009D0B5E" w:rsidRPr="00AF3608" w:rsidRDefault="009D0B5E" w:rsidP="00B723C0">
      <w:pPr>
        <w:shd w:val="clear" w:color="auto" w:fill="D9D9D9" w:themeFill="background1" w:themeFillShade="D9"/>
        <w:suppressAutoHyphens/>
        <w:spacing w:before="120"/>
        <w:jc w:val="both"/>
        <w:rPr>
          <w:rFonts w:ascii="Calibri" w:hAnsi="Calibri"/>
          <w:b/>
          <w:lang w:val="ro-RO" w:eastAsia="zh-CN"/>
        </w:rPr>
      </w:pPr>
      <w:r w:rsidRPr="00AF3608">
        <w:rPr>
          <w:rFonts w:ascii="Calibri" w:hAnsi="Calibri"/>
          <w:b/>
          <w:lang w:val="ro-RO" w:eastAsia="zh-CN"/>
        </w:rPr>
        <w:t>PROGRAMUL 1. 2 “SIGURANȚA FRONTIEREI DE STAT, MIGRAȚIE, AZIL ȘI INTEGRARE”</w:t>
      </w:r>
    </w:p>
    <w:p w:rsidR="009D0B5E" w:rsidRPr="00AF3608" w:rsidRDefault="009D0B5E" w:rsidP="00B723C0">
      <w:pPr>
        <w:suppressAutoHyphens/>
        <w:spacing w:before="120"/>
        <w:jc w:val="both"/>
        <w:rPr>
          <w:rFonts w:ascii="Calibri" w:hAnsi="Calibri"/>
          <w:b/>
          <w:lang w:val="ro-RO" w:eastAsia="zh-CN"/>
        </w:rPr>
      </w:pPr>
      <w:r w:rsidRPr="00AF3608">
        <w:rPr>
          <w:rFonts w:ascii="Calibri" w:hAnsi="Calibri"/>
          <w:lang w:val="ro-RO" w:eastAsia="zh-CN"/>
        </w:rPr>
        <w:t>Obiectiv strategic program</w:t>
      </w:r>
      <w:r w:rsidRPr="00AF3608">
        <w:rPr>
          <w:rFonts w:ascii="Calibri" w:hAnsi="Calibri"/>
          <w:b/>
          <w:lang w:val="ro-RO" w:eastAsia="zh-CN"/>
        </w:rPr>
        <w:t xml:space="preserve"> -  Asigurarea unui grad ridicat de siguranță a persoanelor și de protecție a patrimoniului</w:t>
      </w:r>
    </w:p>
    <w:p w:rsidR="00EF7572" w:rsidRPr="00AF3608" w:rsidRDefault="009D0B5E" w:rsidP="003A0B85">
      <w:pPr>
        <w:numPr>
          <w:ilvl w:val="0"/>
          <w:numId w:val="52"/>
        </w:numPr>
        <w:suppressAutoHyphens/>
        <w:spacing w:before="120"/>
        <w:jc w:val="both"/>
        <w:rPr>
          <w:rFonts w:ascii="Calibri" w:eastAsia="Calibri" w:hAnsi="Calibri"/>
          <w:b/>
          <w:u w:val="single"/>
          <w:lang w:val="ro-RO" w:eastAsia="zh-CN"/>
        </w:rPr>
      </w:pPr>
      <w:r w:rsidRPr="00AF3608">
        <w:rPr>
          <w:rFonts w:ascii="Calibri" w:eastAsia="Calibri" w:hAnsi="Calibri"/>
          <w:b/>
          <w:u w:val="single"/>
          <w:lang w:val="ro-RO" w:eastAsia="zh-CN"/>
        </w:rPr>
        <w:t>Măsuri ale programului 1.2 :</w:t>
      </w:r>
    </w:p>
    <w:p w:rsidR="00EF7572" w:rsidRPr="00AF3608" w:rsidRDefault="009D0B5E" w:rsidP="003A0B85">
      <w:pPr>
        <w:numPr>
          <w:ilvl w:val="1"/>
          <w:numId w:val="52"/>
        </w:numPr>
        <w:tabs>
          <w:tab w:val="left" w:pos="993"/>
        </w:tabs>
        <w:suppressAutoHyphens/>
        <w:spacing w:before="120"/>
        <w:jc w:val="both"/>
        <w:rPr>
          <w:rFonts w:ascii="Calibri" w:eastAsia="Calibri" w:hAnsi="Calibri"/>
          <w:b/>
          <w:u w:val="single"/>
          <w:lang w:val="ro-RO" w:eastAsia="zh-CN"/>
        </w:rPr>
      </w:pPr>
      <w:r w:rsidRPr="00AF3608">
        <w:rPr>
          <w:rFonts w:ascii="Calibri" w:eastAsia="+mn-ea" w:hAnsi="Calibri"/>
          <w:lang w:val="ro-RO" w:eastAsia="zh-CN"/>
        </w:rPr>
        <w:t>Supravegherea și controlul trecerii frontierei de stat</w:t>
      </w:r>
    </w:p>
    <w:p w:rsidR="00EF7572" w:rsidRPr="00AF3608" w:rsidRDefault="009D0B5E" w:rsidP="003A0B85">
      <w:pPr>
        <w:numPr>
          <w:ilvl w:val="1"/>
          <w:numId w:val="52"/>
        </w:numPr>
        <w:tabs>
          <w:tab w:val="left" w:pos="993"/>
        </w:tabs>
        <w:suppressAutoHyphens/>
        <w:spacing w:before="120"/>
        <w:jc w:val="both"/>
        <w:rPr>
          <w:rFonts w:ascii="Calibri" w:eastAsia="Calibri" w:hAnsi="Calibri"/>
          <w:b/>
          <w:u w:val="single"/>
          <w:lang w:val="ro-RO" w:eastAsia="zh-CN"/>
        </w:rPr>
      </w:pPr>
      <w:r w:rsidRPr="00AF3608">
        <w:rPr>
          <w:rFonts w:ascii="Calibri" w:eastAsia="+mn-ea" w:hAnsi="Calibri"/>
          <w:lang w:val="ro-RO" w:eastAsia="zh-CN"/>
        </w:rPr>
        <w:t>Combaterea trecerii frauduloase a frontierei</w:t>
      </w:r>
    </w:p>
    <w:p w:rsidR="00EF7572" w:rsidRPr="00AF3608" w:rsidRDefault="009D0B5E" w:rsidP="003A0B85">
      <w:pPr>
        <w:numPr>
          <w:ilvl w:val="1"/>
          <w:numId w:val="52"/>
        </w:numPr>
        <w:tabs>
          <w:tab w:val="left" w:pos="993"/>
        </w:tabs>
        <w:suppressAutoHyphens/>
        <w:spacing w:before="120"/>
        <w:jc w:val="both"/>
        <w:rPr>
          <w:rFonts w:ascii="Calibri" w:eastAsia="Calibri" w:hAnsi="Calibri"/>
          <w:b/>
          <w:u w:val="single"/>
          <w:lang w:val="ro-RO" w:eastAsia="zh-CN"/>
        </w:rPr>
      </w:pPr>
      <w:r w:rsidRPr="00AF3608">
        <w:rPr>
          <w:rFonts w:ascii="Calibri" w:eastAsia="+mn-ea" w:hAnsi="Calibri"/>
          <w:lang w:val="ro-RO" w:eastAsia="zh-CN"/>
        </w:rPr>
        <w:t>Combaterea traficului de migranți</w:t>
      </w:r>
    </w:p>
    <w:p w:rsidR="00EF7572" w:rsidRPr="00AF3608" w:rsidRDefault="009D0B5E" w:rsidP="003A0B85">
      <w:pPr>
        <w:numPr>
          <w:ilvl w:val="1"/>
          <w:numId w:val="52"/>
        </w:numPr>
        <w:tabs>
          <w:tab w:val="left" w:pos="993"/>
        </w:tabs>
        <w:suppressAutoHyphens/>
        <w:spacing w:before="120"/>
        <w:jc w:val="both"/>
        <w:rPr>
          <w:rFonts w:ascii="Calibri" w:eastAsia="Calibri" w:hAnsi="Calibri"/>
          <w:b/>
          <w:u w:val="single"/>
          <w:lang w:val="ro-RO" w:eastAsia="zh-CN"/>
        </w:rPr>
      </w:pPr>
      <w:r w:rsidRPr="00AF3608">
        <w:rPr>
          <w:rFonts w:ascii="Calibri" w:eastAsia="+mn-ea" w:hAnsi="Calibri"/>
          <w:lang w:val="ro-RO" w:eastAsia="zh-CN"/>
        </w:rPr>
        <w:t>Participarea reprezentanților Poliției de Frontieră Română (PFR) la misiuni/operațiuni de menținere a păcii</w:t>
      </w:r>
    </w:p>
    <w:p w:rsidR="00EF7572" w:rsidRPr="00AF3608" w:rsidRDefault="009D0B5E" w:rsidP="003A0B85">
      <w:pPr>
        <w:numPr>
          <w:ilvl w:val="1"/>
          <w:numId w:val="52"/>
        </w:numPr>
        <w:tabs>
          <w:tab w:val="left" w:pos="993"/>
        </w:tabs>
        <w:suppressAutoHyphens/>
        <w:spacing w:before="120"/>
        <w:jc w:val="both"/>
        <w:rPr>
          <w:rFonts w:ascii="Calibri" w:eastAsia="Calibri" w:hAnsi="Calibri"/>
          <w:b/>
          <w:u w:val="single"/>
          <w:lang w:val="ro-RO" w:eastAsia="zh-CN"/>
        </w:rPr>
      </w:pPr>
      <w:r w:rsidRPr="00AF3608">
        <w:rPr>
          <w:rFonts w:ascii="Calibri" w:eastAsia="+mn-ea" w:hAnsi="Calibri"/>
          <w:lang w:val="ro-RO" w:eastAsia="zh-CN"/>
        </w:rPr>
        <w:t>Detașarea de personal al PFR în cadrul instituțiilor și agențiilor internaționale</w:t>
      </w:r>
    </w:p>
    <w:p w:rsidR="00EF7572" w:rsidRPr="00AF3608" w:rsidRDefault="009D0B5E" w:rsidP="003A0B85">
      <w:pPr>
        <w:numPr>
          <w:ilvl w:val="1"/>
          <w:numId w:val="52"/>
        </w:numPr>
        <w:tabs>
          <w:tab w:val="left" w:pos="993"/>
        </w:tabs>
        <w:suppressAutoHyphens/>
        <w:spacing w:before="120"/>
        <w:jc w:val="both"/>
        <w:rPr>
          <w:rFonts w:ascii="Calibri" w:eastAsia="Calibri" w:hAnsi="Calibri"/>
          <w:b/>
          <w:u w:val="single"/>
          <w:lang w:val="ro-RO" w:eastAsia="zh-CN"/>
        </w:rPr>
      </w:pPr>
      <w:r w:rsidRPr="00AF3608">
        <w:rPr>
          <w:rFonts w:ascii="Calibri" w:eastAsia="+mn-ea" w:hAnsi="Calibri"/>
          <w:lang w:val="ro-RO" w:eastAsia="zh-CN"/>
        </w:rPr>
        <w:t>Participarea reprezentanților PFR la operațiuni comune sub egida FRONTEX</w:t>
      </w:r>
    </w:p>
    <w:p w:rsidR="00EF7572" w:rsidRPr="00AF3608" w:rsidRDefault="009D0B5E" w:rsidP="003A0B85">
      <w:pPr>
        <w:numPr>
          <w:ilvl w:val="1"/>
          <w:numId w:val="52"/>
        </w:numPr>
        <w:tabs>
          <w:tab w:val="left" w:pos="993"/>
        </w:tabs>
        <w:suppressAutoHyphens/>
        <w:spacing w:before="120"/>
        <w:jc w:val="both"/>
        <w:rPr>
          <w:rFonts w:ascii="Calibri" w:eastAsia="Calibri" w:hAnsi="Calibri"/>
          <w:b/>
          <w:u w:val="single"/>
          <w:lang w:val="ro-RO" w:eastAsia="zh-CN"/>
        </w:rPr>
      </w:pPr>
      <w:r w:rsidRPr="00AF3608">
        <w:rPr>
          <w:rFonts w:ascii="Calibri" w:eastAsia="+mn-ea" w:hAnsi="Calibri"/>
          <w:lang w:val="ro-RO" w:eastAsia="zh-CN"/>
        </w:rPr>
        <w:t>Participarea reprezentanților Inspectoratului General de Aviație al Ministerului Afacerilor Interne (IGAv) la acțiuni internaționale sub egida FRONTEX</w:t>
      </w:r>
    </w:p>
    <w:p w:rsidR="00EF7572" w:rsidRPr="00AF3608" w:rsidRDefault="009D0B5E" w:rsidP="003A0B85">
      <w:pPr>
        <w:numPr>
          <w:ilvl w:val="1"/>
          <w:numId w:val="52"/>
        </w:numPr>
        <w:tabs>
          <w:tab w:val="left" w:pos="993"/>
        </w:tabs>
        <w:suppressAutoHyphens/>
        <w:spacing w:before="120"/>
        <w:jc w:val="both"/>
        <w:rPr>
          <w:rFonts w:ascii="Calibri" w:eastAsia="Calibri" w:hAnsi="Calibri"/>
          <w:b/>
          <w:u w:val="single"/>
          <w:lang w:val="ro-RO" w:eastAsia="zh-CN"/>
        </w:rPr>
      </w:pPr>
      <w:r w:rsidRPr="00AF3608">
        <w:rPr>
          <w:rFonts w:ascii="Calibri" w:eastAsia="+mn-ea" w:hAnsi="Calibri"/>
          <w:lang w:val="ro-RO" w:eastAsia="zh-CN"/>
        </w:rPr>
        <w:t>Desfășurarea formării profesionale inițială și continuă a agenților de poliție de frontieră în cadrul Școlii de pregătire a agenților poliției de frontieră ”Avram Iancu” Oradea</w:t>
      </w:r>
    </w:p>
    <w:p w:rsidR="00EF7572" w:rsidRPr="00AF3608" w:rsidRDefault="009D0B5E" w:rsidP="003A0B85">
      <w:pPr>
        <w:numPr>
          <w:ilvl w:val="1"/>
          <w:numId w:val="52"/>
        </w:numPr>
        <w:tabs>
          <w:tab w:val="left" w:pos="993"/>
        </w:tabs>
        <w:suppressAutoHyphens/>
        <w:spacing w:before="120"/>
        <w:jc w:val="both"/>
        <w:rPr>
          <w:rFonts w:ascii="Calibri" w:eastAsia="Calibri" w:hAnsi="Calibri"/>
          <w:b/>
          <w:u w:val="single"/>
          <w:lang w:val="ro-RO" w:eastAsia="zh-CN"/>
        </w:rPr>
      </w:pPr>
      <w:r w:rsidRPr="00AF3608">
        <w:rPr>
          <w:rFonts w:ascii="Calibri" w:eastAsia="+mn-ea" w:hAnsi="Calibri"/>
          <w:lang w:val="ro-RO" w:eastAsia="zh-CN"/>
        </w:rPr>
        <w:t>Desfășurarea formării  continue  a polițiștilor de frontieră  în cadrul Centrelor de Pregătire ale Poliției de Frontieră din Iași, Drobeta Turnu Severin și Agigea</w:t>
      </w:r>
    </w:p>
    <w:p w:rsidR="00EF7572" w:rsidRPr="00AF3608" w:rsidRDefault="009D0B5E" w:rsidP="003A0B85">
      <w:pPr>
        <w:numPr>
          <w:ilvl w:val="1"/>
          <w:numId w:val="52"/>
        </w:numPr>
        <w:tabs>
          <w:tab w:val="left" w:pos="993"/>
        </w:tabs>
        <w:suppressAutoHyphens/>
        <w:spacing w:before="120"/>
        <w:jc w:val="both"/>
        <w:rPr>
          <w:rFonts w:ascii="Calibri" w:eastAsia="Calibri" w:hAnsi="Calibri"/>
          <w:b/>
          <w:u w:val="single"/>
          <w:lang w:val="ro-RO" w:eastAsia="zh-CN"/>
        </w:rPr>
      </w:pPr>
      <w:r w:rsidRPr="00AF3608">
        <w:rPr>
          <w:rFonts w:ascii="Calibri" w:eastAsia="+mn-ea" w:hAnsi="Calibri"/>
          <w:lang w:val="ro-RO" w:eastAsia="zh-CN"/>
        </w:rPr>
        <w:t>Prevenirea și combaterea șederii ilegale și a muncii nedeclarate a resortisanților statelor terțe</w:t>
      </w:r>
    </w:p>
    <w:p w:rsidR="00EF7572" w:rsidRPr="00AF3608" w:rsidRDefault="009D0B5E" w:rsidP="003A0B85">
      <w:pPr>
        <w:numPr>
          <w:ilvl w:val="1"/>
          <w:numId w:val="52"/>
        </w:numPr>
        <w:tabs>
          <w:tab w:val="left" w:pos="993"/>
        </w:tabs>
        <w:suppressAutoHyphens/>
        <w:spacing w:before="120"/>
        <w:jc w:val="both"/>
        <w:rPr>
          <w:rFonts w:ascii="Calibri" w:eastAsia="Calibri" w:hAnsi="Calibri"/>
          <w:b/>
          <w:u w:val="single"/>
          <w:lang w:val="ro-RO" w:eastAsia="zh-CN"/>
        </w:rPr>
      </w:pPr>
      <w:r w:rsidRPr="00AF3608">
        <w:rPr>
          <w:rFonts w:ascii="Calibri" w:eastAsia="+mn-ea" w:hAnsi="Calibri"/>
          <w:lang w:val="ro-RO" w:eastAsia="zh-CN"/>
        </w:rPr>
        <w:t>Acordarea de asistență pentru solicitanții de azil și beneficiarii unei forme de protecție internațională</w:t>
      </w:r>
    </w:p>
    <w:p w:rsidR="009D0B5E" w:rsidRPr="00AF3608" w:rsidRDefault="009D0B5E" w:rsidP="003A0B85">
      <w:pPr>
        <w:numPr>
          <w:ilvl w:val="1"/>
          <w:numId w:val="52"/>
        </w:numPr>
        <w:tabs>
          <w:tab w:val="left" w:pos="993"/>
        </w:tabs>
        <w:suppressAutoHyphens/>
        <w:spacing w:before="120"/>
        <w:jc w:val="both"/>
        <w:rPr>
          <w:rFonts w:ascii="Calibri" w:eastAsia="Calibri" w:hAnsi="Calibri"/>
          <w:b/>
          <w:u w:val="single"/>
          <w:lang w:val="ro-RO" w:eastAsia="zh-CN"/>
        </w:rPr>
      </w:pPr>
      <w:r w:rsidRPr="00AF3608">
        <w:rPr>
          <w:rFonts w:ascii="Calibri" w:eastAsia="+mn-ea" w:hAnsi="Calibri"/>
          <w:lang w:val="ro-RO" w:eastAsia="zh-CN"/>
        </w:rPr>
        <w:t>Avizarea cererilor de viză și acordarea/prelungirea dreptului de ședere al resortisanților statelor terțe în România</w:t>
      </w:r>
    </w:p>
    <w:p w:rsidR="00EF7572" w:rsidRPr="00AF3608" w:rsidRDefault="009D0B5E" w:rsidP="003A0B85">
      <w:pPr>
        <w:numPr>
          <w:ilvl w:val="0"/>
          <w:numId w:val="53"/>
        </w:numPr>
        <w:suppressAutoHyphens/>
        <w:spacing w:before="120"/>
        <w:jc w:val="both"/>
        <w:rPr>
          <w:rFonts w:ascii="Calibri" w:eastAsia="Calibri" w:hAnsi="Calibri"/>
          <w:b/>
          <w:u w:val="single"/>
          <w:lang w:val="ro-RO" w:eastAsia="zh-CN"/>
        </w:rPr>
      </w:pPr>
      <w:r w:rsidRPr="00AF3608">
        <w:rPr>
          <w:rFonts w:ascii="Calibri" w:eastAsia="Calibri" w:hAnsi="Calibri"/>
          <w:b/>
          <w:u w:val="single"/>
          <w:lang w:val="ro-RO" w:eastAsia="zh-CN"/>
        </w:rPr>
        <w:t>Rezultate așteptate ale programului 1.2:</w:t>
      </w:r>
    </w:p>
    <w:p w:rsidR="00EF7572" w:rsidRPr="00AF3608" w:rsidRDefault="009D0B5E" w:rsidP="003A0B85">
      <w:pPr>
        <w:numPr>
          <w:ilvl w:val="1"/>
          <w:numId w:val="53"/>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Gestionarea procesului de trecere a frontierei de stat</w:t>
      </w:r>
    </w:p>
    <w:p w:rsidR="00EF7572" w:rsidRPr="00AF3608" w:rsidRDefault="009D0B5E" w:rsidP="003A0B85">
      <w:pPr>
        <w:numPr>
          <w:ilvl w:val="1"/>
          <w:numId w:val="53"/>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Menținerea cooperării cu partenerii externi în domeniile specifice IGPF</w:t>
      </w:r>
    </w:p>
    <w:p w:rsidR="00EF7572" w:rsidRPr="00AF3608" w:rsidRDefault="009D0B5E" w:rsidP="003A0B85">
      <w:pPr>
        <w:numPr>
          <w:ilvl w:val="1"/>
          <w:numId w:val="53"/>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Asigurarea resursei umane specializate - formare inițială și continuă a personalului IGPF</w:t>
      </w:r>
    </w:p>
    <w:p w:rsidR="00EF7572" w:rsidRPr="00AF3608" w:rsidRDefault="009D0B5E" w:rsidP="003A0B85">
      <w:pPr>
        <w:numPr>
          <w:ilvl w:val="1"/>
          <w:numId w:val="53"/>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lastRenderedPageBreak/>
        <w:t>Reducerea numărului de resortisanți ai statelor terțe care locuiesc/muncesc fără forme legale pe teritoriul României</w:t>
      </w:r>
    </w:p>
    <w:p w:rsidR="00EF7572" w:rsidRPr="00AF3608" w:rsidRDefault="009D0B5E" w:rsidP="003A0B85">
      <w:pPr>
        <w:numPr>
          <w:ilvl w:val="1"/>
          <w:numId w:val="53"/>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Implementarea politicilor în domeniul protecției internaționale și integrării străinilor</w:t>
      </w:r>
    </w:p>
    <w:p w:rsidR="009D0B5E" w:rsidRPr="00AF3608" w:rsidRDefault="009D0B5E" w:rsidP="003A0B85">
      <w:pPr>
        <w:numPr>
          <w:ilvl w:val="1"/>
          <w:numId w:val="53"/>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 xml:space="preserve">Admisia și șederea legală pe teritoriul României a resortisanților țărilor terțe </w:t>
      </w:r>
    </w:p>
    <w:p w:rsidR="009D0B5E" w:rsidRPr="00AF3608" w:rsidRDefault="009D0B5E" w:rsidP="003A0B85">
      <w:pPr>
        <w:numPr>
          <w:ilvl w:val="0"/>
          <w:numId w:val="54"/>
        </w:numPr>
        <w:suppressAutoHyphens/>
        <w:spacing w:before="120"/>
        <w:jc w:val="both"/>
        <w:rPr>
          <w:rFonts w:ascii="Calibri" w:eastAsia="Calibri" w:hAnsi="Calibri"/>
          <w:b/>
          <w:u w:val="single"/>
          <w:lang w:val="ro-RO" w:eastAsia="zh-CN"/>
        </w:rPr>
      </w:pPr>
      <w:r w:rsidRPr="00AF3608">
        <w:rPr>
          <w:rFonts w:ascii="Calibri" w:eastAsia="Calibri" w:hAnsi="Calibri"/>
          <w:b/>
          <w:u w:val="single"/>
          <w:lang w:val="ro-RO" w:eastAsia="zh-CN"/>
        </w:rPr>
        <w:t xml:space="preserve"> Indicatori de impact ai programului 1.2:</w:t>
      </w:r>
    </w:p>
    <w:p w:rsidR="00FE4CF1" w:rsidRPr="00AF3608" w:rsidRDefault="009D0B5E" w:rsidP="00B723C0">
      <w:pPr>
        <w:suppressAutoHyphens/>
        <w:spacing w:before="120"/>
        <w:jc w:val="both"/>
        <w:rPr>
          <w:rFonts w:ascii="Calibri" w:hAnsi="Calibri"/>
          <w:b/>
          <w:lang w:val="ro-RO" w:eastAsia="zh-CN"/>
        </w:rPr>
      </w:pPr>
      <w:r w:rsidRPr="00AF3608">
        <w:rPr>
          <w:rFonts w:ascii="Calibri" w:hAnsi="Calibri"/>
          <w:b/>
          <w:lang w:val="ro-RO" w:eastAsia="zh-CN"/>
        </w:rPr>
        <w:t xml:space="preserve">Programul 1.2 </w:t>
      </w:r>
      <w:r w:rsidRPr="00AF3608">
        <w:rPr>
          <w:rFonts w:ascii="Calibri" w:hAnsi="Calibri"/>
          <w:lang w:val="ro-RO" w:eastAsia="zh-CN"/>
        </w:rPr>
        <w:t xml:space="preserve">finanțează același obiectiv ca și </w:t>
      </w:r>
      <w:r w:rsidRPr="00AF3608">
        <w:rPr>
          <w:rFonts w:ascii="Calibri" w:hAnsi="Calibri"/>
          <w:b/>
          <w:lang w:val="ro-RO" w:eastAsia="zh-CN"/>
        </w:rPr>
        <w:t xml:space="preserve">Programul 1.1 </w:t>
      </w:r>
    </w:p>
    <w:p w:rsidR="009D0B5E" w:rsidRPr="00AF3608" w:rsidRDefault="009D0B5E" w:rsidP="00B723C0">
      <w:pPr>
        <w:suppressAutoHyphens/>
        <w:spacing w:before="120"/>
        <w:jc w:val="both"/>
        <w:rPr>
          <w:rFonts w:ascii="Calibri" w:hAnsi="Calibri"/>
          <w:b/>
          <w:lang w:val="ro-RO" w:eastAsia="zh-CN"/>
        </w:rPr>
      </w:pPr>
      <w:r w:rsidRPr="00AF3608">
        <w:rPr>
          <w:rFonts w:ascii="Calibri" w:hAnsi="Calibri"/>
          <w:lang w:val="ro-RO" w:eastAsia="zh-CN"/>
        </w:rPr>
        <w:t xml:space="preserve">Indicatorii de impact ai </w:t>
      </w:r>
      <w:r w:rsidRPr="00AF3608">
        <w:rPr>
          <w:rFonts w:ascii="Calibri" w:hAnsi="Calibri"/>
          <w:b/>
          <w:lang w:val="ro-RO" w:eastAsia="zh-CN"/>
        </w:rPr>
        <w:t>Programului 1.2</w:t>
      </w:r>
      <w:r w:rsidRPr="00AF3608">
        <w:rPr>
          <w:rFonts w:ascii="Calibri" w:hAnsi="Calibri"/>
          <w:lang w:val="ro-RO" w:eastAsia="zh-CN"/>
        </w:rPr>
        <w:t xml:space="preserve">, împreună cu țintele pentru 2023 sunt detaliați în cadrul </w:t>
      </w:r>
      <w:r w:rsidRPr="00AF3608">
        <w:rPr>
          <w:rFonts w:ascii="Calibri" w:hAnsi="Calibri"/>
          <w:b/>
          <w:lang w:val="ro-RO" w:eastAsia="zh-CN"/>
        </w:rPr>
        <w:t>Programului 1.1.</w:t>
      </w:r>
    </w:p>
    <w:p w:rsidR="009D0B5E" w:rsidRPr="00AF3608" w:rsidRDefault="009D0B5E" w:rsidP="00B723C0">
      <w:pPr>
        <w:suppressAutoHyphens/>
        <w:spacing w:before="120"/>
        <w:jc w:val="both"/>
        <w:rPr>
          <w:rFonts w:ascii="Calibri" w:hAnsi="Calibri"/>
          <w:b/>
          <w:lang w:val="ro-RO" w:eastAsia="zh-CN"/>
        </w:rPr>
      </w:pPr>
    </w:p>
    <w:p w:rsidR="009D0B5E" w:rsidRPr="00AF3608" w:rsidRDefault="009D0B5E" w:rsidP="00B723C0">
      <w:pPr>
        <w:shd w:val="clear" w:color="auto" w:fill="D9D9D9" w:themeFill="background1" w:themeFillShade="D9"/>
        <w:suppressAutoHyphens/>
        <w:spacing w:before="120"/>
        <w:jc w:val="both"/>
        <w:rPr>
          <w:rFonts w:ascii="Calibri" w:hAnsi="Calibri"/>
          <w:b/>
          <w:lang w:val="ro-RO" w:eastAsia="zh-CN"/>
        </w:rPr>
      </w:pPr>
      <w:r w:rsidRPr="00AF3608">
        <w:rPr>
          <w:rFonts w:ascii="Calibri" w:hAnsi="Calibri"/>
          <w:b/>
          <w:lang w:val="ro-RO" w:eastAsia="zh-CN"/>
        </w:rPr>
        <w:t>PROGRAMUL 2.1 “PROTECȚIE CIVILĂ ȘI SPRIJIN ACORDAT COMUNITĂȚII”</w:t>
      </w:r>
    </w:p>
    <w:p w:rsidR="009D0B5E" w:rsidRPr="00AF3608" w:rsidRDefault="009D0B5E" w:rsidP="00B723C0">
      <w:pPr>
        <w:suppressAutoHyphens/>
        <w:spacing w:before="120"/>
        <w:jc w:val="both"/>
        <w:rPr>
          <w:rFonts w:ascii="Calibri" w:hAnsi="Calibri"/>
          <w:b/>
          <w:lang w:val="ro-RO" w:eastAsia="zh-CN"/>
        </w:rPr>
      </w:pPr>
      <w:r w:rsidRPr="00AF3608">
        <w:rPr>
          <w:rFonts w:ascii="Calibri" w:hAnsi="Calibri"/>
          <w:lang w:val="ro-RO" w:eastAsia="zh-CN"/>
        </w:rPr>
        <w:t>Obiectiv strategic program</w:t>
      </w:r>
      <w:r w:rsidRPr="00AF3608">
        <w:rPr>
          <w:rFonts w:ascii="Calibri" w:hAnsi="Calibri"/>
          <w:b/>
          <w:lang w:val="ro-RO" w:eastAsia="zh-CN"/>
        </w:rPr>
        <w:t xml:space="preserve"> -  Creșterea capacității MAI de gestionare a evenimentelor majore </w:t>
      </w:r>
    </w:p>
    <w:p w:rsidR="00EF7572" w:rsidRPr="00AF3608" w:rsidRDefault="009D0B5E" w:rsidP="003A0B85">
      <w:pPr>
        <w:numPr>
          <w:ilvl w:val="0"/>
          <w:numId w:val="55"/>
        </w:numPr>
        <w:suppressAutoHyphens/>
        <w:spacing w:before="120"/>
        <w:jc w:val="both"/>
        <w:rPr>
          <w:rFonts w:ascii="Calibri" w:eastAsia="Calibri" w:hAnsi="Calibri"/>
          <w:b/>
          <w:u w:val="single"/>
          <w:lang w:val="ro-RO" w:eastAsia="zh-CN"/>
        </w:rPr>
      </w:pPr>
      <w:r w:rsidRPr="00AF3608">
        <w:rPr>
          <w:rFonts w:ascii="Calibri" w:eastAsia="Calibri" w:hAnsi="Calibri"/>
          <w:b/>
          <w:u w:val="single"/>
          <w:lang w:val="ro-RO" w:eastAsia="zh-CN"/>
        </w:rPr>
        <w:t>Măsuri ale  programului 2.1:</w:t>
      </w:r>
    </w:p>
    <w:p w:rsidR="00EF7572" w:rsidRPr="00AF3608" w:rsidRDefault="009D0B5E" w:rsidP="003A0B85">
      <w:pPr>
        <w:numPr>
          <w:ilvl w:val="1"/>
          <w:numId w:val="55"/>
        </w:numPr>
        <w:suppressAutoHyphens/>
        <w:spacing w:before="120"/>
        <w:jc w:val="both"/>
        <w:rPr>
          <w:rFonts w:ascii="Calibri" w:eastAsia="Calibri" w:hAnsi="Calibri"/>
          <w:b/>
          <w:u w:val="single"/>
          <w:lang w:val="ro-RO" w:eastAsia="zh-CN"/>
        </w:rPr>
      </w:pPr>
      <w:r w:rsidRPr="00AF3608">
        <w:rPr>
          <w:rFonts w:ascii="Calibri" w:eastAsia="+mn-ea" w:hAnsi="Calibri"/>
          <w:color w:val="000000"/>
          <w:lang w:val="ro-RO" w:eastAsia="zh-CN"/>
        </w:rPr>
        <w:t>Prevenirea riscurilor asociate situațiilor de urgență și dezastrelor și îmbunătățirea eficacității intervenției</w:t>
      </w:r>
    </w:p>
    <w:p w:rsidR="00EF7572" w:rsidRPr="00AF3608" w:rsidRDefault="009D0B5E" w:rsidP="003A0B85">
      <w:pPr>
        <w:numPr>
          <w:ilvl w:val="1"/>
          <w:numId w:val="55"/>
        </w:numPr>
        <w:suppressAutoHyphens/>
        <w:spacing w:before="120"/>
        <w:jc w:val="both"/>
        <w:rPr>
          <w:rFonts w:ascii="Calibri" w:eastAsia="Calibri" w:hAnsi="Calibri"/>
          <w:b/>
          <w:u w:val="single"/>
          <w:lang w:val="ro-RO" w:eastAsia="zh-CN"/>
        </w:rPr>
      </w:pPr>
      <w:r w:rsidRPr="00AF3608">
        <w:rPr>
          <w:rFonts w:ascii="Calibri" w:eastAsia="+mn-ea" w:hAnsi="Calibri"/>
          <w:color w:val="000000"/>
          <w:lang w:val="ro-RO" w:eastAsia="zh-CN"/>
        </w:rPr>
        <w:t>Acordarea de prim ajutor calificat și asistență medicală de urgență</w:t>
      </w:r>
    </w:p>
    <w:p w:rsidR="00EF7572" w:rsidRPr="00AF3608" w:rsidRDefault="009D0B5E" w:rsidP="003A0B85">
      <w:pPr>
        <w:numPr>
          <w:ilvl w:val="1"/>
          <w:numId w:val="55"/>
        </w:numPr>
        <w:suppressAutoHyphens/>
        <w:spacing w:before="120"/>
        <w:jc w:val="both"/>
        <w:rPr>
          <w:rFonts w:ascii="Calibri" w:eastAsia="Calibri" w:hAnsi="Calibri"/>
          <w:b/>
          <w:u w:val="single"/>
          <w:lang w:val="ro-RO" w:eastAsia="zh-CN"/>
        </w:rPr>
      </w:pPr>
      <w:r w:rsidRPr="00AF3608">
        <w:rPr>
          <w:rFonts w:ascii="Calibri" w:eastAsia="+mn-ea" w:hAnsi="Calibri"/>
          <w:color w:val="000000"/>
          <w:lang w:val="ro-RO" w:eastAsia="zh-CN"/>
        </w:rPr>
        <w:t>Pregătirea populației, economiei și a teritoriului pentru apărare și asigurarea rezervelor de stat</w:t>
      </w:r>
    </w:p>
    <w:p w:rsidR="00EF7572" w:rsidRPr="00AF3608" w:rsidRDefault="009D0B5E" w:rsidP="003A0B85">
      <w:pPr>
        <w:numPr>
          <w:ilvl w:val="1"/>
          <w:numId w:val="55"/>
        </w:numPr>
        <w:suppressAutoHyphens/>
        <w:spacing w:before="120"/>
        <w:jc w:val="both"/>
        <w:rPr>
          <w:rFonts w:ascii="Calibri" w:eastAsia="Calibri" w:hAnsi="Calibri"/>
          <w:b/>
          <w:u w:val="single"/>
          <w:lang w:val="ro-RO" w:eastAsia="zh-CN"/>
        </w:rPr>
      </w:pPr>
      <w:r w:rsidRPr="00AF3608">
        <w:rPr>
          <w:rFonts w:ascii="Calibri" w:eastAsia="+mn-ea" w:hAnsi="Calibri"/>
          <w:color w:val="000000"/>
          <w:lang w:val="ro-RO" w:eastAsia="zh-CN"/>
        </w:rPr>
        <w:t xml:space="preserve">Desfășurarea formării profesionale inițială și continuă în cadrul Școlii de Subofițeri Pompieri și Protecție Civilă ”Pavel Zăgănescu”  Boldești </w:t>
      </w:r>
    </w:p>
    <w:p w:rsidR="00EF7572" w:rsidRPr="00AF3608" w:rsidRDefault="009D0B5E" w:rsidP="003A0B85">
      <w:pPr>
        <w:numPr>
          <w:ilvl w:val="1"/>
          <w:numId w:val="55"/>
        </w:numPr>
        <w:suppressAutoHyphens/>
        <w:spacing w:before="120"/>
        <w:jc w:val="both"/>
        <w:rPr>
          <w:rFonts w:ascii="Calibri" w:eastAsia="Calibri" w:hAnsi="Calibri"/>
          <w:b/>
          <w:u w:val="single"/>
          <w:lang w:val="ro-RO" w:eastAsia="zh-CN"/>
        </w:rPr>
      </w:pPr>
      <w:r w:rsidRPr="00AF3608">
        <w:rPr>
          <w:rFonts w:ascii="Calibri" w:eastAsia="+mn-ea" w:hAnsi="Calibri"/>
          <w:color w:val="000000"/>
          <w:lang w:val="ro-RO" w:eastAsia="zh-CN"/>
        </w:rPr>
        <w:t>Desfășurarea formării continue a pompierilor în cadrul Centrului Național de Perfecționare a Pregătirii pentru Managementul Situațiilor de Urgență Ciolpani și a centrelor de pregătire/antrenament</w:t>
      </w:r>
    </w:p>
    <w:p w:rsidR="009D0B5E" w:rsidRPr="00AF3608" w:rsidRDefault="009D0B5E" w:rsidP="003A0B85">
      <w:pPr>
        <w:numPr>
          <w:ilvl w:val="1"/>
          <w:numId w:val="55"/>
        </w:numPr>
        <w:suppressAutoHyphens/>
        <w:spacing w:before="120"/>
        <w:jc w:val="both"/>
        <w:rPr>
          <w:rFonts w:ascii="Calibri" w:eastAsia="Calibri" w:hAnsi="Calibri"/>
          <w:b/>
          <w:u w:val="single"/>
          <w:lang w:val="ro-RO" w:eastAsia="zh-CN"/>
        </w:rPr>
      </w:pPr>
      <w:r w:rsidRPr="00AF3608">
        <w:rPr>
          <w:rFonts w:ascii="Calibri" w:eastAsia="+mn-ea" w:hAnsi="Calibri"/>
          <w:color w:val="000000"/>
          <w:lang w:val="ro-RO" w:eastAsia="zh-CN"/>
        </w:rPr>
        <w:t>Pregătirea reprezentanților instituțiilor prefectului și a personalului cu funcții de conducere și atribuții în domeniul situațiilor de urgență din administrația publică locală, servicii descentralizate și deconcentrate</w:t>
      </w:r>
    </w:p>
    <w:p w:rsidR="00EF7572" w:rsidRPr="00AF3608" w:rsidRDefault="009D0B5E" w:rsidP="003A0B85">
      <w:pPr>
        <w:numPr>
          <w:ilvl w:val="0"/>
          <w:numId w:val="50"/>
        </w:numPr>
        <w:suppressAutoHyphens/>
        <w:spacing w:before="120"/>
        <w:jc w:val="both"/>
        <w:rPr>
          <w:rFonts w:ascii="Calibri" w:hAnsi="Calibri"/>
          <w:b/>
          <w:u w:val="single"/>
          <w:lang w:val="ro-RO" w:eastAsia="zh-CN"/>
        </w:rPr>
      </w:pPr>
      <w:r w:rsidRPr="00AF3608">
        <w:rPr>
          <w:rFonts w:ascii="Calibri" w:hAnsi="Calibri"/>
          <w:b/>
          <w:u w:val="single"/>
          <w:lang w:val="ro-RO" w:eastAsia="zh-CN"/>
        </w:rPr>
        <w:t>Rezultate așteptate  ale programului 2.1:</w:t>
      </w:r>
    </w:p>
    <w:p w:rsidR="00EF7572" w:rsidRPr="00AF3608" w:rsidRDefault="009D0B5E" w:rsidP="003A0B85">
      <w:pPr>
        <w:numPr>
          <w:ilvl w:val="1"/>
          <w:numId w:val="50"/>
        </w:numPr>
        <w:suppressAutoHyphens/>
        <w:spacing w:before="120"/>
        <w:jc w:val="both"/>
        <w:rPr>
          <w:rFonts w:ascii="Calibri" w:hAnsi="Calibri"/>
          <w:b/>
          <w:u w:val="single"/>
          <w:lang w:val="ro-RO" w:eastAsia="zh-CN"/>
        </w:rPr>
      </w:pPr>
      <w:r w:rsidRPr="00AF3608">
        <w:rPr>
          <w:rFonts w:ascii="Calibri" w:hAnsi="Calibri"/>
          <w:lang w:val="ro-RO" w:eastAsia="ja-JP"/>
        </w:rPr>
        <w:t>Asigurarea protecției populației și diminuarea efectelor asociate situațiilor de urgență și dezastrelor</w:t>
      </w:r>
    </w:p>
    <w:p w:rsidR="009D0B5E" w:rsidRPr="00AF3608" w:rsidRDefault="009D0B5E" w:rsidP="003A0B85">
      <w:pPr>
        <w:numPr>
          <w:ilvl w:val="1"/>
          <w:numId w:val="50"/>
        </w:numPr>
        <w:suppressAutoHyphens/>
        <w:spacing w:before="120"/>
        <w:jc w:val="both"/>
        <w:rPr>
          <w:rFonts w:ascii="Calibri" w:hAnsi="Calibri"/>
          <w:b/>
          <w:u w:val="single"/>
          <w:lang w:val="ro-RO" w:eastAsia="zh-CN"/>
        </w:rPr>
      </w:pPr>
      <w:r w:rsidRPr="00AF3608">
        <w:rPr>
          <w:rFonts w:ascii="Calibri" w:hAnsi="Calibri"/>
          <w:lang w:val="ro-RO" w:eastAsia="ja-JP"/>
        </w:rPr>
        <w:t>Asigurarea resursei umane specializate - formare inițială și continuă a personalului propriu și a personalului cu atribuții în situații de urgență din administrația publică locală, servicii descentralizate și deconcentrate</w:t>
      </w:r>
    </w:p>
    <w:p w:rsidR="009D0B5E" w:rsidRPr="00AF3608" w:rsidRDefault="009D0B5E" w:rsidP="003A0B85">
      <w:pPr>
        <w:numPr>
          <w:ilvl w:val="0"/>
          <w:numId w:val="49"/>
        </w:numPr>
        <w:tabs>
          <w:tab w:val="left" w:pos="0"/>
        </w:tabs>
        <w:suppressAutoHyphens/>
        <w:spacing w:before="120"/>
        <w:jc w:val="both"/>
        <w:rPr>
          <w:rFonts w:ascii="Calibri" w:hAnsi="Calibri"/>
          <w:b/>
          <w:u w:val="single"/>
          <w:lang w:val="ro-RO" w:eastAsia="zh-CN"/>
        </w:rPr>
      </w:pPr>
      <w:r w:rsidRPr="00AF3608">
        <w:rPr>
          <w:rFonts w:ascii="Calibri" w:hAnsi="Calibri"/>
          <w:b/>
          <w:u w:val="single"/>
          <w:lang w:val="ro-RO" w:eastAsia="zh-CN"/>
        </w:rPr>
        <w:t xml:space="preserve">Indicatori de impact ai programului 2.1:  </w:t>
      </w:r>
    </w:p>
    <w:p w:rsidR="009D0B5E" w:rsidRPr="00AF3608" w:rsidRDefault="009D0B5E" w:rsidP="00B723C0">
      <w:pPr>
        <w:tabs>
          <w:tab w:val="left" w:pos="0"/>
        </w:tabs>
        <w:suppressAutoHyphens/>
        <w:jc w:val="both"/>
        <w:rPr>
          <w:rFonts w:ascii="Calibri" w:hAnsi="Calibri"/>
          <w:lang w:val="ro-RO"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708"/>
        <w:gridCol w:w="1377"/>
      </w:tblGrid>
      <w:tr w:rsidR="009D0B5E" w:rsidRPr="00AF3608" w:rsidTr="00491FFB">
        <w:trPr>
          <w:jc w:val="center"/>
        </w:trPr>
        <w:tc>
          <w:tcPr>
            <w:tcW w:w="675" w:type="dxa"/>
            <w:shd w:val="clear" w:color="auto" w:fill="E2EFD9"/>
          </w:tcPr>
          <w:p w:rsidR="009D0B5E" w:rsidRPr="00AF3608" w:rsidRDefault="009D0B5E" w:rsidP="00B723C0">
            <w:pPr>
              <w:suppressAutoHyphens/>
              <w:jc w:val="both"/>
              <w:rPr>
                <w:rFonts w:ascii="Calibri" w:eastAsia="Calibri" w:hAnsi="Calibri"/>
                <w:b/>
                <w:lang w:val="ro-RO" w:eastAsia="zh-CN"/>
              </w:rPr>
            </w:pPr>
            <w:r w:rsidRPr="00AF3608">
              <w:rPr>
                <w:rFonts w:ascii="Calibri" w:eastAsia="Calibri" w:hAnsi="Calibri"/>
                <w:b/>
                <w:lang w:val="ro-RO" w:eastAsia="zh-CN"/>
              </w:rPr>
              <w:t>Nr. crt</w:t>
            </w:r>
          </w:p>
        </w:tc>
        <w:tc>
          <w:tcPr>
            <w:tcW w:w="6096" w:type="dxa"/>
            <w:shd w:val="clear" w:color="auto" w:fill="E2EFD9"/>
          </w:tcPr>
          <w:p w:rsidR="009D0B5E" w:rsidRPr="00AF3608" w:rsidRDefault="009D0B5E" w:rsidP="00B723C0">
            <w:pPr>
              <w:suppressAutoHyphens/>
              <w:jc w:val="both"/>
              <w:rPr>
                <w:rFonts w:ascii="Calibri" w:eastAsia="Calibri" w:hAnsi="Calibri"/>
                <w:b/>
                <w:lang w:val="ro-RO" w:eastAsia="zh-CN"/>
              </w:rPr>
            </w:pPr>
            <w:r w:rsidRPr="00AF3608">
              <w:rPr>
                <w:rFonts w:ascii="Calibri" w:eastAsia="Calibri" w:hAnsi="Calibri"/>
                <w:b/>
                <w:lang w:val="ro-RO" w:eastAsia="zh-CN"/>
              </w:rPr>
              <w:t>Denumire indicator</w:t>
            </w:r>
          </w:p>
        </w:tc>
        <w:tc>
          <w:tcPr>
            <w:tcW w:w="708" w:type="dxa"/>
            <w:shd w:val="clear" w:color="auto" w:fill="E2EFD9"/>
          </w:tcPr>
          <w:p w:rsidR="009D0B5E" w:rsidRPr="00AF3608" w:rsidRDefault="009D0B5E" w:rsidP="00B723C0">
            <w:pPr>
              <w:suppressAutoHyphens/>
              <w:jc w:val="both"/>
              <w:rPr>
                <w:rFonts w:ascii="Calibri" w:eastAsia="Calibri" w:hAnsi="Calibri"/>
                <w:b/>
                <w:lang w:val="ro-RO" w:eastAsia="zh-CN"/>
              </w:rPr>
            </w:pPr>
            <w:r w:rsidRPr="00AF3608">
              <w:rPr>
                <w:rFonts w:ascii="Calibri" w:eastAsia="Calibri" w:hAnsi="Calibri"/>
                <w:b/>
                <w:lang w:val="ro-RO" w:eastAsia="zh-CN"/>
              </w:rPr>
              <w:t>U.M</w:t>
            </w:r>
          </w:p>
        </w:tc>
        <w:tc>
          <w:tcPr>
            <w:tcW w:w="1377" w:type="dxa"/>
            <w:shd w:val="clear" w:color="auto" w:fill="E2EFD9"/>
          </w:tcPr>
          <w:p w:rsidR="009D0B5E" w:rsidRPr="00AF3608" w:rsidRDefault="009D0B5E" w:rsidP="00B723C0">
            <w:pPr>
              <w:suppressAutoHyphens/>
              <w:jc w:val="both"/>
              <w:rPr>
                <w:rFonts w:ascii="Calibri" w:eastAsia="Calibri" w:hAnsi="Calibri"/>
                <w:b/>
                <w:lang w:val="ro-RO" w:eastAsia="zh-CN"/>
              </w:rPr>
            </w:pPr>
            <w:r w:rsidRPr="00AF3608">
              <w:rPr>
                <w:rFonts w:ascii="Calibri" w:eastAsia="Calibri" w:hAnsi="Calibri"/>
                <w:b/>
                <w:lang w:val="ro-RO" w:eastAsia="zh-CN"/>
              </w:rPr>
              <w:t>Țintă 2023</w:t>
            </w:r>
          </w:p>
        </w:tc>
      </w:tr>
      <w:tr w:rsidR="009D0B5E" w:rsidRPr="00AF3608" w:rsidTr="00491FFB">
        <w:trPr>
          <w:jc w:val="center"/>
        </w:trPr>
        <w:tc>
          <w:tcPr>
            <w:tcW w:w="675" w:type="dxa"/>
            <w:shd w:val="clear" w:color="auto" w:fill="auto"/>
          </w:tcPr>
          <w:p w:rsidR="009D0B5E" w:rsidRPr="00AF3608" w:rsidRDefault="009D0B5E" w:rsidP="00B723C0">
            <w:pPr>
              <w:suppressAutoHyphens/>
              <w:jc w:val="both"/>
              <w:rPr>
                <w:rFonts w:ascii="Calibri" w:eastAsia="Calibri" w:hAnsi="Calibri"/>
                <w:lang w:val="ro-RO" w:eastAsia="zh-CN"/>
              </w:rPr>
            </w:pPr>
            <w:r w:rsidRPr="00AF3608">
              <w:rPr>
                <w:rFonts w:ascii="Calibri" w:eastAsia="Calibri" w:hAnsi="Calibri"/>
                <w:lang w:val="ro-RO" w:eastAsia="zh-CN"/>
              </w:rPr>
              <w:t>1.</w:t>
            </w:r>
          </w:p>
        </w:tc>
        <w:tc>
          <w:tcPr>
            <w:tcW w:w="6096" w:type="dxa"/>
            <w:shd w:val="clear" w:color="auto" w:fill="auto"/>
          </w:tcPr>
          <w:p w:rsidR="009D0B5E" w:rsidRPr="00AF3608" w:rsidRDefault="009D0B5E" w:rsidP="00B723C0">
            <w:pPr>
              <w:suppressAutoHyphens/>
              <w:jc w:val="both"/>
              <w:rPr>
                <w:rFonts w:ascii="Calibri" w:eastAsia="Calibri" w:hAnsi="Calibri"/>
                <w:lang w:val="ro-RO" w:eastAsia="zh-CN"/>
              </w:rPr>
            </w:pPr>
            <w:r w:rsidRPr="00AF3608">
              <w:rPr>
                <w:rFonts w:ascii="Calibri" w:eastAsia="Calibri" w:hAnsi="Calibri"/>
                <w:lang w:val="ro-RO" w:eastAsia="zh-CN"/>
              </w:rPr>
              <w:t>Gradul de încredere a populației în IGSU (pompieri)/structurile MAI cu atribuții în prevenirea și gestionarea situațiilor de urgență  (foarte multă și multă încredere)</w:t>
            </w:r>
          </w:p>
        </w:tc>
        <w:tc>
          <w:tcPr>
            <w:tcW w:w="708" w:type="dxa"/>
            <w:shd w:val="clear" w:color="auto" w:fill="auto"/>
          </w:tcPr>
          <w:p w:rsidR="009D0B5E" w:rsidRPr="00AF3608" w:rsidRDefault="009D0B5E" w:rsidP="00B723C0">
            <w:pPr>
              <w:suppressAutoHyphens/>
              <w:jc w:val="both"/>
              <w:rPr>
                <w:rFonts w:ascii="Calibri" w:eastAsia="Calibri" w:hAnsi="Calibri"/>
                <w:lang w:val="ro-RO" w:eastAsia="zh-CN"/>
              </w:rPr>
            </w:pPr>
            <w:r w:rsidRPr="00AF3608">
              <w:rPr>
                <w:rFonts w:ascii="Calibri" w:eastAsia="Calibri" w:hAnsi="Calibri"/>
                <w:lang w:val="ro-RO" w:eastAsia="zh-CN"/>
              </w:rPr>
              <w:t>%</w:t>
            </w:r>
          </w:p>
        </w:tc>
        <w:tc>
          <w:tcPr>
            <w:tcW w:w="1377" w:type="dxa"/>
            <w:shd w:val="clear" w:color="auto" w:fill="auto"/>
          </w:tcPr>
          <w:p w:rsidR="009D0B5E" w:rsidRPr="00AF3608" w:rsidRDefault="009D0B5E" w:rsidP="00B723C0">
            <w:pPr>
              <w:suppressAutoHyphens/>
              <w:jc w:val="both"/>
              <w:rPr>
                <w:rFonts w:ascii="Calibri" w:eastAsia="Calibri" w:hAnsi="Calibri"/>
                <w:lang w:val="ro-RO" w:eastAsia="zh-CN"/>
              </w:rPr>
            </w:pPr>
            <w:r w:rsidRPr="00AF3608">
              <w:rPr>
                <w:rFonts w:ascii="Calibri" w:eastAsia="Calibri" w:hAnsi="Calibri"/>
                <w:lang w:val="ro-RO" w:eastAsia="zh-CN"/>
              </w:rPr>
              <w:t>87%</w:t>
            </w:r>
          </w:p>
        </w:tc>
      </w:tr>
    </w:tbl>
    <w:p w:rsidR="009D0B5E" w:rsidRPr="00AF3608" w:rsidRDefault="009D0B5E" w:rsidP="00B723C0">
      <w:pPr>
        <w:suppressAutoHyphens/>
        <w:jc w:val="both"/>
        <w:rPr>
          <w:rFonts w:ascii="Calibri" w:hAnsi="Calibri"/>
          <w:lang w:val="ro-RO" w:eastAsia="zh-CN"/>
        </w:rPr>
      </w:pPr>
    </w:p>
    <w:p w:rsidR="009D0B5E" w:rsidRPr="00AF3608" w:rsidRDefault="009D0B5E" w:rsidP="00B723C0">
      <w:pPr>
        <w:shd w:val="clear" w:color="auto" w:fill="D9D9D9" w:themeFill="background1" w:themeFillShade="D9"/>
        <w:suppressAutoHyphens/>
        <w:jc w:val="both"/>
        <w:rPr>
          <w:rFonts w:ascii="Calibri" w:hAnsi="Calibri"/>
          <w:b/>
          <w:lang w:val="ro-RO" w:eastAsia="zh-CN"/>
        </w:rPr>
      </w:pPr>
      <w:r w:rsidRPr="00AF3608">
        <w:rPr>
          <w:rFonts w:ascii="Calibri" w:hAnsi="Calibri"/>
          <w:b/>
          <w:lang w:val="ro-RO" w:eastAsia="zh-CN"/>
        </w:rPr>
        <w:t>PROGRAMUL 3.1  “SERVICII PENTRU CETĂȚENI ȘI PERSOANE JURIDICE”</w:t>
      </w:r>
    </w:p>
    <w:p w:rsidR="009D0B5E" w:rsidRPr="00AF3608" w:rsidRDefault="009D0B5E" w:rsidP="00B723C0">
      <w:pPr>
        <w:suppressAutoHyphens/>
        <w:spacing w:before="120"/>
        <w:jc w:val="both"/>
        <w:rPr>
          <w:rFonts w:ascii="Calibri" w:hAnsi="Calibri"/>
          <w:i/>
          <w:lang w:val="ro-RO" w:eastAsia="zh-CN"/>
        </w:rPr>
      </w:pPr>
      <w:r w:rsidRPr="00AF3608">
        <w:rPr>
          <w:rFonts w:ascii="Calibri" w:hAnsi="Calibri"/>
          <w:lang w:val="ro-RO" w:eastAsia="zh-CN"/>
        </w:rPr>
        <w:t>Obiectiv strategic program</w:t>
      </w:r>
      <w:r w:rsidRPr="00AF3608">
        <w:rPr>
          <w:rFonts w:ascii="Calibri" w:hAnsi="Calibri"/>
          <w:b/>
          <w:lang w:val="ro-RO" w:eastAsia="zh-CN"/>
        </w:rPr>
        <w:t>- Creșterea eficienței și capacității administrative a MAI</w:t>
      </w:r>
    </w:p>
    <w:p w:rsidR="00EF7572" w:rsidRPr="00AF3608" w:rsidRDefault="009D0B5E" w:rsidP="003A0B85">
      <w:pPr>
        <w:numPr>
          <w:ilvl w:val="0"/>
          <w:numId w:val="56"/>
        </w:numPr>
        <w:suppressAutoHyphens/>
        <w:spacing w:before="120"/>
        <w:jc w:val="both"/>
        <w:rPr>
          <w:rFonts w:ascii="Calibri" w:hAnsi="Calibri"/>
          <w:b/>
          <w:u w:val="single"/>
          <w:lang w:val="ro-RO" w:eastAsia="zh-CN"/>
        </w:rPr>
      </w:pPr>
      <w:r w:rsidRPr="00AF3608">
        <w:rPr>
          <w:rFonts w:ascii="Calibri" w:hAnsi="Calibri"/>
          <w:b/>
          <w:u w:val="single"/>
          <w:lang w:val="ro-RO" w:eastAsia="zh-CN"/>
        </w:rPr>
        <w:lastRenderedPageBreak/>
        <w:t xml:space="preserve"> Măsuri ale  programului 3.1:</w:t>
      </w:r>
    </w:p>
    <w:p w:rsidR="00EF7572" w:rsidRPr="00AF3608" w:rsidRDefault="009D0B5E" w:rsidP="003A0B85">
      <w:pPr>
        <w:numPr>
          <w:ilvl w:val="1"/>
          <w:numId w:val="56"/>
        </w:numPr>
        <w:suppressAutoHyphens/>
        <w:spacing w:before="120"/>
        <w:jc w:val="both"/>
        <w:rPr>
          <w:rFonts w:ascii="Calibri" w:hAnsi="Calibri"/>
          <w:b/>
          <w:u w:val="single"/>
          <w:lang w:val="ro-RO" w:eastAsia="zh-CN"/>
        </w:rPr>
      </w:pPr>
      <w:r w:rsidRPr="00AF3608">
        <w:rPr>
          <w:rFonts w:ascii="Calibri" w:eastAsia="Calibri" w:hAnsi="Calibri"/>
          <w:lang w:val="ro-RO" w:eastAsia="ja-JP"/>
        </w:rPr>
        <w:t>Eliberarea documentelor din competența Direcției pentru Evidența Persoanelor și Administrarea Bazelor de Date (DEPABD)</w:t>
      </w:r>
    </w:p>
    <w:p w:rsidR="00EF7572" w:rsidRPr="00AF3608" w:rsidRDefault="009D0B5E" w:rsidP="003A0B85">
      <w:pPr>
        <w:numPr>
          <w:ilvl w:val="1"/>
          <w:numId w:val="56"/>
        </w:numPr>
        <w:suppressAutoHyphens/>
        <w:spacing w:before="120"/>
        <w:jc w:val="both"/>
        <w:rPr>
          <w:rFonts w:ascii="Calibri" w:hAnsi="Calibri"/>
          <w:b/>
          <w:u w:val="single"/>
          <w:lang w:val="ro-RO" w:eastAsia="zh-CN"/>
        </w:rPr>
      </w:pPr>
      <w:r w:rsidRPr="00AF3608">
        <w:rPr>
          <w:rFonts w:ascii="Calibri" w:eastAsia="Calibri" w:hAnsi="Calibri"/>
          <w:lang w:val="ro-RO" w:eastAsia="ja-JP"/>
        </w:rPr>
        <w:t>Eliberarea documentelor din competența Direcției Generale de Pașapoarte (DGP)</w:t>
      </w:r>
    </w:p>
    <w:p w:rsidR="00EF7572" w:rsidRPr="00AF3608" w:rsidRDefault="009D0B5E" w:rsidP="003A0B85">
      <w:pPr>
        <w:numPr>
          <w:ilvl w:val="1"/>
          <w:numId w:val="56"/>
        </w:numPr>
        <w:suppressAutoHyphens/>
        <w:spacing w:before="120"/>
        <w:jc w:val="both"/>
        <w:rPr>
          <w:rFonts w:ascii="Calibri" w:hAnsi="Calibri"/>
          <w:b/>
          <w:u w:val="single"/>
          <w:lang w:val="ro-RO" w:eastAsia="zh-CN"/>
        </w:rPr>
      </w:pPr>
      <w:r w:rsidRPr="00AF3608">
        <w:rPr>
          <w:rFonts w:ascii="Calibri" w:eastAsia="Calibri" w:hAnsi="Calibri"/>
          <w:lang w:val="ro-RO" w:eastAsia="ja-JP"/>
        </w:rPr>
        <w:t>Emiterea permiselor de conducere și a documentelor de înmatriculare a vehiculelor</w:t>
      </w:r>
    </w:p>
    <w:p w:rsidR="00EF7572" w:rsidRPr="00AF3608" w:rsidRDefault="009D0B5E" w:rsidP="003A0B85">
      <w:pPr>
        <w:numPr>
          <w:ilvl w:val="1"/>
          <w:numId w:val="56"/>
        </w:numPr>
        <w:suppressAutoHyphens/>
        <w:spacing w:before="120"/>
        <w:jc w:val="both"/>
        <w:rPr>
          <w:rFonts w:ascii="Calibri" w:hAnsi="Calibri"/>
          <w:b/>
          <w:u w:val="single"/>
          <w:lang w:val="ro-RO" w:eastAsia="zh-CN"/>
        </w:rPr>
      </w:pPr>
      <w:r w:rsidRPr="00AF3608">
        <w:rPr>
          <w:rFonts w:ascii="Calibri" w:eastAsia="Calibri" w:hAnsi="Calibri"/>
          <w:lang w:val="ro-RO" w:eastAsia="ja-JP"/>
        </w:rPr>
        <w:t>Preluarea arhivelor de la terți</w:t>
      </w:r>
    </w:p>
    <w:p w:rsidR="009D0B5E" w:rsidRPr="00AF3608" w:rsidRDefault="009D0B5E" w:rsidP="003A0B85">
      <w:pPr>
        <w:numPr>
          <w:ilvl w:val="1"/>
          <w:numId w:val="56"/>
        </w:numPr>
        <w:suppressAutoHyphens/>
        <w:spacing w:before="120"/>
        <w:jc w:val="both"/>
        <w:rPr>
          <w:rFonts w:ascii="Calibri" w:hAnsi="Calibri"/>
          <w:b/>
          <w:u w:val="single"/>
          <w:lang w:val="ro-RO" w:eastAsia="zh-CN"/>
        </w:rPr>
      </w:pPr>
      <w:r w:rsidRPr="00AF3608">
        <w:rPr>
          <w:rFonts w:ascii="Calibri" w:eastAsia="Calibri" w:hAnsi="Calibri"/>
          <w:lang w:val="ro-RO" w:eastAsia="ja-JP"/>
        </w:rPr>
        <w:t>Eliberarea documentelor din competența Arhivelor Naționale (AN)</w:t>
      </w:r>
    </w:p>
    <w:p w:rsidR="00EF7572" w:rsidRPr="00AF3608" w:rsidRDefault="009D0B5E" w:rsidP="003A0B85">
      <w:pPr>
        <w:numPr>
          <w:ilvl w:val="0"/>
          <w:numId w:val="56"/>
        </w:numPr>
        <w:suppressAutoHyphens/>
        <w:spacing w:before="120"/>
        <w:jc w:val="both"/>
        <w:rPr>
          <w:rFonts w:ascii="Calibri" w:eastAsia="Calibri" w:hAnsi="Calibri"/>
          <w:b/>
          <w:u w:val="single"/>
          <w:lang w:val="ro-RO" w:eastAsia="zh-CN"/>
        </w:rPr>
      </w:pPr>
      <w:r w:rsidRPr="00AF3608">
        <w:rPr>
          <w:rFonts w:ascii="Calibri" w:eastAsia="Calibri" w:hAnsi="Calibri"/>
          <w:b/>
          <w:u w:val="single"/>
          <w:lang w:val="ro-RO" w:eastAsia="zh-CN"/>
        </w:rPr>
        <w:t>Rezultate așteptate ale programului 3.1:</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Gestionarea procesului de eliberare a documentelor din competența DEPABD</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Gestionarea procesului de furnizare a serviciilor publice din competența DGP</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Gestionarea procesului de emitere a documentelor și a plăcilor cu numere de înmatriculare din competența Direcției Regim Permise de Conducere și Înmatriculare a Vehiculelor</w:t>
      </w:r>
    </w:p>
    <w:p w:rsidR="009D0B5E"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Gestionarea activității AN</w:t>
      </w:r>
    </w:p>
    <w:p w:rsidR="009D0B5E" w:rsidRPr="00AF3608" w:rsidRDefault="009D0B5E" w:rsidP="003A0B85">
      <w:pPr>
        <w:numPr>
          <w:ilvl w:val="0"/>
          <w:numId w:val="56"/>
        </w:numPr>
        <w:tabs>
          <w:tab w:val="left" w:pos="0"/>
        </w:tabs>
        <w:suppressAutoHyphens/>
        <w:spacing w:before="120"/>
        <w:jc w:val="both"/>
        <w:rPr>
          <w:rFonts w:ascii="Calibri" w:hAnsi="Calibri"/>
          <w:b/>
          <w:u w:val="single"/>
          <w:lang w:val="ro-RO" w:eastAsia="zh-CN"/>
        </w:rPr>
      </w:pPr>
      <w:r w:rsidRPr="00AF3608">
        <w:rPr>
          <w:rFonts w:ascii="Calibri" w:hAnsi="Calibri"/>
          <w:b/>
          <w:u w:val="single"/>
          <w:lang w:val="ro-RO" w:eastAsia="zh-CN"/>
        </w:rPr>
        <w:t>Indicatori de impact ai programului 3.1:</w:t>
      </w:r>
    </w:p>
    <w:p w:rsidR="009D0B5E" w:rsidRPr="00AF3608" w:rsidRDefault="009D0B5E" w:rsidP="00B723C0">
      <w:pPr>
        <w:tabs>
          <w:tab w:val="left" w:pos="0"/>
        </w:tabs>
        <w:spacing w:before="120"/>
        <w:jc w:val="both"/>
        <w:rPr>
          <w:rFonts w:ascii="Calibri" w:hAnsi="Calibri"/>
          <w:lang w:val="ro-RO" w:eastAsia="zh-CN"/>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5149"/>
        <w:gridCol w:w="843"/>
        <w:gridCol w:w="2630"/>
      </w:tblGrid>
      <w:tr w:rsidR="009D0B5E" w:rsidRPr="00AF3608" w:rsidTr="00491FFB">
        <w:trPr>
          <w:jc w:val="center"/>
        </w:trPr>
        <w:tc>
          <w:tcPr>
            <w:tcW w:w="842" w:type="dxa"/>
            <w:shd w:val="clear" w:color="auto" w:fill="E2EFD9"/>
          </w:tcPr>
          <w:p w:rsidR="009D0B5E" w:rsidRPr="00AF3608" w:rsidRDefault="009D0B5E" w:rsidP="00B723C0">
            <w:pPr>
              <w:suppressAutoHyphens/>
              <w:spacing w:before="120"/>
              <w:jc w:val="both"/>
              <w:rPr>
                <w:rFonts w:ascii="Calibri" w:eastAsia="Calibri" w:hAnsi="Calibri"/>
                <w:b/>
                <w:lang w:val="ro-RO" w:eastAsia="zh-CN"/>
              </w:rPr>
            </w:pPr>
            <w:r w:rsidRPr="00AF3608">
              <w:rPr>
                <w:rFonts w:ascii="Calibri" w:eastAsia="Calibri" w:hAnsi="Calibri"/>
                <w:b/>
                <w:lang w:val="ro-RO" w:eastAsia="zh-CN"/>
              </w:rPr>
              <w:t>Nr.crt</w:t>
            </w:r>
          </w:p>
        </w:tc>
        <w:tc>
          <w:tcPr>
            <w:tcW w:w="5149" w:type="dxa"/>
            <w:shd w:val="clear" w:color="auto" w:fill="E2EFD9"/>
          </w:tcPr>
          <w:p w:rsidR="009D0B5E" w:rsidRPr="00AF3608" w:rsidRDefault="009D0B5E" w:rsidP="00B723C0">
            <w:pPr>
              <w:suppressAutoHyphens/>
              <w:spacing w:before="120"/>
              <w:jc w:val="both"/>
              <w:rPr>
                <w:rFonts w:ascii="Calibri" w:eastAsia="Calibri" w:hAnsi="Calibri"/>
                <w:b/>
                <w:lang w:val="ro-RO" w:eastAsia="zh-CN"/>
              </w:rPr>
            </w:pPr>
            <w:r w:rsidRPr="00AF3608">
              <w:rPr>
                <w:rFonts w:ascii="Calibri" w:eastAsia="Calibri" w:hAnsi="Calibri"/>
                <w:b/>
                <w:lang w:val="ro-RO" w:eastAsia="zh-CN"/>
              </w:rPr>
              <w:t>Denumire indicator</w:t>
            </w:r>
          </w:p>
        </w:tc>
        <w:tc>
          <w:tcPr>
            <w:tcW w:w="843" w:type="dxa"/>
            <w:shd w:val="clear" w:color="auto" w:fill="E2EFD9"/>
          </w:tcPr>
          <w:p w:rsidR="009D0B5E" w:rsidRPr="00AF3608" w:rsidRDefault="009D0B5E" w:rsidP="00B723C0">
            <w:pPr>
              <w:suppressAutoHyphens/>
              <w:spacing w:before="120"/>
              <w:jc w:val="both"/>
              <w:rPr>
                <w:rFonts w:ascii="Calibri" w:eastAsia="Calibri" w:hAnsi="Calibri"/>
                <w:b/>
                <w:lang w:val="ro-RO" w:eastAsia="zh-CN"/>
              </w:rPr>
            </w:pPr>
            <w:r w:rsidRPr="00AF3608">
              <w:rPr>
                <w:rFonts w:ascii="Calibri" w:eastAsia="Calibri" w:hAnsi="Calibri"/>
                <w:b/>
                <w:lang w:val="ro-RO" w:eastAsia="zh-CN"/>
              </w:rPr>
              <w:t>U.M</w:t>
            </w:r>
          </w:p>
        </w:tc>
        <w:tc>
          <w:tcPr>
            <w:tcW w:w="2630" w:type="dxa"/>
            <w:shd w:val="clear" w:color="auto" w:fill="E2EFD9"/>
          </w:tcPr>
          <w:p w:rsidR="009D0B5E" w:rsidRPr="00AF3608" w:rsidRDefault="009D0B5E" w:rsidP="00B723C0">
            <w:pPr>
              <w:suppressAutoHyphens/>
              <w:spacing w:before="120"/>
              <w:jc w:val="both"/>
              <w:rPr>
                <w:rFonts w:ascii="Calibri" w:eastAsia="Calibri" w:hAnsi="Calibri"/>
                <w:b/>
                <w:lang w:val="ro-RO" w:eastAsia="zh-CN"/>
              </w:rPr>
            </w:pPr>
            <w:r w:rsidRPr="00AF3608">
              <w:rPr>
                <w:rFonts w:ascii="Calibri" w:eastAsia="Calibri" w:hAnsi="Calibri"/>
                <w:b/>
                <w:lang w:val="ro-RO" w:eastAsia="zh-CN"/>
              </w:rPr>
              <w:t>Țintă 2023</w:t>
            </w:r>
          </w:p>
        </w:tc>
      </w:tr>
      <w:tr w:rsidR="009D0B5E" w:rsidRPr="00AF3608" w:rsidTr="00491FFB">
        <w:trPr>
          <w:jc w:val="center"/>
        </w:trPr>
        <w:tc>
          <w:tcPr>
            <w:tcW w:w="842" w:type="dxa"/>
            <w:shd w:val="clear" w:color="auto" w:fill="auto"/>
          </w:tcPr>
          <w:p w:rsidR="009D0B5E" w:rsidRPr="00AF3608" w:rsidRDefault="009D0B5E" w:rsidP="00B723C0">
            <w:pPr>
              <w:suppressAutoHyphens/>
              <w:spacing w:before="120"/>
              <w:jc w:val="both"/>
              <w:rPr>
                <w:rFonts w:ascii="Calibri" w:eastAsia="Calibri" w:hAnsi="Calibri"/>
                <w:lang w:val="ro-RO" w:eastAsia="zh-CN"/>
              </w:rPr>
            </w:pPr>
            <w:r w:rsidRPr="00AF3608">
              <w:rPr>
                <w:rFonts w:ascii="Calibri" w:eastAsia="Calibri" w:hAnsi="Calibri"/>
                <w:lang w:val="ro-RO" w:eastAsia="zh-CN"/>
              </w:rPr>
              <w:t>1.</w:t>
            </w:r>
          </w:p>
        </w:tc>
        <w:tc>
          <w:tcPr>
            <w:tcW w:w="5149" w:type="dxa"/>
            <w:shd w:val="clear" w:color="auto" w:fill="auto"/>
          </w:tcPr>
          <w:p w:rsidR="009D0B5E" w:rsidRPr="00AF3608" w:rsidRDefault="009D0B5E" w:rsidP="00B723C0">
            <w:pPr>
              <w:suppressAutoHyphens/>
              <w:spacing w:before="120"/>
              <w:jc w:val="both"/>
              <w:rPr>
                <w:rFonts w:ascii="Calibri" w:eastAsia="Calibri" w:hAnsi="Calibri"/>
                <w:lang w:val="ro-RO" w:eastAsia="zh-CN"/>
              </w:rPr>
            </w:pPr>
            <w:r w:rsidRPr="00AF3608">
              <w:rPr>
                <w:rFonts w:ascii="Calibri" w:eastAsia="Calibri" w:hAnsi="Calibri"/>
                <w:lang w:val="ro-RO" w:eastAsia="zh-CN"/>
              </w:rPr>
              <w:t xml:space="preserve">Satisfacția beneficiarilor legată de absolvenții școlilor MAI </w:t>
            </w:r>
          </w:p>
        </w:tc>
        <w:tc>
          <w:tcPr>
            <w:tcW w:w="843" w:type="dxa"/>
            <w:shd w:val="clear" w:color="auto" w:fill="auto"/>
          </w:tcPr>
          <w:p w:rsidR="009D0B5E" w:rsidRPr="00AF3608" w:rsidRDefault="009D0B5E" w:rsidP="00B723C0">
            <w:pPr>
              <w:suppressAutoHyphens/>
              <w:spacing w:before="120"/>
              <w:jc w:val="both"/>
              <w:rPr>
                <w:rFonts w:ascii="Calibri" w:eastAsia="Calibri" w:hAnsi="Calibri"/>
                <w:lang w:val="ro-RO" w:eastAsia="zh-CN"/>
              </w:rPr>
            </w:pPr>
            <w:r w:rsidRPr="00AF3608">
              <w:rPr>
                <w:rFonts w:ascii="Calibri" w:eastAsia="Calibri" w:hAnsi="Calibri"/>
                <w:lang w:val="ro-RO" w:eastAsia="zh-CN"/>
              </w:rPr>
              <w:t>%</w:t>
            </w:r>
          </w:p>
        </w:tc>
        <w:tc>
          <w:tcPr>
            <w:tcW w:w="2630" w:type="dxa"/>
            <w:shd w:val="clear" w:color="auto" w:fill="auto"/>
          </w:tcPr>
          <w:p w:rsidR="009D0B5E" w:rsidRPr="00AF3608" w:rsidRDefault="009D0B5E" w:rsidP="00B723C0">
            <w:pPr>
              <w:suppressAutoHyphens/>
              <w:spacing w:before="120"/>
              <w:jc w:val="both"/>
              <w:rPr>
                <w:rFonts w:ascii="Calibri" w:eastAsia="Calibri" w:hAnsi="Calibri"/>
                <w:lang w:val="ro-RO" w:eastAsia="zh-CN"/>
              </w:rPr>
            </w:pPr>
            <w:r w:rsidRPr="00AF3608">
              <w:rPr>
                <w:rFonts w:ascii="Calibri" w:eastAsia="Calibri" w:hAnsi="Calibri"/>
                <w:lang w:val="ro-RO" w:eastAsia="zh-CN"/>
              </w:rPr>
              <w:t xml:space="preserve">75% dintre angajatori sunt mulțumiți și foarte mulțumiți </w:t>
            </w:r>
          </w:p>
        </w:tc>
      </w:tr>
      <w:tr w:rsidR="009D0B5E" w:rsidRPr="00AF3608" w:rsidTr="00491FFB">
        <w:trPr>
          <w:jc w:val="center"/>
        </w:trPr>
        <w:tc>
          <w:tcPr>
            <w:tcW w:w="842" w:type="dxa"/>
            <w:shd w:val="clear" w:color="auto" w:fill="auto"/>
          </w:tcPr>
          <w:p w:rsidR="009D0B5E" w:rsidRPr="00AF3608" w:rsidRDefault="009D0B5E" w:rsidP="00B723C0">
            <w:pPr>
              <w:suppressAutoHyphens/>
              <w:spacing w:before="120"/>
              <w:jc w:val="both"/>
              <w:rPr>
                <w:rFonts w:ascii="Calibri" w:eastAsia="Calibri" w:hAnsi="Calibri"/>
                <w:lang w:val="ro-RO" w:eastAsia="zh-CN"/>
              </w:rPr>
            </w:pPr>
            <w:r w:rsidRPr="00AF3608">
              <w:rPr>
                <w:rFonts w:ascii="Calibri" w:eastAsia="Calibri" w:hAnsi="Calibri"/>
                <w:lang w:val="ro-RO" w:eastAsia="zh-CN"/>
              </w:rPr>
              <w:t>2.</w:t>
            </w:r>
          </w:p>
        </w:tc>
        <w:tc>
          <w:tcPr>
            <w:tcW w:w="5149" w:type="dxa"/>
            <w:shd w:val="clear" w:color="auto" w:fill="auto"/>
          </w:tcPr>
          <w:p w:rsidR="009D0B5E" w:rsidRPr="00AF3608" w:rsidRDefault="009D0B5E" w:rsidP="00B723C0">
            <w:pPr>
              <w:suppressAutoHyphens/>
              <w:spacing w:before="120"/>
              <w:jc w:val="both"/>
              <w:rPr>
                <w:rFonts w:ascii="Calibri" w:eastAsia="Calibri" w:hAnsi="Calibri"/>
                <w:lang w:val="ro-RO" w:eastAsia="zh-CN"/>
              </w:rPr>
            </w:pPr>
            <w:r w:rsidRPr="00AF3608">
              <w:rPr>
                <w:rFonts w:ascii="Calibri" w:eastAsia="Calibri" w:hAnsi="Calibri"/>
                <w:lang w:val="ro-RO" w:eastAsia="zh-CN"/>
              </w:rPr>
              <w:t xml:space="preserve">Alocarea bugetară totală gestionată de către MAI (modificări procentuale față de anul anterior) </w:t>
            </w:r>
          </w:p>
        </w:tc>
        <w:tc>
          <w:tcPr>
            <w:tcW w:w="843" w:type="dxa"/>
            <w:shd w:val="clear" w:color="auto" w:fill="auto"/>
          </w:tcPr>
          <w:p w:rsidR="009D0B5E" w:rsidRPr="00AF3608" w:rsidRDefault="009D0B5E" w:rsidP="00B723C0">
            <w:pPr>
              <w:suppressAutoHyphens/>
              <w:spacing w:before="120"/>
              <w:jc w:val="both"/>
              <w:rPr>
                <w:rFonts w:ascii="Calibri" w:eastAsia="Calibri" w:hAnsi="Calibri"/>
                <w:lang w:val="ro-RO" w:eastAsia="zh-CN"/>
              </w:rPr>
            </w:pPr>
            <w:r w:rsidRPr="00AF3608">
              <w:rPr>
                <w:rFonts w:ascii="Calibri" w:eastAsia="Calibri" w:hAnsi="Calibri"/>
                <w:lang w:val="ro-RO" w:eastAsia="zh-CN"/>
              </w:rPr>
              <w:t>%</w:t>
            </w:r>
          </w:p>
        </w:tc>
        <w:tc>
          <w:tcPr>
            <w:tcW w:w="2630" w:type="dxa"/>
            <w:shd w:val="clear" w:color="auto" w:fill="auto"/>
          </w:tcPr>
          <w:p w:rsidR="009D0B5E" w:rsidRPr="00AF3608" w:rsidRDefault="009D0B5E" w:rsidP="00B723C0">
            <w:pPr>
              <w:suppressAutoHyphens/>
              <w:spacing w:before="120"/>
              <w:jc w:val="both"/>
              <w:rPr>
                <w:rFonts w:ascii="Calibri" w:eastAsia="Calibri" w:hAnsi="Calibri"/>
                <w:lang w:val="ro-RO" w:eastAsia="zh-CN"/>
              </w:rPr>
            </w:pPr>
            <w:r w:rsidRPr="00AF3608">
              <w:rPr>
                <w:rFonts w:ascii="Calibri" w:eastAsia="Calibri" w:hAnsi="Calibri"/>
                <w:lang w:val="ro-RO" w:eastAsia="zh-CN"/>
              </w:rPr>
              <w:t>+ 3,91%</w:t>
            </w:r>
          </w:p>
        </w:tc>
      </w:tr>
    </w:tbl>
    <w:p w:rsidR="009D0B5E" w:rsidRPr="00AF3608" w:rsidRDefault="009D0B5E" w:rsidP="00B723C0">
      <w:pPr>
        <w:tabs>
          <w:tab w:val="left" w:pos="0"/>
        </w:tabs>
        <w:spacing w:before="120"/>
        <w:jc w:val="both"/>
        <w:rPr>
          <w:rFonts w:ascii="Calibri" w:hAnsi="Calibri"/>
          <w:lang w:val="ro-RO" w:eastAsia="zh-CN"/>
        </w:rPr>
      </w:pPr>
    </w:p>
    <w:p w:rsidR="009D0B5E" w:rsidRPr="00AF3608" w:rsidRDefault="009D0B5E" w:rsidP="00B723C0">
      <w:pPr>
        <w:shd w:val="clear" w:color="auto" w:fill="D9D9D9" w:themeFill="background1" w:themeFillShade="D9"/>
        <w:suppressAutoHyphens/>
        <w:spacing w:before="120"/>
        <w:jc w:val="both"/>
        <w:rPr>
          <w:rFonts w:ascii="Calibri" w:hAnsi="Calibri"/>
          <w:b/>
          <w:lang w:val="ro-RO" w:eastAsia="zh-CN"/>
        </w:rPr>
      </w:pPr>
      <w:r w:rsidRPr="00AF3608">
        <w:rPr>
          <w:rFonts w:ascii="Calibri" w:hAnsi="Calibri"/>
          <w:b/>
          <w:lang w:val="ro-RO" w:eastAsia="zh-CN"/>
        </w:rPr>
        <w:t>PROGRAMUL 3.2  “CAPACITATE ADMINISTRATIVĂ ȘI SPRIJIN OPERAȚIONAL”</w:t>
      </w:r>
    </w:p>
    <w:p w:rsidR="009D0B5E" w:rsidRPr="00AF3608" w:rsidRDefault="009D0B5E" w:rsidP="00B723C0">
      <w:pPr>
        <w:suppressAutoHyphens/>
        <w:spacing w:before="120"/>
        <w:jc w:val="both"/>
        <w:rPr>
          <w:rFonts w:ascii="Calibri" w:hAnsi="Calibri"/>
          <w:i/>
          <w:lang w:val="ro-RO" w:eastAsia="zh-CN"/>
        </w:rPr>
      </w:pPr>
      <w:r w:rsidRPr="00AF3608">
        <w:rPr>
          <w:rFonts w:ascii="Calibri" w:hAnsi="Calibri"/>
          <w:lang w:val="ro-RO" w:eastAsia="zh-CN"/>
        </w:rPr>
        <w:t>Obiectiv strategic program</w:t>
      </w:r>
      <w:r w:rsidRPr="00AF3608">
        <w:rPr>
          <w:rFonts w:ascii="Calibri" w:hAnsi="Calibri"/>
          <w:b/>
          <w:lang w:val="ro-RO" w:eastAsia="zh-CN"/>
        </w:rPr>
        <w:t>- Creșterea eficienței și capacității administrative a MAI</w:t>
      </w:r>
    </w:p>
    <w:p w:rsidR="00EF7572" w:rsidRPr="00AF3608" w:rsidRDefault="009D0B5E" w:rsidP="003A0B85">
      <w:pPr>
        <w:numPr>
          <w:ilvl w:val="0"/>
          <w:numId w:val="56"/>
        </w:numPr>
        <w:suppressAutoHyphens/>
        <w:spacing w:before="120"/>
        <w:jc w:val="both"/>
        <w:rPr>
          <w:rFonts w:ascii="Calibri" w:eastAsia="Calibri" w:hAnsi="Calibri"/>
          <w:b/>
          <w:u w:val="single"/>
          <w:lang w:val="ro-RO" w:eastAsia="zh-CN"/>
        </w:rPr>
      </w:pPr>
      <w:r w:rsidRPr="00AF3608">
        <w:rPr>
          <w:rFonts w:ascii="Calibri" w:eastAsia="Calibri" w:hAnsi="Calibri"/>
          <w:b/>
          <w:u w:val="single"/>
          <w:lang w:val="ro-RO" w:eastAsia="zh-CN"/>
        </w:rPr>
        <w:t>Măsuri ale programului 3.2:</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Respectarea prevederilor legale referitoare la  promovarea proiectelor de documente de politici publice</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Respectarea prevederilor legale referitoare la  promovarea proiectelor de acte normative</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Îmbunătățirea eficienței și eficacității actului de control la nivelul MAI</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Îmbunătățirea eficienței și eficacității auditului public intern la nivelul MAI</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Eficientizarea procesului de planificare, conducere și coordonare necesar răspunsului integrat în cazul apariției situațiilor speciale și de criză</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Gestionarea fondurilor alocate pentru a crea premisele desfășurării în condiții optime a activității structurilor ministerului</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Efectuarea plății drepturilor de pensie și a altor drepturi de asigurări sociale cuvenite beneficiarilor Legii nr. 223/2015</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Gestionarea resurselor logistice necesare bunei funcționări a structurilor ministerului</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lastRenderedPageBreak/>
        <w:t>Implementarea de servicii electronice și asigurarea mentenanței infrastructurii existente</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Gestionarea resurselor umane necesare bunei funcționări a structurilor ministerului</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Instruirea personalului MAI pentru dobândirea de expertiză în domenii specifice</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Asigurarea de sprijin aerian pentru restabilirea ordinii publice, supravegherea frontierei și intervenții în situații de urgență</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Accesarea de fonduri externe nerambursabile</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Prevenirea și combaterea corupției la nivelul MAI</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Asigurarea unui climat de cunoaștere și respectare a normelor privind protecția informațiilor clasificate în rândul cadrelor MAI</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Informarea cu operativitate a mass-mediei și cetățenilor</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Formarea de specialiști cu pregătire universitară pentru structurile MAI</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Adaptarea programelor de formare în corelare cu evoluția fenomenelor din domeniul ordinii și siguranței publice</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Asigurarea suportului metodologic instituțiilor prefectului</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Asigurarea participării la Consiliile JAI, la misiuni de evaluare Schengen și la activități de cooperare internațională derulate în cadru bi și multilateral</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Dezvoltarea relațiilor de cooperare la nivel internațional în scopul realizării schimbului de date și informații cu privire la procesul de identificare și protecție a infrastructurilor critice naționale/europene</w:t>
      </w:r>
    </w:p>
    <w:p w:rsidR="009D0B5E"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Asigurarea participării personalului MAI la activități sportive internaționale</w:t>
      </w:r>
    </w:p>
    <w:p w:rsidR="00EF7572" w:rsidRPr="00AF3608" w:rsidRDefault="009D0B5E" w:rsidP="003A0B85">
      <w:pPr>
        <w:numPr>
          <w:ilvl w:val="0"/>
          <w:numId w:val="56"/>
        </w:numPr>
        <w:suppressAutoHyphens/>
        <w:spacing w:before="120"/>
        <w:jc w:val="both"/>
        <w:rPr>
          <w:rFonts w:ascii="Calibri" w:hAnsi="Calibri"/>
          <w:b/>
          <w:u w:val="single"/>
          <w:lang w:val="ro-RO" w:eastAsia="zh-CN"/>
        </w:rPr>
      </w:pPr>
      <w:r w:rsidRPr="00AF3608">
        <w:rPr>
          <w:rFonts w:ascii="Calibri" w:hAnsi="Calibri"/>
          <w:b/>
          <w:u w:val="single"/>
          <w:lang w:val="ro-RO" w:eastAsia="zh-CN"/>
        </w:rPr>
        <w:t xml:space="preserve">Rezultate așteptate ale programului 3.2: </w:t>
      </w:r>
    </w:p>
    <w:p w:rsidR="00EF7572" w:rsidRPr="00AF3608" w:rsidRDefault="009D0B5E" w:rsidP="003A0B85">
      <w:pPr>
        <w:numPr>
          <w:ilvl w:val="1"/>
          <w:numId w:val="56"/>
        </w:numPr>
        <w:suppressAutoHyphens/>
        <w:spacing w:before="120"/>
        <w:jc w:val="both"/>
        <w:rPr>
          <w:rFonts w:ascii="Calibri" w:hAnsi="Calibri"/>
          <w:b/>
          <w:u w:val="single"/>
          <w:lang w:val="ro-RO" w:eastAsia="zh-CN"/>
        </w:rPr>
      </w:pPr>
      <w:r w:rsidRPr="00AF3608">
        <w:rPr>
          <w:rFonts w:ascii="Calibri" w:eastAsia="Calibri" w:hAnsi="Calibri"/>
          <w:lang w:val="ro-RO" w:eastAsia="ja-JP"/>
        </w:rPr>
        <w:t>Asigurarea respectării prevederilor legale în procesul de promovare a documentelor de politici publice/acte normative</w:t>
      </w:r>
    </w:p>
    <w:p w:rsidR="00EF7572" w:rsidRPr="00AF3608" w:rsidRDefault="009D0B5E" w:rsidP="003A0B85">
      <w:pPr>
        <w:numPr>
          <w:ilvl w:val="1"/>
          <w:numId w:val="56"/>
        </w:numPr>
        <w:suppressAutoHyphens/>
        <w:spacing w:before="120"/>
        <w:jc w:val="both"/>
        <w:rPr>
          <w:rFonts w:ascii="Calibri" w:hAnsi="Calibri"/>
          <w:b/>
          <w:u w:val="single"/>
          <w:lang w:val="ro-RO" w:eastAsia="zh-CN"/>
        </w:rPr>
      </w:pPr>
      <w:r w:rsidRPr="00AF3608">
        <w:rPr>
          <w:rFonts w:ascii="Calibri" w:eastAsia="Calibri" w:hAnsi="Calibri"/>
          <w:lang w:val="ro-RO" w:eastAsia="ja-JP"/>
        </w:rPr>
        <w:t>Dezvoltarea capacității de control și audit la nivelul MAI</w:t>
      </w:r>
    </w:p>
    <w:p w:rsidR="00EF7572" w:rsidRPr="00AF3608" w:rsidRDefault="009D0B5E" w:rsidP="003A0B85">
      <w:pPr>
        <w:numPr>
          <w:ilvl w:val="1"/>
          <w:numId w:val="56"/>
        </w:numPr>
        <w:suppressAutoHyphens/>
        <w:spacing w:before="120"/>
        <w:jc w:val="both"/>
        <w:rPr>
          <w:rFonts w:ascii="Calibri" w:hAnsi="Calibri"/>
          <w:b/>
          <w:u w:val="single"/>
          <w:lang w:val="ro-RO" w:eastAsia="zh-CN"/>
        </w:rPr>
      </w:pPr>
      <w:r w:rsidRPr="00AF3608">
        <w:rPr>
          <w:rFonts w:ascii="Calibri" w:eastAsia="Calibri" w:hAnsi="Calibri"/>
          <w:lang w:val="ro-RO" w:eastAsia="ja-JP"/>
        </w:rPr>
        <w:t>Consolidarea capacității manageriale pentru gestionarea situațiilor speciale și de</w:t>
      </w:r>
      <w:r w:rsidR="00EF7572" w:rsidRPr="00AF3608">
        <w:rPr>
          <w:rFonts w:ascii="Calibri" w:eastAsia="Calibri" w:hAnsi="Calibri"/>
          <w:lang w:val="ro-RO" w:eastAsia="ja-JP"/>
        </w:rPr>
        <w:t xml:space="preserve"> </w:t>
      </w:r>
      <w:r w:rsidRPr="00AF3608">
        <w:rPr>
          <w:rFonts w:ascii="Calibri" w:eastAsia="Calibri" w:hAnsi="Calibri"/>
          <w:lang w:val="ro-RO" w:eastAsia="ja-JP"/>
        </w:rPr>
        <w:t xml:space="preserve">criză </w:t>
      </w:r>
    </w:p>
    <w:p w:rsidR="00EF7572" w:rsidRPr="00AF3608" w:rsidRDefault="009D0B5E" w:rsidP="003A0B85">
      <w:pPr>
        <w:numPr>
          <w:ilvl w:val="1"/>
          <w:numId w:val="56"/>
        </w:numPr>
        <w:suppressAutoHyphens/>
        <w:spacing w:before="120"/>
        <w:jc w:val="both"/>
        <w:rPr>
          <w:rFonts w:ascii="Calibri" w:hAnsi="Calibri"/>
          <w:b/>
          <w:u w:val="single"/>
          <w:lang w:val="ro-RO" w:eastAsia="zh-CN"/>
        </w:rPr>
      </w:pPr>
      <w:r w:rsidRPr="00AF3608">
        <w:rPr>
          <w:rFonts w:ascii="Calibri" w:eastAsia="Calibri" w:hAnsi="Calibri"/>
          <w:lang w:val="ro-RO" w:eastAsia="ja-JP"/>
        </w:rPr>
        <w:t>Asigurarea managementului resurselor financiare, logistice, TIC și umane</w:t>
      </w:r>
    </w:p>
    <w:p w:rsidR="00EF7572" w:rsidRPr="00AF3608" w:rsidRDefault="009D0B5E" w:rsidP="003A0B85">
      <w:pPr>
        <w:numPr>
          <w:ilvl w:val="1"/>
          <w:numId w:val="56"/>
        </w:numPr>
        <w:suppressAutoHyphens/>
        <w:spacing w:before="120"/>
        <w:jc w:val="both"/>
        <w:rPr>
          <w:rFonts w:ascii="Calibri" w:hAnsi="Calibri"/>
          <w:b/>
          <w:u w:val="single"/>
          <w:lang w:val="ro-RO" w:eastAsia="zh-CN"/>
        </w:rPr>
      </w:pPr>
      <w:r w:rsidRPr="00AF3608">
        <w:rPr>
          <w:rFonts w:ascii="Calibri" w:eastAsia="Calibri" w:hAnsi="Calibri"/>
          <w:lang w:val="ro-RO" w:eastAsia="ja-JP"/>
        </w:rPr>
        <w:t>Gestionarea acțiunilor/intervențiilor cu sprijin aerian</w:t>
      </w:r>
    </w:p>
    <w:p w:rsidR="00EF7572" w:rsidRPr="00AF3608" w:rsidRDefault="009D0B5E" w:rsidP="003A0B85">
      <w:pPr>
        <w:numPr>
          <w:ilvl w:val="1"/>
          <w:numId w:val="56"/>
        </w:numPr>
        <w:suppressAutoHyphens/>
        <w:spacing w:before="120"/>
        <w:jc w:val="both"/>
        <w:rPr>
          <w:rFonts w:ascii="Calibri" w:hAnsi="Calibri"/>
          <w:b/>
          <w:u w:val="single"/>
          <w:lang w:val="ro-RO" w:eastAsia="zh-CN"/>
        </w:rPr>
      </w:pPr>
      <w:r w:rsidRPr="00AF3608">
        <w:rPr>
          <w:rFonts w:ascii="Calibri" w:eastAsia="Calibri" w:hAnsi="Calibri"/>
          <w:lang w:val="ro-RO" w:eastAsia="ja-JP"/>
        </w:rPr>
        <w:t>Eficientizarea procesului de atragere a fondurilor nerambursabile</w:t>
      </w:r>
    </w:p>
    <w:p w:rsidR="00EF7572" w:rsidRPr="00AF3608" w:rsidRDefault="009D0B5E" w:rsidP="003A0B85">
      <w:pPr>
        <w:numPr>
          <w:ilvl w:val="1"/>
          <w:numId w:val="56"/>
        </w:numPr>
        <w:suppressAutoHyphens/>
        <w:spacing w:before="120"/>
        <w:jc w:val="both"/>
        <w:rPr>
          <w:rFonts w:ascii="Calibri" w:hAnsi="Calibri"/>
          <w:b/>
          <w:u w:val="single"/>
          <w:lang w:val="ro-RO" w:eastAsia="zh-CN"/>
        </w:rPr>
      </w:pPr>
      <w:r w:rsidRPr="00AF3608">
        <w:rPr>
          <w:rFonts w:ascii="Calibri" w:eastAsia="Calibri" w:hAnsi="Calibri"/>
          <w:lang w:val="ro-RO" w:eastAsia="ja-JP"/>
        </w:rPr>
        <w:t>Consolidarea mediului de integritate la nivelul MAI</w:t>
      </w:r>
    </w:p>
    <w:p w:rsidR="00EF7572" w:rsidRPr="00AF3608" w:rsidRDefault="009D0B5E" w:rsidP="003A0B85">
      <w:pPr>
        <w:numPr>
          <w:ilvl w:val="1"/>
          <w:numId w:val="56"/>
        </w:numPr>
        <w:suppressAutoHyphens/>
        <w:spacing w:before="120"/>
        <w:jc w:val="both"/>
        <w:rPr>
          <w:rFonts w:ascii="Calibri" w:hAnsi="Calibri"/>
          <w:b/>
          <w:u w:val="single"/>
          <w:lang w:val="ro-RO" w:eastAsia="zh-CN"/>
        </w:rPr>
      </w:pPr>
      <w:r w:rsidRPr="00AF3608">
        <w:rPr>
          <w:rFonts w:ascii="Calibri" w:eastAsia="Calibri" w:hAnsi="Calibri"/>
          <w:lang w:val="ro-RO" w:eastAsia="ja-JP"/>
        </w:rPr>
        <w:t>Dezvoltarea culturii de securitate la nivelul MAI</w:t>
      </w:r>
    </w:p>
    <w:p w:rsidR="00EF7572" w:rsidRPr="00AF3608" w:rsidRDefault="009D0B5E" w:rsidP="003A0B85">
      <w:pPr>
        <w:numPr>
          <w:ilvl w:val="1"/>
          <w:numId w:val="56"/>
        </w:numPr>
        <w:suppressAutoHyphens/>
        <w:spacing w:before="120"/>
        <w:jc w:val="both"/>
        <w:rPr>
          <w:rFonts w:ascii="Calibri" w:hAnsi="Calibri"/>
          <w:b/>
          <w:u w:val="single"/>
          <w:lang w:val="ro-RO" w:eastAsia="zh-CN"/>
        </w:rPr>
      </w:pPr>
      <w:r w:rsidRPr="00AF3608">
        <w:rPr>
          <w:rFonts w:ascii="Calibri" w:eastAsia="Calibri" w:hAnsi="Calibri"/>
          <w:lang w:val="ro-RO" w:eastAsia="ja-JP"/>
        </w:rPr>
        <w:t>Eficientizarea comunicării publice a MAI cu privire la activitățile derulate de</w:t>
      </w:r>
      <w:r w:rsidR="00EF7572" w:rsidRPr="00AF3608">
        <w:rPr>
          <w:rFonts w:ascii="Calibri" w:eastAsia="Calibri" w:hAnsi="Calibri"/>
          <w:lang w:val="ro-RO" w:eastAsia="ja-JP"/>
        </w:rPr>
        <w:t xml:space="preserve"> </w:t>
      </w:r>
      <w:r w:rsidRPr="00AF3608">
        <w:rPr>
          <w:rFonts w:ascii="Calibri" w:eastAsia="Calibri" w:hAnsi="Calibri"/>
          <w:lang w:val="ro-RO" w:eastAsia="ja-JP"/>
        </w:rPr>
        <w:t>structurile MAI</w:t>
      </w:r>
    </w:p>
    <w:p w:rsidR="00EF7572" w:rsidRPr="00AF3608" w:rsidRDefault="009D0B5E" w:rsidP="003A0B85">
      <w:pPr>
        <w:numPr>
          <w:ilvl w:val="1"/>
          <w:numId w:val="56"/>
        </w:numPr>
        <w:suppressAutoHyphens/>
        <w:spacing w:before="120"/>
        <w:jc w:val="both"/>
        <w:rPr>
          <w:rFonts w:ascii="Calibri" w:hAnsi="Calibri"/>
          <w:b/>
          <w:u w:val="single"/>
          <w:lang w:val="ro-RO" w:eastAsia="zh-CN"/>
        </w:rPr>
      </w:pPr>
      <w:r w:rsidRPr="00AF3608">
        <w:rPr>
          <w:rFonts w:ascii="Calibri" w:eastAsia="Calibri" w:hAnsi="Calibri"/>
          <w:lang w:val="ro-RO" w:eastAsia="ja-JP"/>
        </w:rPr>
        <w:t>Creșterea calității actului educațional al Academiei de Poliție “Alexandru Ioan Cuza” și Institutului de Studii pentru Ordine Publică</w:t>
      </w:r>
    </w:p>
    <w:p w:rsidR="00EF7572" w:rsidRPr="00AF3608" w:rsidRDefault="009D0B5E" w:rsidP="003A0B85">
      <w:pPr>
        <w:numPr>
          <w:ilvl w:val="1"/>
          <w:numId w:val="56"/>
        </w:numPr>
        <w:suppressAutoHyphens/>
        <w:spacing w:before="120"/>
        <w:jc w:val="both"/>
        <w:rPr>
          <w:rFonts w:ascii="Calibri" w:hAnsi="Calibri"/>
          <w:b/>
          <w:u w:val="single"/>
          <w:lang w:val="ro-RO" w:eastAsia="zh-CN"/>
        </w:rPr>
      </w:pPr>
      <w:r w:rsidRPr="00AF3608">
        <w:rPr>
          <w:rFonts w:ascii="Calibri" w:eastAsia="Calibri" w:hAnsi="Calibri"/>
          <w:lang w:val="ro-RO" w:eastAsia="ja-JP"/>
        </w:rPr>
        <w:t>Asigurarea coordonării unitare a activității instituțiilor prefectului</w:t>
      </w:r>
    </w:p>
    <w:p w:rsidR="009D0B5E" w:rsidRPr="00AF3608" w:rsidRDefault="009D0B5E" w:rsidP="003A0B85">
      <w:pPr>
        <w:numPr>
          <w:ilvl w:val="1"/>
          <w:numId w:val="56"/>
        </w:numPr>
        <w:suppressAutoHyphens/>
        <w:spacing w:before="120"/>
        <w:jc w:val="both"/>
        <w:rPr>
          <w:rFonts w:ascii="Calibri" w:hAnsi="Calibri"/>
          <w:b/>
          <w:u w:val="single"/>
          <w:lang w:val="ro-RO" w:eastAsia="zh-CN"/>
        </w:rPr>
      </w:pPr>
      <w:r w:rsidRPr="00AF3608">
        <w:rPr>
          <w:rFonts w:ascii="Calibri" w:eastAsia="Calibri" w:hAnsi="Calibri"/>
          <w:lang w:val="ro-RO" w:eastAsia="ja-JP"/>
        </w:rPr>
        <w:t>Creșterea vizibilității MAI la nivel european și international</w:t>
      </w:r>
    </w:p>
    <w:p w:rsidR="009D0B5E" w:rsidRPr="00AF3608" w:rsidRDefault="009D0B5E" w:rsidP="003A0B85">
      <w:pPr>
        <w:numPr>
          <w:ilvl w:val="0"/>
          <w:numId w:val="56"/>
        </w:numPr>
        <w:tabs>
          <w:tab w:val="left" w:pos="0"/>
        </w:tabs>
        <w:suppressAutoHyphens/>
        <w:spacing w:before="120"/>
        <w:jc w:val="both"/>
        <w:rPr>
          <w:rFonts w:ascii="Calibri" w:hAnsi="Calibri"/>
          <w:b/>
          <w:u w:val="single"/>
          <w:lang w:val="ro-RO" w:eastAsia="zh-CN"/>
        </w:rPr>
      </w:pPr>
      <w:r w:rsidRPr="00AF3608">
        <w:rPr>
          <w:rFonts w:ascii="Calibri" w:hAnsi="Calibri"/>
          <w:b/>
          <w:u w:val="single"/>
          <w:lang w:val="ro-RO" w:eastAsia="zh-CN"/>
        </w:rPr>
        <w:t>Indicatori de impact ai programului 3.2:</w:t>
      </w:r>
    </w:p>
    <w:p w:rsidR="00FE4CF1" w:rsidRPr="00AF3608" w:rsidRDefault="009D0B5E" w:rsidP="00B723C0">
      <w:pPr>
        <w:suppressAutoHyphens/>
        <w:spacing w:before="120"/>
        <w:jc w:val="both"/>
        <w:rPr>
          <w:rFonts w:ascii="Calibri" w:hAnsi="Calibri"/>
          <w:b/>
          <w:lang w:val="ro-RO" w:eastAsia="zh-CN"/>
        </w:rPr>
      </w:pPr>
      <w:r w:rsidRPr="00AF3608">
        <w:rPr>
          <w:rFonts w:ascii="Calibri" w:hAnsi="Calibri"/>
          <w:b/>
          <w:lang w:val="ro-RO" w:eastAsia="zh-CN"/>
        </w:rPr>
        <w:lastRenderedPageBreak/>
        <w:t xml:space="preserve">Programul 3.2 </w:t>
      </w:r>
      <w:r w:rsidRPr="00AF3608">
        <w:rPr>
          <w:rFonts w:ascii="Calibri" w:hAnsi="Calibri"/>
          <w:lang w:val="ro-RO" w:eastAsia="zh-CN"/>
        </w:rPr>
        <w:t xml:space="preserve">finanțează același obiectiv ca și </w:t>
      </w:r>
      <w:r w:rsidRPr="00AF3608">
        <w:rPr>
          <w:rFonts w:ascii="Calibri" w:hAnsi="Calibri"/>
          <w:b/>
          <w:lang w:val="ro-RO" w:eastAsia="zh-CN"/>
        </w:rPr>
        <w:t xml:space="preserve">Programul 3.1. </w:t>
      </w:r>
    </w:p>
    <w:p w:rsidR="009D0B5E" w:rsidRPr="00AF3608" w:rsidRDefault="009D0B5E" w:rsidP="00B723C0">
      <w:pPr>
        <w:suppressAutoHyphens/>
        <w:spacing w:before="120"/>
        <w:jc w:val="both"/>
        <w:rPr>
          <w:rFonts w:ascii="Calibri" w:hAnsi="Calibri"/>
          <w:b/>
          <w:lang w:val="ro-RO" w:eastAsia="zh-CN"/>
        </w:rPr>
      </w:pPr>
      <w:r w:rsidRPr="00AF3608">
        <w:rPr>
          <w:rFonts w:ascii="Calibri" w:hAnsi="Calibri"/>
          <w:lang w:val="ro-RO" w:eastAsia="zh-CN"/>
        </w:rPr>
        <w:t xml:space="preserve">Indicatorii de impact ai Programului 3.2, împreună cu țintele pentru anul 2023 sunt detaliați în cadrul </w:t>
      </w:r>
      <w:r w:rsidRPr="00AF3608">
        <w:rPr>
          <w:rFonts w:ascii="Calibri" w:hAnsi="Calibri"/>
          <w:b/>
          <w:lang w:val="ro-RO" w:eastAsia="zh-CN"/>
        </w:rPr>
        <w:t>Programului 3.1.</w:t>
      </w:r>
    </w:p>
    <w:p w:rsidR="002715C2" w:rsidRPr="00AF3608" w:rsidRDefault="002715C2" w:rsidP="00B723C0">
      <w:pPr>
        <w:suppressAutoHyphens/>
        <w:spacing w:before="120"/>
        <w:jc w:val="both"/>
        <w:rPr>
          <w:rFonts w:ascii="Calibri" w:hAnsi="Calibri"/>
          <w:b/>
          <w:lang w:val="ro-RO" w:eastAsia="zh-CN"/>
        </w:rPr>
      </w:pPr>
    </w:p>
    <w:p w:rsidR="002715C2" w:rsidRPr="00AF3608" w:rsidRDefault="002715C2" w:rsidP="00B723C0">
      <w:pPr>
        <w:suppressAutoHyphens/>
        <w:spacing w:before="120"/>
        <w:jc w:val="both"/>
        <w:rPr>
          <w:rFonts w:ascii="Calibri" w:hAnsi="Calibri"/>
          <w:lang w:val="ro-RO" w:eastAsia="zh-CN"/>
        </w:rPr>
      </w:pPr>
    </w:p>
    <w:p w:rsidR="009D0B5E" w:rsidRPr="00AF3608" w:rsidRDefault="007D440C" w:rsidP="002715C2">
      <w:pPr>
        <w:shd w:val="clear" w:color="auto" w:fill="A8D08D" w:themeFill="accent6" w:themeFillTint="99"/>
        <w:spacing w:before="120"/>
        <w:jc w:val="both"/>
        <w:rPr>
          <w:rFonts w:asciiTheme="minorHAnsi" w:hAnsiTheme="minorHAnsi" w:cstheme="minorHAnsi"/>
          <w:b/>
          <w:lang w:val="ro-RO"/>
        </w:rPr>
      </w:pPr>
      <w:r w:rsidRPr="00AF3608">
        <w:rPr>
          <w:rFonts w:asciiTheme="minorHAnsi" w:hAnsiTheme="minorHAnsi" w:cstheme="minorHAnsi"/>
          <w:b/>
          <w:lang w:val="ro-RO"/>
        </w:rPr>
        <w:t>Politica în domeniul apărării naţionale</w:t>
      </w:r>
    </w:p>
    <w:p w:rsidR="00206958" w:rsidRPr="00AF3608" w:rsidRDefault="00206958" w:rsidP="00B723C0">
      <w:pPr>
        <w:pStyle w:val="CaracterCaracter0"/>
        <w:spacing w:before="120"/>
        <w:jc w:val="both"/>
        <w:rPr>
          <w:rFonts w:ascii="Calibri" w:hAnsi="Calibri" w:cs="Calibri"/>
          <w:lang w:val="ro-RO"/>
        </w:rPr>
      </w:pPr>
      <w:r w:rsidRPr="00AF3608">
        <w:rPr>
          <w:rFonts w:ascii="Calibri" w:hAnsi="Calibri" w:cs="Calibri"/>
          <w:b/>
          <w:lang w:val="ro-RO"/>
        </w:rPr>
        <w:t>Obiectivul strategic</w:t>
      </w:r>
      <w:r w:rsidRPr="00AF3608">
        <w:rPr>
          <w:rFonts w:ascii="Calibri" w:hAnsi="Calibri" w:cs="Calibri"/>
          <w:b/>
          <w:bCs/>
          <w:lang w:val="ro-RO"/>
        </w:rPr>
        <w:t xml:space="preserve"> </w:t>
      </w:r>
      <w:r w:rsidRPr="00AF3608">
        <w:rPr>
          <w:rFonts w:ascii="Calibri" w:hAnsi="Calibri" w:cs="Calibri"/>
          <w:b/>
          <w:lang w:val="ro-RO"/>
        </w:rPr>
        <w:t>al politicii de apărare</w:t>
      </w:r>
      <w:r w:rsidRPr="00AF3608">
        <w:rPr>
          <w:rFonts w:ascii="Calibri" w:hAnsi="Calibri" w:cs="Calibri"/>
          <w:lang w:val="ro-RO"/>
        </w:rPr>
        <w:t xml:space="preserve"> pentru perioada 2021 - 2023 îl reprezintă modernizarea și adaptarea Armatei României la riscurile și provocările specifice actualului context geopolitic, cât și consolidarea profilului de partener strategic relevant al României la nivelul NATO, al UE și în parteneriatul strategic cu SUA.</w:t>
      </w:r>
    </w:p>
    <w:p w:rsidR="00206958" w:rsidRPr="00AF3608" w:rsidRDefault="00206958" w:rsidP="00B723C0">
      <w:pPr>
        <w:spacing w:before="120"/>
        <w:ind w:firstLine="266"/>
        <w:jc w:val="both"/>
        <w:rPr>
          <w:rFonts w:ascii="Calibri" w:hAnsi="Calibri" w:cs="Calibri"/>
          <w:lang w:val="ro-RO"/>
        </w:rPr>
      </w:pPr>
    </w:p>
    <w:p w:rsidR="00206958" w:rsidRPr="00AF3608" w:rsidRDefault="00206958" w:rsidP="003A0B85">
      <w:pPr>
        <w:pStyle w:val="ListParagraph"/>
        <w:numPr>
          <w:ilvl w:val="0"/>
          <w:numId w:val="48"/>
        </w:numPr>
        <w:spacing w:before="120" w:line="240" w:lineRule="auto"/>
        <w:contextualSpacing w:val="0"/>
        <w:jc w:val="both"/>
        <w:rPr>
          <w:rFonts w:ascii="Calibri" w:hAnsi="Calibri" w:cs="Calibri"/>
          <w:b/>
          <w:bCs/>
          <w:iCs/>
          <w:spacing w:val="-5"/>
        </w:rPr>
      </w:pPr>
      <w:r w:rsidRPr="00AF3608">
        <w:rPr>
          <w:rFonts w:ascii="Calibri" w:hAnsi="Calibri" w:cs="Calibri"/>
          <w:b/>
          <w:bCs/>
          <w:iCs/>
          <w:spacing w:val="-5"/>
        </w:rPr>
        <w:t>Obiectivele politicii de apărare</w:t>
      </w:r>
    </w:p>
    <w:p w:rsidR="00206958" w:rsidRPr="00AF3608" w:rsidRDefault="00206958" w:rsidP="003A0B85">
      <w:pPr>
        <w:pStyle w:val="ListParagraph"/>
        <w:numPr>
          <w:ilvl w:val="1"/>
          <w:numId w:val="48"/>
        </w:numPr>
        <w:spacing w:before="120" w:line="240" w:lineRule="auto"/>
        <w:contextualSpacing w:val="0"/>
        <w:jc w:val="both"/>
        <w:rPr>
          <w:rFonts w:ascii="Calibri" w:hAnsi="Calibri" w:cs="Calibri"/>
          <w:b/>
          <w:bCs/>
          <w:iCs/>
          <w:spacing w:val="-5"/>
        </w:rPr>
      </w:pPr>
      <w:r w:rsidRPr="00AF3608">
        <w:rPr>
          <w:rFonts w:ascii="Calibri" w:hAnsi="Calibri" w:cs="Calibri"/>
          <w:bCs/>
        </w:rPr>
        <w:t>dezvoltarea de capabilități moderne de apărare, inclusiv contribuția la creșterea rezilienței naționale;</w:t>
      </w:r>
    </w:p>
    <w:p w:rsidR="00206958" w:rsidRPr="00AF3608" w:rsidRDefault="00206958" w:rsidP="003A0B85">
      <w:pPr>
        <w:pStyle w:val="ListParagraph"/>
        <w:numPr>
          <w:ilvl w:val="1"/>
          <w:numId w:val="48"/>
        </w:numPr>
        <w:spacing w:before="120" w:line="240" w:lineRule="auto"/>
        <w:contextualSpacing w:val="0"/>
        <w:jc w:val="both"/>
        <w:rPr>
          <w:rFonts w:ascii="Calibri" w:hAnsi="Calibri" w:cs="Calibri"/>
          <w:b/>
          <w:bCs/>
          <w:iCs/>
          <w:spacing w:val="-5"/>
        </w:rPr>
      </w:pPr>
      <w:r w:rsidRPr="00AF3608">
        <w:rPr>
          <w:rFonts w:ascii="Calibri" w:hAnsi="Calibri" w:cs="Calibri"/>
          <w:bCs/>
        </w:rPr>
        <w:t>consolidarea profilului României, cu accent pe dimensiunea de apărare și descurajare în cadrul NATO, precum și a contribuției în cadrul Politicii de Securitate şi Apărare Comună a UE (PSAC);</w:t>
      </w:r>
    </w:p>
    <w:p w:rsidR="00206958" w:rsidRPr="00AF3608" w:rsidRDefault="00206958" w:rsidP="003A0B85">
      <w:pPr>
        <w:pStyle w:val="ListParagraph"/>
        <w:numPr>
          <w:ilvl w:val="1"/>
          <w:numId w:val="48"/>
        </w:numPr>
        <w:spacing w:before="120" w:line="240" w:lineRule="auto"/>
        <w:contextualSpacing w:val="0"/>
        <w:jc w:val="both"/>
        <w:rPr>
          <w:rFonts w:ascii="Calibri" w:hAnsi="Calibri" w:cs="Calibri"/>
          <w:b/>
          <w:bCs/>
          <w:iCs/>
          <w:spacing w:val="-5"/>
        </w:rPr>
      </w:pPr>
      <w:r w:rsidRPr="00AF3608">
        <w:rPr>
          <w:rFonts w:ascii="Calibri" w:hAnsi="Calibri" w:cs="Calibri"/>
          <w:bCs/>
        </w:rPr>
        <w:t>aprofundarea parteneriatului strategic cu SUA și dezvoltarea cooperării cu ceilalți parteneri strategici ai României;</w:t>
      </w:r>
    </w:p>
    <w:p w:rsidR="00206958" w:rsidRPr="00AF3608" w:rsidRDefault="00206958" w:rsidP="003A0B85">
      <w:pPr>
        <w:pStyle w:val="ListParagraph"/>
        <w:numPr>
          <w:ilvl w:val="1"/>
          <w:numId w:val="48"/>
        </w:numPr>
        <w:spacing w:before="120" w:line="240" w:lineRule="auto"/>
        <w:contextualSpacing w:val="0"/>
        <w:jc w:val="both"/>
        <w:rPr>
          <w:rFonts w:ascii="Calibri" w:hAnsi="Calibri" w:cs="Calibri"/>
          <w:b/>
          <w:bCs/>
          <w:iCs/>
          <w:spacing w:val="-5"/>
        </w:rPr>
      </w:pPr>
      <w:r w:rsidRPr="00AF3608">
        <w:rPr>
          <w:rFonts w:ascii="Calibri" w:hAnsi="Calibri" w:cs="Calibri"/>
          <w:bCs/>
        </w:rPr>
        <w:t>consolidarea profilului României de furnizor de securitate în regiunea extinsă a Mării Negre;</w:t>
      </w:r>
    </w:p>
    <w:p w:rsidR="00206958" w:rsidRPr="00AF3608" w:rsidRDefault="00206958" w:rsidP="003A0B85">
      <w:pPr>
        <w:pStyle w:val="ListParagraph"/>
        <w:numPr>
          <w:ilvl w:val="1"/>
          <w:numId w:val="48"/>
        </w:numPr>
        <w:spacing w:before="120" w:line="240" w:lineRule="auto"/>
        <w:contextualSpacing w:val="0"/>
        <w:jc w:val="both"/>
        <w:rPr>
          <w:rFonts w:ascii="Calibri" w:hAnsi="Calibri" w:cs="Calibri"/>
          <w:b/>
          <w:bCs/>
          <w:iCs/>
          <w:spacing w:val="-5"/>
        </w:rPr>
      </w:pPr>
      <w:r w:rsidRPr="00AF3608">
        <w:rPr>
          <w:rFonts w:ascii="Calibri" w:hAnsi="Calibri" w:cs="Calibri"/>
          <w:bCs/>
        </w:rPr>
        <w:t>dezvoltarea cooperării bilaterale și în format multilateral.</w:t>
      </w:r>
    </w:p>
    <w:p w:rsidR="00206958" w:rsidRPr="00AF3608" w:rsidRDefault="00206958" w:rsidP="00B723C0">
      <w:pPr>
        <w:spacing w:before="120"/>
        <w:jc w:val="both"/>
        <w:rPr>
          <w:rFonts w:ascii="Calibri" w:hAnsi="Calibri" w:cs="Calibri"/>
          <w:b/>
          <w:bCs/>
          <w:iCs/>
          <w:spacing w:val="-5"/>
          <w:lang w:val="ro-RO"/>
        </w:rPr>
      </w:pPr>
    </w:p>
    <w:p w:rsidR="00206958" w:rsidRPr="00AF3608" w:rsidRDefault="00206958" w:rsidP="003A0B85">
      <w:pPr>
        <w:pStyle w:val="ListParagraph"/>
        <w:numPr>
          <w:ilvl w:val="0"/>
          <w:numId w:val="48"/>
        </w:numPr>
        <w:spacing w:before="120" w:line="240" w:lineRule="auto"/>
        <w:contextualSpacing w:val="0"/>
        <w:jc w:val="both"/>
        <w:rPr>
          <w:rFonts w:ascii="Calibri" w:hAnsi="Calibri" w:cs="Calibri"/>
          <w:b/>
          <w:bCs/>
        </w:rPr>
      </w:pPr>
      <w:r w:rsidRPr="00AF3608">
        <w:rPr>
          <w:rFonts w:ascii="Calibri" w:hAnsi="Calibri" w:cs="Calibri"/>
          <w:b/>
          <w:bCs/>
        </w:rPr>
        <w:t>Obiective pe termen mediu stabilite prin Programul de Guvernare</w:t>
      </w:r>
    </w:p>
    <w:p w:rsidR="00206958" w:rsidRPr="00AF3608" w:rsidRDefault="00206958" w:rsidP="003A0B85">
      <w:pPr>
        <w:pStyle w:val="ListParagraph"/>
        <w:numPr>
          <w:ilvl w:val="1"/>
          <w:numId w:val="48"/>
        </w:numPr>
        <w:spacing w:before="120" w:line="240" w:lineRule="auto"/>
        <w:contextualSpacing w:val="0"/>
        <w:jc w:val="both"/>
        <w:rPr>
          <w:rFonts w:ascii="Calibri" w:hAnsi="Calibri" w:cs="Calibri"/>
          <w:b/>
          <w:bCs/>
        </w:rPr>
      </w:pPr>
      <w:r w:rsidRPr="00AF3608">
        <w:rPr>
          <w:rFonts w:ascii="Calibri" w:hAnsi="Calibri" w:cs="Calibri"/>
          <w:bCs/>
        </w:rPr>
        <w:t>dezvoltarea cadrului politic și juridic din domeniul apărării și securității naționale, care să asigure modernizare, operaționalizare și gestionarea eficientă a priorităților;</w:t>
      </w:r>
    </w:p>
    <w:p w:rsidR="00206958" w:rsidRPr="00AF3608" w:rsidRDefault="00206958" w:rsidP="003A0B85">
      <w:pPr>
        <w:pStyle w:val="ListParagraph"/>
        <w:numPr>
          <w:ilvl w:val="1"/>
          <w:numId w:val="48"/>
        </w:numPr>
        <w:spacing w:before="120" w:line="240" w:lineRule="auto"/>
        <w:contextualSpacing w:val="0"/>
        <w:jc w:val="both"/>
        <w:rPr>
          <w:rFonts w:ascii="Calibri" w:hAnsi="Calibri" w:cs="Calibri"/>
          <w:b/>
          <w:bCs/>
        </w:rPr>
      </w:pPr>
      <w:r w:rsidRPr="00AF3608">
        <w:rPr>
          <w:rFonts w:ascii="Calibri" w:hAnsi="Calibri" w:cs="Calibri"/>
          <w:bCs/>
        </w:rPr>
        <w:t>creşterea relevanţei strategice a României în cadrul NATO şi UE prin:</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color w:val="000000"/>
          <w:lang w:eastAsia="ro-RO"/>
        </w:rPr>
        <w:t>asigurarea parametrilor stabiliţi în context NATO pentru finanţarea apărării (</w:t>
      </w:r>
      <w:r w:rsidRPr="00AF3608">
        <w:rPr>
          <w:rFonts w:ascii="Calibri" w:hAnsi="Calibri" w:cs="Calibri"/>
          <w:bCs/>
          <w:color w:val="000000"/>
          <w:lang w:eastAsia="ro-RO"/>
        </w:rPr>
        <w:t>minim 2% din PIB, din care cel puțin 20% pentru înzestrare şi modernizare, respectiv 2% pentru cercetare, dezvoltare și inovare</w:t>
      </w:r>
      <w:r w:rsidRPr="00AF3608">
        <w:rPr>
          <w:rFonts w:ascii="Calibri" w:hAnsi="Calibri" w:cs="Calibri"/>
          <w:color w:val="000000"/>
          <w:lang w:eastAsia="ro-RO"/>
        </w:rPr>
        <w:t>); dezvoltarea capacităţii de apărare națională şi a nivelului de reacţie; asigurarea ofertei naţionale relevante pentru implementarea iniţiativelor NATO în planul dezvoltării capacităţii colective de reacţie a Alianţei; participarea la iniţiative şi proiecte aliate vizând dezvoltarea de capabilităţi aliate comune; participarea la misiuni şi operaţii NATO; contribuţia la implementarea prezenţei aliate înaintate pe teritoriul altor aliaţi estici şi gestionarea provocărilor de securitate de pe flancul sudic al NATO din ce în ce mai complexe și diverse. În acest sens se va urmări implementarea programelor şi proiectelor în planul modernizării, înzestrării şi operaţionalizării structurilor de forţe, care vor determina un nivel calitativ superior şi semnificativ al contribuţiei naţionale la arhitectura colectivă de securitate şi apărare NATO;</w:t>
      </w:r>
    </w:p>
    <w:p w:rsidR="0081563F"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rPr>
        <w:lastRenderedPageBreak/>
        <w:t xml:space="preserve">implementarea pachetului de </w:t>
      </w:r>
      <w:r w:rsidRPr="00AF3608">
        <w:rPr>
          <w:rFonts w:ascii="Calibri" w:hAnsi="Calibri" w:cs="Calibri"/>
          <w:bCs/>
          <w:i/>
          <w:iCs/>
        </w:rPr>
        <w:t xml:space="preserve">Ţinte de capabilităţi 2021 </w:t>
      </w:r>
      <w:r w:rsidRPr="00AF3608">
        <w:rPr>
          <w:rFonts w:ascii="Calibri" w:hAnsi="Calibri" w:cs="Calibri"/>
          <w:bCs/>
        </w:rPr>
        <w:t xml:space="preserve">și implementarea </w:t>
      </w:r>
      <w:r w:rsidRPr="00AF3608">
        <w:rPr>
          <w:rFonts w:ascii="Calibri" w:hAnsi="Calibri" w:cs="Calibri"/>
          <w:bCs/>
          <w:i/>
          <w:iCs/>
        </w:rPr>
        <w:t>Programului privind transformarea, dezvoltarea şi înzestrarea Armatei României până în anul 2040</w:t>
      </w:r>
      <w:r w:rsidRPr="00AF3608">
        <w:rPr>
          <w:rFonts w:ascii="Calibri" w:hAnsi="Calibri" w:cs="Calibri"/>
          <w:bCs/>
          <w:iCs/>
        </w:rPr>
        <w:t>;</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rPr>
        <w:t>dezvoltarea,</w:t>
      </w:r>
      <w:r w:rsidRPr="00AF3608">
        <w:rPr>
          <w:rFonts w:ascii="Calibri" w:hAnsi="Calibri" w:cs="Calibri"/>
          <w:b/>
          <w:bCs/>
        </w:rPr>
        <w:t xml:space="preserve"> </w:t>
      </w:r>
      <w:r w:rsidRPr="00AF3608">
        <w:rPr>
          <w:rFonts w:ascii="Calibri" w:hAnsi="Calibri" w:cs="Calibri"/>
          <w:bCs/>
        </w:rPr>
        <w:t>la nivelul U.E.,</w:t>
      </w:r>
      <w:r w:rsidRPr="00AF3608">
        <w:rPr>
          <w:rFonts w:ascii="Calibri" w:hAnsi="Calibri" w:cs="Calibri"/>
        </w:rPr>
        <w:t xml:space="preserve"> a unui profil activ al României, atât prin participarea la procesul de luare a deciziilor în cadrul </w:t>
      </w:r>
      <w:r w:rsidRPr="00AF3608">
        <w:rPr>
          <w:rFonts w:ascii="Calibri" w:hAnsi="Calibri" w:cs="Calibri"/>
          <w:i/>
          <w:iCs/>
        </w:rPr>
        <w:t xml:space="preserve">Politicii de securitate şi apărare comună </w:t>
      </w:r>
      <w:r w:rsidRPr="00AF3608">
        <w:rPr>
          <w:rFonts w:ascii="Calibri" w:hAnsi="Calibri" w:cs="Calibri"/>
        </w:rPr>
        <w:t>(P.S.A.C.) şi la iniţiativele şi procesele de dezvoltare a capabilităţilor în formatele de cooperare multinaţională oferite de Agenţia Europeană de Apărare, cât şi prin contribuţia la operaţiile şi misiunile desfăşurate sub egida U.E.</w:t>
      </w:r>
    </w:p>
    <w:p w:rsidR="00206958" w:rsidRPr="00AF3608" w:rsidRDefault="00206958" w:rsidP="00B723C0">
      <w:pPr>
        <w:suppressAutoHyphens/>
        <w:spacing w:before="120"/>
        <w:jc w:val="both"/>
        <w:rPr>
          <w:rFonts w:ascii="Calibri" w:hAnsi="Calibri" w:cs="Calibri"/>
          <w:lang w:val="ro-RO"/>
        </w:rPr>
      </w:pPr>
      <w:r w:rsidRPr="00AF3608">
        <w:rPr>
          <w:rFonts w:ascii="Calibri" w:eastAsia="Calibri" w:hAnsi="Calibri" w:cs="Calibri"/>
          <w:lang w:val="ro-RO"/>
        </w:rPr>
        <w:t>Se vor avea în vedere:</w:t>
      </w:r>
    </w:p>
    <w:p w:rsidR="00206958" w:rsidRPr="00AF3608" w:rsidRDefault="00206958" w:rsidP="00120AA6">
      <w:pPr>
        <w:pStyle w:val="ListParagraph"/>
        <w:numPr>
          <w:ilvl w:val="0"/>
          <w:numId w:val="10"/>
        </w:numPr>
        <w:suppressAutoHyphens/>
        <w:spacing w:before="120" w:line="240" w:lineRule="auto"/>
        <w:contextualSpacing w:val="0"/>
        <w:jc w:val="both"/>
        <w:rPr>
          <w:rFonts w:ascii="Calibri" w:hAnsi="Calibri" w:cs="Calibri"/>
        </w:rPr>
      </w:pPr>
      <w:r w:rsidRPr="00AF3608">
        <w:rPr>
          <w:rFonts w:ascii="Calibri" w:hAnsi="Calibri" w:cs="Calibri"/>
        </w:rPr>
        <w:t>consolidarea rolului şi prezenţei naţionale în operaţiile şi misiunile militare şi civile ale Uniunii Europene, prin participarea la misiuni de monitorizare şi gestionare a crizelor din zonele de interes pentru România, în funcţie şi de alte angajamente asumate în plan internaţional;</w:t>
      </w:r>
    </w:p>
    <w:p w:rsidR="00206958" w:rsidRPr="00AF3608" w:rsidRDefault="00206958" w:rsidP="00120AA6">
      <w:pPr>
        <w:pStyle w:val="ListParagraph"/>
        <w:numPr>
          <w:ilvl w:val="0"/>
          <w:numId w:val="10"/>
        </w:numPr>
        <w:suppressAutoHyphens/>
        <w:spacing w:before="120" w:line="240" w:lineRule="auto"/>
        <w:contextualSpacing w:val="0"/>
        <w:jc w:val="both"/>
        <w:rPr>
          <w:rFonts w:ascii="Calibri" w:hAnsi="Calibri" w:cs="Calibri"/>
        </w:rPr>
      </w:pPr>
      <w:r w:rsidRPr="00AF3608">
        <w:rPr>
          <w:rFonts w:ascii="Calibri" w:hAnsi="Calibri" w:cs="Calibri"/>
        </w:rPr>
        <w:t>participarea la consolidarea industriei europene de apărare și a cercetării-dezvoltării în domeniul apărării prin susținerea participării industriei naționale de apărare la proiectele care vizează capabilități prioritare pentru România, inclusiv cyber, CBRN, comandă-control, UAV, inteligență artificială;</w:t>
      </w:r>
    </w:p>
    <w:p w:rsidR="00206958" w:rsidRPr="00AF3608" w:rsidRDefault="00206958" w:rsidP="00120AA6">
      <w:pPr>
        <w:pStyle w:val="ListParagraph"/>
        <w:numPr>
          <w:ilvl w:val="0"/>
          <w:numId w:val="10"/>
        </w:numPr>
        <w:suppressAutoHyphens/>
        <w:spacing w:before="120" w:line="240" w:lineRule="auto"/>
        <w:contextualSpacing w:val="0"/>
        <w:jc w:val="both"/>
        <w:rPr>
          <w:rFonts w:ascii="Calibri" w:hAnsi="Calibri" w:cs="Calibri"/>
        </w:rPr>
      </w:pPr>
      <w:r w:rsidRPr="00AF3608">
        <w:rPr>
          <w:rFonts w:ascii="Calibri" w:hAnsi="Calibri" w:cs="Calibri"/>
        </w:rPr>
        <w:t>optimizarea nivelului de implicare în cadrul programelor și proiectelor de dezvoltare a capabilităților militare derulate la nivelul Agenției Europene de Apărare (E.D.A.);</w:t>
      </w:r>
    </w:p>
    <w:p w:rsidR="00206958" w:rsidRPr="00AF3608" w:rsidRDefault="00206958" w:rsidP="00120AA6">
      <w:pPr>
        <w:pStyle w:val="ListParagraph"/>
        <w:numPr>
          <w:ilvl w:val="0"/>
          <w:numId w:val="10"/>
        </w:numPr>
        <w:suppressAutoHyphens/>
        <w:spacing w:before="120" w:line="240" w:lineRule="auto"/>
        <w:contextualSpacing w:val="0"/>
        <w:jc w:val="both"/>
        <w:rPr>
          <w:rFonts w:ascii="Calibri" w:hAnsi="Calibri" w:cs="Calibri"/>
        </w:rPr>
      </w:pPr>
      <w:r w:rsidRPr="00AF3608">
        <w:rPr>
          <w:rFonts w:ascii="Calibri" w:hAnsi="Calibri" w:cs="Calibri"/>
        </w:rPr>
        <w:t>participarea la inițiativele și procesele UE dedicate dezvoltării de capabilități militare (PESCO – inclusiv mobilitate militară, CARD, EDF, EDIDP), în coerență cu angajamentele asumate în cadrul NATO și respectând principiul setului unic de forțe;</w:t>
      </w:r>
    </w:p>
    <w:p w:rsidR="00206958" w:rsidRPr="00AF3608" w:rsidRDefault="00206958" w:rsidP="00120AA6">
      <w:pPr>
        <w:pStyle w:val="ListParagraph"/>
        <w:numPr>
          <w:ilvl w:val="0"/>
          <w:numId w:val="10"/>
        </w:numPr>
        <w:suppressAutoHyphens/>
        <w:spacing w:before="120" w:line="240" w:lineRule="auto"/>
        <w:contextualSpacing w:val="0"/>
        <w:jc w:val="both"/>
        <w:rPr>
          <w:rFonts w:ascii="Calibri" w:hAnsi="Calibri" w:cs="Calibri"/>
        </w:rPr>
      </w:pPr>
      <w:r w:rsidRPr="00AF3608">
        <w:rPr>
          <w:rFonts w:ascii="Calibri" w:hAnsi="Calibri" w:cs="Calibri"/>
        </w:rPr>
        <w:t>promovarea consolidării legăturii transatlantice cu relevanţă accentuată în actualul context strategic, prin susţinerea implementării Declarațiilor comune privind cooperarea UE-NATO;</w:t>
      </w:r>
    </w:p>
    <w:p w:rsidR="00206958" w:rsidRPr="00AF3608" w:rsidRDefault="00206958" w:rsidP="00120AA6">
      <w:pPr>
        <w:pStyle w:val="ListParagraph"/>
        <w:numPr>
          <w:ilvl w:val="0"/>
          <w:numId w:val="10"/>
        </w:numPr>
        <w:suppressAutoHyphens/>
        <w:spacing w:before="120" w:line="240" w:lineRule="auto"/>
        <w:contextualSpacing w:val="0"/>
        <w:jc w:val="both"/>
        <w:rPr>
          <w:rFonts w:ascii="Calibri" w:hAnsi="Calibri" w:cs="Calibri"/>
        </w:rPr>
      </w:pPr>
      <w:r w:rsidRPr="00AF3608">
        <w:rPr>
          <w:rFonts w:ascii="Calibri" w:hAnsi="Calibri" w:cs="Calibri"/>
        </w:rPr>
        <w:t>asigurarea sprijinului şi asistenţei statelor membre UE care fac obiectul unor agresiuni armate pe teritoriul lor, conform clauzei de asistenţă mutuală (art. 42/7 din Tratatul UE).</w:t>
      </w:r>
    </w:p>
    <w:p w:rsidR="00206958" w:rsidRPr="00AF3608" w:rsidRDefault="00206958" w:rsidP="003A0B85">
      <w:pPr>
        <w:pStyle w:val="ListParagraph"/>
        <w:numPr>
          <w:ilvl w:val="1"/>
          <w:numId w:val="48"/>
        </w:numPr>
        <w:spacing w:before="120" w:line="240" w:lineRule="auto"/>
        <w:contextualSpacing w:val="0"/>
        <w:jc w:val="both"/>
        <w:rPr>
          <w:rFonts w:ascii="Calibri" w:hAnsi="Calibri" w:cs="Calibri"/>
          <w:b/>
          <w:bCs/>
        </w:rPr>
      </w:pPr>
      <w:r w:rsidRPr="00AF3608">
        <w:rPr>
          <w:rFonts w:ascii="Calibri" w:hAnsi="Calibri" w:cs="Calibri"/>
          <w:bCs/>
        </w:rPr>
        <w:t>consolidarea/aprofundarea parteneriatului strategic cu SUA, ca pilon de politică externă şi de apărare. Implementarea iniţiativelor de cooperare bilaterală în domeniul apărării se va derula în cadrul asigurat de Foaia de Parcurs (Roadmap) a Parteneriatului Strategic în domeniul apărării 2020-2030;</w:t>
      </w:r>
    </w:p>
    <w:p w:rsidR="00206958" w:rsidRPr="00AF3608" w:rsidRDefault="00206958" w:rsidP="003A0B85">
      <w:pPr>
        <w:pStyle w:val="ListParagraph"/>
        <w:numPr>
          <w:ilvl w:val="1"/>
          <w:numId w:val="48"/>
        </w:numPr>
        <w:spacing w:before="120" w:line="240" w:lineRule="auto"/>
        <w:contextualSpacing w:val="0"/>
        <w:jc w:val="both"/>
        <w:rPr>
          <w:rFonts w:ascii="Calibri" w:hAnsi="Calibri" w:cs="Calibri"/>
          <w:b/>
          <w:bCs/>
        </w:rPr>
      </w:pPr>
      <w:r w:rsidRPr="00AF3608">
        <w:rPr>
          <w:rFonts w:ascii="Calibri" w:hAnsi="Calibri" w:cs="Calibri"/>
          <w:bCs/>
        </w:rPr>
        <w:t>intensificarea cooperării bilaterale în domeniul apărării - prioritățile de cooperare internațională în domeniul apărării pentru perioada următoare vizează implementarea politicilor de cooperare internațională, contribuind la derularea programelor de instruire și pregătire ale Armatei Românei cu partenerii externi, îndeplinirea obligațiilor ce ne revin în conformitate cu angajamentele asumate la nivel NATO, UE, ONU, OSCE și în cadrul inițiativelor regionale, precum și sprijinirea promovării intereselor strategice ale statului român în regiunea sud-est europeană;</w:t>
      </w:r>
    </w:p>
    <w:p w:rsidR="00206958" w:rsidRPr="00AF3608" w:rsidRDefault="00206958" w:rsidP="003A0B85">
      <w:pPr>
        <w:pStyle w:val="ListParagraph"/>
        <w:numPr>
          <w:ilvl w:val="1"/>
          <w:numId w:val="48"/>
        </w:numPr>
        <w:spacing w:before="120" w:line="240" w:lineRule="auto"/>
        <w:contextualSpacing w:val="0"/>
        <w:jc w:val="both"/>
        <w:rPr>
          <w:rFonts w:ascii="Calibri" w:hAnsi="Calibri" w:cs="Calibri"/>
          <w:b/>
          <w:bCs/>
        </w:rPr>
      </w:pPr>
      <w:r w:rsidRPr="00AF3608">
        <w:rPr>
          <w:rFonts w:ascii="Calibri" w:hAnsi="Calibri" w:cs="Calibri"/>
          <w:bCs/>
        </w:rPr>
        <w:t xml:space="preserve">continuarea demersurilor privind dezvoltarea capabilităților prin implementarea prevederilor </w:t>
      </w:r>
      <w:r w:rsidRPr="00AF3608">
        <w:rPr>
          <w:rFonts w:ascii="Calibri" w:hAnsi="Calibri" w:cs="Calibri"/>
          <w:bCs/>
          <w:i/>
        </w:rPr>
        <w:t>Programului Armata României 2040</w:t>
      </w:r>
      <w:r w:rsidRPr="00AF3608">
        <w:rPr>
          <w:rFonts w:ascii="Calibri" w:hAnsi="Calibri" w:cs="Calibri"/>
          <w:bCs/>
        </w:rPr>
        <w:t xml:space="preserve"> și a </w:t>
      </w:r>
      <w:r w:rsidRPr="00AF3608">
        <w:rPr>
          <w:rFonts w:ascii="Calibri" w:hAnsi="Calibri" w:cs="Calibri"/>
          <w:bCs/>
          <w:i/>
        </w:rPr>
        <w:t>Planului multianual de înzestrare a Armatei României</w:t>
      </w:r>
      <w:r w:rsidRPr="00AF3608">
        <w:rPr>
          <w:rFonts w:ascii="Calibri" w:hAnsi="Calibri" w:cs="Calibri"/>
          <w:bCs/>
        </w:rPr>
        <w:t xml:space="preserve">, principalele linii de interes imediat fiind: </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rPr>
        <w:t xml:space="preserve">elaborarea și implementarea planurilor de acțiune subsecvente și identificarea, împreună cu Guvernul României, de soluții focalizate în special pe cooptarea industriei românești în implementarea planului multianual de </w:t>
      </w:r>
      <w:r w:rsidRPr="00AF3608">
        <w:rPr>
          <w:rFonts w:ascii="Calibri" w:hAnsi="Calibri" w:cs="Calibri"/>
        </w:rPr>
        <w:lastRenderedPageBreak/>
        <w:t>înzestrare și retehnologizarea acesteia pentru asigurarea unei reziliențe militare industriale pragmatice;</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rPr>
        <w:t>demararea contractului Corvete multifuncționale și monitorizarea îndeplinirii obligațiilor offset asumate de furnizorul străin;</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rPr>
        <w:t>contractarea celui de al treilea sistem HIMARS în cadrul programului de înzestrare Sistem Lansator Multiplu de Rachete cu bătaie mare;</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rPr>
        <w:t>contractarea a 6 sisteme radar de contrabaterie AN/TPQ53 în cadrul programului de înzestrare Sistem Lansator Multiplu de Rachete cu bătaie mare;</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rPr>
        <w:t>derularea procedurii de achiziție pentru Sistem de instalații mobile de lansare rachete antinavă (SIML);</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rPr>
        <w:t>derularea contractului multianual pentru „Revitalizarea și modernizarea aeronavelor IAR-99 Standard din dotarea Ministerului Apărării Naționale în configurația IAR-99 SM” (parte a programului ”Revitalizarea și modernizarea aeronavelor IAR-99 din dotarea Ministerului Apărării Naționale”);</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rPr>
        <w:t>derularea procedurii de achiziție pentru „Revitalizarea și eliminarea obsolescenței sistemelor aeronavelor IAR-99 ȘOIM din dotarea Ministerului Apărării Naționale” (parte a programului ”Revitalizarea și modernizarea aeronavelor IAR-99 din dotarea Ministerului Apărării Naționale”);</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rPr>
        <w:t>derularea a 2 acorduri cadru pentru 2.902 platforme de transport și 363 remorci și semiremorci, cu monitorizarea îndeplinirii obligațiilor offset asumate de furnizorul străin;</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rPr>
        <w:t>derularea contractelor subsecvente pentru achiziționarea de rachete SPIKE ER pentru Forțele Aeriene și asigurarea unei participări semnificative a industriei naționale de apărare în contractele subsecvente;</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rPr>
        <w:t>alocarea resurselor financiare necesare participării ACTTM/MApN, alături de operatori economici din industria națională de apărare la proiecte NATO și UE în domeniul cyber, CBRN, UAV, în concordanță cu prioritățile prevăzute în Carta Albă a Apărării 2020;</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rPr>
        <w:t>inițierea altor programe de achiziții necesare îndeplinirii obligațiilor asumate de România în cadrul procesului NATO de planificare a apărării;</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rPr>
        <w:t>în funcție de alocările bugetare și derularea programelor deja inițiate, vor fi efectuate demersuri pentru pregătirea inițierii și/sau derulării altor programe de înzestrare în vederea asigurării de noi capabilități structurii de forțe ale Armatei Române.</w:t>
      </w:r>
    </w:p>
    <w:p w:rsidR="00206958" w:rsidRPr="00AF3608" w:rsidRDefault="00206958" w:rsidP="003A0B85">
      <w:pPr>
        <w:pStyle w:val="ListParagraph"/>
        <w:numPr>
          <w:ilvl w:val="1"/>
          <w:numId w:val="48"/>
        </w:numPr>
        <w:spacing w:before="120" w:line="240" w:lineRule="auto"/>
        <w:contextualSpacing w:val="0"/>
        <w:jc w:val="both"/>
        <w:rPr>
          <w:rFonts w:ascii="Calibri" w:hAnsi="Calibri" w:cs="Calibri"/>
          <w:b/>
          <w:bCs/>
        </w:rPr>
      </w:pPr>
      <w:r w:rsidRPr="00AF3608">
        <w:rPr>
          <w:rFonts w:ascii="Calibri" w:hAnsi="Calibri" w:cs="Calibri"/>
          <w:bCs/>
        </w:rPr>
        <w:t>elaborarea și îmbunătăţirea cadrului normativ specific domeniului apărării şi calității vieții personalului. Măsurile avute în vedere:</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color w:val="000000"/>
          <w:lang w:eastAsia="ro-RO"/>
        </w:rPr>
        <w:t>continuarea activităților de elaborare/armonizare a legislației naționale care reglementează activitatea diverselor instituții din sistemul de securitate națională în domenii cu valențe inter-instituionale (managementul crizelor, securitate cibernetică, reziliență, etc) în scopul eficientizării mecanismelor instituționale;</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color w:val="000000"/>
          <w:lang w:eastAsia="ro-RO"/>
        </w:rPr>
        <w:t xml:space="preserve">dezvoltarea unui Centru național de excelență în domeniul apărării cibernetice, continuarea dezvoltării sistemului informatic și de comunicații </w:t>
      </w:r>
      <w:r w:rsidRPr="00AF3608">
        <w:rPr>
          <w:rFonts w:ascii="Calibri" w:hAnsi="Calibri" w:cs="Calibri"/>
          <w:color w:val="000000"/>
          <w:lang w:eastAsia="ro-RO"/>
        </w:rPr>
        <w:lastRenderedPageBreak/>
        <w:t>militar, concomitent cu extinderea măsurilor de securitate informațională și implementarea celor de apărare cibernetică;</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color w:val="000000"/>
          <w:lang w:eastAsia="ro-RO"/>
        </w:rPr>
        <w:t>reducerea cheltuielilor operaționale (mai ales a consumului de energie) prin adoptarea de tehnologii noi, nepoluante, atât în privința echipamentelor militare, cât și a lucrărilor de infrastructură militară;</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color w:val="000000"/>
          <w:lang w:eastAsia="ro-RO"/>
        </w:rPr>
        <w:t>negocierea unor componente importante de transfer tehnologic cu ocazia tuturor achizițiilor importante în domeniul militar;</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color w:val="000000"/>
          <w:lang w:eastAsia="ro-RO"/>
        </w:rPr>
        <w:t>dezvoltarea unei abordări strategice, interinstituţionale şi funcţionale într-un sistem integrat al problematicii protecţiei infrastructurilor critice naţionale ;</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color w:val="000000"/>
          <w:lang w:eastAsia="ro-RO"/>
        </w:rPr>
        <w:t xml:space="preserve">abordarea sistemului medical militar din cadrul sistemului de apărare, ordine publică și siguranță națională, ca domeniu integrat, ce necesită noi evaluări conceptuale și legislative, în contextul transformării NATO/UE și al combaterii pandemiilor; </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color w:val="000000"/>
          <w:lang w:eastAsia="ro-RO"/>
        </w:rPr>
        <w:t>dezvoltarea rezervei operaționale a Armatei Române, cu accent pe rezerva voluntară și serviciul militar în termen voluntar, precum și a unui sistem național de pregătire și instruire, elaborarea unei noi Strategii, care să conecteze sistemul de forțe active cu grupul de rezerviști și să asigure mobilizarea și regenerarea forțelor în parametri optimi de cantitate, calitate și viteză;</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color w:val="000000"/>
          <w:lang w:eastAsia="ro-RO"/>
        </w:rPr>
        <w:t>revizuirea cadrului normativ aplicabil la nivel național sau intern MApN pe linia soluționării problemelor sociale ale personalului armatei, veteranilor, invalizilor, văduvelor de război și văduvelor veteranilor de război, cadrelor militare în rezervă/retragere, a veteranilor, răniților și invalizilor care au participat la acțiuni militare, precum și a urmașilor celor decedați în acțiuni militare;</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color w:val="000000"/>
          <w:lang w:eastAsia="ro-RO"/>
        </w:rPr>
        <w:t>dezvoltarea unui program pentru retenția, motivarea și recompensarea personalului militar și civil în conformitate cu legislația națională și a bunelor practici în cadrul NATO si îmbunătățirea programului dedicat protejării drepturilor veteranilor de război, veteranilor din teatrele de operații, răniților, familiilor și rudelor acestora prin înființarea unui centru național în acest sens;</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color w:val="000000"/>
          <w:lang w:eastAsia="ro-RO"/>
        </w:rPr>
        <w:t>reducerea birocrației și realizarea unei structuri organizatorice moderne, flexibile conform nivelului de ambiție adoptat pe baza rezultatelor din procesul de revizuire strategică a apărării, a experienței acumulate în teatrele de operații, a lecțiilor învățate și a bunelor practici din sfera euroatlantică.</w:t>
      </w:r>
    </w:p>
    <w:p w:rsidR="00206958" w:rsidRPr="00AF3608" w:rsidRDefault="00206958" w:rsidP="00B723C0">
      <w:pPr>
        <w:spacing w:before="120"/>
        <w:jc w:val="both"/>
        <w:rPr>
          <w:rFonts w:ascii="Calibri" w:eastAsia="Calibri" w:hAnsi="Calibri" w:cs="Calibri"/>
          <w:b/>
          <w:bCs/>
          <w:lang w:val="ro-RO"/>
        </w:rPr>
      </w:pPr>
    </w:p>
    <w:p w:rsidR="00206958" w:rsidRPr="00AF3608" w:rsidRDefault="00206958" w:rsidP="003A0B85">
      <w:pPr>
        <w:pStyle w:val="ListParagraph"/>
        <w:numPr>
          <w:ilvl w:val="0"/>
          <w:numId w:val="48"/>
        </w:numPr>
        <w:suppressAutoHyphens/>
        <w:spacing w:before="120" w:line="240" w:lineRule="auto"/>
        <w:contextualSpacing w:val="0"/>
        <w:jc w:val="both"/>
        <w:rPr>
          <w:rFonts w:ascii="Calibri" w:hAnsi="Calibri" w:cs="Calibri"/>
          <w:b/>
        </w:rPr>
      </w:pPr>
      <w:r w:rsidRPr="00AF3608">
        <w:rPr>
          <w:rFonts w:ascii="Calibri" w:hAnsi="Calibri" w:cs="Calibri"/>
          <w:b/>
          <w:bCs/>
          <w:lang w:eastAsia="zh-CN"/>
        </w:rPr>
        <w:t>Direcţii principale de dezvoltare a capabilităților militare</w:t>
      </w:r>
    </w:p>
    <w:p w:rsidR="00206958" w:rsidRPr="00AF3608" w:rsidRDefault="00206958" w:rsidP="003A0B85">
      <w:pPr>
        <w:pStyle w:val="ListParagraph"/>
        <w:numPr>
          <w:ilvl w:val="1"/>
          <w:numId w:val="48"/>
        </w:numPr>
        <w:suppressAutoHyphens/>
        <w:spacing w:before="120" w:line="240" w:lineRule="auto"/>
        <w:contextualSpacing w:val="0"/>
        <w:jc w:val="both"/>
        <w:rPr>
          <w:rFonts w:ascii="Calibri" w:hAnsi="Calibri" w:cs="Calibri"/>
          <w:b/>
        </w:rPr>
      </w:pPr>
      <w:r w:rsidRPr="00AF3608">
        <w:rPr>
          <w:rFonts w:ascii="Calibri" w:hAnsi="Calibri" w:cs="Calibri"/>
        </w:rPr>
        <w:t>Implementarea structurii de forțe „Armata României 2040”, rezultată din Analiza Strategică a Apărării 2020” (ASA). Aceasta va permite trecerea la o planificare multianuală prin care se va asigura dinamica de personal potrivit nevoilor actuale și de perspectivă ale Ministerului Apărării Naționale;</w:t>
      </w:r>
    </w:p>
    <w:p w:rsidR="00206958" w:rsidRPr="00AF3608" w:rsidRDefault="00206958" w:rsidP="003A0B85">
      <w:pPr>
        <w:pStyle w:val="ListParagraph"/>
        <w:numPr>
          <w:ilvl w:val="1"/>
          <w:numId w:val="48"/>
        </w:numPr>
        <w:suppressAutoHyphens/>
        <w:spacing w:before="120" w:line="240" w:lineRule="auto"/>
        <w:contextualSpacing w:val="0"/>
        <w:jc w:val="both"/>
        <w:rPr>
          <w:rFonts w:ascii="Calibri" w:hAnsi="Calibri" w:cs="Calibri"/>
          <w:b/>
        </w:rPr>
      </w:pPr>
      <w:r w:rsidRPr="00AF3608">
        <w:rPr>
          <w:rFonts w:ascii="Calibri" w:hAnsi="Calibri" w:cs="Calibri"/>
        </w:rPr>
        <w:t xml:space="preserve">Alocările bugetare pentru MApN în perioada 2021-2023 trebuie să reconfirme deciziile adoptate în urma Summit-ului din Ţara Galilor, precum şi Acordul politic naţional privind creşterea finanţării pentru apărare, semnat de Partidele Parlamentare. Îndeplinirea acestui deziderat conduce la necesitatea continuării asigurării nivelului de cel puţin 2% din PIB pentru perioada de referinţă, în </w:t>
      </w:r>
      <w:r w:rsidRPr="00AF3608">
        <w:rPr>
          <w:rFonts w:ascii="Calibri" w:hAnsi="Calibri" w:cs="Calibri"/>
        </w:rPr>
        <w:lastRenderedPageBreak/>
        <w:t>conformitate cu prevederile ASA, aprobată de CSAŢ în data de 06.10.2020 şi a Programului de guvernare;</w:t>
      </w:r>
    </w:p>
    <w:p w:rsidR="00206958" w:rsidRPr="00AF3608" w:rsidRDefault="00206958" w:rsidP="003A0B85">
      <w:pPr>
        <w:pStyle w:val="ListParagraph"/>
        <w:numPr>
          <w:ilvl w:val="1"/>
          <w:numId w:val="48"/>
        </w:numPr>
        <w:suppressAutoHyphens/>
        <w:spacing w:before="120" w:line="240" w:lineRule="auto"/>
        <w:contextualSpacing w:val="0"/>
        <w:jc w:val="both"/>
        <w:rPr>
          <w:rFonts w:ascii="Calibri" w:hAnsi="Calibri" w:cs="Calibri"/>
          <w:b/>
        </w:rPr>
      </w:pPr>
      <w:r w:rsidRPr="00AF3608">
        <w:rPr>
          <w:rFonts w:ascii="Calibri" w:hAnsi="Calibri" w:cs="Calibri"/>
        </w:rPr>
        <w:t>Capabilităţile Armatei României se dezvoltă în următoarele domenii: comandă, control şi comunicaţii, angajare, informaţii, proiecţia forţei, protecţie şi susţinere;</w:t>
      </w:r>
    </w:p>
    <w:p w:rsidR="00206958" w:rsidRPr="00AF3608" w:rsidRDefault="00206958" w:rsidP="003A0B85">
      <w:pPr>
        <w:pStyle w:val="ListParagraph"/>
        <w:numPr>
          <w:ilvl w:val="1"/>
          <w:numId w:val="48"/>
        </w:numPr>
        <w:suppressAutoHyphens/>
        <w:spacing w:before="120" w:line="240" w:lineRule="auto"/>
        <w:contextualSpacing w:val="0"/>
        <w:jc w:val="both"/>
        <w:rPr>
          <w:rFonts w:ascii="Calibri" w:hAnsi="Calibri" w:cs="Calibri"/>
          <w:b/>
        </w:rPr>
      </w:pPr>
      <w:r w:rsidRPr="00AF3608">
        <w:rPr>
          <w:rFonts w:ascii="Calibri" w:hAnsi="Calibri" w:cs="Calibri"/>
        </w:rPr>
        <w:t>Constituirea, dezvoltarea şi menţinerea capabilităţilor se realizează având în vedere cerinţele şi acţiunile cuprinzând  elemente de: doctrină, organizare, pregătire, comandă, echipamente, personal, infrastructură şi interoperabilitate (DOTLMPFI);</w:t>
      </w:r>
    </w:p>
    <w:p w:rsidR="006C64F3" w:rsidRPr="00AF3608" w:rsidRDefault="006C64F3" w:rsidP="003A0B85">
      <w:pPr>
        <w:pStyle w:val="ListParagraph"/>
        <w:numPr>
          <w:ilvl w:val="1"/>
          <w:numId w:val="48"/>
        </w:numPr>
        <w:suppressAutoHyphens/>
        <w:spacing w:before="120" w:line="240" w:lineRule="auto"/>
        <w:contextualSpacing w:val="0"/>
        <w:jc w:val="both"/>
        <w:rPr>
          <w:rFonts w:ascii="Calibri" w:hAnsi="Calibri" w:cs="Calibri"/>
          <w:b/>
        </w:rPr>
      </w:pPr>
      <w:r w:rsidRPr="00AF3608">
        <w:rPr>
          <w:rFonts w:ascii="Calibri" w:hAnsi="Calibri" w:cs="Calibri"/>
        </w:rPr>
        <w:t>funcţie de domeniile de acţiune, capabilităţile principale ale Armatei României sunt următoarele:</w:t>
      </w:r>
    </w:p>
    <w:p w:rsidR="006C64F3" w:rsidRPr="00AF3608" w:rsidRDefault="006C64F3" w:rsidP="003A0B85">
      <w:pPr>
        <w:pStyle w:val="ListParagraph"/>
        <w:numPr>
          <w:ilvl w:val="2"/>
          <w:numId w:val="48"/>
        </w:numPr>
        <w:suppressAutoHyphens/>
        <w:spacing w:before="120" w:line="240" w:lineRule="auto"/>
        <w:contextualSpacing w:val="0"/>
        <w:jc w:val="both"/>
        <w:rPr>
          <w:rFonts w:ascii="Calibri" w:hAnsi="Calibri" w:cs="Calibri"/>
          <w:b/>
        </w:rPr>
      </w:pPr>
      <w:r w:rsidRPr="00AF3608">
        <w:rPr>
          <w:rFonts w:ascii="Calibri" w:hAnsi="Calibri" w:cs="Calibri"/>
          <w:b/>
          <w:spacing w:val="-5"/>
        </w:rPr>
        <w:t>comandă, control şi comunicaţii</w:t>
      </w:r>
      <w:r w:rsidRPr="00AF3608">
        <w:rPr>
          <w:rFonts w:ascii="Calibri" w:hAnsi="Calibri" w:cs="Calibri"/>
          <w:spacing w:val="-5"/>
        </w:rPr>
        <w:t xml:space="preserve"> de </w:t>
      </w:r>
      <w:r w:rsidRPr="00AF3608">
        <w:rPr>
          <w:rFonts w:ascii="Calibri" w:hAnsi="Calibri" w:cs="Calibri"/>
          <w:iCs/>
          <w:spacing w:val="-5"/>
        </w:rPr>
        <w:t>nivel strategic, operativ şi tactic,</w:t>
      </w:r>
      <w:r w:rsidRPr="00AF3608">
        <w:rPr>
          <w:rFonts w:ascii="Calibri" w:hAnsi="Calibri" w:cs="Calibri"/>
          <w:bCs/>
          <w:spacing w:val="-5"/>
        </w:rPr>
        <w:t xml:space="preserve"> centre de comunicaţii şi informatică şi unităţi de sprijin în domeniul comunicațiilor şi informaticii/CIS ale structurii de forţe;</w:t>
      </w:r>
    </w:p>
    <w:p w:rsidR="006C64F3" w:rsidRPr="00AF3608" w:rsidRDefault="006C64F3" w:rsidP="003A0B85">
      <w:pPr>
        <w:pStyle w:val="ListParagraph"/>
        <w:numPr>
          <w:ilvl w:val="2"/>
          <w:numId w:val="48"/>
        </w:numPr>
        <w:suppressAutoHyphens/>
        <w:spacing w:before="120" w:line="240" w:lineRule="auto"/>
        <w:contextualSpacing w:val="0"/>
        <w:jc w:val="both"/>
        <w:rPr>
          <w:rFonts w:ascii="Calibri" w:hAnsi="Calibri" w:cs="Calibri"/>
          <w:b/>
        </w:rPr>
      </w:pPr>
      <w:r w:rsidRPr="00AF3608">
        <w:rPr>
          <w:rFonts w:ascii="Calibri" w:hAnsi="Calibri" w:cs="Calibri"/>
          <w:b/>
          <w:spacing w:val="-5"/>
        </w:rPr>
        <w:t>angajare</w:t>
      </w:r>
      <w:r w:rsidRPr="00AF3608">
        <w:rPr>
          <w:rFonts w:ascii="Calibri" w:hAnsi="Calibri" w:cs="Calibri"/>
          <w:spacing w:val="-5"/>
        </w:rPr>
        <w:t>: mari unităţi şi unităţi mecanizate, de infanterie, tancuri, vânători de munte, artilerie, forţe speciale, aviaţie de luptă, elicoptere de luptă, nave de luptă la mare şi fluviu, infanterie marină şi operaţii psihologice;</w:t>
      </w:r>
      <w:r w:rsidRPr="00AF3608">
        <w:rPr>
          <w:rFonts w:ascii="Calibri" w:hAnsi="Calibri" w:cs="Calibri"/>
          <w:b/>
          <w:spacing w:val="-5"/>
        </w:rPr>
        <w:t xml:space="preserve"> </w:t>
      </w:r>
    </w:p>
    <w:p w:rsidR="006C64F3" w:rsidRPr="00AF3608" w:rsidRDefault="006C64F3" w:rsidP="003A0B85">
      <w:pPr>
        <w:pStyle w:val="ListParagraph"/>
        <w:numPr>
          <w:ilvl w:val="2"/>
          <w:numId w:val="48"/>
        </w:numPr>
        <w:suppressAutoHyphens/>
        <w:spacing w:before="120" w:line="240" w:lineRule="auto"/>
        <w:contextualSpacing w:val="0"/>
        <w:jc w:val="both"/>
        <w:rPr>
          <w:rFonts w:ascii="Calibri" w:hAnsi="Calibri" w:cs="Calibri"/>
          <w:b/>
        </w:rPr>
      </w:pPr>
      <w:r w:rsidRPr="00AF3608">
        <w:rPr>
          <w:rFonts w:ascii="Calibri" w:hAnsi="Calibri" w:cs="Calibri"/>
          <w:b/>
          <w:spacing w:val="-5"/>
        </w:rPr>
        <w:t>informaţii</w:t>
      </w:r>
      <w:r w:rsidRPr="00AF3608">
        <w:rPr>
          <w:rFonts w:ascii="Calibri" w:hAnsi="Calibri" w:cs="Calibri"/>
          <w:spacing w:val="-5"/>
        </w:rPr>
        <w:t>: mari unităţi şi unităţi de informaţii militare,  supraveghere şi cercetare;</w:t>
      </w:r>
    </w:p>
    <w:p w:rsidR="006C64F3" w:rsidRPr="00AF3608" w:rsidRDefault="006C64F3" w:rsidP="003A0B85">
      <w:pPr>
        <w:pStyle w:val="ListParagraph"/>
        <w:numPr>
          <w:ilvl w:val="2"/>
          <w:numId w:val="48"/>
        </w:numPr>
        <w:suppressAutoHyphens/>
        <w:spacing w:before="120" w:line="240" w:lineRule="auto"/>
        <w:contextualSpacing w:val="0"/>
        <w:jc w:val="both"/>
        <w:rPr>
          <w:rFonts w:ascii="Calibri" w:hAnsi="Calibri" w:cs="Calibri"/>
          <w:b/>
        </w:rPr>
      </w:pPr>
      <w:r w:rsidRPr="00AF3608">
        <w:rPr>
          <w:rFonts w:ascii="Calibri" w:hAnsi="Calibri" w:cs="Calibri"/>
          <w:b/>
          <w:spacing w:val="-5"/>
        </w:rPr>
        <w:t>proiecţia forţei</w:t>
      </w:r>
      <w:r w:rsidRPr="00AF3608">
        <w:rPr>
          <w:rFonts w:ascii="Calibri" w:hAnsi="Calibri" w:cs="Calibri"/>
          <w:spacing w:val="-5"/>
        </w:rPr>
        <w:t>: mari unităţi şi unităţi de transport aerian tactic, de nave de sprijin  şi de transport terestru;</w:t>
      </w:r>
    </w:p>
    <w:p w:rsidR="006C64F3" w:rsidRPr="00AF3608" w:rsidRDefault="006C64F3" w:rsidP="003A0B85">
      <w:pPr>
        <w:pStyle w:val="ListParagraph"/>
        <w:numPr>
          <w:ilvl w:val="2"/>
          <w:numId w:val="48"/>
        </w:numPr>
        <w:suppressAutoHyphens/>
        <w:spacing w:before="120" w:line="240" w:lineRule="auto"/>
        <w:contextualSpacing w:val="0"/>
        <w:jc w:val="both"/>
        <w:rPr>
          <w:rFonts w:ascii="Calibri" w:hAnsi="Calibri" w:cs="Calibri"/>
          <w:b/>
        </w:rPr>
      </w:pPr>
      <w:r w:rsidRPr="00AF3608">
        <w:rPr>
          <w:rFonts w:ascii="Calibri" w:hAnsi="Calibri" w:cs="Calibri"/>
          <w:b/>
          <w:spacing w:val="-5"/>
        </w:rPr>
        <w:t>protecţie</w:t>
      </w:r>
      <w:r w:rsidRPr="00AF3608">
        <w:rPr>
          <w:rFonts w:ascii="Calibri" w:hAnsi="Calibri" w:cs="Calibri"/>
          <w:spacing w:val="-5"/>
        </w:rPr>
        <w:t>: mari unităţi şi unităţi de rachete sol aer, de apărare antiaeriană, de geniu de luptă, de CBRN, apărare cibernetică, EOD, minare/deminare, poliţie militară şi pentru protecţia demnitarilor militari români şi străini pe teritoriul naţional;</w:t>
      </w:r>
    </w:p>
    <w:p w:rsidR="006C64F3" w:rsidRPr="00AF3608" w:rsidRDefault="006C64F3" w:rsidP="003A0B85">
      <w:pPr>
        <w:pStyle w:val="ListParagraph"/>
        <w:numPr>
          <w:ilvl w:val="2"/>
          <w:numId w:val="48"/>
        </w:numPr>
        <w:suppressAutoHyphens/>
        <w:spacing w:before="120" w:line="240" w:lineRule="auto"/>
        <w:contextualSpacing w:val="0"/>
        <w:jc w:val="both"/>
        <w:rPr>
          <w:rFonts w:ascii="Calibri" w:hAnsi="Calibri" w:cs="Calibri"/>
          <w:b/>
        </w:rPr>
      </w:pPr>
      <w:r w:rsidRPr="00AF3608">
        <w:rPr>
          <w:rFonts w:ascii="Calibri" w:hAnsi="Calibri" w:cs="Calibri"/>
          <w:b/>
          <w:spacing w:val="-5"/>
        </w:rPr>
        <w:t>susţinere</w:t>
      </w:r>
      <w:r w:rsidRPr="00AF3608">
        <w:rPr>
          <w:rFonts w:ascii="Calibri" w:hAnsi="Calibri" w:cs="Calibri"/>
          <w:spacing w:val="-5"/>
        </w:rPr>
        <w:t>: mari unităţi şi unităţi de logistică operaţională şi de susţinere.</w:t>
      </w:r>
    </w:p>
    <w:p w:rsidR="006C64F3" w:rsidRPr="00AF3608" w:rsidRDefault="00206958" w:rsidP="003A0B85">
      <w:pPr>
        <w:pStyle w:val="ListParagraph"/>
        <w:numPr>
          <w:ilvl w:val="1"/>
          <w:numId w:val="48"/>
        </w:numPr>
        <w:suppressAutoHyphens/>
        <w:spacing w:before="120" w:line="240" w:lineRule="auto"/>
        <w:contextualSpacing w:val="0"/>
        <w:jc w:val="both"/>
        <w:rPr>
          <w:rFonts w:ascii="Calibri" w:hAnsi="Calibri" w:cs="Calibri"/>
          <w:b/>
        </w:rPr>
      </w:pPr>
      <w:r w:rsidRPr="00AF3608">
        <w:rPr>
          <w:rFonts w:ascii="Calibri" w:hAnsi="Calibri" w:cs="Calibri"/>
        </w:rPr>
        <w:t>Dezvoltarea şi menţinerea unor capabilităţi de apărare robuste și reziliente, credibile, interoperabile, flexibile şi eficiente, destinate atât îndeplinirii angajamentelor asumate ca urmare a calității de stat membru NATO şi UE cât și descurajării unei posibile agresiuni împotriva României şi articulării unui răspuns adecvat la provocările actuale şi viitoare ale mediului de securitate, inclusiv în spectrul neconvențional, hibrid, reprezintă condiţia esenţială pentru îndeplinirea celorlalte obiective ale politicii de apărare;</w:t>
      </w:r>
    </w:p>
    <w:p w:rsidR="006C64F3" w:rsidRPr="00AF3608" w:rsidRDefault="00206958" w:rsidP="003A0B85">
      <w:pPr>
        <w:pStyle w:val="ListParagraph"/>
        <w:numPr>
          <w:ilvl w:val="1"/>
          <w:numId w:val="48"/>
        </w:numPr>
        <w:suppressAutoHyphens/>
        <w:spacing w:before="120" w:line="240" w:lineRule="auto"/>
        <w:contextualSpacing w:val="0"/>
        <w:jc w:val="both"/>
        <w:rPr>
          <w:rFonts w:ascii="Calibri" w:hAnsi="Calibri" w:cs="Calibri"/>
          <w:b/>
        </w:rPr>
      </w:pPr>
      <w:r w:rsidRPr="00AF3608">
        <w:rPr>
          <w:rFonts w:ascii="Calibri" w:hAnsi="Calibri" w:cs="Calibri"/>
        </w:rPr>
        <w:t xml:space="preserve">În procesul de dezvoltare a capabilităţilor se va urmări cu precădere îndeplinirea cerinţelor rezultate în cadrul procesului NATO de planificare a apărării (NDPP) din Ţintele de Capabilităţi 2021, care se află în procesul de analiză, urmând a fi asumate la nivel politic în cadrul reuniunii ministeriale din octombrie 2021; </w:t>
      </w:r>
    </w:p>
    <w:p w:rsidR="006C64F3" w:rsidRPr="00AF3608" w:rsidRDefault="00206958" w:rsidP="003A0B85">
      <w:pPr>
        <w:pStyle w:val="ListParagraph"/>
        <w:numPr>
          <w:ilvl w:val="1"/>
          <w:numId w:val="48"/>
        </w:numPr>
        <w:suppressAutoHyphens/>
        <w:spacing w:before="120" w:line="240" w:lineRule="auto"/>
        <w:contextualSpacing w:val="0"/>
        <w:jc w:val="both"/>
        <w:rPr>
          <w:rFonts w:ascii="Calibri" w:hAnsi="Calibri" w:cs="Calibri"/>
          <w:b/>
        </w:rPr>
      </w:pPr>
      <w:r w:rsidRPr="00AF3608">
        <w:rPr>
          <w:rFonts w:ascii="Calibri" w:hAnsi="Calibri" w:cs="Calibri"/>
        </w:rPr>
        <w:t>Au fost înființate şi funcționează pe teritoriul naţional Comandamentul Multinațional al Corpului de Armată de Sud-Est/HQ MNC-SE, Comandamentul Diviziei Multinaționale Sud-Est/HQ MND-SE (inclus și în cadrul contribuției la NDPP), Brigada Multinațională Sud-Est (MN BDE-SE) şi Unitatea NATO pentru integrarea forțelor aliate (RO NFIU);</w:t>
      </w:r>
    </w:p>
    <w:p w:rsidR="006C64F3" w:rsidRPr="00AF3608" w:rsidRDefault="00206958" w:rsidP="003A0B85">
      <w:pPr>
        <w:pStyle w:val="ListParagraph"/>
        <w:numPr>
          <w:ilvl w:val="1"/>
          <w:numId w:val="48"/>
        </w:numPr>
        <w:suppressAutoHyphens/>
        <w:spacing w:before="120" w:line="240" w:lineRule="auto"/>
        <w:contextualSpacing w:val="0"/>
        <w:jc w:val="both"/>
        <w:rPr>
          <w:rFonts w:ascii="Calibri" w:hAnsi="Calibri" w:cs="Calibri"/>
          <w:b/>
        </w:rPr>
      </w:pPr>
      <w:r w:rsidRPr="00AF3608">
        <w:rPr>
          <w:rFonts w:ascii="Calibri" w:hAnsi="Calibri" w:cs="Calibri"/>
        </w:rPr>
        <w:t>Un accent important se va pune pe modernizarea/reconfigurarea infrastructurii militare (instrucţie şi cartiruire) în funcţie de potențialele scenarii ale unei agresiuni militare convenționale, inclusiv cu luarea în considerare a operaţionalizării structurilor aliate de comandă şi control constituite pe teritoriul naţional, respectiv a necesităților legate de asigurarea sprijinului naţiunii-gazdă pentru eventuale forţe NATO dislocate în România în situaţia unei agresiuni militare, precum şi pentru pre-</w:t>
      </w:r>
      <w:r w:rsidRPr="00AF3608">
        <w:rPr>
          <w:rFonts w:ascii="Calibri" w:hAnsi="Calibri" w:cs="Calibri"/>
        </w:rPr>
        <w:lastRenderedPageBreak/>
        <w:t>poziționarea acestora. În acest sens, se acordă o atenţie deosebită investiţiilor realizate prin intermediul Programului NATO de Investiţii în Securitate (NSIP);</w:t>
      </w:r>
    </w:p>
    <w:p w:rsidR="006C64F3" w:rsidRPr="00AF3608" w:rsidRDefault="00206958" w:rsidP="003A0B85">
      <w:pPr>
        <w:pStyle w:val="ListParagraph"/>
        <w:numPr>
          <w:ilvl w:val="1"/>
          <w:numId w:val="48"/>
        </w:numPr>
        <w:suppressAutoHyphens/>
        <w:spacing w:before="120" w:line="240" w:lineRule="auto"/>
        <w:contextualSpacing w:val="0"/>
        <w:jc w:val="both"/>
        <w:rPr>
          <w:rFonts w:ascii="Calibri" w:hAnsi="Calibri" w:cs="Calibri"/>
          <w:b/>
        </w:rPr>
      </w:pPr>
      <w:r w:rsidRPr="00AF3608">
        <w:rPr>
          <w:rFonts w:ascii="Calibri" w:hAnsi="Calibri" w:cs="Calibri"/>
        </w:rPr>
        <w:t>Un element important din această perspectivă îl reprezintă proiectele de modernizare a infrastructurii militare pe teritoriul naţional în cadrul Iniţiativei pentru Descurajare Europeană şi în cadrul Setului de Activităţi Europene, respectiv continuarea colaborării în domeniul dotării prin achiziţia unor echipamente declarate EDA de către SUA. Acestea se adaugă planurilor de dezvoltare pe termen lung a infrastructurii bazei aeriene, respectiv proiectele de investiţii în curs de derulare în cadrul Bazei 57 Aeriene Mihail Kogălniceanu – derulate de către NATO prin intermediul NSIP, precum și celor naționale, aprobate prin HG 781/2019 și HG 23/2020;</w:t>
      </w:r>
    </w:p>
    <w:p w:rsidR="006C64F3" w:rsidRPr="00AF3608" w:rsidRDefault="00206958" w:rsidP="003A0B85">
      <w:pPr>
        <w:pStyle w:val="ListParagraph"/>
        <w:numPr>
          <w:ilvl w:val="1"/>
          <w:numId w:val="48"/>
        </w:numPr>
        <w:suppressAutoHyphens/>
        <w:spacing w:before="120" w:line="240" w:lineRule="auto"/>
        <w:contextualSpacing w:val="0"/>
        <w:jc w:val="both"/>
        <w:rPr>
          <w:rFonts w:ascii="Calibri" w:hAnsi="Calibri" w:cs="Calibri"/>
          <w:b/>
        </w:rPr>
      </w:pPr>
      <w:r w:rsidRPr="00AF3608">
        <w:rPr>
          <w:rFonts w:ascii="Calibri" w:hAnsi="Calibri" w:cs="Calibri"/>
        </w:rPr>
        <w:t>Totodată, o atenţie deosebită se va acorda participării la proiectele de dezvoltare a capabilităţilor pentru apărare propuse în contextul PESCO în domeniul apărării la nivelul UE, pentru care România a identificat un potenţial de implicare, în conformitate cu prevederile Memorandumului cu tema „Cooperarea structurată permanentă (PESCO) în domeniul apărării la nivelul UE”, aprobat de CSAT în data de 17.10.2017. Astfel, dintr-un număr de 47 proiecte PESCO aflate în derulare (etapele I, II şi III), România este implicată în 12 proiecte, în două dintre acestea  având statut de naţiune coordonatoare (EU CBRN Defence Training Range şi European Union Network of Diving Centers);</w:t>
      </w:r>
    </w:p>
    <w:p w:rsidR="006C64F3" w:rsidRPr="00AF3608" w:rsidRDefault="00206958" w:rsidP="003A0B85">
      <w:pPr>
        <w:pStyle w:val="ListParagraph"/>
        <w:numPr>
          <w:ilvl w:val="1"/>
          <w:numId w:val="48"/>
        </w:numPr>
        <w:suppressAutoHyphens/>
        <w:spacing w:before="120" w:line="240" w:lineRule="auto"/>
        <w:contextualSpacing w:val="0"/>
        <w:jc w:val="both"/>
        <w:rPr>
          <w:rFonts w:ascii="Calibri" w:hAnsi="Calibri" w:cs="Calibri"/>
          <w:b/>
        </w:rPr>
      </w:pPr>
      <w:r w:rsidRPr="00AF3608">
        <w:rPr>
          <w:rFonts w:ascii="Calibri" w:hAnsi="Calibri" w:cs="Calibri"/>
        </w:rPr>
        <w:t>Creşterea atractivităţii domeniului militar prin îmbunătăţirea sistemului de salarizare şi pensii şi a ofertei de pregătire profesională continuă să fie una dintre direcţiile principale de acţiune pentru creşterea performanței organizaționale;</w:t>
      </w:r>
    </w:p>
    <w:p w:rsidR="00206958" w:rsidRPr="00AF3608" w:rsidRDefault="00206958" w:rsidP="003A0B85">
      <w:pPr>
        <w:pStyle w:val="ListParagraph"/>
        <w:numPr>
          <w:ilvl w:val="1"/>
          <w:numId w:val="48"/>
        </w:numPr>
        <w:suppressAutoHyphens/>
        <w:spacing w:before="120" w:line="240" w:lineRule="auto"/>
        <w:contextualSpacing w:val="0"/>
        <w:jc w:val="both"/>
        <w:rPr>
          <w:rFonts w:ascii="Calibri" w:hAnsi="Calibri" w:cs="Calibri"/>
          <w:b/>
        </w:rPr>
      </w:pPr>
      <w:r w:rsidRPr="00AF3608">
        <w:rPr>
          <w:rFonts w:ascii="Calibri" w:hAnsi="Calibri" w:cs="Calibri"/>
        </w:rPr>
        <w:t>Un alt obiectiv avut în vedere de MApN pentru perioada de referinţă este creşterea calităţii vieţii personalului militar şi civil prin asigurarea de facilităţi locative (inclusiv prin proiectul Locuințe pentru militari şi prin intermediul cadrului legislativ instituit de Legea nr. 101/2019 pentru modificarea şi completarea Legii nr. 80/1995 privind statutul cadrelor militare), precum şi asigurarea asistenţei medicale a personalului armatei şi a cadrelor militare în rezervă şi în retragere.</w:t>
      </w:r>
    </w:p>
    <w:p w:rsidR="00206958" w:rsidRPr="00AF3608" w:rsidRDefault="00206958" w:rsidP="00B723C0">
      <w:pPr>
        <w:suppressAutoHyphens/>
        <w:spacing w:before="120"/>
        <w:jc w:val="both"/>
        <w:rPr>
          <w:rFonts w:ascii="Calibri" w:hAnsi="Calibri" w:cs="Calibri"/>
          <w:lang w:val="ro-RO"/>
        </w:rPr>
      </w:pPr>
    </w:p>
    <w:p w:rsidR="00206958" w:rsidRPr="00AF3608" w:rsidRDefault="00206958" w:rsidP="00B723C0">
      <w:pPr>
        <w:suppressAutoHyphens/>
        <w:spacing w:before="120"/>
        <w:jc w:val="both"/>
        <w:rPr>
          <w:rFonts w:ascii="Calibri" w:hAnsi="Calibri" w:cs="Calibri"/>
          <w:lang w:val="ro-RO"/>
        </w:rPr>
      </w:pPr>
    </w:p>
    <w:p w:rsidR="00036C62" w:rsidRPr="00AF3608" w:rsidRDefault="00036C62" w:rsidP="002715C2">
      <w:pPr>
        <w:shd w:val="clear" w:color="auto" w:fill="A8D08D" w:themeFill="accent6" w:themeFillTint="99"/>
        <w:rPr>
          <w:rFonts w:ascii="Calibri" w:hAnsi="Calibri" w:cs="Arial"/>
          <w:b/>
          <w:lang w:val="ro-RO"/>
        </w:rPr>
      </w:pPr>
      <w:r w:rsidRPr="00AF3608">
        <w:rPr>
          <w:rFonts w:ascii="Calibri" w:hAnsi="Calibri" w:cs="Arial"/>
          <w:b/>
          <w:shd w:val="clear" w:color="auto" w:fill="C5E0B3" w:themeFill="accent6" w:themeFillTint="66"/>
          <w:lang w:val="ro-RO"/>
        </w:rPr>
        <w:t>Politica în domeniul sănătăţii</w:t>
      </w:r>
    </w:p>
    <w:p w:rsidR="00017871" w:rsidRPr="00AF3608" w:rsidRDefault="00017871" w:rsidP="00B723C0">
      <w:pPr>
        <w:tabs>
          <w:tab w:val="left" w:pos="993"/>
        </w:tabs>
        <w:spacing w:before="120"/>
        <w:jc w:val="both"/>
        <w:rPr>
          <w:rFonts w:ascii="Calibri" w:hAnsi="Calibri" w:cs="Calibri"/>
          <w:bCs/>
          <w:lang w:val="ro-RO"/>
        </w:rPr>
      </w:pPr>
      <w:r w:rsidRPr="00AF3608">
        <w:rPr>
          <w:rFonts w:ascii="Calibri" w:hAnsi="Calibri" w:cs="Calibri"/>
          <w:lang w:val="ro-RO" w:eastAsia="en-GB"/>
        </w:rPr>
        <w:t>Intervențiile în domeniul sănătății au ca scop asigurarea unor servicii de sănătate de o calitate și o accesibilitate superioară a acestora pentru toți cetățenii. Creșterea calității serviciilor medicale presupune optimizarea tuturor componentelor legate de acestea, de la infrastructură și dotare pana la actul medical propriu-zis, de la management și sisteme informatice, până la respectarea drepturilor pacientului</w:t>
      </w:r>
      <w:r w:rsidRPr="00AF3608">
        <w:rPr>
          <w:rFonts w:ascii="Calibri" w:hAnsi="Calibri" w:cs="Calibri"/>
          <w:bCs/>
          <w:lang w:val="ro-RO"/>
        </w:rPr>
        <w:t>.</w:t>
      </w:r>
    </w:p>
    <w:p w:rsidR="00017871" w:rsidRPr="00AF3608" w:rsidRDefault="00017871" w:rsidP="00B723C0">
      <w:pPr>
        <w:tabs>
          <w:tab w:val="left" w:pos="993"/>
        </w:tabs>
        <w:spacing w:before="120"/>
        <w:ind w:firstLine="992"/>
        <w:jc w:val="both"/>
        <w:rPr>
          <w:rFonts w:ascii="Calibri" w:hAnsi="Calibri" w:cs="Calibri"/>
          <w:color w:val="538135" w:themeColor="accent6" w:themeShade="BF"/>
          <w:lang w:val="ro-RO"/>
        </w:rPr>
      </w:pPr>
    </w:p>
    <w:p w:rsidR="00017871" w:rsidRPr="00AF3608" w:rsidRDefault="00017871" w:rsidP="00B723C0">
      <w:pPr>
        <w:spacing w:before="120"/>
        <w:jc w:val="both"/>
        <w:rPr>
          <w:rFonts w:ascii="Calibri" w:hAnsi="Calibri" w:cs="Calibri"/>
          <w:color w:val="538135" w:themeColor="accent6" w:themeShade="BF"/>
          <w:lang w:val="ro-RO"/>
        </w:rPr>
      </w:pPr>
      <w:r w:rsidRPr="00AF3608">
        <w:rPr>
          <w:rFonts w:ascii="Calibri" w:hAnsi="Calibri" w:cs="Calibri"/>
          <w:b/>
          <w:color w:val="538135" w:themeColor="accent6" w:themeShade="BF"/>
          <w:lang w:val="ro-RO"/>
        </w:rPr>
        <w:t>PRIORITĂȚI STRATEGICE PE TERMEN MEDIU</w:t>
      </w:r>
    </w:p>
    <w:p w:rsidR="00017871" w:rsidRPr="00AF3608" w:rsidRDefault="00017871" w:rsidP="00B723C0">
      <w:pPr>
        <w:autoSpaceDE w:val="0"/>
        <w:autoSpaceDN w:val="0"/>
        <w:adjustRightInd w:val="0"/>
        <w:spacing w:before="120"/>
        <w:ind w:firstLine="708"/>
        <w:jc w:val="both"/>
        <w:rPr>
          <w:rFonts w:ascii="Calibri" w:hAnsi="Calibri" w:cs="Calibri"/>
          <w:b/>
          <w:color w:val="538135" w:themeColor="accent6" w:themeShade="BF"/>
          <w:lang w:val="ro-RO" w:eastAsia="en-GB"/>
        </w:rPr>
      </w:pPr>
      <w:r w:rsidRPr="00AF3608">
        <w:rPr>
          <w:rFonts w:ascii="Calibri" w:hAnsi="Calibri" w:cs="Calibri"/>
          <w:b/>
          <w:color w:val="538135" w:themeColor="accent6" w:themeShade="BF"/>
          <w:lang w:val="ro-RO" w:eastAsia="en-GB"/>
        </w:rPr>
        <w:t>Obiectiv general</w:t>
      </w:r>
    </w:p>
    <w:p w:rsidR="00017871" w:rsidRPr="00AF3608" w:rsidRDefault="00017871" w:rsidP="00B723C0">
      <w:pPr>
        <w:autoSpaceDE w:val="0"/>
        <w:autoSpaceDN w:val="0"/>
        <w:adjustRightInd w:val="0"/>
        <w:spacing w:before="120"/>
        <w:jc w:val="both"/>
        <w:rPr>
          <w:rFonts w:ascii="Calibri" w:hAnsi="Calibri" w:cs="Calibri"/>
          <w:lang w:val="ro-RO" w:eastAsia="en-GB"/>
        </w:rPr>
      </w:pPr>
      <w:r w:rsidRPr="00AF3608">
        <w:rPr>
          <w:rFonts w:ascii="Calibri" w:hAnsi="Calibri" w:cs="Calibri"/>
          <w:lang w:val="ro-RO" w:eastAsia="en-GB"/>
        </w:rPr>
        <w:t>Un sistem de sănătate care sprijină şi oferă posibilitatea cetăţenilor să atingă o stare cât mai bună de sănătate şi care contribuie la creşterea calităţii vieţii acestora.</w:t>
      </w:r>
    </w:p>
    <w:p w:rsidR="00017871" w:rsidRPr="00AF3608" w:rsidRDefault="00017871" w:rsidP="00B723C0">
      <w:pPr>
        <w:autoSpaceDE w:val="0"/>
        <w:autoSpaceDN w:val="0"/>
        <w:adjustRightInd w:val="0"/>
        <w:spacing w:before="120"/>
        <w:ind w:firstLine="741"/>
        <w:jc w:val="both"/>
        <w:rPr>
          <w:rFonts w:ascii="Calibri" w:hAnsi="Calibri" w:cs="Calibri"/>
          <w:b/>
          <w:color w:val="538135" w:themeColor="accent6" w:themeShade="BF"/>
          <w:lang w:val="ro-RO" w:eastAsia="en-GB"/>
        </w:rPr>
      </w:pPr>
      <w:r w:rsidRPr="00AF3608">
        <w:rPr>
          <w:rFonts w:ascii="Calibri" w:hAnsi="Calibri" w:cs="Calibri"/>
          <w:b/>
          <w:color w:val="538135" w:themeColor="accent6" w:themeShade="BF"/>
          <w:lang w:val="ro-RO" w:eastAsia="en-GB"/>
        </w:rPr>
        <w:t>Obiective specifice:</w:t>
      </w:r>
    </w:p>
    <w:p w:rsidR="00017871" w:rsidRPr="00AF3608" w:rsidRDefault="00017871" w:rsidP="00B723C0">
      <w:pPr>
        <w:autoSpaceDE w:val="0"/>
        <w:autoSpaceDN w:val="0"/>
        <w:adjustRightInd w:val="0"/>
        <w:spacing w:before="120"/>
        <w:jc w:val="both"/>
        <w:rPr>
          <w:rFonts w:ascii="Calibri" w:hAnsi="Calibri" w:cs="Calibri"/>
          <w:lang w:val="ro-RO" w:eastAsia="en-GB"/>
        </w:rPr>
      </w:pPr>
      <w:r w:rsidRPr="00AF3608">
        <w:rPr>
          <w:rFonts w:ascii="Calibri" w:hAnsi="Calibri" w:cs="Calibri"/>
          <w:lang w:val="ro-RO" w:eastAsia="en-GB"/>
        </w:rPr>
        <w:t xml:space="preserve">Unul dintre obiectivele fundamentale pe care şi le asumă şi promovează Guvernul României este continuarea reformei sectorului de sănătate prin implementarea Strategiei Naţionale de Sănătate </w:t>
      </w:r>
      <w:r w:rsidRPr="00AF3608">
        <w:rPr>
          <w:rFonts w:ascii="Calibri" w:hAnsi="Calibri" w:cs="Calibri"/>
          <w:lang w:val="ro-RO" w:eastAsia="en-GB"/>
        </w:rPr>
        <w:lastRenderedPageBreak/>
        <w:t>2014-2020. Acesta presupune o serie de reforme în sistemul public de asistenţă medicală, esenţiale pentru îmbunătățirea stării de sănătate a populației, creşterea calităţii şi eficienţei serviciilor de sănătate şi îmbunătăţirea accesului populaţiei la îngrijirile de sănătate. Politicile se vor reflecta în creșterea speranței de viață, reducerea poverii îmbolnăvirilor, dizabilității și a deceselor premature și, implicit, în creșterea calității vieții.</w:t>
      </w:r>
    </w:p>
    <w:p w:rsidR="00017871" w:rsidRPr="00AF3608" w:rsidRDefault="00017871" w:rsidP="00B723C0">
      <w:pPr>
        <w:autoSpaceDE w:val="0"/>
        <w:autoSpaceDN w:val="0"/>
        <w:adjustRightInd w:val="0"/>
        <w:spacing w:before="120"/>
        <w:jc w:val="both"/>
        <w:rPr>
          <w:rFonts w:ascii="Calibri" w:hAnsi="Calibri" w:cs="Calibri"/>
          <w:lang w:val="ro-RO" w:eastAsia="en-GB"/>
        </w:rPr>
      </w:pPr>
      <w:r w:rsidRPr="00AF3608">
        <w:rPr>
          <w:rFonts w:ascii="Calibri" w:hAnsi="Calibri" w:cs="Calibri"/>
          <w:lang w:val="ro-RO" w:eastAsia="en-GB"/>
        </w:rPr>
        <w:t xml:space="preserve">Stabilirea priorităților are considerente strategice şi este influențată în principal de decalajele în ceea ce privește indicatorii de sănătate și inechitatea din domeniul sănătății: mortalitatea maternă și infantilă, bolile transmisibile principale (de exemplu TB, HIV/SIDA), precum și principalele cinci patologii cronice care pot fi diagnosticate şi tratate de timpuriu (cancerul, bolile cardiovasculare, diabetul, tulburările mintale, bolile rare), cunoscute ca având un impact mai puternic asupra persoanelor celor mai sărace și vulnerabile. Accesul mai bun la serviciile de sănătate, îndeosebi pentru segmentele cele mai vulnerabile ale populației, împreună cu reducerea costurilor administrative, inclusiv prin măsuri de reabilitare şi modernizare a infrastructurii de sănătate, și alături de capacitatea administrativă îmbunătățită reprezintă obiective strategice care vizează maximizarea potențialului sectorului sanitar de a contribui într-un mod durabil din punct de vedere financiar la promovarea coeziunii sociale prin sănătate și servicii de sănătate. </w:t>
      </w:r>
    </w:p>
    <w:p w:rsidR="00017871" w:rsidRPr="00AF3608" w:rsidRDefault="00017871" w:rsidP="00B723C0">
      <w:pPr>
        <w:autoSpaceDE w:val="0"/>
        <w:autoSpaceDN w:val="0"/>
        <w:adjustRightInd w:val="0"/>
        <w:spacing w:before="120"/>
        <w:jc w:val="both"/>
        <w:rPr>
          <w:rFonts w:ascii="Calibri" w:hAnsi="Calibri" w:cs="Calibri"/>
          <w:lang w:val="ro-RO" w:eastAsia="en-GB"/>
        </w:rPr>
      </w:pPr>
      <w:r w:rsidRPr="00AF3608">
        <w:rPr>
          <w:rFonts w:ascii="Calibri" w:hAnsi="Calibri" w:cs="Calibri"/>
          <w:lang w:val="ro-RO" w:eastAsia="en-GB"/>
        </w:rPr>
        <w:t>România şi-a stabilit pe termen scurt, mediu şi lung ariile strategice de dezvoltare pentru sectorul de sănătate astfel:</w:t>
      </w:r>
    </w:p>
    <w:p w:rsidR="007410E5" w:rsidRPr="00AF3608" w:rsidRDefault="007410E5" w:rsidP="00B723C0">
      <w:pPr>
        <w:autoSpaceDE w:val="0"/>
        <w:autoSpaceDN w:val="0"/>
        <w:adjustRightInd w:val="0"/>
        <w:spacing w:before="120"/>
        <w:jc w:val="both"/>
        <w:rPr>
          <w:rFonts w:ascii="Calibri" w:hAnsi="Calibri" w:cs="Calibri"/>
          <w:lang w:val="ro-RO" w:eastAsia="en-GB"/>
        </w:rPr>
      </w:pPr>
    </w:p>
    <w:tbl>
      <w:tblPr>
        <w:tblW w:w="9559" w:type="dxa"/>
        <w:tblInd w:w="222" w:type="dxa"/>
        <w:tblLook w:val="01E0" w:firstRow="1" w:lastRow="1" w:firstColumn="1" w:lastColumn="1" w:noHBand="0" w:noVBand="0"/>
      </w:tblPr>
      <w:tblGrid>
        <w:gridCol w:w="2324"/>
        <w:gridCol w:w="7235"/>
      </w:tblGrid>
      <w:tr w:rsidR="00017871" w:rsidRPr="00AF3608" w:rsidTr="00017871">
        <w:trPr>
          <w:trHeight w:val="170"/>
        </w:trPr>
        <w:tc>
          <w:tcPr>
            <w:tcW w:w="9559" w:type="dxa"/>
            <w:gridSpan w:val="2"/>
            <w:shd w:val="clear" w:color="auto" w:fill="auto"/>
            <w:vAlign w:val="center"/>
          </w:tcPr>
          <w:p w:rsidR="00017871" w:rsidRPr="00AF3608" w:rsidRDefault="00017871" w:rsidP="00B723C0">
            <w:pPr>
              <w:pStyle w:val="Default"/>
              <w:tabs>
                <w:tab w:val="left" w:pos="72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737"/>
              <w:rPr>
                <w:rFonts w:ascii="Calibri" w:hAnsi="Calibri" w:cs="Calibri"/>
                <w:b/>
                <w:bCs/>
                <w:lang w:val="ro-RO"/>
              </w:rPr>
            </w:pPr>
            <w:r w:rsidRPr="00AF3608">
              <w:rPr>
                <w:rFonts w:ascii="Calibri" w:hAnsi="Calibri" w:cs="Calibri"/>
                <w:b/>
                <w:bCs/>
                <w:lang w:val="ro-RO"/>
              </w:rPr>
              <w:t>A. SĂNĂTATE PUBLICĂ</w:t>
            </w:r>
          </w:p>
          <w:p w:rsidR="00017871" w:rsidRPr="00AF3608" w:rsidRDefault="00017871" w:rsidP="00B723C0">
            <w:pPr>
              <w:pStyle w:val="Default"/>
              <w:tabs>
                <w:tab w:val="left" w:pos="72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737"/>
              <w:rPr>
                <w:rFonts w:ascii="Calibri" w:hAnsi="Calibri" w:cs="Calibri"/>
                <w:b/>
                <w:bCs/>
                <w:i/>
                <w:lang w:val="ro-RO"/>
              </w:rPr>
            </w:pPr>
          </w:p>
        </w:tc>
      </w:tr>
      <w:tr w:rsidR="00017871" w:rsidRPr="00AF3608" w:rsidTr="00017871">
        <w:trPr>
          <w:trHeight w:val="170"/>
        </w:trPr>
        <w:tc>
          <w:tcPr>
            <w:tcW w:w="2324" w:type="dxa"/>
            <w:vMerge w:val="restart"/>
            <w:shd w:val="clear" w:color="auto" w:fill="auto"/>
            <w:vAlign w:val="center"/>
          </w:tcPr>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ascii="Calibri" w:hAnsi="Calibri" w:cs="Calibri"/>
                <w:color w:val="538135" w:themeColor="accent6" w:themeShade="BF"/>
                <w:lang w:val="ro-RO"/>
              </w:rPr>
            </w:pPr>
          </w:p>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ascii="Calibri" w:hAnsi="Calibri" w:cs="Calibri"/>
                <w:color w:val="538135" w:themeColor="accent6" w:themeShade="BF"/>
                <w:lang w:val="ro-RO"/>
              </w:rPr>
            </w:pPr>
          </w:p>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ascii="Calibri" w:hAnsi="Calibri" w:cs="Calibri"/>
                <w:color w:val="538135" w:themeColor="accent6" w:themeShade="BF"/>
                <w:lang w:val="ro-RO"/>
              </w:rPr>
            </w:pPr>
          </w:p>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ascii="Calibri" w:hAnsi="Calibri" w:cs="Calibri"/>
                <w:color w:val="538135" w:themeColor="accent6" w:themeShade="BF"/>
                <w:lang w:val="ro-RO"/>
              </w:rPr>
            </w:pPr>
          </w:p>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ascii="Calibri" w:hAnsi="Calibri" w:cs="Calibri"/>
                <w:color w:val="538135" w:themeColor="accent6" w:themeShade="BF"/>
                <w:lang w:val="ro-RO"/>
              </w:rPr>
            </w:pPr>
            <w:r w:rsidRPr="00AF3608">
              <w:rPr>
                <w:rFonts w:ascii="Calibri" w:hAnsi="Calibri" w:cs="Calibri"/>
                <w:color w:val="538135" w:themeColor="accent6" w:themeShade="BF"/>
                <w:lang w:val="ro-RO"/>
              </w:rPr>
              <w:t>Măsurile aferente acestora vizează:</w:t>
            </w:r>
          </w:p>
          <w:p w:rsidR="00017871" w:rsidRPr="00AF3608" w:rsidRDefault="00017871" w:rsidP="00B723C0">
            <w:pPr>
              <w:spacing w:before="120"/>
              <w:rPr>
                <w:rFonts w:ascii="Calibri" w:hAnsi="Calibri" w:cs="Calibri"/>
                <w:color w:val="0000FF"/>
                <w:lang w:val="ro-RO"/>
              </w:rPr>
            </w:pPr>
          </w:p>
        </w:tc>
        <w:tc>
          <w:tcPr>
            <w:tcW w:w="7235" w:type="dxa"/>
            <w:shd w:val="clear" w:color="auto" w:fill="auto"/>
            <w:vAlign w:val="center"/>
          </w:tcPr>
          <w:p w:rsidR="00017871" w:rsidRPr="00AF3608" w:rsidRDefault="00017871" w:rsidP="00B723C0">
            <w:pPr>
              <w:pStyle w:val="Default"/>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jc w:val="both"/>
              <w:rPr>
                <w:rFonts w:ascii="Calibri" w:hAnsi="Calibri" w:cs="Calibri"/>
                <w:color w:val="auto"/>
                <w:lang w:val="ro-RO"/>
              </w:rPr>
            </w:pPr>
            <w:r w:rsidRPr="00AF3608">
              <w:rPr>
                <w:rFonts w:ascii="Calibri" w:hAnsi="Calibri" w:cs="Calibri"/>
                <w:color w:val="auto"/>
                <w:lang w:val="ro-RO"/>
              </w:rPr>
              <w:sym w:font="Symbol" w:char="F0B7"/>
            </w:r>
            <w:r w:rsidRPr="00AF3608">
              <w:rPr>
                <w:rFonts w:ascii="Calibri" w:hAnsi="Calibri" w:cs="Calibri"/>
                <w:color w:val="auto"/>
                <w:lang w:val="ro-RO"/>
              </w:rPr>
              <w:t xml:space="preserve">  Îmbunătăţirea stării de sănătate și nutriție a femei şi copilului, inclusiv pentru grupuri dezavantajate și vulnerabile – intervenții pentru prevenirea malnutriției, obezității, a deceselor neonatale prin creșterea accesului la îngrijiri adecvate; servicii de planificare familială;</w:t>
            </w:r>
          </w:p>
        </w:tc>
      </w:tr>
      <w:tr w:rsidR="00017871" w:rsidRPr="00AF3608" w:rsidTr="00017871">
        <w:trPr>
          <w:trHeight w:val="170"/>
        </w:trPr>
        <w:tc>
          <w:tcPr>
            <w:tcW w:w="2324" w:type="dxa"/>
            <w:vMerge/>
            <w:shd w:val="clear" w:color="auto" w:fill="auto"/>
            <w:vAlign w:val="center"/>
          </w:tcPr>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ascii="Calibri" w:hAnsi="Calibri" w:cs="Calibri"/>
                <w:color w:val="000080"/>
                <w:lang w:val="ro-RO"/>
              </w:rPr>
            </w:pPr>
          </w:p>
        </w:tc>
        <w:tc>
          <w:tcPr>
            <w:tcW w:w="7235" w:type="dxa"/>
            <w:shd w:val="clear" w:color="auto" w:fill="auto"/>
            <w:vAlign w:val="center"/>
          </w:tcPr>
          <w:p w:rsidR="00017871" w:rsidRPr="00AF3608" w:rsidRDefault="00017871" w:rsidP="00120AA6">
            <w:pPr>
              <w:numPr>
                <w:ilvl w:val="0"/>
                <w:numId w:val="21"/>
              </w:numPr>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0" w:firstLine="360"/>
              <w:jc w:val="both"/>
              <w:rPr>
                <w:rFonts w:ascii="Calibri" w:hAnsi="Calibri" w:cs="Calibri"/>
                <w:lang w:val="ro-RO"/>
              </w:rPr>
            </w:pPr>
            <w:r w:rsidRPr="00AF3608">
              <w:rPr>
                <w:rFonts w:ascii="Calibri" w:hAnsi="Calibri" w:cs="Calibri"/>
                <w:lang w:val="ro-RO"/>
              </w:rPr>
              <w:t>Elaborarea, finanțarea, implementarea programelor profilactice pentru copii pentru toate ariile terapeutice, prin introducerea consultațiilor obligatorii pentru copii de vârsta 5—9 ani prin rețeaua de medicină școlară sau prin cabinetele de medicină;</w:t>
            </w:r>
          </w:p>
        </w:tc>
      </w:tr>
      <w:tr w:rsidR="00017871" w:rsidRPr="00AF3608" w:rsidTr="00017871">
        <w:trPr>
          <w:trHeight w:val="170"/>
        </w:trPr>
        <w:tc>
          <w:tcPr>
            <w:tcW w:w="2324" w:type="dxa"/>
            <w:vMerge/>
            <w:shd w:val="clear" w:color="auto" w:fill="auto"/>
            <w:vAlign w:val="center"/>
          </w:tcPr>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ascii="Calibri" w:hAnsi="Calibri" w:cs="Calibri"/>
                <w:color w:val="000080"/>
                <w:lang w:val="ro-RO"/>
              </w:rPr>
            </w:pPr>
          </w:p>
        </w:tc>
        <w:tc>
          <w:tcPr>
            <w:tcW w:w="7235" w:type="dxa"/>
            <w:shd w:val="clear" w:color="auto" w:fill="auto"/>
            <w:vAlign w:val="center"/>
          </w:tcPr>
          <w:p w:rsidR="00017871" w:rsidRPr="00AF3608" w:rsidRDefault="00017871" w:rsidP="00120AA6">
            <w:pPr>
              <w:numPr>
                <w:ilvl w:val="0"/>
                <w:numId w:val="21"/>
              </w:numPr>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0" w:firstLine="360"/>
              <w:jc w:val="both"/>
              <w:rPr>
                <w:rFonts w:ascii="Calibri" w:hAnsi="Calibri" w:cs="Calibri"/>
                <w:lang w:val="ro-RO"/>
              </w:rPr>
            </w:pPr>
            <w:r w:rsidRPr="00AF3608">
              <w:rPr>
                <w:rFonts w:ascii="Calibri" w:hAnsi="Calibri" w:cs="Calibri"/>
                <w:lang w:val="ro-RO"/>
              </w:rPr>
              <w:t>Creșterea capacității de screening neonatal pentru depistarea malformațiilor congenitale, risc genetic, erorilor înnăscute de metabolism, deficiențelor senzoriale și fibrozei chistice;</w:t>
            </w:r>
          </w:p>
        </w:tc>
      </w:tr>
      <w:tr w:rsidR="00017871" w:rsidRPr="00AF3608" w:rsidTr="00017871">
        <w:trPr>
          <w:trHeight w:val="167"/>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Cs/>
                <w:i/>
                <w:color w:val="0000FF"/>
                <w:lang w:val="ro-RO" w:eastAsia="en-GB"/>
              </w:rPr>
            </w:pPr>
          </w:p>
        </w:tc>
        <w:tc>
          <w:tcPr>
            <w:tcW w:w="7235" w:type="dxa"/>
            <w:shd w:val="clear" w:color="auto" w:fill="auto"/>
            <w:vAlign w:val="center"/>
          </w:tcPr>
          <w:p w:rsidR="00017871" w:rsidRPr="00AF3608" w:rsidRDefault="00017871" w:rsidP="00B723C0">
            <w:pPr>
              <w:pStyle w:val="Default"/>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jc w:val="both"/>
              <w:rPr>
                <w:rFonts w:ascii="Calibri" w:hAnsi="Calibri" w:cs="Calibri"/>
                <w:color w:val="auto"/>
                <w:lang w:val="ro-RO"/>
              </w:rPr>
            </w:pPr>
            <w:r w:rsidRPr="00AF3608">
              <w:rPr>
                <w:rFonts w:ascii="Calibri" w:hAnsi="Calibri" w:cs="Calibri"/>
                <w:color w:val="auto"/>
                <w:lang w:val="ro-RO"/>
              </w:rPr>
              <w:sym w:font="Symbol" w:char="F0B7"/>
            </w:r>
            <w:r w:rsidRPr="00AF3608">
              <w:rPr>
                <w:rFonts w:ascii="Calibri" w:hAnsi="Calibri" w:cs="Calibri"/>
                <w:color w:val="auto"/>
                <w:lang w:val="ro-RO"/>
              </w:rPr>
              <w:t xml:space="preserve">  Reducerea incidenței bolilor netransmisibile care constituie actualmente cauzele majore de morbiditate, dizabilitate și mortalitate - boli cardiovasculare și cerebrovasculare, cancere, bolile sistemului digestiv, aparatului respirator, diabet, prin măsuri precum: evaluarea riscurilor și supravegherea activă a populației prin servicii de prevenție, depistarea în faze incipiente de boală și intervenții de screening organizat, extinderea și diversificarea serviciilor care pot fi oferite la nivelul medicinei de familie și de specialitate, dezvoltarea/îmbunătățirea rețelei de screening pentru cancer, prin crearea de centre suplimentare de screening pentru cancer, achiziționarea a opt unități mobile pentru screeningul cancerului și îmbunătățirea capacității tehnice a laboratoarelor regionale de patologie și citologie;</w:t>
            </w:r>
          </w:p>
        </w:tc>
      </w:tr>
      <w:tr w:rsidR="00017871" w:rsidRPr="00AF3608" w:rsidTr="00017871">
        <w:trPr>
          <w:trHeight w:val="167"/>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Cs/>
                <w:i/>
                <w:color w:val="0000FF"/>
                <w:lang w:val="ro-RO" w:eastAsia="en-GB"/>
              </w:rPr>
            </w:pPr>
          </w:p>
        </w:tc>
        <w:tc>
          <w:tcPr>
            <w:tcW w:w="7235" w:type="dxa"/>
            <w:shd w:val="clear" w:color="auto" w:fill="auto"/>
            <w:vAlign w:val="center"/>
          </w:tcPr>
          <w:p w:rsidR="00017871" w:rsidRPr="00AF3608" w:rsidRDefault="00017871" w:rsidP="00B723C0">
            <w:pPr>
              <w:pStyle w:val="Default"/>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jc w:val="both"/>
              <w:rPr>
                <w:rFonts w:ascii="Calibri" w:hAnsi="Calibri" w:cs="Calibri"/>
                <w:color w:val="auto"/>
                <w:lang w:val="ro-RO"/>
              </w:rPr>
            </w:pPr>
            <w:r w:rsidRPr="00AF3608">
              <w:rPr>
                <w:rFonts w:ascii="Calibri" w:hAnsi="Calibri" w:cs="Calibri"/>
                <w:color w:val="auto"/>
                <w:lang w:val="ro-RO"/>
              </w:rPr>
              <w:sym w:font="Symbol" w:char="F0B7"/>
            </w:r>
            <w:r w:rsidRPr="00AF3608">
              <w:rPr>
                <w:rFonts w:ascii="Calibri" w:hAnsi="Calibri" w:cs="Calibri"/>
                <w:color w:val="auto"/>
                <w:lang w:val="ro-RO"/>
              </w:rPr>
              <w:t xml:space="preserve">  Reducerea mortalității și morbidității cauzate de bolile transmisibile, a impactului lor pentru individ și societate, iar pe termen lung diminuarea semnificativă a incidenței lor;</w:t>
            </w:r>
          </w:p>
        </w:tc>
      </w:tr>
      <w:tr w:rsidR="00017871" w:rsidRPr="00AF3608" w:rsidTr="00017871">
        <w:trPr>
          <w:trHeight w:val="167"/>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Cs/>
                <w:i/>
                <w:color w:val="0000FF"/>
                <w:lang w:val="ro-RO" w:eastAsia="en-GB"/>
              </w:rPr>
            </w:pPr>
          </w:p>
        </w:tc>
        <w:tc>
          <w:tcPr>
            <w:tcW w:w="7235" w:type="dxa"/>
            <w:shd w:val="clear" w:color="auto" w:fill="auto"/>
            <w:vAlign w:val="center"/>
          </w:tcPr>
          <w:p w:rsidR="00017871" w:rsidRPr="00AF3608" w:rsidRDefault="00017871" w:rsidP="00B723C0">
            <w:pPr>
              <w:pStyle w:val="Default"/>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jc w:val="both"/>
              <w:rPr>
                <w:rFonts w:ascii="Calibri" w:hAnsi="Calibri" w:cs="Calibri"/>
                <w:color w:val="auto"/>
                <w:lang w:val="ro-RO"/>
              </w:rPr>
            </w:pPr>
            <w:r w:rsidRPr="00AF3608">
              <w:rPr>
                <w:rFonts w:ascii="Calibri" w:hAnsi="Calibri" w:cs="Calibri"/>
                <w:color w:val="auto"/>
                <w:lang w:val="ro-RO"/>
              </w:rPr>
              <w:sym w:font="Symbol" w:char="F0B7"/>
            </w:r>
            <w:r w:rsidRPr="00AF3608">
              <w:rPr>
                <w:rFonts w:ascii="Calibri" w:hAnsi="Calibri" w:cs="Calibri"/>
                <w:color w:val="auto"/>
                <w:lang w:val="ro-RO"/>
              </w:rPr>
              <w:t xml:space="preserve">   Elaborarea Legii prevenției prin care populația să fie informată asupra efectelor nocive ale unor alimente, produse sau obiceiuri alimentare sau comportamentale;</w:t>
            </w:r>
          </w:p>
        </w:tc>
      </w:tr>
      <w:tr w:rsidR="00017871" w:rsidRPr="00AF3608" w:rsidTr="00017871">
        <w:trPr>
          <w:trHeight w:val="167"/>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Cs/>
                <w:i/>
                <w:color w:val="0000FF"/>
                <w:lang w:val="ro-RO" w:eastAsia="en-GB"/>
              </w:rPr>
            </w:pPr>
          </w:p>
        </w:tc>
        <w:tc>
          <w:tcPr>
            <w:tcW w:w="7235" w:type="dxa"/>
            <w:shd w:val="clear" w:color="auto" w:fill="auto"/>
            <w:vAlign w:val="center"/>
          </w:tcPr>
          <w:p w:rsidR="00017871" w:rsidRPr="00AF3608" w:rsidRDefault="00017871" w:rsidP="00B723C0">
            <w:pPr>
              <w:pStyle w:val="Default"/>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jc w:val="both"/>
              <w:rPr>
                <w:rFonts w:ascii="Calibri" w:hAnsi="Calibri" w:cs="Calibri"/>
                <w:color w:val="auto"/>
                <w:lang w:val="ro-RO"/>
              </w:rPr>
            </w:pPr>
            <w:r w:rsidRPr="00AF3608">
              <w:rPr>
                <w:rFonts w:ascii="Calibri" w:hAnsi="Calibri" w:cs="Calibri"/>
                <w:color w:val="auto"/>
                <w:lang w:val="ro-RO"/>
              </w:rPr>
              <w:sym w:font="Symbol" w:char="F0B7"/>
            </w:r>
            <w:r w:rsidRPr="00AF3608">
              <w:rPr>
                <w:rFonts w:ascii="Calibri" w:hAnsi="Calibri" w:cs="Calibri"/>
                <w:color w:val="auto"/>
                <w:lang w:val="ro-RO"/>
              </w:rPr>
              <w:t xml:space="preserve">   Adoptarea  Legii vaccinării, care va cuprinde obligativitatea vaccinării populației, dar și obligația autorităților, în primul rând a Ministerului Sănătății, de a desfășura campanii de informare, de a asigura aprovizionarea cu vaccinuri, de a garanta calitatea și siguranța vaccinării conform standardelor europene. În cadrul legii vaccinarii va fi stabilită și obligația Ministerului Sănătății de a elabora și aplica un plan multianual de vaccinări și implicit, un plan multianual de achiziții de vaccinuri.</w:t>
            </w:r>
          </w:p>
        </w:tc>
      </w:tr>
      <w:tr w:rsidR="00017871" w:rsidRPr="00AF3608" w:rsidTr="00017871">
        <w:trPr>
          <w:trHeight w:val="167"/>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Cs/>
                <w:i/>
                <w:color w:val="0000FF"/>
                <w:lang w:val="ro-RO" w:eastAsia="en-GB"/>
              </w:rPr>
            </w:pPr>
          </w:p>
        </w:tc>
        <w:tc>
          <w:tcPr>
            <w:tcW w:w="7235" w:type="dxa"/>
            <w:shd w:val="clear" w:color="auto" w:fill="auto"/>
            <w:vAlign w:val="center"/>
          </w:tcPr>
          <w:p w:rsidR="00017871" w:rsidRPr="00AF3608" w:rsidRDefault="00017871" w:rsidP="00B723C0">
            <w:pPr>
              <w:pStyle w:val="Default"/>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jc w:val="both"/>
              <w:rPr>
                <w:rFonts w:ascii="Calibri" w:hAnsi="Calibri" w:cs="Calibri"/>
                <w:color w:val="auto"/>
                <w:lang w:val="ro-RO"/>
              </w:rPr>
            </w:pPr>
            <w:r w:rsidRPr="00AF3608">
              <w:rPr>
                <w:rFonts w:ascii="Calibri" w:hAnsi="Calibri" w:cs="Calibri"/>
                <w:color w:val="auto"/>
                <w:lang w:val="ro-RO"/>
              </w:rPr>
              <w:sym w:font="Symbol" w:char="F0B7"/>
            </w:r>
            <w:r w:rsidRPr="00AF3608">
              <w:rPr>
                <w:rFonts w:ascii="Calibri" w:hAnsi="Calibri" w:cs="Calibri"/>
                <w:color w:val="auto"/>
                <w:lang w:val="ro-RO"/>
              </w:rPr>
              <w:t xml:space="preserve">  </w:t>
            </w:r>
            <w:r w:rsidRPr="00AF3608">
              <w:rPr>
                <w:rFonts w:ascii="Calibri" w:hAnsi="Calibri" w:cs="Calibri"/>
                <w:lang w:val="ro-RO"/>
              </w:rPr>
              <w:t>Creșterea capacității de screening a bolilor infecțioase transmisibile (inclusiv cu transmitere sexuală): hepatită, HIV, tuberculoză;</w:t>
            </w:r>
          </w:p>
        </w:tc>
      </w:tr>
      <w:tr w:rsidR="00017871" w:rsidRPr="00AF3608" w:rsidTr="00017871">
        <w:trPr>
          <w:trHeight w:val="167"/>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Cs/>
                <w:i/>
                <w:color w:val="0000FF"/>
                <w:lang w:val="ro-RO" w:eastAsia="en-GB"/>
              </w:rPr>
            </w:pPr>
          </w:p>
        </w:tc>
        <w:tc>
          <w:tcPr>
            <w:tcW w:w="7235" w:type="dxa"/>
            <w:shd w:val="clear" w:color="auto" w:fill="auto"/>
          </w:tcPr>
          <w:p w:rsidR="00017871" w:rsidRPr="00AF3608" w:rsidRDefault="00017871" w:rsidP="00B723C0">
            <w:pPr>
              <w:pStyle w:val="Default"/>
              <w:tabs>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jc w:val="both"/>
              <w:rPr>
                <w:rFonts w:ascii="Calibri" w:hAnsi="Calibri" w:cs="Calibri"/>
                <w:lang w:val="ro-RO"/>
              </w:rPr>
            </w:pPr>
            <w:r w:rsidRPr="00AF3608">
              <w:rPr>
                <w:rFonts w:ascii="Calibri" w:hAnsi="Calibri" w:cs="Calibri"/>
                <w:lang w:val="ro-RO"/>
              </w:rPr>
              <w:sym w:font="Symbol" w:char="F0B7"/>
            </w:r>
            <w:r w:rsidRPr="00AF3608">
              <w:rPr>
                <w:rFonts w:ascii="Calibri" w:hAnsi="Calibri" w:cs="Calibri"/>
                <w:lang w:val="ro-RO"/>
              </w:rPr>
              <w:t xml:space="preserve"> Sănătatea în relaţie cu mediul;</w:t>
            </w:r>
          </w:p>
        </w:tc>
      </w:tr>
      <w:tr w:rsidR="00017871" w:rsidRPr="00AF3608" w:rsidTr="00017871">
        <w:trPr>
          <w:trHeight w:val="167"/>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Cs/>
                <w:i/>
                <w:lang w:val="ro-RO" w:eastAsia="en-GB"/>
              </w:rPr>
            </w:pPr>
          </w:p>
        </w:tc>
        <w:tc>
          <w:tcPr>
            <w:tcW w:w="7235" w:type="dxa"/>
            <w:shd w:val="clear" w:color="auto" w:fill="auto"/>
          </w:tcPr>
          <w:p w:rsidR="00017871" w:rsidRPr="00AF3608" w:rsidRDefault="00017871" w:rsidP="00B723C0">
            <w:pPr>
              <w:pStyle w:val="Default"/>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jc w:val="both"/>
              <w:rPr>
                <w:rFonts w:ascii="Calibri" w:hAnsi="Calibri" w:cs="Calibri"/>
                <w:color w:val="auto"/>
                <w:lang w:val="ro-RO"/>
              </w:rPr>
            </w:pPr>
            <w:r w:rsidRPr="00AF3608">
              <w:rPr>
                <w:rFonts w:ascii="Calibri" w:hAnsi="Calibri" w:cs="Calibri"/>
                <w:color w:val="auto"/>
                <w:lang w:val="ro-RO"/>
              </w:rPr>
              <w:sym w:font="Symbol" w:char="F0B7"/>
            </w:r>
            <w:r w:rsidRPr="00AF3608">
              <w:rPr>
                <w:rFonts w:ascii="Calibri" w:hAnsi="Calibri" w:cs="Calibri"/>
                <w:color w:val="auto"/>
                <w:lang w:val="ro-RO"/>
              </w:rPr>
              <w:t xml:space="preserve">  Sănătatea mintală - îmbunătăţirea calităţii vieţii persoanelor cu tulburări psihice prin asigurarea accesului acestora la terapii medico-psihologice; depistarea consumului de substanţe psihoactive;</w:t>
            </w:r>
          </w:p>
        </w:tc>
      </w:tr>
      <w:tr w:rsidR="00017871" w:rsidRPr="00AF3608" w:rsidTr="00017871">
        <w:trPr>
          <w:trHeight w:val="167"/>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Cs/>
                <w:i/>
                <w:color w:val="0000FF"/>
                <w:lang w:val="ro-RO" w:eastAsia="en-GB"/>
              </w:rPr>
            </w:pPr>
          </w:p>
        </w:tc>
        <w:tc>
          <w:tcPr>
            <w:tcW w:w="7235" w:type="dxa"/>
            <w:shd w:val="clear" w:color="auto" w:fill="auto"/>
          </w:tcPr>
          <w:p w:rsidR="00017871" w:rsidRPr="00AF3608" w:rsidRDefault="00017871" w:rsidP="00B723C0">
            <w:pPr>
              <w:pStyle w:val="Default"/>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jc w:val="both"/>
              <w:rPr>
                <w:rFonts w:ascii="Calibri" w:hAnsi="Calibri" w:cs="Calibri"/>
                <w:color w:val="auto"/>
                <w:lang w:val="ro-RO"/>
              </w:rPr>
            </w:pPr>
            <w:r w:rsidRPr="00AF3608">
              <w:rPr>
                <w:rFonts w:ascii="Calibri" w:hAnsi="Calibri" w:cs="Calibri"/>
                <w:color w:val="auto"/>
                <w:lang w:val="ro-RO"/>
              </w:rPr>
              <w:sym w:font="Symbol" w:char="F0B7"/>
            </w:r>
            <w:r w:rsidRPr="00AF3608">
              <w:rPr>
                <w:rFonts w:ascii="Calibri" w:hAnsi="Calibri" w:cs="Calibri"/>
                <w:color w:val="auto"/>
                <w:lang w:val="ro-RO"/>
              </w:rPr>
              <w:t xml:space="preserve">  Bolile rare -  îmbunătățirea calității îngrijirii pacientului cu asemenea afecțiuni pe tot lanțul de îngrijiri și asigurarea accesului la terapia specifică;</w:t>
            </w:r>
          </w:p>
        </w:tc>
      </w:tr>
      <w:tr w:rsidR="00017871" w:rsidRPr="00AF3608" w:rsidTr="00017871">
        <w:trPr>
          <w:trHeight w:val="167"/>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Cs/>
                <w:i/>
                <w:color w:val="0000FF"/>
                <w:lang w:val="ro-RO" w:eastAsia="en-GB"/>
              </w:rPr>
            </w:pPr>
          </w:p>
        </w:tc>
        <w:tc>
          <w:tcPr>
            <w:tcW w:w="7235" w:type="dxa"/>
            <w:shd w:val="clear" w:color="auto" w:fill="auto"/>
          </w:tcPr>
          <w:p w:rsidR="00017871" w:rsidRPr="00AF3608" w:rsidRDefault="00017871" w:rsidP="00B723C0">
            <w:pPr>
              <w:pStyle w:val="Default"/>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jc w:val="both"/>
              <w:rPr>
                <w:rFonts w:ascii="Calibri" w:hAnsi="Calibri" w:cs="Calibri"/>
                <w:color w:val="auto"/>
                <w:lang w:val="ro-RO"/>
              </w:rPr>
            </w:pPr>
            <w:r w:rsidRPr="00AF3608">
              <w:rPr>
                <w:rFonts w:ascii="Calibri" w:hAnsi="Calibri" w:cs="Calibri"/>
                <w:color w:val="auto"/>
                <w:lang w:val="ro-RO"/>
              </w:rPr>
              <w:sym w:font="Symbol" w:char="F0B7"/>
            </w:r>
            <w:r w:rsidRPr="00AF3608">
              <w:rPr>
                <w:rFonts w:ascii="Calibri" w:hAnsi="Calibri" w:cs="Calibri"/>
                <w:color w:val="auto"/>
                <w:lang w:val="ro-RO"/>
              </w:rPr>
              <w:t xml:space="preserve"> </w:t>
            </w:r>
            <w:r w:rsidRPr="00AF3608">
              <w:rPr>
                <w:rFonts w:ascii="Calibri" w:hAnsi="Calibri" w:cs="Calibri"/>
                <w:lang w:val="ro-RO"/>
              </w:rPr>
              <w:t>Introducerea unor acțiuni noi, precum: depistarea bolilor cardiovasculare cu risc major pornind de la patologia hipertensivă.</w:t>
            </w:r>
            <w:r w:rsidRPr="00AF3608">
              <w:rPr>
                <w:rFonts w:ascii="Calibri" w:hAnsi="Calibri" w:cs="Calibri"/>
                <w:color w:val="auto"/>
                <w:lang w:val="ro-RO"/>
              </w:rPr>
              <w:t xml:space="preserve">  </w:t>
            </w:r>
          </w:p>
        </w:tc>
      </w:tr>
      <w:tr w:rsidR="00017871" w:rsidRPr="00AF3608" w:rsidTr="00017871">
        <w:trPr>
          <w:trHeight w:val="80"/>
        </w:trPr>
        <w:tc>
          <w:tcPr>
            <w:tcW w:w="9559" w:type="dxa"/>
            <w:gridSpan w:val="2"/>
            <w:shd w:val="clear" w:color="auto" w:fill="auto"/>
            <w:vAlign w:val="center"/>
          </w:tcPr>
          <w:p w:rsidR="00017871" w:rsidRPr="00AF3608" w:rsidRDefault="00017871" w:rsidP="00B723C0">
            <w:pPr>
              <w:tabs>
                <w:tab w:val="left" w:pos="72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720"/>
              <w:jc w:val="both"/>
              <w:rPr>
                <w:rFonts w:ascii="Calibri" w:eastAsia="ヒラギノ角ゴ Pro W3" w:hAnsi="Calibri" w:cs="Calibri"/>
                <w:color w:val="000000" w:themeColor="text1"/>
                <w:lang w:val="ro-RO" w:eastAsia="ro-RO"/>
              </w:rPr>
            </w:pPr>
            <w:r w:rsidRPr="00AF3608">
              <w:rPr>
                <w:rFonts w:ascii="Calibri" w:eastAsia="ヒラギノ角ゴ Pro W3" w:hAnsi="Calibri" w:cs="Calibri"/>
                <w:color w:val="000000" w:themeColor="text1"/>
                <w:lang w:val="ro-RO" w:eastAsia="ro-RO"/>
              </w:rPr>
              <w:t>Punerea în aplicare a măsurilor sus enumerate se realizează în cadrul programelor naționale de sănătate publică finanţate din bugetul Ministerului Sănătăţii și Proiectul privind Reforma Sectorului Sanitar -  Îmbunătățirea Calității și Eficienței Sistemului Sanitar, finanțat prin Banca Internațională pentru Reconstrucție și Dezvoltare (BIRD 8362RO).</w:t>
            </w:r>
          </w:p>
          <w:p w:rsidR="00017871" w:rsidRPr="00AF3608" w:rsidRDefault="00017871" w:rsidP="00B723C0">
            <w:pPr>
              <w:tabs>
                <w:tab w:val="left" w:pos="72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720"/>
              <w:jc w:val="both"/>
              <w:rPr>
                <w:rFonts w:ascii="Calibri" w:eastAsia="ヒラギノ角ゴ Pro W3" w:hAnsi="Calibri" w:cs="Calibri"/>
                <w:color w:val="000000" w:themeColor="text1"/>
                <w:lang w:val="ro-RO" w:eastAsia="ro-RO"/>
              </w:rPr>
            </w:pPr>
          </w:p>
        </w:tc>
      </w:tr>
      <w:tr w:rsidR="00017871" w:rsidRPr="00AF3608" w:rsidTr="00017871">
        <w:trPr>
          <w:trHeight w:val="80"/>
        </w:trPr>
        <w:tc>
          <w:tcPr>
            <w:tcW w:w="9559" w:type="dxa"/>
            <w:gridSpan w:val="2"/>
            <w:shd w:val="clear" w:color="auto" w:fill="auto"/>
            <w:vAlign w:val="center"/>
          </w:tcPr>
          <w:p w:rsidR="00017871" w:rsidRPr="00AF3608" w:rsidRDefault="00017871" w:rsidP="00B723C0">
            <w:pPr>
              <w:pStyle w:val="Default"/>
              <w:tabs>
                <w:tab w:val="left" w:pos="72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737"/>
              <w:rPr>
                <w:rFonts w:ascii="Calibri" w:hAnsi="Calibri" w:cs="Calibri"/>
                <w:b/>
                <w:bCs/>
                <w:i/>
                <w:lang w:val="ro-RO"/>
              </w:rPr>
            </w:pPr>
            <w:r w:rsidRPr="00AF3608">
              <w:rPr>
                <w:rFonts w:ascii="Calibri" w:hAnsi="Calibri" w:cs="Calibri"/>
                <w:b/>
                <w:bCs/>
                <w:lang w:val="ro-RO"/>
              </w:rPr>
              <w:t xml:space="preserve">B. SERVICIILE DE SĂNĂTATE </w:t>
            </w:r>
          </w:p>
        </w:tc>
      </w:tr>
      <w:tr w:rsidR="00017871" w:rsidRPr="00AF3608" w:rsidTr="00017871">
        <w:trPr>
          <w:trHeight w:val="80"/>
        </w:trPr>
        <w:tc>
          <w:tcPr>
            <w:tcW w:w="2324" w:type="dxa"/>
            <w:vMerge w:val="restart"/>
            <w:shd w:val="clear" w:color="auto" w:fill="auto"/>
            <w:vAlign w:val="center"/>
          </w:tcPr>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ascii="Calibri" w:hAnsi="Calibri" w:cs="Calibri"/>
                <w:color w:val="538135" w:themeColor="accent6" w:themeShade="BF"/>
                <w:lang w:val="ro-RO"/>
              </w:rPr>
            </w:pPr>
          </w:p>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ascii="Calibri" w:hAnsi="Calibri" w:cs="Calibri"/>
                <w:color w:val="538135" w:themeColor="accent6" w:themeShade="BF"/>
                <w:lang w:val="ro-RO"/>
              </w:rPr>
            </w:pPr>
          </w:p>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ascii="Calibri" w:hAnsi="Calibri" w:cs="Calibri"/>
                <w:color w:val="538135" w:themeColor="accent6" w:themeShade="BF"/>
                <w:lang w:val="ro-RO"/>
              </w:rPr>
            </w:pPr>
          </w:p>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ascii="Calibri" w:hAnsi="Calibri" w:cs="Calibri"/>
                <w:color w:val="538135" w:themeColor="accent6" w:themeShade="BF"/>
                <w:lang w:val="ro-RO"/>
              </w:rPr>
            </w:pPr>
          </w:p>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ascii="Calibri" w:hAnsi="Calibri" w:cs="Calibri"/>
                <w:color w:val="538135" w:themeColor="accent6" w:themeShade="BF"/>
                <w:lang w:val="ro-RO"/>
              </w:rPr>
            </w:pPr>
          </w:p>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ascii="Calibri" w:hAnsi="Calibri" w:cs="Calibri"/>
                <w:color w:val="538135" w:themeColor="accent6" w:themeShade="BF"/>
                <w:lang w:val="ro-RO"/>
              </w:rPr>
            </w:pPr>
          </w:p>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ascii="Calibri" w:hAnsi="Calibri" w:cs="Calibri"/>
                <w:color w:val="538135" w:themeColor="accent6" w:themeShade="BF"/>
                <w:lang w:val="ro-RO"/>
              </w:rPr>
            </w:pPr>
          </w:p>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ascii="Calibri" w:hAnsi="Calibri" w:cs="Calibri"/>
                <w:color w:val="538135" w:themeColor="accent6" w:themeShade="BF"/>
                <w:lang w:val="ro-RO"/>
              </w:rPr>
            </w:pPr>
          </w:p>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ascii="Calibri" w:hAnsi="Calibri" w:cs="Calibri"/>
                <w:color w:val="538135" w:themeColor="accent6" w:themeShade="BF"/>
                <w:lang w:val="ro-RO"/>
              </w:rPr>
            </w:pPr>
          </w:p>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ascii="Calibri" w:hAnsi="Calibri" w:cs="Calibri"/>
                <w:color w:val="538135" w:themeColor="accent6" w:themeShade="BF"/>
                <w:lang w:val="ro-RO"/>
              </w:rPr>
            </w:pPr>
          </w:p>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ascii="Calibri" w:hAnsi="Calibri" w:cs="Calibri"/>
                <w:color w:val="538135" w:themeColor="accent6" w:themeShade="BF"/>
                <w:lang w:val="ro-RO"/>
              </w:rPr>
            </w:pPr>
          </w:p>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ascii="Calibri" w:hAnsi="Calibri" w:cs="Calibri"/>
                <w:color w:val="538135" w:themeColor="accent6" w:themeShade="BF"/>
                <w:lang w:val="ro-RO"/>
              </w:rPr>
            </w:pPr>
          </w:p>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ascii="Calibri" w:hAnsi="Calibri" w:cs="Calibri"/>
                <w:color w:val="538135" w:themeColor="accent6" w:themeShade="BF"/>
                <w:lang w:val="ro-RO"/>
              </w:rPr>
            </w:pPr>
            <w:r w:rsidRPr="00AF3608">
              <w:rPr>
                <w:rFonts w:ascii="Calibri" w:hAnsi="Calibri" w:cs="Calibri"/>
                <w:color w:val="538135" w:themeColor="accent6" w:themeShade="BF"/>
                <w:lang w:val="ro-RO"/>
              </w:rPr>
              <w:t>Măsurile aferente ariei strategice servicii de sănătate își propun:</w:t>
            </w:r>
          </w:p>
          <w:p w:rsidR="00017871" w:rsidRPr="00AF3608" w:rsidRDefault="00017871" w:rsidP="00B723C0">
            <w:pPr>
              <w:spacing w:before="120"/>
              <w:jc w:val="center"/>
              <w:rPr>
                <w:rFonts w:ascii="Calibri" w:hAnsi="Calibri" w:cs="Calibri"/>
                <w:color w:val="0000FF"/>
                <w:lang w:val="ro-RO"/>
              </w:rPr>
            </w:pPr>
          </w:p>
        </w:tc>
        <w:tc>
          <w:tcPr>
            <w:tcW w:w="7235" w:type="dxa"/>
            <w:shd w:val="clear" w:color="auto" w:fill="auto"/>
          </w:tcPr>
          <w:p w:rsidR="00017871" w:rsidRPr="00AF3608" w:rsidRDefault="00017871" w:rsidP="00120AA6">
            <w:pPr>
              <w:pStyle w:val="Default"/>
              <w:numPr>
                <w:ilvl w:val="0"/>
                <w:numId w:val="18"/>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0" w:firstLine="0"/>
              <w:jc w:val="both"/>
              <w:rPr>
                <w:rFonts w:ascii="Calibri" w:hAnsi="Calibri" w:cs="Calibri"/>
                <w:lang w:val="ro-RO"/>
              </w:rPr>
            </w:pPr>
            <w:r w:rsidRPr="00AF3608">
              <w:rPr>
                <w:rFonts w:ascii="Calibri" w:hAnsi="Calibri" w:cs="Calibri"/>
                <w:color w:val="auto"/>
                <w:lang w:val="ro-RO"/>
              </w:rPr>
              <w:lastRenderedPageBreak/>
              <w:t>Creșterea gradului de interconectare a furnizorilor de servicii medicale în vederea facilitării schimbului de informații utile pacienților;</w:t>
            </w:r>
          </w:p>
        </w:tc>
      </w:tr>
      <w:tr w:rsidR="00017871" w:rsidRPr="00AF3608" w:rsidTr="00017871">
        <w:trPr>
          <w:trHeight w:val="80"/>
        </w:trPr>
        <w:tc>
          <w:tcPr>
            <w:tcW w:w="2324" w:type="dxa"/>
            <w:vMerge/>
            <w:shd w:val="clear" w:color="auto" w:fill="auto"/>
            <w:vAlign w:val="center"/>
          </w:tcPr>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ascii="Calibri" w:hAnsi="Calibri" w:cs="Calibri"/>
                <w:color w:val="000080"/>
                <w:lang w:val="ro-RO"/>
              </w:rPr>
            </w:pPr>
          </w:p>
        </w:tc>
        <w:tc>
          <w:tcPr>
            <w:tcW w:w="7235" w:type="dxa"/>
            <w:shd w:val="clear" w:color="auto" w:fill="auto"/>
          </w:tcPr>
          <w:p w:rsidR="00017871" w:rsidRPr="00AF3608" w:rsidRDefault="00017871" w:rsidP="00120AA6">
            <w:pPr>
              <w:pStyle w:val="Default"/>
              <w:numPr>
                <w:ilvl w:val="0"/>
                <w:numId w:val="18"/>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0" w:firstLine="0"/>
              <w:jc w:val="both"/>
              <w:rPr>
                <w:rFonts w:ascii="Calibri" w:hAnsi="Calibri" w:cs="Calibri"/>
                <w:color w:val="auto"/>
                <w:lang w:val="ro-RO"/>
              </w:rPr>
            </w:pPr>
            <w:r w:rsidRPr="00AF3608">
              <w:rPr>
                <w:rFonts w:ascii="Calibri" w:hAnsi="Calibri" w:cs="Calibri"/>
                <w:color w:val="auto"/>
                <w:lang w:val="ro-RO"/>
              </w:rPr>
              <w:t>Îmbunătățirea sistemului de raportare statistica în domeniul medical și dezvoltarea unui sistem de alertă epidemiologică precoce;</w:t>
            </w:r>
          </w:p>
        </w:tc>
      </w:tr>
      <w:tr w:rsidR="00017871" w:rsidRPr="00AF3608" w:rsidTr="00017871">
        <w:trPr>
          <w:trHeight w:val="80"/>
        </w:trPr>
        <w:tc>
          <w:tcPr>
            <w:tcW w:w="2324" w:type="dxa"/>
            <w:vMerge/>
            <w:shd w:val="clear" w:color="auto" w:fill="auto"/>
            <w:vAlign w:val="center"/>
          </w:tcPr>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ascii="Calibri" w:hAnsi="Calibri" w:cs="Calibri"/>
                <w:color w:val="000080"/>
                <w:lang w:val="ro-RO"/>
              </w:rPr>
            </w:pPr>
          </w:p>
        </w:tc>
        <w:tc>
          <w:tcPr>
            <w:tcW w:w="7235" w:type="dxa"/>
            <w:shd w:val="clear" w:color="auto" w:fill="auto"/>
          </w:tcPr>
          <w:p w:rsidR="00017871" w:rsidRPr="00AF3608" w:rsidRDefault="00017871" w:rsidP="00120AA6">
            <w:pPr>
              <w:pStyle w:val="Default"/>
              <w:numPr>
                <w:ilvl w:val="0"/>
                <w:numId w:val="18"/>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0" w:firstLine="0"/>
              <w:jc w:val="both"/>
              <w:rPr>
                <w:rFonts w:ascii="Calibri" w:hAnsi="Calibri" w:cs="Calibri"/>
                <w:lang w:val="ro-RO"/>
              </w:rPr>
            </w:pPr>
            <w:r w:rsidRPr="00AF3608">
              <w:rPr>
                <w:rFonts w:ascii="Calibri" w:hAnsi="Calibri" w:cs="Calibri"/>
                <w:color w:val="auto"/>
                <w:lang w:val="ro-RO"/>
              </w:rPr>
              <w:t>Consolidarea reţelei de servicii de asistenţă medicală comunitară destinate grupurilor vulnerabile;</w:t>
            </w:r>
          </w:p>
        </w:tc>
      </w:tr>
      <w:tr w:rsidR="00017871" w:rsidRPr="00AF3608" w:rsidTr="00017871">
        <w:trPr>
          <w:trHeight w:val="80"/>
        </w:trPr>
        <w:tc>
          <w:tcPr>
            <w:tcW w:w="2324" w:type="dxa"/>
            <w:vMerge/>
            <w:shd w:val="clear" w:color="auto" w:fill="auto"/>
            <w:vAlign w:val="center"/>
          </w:tcPr>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ascii="Calibri" w:hAnsi="Calibri" w:cs="Calibri"/>
                <w:color w:val="000080"/>
                <w:lang w:val="ro-RO"/>
              </w:rPr>
            </w:pPr>
          </w:p>
        </w:tc>
        <w:tc>
          <w:tcPr>
            <w:tcW w:w="7235" w:type="dxa"/>
            <w:shd w:val="clear" w:color="auto" w:fill="auto"/>
          </w:tcPr>
          <w:p w:rsidR="00017871" w:rsidRPr="00AF3608" w:rsidRDefault="00017871" w:rsidP="00120AA6">
            <w:pPr>
              <w:pStyle w:val="Default"/>
              <w:numPr>
                <w:ilvl w:val="0"/>
                <w:numId w:val="18"/>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0" w:firstLine="0"/>
              <w:jc w:val="both"/>
              <w:rPr>
                <w:rFonts w:ascii="Calibri" w:hAnsi="Calibri" w:cs="Calibri"/>
                <w:lang w:val="ro-RO"/>
              </w:rPr>
            </w:pPr>
            <w:r w:rsidRPr="00AF3608">
              <w:rPr>
                <w:rFonts w:ascii="Calibri" w:hAnsi="Calibri" w:cs="Calibri"/>
                <w:lang w:val="ro-RO"/>
              </w:rPr>
              <w:t>Creşterea eficacităţii şi diversificarea serviciilor de asistenţă medicală primară, incluzând creşterea ponderii serviciilor de prevenţie primară, secundară şi terţiară, diagnostic precoce şi tratament, monitorizarea pacientului cronic (HTA, diabet) în comunitate;</w:t>
            </w:r>
          </w:p>
        </w:tc>
      </w:tr>
      <w:tr w:rsidR="00017871" w:rsidRPr="00AF3608" w:rsidTr="00017871">
        <w:trPr>
          <w:trHeight w:val="80"/>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
                <w:bCs/>
                <w:i/>
                <w:color w:val="0000FF"/>
                <w:lang w:val="ro-RO" w:eastAsia="en-GB"/>
              </w:rPr>
            </w:pPr>
          </w:p>
        </w:tc>
        <w:tc>
          <w:tcPr>
            <w:tcW w:w="7235" w:type="dxa"/>
            <w:shd w:val="clear" w:color="auto" w:fill="auto"/>
          </w:tcPr>
          <w:p w:rsidR="00017871" w:rsidRPr="00AF3608" w:rsidRDefault="00017871" w:rsidP="00120AA6">
            <w:pPr>
              <w:pStyle w:val="Default"/>
              <w:numPr>
                <w:ilvl w:val="0"/>
                <w:numId w:val="18"/>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0" w:firstLine="0"/>
              <w:jc w:val="both"/>
              <w:rPr>
                <w:rFonts w:ascii="Calibri" w:hAnsi="Calibri" w:cs="Calibri"/>
                <w:color w:val="auto"/>
                <w:lang w:val="ro-RO"/>
              </w:rPr>
            </w:pPr>
            <w:r w:rsidRPr="00AF3608">
              <w:rPr>
                <w:rFonts w:ascii="Calibri" w:hAnsi="Calibri" w:cs="Calibri"/>
                <w:color w:val="auto"/>
                <w:lang w:val="ro-RO"/>
              </w:rPr>
              <w:t>Consolidarea calitatii şi eficacităţii serviciilor  furnizate în ambulatorul de  specialitate, concomitent cu scăderea numărului de cazuri de spitalizare continuă;</w:t>
            </w:r>
          </w:p>
        </w:tc>
      </w:tr>
      <w:tr w:rsidR="00017871" w:rsidRPr="00AF3608" w:rsidTr="00017871">
        <w:trPr>
          <w:trHeight w:val="80"/>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
                <w:bCs/>
                <w:i/>
                <w:color w:val="0000FF"/>
                <w:lang w:val="ro-RO" w:eastAsia="en-GB"/>
              </w:rPr>
            </w:pPr>
          </w:p>
        </w:tc>
        <w:tc>
          <w:tcPr>
            <w:tcW w:w="7235" w:type="dxa"/>
            <w:shd w:val="clear" w:color="auto" w:fill="auto"/>
          </w:tcPr>
          <w:p w:rsidR="00017871" w:rsidRPr="00AF3608" w:rsidRDefault="00017871" w:rsidP="00120AA6">
            <w:pPr>
              <w:pStyle w:val="Default"/>
              <w:numPr>
                <w:ilvl w:val="0"/>
                <w:numId w:val="18"/>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0" w:firstLine="0"/>
              <w:jc w:val="both"/>
              <w:rPr>
                <w:rFonts w:ascii="Calibri" w:hAnsi="Calibri" w:cs="Calibri"/>
                <w:color w:val="auto"/>
                <w:lang w:val="ro-RO"/>
              </w:rPr>
            </w:pPr>
            <w:r w:rsidRPr="00AF3608">
              <w:rPr>
                <w:rFonts w:ascii="Calibri" w:hAnsi="Calibri" w:cs="Calibri"/>
                <w:color w:val="auto"/>
                <w:lang w:val="ro-RO"/>
              </w:rPr>
              <w:t>Introducerea obligativității tuturor furnizorilor de servicii de sănătate de a crea liste de așteptare pentru pacienții cronici pe criterii clare și transparente, diferențiate pe tipuri de patologii, precum și sisteme digitalizate de programări;</w:t>
            </w:r>
          </w:p>
        </w:tc>
      </w:tr>
      <w:tr w:rsidR="00017871" w:rsidRPr="00AF3608" w:rsidTr="00017871">
        <w:trPr>
          <w:trHeight w:val="80"/>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
                <w:bCs/>
                <w:i/>
                <w:color w:val="0000FF"/>
                <w:lang w:val="ro-RO" w:eastAsia="en-GB"/>
              </w:rPr>
            </w:pPr>
          </w:p>
        </w:tc>
        <w:tc>
          <w:tcPr>
            <w:tcW w:w="7235" w:type="dxa"/>
            <w:shd w:val="clear" w:color="auto" w:fill="auto"/>
          </w:tcPr>
          <w:p w:rsidR="00017871" w:rsidRPr="00AF3608" w:rsidRDefault="00017871" w:rsidP="00120AA6">
            <w:pPr>
              <w:pStyle w:val="Default"/>
              <w:numPr>
                <w:ilvl w:val="0"/>
                <w:numId w:val="18"/>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0" w:firstLine="0"/>
              <w:jc w:val="both"/>
              <w:rPr>
                <w:rFonts w:ascii="Calibri" w:hAnsi="Calibri" w:cs="Calibri"/>
                <w:color w:val="auto"/>
                <w:lang w:val="ro-RO"/>
              </w:rPr>
            </w:pPr>
            <w:r w:rsidRPr="00AF3608">
              <w:rPr>
                <w:rFonts w:ascii="Calibri" w:hAnsi="Calibri" w:cs="Calibri"/>
                <w:color w:val="auto"/>
                <w:lang w:val="ro-RO"/>
              </w:rPr>
              <w:t xml:space="preserve">Creşterea gradului de siguranţă a populaţiei prin consolidarea sistemului integrat de urgenţă şi asigurarea accesibilităţii la asistenţa medicală de urgenţă adecvată în mod echitabil; </w:t>
            </w:r>
          </w:p>
        </w:tc>
      </w:tr>
      <w:tr w:rsidR="00017871" w:rsidRPr="00AF3608" w:rsidTr="00017871">
        <w:trPr>
          <w:trHeight w:val="80"/>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
                <w:bCs/>
                <w:i/>
                <w:color w:val="0000FF"/>
                <w:lang w:val="ro-RO" w:eastAsia="en-GB"/>
              </w:rPr>
            </w:pPr>
          </w:p>
        </w:tc>
        <w:tc>
          <w:tcPr>
            <w:tcW w:w="7235" w:type="dxa"/>
            <w:shd w:val="clear" w:color="auto" w:fill="auto"/>
          </w:tcPr>
          <w:p w:rsidR="00017871" w:rsidRPr="00AF3608" w:rsidRDefault="00017871" w:rsidP="00120AA6">
            <w:pPr>
              <w:pStyle w:val="Default"/>
              <w:numPr>
                <w:ilvl w:val="0"/>
                <w:numId w:val="18"/>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0" w:firstLine="0"/>
              <w:jc w:val="both"/>
              <w:rPr>
                <w:rFonts w:ascii="Calibri" w:hAnsi="Calibri" w:cs="Calibri"/>
                <w:color w:val="auto"/>
                <w:lang w:val="ro-RO"/>
              </w:rPr>
            </w:pPr>
            <w:r w:rsidRPr="00AF3608">
              <w:rPr>
                <w:rFonts w:ascii="Calibri" w:hAnsi="Calibri" w:cs="Calibri"/>
                <w:color w:val="auto"/>
                <w:lang w:val="ro-RO"/>
              </w:rPr>
              <w:t xml:space="preserve">Extinderea sistemului de telemedicină între prespital și spital, precum și între unitățile și compartimentele de primiri urgențe, la care se pot adauga și centrele de permanență; </w:t>
            </w:r>
          </w:p>
        </w:tc>
      </w:tr>
      <w:tr w:rsidR="00017871" w:rsidRPr="00AF3608" w:rsidTr="00017871">
        <w:trPr>
          <w:trHeight w:val="80"/>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
                <w:bCs/>
                <w:i/>
                <w:color w:val="0000FF"/>
                <w:lang w:val="ro-RO" w:eastAsia="en-GB"/>
              </w:rPr>
            </w:pPr>
          </w:p>
        </w:tc>
        <w:tc>
          <w:tcPr>
            <w:tcW w:w="7235" w:type="dxa"/>
            <w:shd w:val="clear" w:color="auto" w:fill="auto"/>
          </w:tcPr>
          <w:p w:rsidR="00017871" w:rsidRPr="00AF3608" w:rsidRDefault="00017871" w:rsidP="00120AA6">
            <w:pPr>
              <w:pStyle w:val="Default"/>
              <w:numPr>
                <w:ilvl w:val="0"/>
                <w:numId w:val="18"/>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0" w:firstLine="0"/>
              <w:jc w:val="both"/>
              <w:rPr>
                <w:rFonts w:ascii="Calibri" w:hAnsi="Calibri" w:cs="Calibri"/>
                <w:color w:val="auto"/>
                <w:lang w:val="ro-RO"/>
              </w:rPr>
            </w:pPr>
            <w:r w:rsidRPr="00AF3608">
              <w:rPr>
                <w:rFonts w:ascii="Calibri" w:hAnsi="Calibri" w:cs="Calibri"/>
                <w:color w:val="auto"/>
                <w:lang w:val="ro-RO"/>
              </w:rPr>
              <w:t xml:space="preserve">Regionalizarea/concentrarea asistenţei medicale spitaliceşti şi crearea de reţele regionale de referinţă cu spitale şi laboratoare de diferite grade de competenţă interconectate cu sectorul de asistenţă primară şi ambulatorie de specialitate; </w:t>
            </w:r>
          </w:p>
        </w:tc>
      </w:tr>
      <w:tr w:rsidR="00017871" w:rsidRPr="00AF3608" w:rsidTr="00017871">
        <w:trPr>
          <w:trHeight w:val="80"/>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
                <w:bCs/>
                <w:i/>
                <w:color w:val="0000FF"/>
                <w:lang w:val="ro-RO" w:eastAsia="en-GB"/>
              </w:rPr>
            </w:pPr>
          </w:p>
        </w:tc>
        <w:tc>
          <w:tcPr>
            <w:tcW w:w="7235" w:type="dxa"/>
            <w:shd w:val="clear" w:color="auto" w:fill="auto"/>
          </w:tcPr>
          <w:p w:rsidR="00017871" w:rsidRPr="00AF3608" w:rsidRDefault="00017871" w:rsidP="00120AA6">
            <w:pPr>
              <w:pStyle w:val="Default"/>
              <w:numPr>
                <w:ilvl w:val="0"/>
                <w:numId w:val="18"/>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0" w:firstLine="0"/>
              <w:jc w:val="both"/>
              <w:rPr>
                <w:rFonts w:ascii="Calibri" w:hAnsi="Calibri" w:cs="Calibri"/>
                <w:lang w:val="ro-RO"/>
              </w:rPr>
            </w:pPr>
            <w:r w:rsidRPr="00AF3608">
              <w:rPr>
                <w:rFonts w:ascii="Calibri" w:hAnsi="Calibri" w:cs="Calibri"/>
                <w:color w:val="FF0000"/>
                <w:lang w:val="ro-RO"/>
              </w:rPr>
              <w:t xml:space="preserve"> </w:t>
            </w:r>
            <w:r w:rsidRPr="00AF3608">
              <w:rPr>
                <w:rFonts w:ascii="Calibri" w:hAnsi="Calibri" w:cs="Calibri"/>
                <w:lang w:val="ro-RO"/>
              </w:rPr>
              <w:t>Plasarea în centrul reţelei de spitale a spitalelor regionale de urgenţă cu înalt nivel de performanţă, cărora li se adaugă spitalele zonale, completat de restul spitalelor judeţene de urgenţă şi a celor din Municipiul Bucureşti, precum şi institutele de specialitate;</w:t>
            </w:r>
          </w:p>
        </w:tc>
      </w:tr>
      <w:tr w:rsidR="00017871" w:rsidRPr="00AF3608" w:rsidTr="00017871">
        <w:trPr>
          <w:trHeight w:val="80"/>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
                <w:bCs/>
                <w:i/>
                <w:color w:val="0000FF"/>
                <w:lang w:val="ro-RO" w:eastAsia="en-GB"/>
              </w:rPr>
            </w:pPr>
          </w:p>
        </w:tc>
        <w:tc>
          <w:tcPr>
            <w:tcW w:w="7235" w:type="dxa"/>
            <w:shd w:val="clear" w:color="auto" w:fill="auto"/>
          </w:tcPr>
          <w:p w:rsidR="00017871" w:rsidRPr="00AF3608" w:rsidRDefault="00017871" w:rsidP="00120AA6">
            <w:pPr>
              <w:pStyle w:val="Default"/>
              <w:numPr>
                <w:ilvl w:val="0"/>
                <w:numId w:val="18"/>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0" w:firstLine="0"/>
              <w:jc w:val="both"/>
              <w:rPr>
                <w:rFonts w:ascii="Calibri" w:hAnsi="Calibri" w:cs="Calibri"/>
                <w:lang w:val="ro-RO"/>
              </w:rPr>
            </w:pPr>
            <w:r w:rsidRPr="00AF3608">
              <w:rPr>
                <w:rFonts w:ascii="Calibri" w:hAnsi="Calibri" w:cs="Calibri"/>
                <w:lang w:val="ro-RO"/>
              </w:rPr>
              <w:t>Îmbunatațirea unor servicii medicale selectate, prin reabilitarea/crearea și furnizarea de echipamente medicale și de alt tip pentru săli de operație, unitați de terapie intensive, unitați pentru arși, unități de radioterapie, servicii de urgență și servicii de diagnostic (imagistică medicală);</w:t>
            </w:r>
          </w:p>
        </w:tc>
      </w:tr>
      <w:tr w:rsidR="00017871" w:rsidRPr="00AF3608" w:rsidTr="00017871">
        <w:trPr>
          <w:trHeight w:val="80"/>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
                <w:bCs/>
                <w:i/>
                <w:color w:val="0000FF"/>
                <w:lang w:val="ro-RO" w:eastAsia="en-GB"/>
              </w:rPr>
            </w:pPr>
          </w:p>
        </w:tc>
        <w:tc>
          <w:tcPr>
            <w:tcW w:w="7235" w:type="dxa"/>
            <w:shd w:val="clear" w:color="auto" w:fill="auto"/>
          </w:tcPr>
          <w:p w:rsidR="00017871" w:rsidRPr="00AF3608" w:rsidRDefault="00017871" w:rsidP="00120AA6">
            <w:pPr>
              <w:pStyle w:val="Default"/>
              <w:numPr>
                <w:ilvl w:val="0"/>
                <w:numId w:val="18"/>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0" w:firstLine="0"/>
              <w:jc w:val="both"/>
              <w:rPr>
                <w:rFonts w:ascii="Calibri" w:hAnsi="Calibri" w:cs="Calibri"/>
                <w:lang w:val="ro-RO"/>
              </w:rPr>
            </w:pPr>
            <w:r w:rsidRPr="00AF3608">
              <w:rPr>
                <w:rFonts w:ascii="Calibri" w:hAnsi="Calibri" w:cs="Calibri"/>
                <w:lang w:val="ro-RO"/>
              </w:rPr>
              <w:t xml:space="preserve">Ministerul Sănătății va realiza prin Direcțiile de sănătate publică controlul și va asigura implementarea efectivă a Planului Strategic de Prevenire și Combatere a Infecțiilor Nosocomiale la nivelul tuturor spitalelor publice și private, plan adoptat în 2016. </w:t>
            </w:r>
          </w:p>
        </w:tc>
      </w:tr>
      <w:tr w:rsidR="00017871" w:rsidRPr="00AF3608" w:rsidTr="00017871">
        <w:trPr>
          <w:trHeight w:val="80"/>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
                <w:bCs/>
                <w:i/>
                <w:color w:val="0000FF"/>
                <w:lang w:val="ro-RO" w:eastAsia="en-GB"/>
              </w:rPr>
            </w:pPr>
          </w:p>
        </w:tc>
        <w:tc>
          <w:tcPr>
            <w:tcW w:w="7235" w:type="dxa"/>
            <w:shd w:val="clear" w:color="auto" w:fill="auto"/>
          </w:tcPr>
          <w:p w:rsidR="00017871" w:rsidRPr="00AF3608" w:rsidRDefault="00017871" w:rsidP="00120AA6">
            <w:pPr>
              <w:pStyle w:val="Default"/>
              <w:numPr>
                <w:ilvl w:val="0"/>
                <w:numId w:val="18"/>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0" w:firstLine="0"/>
              <w:jc w:val="both"/>
              <w:rPr>
                <w:rFonts w:ascii="Calibri" w:hAnsi="Calibri" w:cs="Calibri"/>
                <w:lang w:val="ro-RO"/>
              </w:rPr>
            </w:pPr>
            <w:r w:rsidRPr="00AF3608">
              <w:rPr>
                <w:rFonts w:ascii="Calibri" w:hAnsi="Calibri" w:cs="Calibri"/>
                <w:lang w:val="ro-RO"/>
              </w:rPr>
              <w:t>Ministerul Sănătății, prin Direcțiile de sănătate publică, va iniția și implementa un Program de Combatere a Rezistenței la Antimicrobiene (antibiotice), ce va putea accesa finanțare europeană</w:t>
            </w:r>
          </w:p>
        </w:tc>
      </w:tr>
      <w:tr w:rsidR="00017871" w:rsidRPr="00AF3608" w:rsidTr="00017871">
        <w:trPr>
          <w:trHeight w:val="80"/>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
                <w:bCs/>
                <w:i/>
                <w:color w:val="0000FF"/>
                <w:lang w:val="ro-RO" w:eastAsia="en-GB"/>
              </w:rPr>
            </w:pPr>
          </w:p>
        </w:tc>
        <w:tc>
          <w:tcPr>
            <w:tcW w:w="7235" w:type="dxa"/>
            <w:shd w:val="clear" w:color="auto" w:fill="auto"/>
          </w:tcPr>
          <w:p w:rsidR="00017871" w:rsidRPr="00AF3608" w:rsidRDefault="00017871" w:rsidP="00120AA6">
            <w:pPr>
              <w:pStyle w:val="Default"/>
              <w:numPr>
                <w:ilvl w:val="0"/>
                <w:numId w:val="18"/>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0" w:firstLine="0"/>
              <w:jc w:val="both"/>
              <w:rPr>
                <w:rFonts w:ascii="Calibri" w:hAnsi="Calibri" w:cs="Calibri"/>
                <w:color w:val="auto"/>
                <w:lang w:val="ro-RO"/>
              </w:rPr>
            </w:pPr>
            <w:r w:rsidRPr="00AF3608">
              <w:rPr>
                <w:rFonts w:ascii="Calibri" w:hAnsi="Calibri" w:cs="Calibri"/>
                <w:color w:val="auto"/>
                <w:lang w:val="ro-RO"/>
              </w:rPr>
              <w:t xml:space="preserve">Creșterea accesului la servicii de reabilitare, paliaţie și de îngrijiri pe termen lung.  </w:t>
            </w:r>
          </w:p>
          <w:p w:rsidR="00017871" w:rsidRPr="00AF3608" w:rsidRDefault="00017871" w:rsidP="00B723C0">
            <w:pPr>
              <w:pStyle w:val="Default"/>
              <w:tabs>
                <w:tab w:val="left" w:pos="454"/>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jc w:val="both"/>
              <w:rPr>
                <w:rFonts w:ascii="Calibri" w:hAnsi="Calibri" w:cs="Calibri"/>
                <w:color w:val="auto"/>
                <w:lang w:val="ro-RO"/>
              </w:rPr>
            </w:pPr>
          </w:p>
        </w:tc>
      </w:tr>
      <w:tr w:rsidR="00017871" w:rsidRPr="00AF3608" w:rsidTr="00017871">
        <w:trPr>
          <w:trHeight w:val="80"/>
        </w:trPr>
        <w:tc>
          <w:tcPr>
            <w:tcW w:w="9559" w:type="dxa"/>
            <w:gridSpan w:val="2"/>
            <w:shd w:val="clear" w:color="auto" w:fill="auto"/>
            <w:vAlign w:val="center"/>
          </w:tcPr>
          <w:p w:rsidR="00017871" w:rsidRPr="00AF3608" w:rsidRDefault="00017871" w:rsidP="00B723C0">
            <w:pPr>
              <w:pStyle w:val="Default"/>
              <w:tabs>
                <w:tab w:val="left" w:pos="72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737"/>
              <w:jc w:val="both"/>
              <w:rPr>
                <w:rFonts w:ascii="Calibri" w:hAnsi="Calibri" w:cs="Calibri"/>
                <w:b/>
                <w:bCs/>
                <w:lang w:val="ro-RO"/>
              </w:rPr>
            </w:pPr>
          </w:p>
          <w:p w:rsidR="00017871" w:rsidRPr="00AF3608" w:rsidRDefault="00017871" w:rsidP="00B723C0">
            <w:pPr>
              <w:pStyle w:val="Default"/>
              <w:tabs>
                <w:tab w:val="left" w:pos="72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737"/>
              <w:jc w:val="both"/>
              <w:rPr>
                <w:rFonts w:ascii="Calibri" w:hAnsi="Calibri" w:cs="Calibri"/>
                <w:b/>
                <w:bCs/>
                <w:i/>
                <w:lang w:val="ro-RO"/>
              </w:rPr>
            </w:pPr>
            <w:r w:rsidRPr="00AF3608">
              <w:rPr>
                <w:rFonts w:ascii="Calibri" w:hAnsi="Calibri" w:cs="Calibri"/>
                <w:b/>
                <w:bCs/>
                <w:lang w:val="ro-RO"/>
              </w:rPr>
              <w:t xml:space="preserve">C. MĂSURI TRANSVERSALE </w:t>
            </w:r>
          </w:p>
        </w:tc>
      </w:tr>
      <w:tr w:rsidR="00017871" w:rsidRPr="00AF3608" w:rsidTr="00017871">
        <w:trPr>
          <w:trHeight w:val="80"/>
        </w:trPr>
        <w:tc>
          <w:tcPr>
            <w:tcW w:w="9559" w:type="dxa"/>
            <w:gridSpan w:val="2"/>
            <w:shd w:val="clear" w:color="auto" w:fill="auto"/>
            <w:vAlign w:val="center"/>
          </w:tcPr>
          <w:p w:rsidR="00017871" w:rsidRPr="00AF3608" w:rsidRDefault="00017871" w:rsidP="00120AA6">
            <w:pPr>
              <w:numPr>
                <w:ilvl w:val="0"/>
                <w:numId w:val="19"/>
              </w:numPr>
              <w:tabs>
                <w:tab w:val="left" w:pos="993"/>
              </w:tabs>
              <w:spacing w:before="120"/>
              <w:ind w:left="0" w:firstLine="709"/>
              <w:jc w:val="both"/>
              <w:rPr>
                <w:rFonts w:ascii="Calibri" w:hAnsi="Calibri" w:cs="Calibri"/>
                <w:lang w:val="ro-RO"/>
              </w:rPr>
            </w:pPr>
            <w:r w:rsidRPr="00AF3608">
              <w:rPr>
                <w:rFonts w:ascii="Calibri" w:hAnsi="Calibri" w:cs="Calibri"/>
                <w:lang w:val="ro-RO"/>
              </w:rPr>
              <w:t xml:space="preserve"> Consolidarea capacității de previzionare a servicilor medicale oferite populației prin dezvoltarea de către Ministerul Sănătății a unor sisteme informatice de analiză pentru domeniile strategice ale sistemului (resurse umane, infrastructură, resurse financiare);</w:t>
            </w:r>
          </w:p>
          <w:p w:rsidR="00017871" w:rsidRPr="00AF3608" w:rsidRDefault="00017871" w:rsidP="00120AA6">
            <w:pPr>
              <w:numPr>
                <w:ilvl w:val="0"/>
                <w:numId w:val="19"/>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0" w:firstLine="709"/>
              <w:jc w:val="both"/>
              <w:rPr>
                <w:rFonts w:ascii="Calibri" w:hAnsi="Calibri" w:cs="Calibri"/>
                <w:lang w:val="ro-RO"/>
              </w:rPr>
            </w:pPr>
            <w:r w:rsidRPr="00AF3608">
              <w:rPr>
                <w:rFonts w:ascii="Calibri" w:hAnsi="Calibri" w:cs="Calibri"/>
                <w:lang w:val="ro-RO"/>
              </w:rPr>
              <w:t>Întărirea capacităţii administrative la nivel naţional, regional şi local;</w:t>
            </w:r>
            <w:r w:rsidRPr="00AF3608">
              <w:rPr>
                <w:rFonts w:ascii="Calibri" w:hAnsi="Calibri" w:cs="Calibri"/>
                <w:lang w:val="ro-RO"/>
              </w:rPr>
              <w:tab/>
              <w:t xml:space="preserve"> </w:t>
            </w:r>
          </w:p>
          <w:p w:rsidR="00017871" w:rsidRPr="00AF3608" w:rsidRDefault="00017871" w:rsidP="00120AA6">
            <w:pPr>
              <w:numPr>
                <w:ilvl w:val="0"/>
                <w:numId w:val="19"/>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0" w:firstLine="709"/>
              <w:jc w:val="both"/>
              <w:rPr>
                <w:rFonts w:ascii="Calibri" w:hAnsi="Calibri" w:cs="Calibri"/>
                <w:lang w:val="ro-RO"/>
              </w:rPr>
            </w:pPr>
            <w:r w:rsidRPr="00AF3608">
              <w:rPr>
                <w:rFonts w:ascii="Calibri" w:hAnsi="Calibri" w:cs="Calibri"/>
                <w:lang w:val="ro-RO"/>
              </w:rPr>
              <w:t xml:space="preserve">Implementarea unei politici sustenabile de asigurare a resurselor umane în sănătate; Rezidențiatul va face obiectul unei analize în vederea demarării unei adevărate reforme, prin corelarea locurilor și posturilor scoase la concurs cu proiecția pe minimum 5 ani a specialităților deficitare și cu distribuția geografică a acestora, prin actualizarea tematicii și bibliografiei de examen, prin restabilirea curriculei pentru fiecare specialitate în parte, astfel că, încă din timpul </w:t>
            </w:r>
            <w:r w:rsidRPr="00AF3608">
              <w:rPr>
                <w:rFonts w:ascii="Calibri" w:hAnsi="Calibri" w:cs="Calibri"/>
                <w:lang w:val="ro-RO"/>
              </w:rPr>
              <w:lastRenderedPageBreak/>
              <w:t>rezidențiatului, tinerii medici să poată căpăta competențele necesare practicării medicinei la standardele tehnologice și de calitate actuale.</w:t>
            </w:r>
          </w:p>
          <w:p w:rsidR="00017871" w:rsidRPr="00AF3608" w:rsidRDefault="00017871" w:rsidP="00120AA6">
            <w:pPr>
              <w:numPr>
                <w:ilvl w:val="0"/>
                <w:numId w:val="19"/>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0" w:firstLine="709"/>
              <w:jc w:val="both"/>
              <w:rPr>
                <w:rFonts w:ascii="Calibri" w:hAnsi="Calibri" w:cs="Calibri"/>
                <w:lang w:val="ro-RO"/>
              </w:rPr>
            </w:pPr>
            <w:r w:rsidRPr="00AF3608">
              <w:rPr>
                <w:rFonts w:ascii="Calibri" w:hAnsi="Calibri" w:cs="Calibri"/>
                <w:lang w:val="ro-RO"/>
              </w:rPr>
              <w:t>Implementarea unei politici sustenabile de asigurare a resurselor financiare în sănătate, asigurarea controlului costurilor şi a protectiei financiare a populaţiei;</w:t>
            </w:r>
            <w:r w:rsidRPr="00AF3608">
              <w:rPr>
                <w:rFonts w:ascii="Calibri" w:hAnsi="Calibri" w:cs="Calibri"/>
                <w:lang w:val="ro-RO"/>
              </w:rPr>
              <w:tab/>
            </w:r>
          </w:p>
          <w:p w:rsidR="00017871" w:rsidRPr="00AF3608" w:rsidRDefault="00017871" w:rsidP="00120AA6">
            <w:pPr>
              <w:numPr>
                <w:ilvl w:val="0"/>
                <w:numId w:val="19"/>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0" w:firstLine="709"/>
              <w:jc w:val="both"/>
              <w:rPr>
                <w:rFonts w:ascii="Calibri" w:hAnsi="Calibri" w:cs="Calibri"/>
                <w:lang w:val="ro-RO"/>
              </w:rPr>
            </w:pPr>
            <w:r w:rsidRPr="00AF3608">
              <w:rPr>
                <w:rFonts w:ascii="Calibri" w:hAnsi="Calibri" w:cs="Calibri"/>
                <w:lang w:val="ro-RO"/>
              </w:rPr>
              <w:t>Implementarea măsurilor strategice privind prevenirea fraudei și corupției în administrația și serviciile sistemului de sănătate;</w:t>
            </w:r>
            <w:r w:rsidRPr="00AF3608">
              <w:rPr>
                <w:rFonts w:ascii="Calibri" w:hAnsi="Calibri" w:cs="Calibri"/>
                <w:lang w:val="ro-RO"/>
              </w:rPr>
              <w:tab/>
            </w:r>
          </w:p>
          <w:p w:rsidR="00017871" w:rsidRPr="00AF3608" w:rsidRDefault="00017871" w:rsidP="00120AA6">
            <w:pPr>
              <w:numPr>
                <w:ilvl w:val="0"/>
                <w:numId w:val="19"/>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0" w:firstLine="709"/>
              <w:jc w:val="both"/>
              <w:rPr>
                <w:rFonts w:ascii="Calibri" w:hAnsi="Calibri" w:cs="Calibri"/>
                <w:lang w:val="ro-RO"/>
              </w:rPr>
            </w:pPr>
            <w:r w:rsidRPr="00AF3608">
              <w:rPr>
                <w:rFonts w:ascii="Calibri" w:hAnsi="Calibri" w:cs="Calibri"/>
                <w:lang w:val="ro-RO"/>
              </w:rPr>
              <w:t xml:space="preserve"> Asigurarea accesului pacienților la medicamente și dezvoltarea sistemului de evaluare a tehnologiilor medicale în vederea utilizării medicamentelor inovative eficiente şi a altor tehnologii inovative, concomitent cu asigurarea accesului la medicamente generice:</w:t>
            </w:r>
          </w:p>
          <w:p w:rsidR="00017871" w:rsidRPr="00AF3608" w:rsidRDefault="00017871" w:rsidP="00B723C0">
            <w:pPr>
              <w:tabs>
                <w:tab w:val="left" w:pos="900"/>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567"/>
              <w:jc w:val="both"/>
              <w:rPr>
                <w:rFonts w:ascii="Calibri" w:hAnsi="Calibri" w:cs="Calibri"/>
                <w:lang w:val="ro-RO"/>
              </w:rPr>
            </w:pPr>
            <w:r w:rsidRPr="00AF3608">
              <w:rPr>
                <w:rFonts w:ascii="Calibri" w:hAnsi="Calibri" w:cs="Calibri"/>
                <w:lang w:val="ro-RO"/>
              </w:rPr>
              <w:t xml:space="preserve">  - Elaborarea unei politici publice în domeniul medicamentului, în cadrul Strategiei Naționale de Sănătate 2021-2024, care să asigure accesul continuu al pacienților la medicamente la standarde europene;</w:t>
            </w:r>
          </w:p>
          <w:p w:rsidR="00017871" w:rsidRPr="00AF3608" w:rsidRDefault="00017871" w:rsidP="003A0B85">
            <w:pPr>
              <w:numPr>
                <w:ilvl w:val="0"/>
                <w:numId w:val="84"/>
              </w:numPr>
              <w:tabs>
                <w:tab w:val="left" w:pos="900"/>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0" w:firstLine="567"/>
              <w:jc w:val="both"/>
              <w:rPr>
                <w:rFonts w:ascii="Calibri" w:hAnsi="Calibri" w:cs="Calibri"/>
                <w:lang w:val="ro-RO"/>
              </w:rPr>
            </w:pPr>
            <w:r w:rsidRPr="00AF3608">
              <w:rPr>
                <w:rFonts w:ascii="Calibri" w:hAnsi="Calibri" w:cs="Calibri"/>
                <w:lang w:val="ro-RO"/>
              </w:rPr>
              <w:t>Reintroducerea Listei Medicamentelor Esențiale a Organizației Mondiale a Sănătății în legislație</w:t>
            </w:r>
          </w:p>
          <w:p w:rsidR="00017871" w:rsidRPr="00AF3608" w:rsidRDefault="00017871" w:rsidP="003A0B85">
            <w:pPr>
              <w:numPr>
                <w:ilvl w:val="0"/>
                <w:numId w:val="84"/>
              </w:numPr>
              <w:tabs>
                <w:tab w:val="left" w:pos="900"/>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0" w:firstLine="567"/>
              <w:jc w:val="both"/>
              <w:rPr>
                <w:rFonts w:ascii="Calibri" w:hAnsi="Calibri" w:cs="Calibri"/>
                <w:lang w:val="ro-RO"/>
              </w:rPr>
            </w:pPr>
            <w:r w:rsidRPr="00AF3608">
              <w:rPr>
                <w:rFonts w:ascii="Calibri" w:hAnsi="Calibri" w:cs="Calibri"/>
                <w:lang w:val="ro-RO"/>
              </w:rPr>
              <w:t>Revigorarea mecanismului de raportare a lipsei medicamentelor (www.medicamentelipsa.ms.ro) implementat în 2016; crearea unui hotline dedicat pentru farmacii care să ajute în căutarea medicamentelor cu probleme de discontinuitate si revigorarea mecanismului de raportare a stocurilor implementat în 2016;</w:t>
            </w:r>
          </w:p>
          <w:p w:rsidR="00017871" w:rsidRPr="00AF3608" w:rsidRDefault="00017871" w:rsidP="003A0B85">
            <w:pPr>
              <w:numPr>
                <w:ilvl w:val="0"/>
                <w:numId w:val="84"/>
              </w:numPr>
              <w:tabs>
                <w:tab w:val="left" w:pos="900"/>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0" w:firstLine="567"/>
              <w:jc w:val="both"/>
              <w:rPr>
                <w:rFonts w:ascii="Calibri" w:hAnsi="Calibri" w:cs="Calibri"/>
                <w:lang w:val="ro-RO"/>
              </w:rPr>
            </w:pPr>
            <w:r w:rsidRPr="00AF3608">
              <w:rPr>
                <w:rFonts w:ascii="Calibri" w:hAnsi="Calibri" w:cs="Calibri"/>
                <w:lang w:val="ro-RO"/>
              </w:rPr>
              <w:t xml:space="preserve"> Redefinirea mecanismului de evaluare a tehnologiilor medicale în scopul asigurării acesului pacientilor la noi terapii inovative decontate din fonduri publice;</w:t>
            </w:r>
          </w:p>
          <w:p w:rsidR="00017871" w:rsidRPr="00AF3608" w:rsidRDefault="00017871" w:rsidP="003A0B85">
            <w:pPr>
              <w:numPr>
                <w:ilvl w:val="0"/>
                <w:numId w:val="84"/>
              </w:numPr>
              <w:tabs>
                <w:tab w:val="left" w:pos="900"/>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0" w:firstLine="567"/>
              <w:jc w:val="both"/>
              <w:rPr>
                <w:rFonts w:ascii="Calibri" w:hAnsi="Calibri" w:cs="Calibri"/>
                <w:lang w:val="ro-RO"/>
              </w:rPr>
            </w:pPr>
            <w:r w:rsidRPr="00AF3608">
              <w:rPr>
                <w:rFonts w:ascii="Calibri" w:hAnsi="Calibri" w:cs="Calibri"/>
                <w:lang w:val="ro-RO"/>
              </w:rPr>
              <w:t xml:space="preserve"> Continuarea și îmbunătățirea procesului introducerii în regim de compensare a medicamentelor inovative; </w:t>
            </w:r>
          </w:p>
          <w:p w:rsidR="00017871" w:rsidRPr="00AF3608" w:rsidRDefault="00017871" w:rsidP="003A0B85">
            <w:pPr>
              <w:numPr>
                <w:ilvl w:val="0"/>
                <w:numId w:val="84"/>
              </w:numPr>
              <w:tabs>
                <w:tab w:val="left" w:pos="900"/>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0" w:firstLine="567"/>
              <w:jc w:val="both"/>
              <w:rPr>
                <w:rFonts w:ascii="Calibri" w:hAnsi="Calibri" w:cs="Calibri"/>
                <w:lang w:val="ro-RO"/>
              </w:rPr>
            </w:pPr>
            <w:r w:rsidRPr="00AF3608">
              <w:rPr>
                <w:rFonts w:ascii="Calibri" w:hAnsi="Calibri" w:cs="Calibri"/>
                <w:lang w:val="ro-RO"/>
              </w:rPr>
              <w:t xml:space="preserve"> Creșterea ponderii consumului de medicamente generice și biosimilare si încurajarea industriei locale producătoare de medicamente să asigure medicamentele deficitare; </w:t>
            </w:r>
          </w:p>
          <w:p w:rsidR="00017871" w:rsidRPr="00AF3608" w:rsidRDefault="00017871" w:rsidP="003A0B85">
            <w:pPr>
              <w:numPr>
                <w:ilvl w:val="0"/>
                <w:numId w:val="84"/>
              </w:numPr>
              <w:tabs>
                <w:tab w:val="left" w:pos="900"/>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0" w:firstLine="567"/>
              <w:jc w:val="both"/>
              <w:rPr>
                <w:rFonts w:ascii="Calibri" w:hAnsi="Calibri" w:cs="Calibri"/>
                <w:lang w:val="ro-RO"/>
              </w:rPr>
            </w:pPr>
            <w:r w:rsidRPr="00AF3608">
              <w:rPr>
                <w:rFonts w:ascii="Calibri" w:hAnsi="Calibri" w:cs="Calibri"/>
                <w:lang w:val="ro-RO"/>
              </w:rPr>
              <w:t>Reforma ANMDMR vizând cresterea capacității administrative și a rolului acesteia de autoritate națională de referință în domeniul medicamentului de uz uman, al evaluării tehnologiilor medicale şi al dispozitivelor medicale, creșterea eficientienței procesului de asigurare a populației cu medicamente eficiente și sigure în același timp cu dezvoltarea de mecanisme care să stimuleze cercetarea clinică, dar și minimizarea riscului şi a impactului apariţiei discontinuităților determinate de probleme de fabricaţie şi defecte de calitate prin implementarea de planuri de acţiune eficiente și dezvoltarea de bune practici de comunicare privind discontinuităţile la medicamente;</w:t>
            </w:r>
          </w:p>
          <w:p w:rsidR="00017871" w:rsidRPr="00AF3608" w:rsidRDefault="00017871" w:rsidP="003A0B85">
            <w:pPr>
              <w:numPr>
                <w:ilvl w:val="0"/>
                <w:numId w:val="84"/>
              </w:numPr>
              <w:tabs>
                <w:tab w:val="left" w:pos="900"/>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0" w:firstLine="567"/>
              <w:jc w:val="both"/>
              <w:rPr>
                <w:rFonts w:ascii="Calibri" w:hAnsi="Calibri" w:cs="Calibri"/>
                <w:lang w:val="ro-RO"/>
              </w:rPr>
            </w:pPr>
            <w:r w:rsidRPr="00AF3608">
              <w:rPr>
                <w:rFonts w:ascii="Calibri" w:hAnsi="Calibri" w:cs="Calibri"/>
                <w:lang w:val="ro-RO"/>
              </w:rPr>
              <w:t xml:space="preserve"> Implementarea eficientă a prevederilor legislative actuale în domeniul studiilor clinice și creșterea capacității administrative a Departamentului de Studii Clinice din cadrul ANMDMR. Astfel se asigură accesul pacienților români la tratamente noi, prin reducerea decalajului dintre România și alte țări membre UE în ceea ce privește accesul la noi tratamente inovatoare;</w:t>
            </w:r>
          </w:p>
          <w:p w:rsidR="00017871" w:rsidRPr="00AF3608" w:rsidRDefault="00017871" w:rsidP="003A0B85">
            <w:pPr>
              <w:numPr>
                <w:ilvl w:val="0"/>
                <w:numId w:val="84"/>
              </w:numPr>
              <w:tabs>
                <w:tab w:val="left" w:pos="900"/>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0" w:firstLine="567"/>
              <w:jc w:val="both"/>
              <w:rPr>
                <w:rFonts w:ascii="Calibri" w:hAnsi="Calibri" w:cs="Calibri"/>
                <w:lang w:val="ro-RO"/>
              </w:rPr>
            </w:pPr>
            <w:r w:rsidRPr="00AF3608">
              <w:rPr>
                <w:rFonts w:ascii="Calibri" w:hAnsi="Calibri" w:cs="Calibri"/>
                <w:lang w:val="ro-RO"/>
              </w:rPr>
              <w:t xml:space="preserve"> Revizuirea cadrului de reglementare existent și elaborarea de noi norme legislative în domeniul suplimentelor alimentare, în acord cu rolul acestora asupra sănătății.</w:t>
            </w:r>
          </w:p>
          <w:p w:rsidR="00017871" w:rsidRPr="00AF3608" w:rsidRDefault="00017871" w:rsidP="00120AA6">
            <w:pPr>
              <w:numPr>
                <w:ilvl w:val="0"/>
                <w:numId w:val="19"/>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0" w:firstLine="709"/>
              <w:jc w:val="both"/>
              <w:rPr>
                <w:rFonts w:ascii="Calibri" w:hAnsi="Calibri" w:cs="Calibri"/>
                <w:lang w:val="ro-RO"/>
              </w:rPr>
            </w:pPr>
            <w:r w:rsidRPr="00AF3608">
              <w:rPr>
                <w:rFonts w:ascii="Calibri" w:hAnsi="Calibri" w:cs="Calibri"/>
                <w:lang w:val="ro-RO"/>
              </w:rPr>
              <w:t>Promovarea cercetării şi inovării în sănătate;</w:t>
            </w:r>
          </w:p>
          <w:p w:rsidR="00017871" w:rsidRPr="00AF3608" w:rsidRDefault="00017871" w:rsidP="00120AA6">
            <w:pPr>
              <w:numPr>
                <w:ilvl w:val="0"/>
                <w:numId w:val="19"/>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0" w:firstLine="709"/>
              <w:jc w:val="both"/>
              <w:rPr>
                <w:rFonts w:ascii="Calibri" w:hAnsi="Calibri" w:cs="Calibri"/>
                <w:lang w:val="ro-RO"/>
              </w:rPr>
            </w:pPr>
            <w:r w:rsidRPr="00AF3608">
              <w:rPr>
                <w:rFonts w:ascii="Calibri" w:hAnsi="Calibri" w:cs="Calibri"/>
                <w:lang w:val="ro-RO"/>
              </w:rPr>
              <w:t>Colaborare intersectorială pentru o stare de sănătate mai bună a populaţiei, în special a grupurilor vulnerabile;</w:t>
            </w:r>
            <w:r w:rsidRPr="00AF3608">
              <w:rPr>
                <w:rFonts w:ascii="Calibri" w:hAnsi="Calibri" w:cs="Calibri"/>
                <w:lang w:val="ro-RO"/>
              </w:rPr>
              <w:tab/>
            </w:r>
          </w:p>
          <w:p w:rsidR="00017871" w:rsidRPr="00AF3608" w:rsidRDefault="00017871" w:rsidP="00120AA6">
            <w:pPr>
              <w:numPr>
                <w:ilvl w:val="0"/>
                <w:numId w:val="19"/>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0" w:firstLine="709"/>
              <w:jc w:val="both"/>
              <w:rPr>
                <w:rFonts w:ascii="Calibri" w:hAnsi="Calibri" w:cs="Calibri"/>
                <w:lang w:val="ro-RO"/>
              </w:rPr>
            </w:pPr>
            <w:r w:rsidRPr="00AF3608">
              <w:rPr>
                <w:rFonts w:ascii="Calibri" w:hAnsi="Calibri" w:cs="Calibri"/>
                <w:lang w:val="ro-RO"/>
              </w:rPr>
              <w:t>Eficientizarea sistemului de sănătate prin accelerarea utilizării tehnologiei informaţiei şi comunicaţiilor moderne  (E- sănătate) ;</w:t>
            </w:r>
            <w:r w:rsidRPr="00AF3608">
              <w:rPr>
                <w:rFonts w:ascii="Calibri" w:hAnsi="Calibri" w:cs="Calibri"/>
                <w:lang w:val="ro-RO"/>
              </w:rPr>
              <w:tab/>
            </w:r>
          </w:p>
          <w:p w:rsidR="00017871" w:rsidRPr="00AF3608" w:rsidRDefault="00017871" w:rsidP="00120AA6">
            <w:pPr>
              <w:numPr>
                <w:ilvl w:val="0"/>
                <w:numId w:val="19"/>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0" w:firstLine="709"/>
              <w:jc w:val="both"/>
              <w:rPr>
                <w:rFonts w:ascii="Calibri" w:hAnsi="Calibri" w:cs="Calibri"/>
                <w:lang w:val="ro-RO"/>
              </w:rPr>
            </w:pPr>
            <w:r w:rsidRPr="00AF3608">
              <w:rPr>
                <w:rFonts w:ascii="Calibri" w:hAnsi="Calibri" w:cs="Calibri"/>
                <w:lang w:val="ro-RO"/>
              </w:rPr>
              <w:lastRenderedPageBreak/>
              <w:t>Dezvoltarea infrastructurii adecvate la nivel naţional, regional şi local, în vederea reducerii inechităţii in accesul la serviciile de sănătate.</w:t>
            </w:r>
          </w:p>
          <w:p w:rsidR="00017871" w:rsidRPr="00AF3608" w:rsidRDefault="00017871" w:rsidP="00B723C0">
            <w:pPr>
              <w:tabs>
                <w:tab w:val="left" w:pos="720"/>
              </w:tabs>
              <w:autoSpaceDE w:val="0"/>
              <w:autoSpaceDN w:val="0"/>
              <w:adjustRightInd w:val="0"/>
              <w:spacing w:before="120"/>
              <w:jc w:val="both"/>
              <w:rPr>
                <w:rFonts w:ascii="Calibri" w:hAnsi="Calibri" w:cs="Calibri"/>
                <w:lang w:val="ro-RO"/>
              </w:rPr>
            </w:pPr>
          </w:p>
        </w:tc>
      </w:tr>
      <w:tr w:rsidR="00017871" w:rsidRPr="00AF3608" w:rsidTr="00017871">
        <w:trPr>
          <w:trHeight w:val="80"/>
        </w:trPr>
        <w:tc>
          <w:tcPr>
            <w:tcW w:w="2324" w:type="dxa"/>
            <w:vMerge w:val="restart"/>
            <w:shd w:val="clear" w:color="auto" w:fill="auto"/>
            <w:vAlign w:val="center"/>
          </w:tcPr>
          <w:p w:rsidR="00017871" w:rsidRPr="00AF3608" w:rsidRDefault="00017871" w:rsidP="00B723C0">
            <w:pPr>
              <w:pStyle w:val="Default"/>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ascii="Calibri" w:hAnsi="Calibri" w:cs="Calibri"/>
                <w:b/>
                <w:color w:val="538135" w:themeColor="accent6" w:themeShade="BF"/>
                <w:lang w:val="ro-RO"/>
              </w:rPr>
            </w:pPr>
            <w:r w:rsidRPr="00AF3608">
              <w:rPr>
                <w:rFonts w:ascii="Calibri" w:hAnsi="Calibri" w:cs="Calibri"/>
                <w:b/>
                <w:color w:val="538135" w:themeColor="accent6" w:themeShade="BF"/>
                <w:lang w:val="ro-RO"/>
              </w:rPr>
              <w:lastRenderedPageBreak/>
              <w:t>Rezultate aşteptate:</w:t>
            </w:r>
          </w:p>
          <w:p w:rsidR="00017871" w:rsidRPr="00AF3608" w:rsidRDefault="00017871" w:rsidP="00B723C0">
            <w:pPr>
              <w:pStyle w:val="Default"/>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ascii="Calibri" w:hAnsi="Calibri" w:cs="Calibri"/>
                <w:i/>
                <w:iCs/>
                <w:color w:val="538135" w:themeColor="accent6" w:themeShade="BF"/>
                <w:lang w:val="ro-RO"/>
              </w:rPr>
            </w:pPr>
            <w:r w:rsidRPr="00AF3608">
              <w:rPr>
                <w:rFonts w:ascii="Calibri" w:hAnsi="Calibri" w:cs="Calibri"/>
                <w:i/>
                <w:iCs/>
                <w:color w:val="538135" w:themeColor="accent6" w:themeShade="BF"/>
                <w:lang w:val="ro-RO"/>
              </w:rPr>
              <w:t>În urma implementării acestor politici sistemul de sănătate din România va avea pe termen mediu şi lung  următoarele caracteristici minimale:</w:t>
            </w:r>
          </w:p>
          <w:p w:rsidR="00017871" w:rsidRPr="00AF3608" w:rsidRDefault="00017871" w:rsidP="00B723C0">
            <w:pPr>
              <w:shd w:val="clear" w:color="auto" w:fill="FFFFFF"/>
              <w:spacing w:before="120"/>
              <w:jc w:val="center"/>
              <w:rPr>
                <w:rFonts w:ascii="Calibri" w:hAnsi="Calibri" w:cs="Calibri"/>
                <w:iCs/>
                <w:color w:val="538135" w:themeColor="accent6" w:themeShade="BF"/>
                <w:lang w:val="ro-RO" w:eastAsia="en-GB"/>
              </w:rPr>
            </w:pPr>
          </w:p>
        </w:tc>
        <w:tc>
          <w:tcPr>
            <w:tcW w:w="7235" w:type="dxa"/>
            <w:shd w:val="clear" w:color="auto" w:fill="auto"/>
          </w:tcPr>
          <w:p w:rsidR="00017871" w:rsidRPr="00AF3608" w:rsidRDefault="00017871" w:rsidP="00120AA6">
            <w:pPr>
              <w:pStyle w:val="Default"/>
              <w:numPr>
                <w:ilvl w:val="0"/>
                <w:numId w:val="20"/>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0" w:firstLine="709"/>
              <w:jc w:val="both"/>
              <w:rPr>
                <w:rFonts w:ascii="Calibri" w:hAnsi="Calibri" w:cs="Calibri"/>
                <w:lang w:val="ro-RO"/>
              </w:rPr>
            </w:pPr>
            <w:r w:rsidRPr="00AF3608">
              <w:rPr>
                <w:rFonts w:ascii="Calibri" w:hAnsi="Calibri" w:cs="Calibri"/>
                <w:lang w:val="ro-RO"/>
              </w:rPr>
              <w:t>furnizează, permanent, servicii de să</w:t>
            </w:r>
            <w:r w:rsidR="007410E5" w:rsidRPr="00AF3608">
              <w:rPr>
                <w:rFonts w:ascii="Calibri" w:hAnsi="Calibri" w:cs="Calibri"/>
                <w:lang w:val="ro-RO"/>
              </w:rPr>
              <w:t>nătate sigure şi eficiente, iar</w:t>
            </w:r>
            <w:r w:rsidRPr="00AF3608">
              <w:rPr>
                <w:rFonts w:ascii="Calibri" w:hAnsi="Calibri" w:cs="Calibri"/>
                <w:lang w:val="ro-RO"/>
              </w:rPr>
              <w:t xml:space="preserve"> pacientul primeşte serviciile medicale de care are nevoie, la toate nivelurile de asistenţă medicală (primar, secundar, terţiar);</w:t>
            </w:r>
          </w:p>
        </w:tc>
      </w:tr>
      <w:tr w:rsidR="00017871" w:rsidRPr="00AF3608" w:rsidTr="00017871">
        <w:trPr>
          <w:trHeight w:val="80"/>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
                <w:bCs/>
                <w:i/>
                <w:color w:val="0000FF"/>
                <w:lang w:val="ro-RO" w:eastAsia="en-GB"/>
              </w:rPr>
            </w:pPr>
          </w:p>
        </w:tc>
        <w:tc>
          <w:tcPr>
            <w:tcW w:w="7235" w:type="dxa"/>
            <w:shd w:val="clear" w:color="auto" w:fill="auto"/>
          </w:tcPr>
          <w:p w:rsidR="00017871" w:rsidRPr="00AF3608" w:rsidRDefault="00017871" w:rsidP="00120AA6">
            <w:pPr>
              <w:pStyle w:val="Default"/>
              <w:numPr>
                <w:ilvl w:val="0"/>
                <w:numId w:val="20"/>
              </w:numPr>
              <w:tabs>
                <w:tab w:val="left" w:pos="36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0" w:firstLine="709"/>
              <w:jc w:val="both"/>
              <w:rPr>
                <w:rFonts w:ascii="Calibri" w:hAnsi="Calibri" w:cs="Calibri"/>
                <w:lang w:val="ro-RO"/>
              </w:rPr>
            </w:pPr>
            <w:r w:rsidRPr="00AF3608">
              <w:rPr>
                <w:rFonts w:ascii="Calibri" w:hAnsi="Calibri" w:cs="Calibri"/>
                <w:lang w:val="ro-RO"/>
              </w:rPr>
              <w:t>politicile publice de la cele de alocare a resurselor la nivel naţional, până la cele legate de metodele de diagnostic şi tratament se vor baza pe cele mai bune cunoştinţe ştiinţifice şi tehnologice existente;</w:t>
            </w:r>
          </w:p>
        </w:tc>
      </w:tr>
      <w:tr w:rsidR="00017871" w:rsidRPr="00AF3608" w:rsidTr="00017871">
        <w:trPr>
          <w:trHeight w:val="80"/>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
                <w:bCs/>
                <w:i/>
                <w:color w:val="0000FF"/>
                <w:lang w:val="ro-RO" w:eastAsia="en-GB"/>
              </w:rPr>
            </w:pPr>
          </w:p>
        </w:tc>
        <w:tc>
          <w:tcPr>
            <w:tcW w:w="7235" w:type="dxa"/>
            <w:shd w:val="clear" w:color="auto" w:fill="auto"/>
          </w:tcPr>
          <w:p w:rsidR="00017871" w:rsidRPr="00AF3608" w:rsidRDefault="00017871" w:rsidP="00120AA6">
            <w:pPr>
              <w:pStyle w:val="Default"/>
              <w:numPr>
                <w:ilvl w:val="0"/>
                <w:numId w:val="20"/>
              </w:numPr>
              <w:tabs>
                <w:tab w:val="left" w:pos="36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0" w:firstLine="709"/>
              <w:jc w:val="both"/>
              <w:rPr>
                <w:rFonts w:ascii="Calibri" w:hAnsi="Calibri" w:cs="Calibri"/>
                <w:lang w:val="ro-RO"/>
              </w:rPr>
            </w:pPr>
            <w:r w:rsidRPr="00AF3608">
              <w:rPr>
                <w:rFonts w:ascii="Calibri" w:hAnsi="Calibri" w:cs="Calibri"/>
                <w:lang w:val="ro-RO"/>
              </w:rPr>
              <w:t>asigurarea calităţii serviciilor medicale;</w:t>
            </w:r>
          </w:p>
        </w:tc>
      </w:tr>
      <w:tr w:rsidR="00017871" w:rsidRPr="00AF3608" w:rsidTr="00017871">
        <w:trPr>
          <w:trHeight w:val="80"/>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
                <w:bCs/>
                <w:i/>
                <w:color w:val="0000FF"/>
                <w:lang w:val="ro-RO" w:eastAsia="en-GB"/>
              </w:rPr>
            </w:pPr>
          </w:p>
        </w:tc>
        <w:tc>
          <w:tcPr>
            <w:tcW w:w="7235" w:type="dxa"/>
            <w:shd w:val="clear" w:color="auto" w:fill="auto"/>
          </w:tcPr>
          <w:p w:rsidR="00017871" w:rsidRPr="00AF3608" w:rsidRDefault="00017871" w:rsidP="00120AA6">
            <w:pPr>
              <w:pStyle w:val="Default"/>
              <w:numPr>
                <w:ilvl w:val="0"/>
                <w:numId w:val="20"/>
              </w:numPr>
              <w:tabs>
                <w:tab w:val="left" w:pos="36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0" w:firstLine="709"/>
              <w:jc w:val="both"/>
              <w:rPr>
                <w:rFonts w:ascii="Calibri" w:hAnsi="Calibri" w:cs="Calibri"/>
                <w:lang w:val="ro-RO"/>
              </w:rPr>
            </w:pPr>
            <w:r w:rsidRPr="00AF3608">
              <w:rPr>
                <w:rFonts w:ascii="Calibri" w:hAnsi="Calibri" w:cs="Calibri"/>
                <w:lang w:val="ro-RO"/>
              </w:rPr>
              <w:t>reducerea riscului şi asigurarea siguranţei pacientului va fi sprijinită prin sistemele şi procedurile informaţionale propuse şi prin sistemul de monitorizare a calităţii, care vor ajuta la recunoaşterea, prevenirea şi diminuarea erorilor;</w:t>
            </w:r>
          </w:p>
        </w:tc>
      </w:tr>
      <w:tr w:rsidR="00017871" w:rsidRPr="00AF3608" w:rsidTr="00017871">
        <w:trPr>
          <w:trHeight w:val="80"/>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
                <w:bCs/>
                <w:i/>
                <w:color w:val="0000FF"/>
                <w:lang w:val="ro-RO" w:eastAsia="en-GB"/>
              </w:rPr>
            </w:pPr>
          </w:p>
        </w:tc>
        <w:tc>
          <w:tcPr>
            <w:tcW w:w="7235" w:type="dxa"/>
            <w:shd w:val="clear" w:color="auto" w:fill="auto"/>
          </w:tcPr>
          <w:p w:rsidR="00017871" w:rsidRPr="00AF3608" w:rsidRDefault="00017871" w:rsidP="00120AA6">
            <w:pPr>
              <w:pStyle w:val="Default"/>
              <w:numPr>
                <w:ilvl w:val="0"/>
                <w:numId w:val="20"/>
              </w:numPr>
              <w:tabs>
                <w:tab w:val="left" w:pos="36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0" w:firstLine="709"/>
              <w:jc w:val="both"/>
              <w:rPr>
                <w:rFonts w:ascii="Calibri" w:hAnsi="Calibri" w:cs="Calibri"/>
                <w:lang w:val="ro-RO"/>
              </w:rPr>
            </w:pPr>
            <w:r w:rsidRPr="00AF3608">
              <w:rPr>
                <w:rFonts w:ascii="Calibri" w:hAnsi="Calibri" w:cs="Calibri"/>
                <w:lang w:val="ro-RO"/>
              </w:rPr>
              <w:t>optimizarea sistemului se va axa pe facilitarea cooperării intersectoriale, esenţială pentru abordarea determinanţilor sănătăţii cu impact crescut asupra sănătăţii.</w:t>
            </w:r>
          </w:p>
          <w:p w:rsidR="00017871" w:rsidRPr="00AF3608" w:rsidRDefault="00017871" w:rsidP="00B723C0">
            <w:pPr>
              <w:pStyle w:val="Default"/>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jc w:val="both"/>
              <w:rPr>
                <w:rFonts w:ascii="Calibri" w:hAnsi="Calibri" w:cs="Calibri"/>
                <w:lang w:val="ro-RO"/>
              </w:rPr>
            </w:pPr>
          </w:p>
        </w:tc>
      </w:tr>
      <w:tr w:rsidR="00017871" w:rsidRPr="00AF3608" w:rsidTr="00017871">
        <w:trPr>
          <w:trHeight w:val="80"/>
        </w:trPr>
        <w:tc>
          <w:tcPr>
            <w:tcW w:w="9559" w:type="dxa"/>
            <w:gridSpan w:val="2"/>
            <w:shd w:val="clear" w:color="auto" w:fill="auto"/>
            <w:vAlign w:val="center"/>
          </w:tcPr>
          <w:p w:rsidR="00017871" w:rsidRPr="00AF3608" w:rsidRDefault="00017871" w:rsidP="00B723C0">
            <w:pPr>
              <w:tabs>
                <w:tab w:val="left" w:pos="36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Calibri" w:hAnsi="Calibri" w:cs="Calibri"/>
                <w:lang w:val="ro-RO"/>
              </w:rPr>
            </w:pPr>
            <w:r w:rsidRPr="00AF3608">
              <w:rPr>
                <w:rFonts w:ascii="Calibri" w:hAnsi="Calibri" w:cs="Calibri"/>
                <w:lang w:val="ro-RO"/>
              </w:rPr>
              <w:t>Pentru implementarea obiectivelor şi măsurilor subsecvente și pentru asigurarea funcționarii în condiții de calitate a sistemului sanitar sunt absolut necesare urmatoarele măsuri:</w:t>
            </w:r>
          </w:p>
          <w:p w:rsidR="00017871" w:rsidRPr="00AF3608" w:rsidRDefault="00017871" w:rsidP="00120AA6">
            <w:pPr>
              <w:numPr>
                <w:ilvl w:val="1"/>
                <w:numId w:val="22"/>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Calibri" w:hAnsi="Calibri" w:cs="Calibri"/>
                <w:i/>
                <w:lang w:val="ro-RO"/>
              </w:rPr>
            </w:pPr>
            <w:r w:rsidRPr="00AF3608">
              <w:rPr>
                <w:rFonts w:ascii="Calibri" w:hAnsi="Calibri" w:cs="Calibri"/>
                <w:i/>
                <w:lang w:val="ro-RO"/>
              </w:rPr>
              <w:t>creșterea graduală a resurselor alocate;</w:t>
            </w:r>
          </w:p>
          <w:p w:rsidR="00017871" w:rsidRPr="00AF3608" w:rsidRDefault="00017871" w:rsidP="00120AA6">
            <w:pPr>
              <w:numPr>
                <w:ilvl w:val="1"/>
                <w:numId w:val="22"/>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Calibri" w:hAnsi="Calibri" w:cs="Calibri"/>
                <w:i/>
                <w:lang w:val="ro-RO"/>
              </w:rPr>
            </w:pPr>
            <w:r w:rsidRPr="00AF3608">
              <w:rPr>
                <w:rFonts w:ascii="Calibri" w:hAnsi="Calibri" w:cs="Calibri"/>
                <w:i/>
                <w:lang w:val="ro-RO"/>
              </w:rPr>
              <w:t>creșterea finanțării asistenței mediale de urgență;</w:t>
            </w:r>
          </w:p>
          <w:p w:rsidR="00017871" w:rsidRPr="00AF3608" w:rsidRDefault="00017871" w:rsidP="00120AA6">
            <w:pPr>
              <w:numPr>
                <w:ilvl w:val="1"/>
                <w:numId w:val="22"/>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Calibri" w:hAnsi="Calibri" w:cs="Calibri"/>
                <w:i/>
                <w:lang w:val="ro-RO"/>
              </w:rPr>
            </w:pPr>
            <w:r w:rsidRPr="00AF3608">
              <w:rPr>
                <w:rFonts w:ascii="Calibri" w:hAnsi="Calibri" w:cs="Calibri"/>
                <w:i/>
                <w:lang w:val="ro-RO"/>
              </w:rPr>
              <w:t>susținerea financiară a programelor de sănătate;</w:t>
            </w:r>
          </w:p>
          <w:p w:rsidR="00017871" w:rsidRPr="00AF3608" w:rsidRDefault="00017871" w:rsidP="00120AA6">
            <w:pPr>
              <w:numPr>
                <w:ilvl w:val="1"/>
                <w:numId w:val="22"/>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Calibri" w:hAnsi="Calibri" w:cs="Calibri"/>
                <w:i/>
                <w:lang w:val="ro-RO"/>
              </w:rPr>
            </w:pPr>
            <w:r w:rsidRPr="00AF3608">
              <w:rPr>
                <w:rFonts w:ascii="Calibri" w:hAnsi="Calibri" w:cs="Calibri"/>
                <w:i/>
                <w:lang w:val="ro-RO"/>
              </w:rPr>
              <w:t>finanțarea reabilitării, consolidării  unor unități sanitare publice;</w:t>
            </w:r>
          </w:p>
          <w:p w:rsidR="00017871" w:rsidRPr="00AF3608" w:rsidRDefault="00017871" w:rsidP="00120AA6">
            <w:pPr>
              <w:numPr>
                <w:ilvl w:val="1"/>
                <w:numId w:val="22"/>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Calibri" w:hAnsi="Calibri" w:cs="Calibri"/>
                <w:i/>
                <w:lang w:val="ro-RO"/>
              </w:rPr>
            </w:pPr>
            <w:r w:rsidRPr="00AF3608">
              <w:rPr>
                <w:rFonts w:ascii="Calibri" w:hAnsi="Calibri" w:cs="Calibri"/>
                <w:i/>
                <w:lang w:val="ro-RO"/>
              </w:rPr>
              <w:t>finanțarea construirii de noi spitale;</w:t>
            </w:r>
          </w:p>
          <w:p w:rsidR="00017871" w:rsidRPr="00AF3608" w:rsidRDefault="00017871" w:rsidP="00120AA6">
            <w:pPr>
              <w:numPr>
                <w:ilvl w:val="1"/>
                <w:numId w:val="22"/>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Calibri" w:hAnsi="Calibri" w:cs="Calibri"/>
                <w:i/>
                <w:lang w:val="ro-RO"/>
              </w:rPr>
            </w:pPr>
            <w:r w:rsidRPr="00AF3608">
              <w:rPr>
                <w:rFonts w:ascii="Calibri" w:hAnsi="Calibri" w:cs="Calibri"/>
                <w:i/>
                <w:lang w:val="ro-RO"/>
              </w:rPr>
              <w:t>finanțarea achiziționării și a dotării unităților sanitare cu echipamente medicale, cu aparatură medicală și mijloace de transport sanitar;</w:t>
            </w:r>
          </w:p>
          <w:p w:rsidR="00017871" w:rsidRPr="00AF3608" w:rsidRDefault="00017871" w:rsidP="00120AA6">
            <w:pPr>
              <w:numPr>
                <w:ilvl w:val="1"/>
                <w:numId w:val="22"/>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Calibri" w:hAnsi="Calibri" w:cs="Calibri"/>
                <w:i/>
                <w:lang w:val="ro-RO"/>
              </w:rPr>
            </w:pPr>
            <w:r w:rsidRPr="00AF3608">
              <w:rPr>
                <w:rFonts w:ascii="Calibri" w:hAnsi="Calibri" w:cs="Calibri"/>
                <w:i/>
                <w:lang w:val="ro-RO"/>
              </w:rPr>
              <w:t>acordarea de sprijin financiar îmbunătățirea infrastructurii și dotarea spitalelor publice din rețeaua autorităților administrației publice locale.</w:t>
            </w:r>
          </w:p>
        </w:tc>
      </w:tr>
      <w:tr w:rsidR="00017871" w:rsidRPr="00AF3608" w:rsidTr="00017871">
        <w:trPr>
          <w:trHeight w:val="80"/>
        </w:trPr>
        <w:tc>
          <w:tcPr>
            <w:tcW w:w="9559" w:type="dxa"/>
            <w:gridSpan w:val="2"/>
            <w:shd w:val="clear" w:color="auto" w:fill="auto"/>
            <w:vAlign w:val="center"/>
          </w:tcPr>
          <w:p w:rsidR="007410E5" w:rsidRPr="00AF3608" w:rsidRDefault="007410E5" w:rsidP="00B723C0">
            <w:pPr>
              <w:tabs>
                <w:tab w:val="left" w:pos="36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ascii="Calibri" w:hAnsi="Calibri" w:cs="Calibri"/>
                <w:bCs/>
                <w:lang w:val="ro-RO"/>
              </w:rPr>
            </w:pPr>
          </w:p>
          <w:p w:rsidR="007410E5" w:rsidRPr="00AF3608" w:rsidRDefault="007410E5" w:rsidP="00B723C0">
            <w:pPr>
              <w:pStyle w:val="ListParagraph"/>
              <w:spacing w:before="120"/>
              <w:ind w:left="0"/>
              <w:rPr>
                <w:rFonts w:ascii="Calibri" w:hAnsi="Calibri" w:cs="Calibri"/>
                <w:b/>
                <w:bCs/>
                <w:color w:val="538135" w:themeColor="accent6" w:themeShade="BF"/>
              </w:rPr>
            </w:pPr>
            <w:r w:rsidRPr="00AF3608">
              <w:rPr>
                <w:rFonts w:ascii="Calibri" w:hAnsi="Calibri" w:cs="Calibri"/>
                <w:b/>
                <w:bCs/>
                <w:color w:val="538135" w:themeColor="accent6" w:themeShade="BF"/>
              </w:rPr>
              <w:t>PROIECTE DERULATE CU FONDURI EXTERNE</w:t>
            </w:r>
          </w:p>
          <w:p w:rsidR="00017871" w:rsidRPr="00AF3608" w:rsidRDefault="00017871" w:rsidP="003A0B85">
            <w:pPr>
              <w:pStyle w:val="ListParagraph"/>
              <w:numPr>
                <w:ilvl w:val="0"/>
                <w:numId w:val="88"/>
              </w:numPr>
              <w:spacing w:before="120"/>
              <w:rPr>
                <w:rFonts w:ascii="Calibri" w:eastAsia="Times New Roman" w:hAnsi="Calibri" w:cs="Calibri"/>
                <w:b/>
                <w:bCs/>
                <w:color w:val="538135" w:themeColor="accent6" w:themeShade="BF"/>
              </w:rPr>
            </w:pPr>
            <w:r w:rsidRPr="00AF3608">
              <w:rPr>
                <w:rFonts w:ascii="Calibri" w:hAnsi="Calibri" w:cs="Calibri"/>
                <w:b/>
                <w:bCs/>
                <w:color w:val="538135" w:themeColor="accent6" w:themeShade="BF"/>
                <w:u w:val="single"/>
              </w:rPr>
              <w:t>PROGRAM PROVOCARI ÎN SĂNĂTATEA PUBLICĂ LA NIVEL EUROPEAN- GRANTURILE SEE 2014-2021 (Norvegia, Islanda, Liechtenstein)</w:t>
            </w:r>
          </w:p>
        </w:tc>
      </w:tr>
      <w:tr w:rsidR="00017871" w:rsidRPr="00AF3608" w:rsidTr="00017871">
        <w:trPr>
          <w:trHeight w:val="80"/>
        </w:trPr>
        <w:tc>
          <w:tcPr>
            <w:tcW w:w="9559" w:type="dxa"/>
            <w:gridSpan w:val="2"/>
            <w:shd w:val="clear" w:color="auto" w:fill="auto"/>
            <w:vAlign w:val="center"/>
          </w:tcPr>
          <w:p w:rsidR="00017871" w:rsidRPr="00AF3608" w:rsidRDefault="00017871" w:rsidP="00B723C0">
            <w:pPr>
              <w:spacing w:before="120"/>
              <w:jc w:val="both"/>
              <w:rPr>
                <w:rFonts w:ascii="Calibri" w:eastAsia="Calibri" w:hAnsi="Calibri" w:cs="Calibri"/>
                <w:b/>
                <w:bCs/>
                <w:i/>
                <w:lang w:val="ro-RO"/>
              </w:rPr>
            </w:pPr>
            <w:r w:rsidRPr="00AF3608">
              <w:rPr>
                <w:rFonts w:ascii="Calibri" w:eastAsia="Calibri" w:hAnsi="Calibri" w:cs="Calibri"/>
                <w:b/>
                <w:bCs/>
                <w:i/>
                <w:lang w:val="ro-RO"/>
              </w:rPr>
              <w:t>PROIECTE PREDEFINITE</w:t>
            </w:r>
          </w:p>
          <w:p w:rsidR="00017871" w:rsidRPr="00AF3608" w:rsidRDefault="00017871" w:rsidP="00B723C0">
            <w:pPr>
              <w:spacing w:before="120"/>
              <w:jc w:val="both"/>
              <w:rPr>
                <w:rFonts w:ascii="Calibri" w:eastAsia="Calibri" w:hAnsi="Calibri" w:cs="Calibri"/>
                <w:bCs/>
                <w:lang w:val="ro-RO"/>
              </w:rPr>
            </w:pPr>
            <w:r w:rsidRPr="00AF3608">
              <w:rPr>
                <w:rFonts w:ascii="Calibri" w:eastAsia="Calibri" w:hAnsi="Calibri" w:cs="Calibri"/>
                <w:b/>
                <w:bCs/>
                <w:u w:val="single"/>
                <w:lang w:val="ro-RO"/>
              </w:rPr>
              <w:t>Proiect 1:</w:t>
            </w:r>
            <w:r w:rsidRPr="00AF3608">
              <w:rPr>
                <w:rFonts w:ascii="Calibri" w:eastAsia="Calibri" w:hAnsi="Calibri" w:cs="Calibri"/>
                <w:bCs/>
                <w:lang w:val="ro-RO"/>
              </w:rPr>
              <w:t xml:space="preserve"> Consolidarea rețelei naționale de furnizori de servicii medicale primare pentru îmbunătățirea stării de sănătate a populației, copii și adulți (inclusiv populația vulnerabilă)</w:t>
            </w:r>
          </w:p>
          <w:p w:rsidR="00017871" w:rsidRPr="00AF3608" w:rsidRDefault="00017871" w:rsidP="00B723C0">
            <w:pPr>
              <w:spacing w:before="120"/>
              <w:jc w:val="both"/>
              <w:rPr>
                <w:rFonts w:ascii="Calibri" w:eastAsia="Calibri" w:hAnsi="Calibri" w:cs="Calibri"/>
                <w:b/>
                <w:bCs/>
                <w:u w:val="single"/>
                <w:lang w:val="ro-RO"/>
              </w:rPr>
            </w:pPr>
            <w:r w:rsidRPr="00AF3608">
              <w:rPr>
                <w:rFonts w:ascii="Calibri" w:eastAsia="Calibri" w:hAnsi="Calibri" w:cs="Calibri"/>
                <w:b/>
                <w:bCs/>
                <w:u w:val="single"/>
                <w:lang w:val="ro-RO"/>
              </w:rPr>
              <w:t xml:space="preserve">Proiect 2: </w:t>
            </w:r>
            <w:r w:rsidRPr="00AF3608">
              <w:rPr>
                <w:rFonts w:ascii="Calibri" w:eastAsia="Calibri" w:hAnsi="Calibri" w:cs="Calibri"/>
                <w:bCs/>
                <w:lang w:val="ro-RO"/>
              </w:rPr>
              <w:t>Consolidarea la nivel național a capacității sectorului de sănătate  românesc pentru  implementarea de programe de screening pentru tipurile de cancer adecvate la intervenții de detectare precoce eficiente - CEDICROM 2</w:t>
            </w:r>
          </w:p>
          <w:p w:rsidR="00017871" w:rsidRPr="00AF3608" w:rsidRDefault="00017871" w:rsidP="00B723C0">
            <w:pPr>
              <w:spacing w:before="120"/>
              <w:jc w:val="both"/>
              <w:rPr>
                <w:rFonts w:ascii="Calibri" w:eastAsia="Calibri" w:hAnsi="Calibri" w:cs="Calibri"/>
                <w:bCs/>
                <w:lang w:val="ro-RO"/>
              </w:rPr>
            </w:pPr>
            <w:r w:rsidRPr="00AF3608">
              <w:rPr>
                <w:rFonts w:ascii="Calibri" w:eastAsia="Calibri" w:hAnsi="Calibri" w:cs="Calibri"/>
                <w:b/>
                <w:bCs/>
                <w:u w:val="single"/>
                <w:lang w:val="ro-RO"/>
              </w:rPr>
              <w:lastRenderedPageBreak/>
              <w:t>Proiect 3:</w:t>
            </w:r>
            <w:r w:rsidRPr="00AF3608">
              <w:rPr>
                <w:rFonts w:ascii="Calibri" w:eastAsia="Calibri" w:hAnsi="Calibri" w:cs="Calibri"/>
                <w:bCs/>
                <w:lang w:val="ro-RO"/>
              </w:rPr>
              <w:t xml:space="preserve"> Crearea unui registru de urmărire a remodelării ventriculare stângi post-infarct miocardic acut, în scopul prevenirii insuficientei cardiace</w:t>
            </w:r>
          </w:p>
          <w:p w:rsidR="00017871" w:rsidRPr="00AF3608" w:rsidRDefault="00017871" w:rsidP="00B723C0">
            <w:pPr>
              <w:spacing w:before="120"/>
              <w:jc w:val="both"/>
              <w:rPr>
                <w:rFonts w:ascii="Calibri" w:eastAsia="Calibri" w:hAnsi="Calibri" w:cs="Calibri"/>
                <w:bCs/>
                <w:lang w:val="ro-RO"/>
              </w:rPr>
            </w:pPr>
            <w:r w:rsidRPr="00AF3608">
              <w:rPr>
                <w:rFonts w:ascii="Calibri" w:eastAsia="Calibri" w:hAnsi="Calibri" w:cs="Calibri"/>
                <w:b/>
                <w:bCs/>
                <w:u w:val="single"/>
                <w:lang w:val="ro-RO"/>
              </w:rPr>
              <w:t>Proiect 4:</w:t>
            </w:r>
            <w:r w:rsidRPr="00AF3608">
              <w:rPr>
                <w:rFonts w:ascii="Calibri" w:eastAsia="Calibri" w:hAnsi="Calibri" w:cs="Calibri"/>
                <w:bCs/>
                <w:lang w:val="ro-RO"/>
              </w:rPr>
              <w:t xml:space="preserve">  Întărirea controlului TB în România, prin punerea în aplicare a strategiei WHO END TB 2016-2020</w:t>
            </w:r>
          </w:p>
          <w:p w:rsidR="00017871" w:rsidRPr="00AF3608" w:rsidRDefault="00017871" w:rsidP="00B723C0">
            <w:pPr>
              <w:spacing w:before="120"/>
              <w:jc w:val="both"/>
              <w:rPr>
                <w:rFonts w:ascii="Calibri" w:eastAsia="Calibri" w:hAnsi="Calibri" w:cs="Calibri"/>
                <w:bCs/>
                <w:lang w:val="ro-RO"/>
              </w:rPr>
            </w:pPr>
            <w:r w:rsidRPr="00AF3608">
              <w:rPr>
                <w:rFonts w:ascii="Calibri" w:eastAsia="Calibri" w:hAnsi="Calibri" w:cs="Calibri"/>
                <w:b/>
                <w:bCs/>
                <w:u w:val="single"/>
                <w:lang w:val="ro-RO"/>
              </w:rPr>
              <w:t>Proiect 5</w:t>
            </w:r>
            <w:r w:rsidRPr="00AF3608">
              <w:rPr>
                <w:rFonts w:ascii="Calibri" w:eastAsia="Calibri" w:hAnsi="Calibri" w:cs="Calibri"/>
                <w:bCs/>
                <w:lang w:val="ro-RO"/>
              </w:rPr>
              <w:t>: Creșterea performanței în diagnosticul și tratamentul cancerelor la copii prin îmbunătățirea echipamentului tehnic, achiziția de aparatură modernă, instruirea personalului medical și dezvoltarea de recomandări</w:t>
            </w:r>
          </w:p>
          <w:p w:rsidR="00017871" w:rsidRPr="00AF3608" w:rsidRDefault="00017871" w:rsidP="00B723C0">
            <w:pPr>
              <w:spacing w:before="120"/>
              <w:jc w:val="both"/>
              <w:rPr>
                <w:rFonts w:ascii="Calibri" w:eastAsia="Calibri" w:hAnsi="Calibri" w:cs="Calibri"/>
                <w:bCs/>
                <w:lang w:val="ro-RO"/>
              </w:rPr>
            </w:pPr>
            <w:r w:rsidRPr="00AF3608">
              <w:rPr>
                <w:rFonts w:ascii="Calibri" w:eastAsia="Calibri" w:hAnsi="Calibri" w:cs="Calibri"/>
                <w:b/>
                <w:bCs/>
                <w:u w:val="single"/>
                <w:lang w:val="ro-RO"/>
              </w:rPr>
              <w:t>Proiect 6:</w:t>
            </w:r>
            <w:r w:rsidRPr="00AF3608">
              <w:rPr>
                <w:rFonts w:ascii="Calibri" w:eastAsia="Calibri" w:hAnsi="Calibri" w:cs="Calibri"/>
                <w:bCs/>
                <w:lang w:val="ro-RO"/>
              </w:rPr>
              <w:t xml:space="preserve"> Întărirea capacității institutionale pentru controlul infecțiilor spitalicești și gestionarea consumului de antibiotic</w:t>
            </w:r>
          </w:p>
          <w:p w:rsidR="00017871" w:rsidRPr="00AF3608" w:rsidRDefault="00017871" w:rsidP="00B723C0">
            <w:pPr>
              <w:spacing w:before="120"/>
              <w:jc w:val="both"/>
              <w:rPr>
                <w:rFonts w:ascii="Calibri" w:eastAsia="Calibri" w:hAnsi="Calibri" w:cs="Calibri"/>
                <w:b/>
                <w:bCs/>
                <w:i/>
                <w:lang w:val="ro-RO"/>
              </w:rPr>
            </w:pPr>
            <w:r w:rsidRPr="00AF3608">
              <w:rPr>
                <w:rFonts w:ascii="Calibri" w:eastAsia="Calibri" w:hAnsi="Calibri" w:cs="Calibri"/>
                <w:b/>
                <w:bCs/>
                <w:u w:val="single"/>
                <w:lang w:val="ro-RO"/>
              </w:rPr>
              <w:t>Proiect 7:</w:t>
            </w:r>
            <w:r w:rsidRPr="00AF3608">
              <w:rPr>
                <w:rFonts w:ascii="Calibri" w:eastAsia="Calibri" w:hAnsi="Calibri" w:cs="Calibri"/>
                <w:bCs/>
                <w:lang w:val="ro-RO"/>
              </w:rPr>
              <w:t xml:space="preserve"> Dezvoltarea registrul unic al profesioniștilor în sănătate</w:t>
            </w:r>
            <w:r w:rsidRPr="00AF3608">
              <w:rPr>
                <w:rFonts w:ascii="Calibri" w:eastAsia="Calibri" w:hAnsi="Calibri" w:cs="Calibri"/>
                <w:b/>
                <w:bCs/>
                <w:i/>
                <w:lang w:val="ro-RO"/>
              </w:rPr>
              <w:t xml:space="preserve"> </w:t>
            </w:r>
          </w:p>
          <w:p w:rsidR="00017871" w:rsidRPr="00AF3608" w:rsidRDefault="00017871" w:rsidP="00B723C0">
            <w:pPr>
              <w:spacing w:before="120"/>
              <w:jc w:val="both"/>
              <w:rPr>
                <w:rFonts w:ascii="Calibri" w:eastAsia="Calibri" w:hAnsi="Calibri" w:cs="Calibri"/>
                <w:b/>
                <w:bCs/>
                <w:i/>
                <w:lang w:val="ro-RO"/>
              </w:rPr>
            </w:pPr>
          </w:p>
          <w:p w:rsidR="00017871" w:rsidRPr="00AF3608" w:rsidRDefault="00017871" w:rsidP="00B723C0">
            <w:pPr>
              <w:spacing w:before="120"/>
              <w:jc w:val="both"/>
              <w:rPr>
                <w:rFonts w:ascii="Calibri" w:eastAsia="Calibri" w:hAnsi="Calibri" w:cs="Calibri"/>
                <w:b/>
                <w:bCs/>
                <w:i/>
                <w:lang w:val="ro-RO"/>
              </w:rPr>
            </w:pPr>
            <w:r w:rsidRPr="00AF3608">
              <w:rPr>
                <w:rFonts w:ascii="Calibri" w:eastAsia="Calibri" w:hAnsi="Calibri" w:cs="Calibri"/>
                <w:b/>
                <w:bCs/>
                <w:i/>
                <w:lang w:val="ro-RO"/>
              </w:rPr>
              <w:t>APELURI DE PROIECTE</w:t>
            </w:r>
          </w:p>
          <w:p w:rsidR="00017871" w:rsidRPr="00AF3608" w:rsidRDefault="00017871" w:rsidP="00B723C0">
            <w:pPr>
              <w:spacing w:before="120"/>
              <w:jc w:val="both"/>
              <w:rPr>
                <w:rFonts w:ascii="Calibri" w:eastAsia="Calibri" w:hAnsi="Calibri" w:cs="Calibri"/>
                <w:bCs/>
                <w:lang w:val="ro-RO"/>
              </w:rPr>
            </w:pPr>
            <w:r w:rsidRPr="00AF3608">
              <w:rPr>
                <w:rFonts w:ascii="Calibri" w:eastAsia="Calibri" w:hAnsi="Calibri" w:cs="Calibri"/>
                <w:b/>
                <w:u w:val="single"/>
                <w:lang w:val="ro-RO"/>
              </w:rPr>
              <w:t>Apelul deschis de propuneri de proiecte nr. 1</w:t>
            </w:r>
            <w:r w:rsidRPr="00AF3608">
              <w:rPr>
                <w:rFonts w:ascii="Calibri" w:eastAsia="Calibri" w:hAnsi="Calibri" w:cs="Calibri"/>
                <w:u w:val="single"/>
                <w:lang w:val="ro-RO"/>
              </w:rPr>
              <w:t xml:space="preserve"> </w:t>
            </w:r>
            <w:r w:rsidRPr="00AF3608">
              <w:rPr>
                <w:rFonts w:ascii="Calibri" w:eastAsia="Calibri" w:hAnsi="Calibri" w:cs="Calibri"/>
                <w:lang w:val="ro-RO"/>
              </w:rPr>
              <w:t>„Îmbunătățirea accesului la serviciile de sănătate în special pentru grupurile vulnerabile, inclusiv Romi”</w:t>
            </w:r>
          </w:p>
          <w:p w:rsidR="00017871" w:rsidRPr="00AF3608" w:rsidRDefault="00017871" w:rsidP="00B723C0">
            <w:pPr>
              <w:spacing w:before="120"/>
              <w:jc w:val="both"/>
              <w:rPr>
                <w:rFonts w:ascii="Calibri" w:eastAsia="Calibri" w:hAnsi="Calibri" w:cs="Calibri"/>
                <w:bCs/>
                <w:lang w:val="ro-RO"/>
              </w:rPr>
            </w:pPr>
            <w:r w:rsidRPr="00AF3608">
              <w:rPr>
                <w:rFonts w:ascii="Calibri" w:eastAsia="Calibri" w:hAnsi="Calibri" w:cs="Calibri"/>
                <w:b/>
                <w:u w:val="single"/>
                <w:lang w:val="ro-RO"/>
              </w:rPr>
              <w:t>Schema mica de granturi nr. 2</w:t>
            </w:r>
            <w:r w:rsidRPr="00AF3608">
              <w:rPr>
                <w:rFonts w:ascii="Calibri" w:eastAsia="Calibri" w:hAnsi="Calibri" w:cs="Calibri"/>
                <w:lang w:val="ro-RO"/>
              </w:rPr>
              <w:t xml:space="preserve"> </w:t>
            </w:r>
            <w:r w:rsidRPr="00AF3608">
              <w:rPr>
                <w:rFonts w:ascii="Calibri" w:eastAsia="Calibri" w:hAnsi="Calibri" w:cs="Calibri"/>
                <w:b/>
                <w:bCs/>
                <w:lang w:val="ro-RO"/>
              </w:rPr>
              <w:t> </w:t>
            </w:r>
            <w:r w:rsidRPr="00AF3608">
              <w:rPr>
                <w:rFonts w:ascii="Calibri" w:eastAsia="Calibri" w:hAnsi="Calibri" w:cs="Calibri"/>
                <w:bCs/>
                <w:lang w:val="ro-RO"/>
              </w:rPr>
              <w:t>„Furnizarea de servicii de sănătate tip outreach în vederea îmbunătățirii prevenției pentru populația vulnerabilă din zone izolate”</w:t>
            </w:r>
          </w:p>
          <w:p w:rsidR="007410E5" w:rsidRPr="00AF3608" w:rsidRDefault="007410E5" w:rsidP="00B723C0">
            <w:pPr>
              <w:spacing w:before="120"/>
              <w:jc w:val="both"/>
              <w:rPr>
                <w:rFonts w:ascii="Calibri" w:eastAsia="Calibri" w:hAnsi="Calibri" w:cs="Calibri"/>
                <w:lang w:val="ro-RO"/>
              </w:rPr>
            </w:pPr>
          </w:p>
        </w:tc>
      </w:tr>
      <w:tr w:rsidR="00017871" w:rsidRPr="00AF3608" w:rsidTr="00017871">
        <w:trPr>
          <w:trHeight w:val="80"/>
        </w:trPr>
        <w:tc>
          <w:tcPr>
            <w:tcW w:w="9559" w:type="dxa"/>
            <w:gridSpan w:val="2"/>
            <w:shd w:val="clear" w:color="auto" w:fill="auto"/>
            <w:vAlign w:val="center"/>
          </w:tcPr>
          <w:p w:rsidR="00017871" w:rsidRPr="00AF3608" w:rsidRDefault="00017871" w:rsidP="003A0B85">
            <w:pPr>
              <w:pStyle w:val="ListParagraph"/>
              <w:numPr>
                <w:ilvl w:val="0"/>
                <w:numId w:val="87"/>
              </w:numPr>
              <w:spacing w:before="120"/>
              <w:rPr>
                <w:rFonts w:ascii="Calibri" w:hAnsi="Calibri" w:cs="Calibri"/>
                <w:b/>
                <w:color w:val="538135" w:themeColor="accent6" w:themeShade="BF"/>
              </w:rPr>
            </w:pPr>
            <w:r w:rsidRPr="00AF3608">
              <w:rPr>
                <w:rFonts w:ascii="Calibri" w:hAnsi="Calibri" w:cs="Calibri"/>
                <w:b/>
                <w:bCs/>
                <w:color w:val="538135" w:themeColor="accent6" w:themeShade="BF"/>
              </w:rPr>
              <w:lastRenderedPageBreak/>
              <w:t>FONDURI EUROPENE STRUCTURALE ȘI DE INVESTIȚII</w:t>
            </w:r>
          </w:p>
          <w:p w:rsidR="00017871" w:rsidRPr="00AF3608" w:rsidRDefault="00017871" w:rsidP="00B723C0">
            <w:pPr>
              <w:spacing w:before="120"/>
              <w:ind w:left="1068"/>
              <w:jc w:val="both"/>
              <w:rPr>
                <w:rFonts w:ascii="Calibri" w:hAnsi="Calibri" w:cs="Calibri"/>
                <w:b/>
                <w:bCs/>
                <w:lang w:val="ro-RO"/>
              </w:rPr>
            </w:pPr>
            <w:r w:rsidRPr="00AF3608">
              <w:rPr>
                <w:rFonts w:ascii="Calibri" w:hAnsi="Calibri" w:cs="Calibri"/>
                <w:b/>
                <w:bCs/>
                <w:lang w:val="ro-RO"/>
              </w:rPr>
              <w:t>a. Proiecte finanțate prin Programul Operațional Capital Uman 2014-2020 (POCU)</w:t>
            </w:r>
          </w:p>
          <w:p w:rsidR="00017871" w:rsidRPr="00AF3608" w:rsidRDefault="00017871" w:rsidP="00B723C0">
            <w:pPr>
              <w:spacing w:before="120"/>
              <w:ind w:left="1068"/>
              <w:jc w:val="both"/>
              <w:rPr>
                <w:rFonts w:ascii="Calibri" w:hAnsi="Calibri" w:cs="Calibri"/>
                <w:b/>
                <w:bCs/>
                <w:lang w:val="ro-RO"/>
              </w:rPr>
            </w:pPr>
            <w:r w:rsidRPr="00AF3608">
              <w:rPr>
                <w:rFonts w:ascii="Calibri" w:hAnsi="Calibri" w:cs="Calibri"/>
                <w:b/>
                <w:bCs/>
                <w:lang w:val="ro-RO"/>
              </w:rPr>
              <w:t xml:space="preserve">b. Proiecte finanțate prin Programul Operațional Competitivitate 2014 – 2020 (POC) </w:t>
            </w:r>
          </w:p>
          <w:p w:rsidR="00017871" w:rsidRPr="00AF3608" w:rsidRDefault="00017871" w:rsidP="00B723C0">
            <w:pPr>
              <w:spacing w:before="120"/>
              <w:jc w:val="both"/>
              <w:rPr>
                <w:rFonts w:ascii="Calibri" w:eastAsia="Calibri" w:hAnsi="Calibri" w:cs="Calibri"/>
                <w:b/>
                <w:bCs/>
                <w:lang w:val="ro-RO"/>
              </w:rPr>
            </w:pPr>
            <w:r w:rsidRPr="00AF3608">
              <w:rPr>
                <w:rFonts w:ascii="Calibri" w:eastAsia="Calibri" w:hAnsi="Calibri" w:cs="Calibri"/>
                <w:b/>
                <w:bCs/>
                <w:lang w:val="ro-RO"/>
              </w:rPr>
              <w:t>Acțiunea 2.3.3. Îmbunătățirea continutului digital si a infrastructurii sistemice de Tehnologia Informațiilor și Comunicațiilor (TIC) în domeniul e‐educație, e‐incluziune, e‐sănătate și e‐cultură</w:t>
            </w:r>
          </w:p>
          <w:p w:rsidR="00017871" w:rsidRPr="00AF3608" w:rsidRDefault="00017871" w:rsidP="003A0B85">
            <w:pPr>
              <w:numPr>
                <w:ilvl w:val="0"/>
                <w:numId w:val="85"/>
              </w:numPr>
              <w:spacing w:before="120"/>
              <w:jc w:val="both"/>
              <w:rPr>
                <w:rFonts w:ascii="Calibri" w:eastAsia="Calibri" w:hAnsi="Calibri" w:cs="Calibri"/>
                <w:lang w:val="ro-RO"/>
              </w:rPr>
            </w:pPr>
            <w:r w:rsidRPr="00AF3608">
              <w:rPr>
                <w:rFonts w:ascii="Calibri" w:eastAsia="Calibri" w:hAnsi="Calibri" w:cs="Calibri"/>
                <w:b/>
                <w:lang w:val="ro-RO"/>
              </w:rPr>
              <w:t>Proiect</w:t>
            </w:r>
            <w:r w:rsidRPr="00AF3608">
              <w:rPr>
                <w:rFonts w:ascii="Calibri" w:eastAsia="Calibri" w:hAnsi="Calibri" w:cs="Calibri"/>
                <w:lang w:val="ro-RO"/>
              </w:rPr>
              <w:t>: „Sistem informatic pentru registrele de sănătate - RegInterMed”</w:t>
            </w:r>
          </w:p>
          <w:p w:rsidR="00017871" w:rsidRPr="00AF3608" w:rsidRDefault="00017871" w:rsidP="003A0B85">
            <w:pPr>
              <w:numPr>
                <w:ilvl w:val="0"/>
                <w:numId w:val="85"/>
              </w:numPr>
              <w:spacing w:before="120"/>
              <w:jc w:val="both"/>
              <w:rPr>
                <w:rFonts w:ascii="Calibri" w:eastAsia="Calibri" w:hAnsi="Calibri" w:cs="Calibri"/>
                <w:lang w:val="ro-RO"/>
              </w:rPr>
            </w:pPr>
            <w:r w:rsidRPr="00AF3608">
              <w:rPr>
                <w:rFonts w:ascii="Calibri" w:eastAsia="Calibri" w:hAnsi="Calibri" w:cs="Calibri"/>
                <w:b/>
                <w:lang w:val="ro-RO"/>
              </w:rPr>
              <w:t>Proiect</w:t>
            </w:r>
            <w:r w:rsidRPr="00AF3608">
              <w:rPr>
                <w:rFonts w:ascii="Calibri" w:eastAsia="Calibri" w:hAnsi="Calibri" w:cs="Calibri"/>
                <w:lang w:val="ro-RO"/>
              </w:rPr>
              <w:t>: „Sistem Informatic pentru Evidenta Clinica a sectiilor A.T.I. (S.I.E.C.-A.T.I.)”</w:t>
            </w:r>
          </w:p>
          <w:p w:rsidR="00017871" w:rsidRPr="00AF3608" w:rsidRDefault="00017871" w:rsidP="00B723C0">
            <w:pPr>
              <w:spacing w:before="120"/>
              <w:ind w:left="1068"/>
              <w:jc w:val="both"/>
              <w:rPr>
                <w:rFonts w:ascii="Calibri" w:hAnsi="Calibri" w:cs="Calibri"/>
                <w:b/>
                <w:bCs/>
                <w:lang w:val="ro-RO"/>
              </w:rPr>
            </w:pPr>
            <w:r w:rsidRPr="00AF3608">
              <w:rPr>
                <w:rFonts w:ascii="Calibri" w:hAnsi="Calibri" w:cs="Calibri"/>
                <w:b/>
                <w:bCs/>
                <w:lang w:val="ro-RO"/>
              </w:rPr>
              <w:t>c. Proiecte finanțate prin Programul Operațional Regional 2014 – 2020 (POR)</w:t>
            </w:r>
          </w:p>
          <w:p w:rsidR="00017871" w:rsidRPr="00AF3608" w:rsidRDefault="00017871" w:rsidP="00B723C0">
            <w:pPr>
              <w:spacing w:before="120"/>
              <w:ind w:left="1068"/>
              <w:jc w:val="both"/>
              <w:rPr>
                <w:rFonts w:ascii="Calibri" w:hAnsi="Calibri" w:cs="Calibri"/>
                <w:b/>
                <w:bCs/>
                <w:lang w:val="ro-RO"/>
              </w:rPr>
            </w:pPr>
            <w:r w:rsidRPr="00AF3608">
              <w:rPr>
                <w:rFonts w:ascii="Calibri" w:hAnsi="Calibri" w:cs="Calibri"/>
                <w:b/>
                <w:bCs/>
                <w:lang w:val="ro-RO"/>
              </w:rPr>
              <w:t>d. Proiecte finanțate prin Programul Operațional Capacitate Administrativă 2014 – 2020 (POCA)</w:t>
            </w:r>
          </w:p>
          <w:p w:rsidR="00017871" w:rsidRPr="00AF3608" w:rsidRDefault="00017871" w:rsidP="00B723C0">
            <w:pPr>
              <w:spacing w:before="120"/>
              <w:jc w:val="both"/>
              <w:rPr>
                <w:rFonts w:ascii="Calibri" w:hAnsi="Calibri" w:cs="Calibri"/>
                <w:b/>
                <w:bCs/>
                <w:lang w:val="ro-RO"/>
              </w:rPr>
            </w:pPr>
          </w:p>
          <w:p w:rsidR="00017871" w:rsidRPr="00AF3608" w:rsidRDefault="00017871" w:rsidP="00B723C0">
            <w:pPr>
              <w:spacing w:before="120"/>
              <w:jc w:val="both"/>
              <w:rPr>
                <w:rFonts w:ascii="Calibri" w:hAnsi="Calibri" w:cs="Calibri"/>
                <w:bCs/>
                <w:lang w:val="ro-RO"/>
              </w:rPr>
            </w:pPr>
            <w:r w:rsidRPr="00AF3608">
              <w:rPr>
                <w:rFonts w:ascii="Calibri" w:hAnsi="Calibri" w:cs="Calibri"/>
                <w:bCs/>
                <w:lang w:val="ro-RO"/>
              </w:rPr>
              <w:t>Proiecte aflate in implementare:</w:t>
            </w:r>
          </w:p>
          <w:p w:rsidR="00017871" w:rsidRPr="00AF3608" w:rsidRDefault="00017871" w:rsidP="00B723C0">
            <w:pPr>
              <w:spacing w:before="120"/>
              <w:jc w:val="both"/>
              <w:rPr>
                <w:rFonts w:ascii="Calibri" w:eastAsia="Calibri" w:hAnsi="Calibri" w:cs="Calibri"/>
                <w:b/>
                <w:lang w:val="ro-RO"/>
              </w:rPr>
            </w:pPr>
            <w:r w:rsidRPr="00AF3608">
              <w:rPr>
                <w:rFonts w:ascii="Calibri" w:eastAsia="Calibri" w:hAnsi="Calibri" w:cs="Calibri"/>
                <w:b/>
                <w:lang w:val="ro-RO"/>
              </w:rPr>
              <w:t xml:space="preserve">1. </w:t>
            </w:r>
            <w:r w:rsidRPr="00AF3608">
              <w:rPr>
                <w:rFonts w:ascii="Calibri" w:eastAsia="Calibri" w:hAnsi="Calibri" w:cs="Calibri"/>
                <w:lang w:val="ro-RO"/>
              </w:rPr>
              <w:t>Armonizarea cadrului legislativ pentru implementarea planului de reformă în sănătate</w:t>
            </w:r>
          </w:p>
          <w:p w:rsidR="00017871" w:rsidRPr="00AF3608" w:rsidRDefault="00017871" w:rsidP="00B723C0">
            <w:pPr>
              <w:spacing w:before="120"/>
              <w:jc w:val="both"/>
              <w:rPr>
                <w:rFonts w:ascii="Calibri" w:eastAsia="Calibri" w:hAnsi="Calibri" w:cs="Calibri"/>
                <w:b/>
                <w:lang w:val="ro-RO"/>
              </w:rPr>
            </w:pPr>
            <w:r w:rsidRPr="00AF3608">
              <w:rPr>
                <w:rFonts w:ascii="Calibri" w:eastAsia="Calibri" w:hAnsi="Calibri" w:cs="Calibri"/>
                <w:b/>
                <w:lang w:val="ro-RO"/>
              </w:rPr>
              <w:t xml:space="preserve">2. </w:t>
            </w:r>
            <w:r w:rsidRPr="00AF3608">
              <w:rPr>
                <w:rFonts w:ascii="Calibri" w:eastAsia="Calibri" w:hAnsi="Calibri" w:cs="Calibri"/>
                <w:lang w:val="ro-RO"/>
              </w:rPr>
              <w:t>Dezvoltarea și introducerea de sisteme și standarde în Ministerul Sănătății ce optimizează procesele decizionale privind activitatea de vaccinare în România – ROVAC</w:t>
            </w:r>
          </w:p>
          <w:p w:rsidR="00017871" w:rsidRPr="00AF3608" w:rsidRDefault="00017871" w:rsidP="00B723C0">
            <w:pPr>
              <w:spacing w:before="120"/>
              <w:jc w:val="both"/>
              <w:rPr>
                <w:rFonts w:ascii="Calibri" w:eastAsia="Calibri" w:hAnsi="Calibri" w:cs="Calibri"/>
                <w:bCs/>
                <w:lang w:val="ro-RO"/>
              </w:rPr>
            </w:pPr>
            <w:r w:rsidRPr="00AF3608">
              <w:rPr>
                <w:rFonts w:ascii="Calibri" w:eastAsia="Calibri" w:hAnsi="Calibri" w:cs="Calibri"/>
                <w:b/>
                <w:bCs/>
                <w:lang w:val="ro-RO"/>
              </w:rPr>
              <w:t xml:space="preserve">3. </w:t>
            </w:r>
            <w:r w:rsidRPr="00AF3608">
              <w:rPr>
                <w:rFonts w:ascii="Calibri" w:eastAsia="Calibri" w:hAnsi="Calibri" w:cs="Calibri"/>
                <w:bCs/>
                <w:lang w:val="ro-RO"/>
              </w:rPr>
              <w:t>Dezvoltarea capacității instituționale a Ministerului Sănătății și Direcțiilor de sănătate publică județene, respectiv a municipiului București pentru simplificarea procedurilor de reglementare sanitară</w:t>
            </w:r>
          </w:p>
          <w:p w:rsidR="00017871" w:rsidRPr="00AF3608" w:rsidRDefault="00017871" w:rsidP="00B723C0">
            <w:pPr>
              <w:spacing w:before="120"/>
              <w:jc w:val="both"/>
              <w:rPr>
                <w:rFonts w:ascii="Calibri" w:eastAsia="Calibri" w:hAnsi="Calibri" w:cs="Calibri"/>
                <w:bCs/>
                <w:lang w:val="ro-RO"/>
              </w:rPr>
            </w:pPr>
            <w:r w:rsidRPr="00AF3608">
              <w:rPr>
                <w:rFonts w:ascii="Calibri" w:eastAsia="Calibri" w:hAnsi="Calibri" w:cs="Calibri"/>
                <w:b/>
                <w:bCs/>
                <w:lang w:val="ro-RO"/>
              </w:rPr>
              <w:t xml:space="preserve">4. </w:t>
            </w:r>
            <w:r w:rsidRPr="00AF3608">
              <w:rPr>
                <w:rFonts w:ascii="Calibri" w:eastAsia="Calibri" w:hAnsi="Calibri" w:cs="Calibri"/>
                <w:bCs/>
                <w:lang w:val="ro-RO"/>
              </w:rPr>
              <w:t>Crearea cadrului strategic și operațional pentru planificarea și reorganizarea la nivel național și regional a serviciilor de sănătate</w:t>
            </w:r>
          </w:p>
          <w:p w:rsidR="00017871" w:rsidRPr="00AF3608" w:rsidRDefault="00017871" w:rsidP="00B723C0">
            <w:pPr>
              <w:spacing w:before="120"/>
              <w:jc w:val="both"/>
              <w:rPr>
                <w:rFonts w:ascii="Calibri" w:eastAsia="Calibri" w:hAnsi="Calibri" w:cs="Calibri"/>
                <w:bCs/>
                <w:lang w:val="ro-RO"/>
              </w:rPr>
            </w:pPr>
            <w:r w:rsidRPr="00AF3608">
              <w:rPr>
                <w:rFonts w:ascii="Calibri" w:eastAsia="Calibri" w:hAnsi="Calibri" w:cs="Calibri"/>
                <w:b/>
                <w:bCs/>
                <w:lang w:val="ro-RO"/>
              </w:rPr>
              <w:lastRenderedPageBreak/>
              <w:t xml:space="preserve">5. </w:t>
            </w:r>
            <w:r w:rsidRPr="00AF3608">
              <w:rPr>
                <w:rFonts w:ascii="Calibri" w:eastAsia="Calibri" w:hAnsi="Calibri" w:cs="Calibri"/>
                <w:bCs/>
                <w:lang w:val="ro-RO"/>
              </w:rPr>
              <w:t>Consolidarea capacității administrative a Ministerului Sănătății și a unităților aflate în subordonare, coordonare și sub autoritate prin implementarea unitară a Sistemului de Management al Calității SR EN ISO 9001:2015</w:t>
            </w:r>
          </w:p>
          <w:p w:rsidR="00401EBD" w:rsidRPr="00AF3608" w:rsidRDefault="00401EBD" w:rsidP="00B723C0">
            <w:pPr>
              <w:spacing w:before="120"/>
              <w:jc w:val="both"/>
              <w:rPr>
                <w:rFonts w:ascii="Calibri" w:eastAsia="Calibri" w:hAnsi="Calibri" w:cs="Calibri"/>
                <w:b/>
                <w:bCs/>
                <w:lang w:val="ro-RO"/>
              </w:rPr>
            </w:pPr>
            <w:r w:rsidRPr="00AF3608">
              <w:rPr>
                <w:rFonts w:ascii="Calibri" w:eastAsia="Calibri" w:hAnsi="Calibri" w:cs="Calibri"/>
                <w:b/>
                <w:bCs/>
                <w:lang w:val="ro-RO"/>
              </w:rPr>
              <w:t>6</w:t>
            </w:r>
            <w:r w:rsidR="00017871" w:rsidRPr="00AF3608">
              <w:rPr>
                <w:rFonts w:ascii="Calibri" w:eastAsia="Calibri" w:hAnsi="Calibri" w:cs="Calibri"/>
                <w:b/>
                <w:bCs/>
                <w:lang w:val="ro-RO"/>
              </w:rPr>
              <w:t xml:space="preserve">. </w:t>
            </w:r>
            <w:r w:rsidRPr="00AF3608">
              <w:rPr>
                <w:rFonts w:ascii="Calibri" w:eastAsia="Calibri" w:hAnsi="Calibri" w:cs="Calibri"/>
                <w:bCs/>
                <w:lang w:val="ro-RO"/>
              </w:rPr>
              <w:t>Îmbunatăţirea capacităţii de planificare strategică şi management al Programelor Naţionale de Sănătate Publică (PNSP) finanțate de Ministerul Sănătăţii</w:t>
            </w:r>
          </w:p>
          <w:p w:rsidR="00017871" w:rsidRPr="00AF3608" w:rsidRDefault="00401EBD" w:rsidP="00B723C0">
            <w:pPr>
              <w:spacing w:before="120"/>
              <w:jc w:val="both"/>
              <w:rPr>
                <w:rFonts w:ascii="Calibri" w:eastAsia="Calibri" w:hAnsi="Calibri" w:cs="Calibri"/>
                <w:bCs/>
                <w:lang w:val="ro-RO"/>
              </w:rPr>
            </w:pPr>
            <w:r w:rsidRPr="00AF3608">
              <w:rPr>
                <w:rFonts w:ascii="Calibri" w:eastAsia="Calibri" w:hAnsi="Calibri" w:cs="Calibri"/>
                <w:b/>
                <w:bCs/>
                <w:lang w:val="ro-RO"/>
              </w:rPr>
              <w:t>7.</w:t>
            </w:r>
            <w:r w:rsidRPr="00AF3608">
              <w:rPr>
                <w:rFonts w:ascii="Calibri" w:eastAsia="Calibri" w:hAnsi="Calibri" w:cs="Calibri"/>
                <w:bCs/>
                <w:lang w:val="ro-RO"/>
              </w:rPr>
              <w:t xml:space="preserve"> </w:t>
            </w:r>
            <w:r w:rsidR="00017871" w:rsidRPr="00AF3608">
              <w:rPr>
                <w:rFonts w:ascii="Calibri" w:eastAsia="Calibri" w:hAnsi="Calibri" w:cs="Calibri"/>
                <w:bCs/>
                <w:lang w:val="ro-RO"/>
              </w:rPr>
              <w:t>Creșterea capacității institutionale pentru dezvoltarea nationala coordonata a ingrijirilor paliative si ingrijirilor la domiciliu (Acronim: PAL-PLAN)</w:t>
            </w:r>
          </w:p>
          <w:p w:rsidR="00017871" w:rsidRPr="00AF3608" w:rsidRDefault="00017871" w:rsidP="00B723C0">
            <w:pPr>
              <w:spacing w:before="120"/>
              <w:jc w:val="both"/>
              <w:rPr>
                <w:rFonts w:ascii="Calibri" w:eastAsia="Calibri" w:hAnsi="Calibri" w:cs="Calibri"/>
                <w:bCs/>
                <w:lang w:val="ro-RO"/>
              </w:rPr>
            </w:pPr>
            <w:r w:rsidRPr="00AF3608">
              <w:rPr>
                <w:rFonts w:ascii="Calibri" w:eastAsia="Calibri" w:hAnsi="Calibri" w:cs="Calibri"/>
                <w:b/>
                <w:bCs/>
                <w:lang w:val="ro-RO"/>
              </w:rPr>
              <w:t xml:space="preserve">8. </w:t>
            </w:r>
            <w:r w:rsidRPr="00AF3608">
              <w:rPr>
                <w:rFonts w:ascii="Calibri" w:eastAsia="Calibri" w:hAnsi="Calibri" w:cs="Calibri"/>
                <w:bCs/>
                <w:lang w:val="ro-RO"/>
              </w:rPr>
              <w:t>Îmbunătățirea Calității și Performanței Serviciilor Spitalicești prin Evaluarea Costurilor și Standardizare (CaPeSSCoSt)</w:t>
            </w:r>
          </w:p>
          <w:p w:rsidR="00017871" w:rsidRPr="00AF3608" w:rsidRDefault="00017871" w:rsidP="00B723C0">
            <w:pPr>
              <w:spacing w:before="120"/>
              <w:jc w:val="both"/>
              <w:rPr>
                <w:rFonts w:ascii="Calibri" w:eastAsia="Calibri" w:hAnsi="Calibri" w:cs="Calibri"/>
                <w:bCs/>
                <w:lang w:val="ro-RO"/>
              </w:rPr>
            </w:pPr>
            <w:r w:rsidRPr="00AF3608">
              <w:rPr>
                <w:rFonts w:ascii="Calibri" w:eastAsia="Calibri" w:hAnsi="Calibri" w:cs="Calibri"/>
                <w:b/>
                <w:bCs/>
                <w:lang w:val="ro-RO"/>
              </w:rPr>
              <w:t xml:space="preserve">9. </w:t>
            </w:r>
            <w:r w:rsidRPr="00AF3608">
              <w:rPr>
                <w:rFonts w:ascii="Calibri" w:eastAsia="Calibri" w:hAnsi="Calibri" w:cs="Calibri"/>
                <w:bCs/>
                <w:lang w:val="ro-RO"/>
              </w:rPr>
              <w:t>Optimizarea Planului National de Cancer</w:t>
            </w:r>
          </w:p>
          <w:p w:rsidR="00017871" w:rsidRPr="00AF3608" w:rsidRDefault="00017871" w:rsidP="00B723C0">
            <w:pPr>
              <w:spacing w:before="120"/>
              <w:jc w:val="both"/>
              <w:rPr>
                <w:rFonts w:ascii="Calibri" w:eastAsia="Calibri" w:hAnsi="Calibri" w:cs="Calibri"/>
                <w:b/>
                <w:bCs/>
                <w:lang w:val="ro-RO"/>
              </w:rPr>
            </w:pPr>
            <w:r w:rsidRPr="00AF3608">
              <w:rPr>
                <w:rFonts w:ascii="Calibri" w:eastAsia="Calibri" w:hAnsi="Calibri" w:cs="Calibri"/>
                <w:b/>
                <w:bCs/>
                <w:lang w:val="ro-RO"/>
              </w:rPr>
              <w:t>10</w:t>
            </w:r>
            <w:r w:rsidRPr="00AF3608">
              <w:rPr>
                <w:rFonts w:ascii="Calibri" w:eastAsia="Calibri" w:hAnsi="Calibri" w:cs="Calibri"/>
                <w:bCs/>
                <w:lang w:val="ro-RO"/>
              </w:rPr>
              <w:t>. Îmbunătăţirea procesului de reglementare în domeniul transplantului</w:t>
            </w:r>
          </w:p>
          <w:p w:rsidR="00017871" w:rsidRPr="00AF3608" w:rsidRDefault="00017871" w:rsidP="00B723C0">
            <w:pPr>
              <w:spacing w:before="120"/>
              <w:jc w:val="both"/>
              <w:rPr>
                <w:rFonts w:ascii="Calibri" w:eastAsia="Calibri" w:hAnsi="Calibri" w:cs="Calibri"/>
                <w:bCs/>
                <w:lang w:val="ro-RO"/>
              </w:rPr>
            </w:pPr>
            <w:r w:rsidRPr="00AF3608">
              <w:rPr>
                <w:rFonts w:ascii="Calibri" w:eastAsia="Calibri" w:hAnsi="Calibri" w:cs="Calibri"/>
                <w:b/>
                <w:bCs/>
                <w:lang w:val="ro-RO"/>
              </w:rPr>
              <w:t xml:space="preserve">11. </w:t>
            </w:r>
            <w:r w:rsidRPr="00AF3608">
              <w:rPr>
                <w:rFonts w:ascii="Calibri" w:eastAsia="Calibri" w:hAnsi="Calibri" w:cs="Calibri"/>
                <w:bCs/>
                <w:lang w:val="ro-RO"/>
              </w:rPr>
              <w:t>Creșterea cadrului strategic și operațional pentru reoganizarea la nivel regional a serviciilor de sănătate - Master Plan-SMIS 129165</w:t>
            </w:r>
          </w:p>
          <w:p w:rsidR="00017871" w:rsidRPr="00AF3608" w:rsidRDefault="00017871" w:rsidP="00B723C0">
            <w:pPr>
              <w:spacing w:before="120"/>
              <w:ind w:left="1068"/>
              <w:jc w:val="both"/>
              <w:rPr>
                <w:rFonts w:ascii="Calibri" w:hAnsi="Calibri" w:cs="Calibri"/>
                <w:b/>
                <w:bCs/>
                <w:lang w:val="ro-RO"/>
              </w:rPr>
            </w:pPr>
            <w:r w:rsidRPr="00AF3608">
              <w:rPr>
                <w:rFonts w:ascii="Calibri" w:hAnsi="Calibri" w:cs="Calibri"/>
                <w:b/>
                <w:bCs/>
                <w:lang w:val="ro-RO"/>
              </w:rPr>
              <w:t xml:space="preserve">e. Proiecte finanțate prin Programul Operațional Infrastructură Mare 2014 – 2020 (POIM) </w:t>
            </w:r>
          </w:p>
          <w:p w:rsidR="00017871" w:rsidRPr="00AF3608" w:rsidRDefault="00017871" w:rsidP="00B723C0">
            <w:pPr>
              <w:spacing w:before="120"/>
              <w:jc w:val="both"/>
              <w:rPr>
                <w:rFonts w:ascii="Calibri" w:hAnsi="Calibri" w:cs="Calibri"/>
                <w:b/>
                <w:bCs/>
                <w:lang w:val="ro-RO"/>
              </w:rPr>
            </w:pPr>
            <w:r w:rsidRPr="00AF3608">
              <w:rPr>
                <w:rFonts w:ascii="Calibri" w:eastAsia="Calibri" w:hAnsi="Calibri" w:cs="Calibri"/>
                <w:lang w:val="ro-RO"/>
              </w:rPr>
              <w:t>Proiect 136810 – „Dezvoltarea unui laborator național pentru îmbunătățirea monitorizării substanțelor deversate în ape și a calității apei potabile” în parteneriat cu Ministerul Mediului, Apelor și Pădurilor și Administrația Națională „Apele Române”.</w:t>
            </w:r>
          </w:p>
          <w:p w:rsidR="00017871" w:rsidRPr="00AF3608" w:rsidRDefault="00017871" w:rsidP="00B723C0">
            <w:pPr>
              <w:spacing w:before="120"/>
              <w:jc w:val="both"/>
              <w:rPr>
                <w:rFonts w:ascii="Calibri" w:hAnsi="Calibri" w:cs="Calibri"/>
                <w:b/>
                <w:bCs/>
                <w:lang w:val="ro-RO"/>
              </w:rPr>
            </w:pPr>
          </w:p>
        </w:tc>
      </w:tr>
      <w:tr w:rsidR="00017871" w:rsidRPr="00AF3608" w:rsidTr="00017871">
        <w:trPr>
          <w:trHeight w:val="80"/>
        </w:trPr>
        <w:tc>
          <w:tcPr>
            <w:tcW w:w="9559" w:type="dxa"/>
            <w:gridSpan w:val="2"/>
            <w:shd w:val="clear" w:color="auto" w:fill="auto"/>
            <w:vAlign w:val="center"/>
          </w:tcPr>
          <w:p w:rsidR="00017871" w:rsidRPr="00AF3608" w:rsidRDefault="00017871" w:rsidP="003A0B85">
            <w:pPr>
              <w:pStyle w:val="ListParagraph"/>
              <w:numPr>
                <w:ilvl w:val="0"/>
                <w:numId w:val="87"/>
              </w:numPr>
              <w:spacing w:before="120"/>
              <w:jc w:val="both"/>
              <w:rPr>
                <w:rFonts w:ascii="Calibri" w:hAnsi="Calibri" w:cs="Calibri"/>
                <w:b/>
                <w:bCs/>
                <w:color w:val="538135" w:themeColor="accent6" w:themeShade="BF"/>
              </w:rPr>
            </w:pPr>
            <w:r w:rsidRPr="00AF3608">
              <w:rPr>
                <w:rFonts w:ascii="Calibri" w:hAnsi="Calibri" w:cs="Calibri"/>
                <w:b/>
                <w:bCs/>
                <w:color w:val="538135" w:themeColor="accent6" w:themeShade="BF"/>
              </w:rPr>
              <w:lastRenderedPageBreak/>
              <w:t xml:space="preserve">Ministerul Sănătății, prin Unitatea de Management al Proiectului, implementează proiectul privind Reforma Sectorului Sanitar – Îmbunătățirea Calității și Eficienței Sistemului Sanitar, finanțat de Banca Internațională de Reconstrucție și Dezvoltare (BIRD) prin Acordul de Împrumut nr. 8362RO, ratificat prin Legea nr. 179/16 decembrie 2014. </w:t>
            </w:r>
          </w:p>
          <w:p w:rsidR="00017871" w:rsidRPr="00AF3608" w:rsidRDefault="00017871" w:rsidP="00B723C0">
            <w:pPr>
              <w:spacing w:before="120"/>
              <w:ind w:firstLine="708"/>
              <w:jc w:val="both"/>
              <w:rPr>
                <w:rFonts w:ascii="Calibri" w:hAnsi="Calibri" w:cs="Calibri"/>
                <w:bCs/>
                <w:lang w:val="ro-RO"/>
              </w:rPr>
            </w:pPr>
          </w:p>
          <w:p w:rsidR="00017871" w:rsidRPr="00AF3608" w:rsidRDefault="00017871" w:rsidP="00B723C0">
            <w:pPr>
              <w:tabs>
                <w:tab w:val="left" w:pos="993"/>
                <w:tab w:val="left" w:pos="1276"/>
              </w:tabs>
              <w:spacing w:before="120"/>
              <w:jc w:val="both"/>
              <w:rPr>
                <w:rFonts w:ascii="Calibri" w:hAnsi="Calibri" w:cs="Calibri"/>
                <w:bCs/>
                <w:lang w:val="ro-RO"/>
              </w:rPr>
            </w:pPr>
            <w:r w:rsidRPr="00AF3608">
              <w:rPr>
                <w:rFonts w:ascii="Calibri" w:hAnsi="Calibri" w:cs="Calibri"/>
                <w:b/>
                <w:bCs/>
                <w:lang w:val="ro-RO"/>
              </w:rPr>
              <w:t>Obiectivele programului</w:t>
            </w:r>
          </w:p>
          <w:p w:rsidR="00017871" w:rsidRPr="00AF3608" w:rsidRDefault="00017871" w:rsidP="00B723C0">
            <w:pPr>
              <w:spacing w:before="120"/>
              <w:ind w:firstLine="708"/>
              <w:rPr>
                <w:rFonts w:ascii="Calibri" w:hAnsi="Calibri" w:cs="Calibri"/>
                <w:lang w:val="ro-RO"/>
              </w:rPr>
            </w:pPr>
            <w:r w:rsidRPr="00AF3608">
              <w:rPr>
                <w:rFonts w:ascii="Calibri" w:hAnsi="Calibri" w:cs="Calibri"/>
                <w:lang w:val="ro-RO"/>
              </w:rPr>
              <w:t>Obiectivul proiectului este de a contribui la îmbunătăţirea accesului la serviciile publice de sănătate şi a calităţii acestora.</w:t>
            </w:r>
          </w:p>
          <w:p w:rsidR="007410E5" w:rsidRPr="00AF3608" w:rsidRDefault="00017871" w:rsidP="00B723C0">
            <w:pPr>
              <w:spacing w:before="120"/>
              <w:ind w:firstLine="708"/>
              <w:jc w:val="both"/>
              <w:rPr>
                <w:rFonts w:ascii="Calibri" w:hAnsi="Calibri" w:cs="Calibri"/>
                <w:b/>
                <w:i/>
                <w:lang w:val="ro-RO"/>
              </w:rPr>
            </w:pPr>
            <w:r w:rsidRPr="00AF3608">
              <w:rPr>
                <w:rFonts w:ascii="Calibri" w:hAnsi="Calibri" w:cs="Calibri"/>
                <w:b/>
                <w:i/>
                <w:lang w:val="ro-RO"/>
              </w:rPr>
              <w:t>Partea A. Întărirea furnizării de servicii medicale</w:t>
            </w:r>
          </w:p>
          <w:p w:rsidR="007410E5" w:rsidRPr="00AF3608" w:rsidRDefault="00017871" w:rsidP="00B723C0">
            <w:pPr>
              <w:spacing w:before="120"/>
              <w:jc w:val="both"/>
              <w:rPr>
                <w:rFonts w:ascii="Calibri" w:hAnsi="Calibri" w:cs="Calibri"/>
                <w:lang w:val="ro-RO"/>
              </w:rPr>
            </w:pPr>
            <w:r w:rsidRPr="00AF3608">
              <w:rPr>
                <w:rFonts w:ascii="Calibri" w:hAnsi="Calibri" w:cs="Calibri"/>
                <w:lang w:val="ro-RO"/>
              </w:rPr>
              <w:t>Îmbunătăţirea accesului la şi a calităţii serviciilor selectate, pentru salvarea de vieţi omeneşti şi servicii de screening, prin consolidarea spitalelor-cheie care vor deveni principalul sprijin al reţelei de spitale şi îmbunătăţirea reţelei de screening pentru cancer prin asigurarea de bunuri, lucrări, servicii, altele decât cele de consultanţă, servicii de consultanţă şi instruire, pentru sprijinirea următoarelor activităţi:</w:t>
            </w:r>
          </w:p>
          <w:p w:rsidR="007410E5" w:rsidRPr="00AF3608" w:rsidRDefault="00017871" w:rsidP="003A0B85">
            <w:pPr>
              <w:pStyle w:val="ListParagraph"/>
              <w:numPr>
                <w:ilvl w:val="0"/>
                <w:numId w:val="89"/>
              </w:numPr>
              <w:spacing w:before="120"/>
              <w:jc w:val="both"/>
              <w:rPr>
                <w:rFonts w:ascii="Calibri" w:hAnsi="Calibri" w:cs="Calibri"/>
              </w:rPr>
            </w:pPr>
            <w:r w:rsidRPr="00AF3608">
              <w:rPr>
                <w:rFonts w:ascii="Calibri" w:hAnsi="Calibri" w:cs="Calibri"/>
              </w:rPr>
              <w:t>îmbunătăţirea serviciilor medicale pentru salvarea de vieţi omeneşti, cum ar fi serviciile medicale din sălile de operaţii, unităţile de anestezie - terapie intensivă, unităţile de supraveghere şi tratament al pacienţilor cardiaci critici, unităţile pentru arşi, unităţile/centrele de radioterapie, serviciile medicale de urgenţă, inclusiv sisteme de telemedicină de urgenţă, şi serviciile medicale de diagnostic imagistic;</w:t>
            </w:r>
          </w:p>
          <w:p w:rsidR="007410E5" w:rsidRPr="00AF3608" w:rsidRDefault="00017871" w:rsidP="003A0B85">
            <w:pPr>
              <w:pStyle w:val="ListParagraph"/>
              <w:numPr>
                <w:ilvl w:val="0"/>
                <w:numId w:val="89"/>
              </w:numPr>
              <w:spacing w:before="120"/>
              <w:jc w:val="both"/>
              <w:rPr>
                <w:rFonts w:ascii="Calibri" w:hAnsi="Calibri" w:cs="Calibri"/>
              </w:rPr>
            </w:pPr>
            <w:r w:rsidRPr="00AF3608">
              <w:rPr>
                <w:rFonts w:ascii="Calibri" w:hAnsi="Calibri" w:cs="Calibri"/>
              </w:rPr>
              <w:t>realizarea lucrărilor de reabilitare pentru unităţile medicale existente şi construirea a 3 noi unităţi medicale mari, inclusiv reorganizarea fluxurilor medicale ale acestora, şi</w:t>
            </w:r>
          </w:p>
          <w:p w:rsidR="00017871" w:rsidRPr="00AF3608" w:rsidRDefault="00017871" w:rsidP="003A0B85">
            <w:pPr>
              <w:pStyle w:val="ListParagraph"/>
              <w:numPr>
                <w:ilvl w:val="0"/>
                <w:numId w:val="89"/>
              </w:numPr>
              <w:spacing w:before="120"/>
              <w:jc w:val="both"/>
              <w:rPr>
                <w:rFonts w:ascii="Calibri" w:hAnsi="Calibri" w:cs="Calibri"/>
              </w:rPr>
            </w:pPr>
            <w:r w:rsidRPr="00AF3608">
              <w:rPr>
                <w:rFonts w:ascii="Calibri" w:hAnsi="Calibri" w:cs="Calibri"/>
              </w:rPr>
              <w:lastRenderedPageBreak/>
              <w:t>îmbunătăţirea reţelei de screening pentru cancer cervical, prin furnizarea de unităţi mobile pentru screeningul cancerului cervical şi consolidarea capacităţii tehnice a laboratoarelor regionale de patologie şi citologie.</w:t>
            </w:r>
          </w:p>
          <w:p w:rsidR="00017871" w:rsidRPr="00AF3608" w:rsidRDefault="00017871" w:rsidP="00B723C0">
            <w:pPr>
              <w:spacing w:before="120"/>
              <w:jc w:val="both"/>
              <w:rPr>
                <w:rFonts w:ascii="Calibri" w:hAnsi="Calibri" w:cs="Calibri"/>
                <w:b/>
                <w:i/>
                <w:lang w:val="ro-RO"/>
              </w:rPr>
            </w:pPr>
            <w:r w:rsidRPr="00AF3608">
              <w:rPr>
                <w:rFonts w:ascii="Calibri" w:hAnsi="Calibri" w:cs="Calibri"/>
                <w:b/>
                <w:i/>
                <w:lang w:val="ro-RO"/>
              </w:rPr>
              <w:t>Partea B. Îmbunătăţirea administrării şi guvernării sectorului sanitar</w:t>
            </w:r>
          </w:p>
          <w:p w:rsidR="007410E5" w:rsidRPr="00AF3608" w:rsidRDefault="00017871" w:rsidP="00B723C0">
            <w:pPr>
              <w:spacing w:before="120"/>
              <w:jc w:val="both"/>
              <w:rPr>
                <w:rFonts w:ascii="Calibri" w:hAnsi="Calibri" w:cs="Calibri"/>
                <w:lang w:val="ro-RO"/>
              </w:rPr>
            </w:pPr>
            <w:r w:rsidRPr="00AF3608">
              <w:rPr>
                <w:rFonts w:ascii="Calibri" w:hAnsi="Calibri" w:cs="Calibri"/>
                <w:lang w:val="ro-RO"/>
              </w:rPr>
              <w:t>Îmbunătăţirea capacităţii Ministerului Sănătăţii şi a altor instituţii guvernamentale relevante pentru guvernarea şi administrarea sectorului, pentru a reduce diferenţa dintre politici şi practică şi pentru a întări capacitatea de îmbunătăţire a calităţii serviciilor de asistenţă medicală prin asigurarea de bunuri, servicii, altele decât cele de consultanţă, servicii de consultanţă şi instruire, prin următoarele activităţi:</w:t>
            </w:r>
          </w:p>
          <w:p w:rsidR="007410E5" w:rsidRPr="00AF3608" w:rsidRDefault="00017871" w:rsidP="003A0B85">
            <w:pPr>
              <w:pStyle w:val="ListParagraph"/>
              <w:numPr>
                <w:ilvl w:val="0"/>
                <w:numId w:val="90"/>
              </w:numPr>
              <w:spacing w:before="120"/>
              <w:jc w:val="both"/>
              <w:rPr>
                <w:rFonts w:ascii="Calibri" w:hAnsi="Calibri" w:cs="Calibri"/>
              </w:rPr>
            </w:pPr>
            <w:r w:rsidRPr="00AF3608">
              <w:rPr>
                <w:rFonts w:ascii="Calibri" w:hAnsi="Calibri" w:cs="Calibri"/>
              </w:rPr>
              <w:t>adaptarea standardelor şi protocoalelor bazate pe evidenţe;</w:t>
            </w:r>
          </w:p>
          <w:p w:rsidR="007410E5" w:rsidRPr="00AF3608" w:rsidRDefault="00017871" w:rsidP="003A0B85">
            <w:pPr>
              <w:pStyle w:val="ListParagraph"/>
              <w:numPr>
                <w:ilvl w:val="0"/>
                <w:numId w:val="90"/>
              </w:numPr>
              <w:spacing w:before="120"/>
              <w:jc w:val="both"/>
              <w:rPr>
                <w:rFonts w:ascii="Calibri" w:hAnsi="Calibri" w:cs="Calibri"/>
              </w:rPr>
            </w:pPr>
            <w:r w:rsidRPr="00AF3608">
              <w:rPr>
                <w:rFonts w:ascii="Calibri" w:hAnsi="Calibri" w:cs="Calibri"/>
              </w:rPr>
              <w:t>întărirea şi sprijinirea implementării evaluării tehnologiilor de sănătate;</w:t>
            </w:r>
          </w:p>
          <w:p w:rsidR="007410E5" w:rsidRPr="00AF3608" w:rsidRDefault="00017871" w:rsidP="003A0B85">
            <w:pPr>
              <w:pStyle w:val="ListParagraph"/>
              <w:numPr>
                <w:ilvl w:val="0"/>
                <w:numId w:val="90"/>
              </w:numPr>
              <w:spacing w:before="120"/>
              <w:jc w:val="both"/>
              <w:rPr>
                <w:rFonts w:ascii="Calibri" w:hAnsi="Calibri" w:cs="Calibri"/>
              </w:rPr>
            </w:pPr>
            <w:r w:rsidRPr="00AF3608">
              <w:rPr>
                <w:rFonts w:ascii="Calibri" w:hAnsi="Calibri" w:cs="Calibri"/>
              </w:rPr>
              <w:t>întărirea capacităţii sectorului de sănătate în vederea realizării de studii şi sondaje şi sprijin în vederea dezvoltării de politici de sănătate bazate pe evidenţe;</w:t>
            </w:r>
          </w:p>
          <w:p w:rsidR="007410E5" w:rsidRPr="00AF3608" w:rsidRDefault="00017871" w:rsidP="003A0B85">
            <w:pPr>
              <w:pStyle w:val="ListParagraph"/>
              <w:numPr>
                <w:ilvl w:val="0"/>
                <w:numId w:val="90"/>
              </w:numPr>
              <w:spacing w:before="120"/>
              <w:jc w:val="both"/>
              <w:rPr>
                <w:rFonts w:ascii="Calibri" w:hAnsi="Calibri" w:cs="Calibri"/>
              </w:rPr>
            </w:pPr>
            <w:r w:rsidRPr="00AF3608">
              <w:rPr>
                <w:rFonts w:ascii="Calibri" w:hAnsi="Calibri" w:cs="Calibri"/>
              </w:rPr>
              <w:t>sprijinirea programelor naţionale de sănătate selectate pentru a muta accentul către servicii de prevenţie şi promovarea serviciilor de sănătate în rândul populaţiei;</w:t>
            </w:r>
          </w:p>
          <w:p w:rsidR="00017871" w:rsidRPr="00AF3608" w:rsidRDefault="00017871" w:rsidP="003A0B85">
            <w:pPr>
              <w:pStyle w:val="ListParagraph"/>
              <w:numPr>
                <w:ilvl w:val="0"/>
                <w:numId w:val="90"/>
              </w:numPr>
              <w:spacing w:before="120"/>
              <w:jc w:val="both"/>
              <w:rPr>
                <w:rFonts w:ascii="Calibri" w:hAnsi="Calibri" w:cs="Calibri"/>
              </w:rPr>
            </w:pPr>
            <w:r w:rsidRPr="00AF3608">
              <w:rPr>
                <w:rFonts w:ascii="Calibri" w:hAnsi="Calibri" w:cs="Calibri"/>
              </w:rPr>
              <w:t>întărirea strategiei de comunicare a Ministerului Sănătăţii pentru informarea publicului asupra programelor de reformă şi a rezultatelor aşteptate ale acestora.</w:t>
            </w:r>
          </w:p>
          <w:p w:rsidR="007410E5" w:rsidRPr="00AF3608" w:rsidRDefault="007410E5" w:rsidP="00B723C0">
            <w:pPr>
              <w:spacing w:before="120"/>
              <w:jc w:val="both"/>
              <w:rPr>
                <w:rFonts w:ascii="Calibri" w:hAnsi="Calibri" w:cs="Calibri"/>
                <w:lang w:val="ro-RO"/>
              </w:rPr>
            </w:pPr>
          </w:p>
          <w:p w:rsidR="00017871" w:rsidRPr="00AF3608" w:rsidRDefault="00017871" w:rsidP="00B723C0">
            <w:pPr>
              <w:spacing w:before="120"/>
              <w:jc w:val="both"/>
              <w:rPr>
                <w:rFonts w:ascii="Calibri" w:hAnsi="Calibri" w:cs="Calibri"/>
                <w:lang w:val="ro-RO"/>
              </w:rPr>
            </w:pPr>
            <w:r w:rsidRPr="00AF3608">
              <w:rPr>
                <w:rFonts w:ascii="Calibri" w:hAnsi="Calibri" w:cs="Calibri"/>
                <w:lang w:val="ro-RO"/>
              </w:rPr>
              <w:t xml:space="preserve">În anul 2020 a fost introdusă </w:t>
            </w:r>
            <w:r w:rsidRPr="00AF3608">
              <w:rPr>
                <w:rFonts w:ascii="Calibri" w:hAnsi="Calibri" w:cs="Calibri"/>
                <w:b/>
                <w:bCs/>
                <w:i/>
                <w:lang w:val="ro-RO"/>
              </w:rPr>
              <w:t>Partea C. Întărirea sistemului de sănătate publică pentru a răspunde crizei COVID-19</w:t>
            </w:r>
          </w:p>
          <w:p w:rsidR="00017871" w:rsidRPr="00AF3608" w:rsidRDefault="00017871" w:rsidP="00B723C0">
            <w:pPr>
              <w:spacing w:before="120"/>
              <w:jc w:val="both"/>
              <w:rPr>
                <w:rFonts w:ascii="Calibri" w:hAnsi="Calibri" w:cs="Calibri"/>
                <w:lang w:val="ro-RO"/>
              </w:rPr>
            </w:pPr>
            <w:r w:rsidRPr="00AF3608">
              <w:rPr>
                <w:rFonts w:ascii="Calibri" w:hAnsi="Calibri" w:cs="Calibri"/>
                <w:lang w:val="ro-RO"/>
              </w:rPr>
              <w:t>Consolidarea capacităţii de răspuns a sistemului de sănătate publică </w:t>
            </w:r>
            <w:r w:rsidRPr="00AF3608">
              <w:rPr>
                <w:rFonts w:ascii="Calibri" w:eastAsia="Calibri" w:hAnsi="Calibri" w:cs="Calibri"/>
                <w:b/>
                <w:bCs/>
                <w:i/>
                <w:iCs/>
                <w:lang w:val="ro-RO"/>
              </w:rPr>
              <w:t>printre altele, </w:t>
            </w:r>
            <w:r w:rsidRPr="00AF3608">
              <w:rPr>
                <w:rFonts w:ascii="Calibri" w:hAnsi="Calibri" w:cs="Calibri"/>
                <w:lang w:val="ro-RO"/>
              </w:rPr>
              <w:t>prin sprijinirea serviciilor de sănătate publică pentru a fi mai pregătite şi a răspunde mai bine prin furnizarea de servicii de asistenţă medicală optime şi prin minimizarea riscurilor pentru pacienţi şi personalul medical ca răspuns la COVID-19, </w:t>
            </w:r>
            <w:r w:rsidRPr="00AF3608">
              <w:rPr>
                <w:rFonts w:ascii="Calibri" w:eastAsia="Calibri" w:hAnsi="Calibri" w:cs="Calibri"/>
                <w:b/>
                <w:bCs/>
                <w:i/>
                <w:iCs/>
                <w:lang w:val="ro-RO"/>
              </w:rPr>
              <w:t>printre altele, </w:t>
            </w:r>
            <w:r w:rsidRPr="00AF3608">
              <w:rPr>
                <w:rFonts w:ascii="Calibri" w:hAnsi="Calibri" w:cs="Calibri"/>
                <w:lang w:val="ro-RO"/>
              </w:rPr>
              <w:t>prin:</w:t>
            </w:r>
          </w:p>
          <w:p w:rsidR="007410E5" w:rsidRPr="00AF3608" w:rsidRDefault="00017871" w:rsidP="003A0B85">
            <w:pPr>
              <w:pStyle w:val="ListParagraph"/>
              <w:numPr>
                <w:ilvl w:val="0"/>
                <w:numId w:val="91"/>
              </w:numPr>
              <w:spacing w:before="120"/>
              <w:jc w:val="both"/>
              <w:rPr>
                <w:rFonts w:ascii="Calibri" w:hAnsi="Calibri" w:cs="Calibri"/>
              </w:rPr>
            </w:pPr>
            <w:r w:rsidRPr="00AF3608">
              <w:rPr>
                <w:rFonts w:ascii="Calibri" w:hAnsi="Calibri" w:cs="Calibri"/>
              </w:rPr>
              <w:t>extinderea şi dotarea centrelor de triaj, a unităţilor medicale şi a unităţilor de terapie intensivă (UTI) din centrele medicale selectate, cu materiale medicale, medicamente şi echipamente pentru tratarea pacienţilor cu COVID-19, precum şi pregătire; şi</w:t>
            </w:r>
          </w:p>
          <w:p w:rsidR="00017871" w:rsidRPr="00AF3608" w:rsidRDefault="00017871" w:rsidP="003A0B85">
            <w:pPr>
              <w:pStyle w:val="ListParagraph"/>
              <w:numPr>
                <w:ilvl w:val="0"/>
                <w:numId w:val="91"/>
              </w:numPr>
              <w:spacing w:before="120"/>
              <w:jc w:val="both"/>
              <w:rPr>
                <w:rFonts w:ascii="Calibri" w:hAnsi="Calibri" w:cs="Calibri"/>
              </w:rPr>
            </w:pPr>
            <w:r w:rsidRPr="00AF3608">
              <w:rPr>
                <w:rFonts w:ascii="Calibri" w:hAnsi="Calibri" w:cs="Calibri"/>
              </w:rPr>
              <w:t>furnizarea de echipamente medicale corespunzătoare, reactivi de diagnostic, inclusiv kiturile necesare pentru laboratoarele de sănătate publică şi asigurarea pregătirii necesare pentru depistarea, prevenirea şi tratarea pacienţilor cu COVID-19.</w:t>
            </w:r>
          </w:p>
          <w:p w:rsidR="00017871" w:rsidRPr="00AF3608" w:rsidRDefault="00017871" w:rsidP="00B723C0">
            <w:pPr>
              <w:spacing w:before="120"/>
              <w:ind w:left="360"/>
              <w:jc w:val="center"/>
              <w:rPr>
                <w:rFonts w:ascii="Calibri" w:eastAsia="Calibri" w:hAnsi="Calibri" w:cs="Calibri"/>
                <w:b/>
                <w:bCs/>
                <w:color w:val="538135" w:themeColor="accent6" w:themeShade="BF"/>
                <w:lang w:val="ro-RO"/>
              </w:rPr>
            </w:pPr>
          </w:p>
        </w:tc>
      </w:tr>
      <w:tr w:rsidR="00017871" w:rsidRPr="00AF3608" w:rsidTr="00017871">
        <w:trPr>
          <w:trHeight w:val="80"/>
        </w:trPr>
        <w:tc>
          <w:tcPr>
            <w:tcW w:w="9559" w:type="dxa"/>
            <w:gridSpan w:val="2"/>
            <w:shd w:val="clear" w:color="auto" w:fill="auto"/>
            <w:vAlign w:val="center"/>
          </w:tcPr>
          <w:p w:rsidR="00017871" w:rsidRPr="00AF3608" w:rsidRDefault="007410E5" w:rsidP="00B723C0">
            <w:pPr>
              <w:tabs>
                <w:tab w:val="left" w:pos="36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ascii="Calibri" w:hAnsi="Calibri" w:cs="Calibri"/>
                <w:b/>
                <w:bCs/>
                <w:color w:val="538135" w:themeColor="accent6" w:themeShade="BF"/>
                <w:lang w:val="ro-RO"/>
              </w:rPr>
            </w:pPr>
            <w:r w:rsidRPr="00AF3608">
              <w:rPr>
                <w:rFonts w:ascii="Calibri" w:hAnsi="Calibri" w:cs="Calibri"/>
                <w:b/>
                <w:bCs/>
                <w:color w:val="538135" w:themeColor="accent6" w:themeShade="BF"/>
                <w:lang w:val="ro-RO"/>
              </w:rPr>
              <w:lastRenderedPageBreak/>
              <w:t xml:space="preserve">POLITICA ÎN DOMENIUL INVESTIȚIILOR PUBLICE </w:t>
            </w:r>
          </w:p>
          <w:p w:rsidR="00017871" w:rsidRPr="00AF3608" w:rsidRDefault="00017871" w:rsidP="00B723C0">
            <w:pPr>
              <w:spacing w:before="120"/>
              <w:jc w:val="both"/>
              <w:rPr>
                <w:rFonts w:ascii="Calibri" w:hAnsi="Calibri" w:cs="Calibri"/>
                <w:lang w:val="ro-RO"/>
              </w:rPr>
            </w:pPr>
            <w:r w:rsidRPr="00AF3608">
              <w:rPr>
                <w:rFonts w:ascii="Calibri" w:hAnsi="Calibri" w:cs="Calibri"/>
                <w:b/>
                <w:lang w:val="ro-RO"/>
              </w:rPr>
              <w:t>Programul de investiţii al Ministerului Sănătăţii,</w:t>
            </w:r>
            <w:r w:rsidRPr="00AF3608">
              <w:rPr>
                <w:rFonts w:ascii="Calibri" w:hAnsi="Calibri" w:cs="Calibri"/>
                <w:lang w:val="ro-RO"/>
              </w:rPr>
              <w:t xml:space="preserve"> se regăseşte definit în strategia fiscal bugetară pe termen mediu a Ministerului Sănătăţii, prin două principale proiecte investiţionale, în cadrul cărora se regăsesc o serie de subproiecte :</w:t>
            </w:r>
          </w:p>
          <w:p w:rsidR="00017871" w:rsidRPr="00AF3608" w:rsidRDefault="00017871" w:rsidP="003A0B85">
            <w:pPr>
              <w:numPr>
                <w:ilvl w:val="0"/>
                <w:numId w:val="86"/>
              </w:numPr>
              <w:spacing w:before="120"/>
              <w:jc w:val="both"/>
              <w:rPr>
                <w:rFonts w:ascii="Calibri" w:hAnsi="Calibri" w:cs="Calibri"/>
                <w:lang w:val="ro-RO"/>
              </w:rPr>
            </w:pPr>
            <w:r w:rsidRPr="00AF3608">
              <w:rPr>
                <w:rFonts w:ascii="Calibri" w:hAnsi="Calibri" w:cs="Calibri"/>
                <w:lang w:val="ro-RO"/>
              </w:rPr>
              <w:t xml:space="preserve">Proiectul </w:t>
            </w:r>
            <w:r w:rsidRPr="00AF3608">
              <w:rPr>
                <w:rFonts w:ascii="Calibri" w:hAnsi="Calibri" w:cs="Calibri"/>
                <w:b/>
                <w:lang w:val="ro-RO"/>
              </w:rPr>
              <w:t xml:space="preserve">1. </w:t>
            </w:r>
            <w:r w:rsidRPr="00AF3608">
              <w:rPr>
                <w:rFonts w:ascii="Calibri" w:hAnsi="Calibri" w:cs="Calibri"/>
                <w:b/>
                <w:u w:val="single"/>
                <w:lang w:val="ro-RO"/>
              </w:rPr>
              <w:t>Finanţarea dezvoltarii şi modernizarea infrastructurii sanitare</w:t>
            </w:r>
            <w:r w:rsidRPr="00AF3608">
              <w:rPr>
                <w:rFonts w:ascii="Calibri" w:hAnsi="Calibri" w:cs="Calibri"/>
                <w:lang w:val="ro-RO"/>
              </w:rPr>
              <w:t>, cu subproiectele:</w:t>
            </w:r>
          </w:p>
          <w:p w:rsidR="00401EBD" w:rsidRPr="00AF3608" w:rsidRDefault="00017871" w:rsidP="003A0B85">
            <w:pPr>
              <w:pStyle w:val="ListParagraph"/>
              <w:numPr>
                <w:ilvl w:val="0"/>
                <w:numId w:val="92"/>
              </w:numPr>
              <w:spacing w:before="120"/>
              <w:jc w:val="both"/>
              <w:rPr>
                <w:rFonts w:ascii="Calibri" w:hAnsi="Calibri" w:cs="Calibri"/>
              </w:rPr>
            </w:pPr>
            <w:r w:rsidRPr="00AF3608">
              <w:rPr>
                <w:rFonts w:ascii="Calibri" w:hAnsi="Calibri" w:cs="Calibri"/>
              </w:rPr>
              <w:t>Finalizarea obiectivelor de investiţii începute în anii precedenţi;</w:t>
            </w:r>
          </w:p>
          <w:p w:rsidR="00401EBD" w:rsidRPr="00AF3608" w:rsidRDefault="00017871" w:rsidP="003A0B85">
            <w:pPr>
              <w:pStyle w:val="ListParagraph"/>
              <w:numPr>
                <w:ilvl w:val="0"/>
                <w:numId w:val="92"/>
              </w:numPr>
              <w:spacing w:before="120"/>
              <w:jc w:val="both"/>
              <w:rPr>
                <w:rFonts w:ascii="Calibri" w:hAnsi="Calibri" w:cs="Calibri"/>
              </w:rPr>
            </w:pPr>
            <w:r w:rsidRPr="00AF3608">
              <w:rPr>
                <w:rFonts w:ascii="Calibri" w:hAnsi="Calibri" w:cs="Calibri"/>
              </w:rPr>
              <w:t xml:space="preserve">Continuarea programului de consolidări (şi alte lucrări de intervenţii) a clădirilor unităţilor sanitare (Institutul Regional de Oncologie Timișoara – cu termen estimat de finalizare în anul 2025; extinderea secției de Oncologie cu Compartiment de radioterapie oncologică - Spitalul </w:t>
            </w:r>
            <w:r w:rsidRPr="00AF3608">
              <w:rPr>
                <w:rFonts w:ascii="Calibri" w:hAnsi="Calibri" w:cs="Calibri"/>
              </w:rPr>
              <w:lastRenderedPageBreak/>
              <w:t>Universitar de Urgență București – cu termen estimat de finalizare în anul 2021);</w:t>
            </w:r>
          </w:p>
          <w:p w:rsidR="00401EBD" w:rsidRPr="00AF3608" w:rsidRDefault="00017871" w:rsidP="003A0B85">
            <w:pPr>
              <w:pStyle w:val="ListParagraph"/>
              <w:numPr>
                <w:ilvl w:val="0"/>
                <w:numId w:val="92"/>
              </w:numPr>
              <w:spacing w:before="120"/>
              <w:jc w:val="both"/>
              <w:rPr>
                <w:rFonts w:ascii="Calibri" w:hAnsi="Calibri" w:cs="Calibri"/>
              </w:rPr>
            </w:pPr>
            <w:r w:rsidRPr="00AF3608">
              <w:rPr>
                <w:rFonts w:ascii="Calibri" w:hAnsi="Calibri" w:cs="Calibri"/>
              </w:rPr>
              <w:t>Reabilitarea infrastructurii unităţilor sanitare prin efectuarea l</w:t>
            </w:r>
            <w:r w:rsidR="00401EBD" w:rsidRPr="00AF3608">
              <w:rPr>
                <w:rFonts w:ascii="Calibri" w:hAnsi="Calibri" w:cs="Calibri"/>
              </w:rPr>
              <w:t>ucrărilor de reparaţii capitale&lt;</w:t>
            </w:r>
          </w:p>
          <w:p w:rsidR="00401EBD" w:rsidRPr="00AF3608" w:rsidRDefault="00017871" w:rsidP="003A0B85">
            <w:pPr>
              <w:pStyle w:val="ListParagraph"/>
              <w:numPr>
                <w:ilvl w:val="0"/>
                <w:numId w:val="92"/>
              </w:numPr>
              <w:spacing w:before="120"/>
              <w:jc w:val="both"/>
              <w:rPr>
                <w:rFonts w:ascii="Calibri" w:hAnsi="Calibri" w:cs="Calibri"/>
              </w:rPr>
            </w:pPr>
            <w:r w:rsidRPr="00AF3608">
              <w:rPr>
                <w:rFonts w:ascii="Calibri" w:hAnsi="Calibri" w:cs="Calibri"/>
              </w:rPr>
              <w:t>Construirea Spitalelor Regionale de Urgenţă, inclusiv prin Programul Operațional Regional: 8 spitale regionale;</w:t>
            </w:r>
          </w:p>
          <w:p w:rsidR="00401EBD" w:rsidRPr="00AF3608" w:rsidRDefault="00017871" w:rsidP="003A0B85">
            <w:pPr>
              <w:pStyle w:val="ListParagraph"/>
              <w:numPr>
                <w:ilvl w:val="0"/>
                <w:numId w:val="92"/>
              </w:numPr>
              <w:spacing w:before="120"/>
              <w:jc w:val="both"/>
              <w:rPr>
                <w:rFonts w:ascii="Calibri" w:hAnsi="Calibri" w:cs="Calibri"/>
              </w:rPr>
            </w:pPr>
            <w:r w:rsidRPr="00AF3608">
              <w:rPr>
                <w:rFonts w:ascii="Calibri" w:hAnsi="Calibri" w:cs="Calibri"/>
              </w:rPr>
              <w:t>Reabilitarea/modernizarea/extinderea: spitale județene — cel puțin 15; ambulatorii de specialitate — cel puțin 150, U.P.U. — cel puțin 25, Centre comunitare integrate medico-sociale</w:t>
            </w:r>
            <w:r w:rsidR="00401EBD" w:rsidRPr="00AF3608">
              <w:rPr>
                <w:rFonts w:ascii="Calibri" w:hAnsi="Calibri" w:cs="Calibri"/>
              </w:rPr>
              <w:t>;</w:t>
            </w:r>
          </w:p>
          <w:p w:rsidR="00401EBD" w:rsidRPr="00AF3608" w:rsidRDefault="00017871" w:rsidP="003A0B85">
            <w:pPr>
              <w:pStyle w:val="ListParagraph"/>
              <w:numPr>
                <w:ilvl w:val="0"/>
                <w:numId w:val="92"/>
              </w:numPr>
              <w:spacing w:before="120"/>
              <w:jc w:val="both"/>
              <w:rPr>
                <w:rFonts w:ascii="Calibri" w:hAnsi="Calibri" w:cs="Calibri"/>
              </w:rPr>
            </w:pPr>
            <w:r w:rsidRPr="00AF3608">
              <w:rPr>
                <w:rFonts w:ascii="Calibri" w:hAnsi="Calibri" w:cs="Calibri"/>
              </w:rPr>
              <w:t>Centre comunitare integrate medico-sociale de care vor bene</w:t>
            </w:r>
            <w:r w:rsidR="00401EBD" w:rsidRPr="00AF3608">
              <w:rPr>
                <w:rFonts w:ascii="Calibri" w:hAnsi="Calibri" w:cs="Calibri"/>
              </w:rPr>
              <w:t>ficia peste 270.000 de persoane;</w:t>
            </w:r>
          </w:p>
          <w:p w:rsidR="00017871" w:rsidRPr="00AF3608" w:rsidRDefault="00401EBD" w:rsidP="003A0B85">
            <w:pPr>
              <w:pStyle w:val="ListParagraph"/>
              <w:numPr>
                <w:ilvl w:val="0"/>
                <w:numId w:val="92"/>
              </w:numPr>
              <w:spacing w:before="120"/>
              <w:jc w:val="both"/>
              <w:rPr>
                <w:rFonts w:ascii="Calibri" w:hAnsi="Calibri" w:cs="Calibri"/>
              </w:rPr>
            </w:pPr>
            <w:r w:rsidRPr="00AF3608">
              <w:rPr>
                <w:rFonts w:ascii="Calibri" w:hAnsi="Calibri" w:cs="Calibri"/>
              </w:rPr>
              <w:t>Mă</w:t>
            </w:r>
            <w:r w:rsidR="00017871" w:rsidRPr="00AF3608">
              <w:rPr>
                <w:rFonts w:ascii="Calibri" w:hAnsi="Calibri" w:cs="Calibri"/>
              </w:rPr>
              <w:t>suri pentru digitalizare, finanțate inclusiv prin programul Operational Competitivitate pentru implementarea registrelor de boală si a informatizării secțiilor de ATI și prin Programul Operțional Capacitate Administrativă pentru digitalizarea procesului de emitere avize/autorizații</w:t>
            </w:r>
          </w:p>
        </w:tc>
      </w:tr>
      <w:tr w:rsidR="00017871" w:rsidRPr="00AF3608" w:rsidTr="00017871">
        <w:trPr>
          <w:trHeight w:val="80"/>
        </w:trPr>
        <w:tc>
          <w:tcPr>
            <w:tcW w:w="9559" w:type="dxa"/>
            <w:gridSpan w:val="2"/>
            <w:shd w:val="clear" w:color="auto" w:fill="auto"/>
            <w:vAlign w:val="center"/>
          </w:tcPr>
          <w:p w:rsidR="00401EBD" w:rsidRPr="00AF3608" w:rsidRDefault="00017871" w:rsidP="003A0B85">
            <w:pPr>
              <w:numPr>
                <w:ilvl w:val="0"/>
                <w:numId w:val="86"/>
              </w:numPr>
              <w:spacing w:before="120"/>
              <w:ind w:left="0" w:firstLine="1068"/>
              <w:jc w:val="both"/>
              <w:rPr>
                <w:rFonts w:ascii="Calibri" w:hAnsi="Calibri" w:cs="Calibri"/>
                <w:lang w:val="ro-RO"/>
              </w:rPr>
            </w:pPr>
            <w:r w:rsidRPr="00AF3608">
              <w:rPr>
                <w:rFonts w:ascii="Calibri" w:hAnsi="Calibri" w:cs="Calibri"/>
                <w:lang w:val="ro-RO"/>
              </w:rPr>
              <w:lastRenderedPageBreak/>
              <w:t xml:space="preserve">Proiectul </w:t>
            </w:r>
            <w:r w:rsidRPr="00AF3608">
              <w:rPr>
                <w:rFonts w:ascii="Calibri" w:hAnsi="Calibri" w:cs="Calibri"/>
                <w:b/>
                <w:lang w:val="ro-RO"/>
              </w:rPr>
              <w:t>2.</w:t>
            </w:r>
            <w:r w:rsidRPr="00AF3608">
              <w:rPr>
                <w:rFonts w:ascii="Calibri" w:hAnsi="Calibri" w:cs="Calibri"/>
                <w:lang w:val="ro-RO"/>
              </w:rPr>
              <w:t xml:space="preserve"> </w:t>
            </w:r>
            <w:r w:rsidRPr="00AF3608">
              <w:rPr>
                <w:rFonts w:ascii="Calibri" w:hAnsi="Calibri" w:cs="Calibri"/>
                <w:b/>
                <w:u w:val="single"/>
                <w:lang w:val="ro-RO"/>
              </w:rPr>
              <w:t>Dotarea unităţilor sanitare cu aparatură medicală, echipamente şi mijloace de transport sanitar specifice (ambulanţe, autosanitare, etc.)</w:t>
            </w:r>
            <w:r w:rsidRPr="00AF3608">
              <w:rPr>
                <w:rFonts w:ascii="Calibri" w:hAnsi="Calibri" w:cs="Calibri"/>
                <w:lang w:val="ro-RO"/>
              </w:rPr>
              <w:t>, cu subproiectele:</w:t>
            </w:r>
          </w:p>
          <w:p w:rsidR="00401EBD" w:rsidRPr="00AF3608" w:rsidRDefault="00017871" w:rsidP="003A0B85">
            <w:pPr>
              <w:pStyle w:val="ListParagraph"/>
              <w:numPr>
                <w:ilvl w:val="0"/>
                <w:numId w:val="92"/>
              </w:numPr>
              <w:spacing w:before="120"/>
              <w:jc w:val="both"/>
              <w:rPr>
                <w:rFonts w:ascii="Calibri" w:hAnsi="Calibri" w:cs="Calibri"/>
              </w:rPr>
            </w:pPr>
            <w:r w:rsidRPr="00AF3608">
              <w:rPr>
                <w:rFonts w:ascii="Calibri" w:hAnsi="Calibri" w:cs="Calibri"/>
              </w:rPr>
              <w:t>Dotarea cu aparatură / echipamente medicale la nivelul spitalelor publice;</w:t>
            </w:r>
          </w:p>
          <w:p w:rsidR="00401EBD" w:rsidRPr="00AF3608" w:rsidRDefault="00017871" w:rsidP="003A0B85">
            <w:pPr>
              <w:pStyle w:val="ListParagraph"/>
              <w:numPr>
                <w:ilvl w:val="0"/>
                <w:numId w:val="92"/>
              </w:numPr>
              <w:spacing w:before="120"/>
              <w:jc w:val="both"/>
              <w:rPr>
                <w:rFonts w:ascii="Calibri" w:hAnsi="Calibri" w:cs="Calibri"/>
              </w:rPr>
            </w:pPr>
            <w:r w:rsidRPr="00AF3608">
              <w:rPr>
                <w:rFonts w:ascii="Calibri" w:hAnsi="Calibri" w:cs="Calibri"/>
              </w:rPr>
              <w:t>Dotarea cu mijloace de transport sanitar specifice ( ambulanţe, autosanitare, elicoptere,etc.);</w:t>
            </w:r>
          </w:p>
          <w:p w:rsidR="00401EBD" w:rsidRPr="00AF3608" w:rsidRDefault="00017871" w:rsidP="003A0B85">
            <w:pPr>
              <w:pStyle w:val="ListParagraph"/>
              <w:numPr>
                <w:ilvl w:val="0"/>
                <w:numId w:val="92"/>
              </w:numPr>
              <w:spacing w:before="120"/>
              <w:jc w:val="both"/>
              <w:rPr>
                <w:rFonts w:ascii="Calibri" w:hAnsi="Calibri" w:cs="Calibri"/>
              </w:rPr>
            </w:pPr>
            <w:r w:rsidRPr="00AF3608">
              <w:rPr>
                <w:rFonts w:ascii="Calibri" w:hAnsi="Calibri" w:cs="Calibri"/>
              </w:rPr>
              <w:t>Dotarea cabinetelor medicilor de familie;</w:t>
            </w:r>
          </w:p>
          <w:p w:rsidR="00017871" w:rsidRPr="00AF3608" w:rsidRDefault="00017871" w:rsidP="003A0B85">
            <w:pPr>
              <w:pStyle w:val="ListParagraph"/>
              <w:numPr>
                <w:ilvl w:val="0"/>
                <w:numId w:val="92"/>
              </w:numPr>
              <w:spacing w:before="120"/>
              <w:jc w:val="both"/>
              <w:rPr>
                <w:rFonts w:ascii="Calibri" w:hAnsi="Calibri" w:cs="Calibri"/>
              </w:rPr>
            </w:pPr>
            <w:r w:rsidRPr="00AF3608">
              <w:rPr>
                <w:rFonts w:ascii="Calibri" w:hAnsi="Calibri" w:cs="Calibri"/>
              </w:rPr>
              <w:t>Dezvoltarea de centre de telemedicină regionale sau naționale în funcție de specialitate.</w:t>
            </w:r>
          </w:p>
          <w:p w:rsidR="00017871" w:rsidRPr="00AF3608" w:rsidRDefault="00017871" w:rsidP="00B723C0">
            <w:pPr>
              <w:spacing w:before="120"/>
              <w:jc w:val="both"/>
              <w:rPr>
                <w:rFonts w:ascii="Calibri" w:hAnsi="Calibri" w:cs="Calibri"/>
                <w:lang w:val="ro-RO"/>
              </w:rPr>
            </w:pPr>
            <w:r w:rsidRPr="00AF3608">
              <w:rPr>
                <w:rFonts w:ascii="Calibri" w:hAnsi="Calibri" w:cs="Calibri"/>
                <w:lang w:val="ro-RO"/>
              </w:rPr>
              <w:t>Ministerul Sănătății va realiza o analiză riguroasă a infrastructurii și dotărilor celor 367 de spitale publice și stabilirea unei liste de priorități urgente a investițiilor acolo unde există condiții insalubre sau care pun în pericol siguranța pacienților. </w:t>
            </w:r>
          </w:p>
          <w:p w:rsidR="00017871" w:rsidRPr="00AF3608" w:rsidRDefault="00017871" w:rsidP="00B723C0">
            <w:pPr>
              <w:spacing w:before="120"/>
              <w:jc w:val="both"/>
              <w:rPr>
                <w:rFonts w:ascii="Calibri" w:hAnsi="Calibri" w:cs="Calibri"/>
                <w:lang w:val="ro-RO"/>
              </w:rPr>
            </w:pPr>
            <w:r w:rsidRPr="00AF3608">
              <w:rPr>
                <w:rFonts w:ascii="Calibri" w:hAnsi="Calibri" w:cs="Calibri"/>
                <w:lang w:val="ro-RO"/>
              </w:rPr>
              <w:t>Derularea acestor două principale proiecte şi a subproiectelor aferente, au ca scop asigurarea populaţiei cu servicii medicale performante, care să acopere nevoile acesteia şi care să fie comparabile cu cele oferite în prezent de furnizorii de servicii de acelaşi tip din statele m</w:t>
            </w:r>
            <w:r w:rsidR="007410E5" w:rsidRPr="00AF3608">
              <w:rPr>
                <w:rFonts w:ascii="Calibri" w:hAnsi="Calibri" w:cs="Calibri"/>
                <w:lang w:val="ro-RO"/>
              </w:rPr>
              <w:t>embre ale Uniunii Europene.</w:t>
            </w:r>
          </w:p>
        </w:tc>
      </w:tr>
    </w:tbl>
    <w:p w:rsidR="003A1656" w:rsidRPr="001D681B" w:rsidRDefault="003A1656" w:rsidP="00B723C0">
      <w:pPr>
        <w:suppressAutoHyphens/>
        <w:spacing w:before="120"/>
        <w:jc w:val="both"/>
        <w:rPr>
          <w:rFonts w:asciiTheme="minorHAnsi" w:hAnsiTheme="minorHAnsi" w:cstheme="minorHAnsi"/>
          <w:lang w:val="ro-RO"/>
        </w:rPr>
      </w:pPr>
    </w:p>
    <w:p w:rsidR="007410E5" w:rsidRPr="001D681B" w:rsidRDefault="007410E5" w:rsidP="001D681B">
      <w:pPr>
        <w:suppressAutoHyphens/>
        <w:spacing w:before="120"/>
        <w:jc w:val="both"/>
        <w:rPr>
          <w:rFonts w:asciiTheme="minorHAnsi" w:hAnsiTheme="minorHAnsi" w:cstheme="minorHAnsi"/>
          <w:lang w:val="ro-RO"/>
        </w:rPr>
      </w:pPr>
    </w:p>
    <w:p w:rsidR="001D681B" w:rsidRPr="001D681B" w:rsidRDefault="001D681B" w:rsidP="001D681B">
      <w:pPr>
        <w:shd w:val="clear" w:color="auto" w:fill="C5E0B3" w:themeFill="accent6" w:themeFillTint="66"/>
        <w:spacing w:before="120"/>
        <w:rPr>
          <w:rFonts w:asciiTheme="minorHAnsi" w:eastAsia="Calibri" w:hAnsiTheme="minorHAnsi" w:cstheme="minorHAnsi"/>
          <w:b/>
          <w:lang w:val="ro-RO" w:eastAsia="ro-RO"/>
        </w:rPr>
      </w:pPr>
      <w:r>
        <w:rPr>
          <w:rFonts w:asciiTheme="minorHAnsi" w:eastAsia="Calibri" w:hAnsiTheme="minorHAnsi" w:cstheme="minorHAnsi"/>
          <w:b/>
          <w:lang w:val="ro-RO" w:eastAsia="ro-RO"/>
        </w:rPr>
        <w:t>Politica î</w:t>
      </w:r>
      <w:r w:rsidRPr="001D681B">
        <w:rPr>
          <w:rFonts w:asciiTheme="minorHAnsi" w:eastAsia="Calibri" w:hAnsiTheme="minorHAnsi" w:cstheme="minorHAnsi"/>
          <w:b/>
          <w:lang w:val="ro-RO" w:eastAsia="ro-RO"/>
        </w:rPr>
        <w:t>n domeniul dezvoltării teritoriale, lucrărilor publice și administrației</w:t>
      </w:r>
    </w:p>
    <w:p w:rsidR="001D681B" w:rsidRPr="001D681B" w:rsidRDefault="001D681B" w:rsidP="001D681B">
      <w:pPr>
        <w:spacing w:before="120"/>
        <w:jc w:val="both"/>
        <w:rPr>
          <w:rFonts w:asciiTheme="minorHAnsi" w:eastAsia="Calibri" w:hAnsiTheme="minorHAnsi" w:cstheme="minorHAnsi"/>
          <w:u w:val="single"/>
          <w:lang w:val="ro-RO" w:eastAsia="ro-RO"/>
        </w:rPr>
      </w:pPr>
      <w:r w:rsidRPr="001D681B">
        <w:rPr>
          <w:rFonts w:asciiTheme="minorHAnsi" w:eastAsia="Calibri" w:hAnsiTheme="minorHAnsi" w:cstheme="minorHAnsi"/>
          <w:u w:val="single"/>
          <w:lang w:val="ro-RO" w:eastAsia="ro-RO"/>
        </w:rPr>
        <w:t>PRIORITĂȚI STRATEGICE</w:t>
      </w:r>
      <w:r w:rsidRPr="001D681B">
        <w:rPr>
          <w:rFonts w:asciiTheme="minorHAnsi" w:eastAsia="Calibri" w:hAnsiTheme="minorHAnsi" w:cstheme="minorHAnsi"/>
          <w:lang w:val="ro-RO" w:eastAsia="ro-RO"/>
        </w:rPr>
        <w:t>: coeziune economică și socială la nivel național, prin dezvoltarea regională echilibrată și durabilă a teritoriului și valorificarea potențialului cooperării teritoriale europene; administrație publică eficientă; creșterea gradului de absorbție a fondurilor nerambursabile; întărirea capacității administrative a MDLPA (componenta de management organizațional și componenta legislativă).</w:t>
      </w:r>
    </w:p>
    <w:p w:rsidR="001D681B" w:rsidRPr="001D681B" w:rsidRDefault="001D681B" w:rsidP="001D681B">
      <w:pPr>
        <w:spacing w:before="120"/>
        <w:ind w:right="4"/>
        <w:jc w:val="both"/>
        <w:rPr>
          <w:rFonts w:asciiTheme="minorHAnsi" w:eastAsia="Calibri" w:hAnsiTheme="minorHAnsi" w:cstheme="minorHAnsi"/>
          <w:u w:val="single"/>
          <w:lang w:val="ro-RO" w:eastAsia="ro-RO"/>
        </w:rPr>
      </w:pPr>
      <w:r w:rsidRPr="001D681B">
        <w:rPr>
          <w:rFonts w:asciiTheme="minorHAnsi" w:eastAsia="Calibri" w:hAnsiTheme="minorHAnsi" w:cstheme="minorHAnsi"/>
          <w:u w:val="single"/>
          <w:lang w:val="ro-RO" w:eastAsia="ro-RO"/>
        </w:rPr>
        <w:t>Direcții de acțiune, ținte și obiective propuse, măsuri de implementare a obiectivelor, programe și proiecte planificate a se derula în perioada 2021 – 2023:</w:t>
      </w:r>
    </w:p>
    <w:p w:rsidR="001D681B" w:rsidRPr="001D681B" w:rsidRDefault="001D681B" w:rsidP="001D681B">
      <w:pPr>
        <w:spacing w:before="120"/>
        <w:ind w:right="220"/>
        <w:jc w:val="both"/>
        <w:rPr>
          <w:rFonts w:asciiTheme="minorHAnsi" w:eastAsia="Calibri" w:hAnsiTheme="minorHAnsi" w:cstheme="minorHAnsi"/>
          <w:u w:val="single"/>
          <w:lang w:val="ro-RO" w:eastAsia="ro-RO"/>
        </w:rPr>
      </w:pPr>
    </w:p>
    <w:p w:rsidR="001D681B" w:rsidRPr="001D681B" w:rsidRDefault="001D681B" w:rsidP="003A0B85">
      <w:pPr>
        <w:pStyle w:val="ListParagraph"/>
        <w:numPr>
          <w:ilvl w:val="0"/>
          <w:numId w:val="170"/>
        </w:numPr>
        <w:tabs>
          <w:tab w:val="left" w:pos="9356"/>
        </w:tabs>
        <w:spacing w:before="120"/>
        <w:ind w:right="4"/>
        <w:jc w:val="both"/>
        <w:rPr>
          <w:rFonts w:asciiTheme="minorHAnsi" w:hAnsiTheme="minorHAnsi" w:cstheme="minorHAnsi"/>
          <w:b/>
          <w:u w:val="single"/>
          <w:lang w:eastAsia="ro-RO"/>
        </w:rPr>
      </w:pPr>
      <w:r w:rsidRPr="001D681B">
        <w:rPr>
          <w:rFonts w:asciiTheme="minorHAnsi" w:hAnsiTheme="minorHAnsi" w:cstheme="minorHAnsi"/>
          <w:b/>
          <w:u w:val="single"/>
          <w:lang w:eastAsia="ro-RO"/>
        </w:rPr>
        <w:lastRenderedPageBreak/>
        <w:t>DEZVOLTAREA REGIONALĂ (DEZVOLTARE ȘI COOPERARE TERITORIALĂ, LUCRĂRI PUBLICE, CADASTRU ȘI PUBLICITATE IMOBILIARĂ)</w:t>
      </w:r>
    </w:p>
    <w:p w:rsidR="001D681B" w:rsidRPr="001D681B" w:rsidRDefault="001D681B" w:rsidP="001D681B">
      <w:pPr>
        <w:spacing w:before="120"/>
        <w:ind w:right="4"/>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Pentru perioada 2021-2023, s-a stabilit definirea și asigurarea din bugetul de stat/ fonduri nerambursabile a sumelor necesare implementării serviciilor publice în fiecare localitate de tip: sănătate; educație; apă – canalizare; gaze; energie termică, electrică; transport, drumuri; salubrizare; cultură; culte; sport; locuință.</w:t>
      </w:r>
    </w:p>
    <w:p w:rsidR="001D681B" w:rsidRPr="001D681B" w:rsidRDefault="001D681B" w:rsidP="001D681B">
      <w:pPr>
        <w:spacing w:before="120"/>
        <w:ind w:right="4"/>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Măsurile prevăzute în domeniul dezvoltării regionale sunt finanțate atât din bugetul de stat cât și din fonduri externe nerambursabile, respectiv Programul Operațional Regional și Programele de Cooperare Teritorială Europeană.</w:t>
      </w:r>
    </w:p>
    <w:p w:rsidR="001D681B" w:rsidRPr="001D681B" w:rsidRDefault="001D681B" w:rsidP="001D681B">
      <w:p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b/>
          <w:lang w:val="ro-RO" w:eastAsia="ro-RO"/>
        </w:rPr>
        <w:t xml:space="preserve">Țintă / Obiectiv general: </w:t>
      </w:r>
      <w:r w:rsidRPr="001D681B">
        <w:rPr>
          <w:rFonts w:asciiTheme="minorHAnsi" w:eastAsia="Calibri" w:hAnsiTheme="minorHAnsi" w:cstheme="minorHAnsi"/>
          <w:lang w:val="ro-RO" w:eastAsia="ro-RO"/>
        </w:rPr>
        <w:t>Creșterea coeziunii teritoriale la nivel național prin asigurarea accesului populației la serviciile și dotările de interes general, creșterea calității vieții și a oportunităților economice, prin utilizarea durabilă a teritoriului localităților urbane și rurale, precum și prin îmbunătățirea cooperării teritoriale transfrontalieră, transnațională și inter-regională.</w:t>
      </w:r>
    </w:p>
    <w:p w:rsidR="001D681B" w:rsidRPr="001D681B" w:rsidRDefault="001D681B" w:rsidP="001D681B">
      <w:pPr>
        <w:spacing w:before="120"/>
        <w:jc w:val="both"/>
        <w:rPr>
          <w:rFonts w:asciiTheme="minorHAnsi" w:eastAsia="Calibri" w:hAnsiTheme="minorHAnsi" w:cstheme="minorHAnsi"/>
          <w:b/>
          <w:lang w:val="ro-RO" w:eastAsia="ro-RO"/>
        </w:rPr>
      </w:pPr>
      <w:r w:rsidRPr="001D681B">
        <w:rPr>
          <w:rFonts w:asciiTheme="minorHAnsi" w:eastAsia="Calibri" w:hAnsiTheme="minorHAnsi" w:cstheme="minorHAnsi"/>
          <w:b/>
          <w:lang w:val="ro-RO" w:eastAsia="ro-RO"/>
        </w:rPr>
        <w:t>Obiective specifice/ Măsuri de implementare pentru perioada 2021 – 2023:</w:t>
      </w:r>
    </w:p>
    <w:p w:rsidR="001D681B" w:rsidRPr="001D681B" w:rsidRDefault="001D681B" w:rsidP="001D681B">
      <w:p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1. Asigurarea cadrului strategic și de reglementare pentru politicile și strategiile din domeniul dezvoltării regionale, dezvoltării urbane și coeziunii teritoriale, lucrărilor publice, construcțiilor, locuirii și cooperării teritoriale europene</w:t>
      </w:r>
    </w:p>
    <w:p w:rsidR="001D681B" w:rsidRPr="001D681B" w:rsidRDefault="001D681B" w:rsidP="001D681B">
      <w:p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2. Dezvoltarea de instrumente operaționale de gestionare a teritoriului</w:t>
      </w:r>
    </w:p>
    <w:p w:rsidR="001D681B" w:rsidRPr="001D681B" w:rsidRDefault="001D681B" w:rsidP="001D681B">
      <w:p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3. Îmbunătățirea activității de monitorizare și control a pieței serviciilor comunitare de utilitate publică și asigurarea standardelor de calitate UE</w:t>
      </w:r>
    </w:p>
    <w:p w:rsidR="001D681B" w:rsidRPr="001D681B" w:rsidRDefault="001D681B" w:rsidP="001D681B">
      <w:p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4. Dezvoltarea teritoriului prin implementarea eficientă și eficace a programelor de investiții finanțate din fonduri comunitare, naționale și din alte surse legal constituite</w:t>
      </w:r>
    </w:p>
    <w:p w:rsidR="001D681B" w:rsidRPr="001D681B" w:rsidRDefault="001D681B" w:rsidP="001D681B">
      <w:p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5. Corelarea programelor de investiții pentru dezvoltarea comunităților locale cu programele de finanțare din fonduri nerambursabile europene în cadrul exercițiului financiar multianual 2021 – 2027.</w:t>
      </w:r>
    </w:p>
    <w:p w:rsidR="001D681B" w:rsidRPr="001D681B" w:rsidRDefault="001D681B" w:rsidP="001D681B">
      <w:pPr>
        <w:spacing w:before="120"/>
        <w:jc w:val="both"/>
        <w:rPr>
          <w:rFonts w:asciiTheme="minorHAnsi" w:eastAsia="Calibri" w:hAnsiTheme="minorHAnsi" w:cstheme="minorHAnsi"/>
          <w:b/>
          <w:lang w:val="ro-RO" w:eastAsia="ro-RO"/>
        </w:rPr>
      </w:pPr>
    </w:p>
    <w:p w:rsidR="001D681B" w:rsidRPr="001D681B" w:rsidRDefault="001D681B" w:rsidP="001D681B">
      <w:pPr>
        <w:spacing w:before="120"/>
        <w:jc w:val="both"/>
        <w:rPr>
          <w:rFonts w:asciiTheme="minorHAnsi" w:eastAsia="Calibri" w:hAnsiTheme="minorHAnsi" w:cstheme="minorHAnsi"/>
          <w:b/>
          <w:lang w:val="ro-RO" w:eastAsia="ro-RO"/>
        </w:rPr>
      </w:pPr>
      <w:r w:rsidRPr="001D681B">
        <w:rPr>
          <w:rFonts w:asciiTheme="minorHAnsi" w:eastAsia="Calibri" w:hAnsiTheme="minorHAnsi" w:cstheme="minorHAnsi"/>
          <w:b/>
          <w:lang w:val="ro-RO" w:eastAsia="ro-RO"/>
        </w:rPr>
        <w:t xml:space="preserve">Programe/Proiecte prioritare pentru perioada 2021 - 2023: </w:t>
      </w:r>
    </w:p>
    <w:p w:rsidR="001D681B" w:rsidRPr="001D681B" w:rsidRDefault="001D681B" w:rsidP="001D681B">
      <w:pPr>
        <w:spacing w:before="120"/>
        <w:jc w:val="both"/>
        <w:rPr>
          <w:rFonts w:asciiTheme="minorHAnsi" w:eastAsia="Calibri" w:hAnsiTheme="minorHAnsi" w:cstheme="minorHAnsi"/>
          <w:b/>
          <w:lang w:val="ro-RO" w:eastAsia="ro-RO"/>
        </w:rPr>
      </w:pPr>
      <w:r w:rsidRPr="001D681B">
        <w:rPr>
          <w:rFonts w:asciiTheme="minorHAnsi" w:eastAsia="Calibri" w:hAnsiTheme="minorHAnsi" w:cstheme="minorHAnsi"/>
          <w:lang w:val="ro-RO" w:eastAsia="ro-RO"/>
        </w:rPr>
        <w:t xml:space="preserve">În </w:t>
      </w:r>
      <w:r w:rsidRPr="001D681B">
        <w:rPr>
          <w:rFonts w:asciiTheme="minorHAnsi" w:eastAsia="Calibri" w:hAnsiTheme="minorHAnsi" w:cstheme="minorHAnsi"/>
          <w:b/>
          <w:lang w:val="ro-RO" w:eastAsia="ro-RO"/>
        </w:rPr>
        <w:t xml:space="preserve">domeniul </w:t>
      </w:r>
      <w:r w:rsidRPr="001D681B">
        <w:rPr>
          <w:rFonts w:asciiTheme="minorHAnsi" w:eastAsia="Calibri" w:hAnsiTheme="minorHAnsi" w:cstheme="minorHAnsi"/>
          <w:b/>
          <w:u w:val="single"/>
          <w:lang w:val="ro-RO" w:eastAsia="ro-RO"/>
        </w:rPr>
        <w:t>DEZVOLTĂRII</w:t>
      </w:r>
      <w:r w:rsidRPr="001D681B">
        <w:rPr>
          <w:rFonts w:asciiTheme="minorHAnsi" w:eastAsia="Calibri" w:hAnsiTheme="minorHAnsi" w:cstheme="minorHAnsi"/>
          <w:lang w:val="ro-RO" w:eastAsia="ro-RO"/>
        </w:rPr>
        <w:t>, măsurile prioritare sunt:</w:t>
      </w:r>
    </w:p>
    <w:p w:rsidR="001D681B" w:rsidRPr="001D681B" w:rsidRDefault="001D681B" w:rsidP="001D681B">
      <w:pPr>
        <w:spacing w:before="120"/>
        <w:jc w:val="both"/>
        <w:rPr>
          <w:rFonts w:asciiTheme="minorHAnsi" w:eastAsia="Calibri" w:hAnsiTheme="minorHAnsi" w:cstheme="minorHAnsi"/>
          <w:b/>
          <w:lang w:val="ro-RO" w:eastAsia="ro-RO"/>
        </w:rPr>
      </w:pPr>
      <w:r w:rsidRPr="001D681B">
        <w:rPr>
          <w:rFonts w:asciiTheme="minorHAnsi" w:eastAsia="Calibri" w:hAnsiTheme="minorHAnsi" w:cstheme="minorHAnsi"/>
          <w:lang w:val="ro-RO" w:eastAsia="ro-RO"/>
        </w:rPr>
        <w:t>- implementarea programelor gestionate de către minister;</w:t>
      </w:r>
    </w:p>
    <w:p w:rsidR="001D681B" w:rsidRPr="001D681B" w:rsidRDefault="001D681B" w:rsidP="001D681B">
      <w:p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 aprobarea Strategiei naționale de dezvoltare teritorială a României și demararea implementării politicilor și programelor derivate din aceasta;</w:t>
      </w:r>
    </w:p>
    <w:p w:rsidR="001D681B" w:rsidRPr="001D681B" w:rsidRDefault="001D681B" w:rsidP="001D681B">
      <w:pPr>
        <w:spacing w:before="120"/>
        <w:jc w:val="both"/>
        <w:rPr>
          <w:rFonts w:asciiTheme="minorHAnsi" w:eastAsia="MS Gothic" w:hAnsiTheme="minorHAnsi" w:cstheme="minorHAnsi"/>
          <w:lang w:val="ro-RO" w:eastAsia="ro-RO"/>
        </w:rPr>
      </w:pPr>
      <w:r w:rsidRPr="001D681B">
        <w:rPr>
          <w:rFonts w:asciiTheme="minorHAnsi" w:eastAsia="MS Gothic" w:hAnsiTheme="minorHAnsi" w:cstheme="minorHAnsi"/>
          <w:lang w:val="ro-RO" w:eastAsia="ro-RO"/>
        </w:rPr>
        <w:t>- implementarea Strategiei integrată de dezvoltare durabilă a Deltei Dunării prin instrumentul Investiție Teritorială Integrată;</w:t>
      </w:r>
    </w:p>
    <w:p w:rsidR="001D681B" w:rsidRPr="001D681B" w:rsidRDefault="001D681B" w:rsidP="001D681B">
      <w:pPr>
        <w:spacing w:before="120"/>
        <w:jc w:val="both"/>
        <w:rPr>
          <w:rFonts w:asciiTheme="minorHAnsi" w:eastAsia="MS Gothic" w:hAnsiTheme="minorHAnsi" w:cstheme="minorHAnsi"/>
          <w:lang w:val="ro-RO" w:eastAsia="ro-RO"/>
        </w:rPr>
      </w:pPr>
      <w:r w:rsidRPr="001D681B">
        <w:rPr>
          <w:rFonts w:asciiTheme="minorHAnsi" w:eastAsia="MS Gothic" w:hAnsiTheme="minorHAnsi" w:cstheme="minorHAnsi"/>
          <w:lang w:val="ro-RO" w:eastAsia="ro-RO"/>
        </w:rPr>
        <w:t>- revizuirea coerentă și corelată a legislației din domeniul amenajării teritoriului, urbanismului, construcțiilor, lucrărilor publice, conform strategiei privind buna reglementare;</w:t>
      </w:r>
    </w:p>
    <w:p w:rsidR="001D681B" w:rsidRPr="001D681B" w:rsidRDefault="001D681B" w:rsidP="001D681B">
      <w:pPr>
        <w:spacing w:before="120"/>
        <w:jc w:val="both"/>
        <w:rPr>
          <w:rFonts w:asciiTheme="minorHAnsi" w:eastAsia="MS Gothic" w:hAnsiTheme="minorHAnsi" w:cstheme="minorHAnsi"/>
          <w:lang w:val="ro-RO" w:eastAsia="ro-RO"/>
        </w:rPr>
      </w:pPr>
      <w:r w:rsidRPr="001D681B">
        <w:rPr>
          <w:rFonts w:asciiTheme="minorHAnsi" w:eastAsia="MS Gothic" w:hAnsiTheme="minorHAnsi" w:cstheme="minorHAnsi"/>
          <w:lang w:val="ro-RO" w:eastAsia="ro-RO"/>
        </w:rPr>
        <w:t xml:space="preserve">- dezvoltarea de instrumente operaționale de gestionare a teritoriului – măsura vizează Agenția Națională de Cadastru și Publicitate Imobiliară (ANCPI). În acest sens ANCPI are prevăzute următoarele </w:t>
      </w:r>
      <w:r w:rsidRPr="001D681B">
        <w:rPr>
          <w:rFonts w:asciiTheme="minorHAnsi" w:eastAsia="MS Gothic" w:hAnsiTheme="minorHAnsi" w:cstheme="minorHAnsi"/>
          <w:lang w:eastAsia="ro-RO"/>
        </w:rPr>
        <w:t>proiecte</w:t>
      </w:r>
      <w:r w:rsidRPr="001D681B">
        <w:rPr>
          <w:rFonts w:asciiTheme="minorHAnsi" w:eastAsia="MS Gothic" w:hAnsiTheme="minorHAnsi" w:cstheme="minorHAnsi"/>
          <w:lang w:val="ro-RO" w:eastAsia="ro-RO"/>
        </w:rPr>
        <w:t>:</w:t>
      </w:r>
    </w:p>
    <w:p w:rsidR="001D681B" w:rsidRPr="001D681B" w:rsidRDefault="001D681B" w:rsidP="003A0B85">
      <w:pPr>
        <w:numPr>
          <w:ilvl w:val="0"/>
          <w:numId w:val="161"/>
        </w:numPr>
        <w:spacing w:before="120"/>
        <w:jc w:val="both"/>
        <w:rPr>
          <w:rFonts w:asciiTheme="minorHAnsi" w:eastAsia="MS Gothic" w:hAnsiTheme="minorHAnsi" w:cstheme="minorHAnsi"/>
          <w:lang w:val="ro-RO" w:eastAsia="ro-RO"/>
        </w:rPr>
      </w:pPr>
      <w:r w:rsidRPr="001D681B">
        <w:rPr>
          <w:rFonts w:asciiTheme="minorHAnsi" w:eastAsia="MS Gothic" w:hAnsiTheme="minorHAnsi" w:cstheme="minorHAnsi"/>
          <w:lang w:val="ro-RO" w:eastAsia="ro-RO"/>
        </w:rPr>
        <w:t xml:space="preserve">Proiecte finanțate din POR 2014-2020, </w:t>
      </w:r>
      <w:r w:rsidRPr="001D681B">
        <w:rPr>
          <w:rFonts w:asciiTheme="minorHAnsi" w:eastAsia="Calibri" w:hAnsiTheme="minorHAnsi" w:cstheme="minorHAnsi"/>
          <w:lang w:val="ro-RO" w:eastAsia="ro-RO"/>
        </w:rPr>
        <w:t xml:space="preserve">Axa prioritară 11 </w:t>
      </w:r>
      <w:r w:rsidRPr="001D681B">
        <w:rPr>
          <w:rFonts w:asciiTheme="minorHAnsi" w:eastAsia="MS Gothic" w:hAnsiTheme="minorHAnsi" w:cstheme="minorHAnsi"/>
          <w:lang w:val="ro-RO" w:eastAsia="ro-RO"/>
        </w:rPr>
        <w:t xml:space="preserve">- </w:t>
      </w:r>
      <w:r w:rsidRPr="001D681B">
        <w:rPr>
          <w:rFonts w:asciiTheme="minorHAnsi" w:eastAsia="Calibri" w:hAnsiTheme="minorHAnsi" w:cstheme="minorHAnsi"/>
          <w:lang w:val="ro-RO" w:eastAsia="ro-RO"/>
        </w:rPr>
        <w:t>Extinderea geografică a sistemului de înregistrare a proprietăților în cadastru şi cartea funciară</w:t>
      </w:r>
    </w:p>
    <w:p w:rsidR="001D681B" w:rsidRPr="001D681B" w:rsidRDefault="001D681B" w:rsidP="003A0B85">
      <w:pPr>
        <w:numPr>
          <w:ilvl w:val="1"/>
          <w:numId w:val="161"/>
        </w:numPr>
        <w:spacing w:before="120"/>
        <w:jc w:val="both"/>
        <w:rPr>
          <w:rFonts w:asciiTheme="minorHAnsi" w:eastAsia="Calibri" w:hAnsiTheme="minorHAnsi" w:cstheme="minorHAnsi"/>
          <w:lang w:val="ro-RO" w:eastAsia="ro-RO"/>
        </w:rPr>
      </w:pPr>
      <w:r w:rsidRPr="001D681B">
        <w:rPr>
          <w:rFonts w:asciiTheme="minorHAnsi" w:eastAsia="MS Gothic" w:hAnsiTheme="minorHAnsi" w:cstheme="minorHAnsi"/>
          <w:lang w:val="ro-RO" w:eastAsia="ro-RO"/>
        </w:rPr>
        <w:lastRenderedPageBreak/>
        <w:t>Creșterea gradului de acoperire și incluziune a sistemului de înregistrare a proprietăților în zonele rurale din România - proiect finanțat din fonduri externe nerambursabile;</w:t>
      </w:r>
    </w:p>
    <w:p w:rsidR="001D681B" w:rsidRPr="001D681B" w:rsidRDefault="001D681B" w:rsidP="003A0B85">
      <w:pPr>
        <w:numPr>
          <w:ilvl w:val="0"/>
          <w:numId w:val="161"/>
        </w:numPr>
        <w:spacing w:before="120"/>
        <w:jc w:val="both"/>
        <w:rPr>
          <w:rFonts w:asciiTheme="minorHAnsi" w:eastAsia="MS Gothic" w:hAnsiTheme="minorHAnsi" w:cstheme="minorHAnsi"/>
          <w:lang w:val="ro-RO" w:eastAsia="ro-RO"/>
        </w:rPr>
      </w:pPr>
      <w:r w:rsidRPr="001D681B">
        <w:rPr>
          <w:rFonts w:asciiTheme="minorHAnsi" w:eastAsia="MS Gothic" w:hAnsiTheme="minorHAnsi" w:cstheme="minorHAnsi"/>
          <w:lang w:val="ro-RO" w:eastAsia="ro-RO"/>
        </w:rPr>
        <w:t>Programul Național de Cadastru și Carte Funciară 2015-2023 (PNCCF)</w:t>
      </w:r>
    </w:p>
    <w:p w:rsidR="001D681B" w:rsidRPr="001D681B" w:rsidRDefault="001D681B" w:rsidP="003A0B85">
      <w:pPr>
        <w:numPr>
          <w:ilvl w:val="1"/>
          <w:numId w:val="161"/>
        </w:numPr>
        <w:spacing w:before="120"/>
        <w:jc w:val="both"/>
        <w:rPr>
          <w:rFonts w:asciiTheme="minorHAnsi" w:eastAsia="MS Gothic" w:hAnsiTheme="minorHAnsi" w:cstheme="minorHAnsi"/>
          <w:lang w:val="ro-RO" w:eastAsia="ro-RO"/>
        </w:rPr>
      </w:pPr>
      <w:r w:rsidRPr="001D681B">
        <w:rPr>
          <w:rFonts w:asciiTheme="minorHAnsi" w:eastAsia="Calibri" w:hAnsiTheme="minorHAnsi" w:cstheme="minorHAnsi"/>
          <w:lang w:val="ro-RO" w:eastAsia="ro-RO"/>
        </w:rPr>
        <w:t>Obiectiv PNCCF Finalizarea înregistrărilor la nivel național în Sistemul integrat de cadastru și carte funciară a tuturor imobilelor;</w:t>
      </w:r>
    </w:p>
    <w:p w:rsidR="001D681B" w:rsidRPr="001D681B" w:rsidRDefault="001D681B" w:rsidP="003A0B85">
      <w:pPr>
        <w:numPr>
          <w:ilvl w:val="1"/>
          <w:numId w:val="161"/>
        </w:numPr>
        <w:spacing w:before="120"/>
        <w:jc w:val="both"/>
        <w:rPr>
          <w:rFonts w:asciiTheme="minorHAnsi" w:eastAsia="MS Gothic" w:hAnsiTheme="minorHAnsi" w:cstheme="minorHAnsi"/>
          <w:lang w:val="ro-RO" w:eastAsia="ro-RO"/>
        </w:rPr>
      </w:pPr>
      <w:r w:rsidRPr="001D681B">
        <w:rPr>
          <w:rFonts w:asciiTheme="minorHAnsi" w:eastAsia="MS Gothic" w:hAnsiTheme="minorHAnsi" w:cstheme="minorHAnsi"/>
          <w:lang w:val="ro-RO" w:eastAsia="ro-RO"/>
        </w:rPr>
        <w:t>Continuarea contractelor din cadrul Proiectului pilot de înregistrare sistematică a imobilelor; Rezultatul așteptat: înregistrarea proprietăților rurale selectate în Sistemul Informatic Integrat de Cadastru și Carte Funciară;</w:t>
      </w:r>
    </w:p>
    <w:p w:rsidR="001D681B" w:rsidRPr="001D681B" w:rsidRDefault="001D681B" w:rsidP="003A0B85">
      <w:pPr>
        <w:numPr>
          <w:ilvl w:val="0"/>
          <w:numId w:val="161"/>
        </w:num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Proiecte finanțate FEN și SEE</w:t>
      </w:r>
    </w:p>
    <w:p w:rsidR="001D681B" w:rsidRPr="001D681B" w:rsidRDefault="001D681B" w:rsidP="003A0B85">
      <w:pPr>
        <w:numPr>
          <w:ilvl w:val="1"/>
          <w:numId w:val="161"/>
        </w:numPr>
        <w:spacing w:before="120"/>
        <w:jc w:val="both"/>
        <w:rPr>
          <w:rFonts w:asciiTheme="minorHAnsi" w:eastAsia="Calibri" w:hAnsiTheme="minorHAnsi" w:cstheme="minorHAnsi"/>
          <w:lang w:val="ro-RO" w:eastAsia="ro-RO"/>
        </w:rPr>
      </w:pPr>
      <w:r w:rsidRPr="001D681B">
        <w:rPr>
          <w:rFonts w:asciiTheme="minorHAnsi" w:eastAsia="MS Gothic" w:hAnsiTheme="minorHAnsi" w:cstheme="minorHAnsi"/>
          <w:lang w:val="ro-RO" w:eastAsia="ro-RO"/>
        </w:rPr>
        <w:t>Proiectul VOLTA – inovație în datele geospațiale și 3 D/Schimb de experiență în domeniul cercetării și inovației - proiect finanțat din fonduri externe nerambursabile</w:t>
      </w:r>
    </w:p>
    <w:p w:rsidR="001D681B" w:rsidRPr="001D681B" w:rsidRDefault="001D681B" w:rsidP="003A0B85">
      <w:pPr>
        <w:numPr>
          <w:ilvl w:val="1"/>
          <w:numId w:val="161"/>
        </w:numPr>
        <w:spacing w:before="120"/>
        <w:jc w:val="both"/>
        <w:rPr>
          <w:rFonts w:asciiTheme="minorHAnsi" w:eastAsia="Calibri" w:hAnsiTheme="minorHAnsi" w:cstheme="minorHAnsi"/>
          <w:lang w:val="ro-RO" w:eastAsia="ro-RO"/>
        </w:rPr>
      </w:pPr>
      <w:r w:rsidRPr="001D681B">
        <w:rPr>
          <w:rFonts w:asciiTheme="minorHAnsi" w:eastAsia="MS Gothic" w:hAnsiTheme="minorHAnsi" w:cstheme="minorHAnsi"/>
          <w:lang w:val="ro-RO" w:eastAsia="ro-RO"/>
        </w:rPr>
        <w:t>Interoperability Model for Land Registration III (Model de Interoperabilitate pentru Înregistrarea Imobilelor) - proiect finanțat din fonduri externe nerambursabile;</w:t>
      </w:r>
    </w:p>
    <w:p w:rsidR="001D681B" w:rsidRPr="001D681B" w:rsidRDefault="001D681B" w:rsidP="003A0B85">
      <w:pPr>
        <w:numPr>
          <w:ilvl w:val="1"/>
          <w:numId w:val="161"/>
        </w:numPr>
        <w:spacing w:before="120"/>
        <w:jc w:val="both"/>
        <w:rPr>
          <w:rFonts w:asciiTheme="minorHAnsi" w:eastAsia="Calibri" w:hAnsiTheme="minorHAnsi" w:cstheme="minorHAnsi"/>
          <w:lang w:val="ro-RO" w:eastAsia="ro-RO"/>
        </w:rPr>
      </w:pPr>
      <w:r w:rsidRPr="001D681B">
        <w:rPr>
          <w:rFonts w:asciiTheme="minorHAnsi" w:eastAsia="MS Gothic" w:hAnsiTheme="minorHAnsi" w:cstheme="minorHAnsi"/>
          <w:lang w:val="ro-RO" w:eastAsia="ro-RO"/>
        </w:rPr>
        <w:t>Informații geografice pentru mediu schimbări climatice și integrare UE LAKI III - proiect finanțat din fonduri externe nerambursabile;</w:t>
      </w:r>
    </w:p>
    <w:p w:rsidR="001D681B" w:rsidRPr="001D681B" w:rsidRDefault="001D681B" w:rsidP="001D681B">
      <w:pPr>
        <w:spacing w:before="120"/>
        <w:jc w:val="both"/>
        <w:rPr>
          <w:rFonts w:asciiTheme="minorHAnsi" w:eastAsia="MS Gothic" w:hAnsiTheme="minorHAnsi" w:cstheme="minorHAnsi"/>
          <w:b/>
          <w:u w:val="single"/>
          <w:lang w:val="ro-RO" w:eastAsia="ro-RO"/>
        </w:rPr>
      </w:pPr>
    </w:p>
    <w:p w:rsidR="001D681B" w:rsidRPr="001D681B" w:rsidRDefault="001D681B" w:rsidP="001D681B">
      <w:pPr>
        <w:spacing w:before="120"/>
        <w:jc w:val="both"/>
        <w:rPr>
          <w:rFonts w:asciiTheme="minorHAnsi" w:eastAsia="MS Gothic" w:hAnsiTheme="minorHAnsi" w:cstheme="minorHAnsi"/>
          <w:u w:val="single"/>
          <w:lang w:val="ro-RO" w:eastAsia="ro-RO"/>
        </w:rPr>
      </w:pPr>
      <w:r w:rsidRPr="001D681B">
        <w:rPr>
          <w:rFonts w:asciiTheme="minorHAnsi" w:eastAsia="MS Gothic" w:hAnsiTheme="minorHAnsi" w:cstheme="minorHAnsi"/>
          <w:b/>
          <w:u w:val="single"/>
          <w:lang w:val="ro-RO" w:eastAsia="ro-RO"/>
        </w:rPr>
        <w:t xml:space="preserve">În domeniul LOCUIRE, </w:t>
      </w:r>
      <w:r w:rsidRPr="001D681B">
        <w:rPr>
          <w:rFonts w:asciiTheme="minorHAnsi" w:eastAsia="MS Gothic" w:hAnsiTheme="minorHAnsi" w:cstheme="minorHAnsi"/>
          <w:b/>
          <w:lang w:val="ro-RO" w:eastAsia="ro-RO"/>
        </w:rPr>
        <w:t>programele</w:t>
      </w:r>
      <w:r w:rsidRPr="001D681B">
        <w:rPr>
          <w:rFonts w:asciiTheme="minorHAnsi" w:eastAsia="Calibri" w:hAnsiTheme="minorHAnsi" w:cstheme="minorHAnsi"/>
          <w:lang w:val="ro-RO" w:eastAsia="ro-RO"/>
        </w:rPr>
        <w:t xml:space="preserve"> prioritare sunt:</w:t>
      </w:r>
    </w:p>
    <w:p w:rsidR="001D681B" w:rsidRPr="001D681B" w:rsidRDefault="001D681B" w:rsidP="003A0B85">
      <w:pPr>
        <w:numPr>
          <w:ilvl w:val="0"/>
          <w:numId w:val="162"/>
        </w:numPr>
        <w:tabs>
          <w:tab w:val="left" w:pos="426"/>
        </w:tabs>
        <w:spacing w:before="120"/>
        <w:ind w:left="0" w:firstLine="0"/>
        <w:jc w:val="both"/>
        <w:rPr>
          <w:rFonts w:asciiTheme="minorHAnsi" w:eastAsia="MS Gothic" w:hAnsiTheme="minorHAnsi" w:cstheme="minorHAnsi"/>
          <w:b/>
          <w:bCs/>
          <w:lang w:val="ro-RO" w:eastAsia="ro-RO"/>
        </w:rPr>
      </w:pPr>
      <w:r w:rsidRPr="001D681B">
        <w:rPr>
          <w:rFonts w:asciiTheme="minorHAnsi" w:eastAsia="MS Gothic" w:hAnsiTheme="minorHAnsi" w:cstheme="minorHAnsi"/>
          <w:b/>
          <w:bCs/>
          <w:lang w:val="ro-RO" w:eastAsia="ro-RO"/>
        </w:rPr>
        <w:t>Programul de construcții de locuințe sociale și de necesitate derulat în baza prevederilor Legii locuinței nr. 114/1996:</w:t>
      </w:r>
    </w:p>
    <w:p w:rsidR="001D681B" w:rsidRPr="001D681B" w:rsidRDefault="001D681B" w:rsidP="001D681B">
      <w:pPr>
        <w:tabs>
          <w:tab w:val="left" w:pos="426"/>
        </w:tabs>
        <w:spacing w:before="120"/>
        <w:jc w:val="both"/>
        <w:rPr>
          <w:rFonts w:asciiTheme="minorHAnsi" w:eastAsia="MS Gothic" w:hAnsiTheme="minorHAnsi" w:cstheme="minorHAnsi"/>
          <w:lang w:val="ro-RO" w:eastAsia="ro-RO"/>
        </w:rPr>
      </w:pPr>
      <w:r w:rsidRPr="001D681B">
        <w:rPr>
          <w:rFonts w:asciiTheme="minorHAnsi" w:eastAsia="MS Gothic" w:hAnsiTheme="minorHAnsi" w:cstheme="minorHAnsi"/>
          <w:lang w:val="ro-RO" w:eastAsia="ro-RO"/>
        </w:rPr>
        <w:t xml:space="preserve">Obiective 2021-2023: Se vor promova și derula lucrări de execuţie pentru un număr de 1710 unități locative noi, se vor continua lucrările pentru 2532 unități locative incluse la finanțare, din care în anul 2021 se estimează finalizarea unui număr de cca. 432 apartamente. </w:t>
      </w:r>
    </w:p>
    <w:p w:rsidR="001D681B" w:rsidRPr="001D681B" w:rsidRDefault="001D681B" w:rsidP="003A0B85">
      <w:pPr>
        <w:numPr>
          <w:ilvl w:val="0"/>
          <w:numId w:val="162"/>
        </w:numPr>
        <w:tabs>
          <w:tab w:val="left" w:pos="426"/>
        </w:tabs>
        <w:spacing w:before="120"/>
        <w:ind w:left="0" w:firstLine="0"/>
        <w:jc w:val="both"/>
        <w:rPr>
          <w:rFonts w:asciiTheme="minorHAnsi" w:eastAsia="MS Gothic" w:hAnsiTheme="minorHAnsi" w:cstheme="minorHAnsi"/>
          <w:b/>
          <w:bCs/>
          <w:lang w:val="ro-RO" w:eastAsia="ro-RO"/>
        </w:rPr>
      </w:pPr>
      <w:r w:rsidRPr="001D681B">
        <w:rPr>
          <w:rFonts w:asciiTheme="minorHAnsi" w:eastAsia="MS Gothic" w:hAnsiTheme="minorHAnsi" w:cstheme="minorHAnsi"/>
          <w:b/>
          <w:bCs/>
          <w:lang w:val="ro-RO" w:eastAsia="ro-RO"/>
        </w:rPr>
        <w:t>Programul privind construcția de locuințe pentru tineri, destinate închirierii, derulat de Agenția Națională pentru Locuințe, conform prevederilor Legii nr. 152/1998 privind înființarea ANL:</w:t>
      </w:r>
    </w:p>
    <w:p w:rsidR="001D681B" w:rsidRPr="001D681B" w:rsidRDefault="001D681B" w:rsidP="001D681B">
      <w:pPr>
        <w:spacing w:before="120"/>
        <w:jc w:val="both"/>
        <w:rPr>
          <w:rFonts w:asciiTheme="minorHAnsi" w:eastAsia="MS Gothic" w:hAnsiTheme="minorHAnsi" w:cstheme="minorHAnsi"/>
          <w:lang w:val="ro-RO" w:eastAsia="ro-RO"/>
        </w:rPr>
      </w:pPr>
      <w:r w:rsidRPr="001D681B">
        <w:rPr>
          <w:rFonts w:asciiTheme="minorHAnsi" w:eastAsia="MS Gothic" w:hAnsiTheme="minorHAnsi" w:cstheme="minorHAnsi"/>
          <w:lang w:val="ro-RO" w:eastAsia="ro-RO"/>
        </w:rPr>
        <w:t>Obiective 2021-2023: În această perioadă se vor promova și vor continua lu</w:t>
      </w:r>
      <w:r>
        <w:rPr>
          <w:rFonts w:asciiTheme="minorHAnsi" w:eastAsia="MS Gothic" w:hAnsiTheme="minorHAnsi" w:cstheme="minorHAnsi"/>
          <w:lang w:val="ro-RO" w:eastAsia="ro-RO"/>
        </w:rPr>
        <w:t xml:space="preserve">crările de execuție la  12.500 </w:t>
      </w:r>
      <w:r w:rsidRPr="001D681B">
        <w:rPr>
          <w:rFonts w:asciiTheme="minorHAnsi" w:eastAsia="MS Gothic" w:hAnsiTheme="minorHAnsi" w:cstheme="minorHAnsi"/>
          <w:lang w:val="ro-RO" w:eastAsia="ro-RO"/>
        </w:rPr>
        <w:t>locuințe. În anul 2021 se vor continua lucrările de execuție și se vor demara investiții pentru un total de 6.795 locuințe, iar în perioada 2022-2024 se vor demara alte investiții pentru un total de 5.705 locuințe.  Până la finele anului 2024 se preconizează a se recepționa cca 5.000 locuințe, din care un număr de 3.000 sunt locuințe pentru specialiști din sănătate și învățământ.</w:t>
      </w:r>
    </w:p>
    <w:p w:rsidR="001D681B" w:rsidRPr="001D681B" w:rsidRDefault="001D681B" w:rsidP="003A0B85">
      <w:pPr>
        <w:numPr>
          <w:ilvl w:val="0"/>
          <w:numId w:val="162"/>
        </w:numPr>
        <w:tabs>
          <w:tab w:val="left" w:pos="426"/>
        </w:tabs>
        <w:spacing w:before="120"/>
        <w:ind w:left="0" w:firstLine="0"/>
        <w:jc w:val="both"/>
        <w:rPr>
          <w:rFonts w:asciiTheme="minorHAnsi" w:eastAsia="MS Gothic" w:hAnsiTheme="minorHAnsi" w:cstheme="minorHAnsi"/>
          <w:b/>
          <w:bCs/>
          <w:lang w:val="ro-RO" w:eastAsia="ro-RO"/>
        </w:rPr>
      </w:pPr>
      <w:r w:rsidRPr="001D681B">
        <w:rPr>
          <w:rFonts w:asciiTheme="minorHAnsi" w:eastAsia="MS Gothic" w:hAnsiTheme="minorHAnsi" w:cstheme="minorHAnsi"/>
          <w:b/>
          <w:bCs/>
          <w:lang w:val="ro-RO" w:eastAsia="ro-RO"/>
        </w:rPr>
        <w:t>Programul privind construcția de locuințe de serviciu, derulat prin intermediul Agenției Naționale pentru Locuințe, conform prevederilor H.G. nr. 719/2016 pentru aprobarea Programului „Construcţia de locuinţe de serviciu”:</w:t>
      </w:r>
    </w:p>
    <w:p w:rsidR="001D681B" w:rsidRPr="001D681B" w:rsidRDefault="001D681B" w:rsidP="001D681B">
      <w:pPr>
        <w:spacing w:before="120"/>
        <w:jc w:val="both"/>
        <w:rPr>
          <w:rFonts w:asciiTheme="minorHAnsi" w:eastAsia="MS Gothic" w:hAnsiTheme="minorHAnsi" w:cstheme="minorHAnsi"/>
          <w:lang w:val="ro-RO" w:eastAsia="ro-RO"/>
        </w:rPr>
      </w:pPr>
      <w:r w:rsidRPr="001D681B">
        <w:rPr>
          <w:rFonts w:asciiTheme="minorHAnsi" w:eastAsia="MS Gothic" w:hAnsiTheme="minorHAnsi" w:cstheme="minorHAnsi"/>
          <w:lang w:val="ro-RO" w:eastAsia="ro-RO"/>
        </w:rPr>
        <w:t>Obiective 2021-2023: În această perioadă se vor promova și vor continua lucrările de execuție la  2.500 de locuințe. În anul 2021 se vor continua lucrările de execuție și vor demara investiții pentru un total de 1.519 locuințe, iar în perioada 2022-2024 se vor demara alte investiții pentru un total de 981 locuințe.</w:t>
      </w:r>
    </w:p>
    <w:p w:rsidR="001D681B" w:rsidRPr="001D681B" w:rsidRDefault="001D681B" w:rsidP="003A0B85">
      <w:pPr>
        <w:numPr>
          <w:ilvl w:val="0"/>
          <w:numId w:val="162"/>
        </w:numPr>
        <w:tabs>
          <w:tab w:val="left" w:pos="0"/>
          <w:tab w:val="left" w:pos="426"/>
        </w:tabs>
        <w:spacing w:before="120"/>
        <w:ind w:left="0" w:firstLine="0"/>
        <w:jc w:val="both"/>
        <w:rPr>
          <w:rFonts w:asciiTheme="minorHAnsi" w:eastAsia="MS Gothic" w:hAnsiTheme="minorHAnsi" w:cstheme="minorHAnsi"/>
          <w:lang w:val="ro-RO" w:eastAsia="ro-RO"/>
        </w:rPr>
      </w:pPr>
      <w:r w:rsidRPr="001D681B">
        <w:rPr>
          <w:rFonts w:asciiTheme="minorHAnsi" w:eastAsia="MS Gothic" w:hAnsiTheme="minorHAnsi" w:cstheme="minorHAnsi"/>
          <w:b/>
          <w:bCs/>
          <w:lang w:val="ro-RO" w:eastAsia="ro-RO"/>
        </w:rPr>
        <w:t xml:space="preserve">Programul-pilot </w:t>
      </w:r>
      <w:hyperlink r:id="rId35" w:history="1">
        <w:r w:rsidRPr="001D681B">
          <w:rPr>
            <w:rFonts w:asciiTheme="minorHAnsi" w:eastAsia="MS Gothic" w:hAnsiTheme="minorHAnsi" w:cstheme="minorHAnsi"/>
            <w:b/>
            <w:bCs/>
            <w:lang w:val="ro-RO" w:eastAsia="ro-RO"/>
          </w:rPr>
          <w:t>Locuințe sociale pentru comunitățile de romi</w:t>
        </w:r>
      </w:hyperlink>
      <w:r w:rsidRPr="001D681B">
        <w:rPr>
          <w:rFonts w:asciiTheme="minorHAnsi" w:eastAsia="MS Gothic" w:hAnsiTheme="minorHAnsi" w:cstheme="minorHAnsi"/>
          <w:lang w:val="ro-RO" w:eastAsia="ro-RO"/>
        </w:rPr>
        <w:t xml:space="preserve"> derulat prin intermediul Agenției Naționale pentru Locuințe, conform prevederilor H.G. 1237/2008 pentru aprobarea Programului-pilot „Locuințe sociale pentru comunitățile de romi” reprezintă o componentă experimentală a programului de incluziune socială a cetăţenilor români aparţinând minorităţii rome şi are în vedere implementarea unor proiecte pentru construcţia de locuinţe sociale în cele 8 regiuni </w:t>
      </w:r>
      <w:r w:rsidRPr="001D681B">
        <w:rPr>
          <w:rFonts w:asciiTheme="minorHAnsi" w:eastAsia="MS Gothic" w:hAnsiTheme="minorHAnsi" w:cstheme="minorHAnsi"/>
          <w:lang w:val="ro-RO" w:eastAsia="ro-RO"/>
        </w:rPr>
        <w:lastRenderedPageBreak/>
        <w:t>de dezvoltare ale României, în locaţii stabilite de MDLPA împreună cu autorităţile administraţiei publice locale şi cu Agenţia Naţională pentru Romi.</w:t>
      </w:r>
    </w:p>
    <w:p w:rsidR="001D681B" w:rsidRPr="001D681B" w:rsidRDefault="001D681B" w:rsidP="001D681B">
      <w:pPr>
        <w:spacing w:before="120"/>
        <w:jc w:val="both"/>
        <w:rPr>
          <w:rFonts w:asciiTheme="minorHAnsi" w:eastAsia="MS Gothic" w:hAnsiTheme="minorHAnsi" w:cstheme="minorHAnsi"/>
          <w:lang w:val="ro-RO" w:eastAsia="ro-RO"/>
        </w:rPr>
      </w:pPr>
      <w:r w:rsidRPr="001D681B">
        <w:rPr>
          <w:rFonts w:asciiTheme="minorHAnsi" w:eastAsia="MS Gothic" w:hAnsiTheme="minorHAnsi" w:cstheme="minorHAnsi"/>
          <w:lang w:val="ro-RO" w:eastAsia="ro-RO"/>
        </w:rPr>
        <w:t xml:space="preserve">Obiective 2021-2023: În anul 2021 se vor promova și vor continua lucrările de execuție la 91 locuințe, iar până la finele anului 2023 se preconizează a se finaliza 49 locuințe. </w:t>
      </w:r>
    </w:p>
    <w:p w:rsidR="001D681B" w:rsidRPr="001D681B" w:rsidRDefault="001D681B" w:rsidP="003A0B85">
      <w:pPr>
        <w:numPr>
          <w:ilvl w:val="0"/>
          <w:numId w:val="162"/>
        </w:numPr>
        <w:tabs>
          <w:tab w:val="left" w:pos="426"/>
        </w:tabs>
        <w:spacing w:before="120"/>
        <w:ind w:left="0" w:firstLine="0"/>
        <w:jc w:val="both"/>
        <w:rPr>
          <w:rFonts w:asciiTheme="minorHAnsi" w:eastAsia="MS Gothic" w:hAnsiTheme="minorHAnsi" w:cstheme="minorHAnsi"/>
          <w:lang w:val="ro-RO" w:eastAsia="ro-RO"/>
        </w:rPr>
      </w:pPr>
      <w:r w:rsidRPr="001D681B">
        <w:rPr>
          <w:rFonts w:asciiTheme="minorHAnsi" w:eastAsia="MS Gothic" w:hAnsiTheme="minorHAnsi" w:cstheme="minorHAnsi"/>
          <w:b/>
          <w:bCs/>
          <w:lang w:val="ro-RO" w:eastAsia="ro-RO"/>
        </w:rPr>
        <w:t>Programul anual de acțiuni privind proiectarea și execuția lucrărilor de intervenție pentru reducerea riscului seismic la construcțiile cu destinația de locuință multietajate</w:t>
      </w:r>
      <w:r w:rsidRPr="001D681B">
        <w:rPr>
          <w:rFonts w:asciiTheme="minorHAnsi" w:eastAsia="MS Gothic" w:hAnsiTheme="minorHAnsi" w:cstheme="minorHAnsi"/>
          <w:lang w:val="ro-RO" w:eastAsia="ro-RO"/>
        </w:rPr>
        <w:t>. Buget 2021: 100.000.000 lei</w:t>
      </w:r>
    </w:p>
    <w:p w:rsidR="001D681B" w:rsidRPr="001D681B" w:rsidRDefault="001D681B" w:rsidP="001D681B">
      <w:pPr>
        <w:spacing w:before="120"/>
        <w:jc w:val="both"/>
        <w:rPr>
          <w:rFonts w:asciiTheme="minorHAnsi" w:eastAsia="Calibri" w:hAnsiTheme="minorHAnsi" w:cstheme="minorHAnsi"/>
          <w:b/>
          <w:u w:val="single"/>
          <w:lang w:val="ro-RO" w:eastAsia="ro-RO"/>
        </w:rPr>
      </w:pPr>
    </w:p>
    <w:p w:rsidR="001D681B" w:rsidRPr="001D681B" w:rsidRDefault="001D681B" w:rsidP="001D681B">
      <w:pPr>
        <w:spacing w:before="120"/>
        <w:jc w:val="both"/>
        <w:rPr>
          <w:rFonts w:asciiTheme="minorHAnsi" w:eastAsia="Calibri" w:hAnsiTheme="minorHAnsi" w:cstheme="minorHAnsi"/>
          <w:b/>
          <w:u w:val="single"/>
          <w:lang w:val="ro-RO" w:eastAsia="ro-RO"/>
        </w:rPr>
      </w:pPr>
      <w:r w:rsidRPr="001D681B">
        <w:rPr>
          <w:rFonts w:asciiTheme="minorHAnsi" w:eastAsia="Calibri" w:hAnsiTheme="minorHAnsi" w:cstheme="minorHAnsi"/>
          <w:b/>
          <w:u w:val="single"/>
          <w:lang w:val="ro-RO" w:eastAsia="ro-RO"/>
        </w:rPr>
        <w:t>În domeniul INFRASTRUCTURĂ,</w:t>
      </w:r>
      <w:r w:rsidRPr="001D681B">
        <w:rPr>
          <w:rFonts w:asciiTheme="minorHAnsi" w:eastAsia="Calibri" w:hAnsiTheme="minorHAnsi" w:cstheme="minorHAnsi"/>
          <w:b/>
          <w:lang w:val="ro-RO" w:eastAsia="ro-RO"/>
        </w:rPr>
        <w:t xml:space="preserve"> </w:t>
      </w:r>
      <w:r w:rsidRPr="001D681B">
        <w:rPr>
          <w:rFonts w:asciiTheme="minorHAnsi" w:eastAsia="Calibri" w:hAnsiTheme="minorHAnsi" w:cstheme="minorHAnsi"/>
          <w:lang w:val="ro-RO" w:eastAsia="ro-RO"/>
        </w:rPr>
        <w:t>programele prioritare sunt:</w:t>
      </w:r>
    </w:p>
    <w:p w:rsidR="001D681B" w:rsidRPr="001D681B" w:rsidRDefault="001D681B" w:rsidP="003A0B85">
      <w:pPr>
        <w:numPr>
          <w:ilvl w:val="0"/>
          <w:numId w:val="162"/>
        </w:numPr>
        <w:tabs>
          <w:tab w:val="left" w:pos="426"/>
        </w:tabs>
        <w:spacing w:before="120"/>
        <w:ind w:left="142" w:hanging="142"/>
        <w:jc w:val="both"/>
        <w:rPr>
          <w:rFonts w:asciiTheme="minorHAnsi" w:eastAsia="Calibri" w:hAnsiTheme="minorHAnsi" w:cstheme="minorHAnsi"/>
          <w:b/>
          <w:bCs/>
          <w:lang w:val="ro-RO" w:eastAsia="ro-RO"/>
        </w:rPr>
      </w:pPr>
      <w:r w:rsidRPr="001D681B">
        <w:rPr>
          <w:rFonts w:asciiTheme="minorHAnsi" w:eastAsia="Calibri" w:hAnsiTheme="minorHAnsi" w:cstheme="minorHAnsi"/>
          <w:b/>
          <w:bCs/>
          <w:lang w:val="ro-RO" w:eastAsia="ro-RO"/>
        </w:rPr>
        <w:t xml:space="preserve">Programul național de dezvoltare locală (PNDL) </w:t>
      </w:r>
    </w:p>
    <w:p w:rsidR="001D681B" w:rsidRPr="001D681B" w:rsidRDefault="001D681B" w:rsidP="001D681B">
      <w:p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 xml:space="preserve">Stadiu 2020: </w:t>
      </w:r>
    </w:p>
    <w:p w:rsidR="001D681B" w:rsidRPr="001D681B" w:rsidRDefault="001D681B" w:rsidP="001D681B">
      <w:p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 finanțarea celor 1.535 de obiective de investiții aflate în execuție din cele 4.511 obiective incluse în prima etapă (2015-2022) a Programului;</w:t>
      </w:r>
    </w:p>
    <w:p w:rsidR="001D681B" w:rsidRPr="001D681B" w:rsidRDefault="001D681B" w:rsidP="001D681B">
      <w:p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 finanțarea celor 7.244 obiective de investiții incluse în cadrul Etapei a II-a a PNDL (2017-2022).</w:t>
      </w:r>
    </w:p>
    <w:p w:rsidR="001D681B" w:rsidRPr="001D681B" w:rsidRDefault="001D681B" w:rsidP="001D681B">
      <w:p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Obiective 2021-2023: continuarea finanțării celor 7.244 de obiective incluse in Program în Etapa II precum și a obiectivelor de investiții din cadrul PNDL etapa I - perioada până la 31 decembrie 2022, și monitorizarea executării lucrărilor prin verificarea periodică a obiectivelor de investiții pentru utilizarea eficientă a fondurilor disponibile de către echipe mixte MDLPA și ISC.</w:t>
      </w:r>
    </w:p>
    <w:p w:rsidR="001D681B" w:rsidRPr="001D681B" w:rsidRDefault="001D681B" w:rsidP="003A0B85">
      <w:pPr>
        <w:numPr>
          <w:ilvl w:val="0"/>
          <w:numId w:val="162"/>
        </w:numPr>
        <w:tabs>
          <w:tab w:val="left" w:pos="426"/>
        </w:tabs>
        <w:spacing w:before="120"/>
        <w:ind w:left="0" w:firstLine="0"/>
        <w:jc w:val="both"/>
        <w:rPr>
          <w:rFonts w:asciiTheme="minorHAnsi" w:eastAsia="Calibri" w:hAnsiTheme="minorHAnsi" w:cstheme="minorHAnsi"/>
          <w:b/>
          <w:bCs/>
          <w:lang w:val="ro-RO" w:eastAsia="ro-RO"/>
        </w:rPr>
      </w:pPr>
      <w:r w:rsidRPr="001D681B">
        <w:rPr>
          <w:rFonts w:asciiTheme="minorHAnsi" w:eastAsia="Calibri" w:hAnsiTheme="minorHAnsi" w:cstheme="minorHAnsi"/>
          <w:b/>
          <w:bCs/>
          <w:lang w:val="ro-RO" w:eastAsia="ro-RO"/>
        </w:rPr>
        <w:t>Programul național de construcții de interes public sau social derulat în baza Anexei 3 la O.G. nr.25/2001 privind înființarea Companiei Naționale de Investiții "C.N.I." - S.A</w:t>
      </w:r>
    </w:p>
    <w:p w:rsidR="001D681B" w:rsidRPr="001D681B" w:rsidRDefault="001D681B" w:rsidP="001D681B">
      <w:p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Stadiu program 2020: 608 obiective aflate in diferite stadii de execuție, din care 85 au  fost finalizate în cursul anului 2020, 427 obiective în procedura de achiziție, 136 obiective cu indicatori tehnico-economici aprobați pentru care urmează demararea procedurilor de achiziție publică, 1224 obiective de investiții ale căror documentații se află în curs de analiză la această dată în vederea aprobării indicatorilor tehnico-economici.</w:t>
      </w:r>
    </w:p>
    <w:p w:rsidR="001D681B" w:rsidRPr="001D681B" w:rsidRDefault="001D681B" w:rsidP="001D681B">
      <w:p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Obiective 2021-2023: continuarea lucrărilor la aproximativ 523 obiective de investiții aflate în diferite stadii de execuție, finalizarea a aproximativ 100 obiective de investiții/ an, finanțarea procedurilor de achiziții publice la aproximativ 200 obiective de investiții aflate în diverse stadii ale procedurii/ an, finanțarea și finalizarea obiectivelor de investiții prioritizate.</w:t>
      </w:r>
    </w:p>
    <w:p w:rsidR="001D681B" w:rsidRPr="001D681B" w:rsidRDefault="001D681B" w:rsidP="003A0B85">
      <w:pPr>
        <w:numPr>
          <w:ilvl w:val="0"/>
          <w:numId w:val="162"/>
        </w:numPr>
        <w:tabs>
          <w:tab w:val="left" w:pos="426"/>
        </w:tabs>
        <w:spacing w:before="120"/>
        <w:ind w:left="0" w:firstLine="0"/>
        <w:jc w:val="both"/>
        <w:rPr>
          <w:rFonts w:asciiTheme="minorHAnsi" w:eastAsia="Calibri" w:hAnsiTheme="minorHAnsi" w:cstheme="minorHAnsi"/>
          <w:b/>
          <w:bCs/>
          <w:lang w:val="ro-RO" w:eastAsia="ro-RO"/>
        </w:rPr>
      </w:pPr>
      <w:r w:rsidRPr="001D681B">
        <w:rPr>
          <w:rFonts w:asciiTheme="minorHAnsi" w:eastAsia="Calibri" w:hAnsiTheme="minorHAnsi" w:cstheme="minorHAnsi"/>
          <w:b/>
          <w:bCs/>
          <w:lang w:val="ro-RO" w:eastAsia="ro-RO"/>
        </w:rPr>
        <w:t>Programul național privind creșterea performanței energetice la blocurile de locuințe</w:t>
      </w:r>
    </w:p>
    <w:p w:rsidR="001D681B" w:rsidRPr="001D681B" w:rsidRDefault="001D681B" w:rsidP="001D681B">
      <w:p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Obiective 2021 - 2023: sunt propuse la finanţare un număr de cca 40.000 apartamente în diferite faze de execuţie, urmând a se recepționa 3500 unități locative până la sfârșitul anului  2021.</w:t>
      </w:r>
    </w:p>
    <w:p w:rsidR="001D681B" w:rsidRPr="001D681B" w:rsidRDefault="001D681B" w:rsidP="003A0B85">
      <w:pPr>
        <w:numPr>
          <w:ilvl w:val="0"/>
          <w:numId w:val="162"/>
        </w:numPr>
        <w:spacing w:before="120"/>
        <w:ind w:left="0" w:firstLine="0"/>
        <w:jc w:val="both"/>
        <w:rPr>
          <w:rFonts w:asciiTheme="minorHAnsi" w:eastAsia="Calibri" w:hAnsiTheme="minorHAnsi" w:cstheme="minorHAnsi"/>
          <w:b/>
          <w:bCs/>
          <w:lang w:val="ro-RO" w:eastAsia="ro-RO"/>
        </w:rPr>
      </w:pPr>
      <w:r w:rsidRPr="001D681B">
        <w:rPr>
          <w:rFonts w:asciiTheme="minorHAnsi" w:eastAsia="Calibri" w:hAnsiTheme="minorHAnsi" w:cstheme="minorHAnsi"/>
          <w:b/>
          <w:bCs/>
          <w:lang w:val="ro-RO" w:eastAsia="ro-RO"/>
        </w:rPr>
        <w:t xml:space="preserve">Programul privind elaborarea şi/sau actualizarea planurilor urbanistice generale şi a regulamentelor locale de urbanism (program anual) </w:t>
      </w:r>
    </w:p>
    <w:p w:rsidR="001D681B" w:rsidRPr="001D681B" w:rsidRDefault="001D681B" w:rsidP="001D681B">
      <w:p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Stadiu program 2020: În anul 2020 au beneficiat de finanţare un număr de 818 de UAT-uri în cadrul celor 39 de Consilii judeţene care au solicitat finanţare în anul 2020 pentru elaborarea /actualizarea PUG şi RLU.</w:t>
      </w:r>
    </w:p>
    <w:p w:rsidR="001D681B" w:rsidRPr="001D681B" w:rsidRDefault="001D681B" w:rsidP="001D681B">
      <w:p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 xml:space="preserve">Obiective 2021-2023:Transformarea în program multianual. </w:t>
      </w:r>
    </w:p>
    <w:p w:rsidR="001D681B" w:rsidRPr="001D681B" w:rsidRDefault="001D681B" w:rsidP="003A0B85">
      <w:pPr>
        <w:numPr>
          <w:ilvl w:val="0"/>
          <w:numId w:val="162"/>
        </w:numPr>
        <w:tabs>
          <w:tab w:val="left" w:pos="426"/>
        </w:tabs>
        <w:spacing w:before="120"/>
        <w:ind w:left="0" w:firstLine="0"/>
        <w:jc w:val="both"/>
        <w:rPr>
          <w:rFonts w:asciiTheme="minorHAnsi" w:eastAsia="Calibri" w:hAnsiTheme="minorHAnsi" w:cstheme="minorHAnsi"/>
          <w:b/>
          <w:bCs/>
          <w:lang w:val="ro-RO" w:eastAsia="ro-RO"/>
        </w:rPr>
      </w:pPr>
      <w:r w:rsidRPr="001D681B">
        <w:rPr>
          <w:rFonts w:asciiTheme="minorHAnsi" w:eastAsia="Calibri" w:hAnsiTheme="minorHAnsi" w:cstheme="minorHAnsi"/>
          <w:b/>
          <w:bCs/>
          <w:lang w:val="ro-RO" w:eastAsia="ro-RO"/>
        </w:rPr>
        <w:t>Programul privind elaborarea hărţilor de risc natural pentru cutremure şi alunecări de teren</w:t>
      </w:r>
    </w:p>
    <w:p w:rsidR="001D681B" w:rsidRPr="001D681B" w:rsidRDefault="001D681B" w:rsidP="001D681B">
      <w:pPr>
        <w:tabs>
          <w:tab w:val="left" w:pos="426"/>
        </w:tabs>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Stadiu program 2020: În anul 2020 au beneficiat de finanţare 6 consilii județene, din care numai Consiliul Județean Brăila a utilizat finanțarea alocată.</w:t>
      </w:r>
    </w:p>
    <w:p w:rsidR="001D681B" w:rsidRPr="001D681B" w:rsidRDefault="001D681B" w:rsidP="001D681B">
      <w:pPr>
        <w:tabs>
          <w:tab w:val="left" w:pos="426"/>
        </w:tabs>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Obiective 2021-2023:Transformarea în program multianual.</w:t>
      </w:r>
    </w:p>
    <w:p w:rsidR="001D681B" w:rsidRPr="001D681B" w:rsidRDefault="001D681B" w:rsidP="001D681B">
      <w:pPr>
        <w:spacing w:before="120"/>
        <w:jc w:val="both"/>
        <w:rPr>
          <w:rFonts w:asciiTheme="minorHAnsi" w:eastAsia="MS Gothic" w:hAnsiTheme="minorHAnsi" w:cstheme="minorHAnsi"/>
          <w:b/>
          <w:lang w:val="ro-RO" w:eastAsia="ro-RO"/>
        </w:rPr>
      </w:pPr>
    </w:p>
    <w:p w:rsidR="001D681B" w:rsidRPr="001D681B" w:rsidRDefault="001D681B" w:rsidP="003A0B85">
      <w:pPr>
        <w:pStyle w:val="ListParagraph"/>
        <w:numPr>
          <w:ilvl w:val="0"/>
          <w:numId w:val="170"/>
        </w:numPr>
        <w:spacing w:before="120"/>
        <w:jc w:val="both"/>
        <w:rPr>
          <w:rFonts w:asciiTheme="minorHAnsi" w:hAnsiTheme="minorHAnsi" w:cstheme="minorHAnsi"/>
          <w:lang w:eastAsia="ro-RO"/>
        </w:rPr>
      </w:pPr>
      <w:r w:rsidRPr="001D681B">
        <w:rPr>
          <w:rFonts w:asciiTheme="minorHAnsi" w:hAnsiTheme="minorHAnsi" w:cstheme="minorHAnsi"/>
          <w:b/>
          <w:u w:val="single"/>
          <w:lang w:eastAsia="ro-RO"/>
        </w:rPr>
        <w:t>ADMINISTRAȚIE PUBLICĂ</w:t>
      </w:r>
      <w:r w:rsidRPr="001D681B">
        <w:rPr>
          <w:rFonts w:asciiTheme="minorHAnsi" w:hAnsiTheme="minorHAnsi" w:cstheme="minorHAnsi"/>
          <w:lang w:eastAsia="ro-RO"/>
        </w:rPr>
        <w:t>:</w:t>
      </w:r>
      <w:r w:rsidRPr="001D681B">
        <w:rPr>
          <w:rFonts w:asciiTheme="minorHAnsi" w:eastAsia="MS Gothic" w:hAnsiTheme="minorHAnsi" w:cstheme="minorHAnsi"/>
          <w:lang w:eastAsia="ro-RO"/>
        </w:rPr>
        <w:t xml:space="preserve"> </w:t>
      </w:r>
    </w:p>
    <w:p w:rsidR="001D681B" w:rsidRPr="001D681B" w:rsidRDefault="001D681B" w:rsidP="001D681B">
      <w:pPr>
        <w:spacing w:before="120"/>
        <w:ind w:left="5"/>
        <w:jc w:val="both"/>
        <w:rPr>
          <w:rFonts w:asciiTheme="minorHAnsi" w:eastAsia="Calibri" w:hAnsiTheme="minorHAnsi" w:cstheme="minorHAnsi"/>
          <w:lang w:val="ro-RO" w:eastAsia="ro-RO"/>
        </w:rPr>
      </w:pPr>
      <w:r w:rsidRPr="001D681B">
        <w:rPr>
          <w:rFonts w:asciiTheme="minorHAnsi" w:eastAsia="Calibri" w:hAnsiTheme="minorHAnsi" w:cstheme="minorHAnsi"/>
          <w:b/>
          <w:bCs/>
          <w:lang w:val="ro-RO" w:eastAsia="ro-RO"/>
        </w:rPr>
        <w:t>Obiectiv general :</w:t>
      </w:r>
      <w:r w:rsidRPr="001D681B">
        <w:rPr>
          <w:rFonts w:asciiTheme="minorHAnsi" w:eastAsia="Calibri" w:hAnsiTheme="minorHAnsi" w:cstheme="minorHAnsi"/>
          <w:lang w:val="ro-RO" w:eastAsia="ro-RO"/>
        </w:rPr>
        <w:t xml:space="preserve"> Creșterea eficienței administrației publice românești și a receptivității acesteia la nevoile cetățenilor, reducerea disparităților economice și sociale dintre România și țările mai dezvoltate din Uniunea Europeană extinsă (UE) și/ sau să contribuie la reducerea disparităților economice și sociale, în România, dintre centrele urbane dinamice și regiunile periferice slabe din punct de vedere structural.</w:t>
      </w:r>
    </w:p>
    <w:p w:rsidR="001D681B" w:rsidRPr="001D681B" w:rsidRDefault="001D681B" w:rsidP="001D681B">
      <w:pPr>
        <w:spacing w:before="120"/>
        <w:jc w:val="both"/>
        <w:rPr>
          <w:rFonts w:asciiTheme="minorHAnsi" w:eastAsia="Calibri" w:hAnsiTheme="minorHAnsi" w:cstheme="minorHAnsi"/>
          <w:b/>
          <w:bCs/>
          <w:lang w:val="ro-RO" w:eastAsia="ro-RO"/>
        </w:rPr>
      </w:pPr>
      <w:r w:rsidRPr="001D681B">
        <w:rPr>
          <w:rFonts w:asciiTheme="minorHAnsi" w:eastAsia="Calibri" w:hAnsiTheme="minorHAnsi" w:cstheme="minorHAnsi"/>
          <w:b/>
          <w:bCs/>
          <w:lang w:val="ro-RO" w:eastAsia="ro-RO"/>
        </w:rPr>
        <w:t xml:space="preserve">Obiective specifice/ Măsuri: </w:t>
      </w:r>
    </w:p>
    <w:p w:rsidR="001D681B" w:rsidRPr="001D681B" w:rsidRDefault="001D681B" w:rsidP="003A0B85">
      <w:pPr>
        <w:numPr>
          <w:ilvl w:val="0"/>
          <w:numId w:val="163"/>
        </w:numPr>
        <w:spacing w:before="120"/>
        <w:ind w:left="426"/>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 xml:space="preserve">Continuarea implementării acțiunilor aferente unor criterii ale condiționalității ex-ante pe domeniul administrației publice impuse de Comisia Europeană în Acordul de parteneriat pentru Obiectivul tematic 11 - „Consolidarea capacității instituționale și o administrație publică eficientă” în corelare și cu obiectivele stabilite în Programul de Guvernare pe domeniul administrație publică, privind: </w:t>
      </w:r>
    </w:p>
    <w:p w:rsidR="001D681B" w:rsidRPr="001D681B" w:rsidRDefault="001D681B" w:rsidP="003A0B85">
      <w:pPr>
        <w:numPr>
          <w:ilvl w:val="0"/>
          <w:numId w:val="164"/>
        </w:numPr>
        <w:tabs>
          <w:tab w:val="left" w:pos="851"/>
        </w:tabs>
        <w:spacing w:before="120"/>
        <w:ind w:left="851"/>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Debirocratizarea și simplicarea administrativă prin continuarea demersurilor de simplificare și raționalizare a procedurilor administrative pentru cetățeni;</w:t>
      </w:r>
    </w:p>
    <w:p w:rsidR="001D681B" w:rsidRPr="001D681B" w:rsidRDefault="001D681B" w:rsidP="003A0B85">
      <w:pPr>
        <w:numPr>
          <w:ilvl w:val="0"/>
          <w:numId w:val="164"/>
        </w:numPr>
        <w:tabs>
          <w:tab w:val="left" w:pos="567"/>
        </w:tabs>
        <w:spacing w:before="120"/>
        <w:ind w:left="851"/>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 xml:space="preserve">  Creșterea calității și accesului la serviile publice prin continuarea demersurilor privind promovarea managementului calității;</w:t>
      </w:r>
    </w:p>
    <w:p w:rsidR="001D681B" w:rsidRPr="001D681B" w:rsidRDefault="001D681B" w:rsidP="003A0B85">
      <w:pPr>
        <w:numPr>
          <w:ilvl w:val="0"/>
          <w:numId w:val="164"/>
        </w:numPr>
        <w:tabs>
          <w:tab w:val="left" w:pos="851"/>
        </w:tabs>
        <w:spacing w:before="120"/>
        <w:ind w:left="851"/>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Resursele umane din administrația publică prin continuarea implementării unor strategii și politici privind resursele umane care să acopere principalele decalaje identificate în acest domeniu, dezvoltarea de competențe la toate nivelurile ierarhiei profesionale din cadrul autorităților publice, precum și alte măsuri vizând consolidarea capacității administrației publice locale incluse în Strategia pentru Consolidarea Administrației Publice (SCAP) 2014 – 2020 și documentele programatice subsecvente acesteia respectiv Strategia privind dezvoltarea funcţiei publice 2016 - 2020 și Strategia privind formarea profesională pentru administraţia publică 2016 - 2020;</w:t>
      </w:r>
    </w:p>
    <w:p w:rsidR="001D681B" w:rsidRPr="001D681B" w:rsidRDefault="001D681B" w:rsidP="003A0B85">
      <w:pPr>
        <w:numPr>
          <w:ilvl w:val="0"/>
          <w:numId w:val="163"/>
        </w:numPr>
        <w:tabs>
          <w:tab w:val="left" w:pos="426"/>
        </w:tabs>
        <w:spacing w:before="120"/>
        <w:ind w:left="426" w:hanging="426"/>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Simplificarea /sistematizarea/ codificarea legislației în administrația publică;</w:t>
      </w:r>
    </w:p>
    <w:p w:rsidR="001D681B" w:rsidRPr="001D681B" w:rsidRDefault="001D681B" w:rsidP="003A0B85">
      <w:pPr>
        <w:numPr>
          <w:ilvl w:val="0"/>
          <w:numId w:val="163"/>
        </w:numPr>
        <w:tabs>
          <w:tab w:val="left" w:pos="426"/>
        </w:tabs>
        <w:spacing w:before="120"/>
        <w:ind w:hanging="7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Continuarea procesului de descentralizare în conformitate cu prevederile H.G.  nr. 229/2017 privind Strategia Generală de Descentralizare, respectiv:</w:t>
      </w:r>
    </w:p>
    <w:p w:rsidR="001D681B" w:rsidRPr="001D681B" w:rsidRDefault="001D681B" w:rsidP="003A0B85">
      <w:pPr>
        <w:numPr>
          <w:ilvl w:val="0"/>
          <w:numId w:val="165"/>
        </w:numPr>
        <w:tabs>
          <w:tab w:val="left" w:pos="426"/>
        </w:tabs>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Promovarea proiectului de H.G. pentru organizarea și funcționarea Comitetului Tehnic Interministerial pentru Descentralizare și a grupurilor de lucru pentru descentralizarea competențelor;</w:t>
      </w:r>
    </w:p>
    <w:p w:rsidR="001D681B" w:rsidRPr="001D681B" w:rsidRDefault="001D681B" w:rsidP="003A0B85">
      <w:pPr>
        <w:numPr>
          <w:ilvl w:val="0"/>
          <w:numId w:val="165"/>
        </w:numPr>
        <w:tabs>
          <w:tab w:val="left" w:pos="426"/>
        </w:tabs>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Monitorizarea promovării proiectelor de legi sectoriale de descentralizare în funcție de concluziile memorandumurilor privind oportunitatea descentralizării de competențe la nivelul domeniilor reglementate de către SGD;</w:t>
      </w:r>
    </w:p>
    <w:p w:rsidR="001D681B" w:rsidRPr="001D681B" w:rsidRDefault="001D681B" w:rsidP="003A0B85">
      <w:pPr>
        <w:numPr>
          <w:ilvl w:val="0"/>
          <w:numId w:val="165"/>
        </w:numPr>
        <w:tabs>
          <w:tab w:val="left" w:pos="426"/>
        </w:tabs>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Monitorizarea promovării proiectelor de Hotărâri ale Guvernului privind aprobarea standardelor de calitate și după caz de cost pentru competențele descentralizate la nivel local;</w:t>
      </w:r>
    </w:p>
    <w:p w:rsidR="001D681B" w:rsidRPr="001D681B" w:rsidRDefault="001D681B" w:rsidP="003A0B85">
      <w:pPr>
        <w:numPr>
          <w:ilvl w:val="0"/>
          <w:numId w:val="165"/>
        </w:numPr>
        <w:tabs>
          <w:tab w:val="left" w:pos="426"/>
        </w:tabs>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Monitorizarea și evaluarea capacității administrative și a standardelor de calitate prin aplicația SALT.</w:t>
      </w:r>
    </w:p>
    <w:p w:rsidR="001D681B" w:rsidRPr="001D681B" w:rsidRDefault="001D681B" w:rsidP="003A0B85">
      <w:pPr>
        <w:numPr>
          <w:ilvl w:val="0"/>
          <w:numId w:val="165"/>
        </w:numPr>
        <w:tabs>
          <w:tab w:val="left" w:pos="426"/>
        </w:tabs>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Monitorizarea și evaluarea capacității administrative prin aplicația SALT.</w:t>
      </w:r>
    </w:p>
    <w:p w:rsidR="001D681B" w:rsidRPr="001D681B" w:rsidRDefault="001D681B" w:rsidP="003A0B85">
      <w:pPr>
        <w:numPr>
          <w:ilvl w:val="0"/>
          <w:numId w:val="163"/>
        </w:numPr>
        <w:tabs>
          <w:tab w:val="left" w:pos="567"/>
        </w:tabs>
        <w:spacing w:before="120"/>
        <w:ind w:left="567" w:hanging="425"/>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Implementarea unor măsuri de creștere a capacității MDLPA și a autorităților administrației publice locale de a-și îndeplini atribuțiile conferite de lege și de a răspunde cât mai bine solicitărilor și nevoilor cetățenilor și altor categorii de beneficiari, prin promovarea de soluții care să fie implementate într-o manieră unitară;</w:t>
      </w:r>
    </w:p>
    <w:p w:rsidR="001D681B" w:rsidRPr="001D681B" w:rsidRDefault="001D681B" w:rsidP="003A0B85">
      <w:pPr>
        <w:numPr>
          <w:ilvl w:val="0"/>
          <w:numId w:val="163"/>
        </w:numPr>
        <w:tabs>
          <w:tab w:val="left" w:pos="567"/>
        </w:tabs>
        <w:spacing w:before="120"/>
        <w:ind w:left="567" w:hanging="425"/>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lastRenderedPageBreak/>
        <w:t>Implementarea proiectului „Instrumente de sistematizare a legislației, de monitorizare și de evaluare în administrația publică”, cod SIPOCA 59;</w:t>
      </w:r>
    </w:p>
    <w:p w:rsidR="001D681B" w:rsidRPr="001D681B" w:rsidRDefault="001D681B" w:rsidP="003A0B85">
      <w:pPr>
        <w:numPr>
          <w:ilvl w:val="0"/>
          <w:numId w:val="163"/>
        </w:numPr>
        <w:tabs>
          <w:tab w:val="left" w:pos="567"/>
        </w:tabs>
        <w:spacing w:before="120"/>
        <w:ind w:left="567" w:hanging="425"/>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Implementarea proiectului „Sistemul Informatic Integrat de Emitere a Actelor de Stare Civilă” – SIIEASC, cod MySMIS 120025.</w:t>
      </w:r>
    </w:p>
    <w:p w:rsidR="001D681B" w:rsidRPr="001D681B" w:rsidRDefault="001D681B" w:rsidP="003A0B85">
      <w:pPr>
        <w:numPr>
          <w:ilvl w:val="0"/>
          <w:numId w:val="163"/>
        </w:numPr>
        <w:tabs>
          <w:tab w:val="left" w:pos="567"/>
        </w:tabs>
        <w:spacing w:before="120"/>
        <w:ind w:left="567" w:hanging="425"/>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 xml:space="preserve">Adoptarea Codului Finanțelor Publice Locale, care reglementează: </w:t>
      </w:r>
    </w:p>
    <w:p w:rsidR="001D681B" w:rsidRPr="001D681B" w:rsidRDefault="001D681B" w:rsidP="001D681B">
      <w:pPr>
        <w:tabs>
          <w:tab w:val="left" w:pos="851"/>
          <w:tab w:val="left" w:pos="1080"/>
        </w:tabs>
        <w:spacing w:before="120"/>
        <w:ind w:left="1276" w:hanging="283"/>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w:t>
      </w:r>
      <w:r w:rsidRPr="001D681B">
        <w:rPr>
          <w:rFonts w:asciiTheme="minorHAnsi" w:eastAsia="Calibri" w:hAnsiTheme="minorHAnsi" w:cstheme="minorHAnsi"/>
          <w:lang w:val="ro-RO" w:eastAsia="ro-RO"/>
        </w:rPr>
        <w:tab/>
        <w:t>finanțele publice locale;</w:t>
      </w:r>
    </w:p>
    <w:p w:rsidR="001D681B" w:rsidRPr="001D681B" w:rsidRDefault="001D681B" w:rsidP="001D681B">
      <w:pPr>
        <w:tabs>
          <w:tab w:val="left" w:pos="851"/>
          <w:tab w:val="left" w:pos="1080"/>
        </w:tabs>
        <w:spacing w:before="120"/>
        <w:ind w:left="1276" w:hanging="283"/>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w:t>
      </w:r>
      <w:r w:rsidRPr="001D681B">
        <w:rPr>
          <w:rFonts w:asciiTheme="minorHAnsi" w:eastAsia="Calibri" w:hAnsiTheme="minorHAnsi" w:cstheme="minorHAnsi"/>
          <w:lang w:val="ro-RO" w:eastAsia="ro-RO"/>
        </w:rPr>
        <w:tab/>
        <w:t>criza financiară și insolvența unităților administrativ-teritoriale;</w:t>
      </w:r>
    </w:p>
    <w:p w:rsidR="001D681B" w:rsidRPr="001D681B" w:rsidRDefault="001D681B" w:rsidP="001D681B">
      <w:pPr>
        <w:tabs>
          <w:tab w:val="left" w:pos="851"/>
          <w:tab w:val="left" w:pos="1080"/>
        </w:tabs>
        <w:spacing w:before="120"/>
        <w:ind w:left="1276" w:hanging="283"/>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w:t>
      </w:r>
      <w:r w:rsidRPr="001D681B">
        <w:rPr>
          <w:rFonts w:asciiTheme="minorHAnsi" w:eastAsia="Calibri" w:hAnsiTheme="minorHAnsi" w:cstheme="minorHAnsi"/>
          <w:lang w:val="ro-RO" w:eastAsia="ro-RO"/>
        </w:rPr>
        <w:tab/>
        <w:t>impozitele și taxele locale;</w:t>
      </w:r>
    </w:p>
    <w:p w:rsidR="001D681B" w:rsidRPr="001D681B" w:rsidRDefault="001D681B" w:rsidP="001D681B">
      <w:pPr>
        <w:tabs>
          <w:tab w:val="left" w:pos="851"/>
          <w:tab w:val="left" w:pos="1080"/>
        </w:tabs>
        <w:spacing w:before="120"/>
        <w:ind w:left="1276" w:hanging="283"/>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w:t>
      </w:r>
      <w:r w:rsidRPr="001D681B">
        <w:rPr>
          <w:rFonts w:asciiTheme="minorHAnsi" w:eastAsia="Calibri" w:hAnsiTheme="minorHAnsi" w:cstheme="minorHAnsi"/>
          <w:lang w:val="ro-RO" w:eastAsia="ro-RO"/>
        </w:rPr>
        <w:tab/>
        <w:t xml:space="preserve">procedura fiscală locală. </w:t>
      </w:r>
    </w:p>
    <w:p w:rsidR="001D681B" w:rsidRPr="001D681B" w:rsidRDefault="001D681B" w:rsidP="001D681B">
      <w:pPr>
        <w:tabs>
          <w:tab w:val="left" w:pos="851"/>
        </w:tabs>
        <w:spacing w:before="120"/>
        <w:ind w:firstLine="567"/>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Prin implementarea Codului finanțelor publice locale se realizează:</w:t>
      </w:r>
    </w:p>
    <w:p w:rsidR="001D681B" w:rsidRPr="001D681B" w:rsidRDefault="001D681B" w:rsidP="001D681B">
      <w:pPr>
        <w:tabs>
          <w:tab w:val="left" w:pos="851"/>
        </w:tabs>
        <w:spacing w:before="120"/>
        <w:ind w:left="851" w:hanging="284"/>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1. sistematizarea și concentrarea normelor juridice specifice acestui domeniu, subordonate unor principii comune, cu precizarea acestora;</w:t>
      </w:r>
    </w:p>
    <w:p w:rsidR="001D681B" w:rsidRPr="001D681B" w:rsidRDefault="001D681B" w:rsidP="001D681B">
      <w:pPr>
        <w:tabs>
          <w:tab w:val="left" w:pos="851"/>
        </w:tabs>
        <w:spacing w:before="120"/>
        <w:ind w:left="851" w:hanging="284"/>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2. asanarea legislației active, astfel că se abrogă expres dispozițiile legale căzute în desuetudine sau care înregistrează aspecte de contradictorialitate în domeniul finanțelor publice locale;</w:t>
      </w:r>
    </w:p>
    <w:p w:rsidR="001D681B" w:rsidRPr="001D681B" w:rsidRDefault="001D681B" w:rsidP="001D681B">
      <w:pPr>
        <w:tabs>
          <w:tab w:val="left" w:pos="851"/>
        </w:tabs>
        <w:spacing w:before="120"/>
        <w:ind w:left="851" w:hanging="284"/>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3. o structură omogenă care să înlesnească cunoașterea acestor prevederi de către contribuabili, pe de o parte şi, implicit, de către autoritățile administrației publice locale din România, învestite cu organizarea executării și executării în concret a acestor prevederi, în mod unitar, pe de altă parte;</w:t>
      </w:r>
    </w:p>
    <w:p w:rsidR="001D681B" w:rsidRPr="001D681B" w:rsidRDefault="001D681B" w:rsidP="001D681B">
      <w:pPr>
        <w:tabs>
          <w:tab w:val="left" w:pos="851"/>
        </w:tabs>
        <w:spacing w:before="120"/>
        <w:ind w:left="851" w:hanging="284"/>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4. premisele ca autoritățile administrației publice locale să poată elabora și aproba strategii privind dezvoltarea economică, socială și de mediu a unității administrativ-teritoriale, pe termen mediu și lung, în concordanță cu proiecțiile bugetare locale multianuale.</w:t>
      </w:r>
    </w:p>
    <w:p w:rsidR="001D681B" w:rsidRPr="001D681B" w:rsidRDefault="001D681B" w:rsidP="001D681B">
      <w:pPr>
        <w:tabs>
          <w:tab w:val="left" w:pos="851"/>
        </w:tabs>
        <w:spacing w:before="120"/>
        <w:ind w:left="851" w:hanging="284"/>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5. codul este structurat pe 4 cărți, pentru a asigura o tranziție mai ușoară și firească de la cele 4 acte normative înglobate la un singur act normativ, iar în interiorul acestora pe titluri și capitole.</w:t>
      </w:r>
    </w:p>
    <w:p w:rsidR="001D681B" w:rsidRPr="001D681B" w:rsidRDefault="001D681B" w:rsidP="001D681B">
      <w:pPr>
        <w:spacing w:before="120"/>
        <w:jc w:val="both"/>
        <w:rPr>
          <w:rFonts w:asciiTheme="minorHAnsi" w:eastAsia="Calibri" w:hAnsiTheme="minorHAnsi" w:cstheme="minorHAnsi"/>
          <w:b/>
          <w:bCs/>
          <w:lang w:val="ro-RO" w:eastAsia="ro-RO"/>
        </w:rPr>
      </w:pPr>
      <w:r w:rsidRPr="001D681B">
        <w:rPr>
          <w:rFonts w:asciiTheme="minorHAnsi" w:eastAsia="Calibri" w:hAnsiTheme="minorHAnsi" w:cstheme="minorHAnsi"/>
          <w:b/>
          <w:bCs/>
          <w:lang w:val="ro-RO" w:eastAsia="ro-RO"/>
        </w:rPr>
        <w:t xml:space="preserve">Programe/ Proiecte prioritare: </w:t>
      </w:r>
    </w:p>
    <w:p w:rsidR="001D681B" w:rsidRPr="001D681B" w:rsidRDefault="001D681B" w:rsidP="003A0B85">
      <w:pPr>
        <w:numPr>
          <w:ilvl w:val="0"/>
          <w:numId w:val="166"/>
        </w:num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Implementarea și monitorizarea acțiunilor din Planul integrat pentru simplificarea procedurilor administrative aplicabile cetățenilor - dezvoltarea mecanismelor de monitorizare și evaluare a Planului de simplificare și elaborarea de rapoarte de monitorizare, respectiv de evaluare a implementării măsurilor din Plan se realizează prin proiectul „Instrumente de sistematizare a legislației, de monitorizare și de evaluare în administrația publică”, cod SIPOCA 59;</w:t>
      </w:r>
    </w:p>
    <w:p w:rsidR="001D681B" w:rsidRPr="001D681B" w:rsidRDefault="001D681B" w:rsidP="003A0B85">
      <w:pPr>
        <w:numPr>
          <w:ilvl w:val="0"/>
          <w:numId w:val="166"/>
        </w:num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Implementarea și monitorizarea acțiunilor din Planul de acțiune pentru implementarea etapizată a managementului calității 2016-2020 - prin proiectul „Instrumente de sistematizare a legislației, de monitorizare și de evaluare în administrația publică” cod SIPOCA 59, se realizează evaluarea impactului implementării sistemelor și instrumentelor de management al calității în administrația publică, precum și acțiunile de informare, promovare și formare privind sistemele și instrumentele de management al calității;</w:t>
      </w:r>
    </w:p>
    <w:p w:rsidR="001D681B" w:rsidRPr="001D681B" w:rsidRDefault="001D681B" w:rsidP="003A0B85">
      <w:pPr>
        <w:numPr>
          <w:ilvl w:val="0"/>
          <w:numId w:val="166"/>
        </w:num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Elaborarea Codului de Procedură Administrativă – fundamentarea proiectului Codului de Procedură Administrativă se realizează prin proiectul „Instrumente de sistematizare a legislației, de monitorizare și de evaluare în administrația publică”, cod SIPOCA 59;</w:t>
      </w:r>
    </w:p>
    <w:p w:rsidR="001D681B" w:rsidRPr="001D681B" w:rsidRDefault="001D681B" w:rsidP="003A0B85">
      <w:pPr>
        <w:numPr>
          <w:ilvl w:val="0"/>
          <w:numId w:val="166"/>
        </w:num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 xml:space="preserve">Implementarea acțiunilor în responsabilitatea MDLPA din cadrul Strategiei pentru Consolidarea Administrației Publice (SCAP) 2014 – 2020, aprobată prin H.G.  nr. 909/2014 cu modificările și completările ulterioare și a documentelor programatice subsecvente acesteia respectiv </w:t>
      </w:r>
      <w:r w:rsidRPr="001D681B">
        <w:rPr>
          <w:rFonts w:asciiTheme="minorHAnsi" w:eastAsia="Calibri" w:hAnsiTheme="minorHAnsi" w:cstheme="minorHAnsi"/>
          <w:lang w:val="ro-RO" w:eastAsia="ro-RO"/>
        </w:rPr>
        <w:lastRenderedPageBreak/>
        <w:t>Strategia privind dezvoltarea funcţiei publice 2016 – 2020 aprobată prin H.G. nr. 525/2016 cu modificările și completările ulterioare și Strategia privind formarea profesională pentru administraţia publică 2016 – 2020 aprobată prin H.G. nr. 650/2016, cu modificările și completările ulterioare;</w:t>
      </w:r>
    </w:p>
    <w:p w:rsidR="001D681B" w:rsidRPr="001D681B" w:rsidRDefault="001D681B" w:rsidP="003A0B85">
      <w:pPr>
        <w:numPr>
          <w:ilvl w:val="0"/>
          <w:numId w:val="166"/>
        </w:num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Participarea la implementarea activităților aflate în responsabilitatea MDLPA din cadrul proiectului „Sistemul Informatic Integrat de Emitere a Actelor de Stare Civilă” – SIIEASC, cod MySMIS 120025, derulat de MAI în parteneriat cu MDLPA, STS și MTI (componeta aferenta fostului MCSI).</w:t>
      </w:r>
    </w:p>
    <w:p w:rsidR="001D681B" w:rsidRPr="001D681B" w:rsidRDefault="001D681B" w:rsidP="003A0B85">
      <w:pPr>
        <w:numPr>
          <w:ilvl w:val="0"/>
          <w:numId w:val="166"/>
        </w:num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Continuarea procesului de descentralizare a competențelor - în calitate de coordonator al procesului de elaborare a standardelor de calitate și cost de către ministerele implicate -  MDLPA își propune să intensifice acțiunile necesare pentru realizarea acestui obiectiv, având în vedere că situația pandemică și recentele modificări instituționale au impus decalarea cu un an a termenelor de finalizare a măsurilor specifice descentralizării. În acest sens vor fi promovate proiectele de Hotărâri de Guvern pentru aprobarea standardelor de calitate pentru serviciile publice descentralizate privind serviciile comunitare de utilități publice;</w:t>
      </w:r>
    </w:p>
    <w:p w:rsidR="001D681B" w:rsidRPr="001D681B" w:rsidRDefault="001D681B" w:rsidP="003A0B85">
      <w:pPr>
        <w:numPr>
          <w:ilvl w:val="0"/>
          <w:numId w:val="166"/>
        </w:numPr>
        <w:spacing w:before="120"/>
        <w:jc w:val="both"/>
        <w:rPr>
          <w:rFonts w:asciiTheme="minorHAnsi" w:eastAsia="MS Gothic" w:hAnsiTheme="minorHAnsi" w:cstheme="minorHAnsi"/>
          <w:lang w:val="ro-RO" w:eastAsia="ro-RO"/>
        </w:rPr>
      </w:pPr>
      <w:r w:rsidRPr="001D681B">
        <w:rPr>
          <w:rFonts w:asciiTheme="minorHAnsi" w:eastAsia="Calibri" w:hAnsiTheme="minorHAnsi" w:cstheme="minorHAnsi"/>
          <w:lang w:val="ro-RO" w:eastAsia="ro-RO"/>
        </w:rPr>
        <w:t>Modernizarea, reabilitarea, retehnologizarea și extinderea sau înființarea sistemelor de alimentare centralizată cu energie termică prin Programul Termoficare. Unitățile administrativ-teritoriale care dețin în proprietate sisteme centralizate de alimentare cu energie termică pot beneficia de confinanțarea nerambursabilă a proiectelor de investiții. Rezultate estimate prin implementarea Programuui Termoficare în perioada 2021-2023: finanțarea a aproximativ 35 obiective de investiții propuse de 15 unități administrativ-teritoriale beneficiare.</w:t>
      </w:r>
    </w:p>
    <w:p w:rsidR="001D681B" w:rsidRPr="001D681B" w:rsidRDefault="001D681B" w:rsidP="001D681B">
      <w:pPr>
        <w:spacing w:before="120"/>
        <w:ind w:left="365"/>
        <w:jc w:val="both"/>
        <w:rPr>
          <w:rFonts w:asciiTheme="minorHAnsi" w:eastAsia="MS Gothic" w:hAnsiTheme="minorHAnsi" w:cstheme="minorHAnsi"/>
          <w:lang w:val="ro-RO" w:eastAsia="ro-RO"/>
        </w:rPr>
      </w:pPr>
    </w:p>
    <w:p w:rsidR="001D681B" w:rsidRPr="001D681B" w:rsidRDefault="001D681B" w:rsidP="003A0B85">
      <w:pPr>
        <w:numPr>
          <w:ilvl w:val="0"/>
          <w:numId w:val="170"/>
        </w:numPr>
        <w:spacing w:before="120"/>
        <w:ind w:left="709" w:hanging="709"/>
        <w:jc w:val="both"/>
        <w:rPr>
          <w:rFonts w:asciiTheme="minorHAnsi" w:eastAsia="Calibri" w:hAnsiTheme="minorHAnsi" w:cstheme="minorHAnsi"/>
          <w:b/>
          <w:u w:val="single"/>
          <w:lang w:val="ro-RO" w:eastAsia="ro-RO"/>
        </w:rPr>
      </w:pPr>
      <w:r w:rsidRPr="001D681B">
        <w:rPr>
          <w:rFonts w:asciiTheme="minorHAnsi" w:eastAsia="MS Gothic" w:hAnsiTheme="minorHAnsi" w:cstheme="minorHAnsi"/>
          <w:b/>
          <w:u w:val="single"/>
          <w:lang w:val="ro-RO" w:eastAsia="ro-RO"/>
        </w:rPr>
        <w:t>FONDURI EUROPENE</w:t>
      </w:r>
    </w:p>
    <w:p w:rsidR="001D681B" w:rsidRPr="001D681B" w:rsidRDefault="001D681B" w:rsidP="001D681B">
      <w:pPr>
        <w:spacing w:before="120"/>
        <w:jc w:val="both"/>
        <w:rPr>
          <w:rFonts w:asciiTheme="minorHAnsi" w:eastAsia="MS Gothic" w:hAnsiTheme="minorHAnsi" w:cstheme="minorHAnsi"/>
          <w:lang w:val="ro-RO" w:eastAsia="ro-RO"/>
        </w:rPr>
      </w:pPr>
      <w:r w:rsidRPr="001D681B">
        <w:rPr>
          <w:rFonts w:asciiTheme="minorHAnsi" w:eastAsia="Calibri" w:hAnsiTheme="minorHAnsi" w:cstheme="minorHAnsi"/>
          <w:b/>
          <w:lang w:val="ro-RO" w:eastAsia="ro-RO"/>
        </w:rPr>
        <w:t xml:space="preserve">Țintă/Obiectiv general: </w:t>
      </w:r>
      <w:r w:rsidRPr="001D681B">
        <w:rPr>
          <w:rFonts w:asciiTheme="minorHAnsi" w:eastAsia="MS Gothic" w:hAnsiTheme="minorHAnsi" w:cstheme="minorHAnsi"/>
          <w:lang w:val="ro-RO" w:eastAsia="ro-RO"/>
        </w:rPr>
        <w:t>Îmbunătățirea absorbției și gestionarea eficientă a fondurilor europene</w:t>
      </w:r>
    </w:p>
    <w:p w:rsidR="001D681B" w:rsidRPr="001D681B" w:rsidRDefault="001D681B" w:rsidP="001D681B">
      <w:pPr>
        <w:spacing w:before="120"/>
        <w:jc w:val="both"/>
        <w:rPr>
          <w:rFonts w:asciiTheme="minorHAnsi" w:eastAsia="Calibri" w:hAnsiTheme="minorHAnsi" w:cstheme="minorHAnsi"/>
          <w:b/>
          <w:lang w:val="ro-RO" w:eastAsia="ro-RO"/>
        </w:rPr>
      </w:pPr>
      <w:r w:rsidRPr="001D681B">
        <w:rPr>
          <w:rFonts w:asciiTheme="minorHAnsi" w:eastAsia="Calibri" w:hAnsiTheme="minorHAnsi" w:cstheme="minorHAnsi"/>
          <w:b/>
          <w:lang w:val="ro-RO" w:eastAsia="ro-RO"/>
        </w:rPr>
        <w:t xml:space="preserve">Obiective specifice/ Măsuri (după caz) de implementare pentru perioada 2021 – 2023: </w:t>
      </w:r>
    </w:p>
    <w:p w:rsidR="001D681B" w:rsidRPr="001D681B" w:rsidRDefault="001D681B" w:rsidP="003A0B85">
      <w:pPr>
        <w:numPr>
          <w:ilvl w:val="3"/>
          <w:numId w:val="167"/>
        </w:numPr>
        <w:spacing w:before="120"/>
        <w:ind w:left="426" w:hanging="142"/>
        <w:jc w:val="both"/>
        <w:rPr>
          <w:rFonts w:asciiTheme="minorHAnsi" w:eastAsia="MS Gothic" w:hAnsiTheme="minorHAnsi" w:cstheme="minorHAnsi"/>
          <w:lang w:val="ro-RO" w:eastAsia="ro-RO"/>
        </w:rPr>
      </w:pPr>
      <w:r w:rsidRPr="001D681B">
        <w:rPr>
          <w:rFonts w:asciiTheme="minorHAnsi" w:eastAsia="MS Gothic" w:hAnsiTheme="minorHAnsi" w:cstheme="minorHAnsi"/>
          <w:lang w:val="ro-RO" w:eastAsia="ro-RO"/>
        </w:rPr>
        <w:t>atingerea țintelor anuale de absorbție stabilite la nivelul programelor operaționale;</w:t>
      </w:r>
    </w:p>
    <w:p w:rsidR="001D681B" w:rsidRDefault="001D681B" w:rsidP="003A0B85">
      <w:pPr>
        <w:numPr>
          <w:ilvl w:val="3"/>
          <w:numId w:val="167"/>
        </w:numPr>
        <w:spacing w:before="120"/>
        <w:ind w:left="426" w:hanging="142"/>
        <w:jc w:val="both"/>
        <w:rPr>
          <w:rFonts w:asciiTheme="minorHAnsi" w:eastAsia="MS Gothic" w:hAnsiTheme="minorHAnsi" w:cstheme="minorHAnsi"/>
          <w:lang w:val="ro-RO" w:eastAsia="ro-RO"/>
        </w:rPr>
      </w:pPr>
      <w:r w:rsidRPr="001D681B">
        <w:rPr>
          <w:rFonts w:asciiTheme="minorHAnsi" w:eastAsia="MS Gothic" w:hAnsiTheme="minorHAnsi" w:cstheme="minorHAnsi"/>
          <w:lang w:val="ro-RO" w:eastAsia="ro-RO"/>
        </w:rPr>
        <w:t>evaluarea rapidă a proiectelor depuse și semnarea rapidă a contractelor de finanțare; analiza fiecărui program operațional şi realocarea de fonduri către sectoarele cu potenţial maxim de absorbţie pentru a evita riscul dezangajării fondurilor alocate României; măsuri de simplificare pentru îmbunătăţirea sistemului administrativ şi a capacității de absorbţie a fondurilor europene.</w:t>
      </w:r>
    </w:p>
    <w:p w:rsidR="001D681B" w:rsidRPr="001D681B" w:rsidRDefault="001D681B" w:rsidP="001D681B">
      <w:pPr>
        <w:spacing w:before="120"/>
        <w:jc w:val="both"/>
        <w:rPr>
          <w:rFonts w:asciiTheme="minorHAnsi" w:eastAsia="MS Gothic" w:hAnsiTheme="minorHAnsi" w:cstheme="minorHAnsi"/>
          <w:lang w:val="ro-RO" w:eastAsia="ro-RO"/>
        </w:rPr>
      </w:pPr>
    </w:p>
    <w:p w:rsidR="001D681B" w:rsidRPr="001D681B" w:rsidRDefault="001D681B" w:rsidP="001D681B">
      <w:pPr>
        <w:shd w:val="clear" w:color="auto" w:fill="D9D9D9" w:themeFill="background1" w:themeFillShade="D9"/>
        <w:spacing w:before="120"/>
        <w:jc w:val="both"/>
        <w:rPr>
          <w:rFonts w:asciiTheme="minorHAnsi" w:eastAsia="MS Gothic" w:hAnsiTheme="minorHAnsi" w:cstheme="minorHAnsi"/>
          <w:b/>
          <w:lang w:val="ro-RO" w:eastAsia="ro-RO"/>
        </w:rPr>
      </w:pPr>
      <w:r w:rsidRPr="001D681B">
        <w:rPr>
          <w:rFonts w:asciiTheme="minorHAnsi" w:eastAsia="MS Gothic" w:hAnsiTheme="minorHAnsi" w:cstheme="minorHAnsi"/>
          <w:b/>
          <w:lang w:val="ro-RO" w:eastAsia="ro-RO"/>
        </w:rPr>
        <w:t>PROGRAME GESTIONATE DE ROMÂNIA ÎN PERIOADA 2014-2020, PRIN INTERMEDIUL MDLPA:</w:t>
      </w:r>
    </w:p>
    <w:p w:rsidR="001D681B" w:rsidRPr="001D681B" w:rsidRDefault="001D681B" w:rsidP="001D681B">
      <w:pPr>
        <w:spacing w:before="120"/>
        <w:jc w:val="both"/>
        <w:rPr>
          <w:rFonts w:asciiTheme="minorHAnsi" w:eastAsia="Calibri" w:hAnsiTheme="minorHAnsi" w:cstheme="minorHAnsi"/>
          <w:vertAlign w:val="superscript"/>
          <w:lang w:val="ro-RO" w:eastAsia="ro-RO"/>
        </w:rPr>
      </w:pPr>
      <w:r w:rsidRPr="001D681B">
        <w:rPr>
          <w:rFonts w:asciiTheme="minorHAnsi" w:hAnsiTheme="minorHAnsi" w:cstheme="minorHAnsi"/>
          <w:lang w:val="ro-RO" w:eastAsia="ro-RO"/>
        </w:rPr>
        <w:t>1.</w:t>
      </w:r>
      <w:r w:rsidRPr="001D681B">
        <w:rPr>
          <w:rFonts w:asciiTheme="minorHAnsi" w:eastAsia="Calibri" w:hAnsiTheme="minorHAnsi" w:cstheme="minorHAnsi"/>
          <w:i/>
          <w:lang w:val="ro-RO" w:eastAsia="ro-RO"/>
        </w:rPr>
        <w:t xml:space="preserve"> </w:t>
      </w:r>
      <w:r w:rsidRPr="001D681B">
        <w:rPr>
          <w:rFonts w:asciiTheme="minorHAnsi" w:eastAsia="Calibri" w:hAnsiTheme="minorHAnsi" w:cstheme="minorHAnsi"/>
          <w:b/>
          <w:bCs/>
          <w:u w:val="single"/>
          <w:lang w:val="ro-RO" w:eastAsia="ro-RO"/>
        </w:rPr>
        <w:t>PROGRAMUL OPERAȚIONAL REGIONAL (POR)</w:t>
      </w:r>
    </w:p>
    <w:p w:rsidR="001D681B" w:rsidRPr="001D681B" w:rsidRDefault="001D681B" w:rsidP="001D681B">
      <w:p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Bugetul total al POR 2014-2020 este de 8,38 miliarde euro, din care 6,86 miliarde euro (inclusiv rezerva de performanță) reprezintă sprijinul UE, prin Fondul European pentru Dezvoltare Regională, respectiv 1,52 miliarde euro contribuția națională, asigurată din fonduri publice naționale (buget de stat, bugete locale).</w:t>
      </w:r>
    </w:p>
    <w:p w:rsidR="001D681B" w:rsidRPr="001D681B" w:rsidRDefault="001D681B" w:rsidP="001D681B">
      <w:p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Gradul de absorbție al fondurilor europene în cadrul POR este în procent de 34,86% reprezentând o valoare FEDR în sumă de 2.391,32 milioane euro, solicitată la rambursare de către Comisia Europeană, prin intermediul aplicațiilor de plată transmise de Autoritatea de Certificare și Plată. În anul 2020 au fost transmise declarații de cheltuieli la CE  în valoare de 823,24 mil euro.</w:t>
      </w:r>
    </w:p>
    <w:p w:rsidR="001D681B" w:rsidRPr="001D681B" w:rsidRDefault="001D681B" w:rsidP="001D681B">
      <w:pPr>
        <w:spacing w:before="120"/>
        <w:jc w:val="both"/>
        <w:rPr>
          <w:rFonts w:asciiTheme="minorHAnsi" w:eastAsia="Calibri" w:hAnsiTheme="minorHAnsi" w:cstheme="minorHAnsi"/>
          <w:i/>
          <w:lang w:val="ro-RO" w:eastAsia="ro-RO"/>
        </w:rPr>
      </w:pPr>
      <w:r w:rsidRPr="001D681B">
        <w:rPr>
          <w:rFonts w:asciiTheme="minorHAnsi" w:eastAsia="Calibri" w:hAnsiTheme="minorHAnsi" w:cstheme="minorHAnsi"/>
          <w:i/>
          <w:lang w:val="ro-RO" w:eastAsia="ro-RO"/>
        </w:rPr>
        <w:t>Stadiul implementării POR 2014 – 2020:</w:t>
      </w:r>
    </w:p>
    <w:p w:rsidR="001D681B" w:rsidRPr="001D681B" w:rsidRDefault="001D681B" w:rsidP="001D681B">
      <w:p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lastRenderedPageBreak/>
        <w:t xml:space="preserve">Suma prevăzută în POR pentru anul 2021 pentru evitarea dezangajării fondurilor europene este de  890 milioane euro. Pentru anul 2021, suma previzionată a fi absorbită la nivelul Programului Operațional Regional, potrivit graficelor de depunere a cererilor de rambursare transmise de către beneficiari aferente contractelor semnate este în valoare de 912,01 milioane euro FEDR. </w:t>
      </w:r>
    </w:p>
    <w:p w:rsidR="001D681B" w:rsidRPr="001D681B" w:rsidRDefault="001D681B" w:rsidP="001D681B">
      <w:pPr>
        <w:spacing w:before="120"/>
        <w:jc w:val="both"/>
        <w:rPr>
          <w:rFonts w:asciiTheme="minorHAnsi" w:eastAsia="Calibri" w:hAnsiTheme="minorHAnsi" w:cstheme="minorHAnsi"/>
          <w:i/>
          <w:lang w:val="ro-RO" w:eastAsia="ro-RO"/>
        </w:rPr>
      </w:pPr>
    </w:p>
    <w:p w:rsidR="001D681B" w:rsidRPr="001D681B" w:rsidRDefault="001D681B" w:rsidP="001D681B">
      <w:pPr>
        <w:spacing w:before="120"/>
        <w:jc w:val="both"/>
        <w:rPr>
          <w:rFonts w:asciiTheme="minorHAnsi" w:hAnsiTheme="minorHAnsi" w:cstheme="minorHAnsi"/>
          <w:b/>
          <w:bCs/>
          <w:vertAlign w:val="superscript"/>
          <w:lang w:val="ro-RO" w:eastAsia="ro-RO"/>
        </w:rPr>
      </w:pPr>
      <w:bookmarkStart w:id="6" w:name="page153"/>
      <w:bookmarkEnd w:id="6"/>
      <w:r w:rsidRPr="001D681B">
        <w:rPr>
          <w:rFonts w:asciiTheme="minorHAnsi" w:eastAsia="Calibri" w:hAnsiTheme="minorHAnsi" w:cstheme="minorHAnsi"/>
          <w:b/>
          <w:bCs/>
          <w:i/>
          <w:lang w:val="ro-RO" w:eastAsia="ro-RO"/>
        </w:rPr>
        <w:t xml:space="preserve">2. </w:t>
      </w:r>
      <w:r w:rsidRPr="001D681B">
        <w:rPr>
          <w:rFonts w:asciiTheme="minorHAnsi" w:eastAsia="Calibri" w:hAnsiTheme="minorHAnsi" w:cstheme="minorHAnsi"/>
          <w:b/>
          <w:bCs/>
          <w:u w:val="single"/>
          <w:lang w:val="ro-RO" w:eastAsia="ro-RO"/>
        </w:rPr>
        <w:t>PROGRAMUL OPERATIONAL CAPACITATE ADMINISTRATIVĂ (POCA)</w:t>
      </w:r>
      <w:r w:rsidRPr="001D681B">
        <w:rPr>
          <w:rFonts w:asciiTheme="minorHAnsi" w:eastAsia="Calibri" w:hAnsiTheme="minorHAnsi" w:cstheme="minorHAnsi"/>
          <w:b/>
          <w:bCs/>
          <w:i/>
          <w:lang w:val="ro-RO" w:eastAsia="ro-RO"/>
        </w:rPr>
        <w:t xml:space="preserve"> </w:t>
      </w:r>
    </w:p>
    <w:p w:rsidR="001D681B" w:rsidRPr="001D681B" w:rsidRDefault="00381513" w:rsidP="001D681B">
      <w:pPr>
        <w:spacing w:before="120"/>
        <w:jc w:val="both"/>
        <w:rPr>
          <w:rFonts w:asciiTheme="minorHAnsi" w:eastAsia="Calibri" w:hAnsiTheme="minorHAnsi" w:cstheme="minorHAnsi"/>
          <w:lang w:val="ro-RO" w:eastAsia="ro-RO"/>
        </w:rPr>
      </w:pPr>
      <w:r>
        <w:rPr>
          <w:rFonts w:asciiTheme="minorHAnsi" w:eastAsia="Calibri" w:hAnsiTheme="minorHAnsi" w:cstheme="minorHAnsi"/>
          <w:lang w:val="ro-RO" w:eastAsia="ro-RO"/>
        </w:rPr>
        <w:t xml:space="preserve">Buget total de 671,29 milioane euro, din care </w:t>
      </w:r>
      <w:r w:rsidR="001D681B" w:rsidRPr="001D681B">
        <w:rPr>
          <w:rFonts w:asciiTheme="minorHAnsi" w:eastAsia="Calibri" w:hAnsiTheme="minorHAnsi" w:cstheme="minorHAnsi"/>
          <w:lang w:val="ro-RO" w:eastAsia="ro-RO"/>
        </w:rPr>
        <w:t>563,59 milioane euro (inclusiv rezerva de performanță) reprezintă sprijinul UE, prin Fondul Social European, respectiv circa 107,70 milioane euro contribuția națională, asigurată din fonduri publice naționale (buget de stat, bugete locale).</w:t>
      </w:r>
    </w:p>
    <w:p w:rsidR="001D681B" w:rsidRPr="001D681B" w:rsidRDefault="001D681B" w:rsidP="001D681B">
      <w:pPr>
        <w:spacing w:before="120"/>
        <w:jc w:val="both"/>
        <w:rPr>
          <w:rFonts w:asciiTheme="minorHAnsi" w:eastAsia="Calibri" w:hAnsiTheme="minorHAnsi" w:cstheme="minorHAnsi"/>
          <w:i/>
          <w:lang w:val="ro-RO" w:eastAsia="ro-RO"/>
        </w:rPr>
      </w:pPr>
      <w:r w:rsidRPr="001D681B">
        <w:rPr>
          <w:rFonts w:asciiTheme="minorHAnsi" w:eastAsia="Calibri" w:hAnsiTheme="minorHAnsi" w:cstheme="minorHAnsi"/>
          <w:i/>
          <w:lang w:val="ro-RO" w:eastAsia="ro-RO"/>
        </w:rPr>
        <w:t>Rezultate obţinute aferente Programului Operaţional Capacitate Administrativă (POCA):</w:t>
      </w:r>
    </w:p>
    <w:p w:rsidR="001D681B" w:rsidRPr="001D681B" w:rsidRDefault="001D681B" w:rsidP="003A0B85">
      <w:pPr>
        <w:numPr>
          <w:ilvl w:val="0"/>
          <w:numId w:val="162"/>
        </w:num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189,95 mil. euro plăţi efectuate în cadrul programului, ceea ce reprezintă 33,70 % din alocarea UE la nivel de program;</w:t>
      </w:r>
    </w:p>
    <w:p w:rsidR="001D681B" w:rsidRPr="001D681B" w:rsidRDefault="001D681B" w:rsidP="003A0B85">
      <w:pPr>
        <w:numPr>
          <w:ilvl w:val="0"/>
          <w:numId w:val="162"/>
        </w:num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189,12 mil euro contribuţie UE inclusă în declaraţiile de cheltuieli transmise ACP, ceea ce reprezintă 33,56% din alocarea UE la nivel de program.</w:t>
      </w:r>
    </w:p>
    <w:p w:rsidR="001D681B" w:rsidRPr="001D681B" w:rsidRDefault="001D681B" w:rsidP="001D681B">
      <w:pPr>
        <w:spacing w:before="120"/>
        <w:jc w:val="both"/>
        <w:rPr>
          <w:rFonts w:asciiTheme="minorHAnsi" w:eastAsia="Calibri" w:hAnsiTheme="minorHAnsi" w:cstheme="minorHAnsi"/>
          <w:i/>
          <w:lang w:val="ro-RO" w:eastAsia="ro-RO"/>
        </w:rPr>
      </w:pPr>
    </w:p>
    <w:p w:rsidR="001D681B" w:rsidRPr="001D681B" w:rsidRDefault="001D681B" w:rsidP="001D681B">
      <w:pPr>
        <w:spacing w:before="120"/>
        <w:jc w:val="both"/>
        <w:rPr>
          <w:rFonts w:asciiTheme="minorHAnsi" w:eastAsia="Calibri" w:hAnsiTheme="minorHAnsi" w:cstheme="minorHAnsi"/>
          <w:b/>
          <w:bCs/>
          <w:i/>
          <w:lang w:val="ro-RO" w:eastAsia="ro-RO"/>
        </w:rPr>
      </w:pPr>
      <w:r w:rsidRPr="001D681B">
        <w:rPr>
          <w:rFonts w:asciiTheme="minorHAnsi" w:eastAsia="Calibri" w:hAnsiTheme="minorHAnsi" w:cstheme="minorHAnsi"/>
          <w:b/>
          <w:bCs/>
          <w:i/>
          <w:lang w:val="ro-RO" w:eastAsia="ro-RO"/>
        </w:rPr>
        <w:t xml:space="preserve">3. </w:t>
      </w:r>
      <w:r w:rsidRPr="001D681B">
        <w:rPr>
          <w:rFonts w:asciiTheme="minorHAnsi" w:eastAsia="Calibri" w:hAnsiTheme="minorHAnsi" w:cstheme="minorHAnsi"/>
          <w:b/>
          <w:bCs/>
          <w:u w:val="single"/>
          <w:lang w:val="ro-RO" w:eastAsia="ro-RO"/>
        </w:rPr>
        <w:t>PROGRAME DE COOPERARE:</w:t>
      </w:r>
    </w:p>
    <w:p w:rsidR="001D681B" w:rsidRPr="001D681B" w:rsidRDefault="001D681B" w:rsidP="003A0B85">
      <w:pPr>
        <w:numPr>
          <w:ilvl w:val="0"/>
          <w:numId w:val="168"/>
        </w:numPr>
        <w:tabs>
          <w:tab w:val="left" w:pos="284"/>
        </w:tabs>
        <w:spacing w:before="120"/>
        <w:ind w:left="0" w:firstLine="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Programul Interreg V-A România-Bulgaria, cu un buget total de 258,50 mil. Euro. În prezent, rata de contractare este de 115,34%,  65 de proiecte se află în implementare, 104 fiind deja finalizate. Nu au fost dezangajate fonduri.</w:t>
      </w:r>
    </w:p>
    <w:p w:rsidR="001D681B" w:rsidRPr="001D681B" w:rsidRDefault="001D681B" w:rsidP="003A0B85">
      <w:pPr>
        <w:numPr>
          <w:ilvl w:val="0"/>
          <w:numId w:val="168"/>
        </w:numPr>
        <w:tabs>
          <w:tab w:val="left" w:pos="284"/>
        </w:tabs>
        <w:spacing w:before="120"/>
        <w:ind w:left="0" w:firstLine="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Programul Interreg V-A România-Ungaria, cu un buget total de 231,86 mil euro. În prezent rata de contractare este de 92,94%. Din cele 109 proiecte contractate, 74 de proiecte se află în implementare, 35 fiind deja finalizate. Nu au fost dezangajate fonduri.</w:t>
      </w:r>
    </w:p>
    <w:p w:rsidR="001D681B" w:rsidRPr="001D681B" w:rsidRDefault="001D681B" w:rsidP="003A0B85">
      <w:pPr>
        <w:numPr>
          <w:ilvl w:val="0"/>
          <w:numId w:val="168"/>
        </w:numPr>
        <w:tabs>
          <w:tab w:val="left" w:pos="284"/>
        </w:tabs>
        <w:spacing w:before="120"/>
        <w:ind w:left="0" w:firstLine="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Programul IPA de cooperare transfrontalieră România – Republica Serbia 2014-2020 cu un buget total de 88.124.999 euro, din care 74.906.248 fonduri IPA. În prezent rata de contractare este de 98,88%, 36 de proiecte se află în implementare, 37 fiind deja finalizate.  Nu au fost dezangajate fonduri.</w:t>
      </w:r>
    </w:p>
    <w:p w:rsidR="001D681B" w:rsidRPr="001D681B" w:rsidRDefault="001D681B" w:rsidP="003A0B85">
      <w:pPr>
        <w:numPr>
          <w:ilvl w:val="0"/>
          <w:numId w:val="168"/>
        </w:numPr>
        <w:tabs>
          <w:tab w:val="left" w:pos="284"/>
        </w:tabs>
        <w:spacing w:before="120"/>
        <w:ind w:left="0" w:firstLine="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 xml:space="preserve">Programul Transnațional Dunărea are un buget total de 262,98 mil euro, din care: 202,10 mil euro finanţare FEDR, 19,83 mil euro IPA și 10 mil euro ENI. În proiectele aprobate participă 183 de organizații din România, fiind semnate 133 de contracte de cofinanțare. </w:t>
      </w:r>
    </w:p>
    <w:p w:rsidR="001D681B" w:rsidRPr="001D681B" w:rsidRDefault="001D681B" w:rsidP="003A0B85">
      <w:pPr>
        <w:numPr>
          <w:ilvl w:val="0"/>
          <w:numId w:val="168"/>
        </w:numPr>
        <w:tabs>
          <w:tab w:val="left" w:pos="284"/>
        </w:tabs>
        <w:spacing w:before="120"/>
        <w:ind w:left="0" w:firstLine="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Programul de cooperare interregională INTERREG EUROPE  are un buget total de 426,31 mil euro, din care 359,33 mil euro finanţare FEDR. În proiectele aprobate participă 111 organizații din România, fiind semnate 93 de contracte de cofinanțare.</w:t>
      </w:r>
    </w:p>
    <w:p w:rsidR="001D681B" w:rsidRPr="001D681B" w:rsidRDefault="001D681B" w:rsidP="003A0B85">
      <w:pPr>
        <w:numPr>
          <w:ilvl w:val="0"/>
          <w:numId w:val="168"/>
        </w:numPr>
        <w:tabs>
          <w:tab w:val="left" w:pos="284"/>
        </w:tabs>
        <w:spacing w:before="120"/>
        <w:ind w:left="0" w:firstLine="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 xml:space="preserve">Programul de cooperare interregională URBACT III are un buget total de 96,32 mil euro din care 74,30 mil euro finanţare FEDR. </w:t>
      </w:r>
      <w:r w:rsidRPr="001D681B">
        <w:rPr>
          <w:rFonts w:asciiTheme="minorHAnsi" w:eastAsia="Calibri" w:hAnsiTheme="minorHAnsi" w:cstheme="minorHAnsi"/>
          <w:lang w:val="en-GB"/>
        </w:rPr>
        <w:t>În cele 37 de proiecte aprobate participă 23 de organizații din România, fiind semnate</w:t>
      </w:r>
      <w:r>
        <w:rPr>
          <w:rFonts w:asciiTheme="minorHAnsi" w:eastAsia="Calibri" w:hAnsiTheme="minorHAnsi" w:cstheme="minorHAnsi"/>
          <w:lang w:val="en-GB"/>
        </w:rPr>
        <w:t xml:space="preserve"> </w:t>
      </w:r>
      <w:r w:rsidRPr="001D681B">
        <w:rPr>
          <w:rFonts w:asciiTheme="minorHAnsi" w:eastAsia="Calibri" w:hAnsiTheme="minorHAnsi" w:cstheme="minorHAnsi"/>
          <w:lang w:val="en-GB"/>
        </w:rPr>
        <w:t>25 de contracte de cofinanțare.</w:t>
      </w:r>
    </w:p>
    <w:p w:rsidR="001D681B" w:rsidRPr="001D681B" w:rsidRDefault="001D681B" w:rsidP="003A0B85">
      <w:pPr>
        <w:numPr>
          <w:ilvl w:val="0"/>
          <w:numId w:val="168"/>
        </w:numPr>
        <w:tabs>
          <w:tab w:val="left" w:pos="284"/>
        </w:tabs>
        <w:spacing w:before="120"/>
        <w:ind w:left="0" w:firstLine="0"/>
        <w:jc w:val="both"/>
        <w:rPr>
          <w:rFonts w:asciiTheme="minorHAnsi" w:eastAsia="Calibri" w:hAnsiTheme="minorHAnsi" w:cstheme="minorHAnsi"/>
          <w:lang w:val="ro-RO" w:eastAsia="ro-RO"/>
        </w:rPr>
      </w:pPr>
      <w:r w:rsidRPr="001D681B">
        <w:rPr>
          <w:rFonts w:asciiTheme="minorHAnsi" w:eastAsia="Calibri" w:hAnsiTheme="minorHAnsi" w:cstheme="minorHAnsi"/>
          <w:lang w:val="en-GB"/>
        </w:rPr>
        <w:t>Programul de cooperare interregională INTERACT III are un buget de 39,40 mil euro FEDR la care se adaugă 163.530 euro contribuţia Elveţiei şi Norvegiei.</w:t>
      </w:r>
    </w:p>
    <w:p w:rsidR="001D681B" w:rsidRPr="001D681B" w:rsidRDefault="001D681B" w:rsidP="003A0B85">
      <w:pPr>
        <w:numPr>
          <w:ilvl w:val="0"/>
          <w:numId w:val="168"/>
        </w:numPr>
        <w:tabs>
          <w:tab w:val="left" w:pos="284"/>
        </w:tabs>
        <w:spacing w:before="120"/>
        <w:ind w:left="0" w:firstLine="0"/>
        <w:jc w:val="both"/>
        <w:rPr>
          <w:rFonts w:asciiTheme="minorHAnsi" w:eastAsia="Calibri" w:hAnsiTheme="minorHAnsi" w:cstheme="minorHAnsi"/>
          <w:lang w:val="ro-RO" w:eastAsia="ro-RO"/>
        </w:rPr>
      </w:pPr>
      <w:r w:rsidRPr="001D681B">
        <w:rPr>
          <w:rFonts w:asciiTheme="minorHAnsi" w:eastAsia="Calibri" w:hAnsiTheme="minorHAnsi" w:cstheme="minorHAnsi"/>
          <w:lang w:val="en-GB"/>
        </w:rPr>
        <w:t>Programul de cooperare ESPON 2020 are un buget de 41,37 milioane euro FEDR la care se adaugă contribuțiile naționale în valoare de 7,3 milioane euro și contribuția statelor partenere (Elveția, Norvegia, Islanda, Liechtenstein) de 1,85 milioane euro.</w:t>
      </w:r>
    </w:p>
    <w:p w:rsidR="001D681B" w:rsidRPr="001D681B" w:rsidRDefault="001D681B" w:rsidP="003A0B85">
      <w:pPr>
        <w:numPr>
          <w:ilvl w:val="0"/>
          <w:numId w:val="168"/>
        </w:numPr>
        <w:tabs>
          <w:tab w:val="left" w:pos="284"/>
        </w:tabs>
        <w:spacing w:before="120"/>
        <w:ind w:left="0" w:firstLine="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Programe de cooperare aferente politicii de vecinătate a UE, finanţate din ENI:</w:t>
      </w:r>
    </w:p>
    <w:p w:rsidR="001D681B" w:rsidRPr="001D681B" w:rsidRDefault="001D681B" w:rsidP="003A0B85">
      <w:pPr>
        <w:numPr>
          <w:ilvl w:val="0"/>
          <w:numId w:val="169"/>
        </w:num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lastRenderedPageBreak/>
        <w:t>Programul operaţional comun România-Ucraina 2014-2020 are un buget de 66 mil. euro. Până în prezent au fost contractate 54 de proiecte, rata de contractare fiind de 64,95%. Nu se aplică principiul dezangajării fondurilor.</w:t>
      </w:r>
    </w:p>
    <w:p w:rsidR="001D681B" w:rsidRPr="001D681B" w:rsidRDefault="001D681B" w:rsidP="003A0B85">
      <w:pPr>
        <w:numPr>
          <w:ilvl w:val="0"/>
          <w:numId w:val="169"/>
        </w:numPr>
        <w:tabs>
          <w:tab w:val="left" w:pos="142"/>
        </w:tabs>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Programul operațional comun România - Republica Moldova 2014-2020 are un buget total de 89,10 mil. euro. Până în prezent au fost contractate 60 de proiecte, rata de contractare fiind de 65,90%.  Nu se aplică principiul dezangajării fondurilor.</w:t>
      </w:r>
    </w:p>
    <w:p w:rsidR="001D681B" w:rsidRPr="001D681B" w:rsidRDefault="001D681B" w:rsidP="003A0B85">
      <w:pPr>
        <w:numPr>
          <w:ilvl w:val="0"/>
          <w:numId w:val="169"/>
        </w:num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Programul operațional comun Bazinul Mării Negr</w:t>
      </w:r>
      <w:r w:rsidR="00381513">
        <w:rPr>
          <w:rFonts w:asciiTheme="minorHAnsi" w:eastAsia="Calibri" w:hAnsiTheme="minorHAnsi" w:cstheme="minorHAnsi"/>
          <w:lang w:val="ro-RO" w:eastAsia="ro-RO"/>
        </w:rPr>
        <w:t xml:space="preserve">e 2014-2020 are buget total de </w:t>
      </w:r>
      <w:r w:rsidRPr="001D681B">
        <w:rPr>
          <w:rFonts w:asciiTheme="minorHAnsi" w:eastAsia="Calibri" w:hAnsiTheme="minorHAnsi" w:cstheme="minorHAnsi"/>
          <w:lang w:val="ro-RO" w:eastAsia="ro-RO"/>
        </w:rPr>
        <w:t>53,94 mil. euro din care 49,04 mil. fonduri externe nerambursabile. Până în prezent au fost contractate 58 de proiecte, rata de contractare fiind de 94%. Nu se aplică principiul dezangajării fondurilor.</w:t>
      </w:r>
    </w:p>
    <w:p w:rsidR="001D681B" w:rsidRPr="001D681B" w:rsidRDefault="001D681B" w:rsidP="003A0B85">
      <w:pPr>
        <w:numPr>
          <w:ilvl w:val="0"/>
          <w:numId w:val="169"/>
        </w:num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 xml:space="preserve">Programul de Cooperare Transfrontalieră ENI Ungaria-Slovacia-România-Ucraina 2014-2020 are un buget total de 81 mil euro </w:t>
      </w:r>
      <w:r w:rsidR="00381513">
        <w:rPr>
          <w:rFonts w:asciiTheme="minorHAnsi" w:eastAsia="Calibri" w:hAnsiTheme="minorHAnsi" w:cstheme="minorHAnsi"/>
          <w:lang w:val="ro-RO" w:eastAsia="ro-RO"/>
        </w:rPr>
        <w:t xml:space="preserve">din care finanţare FEDR şi ENI </w:t>
      </w:r>
      <w:r w:rsidRPr="001D681B">
        <w:rPr>
          <w:rFonts w:asciiTheme="minorHAnsi" w:eastAsia="Calibri" w:hAnsiTheme="minorHAnsi" w:cstheme="minorHAnsi"/>
          <w:lang w:val="ro-RO" w:eastAsia="ro-RO"/>
        </w:rPr>
        <w:t>74 mil euro. În proiectele aprobate participă 52 de organizații din România, fiind semnate 5 contracte de cofinanțare.</w:t>
      </w:r>
    </w:p>
    <w:p w:rsidR="001D681B" w:rsidRPr="001D681B" w:rsidRDefault="001D681B" w:rsidP="001D681B">
      <w:pPr>
        <w:spacing w:before="120"/>
        <w:jc w:val="both"/>
        <w:rPr>
          <w:rFonts w:asciiTheme="minorHAnsi" w:eastAsia="Arial" w:hAnsiTheme="minorHAnsi" w:cstheme="minorHAnsi"/>
          <w:lang w:val="ro-RO" w:eastAsia="ro-RO"/>
        </w:rPr>
      </w:pPr>
      <w:r w:rsidRPr="001D681B">
        <w:rPr>
          <w:rFonts w:asciiTheme="minorHAnsi" w:eastAsia="Arial" w:hAnsiTheme="minorHAnsi" w:cstheme="minorHAnsi"/>
          <w:lang w:val="ro-RO" w:eastAsia="ro-RO"/>
        </w:rPr>
        <w:t>Fondurile externe nerambursabile, gestionate de MDLPA, de la Uniunea Europeană sunt prezentate la secțiunea 4.8.</w:t>
      </w:r>
    </w:p>
    <w:p w:rsidR="001D681B" w:rsidRPr="001D681B" w:rsidRDefault="001D681B" w:rsidP="001D681B">
      <w:pPr>
        <w:spacing w:before="120"/>
        <w:jc w:val="both"/>
        <w:rPr>
          <w:rFonts w:ascii="Calibri" w:eastAsia="Arial" w:hAnsi="Calibri" w:cs="Calibri"/>
          <w:b/>
          <w:sz w:val="20"/>
          <w:szCs w:val="20"/>
          <w:lang w:val="ro-RO" w:eastAsia="ro-RO"/>
        </w:rPr>
      </w:pPr>
    </w:p>
    <w:p w:rsidR="001D681B" w:rsidRPr="00AF3608" w:rsidRDefault="001D681B" w:rsidP="001D681B">
      <w:pPr>
        <w:suppressAutoHyphens/>
        <w:spacing w:before="120"/>
        <w:jc w:val="both"/>
        <w:rPr>
          <w:rFonts w:ascii="Calibri" w:hAnsi="Calibri" w:cs="Calibri"/>
          <w:lang w:val="ro-RO"/>
        </w:rPr>
      </w:pPr>
    </w:p>
    <w:p w:rsidR="003A1656" w:rsidRPr="00AF3608" w:rsidRDefault="003A1656" w:rsidP="002715C2">
      <w:pPr>
        <w:shd w:val="clear" w:color="auto" w:fill="A8D08D" w:themeFill="accent6" w:themeFillTint="99"/>
        <w:spacing w:before="120"/>
        <w:rPr>
          <w:rFonts w:asciiTheme="minorHAnsi" w:hAnsiTheme="minorHAnsi" w:cstheme="minorHAnsi"/>
          <w:b/>
          <w:lang w:val="ro-RO"/>
        </w:rPr>
      </w:pPr>
      <w:r w:rsidRPr="00AF3608">
        <w:rPr>
          <w:rFonts w:asciiTheme="minorHAnsi" w:hAnsiTheme="minorHAnsi" w:cstheme="minorHAnsi"/>
          <w:b/>
          <w:lang w:val="ro-RO"/>
        </w:rPr>
        <w:t>Politica în domeniul agriculturii şi dezvoltării rurale</w:t>
      </w:r>
    </w:p>
    <w:p w:rsidR="005A3E67" w:rsidRPr="00AF3608" w:rsidRDefault="005A3E67" w:rsidP="00B723C0">
      <w:pPr>
        <w:shd w:val="clear" w:color="auto" w:fill="FFFFFF"/>
        <w:spacing w:before="120"/>
        <w:jc w:val="both"/>
        <w:rPr>
          <w:rFonts w:ascii="Calibri" w:hAnsi="Calibri" w:cs="Arial"/>
          <w:b/>
          <w:lang w:val="ro-RO"/>
        </w:rPr>
      </w:pPr>
      <w:r w:rsidRPr="00AF3608">
        <w:rPr>
          <w:rFonts w:ascii="Calibri" w:hAnsi="Calibri" w:cs="Arial"/>
          <w:b/>
          <w:lang w:val="ro-RO"/>
        </w:rPr>
        <w:t>Ministerul Agriculturii și Dezvoltării Rurale</w:t>
      </w:r>
      <w:r w:rsidRPr="00AF3608">
        <w:rPr>
          <w:rFonts w:ascii="Calibri" w:hAnsi="Calibri" w:cs="Arial"/>
          <w:lang w:val="ro-RO"/>
        </w:rPr>
        <w:t xml:space="preserve"> are ca </w:t>
      </w:r>
      <w:r w:rsidRPr="00AF3608">
        <w:rPr>
          <w:rFonts w:ascii="Calibri" w:hAnsi="Calibri" w:cs="Arial"/>
          <w:b/>
          <w:lang w:val="ro-RO"/>
        </w:rPr>
        <w:t>prioritate</w:t>
      </w:r>
      <w:r w:rsidRPr="00AF3608">
        <w:rPr>
          <w:rFonts w:ascii="Calibri" w:hAnsi="Calibri" w:cs="Arial"/>
          <w:lang w:val="ro-RO"/>
        </w:rPr>
        <w:t xml:space="preserve"> elaborarea </w:t>
      </w:r>
      <w:r w:rsidRPr="00AF3608">
        <w:rPr>
          <w:rFonts w:ascii="Calibri" w:hAnsi="Calibri"/>
          <w:lang w:val="ro-RO"/>
        </w:rPr>
        <w:t>și implementarea unor politici agricole adecvate pentru cetățeni și fermieri, pentru sprijinirea creșterii competitivității agroalimentare și a dezvoltării durabile a sectorului rural, în condiții de siguranță alimentară și mediu înconjurător protejat, gestionate de un sector public eficient și responsabil.</w:t>
      </w:r>
    </w:p>
    <w:p w:rsidR="005A3E67" w:rsidRPr="00AF3608" w:rsidRDefault="005A3E67" w:rsidP="00B723C0">
      <w:pPr>
        <w:spacing w:before="120"/>
        <w:jc w:val="both"/>
        <w:rPr>
          <w:rFonts w:ascii="Calibri" w:hAnsi="Calibri" w:cs="Calibri"/>
          <w:b/>
          <w:color w:val="000000"/>
          <w:lang w:val="ro-RO"/>
        </w:rPr>
      </w:pPr>
      <w:r w:rsidRPr="00AF3608">
        <w:rPr>
          <w:rFonts w:ascii="Calibri" w:hAnsi="Calibri" w:cs="Calibri"/>
          <w:b/>
          <w:color w:val="000000"/>
          <w:lang w:val="ro-RO"/>
        </w:rPr>
        <w:t>Bugetul Național</w:t>
      </w:r>
    </w:p>
    <w:p w:rsidR="005A3E67" w:rsidRPr="00AF3608" w:rsidRDefault="005A3E67" w:rsidP="00120AA6">
      <w:pPr>
        <w:numPr>
          <w:ilvl w:val="0"/>
          <w:numId w:val="9"/>
        </w:numPr>
        <w:tabs>
          <w:tab w:val="left" w:pos="450"/>
        </w:tabs>
        <w:spacing w:before="120"/>
        <w:jc w:val="both"/>
        <w:rPr>
          <w:rFonts w:ascii="Calibri" w:eastAsia="Calibri" w:hAnsi="Calibri" w:cs="Calibri"/>
          <w:szCs w:val="22"/>
          <w:lang w:val="ro-RO"/>
        </w:rPr>
      </w:pPr>
      <w:r w:rsidRPr="00AF3608">
        <w:rPr>
          <w:rFonts w:ascii="Calibri" w:eastAsia="Calibri" w:hAnsi="Calibri" w:cs="Calibri"/>
          <w:b/>
          <w:szCs w:val="22"/>
          <w:lang w:val="ro-RO"/>
        </w:rPr>
        <w:t>Ajutor de stat pentru achiziţionarea motorinei cu acciză redusă</w:t>
      </w:r>
    </w:p>
    <w:p w:rsidR="005A3E67" w:rsidRPr="00AF3608" w:rsidRDefault="005A3E67" w:rsidP="00120AA6">
      <w:pPr>
        <w:numPr>
          <w:ilvl w:val="0"/>
          <w:numId w:val="9"/>
        </w:numPr>
        <w:spacing w:before="120"/>
        <w:jc w:val="both"/>
        <w:rPr>
          <w:rFonts w:ascii="Calibri" w:eastAsia="Calibri" w:hAnsi="Calibri" w:cs="Calibri"/>
          <w:lang w:val="ro-RO"/>
        </w:rPr>
      </w:pPr>
      <w:r w:rsidRPr="00AF3608">
        <w:rPr>
          <w:rFonts w:ascii="Calibri" w:eastAsia="Calibri" w:hAnsi="Calibri" w:cs="Calibri"/>
          <w:b/>
          <w:bCs/>
          <w:lang w:val="ro-RO"/>
        </w:rPr>
        <w:t xml:space="preserve">Ajutor de minimis pentru aplicarea programului de susținere a producției de usturoi. </w:t>
      </w:r>
    </w:p>
    <w:p w:rsidR="005A3E67" w:rsidRPr="00AF3608" w:rsidRDefault="005A3E67" w:rsidP="00120AA6">
      <w:pPr>
        <w:numPr>
          <w:ilvl w:val="0"/>
          <w:numId w:val="9"/>
        </w:numPr>
        <w:tabs>
          <w:tab w:val="left" w:pos="450"/>
        </w:tabs>
        <w:spacing w:before="120"/>
        <w:jc w:val="both"/>
        <w:rPr>
          <w:rFonts w:ascii="Calibri" w:eastAsia="Calibri" w:hAnsi="Calibri" w:cs="Calibri"/>
          <w:lang w:val="ro-RO"/>
        </w:rPr>
      </w:pPr>
      <w:r w:rsidRPr="00AF3608">
        <w:rPr>
          <w:rFonts w:ascii="Calibri" w:eastAsia="Calibri" w:hAnsi="Calibri" w:cs="Calibri"/>
          <w:b/>
          <w:bCs/>
          <w:kern w:val="32"/>
          <w:lang w:val="ro-RO"/>
        </w:rPr>
        <w:t>Ajutoare naționale tranzitorii</w:t>
      </w:r>
      <w:r w:rsidRPr="00AF3608">
        <w:rPr>
          <w:rFonts w:ascii="Calibri" w:eastAsia="Calibri" w:hAnsi="Calibri" w:cs="Calibri"/>
          <w:bCs/>
          <w:kern w:val="32"/>
          <w:lang w:val="ro-RO"/>
        </w:rPr>
        <w:t xml:space="preserve"> (ANT) în sectorul vegetal si zootehnic, având ca scop creșterea veniturilor producătorilor agricoli</w:t>
      </w:r>
    </w:p>
    <w:p w:rsidR="005A3E67" w:rsidRPr="00AF3608" w:rsidRDefault="005A3E67" w:rsidP="00120AA6">
      <w:pPr>
        <w:numPr>
          <w:ilvl w:val="0"/>
          <w:numId w:val="9"/>
        </w:numPr>
        <w:tabs>
          <w:tab w:val="left" w:pos="450"/>
        </w:tabs>
        <w:spacing w:before="120"/>
        <w:jc w:val="both"/>
        <w:rPr>
          <w:rFonts w:ascii="Calibri" w:eastAsia="Calibri" w:hAnsi="Calibri" w:cs="Calibri"/>
          <w:lang w:val="ro-RO"/>
        </w:rPr>
      </w:pPr>
      <w:r w:rsidRPr="00AF3608">
        <w:rPr>
          <w:rFonts w:ascii="Calibri" w:eastAsia="Calibri" w:hAnsi="Calibri" w:cs="Calibri"/>
          <w:b/>
          <w:lang w:val="ro-RO"/>
        </w:rPr>
        <w:t>Programul de susţinere a crescătorilor de suine pentru activitatea de reproducţie</w:t>
      </w:r>
      <w:r w:rsidRPr="00AF3608">
        <w:rPr>
          <w:rFonts w:ascii="Calibri" w:eastAsia="Calibri" w:hAnsi="Calibri" w:cs="Calibri"/>
          <w:lang w:val="ro-RO"/>
        </w:rPr>
        <w:t xml:space="preserve"> -schemă de ajutor de stat </w:t>
      </w:r>
    </w:p>
    <w:p w:rsidR="005A3E67" w:rsidRPr="00AF3608" w:rsidRDefault="005A3E67" w:rsidP="00120AA6">
      <w:pPr>
        <w:numPr>
          <w:ilvl w:val="0"/>
          <w:numId w:val="9"/>
        </w:numPr>
        <w:spacing w:before="120"/>
        <w:jc w:val="both"/>
        <w:textAlignment w:val="baseline"/>
        <w:rPr>
          <w:rFonts w:ascii="Calibri" w:eastAsia="Calibri" w:hAnsi="Calibri" w:cs="Calibri"/>
          <w:lang w:val="ro-RO"/>
        </w:rPr>
      </w:pPr>
      <w:r w:rsidRPr="00AF3608">
        <w:rPr>
          <w:rFonts w:ascii="Calibri" w:eastAsia="Calibri" w:hAnsi="Calibri" w:cs="Calibri"/>
          <w:b/>
          <w:lang w:val="ro-RO"/>
        </w:rPr>
        <w:t>Programul de susţinere pentru activitatea de reproducţie, incubaţie şi de creştere în sectorul avicol-</w:t>
      </w:r>
      <w:r w:rsidRPr="00AF3608">
        <w:rPr>
          <w:rFonts w:ascii="Calibri" w:eastAsia="Calibri" w:hAnsi="Calibri" w:cs="Calibri"/>
          <w:lang w:val="ro-RO"/>
        </w:rPr>
        <w:t xml:space="preserve"> schemă de ajutor de stat aprobat prin Legea nr. 227/2018 cu modificările și completările ulterioare. </w:t>
      </w:r>
    </w:p>
    <w:p w:rsidR="005A3E67" w:rsidRPr="00AF3608" w:rsidRDefault="005A3E67" w:rsidP="00120AA6">
      <w:pPr>
        <w:numPr>
          <w:ilvl w:val="0"/>
          <w:numId w:val="9"/>
        </w:numPr>
        <w:spacing w:before="120"/>
        <w:jc w:val="both"/>
        <w:rPr>
          <w:rFonts w:ascii="Calibri" w:eastAsia="Calibri" w:hAnsi="Calibri" w:cs="Calibri"/>
          <w:shd w:val="clear" w:color="auto" w:fill="FFFFFF"/>
          <w:lang w:val="ro-RO"/>
        </w:rPr>
      </w:pPr>
      <w:r w:rsidRPr="00AF3608">
        <w:rPr>
          <w:rFonts w:ascii="Calibri" w:eastAsia="Calibri" w:hAnsi="Calibri" w:cs="Calibri"/>
          <w:b/>
          <w:bCs/>
          <w:lang w:val="ro-RO"/>
        </w:rPr>
        <w:t>Programul de susţinere a crescătorilor de suine din rasele Bazna şi/sau Mangaliţa pentru activitatea de reproducţie</w:t>
      </w:r>
      <w:r w:rsidRPr="00AF3608">
        <w:rPr>
          <w:rFonts w:ascii="Calibri" w:eastAsia="Calibri" w:hAnsi="Calibri" w:cs="Calibri"/>
          <w:b/>
          <w:lang w:val="ro-RO"/>
        </w:rPr>
        <w:t xml:space="preserve"> </w:t>
      </w:r>
      <w:r w:rsidRPr="00AF3608">
        <w:rPr>
          <w:rFonts w:ascii="Calibri" w:eastAsia="Calibri" w:hAnsi="Calibri" w:cs="Calibri"/>
          <w:lang w:val="ro-RO"/>
        </w:rPr>
        <w:t>- schemă de ajutor de stat</w:t>
      </w:r>
      <w:r w:rsidRPr="00AF3608">
        <w:rPr>
          <w:rFonts w:ascii="Calibri" w:eastAsia="Calibri" w:hAnsi="Calibri" w:cs="Calibri"/>
          <w:b/>
          <w:bCs/>
          <w:lang w:val="ro-RO"/>
        </w:rPr>
        <w:t xml:space="preserve"> </w:t>
      </w:r>
    </w:p>
    <w:p w:rsidR="005A3E67" w:rsidRPr="00AF3608" w:rsidRDefault="005A3E67" w:rsidP="00120AA6">
      <w:pPr>
        <w:numPr>
          <w:ilvl w:val="0"/>
          <w:numId w:val="9"/>
        </w:numPr>
        <w:spacing w:before="120"/>
        <w:jc w:val="both"/>
        <w:rPr>
          <w:rFonts w:ascii="Calibri" w:eastAsia="Calibri" w:hAnsi="Calibri" w:cs="Calibri"/>
          <w:shd w:val="clear" w:color="auto" w:fill="FFFFFF"/>
          <w:lang w:val="ro-RO"/>
        </w:rPr>
      </w:pPr>
      <w:r w:rsidRPr="00AF3608">
        <w:rPr>
          <w:rFonts w:ascii="Calibri" w:eastAsia="Calibri" w:hAnsi="Calibri" w:cs="Calibri"/>
          <w:b/>
          <w:bCs/>
          <w:lang w:val="ro-RO"/>
        </w:rPr>
        <w:t xml:space="preserve">Ajutor de stat în sectorul creşterii animalelor, </w:t>
      </w:r>
      <w:r w:rsidRPr="00AF3608">
        <w:rPr>
          <w:rFonts w:ascii="Calibri" w:eastAsia="Calibri" w:hAnsi="Calibri" w:cs="Calibri"/>
          <w:b/>
          <w:lang w:val="ro-RO"/>
        </w:rPr>
        <w:t>în scopul îmbunătăţirii calităţii genetice</w:t>
      </w:r>
      <w:r w:rsidRPr="00AF3608">
        <w:rPr>
          <w:rFonts w:ascii="Calibri" w:eastAsia="Calibri" w:hAnsi="Calibri" w:cs="Calibri"/>
          <w:lang w:val="ro-RO"/>
        </w:rPr>
        <w:t xml:space="preserve"> a efectivelor de animale şi implicit a potențialului de producţie la rasele de animale care au întocmite programe de ameliorare</w:t>
      </w:r>
    </w:p>
    <w:p w:rsidR="005A3E67" w:rsidRPr="00AF3608" w:rsidRDefault="005A3E67" w:rsidP="00120AA6">
      <w:pPr>
        <w:numPr>
          <w:ilvl w:val="0"/>
          <w:numId w:val="9"/>
        </w:numPr>
        <w:spacing w:before="120"/>
        <w:jc w:val="both"/>
        <w:rPr>
          <w:rFonts w:ascii="Calibri" w:eastAsia="Calibri" w:hAnsi="Calibri" w:cs="Calibri"/>
          <w:b/>
          <w:lang w:val="ro-RO"/>
        </w:rPr>
      </w:pPr>
      <w:r w:rsidRPr="00AF3608">
        <w:rPr>
          <w:rFonts w:ascii="Calibri" w:eastAsia="Calibri" w:hAnsi="Calibri" w:cs="Calibri"/>
          <w:b/>
          <w:lang w:val="ro-RO"/>
        </w:rPr>
        <w:t>Ajutor de stat pentru neutralizarea deşeurilor de origine animală</w:t>
      </w:r>
    </w:p>
    <w:p w:rsidR="005A3E67" w:rsidRPr="00AF3608" w:rsidRDefault="005A3E67" w:rsidP="00120AA6">
      <w:pPr>
        <w:numPr>
          <w:ilvl w:val="0"/>
          <w:numId w:val="9"/>
        </w:numPr>
        <w:shd w:val="clear" w:color="auto" w:fill="FFFFFF"/>
        <w:spacing w:before="120"/>
        <w:jc w:val="both"/>
        <w:rPr>
          <w:rFonts w:ascii="Calibri" w:eastAsia="Calibri" w:hAnsi="Calibri" w:cs="Calibri"/>
          <w:b/>
          <w:lang w:val="ro-RO"/>
        </w:rPr>
      </w:pPr>
      <w:r w:rsidRPr="00AF3608">
        <w:rPr>
          <w:rFonts w:ascii="Calibri" w:eastAsia="Calibri" w:hAnsi="Calibri" w:cs="Calibri"/>
          <w:b/>
          <w:lang w:val="ro-RO"/>
        </w:rPr>
        <w:t>Plata cotizațiilor și a serviciilor lingvistice  pentru organizațiile naționale afiliate la organizațiile europene</w:t>
      </w:r>
    </w:p>
    <w:p w:rsidR="005A3E67" w:rsidRPr="00AF3608" w:rsidRDefault="005A3E67" w:rsidP="00120AA6">
      <w:pPr>
        <w:numPr>
          <w:ilvl w:val="0"/>
          <w:numId w:val="9"/>
        </w:numPr>
        <w:shd w:val="clear" w:color="auto" w:fill="FFFFFF"/>
        <w:spacing w:before="120"/>
        <w:jc w:val="both"/>
        <w:rPr>
          <w:rFonts w:ascii="Calibri" w:eastAsia="Calibri" w:hAnsi="Calibri" w:cs="Calibri"/>
          <w:b/>
          <w:lang w:val="ro-RO"/>
        </w:rPr>
      </w:pPr>
      <w:r w:rsidRPr="00AF3608">
        <w:rPr>
          <w:rFonts w:ascii="Calibri" w:eastAsia="Calibri" w:hAnsi="Calibri" w:cs="Calibri"/>
          <w:b/>
          <w:lang w:val="ro-RO"/>
        </w:rPr>
        <w:t xml:space="preserve">Finanțare investiții specifice și cheltuieli materiale necesare funcționării liceelor tehnologice cu profil preponderent agricol </w:t>
      </w:r>
    </w:p>
    <w:p w:rsidR="005A3E67" w:rsidRPr="00AF3608" w:rsidRDefault="005A3E67" w:rsidP="00120AA6">
      <w:pPr>
        <w:numPr>
          <w:ilvl w:val="0"/>
          <w:numId w:val="9"/>
        </w:numPr>
        <w:tabs>
          <w:tab w:val="left" w:pos="0"/>
          <w:tab w:val="left" w:pos="270"/>
        </w:tabs>
        <w:spacing w:before="120"/>
        <w:jc w:val="both"/>
        <w:rPr>
          <w:rFonts w:ascii="Calibri" w:eastAsia="Calibri" w:hAnsi="Calibri" w:cs="Calibri"/>
          <w:b/>
          <w:bCs/>
          <w:lang w:val="ro-RO"/>
        </w:rPr>
      </w:pPr>
      <w:r w:rsidRPr="00AF3608">
        <w:rPr>
          <w:rFonts w:ascii="Calibri" w:eastAsia="Calibri" w:hAnsi="Calibri" w:cs="Calibri"/>
          <w:b/>
          <w:bCs/>
          <w:lang w:val="ro-RO"/>
        </w:rPr>
        <w:lastRenderedPageBreak/>
        <w:t xml:space="preserve">Finanțare Program pentru stimularea angajării tinerilor în sectoarele agricultură, acvacultură şi industria alimentară </w:t>
      </w:r>
    </w:p>
    <w:p w:rsidR="005A3E67" w:rsidRPr="00AF3608" w:rsidRDefault="005A3E67" w:rsidP="00B723C0">
      <w:pPr>
        <w:spacing w:before="120"/>
        <w:jc w:val="both"/>
        <w:rPr>
          <w:rFonts w:asciiTheme="minorHAnsi" w:hAnsiTheme="minorHAnsi" w:cstheme="minorHAnsi"/>
          <w:lang w:val="ro-RO"/>
        </w:rPr>
      </w:pPr>
      <w:r w:rsidRPr="00AF3608">
        <w:rPr>
          <w:rFonts w:asciiTheme="minorHAnsi" w:hAnsiTheme="minorHAnsi" w:cstheme="minorHAnsi"/>
          <w:lang w:val="ro-RO"/>
        </w:rPr>
        <w:t xml:space="preserve">Finantarea agriculturii din fonduri externe nerambursabile primite de la Uniunea Europeană este prezentată la secțiunea 4.8. </w:t>
      </w:r>
    </w:p>
    <w:p w:rsidR="002A507D" w:rsidRPr="00AF3608" w:rsidRDefault="002A507D" w:rsidP="00B723C0">
      <w:pPr>
        <w:spacing w:before="120"/>
        <w:jc w:val="both"/>
        <w:rPr>
          <w:rFonts w:ascii="Calibri" w:eastAsia="Calibri" w:hAnsi="Calibri"/>
          <w:lang w:val="ro-RO"/>
        </w:rPr>
      </w:pPr>
    </w:p>
    <w:p w:rsidR="00B723C0" w:rsidRPr="00AF3608" w:rsidRDefault="00B723C0" w:rsidP="00B723C0">
      <w:pPr>
        <w:spacing w:before="120"/>
        <w:jc w:val="both"/>
        <w:rPr>
          <w:rFonts w:ascii="Calibri" w:eastAsia="Calibri" w:hAnsi="Calibri"/>
          <w:lang w:val="ro-RO"/>
        </w:rPr>
      </w:pPr>
    </w:p>
    <w:p w:rsidR="00B723C0" w:rsidRPr="00AF3608" w:rsidRDefault="00B723C0" w:rsidP="00B723C0">
      <w:pPr>
        <w:shd w:val="clear" w:color="auto" w:fill="A8D08D" w:themeFill="accent6" w:themeFillTint="99"/>
        <w:spacing w:before="120"/>
        <w:jc w:val="both"/>
        <w:rPr>
          <w:rFonts w:ascii="Calibri" w:eastAsia="Calibri" w:hAnsi="Calibri"/>
          <w:b/>
          <w:lang w:val="ro-RO"/>
        </w:rPr>
      </w:pPr>
      <w:r w:rsidRPr="00AF3608">
        <w:rPr>
          <w:rFonts w:ascii="Calibri" w:eastAsia="Calibri" w:hAnsi="Calibri"/>
          <w:b/>
          <w:lang w:val="ro-RO"/>
        </w:rPr>
        <w:t>Bugete locale</w:t>
      </w:r>
    </w:p>
    <w:p w:rsidR="00916374" w:rsidRPr="00B3557F" w:rsidRDefault="00916374" w:rsidP="00916374">
      <w:pPr>
        <w:pStyle w:val="BodyText"/>
        <w:spacing w:before="120" w:after="0"/>
        <w:jc w:val="both"/>
        <w:rPr>
          <w:rFonts w:ascii="Calibri" w:hAnsi="Calibri" w:cs="Arial"/>
          <w:lang w:val="ro-RO"/>
        </w:rPr>
      </w:pPr>
      <w:r w:rsidRPr="00B3557F">
        <w:rPr>
          <w:rFonts w:ascii="Calibri" w:hAnsi="Calibri" w:cs="Arial"/>
          <w:lang w:val="ro-RO"/>
        </w:rPr>
        <w:t>Sumele defalcate din taxa pe valoarea adăugată pentru bugetele locale au fost estimate, pe orizontul de referinţă, în baza legislaţiei în vigoare.</w:t>
      </w:r>
    </w:p>
    <w:p w:rsidR="00916374" w:rsidRPr="00B3557F" w:rsidRDefault="00916374" w:rsidP="00916374">
      <w:pPr>
        <w:pStyle w:val="BodyText"/>
        <w:spacing w:before="120" w:after="0"/>
        <w:jc w:val="both"/>
        <w:rPr>
          <w:rFonts w:ascii="Calibri" w:hAnsi="Calibri" w:cs="Arial"/>
          <w:lang w:val="ro-RO"/>
        </w:rPr>
      </w:pPr>
      <w:r w:rsidRPr="00B3557F">
        <w:rPr>
          <w:rFonts w:ascii="Calibri" w:hAnsi="Calibri" w:cs="Arial"/>
          <w:lang w:val="ro-RO"/>
        </w:rPr>
        <w:t>Începând cu anul 2010, pentru instituirea unor criterii de eficientizare a utilizării fondurilor acordate de la bugetul de stat pentru bugetele locale, pentru cheltuielile curente, sumele defalcate din taxa pe valoarea adăugată au fost fundamentate pe baza standardelor de cost aprobate prin hotărâri ale Guvernului în domeniile învăţământ și servicii sociale.</w:t>
      </w:r>
    </w:p>
    <w:p w:rsidR="00916374" w:rsidRPr="00B3557F" w:rsidRDefault="00916374" w:rsidP="00916374">
      <w:pPr>
        <w:pStyle w:val="BodyText"/>
        <w:spacing w:before="120" w:after="0"/>
        <w:jc w:val="both"/>
        <w:rPr>
          <w:rFonts w:ascii="Calibri" w:hAnsi="Calibri" w:cs="Arial"/>
          <w:b/>
          <w:bCs/>
          <w:lang w:val="ro-RO"/>
        </w:rPr>
      </w:pPr>
      <w:r w:rsidRPr="00B3557F">
        <w:rPr>
          <w:rFonts w:ascii="Calibri" w:hAnsi="Calibri" w:cs="Arial"/>
          <w:b/>
          <w:bCs/>
          <w:lang w:val="ro-RO"/>
        </w:rPr>
        <w:t>Sumele defalcate din taxa pe valoarea adăugată sunt destinate finanțării:</w:t>
      </w:r>
    </w:p>
    <w:p w:rsidR="00916374" w:rsidRPr="00B3557F" w:rsidRDefault="00916374" w:rsidP="003A0B85">
      <w:pPr>
        <w:pStyle w:val="BodyText"/>
        <w:numPr>
          <w:ilvl w:val="0"/>
          <w:numId w:val="93"/>
        </w:numPr>
        <w:shd w:val="clear" w:color="auto" w:fill="F2F2F2" w:themeFill="background1" w:themeFillShade="F2"/>
        <w:spacing w:before="120" w:after="0"/>
        <w:jc w:val="both"/>
        <w:rPr>
          <w:rFonts w:ascii="Calibri" w:hAnsi="Calibri" w:cs="Arial"/>
          <w:b/>
          <w:bCs/>
          <w:lang w:val="ro-RO"/>
        </w:rPr>
      </w:pPr>
      <w:r w:rsidRPr="00B3557F">
        <w:rPr>
          <w:rFonts w:ascii="Calibri" w:hAnsi="Calibri" w:cs="Arial"/>
          <w:b/>
          <w:bCs/>
          <w:lang w:val="ro-RO"/>
        </w:rPr>
        <w:t xml:space="preserve">cheltuielilor descentralizate la nivelul județelor : </w:t>
      </w:r>
    </w:p>
    <w:p w:rsidR="00916374" w:rsidRPr="00B3557F" w:rsidRDefault="00916374" w:rsidP="00916374">
      <w:pPr>
        <w:autoSpaceDE w:val="0"/>
        <w:spacing w:before="120"/>
        <w:jc w:val="both"/>
        <w:rPr>
          <w:rFonts w:ascii="Calibri" w:eastAsia="Arial Narrow" w:hAnsi="Calibri" w:cs="Arial"/>
          <w:lang w:val="ro-RO"/>
        </w:rPr>
      </w:pPr>
      <w:r w:rsidRPr="00B3557F">
        <w:rPr>
          <w:rFonts w:ascii="Calibri" w:hAnsi="Calibri" w:cs="Arial"/>
          <w:lang w:val="ro-RO"/>
        </w:rPr>
        <w:tab/>
        <w:t>a) finanțarea serviciilor sociale din sistemul de protecţie a copilului şi</w:t>
      </w:r>
      <w:r w:rsidRPr="00B3557F">
        <w:rPr>
          <w:rFonts w:ascii="Calibri" w:hAnsi="Calibri" w:cs="Arial Narrow"/>
          <w:lang w:val="ro-RO"/>
        </w:rPr>
        <w:t xml:space="preserve"> a centrelor publice pentru persoane adulte cu handicap</w:t>
      </w:r>
      <w:r w:rsidRPr="00B3557F">
        <w:rPr>
          <w:rFonts w:ascii="Calibri" w:hAnsi="Calibri" w:cs="Arial"/>
          <w:lang w:val="ro-RO"/>
        </w:rPr>
        <w:t>;</w:t>
      </w:r>
    </w:p>
    <w:p w:rsidR="00916374" w:rsidRPr="00B3557F" w:rsidRDefault="00916374" w:rsidP="00916374">
      <w:pPr>
        <w:autoSpaceDE w:val="0"/>
        <w:spacing w:before="120"/>
        <w:jc w:val="both"/>
        <w:rPr>
          <w:rFonts w:ascii="Calibri" w:hAnsi="Calibri" w:cs="Arial"/>
          <w:lang w:val="ro-RO"/>
        </w:rPr>
      </w:pPr>
      <w:r w:rsidRPr="00B3557F">
        <w:rPr>
          <w:rFonts w:ascii="Calibri" w:eastAsia="Arial Narrow" w:hAnsi="Calibri" w:cs="Arial"/>
          <w:lang w:val="ro-RO"/>
        </w:rPr>
        <w:tab/>
        <w:t>b</w:t>
      </w:r>
      <w:r w:rsidRPr="00B3557F">
        <w:rPr>
          <w:rFonts w:ascii="Calibri" w:hAnsi="Calibri" w:cs="Arial"/>
          <w:lang w:val="ro-RO"/>
        </w:rPr>
        <w:t xml:space="preserve">) finanțarea </w:t>
      </w:r>
      <w:r w:rsidRPr="00B3557F">
        <w:rPr>
          <w:rFonts w:ascii="Calibri" w:hAnsi="Calibri" w:cs="Arial"/>
          <w:lang w:val="ro-RO" w:eastAsia="ro-RO"/>
        </w:rPr>
        <w:t>Programului pentru școli al României, în perioada ianuarie-iunie a anului școlar 2020 – 2021, la nivelul sumelor prevăzute în anexele la Hotărârea Guvernului nr. 678/2020 privind stabilirea bugetului pentru implementarea Programului pentru școli al României în perioada 2017 - 2023 pentru anul școlar 2020 - 2021, precum și pentru modificarea şi completarea Hotărârii Guvernului nr. 640/2017 pentru aprobarea Programului pentru școli al României în perioada 2017 - 2023 și pentru stabilirea bugetului pentru implementarea acestuia în anul școlar 2017 – 2018</w:t>
      </w:r>
      <w:r w:rsidRPr="00B3557F">
        <w:rPr>
          <w:rFonts w:ascii="Calibri" w:hAnsi="Calibri" w:cs="Arial"/>
          <w:lang w:val="ro-RO"/>
        </w:rPr>
        <w:t>;</w:t>
      </w:r>
    </w:p>
    <w:p w:rsidR="00916374" w:rsidRPr="00B3557F" w:rsidRDefault="00916374" w:rsidP="00916374">
      <w:pPr>
        <w:autoSpaceDE w:val="0"/>
        <w:spacing w:before="120"/>
        <w:jc w:val="both"/>
        <w:rPr>
          <w:rFonts w:ascii="Calibri" w:hAnsi="Calibri" w:cs="Arial"/>
          <w:lang w:val="ro-RO" w:eastAsia="ro-RO"/>
        </w:rPr>
      </w:pPr>
      <w:r w:rsidRPr="00B3557F">
        <w:rPr>
          <w:rFonts w:ascii="Calibri" w:hAnsi="Calibri" w:cs="Arial"/>
          <w:lang w:val="ro-RO"/>
        </w:rPr>
        <w:tab/>
        <w:t xml:space="preserve">c) </w:t>
      </w:r>
      <w:r w:rsidRPr="00B3557F">
        <w:rPr>
          <w:rFonts w:ascii="Calibri" w:hAnsi="Calibri" w:cs="Arial"/>
          <w:lang w:val="ro-RO" w:eastAsia="ro-RO"/>
        </w:rPr>
        <w:t xml:space="preserve">finanțarea drepturilor copiilor cu cerințe educaționale speciale care frecventează învățământul special, potrivit prevederilor Hotărârii Guvernului nr.564/2017 privind modalitatea de acordare a drepturilor copiilor cu cerințe educaționale speciale școlarizați în sistemul de învățământ preuniversitar, în conformitate cu prevederile lit. A din anexa la Hotărârea Guvernului nr. 904/2014 pentru stabilirea limitelor minime de cheltuieli aferente drepturilor prevăzute de art. 129 alin. (1) din Legea </w:t>
      </w:r>
      <w:r w:rsidRPr="00B3557F">
        <w:rPr>
          <w:rFonts w:ascii="Calibri" w:eastAsia="Calibri" w:hAnsi="Calibri" w:cs="Arial"/>
          <w:lang w:val="ro-RO"/>
        </w:rPr>
        <w:t>educației naționale</w:t>
      </w:r>
      <w:r w:rsidRPr="00B3557F">
        <w:rPr>
          <w:rFonts w:ascii="Calibri" w:hAnsi="Calibri" w:cs="Arial"/>
          <w:lang w:val="ro-RO" w:eastAsia="ro-RO"/>
        </w:rPr>
        <w:t xml:space="preserve"> nr. 272/2004 privind protecția și promovarea drepturilor copilului;</w:t>
      </w:r>
    </w:p>
    <w:p w:rsidR="00916374" w:rsidRPr="00B3557F" w:rsidRDefault="00916374" w:rsidP="00916374">
      <w:pPr>
        <w:autoSpaceDE w:val="0"/>
        <w:autoSpaceDN w:val="0"/>
        <w:adjustRightInd w:val="0"/>
        <w:spacing w:before="120"/>
        <w:jc w:val="both"/>
        <w:rPr>
          <w:rFonts w:ascii="Calibri" w:hAnsi="Calibri" w:cs="Arial"/>
          <w:lang w:val="ro-RO" w:eastAsia="ro-RO"/>
        </w:rPr>
      </w:pPr>
      <w:r w:rsidRPr="00B3557F">
        <w:rPr>
          <w:rFonts w:ascii="Calibri" w:hAnsi="Calibri" w:cs="Arial"/>
          <w:lang w:val="ro-RO"/>
        </w:rPr>
        <w:tab/>
        <w:t xml:space="preserve">d) finanţarea </w:t>
      </w:r>
      <w:r w:rsidRPr="00B3557F">
        <w:rPr>
          <w:rFonts w:ascii="Calibri" w:hAnsi="Calibri" w:cs="Arial"/>
          <w:lang w:val="ro-RO" w:eastAsia="ro-RO"/>
        </w:rPr>
        <w:t xml:space="preserve"> </w:t>
      </w:r>
      <w:r w:rsidRPr="00B3557F">
        <w:rPr>
          <w:rFonts w:ascii="Calibri" w:hAnsi="Calibri" w:cs="Arial"/>
          <w:lang w:val="ro-RO"/>
        </w:rPr>
        <w:t>cheltuielilor cu bunuri şi servicii pentru întreţinerea curentă a unităţilor de învăţământ special şi centrelor judeţene de resurse şi asistenţă educaţională din învăţământul special</w:t>
      </w:r>
      <w:r w:rsidRPr="00B3557F">
        <w:rPr>
          <w:rFonts w:ascii="Calibri" w:hAnsi="Calibri" w:cs="Arial"/>
          <w:lang w:val="ro-RO" w:eastAsia="ro-RO"/>
        </w:rPr>
        <w:t>;</w:t>
      </w:r>
    </w:p>
    <w:p w:rsidR="00916374" w:rsidRPr="00B3557F" w:rsidRDefault="00916374" w:rsidP="00916374">
      <w:pPr>
        <w:autoSpaceDE w:val="0"/>
        <w:spacing w:before="120"/>
        <w:jc w:val="both"/>
        <w:rPr>
          <w:rFonts w:ascii="Calibri" w:hAnsi="Calibri" w:cs="Arial"/>
          <w:lang w:val="ro-RO"/>
        </w:rPr>
      </w:pPr>
      <w:r w:rsidRPr="00B3557F">
        <w:rPr>
          <w:rFonts w:ascii="Calibri" w:hAnsi="Calibri" w:cs="Arial"/>
          <w:lang w:val="ro-RO"/>
        </w:rPr>
        <w:tab/>
        <w:t>e)  finanţarea instituţiilor de cultură descentralizate începând cu anul 2002;</w:t>
      </w:r>
    </w:p>
    <w:p w:rsidR="00916374" w:rsidRPr="00B3557F" w:rsidRDefault="00234961" w:rsidP="00916374">
      <w:pPr>
        <w:autoSpaceDE w:val="0"/>
        <w:spacing w:before="120"/>
        <w:jc w:val="both"/>
        <w:rPr>
          <w:rFonts w:ascii="Calibri" w:hAnsi="Calibri" w:cs="Arial"/>
          <w:lang w:val="ro-RO"/>
        </w:rPr>
      </w:pPr>
      <w:r>
        <w:rPr>
          <w:rFonts w:ascii="Calibri" w:hAnsi="Calibri" w:cs="Arial"/>
          <w:lang w:val="ro-RO"/>
        </w:rPr>
        <w:tab/>
        <w:t xml:space="preserve">f)  </w:t>
      </w:r>
      <w:r w:rsidR="00916374" w:rsidRPr="00B3557F">
        <w:rPr>
          <w:rFonts w:ascii="Calibri" w:hAnsi="Calibri" w:cs="Arial"/>
          <w:lang w:val="ro-RO"/>
        </w:rPr>
        <w:t>plăţii sprijinului sub formă de contribuţii, care va asigura completarea drepturilor salariale neacoperite din fondurile proprii ale unităţilor de cult locale pentru personalul neclerical angajat în unităţile de cult din ţară, potrivit prevederilor art. 9 alin. (1) lit. a) din capitolul III "Culte", lit. E - Secțiunea a 3-a "Sprijinul statului pentru salarizarea personalului neclerical al cultelor recunoscute" din anexa nr. I la Legea-cadru nr.153/2017 privind salarizarea personalului plătit din fonduri publice, cu modificările și completările ulterioare;</w:t>
      </w:r>
    </w:p>
    <w:p w:rsidR="00916374" w:rsidRPr="00B3557F" w:rsidRDefault="00916374" w:rsidP="00916374">
      <w:pPr>
        <w:autoSpaceDE w:val="0"/>
        <w:spacing w:before="120"/>
        <w:jc w:val="both"/>
        <w:rPr>
          <w:rFonts w:ascii="Calibri" w:hAnsi="Calibri" w:cs="Arial"/>
          <w:lang w:val="ro-RO"/>
        </w:rPr>
      </w:pPr>
      <w:r w:rsidRPr="00B3557F">
        <w:rPr>
          <w:rFonts w:ascii="Calibri" w:hAnsi="Calibri" w:cs="Arial"/>
          <w:lang w:val="ro-RO"/>
        </w:rPr>
        <w:tab/>
        <w:t>g) finanţarea serviciilor publice comunitare de evidenţă a persoanelor de sub autoritatea consiliilor judeţene;</w:t>
      </w:r>
    </w:p>
    <w:p w:rsidR="00916374" w:rsidRPr="00B3557F" w:rsidRDefault="00916374" w:rsidP="00916374">
      <w:pPr>
        <w:pStyle w:val="S1"/>
        <w:suppressAutoHyphens/>
        <w:spacing w:before="120"/>
        <w:ind w:left="0" w:right="0" w:firstLine="709"/>
        <w:rPr>
          <w:rFonts w:ascii="Calibri" w:hAnsi="Calibri" w:cs="Arial"/>
          <w:sz w:val="24"/>
          <w:szCs w:val="24"/>
          <w:lang w:val="ro-RO" w:eastAsia="ro-RO"/>
        </w:rPr>
      </w:pPr>
      <w:r w:rsidRPr="00B3557F">
        <w:rPr>
          <w:rFonts w:ascii="Calibri" w:hAnsi="Calibri" w:cs="Arial"/>
          <w:sz w:val="24"/>
          <w:szCs w:val="24"/>
          <w:lang w:val="ro-RO" w:eastAsia="ro-RO"/>
        </w:rPr>
        <w:t>h) finanțarea cheltuielilor de funcționare ale căminelor pentru persoane vârstnice de la nivelul județelor, potrivit prevederilor art.18, alin.(5), lit.c) din Legea nr.17/2000 privind asistența socială a persoanelor vârstnice, republicată, cu modificările și completările ulterioare;</w:t>
      </w:r>
    </w:p>
    <w:p w:rsidR="00916374" w:rsidRPr="00B3557F" w:rsidRDefault="00916374" w:rsidP="00916374">
      <w:pPr>
        <w:pStyle w:val="S1"/>
        <w:suppressAutoHyphens/>
        <w:spacing w:before="120"/>
        <w:ind w:left="0" w:right="0" w:firstLine="709"/>
        <w:rPr>
          <w:rFonts w:ascii="Calibri" w:hAnsi="Calibri" w:cs="Arial"/>
          <w:sz w:val="24"/>
          <w:szCs w:val="24"/>
          <w:lang w:val="ro-RO" w:eastAsia="ro-RO"/>
        </w:rPr>
      </w:pPr>
      <w:r w:rsidRPr="00B3557F">
        <w:rPr>
          <w:rFonts w:ascii="Calibri" w:hAnsi="Calibri" w:cs="Arial"/>
          <w:sz w:val="24"/>
          <w:szCs w:val="24"/>
          <w:lang w:val="ro-RO" w:eastAsia="ro-RO"/>
        </w:rPr>
        <w:lastRenderedPageBreak/>
        <w:t>i) finanțarea drepturilor stabilite de Legea nr. 248/2015 privind stimularea participării în învățământul preșcolar special a copiilor provenind din familii defavorizate, cu modificările și completările ulterioare,</w:t>
      </w:r>
    </w:p>
    <w:p w:rsidR="00916374" w:rsidRPr="00B3557F" w:rsidRDefault="00916374" w:rsidP="00916374">
      <w:pPr>
        <w:pStyle w:val="S1"/>
        <w:suppressAutoHyphens/>
        <w:spacing w:before="120"/>
        <w:ind w:left="0" w:right="0" w:firstLine="709"/>
        <w:rPr>
          <w:rFonts w:ascii="Calibri" w:hAnsi="Calibri" w:cs="Arial"/>
          <w:sz w:val="24"/>
          <w:szCs w:val="24"/>
          <w:lang w:val="ro-RO" w:eastAsia="ro-RO"/>
        </w:rPr>
      </w:pPr>
      <w:r w:rsidRPr="00B3557F">
        <w:rPr>
          <w:rFonts w:ascii="Calibri" w:hAnsi="Calibri" w:cs="Arial"/>
          <w:sz w:val="24"/>
          <w:szCs w:val="24"/>
          <w:lang w:val="ro-RO" w:eastAsia="ro-RO"/>
        </w:rPr>
        <w:t>j)</w:t>
      </w:r>
      <w:r w:rsidRPr="00B3557F">
        <w:rPr>
          <w:sz w:val="28"/>
          <w:szCs w:val="28"/>
          <w:lang w:val="ro-RO"/>
        </w:rPr>
        <w:t xml:space="preserve"> </w:t>
      </w:r>
      <w:r w:rsidRPr="00B3557F">
        <w:rPr>
          <w:rFonts w:ascii="Calibri" w:hAnsi="Calibri"/>
          <w:sz w:val="24"/>
          <w:szCs w:val="24"/>
          <w:lang w:val="ro-RO" w:eastAsia="ro-RO"/>
        </w:rPr>
        <w:t>finanțarea cheltuielilor cu bursele acordate elevilor din învățământul special fundamentate și repartizate pe județe de Ministerul Educației, potrivit prevederilor art.82 și al art.105 din Legea educației naționale nr.1/2011.</w:t>
      </w:r>
    </w:p>
    <w:p w:rsidR="00916374" w:rsidRPr="00B3557F" w:rsidRDefault="00916374" w:rsidP="003A0B85">
      <w:pPr>
        <w:pStyle w:val="BodyText"/>
        <w:numPr>
          <w:ilvl w:val="0"/>
          <w:numId w:val="93"/>
        </w:numPr>
        <w:shd w:val="clear" w:color="auto" w:fill="F2F2F2" w:themeFill="background1" w:themeFillShade="F2"/>
        <w:spacing w:before="120" w:after="0"/>
        <w:jc w:val="both"/>
        <w:rPr>
          <w:rFonts w:ascii="Calibri" w:hAnsi="Calibri" w:cs="Arial"/>
          <w:b/>
          <w:bCs/>
          <w:lang w:val="ro-RO"/>
        </w:rPr>
      </w:pPr>
      <w:r w:rsidRPr="00B3557F">
        <w:rPr>
          <w:rFonts w:ascii="Calibri" w:hAnsi="Calibri" w:cs="Arial"/>
          <w:b/>
          <w:bCs/>
          <w:lang w:val="ro-RO"/>
        </w:rPr>
        <w:t>cheltuielilor descentralizate la nivelul comunelor, oraşelor, municipiilor şi sectoarelor municipiului Bucureşti:</w:t>
      </w:r>
    </w:p>
    <w:p w:rsidR="00916374" w:rsidRPr="00B3557F" w:rsidRDefault="00916374" w:rsidP="00916374">
      <w:pPr>
        <w:autoSpaceDE w:val="0"/>
        <w:autoSpaceDN w:val="0"/>
        <w:adjustRightInd w:val="0"/>
        <w:spacing w:before="120"/>
        <w:jc w:val="both"/>
        <w:rPr>
          <w:rFonts w:ascii="Calibri" w:hAnsi="Calibri" w:cs="Arial"/>
          <w:lang w:val="ro-RO" w:eastAsia="ro-RO"/>
        </w:rPr>
      </w:pPr>
      <w:r w:rsidRPr="00B3557F">
        <w:rPr>
          <w:rFonts w:ascii="Calibri" w:hAnsi="Calibri" w:cs="Arial"/>
          <w:lang w:val="ro-RO"/>
        </w:rPr>
        <w:tab/>
        <w:t xml:space="preserve">a) finanţarea </w:t>
      </w:r>
      <w:r w:rsidRPr="00B3557F">
        <w:rPr>
          <w:rFonts w:ascii="Calibri" w:hAnsi="Calibri" w:cs="Arial"/>
          <w:lang w:val="ro-RO" w:eastAsia="ro-RO"/>
        </w:rPr>
        <w:t>de bază a unităților de învățământ preuniversitar de stat pentru categoriile de cheltuieli prevăzute la art. 104 alin. (2) lit. b) - d) din Legea educației naționale nr. 1/2011, cu modificările și completările ulterioare;</w:t>
      </w:r>
    </w:p>
    <w:p w:rsidR="00916374" w:rsidRPr="00B3557F" w:rsidRDefault="00916374" w:rsidP="00916374">
      <w:pPr>
        <w:pStyle w:val="BodyText"/>
        <w:spacing w:before="120" w:after="0"/>
        <w:jc w:val="both"/>
        <w:rPr>
          <w:rFonts w:ascii="Calibri" w:hAnsi="Calibri" w:cs="Arial"/>
          <w:lang w:val="ro-RO"/>
        </w:rPr>
      </w:pPr>
      <w:r w:rsidRPr="00B3557F">
        <w:rPr>
          <w:rFonts w:ascii="Calibri" w:hAnsi="Calibri" w:cs="Arial"/>
          <w:lang w:val="ro-RO"/>
        </w:rPr>
        <w:tab/>
        <w:t>b) drepturile asistenţilor personali ai persoanelor cu handicap grav sau indemnizaţiilor lunare ale persoanelor cu handicap grav acordate în baza prevederilor art.42 alin.(4) din Legea nr.448/2006 privind protecţia şi promovarea drepturilor persoanelor cu handicap, republicată, cu modificările şi completările ulterioare;</w:t>
      </w:r>
    </w:p>
    <w:p w:rsidR="00916374" w:rsidRPr="00B3557F" w:rsidRDefault="00916374" w:rsidP="00916374">
      <w:pPr>
        <w:pStyle w:val="BodyText"/>
        <w:spacing w:before="120" w:after="0"/>
        <w:jc w:val="both"/>
        <w:rPr>
          <w:rFonts w:ascii="Calibri" w:hAnsi="Calibri" w:cs="Arial"/>
          <w:lang w:val="ro-RO"/>
        </w:rPr>
      </w:pPr>
      <w:r w:rsidRPr="00B3557F">
        <w:rPr>
          <w:rFonts w:ascii="Calibri" w:hAnsi="Calibri" w:cs="Arial"/>
          <w:lang w:val="ro-RO"/>
        </w:rPr>
        <w:tab/>
        <w:t>c) ajutorul pentru încălzirea locuinţei cu lemne, cărbuni şi combustibili petrolieri, pentru beneficiarii de ajutor social;</w:t>
      </w:r>
    </w:p>
    <w:p w:rsidR="00916374" w:rsidRPr="00B3557F" w:rsidRDefault="00916374" w:rsidP="00916374">
      <w:pPr>
        <w:pStyle w:val="BodyText"/>
        <w:spacing w:before="120" w:after="0"/>
        <w:jc w:val="both"/>
        <w:rPr>
          <w:rFonts w:ascii="Calibri" w:hAnsi="Calibri" w:cs="Arial"/>
          <w:lang w:val="ro-RO"/>
        </w:rPr>
      </w:pPr>
      <w:r w:rsidRPr="00B3557F">
        <w:rPr>
          <w:rFonts w:ascii="Calibri" w:hAnsi="Calibri" w:cs="Arial"/>
          <w:lang w:val="ro-RO"/>
        </w:rPr>
        <w:tab/>
        <w:t>d) serviciile publice comunitare de evidenţă a persoanelor de sub autoritatea consiliilor locale ale comunelor, oraşelor, municipiilor, sectoarelor şi Consiliului General al Municipiului Bucureşti;</w:t>
      </w:r>
    </w:p>
    <w:p w:rsidR="00916374" w:rsidRPr="00B3557F" w:rsidRDefault="00916374" w:rsidP="00916374">
      <w:pPr>
        <w:pStyle w:val="S1"/>
        <w:suppressAutoHyphens/>
        <w:spacing w:before="120"/>
        <w:ind w:left="0" w:right="0" w:firstLine="709"/>
        <w:rPr>
          <w:rFonts w:ascii="Calibri" w:hAnsi="Calibri" w:cs="Arial"/>
          <w:sz w:val="24"/>
          <w:szCs w:val="24"/>
          <w:lang w:val="ro-RO" w:eastAsia="ro-RO"/>
        </w:rPr>
      </w:pPr>
      <w:r w:rsidRPr="00B3557F">
        <w:rPr>
          <w:rFonts w:ascii="Calibri" w:hAnsi="Calibri" w:cs="Arial"/>
          <w:sz w:val="24"/>
          <w:szCs w:val="24"/>
          <w:lang w:val="ro-RO" w:eastAsia="ro-RO"/>
        </w:rPr>
        <w:t>e) finanțarea cheltuielilor creșelor;</w:t>
      </w:r>
    </w:p>
    <w:p w:rsidR="00916374" w:rsidRPr="00B3557F" w:rsidRDefault="00916374" w:rsidP="00916374">
      <w:pPr>
        <w:autoSpaceDE w:val="0"/>
        <w:autoSpaceDN w:val="0"/>
        <w:adjustRightInd w:val="0"/>
        <w:spacing w:before="120"/>
        <w:ind w:firstLine="709"/>
        <w:jc w:val="both"/>
        <w:rPr>
          <w:rFonts w:ascii="Calibri" w:hAnsi="Calibri" w:cs="Arial"/>
          <w:lang w:val="ro-RO" w:eastAsia="ro-RO"/>
        </w:rPr>
      </w:pPr>
      <w:r w:rsidRPr="00B3557F">
        <w:rPr>
          <w:rFonts w:ascii="Calibri" w:hAnsi="Calibri" w:cs="Arial"/>
          <w:lang w:val="ro-RO" w:eastAsia="ro-RO"/>
        </w:rPr>
        <w:t xml:space="preserve">f) finanțarea cheltuielilor descentralizate la nivelul sectoarelor și municipiului București, respectiv pentru: </w:t>
      </w:r>
      <w:r w:rsidRPr="00B3557F">
        <w:rPr>
          <w:rFonts w:ascii="Calibri" w:hAnsi="Calibri" w:cs="Arial"/>
          <w:lang w:val="ro-RO"/>
        </w:rPr>
        <w:t xml:space="preserve">serviciile sociale din sistemul de protecţie a copilului, centrele publice pentru persoane adulte cu handicap, finanţarea cheltuielilor determinate de </w:t>
      </w:r>
      <w:r w:rsidRPr="00B3557F">
        <w:rPr>
          <w:rFonts w:ascii="Calibri" w:hAnsi="Calibri" w:cs="Arial"/>
          <w:lang w:val="ro-RO" w:eastAsia="ro-RO"/>
        </w:rPr>
        <w:t>implementarea Programului pentru școli al României, în perioada ianuarie-iunie a anului școlar 2020 – 2021, la nivelul sumelor prevăzute în anexele la Hotărârea Guvernului nr. 678/2020 privind stabilirea bugetului pentru implementarea Programului pentru școli al României în perioada 2017 - 2023 pentru anul școlar 2020 - 2021, precum și pentru modificarea şi completarea Hotărârii Guvernului nr. 640/2017 pentru aprobarea Programului pentru școli al României în perioada 2017 - 2023 și pentru stabilirea bugetului pentru implementarea acestuia în anul școlar 2017 – 2018, cheltuielile cu bunuri</w:t>
      </w:r>
      <w:r w:rsidRPr="00B3557F">
        <w:rPr>
          <w:rFonts w:ascii="Calibri" w:hAnsi="Calibri" w:cs="Arial"/>
          <w:lang w:val="ro-RO"/>
        </w:rPr>
        <w:t xml:space="preserve"> şi servicii pentru întreţinerea curentă a unităţilor de învăţământ special şi centrele de resurse şi asistenţă educaţională, instituţiile de cultură descentralizate începând cu anul 2002 şi plata sprijinului sub formă de contribuţii, care va asigura completarea drepturilor salariale neacoperite din fondurile proprii ale unităţilor de cult locale pentru personalul neclerical angajat în unităţile de cult, potrivit prevederilor art. 9 alin. (1) lit. a) din capitolul III „Culte", lit. E - Secțiunea a 3-a „Sprijinul statului pentru salarizarea personalului neclerical al cultelor recunoscute" din anexa nr. I la Legea-cadru nr. 153/2017, cu modificările și completările ulterioare;</w:t>
      </w:r>
    </w:p>
    <w:p w:rsidR="00916374" w:rsidRPr="00B3557F" w:rsidRDefault="00916374" w:rsidP="00916374">
      <w:pPr>
        <w:pStyle w:val="S1"/>
        <w:suppressAutoHyphens/>
        <w:spacing w:before="120"/>
        <w:ind w:left="0" w:right="0" w:firstLine="709"/>
        <w:rPr>
          <w:rFonts w:ascii="Calibri" w:hAnsi="Calibri" w:cs="Arial"/>
          <w:sz w:val="24"/>
          <w:szCs w:val="24"/>
          <w:lang w:val="ro-RO" w:eastAsia="ro-RO"/>
        </w:rPr>
      </w:pPr>
      <w:r w:rsidRPr="00B3557F">
        <w:rPr>
          <w:rFonts w:ascii="Calibri" w:hAnsi="Calibri" w:cs="Arial"/>
          <w:sz w:val="24"/>
          <w:szCs w:val="24"/>
          <w:lang w:val="ro-RO" w:eastAsia="ro-RO"/>
        </w:rPr>
        <w:t>g) finanțarea drepturilor stabilite de Legea nr. 248/2015 privind stimularea participării în învățământul preșcolar a copiilor provenind din familii defavorizate, cu modificările ulterioare;</w:t>
      </w:r>
    </w:p>
    <w:p w:rsidR="00916374" w:rsidRPr="00B3557F" w:rsidRDefault="00916374" w:rsidP="00916374">
      <w:pPr>
        <w:pStyle w:val="S1"/>
        <w:suppressAutoHyphens/>
        <w:spacing w:before="120"/>
        <w:ind w:left="0" w:right="0" w:firstLine="709"/>
        <w:rPr>
          <w:rFonts w:ascii="Calibri" w:hAnsi="Calibri" w:cs="Arial"/>
          <w:sz w:val="24"/>
          <w:szCs w:val="24"/>
          <w:lang w:val="ro-RO" w:eastAsia="ro-RO"/>
        </w:rPr>
      </w:pPr>
      <w:r w:rsidRPr="00B3557F">
        <w:rPr>
          <w:rFonts w:ascii="Calibri" w:hAnsi="Calibri" w:cs="Arial"/>
          <w:sz w:val="24"/>
          <w:szCs w:val="24"/>
          <w:lang w:val="ro-RO" w:eastAsia="ro-RO"/>
        </w:rPr>
        <w:t>h) finanțarea drepturilor copiilor cu cerințe educaționale speciale integrați în învățământul de masă, potrivit prevederilor Hotărârii Guvernului nr.564/2017 în conformitate cu prevederile lit. A din anexa la Hotărârea Guvernului nr. 904/2014 pentru stabilirea limitelor minime de cheltuieli aferente drepturilor prevăzute de art. 129 alin. (1) din Legea nr. 272/2004 privind protecția și promovarea drepturilor copilului;</w:t>
      </w:r>
    </w:p>
    <w:p w:rsidR="00916374" w:rsidRPr="00B3557F" w:rsidRDefault="00916374" w:rsidP="00916374">
      <w:pPr>
        <w:pStyle w:val="S1"/>
        <w:suppressAutoHyphens/>
        <w:spacing w:before="120"/>
        <w:ind w:left="0" w:right="0" w:firstLine="709"/>
        <w:rPr>
          <w:rFonts w:ascii="Calibri" w:hAnsi="Calibri" w:cs="Arial"/>
          <w:sz w:val="24"/>
          <w:szCs w:val="24"/>
          <w:lang w:val="ro-RO" w:eastAsia="ro-RO"/>
        </w:rPr>
      </w:pPr>
      <w:r>
        <w:rPr>
          <w:rFonts w:ascii="Calibri" w:hAnsi="Calibri" w:cs="Arial"/>
          <w:sz w:val="24"/>
          <w:szCs w:val="24"/>
          <w:lang w:val="ro-RO" w:eastAsia="ro-RO"/>
        </w:rPr>
        <w:t>i)</w:t>
      </w:r>
      <w:r w:rsidRPr="00B3557F">
        <w:rPr>
          <w:rFonts w:ascii="Calibri" w:hAnsi="Calibri" w:cs="Arial"/>
          <w:sz w:val="24"/>
          <w:szCs w:val="24"/>
          <w:lang w:val="ro-RO" w:eastAsia="ro-RO"/>
        </w:rPr>
        <w:t xml:space="preserve"> finanțarea cheltuielilor de funcționare ale căminelor pentru persoane vârstnice de la nivelul comunelor, orașelor, municipiilor, sectoarelor municipiului București și municipiului </w:t>
      </w:r>
      <w:r w:rsidRPr="00B3557F">
        <w:rPr>
          <w:rFonts w:ascii="Calibri" w:hAnsi="Calibri" w:cs="Arial"/>
          <w:sz w:val="24"/>
          <w:szCs w:val="24"/>
          <w:lang w:val="ro-RO" w:eastAsia="ro-RO"/>
        </w:rPr>
        <w:lastRenderedPageBreak/>
        <w:t>București, potrivit prevederilor art.18 alin.(5) lit.c) din Legea nr.17/2000 privind asistența socială a persoanelor vârstnice, republicată, cu modificările și completările ulterioare;</w:t>
      </w:r>
    </w:p>
    <w:p w:rsidR="00916374" w:rsidRPr="00B3557F" w:rsidRDefault="00916374" w:rsidP="00916374">
      <w:pPr>
        <w:pStyle w:val="S1"/>
        <w:suppressAutoHyphens/>
        <w:spacing w:before="120"/>
        <w:ind w:left="0" w:right="0" w:firstLine="709"/>
        <w:rPr>
          <w:rFonts w:ascii="Calibri" w:hAnsi="Calibri" w:cs="Arial"/>
          <w:sz w:val="24"/>
          <w:szCs w:val="24"/>
          <w:lang w:val="ro-RO" w:eastAsia="ro-RO"/>
        </w:rPr>
      </w:pPr>
      <w:r w:rsidRPr="00B3557F">
        <w:rPr>
          <w:rFonts w:ascii="Calibri" w:hAnsi="Calibri" w:cs="Arial"/>
          <w:sz w:val="24"/>
          <w:szCs w:val="24"/>
          <w:lang w:val="ro-RO" w:eastAsia="ro-RO"/>
        </w:rPr>
        <w:t>j) finanțarea cheltuielilor cu bursele acordate elevilor din învățământul de masă fundamentate și repartizate pe județe de Ministerul Educației, potrivit prevederilor art.82 și al art.105 din Legea educației naționale nr.1/2011.</w:t>
      </w:r>
    </w:p>
    <w:p w:rsidR="00916374" w:rsidRPr="00B3557F" w:rsidRDefault="00916374" w:rsidP="003A0B85">
      <w:pPr>
        <w:pStyle w:val="BodyText"/>
        <w:numPr>
          <w:ilvl w:val="0"/>
          <w:numId w:val="93"/>
        </w:numPr>
        <w:shd w:val="clear" w:color="auto" w:fill="F2F2F2" w:themeFill="background1" w:themeFillShade="F2"/>
        <w:spacing w:before="120" w:after="0"/>
        <w:jc w:val="both"/>
        <w:rPr>
          <w:rFonts w:ascii="Calibri" w:hAnsi="Calibri" w:cs="Arial"/>
          <w:b/>
          <w:bCs/>
          <w:lang w:val="ro-RO"/>
        </w:rPr>
      </w:pPr>
      <w:r w:rsidRPr="00B3557F">
        <w:rPr>
          <w:rFonts w:ascii="Calibri" w:hAnsi="Calibri" w:cs="Arial"/>
          <w:b/>
          <w:bCs/>
          <w:lang w:val="ro-RO"/>
        </w:rPr>
        <w:t>finanţarea cheltuielilor privind drumurile judeţene şi comunale;</w:t>
      </w:r>
    </w:p>
    <w:p w:rsidR="00916374" w:rsidRPr="00B3557F" w:rsidRDefault="00916374" w:rsidP="00916374">
      <w:pPr>
        <w:pStyle w:val="BodyText"/>
        <w:spacing w:before="120" w:after="0"/>
        <w:ind w:left="720"/>
        <w:jc w:val="both"/>
        <w:rPr>
          <w:rFonts w:ascii="Calibri" w:hAnsi="Calibri" w:cs="Arial"/>
          <w:b/>
          <w:bCs/>
          <w:lang w:val="ro-RO"/>
        </w:rPr>
      </w:pPr>
    </w:p>
    <w:p w:rsidR="00916374" w:rsidRPr="00B3557F" w:rsidRDefault="00916374" w:rsidP="003A0B85">
      <w:pPr>
        <w:pStyle w:val="BodyText"/>
        <w:numPr>
          <w:ilvl w:val="0"/>
          <w:numId w:val="93"/>
        </w:numPr>
        <w:shd w:val="clear" w:color="auto" w:fill="F2F2F2" w:themeFill="background1" w:themeFillShade="F2"/>
        <w:spacing w:before="120" w:after="0"/>
        <w:jc w:val="both"/>
        <w:rPr>
          <w:rFonts w:ascii="Calibri" w:hAnsi="Calibri" w:cs="Arial"/>
          <w:b/>
          <w:bCs/>
          <w:lang w:val="ro-RO"/>
        </w:rPr>
      </w:pPr>
      <w:r w:rsidRPr="00B3557F">
        <w:rPr>
          <w:rFonts w:ascii="Calibri" w:hAnsi="Calibri" w:cs="Arial"/>
          <w:b/>
          <w:bCs/>
          <w:lang w:val="ro-RO"/>
        </w:rPr>
        <w:t>echilibrarea bugetelor locale ale comunelor, oraşelor, municipiilor şi judeţelor;</w:t>
      </w:r>
    </w:p>
    <w:p w:rsidR="00916374" w:rsidRPr="00B3557F" w:rsidRDefault="00916374" w:rsidP="00916374">
      <w:pPr>
        <w:pStyle w:val="BodyText"/>
        <w:spacing w:before="120" w:after="0"/>
        <w:ind w:left="720"/>
        <w:jc w:val="both"/>
        <w:rPr>
          <w:rFonts w:ascii="Calibri" w:hAnsi="Calibri" w:cs="Arial"/>
          <w:b/>
          <w:bCs/>
          <w:lang w:val="ro-RO"/>
        </w:rPr>
      </w:pPr>
    </w:p>
    <w:p w:rsidR="00916374" w:rsidRPr="00B3557F" w:rsidRDefault="00916374" w:rsidP="003A0B85">
      <w:pPr>
        <w:pStyle w:val="BodyText"/>
        <w:numPr>
          <w:ilvl w:val="0"/>
          <w:numId w:val="93"/>
        </w:numPr>
        <w:shd w:val="clear" w:color="auto" w:fill="F2F2F2" w:themeFill="background1" w:themeFillShade="F2"/>
        <w:spacing w:before="120" w:after="0"/>
        <w:jc w:val="both"/>
        <w:rPr>
          <w:rFonts w:ascii="Calibri" w:hAnsi="Calibri" w:cs="Arial"/>
          <w:lang w:val="ro-RO"/>
        </w:rPr>
      </w:pPr>
      <w:r w:rsidRPr="00916374">
        <w:rPr>
          <w:rFonts w:ascii="Calibri" w:hAnsi="Calibri" w:cs="Arial"/>
          <w:b/>
          <w:bCs/>
          <w:shd w:val="clear" w:color="auto" w:fill="F2F2F2" w:themeFill="background1" w:themeFillShade="F2"/>
          <w:lang w:val="ro-RO"/>
        </w:rPr>
        <w:t xml:space="preserve">finanțarea învățământului particular </w:t>
      </w:r>
      <w:r w:rsidRPr="00916374">
        <w:rPr>
          <w:rFonts w:ascii="Calibri" w:eastAsia="Calibri" w:hAnsi="Calibri" w:cs="Arial"/>
          <w:b/>
          <w:shd w:val="clear" w:color="auto" w:fill="F2F2F2" w:themeFill="background1" w:themeFillShade="F2"/>
          <w:lang w:val="ro-RO"/>
        </w:rPr>
        <w:t>și cel confesional, acreditate</w:t>
      </w:r>
      <w:r w:rsidRPr="00916374">
        <w:rPr>
          <w:rFonts w:ascii="Calibri" w:hAnsi="Calibri" w:cs="Arial"/>
          <w:b/>
          <w:bCs/>
          <w:shd w:val="clear" w:color="auto" w:fill="F2F2F2" w:themeFill="background1" w:themeFillShade="F2"/>
          <w:lang w:val="ro-RO"/>
        </w:rPr>
        <w:t>.</w:t>
      </w:r>
    </w:p>
    <w:p w:rsidR="00916374" w:rsidRPr="00B3557F" w:rsidRDefault="00916374" w:rsidP="00916374">
      <w:pPr>
        <w:pStyle w:val="BodyText"/>
        <w:spacing w:before="120" w:after="0"/>
        <w:ind w:left="720"/>
        <w:jc w:val="both"/>
        <w:rPr>
          <w:rFonts w:ascii="Calibri" w:hAnsi="Calibri" w:cs="Arial"/>
          <w:lang w:val="ro-RO"/>
        </w:rPr>
      </w:pPr>
    </w:p>
    <w:p w:rsidR="00916374" w:rsidRPr="00B3557F" w:rsidRDefault="00916374" w:rsidP="00916374">
      <w:pPr>
        <w:pStyle w:val="BodyText"/>
        <w:spacing w:before="120" w:after="0"/>
        <w:jc w:val="both"/>
        <w:rPr>
          <w:rFonts w:ascii="Calibri" w:hAnsi="Calibri" w:cs="Arial"/>
          <w:lang w:val="ro-RO"/>
        </w:rPr>
      </w:pPr>
      <w:r w:rsidRPr="00B3557F">
        <w:rPr>
          <w:rFonts w:ascii="Calibri" w:hAnsi="Calibri" w:cs="Arial"/>
          <w:lang w:val="ro-RO"/>
        </w:rPr>
        <w:t>Impozitul pe venit cuvenit bugetelor locale ale unităților administrativ-teritoriale, sumele defalcate din taxa pe valoarea adăugată pentru bugetele locale, precum şi subvenţiile alocate de la bugetul de stat pentru finanțarea unor cheltuieli din bugetele componente ale bugetului general centralizat al unităților administrativ-teritoriale, prin bugetele unor ministere, sunt pre</w:t>
      </w:r>
      <w:r>
        <w:rPr>
          <w:rFonts w:ascii="Calibri" w:hAnsi="Calibri" w:cs="Arial"/>
          <w:lang w:val="ro-RO"/>
        </w:rPr>
        <w:t xml:space="preserve">zentată în tabelul de mai jos: </w:t>
      </w:r>
    </w:p>
    <w:p w:rsidR="00916374" w:rsidRPr="00B3557F" w:rsidRDefault="00916374" w:rsidP="003A0B85">
      <w:pPr>
        <w:pStyle w:val="BodyText"/>
        <w:numPr>
          <w:ilvl w:val="0"/>
          <w:numId w:val="93"/>
        </w:numPr>
        <w:spacing w:after="0" w:line="269" w:lineRule="auto"/>
        <w:jc w:val="right"/>
        <w:rPr>
          <w:rFonts w:ascii="Calibri" w:hAnsi="Calibri" w:cs="Arial"/>
          <w:lang w:val="ro-RO"/>
        </w:rPr>
      </w:pPr>
      <w:r w:rsidRPr="00B3557F">
        <w:rPr>
          <w:rFonts w:ascii="Calibri" w:hAnsi="Calibri" w:cs="Arial"/>
          <w:lang w:val="ro-RO"/>
        </w:rPr>
        <w:t>mii lei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134"/>
        <w:gridCol w:w="1276"/>
        <w:gridCol w:w="1275"/>
        <w:gridCol w:w="1134"/>
        <w:gridCol w:w="1134"/>
        <w:gridCol w:w="1134"/>
      </w:tblGrid>
      <w:tr w:rsidR="00916374" w:rsidRPr="00B3557F" w:rsidTr="001D681B">
        <w:trPr>
          <w:trHeight w:val="448"/>
        </w:trPr>
        <w:tc>
          <w:tcPr>
            <w:tcW w:w="1980" w:type="dxa"/>
            <w:vMerge w:val="restart"/>
            <w:shd w:val="clear" w:color="auto" w:fill="auto"/>
            <w:hideMark/>
          </w:tcPr>
          <w:p w:rsidR="00916374" w:rsidRPr="00B3557F" w:rsidRDefault="00916374" w:rsidP="001D681B">
            <w:pPr>
              <w:pStyle w:val="BodyText"/>
              <w:spacing w:line="269" w:lineRule="auto"/>
              <w:jc w:val="both"/>
              <w:rPr>
                <w:rFonts w:ascii="Arial" w:hAnsi="Arial" w:cs="Arial"/>
                <w:bCs/>
                <w:sz w:val="16"/>
                <w:szCs w:val="16"/>
                <w:lang w:val="ro-RO"/>
              </w:rPr>
            </w:pPr>
            <w:r w:rsidRPr="00B3557F">
              <w:rPr>
                <w:rFonts w:ascii="Arial" w:hAnsi="Arial" w:cs="Arial"/>
                <w:bCs/>
                <w:sz w:val="16"/>
                <w:szCs w:val="16"/>
                <w:lang w:val="ro-RO"/>
              </w:rPr>
              <w:t>Denumirea indicatorilor</w:t>
            </w:r>
          </w:p>
        </w:tc>
        <w:tc>
          <w:tcPr>
            <w:tcW w:w="1134" w:type="dxa"/>
            <w:vMerge w:val="restart"/>
            <w:shd w:val="clear" w:color="auto" w:fill="auto"/>
            <w:hideMark/>
          </w:tcPr>
          <w:p w:rsidR="00916374" w:rsidRPr="00B3557F" w:rsidRDefault="00916374" w:rsidP="001D681B">
            <w:pPr>
              <w:pStyle w:val="BodyText"/>
              <w:spacing w:line="269" w:lineRule="auto"/>
              <w:jc w:val="center"/>
              <w:rPr>
                <w:rFonts w:ascii="Arial" w:hAnsi="Arial" w:cs="Arial"/>
                <w:bCs/>
                <w:sz w:val="16"/>
                <w:szCs w:val="16"/>
                <w:lang w:val="ro-RO"/>
              </w:rPr>
            </w:pPr>
            <w:r>
              <w:rPr>
                <w:rFonts w:ascii="Arial" w:hAnsi="Arial" w:cs="Arial"/>
                <w:bCs/>
                <w:sz w:val="16"/>
                <w:szCs w:val="16"/>
                <w:lang w:val="ro-RO"/>
              </w:rPr>
              <w:t>Execuție</w:t>
            </w:r>
            <w:r w:rsidRPr="00B3557F">
              <w:rPr>
                <w:rFonts w:ascii="Arial" w:hAnsi="Arial" w:cs="Arial"/>
                <w:bCs/>
                <w:sz w:val="16"/>
                <w:szCs w:val="16"/>
                <w:lang w:val="ro-RO"/>
              </w:rPr>
              <w:t xml:space="preserve"> 2019</w:t>
            </w:r>
          </w:p>
        </w:tc>
        <w:tc>
          <w:tcPr>
            <w:tcW w:w="1276" w:type="dxa"/>
            <w:vMerge w:val="restart"/>
            <w:shd w:val="clear" w:color="auto" w:fill="auto"/>
            <w:hideMark/>
          </w:tcPr>
          <w:p w:rsidR="00916374" w:rsidRPr="00B3557F" w:rsidRDefault="00916374" w:rsidP="001D681B">
            <w:pPr>
              <w:pStyle w:val="BodyText"/>
              <w:spacing w:line="269" w:lineRule="auto"/>
              <w:jc w:val="center"/>
              <w:rPr>
                <w:rFonts w:ascii="Arial" w:hAnsi="Arial" w:cs="Arial"/>
                <w:bCs/>
                <w:sz w:val="16"/>
                <w:szCs w:val="16"/>
                <w:lang w:val="ro-RO"/>
              </w:rPr>
            </w:pPr>
            <w:r w:rsidRPr="00B3557F">
              <w:rPr>
                <w:rFonts w:ascii="Arial" w:hAnsi="Arial" w:cs="Arial"/>
                <w:bCs/>
                <w:sz w:val="16"/>
                <w:szCs w:val="16"/>
                <w:lang w:val="ro-RO"/>
              </w:rPr>
              <w:t>2020 Buget (LBS 5/2020)</w:t>
            </w:r>
          </w:p>
        </w:tc>
        <w:tc>
          <w:tcPr>
            <w:tcW w:w="1275" w:type="dxa"/>
            <w:vMerge w:val="restart"/>
            <w:shd w:val="clear" w:color="auto" w:fill="auto"/>
            <w:hideMark/>
          </w:tcPr>
          <w:p w:rsidR="00916374" w:rsidRPr="00B3557F" w:rsidRDefault="00916374" w:rsidP="001D681B">
            <w:pPr>
              <w:pStyle w:val="BodyText"/>
              <w:spacing w:line="269" w:lineRule="auto"/>
              <w:jc w:val="center"/>
              <w:rPr>
                <w:rFonts w:ascii="Arial" w:hAnsi="Arial" w:cs="Arial"/>
                <w:bCs/>
                <w:sz w:val="16"/>
                <w:szCs w:val="16"/>
                <w:lang w:val="ro-RO"/>
              </w:rPr>
            </w:pPr>
            <w:r w:rsidRPr="00B3557F">
              <w:rPr>
                <w:rFonts w:ascii="Arial" w:hAnsi="Arial" w:cs="Arial"/>
                <w:bCs/>
                <w:sz w:val="16"/>
                <w:szCs w:val="16"/>
                <w:lang w:val="ro-RO"/>
              </w:rPr>
              <w:t>Propunere Buget  2021</w:t>
            </w:r>
          </w:p>
        </w:tc>
        <w:tc>
          <w:tcPr>
            <w:tcW w:w="1134" w:type="dxa"/>
            <w:vMerge w:val="restart"/>
            <w:shd w:val="clear" w:color="auto" w:fill="auto"/>
            <w:hideMark/>
          </w:tcPr>
          <w:p w:rsidR="00916374" w:rsidRPr="00B3557F" w:rsidRDefault="00916374" w:rsidP="001D681B">
            <w:pPr>
              <w:pStyle w:val="BodyText"/>
              <w:spacing w:line="269" w:lineRule="auto"/>
              <w:jc w:val="center"/>
              <w:rPr>
                <w:rFonts w:ascii="Arial" w:hAnsi="Arial" w:cs="Arial"/>
                <w:bCs/>
                <w:sz w:val="16"/>
                <w:szCs w:val="16"/>
                <w:lang w:val="ro-RO"/>
              </w:rPr>
            </w:pPr>
            <w:r w:rsidRPr="00B3557F">
              <w:rPr>
                <w:rFonts w:ascii="Arial" w:hAnsi="Arial" w:cs="Arial"/>
                <w:bCs/>
                <w:sz w:val="16"/>
                <w:szCs w:val="16"/>
                <w:lang w:val="ro-RO"/>
              </w:rPr>
              <w:t>Estimări 2022</w:t>
            </w:r>
          </w:p>
        </w:tc>
        <w:tc>
          <w:tcPr>
            <w:tcW w:w="1134" w:type="dxa"/>
            <w:vMerge w:val="restart"/>
            <w:shd w:val="clear" w:color="auto" w:fill="auto"/>
            <w:hideMark/>
          </w:tcPr>
          <w:p w:rsidR="00916374" w:rsidRPr="00B3557F" w:rsidRDefault="00916374" w:rsidP="001D681B">
            <w:pPr>
              <w:pStyle w:val="BodyText"/>
              <w:spacing w:line="269" w:lineRule="auto"/>
              <w:jc w:val="center"/>
              <w:rPr>
                <w:rFonts w:ascii="Arial" w:hAnsi="Arial" w:cs="Arial"/>
                <w:bCs/>
                <w:sz w:val="16"/>
                <w:szCs w:val="16"/>
                <w:lang w:val="ro-RO"/>
              </w:rPr>
            </w:pPr>
            <w:r w:rsidRPr="00B3557F">
              <w:rPr>
                <w:rFonts w:ascii="Arial" w:hAnsi="Arial" w:cs="Arial"/>
                <w:bCs/>
                <w:sz w:val="16"/>
                <w:szCs w:val="16"/>
                <w:lang w:val="ro-RO"/>
              </w:rPr>
              <w:t>Estimări 2023</w:t>
            </w:r>
          </w:p>
        </w:tc>
        <w:tc>
          <w:tcPr>
            <w:tcW w:w="1134" w:type="dxa"/>
            <w:vMerge w:val="restart"/>
            <w:shd w:val="clear" w:color="auto" w:fill="auto"/>
            <w:hideMark/>
          </w:tcPr>
          <w:p w:rsidR="00916374" w:rsidRPr="00B3557F" w:rsidRDefault="00916374" w:rsidP="001D681B">
            <w:pPr>
              <w:pStyle w:val="BodyText"/>
              <w:spacing w:line="269" w:lineRule="auto"/>
              <w:jc w:val="center"/>
              <w:rPr>
                <w:rFonts w:ascii="Arial" w:hAnsi="Arial" w:cs="Arial"/>
                <w:bCs/>
                <w:sz w:val="16"/>
                <w:szCs w:val="16"/>
                <w:lang w:val="ro-RO"/>
              </w:rPr>
            </w:pPr>
            <w:r w:rsidRPr="00B3557F">
              <w:rPr>
                <w:rFonts w:ascii="Arial" w:hAnsi="Arial" w:cs="Arial"/>
                <w:bCs/>
                <w:sz w:val="16"/>
                <w:szCs w:val="16"/>
                <w:lang w:val="ro-RO"/>
              </w:rPr>
              <w:t>Estimări 2024</w:t>
            </w:r>
          </w:p>
        </w:tc>
      </w:tr>
      <w:tr w:rsidR="00916374" w:rsidRPr="00B3557F" w:rsidTr="001D681B">
        <w:trPr>
          <w:trHeight w:val="544"/>
        </w:trPr>
        <w:tc>
          <w:tcPr>
            <w:tcW w:w="1980" w:type="dxa"/>
            <w:vMerge/>
            <w:shd w:val="clear" w:color="auto" w:fill="auto"/>
            <w:hideMark/>
          </w:tcPr>
          <w:p w:rsidR="00916374" w:rsidRPr="00B3557F" w:rsidRDefault="00916374" w:rsidP="001D681B">
            <w:pPr>
              <w:pStyle w:val="BodyText"/>
              <w:spacing w:line="269" w:lineRule="auto"/>
              <w:jc w:val="both"/>
              <w:rPr>
                <w:rFonts w:ascii="Arial" w:hAnsi="Arial" w:cs="Arial"/>
                <w:bCs/>
                <w:sz w:val="16"/>
                <w:szCs w:val="16"/>
                <w:lang w:val="ro-RO"/>
              </w:rPr>
            </w:pPr>
          </w:p>
        </w:tc>
        <w:tc>
          <w:tcPr>
            <w:tcW w:w="1134" w:type="dxa"/>
            <w:vMerge/>
            <w:shd w:val="clear" w:color="auto" w:fill="auto"/>
            <w:hideMark/>
          </w:tcPr>
          <w:p w:rsidR="00916374" w:rsidRPr="00B3557F" w:rsidRDefault="00916374" w:rsidP="001D681B">
            <w:pPr>
              <w:pStyle w:val="BodyText"/>
              <w:spacing w:line="269" w:lineRule="auto"/>
              <w:jc w:val="both"/>
              <w:rPr>
                <w:rFonts w:ascii="Arial" w:hAnsi="Arial" w:cs="Arial"/>
                <w:bCs/>
                <w:sz w:val="16"/>
                <w:szCs w:val="16"/>
                <w:lang w:val="ro-RO"/>
              </w:rPr>
            </w:pPr>
          </w:p>
        </w:tc>
        <w:tc>
          <w:tcPr>
            <w:tcW w:w="1276" w:type="dxa"/>
            <w:vMerge/>
            <w:shd w:val="clear" w:color="auto" w:fill="auto"/>
            <w:hideMark/>
          </w:tcPr>
          <w:p w:rsidR="00916374" w:rsidRPr="00B3557F" w:rsidRDefault="00916374" w:rsidP="001D681B">
            <w:pPr>
              <w:pStyle w:val="BodyText"/>
              <w:spacing w:line="269" w:lineRule="auto"/>
              <w:jc w:val="both"/>
              <w:rPr>
                <w:rFonts w:ascii="Arial" w:hAnsi="Arial" w:cs="Arial"/>
                <w:bCs/>
                <w:sz w:val="16"/>
                <w:szCs w:val="16"/>
                <w:lang w:val="ro-RO"/>
              </w:rPr>
            </w:pPr>
          </w:p>
        </w:tc>
        <w:tc>
          <w:tcPr>
            <w:tcW w:w="1275" w:type="dxa"/>
            <w:vMerge/>
            <w:shd w:val="clear" w:color="auto" w:fill="auto"/>
            <w:hideMark/>
          </w:tcPr>
          <w:p w:rsidR="00916374" w:rsidRPr="00B3557F" w:rsidRDefault="00916374" w:rsidP="001D681B">
            <w:pPr>
              <w:pStyle w:val="BodyText"/>
              <w:spacing w:line="269" w:lineRule="auto"/>
              <w:jc w:val="both"/>
              <w:rPr>
                <w:rFonts w:ascii="Arial" w:hAnsi="Arial" w:cs="Arial"/>
                <w:bCs/>
                <w:sz w:val="16"/>
                <w:szCs w:val="16"/>
                <w:lang w:val="ro-RO"/>
              </w:rPr>
            </w:pPr>
          </w:p>
        </w:tc>
        <w:tc>
          <w:tcPr>
            <w:tcW w:w="1134" w:type="dxa"/>
            <w:vMerge/>
            <w:shd w:val="clear" w:color="auto" w:fill="auto"/>
            <w:hideMark/>
          </w:tcPr>
          <w:p w:rsidR="00916374" w:rsidRPr="00B3557F" w:rsidRDefault="00916374" w:rsidP="001D681B">
            <w:pPr>
              <w:pStyle w:val="BodyText"/>
              <w:spacing w:line="269" w:lineRule="auto"/>
              <w:jc w:val="both"/>
              <w:rPr>
                <w:rFonts w:ascii="Arial" w:hAnsi="Arial" w:cs="Arial"/>
                <w:bCs/>
                <w:sz w:val="16"/>
                <w:szCs w:val="16"/>
                <w:lang w:val="ro-RO"/>
              </w:rPr>
            </w:pPr>
          </w:p>
        </w:tc>
        <w:tc>
          <w:tcPr>
            <w:tcW w:w="1134" w:type="dxa"/>
            <w:vMerge/>
            <w:shd w:val="clear" w:color="auto" w:fill="auto"/>
            <w:hideMark/>
          </w:tcPr>
          <w:p w:rsidR="00916374" w:rsidRPr="00B3557F" w:rsidRDefault="00916374" w:rsidP="001D681B">
            <w:pPr>
              <w:pStyle w:val="BodyText"/>
              <w:spacing w:line="269" w:lineRule="auto"/>
              <w:jc w:val="both"/>
              <w:rPr>
                <w:rFonts w:ascii="Arial" w:hAnsi="Arial" w:cs="Arial"/>
                <w:bCs/>
                <w:sz w:val="16"/>
                <w:szCs w:val="16"/>
                <w:lang w:val="ro-RO"/>
              </w:rPr>
            </w:pPr>
          </w:p>
        </w:tc>
        <w:tc>
          <w:tcPr>
            <w:tcW w:w="1134" w:type="dxa"/>
            <w:vMerge/>
            <w:shd w:val="clear" w:color="auto" w:fill="auto"/>
            <w:hideMark/>
          </w:tcPr>
          <w:p w:rsidR="00916374" w:rsidRPr="00B3557F" w:rsidRDefault="00916374" w:rsidP="001D681B">
            <w:pPr>
              <w:pStyle w:val="BodyText"/>
              <w:spacing w:line="269" w:lineRule="auto"/>
              <w:jc w:val="both"/>
              <w:rPr>
                <w:rFonts w:ascii="Arial" w:hAnsi="Arial" w:cs="Arial"/>
                <w:bCs/>
                <w:sz w:val="16"/>
                <w:szCs w:val="16"/>
                <w:lang w:val="ro-RO"/>
              </w:rPr>
            </w:pPr>
          </w:p>
        </w:tc>
      </w:tr>
      <w:tr w:rsidR="00916374" w:rsidRPr="00B3557F" w:rsidTr="001D681B">
        <w:trPr>
          <w:trHeight w:val="255"/>
        </w:trPr>
        <w:tc>
          <w:tcPr>
            <w:tcW w:w="1980" w:type="dxa"/>
            <w:shd w:val="clear" w:color="auto" w:fill="auto"/>
            <w:hideMark/>
          </w:tcPr>
          <w:p w:rsidR="00916374" w:rsidRPr="00B3557F" w:rsidRDefault="00916374" w:rsidP="001D681B">
            <w:pPr>
              <w:pStyle w:val="BodyText"/>
              <w:spacing w:line="269" w:lineRule="auto"/>
              <w:jc w:val="both"/>
              <w:rPr>
                <w:rFonts w:ascii="Arial" w:hAnsi="Arial" w:cs="Arial"/>
                <w:bCs/>
                <w:sz w:val="16"/>
                <w:szCs w:val="16"/>
                <w:lang w:val="ro-RO"/>
              </w:rPr>
            </w:pPr>
            <w:r w:rsidRPr="00B3557F">
              <w:rPr>
                <w:rFonts w:ascii="Arial" w:hAnsi="Arial" w:cs="Arial"/>
                <w:bCs/>
                <w:sz w:val="16"/>
                <w:szCs w:val="16"/>
                <w:lang w:val="ro-RO"/>
              </w:rPr>
              <w:t> </w:t>
            </w:r>
          </w:p>
        </w:tc>
        <w:tc>
          <w:tcPr>
            <w:tcW w:w="1134" w:type="dxa"/>
            <w:shd w:val="clear" w:color="auto" w:fill="auto"/>
            <w:hideMark/>
          </w:tcPr>
          <w:p w:rsidR="00916374" w:rsidRPr="00B3557F" w:rsidRDefault="00916374" w:rsidP="001D681B">
            <w:pPr>
              <w:pStyle w:val="BodyText"/>
              <w:spacing w:line="269" w:lineRule="auto"/>
              <w:jc w:val="center"/>
              <w:rPr>
                <w:rFonts w:ascii="Arial" w:hAnsi="Arial" w:cs="Arial"/>
                <w:sz w:val="16"/>
                <w:szCs w:val="16"/>
                <w:lang w:val="ro-RO"/>
              </w:rPr>
            </w:pPr>
            <w:r w:rsidRPr="00B3557F">
              <w:rPr>
                <w:rFonts w:ascii="Arial" w:hAnsi="Arial" w:cs="Arial"/>
                <w:sz w:val="16"/>
                <w:szCs w:val="16"/>
                <w:lang w:val="ro-RO"/>
              </w:rPr>
              <w:t>1</w:t>
            </w:r>
          </w:p>
        </w:tc>
        <w:tc>
          <w:tcPr>
            <w:tcW w:w="1276" w:type="dxa"/>
            <w:shd w:val="clear" w:color="auto" w:fill="auto"/>
            <w:hideMark/>
          </w:tcPr>
          <w:p w:rsidR="00916374" w:rsidRPr="00B3557F" w:rsidRDefault="00916374" w:rsidP="001D681B">
            <w:pPr>
              <w:pStyle w:val="BodyText"/>
              <w:spacing w:line="269" w:lineRule="auto"/>
              <w:jc w:val="center"/>
              <w:rPr>
                <w:rFonts w:ascii="Arial" w:hAnsi="Arial" w:cs="Arial"/>
                <w:sz w:val="16"/>
                <w:szCs w:val="16"/>
                <w:lang w:val="ro-RO"/>
              </w:rPr>
            </w:pPr>
            <w:r w:rsidRPr="00B3557F">
              <w:rPr>
                <w:rFonts w:ascii="Arial" w:hAnsi="Arial" w:cs="Arial"/>
                <w:sz w:val="16"/>
                <w:szCs w:val="16"/>
                <w:lang w:val="ro-RO"/>
              </w:rPr>
              <w:t>2</w:t>
            </w:r>
          </w:p>
        </w:tc>
        <w:tc>
          <w:tcPr>
            <w:tcW w:w="1275" w:type="dxa"/>
            <w:shd w:val="clear" w:color="auto" w:fill="auto"/>
            <w:hideMark/>
          </w:tcPr>
          <w:p w:rsidR="00916374" w:rsidRPr="00B3557F" w:rsidRDefault="00916374" w:rsidP="001D681B">
            <w:pPr>
              <w:pStyle w:val="BodyText"/>
              <w:spacing w:line="269" w:lineRule="auto"/>
              <w:jc w:val="center"/>
              <w:rPr>
                <w:rFonts w:ascii="Arial" w:hAnsi="Arial" w:cs="Arial"/>
                <w:sz w:val="16"/>
                <w:szCs w:val="16"/>
                <w:lang w:val="ro-RO"/>
              </w:rPr>
            </w:pPr>
            <w:r w:rsidRPr="00B3557F">
              <w:rPr>
                <w:rFonts w:ascii="Arial" w:hAnsi="Arial" w:cs="Arial"/>
                <w:sz w:val="16"/>
                <w:szCs w:val="16"/>
                <w:lang w:val="ro-RO"/>
              </w:rPr>
              <w:t>3</w:t>
            </w:r>
          </w:p>
        </w:tc>
        <w:tc>
          <w:tcPr>
            <w:tcW w:w="1134" w:type="dxa"/>
            <w:shd w:val="clear" w:color="auto" w:fill="auto"/>
            <w:hideMark/>
          </w:tcPr>
          <w:p w:rsidR="00916374" w:rsidRPr="00B3557F" w:rsidRDefault="00916374" w:rsidP="001D681B">
            <w:pPr>
              <w:pStyle w:val="BodyText"/>
              <w:spacing w:line="269" w:lineRule="auto"/>
              <w:jc w:val="center"/>
              <w:rPr>
                <w:rFonts w:ascii="Arial" w:hAnsi="Arial" w:cs="Arial"/>
                <w:sz w:val="16"/>
                <w:szCs w:val="16"/>
                <w:lang w:val="ro-RO"/>
              </w:rPr>
            </w:pPr>
            <w:r w:rsidRPr="00B3557F">
              <w:rPr>
                <w:rFonts w:ascii="Arial" w:hAnsi="Arial" w:cs="Arial"/>
                <w:sz w:val="16"/>
                <w:szCs w:val="16"/>
                <w:lang w:val="ro-RO"/>
              </w:rPr>
              <w:t>4</w:t>
            </w:r>
          </w:p>
        </w:tc>
        <w:tc>
          <w:tcPr>
            <w:tcW w:w="1134" w:type="dxa"/>
            <w:shd w:val="clear" w:color="auto" w:fill="auto"/>
            <w:hideMark/>
          </w:tcPr>
          <w:p w:rsidR="00916374" w:rsidRPr="00B3557F" w:rsidRDefault="00916374" w:rsidP="001D681B">
            <w:pPr>
              <w:pStyle w:val="BodyText"/>
              <w:spacing w:line="269" w:lineRule="auto"/>
              <w:jc w:val="center"/>
              <w:rPr>
                <w:rFonts w:ascii="Arial" w:hAnsi="Arial" w:cs="Arial"/>
                <w:sz w:val="16"/>
                <w:szCs w:val="16"/>
                <w:lang w:val="ro-RO"/>
              </w:rPr>
            </w:pPr>
            <w:r w:rsidRPr="00B3557F">
              <w:rPr>
                <w:rFonts w:ascii="Arial" w:hAnsi="Arial" w:cs="Arial"/>
                <w:sz w:val="16"/>
                <w:szCs w:val="16"/>
                <w:lang w:val="ro-RO"/>
              </w:rPr>
              <w:t>5</w:t>
            </w:r>
          </w:p>
        </w:tc>
        <w:tc>
          <w:tcPr>
            <w:tcW w:w="1134" w:type="dxa"/>
            <w:shd w:val="clear" w:color="auto" w:fill="auto"/>
            <w:hideMark/>
          </w:tcPr>
          <w:p w:rsidR="00916374" w:rsidRPr="00B3557F" w:rsidRDefault="00916374" w:rsidP="001D681B">
            <w:pPr>
              <w:pStyle w:val="BodyText"/>
              <w:spacing w:line="269" w:lineRule="auto"/>
              <w:jc w:val="center"/>
              <w:rPr>
                <w:rFonts w:ascii="Arial" w:hAnsi="Arial" w:cs="Arial"/>
                <w:sz w:val="16"/>
                <w:szCs w:val="16"/>
                <w:lang w:val="ro-RO"/>
              </w:rPr>
            </w:pPr>
            <w:r w:rsidRPr="00B3557F">
              <w:rPr>
                <w:rFonts w:ascii="Arial" w:hAnsi="Arial" w:cs="Arial"/>
                <w:sz w:val="16"/>
                <w:szCs w:val="16"/>
                <w:lang w:val="ro-RO"/>
              </w:rPr>
              <w:t>6</w:t>
            </w:r>
          </w:p>
        </w:tc>
      </w:tr>
      <w:tr w:rsidR="00916374" w:rsidRPr="009352E0" w:rsidTr="001D681B">
        <w:trPr>
          <w:trHeight w:val="230"/>
        </w:trPr>
        <w:tc>
          <w:tcPr>
            <w:tcW w:w="1980" w:type="dxa"/>
            <w:shd w:val="clear" w:color="auto" w:fill="auto"/>
            <w:vAlign w:val="center"/>
          </w:tcPr>
          <w:p w:rsidR="00916374" w:rsidRPr="009352E0" w:rsidRDefault="00916374" w:rsidP="001D681B">
            <w:pPr>
              <w:pStyle w:val="BodyText"/>
              <w:spacing w:line="269" w:lineRule="auto"/>
              <w:rPr>
                <w:rFonts w:ascii="Arial" w:hAnsi="Arial" w:cs="Arial"/>
                <w:bCs/>
                <w:sz w:val="16"/>
                <w:szCs w:val="16"/>
                <w:lang w:val="ro-RO"/>
              </w:rPr>
            </w:pPr>
            <w:r w:rsidRPr="009352E0">
              <w:rPr>
                <w:rFonts w:ascii="Arial" w:hAnsi="Arial" w:cs="Arial"/>
                <w:bCs/>
                <w:sz w:val="16"/>
                <w:szCs w:val="16"/>
                <w:lang w:val="ro-RO"/>
              </w:rPr>
              <w:t>Impozit pe venit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16374" w:rsidRPr="009352E0" w:rsidRDefault="00916374" w:rsidP="001D681B">
            <w:pPr>
              <w:jc w:val="center"/>
              <w:rPr>
                <w:rFonts w:ascii="Arial" w:hAnsi="Arial" w:cs="Arial"/>
                <w:bCs/>
                <w:sz w:val="16"/>
                <w:szCs w:val="16"/>
                <w:lang w:val="ro-RO"/>
              </w:rPr>
            </w:pPr>
            <w:r w:rsidRPr="009352E0">
              <w:rPr>
                <w:rFonts w:ascii="Arial" w:hAnsi="Arial" w:cs="Arial"/>
                <w:bCs/>
                <w:sz w:val="16"/>
                <w:szCs w:val="16"/>
                <w:lang w:val="ro-RO"/>
              </w:rPr>
              <w:t>21.610.136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16374" w:rsidRPr="009352E0" w:rsidRDefault="00916374" w:rsidP="001D681B">
            <w:pPr>
              <w:jc w:val="center"/>
              <w:rPr>
                <w:rFonts w:ascii="Arial" w:hAnsi="Arial" w:cs="Arial"/>
                <w:bCs/>
                <w:sz w:val="16"/>
                <w:szCs w:val="16"/>
                <w:lang w:val="ro-RO"/>
              </w:rPr>
            </w:pPr>
            <w:r w:rsidRPr="009352E0">
              <w:rPr>
                <w:rFonts w:ascii="Arial" w:hAnsi="Arial" w:cs="Arial"/>
                <w:bCs/>
                <w:sz w:val="16"/>
                <w:szCs w:val="16"/>
                <w:lang w:val="ro-RO"/>
              </w:rPr>
              <w:t>26.221.266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916374" w:rsidRPr="009352E0" w:rsidRDefault="00916374" w:rsidP="001D681B">
            <w:pPr>
              <w:jc w:val="right"/>
              <w:rPr>
                <w:rFonts w:ascii="Arial" w:hAnsi="Arial" w:cs="Arial"/>
                <w:bCs/>
                <w:sz w:val="16"/>
                <w:szCs w:val="16"/>
              </w:rPr>
            </w:pPr>
            <w:r w:rsidRPr="009352E0">
              <w:rPr>
                <w:rFonts w:ascii="Arial" w:hAnsi="Arial" w:cs="Arial"/>
                <w:bCs/>
                <w:sz w:val="16"/>
                <w:szCs w:val="16"/>
              </w:rPr>
              <w:t>26.166.190</w:t>
            </w:r>
          </w:p>
        </w:tc>
        <w:tc>
          <w:tcPr>
            <w:tcW w:w="1134" w:type="dxa"/>
            <w:tcBorders>
              <w:top w:val="single" w:sz="4" w:space="0" w:color="auto"/>
              <w:left w:val="nil"/>
              <w:bottom w:val="single" w:sz="4" w:space="0" w:color="auto"/>
              <w:right w:val="single" w:sz="4" w:space="0" w:color="auto"/>
            </w:tcBorders>
            <w:shd w:val="clear" w:color="auto" w:fill="auto"/>
            <w:vAlign w:val="center"/>
          </w:tcPr>
          <w:p w:rsidR="00916374" w:rsidRPr="009352E0" w:rsidRDefault="00916374" w:rsidP="001D681B">
            <w:pPr>
              <w:jc w:val="right"/>
              <w:rPr>
                <w:rFonts w:ascii="Arial" w:hAnsi="Arial" w:cs="Arial"/>
                <w:bCs/>
                <w:sz w:val="16"/>
                <w:szCs w:val="16"/>
              </w:rPr>
            </w:pPr>
            <w:r w:rsidRPr="009352E0">
              <w:rPr>
                <w:rFonts w:ascii="Arial" w:hAnsi="Arial" w:cs="Arial"/>
                <w:bCs/>
                <w:sz w:val="16"/>
                <w:szCs w:val="16"/>
              </w:rPr>
              <w:t>28.405.780</w:t>
            </w:r>
          </w:p>
        </w:tc>
        <w:tc>
          <w:tcPr>
            <w:tcW w:w="1134" w:type="dxa"/>
            <w:tcBorders>
              <w:top w:val="single" w:sz="4" w:space="0" w:color="auto"/>
              <w:left w:val="nil"/>
              <w:bottom w:val="single" w:sz="4" w:space="0" w:color="auto"/>
              <w:right w:val="single" w:sz="4" w:space="0" w:color="auto"/>
            </w:tcBorders>
            <w:shd w:val="clear" w:color="auto" w:fill="auto"/>
            <w:vAlign w:val="center"/>
          </w:tcPr>
          <w:p w:rsidR="00916374" w:rsidRPr="009352E0" w:rsidRDefault="00916374" w:rsidP="001D681B">
            <w:pPr>
              <w:jc w:val="right"/>
              <w:rPr>
                <w:rFonts w:ascii="Arial" w:hAnsi="Arial" w:cs="Arial"/>
                <w:bCs/>
                <w:sz w:val="16"/>
                <w:szCs w:val="16"/>
              </w:rPr>
            </w:pPr>
            <w:r w:rsidRPr="009352E0">
              <w:rPr>
                <w:rFonts w:ascii="Arial" w:hAnsi="Arial" w:cs="Arial"/>
                <w:bCs/>
                <w:sz w:val="16"/>
                <w:szCs w:val="16"/>
              </w:rPr>
              <w:t>30.833.431</w:t>
            </w:r>
          </w:p>
        </w:tc>
        <w:tc>
          <w:tcPr>
            <w:tcW w:w="1134" w:type="dxa"/>
            <w:tcBorders>
              <w:top w:val="single" w:sz="4" w:space="0" w:color="auto"/>
              <w:left w:val="nil"/>
              <w:bottom w:val="single" w:sz="4" w:space="0" w:color="auto"/>
              <w:right w:val="single" w:sz="4" w:space="0" w:color="auto"/>
            </w:tcBorders>
            <w:shd w:val="clear" w:color="auto" w:fill="auto"/>
            <w:vAlign w:val="center"/>
          </w:tcPr>
          <w:p w:rsidR="00916374" w:rsidRPr="009352E0" w:rsidRDefault="00916374" w:rsidP="001D681B">
            <w:pPr>
              <w:jc w:val="right"/>
              <w:rPr>
                <w:rFonts w:ascii="Arial" w:hAnsi="Arial" w:cs="Arial"/>
                <w:bCs/>
                <w:sz w:val="16"/>
                <w:szCs w:val="16"/>
              </w:rPr>
            </w:pPr>
            <w:r w:rsidRPr="009352E0">
              <w:rPr>
                <w:rFonts w:ascii="Arial" w:hAnsi="Arial" w:cs="Arial"/>
                <w:bCs/>
                <w:sz w:val="16"/>
                <w:szCs w:val="16"/>
              </w:rPr>
              <w:t>33.355.975</w:t>
            </w:r>
          </w:p>
        </w:tc>
      </w:tr>
      <w:tr w:rsidR="00916374" w:rsidRPr="009352E0" w:rsidTr="001D681B">
        <w:trPr>
          <w:trHeight w:val="320"/>
        </w:trPr>
        <w:tc>
          <w:tcPr>
            <w:tcW w:w="1980" w:type="dxa"/>
            <w:shd w:val="clear" w:color="auto" w:fill="auto"/>
            <w:noWrap/>
            <w:hideMark/>
          </w:tcPr>
          <w:p w:rsidR="00916374" w:rsidRPr="009352E0" w:rsidRDefault="00916374" w:rsidP="001D681B">
            <w:pPr>
              <w:pStyle w:val="BodyText"/>
              <w:spacing w:line="269" w:lineRule="auto"/>
              <w:rPr>
                <w:rFonts w:ascii="Arial" w:hAnsi="Arial" w:cs="Arial"/>
                <w:bCs/>
                <w:sz w:val="16"/>
                <w:szCs w:val="16"/>
                <w:lang w:val="ro-RO"/>
              </w:rPr>
            </w:pPr>
            <w:r w:rsidRPr="009352E0">
              <w:rPr>
                <w:rFonts w:ascii="Arial" w:hAnsi="Arial" w:cs="Arial"/>
                <w:bCs/>
                <w:sz w:val="16"/>
                <w:szCs w:val="16"/>
                <w:lang w:val="ro-RO"/>
              </w:rPr>
              <w:t>Sume defalcate din TVA</w:t>
            </w:r>
          </w:p>
        </w:tc>
        <w:tc>
          <w:tcPr>
            <w:tcW w:w="1134" w:type="dxa"/>
            <w:shd w:val="clear" w:color="auto" w:fill="auto"/>
            <w:noWrap/>
            <w:vAlign w:val="center"/>
            <w:hideMark/>
          </w:tcPr>
          <w:p w:rsidR="00916374" w:rsidRPr="009352E0" w:rsidRDefault="00916374" w:rsidP="001D681B">
            <w:pPr>
              <w:jc w:val="center"/>
              <w:rPr>
                <w:rFonts w:ascii="Arial" w:hAnsi="Arial" w:cs="Arial"/>
                <w:bCs/>
                <w:sz w:val="16"/>
                <w:szCs w:val="16"/>
                <w:lang w:val="ro-RO"/>
              </w:rPr>
            </w:pPr>
            <w:r w:rsidRPr="009352E0">
              <w:rPr>
                <w:rFonts w:ascii="Arial" w:hAnsi="Arial" w:cs="Arial"/>
                <w:bCs/>
                <w:sz w:val="16"/>
                <w:szCs w:val="16"/>
                <w:lang w:val="ro-RO"/>
              </w:rPr>
              <w:t>18.349.541</w:t>
            </w:r>
          </w:p>
        </w:tc>
        <w:tc>
          <w:tcPr>
            <w:tcW w:w="1276" w:type="dxa"/>
            <w:shd w:val="clear" w:color="auto" w:fill="auto"/>
            <w:noWrap/>
            <w:vAlign w:val="center"/>
            <w:hideMark/>
          </w:tcPr>
          <w:p w:rsidR="00916374" w:rsidRPr="009352E0" w:rsidRDefault="00916374" w:rsidP="001D681B">
            <w:pPr>
              <w:jc w:val="center"/>
              <w:rPr>
                <w:rFonts w:ascii="Arial" w:hAnsi="Arial" w:cs="Arial"/>
                <w:bCs/>
                <w:sz w:val="16"/>
                <w:szCs w:val="16"/>
                <w:lang w:val="ro-RO"/>
              </w:rPr>
            </w:pPr>
            <w:r w:rsidRPr="009352E0">
              <w:rPr>
                <w:rFonts w:ascii="Arial" w:hAnsi="Arial" w:cs="Arial"/>
                <w:bCs/>
                <w:sz w:val="16"/>
                <w:szCs w:val="16"/>
                <w:lang w:val="ro-RO"/>
              </w:rPr>
              <w:t>15.078.358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6374" w:rsidRPr="009352E0" w:rsidRDefault="00916374" w:rsidP="001D681B">
            <w:pPr>
              <w:jc w:val="right"/>
              <w:rPr>
                <w:rFonts w:ascii="Arial" w:hAnsi="Arial" w:cs="Arial"/>
                <w:bCs/>
                <w:sz w:val="16"/>
                <w:szCs w:val="16"/>
              </w:rPr>
            </w:pPr>
            <w:r w:rsidRPr="009352E0">
              <w:rPr>
                <w:rFonts w:ascii="Arial" w:hAnsi="Arial" w:cs="Arial"/>
                <w:bCs/>
                <w:sz w:val="16"/>
                <w:szCs w:val="16"/>
              </w:rPr>
              <w:t>18.094.878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16374" w:rsidRPr="009352E0" w:rsidRDefault="00916374" w:rsidP="001D681B">
            <w:pPr>
              <w:jc w:val="right"/>
              <w:rPr>
                <w:rFonts w:ascii="Arial" w:hAnsi="Arial" w:cs="Arial"/>
                <w:bCs/>
                <w:sz w:val="16"/>
                <w:szCs w:val="16"/>
              </w:rPr>
            </w:pPr>
            <w:r w:rsidRPr="009352E0">
              <w:rPr>
                <w:rFonts w:ascii="Arial" w:hAnsi="Arial" w:cs="Arial"/>
                <w:bCs/>
                <w:sz w:val="16"/>
                <w:szCs w:val="16"/>
              </w:rPr>
              <w:t>17.422.482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16374" w:rsidRPr="009352E0" w:rsidRDefault="00916374" w:rsidP="001D681B">
            <w:pPr>
              <w:jc w:val="right"/>
              <w:rPr>
                <w:rFonts w:ascii="Arial" w:hAnsi="Arial" w:cs="Arial"/>
                <w:bCs/>
                <w:sz w:val="16"/>
                <w:szCs w:val="16"/>
              </w:rPr>
            </w:pPr>
            <w:r w:rsidRPr="009352E0">
              <w:rPr>
                <w:rFonts w:ascii="Arial" w:hAnsi="Arial" w:cs="Arial"/>
                <w:bCs/>
                <w:sz w:val="16"/>
                <w:szCs w:val="16"/>
              </w:rPr>
              <w:t>16.475.981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16374" w:rsidRPr="009352E0" w:rsidRDefault="00916374" w:rsidP="001D681B">
            <w:pPr>
              <w:jc w:val="right"/>
              <w:rPr>
                <w:rFonts w:ascii="Arial" w:hAnsi="Arial" w:cs="Arial"/>
                <w:bCs/>
                <w:sz w:val="16"/>
                <w:szCs w:val="16"/>
              </w:rPr>
            </w:pPr>
            <w:r w:rsidRPr="009352E0">
              <w:rPr>
                <w:rFonts w:ascii="Arial" w:hAnsi="Arial" w:cs="Arial"/>
                <w:bCs/>
                <w:sz w:val="16"/>
                <w:szCs w:val="16"/>
              </w:rPr>
              <w:t>15.528.624</w:t>
            </w:r>
          </w:p>
        </w:tc>
      </w:tr>
      <w:tr w:rsidR="00916374" w:rsidRPr="009352E0" w:rsidTr="001D681B">
        <w:trPr>
          <w:trHeight w:val="410"/>
        </w:trPr>
        <w:tc>
          <w:tcPr>
            <w:tcW w:w="1980" w:type="dxa"/>
            <w:shd w:val="clear" w:color="auto" w:fill="auto"/>
            <w:noWrap/>
            <w:vAlign w:val="center"/>
            <w:hideMark/>
          </w:tcPr>
          <w:p w:rsidR="00916374" w:rsidRPr="009352E0" w:rsidRDefault="00916374" w:rsidP="001D681B">
            <w:pPr>
              <w:pStyle w:val="BodyText"/>
              <w:spacing w:line="269" w:lineRule="auto"/>
              <w:rPr>
                <w:rFonts w:ascii="Arial" w:hAnsi="Arial" w:cs="Arial"/>
                <w:bCs/>
                <w:sz w:val="16"/>
                <w:szCs w:val="16"/>
                <w:lang w:val="ro-RO"/>
              </w:rPr>
            </w:pPr>
            <w:r w:rsidRPr="009352E0">
              <w:rPr>
                <w:rFonts w:ascii="Arial" w:hAnsi="Arial" w:cs="Arial"/>
                <w:bCs/>
                <w:sz w:val="16"/>
                <w:szCs w:val="16"/>
                <w:lang w:val="ro-RO"/>
              </w:rPr>
              <w:t>Subvenții</w:t>
            </w:r>
          </w:p>
        </w:tc>
        <w:tc>
          <w:tcPr>
            <w:tcW w:w="1134" w:type="dxa"/>
            <w:shd w:val="clear" w:color="auto" w:fill="auto"/>
            <w:noWrap/>
            <w:vAlign w:val="center"/>
          </w:tcPr>
          <w:p w:rsidR="00916374" w:rsidRPr="009352E0" w:rsidRDefault="00916374" w:rsidP="001D681B">
            <w:pPr>
              <w:jc w:val="center"/>
              <w:rPr>
                <w:rFonts w:ascii="Arial" w:hAnsi="Arial" w:cs="Arial"/>
                <w:bCs/>
                <w:sz w:val="16"/>
                <w:szCs w:val="16"/>
                <w:lang w:val="ro-RO"/>
              </w:rPr>
            </w:pPr>
          </w:p>
          <w:p w:rsidR="00916374" w:rsidRPr="009352E0" w:rsidRDefault="00916374" w:rsidP="001D681B">
            <w:pPr>
              <w:jc w:val="center"/>
              <w:rPr>
                <w:rFonts w:ascii="Arial" w:hAnsi="Arial" w:cs="Arial"/>
                <w:bCs/>
                <w:sz w:val="16"/>
                <w:szCs w:val="16"/>
                <w:lang w:val="ro-RO"/>
              </w:rPr>
            </w:pPr>
            <w:r w:rsidRPr="009352E0">
              <w:rPr>
                <w:rFonts w:ascii="Arial" w:hAnsi="Arial" w:cs="Arial"/>
                <w:bCs/>
                <w:sz w:val="16"/>
                <w:szCs w:val="16"/>
                <w:lang w:val="ro-RO"/>
              </w:rPr>
              <w:t>14.922.254</w:t>
            </w:r>
          </w:p>
          <w:p w:rsidR="00916374" w:rsidRPr="009352E0" w:rsidRDefault="00916374" w:rsidP="001D681B">
            <w:pPr>
              <w:pStyle w:val="BodyText"/>
              <w:spacing w:line="269" w:lineRule="auto"/>
              <w:jc w:val="center"/>
              <w:rPr>
                <w:rFonts w:ascii="Arial" w:hAnsi="Arial" w:cs="Arial"/>
                <w:bCs/>
                <w:sz w:val="16"/>
                <w:szCs w:val="16"/>
                <w:lang w:val="ro-RO"/>
              </w:rPr>
            </w:pPr>
          </w:p>
        </w:tc>
        <w:tc>
          <w:tcPr>
            <w:tcW w:w="1276" w:type="dxa"/>
            <w:shd w:val="clear" w:color="auto" w:fill="auto"/>
            <w:noWrap/>
            <w:vAlign w:val="center"/>
          </w:tcPr>
          <w:p w:rsidR="00916374" w:rsidRPr="009352E0" w:rsidRDefault="00916374" w:rsidP="001D681B">
            <w:pPr>
              <w:pStyle w:val="BodyText"/>
              <w:spacing w:line="269" w:lineRule="auto"/>
              <w:jc w:val="center"/>
              <w:rPr>
                <w:rFonts w:ascii="Arial" w:hAnsi="Arial" w:cs="Arial"/>
                <w:bCs/>
                <w:sz w:val="16"/>
                <w:szCs w:val="16"/>
                <w:lang w:val="ro-RO"/>
              </w:rPr>
            </w:pPr>
            <w:r w:rsidRPr="009352E0">
              <w:rPr>
                <w:rFonts w:ascii="Arial" w:hAnsi="Arial" w:cs="Arial"/>
                <w:bCs/>
                <w:sz w:val="16"/>
                <w:szCs w:val="16"/>
                <w:lang w:val="ro-RO"/>
              </w:rPr>
              <w:t>10.401.031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6374" w:rsidRPr="009352E0" w:rsidRDefault="00916374" w:rsidP="001D681B">
            <w:pPr>
              <w:jc w:val="right"/>
              <w:rPr>
                <w:rFonts w:ascii="Arial" w:hAnsi="Arial" w:cs="Arial"/>
                <w:bCs/>
                <w:sz w:val="16"/>
                <w:szCs w:val="16"/>
              </w:rPr>
            </w:pPr>
            <w:r w:rsidRPr="009352E0">
              <w:rPr>
                <w:rFonts w:ascii="Arial" w:hAnsi="Arial" w:cs="Arial"/>
                <w:bCs/>
                <w:sz w:val="16"/>
                <w:szCs w:val="16"/>
              </w:rPr>
              <w:t>13.239.149</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16374" w:rsidRPr="009352E0" w:rsidRDefault="00916374" w:rsidP="001D681B">
            <w:pPr>
              <w:jc w:val="right"/>
              <w:rPr>
                <w:rFonts w:ascii="Arial" w:hAnsi="Arial" w:cs="Arial"/>
                <w:bCs/>
                <w:sz w:val="16"/>
                <w:szCs w:val="16"/>
              </w:rPr>
            </w:pPr>
            <w:r w:rsidRPr="009352E0">
              <w:rPr>
                <w:rFonts w:ascii="Arial" w:hAnsi="Arial" w:cs="Arial"/>
                <w:bCs/>
                <w:sz w:val="16"/>
                <w:szCs w:val="16"/>
              </w:rPr>
              <w:t>11.875.866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16374" w:rsidRPr="009352E0" w:rsidRDefault="00916374" w:rsidP="001D681B">
            <w:pPr>
              <w:jc w:val="right"/>
              <w:rPr>
                <w:rFonts w:ascii="Arial" w:hAnsi="Arial" w:cs="Arial"/>
                <w:bCs/>
                <w:sz w:val="16"/>
                <w:szCs w:val="16"/>
              </w:rPr>
            </w:pPr>
            <w:r w:rsidRPr="009352E0">
              <w:rPr>
                <w:rFonts w:ascii="Arial" w:hAnsi="Arial" w:cs="Arial"/>
                <w:bCs/>
                <w:sz w:val="16"/>
                <w:szCs w:val="16"/>
              </w:rPr>
              <w:t>14.388.330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16374" w:rsidRPr="009352E0" w:rsidRDefault="00916374" w:rsidP="001D681B">
            <w:pPr>
              <w:jc w:val="right"/>
              <w:rPr>
                <w:rFonts w:ascii="Arial" w:hAnsi="Arial" w:cs="Arial"/>
                <w:bCs/>
                <w:sz w:val="16"/>
                <w:szCs w:val="16"/>
              </w:rPr>
            </w:pPr>
            <w:r w:rsidRPr="009352E0">
              <w:rPr>
                <w:rFonts w:ascii="Arial" w:hAnsi="Arial" w:cs="Arial"/>
                <w:bCs/>
                <w:sz w:val="16"/>
                <w:szCs w:val="16"/>
              </w:rPr>
              <w:t>14.708.663</w:t>
            </w:r>
          </w:p>
        </w:tc>
      </w:tr>
    </w:tbl>
    <w:p w:rsidR="00916374" w:rsidRPr="00AC646F" w:rsidRDefault="00916374" w:rsidP="00916374">
      <w:pPr>
        <w:pStyle w:val="BodyText"/>
        <w:spacing w:after="0"/>
        <w:jc w:val="both"/>
        <w:rPr>
          <w:rFonts w:ascii="Calibri" w:eastAsia="Calibri" w:hAnsi="Calibri" w:cs="Calibri"/>
          <w:lang w:val="ro-RO" w:eastAsia="ro-RO"/>
        </w:rPr>
      </w:pPr>
    </w:p>
    <w:p w:rsidR="00916374" w:rsidRPr="00AF3608" w:rsidRDefault="00916374" w:rsidP="00B723C0">
      <w:pPr>
        <w:spacing w:before="120"/>
        <w:rPr>
          <w:rFonts w:ascii="Calibri" w:eastAsia="Calibri" w:hAnsi="Calibri" w:cs="Calibri"/>
          <w:lang w:val="ro-RO" w:eastAsia="ro-RO"/>
        </w:rPr>
      </w:pPr>
    </w:p>
    <w:p w:rsidR="00650D7E" w:rsidRPr="00AF3608" w:rsidRDefault="00650D7E" w:rsidP="00B723C0">
      <w:pPr>
        <w:suppressAutoHyphens/>
        <w:spacing w:before="120"/>
        <w:jc w:val="both"/>
        <w:rPr>
          <w:rFonts w:ascii="Calibri" w:hAnsi="Calibri" w:cs="Calibri"/>
          <w:lang w:val="ro-RO"/>
        </w:rPr>
      </w:pPr>
    </w:p>
    <w:p w:rsidR="00650D7E" w:rsidRPr="00AF3608" w:rsidRDefault="00C24341" w:rsidP="00B723C0">
      <w:pPr>
        <w:widowControl w:val="0"/>
        <w:shd w:val="clear" w:color="auto" w:fill="4B91D1"/>
        <w:suppressAutoHyphens/>
        <w:spacing w:before="120"/>
        <w:jc w:val="both"/>
        <w:rPr>
          <w:rFonts w:ascii="Calibri" w:eastAsia="SimSun" w:hAnsi="Calibri" w:cs="Calibri"/>
          <w:b/>
          <w:bCs/>
          <w:lang w:val="ro-RO" w:eastAsia="zh-CN" w:bidi="hi-IN"/>
        </w:rPr>
      </w:pPr>
      <w:r w:rsidRPr="00AF3608">
        <w:rPr>
          <w:rFonts w:ascii="Calibri" w:eastAsia="SimSun" w:hAnsi="Calibri" w:cs="Calibri"/>
          <w:b/>
          <w:bCs/>
          <w:lang w:val="ro-RO" w:eastAsia="zh-CN" w:bidi="hi-IN"/>
        </w:rPr>
        <w:t>4.7</w:t>
      </w:r>
      <w:r w:rsidR="00650D7E" w:rsidRPr="00AF3608">
        <w:rPr>
          <w:rFonts w:ascii="Calibri" w:eastAsia="SimSun" w:hAnsi="Calibri" w:cs="Calibri"/>
          <w:b/>
          <w:bCs/>
          <w:lang w:val="ro-RO" w:eastAsia="zh-CN" w:bidi="hi-IN"/>
        </w:rPr>
        <w:t xml:space="preserve"> Investiţii publice semnificative prioritizate</w:t>
      </w:r>
    </w:p>
    <w:p w:rsidR="0001019D" w:rsidRPr="00AF3608" w:rsidRDefault="0001019D" w:rsidP="00B723C0">
      <w:pPr>
        <w:spacing w:before="120"/>
        <w:jc w:val="both"/>
        <w:rPr>
          <w:rFonts w:ascii="Calibri" w:eastAsia="SimSun" w:hAnsi="Calibri" w:cs="Calibri"/>
          <w:lang w:val="ro-RO" w:eastAsia="zh-CN" w:bidi="hi-IN"/>
        </w:rPr>
      </w:pPr>
      <w:r w:rsidRPr="00AF3608">
        <w:rPr>
          <w:rFonts w:ascii="Calibri" w:eastAsia="SimSun" w:hAnsi="Calibri" w:cs="Calibri"/>
          <w:lang w:val="ro-RO" w:eastAsia="zh-CN" w:bidi="hi-IN"/>
        </w:rPr>
        <w:t xml:space="preserve">Conform prevederilor O.U.G. nr. 88/2013 și ale Normelor metodologice privind prioritizarea proiectelor de investiții publice, aprobate prin H.G. nr. 225/2014, cu modificările şi completările ulterioare, la nivelul ordonatorilor principali de credite și al Ministerului Finanțelor Publice, s-a derulat  procesul de evaluare a proiectelor de investiții publice semnificative, în scopul elaborării și prezentării de către Ministerul Finanțelor Publice, spre aprobare Guvernului, a listei proiectelor de investiții publice semnificative prioritizate. </w:t>
      </w:r>
    </w:p>
    <w:p w:rsidR="0001019D" w:rsidRPr="00AF3608" w:rsidRDefault="0001019D" w:rsidP="00B723C0">
      <w:pPr>
        <w:spacing w:before="120"/>
        <w:jc w:val="both"/>
        <w:rPr>
          <w:rFonts w:ascii="Calibri" w:eastAsia="SimSun" w:hAnsi="Calibri" w:cs="Calibri"/>
          <w:lang w:val="ro-RO" w:eastAsia="zh-CN" w:bidi="hi-IN"/>
        </w:rPr>
      </w:pPr>
      <w:r w:rsidRPr="00AF3608">
        <w:rPr>
          <w:rFonts w:ascii="Calibri" w:eastAsia="SimSun" w:hAnsi="Calibri" w:cs="Calibri"/>
          <w:lang w:val="ro-RO" w:eastAsia="zh-CN" w:bidi="hi-IN"/>
        </w:rPr>
        <w:t>La elaborarea proiectului de buget pe anul 2021, ordonatorii principali de credite vor respecta rezultatele prioritizării în procesul de repartizare a resurselor bugetare pentru proiectele de investiţii publice semnificative, potrivit prevederilor art. 45 alin. (4) din OUG nr.88/2013.</w:t>
      </w:r>
    </w:p>
    <w:p w:rsidR="0001019D" w:rsidRPr="00AF3608" w:rsidRDefault="0001019D" w:rsidP="00B723C0">
      <w:pPr>
        <w:spacing w:before="120"/>
        <w:jc w:val="both"/>
        <w:rPr>
          <w:rFonts w:ascii="Calibri" w:eastAsia="SimSun" w:hAnsi="Calibri" w:cs="Calibri"/>
          <w:lang w:val="ro-RO" w:eastAsia="zh-CN" w:bidi="hi-IN"/>
        </w:rPr>
      </w:pPr>
      <w:r w:rsidRPr="00AF3608">
        <w:rPr>
          <w:rFonts w:ascii="Calibri" w:eastAsia="SimSun" w:hAnsi="Calibri" w:cs="Calibri"/>
          <w:lang w:val="ro-RO" w:eastAsia="zh-CN" w:bidi="hi-IN"/>
        </w:rPr>
        <w:t xml:space="preserve">În cadrul procesului de prioritizare, 9 ordonatori principali de credite au prezentat informații cu privire la 160 de proiecte de investiții publice semnificative, cu o valoare actualizată totală de </w:t>
      </w:r>
      <w:r w:rsidRPr="00AF3608">
        <w:rPr>
          <w:bCs/>
          <w:lang w:val="ro-RO"/>
        </w:rPr>
        <w:t xml:space="preserve">216.267.515 </w:t>
      </w:r>
      <w:r w:rsidRPr="00AF3608">
        <w:rPr>
          <w:rFonts w:ascii="Calibri" w:eastAsia="SimSun" w:hAnsi="Calibri" w:cs="Calibri"/>
          <w:lang w:val="ro-RO" w:eastAsia="zh-CN" w:bidi="hi-IN"/>
        </w:rPr>
        <w:t xml:space="preserve">mii lei și un rest de finanțat în vederea finalizării de </w:t>
      </w:r>
      <w:r w:rsidRPr="00AF3608">
        <w:rPr>
          <w:bCs/>
          <w:lang w:val="ro-RO"/>
        </w:rPr>
        <w:t xml:space="preserve">146.850.109 </w:t>
      </w:r>
      <w:r w:rsidRPr="00AF3608">
        <w:rPr>
          <w:rFonts w:ascii="Calibri" w:eastAsia="SimSun" w:hAnsi="Calibri" w:cs="Calibri"/>
          <w:lang w:val="ro-RO" w:eastAsia="zh-CN" w:bidi="hi-IN"/>
        </w:rPr>
        <w:t xml:space="preserve">mii lei. Cea mai mare pondere în acest portofoliu o deține Ministerul Transporturilor și Infrastructurii, care administrează 130 proiecte de investiții publice semnificative, cu o valoare actualizată totală de </w:t>
      </w:r>
      <w:r w:rsidRPr="00AF3608">
        <w:rPr>
          <w:bCs/>
          <w:lang w:val="ro-RO"/>
        </w:rPr>
        <w:t xml:space="preserve">197.087.910 </w:t>
      </w:r>
      <w:r w:rsidRPr="00AF3608">
        <w:rPr>
          <w:rFonts w:ascii="Calibri" w:eastAsia="SimSun" w:hAnsi="Calibri" w:cs="Calibri"/>
          <w:lang w:val="ro-RO" w:eastAsia="zh-CN" w:bidi="hi-IN"/>
        </w:rPr>
        <w:t xml:space="preserve">mii </w:t>
      </w:r>
      <w:r w:rsidRPr="00AF3608">
        <w:rPr>
          <w:rFonts w:ascii="Calibri" w:eastAsia="SimSun" w:hAnsi="Calibri" w:cs="Calibri"/>
          <w:lang w:val="ro-RO" w:eastAsia="zh-CN" w:bidi="hi-IN"/>
        </w:rPr>
        <w:lastRenderedPageBreak/>
        <w:t>lei, urmat de Ministerul Mediului, Apelor și Pădurilor cu 11 proiecte de investiții publice semnificative, cu o valoare actualizată totală de 6.604.355 mii lei. La polul opus se situează Ministerul Economiei, Antreprenoriatului si Turismului, Ministerul Educației, Ministerul Apărării Naționale și Serviciul de Protecție și Pază, care administrează fiecare câte un proiect de investiții publice semnificativ, așa cum este prezentat în tabelul de mai jos:</w:t>
      </w:r>
    </w:p>
    <w:p w:rsidR="0001019D" w:rsidRPr="00AF3608" w:rsidRDefault="0001019D" w:rsidP="00B723C0">
      <w:pPr>
        <w:spacing w:before="120"/>
        <w:jc w:val="both"/>
        <w:rPr>
          <w:rFonts w:ascii="Calibri" w:eastAsia="SimSun" w:hAnsi="Calibri" w:cs="Calibri"/>
          <w:lang w:val="ro-RO" w:eastAsia="zh-CN" w:bidi="hi-IN"/>
        </w:rPr>
      </w:pPr>
    </w:p>
    <w:tbl>
      <w:tblPr>
        <w:tblW w:w="9638" w:type="dxa"/>
        <w:tblBorders>
          <w:top w:val="single" w:sz="4" w:space="0" w:color="000000"/>
          <w:left w:val="single" w:sz="4" w:space="0" w:color="000000"/>
          <w:bottom w:val="single" w:sz="4" w:space="0" w:color="000000"/>
          <w:insideH w:val="single" w:sz="4" w:space="0" w:color="000000"/>
        </w:tblBorders>
        <w:tblCellMar>
          <w:left w:w="-5" w:type="dxa"/>
        </w:tblCellMar>
        <w:tblLook w:val="0000" w:firstRow="0" w:lastRow="0" w:firstColumn="0" w:lastColumn="0" w:noHBand="0" w:noVBand="0"/>
      </w:tblPr>
      <w:tblGrid>
        <w:gridCol w:w="5855"/>
        <w:gridCol w:w="3783"/>
      </w:tblGrid>
      <w:tr w:rsidR="0001019D" w:rsidRPr="00AF3608" w:rsidTr="00206958">
        <w:trPr>
          <w:trHeight w:hRule="exact" w:val="719"/>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b/>
                <w:lang w:val="ro-RO" w:eastAsia="zh-CN" w:bidi="hi-IN"/>
              </w:rPr>
            </w:pPr>
            <w:r w:rsidRPr="00AF3608">
              <w:rPr>
                <w:rFonts w:ascii="Calibri" w:eastAsia="SimSun" w:hAnsi="Calibri" w:cs="Calibri"/>
                <w:b/>
                <w:lang w:val="ro-RO" w:eastAsia="zh-CN" w:bidi="hi-IN"/>
              </w:rPr>
              <w:t>Ordonatorul principal de credite</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lang w:val="ro-RO" w:eastAsia="zh-CN" w:bidi="hi-IN"/>
              </w:rPr>
            </w:pPr>
            <w:r w:rsidRPr="00AF3608">
              <w:rPr>
                <w:rFonts w:ascii="Calibri" w:eastAsia="SimSun" w:hAnsi="Calibri" w:cs="Calibri"/>
                <w:b/>
                <w:lang w:val="ro-RO" w:eastAsia="zh-CN" w:bidi="hi-IN"/>
              </w:rPr>
              <w:t>Număr de proiecte evaluate în procesul de prioritizare</w:t>
            </w:r>
          </w:p>
        </w:tc>
      </w:tr>
      <w:tr w:rsidR="0001019D" w:rsidRPr="00AF3608" w:rsidTr="00206958">
        <w:trPr>
          <w:trHeight w:val="410"/>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lang w:val="ro-RO" w:eastAsia="zh-CN" w:bidi="hi-IN"/>
              </w:rPr>
            </w:pPr>
            <w:r w:rsidRPr="00AF3608">
              <w:rPr>
                <w:rFonts w:ascii="Calibri" w:eastAsia="SimSun" w:hAnsi="Calibri" w:cs="Calibri"/>
                <w:lang w:val="ro-RO" w:eastAsia="zh-CN" w:bidi="hi-IN"/>
              </w:rPr>
              <w:t xml:space="preserve">Ministerul Transporturilor și Infrastructurii </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lang w:val="ro-RO" w:eastAsia="zh-CN" w:bidi="hi-IN"/>
              </w:rPr>
            </w:pPr>
            <w:r w:rsidRPr="00AF3608">
              <w:rPr>
                <w:rFonts w:ascii="Calibri" w:eastAsia="SimSun" w:hAnsi="Calibri" w:cs="Calibri"/>
                <w:lang w:val="ro-RO" w:eastAsia="zh-CN" w:bidi="hi-IN"/>
              </w:rPr>
              <w:t>130</w:t>
            </w:r>
          </w:p>
        </w:tc>
      </w:tr>
      <w:tr w:rsidR="0001019D" w:rsidRPr="00AF3608" w:rsidTr="00206958">
        <w:trPr>
          <w:trHeight w:val="402"/>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lang w:val="ro-RO" w:eastAsia="zh-CN" w:bidi="hi-IN"/>
              </w:rPr>
            </w:pPr>
            <w:r w:rsidRPr="00AF3608">
              <w:rPr>
                <w:rFonts w:ascii="Calibri" w:eastAsia="SimSun" w:hAnsi="Calibri" w:cs="Calibri"/>
                <w:lang w:val="ro-RO" w:eastAsia="zh-CN" w:bidi="hi-IN"/>
              </w:rPr>
              <w:t>Ministerul Sănătăţii</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lang w:val="ro-RO" w:eastAsia="zh-CN" w:bidi="hi-IN"/>
              </w:rPr>
            </w:pPr>
            <w:r w:rsidRPr="00AF3608">
              <w:rPr>
                <w:rFonts w:ascii="Calibri" w:eastAsia="SimSun" w:hAnsi="Calibri" w:cs="Calibri"/>
                <w:lang w:val="ro-RO" w:eastAsia="zh-CN" w:bidi="hi-IN"/>
              </w:rPr>
              <w:t>6</w:t>
            </w:r>
          </w:p>
        </w:tc>
      </w:tr>
      <w:tr w:rsidR="0001019D" w:rsidRPr="00AF3608" w:rsidTr="00206958">
        <w:trPr>
          <w:trHeight w:val="423"/>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lang w:val="ro-RO" w:eastAsia="zh-CN" w:bidi="hi-IN"/>
              </w:rPr>
            </w:pPr>
            <w:r w:rsidRPr="00AF3608">
              <w:rPr>
                <w:rFonts w:ascii="Calibri" w:eastAsia="SimSun" w:hAnsi="Calibri" w:cs="Calibri"/>
                <w:lang w:val="ro-RO" w:eastAsia="zh-CN" w:bidi="hi-IN"/>
              </w:rPr>
              <w:t>Ministerul Justiţiei</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lang w:val="ro-RO" w:eastAsia="zh-CN" w:bidi="hi-IN"/>
              </w:rPr>
            </w:pPr>
            <w:r w:rsidRPr="00AF3608">
              <w:rPr>
                <w:rFonts w:ascii="Calibri" w:eastAsia="SimSun" w:hAnsi="Calibri" w:cs="Calibri"/>
                <w:lang w:val="ro-RO" w:eastAsia="zh-CN" w:bidi="hi-IN"/>
              </w:rPr>
              <w:t>2</w:t>
            </w:r>
          </w:p>
        </w:tc>
      </w:tr>
      <w:tr w:rsidR="0001019D" w:rsidRPr="00AF3608" w:rsidTr="00206958">
        <w:trPr>
          <w:trHeight w:val="415"/>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lang w:val="ro-RO" w:eastAsia="zh-CN" w:bidi="hi-IN"/>
              </w:rPr>
            </w:pPr>
            <w:r w:rsidRPr="00AF3608">
              <w:rPr>
                <w:rFonts w:ascii="Calibri" w:eastAsia="SimSun" w:hAnsi="Calibri" w:cs="Calibri"/>
                <w:lang w:val="ro-RO" w:eastAsia="zh-CN" w:bidi="hi-IN"/>
              </w:rPr>
              <w:t>Ministerul Dezvoltării, Lucrărilor Publice,  și Administrației</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lang w:val="ro-RO" w:eastAsia="zh-CN" w:bidi="hi-IN"/>
              </w:rPr>
            </w:pPr>
            <w:r w:rsidRPr="00AF3608">
              <w:rPr>
                <w:rFonts w:ascii="Calibri" w:eastAsia="SimSun" w:hAnsi="Calibri" w:cs="Calibri"/>
                <w:lang w:val="ro-RO" w:eastAsia="zh-CN" w:bidi="hi-IN"/>
              </w:rPr>
              <w:t>7</w:t>
            </w:r>
          </w:p>
        </w:tc>
      </w:tr>
      <w:tr w:rsidR="0001019D" w:rsidRPr="00AF3608" w:rsidTr="00206958">
        <w:trPr>
          <w:trHeight w:val="465"/>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lang w:val="ro-RO" w:eastAsia="zh-CN" w:bidi="hi-IN"/>
              </w:rPr>
            </w:pPr>
            <w:r w:rsidRPr="00AF3608">
              <w:rPr>
                <w:rFonts w:ascii="Calibri" w:eastAsia="SimSun" w:hAnsi="Calibri" w:cs="Calibri"/>
                <w:lang w:val="ro-RO" w:eastAsia="zh-CN" w:bidi="hi-IN"/>
              </w:rPr>
              <w:t>Ministerul Mediului, Apelor și Pădurilor</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lang w:val="ro-RO" w:eastAsia="zh-CN" w:bidi="hi-IN"/>
              </w:rPr>
            </w:pPr>
            <w:r w:rsidRPr="00AF3608">
              <w:rPr>
                <w:rFonts w:ascii="Calibri" w:eastAsia="SimSun" w:hAnsi="Calibri" w:cs="Calibri"/>
                <w:lang w:val="ro-RO" w:eastAsia="zh-CN" w:bidi="hi-IN"/>
              </w:rPr>
              <w:t>11</w:t>
            </w:r>
          </w:p>
        </w:tc>
      </w:tr>
      <w:tr w:rsidR="0001019D" w:rsidRPr="00AF3608" w:rsidTr="00206958">
        <w:trPr>
          <w:trHeight w:val="401"/>
        </w:trPr>
        <w:tc>
          <w:tcPr>
            <w:tcW w:w="5855" w:type="dxa"/>
            <w:tcBorders>
              <w:left w:val="single" w:sz="4" w:space="0" w:color="000000"/>
              <w:bottom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lang w:val="ro-RO" w:eastAsia="zh-CN" w:bidi="hi-IN"/>
              </w:rPr>
            </w:pPr>
            <w:r w:rsidRPr="00AF3608">
              <w:rPr>
                <w:rFonts w:ascii="Calibri" w:eastAsia="SimSun" w:hAnsi="Calibri" w:cs="Calibri"/>
                <w:lang w:val="ro-RO" w:eastAsia="zh-CN" w:bidi="hi-IN"/>
              </w:rPr>
              <w:t>Ministerul Economiei, Antreprenoriatului și Turismului</w:t>
            </w:r>
          </w:p>
        </w:tc>
        <w:tc>
          <w:tcPr>
            <w:tcW w:w="3783" w:type="dxa"/>
            <w:tcBorders>
              <w:left w:val="single" w:sz="4" w:space="0" w:color="000000"/>
              <w:bottom w:val="single" w:sz="4" w:space="0" w:color="000000"/>
              <w:right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lang w:val="ro-RO" w:eastAsia="zh-CN" w:bidi="hi-IN"/>
              </w:rPr>
            </w:pPr>
            <w:r w:rsidRPr="00AF3608">
              <w:rPr>
                <w:rFonts w:ascii="Calibri" w:eastAsia="SimSun" w:hAnsi="Calibri" w:cs="Calibri"/>
                <w:lang w:val="ro-RO" w:eastAsia="zh-CN" w:bidi="hi-IN"/>
              </w:rPr>
              <w:t>1</w:t>
            </w:r>
          </w:p>
        </w:tc>
      </w:tr>
      <w:tr w:rsidR="0001019D" w:rsidRPr="00AF3608" w:rsidTr="00206958">
        <w:trPr>
          <w:trHeight w:val="421"/>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lang w:val="ro-RO" w:eastAsia="zh-CN" w:bidi="hi-IN"/>
              </w:rPr>
            </w:pPr>
            <w:r w:rsidRPr="00AF3608">
              <w:rPr>
                <w:rFonts w:ascii="Calibri" w:eastAsia="SimSun" w:hAnsi="Calibri" w:cs="Calibri"/>
                <w:lang w:val="ro-RO" w:eastAsia="zh-CN" w:bidi="hi-IN"/>
              </w:rPr>
              <w:t xml:space="preserve">Ministerul Educației </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lang w:val="ro-RO" w:eastAsia="zh-CN" w:bidi="hi-IN"/>
              </w:rPr>
            </w:pPr>
            <w:r w:rsidRPr="00AF3608">
              <w:rPr>
                <w:rFonts w:ascii="Calibri" w:eastAsia="SimSun" w:hAnsi="Calibri" w:cs="Calibri"/>
                <w:lang w:val="ro-RO" w:eastAsia="zh-CN" w:bidi="hi-IN"/>
              </w:rPr>
              <w:t>1</w:t>
            </w:r>
          </w:p>
        </w:tc>
      </w:tr>
      <w:tr w:rsidR="0001019D" w:rsidRPr="00AF3608" w:rsidTr="00206958">
        <w:trPr>
          <w:trHeight w:val="397"/>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lang w:val="ro-RO" w:eastAsia="zh-CN" w:bidi="hi-IN"/>
              </w:rPr>
            </w:pPr>
            <w:r w:rsidRPr="00AF3608">
              <w:rPr>
                <w:rFonts w:ascii="Calibri" w:eastAsia="SimSun" w:hAnsi="Calibri" w:cs="Calibri"/>
                <w:lang w:val="ro-RO" w:eastAsia="zh-CN" w:bidi="hi-IN"/>
              </w:rPr>
              <w:t>Ministerul Apărării Naţionale</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lang w:val="ro-RO" w:eastAsia="zh-CN" w:bidi="hi-IN"/>
              </w:rPr>
            </w:pPr>
            <w:r w:rsidRPr="00AF3608">
              <w:rPr>
                <w:rFonts w:ascii="Calibri" w:eastAsia="SimSun" w:hAnsi="Calibri" w:cs="Calibri"/>
                <w:lang w:val="ro-RO" w:eastAsia="zh-CN" w:bidi="hi-IN"/>
              </w:rPr>
              <w:t>1</w:t>
            </w:r>
          </w:p>
        </w:tc>
      </w:tr>
      <w:tr w:rsidR="0001019D" w:rsidRPr="00AF3608" w:rsidTr="00206958">
        <w:trPr>
          <w:trHeight w:val="397"/>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lang w:val="ro-RO" w:eastAsia="zh-CN" w:bidi="hi-IN"/>
              </w:rPr>
            </w:pPr>
            <w:r w:rsidRPr="00AF3608">
              <w:rPr>
                <w:rFonts w:ascii="Calibri" w:eastAsia="SimSun" w:hAnsi="Calibri" w:cs="Calibri"/>
                <w:lang w:val="ro-RO" w:eastAsia="zh-CN" w:bidi="hi-IN"/>
              </w:rPr>
              <w:t>Serviciul de Protecție și Pază</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lang w:val="ro-RO" w:eastAsia="zh-CN" w:bidi="hi-IN"/>
              </w:rPr>
            </w:pPr>
            <w:r w:rsidRPr="00AF3608">
              <w:rPr>
                <w:rFonts w:ascii="Calibri" w:eastAsia="SimSun" w:hAnsi="Calibri" w:cs="Calibri"/>
                <w:lang w:val="ro-RO" w:eastAsia="zh-CN" w:bidi="hi-IN"/>
              </w:rPr>
              <w:t>1</w:t>
            </w:r>
          </w:p>
        </w:tc>
      </w:tr>
      <w:tr w:rsidR="0001019D" w:rsidRPr="00AF3608" w:rsidTr="00206958">
        <w:trPr>
          <w:trHeight w:hRule="exact" w:val="391"/>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b/>
                <w:lang w:val="ro-RO" w:eastAsia="zh-CN" w:bidi="hi-IN"/>
              </w:rPr>
            </w:pPr>
            <w:r w:rsidRPr="00AF3608">
              <w:rPr>
                <w:rFonts w:ascii="Calibri" w:eastAsia="SimSun" w:hAnsi="Calibri" w:cs="Calibri"/>
                <w:b/>
                <w:lang w:val="ro-RO" w:eastAsia="zh-CN" w:bidi="hi-IN"/>
              </w:rPr>
              <w:t xml:space="preserve">Total: </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b/>
                <w:lang w:val="ro-RO" w:eastAsia="zh-CN" w:bidi="hi-IN"/>
              </w:rPr>
            </w:pPr>
            <w:r w:rsidRPr="00AF3608">
              <w:rPr>
                <w:rFonts w:ascii="Calibri" w:eastAsia="SimSun" w:hAnsi="Calibri" w:cs="Calibri"/>
                <w:b/>
                <w:lang w:val="ro-RO" w:eastAsia="zh-CN" w:bidi="hi-IN"/>
              </w:rPr>
              <w:t>160</w:t>
            </w:r>
          </w:p>
        </w:tc>
      </w:tr>
    </w:tbl>
    <w:p w:rsidR="0001019D" w:rsidRPr="00AF3608" w:rsidRDefault="0001019D" w:rsidP="00B723C0">
      <w:pPr>
        <w:widowControl w:val="0"/>
        <w:suppressAutoHyphens/>
        <w:spacing w:before="120"/>
        <w:jc w:val="both"/>
        <w:rPr>
          <w:rFonts w:ascii="Calibri" w:eastAsia="SimSun" w:hAnsi="Calibri" w:cs="Calibri"/>
          <w:lang w:val="ro-RO" w:eastAsia="zh-CN" w:bidi="hi-IN"/>
        </w:rPr>
      </w:pPr>
    </w:p>
    <w:p w:rsidR="0001019D" w:rsidRPr="00AF3608" w:rsidRDefault="0001019D" w:rsidP="00B723C0">
      <w:pPr>
        <w:widowControl w:val="0"/>
        <w:suppressAutoHyphens/>
        <w:spacing w:before="120"/>
        <w:jc w:val="both"/>
        <w:rPr>
          <w:rFonts w:ascii="Calibri" w:eastAsia="SimSun" w:hAnsi="Calibri" w:cs="Calibri"/>
          <w:lang w:val="ro-RO" w:eastAsia="zh-CN" w:bidi="hi-IN"/>
        </w:rPr>
      </w:pPr>
      <w:r w:rsidRPr="00AF3608">
        <w:rPr>
          <w:rFonts w:ascii="Calibri" w:eastAsia="SimSun" w:hAnsi="Calibri" w:cs="Calibri"/>
          <w:lang w:val="ro-RO" w:eastAsia="zh-CN" w:bidi="hi-IN"/>
        </w:rPr>
        <w:t>Prezentăm mai jos aspectele principale evidențiate în cuprinsul memorandumului:</w:t>
      </w:r>
    </w:p>
    <w:p w:rsidR="0001019D" w:rsidRPr="00AF3608" w:rsidRDefault="0001019D" w:rsidP="00120AA6">
      <w:pPr>
        <w:widowControl w:val="0"/>
        <w:numPr>
          <w:ilvl w:val="0"/>
          <w:numId w:val="12"/>
        </w:numPr>
        <w:suppressAutoHyphens/>
        <w:spacing w:before="120"/>
        <w:jc w:val="both"/>
        <w:rPr>
          <w:rFonts w:ascii="Calibri" w:hAnsi="Calibri" w:cs="Calibri"/>
          <w:bCs/>
          <w:color w:val="00000A"/>
          <w:kern w:val="1"/>
          <w:lang w:val="ro-RO"/>
        </w:rPr>
      </w:pPr>
      <w:r w:rsidRPr="00AF3608">
        <w:rPr>
          <w:rFonts w:ascii="Calibri" w:hAnsi="Calibri" w:cs="Calibri"/>
          <w:color w:val="00000A"/>
          <w:kern w:val="1"/>
          <w:lang w:val="ro-RO"/>
        </w:rPr>
        <w:t xml:space="preserve">Distribuția cheltuielilor reprezentând valoarea actualizată totală a proiectelor pe ordonatorii principali de credite: s-a constatat că cea mai ridicată pondere a cheltuielilor revine Ministerul Transporturilor și Infrastructurii (91,13%), urmat de Ministerul Sănătății  </w:t>
      </w:r>
      <w:r w:rsidRPr="00AF3608">
        <w:rPr>
          <w:rFonts w:ascii="Calibri" w:hAnsi="Calibri" w:cs="Calibri"/>
          <w:bCs/>
          <w:color w:val="00000A"/>
          <w:kern w:val="1"/>
          <w:lang w:val="ro-RO"/>
        </w:rPr>
        <w:t>(4,03 %). (Figura 1).</w:t>
      </w:r>
    </w:p>
    <w:p w:rsidR="0001019D" w:rsidRPr="00AF3608" w:rsidRDefault="0001019D" w:rsidP="00B723C0">
      <w:pPr>
        <w:widowControl w:val="0"/>
        <w:suppressAutoHyphens/>
        <w:spacing w:before="120"/>
        <w:ind w:firstLine="720"/>
        <w:jc w:val="both"/>
        <w:rPr>
          <w:rFonts w:ascii="Calibri" w:eastAsia="SimSun" w:hAnsi="Calibri" w:cs="Calibri"/>
          <w:bCs/>
          <w:i/>
          <w:lang w:val="ro-RO" w:eastAsia="zh-CN" w:bidi="hi-IN"/>
        </w:rPr>
      </w:pPr>
      <w:r w:rsidRPr="00AF3608">
        <w:rPr>
          <w:rFonts w:ascii="Calibri" w:eastAsia="SimSun" w:hAnsi="Calibri" w:cs="Calibri"/>
          <w:bCs/>
          <w:i/>
          <w:lang w:val="ro-RO" w:eastAsia="zh-CN" w:bidi="hi-IN"/>
        </w:rPr>
        <w:t>Figura 1</w:t>
      </w:r>
    </w:p>
    <w:p w:rsidR="0001019D" w:rsidRPr="00AF3608" w:rsidRDefault="0001019D" w:rsidP="00B723C0">
      <w:pPr>
        <w:widowControl w:val="0"/>
        <w:suppressAutoHyphens/>
        <w:spacing w:before="120"/>
        <w:ind w:firstLine="720"/>
        <w:jc w:val="both"/>
        <w:rPr>
          <w:rFonts w:ascii="Calibri" w:eastAsia="SimSun" w:hAnsi="Calibri" w:cs="Calibri"/>
          <w:bCs/>
          <w:i/>
          <w:lang w:val="ro-RO" w:eastAsia="zh-CN" w:bidi="hi-IN"/>
        </w:rPr>
      </w:pPr>
      <w:r w:rsidRPr="00AF3608">
        <w:rPr>
          <w:noProof/>
        </w:rPr>
        <w:drawing>
          <wp:inline distT="0" distB="0" distL="0" distR="0" wp14:anchorId="505E2397" wp14:editId="46883883">
            <wp:extent cx="4786685" cy="3228229"/>
            <wp:effectExtent l="0" t="0" r="13970" b="10795"/>
            <wp:docPr id="52" name="Chart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1019D" w:rsidRPr="00AF3608" w:rsidRDefault="0001019D" w:rsidP="00B723C0">
      <w:pPr>
        <w:widowControl w:val="0"/>
        <w:suppressAutoHyphens/>
        <w:spacing w:before="120"/>
        <w:jc w:val="center"/>
        <w:rPr>
          <w:rFonts w:ascii="Calibri" w:eastAsia="SimSun" w:hAnsi="Calibri" w:cs="Calibri"/>
          <w:lang w:val="ro-RO" w:eastAsia="zh-CN" w:bidi="hi-IN"/>
        </w:rPr>
      </w:pPr>
    </w:p>
    <w:p w:rsidR="0001019D" w:rsidRPr="00AF3608" w:rsidRDefault="0001019D" w:rsidP="00AB6E79">
      <w:pPr>
        <w:widowControl w:val="0"/>
        <w:suppressAutoHyphens/>
        <w:spacing w:before="120"/>
        <w:jc w:val="both"/>
        <w:rPr>
          <w:rFonts w:ascii="Calibri" w:hAnsi="Calibri" w:cs="Calibri"/>
          <w:color w:val="00000A"/>
          <w:kern w:val="1"/>
          <w:lang w:val="ro-RO"/>
        </w:rPr>
      </w:pPr>
      <w:r w:rsidRPr="00AF3608">
        <w:rPr>
          <w:rFonts w:ascii="Calibri" w:hAnsi="Calibri" w:cs="Calibri"/>
          <w:color w:val="00000A"/>
          <w:kern w:val="1"/>
          <w:lang w:val="ro-RO"/>
        </w:rPr>
        <w:t xml:space="preserve">Distribuția restului de finanțare până la finalizarea proiectelor de investiții pe ordonatorii de credite:din datele prezentate în </w:t>
      </w:r>
      <w:r w:rsidRPr="00AF3608">
        <w:rPr>
          <w:rFonts w:ascii="Calibri" w:hAnsi="Calibri" w:cs="Calibri"/>
          <w:i/>
          <w:color w:val="00000A"/>
          <w:kern w:val="1"/>
          <w:lang w:val="ro-RO"/>
        </w:rPr>
        <w:t>Figura 2</w:t>
      </w:r>
      <w:r w:rsidRPr="00AF3608">
        <w:rPr>
          <w:rFonts w:ascii="Calibri" w:hAnsi="Calibri" w:cs="Calibri"/>
          <w:color w:val="00000A"/>
          <w:kern w:val="1"/>
          <w:lang w:val="ro-RO"/>
        </w:rPr>
        <w:t xml:space="preserve"> rezultă că cea mai mare pondere revine Ministerului Transporturilor și Infrastructurii (89,13%), urmat de Ministerul Sănătății (5,93</w:t>
      </w:r>
      <w:r w:rsidR="008C35B0" w:rsidRPr="00AF3608">
        <w:rPr>
          <w:rFonts w:ascii="Calibri" w:hAnsi="Calibri" w:cs="Calibri"/>
          <w:color w:val="00000A"/>
          <w:kern w:val="1"/>
          <w:lang w:val="ro-RO"/>
        </w:rPr>
        <w:t>%)</w:t>
      </w:r>
      <w:r w:rsidRPr="00AF3608">
        <w:rPr>
          <w:rFonts w:ascii="Calibri" w:hAnsi="Calibri" w:cs="Calibri"/>
          <w:color w:val="00000A"/>
          <w:kern w:val="1"/>
          <w:lang w:val="ro-RO"/>
        </w:rPr>
        <w:t xml:space="preserve">. </w:t>
      </w:r>
    </w:p>
    <w:p w:rsidR="0001019D" w:rsidRPr="00AF3608" w:rsidRDefault="0001019D" w:rsidP="00B723C0">
      <w:pPr>
        <w:widowControl w:val="0"/>
        <w:suppressAutoHyphens/>
        <w:spacing w:before="120"/>
        <w:ind w:firstLine="720"/>
        <w:jc w:val="both"/>
        <w:rPr>
          <w:rFonts w:ascii="Calibri" w:eastAsia="SimSun" w:hAnsi="Calibri" w:cs="Calibri"/>
          <w:bCs/>
          <w:i/>
          <w:lang w:val="ro-RO" w:eastAsia="zh-CN" w:bidi="hi-IN"/>
        </w:rPr>
      </w:pPr>
      <w:r w:rsidRPr="00AF3608">
        <w:rPr>
          <w:rFonts w:ascii="Calibri" w:eastAsia="SimSun" w:hAnsi="Calibri" w:cs="Calibri"/>
          <w:bCs/>
          <w:i/>
          <w:lang w:val="ro-RO" w:eastAsia="zh-CN" w:bidi="hi-IN"/>
        </w:rPr>
        <w:t>Figura 2</w:t>
      </w:r>
    </w:p>
    <w:p w:rsidR="0001019D" w:rsidRPr="00AF3608" w:rsidRDefault="0001019D" w:rsidP="00B723C0">
      <w:pPr>
        <w:widowControl w:val="0"/>
        <w:suppressAutoHyphens/>
        <w:spacing w:before="120"/>
        <w:jc w:val="center"/>
        <w:rPr>
          <w:rFonts w:ascii="Calibri" w:eastAsia="SimSun" w:hAnsi="Calibri" w:cs="Calibri"/>
          <w:lang w:val="ro-RO" w:eastAsia="zh-CN" w:bidi="hi-IN"/>
        </w:rPr>
      </w:pPr>
    </w:p>
    <w:p w:rsidR="0001019D" w:rsidRPr="00AF3608" w:rsidRDefault="0001019D" w:rsidP="00B723C0">
      <w:pPr>
        <w:widowControl w:val="0"/>
        <w:suppressAutoHyphens/>
        <w:spacing w:before="120"/>
        <w:jc w:val="center"/>
        <w:rPr>
          <w:rFonts w:ascii="Calibri" w:eastAsia="SimSun" w:hAnsi="Calibri" w:cs="Calibri"/>
          <w:lang w:val="ro-RO" w:eastAsia="zh-CN" w:bidi="hi-IN"/>
        </w:rPr>
      </w:pPr>
      <w:r w:rsidRPr="00AF3608">
        <w:rPr>
          <w:noProof/>
        </w:rPr>
        <w:drawing>
          <wp:inline distT="0" distB="0" distL="0" distR="0" wp14:anchorId="72ECDF91" wp14:editId="04499FB0">
            <wp:extent cx="5238750" cy="3419475"/>
            <wp:effectExtent l="0" t="0" r="0" b="9525"/>
            <wp:docPr id="53" name="Char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1019D" w:rsidRPr="00AF3608" w:rsidRDefault="0001019D" w:rsidP="00B723C0">
      <w:pPr>
        <w:widowControl w:val="0"/>
        <w:suppressAutoHyphens/>
        <w:spacing w:before="120"/>
        <w:jc w:val="both"/>
        <w:rPr>
          <w:rFonts w:ascii="Calibri" w:eastAsia="SimSun" w:hAnsi="Calibri" w:cs="Calibri"/>
          <w:lang w:val="ro-RO" w:eastAsia="zh-CN" w:bidi="hi-IN"/>
        </w:rPr>
      </w:pPr>
    </w:p>
    <w:p w:rsidR="0001019D" w:rsidRPr="00AF3608" w:rsidRDefault="0001019D" w:rsidP="00B723C0">
      <w:pPr>
        <w:widowControl w:val="0"/>
        <w:suppressAutoHyphens/>
        <w:spacing w:before="120"/>
        <w:jc w:val="both"/>
        <w:rPr>
          <w:rFonts w:ascii="Calibri" w:eastAsia="SimSun" w:hAnsi="Calibri" w:cs="Calibri"/>
          <w:lang w:val="ro-RO" w:eastAsia="zh-CN" w:bidi="hi-IN"/>
        </w:rPr>
      </w:pPr>
      <w:r w:rsidRPr="00AF3608">
        <w:rPr>
          <w:rFonts w:ascii="Calibri" w:eastAsia="SimSun" w:hAnsi="Calibri" w:cs="Calibri"/>
          <w:lang w:val="ro-RO" w:eastAsia="zh-CN" w:bidi="hi-IN"/>
        </w:rPr>
        <w:t>Referitor la stadiul de implementare al celor 160 de proiecte de investiții publice semnificative transmise de ordonatorii principali de credite în cadrul procesului de prioritizare, se constată că:</w:t>
      </w:r>
    </w:p>
    <w:p w:rsidR="0001019D" w:rsidRPr="00AF3608" w:rsidRDefault="0001019D" w:rsidP="00B723C0">
      <w:pPr>
        <w:widowControl w:val="0"/>
        <w:suppressAutoHyphens/>
        <w:spacing w:before="120"/>
        <w:jc w:val="both"/>
        <w:rPr>
          <w:rFonts w:ascii="Calibri" w:eastAsia="SimSun" w:hAnsi="Calibri" w:cs="Calibri"/>
          <w:lang w:val="ro-RO" w:eastAsia="zh-CN" w:bidi="hi-IN"/>
        </w:rPr>
      </w:pPr>
    </w:p>
    <w:tbl>
      <w:tblPr>
        <w:tblStyle w:val="TableGrid131"/>
        <w:tblW w:w="0" w:type="auto"/>
        <w:tblLook w:val="04A0" w:firstRow="1" w:lastRow="0" w:firstColumn="1" w:lastColumn="0" w:noHBand="0" w:noVBand="1"/>
      </w:tblPr>
      <w:tblGrid>
        <w:gridCol w:w="4824"/>
        <w:gridCol w:w="4805"/>
      </w:tblGrid>
      <w:tr w:rsidR="0001019D" w:rsidRPr="00AF3608" w:rsidTr="00206958">
        <w:tc>
          <w:tcPr>
            <w:tcW w:w="4927" w:type="dxa"/>
          </w:tcPr>
          <w:p w:rsidR="0001019D" w:rsidRPr="00AF3608" w:rsidRDefault="0001019D" w:rsidP="00B723C0">
            <w:pPr>
              <w:widowControl w:val="0"/>
              <w:suppressAutoHyphens/>
              <w:spacing w:before="120"/>
              <w:jc w:val="center"/>
              <w:rPr>
                <w:rFonts w:ascii="Calibri" w:eastAsia="SimSun" w:hAnsi="Calibri" w:cs="Calibri"/>
                <w:b/>
              </w:rPr>
            </w:pPr>
            <w:r w:rsidRPr="00AF3608">
              <w:rPr>
                <w:rFonts w:ascii="Calibri" w:eastAsia="SimSun" w:hAnsi="Calibri" w:cs="Calibri"/>
                <w:b/>
              </w:rPr>
              <w:t>Stadiul implementării</w:t>
            </w:r>
          </w:p>
        </w:tc>
        <w:tc>
          <w:tcPr>
            <w:tcW w:w="4927" w:type="dxa"/>
          </w:tcPr>
          <w:p w:rsidR="0001019D" w:rsidRPr="00AF3608" w:rsidRDefault="0001019D" w:rsidP="00B723C0">
            <w:pPr>
              <w:widowControl w:val="0"/>
              <w:suppressAutoHyphens/>
              <w:spacing w:before="120"/>
              <w:jc w:val="center"/>
              <w:rPr>
                <w:rFonts w:ascii="Calibri" w:eastAsia="SimSun" w:hAnsi="Calibri" w:cs="Calibri"/>
                <w:b/>
              </w:rPr>
            </w:pPr>
            <w:r w:rsidRPr="00AF3608">
              <w:rPr>
                <w:rFonts w:ascii="Calibri" w:eastAsia="SimSun" w:hAnsi="Calibri" w:cs="Calibri"/>
                <w:b/>
              </w:rPr>
              <w:t>Număr de proiecte</w:t>
            </w:r>
          </w:p>
        </w:tc>
      </w:tr>
      <w:tr w:rsidR="0001019D" w:rsidRPr="00AF3608" w:rsidTr="00206958">
        <w:tc>
          <w:tcPr>
            <w:tcW w:w="4927" w:type="dxa"/>
          </w:tcPr>
          <w:p w:rsidR="0001019D" w:rsidRPr="00AF3608" w:rsidRDefault="0001019D" w:rsidP="00B723C0">
            <w:pPr>
              <w:widowControl w:val="0"/>
              <w:suppressAutoHyphens/>
              <w:spacing w:before="120"/>
              <w:jc w:val="both"/>
              <w:rPr>
                <w:rFonts w:ascii="Calibri" w:eastAsia="SimSun" w:hAnsi="Calibri" w:cs="Calibri"/>
              </w:rPr>
            </w:pPr>
            <w:r w:rsidRPr="00AF3608">
              <w:rPr>
                <w:rFonts w:ascii="Calibri" w:eastAsia="SimSun" w:hAnsi="Calibri" w:cs="Calibri"/>
              </w:rPr>
              <w:t>Stadiu fizic de 0%</w:t>
            </w:r>
          </w:p>
        </w:tc>
        <w:tc>
          <w:tcPr>
            <w:tcW w:w="4927" w:type="dxa"/>
          </w:tcPr>
          <w:p w:rsidR="0001019D" w:rsidRPr="00AF3608" w:rsidRDefault="0001019D" w:rsidP="00B723C0">
            <w:pPr>
              <w:widowControl w:val="0"/>
              <w:suppressAutoHyphens/>
              <w:spacing w:before="120"/>
              <w:jc w:val="center"/>
              <w:rPr>
                <w:rFonts w:ascii="Calibri" w:eastAsia="SimSun" w:hAnsi="Calibri" w:cs="Calibri"/>
              </w:rPr>
            </w:pPr>
            <w:r w:rsidRPr="00AF3608">
              <w:rPr>
                <w:rFonts w:ascii="Calibri" w:eastAsia="SimSun" w:hAnsi="Calibri" w:cs="Calibri"/>
              </w:rPr>
              <w:t>46</w:t>
            </w:r>
          </w:p>
        </w:tc>
      </w:tr>
      <w:tr w:rsidR="0001019D" w:rsidRPr="00AF3608" w:rsidTr="00206958">
        <w:tc>
          <w:tcPr>
            <w:tcW w:w="4927" w:type="dxa"/>
          </w:tcPr>
          <w:p w:rsidR="0001019D" w:rsidRPr="00AF3608" w:rsidRDefault="0001019D" w:rsidP="00B723C0">
            <w:pPr>
              <w:widowControl w:val="0"/>
              <w:suppressAutoHyphens/>
              <w:spacing w:before="120"/>
              <w:jc w:val="both"/>
              <w:rPr>
                <w:rFonts w:ascii="Calibri" w:eastAsia="SimSun" w:hAnsi="Calibri" w:cs="Calibri"/>
              </w:rPr>
            </w:pPr>
            <w:r w:rsidRPr="00AF3608">
              <w:rPr>
                <w:rFonts w:ascii="Calibri" w:eastAsia="SimSun" w:hAnsi="Calibri" w:cs="Calibri"/>
              </w:rPr>
              <w:t>Proiecte în curs de implementare</w:t>
            </w:r>
          </w:p>
        </w:tc>
        <w:tc>
          <w:tcPr>
            <w:tcW w:w="4927" w:type="dxa"/>
          </w:tcPr>
          <w:p w:rsidR="0001019D" w:rsidRPr="00AF3608" w:rsidRDefault="0001019D" w:rsidP="00B723C0">
            <w:pPr>
              <w:widowControl w:val="0"/>
              <w:suppressAutoHyphens/>
              <w:spacing w:before="120"/>
              <w:jc w:val="center"/>
              <w:rPr>
                <w:rFonts w:ascii="Calibri" w:eastAsia="SimSun" w:hAnsi="Calibri" w:cs="Calibri"/>
              </w:rPr>
            </w:pPr>
            <w:r w:rsidRPr="00AF3608">
              <w:rPr>
                <w:rFonts w:ascii="Calibri" w:eastAsia="SimSun" w:hAnsi="Calibri" w:cs="Calibri"/>
              </w:rPr>
              <w:t>67</w:t>
            </w:r>
          </w:p>
        </w:tc>
      </w:tr>
      <w:tr w:rsidR="0001019D" w:rsidRPr="00AF3608" w:rsidTr="00206958">
        <w:tc>
          <w:tcPr>
            <w:tcW w:w="4927" w:type="dxa"/>
          </w:tcPr>
          <w:p w:rsidR="0001019D" w:rsidRPr="00AF3608" w:rsidRDefault="0001019D" w:rsidP="00B723C0">
            <w:pPr>
              <w:widowControl w:val="0"/>
              <w:suppressAutoHyphens/>
              <w:spacing w:before="120"/>
              <w:jc w:val="both"/>
              <w:rPr>
                <w:rFonts w:ascii="Calibri" w:eastAsia="SimSun" w:hAnsi="Calibri" w:cs="Calibri"/>
              </w:rPr>
            </w:pPr>
            <w:r w:rsidRPr="00AF3608">
              <w:rPr>
                <w:rFonts w:ascii="Calibri" w:eastAsia="SimSun" w:hAnsi="Calibri" w:cs="Calibri"/>
              </w:rPr>
              <w:t>Proiecte cu stadiu fizic de execuție de 100%</w:t>
            </w:r>
          </w:p>
        </w:tc>
        <w:tc>
          <w:tcPr>
            <w:tcW w:w="4927" w:type="dxa"/>
          </w:tcPr>
          <w:p w:rsidR="0001019D" w:rsidRPr="00AF3608" w:rsidRDefault="0001019D" w:rsidP="00B723C0">
            <w:pPr>
              <w:widowControl w:val="0"/>
              <w:suppressAutoHyphens/>
              <w:spacing w:before="120"/>
              <w:jc w:val="center"/>
              <w:rPr>
                <w:rFonts w:ascii="Calibri" w:eastAsia="SimSun" w:hAnsi="Calibri" w:cs="Calibri"/>
              </w:rPr>
            </w:pPr>
            <w:r w:rsidRPr="00AF3608">
              <w:rPr>
                <w:rFonts w:ascii="Calibri" w:eastAsia="SimSun" w:hAnsi="Calibri" w:cs="Calibri"/>
              </w:rPr>
              <w:t>47</w:t>
            </w:r>
          </w:p>
        </w:tc>
      </w:tr>
    </w:tbl>
    <w:p w:rsidR="0001019D" w:rsidRPr="00AF3608" w:rsidRDefault="0001019D" w:rsidP="00B723C0">
      <w:pPr>
        <w:widowControl w:val="0"/>
        <w:suppressAutoHyphens/>
        <w:spacing w:before="120"/>
        <w:jc w:val="both"/>
        <w:rPr>
          <w:rFonts w:ascii="Calibri" w:eastAsia="SimSun" w:hAnsi="Calibri" w:cs="Calibri"/>
          <w:lang w:val="ro-RO" w:eastAsia="zh-CN" w:bidi="hi-IN"/>
        </w:rPr>
      </w:pPr>
    </w:p>
    <w:p w:rsidR="0001019D" w:rsidRDefault="0001019D" w:rsidP="00B723C0">
      <w:pPr>
        <w:widowControl w:val="0"/>
        <w:suppressAutoHyphens/>
        <w:spacing w:before="120"/>
        <w:jc w:val="both"/>
        <w:rPr>
          <w:rFonts w:ascii="Calibri" w:eastAsia="SimSun" w:hAnsi="Calibri" w:cs="Calibri"/>
          <w:lang w:val="ro-RO" w:eastAsia="zh-CN" w:bidi="hi-IN"/>
        </w:rPr>
      </w:pPr>
      <w:r w:rsidRPr="00AF3608">
        <w:rPr>
          <w:rFonts w:ascii="Calibri" w:eastAsia="SimSun" w:hAnsi="Calibri" w:cs="Calibri"/>
          <w:lang w:val="ro-RO" w:eastAsia="zh-CN" w:bidi="hi-IN"/>
        </w:rPr>
        <w:t xml:space="preserve">Cele 47 proiecte de investiții publice semnificative al căror stadiu fizic de execuție este 100% (finalizate), nu sunt închise financiar din cauza sentințelor civile, disputelor, arbitrajelor, etc sumele necesare efectuării plăților în vederea închiderii financiare reprezintă 4,76% din totalul necesarului de finanțat pentru proiectele de investiții publice semnificative prioritizate. În figura nr. 3 prezentăm distribuția acestor proiecte pe ordonatorii principali de credite. </w:t>
      </w:r>
    </w:p>
    <w:p w:rsidR="00AB6E79" w:rsidRDefault="00AB6E79" w:rsidP="00B723C0">
      <w:pPr>
        <w:widowControl w:val="0"/>
        <w:suppressAutoHyphens/>
        <w:spacing w:before="120"/>
        <w:jc w:val="both"/>
        <w:rPr>
          <w:rFonts w:ascii="Calibri" w:eastAsia="SimSun" w:hAnsi="Calibri" w:cs="Calibri"/>
          <w:lang w:val="ro-RO" w:eastAsia="zh-CN" w:bidi="hi-IN"/>
        </w:rPr>
      </w:pPr>
    </w:p>
    <w:p w:rsidR="00AB6E79" w:rsidRDefault="00AB6E79" w:rsidP="00B723C0">
      <w:pPr>
        <w:widowControl w:val="0"/>
        <w:suppressAutoHyphens/>
        <w:spacing w:before="120"/>
        <w:jc w:val="both"/>
        <w:rPr>
          <w:rFonts w:ascii="Calibri" w:eastAsia="SimSun" w:hAnsi="Calibri" w:cs="Calibri"/>
          <w:lang w:val="ro-RO" w:eastAsia="zh-CN" w:bidi="hi-IN"/>
        </w:rPr>
      </w:pPr>
    </w:p>
    <w:p w:rsidR="00AB6E79" w:rsidRDefault="00AB6E79" w:rsidP="00B723C0">
      <w:pPr>
        <w:widowControl w:val="0"/>
        <w:suppressAutoHyphens/>
        <w:spacing w:before="120"/>
        <w:jc w:val="both"/>
        <w:rPr>
          <w:rFonts w:ascii="Calibri" w:eastAsia="SimSun" w:hAnsi="Calibri" w:cs="Calibri"/>
          <w:lang w:val="ro-RO" w:eastAsia="zh-CN" w:bidi="hi-IN"/>
        </w:rPr>
      </w:pPr>
    </w:p>
    <w:p w:rsidR="00AB6E79" w:rsidRPr="00AF3608" w:rsidRDefault="00AB6E79" w:rsidP="00B723C0">
      <w:pPr>
        <w:widowControl w:val="0"/>
        <w:suppressAutoHyphens/>
        <w:spacing w:before="120"/>
        <w:jc w:val="both"/>
        <w:rPr>
          <w:rFonts w:ascii="Calibri" w:eastAsia="SimSun" w:hAnsi="Calibri" w:cs="Calibri"/>
          <w:lang w:val="ro-RO" w:eastAsia="zh-CN" w:bidi="hi-IN"/>
        </w:rPr>
      </w:pPr>
    </w:p>
    <w:p w:rsidR="0001019D" w:rsidRPr="00AF3608" w:rsidRDefault="0001019D" w:rsidP="00B723C0">
      <w:pPr>
        <w:widowControl w:val="0"/>
        <w:suppressAutoHyphens/>
        <w:spacing w:before="120"/>
        <w:ind w:firstLine="720"/>
        <w:jc w:val="both"/>
        <w:rPr>
          <w:rFonts w:ascii="Calibri" w:eastAsia="SimSun" w:hAnsi="Calibri" w:cs="Calibri"/>
          <w:bCs/>
          <w:i/>
          <w:lang w:val="ro-RO" w:eastAsia="zh-CN" w:bidi="hi-IN"/>
        </w:rPr>
      </w:pPr>
      <w:r w:rsidRPr="00AF3608">
        <w:rPr>
          <w:rFonts w:ascii="Calibri" w:eastAsia="SimSun" w:hAnsi="Calibri" w:cs="Calibri"/>
          <w:bCs/>
          <w:i/>
          <w:lang w:val="ro-RO" w:eastAsia="zh-CN" w:bidi="hi-IN"/>
        </w:rPr>
        <w:lastRenderedPageBreak/>
        <w:t>Figura nr. 3</w:t>
      </w:r>
    </w:p>
    <w:p w:rsidR="0001019D" w:rsidRPr="00AF3608" w:rsidRDefault="0001019D" w:rsidP="00B723C0">
      <w:pPr>
        <w:widowControl w:val="0"/>
        <w:suppressAutoHyphens/>
        <w:spacing w:before="120"/>
        <w:jc w:val="center"/>
        <w:rPr>
          <w:rFonts w:ascii="Calibri" w:eastAsia="SimSun" w:hAnsi="Calibri" w:cs="Calibri"/>
          <w:bCs/>
          <w:i/>
          <w:lang w:val="ro-RO" w:eastAsia="zh-CN" w:bidi="hi-IN"/>
        </w:rPr>
      </w:pPr>
      <w:r w:rsidRPr="00AF3608">
        <w:rPr>
          <w:noProof/>
        </w:rPr>
        <w:drawing>
          <wp:inline distT="0" distB="0" distL="0" distR="0" wp14:anchorId="177FC688" wp14:editId="1BF00D99">
            <wp:extent cx="4238045" cy="3061252"/>
            <wp:effectExtent l="0" t="0" r="10160" b="635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1019D" w:rsidRPr="00AF3608" w:rsidRDefault="0001019D" w:rsidP="00B723C0">
      <w:pPr>
        <w:widowControl w:val="0"/>
        <w:suppressAutoHyphens/>
        <w:spacing w:before="120"/>
        <w:jc w:val="center"/>
        <w:rPr>
          <w:rFonts w:ascii="Calibri" w:eastAsia="SimSun" w:hAnsi="Calibri" w:cs="Calibri"/>
          <w:i/>
          <w:lang w:val="ro-RO" w:eastAsia="zh-CN" w:bidi="hi-IN"/>
        </w:rPr>
      </w:pPr>
      <w:r w:rsidRPr="00AF3608">
        <w:rPr>
          <w:rFonts w:ascii="Calibri" w:eastAsia="SimSun" w:hAnsi="Calibri" w:cs="Calibri"/>
          <w:lang w:val="ro-RO" w:eastAsia="zh-CN" w:bidi="hi-IN"/>
        </w:rPr>
        <w:t>Notă</w:t>
      </w:r>
      <w:r w:rsidRPr="00AF3608">
        <w:rPr>
          <w:rFonts w:ascii="Calibri" w:eastAsia="SimSun" w:hAnsi="Calibri" w:cs="Calibri"/>
          <w:i/>
          <w:lang w:val="ro-RO" w:eastAsia="zh-CN" w:bidi="hi-IN"/>
        </w:rPr>
        <w:t>:informațiile pe baza cărora au fost elaborate sintezele de mai sus au fost comunicate de către ordonatorii principali de credite în cadrul procesului de prioritizare.</w:t>
      </w:r>
    </w:p>
    <w:p w:rsidR="0001019D" w:rsidRPr="00AF3608" w:rsidRDefault="0001019D" w:rsidP="00B723C0">
      <w:pPr>
        <w:suppressAutoHyphens/>
        <w:spacing w:before="120"/>
        <w:jc w:val="both"/>
        <w:rPr>
          <w:rFonts w:ascii="Calibri" w:hAnsi="Calibri" w:cs="Calibri"/>
          <w:lang w:val="ro-RO"/>
        </w:rPr>
      </w:pPr>
    </w:p>
    <w:p w:rsidR="0001019D" w:rsidRPr="00AF3608" w:rsidRDefault="0001019D" w:rsidP="00B723C0">
      <w:pPr>
        <w:suppressAutoHyphens/>
        <w:spacing w:before="120"/>
        <w:jc w:val="both"/>
        <w:rPr>
          <w:rFonts w:ascii="Calibri" w:hAnsi="Calibri" w:cs="Calibri"/>
          <w:lang w:val="ro-RO"/>
        </w:rPr>
      </w:pPr>
    </w:p>
    <w:p w:rsidR="0001019D" w:rsidRPr="00AF3608" w:rsidRDefault="0001019D" w:rsidP="00B723C0">
      <w:pPr>
        <w:suppressAutoHyphens/>
        <w:spacing w:before="120"/>
        <w:jc w:val="both"/>
        <w:rPr>
          <w:rFonts w:ascii="Calibri" w:hAnsi="Calibri" w:cs="Calibri"/>
          <w:lang w:val="ro-RO"/>
        </w:rPr>
      </w:pPr>
    </w:p>
    <w:p w:rsidR="003D6741" w:rsidRPr="00AF3608" w:rsidRDefault="00FB282C" w:rsidP="006E1EF7">
      <w:pPr>
        <w:shd w:val="clear" w:color="auto" w:fill="BF8F00" w:themeFill="accent4" w:themeFillShade="BF"/>
        <w:spacing w:before="120"/>
        <w:rPr>
          <w:rFonts w:asciiTheme="minorHAnsi" w:eastAsia="Calibri" w:hAnsiTheme="minorHAnsi" w:cstheme="minorHAnsi"/>
          <w:b/>
          <w:lang w:val="ro-RO" w:eastAsia="ro-RO"/>
        </w:rPr>
      </w:pPr>
      <w:r w:rsidRPr="00AF3608">
        <w:rPr>
          <w:rFonts w:asciiTheme="minorHAnsi" w:eastAsia="Calibri" w:hAnsiTheme="minorHAnsi" w:cstheme="minorHAnsi"/>
          <w:b/>
          <w:shd w:val="clear" w:color="auto" w:fill="BF8F00" w:themeFill="accent4" w:themeFillShade="BF"/>
          <w:lang w:val="ro-RO" w:eastAsia="ro-RO"/>
        </w:rPr>
        <w:t>4</w:t>
      </w:r>
      <w:r w:rsidR="003D6741" w:rsidRPr="00AF3608">
        <w:rPr>
          <w:rFonts w:asciiTheme="minorHAnsi" w:eastAsia="Calibri" w:hAnsiTheme="minorHAnsi" w:cstheme="minorHAnsi"/>
          <w:b/>
          <w:shd w:val="clear" w:color="auto" w:fill="BF8F00" w:themeFill="accent4" w:themeFillShade="BF"/>
          <w:lang w:val="ro-RO" w:eastAsia="ro-RO"/>
        </w:rPr>
        <w:t xml:space="preserve">.8 </w:t>
      </w:r>
      <w:r w:rsidR="00440C71" w:rsidRPr="00AF3608">
        <w:rPr>
          <w:rFonts w:asciiTheme="minorHAnsi" w:eastAsia="Calibri" w:hAnsiTheme="minorHAnsi" w:cstheme="minorHAnsi"/>
          <w:b/>
          <w:shd w:val="clear" w:color="auto" w:fill="BF8F00" w:themeFill="accent4" w:themeFillShade="BF"/>
          <w:lang w:val="ro-RO" w:eastAsia="ro-RO"/>
        </w:rPr>
        <w:t>POLITICA ÎN DOME</w:t>
      </w:r>
      <w:r w:rsidR="00990B99" w:rsidRPr="00AF3608">
        <w:rPr>
          <w:rFonts w:asciiTheme="minorHAnsi" w:eastAsia="Calibri" w:hAnsiTheme="minorHAnsi" w:cstheme="minorHAnsi"/>
          <w:b/>
          <w:shd w:val="clear" w:color="auto" w:fill="BF8F00" w:themeFill="accent4" w:themeFillShade="BF"/>
          <w:lang w:val="ro-RO" w:eastAsia="ro-RO"/>
        </w:rPr>
        <w:t>NIUL FONDURILOR EUROPENE</w:t>
      </w:r>
    </w:p>
    <w:p w:rsidR="00FB27F2" w:rsidRPr="00AF3608" w:rsidRDefault="00FB27F2" w:rsidP="006E1EF7">
      <w:pPr>
        <w:suppressAutoHyphens/>
        <w:spacing w:before="120"/>
        <w:jc w:val="both"/>
        <w:rPr>
          <w:rFonts w:asciiTheme="minorHAnsi" w:hAnsiTheme="minorHAnsi" w:cstheme="minorHAnsi"/>
          <w:lang w:val="ro-RO"/>
        </w:rPr>
      </w:pPr>
    </w:p>
    <w:p w:rsidR="006E1EF7" w:rsidRPr="00AF3608" w:rsidRDefault="006E1EF7" w:rsidP="006E1EF7">
      <w:pPr>
        <w:shd w:val="clear" w:color="auto" w:fill="FFD966" w:themeFill="accent4" w:themeFillTint="99"/>
        <w:suppressAutoHyphens/>
        <w:spacing w:before="120"/>
        <w:jc w:val="both"/>
        <w:rPr>
          <w:rFonts w:asciiTheme="minorHAnsi" w:hAnsiTheme="minorHAnsi" w:cstheme="minorHAnsi"/>
          <w:b/>
          <w:lang w:val="ro-RO"/>
        </w:rPr>
      </w:pPr>
      <w:r w:rsidRPr="00AF3608">
        <w:rPr>
          <w:rFonts w:asciiTheme="minorHAnsi" w:hAnsiTheme="minorHAnsi" w:cstheme="minorHAnsi"/>
          <w:b/>
          <w:lang w:val="ro-RO"/>
        </w:rPr>
        <w:t>A. FONDURI STRUCTURALE ŞI DE COEZIUNE</w:t>
      </w:r>
    </w:p>
    <w:p w:rsidR="006E1EF7" w:rsidRPr="00AF3608" w:rsidRDefault="006E1EF7" w:rsidP="003A0B85">
      <w:pPr>
        <w:pStyle w:val="ListParagraph"/>
        <w:numPr>
          <w:ilvl w:val="0"/>
          <w:numId w:val="83"/>
        </w:numPr>
        <w:suppressAutoHyphens/>
        <w:spacing w:before="120" w:line="240" w:lineRule="auto"/>
        <w:contextualSpacing w:val="0"/>
        <w:jc w:val="both"/>
        <w:rPr>
          <w:rFonts w:asciiTheme="minorHAnsi" w:hAnsiTheme="minorHAnsi" w:cstheme="minorHAnsi"/>
          <w:b/>
          <w:szCs w:val="24"/>
        </w:rPr>
      </w:pPr>
      <w:bookmarkStart w:id="7" w:name="page138"/>
      <w:bookmarkEnd w:id="7"/>
      <w:r w:rsidRPr="00AF3608">
        <w:rPr>
          <w:rFonts w:asciiTheme="minorHAnsi" w:hAnsiTheme="minorHAnsi" w:cstheme="minorHAnsi"/>
          <w:b/>
          <w:szCs w:val="24"/>
        </w:rPr>
        <w:t>Fondurile Europene Structurale și de Investiții – CFM 2014-2020</w:t>
      </w:r>
    </w:p>
    <w:p w:rsidR="006E1EF7" w:rsidRPr="00AF3608" w:rsidRDefault="006E1EF7" w:rsidP="003A0B85">
      <w:pPr>
        <w:pStyle w:val="ListParagraph"/>
        <w:numPr>
          <w:ilvl w:val="1"/>
          <w:numId w:val="153"/>
        </w:numPr>
        <w:suppressAutoHyphens/>
        <w:spacing w:before="120" w:line="240" w:lineRule="auto"/>
        <w:contextualSpacing w:val="0"/>
        <w:jc w:val="both"/>
        <w:rPr>
          <w:rFonts w:asciiTheme="minorHAnsi" w:hAnsiTheme="minorHAnsi" w:cstheme="minorHAnsi"/>
          <w:b/>
        </w:rPr>
      </w:pPr>
      <w:r w:rsidRPr="00AF3608">
        <w:rPr>
          <w:rFonts w:asciiTheme="minorHAnsi" w:hAnsiTheme="minorHAnsi" w:cstheme="minorHAnsi"/>
          <w:b/>
        </w:rPr>
        <w:t>Stadiul implementării</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Începând cu anul 2015, au fost lansate apeluri de proiecte pentru toate cele 6 programe operaționale (PO) FESI - PO Infrastructură Mare, Capital Uman, Competitivitate, Asistență Tehnică, Regional, Capacitate Administrativă, precum și pentru FEAD - POAD. Bugetul total lansat pentru aceste apeluri este de aprox. 28,7</w:t>
      </w:r>
      <w:r w:rsidRPr="00AF3608" w:rsidDel="00D3514D">
        <w:rPr>
          <w:rFonts w:asciiTheme="minorHAnsi" w:hAnsiTheme="minorHAnsi" w:cstheme="minorHAnsi"/>
          <w:lang w:val="ro-RO"/>
        </w:rPr>
        <w:t xml:space="preserve"> </w:t>
      </w:r>
      <w:r w:rsidRPr="00AF3608">
        <w:rPr>
          <w:rFonts w:asciiTheme="minorHAnsi" w:hAnsiTheme="minorHAnsi" w:cstheme="minorHAnsi"/>
          <w:lang w:val="ro-RO"/>
        </w:rPr>
        <w:t xml:space="preserve"> miliarde euro, reprezentând 104,5% din alocarea totală de aprox. 27,4 miliarde euro disponibilă pentru implementarea acestor programe.</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Până în luna ianuarie 2021 au fost semnate 9.695 contracte de finanțare, în valoare totală de aprox. 38,7 miliarde euro, reprezentând 138% din alocarea totală aferentă acestor PO.</w:t>
      </w:r>
      <w:bookmarkStart w:id="8" w:name="page139"/>
      <w:bookmarkEnd w:id="8"/>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În cadrul acestor contracte au fost efectuate plăți de către autoritățile de management însumând 10,3 miliarde euro.</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Pentru PO mai sus menționate, s-au primit de la Comisia Europeană (CE) fonduri de prefinanțare în cuantum de 2,2 miliarde euro, reprezentând 9,7% din alocarea UE de aproximativ 23 miliarde euro aferentă acestora.</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Până în prezent, valoarea aplicațiilor de plată transmise la Comisia Europeană este de aproximativ 8,6 miliarde euro, din care CE a rambursat, până în prezent, suma de 7,7</w:t>
      </w:r>
      <w:r w:rsidRPr="00AF3608" w:rsidDel="00E4644D">
        <w:rPr>
          <w:rFonts w:asciiTheme="minorHAnsi" w:hAnsiTheme="minorHAnsi" w:cstheme="minorHAnsi"/>
          <w:lang w:val="ro-RO"/>
        </w:rPr>
        <w:t xml:space="preserve"> </w:t>
      </w:r>
      <w:r w:rsidRPr="00AF3608">
        <w:rPr>
          <w:rFonts w:asciiTheme="minorHAnsi" w:hAnsiTheme="minorHAnsi" w:cstheme="minorHAnsi"/>
          <w:lang w:val="ro-RO"/>
        </w:rPr>
        <w:t>miliarde euro.</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Sumele totale primite de la Comisia Europeană, reprezentând prefinanțări și rambursări, aferente programelor finanțate din FESI (PO Infrastructura Mare, PO Competitivitate, PO Regional, PO </w:t>
      </w:r>
      <w:r w:rsidRPr="00AF3608">
        <w:rPr>
          <w:rFonts w:asciiTheme="minorHAnsi" w:hAnsiTheme="minorHAnsi" w:cstheme="minorHAnsi"/>
          <w:lang w:val="ro-RO"/>
        </w:rPr>
        <w:lastRenderedPageBreak/>
        <w:t>Capacitate Administrativă, PO Asistență Tehnică, PO Capital Uman, PN Dezvoltare Rurală, PO Pescuit și Afaceri Maritime), se situează la aprox. 15,5 miliarde euro, ceea ce înseamnă aprox. 50,3% din alocarea UE aferentă acestor programe. Menţionăm că, în prezent, la nivelul Uniunii Europene, rata medie a sumelor primite de la Comisia Europeană se situează la aprox. 55%. Raportat la plățile totale nete efectuate în perioada 2014 – ianuarie 2021, România se situează pe locul 6, față de celelalte state membre.</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Referitor la riscul de dezangajare automată a fondurilor, menționăm că, până în prezent (ianuarie 2021) la nivelul programelor operaționale, nu au fost dezangajate fonduri.</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Potrivit estimărilor lunare ale sumelor ce vor fi transmise Comisiei Europene (CE) în anul 2021, riscul de dezangajare de fonduri va fi acoperit pentru toate programele operaționale.</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În conformitate cu prevederile regulamentelor europene aplicabile actualei perioade de programare, rambursarea cheltuielilor declarate s-a realizat după finalizarea procesului de desemnare a autorităților implicate în sistemul de management și control al fondurilor, care a implicat evaluarea acestora de către Autoritatea de Audit din România și emiterea unei opinii cu privire la conformitatea sistemului cu cerințele de acreditare.</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Prin Acordul de Parteneriat, România și-a asumat finanțarea tuturor obiectivelor tematice stabilite prin Regulamentul (UE) nr. 1303/2013, ceea ce a impus aplicarea tuturor celor 36 de condiționalități ex-ante prevăzute în anexa XI a Regulamentului menționat.</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În prezent (ianuarie 2021), toate cele 36 de condiționalități sunt îndeplinite. </w:t>
      </w:r>
    </w:p>
    <w:p w:rsidR="006E1EF7" w:rsidRPr="00AF3608" w:rsidRDefault="006E1EF7" w:rsidP="006E1EF7">
      <w:pPr>
        <w:suppressAutoHyphens/>
        <w:spacing w:before="120"/>
        <w:jc w:val="both"/>
        <w:rPr>
          <w:rFonts w:asciiTheme="minorHAnsi" w:hAnsiTheme="minorHAnsi" w:cstheme="minorHAnsi"/>
          <w:lang w:val="ro-RO"/>
        </w:rPr>
      </w:pPr>
    </w:p>
    <w:p w:rsidR="006E1EF7" w:rsidRPr="00AF3608" w:rsidRDefault="006E1EF7" w:rsidP="006E1EF7">
      <w:pPr>
        <w:pStyle w:val="ListParagraph"/>
        <w:suppressAutoHyphens/>
        <w:spacing w:before="120" w:line="240" w:lineRule="auto"/>
        <w:contextualSpacing w:val="0"/>
        <w:jc w:val="both"/>
        <w:rPr>
          <w:rFonts w:asciiTheme="minorHAnsi" w:hAnsiTheme="minorHAnsi" w:cstheme="minorHAnsi"/>
          <w:b/>
          <w:szCs w:val="24"/>
        </w:rPr>
      </w:pPr>
      <w:r w:rsidRPr="00AF3608">
        <w:rPr>
          <w:rFonts w:asciiTheme="minorHAnsi" w:hAnsiTheme="minorHAnsi" w:cstheme="minorHAnsi"/>
          <w:b/>
          <w:szCs w:val="24"/>
        </w:rPr>
        <w:t>1.2. Măsuri implementate şi planificate în domeniul fondurilor europene</w:t>
      </w:r>
    </w:p>
    <w:p w:rsidR="006E1EF7" w:rsidRPr="00AF3608" w:rsidRDefault="006E1EF7" w:rsidP="006E1EF7">
      <w:pPr>
        <w:pStyle w:val="ListParagraph"/>
        <w:suppressAutoHyphens/>
        <w:spacing w:before="120" w:line="240" w:lineRule="auto"/>
        <w:contextualSpacing w:val="0"/>
        <w:jc w:val="both"/>
        <w:rPr>
          <w:rFonts w:asciiTheme="minorHAnsi" w:hAnsiTheme="minorHAnsi" w:cstheme="minorHAnsi"/>
          <w:b/>
        </w:rPr>
      </w:pPr>
      <w:r w:rsidRPr="00AF3608">
        <w:rPr>
          <w:rFonts w:asciiTheme="minorHAnsi" w:hAnsiTheme="minorHAnsi" w:cstheme="minorHAnsi"/>
          <w:b/>
          <w:szCs w:val="24"/>
        </w:rPr>
        <w:t>1.2.1 Măsuri implementate</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Principalele măsuri întreprinse în anii 2016 - 2020 au vizat, pe de-o parte, procesul de închidere a programelor operaționale 2007 - 2013, procesul de desemnare a autorităților implicate în gestionarea fondurilor ESI și accelerarea implementării programelor operaționale aferente perioadei 2014 – 2020, </w:t>
      </w:r>
      <w:r w:rsidRPr="00AF3608">
        <w:rPr>
          <w:rFonts w:asciiTheme="minorHAnsi" w:hAnsiTheme="minorHAnsi" w:cstheme="minorHAnsi"/>
          <w:bCs/>
          <w:lang w:val="ro-RO"/>
        </w:rPr>
        <w:t>iar pe de altă parte</w:t>
      </w:r>
      <w:r w:rsidRPr="00AF3608">
        <w:rPr>
          <w:rFonts w:asciiTheme="minorHAnsi" w:hAnsiTheme="minorHAnsi" w:cstheme="minorHAnsi"/>
          <w:lang w:val="ro-RO"/>
        </w:rPr>
        <w:t xml:space="preserve"> generarea unui răspuns prompt și eficient în vederea combaterii efectelor negative ale pandemiei COVID-19 asupra mediului economic și social.</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Astfel, s-au întreprins o serie de măsuri privind revizuirea cadrului legal și instituțional, vizând asigurarea necesarului de finanțare al autorităților administrației publice locale pentru proiecte de investiții.</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În ceea ce privește </w:t>
      </w:r>
      <w:r w:rsidRPr="00AF3608">
        <w:rPr>
          <w:rFonts w:asciiTheme="minorHAnsi" w:hAnsiTheme="minorHAnsi" w:cstheme="minorHAnsi"/>
          <w:u w:val="single"/>
          <w:lang w:val="ro-RO"/>
        </w:rPr>
        <w:t>pregătirea perioadei de programare 2021-2027</w:t>
      </w:r>
      <w:r w:rsidRPr="00AF3608">
        <w:rPr>
          <w:rFonts w:asciiTheme="minorHAnsi" w:hAnsiTheme="minorHAnsi" w:cstheme="minorHAnsi"/>
          <w:lang w:val="ro-RO"/>
        </w:rPr>
        <w:t>, în ședința de Guvern din 5 septembrie 2018 a fost semnat Memorandumul cu tema ”</w:t>
      </w:r>
      <w:r w:rsidRPr="00AF3608">
        <w:rPr>
          <w:rFonts w:asciiTheme="minorHAnsi" w:hAnsiTheme="minorHAnsi" w:cstheme="minorHAnsi"/>
          <w:i/>
          <w:lang w:val="ro-RO"/>
        </w:rPr>
        <w:t>Pregătirea documentelor naționale de programare a finanțărilor din fonduri europene post 2020</w:t>
      </w:r>
      <w:r w:rsidRPr="00AF3608">
        <w:rPr>
          <w:rFonts w:asciiTheme="minorHAnsi" w:hAnsiTheme="minorHAnsi" w:cstheme="minorHAnsi"/>
          <w:lang w:val="ro-RO"/>
        </w:rPr>
        <w:t xml:space="preserve">” care a stabilit un calendar pentru elaborarea documentelor strategice/ planurilor de măsuri sectoriale naționale post 2020 și prioritizarea investițiilor din fonduri europene post 2020, în condițiile noului pachet legislativ european 2021-2027. Astfel, au fost stabilite, la nivelul autorităților responsabile, o serie de planuri de măsuri relevante pentru îndeplinirea condițiilor prealabile, care au fost aprobate prin Memorandumuri de Guvern. </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De asemenea, au fost demarate și negocierile pentru pregătirea documentelor de programare (Acord de Parteneriat și Programe Operaționale).</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Ca urmare a crizei COVID-19, provocările curente sunt legate de relansarea economică și în acest sens sunt prioritare măsurile privind păstrarea locurilor de muncă, îmbunătățirea accesului la ocupație, ocupare și reinserție profesională, dezvoltarea competențelor angajaților, corelate cu susținerea antreprenoriatului, a structurilor de economie socială și a altor inițiative ale mediului de </w:t>
      </w:r>
      <w:r w:rsidRPr="00AF3608">
        <w:rPr>
          <w:rFonts w:asciiTheme="minorHAnsi" w:hAnsiTheme="minorHAnsi" w:cstheme="minorHAnsi"/>
          <w:lang w:val="ro-RO"/>
        </w:rPr>
        <w:lastRenderedPageBreak/>
        <w:t xml:space="preserve">afaceri, în sensul diminuării efectelor negative determinate de limitarea sau întreruperea activităților socioeconomice.  </w:t>
      </w:r>
    </w:p>
    <w:p w:rsidR="006E1EF7" w:rsidRPr="00AF3608" w:rsidRDefault="006E1EF7" w:rsidP="006E1EF7">
      <w:pPr>
        <w:suppressAutoHyphens/>
        <w:spacing w:before="120"/>
        <w:jc w:val="both"/>
        <w:rPr>
          <w:rFonts w:asciiTheme="minorHAnsi" w:hAnsiTheme="minorHAnsi" w:cstheme="minorHAnsi"/>
          <w:lang w:val="ro-RO"/>
        </w:rPr>
      </w:pPr>
    </w:p>
    <w:p w:rsidR="006E1EF7" w:rsidRPr="00AF3608" w:rsidRDefault="006E1EF7" w:rsidP="006E1EF7">
      <w:pPr>
        <w:suppressAutoHyphens/>
        <w:spacing w:before="120"/>
        <w:jc w:val="both"/>
        <w:rPr>
          <w:rFonts w:asciiTheme="minorHAnsi" w:hAnsiTheme="minorHAnsi" w:cstheme="minorHAnsi"/>
          <w:b/>
          <w:lang w:val="ro-RO"/>
        </w:rPr>
      </w:pPr>
      <w:r w:rsidRPr="00AF3608">
        <w:rPr>
          <w:rFonts w:asciiTheme="minorHAnsi" w:hAnsiTheme="minorHAnsi" w:cstheme="minorHAnsi"/>
          <w:b/>
          <w:lang w:val="ro-RO"/>
        </w:rPr>
        <w:t>1.2.2 Măsuri planificate pentru implementarea fondurilor ESI</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În ceea ce privește măsurile de accelerare a  absorbției fondurilor ESI, un accent deosebit va fi acordat următoarelor acțiuni, prevăzute în Programul de Guvernare: </w:t>
      </w:r>
    </w:p>
    <w:p w:rsidR="006E1EF7" w:rsidRPr="00AF3608" w:rsidRDefault="006E1EF7" w:rsidP="006E1EF7">
      <w:pPr>
        <w:numPr>
          <w:ilvl w:val="0"/>
          <w:numId w:val="15"/>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menținerea unei rate anuale de absorbție care să conducă către o absorbție de 100% la sfârșitul anului 2023; </w:t>
      </w:r>
    </w:p>
    <w:p w:rsidR="006E1EF7" w:rsidRPr="00AF3608" w:rsidRDefault="006E1EF7" w:rsidP="006E1EF7">
      <w:pPr>
        <w:numPr>
          <w:ilvl w:val="0"/>
          <w:numId w:val="15"/>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valorificarea elementelor de flexibilitate puse la dispoziție de Comisia Europeană; </w:t>
      </w:r>
    </w:p>
    <w:p w:rsidR="006E1EF7" w:rsidRPr="00AF3608" w:rsidRDefault="006E1EF7" w:rsidP="006E1EF7">
      <w:pPr>
        <w:numPr>
          <w:ilvl w:val="0"/>
          <w:numId w:val="15"/>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utilizarea resurselor din REACT-EU pentru acoperirea nevoilor de finanțare ale domeniilor sănătate, creșterea competitivității IMM-urilor, digitalizarea educației și măsuri active de ocupare; </w:t>
      </w:r>
    </w:p>
    <w:p w:rsidR="006E1EF7" w:rsidRPr="00AF3608" w:rsidRDefault="006E1EF7" w:rsidP="006E1EF7">
      <w:pPr>
        <w:numPr>
          <w:ilvl w:val="0"/>
          <w:numId w:val="15"/>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evitarea riscului de dezangajare prin monitorizarea lunară a stadiului implementării financiare a programelor operaționale; </w:t>
      </w:r>
    </w:p>
    <w:p w:rsidR="006E1EF7" w:rsidRPr="00AF3608" w:rsidRDefault="006E1EF7" w:rsidP="006E1EF7">
      <w:pPr>
        <w:numPr>
          <w:ilvl w:val="0"/>
          <w:numId w:val="15"/>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urgentarea lansării ultimelor apeluri de proiecte pentru sumele rămase disponibile; </w:t>
      </w:r>
    </w:p>
    <w:p w:rsidR="006E1EF7" w:rsidRPr="00AF3608" w:rsidRDefault="006E1EF7" w:rsidP="006E1EF7">
      <w:pPr>
        <w:numPr>
          <w:ilvl w:val="0"/>
          <w:numId w:val="15"/>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fluidizarea procesului, inclusiv accelerarea ritmului de evaluare și contractare prin îmbunătățirea procedurilor interne de lucru; </w:t>
      </w:r>
    </w:p>
    <w:p w:rsidR="006E1EF7" w:rsidRPr="00AF3608" w:rsidRDefault="006E1EF7" w:rsidP="006E1EF7">
      <w:pPr>
        <w:numPr>
          <w:ilvl w:val="0"/>
          <w:numId w:val="15"/>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monitorizarea constantă a proiectelor cu risc de a nu fi finalizate până la 31.12.2023, pentru identificarea eventualelor întârzieri și luarea de măsuri de remediere și recuperare a întârzierilor; </w:t>
      </w:r>
    </w:p>
    <w:p w:rsidR="006E1EF7" w:rsidRPr="00AF3608" w:rsidRDefault="006E1EF7" w:rsidP="006E1EF7">
      <w:pPr>
        <w:numPr>
          <w:ilvl w:val="0"/>
          <w:numId w:val="15"/>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realocări de fonduri la nivelul axelor prioritare ale unui program; </w:t>
      </w:r>
    </w:p>
    <w:p w:rsidR="006E1EF7" w:rsidRPr="00AF3608" w:rsidRDefault="006E1EF7" w:rsidP="006E1EF7">
      <w:pPr>
        <w:numPr>
          <w:ilvl w:val="0"/>
          <w:numId w:val="15"/>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creșterea și optimizarea capacității de implementare a proiectelor deja admise la finanțare, prin sprijinirea beneficiarilor pe tot parcursul derulării investițiilor; </w:t>
      </w:r>
    </w:p>
    <w:p w:rsidR="006E1EF7" w:rsidRPr="00AF3608" w:rsidRDefault="006E1EF7" w:rsidP="006E1EF7">
      <w:pPr>
        <w:numPr>
          <w:ilvl w:val="0"/>
          <w:numId w:val="15"/>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asigurarea fondurilor necesare autorităților de management pentru efectuarea plăților către beneficiari; </w:t>
      </w:r>
    </w:p>
    <w:p w:rsidR="006E1EF7" w:rsidRPr="00AF3608" w:rsidRDefault="006E1EF7" w:rsidP="006E1EF7">
      <w:pPr>
        <w:numPr>
          <w:ilvl w:val="0"/>
          <w:numId w:val="15"/>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asigurarea interconectivității și interoperabilității dintre bazele de date ale instituțiilor statului și sistemul My SMIS pentru simplificarea procesului de depunere a proiectelor și creșterea celerității procedurilor de verificare a proiectelor și beneficiarilor din perioada de evaluare și cea de monitorizare a proiectelor.</w:t>
      </w:r>
    </w:p>
    <w:p w:rsidR="006E1EF7" w:rsidRPr="00AF3608" w:rsidRDefault="006E1EF7" w:rsidP="006E1EF7">
      <w:pPr>
        <w:numPr>
          <w:ilvl w:val="0"/>
          <w:numId w:val="15"/>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procesarea cu celeritate a cererilor de rambursare finale și autorizarea la plată a acestora; </w:t>
      </w:r>
    </w:p>
    <w:p w:rsidR="006E1EF7" w:rsidRPr="00AF3608" w:rsidRDefault="006E1EF7" w:rsidP="006E1EF7">
      <w:pPr>
        <w:numPr>
          <w:ilvl w:val="0"/>
          <w:numId w:val="15"/>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revizuirea cadrului legal, în conformitate cu evoluțiile specifice din domeniu.</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La nivelul MIPE este monitorizat permanent stadiul implementării, respectiv progresul înregistrat în procesul de evaluare, contractare și plată, pentru identificarea eventualelor întârzieri și luarea de măsuri de remediere și recuperare a întârzierilor. </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În ceea ce privește pregătirea perioadei de programare 2021-2027, s-au luat următoarele măsuri:</w:t>
      </w:r>
    </w:p>
    <w:p w:rsidR="006E1EF7" w:rsidRPr="00AF3608" w:rsidRDefault="006E1EF7" w:rsidP="003A0B85">
      <w:pPr>
        <w:pStyle w:val="ListParagraph"/>
        <w:numPr>
          <w:ilvl w:val="0"/>
          <w:numId w:val="154"/>
        </w:numPr>
        <w:suppressAutoHyphens/>
        <w:spacing w:before="120" w:line="240" w:lineRule="auto"/>
        <w:ind w:left="709" w:hanging="425"/>
        <w:contextualSpacing w:val="0"/>
        <w:jc w:val="both"/>
        <w:rPr>
          <w:rFonts w:asciiTheme="minorHAnsi" w:hAnsiTheme="minorHAnsi" w:cstheme="minorHAnsi"/>
        </w:rPr>
      </w:pPr>
      <w:r w:rsidRPr="00AF3608">
        <w:rPr>
          <w:rFonts w:asciiTheme="minorHAnsi" w:hAnsiTheme="minorHAnsi" w:cstheme="minorHAnsi"/>
        </w:rPr>
        <w:t>asigurarea monitorizării îndeplinirii condițiilor prealabile;</w:t>
      </w:r>
    </w:p>
    <w:p w:rsidR="006E1EF7" w:rsidRPr="00AF3608" w:rsidRDefault="006E1EF7" w:rsidP="003A0B85">
      <w:pPr>
        <w:pStyle w:val="ListParagraph"/>
        <w:numPr>
          <w:ilvl w:val="0"/>
          <w:numId w:val="154"/>
        </w:numPr>
        <w:suppressAutoHyphens/>
        <w:spacing w:before="120" w:line="240" w:lineRule="auto"/>
        <w:ind w:left="709" w:hanging="425"/>
        <w:contextualSpacing w:val="0"/>
        <w:jc w:val="both"/>
        <w:rPr>
          <w:rFonts w:asciiTheme="minorHAnsi" w:hAnsiTheme="minorHAnsi" w:cstheme="minorHAnsi"/>
        </w:rPr>
      </w:pPr>
      <w:r w:rsidRPr="00AF3608">
        <w:rPr>
          <w:rFonts w:asciiTheme="minorHAnsi" w:hAnsiTheme="minorHAnsi" w:cstheme="minorHAnsi"/>
        </w:rPr>
        <w:t>inițierea cadrului partenerial și constituirea Grupuri de lucru pentru elaborarea documentelor de programare post 2020;</w:t>
      </w:r>
    </w:p>
    <w:p w:rsidR="006E1EF7" w:rsidRPr="00AF3608" w:rsidRDefault="006E1EF7" w:rsidP="003A0B85">
      <w:pPr>
        <w:pStyle w:val="ListParagraph"/>
        <w:numPr>
          <w:ilvl w:val="0"/>
          <w:numId w:val="154"/>
        </w:numPr>
        <w:suppressAutoHyphens/>
        <w:spacing w:before="120" w:line="240" w:lineRule="auto"/>
        <w:ind w:left="709" w:hanging="425"/>
        <w:contextualSpacing w:val="0"/>
        <w:jc w:val="both"/>
        <w:rPr>
          <w:rFonts w:asciiTheme="minorHAnsi" w:hAnsiTheme="minorHAnsi" w:cstheme="minorHAnsi"/>
        </w:rPr>
      </w:pPr>
      <w:r w:rsidRPr="00AF3608">
        <w:rPr>
          <w:rFonts w:asciiTheme="minorHAnsi" w:hAnsiTheme="minorHAnsi" w:cstheme="minorHAnsi"/>
        </w:rPr>
        <w:t>elaborarea documentelor de programare 2021-2027 și finalizarea negocierilor cu Comisia Europeană.</w:t>
      </w:r>
    </w:p>
    <w:p w:rsidR="006E1EF7" w:rsidRPr="00AF3608" w:rsidRDefault="006E1EF7" w:rsidP="006E1EF7">
      <w:pPr>
        <w:suppressAutoHyphens/>
        <w:spacing w:before="120"/>
        <w:jc w:val="both"/>
        <w:rPr>
          <w:rFonts w:asciiTheme="minorHAnsi" w:hAnsiTheme="minorHAnsi" w:cstheme="minorHAnsi"/>
          <w:b/>
          <w:lang w:val="ro-RO"/>
        </w:rPr>
      </w:pPr>
      <w:r w:rsidRPr="00AF3608">
        <w:rPr>
          <w:rFonts w:asciiTheme="minorHAnsi" w:hAnsiTheme="minorHAnsi" w:cstheme="minorHAnsi"/>
          <w:b/>
          <w:lang w:val="ro-RO"/>
        </w:rPr>
        <w:lastRenderedPageBreak/>
        <w:t>1.3. Fondurile aferente CFM 2014-2020, alocarea acestora pe politica de coeziune și pe politica agricolă comună, pe obiective distincte, precum și programele operaționale ce vor fi finanțate din aceste fonduri</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În exercițiul financiar 2014-2020, alocarea totală a României este de peste 43 miliarde euro, din care aprox. 23 miliarde euro prin Politica de Coeziune și FEAD și aproximativ 20 miliarde euro prin Politica Agricolă Comună şi Politica Maritimă Integrată.</w:t>
      </w:r>
    </w:p>
    <w:tbl>
      <w:tblPr>
        <w:tblW w:w="0" w:type="auto"/>
        <w:jc w:val="center"/>
        <w:tblLayout w:type="fixed"/>
        <w:tblCellMar>
          <w:left w:w="0" w:type="dxa"/>
          <w:right w:w="0" w:type="dxa"/>
        </w:tblCellMar>
        <w:tblLook w:val="0000" w:firstRow="0" w:lastRow="0" w:firstColumn="0" w:lastColumn="0" w:noHBand="0" w:noVBand="0"/>
      </w:tblPr>
      <w:tblGrid>
        <w:gridCol w:w="4320"/>
        <w:gridCol w:w="2840"/>
        <w:gridCol w:w="2040"/>
      </w:tblGrid>
      <w:tr w:rsidR="006E1EF7" w:rsidRPr="00AF3608" w:rsidTr="00EA3644">
        <w:trPr>
          <w:trHeight w:val="293"/>
          <w:jc w:val="center"/>
        </w:trPr>
        <w:tc>
          <w:tcPr>
            <w:tcW w:w="4320" w:type="dxa"/>
            <w:tcBorders>
              <w:bottom w:val="single" w:sz="4" w:space="0" w:color="auto"/>
            </w:tcBorders>
            <w:shd w:val="clear" w:color="auto" w:fill="auto"/>
            <w:vAlign w:val="bottom"/>
          </w:tcPr>
          <w:p w:rsidR="006E1EF7" w:rsidRPr="00AF3608" w:rsidRDefault="006E1EF7" w:rsidP="00EA3644">
            <w:pPr>
              <w:suppressAutoHyphens/>
              <w:spacing w:after="120"/>
              <w:jc w:val="both"/>
              <w:rPr>
                <w:rFonts w:asciiTheme="minorHAnsi" w:hAnsiTheme="minorHAnsi" w:cstheme="minorHAnsi"/>
                <w:lang w:val="ro-RO"/>
              </w:rPr>
            </w:pPr>
            <w:bookmarkStart w:id="9" w:name="page147"/>
            <w:bookmarkEnd w:id="9"/>
          </w:p>
        </w:tc>
        <w:tc>
          <w:tcPr>
            <w:tcW w:w="2840" w:type="dxa"/>
            <w:tcBorders>
              <w:bottom w:val="single" w:sz="4" w:space="0" w:color="auto"/>
            </w:tcBorders>
            <w:shd w:val="clear" w:color="auto" w:fill="auto"/>
            <w:vAlign w:val="bottom"/>
          </w:tcPr>
          <w:p w:rsidR="006E1EF7" w:rsidRPr="00AF3608" w:rsidRDefault="006E1EF7" w:rsidP="00EA3644">
            <w:pPr>
              <w:suppressAutoHyphens/>
              <w:spacing w:after="120"/>
              <w:jc w:val="both"/>
              <w:rPr>
                <w:rFonts w:asciiTheme="minorHAnsi" w:hAnsiTheme="minorHAnsi" w:cstheme="minorHAnsi"/>
                <w:lang w:val="ro-RO"/>
              </w:rPr>
            </w:pPr>
          </w:p>
        </w:tc>
        <w:tc>
          <w:tcPr>
            <w:tcW w:w="2040" w:type="dxa"/>
            <w:tcBorders>
              <w:bottom w:val="single" w:sz="4" w:space="0" w:color="auto"/>
            </w:tcBorders>
            <w:shd w:val="clear" w:color="auto" w:fill="auto"/>
            <w:vAlign w:val="bottom"/>
          </w:tcPr>
          <w:p w:rsidR="006E1EF7" w:rsidRPr="00AF3608" w:rsidRDefault="006E1EF7" w:rsidP="00EA3644">
            <w:pPr>
              <w:suppressAutoHyphens/>
              <w:spacing w:after="120"/>
              <w:jc w:val="both"/>
              <w:rPr>
                <w:rFonts w:asciiTheme="minorHAnsi" w:hAnsiTheme="minorHAnsi" w:cstheme="minorHAnsi"/>
                <w:i/>
                <w:sz w:val="22"/>
                <w:szCs w:val="22"/>
                <w:lang w:val="ro-RO"/>
              </w:rPr>
            </w:pPr>
            <w:r w:rsidRPr="00AF3608">
              <w:rPr>
                <w:rFonts w:asciiTheme="minorHAnsi" w:hAnsiTheme="minorHAnsi" w:cstheme="minorHAnsi"/>
                <w:lang w:val="ro-RO"/>
              </w:rPr>
              <w:t xml:space="preserve">              </w:t>
            </w:r>
            <w:r w:rsidRPr="00AF3608">
              <w:rPr>
                <w:rFonts w:asciiTheme="minorHAnsi" w:hAnsiTheme="minorHAnsi" w:cstheme="minorHAnsi"/>
                <w:i/>
                <w:sz w:val="22"/>
                <w:szCs w:val="22"/>
                <w:lang w:val="ro-RO"/>
              </w:rPr>
              <w:t>mil. euro</w:t>
            </w:r>
          </w:p>
        </w:tc>
      </w:tr>
      <w:tr w:rsidR="006E1EF7" w:rsidRPr="00AF3608" w:rsidTr="00EA3644">
        <w:trPr>
          <w:trHeight w:val="805"/>
          <w:jc w:val="center"/>
        </w:trPr>
        <w:tc>
          <w:tcPr>
            <w:tcW w:w="4320" w:type="dxa"/>
            <w:tcBorders>
              <w:top w:val="single" w:sz="4" w:space="0" w:color="auto"/>
              <w:left w:val="single" w:sz="4" w:space="0" w:color="auto"/>
              <w:right w:val="single" w:sz="4" w:space="0" w:color="auto"/>
            </w:tcBorders>
            <w:shd w:val="clear" w:color="auto" w:fill="auto"/>
            <w:vAlign w:val="bottom"/>
          </w:tcPr>
          <w:p w:rsidR="006E1EF7" w:rsidRPr="00AF3608" w:rsidRDefault="006E1EF7" w:rsidP="00EA3644">
            <w:pPr>
              <w:suppressAutoHyphens/>
              <w:spacing w:after="120"/>
              <w:jc w:val="both"/>
              <w:rPr>
                <w:rFonts w:asciiTheme="minorHAnsi" w:hAnsiTheme="minorHAnsi" w:cstheme="minorHAnsi"/>
                <w:b/>
                <w:lang w:val="ro-RO"/>
              </w:rPr>
            </w:pPr>
            <w:r w:rsidRPr="00AF3608">
              <w:rPr>
                <w:rFonts w:asciiTheme="minorHAnsi" w:hAnsiTheme="minorHAnsi" w:cstheme="minorHAnsi"/>
                <w:b/>
                <w:lang w:val="ro-RO"/>
              </w:rPr>
              <w:t xml:space="preserve"> </w:t>
            </w:r>
          </w:p>
        </w:tc>
        <w:tc>
          <w:tcPr>
            <w:tcW w:w="2840" w:type="dxa"/>
            <w:tcBorders>
              <w:top w:val="single" w:sz="4" w:space="0" w:color="auto"/>
              <w:left w:val="single" w:sz="4" w:space="0" w:color="auto"/>
              <w:right w:val="single" w:sz="4" w:space="0" w:color="auto"/>
            </w:tcBorders>
            <w:shd w:val="clear" w:color="auto" w:fill="auto"/>
            <w:vAlign w:val="center"/>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Tip fond</w:t>
            </w:r>
          </w:p>
        </w:tc>
        <w:tc>
          <w:tcPr>
            <w:tcW w:w="2040" w:type="dxa"/>
            <w:tcBorders>
              <w:top w:val="single" w:sz="4" w:space="0" w:color="auto"/>
              <w:left w:val="single" w:sz="4" w:space="0" w:color="auto"/>
              <w:right w:val="single" w:sz="4" w:space="0" w:color="auto"/>
            </w:tcBorders>
            <w:shd w:val="clear" w:color="auto" w:fill="auto"/>
            <w:vAlign w:val="center"/>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Alocare (UE)</w:t>
            </w:r>
          </w:p>
        </w:tc>
      </w:tr>
      <w:tr w:rsidR="006E1EF7" w:rsidRPr="00AF3608" w:rsidTr="00EA3644">
        <w:trPr>
          <w:trHeight w:val="244"/>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both"/>
              <w:rPr>
                <w:rFonts w:asciiTheme="minorHAnsi" w:hAnsiTheme="minorHAnsi" w:cstheme="minorHAnsi"/>
                <w:lang w:val="ro-RO"/>
              </w:rPr>
            </w:pPr>
            <w:r w:rsidRPr="00AF3608">
              <w:rPr>
                <w:rFonts w:asciiTheme="minorHAnsi" w:hAnsiTheme="minorHAnsi" w:cstheme="minorHAnsi"/>
                <w:lang w:val="ro-RO"/>
              </w:rPr>
              <w:t>PO Asistență Tehnică</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center"/>
              <w:rPr>
                <w:rFonts w:asciiTheme="minorHAnsi" w:hAnsiTheme="minorHAnsi" w:cstheme="minorHAnsi"/>
                <w:lang w:val="ro-RO"/>
              </w:rPr>
            </w:pPr>
            <w:r w:rsidRPr="00AF3608">
              <w:rPr>
                <w:rFonts w:asciiTheme="minorHAnsi" w:hAnsiTheme="minorHAnsi" w:cstheme="minorHAnsi"/>
                <w:lang w:val="ro-RO"/>
              </w:rPr>
              <w:t>FEDR</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right"/>
              <w:rPr>
                <w:rFonts w:asciiTheme="minorHAnsi" w:hAnsiTheme="minorHAnsi" w:cstheme="minorHAnsi"/>
                <w:lang w:val="ro-RO"/>
              </w:rPr>
            </w:pPr>
            <w:r w:rsidRPr="00AF3608">
              <w:rPr>
                <w:rFonts w:asciiTheme="minorHAnsi" w:hAnsiTheme="minorHAnsi" w:cstheme="minorHAnsi"/>
                <w:lang w:val="ro-RO"/>
              </w:rPr>
              <w:t>332,76</w:t>
            </w:r>
          </w:p>
        </w:tc>
      </w:tr>
      <w:tr w:rsidR="006E1EF7" w:rsidRPr="00AF3608" w:rsidTr="00EA3644">
        <w:trPr>
          <w:trHeight w:val="243"/>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both"/>
              <w:rPr>
                <w:rFonts w:asciiTheme="minorHAnsi" w:hAnsiTheme="minorHAnsi" w:cstheme="minorHAnsi"/>
                <w:lang w:val="ro-RO"/>
              </w:rPr>
            </w:pPr>
            <w:r w:rsidRPr="00AF3608">
              <w:rPr>
                <w:rFonts w:asciiTheme="minorHAnsi" w:hAnsiTheme="minorHAnsi" w:cstheme="minorHAnsi"/>
                <w:lang w:val="ro-RO"/>
              </w:rPr>
              <w:t>PO Competitivitate</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center"/>
              <w:rPr>
                <w:rFonts w:asciiTheme="minorHAnsi" w:hAnsiTheme="minorHAnsi" w:cstheme="minorHAnsi"/>
                <w:lang w:val="ro-RO"/>
              </w:rPr>
            </w:pPr>
            <w:r w:rsidRPr="00AF3608">
              <w:rPr>
                <w:rFonts w:asciiTheme="minorHAnsi" w:hAnsiTheme="minorHAnsi" w:cstheme="minorHAnsi"/>
                <w:lang w:val="ro-RO"/>
              </w:rPr>
              <w:t>FEDR</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right"/>
              <w:rPr>
                <w:rFonts w:asciiTheme="minorHAnsi" w:hAnsiTheme="minorHAnsi" w:cstheme="minorHAnsi"/>
                <w:lang w:val="ro-RO"/>
              </w:rPr>
            </w:pPr>
            <w:r w:rsidRPr="00AF3608">
              <w:rPr>
                <w:rFonts w:asciiTheme="minorHAnsi" w:hAnsiTheme="minorHAnsi" w:cstheme="minorHAnsi"/>
                <w:lang w:val="ro-RO"/>
              </w:rPr>
              <w:t>1.829,79</w:t>
            </w:r>
          </w:p>
        </w:tc>
      </w:tr>
      <w:tr w:rsidR="006E1EF7" w:rsidRPr="00AF3608" w:rsidTr="00EA3644">
        <w:trPr>
          <w:trHeight w:val="243"/>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both"/>
              <w:rPr>
                <w:rFonts w:asciiTheme="minorHAnsi" w:hAnsiTheme="minorHAnsi" w:cstheme="minorHAnsi"/>
                <w:lang w:val="ro-RO"/>
              </w:rPr>
            </w:pPr>
            <w:r w:rsidRPr="00AF3608">
              <w:rPr>
                <w:rFonts w:asciiTheme="minorHAnsi" w:hAnsiTheme="minorHAnsi" w:cstheme="minorHAnsi"/>
                <w:lang w:val="ro-RO"/>
              </w:rPr>
              <w:t>PO Capital Uman</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center"/>
              <w:rPr>
                <w:rFonts w:asciiTheme="minorHAnsi" w:hAnsiTheme="minorHAnsi" w:cstheme="minorHAnsi"/>
                <w:lang w:val="ro-RO"/>
              </w:rPr>
            </w:pPr>
            <w:r w:rsidRPr="00AF3608">
              <w:rPr>
                <w:rFonts w:asciiTheme="minorHAnsi" w:hAnsiTheme="minorHAnsi" w:cstheme="minorHAnsi"/>
                <w:lang w:val="ro-RO"/>
              </w:rPr>
              <w:t>FSE</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right"/>
              <w:rPr>
                <w:rFonts w:asciiTheme="minorHAnsi" w:hAnsiTheme="minorHAnsi" w:cstheme="minorHAnsi"/>
                <w:lang w:val="ro-RO"/>
              </w:rPr>
            </w:pPr>
            <w:r w:rsidRPr="00AF3608">
              <w:rPr>
                <w:rFonts w:asciiTheme="minorHAnsi" w:hAnsiTheme="minorHAnsi" w:cstheme="minorHAnsi"/>
                <w:lang w:val="ro-RO"/>
              </w:rPr>
              <w:t>4.362,06</w:t>
            </w:r>
          </w:p>
        </w:tc>
      </w:tr>
      <w:tr w:rsidR="006E1EF7" w:rsidRPr="00AF3608" w:rsidTr="00EA3644">
        <w:trPr>
          <w:trHeight w:val="244"/>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both"/>
              <w:rPr>
                <w:rFonts w:asciiTheme="minorHAnsi" w:hAnsiTheme="minorHAnsi" w:cstheme="minorHAnsi"/>
                <w:lang w:val="ro-RO"/>
              </w:rPr>
            </w:pPr>
            <w:r w:rsidRPr="00AF3608">
              <w:rPr>
                <w:rFonts w:asciiTheme="minorHAnsi" w:hAnsiTheme="minorHAnsi" w:cstheme="minorHAnsi"/>
                <w:lang w:val="ro-RO"/>
              </w:rPr>
              <w:t>PO Capacitatea Administrativă</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center"/>
              <w:rPr>
                <w:rFonts w:asciiTheme="minorHAnsi" w:hAnsiTheme="minorHAnsi" w:cstheme="minorHAnsi"/>
                <w:lang w:val="ro-RO"/>
              </w:rPr>
            </w:pPr>
            <w:r w:rsidRPr="00AF3608">
              <w:rPr>
                <w:rFonts w:asciiTheme="minorHAnsi" w:hAnsiTheme="minorHAnsi" w:cstheme="minorHAnsi"/>
                <w:lang w:val="ro-RO"/>
              </w:rPr>
              <w:t>FSE</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right"/>
              <w:rPr>
                <w:rFonts w:asciiTheme="minorHAnsi" w:hAnsiTheme="minorHAnsi" w:cstheme="minorHAnsi"/>
                <w:lang w:val="ro-RO"/>
              </w:rPr>
            </w:pPr>
            <w:r w:rsidRPr="00AF3608">
              <w:rPr>
                <w:rFonts w:asciiTheme="minorHAnsi" w:hAnsiTheme="minorHAnsi" w:cstheme="minorHAnsi"/>
                <w:lang w:val="ro-RO"/>
              </w:rPr>
              <w:t>563,59</w:t>
            </w:r>
          </w:p>
        </w:tc>
      </w:tr>
      <w:tr w:rsidR="006E1EF7" w:rsidRPr="00AF3608" w:rsidTr="00EA3644">
        <w:trPr>
          <w:trHeight w:val="242"/>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both"/>
              <w:rPr>
                <w:rFonts w:asciiTheme="minorHAnsi" w:hAnsiTheme="minorHAnsi" w:cstheme="minorHAnsi"/>
                <w:lang w:val="ro-RO"/>
              </w:rPr>
            </w:pPr>
            <w:r w:rsidRPr="00AF3608">
              <w:rPr>
                <w:rFonts w:asciiTheme="minorHAnsi" w:hAnsiTheme="minorHAnsi" w:cstheme="minorHAnsi"/>
                <w:lang w:val="ro-RO"/>
              </w:rPr>
              <w:t>PO Regional</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center"/>
              <w:rPr>
                <w:rFonts w:asciiTheme="minorHAnsi" w:hAnsiTheme="minorHAnsi" w:cstheme="minorHAnsi"/>
                <w:lang w:val="ro-RO"/>
              </w:rPr>
            </w:pPr>
            <w:r w:rsidRPr="00AF3608">
              <w:rPr>
                <w:rFonts w:asciiTheme="minorHAnsi" w:hAnsiTheme="minorHAnsi" w:cstheme="minorHAnsi"/>
                <w:lang w:val="ro-RO"/>
              </w:rPr>
              <w:t>FEDR</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right"/>
              <w:rPr>
                <w:rFonts w:asciiTheme="minorHAnsi" w:hAnsiTheme="minorHAnsi" w:cstheme="minorHAnsi"/>
                <w:lang w:val="ro-RO"/>
              </w:rPr>
            </w:pPr>
            <w:r w:rsidRPr="00AF3608">
              <w:rPr>
                <w:rFonts w:asciiTheme="minorHAnsi" w:hAnsiTheme="minorHAnsi" w:cstheme="minorHAnsi"/>
                <w:lang w:val="ro-RO"/>
              </w:rPr>
              <w:t>6.860,00</w:t>
            </w:r>
          </w:p>
        </w:tc>
      </w:tr>
      <w:tr w:rsidR="006E1EF7" w:rsidRPr="00AF3608" w:rsidTr="00EA3644">
        <w:trPr>
          <w:trHeight w:val="242"/>
          <w:jc w:val="center"/>
        </w:trPr>
        <w:tc>
          <w:tcPr>
            <w:tcW w:w="4320" w:type="dxa"/>
            <w:vMerge w:val="restart"/>
            <w:tcBorders>
              <w:top w:val="single" w:sz="4" w:space="0" w:color="auto"/>
              <w:left w:val="single" w:sz="4" w:space="0" w:color="auto"/>
              <w:right w:val="single" w:sz="4" w:space="0" w:color="auto"/>
            </w:tcBorders>
            <w:shd w:val="clear" w:color="auto" w:fill="auto"/>
          </w:tcPr>
          <w:p w:rsidR="006E1EF7" w:rsidRPr="00AF3608" w:rsidRDefault="006E1EF7" w:rsidP="00EA3644">
            <w:pPr>
              <w:suppressAutoHyphens/>
              <w:spacing w:after="120"/>
              <w:jc w:val="both"/>
              <w:rPr>
                <w:rFonts w:asciiTheme="minorHAnsi" w:hAnsiTheme="minorHAnsi" w:cstheme="minorHAnsi"/>
                <w:lang w:val="ro-RO"/>
              </w:rPr>
            </w:pPr>
            <w:r w:rsidRPr="00AF3608">
              <w:rPr>
                <w:rFonts w:asciiTheme="minorHAnsi" w:hAnsiTheme="minorHAnsi" w:cstheme="minorHAnsi"/>
                <w:lang w:val="ro-RO"/>
              </w:rPr>
              <w:t>PO Infrastructură Mare</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center"/>
              <w:rPr>
                <w:rFonts w:asciiTheme="minorHAnsi" w:hAnsiTheme="minorHAnsi" w:cstheme="minorHAnsi"/>
                <w:lang w:val="ro-RO"/>
              </w:rPr>
            </w:pPr>
            <w:r w:rsidRPr="00AF3608">
              <w:rPr>
                <w:rFonts w:asciiTheme="minorHAnsi" w:hAnsiTheme="minorHAnsi" w:cstheme="minorHAnsi"/>
                <w:lang w:val="ro-RO"/>
              </w:rPr>
              <w:t>FEDR</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6E1EF7" w:rsidRPr="00AF3608" w:rsidRDefault="006E1EF7" w:rsidP="00EA3644">
            <w:pPr>
              <w:suppressAutoHyphens/>
              <w:spacing w:after="120"/>
              <w:jc w:val="right"/>
              <w:rPr>
                <w:rFonts w:asciiTheme="minorHAnsi" w:hAnsiTheme="minorHAnsi" w:cstheme="minorHAnsi"/>
                <w:lang w:val="ro-RO"/>
              </w:rPr>
            </w:pPr>
            <w:r w:rsidRPr="00AF3608">
              <w:rPr>
                <w:rFonts w:asciiTheme="minorHAnsi" w:hAnsiTheme="minorHAnsi" w:cstheme="minorHAnsi"/>
                <w:lang w:val="ro-RO"/>
              </w:rPr>
              <w:t>2.103,53</w:t>
            </w:r>
          </w:p>
        </w:tc>
      </w:tr>
      <w:tr w:rsidR="006E1EF7" w:rsidRPr="00AF3608" w:rsidTr="00EA3644">
        <w:trPr>
          <w:trHeight w:val="389"/>
          <w:jc w:val="center"/>
        </w:trPr>
        <w:tc>
          <w:tcPr>
            <w:tcW w:w="4320" w:type="dxa"/>
            <w:vMerge/>
            <w:tcBorders>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both"/>
              <w:rPr>
                <w:rFonts w:asciiTheme="minorHAnsi" w:hAnsiTheme="minorHAnsi" w:cstheme="minorHAnsi"/>
                <w:lang w:val="ro-RO"/>
              </w:rPr>
            </w:pP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center"/>
              <w:rPr>
                <w:rFonts w:asciiTheme="minorHAnsi" w:hAnsiTheme="minorHAnsi" w:cstheme="minorHAnsi"/>
                <w:lang w:val="ro-RO"/>
              </w:rPr>
            </w:pPr>
            <w:r w:rsidRPr="00AF3608">
              <w:rPr>
                <w:rFonts w:asciiTheme="minorHAnsi" w:hAnsiTheme="minorHAnsi" w:cstheme="minorHAnsi"/>
                <w:lang w:val="ro-RO"/>
              </w:rPr>
              <w:t>FC</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6E1EF7" w:rsidRPr="00AF3608" w:rsidRDefault="006E1EF7" w:rsidP="00EA3644">
            <w:pPr>
              <w:suppressAutoHyphens/>
              <w:spacing w:after="120"/>
              <w:jc w:val="right"/>
              <w:rPr>
                <w:rFonts w:asciiTheme="minorHAnsi" w:hAnsiTheme="minorHAnsi" w:cstheme="minorHAnsi"/>
                <w:lang w:val="ro-RO"/>
              </w:rPr>
            </w:pPr>
            <w:r w:rsidRPr="00AF3608">
              <w:rPr>
                <w:rFonts w:asciiTheme="minorHAnsi" w:hAnsiTheme="minorHAnsi" w:cstheme="minorHAnsi"/>
                <w:lang w:val="ro-RO"/>
              </w:rPr>
              <w:t>6.535,00</w:t>
            </w:r>
          </w:p>
        </w:tc>
      </w:tr>
      <w:tr w:rsidR="006E1EF7" w:rsidRPr="00AF3608" w:rsidTr="00EA3644">
        <w:trPr>
          <w:trHeight w:val="244"/>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both"/>
              <w:rPr>
                <w:rFonts w:asciiTheme="minorHAnsi" w:hAnsiTheme="minorHAnsi" w:cstheme="minorHAnsi"/>
                <w:lang w:val="ro-RO"/>
              </w:rPr>
            </w:pPr>
            <w:r w:rsidRPr="00AF3608">
              <w:rPr>
                <w:rFonts w:asciiTheme="minorHAnsi" w:hAnsiTheme="minorHAnsi" w:cstheme="minorHAnsi"/>
                <w:lang w:val="ro-RO"/>
              </w:rPr>
              <w:t>Programul Național de Dezvoltare Rurală</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center"/>
              <w:rPr>
                <w:rFonts w:asciiTheme="minorHAnsi" w:hAnsiTheme="minorHAnsi" w:cstheme="minorHAnsi"/>
                <w:lang w:val="ro-RO"/>
              </w:rPr>
            </w:pPr>
            <w:r w:rsidRPr="00AF3608">
              <w:rPr>
                <w:rFonts w:asciiTheme="minorHAnsi" w:hAnsiTheme="minorHAnsi" w:cstheme="minorHAnsi"/>
                <w:lang w:val="ro-RO"/>
              </w:rPr>
              <w:t>FEADR</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right"/>
              <w:rPr>
                <w:rFonts w:asciiTheme="minorHAnsi" w:hAnsiTheme="minorHAnsi" w:cstheme="minorHAnsi"/>
                <w:lang w:val="ro-RO"/>
              </w:rPr>
            </w:pPr>
            <w:r w:rsidRPr="00AF3608">
              <w:rPr>
                <w:rFonts w:asciiTheme="minorHAnsi" w:hAnsiTheme="minorHAnsi" w:cstheme="minorHAnsi"/>
                <w:lang w:val="ro-RO"/>
              </w:rPr>
              <w:t>8.128,00</w:t>
            </w:r>
          </w:p>
        </w:tc>
      </w:tr>
      <w:tr w:rsidR="006E1EF7" w:rsidRPr="00AF3608" w:rsidTr="00EA3644">
        <w:trPr>
          <w:trHeight w:val="243"/>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both"/>
              <w:rPr>
                <w:rFonts w:asciiTheme="minorHAnsi" w:hAnsiTheme="minorHAnsi" w:cstheme="minorHAnsi"/>
                <w:lang w:val="ro-RO"/>
              </w:rPr>
            </w:pPr>
            <w:r w:rsidRPr="00AF3608">
              <w:rPr>
                <w:rFonts w:asciiTheme="minorHAnsi" w:hAnsiTheme="minorHAnsi" w:cstheme="minorHAnsi"/>
                <w:lang w:val="ro-RO"/>
              </w:rPr>
              <w:t>PO Pescuit și Afaceri Maritime</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center"/>
              <w:rPr>
                <w:rFonts w:asciiTheme="minorHAnsi" w:hAnsiTheme="minorHAnsi" w:cstheme="minorHAnsi"/>
                <w:lang w:val="ro-RO"/>
              </w:rPr>
            </w:pPr>
            <w:r w:rsidRPr="00AF3608">
              <w:rPr>
                <w:rFonts w:asciiTheme="minorHAnsi" w:hAnsiTheme="minorHAnsi" w:cstheme="minorHAnsi"/>
                <w:lang w:val="ro-RO"/>
              </w:rPr>
              <w:t>FEPAM</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right"/>
              <w:rPr>
                <w:rFonts w:asciiTheme="minorHAnsi" w:hAnsiTheme="minorHAnsi" w:cstheme="minorHAnsi"/>
                <w:lang w:val="ro-RO"/>
              </w:rPr>
            </w:pPr>
            <w:r w:rsidRPr="00AF3608">
              <w:rPr>
                <w:rFonts w:asciiTheme="minorHAnsi" w:hAnsiTheme="minorHAnsi" w:cstheme="minorHAnsi"/>
                <w:lang w:val="ro-RO"/>
              </w:rPr>
              <w:t>168,42</w:t>
            </w:r>
          </w:p>
        </w:tc>
      </w:tr>
    </w:tbl>
    <w:p w:rsidR="006E1EF7" w:rsidRPr="00AF3608" w:rsidRDefault="006E1EF7" w:rsidP="006E1EF7">
      <w:pPr>
        <w:suppressAutoHyphens/>
        <w:spacing w:after="120"/>
        <w:jc w:val="both"/>
        <w:rPr>
          <w:rFonts w:asciiTheme="minorHAnsi" w:hAnsiTheme="minorHAnsi" w:cstheme="minorHAnsi"/>
          <w:lang w:val="ro-RO"/>
        </w:rPr>
      </w:pP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Programelor Operaţionale sprijinite din FESI 2014-2020 li se adaugă Programul Operaţional Ajutorarea Persoanelor Dezavantajate, cu finanţare din Fondul European pentru Ajutorarea Persoanelor cele mai Defavorizate (FEAD), cu o alocare totală de 519 milioane euro (din care contribuția UE este de 441 milioane euro) pentru perioada 2014-2020 şi Programele de cooperare teritorială europeană, cu o alocare totală de aprox. 787 milioane euro (din care contribuția UE este de aprox. 670 milioane euro) din fondurile aferente obiectivului cooperării teritoriale europene.</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Pentru a acorda asistență în vederea ameliorării efectelor provocate de criză, în contextul pandemiei de COVID-19 și al consecințelor sale sociale și pentru pregătirea unei redresări verzi, digitale și reziliente a economiilor statelor membre, a fost aprobată alocarea unor resurse suplimentare cu titlul de Asistență de redresare pentru coeziune și teritoriile Europei (REACT-EU), în vederea repartizării rapide către economia reală, prin intermediul programelor operaționale existente.</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În baza unei metode de alocare stabilită prin regulament, în anul 2021 României îi revin 1,252 mld. euro în prețuri 2018 (1,329 mld. euro în prețuri curente) din alocarea totală a acestui instrument. </w:t>
      </w:r>
    </w:p>
    <w:p w:rsidR="006E1EF7" w:rsidRPr="00AF3608" w:rsidRDefault="006E1EF7" w:rsidP="006E1EF7">
      <w:pPr>
        <w:suppressAutoHyphens/>
        <w:spacing w:after="120"/>
        <w:jc w:val="both"/>
        <w:rPr>
          <w:rFonts w:asciiTheme="minorHAnsi" w:hAnsiTheme="minorHAnsi" w:cstheme="minorHAnsi"/>
          <w:b/>
          <w:lang w:val="ro-RO"/>
        </w:rPr>
        <w:sectPr w:rsidR="006E1EF7" w:rsidRPr="00AF3608" w:rsidSect="001A6488">
          <w:footerReference w:type="default" r:id="rId39"/>
          <w:pgSz w:w="11901" w:h="16840" w:code="197"/>
          <w:pgMar w:top="851" w:right="703" w:bottom="1134" w:left="1559" w:header="720" w:footer="720" w:gutter="0"/>
          <w:cols w:space="720"/>
          <w:docGrid w:linePitch="360"/>
        </w:sectPr>
      </w:pPr>
      <w:bookmarkStart w:id="10" w:name="page148"/>
      <w:bookmarkEnd w:id="10"/>
    </w:p>
    <w:p w:rsidR="006E1EF7" w:rsidRPr="00AF3608" w:rsidRDefault="006E1EF7" w:rsidP="006E1EF7">
      <w:pPr>
        <w:suppressAutoHyphens/>
        <w:spacing w:after="120"/>
        <w:jc w:val="both"/>
        <w:rPr>
          <w:rFonts w:asciiTheme="minorHAnsi" w:hAnsiTheme="minorHAnsi" w:cstheme="minorHAnsi"/>
          <w:b/>
          <w:lang w:val="ro-RO"/>
        </w:rPr>
      </w:pPr>
      <w:r w:rsidRPr="00AF3608">
        <w:rPr>
          <w:rFonts w:asciiTheme="minorHAnsi" w:hAnsiTheme="minorHAnsi" w:cstheme="minorHAnsi"/>
          <w:b/>
          <w:lang w:val="ro-RO"/>
        </w:rPr>
        <w:lastRenderedPageBreak/>
        <w:t>1.3.1 Sumele alocate României pentru cadrul financiar multianual 2014-2020, pe total, pe ani și pe programe operaționale</w:t>
      </w:r>
    </w:p>
    <w:p w:rsidR="006E1EF7" w:rsidRPr="00AF3608" w:rsidRDefault="006E1EF7" w:rsidP="006E1EF7">
      <w:pPr>
        <w:suppressAutoHyphens/>
        <w:spacing w:after="120"/>
        <w:jc w:val="right"/>
        <w:rPr>
          <w:rFonts w:asciiTheme="minorHAnsi" w:hAnsiTheme="minorHAnsi" w:cstheme="minorHAnsi"/>
          <w:i/>
          <w:sz w:val="22"/>
          <w:szCs w:val="22"/>
          <w:lang w:val="ro-RO"/>
        </w:rPr>
      </w:pPr>
      <w:r w:rsidRPr="00AF3608">
        <w:rPr>
          <w:rFonts w:asciiTheme="minorHAnsi" w:hAnsiTheme="minorHAnsi" w:cstheme="minorHAnsi"/>
          <w:lang w:val="ro-RO"/>
        </w:rPr>
        <w:tab/>
      </w:r>
      <w:r w:rsidRPr="00AF3608">
        <w:rPr>
          <w:rFonts w:asciiTheme="minorHAnsi" w:hAnsiTheme="minorHAnsi" w:cstheme="minorHAnsi"/>
          <w:lang w:val="ro-RO"/>
        </w:rPr>
        <w:tab/>
      </w:r>
      <w:r w:rsidRPr="00AF3608">
        <w:rPr>
          <w:rFonts w:asciiTheme="minorHAnsi" w:hAnsiTheme="minorHAnsi" w:cstheme="minorHAnsi"/>
          <w:lang w:val="ro-RO"/>
        </w:rPr>
        <w:tab/>
      </w:r>
      <w:r w:rsidRPr="00AF3608">
        <w:rPr>
          <w:rFonts w:asciiTheme="minorHAnsi" w:hAnsiTheme="minorHAnsi" w:cstheme="minorHAnsi"/>
          <w:lang w:val="ro-RO"/>
        </w:rPr>
        <w:tab/>
      </w:r>
      <w:r w:rsidRPr="00AF3608">
        <w:rPr>
          <w:rFonts w:asciiTheme="minorHAnsi" w:hAnsiTheme="minorHAnsi" w:cstheme="minorHAnsi"/>
          <w:lang w:val="ro-RO"/>
        </w:rPr>
        <w:tab/>
      </w:r>
      <w:r w:rsidRPr="00AF3608">
        <w:rPr>
          <w:rFonts w:asciiTheme="minorHAnsi" w:hAnsiTheme="minorHAnsi" w:cstheme="minorHAnsi"/>
          <w:lang w:val="ro-RO"/>
        </w:rPr>
        <w:tab/>
      </w:r>
      <w:r w:rsidRPr="00AF3608">
        <w:rPr>
          <w:rFonts w:asciiTheme="minorHAnsi" w:hAnsiTheme="minorHAnsi" w:cstheme="minorHAnsi"/>
          <w:lang w:val="ro-RO"/>
        </w:rPr>
        <w:tab/>
      </w:r>
      <w:r w:rsidRPr="00AF3608">
        <w:rPr>
          <w:rFonts w:asciiTheme="minorHAnsi" w:hAnsiTheme="minorHAnsi" w:cstheme="minorHAnsi"/>
          <w:lang w:val="ro-RO"/>
        </w:rPr>
        <w:tab/>
      </w:r>
      <w:r w:rsidRPr="00AF3608">
        <w:rPr>
          <w:rFonts w:asciiTheme="minorHAnsi" w:hAnsiTheme="minorHAnsi" w:cstheme="minorHAnsi"/>
          <w:lang w:val="ro-RO"/>
        </w:rPr>
        <w:tab/>
      </w:r>
      <w:r w:rsidRPr="00AF3608">
        <w:rPr>
          <w:rFonts w:asciiTheme="minorHAnsi" w:hAnsiTheme="minorHAnsi" w:cstheme="minorHAnsi"/>
          <w:lang w:val="ro-RO"/>
        </w:rPr>
        <w:tab/>
      </w:r>
      <w:r w:rsidRPr="00AF3608">
        <w:rPr>
          <w:rFonts w:asciiTheme="minorHAnsi" w:hAnsiTheme="minorHAnsi" w:cstheme="minorHAnsi"/>
          <w:lang w:val="ro-RO"/>
        </w:rPr>
        <w:tab/>
      </w:r>
      <w:r w:rsidRPr="00AF3608">
        <w:rPr>
          <w:rFonts w:asciiTheme="minorHAnsi" w:hAnsiTheme="minorHAnsi" w:cstheme="minorHAnsi"/>
          <w:lang w:val="ro-RO"/>
        </w:rPr>
        <w:tab/>
      </w:r>
      <w:r w:rsidRPr="00AF3608">
        <w:rPr>
          <w:rFonts w:asciiTheme="minorHAnsi" w:hAnsiTheme="minorHAnsi" w:cstheme="minorHAnsi"/>
          <w:lang w:val="ro-RO"/>
        </w:rPr>
        <w:tab/>
      </w:r>
      <w:r w:rsidRPr="00AF3608">
        <w:rPr>
          <w:rFonts w:asciiTheme="minorHAnsi" w:hAnsiTheme="minorHAnsi" w:cstheme="minorHAnsi"/>
          <w:lang w:val="ro-RO"/>
        </w:rPr>
        <w:tab/>
      </w:r>
      <w:r w:rsidRPr="00AF3608">
        <w:rPr>
          <w:rFonts w:asciiTheme="minorHAnsi" w:hAnsiTheme="minorHAnsi" w:cstheme="minorHAnsi"/>
          <w:lang w:val="ro-RO"/>
        </w:rPr>
        <w:tab/>
      </w:r>
      <w:r w:rsidRPr="00AF3608">
        <w:rPr>
          <w:rFonts w:asciiTheme="minorHAnsi" w:hAnsiTheme="minorHAnsi" w:cstheme="minorHAnsi"/>
          <w:lang w:val="ro-RO"/>
        </w:rPr>
        <w:tab/>
      </w:r>
      <w:r w:rsidRPr="00AF3608">
        <w:rPr>
          <w:rFonts w:asciiTheme="minorHAnsi" w:hAnsiTheme="minorHAnsi" w:cstheme="minorHAnsi"/>
          <w:i/>
          <w:sz w:val="22"/>
          <w:szCs w:val="22"/>
          <w:lang w:val="ro-RO"/>
        </w:rPr>
        <w:t>mil. euro</w:t>
      </w:r>
    </w:p>
    <w:tbl>
      <w:tblPr>
        <w:tblStyle w:val="TableGrid"/>
        <w:tblW w:w="14084" w:type="dxa"/>
        <w:tblInd w:w="-5" w:type="dxa"/>
        <w:tblCellMar>
          <w:top w:w="85" w:type="dxa"/>
          <w:bottom w:w="85" w:type="dxa"/>
        </w:tblCellMar>
        <w:tblLook w:val="04A0" w:firstRow="1" w:lastRow="0" w:firstColumn="1" w:lastColumn="0" w:noHBand="0" w:noVBand="1"/>
      </w:tblPr>
      <w:tblGrid>
        <w:gridCol w:w="2689"/>
        <w:gridCol w:w="1702"/>
        <w:gridCol w:w="1309"/>
        <w:gridCol w:w="1143"/>
        <w:gridCol w:w="1241"/>
        <w:gridCol w:w="1241"/>
        <w:gridCol w:w="1173"/>
        <w:gridCol w:w="1240"/>
        <w:gridCol w:w="1173"/>
        <w:gridCol w:w="1173"/>
      </w:tblGrid>
      <w:tr w:rsidR="006E1EF7" w:rsidRPr="00AF3608" w:rsidTr="006E1EF7">
        <w:trPr>
          <w:trHeight w:val="394"/>
        </w:trPr>
        <w:tc>
          <w:tcPr>
            <w:tcW w:w="2689" w:type="dxa"/>
            <w:tcBorders>
              <w:top w:val="single" w:sz="8" w:space="0" w:color="auto"/>
              <w:left w:val="single" w:sz="8" w:space="0" w:color="auto"/>
              <w:right w:val="single" w:sz="8" w:space="0" w:color="auto"/>
            </w:tcBorders>
            <w:shd w:val="clear" w:color="auto" w:fill="auto"/>
            <w:vAlign w:val="center"/>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Program</w:t>
            </w:r>
          </w:p>
        </w:tc>
        <w:tc>
          <w:tcPr>
            <w:tcW w:w="1702" w:type="dxa"/>
            <w:tcBorders>
              <w:top w:val="single" w:sz="8" w:space="0" w:color="auto"/>
              <w:right w:val="single" w:sz="8" w:space="0" w:color="auto"/>
            </w:tcBorders>
            <w:shd w:val="clear" w:color="auto" w:fill="auto"/>
            <w:vAlign w:val="center"/>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Fonduri ESI</w:t>
            </w:r>
          </w:p>
        </w:tc>
        <w:tc>
          <w:tcPr>
            <w:tcW w:w="1309" w:type="dxa"/>
            <w:tcBorders>
              <w:top w:val="single" w:sz="8" w:space="0" w:color="auto"/>
              <w:right w:val="single" w:sz="8" w:space="0" w:color="auto"/>
            </w:tcBorders>
            <w:shd w:val="clear" w:color="auto" w:fill="auto"/>
            <w:vAlign w:val="center"/>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Total</w:t>
            </w:r>
          </w:p>
        </w:tc>
        <w:tc>
          <w:tcPr>
            <w:tcW w:w="1143" w:type="dxa"/>
            <w:tcBorders>
              <w:top w:val="single" w:sz="8" w:space="0" w:color="auto"/>
              <w:right w:val="single" w:sz="8" w:space="0" w:color="auto"/>
            </w:tcBorders>
            <w:shd w:val="clear" w:color="auto" w:fill="auto"/>
            <w:vAlign w:val="center"/>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2014</w:t>
            </w:r>
          </w:p>
        </w:tc>
        <w:tc>
          <w:tcPr>
            <w:tcW w:w="1241" w:type="dxa"/>
            <w:tcBorders>
              <w:top w:val="single" w:sz="8" w:space="0" w:color="auto"/>
              <w:right w:val="single" w:sz="8" w:space="0" w:color="auto"/>
            </w:tcBorders>
            <w:shd w:val="clear" w:color="auto" w:fill="auto"/>
            <w:vAlign w:val="center"/>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2015</w:t>
            </w:r>
          </w:p>
        </w:tc>
        <w:tc>
          <w:tcPr>
            <w:tcW w:w="1241" w:type="dxa"/>
            <w:tcBorders>
              <w:top w:val="single" w:sz="8" w:space="0" w:color="auto"/>
              <w:right w:val="single" w:sz="8" w:space="0" w:color="auto"/>
            </w:tcBorders>
            <w:shd w:val="clear" w:color="auto" w:fill="auto"/>
            <w:vAlign w:val="center"/>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2016</w:t>
            </w:r>
          </w:p>
        </w:tc>
        <w:tc>
          <w:tcPr>
            <w:tcW w:w="1173" w:type="dxa"/>
            <w:tcBorders>
              <w:top w:val="single" w:sz="8" w:space="0" w:color="auto"/>
              <w:right w:val="single" w:sz="8" w:space="0" w:color="auto"/>
            </w:tcBorders>
            <w:shd w:val="clear" w:color="auto" w:fill="auto"/>
            <w:vAlign w:val="center"/>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2017</w:t>
            </w:r>
          </w:p>
        </w:tc>
        <w:tc>
          <w:tcPr>
            <w:tcW w:w="1240" w:type="dxa"/>
            <w:tcBorders>
              <w:top w:val="single" w:sz="8" w:space="0" w:color="auto"/>
              <w:right w:val="single" w:sz="8" w:space="0" w:color="auto"/>
            </w:tcBorders>
            <w:shd w:val="clear" w:color="auto" w:fill="auto"/>
            <w:vAlign w:val="center"/>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2018</w:t>
            </w:r>
          </w:p>
        </w:tc>
        <w:tc>
          <w:tcPr>
            <w:tcW w:w="1173" w:type="dxa"/>
            <w:tcBorders>
              <w:top w:val="single" w:sz="8" w:space="0" w:color="auto"/>
            </w:tcBorders>
            <w:shd w:val="clear" w:color="auto" w:fill="auto"/>
            <w:vAlign w:val="center"/>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2019</w:t>
            </w:r>
          </w:p>
        </w:tc>
        <w:tc>
          <w:tcPr>
            <w:tcW w:w="1173" w:type="dxa"/>
            <w:vAlign w:val="center"/>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2020</w:t>
            </w:r>
          </w:p>
        </w:tc>
      </w:tr>
      <w:tr w:rsidR="006E1EF7" w:rsidRPr="00AF3608" w:rsidTr="006E1EF7">
        <w:trPr>
          <w:trHeight w:val="485"/>
        </w:trPr>
        <w:tc>
          <w:tcPr>
            <w:tcW w:w="2689" w:type="dxa"/>
            <w:vMerge w:val="restart"/>
            <w:vAlign w:val="center"/>
          </w:tcPr>
          <w:p w:rsidR="006E1EF7" w:rsidRPr="00AF3608" w:rsidRDefault="006E1EF7" w:rsidP="00EA3644">
            <w:pPr>
              <w:suppressAutoHyphens/>
              <w:spacing w:after="120"/>
              <w:jc w:val="both"/>
              <w:rPr>
                <w:rFonts w:asciiTheme="minorHAnsi" w:hAnsiTheme="minorHAnsi" w:cstheme="minorHAnsi"/>
                <w:b/>
                <w:lang w:val="ro-RO"/>
              </w:rPr>
            </w:pPr>
            <w:r w:rsidRPr="00AF3608">
              <w:rPr>
                <w:rFonts w:asciiTheme="minorHAnsi" w:hAnsiTheme="minorHAnsi" w:cstheme="minorHAnsi"/>
                <w:b/>
                <w:lang w:val="ro-RO"/>
              </w:rPr>
              <w:t>Po Infrastructura Mare</w:t>
            </w:r>
          </w:p>
        </w:tc>
        <w:tc>
          <w:tcPr>
            <w:tcW w:w="1702" w:type="dxa"/>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FEDR</w:t>
            </w:r>
          </w:p>
        </w:tc>
        <w:tc>
          <w:tcPr>
            <w:tcW w:w="1309" w:type="dxa"/>
          </w:tcPr>
          <w:p w:rsidR="006E1EF7" w:rsidRPr="00AF3608" w:rsidRDefault="006E1EF7" w:rsidP="00EA3644">
            <w:pPr>
              <w:suppressAutoHyphens/>
              <w:spacing w:after="120"/>
              <w:jc w:val="right"/>
              <w:rPr>
                <w:rFonts w:asciiTheme="minorHAnsi" w:hAnsiTheme="minorHAnsi" w:cstheme="minorHAnsi"/>
                <w:b/>
                <w:lang w:val="ro-RO"/>
              </w:rPr>
            </w:pPr>
            <w:r w:rsidRPr="00AF3608">
              <w:rPr>
                <w:rFonts w:asciiTheme="minorHAnsi" w:hAnsiTheme="minorHAnsi" w:cstheme="minorHAnsi"/>
                <w:b/>
                <w:lang w:val="ro-RO"/>
              </w:rPr>
              <w:t>2.103,53</w:t>
            </w:r>
          </w:p>
        </w:tc>
        <w:tc>
          <w:tcPr>
            <w:tcW w:w="114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0,00</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593,27</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324,66</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333,05</w:t>
            </w:r>
          </w:p>
        </w:tc>
        <w:tc>
          <w:tcPr>
            <w:tcW w:w="1240"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180,35</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420,24</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251,96</w:t>
            </w:r>
          </w:p>
        </w:tc>
      </w:tr>
      <w:tr w:rsidR="006E1EF7" w:rsidRPr="00AF3608" w:rsidTr="006E1EF7">
        <w:trPr>
          <w:trHeight w:val="501"/>
        </w:trPr>
        <w:tc>
          <w:tcPr>
            <w:tcW w:w="2689" w:type="dxa"/>
            <w:vMerge/>
            <w:vAlign w:val="center"/>
          </w:tcPr>
          <w:p w:rsidR="006E1EF7" w:rsidRPr="00AF3608" w:rsidRDefault="006E1EF7" w:rsidP="00EA3644">
            <w:pPr>
              <w:suppressAutoHyphens/>
              <w:spacing w:after="120"/>
              <w:jc w:val="both"/>
              <w:rPr>
                <w:rFonts w:asciiTheme="minorHAnsi" w:hAnsiTheme="minorHAnsi" w:cstheme="minorHAnsi"/>
                <w:b/>
                <w:lang w:val="ro-RO"/>
              </w:rPr>
            </w:pPr>
          </w:p>
        </w:tc>
        <w:tc>
          <w:tcPr>
            <w:tcW w:w="1702" w:type="dxa"/>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FC</w:t>
            </w:r>
          </w:p>
        </w:tc>
        <w:tc>
          <w:tcPr>
            <w:tcW w:w="1309" w:type="dxa"/>
          </w:tcPr>
          <w:p w:rsidR="006E1EF7" w:rsidRPr="00AF3608" w:rsidRDefault="006E1EF7" w:rsidP="00EA3644">
            <w:pPr>
              <w:suppressAutoHyphens/>
              <w:spacing w:after="120"/>
              <w:jc w:val="right"/>
              <w:rPr>
                <w:rFonts w:asciiTheme="minorHAnsi" w:hAnsiTheme="minorHAnsi" w:cstheme="minorHAnsi"/>
                <w:b/>
                <w:lang w:val="ro-RO"/>
              </w:rPr>
            </w:pPr>
            <w:r w:rsidRPr="00AF3608">
              <w:rPr>
                <w:rFonts w:asciiTheme="minorHAnsi" w:hAnsiTheme="minorHAnsi" w:cstheme="minorHAnsi"/>
                <w:b/>
                <w:lang w:val="ro-RO"/>
              </w:rPr>
              <w:t>6.535,00</w:t>
            </w:r>
          </w:p>
        </w:tc>
        <w:tc>
          <w:tcPr>
            <w:tcW w:w="114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0,00</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1.710,04</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949,84</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999,90</w:t>
            </w:r>
          </w:p>
        </w:tc>
        <w:tc>
          <w:tcPr>
            <w:tcW w:w="1240"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1.046,79</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1.093,83</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734,60</w:t>
            </w:r>
          </w:p>
        </w:tc>
      </w:tr>
      <w:tr w:rsidR="006E1EF7" w:rsidRPr="00AF3608" w:rsidTr="006E1EF7">
        <w:trPr>
          <w:trHeight w:val="394"/>
        </w:trPr>
        <w:tc>
          <w:tcPr>
            <w:tcW w:w="2689" w:type="dxa"/>
            <w:vAlign w:val="center"/>
          </w:tcPr>
          <w:p w:rsidR="006E1EF7" w:rsidRPr="00AF3608" w:rsidRDefault="006E1EF7" w:rsidP="00EA3644">
            <w:pPr>
              <w:suppressAutoHyphens/>
              <w:spacing w:after="120"/>
              <w:jc w:val="both"/>
              <w:rPr>
                <w:rFonts w:asciiTheme="minorHAnsi" w:hAnsiTheme="minorHAnsi" w:cstheme="minorHAnsi"/>
                <w:b/>
                <w:lang w:val="ro-RO"/>
              </w:rPr>
            </w:pPr>
            <w:r w:rsidRPr="00AF3608">
              <w:rPr>
                <w:rFonts w:asciiTheme="minorHAnsi" w:hAnsiTheme="minorHAnsi" w:cstheme="minorHAnsi"/>
                <w:b/>
                <w:lang w:val="ro-RO"/>
              </w:rPr>
              <w:t>PO Capital Uman</w:t>
            </w:r>
          </w:p>
        </w:tc>
        <w:tc>
          <w:tcPr>
            <w:tcW w:w="1702" w:type="dxa"/>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FSE + ILMT</w:t>
            </w:r>
          </w:p>
        </w:tc>
        <w:tc>
          <w:tcPr>
            <w:tcW w:w="1309" w:type="dxa"/>
          </w:tcPr>
          <w:p w:rsidR="006E1EF7" w:rsidRPr="00AF3608" w:rsidRDefault="006E1EF7" w:rsidP="00EA3644">
            <w:pPr>
              <w:suppressAutoHyphens/>
              <w:spacing w:after="120"/>
              <w:jc w:val="right"/>
              <w:rPr>
                <w:rFonts w:asciiTheme="minorHAnsi" w:hAnsiTheme="minorHAnsi" w:cstheme="minorHAnsi"/>
                <w:b/>
                <w:lang w:val="ro-RO"/>
              </w:rPr>
            </w:pPr>
            <w:r w:rsidRPr="00AF3608">
              <w:rPr>
                <w:rFonts w:asciiTheme="minorHAnsi" w:hAnsiTheme="minorHAnsi" w:cstheme="minorHAnsi"/>
                <w:b/>
                <w:lang w:val="ro-RO"/>
              </w:rPr>
              <w:t>4.362,06</w:t>
            </w:r>
          </w:p>
        </w:tc>
        <w:tc>
          <w:tcPr>
            <w:tcW w:w="114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561,79</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583,86</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575,92</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624,85</w:t>
            </w:r>
          </w:p>
        </w:tc>
        <w:tc>
          <w:tcPr>
            <w:tcW w:w="1240"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648,45</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672,17</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695,02</w:t>
            </w:r>
          </w:p>
        </w:tc>
      </w:tr>
      <w:tr w:rsidR="006E1EF7" w:rsidRPr="00AF3608" w:rsidTr="006E1EF7">
        <w:trPr>
          <w:trHeight w:val="956"/>
        </w:trPr>
        <w:tc>
          <w:tcPr>
            <w:tcW w:w="2689" w:type="dxa"/>
          </w:tcPr>
          <w:p w:rsidR="006E1EF7" w:rsidRPr="00AF3608" w:rsidRDefault="006E1EF7" w:rsidP="00EA3644">
            <w:pPr>
              <w:suppressAutoHyphens/>
              <w:spacing w:after="120"/>
              <w:jc w:val="both"/>
              <w:rPr>
                <w:rFonts w:asciiTheme="minorHAnsi" w:hAnsiTheme="minorHAnsi" w:cstheme="minorHAnsi"/>
                <w:b/>
                <w:lang w:val="ro-RO"/>
              </w:rPr>
            </w:pPr>
            <w:r w:rsidRPr="00AF3608">
              <w:rPr>
                <w:rFonts w:asciiTheme="minorHAnsi" w:hAnsiTheme="minorHAnsi" w:cstheme="minorHAnsi"/>
                <w:b/>
                <w:lang w:val="ro-RO"/>
              </w:rPr>
              <w:t>PO Ajutorarea Persoanelor Dezavantajate</w:t>
            </w:r>
          </w:p>
        </w:tc>
        <w:tc>
          <w:tcPr>
            <w:tcW w:w="1702" w:type="dxa"/>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FEAD</w:t>
            </w:r>
          </w:p>
        </w:tc>
        <w:tc>
          <w:tcPr>
            <w:tcW w:w="1309" w:type="dxa"/>
          </w:tcPr>
          <w:p w:rsidR="006E1EF7" w:rsidRPr="00AF3608" w:rsidRDefault="006E1EF7" w:rsidP="00EA3644">
            <w:pPr>
              <w:suppressAutoHyphens/>
              <w:spacing w:after="120"/>
              <w:jc w:val="right"/>
              <w:rPr>
                <w:rFonts w:asciiTheme="minorHAnsi" w:hAnsiTheme="minorHAnsi" w:cstheme="minorHAnsi"/>
                <w:b/>
                <w:lang w:val="ro-RO"/>
              </w:rPr>
            </w:pPr>
            <w:r w:rsidRPr="00AF3608">
              <w:rPr>
                <w:rFonts w:asciiTheme="minorHAnsi" w:hAnsiTheme="minorHAnsi" w:cstheme="minorHAnsi"/>
                <w:b/>
                <w:lang w:val="ro-RO"/>
              </w:rPr>
              <w:t>441,01</w:t>
            </w:r>
          </w:p>
        </w:tc>
        <w:tc>
          <w:tcPr>
            <w:tcW w:w="114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59,32</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60,50</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61,72</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62,95</w:t>
            </w:r>
          </w:p>
        </w:tc>
        <w:tc>
          <w:tcPr>
            <w:tcW w:w="1240"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64,22</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65,50</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66,80</w:t>
            </w:r>
          </w:p>
        </w:tc>
      </w:tr>
      <w:tr w:rsidR="006E1EF7" w:rsidRPr="00AF3608" w:rsidTr="006E1EF7">
        <w:trPr>
          <w:trHeight w:val="683"/>
        </w:trPr>
        <w:tc>
          <w:tcPr>
            <w:tcW w:w="2689" w:type="dxa"/>
          </w:tcPr>
          <w:p w:rsidR="006E1EF7" w:rsidRPr="00AF3608" w:rsidRDefault="006E1EF7" w:rsidP="00EA3644">
            <w:pPr>
              <w:suppressAutoHyphens/>
              <w:spacing w:after="120"/>
              <w:jc w:val="both"/>
              <w:rPr>
                <w:rFonts w:asciiTheme="minorHAnsi" w:hAnsiTheme="minorHAnsi" w:cstheme="minorHAnsi"/>
                <w:b/>
                <w:lang w:val="ro-RO"/>
              </w:rPr>
            </w:pPr>
            <w:r w:rsidRPr="00AF3608">
              <w:rPr>
                <w:rFonts w:asciiTheme="minorHAnsi" w:hAnsiTheme="minorHAnsi" w:cstheme="minorHAnsi"/>
                <w:b/>
                <w:lang w:val="ro-RO"/>
              </w:rPr>
              <w:t>PO Capacitate Administrativă</w:t>
            </w:r>
          </w:p>
        </w:tc>
        <w:tc>
          <w:tcPr>
            <w:tcW w:w="1702" w:type="dxa"/>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FSE</w:t>
            </w:r>
          </w:p>
        </w:tc>
        <w:tc>
          <w:tcPr>
            <w:tcW w:w="1309" w:type="dxa"/>
          </w:tcPr>
          <w:p w:rsidR="006E1EF7" w:rsidRPr="00AF3608" w:rsidRDefault="006E1EF7" w:rsidP="00EA3644">
            <w:pPr>
              <w:suppressAutoHyphens/>
              <w:spacing w:after="120"/>
              <w:jc w:val="right"/>
              <w:rPr>
                <w:rFonts w:asciiTheme="minorHAnsi" w:hAnsiTheme="minorHAnsi" w:cstheme="minorHAnsi"/>
                <w:b/>
                <w:lang w:val="ro-RO"/>
              </w:rPr>
            </w:pPr>
            <w:r w:rsidRPr="00AF3608">
              <w:rPr>
                <w:rFonts w:asciiTheme="minorHAnsi" w:hAnsiTheme="minorHAnsi" w:cstheme="minorHAnsi"/>
                <w:b/>
                <w:lang w:val="ro-RO"/>
              </w:rPr>
              <w:t>563,59</w:t>
            </w:r>
          </w:p>
        </w:tc>
        <w:tc>
          <w:tcPr>
            <w:tcW w:w="114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67,22</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71,39</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75,92</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79,53</w:t>
            </w:r>
          </w:p>
        </w:tc>
        <w:tc>
          <w:tcPr>
            <w:tcW w:w="1240"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83,04</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86,43</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100,06</w:t>
            </w:r>
          </w:p>
        </w:tc>
      </w:tr>
      <w:tr w:rsidR="006E1EF7" w:rsidRPr="00AF3608" w:rsidTr="006E1EF7">
        <w:trPr>
          <w:trHeight w:val="409"/>
        </w:trPr>
        <w:tc>
          <w:tcPr>
            <w:tcW w:w="2689" w:type="dxa"/>
          </w:tcPr>
          <w:p w:rsidR="006E1EF7" w:rsidRPr="00AF3608" w:rsidRDefault="006E1EF7" w:rsidP="00EA3644">
            <w:pPr>
              <w:suppressAutoHyphens/>
              <w:spacing w:after="120"/>
              <w:jc w:val="both"/>
              <w:rPr>
                <w:rFonts w:asciiTheme="minorHAnsi" w:hAnsiTheme="minorHAnsi" w:cstheme="minorHAnsi"/>
                <w:b/>
                <w:lang w:val="ro-RO"/>
              </w:rPr>
            </w:pPr>
            <w:r w:rsidRPr="00AF3608">
              <w:rPr>
                <w:rFonts w:asciiTheme="minorHAnsi" w:hAnsiTheme="minorHAnsi" w:cstheme="minorHAnsi"/>
                <w:b/>
                <w:lang w:val="ro-RO"/>
              </w:rPr>
              <w:t>PO Competitivitate</w:t>
            </w:r>
          </w:p>
        </w:tc>
        <w:tc>
          <w:tcPr>
            <w:tcW w:w="1702" w:type="dxa"/>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FEDR</w:t>
            </w:r>
          </w:p>
        </w:tc>
        <w:tc>
          <w:tcPr>
            <w:tcW w:w="1309" w:type="dxa"/>
          </w:tcPr>
          <w:p w:rsidR="006E1EF7" w:rsidRPr="00AF3608" w:rsidRDefault="006E1EF7" w:rsidP="00EA3644">
            <w:pPr>
              <w:suppressAutoHyphens/>
              <w:spacing w:after="120"/>
              <w:jc w:val="right"/>
              <w:rPr>
                <w:rFonts w:asciiTheme="minorHAnsi" w:hAnsiTheme="minorHAnsi" w:cstheme="minorHAnsi"/>
                <w:b/>
                <w:lang w:val="ro-RO"/>
              </w:rPr>
            </w:pPr>
            <w:r w:rsidRPr="00AF3608">
              <w:rPr>
                <w:rFonts w:asciiTheme="minorHAnsi" w:hAnsiTheme="minorHAnsi" w:cstheme="minorHAnsi"/>
                <w:b/>
                <w:lang w:val="ro-RO"/>
              </w:rPr>
              <w:t>1.829,79</w:t>
            </w:r>
          </w:p>
        </w:tc>
        <w:tc>
          <w:tcPr>
            <w:tcW w:w="114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156,53</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168,17</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171,39</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184,73</w:t>
            </w:r>
          </w:p>
        </w:tc>
        <w:tc>
          <w:tcPr>
            <w:tcW w:w="1240"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201,79</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210,67</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736,51</w:t>
            </w:r>
          </w:p>
        </w:tc>
      </w:tr>
      <w:tr w:rsidR="006E1EF7" w:rsidRPr="00AF3608" w:rsidTr="006E1EF7">
        <w:trPr>
          <w:trHeight w:val="668"/>
        </w:trPr>
        <w:tc>
          <w:tcPr>
            <w:tcW w:w="2689" w:type="dxa"/>
          </w:tcPr>
          <w:p w:rsidR="006E1EF7" w:rsidRPr="00AF3608" w:rsidRDefault="006E1EF7" w:rsidP="00EA3644">
            <w:pPr>
              <w:suppressAutoHyphens/>
              <w:spacing w:after="120"/>
              <w:jc w:val="both"/>
              <w:rPr>
                <w:rFonts w:asciiTheme="minorHAnsi" w:hAnsiTheme="minorHAnsi" w:cstheme="minorHAnsi"/>
                <w:b/>
                <w:lang w:val="ro-RO"/>
              </w:rPr>
            </w:pPr>
            <w:r w:rsidRPr="00AF3608">
              <w:rPr>
                <w:rFonts w:asciiTheme="minorHAnsi" w:hAnsiTheme="minorHAnsi" w:cstheme="minorHAnsi"/>
                <w:b/>
                <w:lang w:val="ro-RO"/>
              </w:rPr>
              <w:t>PO Asistență Tehnică</w:t>
            </w:r>
          </w:p>
        </w:tc>
        <w:tc>
          <w:tcPr>
            <w:tcW w:w="1702" w:type="dxa"/>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FEDR</w:t>
            </w:r>
          </w:p>
        </w:tc>
        <w:tc>
          <w:tcPr>
            <w:tcW w:w="1309" w:type="dxa"/>
          </w:tcPr>
          <w:p w:rsidR="006E1EF7" w:rsidRPr="00AF3608" w:rsidRDefault="006E1EF7" w:rsidP="00EA3644">
            <w:pPr>
              <w:suppressAutoHyphens/>
              <w:spacing w:after="120"/>
              <w:jc w:val="right"/>
              <w:rPr>
                <w:rFonts w:asciiTheme="minorHAnsi" w:hAnsiTheme="minorHAnsi" w:cstheme="minorHAnsi"/>
                <w:b/>
                <w:lang w:val="ro-RO"/>
              </w:rPr>
            </w:pPr>
            <w:r w:rsidRPr="00AF3608">
              <w:rPr>
                <w:rFonts w:asciiTheme="minorHAnsi" w:hAnsiTheme="minorHAnsi" w:cstheme="minorHAnsi"/>
                <w:b/>
                <w:lang w:val="ro-RO"/>
              </w:rPr>
              <w:t>332,76</w:t>
            </w:r>
          </w:p>
        </w:tc>
        <w:tc>
          <w:tcPr>
            <w:tcW w:w="114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21,28</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31,91</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28,91</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31,91</w:t>
            </w:r>
          </w:p>
        </w:tc>
        <w:tc>
          <w:tcPr>
            <w:tcW w:w="1240"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71,92</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31,91</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114,92</w:t>
            </w:r>
          </w:p>
        </w:tc>
      </w:tr>
      <w:tr w:rsidR="006E1EF7" w:rsidRPr="00AF3608" w:rsidTr="006E1EF7">
        <w:trPr>
          <w:trHeight w:val="409"/>
        </w:trPr>
        <w:tc>
          <w:tcPr>
            <w:tcW w:w="2689" w:type="dxa"/>
          </w:tcPr>
          <w:p w:rsidR="006E1EF7" w:rsidRPr="00AF3608" w:rsidRDefault="006E1EF7" w:rsidP="00EA3644">
            <w:pPr>
              <w:suppressAutoHyphens/>
              <w:spacing w:after="120"/>
              <w:jc w:val="both"/>
              <w:rPr>
                <w:rFonts w:asciiTheme="minorHAnsi" w:hAnsiTheme="minorHAnsi" w:cstheme="minorHAnsi"/>
                <w:b/>
                <w:lang w:val="ro-RO"/>
              </w:rPr>
            </w:pPr>
            <w:r w:rsidRPr="00AF3608">
              <w:rPr>
                <w:rFonts w:asciiTheme="minorHAnsi" w:hAnsiTheme="minorHAnsi" w:cstheme="minorHAnsi"/>
                <w:b/>
                <w:lang w:val="ro-RO"/>
              </w:rPr>
              <w:t>PO Regional</w:t>
            </w:r>
          </w:p>
        </w:tc>
        <w:tc>
          <w:tcPr>
            <w:tcW w:w="1702" w:type="dxa"/>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FEDR</w:t>
            </w:r>
          </w:p>
        </w:tc>
        <w:tc>
          <w:tcPr>
            <w:tcW w:w="1309" w:type="dxa"/>
          </w:tcPr>
          <w:p w:rsidR="006E1EF7" w:rsidRPr="00AF3608" w:rsidRDefault="006E1EF7" w:rsidP="00EA3644">
            <w:pPr>
              <w:suppressAutoHyphens/>
              <w:spacing w:after="120"/>
              <w:jc w:val="right"/>
              <w:rPr>
                <w:rFonts w:asciiTheme="minorHAnsi" w:hAnsiTheme="minorHAnsi" w:cstheme="minorHAnsi"/>
                <w:b/>
                <w:lang w:val="ro-RO"/>
              </w:rPr>
            </w:pPr>
            <w:r w:rsidRPr="00AF3608">
              <w:rPr>
                <w:rFonts w:asciiTheme="minorHAnsi" w:hAnsiTheme="minorHAnsi" w:cstheme="minorHAnsi"/>
                <w:b/>
                <w:lang w:val="ro-RO"/>
              </w:rPr>
              <w:t>6.860,00</w:t>
            </w:r>
          </w:p>
        </w:tc>
        <w:tc>
          <w:tcPr>
            <w:tcW w:w="114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0,00</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1.671,14</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941,39</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994,50</w:t>
            </w:r>
          </w:p>
        </w:tc>
        <w:tc>
          <w:tcPr>
            <w:tcW w:w="1240"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1.165,65</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1.029,45</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1.057,87</w:t>
            </w:r>
          </w:p>
        </w:tc>
      </w:tr>
      <w:tr w:rsidR="006E1EF7" w:rsidRPr="00AF3608" w:rsidTr="006E1EF7">
        <w:trPr>
          <w:trHeight w:val="683"/>
        </w:trPr>
        <w:tc>
          <w:tcPr>
            <w:tcW w:w="2689" w:type="dxa"/>
          </w:tcPr>
          <w:p w:rsidR="006E1EF7" w:rsidRPr="00AF3608" w:rsidRDefault="006E1EF7" w:rsidP="00EA3644">
            <w:pPr>
              <w:suppressAutoHyphens/>
              <w:spacing w:after="120"/>
              <w:jc w:val="both"/>
              <w:rPr>
                <w:rFonts w:asciiTheme="minorHAnsi" w:hAnsiTheme="minorHAnsi" w:cstheme="minorHAnsi"/>
                <w:b/>
                <w:lang w:val="ro-RO"/>
              </w:rPr>
            </w:pPr>
            <w:r w:rsidRPr="00AF3608">
              <w:rPr>
                <w:rFonts w:asciiTheme="minorHAnsi" w:hAnsiTheme="minorHAnsi" w:cstheme="minorHAnsi"/>
                <w:b/>
                <w:lang w:val="ro-RO"/>
              </w:rPr>
              <w:t>PN Dezvoltare Rurală</w:t>
            </w:r>
          </w:p>
        </w:tc>
        <w:tc>
          <w:tcPr>
            <w:tcW w:w="1702" w:type="dxa"/>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FEADR</w:t>
            </w:r>
          </w:p>
        </w:tc>
        <w:tc>
          <w:tcPr>
            <w:tcW w:w="1309" w:type="dxa"/>
          </w:tcPr>
          <w:p w:rsidR="006E1EF7" w:rsidRPr="00AF3608" w:rsidRDefault="006E1EF7" w:rsidP="00EA3644">
            <w:pPr>
              <w:suppressAutoHyphens/>
              <w:spacing w:after="120"/>
              <w:jc w:val="right"/>
              <w:rPr>
                <w:rFonts w:asciiTheme="minorHAnsi" w:hAnsiTheme="minorHAnsi" w:cstheme="minorHAnsi"/>
                <w:b/>
                <w:lang w:val="ro-RO"/>
              </w:rPr>
            </w:pPr>
            <w:r w:rsidRPr="00AF3608">
              <w:rPr>
                <w:rFonts w:asciiTheme="minorHAnsi" w:hAnsiTheme="minorHAnsi" w:cstheme="minorHAnsi"/>
                <w:b/>
                <w:lang w:val="ro-RO"/>
              </w:rPr>
              <w:t>8.128,00</w:t>
            </w:r>
          </w:p>
        </w:tc>
        <w:tc>
          <w:tcPr>
            <w:tcW w:w="114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0,00</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1.723,26</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1.751,61</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1.186,54</w:t>
            </w:r>
          </w:p>
        </w:tc>
        <w:tc>
          <w:tcPr>
            <w:tcW w:w="1240"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1.184,73</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1.141,93</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1.139,93</w:t>
            </w:r>
          </w:p>
        </w:tc>
      </w:tr>
      <w:tr w:rsidR="006E1EF7" w:rsidRPr="00AF3608" w:rsidTr="006E1EF7">
        <w:trPr>
          <w:trHeight w:val="668"/>
        </w:trPr>
        <w:tc>
          <w:tcPr>
            <w:tcW w:w="2689" w:type="dxa"/>
          </w:tcPr>
          <w:p w:rsidR="006E1EF7" w:rsidRPr="00AF3608" w:rsidRDefault="006E1EF7" w:rsidP="00EA3644">
            <w:pPr>
              <w:suppressAutoHyphens/>
              <w:spacing w:after="120"/>
              <w:jc w:val="both"/>
              <w:rPr>
                <w:rFonts w:asciiTheme="minorHAnsi" w:hAnsiTheme="minorHAnsi" w:cstheme="minorHAnsi"/>
                <w:b/>
                <w:lang w:val="ro-RO"/>
              </w:rPr>
            </w:pPr>
            <w:r w:rsidRPr="00AF3608">
              <w:rPr>
                <w:rFonts w:asciiTheme="minorHAnsi" w:hAnsiTheme="minorHAnsi" w:cstheme="minorHAnsi"/>
                <w:b/>
                <w:lang w:val="ro-RO"/>
              </w:rPr>
              <w:t>PO Pescuit și Afaceri Maritime</w:t>
            </w:r>
          </w:p>
        </w:tc>
        <w:tc>
          <w:tcPr>
            <w:tcW w:w="1702" w:type="dxa"/>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FEPAM</w:t>
            </w:r>
          </w:p>
        </w:tc>
        <w:tc>
          <w:tcPr>
            <w:tcW w:w="1309" w:type="dxa"/>
          </w:tcPr>
          <w:p w:rsidR="006E1EF7" w:rsidRPr="00AF3608" w:rsidRDefault="006E1EF7" w:rsidP="00EA3644">
            <w:pPr>
              <w:suppressAutoHyphens/>
              <w:spacing w:after="120"/>
              <w:jc w:val="right"/>
              <w:rPr>
                <w:rFonts w:asciiTheme="minorHAnsi" w:hAnsiTheme="minorHAnsi" w:cstheme="minorHAnsi"/>
                <w:b/>
                <w:lang w:val="ro-RO"/>
              </w:rPr>
            </w:pPr>
            <w:r w:rsidRPr="00AF3608">
              <w:rPr>
                <w:rFonts w:asciiTheme="minorHAnsi" w:hAnsiTheme="minorHAnsi" w:cstheme="minorHAnsi"/>
                <w:b/>
                <w:lang w:val="ro-RO"/>
              </w:rPr>
              <w:t>168,42</w:t>
            </w:r>
          </w:p>
        </w:tc>
        <w:tc>
          <w:tcPr>
            <w:tcW w:w="114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0,00</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46,47</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23,59</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23,98</w:t>
            </w:r>
          </w:p>
        </w:tc>
        <w:tc>
          <w:tcPr>
            <w:tcW w:w="1240"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24,53</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24,70</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25,15</w:t>
            </w:r>
          </w:p>
        </w:tc>
      </w:tr>
      <w:tr w:rsidR="006E1EF7" w:rsidRPr="00AF3608" w:rsidTr="006E1EF7">
        <w:trPr>
          <w:trHeight w:val="425"/>
        </w:trPr>
        <w:tc>
          <w:tcPr>
            <w:tcW w:w="2689" w:type="dxa"/>
          </w:tcPr>
          <w:p w:rsidR="006E1EF7" w:rsidRPr="00AF3608" w:rsidRDefault="006E1EF7" w:rsidP="00EA3644">
            <w:pPr>
              <w:suppressAutoHyphens/>
              <w:spacing w:after="120"/>
              <w:jc w:val="both"/>
              <w:rPr>
                <w:rFonts w:asciiTheme="minorHAnsi" w:hAnsiTheme="minorHAnsi" w:cstheme="minorHAnsi"/>
                <w:b/>
                <w:lang w:val="ro-RO"/>
              </w:rPr>
            </w:pPr>
            <w:r w:rsidRPr="00AF3608">
              <w:rPr>
                <w:rFonts w:asciiTheme="minorHAnsi" w:hAnsiTheme="minorHAnsi" w:cstheme="minorHAnsi"/>
                <w:b/>
                <w:lang w:val="ro-RO"/>
              </w:rPr>
              <w:t>TOTAL</w:t>
            </w:r>
          </w:p>
        </w:tc>
        <w:tc>
          <w:tcPr>
            <w:tcW w:w="1702" w:type="dxa"/>
            <w:vAlign w:val="center"/>
          </w:tcPr>
          <w:p w:rsidR="006E1EF7" w:rsidRPr="00AF3608" w:rsidRDefault="006E1EF7" w:rsidP="00EA3644">
            <w:pPr>
              <w:suppressAutoHyphens/>
              <w:spacing w:after="120"/>
              <w:jc w:val="both"/>
              <w:rPr>
                <w:rFonts w:asciiTheme="minorHAnsi" w:hAnsiTheme="minorHAnsi" w:cstheme="minorHAnsi"/>
                <w:b/>
                <w:lang w:val="ro-RO"/>
              </w:rPr>
            </w:pPr>
          </w:p>
        </w:tc>
        <w:tc>
          <w:tcPr>
            <w:tcW w:w="1309" w:type="dxa"/>
          </w:tcPr>
          <w:p w:rsidR="006E1EF7" w:rsidRPr="00AF3608" w:rsidRDefault="006E1EF7" w:rsidP="00EA3644">
            <w:pPr>
              <w:suppressAutoHyphens/>
              <w:spacing w:after="120"/>
              <w:jc w:val="right"/>
              <w:rPr>
                <w:rFonts w:asciiTheme="minorHAnsi" w:hAnsiTheme="minorHAnsi" w:cstheme="minorHAnsi"/>
                <w:b/>
                <w:lang w:val="ro-RO"/>
              </w:rPr>
            </w:pPr>
            <w:r w:rsidRPr="00AF3608">
              <w:rPr>
                <w:rFonts w:asciiTheme="minorHAnsi" w:hAnsiTheme="minorHAnsi" w:cstheme="minorHAnsi"/>
                <w:b/>
                <w:lang w:val="ro-RO"/>
              </w:rPr>
              <w:t>31.324,16</w:t>
            </w:r>
          </w:p>
        </w:tc>
        <w:tc>
          <w:tcPr>
            <w:tcW w:w="1143" w:type="dxa"/>
          </w:tcPr>
          <w:p w:rsidR="006E1EF7" w:rsidRPr="00AF3608" w:rsidRDefault="006E1EF7" w:rsidP="00EA3644">
            <w:pPr>
              <w:suppressAutoHyphens/>
              <w:spacing w:after="120"/>
              <w:jc w:val="right"/>
              <w:rPr>
                <w:rFonts w:asciiTheme="minorHAnsi" w:hAnsiTheme="minorHAnsi" w:cstheme="minorHAnsi"/>
                <w:b/>
                <w:lang w:val="ro-RO"/>
              </w:rPr>
            </w:pPr>
            <w:r w:rsidRPr="00AF3608">
              <w:rPr>
                <w:rFonts w:asciiTheme="minorHAnsi" w:hAnsiTheme="minorHAnsi" w:cstheme="minorHAnsi"/>
                <w:b/>
                <w:lang w:val="ro-RO"/>
              </w:rPr>
              <w:t>866,14</w:t>
            </w:r>
          </w:p>
        </w:tc>
        <w:tc>
          <w:tcPr>
            <w:tcW w:w="1241" w:type="dxa"/>
          </w:tcPr>
          <w:p w:rsidR="006E1EF7" w:rsidRPr="00AF3608" w:rsidRDefault="006E1EF7" w:rsidP="00EA3644">
            <w:pPr>
              <w:suppressAutoHyphens/>
              <w:spacing w:after="120"/>
              <w:jc w:val="right"/>
              <w:rPr>
                <w:rFonts w:asciiTheme="minorHAnsi" w:hAnsiTheme="minorHAnsi" w:cstheme="minorHAnsi"/>
                <w:b/>
                <w:lang w:val="ro-RO"/>
              </w:rPr>
            </w:pPr>
            <w:r w:rsidRPr="00AF3608">
              <w:rPr>
                <w:rFonts w:asciiTheme="minorHAnsi" w:hAnsiTheme="minorHAnsi" w:cstheme="minorHAnsi"/>
                <w:b/>
                <w:lang w:val="ro-RO"/>
              </w:rPr>
              <w:t>6.660,01</w:t>
            </w:r>
          </w:p>
        </w:tc>
        <w:tc>
          <w:tcPr>
            <w:tcW w:w="1241" w:type="dxa"/>
          </w:tcPr>
          <w:p w:rsidR="006E1EF7" w:rsidRPr="00AF3608" w:rsidRDefault="006E1EF7" w:rsidP="00EA3644">
            <w:pPr>
              <w:suppressAutoHyphens/>
              <w:spacing w:after="120"/>
              <w:jc w:val="right"/>
              <w:rPr>
                <w:rFonts w:asciiTheme="minorHAnsi" w:hAnsiTheme="minorHAnsi" w:cstheme="minorHAnsi"/>
                <w:b/>
                <w:lang w:val="ro-RO"/>
              </w:rPr>
            </w:pPr>
            <w:r w:rsidRPr="00AF3608">
              <w:rPr>
                <w:rFonts w:asciiTheme="minorHAnsi" w:hAnsiTheme="minorHAnsi" w:cstheme="minorHAnsi"/>
                <w:b/>
                <w:lang w:val="ro-RO"/>
              </w:rPr>
              <w:t>4.904,95</w:t>
            </w:r>
          </w:p>
        </w:tc>
        <w:tc>
          <w:tcPr>
            <w:tcW w:w="1173" w:type="dxa"/>
          </w:tcPr>
          <w:p w:rsidR="006E1EF7" w:rsidRPr="00AF3608" w:rsidRDefault="006E1EF7" w:rsidP="00EA3644">
            <w:pPr>
              <w:suppressAutoHyphens/>
              <w:spacing w:after="120"/>
              <w:jc w:val="right"/>
              <w:rPr>
                <w:rFonts w:asciiTheme="minorHAnsi" w:hAnsiTheme="minorHAnsi" w:cstheme="minorHAnsi"/>
                <w:b/>
                <w:lang w:val="ro-RO"/>
              </w:rPr>
            </w:pPr>
            <w:r w:rsidRPr="00AF3608">
              <w:rPr>
                <w:rFonts w:asciiTheme="minorHAnsi" w:hAnsiTheme="minorHAnsi" w:cstheme="minorHAnsi"/>
                <w:b/>
                <w:lang w:val="ro-RO"/>
              </w:rPr>
              <w:t>4.521,94</w:t>
            </w:r>
          </w:p>
        </w:tc>
        <w:tc>
          <w:tcPr>
            <w:tcW w:w="1240" w:type="dxa"/>
          </w:tcPr>
          <w:p w:rsidR="006E1EF7" w:rsidRPr="00AF3608" w:rsidRDefault="006E1EF7" w:rsidP="00EA3644">
            <w:pPr>
              <w:suppressAutoHyphens/>
              <w:spacing w:after="120"/>
              <w:jc w:val="right"/>
              <w:rPr>
                <w:rFonts w:asciiTheme="minorHAnsi" w:hAnsiTheme="minorHAnsi" w:cstheme="minorHAnsi"/>
                <w:b/>
                <w:lang w:val="ro-RO"/>
              </w:rPr>
            </w:pPr>
            <w:r w:rsidRPr="00AF3608">
              <w:rPr>
                <w:rFonts w:asciiTheme="minorHAnsi" w:hAnsiTheme="minorHAnsi" w:cstheme="minorHAnsi"/>
                <w:b/>
                <w:lang w:val="ro-RO"/>
              </w:rPr>
              <w:t>4.671,47</w:t>
            </w:r>
          </w:p>
        </w:tc>
        <w:tc>
          <w:tcPr>
            <w:tcW w:w="1173" w:type="dxa"/>
          </w:tcPr>
          <w:p w:rsidR="006E1EF7" w:rsidRPr="00AF3608" w:rsidRDefault="006E1EF7" w:rsidP="00EA3644">
            <w:pPr>
              <w:suppressAutoHyphens/>
              <w:spacing w:after="120"/>
              <w:jc w:val="right"/>
              <w:rPr>
                <w:rFonts w:asciiTheme="minorHAnsi" w:hAnsiTheme="minorHAnsi" w:cstheme="minorHAnsi"/>
                <w:b/>
                <w:lang w:val="ro-RO"/>
              </w:rPr>
            </w:pPr>
            <w:r w:rsidRPr="00AF3608">
              <w:rPr>
                <w:rFonts w:asciiTheme="minorHAnsi" w:hAnsiTheme="minorHAnsi" w:cstheme="minorHAnsi"/>
                <w:b/>
                <w:lang w:val="ro-RO"/>
              </w:rPr>
              <w:t>4.776,83</w:t>
            </w:r>
          </w:p>
        </w:tc>
        <w:tc>
          <w:tcPr>
            <w:tcW w:w="1173" w:type="dxa"/>
          </w:tcPr>
          <w:p w:rsidR="006E1EF7" w:rsidRPr="00AF3608" w:rsidRDefault="006E1EF7" w:rsidP="00EA3644">
            <w:pPr>
              <w:suppressAutoHyphens/>
              <w:spacing w:after="120"/>
              <w:jc w:val="right"/>
              <w:rPr>
                <w:rFonts w:asciiTheme="minorHAnsi" w:hAnsiTheme="minorHAnsi" w:cstheme="minorHAnsi"/>
                <w:b/>
                <w:lang w:val="ro-RO"/>
              </w:rPr>
            </w:pPr>
            <w:r w:rsidRPr="00AF3608">
              <w:rPr>
                <w:rFonts w:asciiTheme="minorHAnsi" w:hAnsiTheme="minorHAnsi" w:cstheme="minorHAnsi"/>
                <w:b/>
                <w:lang w:val="ro-RO"/>
              </w:rPr>
              <w:t>4.922,82</w:t>
            </w:r>
          </w:p>
        </w:tc>
      </w:tr>
    </w:tbl>
    <w:p w:rsidR="006E1EF7" w:rsidRPr="00AF3608" w:rsidRDefault="006E1EF7" w:rsidP="006E1EF7">
      <w:pPr>
        <w:suppressAutoHyphens/>
        <w:spacing w:after="120"/>
        <w:jc w:val="both"/>
        <w:rPr>
          <w:rFonts w:asciiTheme="minorHAnsi" w:hAnsiTheme="minorHAnsi" w:cstheme="minorHAnsi"/>
          <w:b/>
          <w:i/>
          <w:lang w:val="ro-RO"/>
        </w:rPr>
        <w:sectPr w:rsidR="006E1EF7" w:rsidRPr="00AF3608" w:rsidSect="006E1EF7">
          <w:pgSz w:w="15840" w:h="12240" w:orient="landscape"/>
          <w:pgMar w:top="1276" w:right="1134" w:bottom="758" w:left="1134" w:header="720" w:footer="720" w:gutter="0"/>
          <w:cols w:space="720"/>
          <w:docGrid w:linePitch="360"/>
        </w:sectPr>
      </w:pPr>
      <w:bookmarkStart w:id="11" w:name="page149"/>
      <w:bookmarkEnd w:id="11"/>
    </w:p>
    <w:p w:rsidR="006E1EF7" w:rsidRPr="00AF3608" w:rsidRDefault="006E1EF7" w:rsidP="006E1EF7">
      <w:pPr>
        <w:suppressAutoHyphens/>
        <w:spacing w:before="120"/>
        <w:jc w:val="both"/>
        <w:rPr>
          <w:rFonts w:asciiTheme="minorHAnsi" w:hAnsiTheme="minorHAnsi" w:cstheme="minorHAnsi"/>
          <w:lang w:val="ro-RO"/>
        </w:rPr>
      </w:pPr>
    </w:p>
    <w:p w:rsidR="006E1EF7" w:rsidRPr="00AF3608" w:rsidRDefault="006E1EF7" w:rsidP="006E1EF7">
      <w:pPr>
        <w:shd w:val="clear" w:color="auto" w:fill="FFE599" w:themeFill="accent4" w:themeFillTint="66"/>
        <w:suppressAutoHyphens/>
        <w:spacing w:before="120"/>
        <w:jc w:val="both"/>
        <w:rPr>
          <w:rFonts w:asciiTheme="minorHAnsi" w:hAnsiTheme="minorHAnsi" w:cstheme="minorHAnsi"/>
          <w:b/>
          <w:lang w:val="ro-RO"/>
        </w:rPr>
      </w:pPr>
      <w:r w:rsidRPr="00AF3608">
        <w:rPr>
          <w:rFonts w:asciiTheme="minorHAnsi" w:hAnsiTheme="minorHAnsi" w:cstheme="minorHAnsi"/>
          <w:b/>
          <w:lang w:val="ro-RO"/>
        </w:rPr>
        <w:t>Programarea fondurilor aferente Politicii de Coeziune CFM 2021-2027</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MIPE coordonează elaborarea documentelor de programare privind investițiile naționale sprijinite prin fonduri europene în cadrul Politicii de Coeziune 2021-2027, în cadrul căreia România are alocate fonduri europene în valoare de 31,35 miliarde de euro (prețuri curente, inclusiv cooperarea teritorială europeană).  </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Până în prezent, au fost purtate discuții asupra versiunilor preliminare de Acord de Parteneriat pentru perioada de programare 2021-2027, iar propunerile pentru viitoarele programe operaționale sunt: </w:t>
      </w:r>
    </w:p>
    <w:p w:rsidR="006E1EF7" w:rsidRPr="00AF3608" w:rsidRDefault="006E1EF7" w:rsidP="003A0B85">
      <w:pPr>
        <w:numPr>
          <w:ilvl w:val="0"/>
          <w:numId w:val="82"/>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PO Dezvoltare Durabilă; </w:t>
      </w:r>
    </w:p>
    <w:p w:rsidR="006E1EF7" w:rsidRPr="00AF3608" w:rsidRDefault="006E1EF7" w:rsidP="003A0B85">
      <w:pPr>
        <w:numPr>
          <w:ilvl w:val="0"/>
          <w:numId w:val="82"/>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PO Transport;</w:t>
      </w:r>
    </w:p>
    <w:p w:rsidR="006E1EF7" w:rsidRPr="00AF3608" w:rsidRDefault="006E1EF7" w:rsidP="003A0B85">
      <w:pPr>
        <w:numPr>
          <w:ilvl w:val="0"/>
          <w:numId w:val="82"/>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PO Creştere Inteligentă, Digitalizare și Instrumente Financiare;</w:t>
      </w:r>
    </w:p>
    <w:p w:rsidR="006E1EF7" w:rsidRPr="00AF3608" w:rsidRDefault="006E1EF7" w:rsidP="003A0B85">
      <w:pPr>
        <w:numPr>
          <w:ilvl w:val="0"/>
          <w:numId w:val="82"/>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PO Incluziune și Demnitate Socială; </w:t>
      </w:r>
    </w:p>
    <w:p w:rsidR="006E1EF7" w:rsidRPr="00AF3608" w:rsidRDefault="006E1EF7" w:rsidP="003A0B85">
      <w:pPr>
        <w:numPr>
          <w:ilvl w:val="0"/>
          <w:numId w:val="82"/>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PO Sănătate;</w:t>
      </w:r>
    </w:p>
    <w:p w:rsidR="006E1EF7" w:rsidRPr="00AF3608" w:rsidRDefault="006E1EF7" w:rsidP="003A0B85">
      <w:pPr>
        <w:numPr>
          <w:ilvl w:val="0"/>
          <w:numId w:val="82"/>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PO Educație și Ocupare;</w:t>
      </w:r>
    </w:p>
    <w:p w:rsidR="006E1EF7" w:rsidRPr="00AF3608" w:rsidRDefault="006E1EF7" w:rsidP="003A0B85">
      <w:pPr>
        <w:numPr>
          <w:ilvl w:val="0"/>
          <w:numId w:val="82"/>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PO Asistență Tehnică;</w:t>
      </w:r>
    </w:p>
    <w:p w:rsidR="006E1EF7" w:rsidRPr="00AF3608" w:rsidRDefault="006E1EF7" w:rsidP="003A0B85">
      <w:pPr>
        <w:numPr>
          <w:ilvl w:val="0"/>
          <w:numId w:val="82"/>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PO Tranziție Justă</w:t>
      </w:r>
    </w:p>
    <w:p w:rsidR="006E1EF7" w:rsidRPr="00AF3608" w:rsidRDefault="006E1EF7" w:rsidP="003A0B85">
      <w:pPr>
        <w:numPr>
          <w:ilvl w:val="0"/>
          <w:numId w:val="82"/>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8 Programe Operaționale Regionale.</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Prin aceste Programe Operaționale, vor fi sprijinite domenii cheie, prin folosirea tuturor resurselor materiale, umane și financiare puse la dispoziția României.</w:t>
      </w:r>
    </w:p>
    <w:p w:rsidR="006E1EF7" w:rsidRPr="00AF3608" w:rsidRDefault="006E1EF7" w:rsidP="006E1EF7">
      <w:pPr>
        <w:suppressAutoHyphens/>
        <w:spacing w:before="120"/>
        <w:jc w:val="both"/>
        <w:rPr>
          <w:rFonts w:asciiTheme="minorHAnsi" w:hAnsiTheme="minorHAnsi" w:cstheme="minorHAnsi"/>
          <w:b/>
          <w:lang w:val="ro-RO"/>
        </w:rPr>
      </w:pPr>
      <w:r w:rsidRPr="00AF3608">
        <w:rPr>
          <w:rFonts w:asciiTheme="minorHAnsi" w:hAnsiTheme="minorHAnsi" w:cstheme="minorHAnsi"/>
          <w:b/>
          <w:lang w:val="ro-RO"/>
        </w:rPr>
        <w:t xml:space="preserve">Facilitatea Mecanismul pentru Redresare și Reziliență </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Uniunea Europeană a lansat în luna mai 2020 un nou instrument - Facilitatea Mecanismul pentru redresare și reziliență. Mecanismul a fost creat pentru sprijinirea investițiilor și reformelor esențiale care să contribuie la o redresare durabilă, la îmbunătățirea rezilienței economice și sociale a statelor membre precum și tranziția către o economie verde și digitală (Regulamentul nr. 408/2020). În cadrul acestui instrument, România are un buget alocat estimat de 30,4 mld euro, din care 13,7 mld. euro sunt structurați sub formă de granturi și 16,6 mld. euro sub formă de împrumuturi.</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Pentru a putea beneficia de fonduri prin acest instrument, Ministerul Investițiilor și Proiectelor Europene  coordonează elaborarea Planului Național de Relansare și Reziliență (PNRR). Planul este menit să: </w:t>
      </w:r>
    </w:p>
    <w:p w:rsidR="006E1EF7" w:rsidRPr="00AF3608" w:rsidRDefault="006E1EF7" w:rsidP="003A0B85">
      <w:pPr>
        <w:numPr>
          <w:ilvl w:val="0"/>
          <w:numId w:val="81"/>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stabilească o serie de reforme și investiții care să răspundă celor șase priorități de relevanță europeană; </w:t>
      </w:r>
    </w:p>
    <w:p w:rsidR="006E1EF7" w:rsidRPr="00AF3608" w:rsidRDefault="006E1EF7" w:rsidP="003A0B85">
      <w:pPr>
        <w:numPr>
          <w:ilvl w:val="0"/>
          <w:numId w:val="81"/>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să reprezinte un set de măsuri care ține cont de prioritățile identificate la nivel național în corespundere cu prioritățile UE, să contribuie la provocările identificate în recomandările specifice de țară;</w:t>
      </w:r>
    </w:p>
    <w:p w:rsidR="006E1EF7" w:rsidRPr="00AF3608" w:rsidRDefault="006E1EF7" w:rsidP="003A0B85">
      <w:pPr>
        <w:numPr>
          <w:ilvl w:val="0"/>
          <w:numId w:val="81"/>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să contribuie la tranziția către o economie verde și digitală.</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Termenul până la care statele membre pot transmite oficial către Comisia Europeană Planul este 30 aprilie 2021.</w:t>
      </w:r>
    </w:p>
    <w:p w:rsidR="006E1EF7" w:rsidRPr="00AF3608" w:rsidRDefault="006E1EF7" w:rsidP="006E1EF7">
      <w:pPr>
        <w:suppressAutoHyphens/>
        <w:spacing w:before="120"/>
        <w:jc w:val="both"/>
        <w:rPr>
          <w:rFonts w:asciiTheme="minorHAnsi" w:hAnsiTheme="minorHAnsi" w:cstheme="minorHAnsi"/>
          <w:lang w:val="ro-RO"/>
        </w:rPr>
      </w:pPr>
    </w:p>
    <w:p w:rsidR="006E1EF7" w:rsidRPr="00AF3608" w:rsidRDefault="006E1EF7" w:rsidP="006E1EF7">
      <w:pPr>
        <w:shd w:val="clear" w:color="auto" w:fill="FFE599" w:themeFill="accent4" w:themeFillTint="66"/>
        <w:suppressAutoHyphens/>
        <w:spacing w:before="120"/>
        <w:jc w:val="both"/>
        <w:rPr>
          <w:rFonts w:asciiTheme="minorHAnsi" w:hAnsiTheme="minorHAnsi" w:cstheme="minorHAnsi"/>
          <w:b/>
          <w:lang w:val="ro-RO"/>
        </w:rPr>
      </w:pPr>
      <w:r w:rsidRPr="00AF3608">
        <w:rPr>
          <w:rFonts w:asciiTheme="minorHAnsi" w:hAnsiTheme="minorHAnsi" w:cstheme="minorHAnsi"/>
          <w:b/>
          <w:lang w:val="ro-RO"/>
        </w:rPr>
        <w:t>B. FONDURI DIN POLITICA AGRICOLĂ COMUNĂ</w:t>
      </w:r>
    </w:p>
    <w:p w:rsidR="006E1EF7" w:rsidRPr="00AF3608" w:rsidRDefault="006E1EF7" w:rsidP="006E1EF7">
      <w:pPr>
        <w:suppressAutoHyphens/>
        <w:spacing w:before="120"/>
        <w:jc w:val="both"/>
        <w:rPr>
          <w:rFonts w:asciiTheme="minorHAnsi" w:hAnsiTheme="minorHAnsi" w:cstheme="minorHAnsi"/>
          <w:b/>
          <w:lang w:val="ro-RO"/>
        </w:rPr>
      </w:pPr>
      <w:r w:rsidRPr="00AF3608">
        <w:rPr>
          <w:rFonts w:asciiTheme="minorHAnsi" w:hAnsiTheme="minorHAnsi" w:cstheme="minorHAnsi"/>
          <w:b/>
          <w:lang w:val="ro-RO"/>
        </w:rPr>
        <w:t>1. Programul Național de Dezvoltare Rurală (PNDR)</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Programul Național de Dezvoltare Rurală 2014-2020 a fost adoptat de către Comisia Europeană prin Decizia de punere în aplicare a Comisiei nr. 3508 din 26.05.2015 de aprobare a Programului de Dezvoltare Rurală al României pentru sprijin din Fondul European Agricol pentru Dezvoltare Rurală, trasând prioritățile României pentru utilizarea celor aproximativ </w:t>
      </w:r>
      <w:r w:rsidRPr="00AF3608">
        <w:rPr>
          <w:rFonts w:asciiTheme="minorHAnsi" w:hAnsiTheme="minorHAnsi" w:cstheme="minorHAnsi"/>
          <w:b/>
          <w:lang w:val="ro-RO"/>
        </w:rPr>
        <w:t>9,4 miliarde euro</w:t>
      </w:r>
      <w:r w:rsidRPr="00AF3608">
        <w:rPr>
          <w:rFonts w:asciiTheme="minorHAnsi" w:hAnsiTheme="minorHAnsi" w:cstheme="minorHAnsi"/>
          <w:lang w:val="ro-RO"/>
        </w:rPr>
        <w:t xml:space="preserve"> fondurile publice disponibile </w:t>
      </w:r>
      <w:r w:rsidRPr="00AF3608">
        <w:rPr>
          <w:rFonts w:asciiTheme="minorHAnsi" w:hAnsiTheme="minorHAnsi" w:cstheme="minorHAnsi"/>
          <w:i/>
          <w:lang w:val="ro-RO"/>
        </w:rPr>
        <w:t>(</w:t>
      </w:r>
      <w:r w:rsidRPr="00AF3608">
        <w:rPr>
          <w:rFonts w:asciiTheme="minorHAnsi" w:hAnsiTheme="minorHAnsi" w:cstheme="minorHAnsi"/>
          <w:b/>
          <w:i/>
          <w:lang w:val="ro-RO"/>
        </w:rPr>
        <w:t>8,1 miliarde euro</w:t>
      </w:r>
      <w:r w:rsidRPr="00AF3608">
        <w:rPr>
          <w:rFonts w:asciiTheme="minorHAnsi" w:hAnsiTheme="minorHAnsi" w:cstheme="minorHAnsi"/>
          <w:i/>
          <w:lang w:val="ro-RO"/>
        </w:rPr>
        <w:t xml:space="preserve"> din bugetul </w:t>
      </w:r>
      <w:r w:rsidRPr="00AF3608">
        <w:rPr>
          <w:rFonts w:asciiTheme="minorHAnsi" w:hAnsiTheme="minorHAnsi" w:cstheme="minorHAnsi"/>
          <w:b/>
          <w:i/>
          <w:lang w:val="ro-RO"/>
        </w:rPr>
        <w:t>FEADR</w:t>
      </w:r>
      <w:r w:rsidRPr="00AF3608">
        <w:rPr>
          <w:rFonts w:asciiTheme="minorHAnsi" w:hAnsiTheme="minorHAnsi" w:cstheme="minorHAnsi"/>
          <w:i/>
          <w:lang w:val="ro-RO"/>
        </w:rPr>
        <w:t xml:space="preserve"> și </w:t>
      </w:r>
      <w:r w:rsidRPr="00AF3608">
        <w:rPr>
          <w:rFonts w:asciiTheme="minorHAnsi" w:hAnsiTheme="minorHAnsi" w:cstheme="minorHAnsi"/>
          <w:b/>
          <w:i/>
          <w:lang w:val="ro-RO"/>
        </w:rPr>
        <w:t>1,3 miliarde euro</w:t>
      </w:r>
      <w:r w:rsidRPr="00AF3608">
        <w:rPr>
          <w:rFonts w:asciiTheme="minorHAnsi" w:hAnsiTheme="minorHAnsi" w:cstheme="minorHAnsi"/>
          <w:i/>
          <w:lang w:val="ro-RO"/>
        </w:rPr>
        <w:t xml:space="preserve"> reprezentând </w:t>
      </w:r>
      <w:r w:rsidRPr="00AF3608">
        <w:rPr>
          <w:rFonts w:asciiTheme="minorHAnsi" w:hAnsiTheme="minorHAnsi" w:cstheme="minorHAnsi"/>
          <w:b/>
          <w:i/>
          <w:lang w:val="ro-RO"/>
        </w:rPr>
        <w:t>cofinanțarea națională</w:t>
      </w:r>
      <w:r w:rsidRPr="00AF3608">
        <w:rPr>
          <w:rFonts w:asciiTheme="minorHAnsi" w:hAnsiTheme="minorHAnsi" w:cstheme="minorHAnsi"/>
          <w:i/>
          <w:lang w:val="ro-RO"/>
        </w:rPr>
        <w:t>)</w:t>
      </w:r>
      <w:r w:rsidRPr="00AF3608">
        <w:rPr>
          <w:rFonts w:asciiTheme="minorHAnsi" w:hAnsiTheme="minorHAnsi" w:cstheme="minorHAnsi"/>
          <w:lang w:val="ro-RO"/>
        </w:rPr>
        <w:t xml:space="preserve">. </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Alocarea financiară (FEADR) a PNDR 2014-2020, împărțită pe ani este următoarea:</w:t>
      </w:r>
    </w:p>
    <w:p w:rsidR="006E1EF7" w:rsidRPr="00AF3608" w:rsidRDefault="006E1EF7" w:rsidP="006E1EF7">
      <w:pPr>
        <w:suppressAutoHyphens/>
        <w:spacing w:after="120"/>
        <w:jc w:val="right"/>
        <w:rPr>
          <w:rFonts w:asciiTheme="minorHAnsi" w:hAnsiTheme="minorHAnsi" w:cstheme="minorHAnsi"/>
          <w:i/>
          <w:sz w:val="22"/>
          <w:szCs w:val="22"/>
          <w:lang w:val="ro-RO"/>
        </w:rPr>
      </w:pPr>
      <w:r w:rsidRPr="00AF3608">
        <w:rPr>
          <w:rFonts w:asciiTheme="minorHAnsi" w:hAnsiTheme="minorHAnsi" w:cstheme="minorHAnsi"/>
          <w:i/>
          <w:sz w:val="22"/>
          <w:szCs w:val="22"/>
          <w:lang w:val="ro-RO"/>
        </w:rPr>
        <w:t>mil. euro</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992"/>
        <w:gridCol w:w="1134"/>
        <w:gridCol w:w="1165"/>
        <w:gridCol w:w="1103"/>
        <w:gridCol w:w="1134"/>
        <w:gridCol w:w="1134"/>
        <w:gridCol w:w="1134"/>
        <w:gridCol w:w="1134"/>
      </w:tblGrid>
      <w:tr w:rsidR="006E1EF7" w:rsidRPr="00AF3608" w:rsidTr="00EA3644">
        <w:trPr>
          <w:trHeight w:val="452"/>
          <w:jc w:val="center"/>
        </w:trPr>
        <w:tc>
          <w:tcPr>
            <w:tcW w:w="1413" w:type="dxa"/>
            <w:shd w:val="clear" w:color="auto" w:fill="FFF2CC" w:themeFill="accent4" w:themeFillTint="33"/>
          </w:tcPr>
          <w:p w:rsidR="006E1EF7" w:rsidRPr="00AF3608" w:rsidRDefault="006E1EF7" w:rsidP="00EA3644">
            <w:pPr>
              <w:suppressAutoHyphens/>
              <w:spacing w:after="120"/>
              <w:jc w:val="center"/>
              <w:rPr>
                <w:rFonts w:asciiTheme="minorHAnsi" w:hAnsiTheme="minorHAnsi" w:cstheme="minorHAnsi"/>
                <w:b/>
                <w:sz w:val="22"/>
                <w:szCs w:val="22"/>
                <w:lang w:val="ro-RO"/>
              </w:rPr>
            </w:pPr>
            <w:r w:rsidRPr="00AF3608">
              <w:rPr>
                <w:rFonts w:asciiTheme="minorHAnsi" w:hAnsiTheme="minorHAnsi" w:cstheme="minorHAnsi"/>
                <w:b/>
                <w:sz w:val="22"/>
                <w:szCs w:val="22"/>
                <w:lang w:val="ro-RO"/>
              </w:rPr>
              <w:t>Anii</w:t>
            </w:r>
          </w:p>
        </w:tc>
        <w:tc>
          <w:tcPr>
            <w:tcW w:w="992" w:type="dxa"/>
            <w:shd w:val="clear" w:color="auto" w:fill="FFF2CC" w:themeFill="accent4" w:themeFillTint="33"/>
            <w:vAlign w:val="center"/>
          </w:tcPr>
          <w:p w:rsidR="006E1EF7" w:rsidRPr="00AF3608" w:rsidRDefault="006E1EF7" w:rsidP="00EA3644">
            <w:pPr>
              <w:suppressAutoHyphens/>
              <w:spacing w:after="120"/>
              <w:jc w:val="center"/>
              <w:rPr>
                <w:rFonts w:asciiTheme="minorHAnsi" w:hAnsiTheme="minorHAnsi" w:cstheme="minorHAnsi"/>
                <w:b/>
                <w:sz w:val="22"/>
                <w:szCs w:val="22"/>
                <w:lang w:val="ro-RO"/>
              </w:rPr>
            </w:pPr>
            <w:r w:rsidRPr="00AF3608">
              <w:rPr>
                <w:rFonts w:asciiTheme="minorHAnsi" w:hAnsiTheme="minorHAnsi" w:cstheme="minorHAnsi"/>
                <w:b/>
                <w:sz w:val="22"/>
                <w:szCs w:val="22"/>
                <w:lang w:val="ro-RO"/>
              </w:rPr>
              <w:t>2014</w:t>
            </w:r>
          </w:p>
        </w:tc>
        <w:tc>
          <w:tcPr>
            <w:tcW w:w="1134" w:type="dxa"/>
            <w:shd w:val="clear" w:color="auto" w:fill="FFF2CC" w:themeFill="accent4" w:themeFillTint="33"/>
            <w:vAlign w:val="center"/>
          </w:tcPr>
          <w:p w:rsidR="006E1EF7" w:rsidRPr="00AF3608" w:rsidRDefault="006E1EF7" w:rsidP="00EA3644">
            <w:pPr>
              <w:suppressAutoHyphens/>
              <w:spacing w:after="120"/>
              <w:jc w:val="center"/>
              <w:rPr>
                <w:rFonts w:asciiTheme="minorHAnsi" w:hAnsiTheme="minorHAnsi" w:cstheme="minorHAnsi"/>
                <w:b/>
                <w:sz w:val="22"/>
                <w:szCs w:val="22"/>
                <w:lang w:val="ro-RO"/>
              </w:rPr>
            </w:pPr>
            <w:r w:rsidRPr="00AF3608">
              <w:rPr>
                <w:rFonts w:asciiTheme="minorHAnsi" w:hAnsiTheme="minorHAnsi" w:cstheme="minorHAnsi"/>
                <w:b/>
                <w:sz w:val="22"/>
                <w:szCs w:val="22"/>
                <w:lang w:val="ro-RO"/>
              </w:rPr>
              <w:t>2015</w:t>
            </w:r>
          </w:p>
        </w:tc>
        <w:tc>
          <w:tcPr>
            <w:tcW w:w="1165" w:type="dxa"/>
            <w:shd w:val="clear" w:color="auto" w:fill="FFF2CC" w:themeFill="accent4" w:themeFillTint="33"/>
            <w:vAlign w:val="center"/>
          </w:tcPr>
          <w:p w:rsidR="006E1EF7" w:rsidRPr="00AF3608" w:rsidRDefault="006E1EF7" w:rsidP="00EA3644">
            <w:pPr>
              <w:suppressAutoHyphens/>
              <w:spacing w:after="120"/>
              <w:jc w:val="center"/>
              <w:rPr>
                <w:rFonts w:asciiTheme="minorHAnsi" w:hAnsiTheme="minorHAnsi" w:cstheme="minorHAnsi"/>
                <w:b/>
                <w:sz w:val="22"/>
                <w:szCs w:val="22"/>
                <w:lang w:val="ro-RO"/>
              </w:rPr>
            </w:pPr>
            <w:r w:rsidRPr="00AF3608">
              <w:rPr>
                <w:rFonts w:asciiTheme="minorHAnsi" w:hAnsiTheme="minorHAnsi" w:cstheme="minorHAnsi"/>
                <w:b/>
                <w:sz w:val="22"/>
                <w:szCs w:val="22"/>
                <w:lang w:val="ro-RO"/>
              </w:rPr>
              <w:t>2016</w:t>
            </w:r>
          </w:p>
        </w:tc>
        <w:tc>
          <w:tcPr>
            <w:tcW w:w="1103" w:type="dxa"/>
            <w:shd w:val="clear" w:color="auto" w:fill="FFF2CC" w:themeFill="accent4" w:themeFillTint="33"/>
            <w:vAlign w:val="center"/>
          </w:tcPr>
          <w:p w:rsidR="006E1EF7" w:rsidRPr="00AF3608" w:rsidRDefault="006E1EF7" w:rsidP="00EA3644">
            <w:pPr>
              <w:suppressAutoHyphens/>
              <w:spacing w:after="120"/>
              <w:jc w:val="center"/>
              <w:rPr>
                <w:rFonts w:asciiTheme="minorHAnsi" w:hAnsiTheme="minorHAnsi" w:cstheme="minorHAnsi"/>
                <w:b/>
                <w:sz w:val="22"/>
                <w:szCs w:val="22"/>
                <w:lang w:val="ro-RO"/>
              </w:rPr>
            </w:pPr>
            <w:r w:rsidRPr="00AF3608">
              <w:rPr>
                <w:rFonts w:asciiTheme="minorHAnsi" w:hAnsiTheme="minorHAnsi" w:cstheme="minorHAnsi"/>
                <w:b/>
                <w:sz w:val="22"/>
                <w:szCs w:val="22"/>
                <w:lang w:val="ro-RO"/>
              </w:rPr>
              <w:t>2017</w:t>
            </w:r>
          </w:p>
        </w:tc>
        <w:tc>
          <w:tcPr>
            <w:tcW w:w="1134" w:type="dxa"/>
            <w:shd w:val="clear" w:color="auto" w:fill="FFF2CC" w:themeFill="accent4" w:themeFillTint="33"/>
            <w:vAlign w:val="center"/>
          </w:tcPr>
          <w:p w:rsidR="006E1EF7" w:rsidRPr="00AF3608" w:rsidRDefault="006E1EF7" w:rsidP="00EA3644">
            <w:pPr>
              <w:suppressAutoHyphens/>
              <w:spacing w:after="120"/>
              <w:jc w:val="center"/>
              <w:rPr>
                <w:rFonts w:asciiTheme="minorHAnsi" w:hAnsiTheme="minorHAnsi" w:cstheme="minorHAnsi"/>
                <w:b/>
                <w:sz w:val="22"/>
                <w:szCs w:val="22"/>
                <w:lang w:val="ro-RO"/>
              </w:rPr>
            </w:pPr>
            <w:r w:rsidRPr="00AF3608">
              <w:rPr>
                <w:rFonts w:asciiTheme="minorHAnsi" w:hAnsiTheme="minorHAnsi" w:cstheme="minorHAnsi"/>
                <w:b/>
                <w:sz w:val="22"/>
                <w:szCs w:val="22"/>
                <w:lang w:val="ro-RO"/>
              </w:rPr>
              <w:t>2018</w:t>
            </w:r>
          </w:p>
        </w:tc>
        <w:tc>
          <w:tcPr>
            <w:tcW w:w="1134" w:type="dxa"/>
            <w:shd w:val="clear" w:color="auto" w:fill="FFF2CC" w:themeFill="accent4" w:themeFillTint="33"/>
            <w:vAlign w:val="center"/>
          </w:tcPr>
          <w:p w:rsidR="006E1EF7" w:rsidRPr="00AF3608" w:rsidRDefault="006E1EF7" w:rsidP="00EA3644">
            <w:pPr>
              <w:suppressAutoHyphens/>
              <w:spacing w:after="120"/>
              <w:jc w:val="center"/>
              <w:rPr>
                <w:rFonts w:asciiTheme="minorHAnsi" w:hAnsiTheme="minorHAnsi" w:cstheme="minorHAnsi"/>
                <w:b/>
                <w:sz w:val="22"/>
                <w:szCs w:val="22"/>
                <w:lang w:val="ro-RO"/>
              </w:rPr>
            </w:pPr>
            <w:r w:rsidRPr="00AF3608">
              <w:rPr>
                <w:rFonts w:asciiTheme="minorHAnsi" w:hAnsiTheme="minorHAnsi" w:cstheme="minorHAnsi"/>
                <w:b/>
                <w:sz w:val="22"/>
                <w:szCs w:val="22"/>
                <w:lang w:val="ro-RO"/>
              </w:rPr>
              <w:t>2019</w:t>
            </w:r>
          </w:p>
        </w:tc>
        <w:tc>
          <w:tcPr>
            <w:tcW w:w="1134" w:type="dxa"/>
            <w:shd w:val="clear" w:color="auto" w:fill="FFF2CC" w:themeFill="accent4" w:themeFillTint="33"/>
            <w:vAlign w:val="center"/>
          </w:tcPr>
          <w:p w:rsidR="006E1EF7" w:rsidRPr="00AF3608" w:rsidRDefault="006E1EF7" w:rsidP="00EA3644">
            <w:pPr>
              <w:suppressAutoHyphens/>
              <w:spacing w:after="120"/>
              <w:jc w:val="center"/>
              <w:rPr>
                <w:rFonts w:asciiTheme="minorHAnsi" w:hAnsiTheme="minorHAnsi" w:cstheme="minorHAnsi"/>
                <w:b/>
                <w:sz w:val="22"/>
                <w:szCs w:val="22"/>
                <w:lang w:val="ro-RO"/>
              </w:rPr>
            </w:pPr>
            <w:r w:rsidRPr="00AF3608">
              <w:rPr>
                <w:rFonts w:asciiTheme="minorHAnsi" w:hAnsiTheme="minorHAnsi" w:cstheme="minorHAnsi"/>
                <w:b/>
                <w:sz w:val="22"/>
                <w:szCs w:val="22"/>
                <w:lang w:val="ro-RO"/>
              </w:rPr>
              <w:t>2020</w:t>
            </w:r>
          </w:p>
        </w:tc>
        <w:tc>
          <w:tcPr>
            <w:tcW w:w="1134" w:type="dxa"/>
            <w:shd w:val="clear" w:color="auto" w:fill="FFF2CC" w:themeFill="accent4" w:themeFillTint="33"/>
            <w:vAlign w:val="center"/>
          </w:tcPr>
          <w:p w:rsidR="006E1EF7" w:rsidRPr="00AF3608" w:rsidRDefault="006E1EF7" w:rsidP="00EA3644">
            <w:pPr>
              <w:suppressAutoHyphens/>
              <w:spacing w:after="120"/>
              <w:jc w:val="center"/>
              <w:rPr>
                <w:rFonts w:asciiTheme="minorHAnsi" w:hAnsiTheme="minorHAnsi" w:cstheme="minorHAnsi"/>
                <w:b/>
                <w:sz w:val="22"/>
                <w:szCs w:val="22"/>
                <w:lang w:val="ro-RO"/>
              </w:rPr>
            </w:pPr>
            <w:r w:rsidRPr="00AF3608">
              <w:rPr>
                <w:rFonts w:asciiTheme="minorHAnsi" w:hAnsiTheme="minorHAnsi" w:cstheme="minorHAnsi"/>
                <w:b/>
                <w:sz w:val="22"/>
                <w:szCs w:val="22"/>
                <w:lang w:val="ro-RO"/>
              </w:rPr>
              <w:t>TOTAL</w:t>
            </w:r>
          </w:p>
        </w:tc>
      </w:tr>
      <w:tr w:rsidR="006E1EF7" w:rsidRPr="00AF3608" w:rsidTr="00EA3644">
        <w:trPr>
          <w:trHeight w:val="354"/>
          <w:jc w:val="center"/>
        </w:trPr>
        <w:tc>
          <w:tcPr>
            <w:tcW w:w="1413" w:type="dxa"/>
          </w:tcPr>
          <w:p w:rsidR="006E1EF7" w:rsidRPr="00AF3608" w:rsidRDefault="006E1EF7" w:rsidP="00EA3644">
            <w:pPr>
              <w:suppressAutoHyphens/>
              <w:spacing w:after="120"/>
              <w:jc w:val="both"/>
              <w:rPr>
                <w:rFonts w:asciiTheme="minorHAnsi" w:hAnsiTheme="minorHAnsi" w:cstheme="minorHAnsi"/>
                <w:sz w:val="22"/>
                <w:szCs w:val="22"/>
                <w:lang w:val="ro-RO"/>
              </w:rPr>
            </w:pPr>
            <w:r w:rsidRPr="00AF3608">
              <w:rPr>
                <w:rFonts w:asciiTheme="minorHAnsi" w:hAnsiTheme="minorHAnsi" w:cstheme="minorHAnsi"/>
                <w:sz w:val="22"/>
                <w:szCs w:val="22"/>
                <w:lang w:val="ro-RO"/>
              </w:rPr>
              <w:t>Alocarea financiară (FEADR) a PNDR 2014-2020</w:t>
            </w:r>
          </w:p>
        </w:tc>
        <w:tc>
          <w:tcPr>
            <w:tcW w:w="992" w:type="dxa"/>
            <w:shd w:val="clear" w:color="auto" w:fill="auto"/>
            <w:vAlign w:val="center"/>
          </w:tcPr>
          <w:p w:rsidR="006E1EF7" w:rsidRPr="00AF3608" w:rsidRDefault="006E1EF7" w:rsidP="00EA3644">
            <w:pPr>
              <w:suppressAutoHyphens/>
              <w:spacing w:after="120"/>
              <w:jc w:val="right"/>
              <w:rPr>
                <w:rFonts w:asciiTheme="minorHAnsi" w:hAnsiTheme="minorHAnsi" w:cstheme="minorHAnsi"/>
                <w:sz w:val="22"/>
                <w:szCs w:val="22"/>
                <w:lang w:val="ro-RO"/>
              </w:rPr>
            </w:pPr>
            <w:r w:rsidRPr="00AF3608">
              <w:rPr>
                <w:rFonts w:asciiTheme="minorHAnsi" w:hAnsiTheme="minorHAnsi" w:cstheme="minorHAnsi"/>
                <w:sz w:val="22"/>
                <w:szCs w:val="22"/>
                <w:lang w:val="ro-RO"/>
              </w:rPr>
              <w:t>0,0</w:t>
            </w:r>
          </w:p>
        </w:tc>
        <w:tc>
          <w:tcPr>
            <w:tcW w:w="1134" w:type="dxa"/>
            <w:shd w:val="clear" w:color="auto" w:fill="auto"/>
            <w:vAlign w:val="center"/>
          </w:tcPr>
          <w:p w:rsidR="006E1EF7" w:rsidRPr="00AF3608" w:rsidRDefault="006E1EF7" w:rsidP="00EA3644">
            <w:pPr>
              <w:suppressAutoHyphens/>
              <w:spacing w:after="120"/>
              <w:jc w:val="right"/>
              <w:rPr>
                <w:rFonts w:asciiTheme="minorHAnsi" w:hAnsiTheme="minorHAnsi" w:cstheme="minorHAnsi"/>
                <w:sz w:val="22"/>
                <w:szCs w:val="22"/>
                <w:lang w:val="ro-RO"/>
              </w:rPr>
            </w:pPr>
            <w:r w:rsidRPr="00AF3608">
              <w:rPr>
                <w:rFonts w:asciiTheme="minorHAnsi" w:hAnsiTheme="minorHAnsi" w:cstheme="minorHAnsi"/>
                <w:sz w:val="22"/>
                <w:szCs w:val="22"/>
                <w:lang w:val="ro-RO"/>
              </w:rPr>
              <w:t>1.723,26</w:t>
            </w:r>
          </w:p>
        </w:tc>
        <w:tc>
          <w:tcPr>
            <w:tcW w:w="1165" w:type="dxa"/>
            <w:shd w:val="clear" w:color="auto" w:fill="auto"/>
            <w:vAlign w:val="center"/>
          </w:tcPr>
          <w:p w:rsidR="006E1EF7" w:rsidRPr="00AF3608" w:rsidRDefault="006E1EF7" w:rsidP="00EA3644">
            <w:pPr>
              <w:suppressAutoHyphens/>
              <w:spacing w:after="120"/>
              <w:jc w:val="right"/>
              <w:rPr>
                <w:rFonts w:asciiTheme="minorHAnsi" w:hAnsiTheme="minorHAnsi" w:cstheme="minorHAnsi"/>
                <w:sz w:val="22"/>
                <w:szCs w:val="22"/>
                <w:lang w:val="ro-RO"/>
              </w:rPr>
            </w:pPr>
            <w:r w:rsidRPr="00AF3608">
              <w:rPr>
                <w:rFonts w:asciiTheme="minorHAnsi" w:hAnsiTheme="minorHAnsi" w:cstheme="minorHAnsi"/>
                <w:sz w:val="22"/>
                <w:szCs w:val="22"/>
                <w:lang w:val="ro-RO"/>
              </w:rPr>
              <w:t>1.751,61</w:t>
            </w:r>
          </w:p>
        </w:tc>
        <w:tc>
          <w:tcPr>
            <w:tcW w:w="1103" w:type="dxa"/>
            <w:shd w:val="clear" w:color="auto" w:fill="auto"/>
            <w:vAlign w:val="center"/>
          </w:tcPr>
          <w:p w:rsidR="006E1EF7" w:rsidRPr="00AF3608" w:rsidRDefault="006E1EF7" w:rsidP="00EA3644">
            <w:pPr>
              <w:suppressAutoHyphens/>
              <w:spacing w:after="120"/>
              <w:jc w:val="right"/>
              <w:rPr>
                <w:rFonts w:asciiTheme="minorHAnsi" w:hAnsiTheme="minorHAnsi" w:cstheme="minorHAnsi"/>
                <w:sz w:val="22"/>
                <w:szCs w:val="22"/>
                <w:lang w:val="ro-RO"/>
              </w:rPr>
            </w:pPr>
            <w:r w:rsidRPr="00AF3608">
              <w:rPr>
                <w:rFonts w:asciiTheme="minorHAnsi" w:hAnsiTheme="minorHAnsi" w:cstheme="minorHAnsi"/>
                <w:sz w:val="22"/>
                <w:szCs w:val="22"/>
                <w:lang w:val="ro-RO"/>
              </w:rPr>
              <w:t>1.186,54</w:t>
            </w:r>
          </w:p>
        </w:tc>
        <w:tc>
          <w:tcPr>
            <w:tcW w:w="1134" w:type="dxa"/>
            <w:shd w:val="clear" w:color="auto" w:fill="auto"/>
            <w:vAlign w:val="center"/>
          </w:tcPr>
          <w:p w:rsidR="006E1EF7" w:rsidRPr="00AF3608" w:rsidRDefault="006E1EF7" w:rsidP="00EA3644">
            <w:pPr>
              <w:suppressAutoHyphens/>
              <w:spacing w:after="120"/>
              <w:jc w:val="right"/>
              <w:rPr>
                <w:rFonts w:asciiTheme="minorHAnsi" w:hAnsiTheme="minorHAnsi" w:cstheme="minorHAnsi"/>
                <w:sz w:val="22"/>
                <w:szCs w:val="22"/>
                <w:lang w:val="ro-RO"/>
              </w:rPr>
            </w:pPr>
            <w:r w:rsidRPr="00AF3608">
              <w:rPr>
                <w:rFonts w:asciiTheme="minorHAnsi" w:hAnsiTheme="minorHAnsi" w:cstheme="minorHAnsi"/>
                <w:sz w:val="22"/>
                <w:szCs w:val="22"/>
                <w:lang w:val="ro-RO"/>
              </w:rPr>
              <w:t>1.184,73</w:t>
            </w:r>
          </w:p>
        </w:tc>
        <w:tc>
          <w:tcPr>
            <w:tcW w:w="1134" w:type="dxa"/>
            <w:shd w:val="clear" w:color="auto" w:fill="auto"/>
            <w:vAlign w:val="center"/>
          </w:tcPr>
          <w:p w:rsidR="006E1EF7" w:rsidRPr="00AF3608" w:rsidRDefault="006E1EF7" w:rsidP="00EA3644">
            <w:pPr>
              <w:suppressAutoHyphens/>
              <w:spacing w:after="120"/>
              <w:jc w:val="right"/>
              <w:rPr>
                <w:rFonts w:asciiTheme="minorHAnsi" w:hAnsiTheme="minorHAnsi" w:cstheme="minorHAnsi"/>
                <w:sz w:val="22"/>
                <w:szCs w:val="22"/>
                <w:lang w:val="ro-RO"/>
              </w:rPr>
            </w:pPr>
            <w:r w:rsidRPr="00AF3608">
              <w:rPr>
                <w:rFonts w:asciiTheme="minorHAnsi" w:hAnsiTheme="minorHAnsi" w:cstheme="minorHAnsi"/>
                <w:sz w:val="22"/>
                <w:szCs w:val="22"/>
                <w:lang w:val="ro-RO"/>
              </w:rPr>
              <w:t>1.141,93</w:t>
            </w:r>
          </w:p>
        </w:tc>
        <w:tc>
          <w:tcPr>
            <w:tcW w:w="1134" w:type="dxa"/>
            <w:shd w:val="clear" w:color="auto" w:fill="auto"/>
            <w:vAlign w:val="center"/>
          </w:tcPr>
          <w:p w:rsidR="006E1EF7" w:rsidRPr="00AF3608" w:rsidRDefault="006E1EF7" w:rsidP="00EA3644">
            <w:pPr>
              <w:suppressAutoHyphens/>
              <w:spacing w:after="120"/>
              <w:jc w:val="right"/>
              <w:rPr>
                <w:rFonts w:asciiTheme="minorHAnsi" w:hAnsiTheme="minorHAnsi" w:cstheme="minorHAnsi"/>
                <w:sz w:val="22"/>
                <w:szCs w:val="22"/>
                <w:lang w:val="ro-RO"/>
              </w:rPr>
            </w:pPr>
            <w:r w:rsidRPr="00AF3608">
              <w:rPr>
                <w:rFonts w:asciiTheme="minorHAnsi" w:hAnsiTheme="minorHAnsi" w:cstheme="minorHAnsi"/>
                <w:sz w:val="22"/>
                <w:szCs w:val="22"/>
                <w:lang w:val="ro-RO"/>
              </w:rPr>
              <w:t>1.139,93</w:t>
            </w:r>
          </w:p>
        </w:tc>
        <w:tc>
          <w:tcPr>
            <w:tcW w:w="1134" w:type="dxa"/>
            <w:shd w:val="clear" w:color="auto" w:fill="auto"/>
            <w:vAlign w:val="center"/>
          </w:tcPr>
          <w:p w:rsidR="006E1EF7" w:rsidRPr="00AF3608" w:rsidRDefault="006E1EF7" w:rsidP="00EA3644">
            <w:pPr>
              <w:suppressAutoHyphens/>
              <w:spacing w:after="120"/>
              <w:jc w:val="right"/>
              <w:rPr>
                <w:rFonts w:asciiTheme="minorHAnsi" w:hAnsiTheme="minorHAnsi" w:cstheme="minorHAnsi"/>
                <w:sz w:val="22"/>
                <w:szCs w:val="22"/>
                <w:lang w:val="ro-RO"/>
              </w:rPr>
            </w:pPr>
            <w:r w:rsidRPr="00AF3608">
              <w:rPr>
                <w:rFonts w:asciiTheme="minorHAnsi" w:hAnsiTheme="minorHAnsi" w:cstheme="minorHAnsi"/>
                <w:sz w:val="22"/>
                <w:szCs w:val="22"/>
                <w:lang w:val="ro-RO"/>
              </w:rPr>
              <w:t>8.128,00</w:t>
            </w:r>
          </w:p>
        </w:tc>
      </w:tr>
    </w:tbl>
    <w:p w:rsidR="006E1EF7" w:rsidRPr="00AF3608" w:rsidRDefault="006E1EF7" w:rsidP="006E1EF7">
      <w:pPr>
        <w:suppressAutoHyphens/>
        <w:spacing w:after="120"/>
        <w:jc w:val="both"/>
        <w:rPr>
          <w:rFonts w:asciiTheme="minorHAnsi" w:hAnsiTheme="minorHAnsi" w:cstheme="minorHAnsi"/>
          <w:lang w:val="ro-RO"/>
        </w:rPr>
      </w:pPr>
    </w:p>
    <w:p w:rsidR="006E1EF7" w:rsidRPr="00AF3608" w:rsidRDefault="006E1EF7" w:rsidP="006E1EF7">
      <w:pPr>
        <w:numPr>
          <w:ilvl w:val="1"/>
          <w:numId w:val="17"/>
        </w:numPr>
        <w:suppressAutoHyphens/>
        <w:spacing w:before="120"/>
        <w:jc w:val="both"/>
        <w:rPr>
          <w:rFonts w:asciiTheme="minorHAnsi" w:hAnsiTheme="minorHAnsi" w:cstheme="minorHAnsi"/>
          <w:b/>
          <w:lang w:val="ro-RO"/>
        </w:rPr>
      </w:pPr>
      <w:r w:rsidRPr="00AF3608">
        <w:rPr>
          <w:rFonts w:asciiTheme="minorHAnsi" w:hAnsiTheme="minorHAnsi" w:cstheme="minorHAnsi"/>
          <w:b/>
          <w:lang w:val="ro-RO"/>
        </w:rPr>
        <w:t>Rata de absorbție PNDR 2014-2020</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Au fost efectuate plăți (FEADR și Buget de stat) în valoare publică de </w:t>
      </w:r>
      <w:r w:rsidRPr="00AF3608">
        <w:rPr>
          <w:rFonts w:asciiTheme="minorHAnsi" w:hAnsiTheme="minorHAnsi" w:cstheme="minorHAnsi"/>
          <w:b/>
          <w:lang w:val="ro-RO"/>
        </w:rPr>
        <w:t xml:space="preserve">6.816,03 mil. euro </w:t>
      </w:r>
      <w:r w:rsidRPr="00AF3608">
        <w:rPr>
          <w:rFonts w:asciiTheme="minorHAnsi" w:hAnsiTheme="minorHAnsi" w:cstheme="minorHAnsi"/>
          <w:i/>
          <w:lang w:val="ro-RO"/>
        </w:rPr>
        <w:t>(conform declaraţiilor trimestriale de cheltuieli transmise în perioada 2016 - 2020-trim III, la care se adaugă plățile efectuate în octombie – decembrie  2020)</w:t>
      </w:r>
      <w:r w:rsidRPr="00AF3608">
        <w:rPr>
          <w:rFonts w:asciiTheme="minorHAnsi" w:hAnsiTheme="minorHAnsi" w:cstheme="minorHAnsi"/>
          <w:lang w:val="ro-RO"/>
        </w:rPr>
        <w:t xml:space="preserve">. Din această valoare, doar valoarea plăților efectuate din FEADR către beneficiarii tuturor măsurilor PNDR este de 5.900,61 mil. euro (grad de absorbție 72,60%). </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Față de această sumă efectiv plătită, România a primit în anul 2015, respectiv 2016, din bugetul FEADR, suma de 325,12 mil. euro cu titlul de pre-finanțare în vederea asigurării bugetului necesar demarării și derulării Programului. Această sumă, se adaugă plăților efectuate și conduce la un </w:t>
      </w:r>
      <w:r w:rsidRPr="00AF3608">
        <w:rPr>
          <w:rFonts w:asciiTheme="minorHAnsi" w:hAnsiTheme="minorHAnsi" w:cstheme="minorHAnsi"/>
          <w:b/>
          <w:lang w:val="ro-RO"/>
        </w:rPr>
        <w:t>grad de absorbție FEADR de  76,60%</w:t>
      </w:r>
      <w:r w:rsidRPr="00AF3608">
        <w:rPr>
          <w:rFonts w:asciiTheme="minorHAnsi" w:hAnsiTheme="minorHAnsi" w:cstheme="minorHAnsi"/>
          <w:lang w:val="ro-RO"/>
        </w:rPr>
        <w:t xml:space="preserve"> (plăți efectuate și pre-finanțare FEADR).</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Menționăm că, plățile aferente angajamentelor bugetare se fac pe principiul N+3.</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Până în prezent, sumele alocate din FEADR pentru anii 2015, 2016, 2017 și 2018 au fost pe deplin consumate, neexistând dezangajare. </w:t>
      </w:r>
    </w:p>
    <w:p w:rsidR="006E1EF7" w:rsidRPr="00AF3608" w:rsidRDefault="006E1EF7" w:rsidP="006E1EF7">
      <w:pPr>
        <w:numPr>
          <w:ilvl w:val="1"/>
          <w:numId w:val="17"/>
        </w:numPr>
        <w:suppressAutoHyphens/>
        <w:spacing w:before="120"/>
        <w:jc w:val="both"/>
        <w:rPr>
          <w:rFonts w:asciiTheme="minorHAnsi" w:hAnsiTheme="minorHAnsi" w:cstheme="minorHAnsi"/>
          <w:b/>
          <w:i/>
          <w:lang w:val="ro-RO"/>
        </w:rPr>
      </w:pPr>
      <w:r w:rsidRPr="00AF3608">
        <w:rPr>
          <w:rFonts w:asciiTheme="minorHAnsi" w:hAnsiTheme="minorHAnsi" w:cstheme="minorHAnsi"/>
          <w:b/>
          <w:i/>
          <w:lang w:val="ro-RO"/>
        </w:rPr>
        <w:t>Implementare PNDR 2014-2020</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Sunt active 43 de (sub)măsuri/componente/scheme, din care 35 sunt implementate de AFIR/AM PNDR, 7 măsuri de către APIA și o măsură de întărire a capacității administrative la nivelul autorităților responsabile de implementarea PNDR, respectiv Asistența tehnică.</w:t>
      </w:r>
    </w:p>
    <w:p w:rsidR="006E1EF7" w:rsidRPr="00AF3608" w:rsidRDefault="006E1EF7" w:rsidP="006E1EF7">
      <w:pPr>
        <w:suppressAutoHyphens/>
        <w:spacing w:before="120"/>
        <w:jc w:val="both"/>
        <w:rPr>
          <w:rFonts w:asciiTheme="minorHAnsi" w:hAnsiTheme="minorHAnsi" w:cstheme="minorHAnsi"/>
          <w:b/>
          <w:lang w:val="ro-RO"/>
        </w:rPr>
      </w:pPr>
      <w:r w:rsidRPr="00AF3608">
        <w:rPr>
          <w:rFonts w:asciiTheme="minorHAnsi" w:hAnsiTheme="minorHAnsi" w:cstheme="minorHAnsi"/>
          <w:b/>
          <w:lang w:val="ro-RO"/>
        </w:rPr>
        <w:t>Pentru măsurile ce se desfășoară pe principiul depunerii de proiecte, urmare sesiunilor derulate în cei șase ani de implementare, cumulat, numărul proiectelor depuse este de 73.869  proiecte cu o valoare publică 9.740,54  mil. euro.</w:t>
      </w:r>
    </w:p>
    <w:p w:rsidR="006E1EF7" w:rsidRPr="00AF3608" w:rsidRDefault="006E1EF7" w:rsidP="006E1EF7">
      <w:pPr>
        <w:suppressAutoHyphens/>
        <w:spacing w:before="120"/>
        <w:jc w:val="both"/>
        <w:rPr>
          <w:rFonts w:asciiTheme="minorHAnsi" w:hAnsiTheme="minorHAnsi" w:cstheme="minorHAnsi"/>
          <w:b/>
          <w:lang w:val="ro-RO"/>
        </w:rPr>
      </w:pPr>
      <w:r w:rsidRPr="00AF3608">
        <w:rPr>
          <w:rFonts w:asciiTheme="minorHAnsi" w:hAnsiTheme="minorHAnsi" w:cstheme="minorHAnsi"/>
          <w:b/>
          <w:lang w:val="ro-RO"/>
        </w:rPr>
        <w:lastRenderedPageBreak/>
        <w:t>Numărul proiectelor selectate pentru finanțare este de 48.277  în valoare publică de 5.489,92  mil. euro, din care au fost contractate 45.045  proiecte în valoare publică de 5.003,01   mil. euro. Pentru aceste contracte au fost efectuate plăți în valoare publică de 3.214,25 mil. euro.</w:t>
      </w:r>
    </w:p>
    <w:p w:rsidR="006E1EF7" w:rsidRPr="00AF3608" w:rsidRDefault="006E1EF7" w:rsidP="006E1EF7">
      <w:pPr>
        <w:suppressAutoHyphens/>
        <w:spacing w:before="120"/>
        <w:jc w:val="both"/>
        <w:rPr>
          <w:rFonts w:asciiTheme="minorHAnsi" w:hAnsiTheme="minorHAnsi" w:cstheme="minorHAnsi"/>
          <w:b/>
          <w:lang w:val="ro-RO"/>
        </w:rPr>
      </w:pPr>
    </w:p>
    <w:p w:rsidR="006E1EF7" w:rsidRPr="00AF3608" w:rsidRDefault="006E1EF7" w:rsidP="006E1EF7">
      <w:pPr>
        <w:suppressAutoHyphens/>
        <w:spacing w:before="120"/>
        <w:jc w:val="both"/>
        <w:rPr>
          <w:rFonts w:asciiTheme="minorHAnsi" w:hAnsiTheme="minorHAnsi" w:cstheme="minorHAnsi"/>
          <w:b/>
          <w:lang w:val="ro-RO"/>
        </w:rPr>
      </w:pPr>
      <w:r w:rsidRPr="00AF3608">
        <w:rPr>
          <w:rFonts w:asciiTheme="minorHAnsi" w:hAnsiTheme="minorHAnsi" w:cstheme="minorHAnsi"/>
          <w:b/>
          <w:lang w:val="ro-RO"/>
        </w:rPr>
        <w:t>Perioada de programare 2021-2027</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Conform Regulamentului (UE) 2020/2220 al Parlamentului European și al Consiliului din 23 decembrie 2020, care vizează dispozițiile tranzitorii privind sprijinul acordat din Fondul european agricol pentru dezvoltare rurală (FEADR), actualele programe de dezvoltare rurală se vor extinde cu 2 ani. </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României i-au fost alocate pentru anii 2021-2022 atât fonduri aferente Cadrului Financiar Multianual 2021-2027 (MFF), cât și fonduri EURI (Instrumentul de redresare al Uniunii Europene); aceste alocări se vor adăuga fondurilor FEADR deja alocate pentru perioada 2014-2020.</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Astfel, actualul buget FEADR 2014-2020 se va suplimenta cu 2,15 mld. euro din fonduri MFF și cu 0,69 mld. euro din fonduri EURI, fondurile urmând a fi utilizate până la sfârșitul anului 2025.</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Împărțirea acestor sume la nivel de măsuri va face obiectul negocierilor cu Comisia şi al consultărilor cu membrii Comitetului de Monitorizare pentru PNDR, Programul urmând a fi modificat în primul semestru al anului 2021 după definitivarea cadrului legislativ şi tehnic.</w:t>
      </w:r>
    </w:p>
    <w:p w:rsidR="006E1EF7" w:rsidRPr="00AF3608" w:rsidRDefault="006E1EF7" w:rsidP="006E1EF7">
      <w:pPr>
        <w:suppressAutoHyphens/>
        <w:spacing w:before="120"/>
        <w:jc w:val="both"/>
        <w:rPr>
          <w:rFonts w:asciiTheme="minorHAnsi" w:hAnsiTheme="minorHAnsi" w:cstheme="minorHAnsi"/>
          <w:b/>
          <w:lang w:val="ro-RO"/>
        </w:rPr>
      </w:pPr>
    </w:p>
    <w:p w:rsidR="006E1EF7" w:rsidRPr="00AF3608" w:rsidRDefault="006E1EF7" w:rsidP="006E1EF7">
      <w:pPr>
        <w:suppressAutoHyphens/>
        <w:spacing w:before="120"/>
        <w:jc w:val="both"/>
        <w:rPr>
          <w:rFonts w:asciiTheme="minorHAnsi" w:hAnsiTheme="minorHAnsi" w:cstheme="minorHAnsi"/>
          <w:b/>
          <w:lang w:val="ro-RO"/>
        </w:rPr>
      </w:pPr>
      <w:r w:rsidRPr="00AF3608">
        <w:rPr>
          <w:rFonts w:asciiTheme="minorHAnsi" w:hAnsiTheme="minorHAnsi" w:cstheme="minorHAnsi"/>
          <w:b/>
          <w:lang w:val="ro-RO"/>
        </w:rPr>
        <w:t>2. FONDUL EUROPEAN DE GARANTARE AGRICOLĂ (FEGA)</w:t>
      </w:r>
    </w:p>
    <w:p w:rsidR="006E1EF7" w:rsidRPr="00AF3608" w:rsidRDefault="006E1EF7" w:rsidP="006E1EF7">
      <w:pPr>
        <w:suppressAutoHyphens/>
        <w:spacing w:before="120"/>
        <w:jc w:val="both"/>
        <w:rPr>
          <w:rFonts w:asciiTheme="minorHAnsi" w:hAnsiTheme="minorHAnsi" w:cstheme="minorHAnsi"/>
          <w:b/>
          <w:lang w:val="ro-RO"/>
        </w:rPr>
      </w:pPr>
      <w:r w:rsidRPr="00AF3608">
        <w:rPr>
          <w:rFonts w:asciiTheme="minorHAnsi" w:hAnsiTheme="minorHAnsi" w:cstheme="minorHAnsi"/>
          <w:b/>
          <w:lang w:val="ro-RO"/>
        </w:rPr>
        <w:t>2.1. Principalele realizări în domeniul fondurilor europene FEGA în Campania 2019</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Agenţia de Plăţi şi Intervenţie pentru Agricultură (APIA) funcţionează în subordinea Ministerului Agriculturii şi Dezvoltării Rurale (MADR) si gestioneaza schemele de sprijin acordate fermierilor, finantate din FEGA și FEADR.</w:t>
      </w:r>
    </w:p>
    <w:p w:rsidR="006E1EF7" w:rsidRPr="00AF3608" w:rsidRDefault="006E1EF7" w:rsidP="006E1EF7">
      <w:pPr>
        <w:suppressAutoHyphens/>
        <w:spacing w:before="120"/>
        <w:jc w:val="both"/>
        <w:rPr>
          <w:rFonts w:asciiTheme="minorHAnsi" w:hAnsiTheme="minorHAnsi" w:cstheme="minorHAnsi"/>
          <w:b/>
          <w:lang w:val="ro-RO"/>
        </w:rPr>
      </w:pPr>
      <w:r w:rsidRPr="00AF3608">
        <w:rPr>
          <w:rFonts w:asciiTheme="minorHAnsi" w:hAnsiTheme="minorHAnsi" w:cstheme="minorHAnsi"/>
          <w:b/>
          <w:lang w:val="ro-RO"/>
        </w:rPr>
        <w:t>ALOCARE FEGA – PLATI DIRECTE</w:t>
      </w:r>
    </w:p>
    <w:tbl>
      <w:tblPr>
        <w:tblStyle w:val="TableGrid"/>
        <w:tblpPr w:leftFromText="180" w:rightFromText="180" w:vertAnchor="page" w:horzAnchor="margin" w:tblpY="9751"/>
        <w:tblW w:w="9912" w:type="dxa"/>
        <w:tblLayout w:type="fixed"/>
        <w:tblLook w:val="04A0" w:firstRow="1" w:lastRow="0" w:firstColumn="1" w:lastColumn="0" w:noHBand="0" w:noVBand="1"/>
      </w:tblPr>
      <w:tblGrid>
        <w:gridCol w:w="1212"/>
        <w:gridCol w:w="1218"/>
        <w:gridCol w:w="1218"/>
        <w:gridCol w:w="1218"/>
        <w:gridCol w:w="1219"/>
        <w:gridCol w:w="1218"/>
        <w:gridCol w:w="1218"/>
        <w:gridCol w:w="1391"/>
      </w:tblGrid>
      <w:tr w:rsidR="006E1EF7" w:rsidRPr="00AF3608" w:rsidTr="00EA3644">
        <w:trPr>
          <w:trHeight w:val="620"/>
        </w:trPr>
        <w:tc>
          <w:tcPr>
            <w:tcW w:w="1212" w:type="dxa"/>
            <w:shd w:val="clear" w:color="auto" w:fill="FFF2CC" w:themeFill="accent4" w:themeFillTint="33"/>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Alocare FEGA</w:t>
            </w:r>
          </w:p>
        </w:tc>
        <w:tc>
          <w:tcPr>
            <w:tcW w:w="1218" w:type="dxa"/>
            <w:shd w:val="clear" w:color="auto" w:fill="FFF2CC" w:themeFill="accent4" w:themeFillTint="33"/>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2015</w:t>
            </w:r>
          </w:p>
        </w:tc>
        <w:tc>
          <w:tcPr>
            <w:tcW w:w="1218" w:type="dxa"/>
            <w:shd w:val="clear" w:color="auto" w:fill="FFF2CC" w:themeFill="accent4" w:themeFillTint="33"/>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2016</w:t>
            </w:r>
          </w:p>
        </w:tc>
        <w:tc>
          <w:tcPr>
            <w:tcW w:w="1218" w:type="dxa"/>
            <w:shd w:val="clear" w:color="auto" w:fill="FFF2CC" w:themeFill="accent4" w:themeFillTint="33"/>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2017</w:t>
            </w:r>
          </w:p>
        </w:tc>
        <w:tc>
          <w:tcPr>
            <w:tcW w:w="1219" w:type="dxa"/>
            <w:shd w:val="clear" w:color="auto" w:fill="FFF2CC" w:themeFill="accent4" w:themeFillTint="33"/>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2018</w:t>
            </w:r>
          </w:p>
        </w:tc>
        <w:tc>
          <w:tcPr>
            <w:tcW w:w="1218" w:type="dxa"/>
            <w:shd w:val="clear" w:color="auto" w:fill="FFF2CC" w:themeFill="accent4" w:themeFillTint="33"/>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2019</w:t>
            </w:r>
          </w:p>
        </w:tc>
        <w:tc>
          <w:tcPr>
            <w:tcW w:w="1218" w:type="dxa"/>
            <w:shd w:val="clear" w:color="auto" w:fill="FFF2CC" w:themeFill="accent4" w:themeFillTint="33"/>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2020</w:t>
            </w:r>
          </w:p>
        </w:tc>
        <w:tc>
          <w:tcPr>
            <w:tcW w:w="1391" w:type="dxa"/>
            <w:shd w:val="clear" w:color="auto" w:fill="FFF2CC" w:themeFill="accent4" w:themeFillTint="33"/>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TOTAL</w:t>
            </w:r>
          </w:p>
        </w:tc>
      </w:tr>
      <w:tr w:rsidR="006E1EF7" w:rsidRPr="00AF3608" w:rsidTr="00EA3644">
        <w:trPr>
          <w:trHeight w:val="869"/>
        </w:trPr>
        <w:tc>
          <w:tcPr>
            <w:tcW w:w="1212" w:type="dxa"/>
            <w:shd w:val="clear" w:color="auto" w:fill="FFF2CC" w:themeFill="accent4" w:themeFillTint="33"/>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Plăți directe (euro)</w:t>
            </w:r>
          </w:p>
        </w:tc>
        <w:tc>
          <w:tcPr>
            <w:tcW w:w="1218" w:type="dxa"/>
            <w:vAlign w:val="center"/>
          </w:tcPr>
          <w:p w:rsidR="006E1EF7" w:rsidRPr="00AF3608" w:rsidRDefault="006E1EF7" w:rsidP="00EA3644">
            <w:pPr>
              <w:suppressAutoHyphens/>
              <w:spacing w:after="120"/>
              <w:jc w:val="right"/>
              <w:rPr>
                <w:rFonts w:asciiTheme="minorHAnsi" w:hAnsiTheme="minorHAnsi" w:cstheme="minorHAnsi"/>
                <w:lang w:val="ro-RO"/>
              </w:rPr>
            </w:pPr>
            <w:r w:rsidRPr="00AF3608">
              <w:rPr>
                <w:rFonts w:asciiTheme="minorHAnsi" w:hAnsiTheme="minorHAnsi" w:cstheme="minorHAnsi"/>
                <w:lang w:val="ro-RO"/>
              </w:rPr>
              <w:t>1,600</w:t>
            </w:r>
          </w:p>
        </w:tc>
        <w:tc>
          <w:tcPr>
            <w:tcW w:w="1218" w:type="dxa"/>
            <w:vAlign w:val="center"/>
          </w:tcPr>
          <w:p w:rsidR="006E1EF7" w:rsidRPr="00AF3608" w:rsidRDefault="006E1EF7" w:rsidP="00EA3644">
            <w:pPr>
              <w:suppressAutoHyphens/>
              <w:spacing w:after="120"/>
              <w:jc w:val="right"/>
              <w:rPr>
                <w:rFonts w:asciiTheme="minorHAnsi" w:hAnsiTheme="minorHAnsi" w:cstheme="minorHAnsi"/>
                <w:lang w:val="ro-RO"/>
              </w:rPr>
            </w:pPr>
            <w:r w:rsidRPr="00AF3608">
              <w:rPr>
                <w:rFonts w:asciiTheme="minorHAnsi" w:hAnsiTheme="minorHAnsi" w:cstheme="minorHAnsi"/>
                <w:lang w:val="ro-RO"/>
              </w:rPr>
              <w:t>1,772,47</w:t>
            </w:r>
          </w:p>
        </w:tc>
        <w:tc>
          <w:tcPr>
            <w:tcW w:w="1218" w:type="dxa"/>
            <w:vAlign w:val="center"/>
          </w:tcPr>
          <w:p w:rsidR="006E1EF7" w:rsidRPr="00AF3608" w:rsidRDefault="006E1EF7" w:rsidP="00EA3644">
            <w:pPr>
              <w:suppressAutoHyphens/>
              <w:spacing w:after="120"/>
              <w:jc w:val="right"/>
              <w:rPr>
                <w:rFonts w:asciiTheme="minorHAnsi" w:hAnsiTheme="minorHAnsi" w:cstheme="minorHAnsi"/>
                <w:lang w:val="ro-RO"/>
              </w:rPr>
            </w:pPr>
            <w:r w:rsidRPr="00AF3608">
              <w:rPr>
                <w:rFonts w:asciiTheme="minorHAnsi" w:hAnsiTheme="minorHAnsi" w:cstheme="minorHAnsi"/>
                <w:lang w:val="ro-RO"/>
              </w:rPr>
              <w:t>1,801,33</w:t>
            </w:r>
          </w:p>
        </w:tc>
        <w:tc>
          <w:tcPr>
            <w:tcW w:w="1219" w:type="dxa"/>
            <w:vAlign w:val="center"/>
          </w:tcPr>
          <w:p w:rsidR="006E1EF7" w:rsidRPr="00AF3608" w:rsidRDefault="006E1EF7" w:rsidP="00EA3644">
            <w:pPr>
              <w:suppressAutoHyphens/>
              <w:spacing w:after="120"/>
              <w:jc w:val="right"/>
              <w:rPr>
                <w:rFonts w:asciiTheme="minorHAnsi" w:hAnsiTheme="minorHAnsi" w:cstheme="minorHAnsi"/>
                <w:lang w:val="ro-RO"/>
              </w:rPr>
            </w:pPr>
            <w:r w:rsidRPr="00AF3608">
              <w:rPr>
                <w:rFonts w:asciiTheme="minorHAnsi" w:hAnsiTheme="minorHAnsi" w:cstheme="minorHAnsi"/>
                <w:lang w:val="ro-RO"/>
              </w:rPr>
              <w:t>1,912,15</w:t>
            </w:r>
          </w:p>
        </w:tc>
        <w:tc>
          <w:tcPr>
            <w:tcW w:w="1218" w:type="dxa"/>
            <w:vAlign w:val="center"/>
          </w:tcPr>
          <w:p w:rsidR="006E1EF7" w:rsidRPr="00AF3608" w:rsidRDefault="006E1EF7" w:rsidP="00EA3644">
            <w:pPr>
              <w:suppressAutoHyphens/>
              <w:spacing w:after="120"/>
              <w:jc w:val="right"/>
              <w:rPr>
                <w:rFonts w:asciiTheme="minorHAnsi" w:hAnsiTheme="minorHAnsi" w:cstheme="minorHAnsi"/>
                <w:lang w:val="ro-RO"/>
              </w:rPr>
            </w:pPr>
            <w:r w:rsidRPr="00AF3608">
              <w:rPr>
                <w:rFonts w:asciiTheme="minorHAnsi" w:hAnsiTheme="minorHAnsi" w:cstheme="minorHAnsi"/>
                <w:lang w:val="ro-RO"/>
              </w:rPr>
              <w:t>1,943,16</w:t>
            </w:r>
          </w:p>
        </w:tc>
        <w:tc>
          <w:tcPr>
            <w:tcW w:w="1218" w:type="dxa"/>
            <w:vAlign w:val="center"/>
          </w:tcPr>
          <w:p w:rsidR="006E1EF7" w:rsidRPr="00AF3608" w:rsidRDefault="006E1EF7" w:rsidP="00EA3644">
            <w:pPr>
              <w:suppressAutoHyphens/>
              <w:spacing w:after="120"/>
              <w:jc w:val="right"/>
              <w:rPr>
                <w:rFonts w:asciiTheme="minorHAnsi" w:hAnsiTheme="minorHAnsi" w:cstheme="minorHAnsi"/>
                <w:lang w:val="ro-RO"/>
              </w:rPr>
            </w:pPr>
            <w:r w:rsidRPr="00AF3608">
              <w:rPr>
                <w:rFonts w:asciiTheme="minorHAnsi" w:hAnsiTheme="minorHAnsi" w:cstheme="minorHAnsi"/>
                <w:lang w:val="ro-RO"/>
              </w:rPr>
              <w:t>1,943,16</w:t>
            </w:r>
          </w:p>
        </w:tc>
        <w:tc>
          <w:tcPr>
            <w:tcW w:w="1391" w:type="dxa"/>
            <w:vAlign w:val="center"/>
          </w:tcPr>
          <w:p w:rsidR="006E1EF7" w:rsidRPr="00AF3608" w:rsidRDefault="006E1EF7" w:rsidP="00EA3644">
            <w:pPr>
              <w:suppressAutoHyphens/>
              <w:spacing w:after="120"/>
              <w:jc w:val="right"/>
              <w:rPr>
                <w:rFonts w:asciiTheme="minorHAnsi" w:hAnsiTheme="minorHAnsi" w:cstheme="minorHAnsi"/>
                <w:lang w:val="ro-RO"/>
              </w:rPr>
            </w:pPr>
            <w:r w:rsidRPr="00AF3608">
              <w:rPr>
                <w:rFonts w:asciiTheme="minorHAnsi" w:hAnsiTheme="minorHAnsi" w:cstheme="minorHAnsi"/>
                <w:lang w:val="ro-RO"/>
              </w:rPr>
              <w:t>10,972,27</w:t>
            </w:r>
          </w:p>
        </w:tc>
      </w:tr>
    </w:tbl>
    <w:p w:rsidR="006E1EF7" w:rsidRPr="00AF3608" w:rsidRDefault="006E1EF7" w:rsidP="006E1EF7">
      <w:pPr>
        <w:suppressAutoHyphens/>
        <w:spacing w:after="120"/>
        <w:jc w:val="right"/>
        <w:rPr>
          <w:rFonts w:asciiTheme="minorHAnsi" w:hAnsiTheme="minorHAnsi" w:cstheme="minorHAnsi"/>
          <w:i/>
          <w:sz w:val="22"/>
          <w:szCs w:val="22"/>
          <w:lang w:val="ro-RO"/>
        </w:rPr>
      </w:pPr>
      <w:r w:rsidRPr="00AF3608">
        <w:rPr>
          <w:rFonts w:asciiTheme="minorHAnsi" w:hAnsiTheme="minorHAnsi" w:cstheme="minorHAnsi"/>
          <w:b/>
          <w:lang w:val="ro-RO"/>
        </w:rPr>
        <w:tab/>
      </w:r>
      <w:r w:rsidRPr="00AF3608">
        <w:rPr>
          <w:rFonts w:asciiTheme="minorHAnsi" w:hAnsiTheme="minorHAnsi" w:cstheme="minorHAnsi"/>
          <w:i/>
          <w:sz w:val="22"/>
          <w:szCs w:val="22"/>
          <w:lang w:val="ro-RO"/>
        </w:rPr>
        <w:t>mil. euro</w:t>
      </w:r>
    </w:p>
    <w:p w:rsidR="006E1EF7" w:rsidRPr="00AF3608" w:rsidRDefault="006E1EF7" w:rsidP="006E1EF7">
      <w:pPr>
        <w:suppressAutoHyphens/>
        <w:spacing w:before="120"/>
        <w:jc w:val="both"/>
        <w:rPr>
          <w:rFonts w:asciiTheme="minorHAnsi" w:hAnsiTheme="minorHAnsi" w:cstheme="minorHAnsi"/>
          <w:b/>
          <w:lang w:val="ro-RO"/>
        </w:rPr>
      </w:pPr>
    </w:p>
    <w:p w:rsidR="006E1EF7" w:rsidRPr="00AF3608" w:rsidRDefault="006E1EF7" w:rsidP="006E1EF7">
      <w:pPr>
        <w:suppressAutoHyphens/>
        <w:spacing w:before="120"/>
        <w:jc w:val="both"/>
        <w:rPr>
          <w:rFonts w:asciiTheme="minorHAnsi" w:hAnsiTheme="minorHAnsi" w:cstheme="minorHAnsi"/>
          <w:b/>
          <w:lang w:val="ro-RO"/>
        </w:rPr>
      </w:pPr>
      <w:r w:rsidRPr="00AF3608">
        <w:rPr>
          <w:rFonts w:asciiTheme="minorHAnsi" w:hAnsiTheme="minorHAnsi" w:cstheme="minorHAnsi"/>
          <w:b/>
          <w:lang w:val="ro-RO"/>
        </w:rPr>
        <w:t>3. Fondul European pentru Agricultură și Dezvoltare Rurală</w:t>
      </w:r>
    </w:p>
    <w:p w:rsidR="006E1EF7" w:rsidRPr="00AF3608" w:rsidRDefault="006E1EF7" w:rsidP="006E1EF7">
      <w:pPr>
        <w:suppressAutoHyphens/>
        <w:spacing w:before="120"/>
        <w:jc w:val="both"/>
        <w:rPr>
          <w:rFonts w:asciiTheme="minorHAnsi" w:hAnsiTheme="minorHAnsi" w:cstheme="minorHAnsi"/>
          <w:b/>
          <w:lang w:val="ro-RO"/>
        </w:rPr>
      </w:pPr>
      <w:r w:rsidRPr="00AF3608">
        <w:rPr>
          <w:rFonts w:asciiTheme="minorHAnsi" w:hAnsiTheme="minorHAnsi" w:cstheme="minorHAnsi"/>
          <w:b/>
          <w:lang w:val="ro-RO"/>
        </w:rPr>
        <w:t>Principalele realizări în anul 2020</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Măsurile implementate de catre Agentia de Plati si Interventie pentru Agricultura au ca principal scop stimularea absorbtiei fondurilor europene, cu respectarea prevederilor comunitare si nationale in vigoare.</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Pentru creșterea gradului de accesare a Masurilor de dezvoltare rurala, in perioada 2019 – 2020,  AM PNDR , APIA si AFIR au avut în vedere realizarea unei campanii ample de informare a potențialilor </w:t>
      </w:r>
      <w:r w:rsidRPr="00AF3608">
        <w:rPr>
          <w:rFonts w:asciiTheme="minorHAnsi" w:hAnsiTheme="minorHAnsi" w:cstheme="minorHAnsi"/>
          <w:lang w:val="ro-RO"/>
        </w:rPr>
        <w:lastRenderedPageBreak/>
        <w:t>beneficiari ai măsurilor, derulată prin intermediul diferitelor canale de comunicare, care a cuprins printre altele:</w:t>
      </w:r>
    </w:p>
    <w:p w:rsidR="006E1EF7" w:rsidRPr="00AF3608" w:rsidRDefault="006E1EF7" w:rsidP="003A0B85">
      <w:pPr>
        <w:pStyle w:val="ListParagraph"/>
        <w:numPr>
          <w:ilvl w:val="0"/>
          <w:numId w:val="155"/>
        </w:numPr>
        <w:suppressAutoHyphens/>
        <w:spacing w:before="120" w:line="240" w:lineRule="auto"/>
        <w:contextualSpacing w:val="0"/>
        <w:jc w:val="both"/>
        <w:rPr>
          <w:rFonts w:asciiTheme="minorHAnsi" w:hAnsiTheme="minorHAnsi" w:cstheme="minorHAnsi"/>
        </w:rPr>
      </w:pPr>
      <w:r w:rsidRPr="00AF3608">
        <w:rPr>
          <w:rFonts w:asciiTheme="minorHAnsi" w:hAnsiTheme="minorHAnsi" w:cstheme="minorHAnsi"/>
        </w:rPr>
        <w:t>realizarea de materiale de informare publicate pe site-ul instituţiilor responsabile cu elaborarea şi implementarea măsurilor de mediu şi climă, pe portalul Rețelei Naționale de Dezvoltare Rurală,</w:t>
      </w:r>
    </w:p>
    <w:p w:rsidR="006E1EF7" w:rsidRPr="00AF3608" w:rsidRDefault="006E1EF7" w:rsidP="003A0B85">
      <w:pPr>
        <w:pStyle w:val="ListParagraph"/>
        <w:numPr>
          <w:ilvl w:val="0"/>
          <w:numId w:val="155"/>
        </w:numPr>
        <w:suppressAutoHyphens/>
        <w:spacing w:before="120" w:line="240" w:lineRule="auto"/>
        <w:contextualSpacing w:val="0"/>
        <w:jc w:val="both"/>
        <w:rPr>
          <w:rFonts w:asciiTheme="minorHAnsi" w:hAnsiTheme="minorHAnsi" w:cstheme="minorHAnsi"/>
        </w:rPr>
      </w:pPr>
      <w:r w:rsidRPr="00AF3608">
        <w:rPr>
          <w:rFonts w:asciiTheme="minorHAnsi" w:hAnsiTheme="minorHAnsi" w:cstheme="minorHAnsi"/>
        </w:rPr>
        <w:t>publicarea unor comunicate de presă (preluate ulterior pe canalele media la nivel naţional şi regional) şi publicarea articolelor prin utilizarea instrumentelor social media,</w:t>
      </w:r>
    </w:p>
    <w:p w:rsidR="006E1EF7" w:rsidRPr="00AF3608" w:rsidRDefault="006E1EF7" w:rsidP="003A0B85">
      <w:pPr>
        <w:pStyle w:val="ListParagraph"/>
        <w:numPr>
          <w:ilvl w:val="0"/>
          <w:numId w:val="155"/>
        </w:numPr>
        <w:suppressAutoHyphens/>
        <w:spacing w:before="120" w:line="240" w:lineRule="auto"/>
        <w:contextualSpacing w:val="0"/>
        <w:jc w:val="both"/>
        <w:rPr>
          <w:rFonts w:asciiTheme="minorHAnsi" w:hAnsiTheme="minorHAnsi" w:cstheme="minorHAnsi"/>
        </w:rPr>
      </w:pPr>
      <w:r w:rsidRPr="00AF3608">
        <w:rPr>
          <w:rFonts w:asciiTheme="minorHAnsi" w:hAnsiTheme="minorHAnsi" w:cstheme="minorHAnsi"/>
        </w:rPr>
        <w:t>informaţii furnizate prin formularul cererii unice de plată pe suprafaţă și Ghidul solicitantului. ( materiale ce au fost publicate in timp util pe site-ul gestionat de Agentia de Plati si Interventie pentru Agricultura).</w:t>
      </w:r>
    </w:p>
    <w:p w:rsidR="006E1EF7" w:rsidRPr="00AF3608" w:rsidRDefault="006E1EF7" w:rsidP="006E1EF7">
      <w:pPr>
        <w:numPr>
          <w:ilvl w:val="0"/>
          <w:numId w:val="14"/>
        </w:numPr>
        <w:suppressAutoHyphens/>
        <w:spacing w:before="120"/>
        <w:jc w:val="both"/>
        <w:rPr>
          <w:rFonts w:asciiTheme="minorHAnsi" w:hAnsiTheme="minorHAnsi" w:cstheme="minorHAnsi"/>
          <w:b/>
          <w:lang w:val="ro-RO"/>
        </w:rPr>
      </w:pPr>
      <w:r w:rsidRPr="00AF3608">
        <w:rPr>
          <w:rFonts w:asciiTheme="minorHAnsi" w:hAnsiTheme="minorHAnsi" w:cstheme="minorHAnsi"/>
          <w:b/>
          <w:lang w:val="ro-RO"/>
        </w:rPr>
        <w:t>Obiective in perioada 2021-2023:</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În ceea ce priveste perioada 2021-2023, principalul obiectiv al Agentiei este de a asigura o buna gestionare a fondurilor comunitare si nationale si de a veni in sprijinul fermierilor romani, asigurand astfel dezvoltarea sectorului agricol, a exploataţiilor vegetale si de crestere a animalelor, cu respectarea masurilor de protejare a mediului inconjurator, precum si valorificarea resurselor şi posibilităţilor naturale de care dispune România.</w:t>
      </w:r>
    </w:p>
    <w:p w:rsidR="006E1EF7" w:rsidRPr="00AF3608" w:rsidRDefault="006E1EF7" w:rsidP="006E1EF7">
      <w:pPr>
        <w:suppressAutoHyphens/>
        <w:spacing w:before="120"/>
        <w:jc w:val="both"/>
        <w:rPr>
          <w:rFonts w:asciiTheme="minorHAnsi" w:hAnsiTheme="minorHAnsi" w:cstheme="minorHAnsi"/>
          <w:lang w:val="ro-RO"/>
        </w:rPr>
      </w:pPr>
      <w:bookmarkStart w:id="12" w:name="page168"/>
      <w:bookmarkEnd w:id="12"/>
    </w:p>
    <w:p w:rsidR="006E1EF7" w:rsidRPr="00AF3608" w:rsidRDefault="006E1EF7" w:rsidP="006E1EF7">
      <w:pPr>
        <w:suppressAutoHyphens/>
        <w:spacing w:before="120"/>
        <w:jc w:val="both"/>
        <w:rPr>
          <w:rFonts w:asciiTheme="minorHAnsi" w:hAnsiTheme="minorHAnsi" w:cstheme="minorHAnsi"/>
          <w:b/>
          <w:lang w:val="ro-RO"/>
        </w:rPr>
      </w:pPr>
      <w:r w:rsidRPr="00AF3608">
        <w:rPr>
          <w:rFonts w:asciiTheme="minorHAnsi" w:hAnsiTheme="minorHAnsi" w:cstheme="minorHAnsi"/>
          <w:b/>
          <w:lang w:val="ro-RO"/>
        </w:rPr>
        <w:t>4. Fondul European pentru Pescuit și Afaceri Maritime</w:t>
      </w:r>
    </w:p>
    <w:p w:rsidR="006E1EF7" w:rsidRPr="00AF3608" w:rsidRDefault="006E1EF7" w:rsidP="006E1EF7">
      <w:pPr>
        <w:suppressAutoHyphens/>
        <w:spacing w:before="120"/>
        <w:jc w:val="both"/>
        <w:rPr>
          <w:rFonts w:asciiTheme="minorHAnsi" w:hAnsiTheme="minorHAnsi" w:cstheme="minorHAnsi"/>
          <w:bCs/>
          <w:lang w:val="ro-RO"/>
        </w:rPr>
      </w:pPr>
      <w:r w:rsidRPr="00AF3608">
        <w:rPr>
          <w:rFonts w:asciiTheme="minorHAnsi" w:hAnsiTheme="minorHAnsi" w:cstheme="minorHAnsi"/>
          <w:bCs/>
          <w:lang w:val="ro-RO"/>
        </w:rPr>
        <w:t>Gradul de angajare al sumelor alocate 2014-2020: 83,08%.</w:t>
      </w:r>
    </w:p>
    <w:p w:rsidR="006E1EF7" w:rsidRPr="00AF3608" w:rsidRDefault="006E1EF7" w:rsidP="006E1EF7">
      <w:pPr>
        <w:suppressAutoHyphens/>
        <w:spacing w:before="120"/>
        <w:jc w:val="both"/>
        <w:rPr>
          <w:rFonts w:asciiTheme="minorHAnsi" w:hAnsiTheme="minorHAnsi" w:cstheme="minorHAnsi"/>
          <w:bCs/>
          <w:lang w:val="ro-RO"/>
        </w:rPr>
      </w:pPr>
      <w:r w:rsidRPr="00AF3608">
        <w:rPr>
          <w:rFonts w:asciiTheme="minorHAnsi" w:hAnsiTheme="minorHAnsi" w:cstheme="minorHAnsi"/>
          <w:bCs/>
          <w:lang w:val="ro-RO"/>
        </w:rPr>
        <w:t>Gradul de absorbție la data curentă (sume justificate de beneficiari): 38,90%.</w:t>
      </w:r>
    </w:p>
    <w:p w:rsidR="006E1EF7" w:rsidRPr="00AF3608" w:rsidRDefault="006E1EF7" w:rsidP="006E1EF7">
      <w:pPr>
        <w:suppressAutoHyphens/>
        <w:spacing w:before="120"/>
        <w:jc w:val="both"/>
        <w:rPr>
          <w:rFonts w:asciiTheme="minorHAnsi" w:hAnsiTheme="minorHAnsi" w:cstheme="minorHAnsi"/>
          <w:b/>
          <w:lang w:val="ro-RO"/>
        </w:rPr>
      </w:pPr>
    </w:p>
    <w:p w:rsidR="006E1EF7" w:rsidRPr="00AF3608" w:rsidRDefault="006E1EF7" w:rsidP="006E1EF7">
      <w:pPr>
        <w:shd w:val="clear" w:color="auto" w:fill="FFE599" w:themeFill="accent4" w:themeFillTint="66"/>
        <w:suppressAutoHyphens/>
        <w:spacing w:before="120"/>
        <w:jc w:val="both"/>
        <w:rPr>
          <w:rFonts w:asciiTheme="minorHAnsi" w:hAnsiTheme="minorHAnsi" w:cstheme="minorHAnsi"/>
          <w:b/>
          <w:lang w:val="ro-RO"/>
        </w:rPr>
      </w:pPr>
      <w:r w:rsidRPr="00AF3608">
        <w:rPr>
          <w:rFonts w:asciiTheme="minorHAnsi" w:hAnsiTheme="minorHAnsi" w:cstheme="minorHAnsi"/>
          <w:b/>
          <w:lang w:val="ro-RO"/>
        </w:rPr>
        <w:t>C. Contribuţia României la bugetul UE</w:t>
      </w:r>
    </w:p>
    <w:p w:rsidR="006E1EF7" w:rsidRPr="00AF3608" w:rsidRDefault="006E1EF7" w:rsidP="006E1EF7">
      <w:pPr>
        <w:spacing w:before="120"/>
        <w:jc w:val="both"/>
        <w:rPr>
          <w:rFonts w:asciiTheme="minorHAnsi" w:hAnsiTheme="minorHAnsi" w:cstheme="minorHAnsi"/>
          <w:lang w:val="ro-RO"/>
        </w:rPr>
      </w:pPr>
      <w:r w:rsidRPr="00AF3608">
        <w:rPr>
          <w:rFonts w:asciiTheme="minorHAnsi" w:hAnsiTheme="minorHAnsi" w:cstheme="minorHAnsi"/>
          <w:lang w:val="ro-RO"/>
        </w:rPr>
        <w:t>Potrivit angajamentelor asumate prin Tratatul de aderare a Republicii Bulgaria şi a României la Uniunea Europeană ratificat prin Legea nr. 157/2005, România, în calitate de stat membru, participă la finanţarea bugetului Uniunii Europene potrivit regulilor comunitare unitare care sunt direct aplicabile de la data aderării. Astfel, începând cu 1 ianuarie 2007, România asigură plata contribuţiei sale pentru finanţarea bugetului Uniunii Europene în cadrul sistemului resurselor proprii ale bugetului comunitar.</w:t>
      </w:r>
    </w:p>
    <w:p w:rsidR="006E1EF7" w:rsidRPr="00AF3608" w:rsidRDefault="006E1EF7" w:rsidP="006E1EF7">
      <w:pPr>
        <w:suppressAutoHyphens/>
        <w:spacing w:before="120"/>
        <w:jc w:val="both"/>
        <w:rPr>
          <w:rFonts w:asciiTheme="minorHAnsi" w:eastAsia="SimSun" w:hAnsiTheme="minorHAnsi" w:cstheme="minorHAnsi"/>
          <w:lang w:val="ro-RO"/>
        </w:rPr>
      </w:pPr>
      <w:r w:rsidRPr="00AF3608">
        <w:rPr>
          <w:rFonts w:asciiTheme="minorHAnsi" w:eastAsia="SimSun" w:hAnsiTheme="minorHAnsi" w:cstheme="minorHAnsi"/>
          <w:lang w:val="ro-RO"/>
        </w:rPr>
        <w:t>Până la acest moment, sistemul resurselor proprii ale Uniunii Europene este reglementat prin Decizia nr. 2014/335/CE, Euratom</w:t>
      </w:r>
      <w:r w:rsidRPr="00AF3608">
        <w:rPr>
          <w:rFonts w:asciiTheme="minorHAnsi" w:eastAsia="SimSun" w:hAnsiTheme="minorHAnsi" w:cstheme="minorHAnsi"/>
          <w:vertAlign w:val="superscript"/>
          <w:lang w:val="ro-RO"/>
        </w:rPr>
        <w:footnoteReference w:id="19"/>
      </w:r>
      <w:r w:rsidRPr="00AF3608">
        <w:rPr>
          <w:rFonts w:asciiTheme="minorHAnsi" w:eastAsia="SimSun" w:hAnsiTheme="minorHAnsi" w:cstheme="minorHAnsi"/>
          <w:lang w:val="ro-RO"/>
        </w:rPr>
        <w:t>, însă ca urmare a negocierilor purtate și a acordului la nivel european privind Cadrul Financiar Multianual 2021-2022, decizia menționată anterior va fi abrogată de noua Decizie (UE, EURATOM) 2020/2053</w:t>
      </w:r>
      <w:r w:rsidRPr="00AF3608">
        <w:rPr>
          <w:rFonts w:asciiTheme="minorHAnsi" w:eastAsia="SimSun" w:hAnsiTheme="minorHAnsi" w:cstheme="minorHAnsi"/>
          <w:vertAlign w:val="superscript"/>
          <w:lang w:val="ro-RO"/>
        </w:rPr>
        <w:footnoteReference w:id="20"/>
      </w:r>
      <w:r w:rsidRPr="00AF3608">
        <w:rPr>
          <w:rFonts w:asciiTheme="minorHAnsi" w:eastAsia="SimSun" w:hAnsiTheme="minorHAnsi" w:cstheme="minorHAnsi"/>
          <w:lang w:val="ro-RO"/>
        </w:rPr>
        <w:t xml:space="preserve"> a Consiliului din 14 decembrie 2020 privind sistemul de resurse proprii ale Uniunii Europene în momentul în care va fi ratificată de toate statele membre.</w:t>
      </w:r>
    </w:p>
    <w:p w:rsidR="006E1EF7" w:rsidRPr="00AF3608" w:rsidRDefault="006E1EF7" w:rsidP="006E1EF7">
      <w:pPr>
        <w:suppressAutoHyphens/>
        <w:spacing w:after="120"/>
        <w:jc w:val="both"/>
        <w:rPr>
          <w:rFonts w:asciiTheme="minorHAnsi" w:eastAsia="SimSun" w:hAnsiTheme="minorHAnsi" w:cstheme="minorHAnsi"/>
          <w:lang w:val="ro-RO"/>
        </w:rPr>
      </w:pPr>
    </w:p>
    <w:tbl>
      <w:tblPr>
        <w:tblW w:w="10606" w:type="dxa"/>
        <w:tblInd w:w="108" w:type="dxa"/>
        <w:tblLook w:val="04A0" w:firstRow="1" w:lastRow="0" w:firstColumn="1" w:lastColumn="0" w:noHBand="0" w:noVBand="1"/>
      </w:tblPr>
      <w:tblGrid>
        <w:gridCol w:w="917"/>
        <w:gridCol w:w="4612"/>
        <w:gridCol w:w="1276"/>
        <w:gridCol w:w="1267"/>
        <w:gridCol w:w="1267"/>
        <w:gridCol w:w="1267"/>
      </w:tblGrid>
      <w:tr w:rsidR="006E1EF7" w:rsidRPr="00AF3608" w:rsidTr="00EA3644">
        <w:trPr>
          <w:trHeight w:val="780"/>
        </w:trPr>
        <w:tc>
          <w:tcPr>
            <w:tcW w:w="10606" w:type="dxa"/>
            <w:gridSpan w:val="6"/>
            <w:tcBorders>
              <w:top w:val="nil"/>
              <w:left w:val="nil"/>
              <w:bottom w:val="nil"/>
              <w:right w:val="nil"/>
            </w:tcBorders>
            <w:shd w:val="clear" w:color="auto" w:fill="auto"/>
            <w:noWrap/>
            <w:vAlign w:val="bottom"/>
            <w:hideMark/>
          </w:tcPr>
          <w:p w:rsidR="006E1EF7" w:rsidRPr="00AF3608" w:rsidRDefault="006E1EF7" w:rsidP="00EA3644">
            <w:pPr>
              <w:jc w:val="center"/>
              <w:rPr>
                <w:rFonts w:asciiTheme="minorHAnsi" w:hAnsiTheme="minorHAnsi" w:cstheme="minorHAnsi"/>
                <w:b/>
                <w:bCs/>
                <w:sz w:val="20"/>
                <w:lang w:val="ro-RO"/>
              </w:rPr>
            </w:pPr>
            <w:r w:rsidRPr="00AF3608">
              <w:rPr>
                <w:rFonts w:asciiTheme="minorHAnsi" w:hAnsiTheme="minorHAnsi" w:cstheme="minorHAnsi"/>
                <w:b/>
                <w:bCs/>
                <w:sz w:val="20"/>
                <w:lang w:val="ro-RO"/>
              </w:rPr>
              <w:t>Contribuţia României la bugetul Uniunii Europene pentru anul 2021</w:t>
            </w:r>
          </w:p>
          <w:p w:rsidR="006E1EF7" w:rsidRPr="00AF3608" w:rsidRDefault="006E1EF7" w:rsidP="00EA3644">
            <w:pPr>
              <w:jc w:val="center"/>
              <w:rPr>
                <w:rFonts w:asciiTheme="minorHAnsi" w:hAnsiTheme="minorHAnsi" w:cstheme="minorHAnsi"/>
                <w:b/>
                <w:bCs/>
                <w:lang w:val="ro-RO"/>
              </w:rPr>
            </w:pPr>
            <w:r w:rsidRPr="00AF3608">
              <w:rPr>
                <w:rFonts w:asciiTheme="minorHAnsi" w:hAnsiTheme="minorHAnsi" w:cstheme="minorHAnsi"/>
                <w:b/>
                <w:bCs/>
                <w:sz w:val="20"/>
                <w:lang w:val="ro-RO"/>
              </w:rPr>
              <w:t>şi estimarea pentru anii 2022-2023</w:t>
            </w:r>
          </w:p>
        </w:tc>
      </w:tr>
      <w:tr w:rsidR="006E1EF7" w:rsidRPr="00AF3608" w:rsidTr="00EA3644">
        <w:trPr>
          <w:gridAfter w:val="1"/>
          <w:wAfter w:w="1267" w:type="dxa"/>
          <w:trHeight w:val="315"/>
        </w:trPr>
        <w:tc>
          <w:tcPr>
            <w:tcW w:w="917" w:type="dxa"/>
            <w:tcBorders>
              <w:top w:val="nil"/>
              <w:left w:val="nil"/>
              <w:bottom w:val="nil"/>
              <w:right w:val="nil"/>
            </w:tcBorders>
            <w:shd w:val="clear" w:color="auto" w:fill="auto"/>
            <w:noWrap/>
            <w:vAlign w:val="bottom"/>
            <w:hideMark/>
          </w:tcPr>
          <w:p w:rsidR="006E1EF7" w:rsidRPr="00AF3608" w:rsidRDefault="006E1EF7" w:rsidP="00EA3644">
            <w:pPr>
              <w:jc w:val="center"/>
              <w:rPr>
                <w:rFonts w:asciiTheme="minorHAnsi" w:hAnsiTheme="minorHAnsi" w:cstheme="minorHAnsi"/>
                <w:sz w:val="20"/>
                <w:szCs w:val="20"/>
                <w:lang w:val="ro-RO"/>
              </w:rPr>
            </w:pPr>
          </w:p>
        </w:tc>
        <w:tc>
          <w:tcPr>
            <w:tcW w:w="4612" w:type="dxa"/>
            <w:tcBorders>
              <w:top w:val="nil"/>
              <w:left w:val="nil"/>
              <w:bottom w:val="single" w:sz="8" w:space="0" w:color="000000"/>
              <w:right w:val="nil"/>
            </w:tcBorders>
            <w:shd w:val="clear" w:color="auto" w:fill="auto"/>
            <w:noWrap/>
            <w:vAlign w:val="bottom"/>
            <w:hideMark/>
          </w:tcPr>
          <w:p w:rsidR="006E1EF7" w:rsidRPr="00AF3608" w:rsidRDefault="006E1EF7" w:rsidP="00EA3644">
            <w:pPr>
              <w:rPr>
                <w:rFonts w:asciiTheme="minorHAnsi" w:hAnsiTheme="minorHAnsi" w:cstheme="minorHAnsi"/>
                <w:lang w:val="ro-RO"/>
              </w:rPr>
            </w:pPr>
            <w:r w:rsidRPr="00AF3608">
              <w:rPr>
                <w:rFonts w:asciiTheme="minorHAnsi" w:hAnsiTheme="minorHAnsi" w:cstheme="minorHAnsi"/>
                <w:lang w:val="ro-RO"/>
              </w:rPr>
              <w:t> </w:t>
            </w:r>
          </w:p>
        </w:tc>
        <w:tc>
          <w:tcPr>
            <w:tcW w:w="1276" w:type="dxa"/>
            <w:tcBorders>
              <w:top w:val="nil"/>
              <w:left w:val="nil"/>
              <w:bottom w:val="nil"/>
              <w:right w:val="nil"/>
            </w:tcBorders>
            <w:shd w:val="clear" w:color="auto" w:fill="auto"/>
            <w:noWrap/>
            <w:vAlign w:val="bottom"/>
            <w:hideMark/>
          </w:tcPr>
          <w:p w:rsidR="006E1EF7" w:rsidRPr="00AF3608" w:rsidRDefault="006E1EF7" w:rsidP="00EA3644">
            <w:pPr>
              <w:rPr>
                <w:rFonts w:asciiTheme="minorHAnsi" w:hAnsiTheme="minorHAnsi" w:cstheme="minorHAnsi"/>
                <w:lang w:val="ro-RO"/>
              </w:rPr>
            </w:pPr>
          </w:p>
        </w:tc>
        <w:tc>
          <w:tcPr>
            <w:tcW w:w="1267" w:type="dxa"/>
            <w:tcBorders>
              <w:top w:val="nil"/>
              <w:left w:val="nil"/>
              <w:bottom w:val="nil"/>
              <w:right w:val="nil"/>
            </w:tcBorders>
            <w:shd w:val="clear" w:color="auto" w:fill="auto"/>
            <w:noWrap/>
            <w:vAlign w:val="bottom"/>
            <w:hideMark/>
          </w:tcPr>
          <w:p w:rsidR="006E1EF7" w:rsidRPr="00AF3608" w:rsidRDefault="006E1EF7" w:rsidP="00EA3644">
            <w:pPr>
              <w:rPr>
                <w:rFonts w:asciiTheme="minorHAnsi" w:hAnsiTheme="minorHAnsi" w:cstheme="minorHAnsi"/>
                <w:sz w:val="20"/>
                <w:szCs w:val="20"/>
                <w:lang w:val="ro-RO"/>
              </w:rPr>
            </w:pPr>
          </w:p>
        </w:tc>
        <w:tc>
          <w:tcPr>
            <w:tcW w:w="1267" w:type="dxa"/>
            <w:tcBorders>
              <w:top w:val="nil"/>
              <w:left w:val="nil"/>
              <w:bottom w:val="nil"/>
              <w:right w:val="nil"/>
            </w:tcBorders>
            <w:shd w:val="clear" w:color="auto" w:fill="auto"/>
            <w:noWrap/>
            <w:vAlign w:val="bottom"/>
            <w:hideMark/>
          </w:tcPr>
          <w:p w:rsidR="006E1EF7" w:rsidRPr="00AF3608" w:rsidRDefault="006E1EF7" w:rsidP="00EA3644">
            <w:pPr>
              <w:jc w:val="right"/>
              <w:rPr>
                <w:rFonts w:asciiTheme="minorHAnsi" w:hAnsiTheme="minorHAnsi" w:cstheme="minorHAnsi"/>
                <w:sz w:val="20"/>
                <w:szCs w:val="20"/>
                <w:lang w:val="ro-RO"/>
              </w:rPr>
            </w:pPr>
            <w:r w:rsidRPr="00AF3608">
              <w:rPr>
                <w:rFonts w:asciiTheme="minorHAnsi" w:hAnsiTheme="minorHAnsi" w:cstheme="minorHAnsi"/>
                <w:sz w:val="20"/>
                <w:szCs w:val="20"/>
                <w:lang w:val="ro-RO"/>
              </w:rPr>
              <w:t>mii LEI</w:t>
            </w:r>
          </w:p>
        </w:tc>
      </w:tr>
      <w:tr w:rsidR="006E1EF7" w:rsidRPr="00AF3608" w:rsidTr="00EA3644">
        <w:trPr>
          <w:gridAfter w:val="1"/>
          <w:wAfter w:w="1267" w:type="dxa"/>
          <w:trHeight w:val="630"/>
        </w:trPr>
        <w:tc>
          <w:tcPr>
            <w:tcW w:w="917" w:type="dxa"/>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rsidR="006E1EF7" w:rsidRPr="00AF3608" w:rsidRDefault="006E1EF7" w:rsidP="00EA3644">
            <w:pPr>
              <w:jc w:val="center"/>
              <w:rPr>
                <w:rFonts w:asciiTheme="minorHAnsi" w:hAnsiTheme="minorHAnsi" w:cstheme="minorHAnsi"/>
                <w:b/>
                <w:bCs/>
                <w:sz w:val="20"/>
                <w:lang w:val="ro-RO"/>
              </w:rPr>
            </w:pPr>
            <w:r w:rsidRPr="00AF3608">
              <w:rPr>
                <w:rFonts w:asciiTheme="minorHAnsi" w:hAnsiTheme="minorHAnsi" w:cstheme="minorHAnsi"/>
                <w:b/>
                <w:bCs/>
                <w:sz w:val="20"/>
                <w:lang w:val="ro-RO"/>
              </w:rPr>
              <w:t xml:space="preserve">Cod </w:t>
            </w:r>
          </w:p>
        </w:tc>
        <w:tc>
          <w:tcPr>
            <w:tcW w:w="4612" w:type="dxa"/>
            <w:tcBorders>
              <w:top w:val="nil"/>
              <w:left w:val="nil"/>
              <w:bottom w:val="single" w:sz="4" w:space="0" w:color="000000"/>
              <w:right w:val="single" w:sz="4" w:space="0" w:color="000000"/>
            </w:tcBorders>
            <w:shd w:val="clear" w:color="auto" w:fill="auto"/>
            <w:noWrap/>
            <w:vAlign w:val="center"/>
            <w:hideMark/>
          </w:tcPr>
          <w:p w:rsidR="006E1EF7" w:rsidRPr="00AF3608" w:rsidRDefault="006E1EF7" w:rsidP="00EA3644">
            <w:pPr>
              <w:jc w:val="center"/>
              <w:rPr>
                <w:rFonts w:asciiTheme="minorHAnsi" w:hAnsiTheme="minorHAnsi" w:cstheme="minorHAnsi"/>
                <w:b/>
                <w:bCs/>
                <w:sz w:val="20"/>
                <w:lang w:val="ro-RO"/>
              </w:rPr>
            </w:pPr>
            <w:r w:rsidRPr="00AF3608">
              <w:rPr>
                <w:rFonts w:asciiTheme="minorHAnsi" w:hAnsiTheme="minorHAnsi" w:cstheme="minorHAnsi"/>
                <w:b/>
                <w:bCs/>
                <w:sz w:val="20"/>
                <w:lang w:val="ro-RO"/>
              </w:rPr>
              <w:t>Denumirea</w:t>
            </w:r>
          </w:p>
        </w:tc>
        <w:tc>
          <w:tcPr>
            <w:tcW w:w="1276" w:type="dxa"/>
            <w:tcBorders>
              <w:top w:val="single" w:sz="8" w:space="0" w:color="000000"/>
              <w:left w:val="single" w:sz="4" w:space="0" w:color="000000"/>
              <w:bottom w:val="single" w:sz="4" w:space="0" w:color="000000"/>
              <w:right w:val="single" w:sz="8" w:space="0" w:color="000000"/>
            </w:tcBorders>
            <w:shd w:val="clear" w:color="auto" w:fill="auto"/>
            <w:noWrap/>
            <w:vAlign w:val="center"/>
            <w:hideMark/>
          </w:tcPr>
          <w:p w:rsidR="006E1EF7" w:rsidRPr="00AF3608" w:rsidRDefault="006E1EF7" w:rsidP="00EA3644">
            <w:pPr>
              <w:jc w:val="center"/>
              <w:rPr>
                <w:rFonts w:asciiTheme="minorHAnsi" w:hAnsiTheme="minorHAnsi" w:cstheme="minorHAnsi"/>
                <w:b/>
                <w:bCs/>
                <w:sz w:val="20"/>
                <w:lang w:val="ro-RO"/>
              </w:rPr>
            </w:pPr>
            <w:r w:rsidRPr="00AF3608">
              <w:rPr>
                <w:rFonts w:asciiTheme="minorHAnsi" w:hAnsiTheme="minorHAnsi" w:cstheme="minorHAnsi"/>
                <w:b/>
                <w:bCs/>
                <w:sz w:val="20"/>
                <w:lang w:val="ro-RO"/>
              </w:rPr>
              <w:t>2021</w:t>
            </w:r>
          </w:p>
        </w:tc>
        <w:tc>
          <w:tcPr>
            <w:tcW w:w="1267" w:type="dxa"/>
            <w:tcBorders>
              <w:top w:val="single" w:sz="8" w:space="0" w:color="000000"/>
              <w:left w:val="single" w:sz="4" w:space="0" w:color="000000"/>
              <w:bottom w:val="single" w:sz="4" w:space="0" w:color="000000"/>
              <w:right w:val="single" w:sz="8" w:space="0" w:color="000000"/>
            </w:tcBorders>
            <w:shd w:val="clear" w:color="auto" w:fill="auto"/>
            <w:noWrap/>
            <w:vAlign w:val="center"/>
            <w:hideMark/>
          </w:tcPr>
          <w:p w:rsidR="006E1EF7" w:rsidRPr="00AF3608" w:rsidRDefault="006E1EF7" w:rsidP="00EA3644">
            <w:pPr>
              <w:jc w:val="center"/>
              <w:rPr>
                <w:rFonts w:asciiTheme="minorHAnsi" w:hAnsiTheme="minorHAnsi" w:cstheme="minorHAnsi"/>
                <w:b/>
                <w:bCs/>
                <w:sz w:val="20"/>
                <w:lang w:val="ro-RO"/>
              </w:rPr>
            </w:pPr>
            <w:r w:rsidRPr="00AF3608">
              <w:rPr>
                <w:rFonts w:asciiTheme="minorHAnsi" w:hAnsiTheme="minorHAnsi" w:cstheme="minorHAnsi"/>
                <w:b/>
                <w:bCs/>
                <w:sz w:val="20"/>
                <w:lang w:val="ro-RO"/>
              </w:rPr>
              <w:t>2022</w:t>
            </w:r>
          </w:p>
        </w:tc>
        <w:tc>
          <w:tcPr>
            <w:tcW w:w="1267" w:type="dxa"/>
            <w:tcBorders>
              <w:top w:val="single" w:sz="8" w:space="0" w:color="000000"/>
              <w:left w:val="single" w:sz="4" w:space="0" w:color="000000"/>
              <w:bottom w:val="single" w:sz="4" w:space="0" w:color="000000"/>
              <w:right w:val="single" w:sz="8" w:space="0" w:color="000000"/>
            </w:tcBorders>
            <w:shd w:val="clear" w:color="auto" w:fill="auto"/>
            <w:noWrap/>
            <w:vAlign w:val="center"/>
            <w:hideMark/>
          </w:tcPr>
          <w:p w:rsidR="006E1EF7" w:rsidRPr="00AF3608" w:rsidRDefault="006E1EF7" w:rsidP="00EA3644">
            <w:pPr>
              <w:jc w:val="center"/>
              <w:rPr>
                <w:rFonts w:asciiTheme="minorHAnsi" w:hAnsiTheme="minorHAnsi" w:cstheme="minorHAnsi"/>
                <w:b/>
                <w:bCs/>
                <w:sz w:val="20"/>
                <w:lang w:val="ro-RO"/>
              </w:rPr>
            </w:pPr>
            <w:r w:rsidRPr="00AF3608">
              <w:rPr>
                <w:rFonts w:asciiTheme="minorHAnsi" w:hAnsiTheme="minorHAnsi" w:cstheme="minorHAnsi"/>
                <w:b/>
                <w:bCs/>
                <w:sz w:val="20"/>
                <w:lang w:val="ro-RO"/>
              </w:rPr>
              <w:t>2023</w:t>
            </w:r>
          </w:p>
        </w:tc>
      </w:tr>
      <w:tr w:rsidR="006E1EF7" w:rsidRPr="00AF3608" w:rsidTr="00EA3644">
        <w:trPr>
          <w:gridAfter w:val="1"/>
          <w:wAfter w:w="1267" w:type="dxa"/>
          <w:trHeight w:val="379"/>
        </w:trPr>
        <w:tc>
          <w:tcPr>
            <w:tcW w:w="917" w:type="dxa"/>
            <w:tcBorders>
              <w:top w:val="nil"/>
              <w:left w:val="single" w:sz="8" w:space="0" w:color="000000"/>
              <w:bottom w:val="single" w:sz="4" w:space="0" w:color="000000"/>
              <w:right w:val="single" w:sz="4" w:space="0" w:color="000000"/>
            </w:tcBorders>
            <w:shd w:val="clear" w:color="auto" w:fill="auto"/>
            <w:noWrap/>
            <w:vAlign w:val="center"/>
            <w:hideMark/>
          </w:tcPr>
          <w:p w:rsidR="006E1EF7" w:rsidRPr="00AF3608" w:rsidRDefault="006E1EF7" w:rsidP="00EA3644">
            <w:pPr>
              <w:jc w:val="center"/>
              <w:rPr>
                <w:rFonts w:asciiTheme="minorHAnsi" w:hAnsiTheme="minorHAnsi" w:cstheme="minorHAnsi"/>
                <w:b/>
                <w:bCs/>
                <w:sz w:val="18"/>
                <w:lang w:val="ro-RO"/>
              </w:rPr>
            </w:pPr>
            <w:r w:rsidRPr="00AF3608">
              <w:rPr>
                <w:rFonts w:asciiTheme="minorHAnsi" w:hAnsiTheme="minorHAnsi" w:cstheme="minorHAnsi"/>
                <w:b/>
                <w:bCs/>
                <w:sz w:val="18"/>
                <w:lang w:val="ro-RO"/>
              </w:rPr>
              <w:t>55.03.01</w:t>
            </w:r>
          </w:p>
        </w:tc>
        <w:tc>
          <w:tcPr>
            <w:tcW w:w="4612" w:type="dxa"/>
            <w:tcBorders>
              <w:top w:val="nil"/>
              <w:left w:val="nil"/>
              <w:bottom w:val="single" w:sz="4" w:space="0" w:color="000000"/>
              <w:right w:val="single" w:sz="4" w:space="0" w:color="000000"/>
            </w:tcBorders>
            <w:shd w:val="clear" w:color="auto" w:fill="auto"/>
            <w:vAlign w:val="center"/>
            <w:hideMark/>
          </w:tcPr>
          <w:p w:rsidR="006E1EF7" w:rsidRPr="00AF3608" w:rsidRDefault="006E1EF7" w:rsidP="00EA3644">
            <w:pPr>
              <w:rPr>
                <w:rFonts w:asciiTheme="minorHAnsi" w:hAnsiTheme="minorHAnsi" w:cstheme="minorHAnsi"/>
                <w:sz w:val="20"/>
                <w:lang w:val="ro-RO"/>
              </w:rPr>
            </w:pPr>
            <w:r w:rsidRPr="00AF3608">
              <w:rPr>
                <w:rFonts w:asciiTheme="minorHAnsi" w:hAnsiTheme="minorHAnsi" w:cstheme="minorHAnsi"/>
                <w:sz w:val="20"/>
                <w:lang w:val="ro-RO"/>
              </w:rPr>
              <w:t xml:space="preserve">Contributii din taxe vamale </w:t>
            </w:r>
          </w:p>
        </w:tc>
        <w:tc>
          <w:tcPr>
            <w:tcW w:w="1276" w:type="dxa"/>
            <w:tcBorders>
              <w:top w:val="nil"/>
              <w:left w:val="single" w:sz="4" w:space="0" w:color="000000"/>
              <w:bottom w:val="single" w:sz="4" w:space="0" w:color="000000"/>
              <w:right w:val="single" w:sz="8" w:space="0" w:color="000000"/>
            </w:tcBorders>
            <w:shd w:val="clear" w:color="auto" w:fill="auto"/>
            <w:noWrap/>
            <w:vAlign w:val="center"/>
            <w:hideMark/>
          </w:tcPr>
          <w:p w:rsidR="006E1EF7" w:rsidRPr="00AF3608" w:rsidRDefault="006E1EF7" w:rsidP="00EA3644">
            <w:pPr>
              <w:jc w:val="right"/>
              <w:rPr>
                <w:rFonts w:asciiTheme="minorHAnsi" w:hAnsiTheme="minorHAnsi" w:cstheme="minorHAnsi"/>
                <w:sz w:val="18"/>
                <w:lang w:val="ro-RO"/>
              </w:rPr>
            </w:pPr>
            <w:r w:rsidRPr="00AF3608">
              <w:rPr>
                <w:rFonts w:asciiTheme="minorHAnsi" w:hAnsiTheme="minorHAnsi" w:cstheme="minorHAnsi"/>
                <w:sz w:val="18"/>
                <w:lang w:val="ro-RO"/>
              </w:rPr>
              <w:t>853.305,0</w:t>
            </w:r>
          </w:p>
        </w:tc>
        <w:tc>
          <w:tcPr>
            <w:tcW w:w="1267" w:type="dxa"/>
            <w:tcBorders>
              <w:top w:val="nil"/>
              <w:left w:val="single" w:sz="4" w:space="0" w:color="000000"/>
              <w:bottom w:val="single" w:sz="4" w:space="0" w:color="000000"/>
              <w:right w:val="single" w:sz="8" w:space="0" w:color="000000"/>
            </w:tcBorders>
            <w:shd w:val="clear" w:color="auto" w:fill="auto"/>
            <w:noWrap/>
            <w:vAlign w:val="center"/>
            <w:hideMark/>
          </w:tcPr>
          <w:p w:rsidR="006E1EF7" w:rsidRPr="00AF3608" w:rsidRDefault="006E1EF7" w:rsidP="00EA3644">
            <w:pPr>
              <w:jc w:val="right"/>
              <w:rPr>
                <w:rFonts w:asciiTheme="minorHAnsi" w:hAnsiTheme="minorHAnsi" w:cstheme="minorHAnsi"/>
                <w:sz w:val="18"/>
                <w:lang w:val="ro-RO"/>
              </w:rPr>
            </w:pPr>
            <w:r w:rsidRPr="00AF3608">
              <w:rPr>
                <w:rFonts w:asciiTheme="minorHAnsi" w:hAnsiTheme="minorHAnsi" w:cstheme="minorHAnsi"/>
                <w:sz w:val="18"/>
                <w:lang w:val="ro-RO"/>
              </w:rPr>
              <w:t>868.259,0</w:t>
            </w:r>
          </w:p>
        </w:tc>
        <w:tc>
          <w:tcPr>
            <w:tcW w:w="1267" w:type="dxa"/>
            <w:tcBorders>
              <w:top w:val="nil"/>
              <w:left w:val="single" w:sz="4" w:space="0" w:color="000000"/>
              <w:bottom w:val="single" w:sz="4" w:space="0" w:color="000000"/>
              <w:right w:val="single" w:sz="8" w:space="0" w:color="000000"/>
            </w:tcBorders>
            <w:shd w:val="clear" w:color="auto" w:fill="auto"/>
            <w:noWrap/>
            <w:vAlign w:val="center"/>
            <w:hideMark/>
          </w:tcPr>
          <w:p w:rsidR="006E1EF7" w:rsidRPr="00AF3608" w:rsidRDefault="006E1EF7" w:rsidP="00EA3644">
            <w:pPr>
              <w:jc w:val="right"/>
              <w:rPr>
                <w:rFonts w:asciiTheme="minorHAnsi" w:hAnsiTheme="minorHAnsi" w:cstheme="minorHAnsi"/>
                <w:sz w:val="18"/>
                <w:lang w:val="ro-RO"/>
              </w:rPr>
            </w:pPr>
            <w:r w:rsidRPr="00AF3608">
              <w:rPr>
                <w:rFonts w:asciiTheme="minorHAnsi" w:hAnsiTheme="minorHAnsi" w:cstheme="minorHAnsi"/>
                <w:sz w:val="18"/>
                <w:lang w:val="ro-RO"/>
              </w:rPr>
              <w:t>935.709,0</w:t>
            </w:r>
          </w:p>
        </w:tc>
      </w:tr>
      <w:tr w:rsidR="006E1EF7" w:rsidRPr="00AF3608" w:rsidTr="00EA3644">
        <w:trPr>
          <w:gridAfter w:val="1"/>
          <w:wAfter w:w="1267" w:type="dxa"/>
          <w:trHeight w:val="345"/>
        </w:trPr>
        <w:tc>
          <w:tcPr>
            <w:tcW w:w="917" w:type="dxa"/>
            <w:tcBorders>
              <w:top w:val="nil"/>
              <w:left w:val="single" w:sz="8" w:space="0" w:color="000000"/>
              <w:bottom w:val="single" w:sz="4" w:space="0" w:color="000000"/>
              <w:right w:val="single" w:sz="4" w:space="0" w:color="000000"/>
            </w:tcBorders>
            <w:shd w:val="clear" w:color="auto" w:fill="auto"/>
            <w:noWrap/>
            <w:vAlign w:val="center"/>
            <w:hideMark/>
          </w:tcPr>
          <w:p w:rsidR="006E1EF7" w:rsidRPr="00AF3608" w:rsidRDefault="006E1EF7" w:rsidP="00EA3644">
            <w:pPr>
              <w:jc w:val="center"/>
              <w:rPr>
                <w:rFonts w:asciiTheme="minorHAnsi" w:hAnsiTheme="minorHAnsi" w:cstheme="minorHAnsi"/>
                <w:b/>
                <w:bCs/>
                <w:sz w:val="18"/>
                <w:lang w:val="ro-RO"/>
              </w:rPr>
            </w:pPr>
            <w:r w:rsidRPr="00AF3608">
              <w:rPr>
                <w:rFonts w:asciiTheme="minorHAnsi" w:hAnsiTheme="minorHAnsi" w:cstheme="minorHAnsi"/>
                <w:b/>
                <w:bCs/>
                <w:sz w:val="18"/>
                <w:lang w:val="ro-RO"/>
              </w:rPr>
              <w:t>55.03.04</w:t>
            </w:r>
          </w:p>
        </w:tc>
        <w:tc>
          <w:tcPr>
            <w:tcW w:w="4612" w:type="dxa"/>
            <w:tcBorders>
              <w:top w:val="nil"/>
              <w:left w:val="nil"/>
              <w:bottom w:val="single" w:sz="4" w:space="0" w:color="000000"/>
              <w:right w:val="single" w:sz="4" w:space="0" w:color="000000"/>
            </w:tcBorders>
            <w:shd w:val="clear" w:color="auto" w:fill="auto"/>
            <w:noWrap/>
            <w:vAlign w:val="center"/>
            <w:hideMark/>
          </w:tcPr>
          <w:p w:rsidR="006E1EF7" w:rsidRPr="00AF3608" w:rsidRDefault="006E1EF7" w:rsidP="00EA3644">
            <w:pPr>
              <w:rPr>
                <w:rFonts w:asciiTheme="minorHAnsi" w:hAnsiTheme="minorHAnsi" w:cstheme="minorHAnsi"/>
                <w:sz w:val="20"/>
                <w:lang w:val="ro-RO"/>
              </w:rPr>
            </w:pPr>
            <w:r w:rsidRPr="00AF3608">
              <w:rPr>
                <w:rFonts w:asciiTheme="minorHAnsi" w:hAnsiTheme="minorHAnsi" w:cstheme="minorHAnsi"/>
                <w:sz w:val="20"/>
                <w:lang w:val="ro-RO"/>
              </w:rPr>
              <w:t>Contributii din resursa TVA</w:t>
            </w:r>
          </w:p>
        </w:tc>
        <w:tc>
          <w:tcPr>
            <w:tcW w:w="1276" w:type="dxa"/>
            <w:tcBorders>
              <w:top w:val="nil"/>
              <w:left w:val="single" w:sz="4" w:space="0" w:color="000000"/>
              <w:bottom w:val="single" w:sz="4" w:space="0" w:color="000000"/>
              <w:right w:val="single" w:sz="8" w:space="0" w:color="000000"/>
            </w:tcBorders>
            <w:shd w:val="clear" w:color="auto" w:fill="auto"/>
            <w:noWrap/>
            <w:vAlign w:val="center"/>
            <w:hideMark/>
          </w:tcPr>
          <w:p w:rsidR="006E1EF7" w:rsidRPr="00AF3608" w:rsidRDefault="006E1EF7" w:rsidP="00EA3644">
            <w:pPr>
              <w:jc w:val="right"/>
              <w:rPr>
                <w:rFonts w:asciiTheme="minorHAnsi" w:hAnsiTheme="minorHAnsi" w:cstheme="minorHAnsi"/>
                <w:sz w:val="18"/>
                <w:lang w:val="ro-RO"/>
              </w:rPr>
            </w:pPr>
            <w:r w:rsidRPr="00AF3608">
              <w:rPr>
                <w:rFonts w:asciiTheme="minorHAnsi" w:hAnsiTheme="minorHAnsi" w:cstheme="minorHAnsi"/>
                <w:sz w:val="18"/>
                <w:lang w:val="ro-RO"/>
              </w:rPr>
              <w:t>1.274.961,0</w:t>
            </w:r>
          </w:p>
        </w:tc>
        <w:tc>
          <w:tcPr>
            <w:tcW w:w="1267" w:type="dxa"/>
            <w:tcBorders>
              <w:top w:val="nil"/>
              <w:left w:val="single" w:sz="4" w:space="0" w:color="000000"/>
              <w:bottom w:val="single" w:sz="4" w:space="0" w:color="000000"/>
              <w:right w:val="single" w:sz="8" w:space="0" w:color="000000"/>
            </w:tcBorders>
            <w:shd w:val="clear" w:color="auto" w:fill="auto"/>
            <w:noWrap/>
            <w:vAlign w:val="center"/>
            <w:hideMark/>
          </w:tcPr>
          <w:p w:rsidR="006E1EF7" w:rsidRPr="00AF3608" w:rsidRDefault="006E1EF7" w:rsidP="00EA3644">
            <w:pPr>
              <w:jc w:val="right"/>
              <w:rPr>
                <w:rFonts w:asciiTheme="minorHAnsi" w:hAnsiTheme="minorHAnsi" w:cstheme="minorHAnsi"/>
                <w:sz w:val="18"/>
                <w:lang w:val="ro-RO"/>
              </w:rPr>
            </w:pPr>
            <w:r w:rsidRPr="00AF3608">
              <w:rPr>
                <w:rFonts w:asciiTheme="minorHAnsi" w:hAnsiTheme="minorHAnsi" w:cstheme="minorHAnsi"/>
                <w:sz w:val="18"/>
                <w:lang w:val="ro-RO"/>
              </w:rPr>
              <w:t>1.247.290,0</w:t>
            </w:r>
          </w:p>
        </w:tc>
        <w:tc>
          <w:tcPr>
            <w:tcW w:w="1267" w:type="dxa"/>
            <w:tcBorders>
              <w:top w:val="nil"/>
              <w:left w:val="single" w:sz="4" w:space="0" w:color="000000"/>
              <w:bottom w:val="single" w:sz="4" w:space="0" w:color="000000"/>
              <w:right w:val="single" w:sz="8" w:space="0" w:color="000000"/>
            </w:tcBorders>
            <w:shd w:val="clear" w:color="auto" w:fill="auto"/>
            <w:noWrap/>
            <w:vAlign w:val="center"/>
            <w:hideMark/>
          </w:tcPr>
          <w:p w:rsidR="006E1EF7" w:rsidRPr="00AF3608" w:rsidRDefault="006E1EF7" w:rsidP="00EA3644">
            <w:pPr>
              <w:jc w:val="right"/>
              <w:rPr>
                <w:rFonts w:asciiTheme="minorHAnsi" w:hAnsiTheme="minorHAnsi" w:cstheme="minorHAnsi"/>
                <w:sz w:val="18"/>
                <w:lang w:val="ro-RO"/>
              </w:rPr>
            </w:pPr>
            <w:r w:rsidRPr="00AF3608">
              <w:rPr>
                <w:rFonts w:asciiTheme="minorHAnsi" w:hAnsiTheme="minorHAnsi" w:cstheme="minorHAnsi"/>
                <w:sz w:val="18"/>
                <w:lang w:val="ro-RO"/>
              </w:rPr>
              <w:t>1.296.590,0</w:t>
            </w:r>
          </w:p>
        </w:tc>
      </w:tr>
      <w:tr w:rsidR="006E1EF7" w:rsidRPr="00AF3608" w:rsidTr="00EA3644">
        <w:trPr>
          <w:gridAfter w:val="1"/>
          <w:wAfter w:w="1267" w:type="dxa"/>
          <w:trHeight w:val="315"/>
        </w:trPr>
        <w:tc>
          <w:tcPr>
            <w:tcW w:w="917" w:type="dxa"/>
            <w:tcBorders>
              <w:top w:val="nil"/>
              <w:left w:val="single" w:sz="8" w:space="0" w:color="000000"/>
              <w:bottom w:val="single" w:sz="4" w:space="0" w:color="000000"/>
              <w:right w:val="single" w:sz="4" w:space="0" w:color="000000"/>
            </w:tcBorders>
            <w:shd w:val="clear" w:color="auto" w:fill="auto"/>
            <w:noWrap/>
            <w:vAlign w:val="center"/>
            <w:hideMark/>
          </w:tcPr>
          <w:p w:rsidR="006E1EF7" w:rsidRPr="00AF3608" w:rsidRDefault="006E1EF7" w:rsidP="00EA3644">
            <w:pPr>
              <w:jc w:val="center"/>
              <w:rPr>
                <w:rFonts w:asciiTheme="minorHAnsi" w:hAnsiTheme="minorHAnsi" w:cstheme="minorHAnsi"/>
                <w:sz w:val="18"/>
                <w:lang w:val="ro-RO"/>
              </w:rPr>
            </w:pPr>
            <w:r w:rsidRPr="00AF3608">
              <w:rPr>
                <w:rFonts w:asciiTheme="minorHAnsi" w:hAnsiTheme="minorHAnsi" w:cstheme="minorHAnsi"/>
                <w:b/>
                <w:bCs/>
                <w:sz w:val="18"/>
                <w:lang w:val="ro-RO"/>
              </w:rPr>
              <w:t>55.03.05</w:t>
            </w:r>
          </w:p>
        </w:tc>
        <w:tc>
          <w:tcPr>
            <w:tcW w:w="4612" w:type="dxa"/>
            <w:tcBorders>
              <w:top w:val="nil"/>
              <w:left w:val="nil"/>
              <w:bottom w:val="single" w:sz="4" w:space="0" w:color="000000"/>
              <w:right w:val="single" w:sz="4" w:space="0" w:color="000000"/>
            </w:tcBorders>
            <w:shd w:val="clear" w:color="auto" w:fill="auto"/>
            <w:vAlign w:val="center"/>
            <w:hideMark/>
          </w:tcPr>
          <w:p w:rsidR="006E1EF7" w:rsidRPr="00AF3608" w:rsidRDefault="006E1EF7" w:rsidP="00EA3644">
            <w:pPr>
              <w:rPr>
                <w:rFonts w:asciiTheme="minorHAnsi" w:hAnsiTheme="minorHAnsi" w:cstheme="minorHAnsi"/>
                <w:b/>
                <w:bCs/>
                <w:i/>
                <w:iCs/>
                <w:sz w:val="20"/>
                <w:lang w:val="ro-RO"/>
              </w:rPr>
            </w:pPr>
            <w:r w:rsidRPr="00AF3608">
              <w:rPr>
                <w:rFonts w:asciiTheme="minorHAnsi" w:hAnsiTheme="minorHAnsi" w:cstheme="minorHAnsi"/>
                <w:sz w:val="20"/>
                <w:lang w:val="ro-RO"/>
              </w:rPr>
              <w:t>Contribuţii pentru corectia/rabatul acordat Marii Britanii</w:t>
            </w:r>
          </w:p>
        </w:tc>
        <w:tc>
          <w:tcPr>
            <w:tcW w:w="1276" w:type="dxa"/>
            <w:tcBorders>
              <w:top w:val="nil"/>
              <w:left w:val="single" w:sz="4" w:space="0" w:color="000000"/>
              <w:bottom w:val="single" w:sz="4" w:space="0" w:color="000000"/>
              <w:right w:val="single" w:sz="8" w:space="0" w:color="000000"/>
            </w:tcBorders>
            <w:shd w:val="clear" w:color="auto" w:fill="auto"/>
            <w:noWrap/>
            <w:vAlign w:val="center"/>
            <w:hideMark/>
          </w:tcPr>
          <w:p w:rsidR="006E1EF7" w:rsidRPr="00AF3608" w:rsidRDefault="006E1EF7" w:rsidP="00EA3644">
            <w:pPr>
              <w:jc w:val="right"/>
              <w:rPr>
                <w:rFonts w:asciiTheme="minorHAnsi" w:hAnsiTheme="minorHAnsi" w:cstheme="minorHAnsi"/>
                <w:b/>
                <w:bCs/>
                <w:i/>
                <w:iCs/>
                <w:sz w:val="18"/>
                <w:lang w:val="ro-RO"/>
              </w:rPr>
            </w:pPr>
            <w:r w:rsidRPr="00AF3608">
              <w:rPr>
                <w:rFonts w:asciiTheme="minorHAnsi" w:hAnsiTheme="minorHAnsi" w:cstheme="minorHAnsi"/>
                <w:sz w:val="18"/>
                <w:lang w:val="ro-RO"/>
              </w:rPr>
              <w:t>0,0</w:t>
            </w:r>
          </w:p>
        </w:tc>
        <w:tc>
          <w:tcPr>
            <w:tcW w:w="1267" w:type="dxa"/>
            <w:tcBorders>
              <w:top w:val="nil"/>
              <w:left w:val="single" w:sz="4" w:space="0" w:color="000000"/>
              <w:bottom w:val="single" w:sz="4" w:space="0" w:color="000000"/>
              <w:right w:val="single" w:sz="8" w:space="0" w:color="000000"/>
            </w:tcBorders>
            <w:shd w:val="clear" w:color="auto" w:fill="auto"/>
            <w:noWrap/>
            <w:vAlign w:val="center"/>
            <w:hideMark/>
          </w:tcPr>
          <w:p w:rsidR="006E1EF7" w:rsidRPr="00AF3608" w:rsidRDefault="006E1EF7" w:rsidP="00EA3644">
            <w:pPr>
              <w:jc w:val="right"/>
              <w:rPr>
                <w:rFonts w:asciiTheme="minorHAnsi" w:hAnsiTheme="minorHAnsi" w:cstheme="minorHAnsi"/>
                <w:b/>
                <w:bCs/>
                <w:i/>
                <w:iCs/>
                <w:sz w:val="18"/>
                <w:lang w:val="ro-RO"/>
              </w:rPr>
            </w:pPr>
            <w:r w:rsidRPr="00AF3608">
              <w:rPr>
                <w:rFonts w:asciiTheme="minorHAnsi" w:hAnsiTheme="minorHAnsi" w:cstheme="minorHAnsi"/>
                <w:sz w:val="18"/>
                <w:lang w:val="ro-RO"/>
              </w:rPr>
              <w:t>0,0</w:t>
            </w:r>
          </w:p>
        </w:tc>
        <w:tc>
          <w:tcPr>
            <w:tcW w:w="1267" w:type="dxa"/>
            <w:tcBorders>
              <w:top w:val="nil"/>
              <w:left w:val="single" w:sz="4" w:space="0" w:color="000000"/>
              <w:bottom w:val="single" w:sz="4" w:space="0" w:color="000000"/>
              <w:right w:val="single" w:sz="8" w:space="0" w:color="000000"/>
            </w:tcBorders>
            <w:shd w:val="clear" w:color="auto" w:fill="auto"/>
            <w:noWrap/>
            <w:vAlign w:val="center"/>
            <w:hideMark/>
          </w:tcPr>
          <w:p w:rsidR="006E1EF7" w:rsidRPr="00AF3608" w:rsidRDefault="006E1EF7" w:rsidP="00EA3644">
            <w:pPr>
              <w:jc w:val="right"/>
              <w:rPr>
                <w:rFonts w:asciiTheme="minorHAnsi" w:hAnsiTheme="minorHAnsi" w:cstheme="minorHAnsi"/>
                <w:b/>
                <w:bCs/>
                <w:i/>
                <w:iCs/>
                <w:sz w:val="18"/>
                <w:lang w:val="ro-RO"/>
              </w:rPr>
            </w:pPr>
            <w:r w:rsidRPr="00AF3608">
              <w:rPr>
                <w:rFonts w:asciiTheme="minorHAnsi" w:hAnsiTheme="minorHAnsi" w:cstheme="minorHAnsi"/>
                <w:sz w:val="18"/>
                <w:lang w:val="ro-RO"/>
              </w:rPr>
              <w:t>0,0</w:t>
            </w:r>
          </w:p>
        </w:tc>
      </w:tr>
      <w:tr w:rsidR="006E1EF7" w:rsidRPr="00AF3608" w:rsidTr="00EA3644">
        <w:trPr>
          <w:gridAfter w:val="1"/>
          <w:wAfter w:w="1267" w:type="dxa"/>
          <w:trHeight w:val="315"/>
        </w:trPr>
        <w:tc>
          <w:tcPr>
            <w:tcW w:w="917" w:type="dxa"/>
            <w:tcBorders>
              <w:top w:val="nil"/>
              <w:left w:val="single" w:sz="8" w:space="0" w:color="000000"/>
              <w:bottom w:val="single" w:sz="4" w:space="0" w:color="000000"/>
              <w:right w:val="single" w:sz="4" w:space="0" w:color="000000"/>
            </w:tcBorders>
            <w:shd w:val="clear" w:color="auto" w:fill="auto"/>
            <w:noWrap/>
            <w:vAlign w:val="center"/>
            <w:hideMark/>
          </w:tcPr>
          <w:p w:rsidR="006E1EF7" w:rsidRPr="00AF3608" w:rsidRDefault="006E1EF7" w:rsidP="00EA3644">
            <w:pPr>
              <w:jc w:val="center"/>
              <w:rPr>
                <w:rFonts w:asciiTheme="minorHAnsi" w:hAnsiTheme="minorHAnsi" w:cstheme="minorHAnsi"/>
                <w:b/>
                <w:bCs/>
                <w:sz w:val="18"/>
                <w:lang w:val="ro-RO"/>
              </w:rPr>
            </w:pPr>
            <w:r w:rsidRPr="00AF3608">
              <w:rPr>
                <w:rFonts w:asciiTheme="minorHAnsi" w:hAnsiTheme="minorHAnsi" w:cstheme="minorHAnsi"/>
                <w:b/>
                <w:bCs/>
                <w:sz w:val="18"/>
                <w:lang w:val="ro-RO"/>
              </w:rPr>
              <w:t>55.03.06</w:t>
            </w:r>
          </w:p>
        </w:tc>
        <w:tc>
          <w:tcPr>
            <w:tcW w:w="4612" w:type="dxa"/>
            <w:tcBorders>
              <w:top w:val="nil"/>
              <w:left w:val="nil"/>
              <w:bottom w:val="single" w:sz="4" w:space="0" w:color="000000"/>
              <w:right w:val="single" w:sz="4" w:space="0" w:color="000000"/>
            </w:tcBorders>
            <w:shd w:val="clear" w:color="auto" w:fill="auto"/>
            <w:noWrap/>
            <w:vAlign w:val="center"/>
            <w:hideMark/>
          </w:tcPr>
          <w:p w:rsidR="006E1EF7" w:rsidRPr="00AF3608" w:rsidRDefault="006E1EF7" w:rsidP="00EA3644">
            <w:pPr>
              <w:rPr>
                <w:rFonts w:asciiTheme="minorHAnsi" w:hAnsiTheme="minorHAnsi" w:cstheme="minorHAnsi"/>
                <w:sz w:val="20"/>
                <w:lang w:val="ro-RO"/>
              </w:rPr>
            </w:pPr>
            <w:r w:rsidRPr="00AF3608">
              <w:rPr>
                <w:rFonts w:asciiTheme="minorHAnsi" w:hAnsiTheme="minorHAnsi" w:cstheme="minorHAnsi"/>
                <w:i/>
                <w:iCs/>
                <w:sz w:val="20"/>
                <w:lang w:val="ro-RO"/>
              </w:rPr>
              <w:t xml:space="preserve">Contributii din resursa VNB </w:t>
            </w:r>
          </w:p>
        </w:tc>
        <w:tc>
          <w:tcPr>
            <w:tcW w:w="1276" w:type="dxa"/>
            <w:tcBorders>
              <w:top w:val="nil"/>
              <w:left w:val="single" w:sz="4" w:space="0" w:color="000000"/>
              <w:bottom w:val="single" w:sz="4" w:space="0" w:color="000000"/>
              <w:right w:val="single" w:sz="8" w:space="0" w:color="000000"/>
            </w:tcBorders>
            <w:shd w:val="clear" w:color="auto" w:fill="auto"/>
            <w:noWrap/>
            <w:vAlign w:val="center"/>
            <w:hideMark/>
          </w:tcPr>
          <w:p w:rsidR="006E1EF7" w:rsidRPr="00AF3608" w:rsidRDefault="006E1EF7" w:rsidP="00EA3644">
            <w:pPr>
              <w:jc w:val="right"/>
              <w:rPr>
                <w:rFonts w:asciiTheme="minorHAnsi" w:hAnsiTheme="minorHAnsi" w:cstheme="minorHAnsi"/>
                <w:sz w:val="18"/>
                <w:lang w:val="ro-RO"/>
              </w:rPr>
            </w:pPr>
            <w:r w:rsidRPr="00AF3608">
              <w:rPr>
                <w:rFonts w:asciiTheme="minorHAnsi" w:hAnsiTheme="minorHAnsi" w:cstheme="minorHAnsi"/>
                <w:i/>
                <w:iCs/>
                <w:sz w:val="18"/>
                <w:lang w:val="ro-RO"/>
              </w:rPr>
              <w:t>10.324.441,0</w:t>
            </w:r>
          </w:p>
        </w:tc>
        <w:tc>
          <w:tcPr>
            <w:tcW w:w="1267" w:type="dxa"/>
            <w:tcBorders>
              <w:top w:val="nil"/>
              <w:left w:val="single" w:sz="4" w:space="0" w:color="000000"/>
              <w:bottom w:val="single" w:sz="4" w:space="0" w:color="000000"/>
              <w:right w:val="single" w:sz="8" w:space="0" w:color="000000"/>
            </w:tcBorders>
            <w:shd w:val="clear" w:color="auto" w:fill="auto"/>
            <w:noWrap/>
            <w:vAlign w:val="center"/>
            <w:hideMark/>
          </w:tcPr>
          <w:p w:rsidR="006E1EF7" w:rsidRPr="00AF3608" w:rsidRDefault="006E1EF7" w:rsidP="00EA3644">
            <w:pPr>
              <w:jc w:val="right"/>
              <w:rPr>
                <w:rFonts w:asciiTheme="minorHAnsi" w:hAnsiTheme="minorHAnsi" w:cstheme="minorHAnsi"/>
                <w:sz w:val="18"/>
                <w:lang w:val="ro-RO"/>
              </w:rPr>
            </w:pPr>
            <w:r w:rsidRPr="00AF3608">
              <w:rPr>
                <w:rFonts w:asciiTheme="minorHAnsi" w:hAnsiTheme="minorHAnsi" w:cstheme="minorHAnsi"/>
                <w:i/>
                <w:iCs/>
                <w:sz w:val="18"/>
                <w:lang w:val="ro-RO"/>
              </w:rPr>
              <w:t>9.703.191,0</w:t>
            </w:r>
          </w:p>
        </w:tc>
        <w:tc>
          <w:tcPr>
            <w:tcW w:w="1267" w:type="dxa"/>
            <w:tcBorders>
              <w:top w:val="nil"/>
              <w:left w:val="single" w:sz="4" w:space="0" w:color="000000"/>
              <w:bottom w:val="single" w:sz="4" w:space="0" w:color="000000"/>
              <w:right w:val="single" w:sz="8" w:space="0" w:color="000000"/>
            </w:tcBorders>
            <w:shd w:val="clear" w:color="auto" w:fill="auto"/>
            <w:noWrap/>
            <w:vAlign w:val="center"/>
            <w:hideMark/>
          </w:tcPr>
          <w:p w:rsidR="006E1EF7" w:rsidRPr="00AF3608" w:rsidRDefault="006E1EF7" w:rsidP="00EA3644">
            <w:pPr>
              <w:jc w:val="right"/>
              <w:rPr>
                <w:rFonts w:asciiTheme="minorHAnsi" w:hAnsiTheme="minorHAnsi" w:cstheme="minorHAnsi"/>
                <w:sz w:val="18"/>
                <w:lang w:val="ro-RO"/>
              </w:rPr>
            </w:pPr>
            <w:r w:rsidRPr="00AF3608">
              <w:rPr>
                <w:rFonts w:asciiTheme="minorHAnsi" w:hAnsiTheme="minorHAnsi" w:cstheme="minorHAnsi"/>
                <w:i/>
                <w:iCs/>
                <w:sz w:val="18"/>
                <w:lang w:val="ro-RO"/>
              </w:rPr>
              <w:t>9.982.962,0</w:t>
            </w:r>
          </w:p>
        </w:tc>
      </w:tr>
      <w:tr w:rsidR="006E1EF7" w:rsidRPr="00AF3608" w:rsidTr="00EA3644">
        <w:trPr>
          <w:gridAfter w:val="1"/>
          <w:wAfter w:w="1267" w:type="dxa"/>
          <w:trHeight w:val="315"/>
        </w:trPr>
        <w:tc>
          <w:tcPr>
            <w:tcW w:w="917" w:type="dxa"/>
            <w:tcBorders>
              <w:top w:val="nil"/>
              <w:left w:val="single" w:sz="8" w:space="0" w:color="000000"/>
              <w:bottom w:val="single" w:sz="4" w:space="0" w:color="000000"/>
              <w:right w:val="single" w:sz="4" w:space="0" w:color="000000"/>
            </w:tcBorders>
            <w:shd w:val="clear" w:color="auto" w:fill="auto"/>
            <w:noWrap/>
            <w:vAlign w:val="center"/>
          </w:tcPr>
          <w:p w:rsidR="006E1EF7" w:rsidRPr="00AF3608" w:rsidRDefault="006E1EF7" w:rsidP="00EA3644">
            <w:pPr>
              <w:jc w:val="center"/>
              <w:rPr>
                <w:rFonts w:asciiTheme="minorHAnsi" w:hAnsiTheme="minorHAnsi" w:cstheme="minorHAnsi"/>
                <w:b/>
                <w:bCs/>
                <w:sz w:val="18"/>
                <w:lang w:val="ro-RO"/>
              </w:rPr>
            </w:pPr>
            <w:r w:rsidRPr="00AF3608">
              <w:rPr>
                <w:rFonts w:asciiTheme="minorHAnsi" w:hAnsiTheme="minorHAnsi" w:cstheme="minorHAnsi"/>
                <w:b/>
                <w:bCs/>
                <w:sz w:val="18"/>
                <w:lang w:val="ro-RO"/>
              </w:rPr>
              <w:t>55.03.07</w:t>
            </w:r>
          </w:p>
        </w:tc>
        <w:tc>
          <w:tcPr>
            <w:tcW w:w="4612" w:type="dxa"/>
            <w:tcBorders>
              <w:top w:val="nil"/>
              <w:left w:val="nil"/>
              <w:bottom w:val="single" w:sz="4" w:space="0" w:color="000000"/>
              <w:right w:val="single" w:sz="4" w:space="0" w:color="000000"/>
            </w:tcBorders>
            <w:shd w:val="clear" w:color="auto" w:fill="auto"/>
            <w:noWrap/>
            <w:vAlign w:val="center"/>
          </w:tcPr>
          <w:p w:rsidR="006E1EF7" w:rsidRPr="00AF3608" w:rsidRDefault="006E1EF7" w:rsidP="00EA3644">
            <w:pPr>
              <w:rPr>
                <w:rFonts w:asciiTheme="minorHAnsi" w:hAnsiTheme="minorHAnsi" w:cstheme="minorHAnsi"/>
                <w:i/>
                <w:iCs/>
                <w:sz w:val="20"/>
                <w:lang w:val="ro-RO"/>
              </w:rPr>
            </w:pPr>
            <w:r w:rsidRPr="00AF3608">
              <w:rPr>
                <w:rFonts w:asciiTheme="minorHAnsi" w:hAnsiTheme="minorHAnsi" w:cstheme="minorHAnsi"/>
                <w:sz w:val="20"/>
                <w:lang w:val="ro-RO"/>
              </w:rPr>
              <w:t>Contributii suplimentare si neprevazute</w:t>
            </w:r>
          </w:p>
        </w:tc>
        <w:tc>
          <w:tcPr>
            <w:tcW w:w="1276" w:type="dxa"/>
            <w:tcBorders>
              <w:top w:val="nil"/>
              <w:left w:val="single" w:sz="4" w:space="0" w:color="000000"/>
              <w:bottom w:val="single" w:sz="4" w:space="0" w:color="000000"/>
              <w:right w:val="single" w:sz="8" w:space="0" w:color="000000"/>
            </w:tcBorders>
            <w:shd w:val="clear" w:color="auto" w:fill="auto"/>
            <w:noWrap/>
            <w:vAlign w:val="center"/>
          </w:tcPr>
          <w:p w:rsidR="006E1EF7" w:rsidRPr="00AF3608" w:rsidRDefault="006E1EF7" w:rsidP="00EA3644">
            <w:pPr>
              <w:jc w:val="right"/>
              <w:rPr>
                <w:rFonts w:asciiTheme="minorHAnsi" w:hAnsiTheme="minorHAnsi" w:cstheme="minorHAnsi"/>
                <w:i/>
                <w:iCs/>
                <w:sz w:val="18"/>
                <w:lang w:val="ro-RO"/>
              </w:rPr>
            </w:pPr>
            <w:r w:rsidRPr="00AF3608">
              <w:rPr>
                <w:rFonts w:asciiTheme="minorHAnsi" w:hAnsiTheme="minorHAnsi" w:cstheme="minorHAnsi"/>
                <w:i/>
                <w:iCs/>
                <w:sz w:val="18"/>
                <w:lang w:val="ro-RO"/>
              </w:rPr>
              <w:t>1.355.557,0</w:t>
            </w:r>
          </w:p>
        </w:tc>
        <w:tc>
          <w:tcPr>
            <w:tcW w:w="1267" w:type="dxa"/>
            <w:tcBorders>
              <w:top w:val="nil"/>
              <w:left w:val="single" w:sz="4" w:space="0" w:color="000000"/>
              <w:bottom w:val="single" w:sz="4" w:space="0" w:color="000000"/>
              <w:right w:val="single" w:sz="8" w:space="0" w:color="000000"/>
            </w:tcBorders>
            <w:shd w:val="clear" w:color="auto" w:fill="auto"/>
            <w:noWrap/>
            <w:vAlign w:val="center"/>
          </w:tcPr>
          <w:p w:rsidR="006E1EF7" w:rsidRPr="00AF3608" w:rsidRDefault="006E1EF7" w:rsidP="00EA3644">
            <w:pPr>
              <w:jc w:val="right"/>
              <w:rPr>
                <w:rFonts w:asciiTheme="minorHAnsi" w:hAnsiTheme="minorHAnsi" w:cstheme="minorHAnsi"/>
                <w:i/>
                <w:iCs/>
                <w:sz w:val="18"/>
                <w:lang w:val="ro-RO"/>
              </w:rPr>
            </w:pPr>
            <w:r w:rsidRPr="00AF3608">
              <w:rPr>
                <w:rFonts w:asciiTheme="minorHAnsi" w:hAnsiTheme="minorHAnsi" w:cstheme="minorHAnsi"/>
                <w:i/>
                <w:iCs/>
                <w:sz w:val="18"/>
                <w:lang w:val="ro-RO"/>
              </w:rPr>
              <w:t>458.490,0</w:t>
            </w:r>
          </w:p>
        </w:tc>
        <w:tc>
          <w:tcPr>
            <w:tcW w:w="1267" w:type="dxa"/>
            <w:tcBorders>
              <w:top w:val="nil"/>
              <w:left w:val="single" w:sz="4" w:space="0" w:color="000000"/>
              <w:bottom w:val="single" w:sz="4" w:space="0" w:color="000000"/>
              <w:right w:val="single" w:sz="8" w:space="0" w:color="000000"/>
            </w:tcBorders>
            <w:shd w:val="clear" w:color="auto" w:fill="auto"/>
            <w:noWrap/>
            <w:vAlign w:val="center"/>
          </w:tcPr>
          <w:p w:rsidR="006E1EF7" w:rsidRPr="00AF3608" w:rsidRDefault="006E1EF7" w:rsidP="00EA3644">
            <w:pPr>
              <w:jc w:val="right"/>
              <w:rPr>
                <w:rFonts w:asciiTheme="minorHAnsi" w:hAnsiTheme="minorHAnsi" w:cstheme="minorHAnsi"/>
                <w:i/>
                <w:iCs/>
                <w:sz w:val="18"/>
                <w:lang w:val="ro-RO"/>
              </w:rPr>
            </w:pPr>
            <w:r w:rsidRPr="00AF3608">
              <w:rPr>
                <w:rFonts w:asciiTheme="minorHAnsi" w:hAnsiTheme="minorHAnsi" w:cstheme="minorHAnsi"/>
                <w:i/>
                <w:iCs/>
                <w:sz w:val="18"/>
                <w:lang w:val="ro-RO"/>
              </w:rPr>
              <w:t>453.560,0</w:t>
            </w:r>
          </w:p>
        </w:tc>
      </w:tr>
      <w:tr w:rsidR="006E1EF7" w:rsidRPr="00AF3608" w:rsidTr="00EA3644">
        <w:trPr>
          <w:gridAfter w:val="1"/>
          <w:wAfter w:w="1267" w:type="dxa"/>
          <w:trHeight w:val="401"/>
        </w:trPr>
        <w:tc>
          <w:tcPr>
            <w:tcW w:w="917" w:type="dxa"/>
            <w:tcBorders>
              <w:top w:val="nil"/>
              <w:left w:val="single" w:sz="8" w:space="0" w:color="000000"/>
              <w:bottom w:val="nil"/>
              <w:right w:val="single" w:sz="4" w:space="0" w:color="000000"/>
            </w:tcBorders>
            <w:shd w:val="clear" w:color="auto" w:fill="auto"/>
            <w:noWrap/>
            <w:vAlign w:val="center"/>
            <w:hideMark/>
          </w:tcPr>
          <w:p w:rsidR="006E1EF7" w:rsidRPr="00AF3608" w:rsidRDefault="006E1EF7" w:rsidP="00EA3644">
            <w:pPr>
              <w:jc w:val="center"/>
              <w:rPr>
                <w:rFonts w:asciiTheme="minorHAnsi" w:hAnsiTheme="minorHAnsi" w:cstheme="minorHAnsi"/>
                <w:b/>
                <w:bCs/>
                <w:sz w:val="18"/>
                <w:lang w:val="ro-RO"/>
              </w:rPr>
            </w:pPr>
            <w:r w:rsidRPr="00AF3608">
              <w:rPr>
                <w:rFonts w:asciiTheme="minorHAnsi" w:hAnsiTheme="minorHAnsi" w:cstheme="minorHAnsi"/>
                <w:b/>
                <w:bCs/>
                <w:sz w:val="18"/>
                <w:lang w:val="ro-RO"/>
              </w:rPr>
              <w:t>55.03.10</w:t>
            </w:r>
          </w:p>
        </w:tc>
        <w:tc>
          <w:tcPr>
            <w:tcW w:w="4612" w:type="dxa"/>
            <w:tcBorders>
              <w:top w:val="nil"/>
              <w:left w:val="nil"/>
              <w:bottom w:val="single" w:sz="4" w:space="0" w:color="000000"/>
              <w:right w:val="single" w:sz="4" w:space="0" w:color="000000"/>
            </w:tcBorders>
            <w:shd w:val="clear" w:color="auto" w:fill="auto"/>
            <w:vAlign w:val="center"/>
            <w:hideMark/>
          </w:tcPr>
          <w:p w:rsidR="006E1EF7" w:rsidRPr="00AF3608" w:rsidRDefault="006E1EF7" w:rsidP="00EA3644">
            <w:pPr>
              <w:rPr>
                <w:rFonts w:asciiTheme="minorHAnsi" w:hAnsiTheme="minorHAnsi" w:cstheme="minorHAnsi"/>
                <w:sz w:val="20"/>
                <w:lang w:val="ro-RO"/>
              </w:rPr>
            </w:pPr>
            <w:r w:rsidRPr="00AF3608">
              <w:rPr>
                <w:rFonts w:asciiTheme="minorHAnsi" w:hAnsiTheme="minorHAnsi" w:cstheme="minorHAnsi"/>
                <w:sz w:val="20"/>
                <w:lang w:val="ro-RO"/>
              </w:rPr>
              <w:t>Contributii pentru reducerile în favoarea Danemarca, Austria, Ţărilor de Jos şi Suediei</w:t>
            </w:r>
          </w:p>
        </w:tc>
        <w:tc>
          <w:tcPr>
            <w:tcW w:w="1276" w:type="dxa"/>
            <w:tcBorders>
              <w:top w:val="nil"/>
              <w:left w:val="single" w:sz="4" w:space="0" w:color="000000"/>
              <w:bottom w:val="single" w:sz="4" w:space="0" w:color="000000"/>
              <w:right w:val="single" w:sz="8" w:space="0" w:color="000000"/>
            </w:tcBorders>
            <w:shd w:val="clear" w:color="auto" w:fill="auto"/>
            <w:noWrap/>
            <w:vAlign w:val="center"/>
            <w:hideMark/>
          </w:tcPr>
          <w:p w:rsidR="006E1EF7" w:rsidRPr="00AF3608" w:rsidRDefault="006E1EF7" w:rsidP="00EA3644">
            <w:pPr>
              <w:jc w:val="right"/>
              <w:rPr>
                <w:rFonts w:asciiTheme="minorHAnsi" w:hAnsiTheme="minorHAnsi" w:cstheme="minorHAnsi"/>
                <w:sz w:val="18"/>
                <w:lang w:val="ro-RO"/>
              </w:rPr>
            </w:pPr>
            <w:r w:rsidRPr="00AF3608">
              <w:rPr>
                <w:rFonts w:asciiTheme="minorHAnsi" w:hAnsiTheme="minorHAnsi" w:cstheme="minorHAnsi"/>
                <w:sz w:val="18"/>
                <w:lang w:val="ro-RO"/>
              </w:rPr>
              <w:t>588.628,0</w:t>
            </w:r>
          </w:p>
        </w:tc>
        <w:tc>
          <w:tcPr>
            <w:tcW w:w="1267" w:type="dxa"/>
            <w:tcBorders>
              <w:top w:val="nil"/>
              <w:left w:val="single" w:sz="4" w:space="0" w:color="000000"/>
              <w:bottom w:val="single" w:sz="4" w:space="0" w:color="000000"/>
              <w:right w:val="single" w:sz="8" w:space="0" w:color="000000"/>
            </w:tcBorders>
            <w:shd w:val="clear" w:color="auto" w:fill="auto"/>
            <w:noWrap/>
            <w:vAlign w:val="center"/>
            <w:hideMark/>
          </w:tcPr>
          <w:p w:rsidR="006E1EF7" w:rsidRPr="00AF3608" w:rsidRDefault="006E1EF7" w:rsidP="00EA3644">
            <w:pPr>
              <w:jc w:val="right"/>
              <w:rPr>
                <w:rFonts w:asciiTheme="minorHAnsi" w:hAnsiTheme="minorHAnsi" w:cstheme="minorHAnsi"/>
                <w:sz w:val="18"/>
                <w:lang w:val="ro-RO"/>
              </w:rPr>
            </w:pPr>
            <w:r w:rsidRPr="00AF3608">
              <w:rPr>
                <w:rFonts w:asciiTheme="minorHAnsi" w:hAnsiTheme="minorHAnsi" w:cstheme="minorHAnsi"/>
                <w:sz w:val="18"/>
                <w:lang w:val="ro-RO"/>
              </w:rPr>
              <w:t>616.074,0</w:t>
            </w:r>
          </w:p>
        </w:tc>
        <w:tc>
          <w:tcPr>
            <w:tcW w:w="1267" w:type="dxa"/>
            <w:tcBorders>
              <w:top w:val="nil"/>
              <w:left w:val="single" w:sz="4" w:space="0" w:color="000000"/>
              <w:bottom w:val="single" w:sz="4" w:space="0" w:color="000000"/>
              <w:right w:val="single" w:sz="8" w:space="0" w:color="000000"/>
            </w:tcBorders>
            <w:shd w:val="clear" w:color="auto" w:fill="auto"/>
            <w:noWrap/>
            <w:vAlign w:val="center"/>
            <w:hideMark/>
          </w:tcPr>
          <w:p w:rsidR="006E1EF7" w:rsidRPr="00AF3608" w:rsidRDefault="006E1EF7" w:rsidP="00EA3644">
            <w:pPr>
              <w:jc w:val="right"/>
              <w:rPr>
                <w:rFonts w:asciiTheme="minorHAnsi" w:hAnsiTheme="minorHAnsi" w:cstheme="minorHAnsi"/>
                <w:sz w:val="18"/>
                <w:lang w:val="ro-RO"/>
              </w:rPr>
            </w:pPr>
            <w:r w:rsidRPr="00AF3608">
              <w:rPr>
                <w:rFonts w:asciiTheme="minorHAnsi" w:hAnsiTheme="minorHAnsi" w:cstheme="minorHAnsi"/>
                <w:sz w:val="18"/>
                <w:lang w:val="ro-RO"/>
              </w:rPr>
              <w:t>639.227,0</w:t>
            </w:r>
          </w:p>
        </w:tc>
      </w:tr>
      <w:tr w:rsidR="006E1EF7" w:rsidRPr="00AF3608" w:rsidTr="00EA3644">
        <w:trPr>
          <w:gridAfter w:val="1"/>
          <w:wAfter w:w="1267" w:type="dxa"/>
          <w:trHeight w:val="600"/>
        </w:trPr>
        <w:tc>
          <w:tcPr>
            <w:tcW w:w="917"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6E1EF7" w:rsidRPr="00AF3608" w:rsidRDefault="006E1EF7" w:rsidP="00EA3644">
            <w:pPr>
              <w:jc w:val="center"/>
              <w:rPr>
                <w:rFonts w:asciiTheme="minorHAnsi" w:hAnsiTheme="minorHAnsi" w:cstheme="minorHAnsi"/>
                <w:b/>
                <w:bCs/>
                <w:sz w:val="18"/>
                <w:lang w:val="ro-RO"/>
              </w:rPr>
            </w:pPr>
            <w:r w:rsidRPr="00AF3608">
              <w:rPr>
                <w:rFonts w:asciiTheme="minorHAnsi" w:hAnsiTheme="minorHAnsi" w:cstheme="minorHAnsi"/>
                <w:b/>
                <w:bCs/>
                <w:sz w:val="18"/>
                <w:lang w:val="ro-RO"/>
              </w:rPr>
              <w:t>55.03</w:t>
            </w:r>
          </w:p>
        </w:tc>
        <w:tc>
          <w:tcPr>
            <w:tcW w:w="4612" w:type="dxa"/>
            <w:tcBorders>
              <w:top w:val="nil"/>
              <w:left w:val="nil"/>
              <w:bottom w:val="single" w:sz="8" w:space="0" w:color="000000"/>
              <w:right w:val="single" w:sz="4" w:space="0" w:color="000000"/>
            </w:tcBorders>
            <w:shd w:val="clear" w:color="auto" w:fill="auto"/>
            <w:vAlign w:val="center"/>
            <w:hideMark/>
          </w:tcPr>
          <w:p w:rsidR="006E1EF7" w:rsidRPr="00AF3608" w:rsidRDefault="006E1EF7" w:rsidP="00EA3644">
            <w:pPr>
              <w:rPr>
                <w:rFonts w:asciiTheme="minorHAnsi" w:hAnsiTheme="minorHAnsi" w:cstheme="minorHAnsi"/>
                <w:sz w:val="20"/>
                <w:lang w:val="ro-RO"/>
              </w:rPr>
            </w:pPr>
            <w:r w:rsidRPr="00AF3608">
              <w:rPr>
                <w:rFonts w:asciiTheme="minorHAnsi" w:hAnsiTheme="minorHAnsi" w:cstheme="minorHAnsi"/>
                <w:b/>
                <w:bCs/>
                <w:i/>
                <w:iCs/>
                <w:sz w:val="20"/>
                <w:lang w:val="ro-RO"/>
              </w:rPr>
              <w:t>Contributia României la bugetul UE</w:t>
            </w:r>
          </w:p>
        </w:tc>
        <w:tc>
          <w:tcPr>
            <w:tcW w:w="1276" w:type="dxa"/>
            <w:tcBorders>
              <w:top w:val="nil"/>
              <w:left w:val="single" w:sz="4" w:space="0" w:color="000000"/>
              <w:bottom w:val="single" w:sz="8" w:space="0" w:color="000000"/>
              <w:right w:val="single" w:sz="8" w:space="0" w:color="000000"/>
            </w:tcBorders>
            <w:shd w:val="clear" w:color="auto" w:fill="auto"/>
            <w:noWrap/>
            <w:vAlign w:val="center"/>
            <w:hideMark/>
          </w:tcPr>
          <w:p w:rsidR="006E1EF7" w:rsidRPr="00AF3608" w:rsidRDefault="006E1EF7" w:rsidP="00EA3644">
            <w:pPr>
              <w:jc w:val="right"/>
              <w:rPr>
                <w:rFonts w:asciiTheme="minorHAnsi" w:hAnsiTheme="minorHAnsi" w:cstheme="minorHAnsi"/>
                <w:sz w:val="18"/>
                <w:lang w:val="ro-RO"/>
              </w:rPr>
            </w:pPr>
            <w:r w:rsidRPr="00AF3608">
              <w:rPr>
                <w:rFonts w:asciiTheme="minorHAnsi" w:hAnsiTheme="minorHAnsi" w:cstheme="minorHAnsi"/>
                <w:b/>
                <w:bCs/>
                <w:i/>
                <w:iCs/>
                <w:sz w:val="18"/>
                <w:lang w:val="ro-RO"/>
              </w:rPr>
              <w:t>14.396.892,0</w:t>
            </w:r>
          </w:p>
        </w:tc>
        <w:tc>
          <w:tcPr>
            <w:tcW w:w="1267" w:type="dxa"/>
            <w:tcBorders>
              <w:top w:val="nil"/>
              <w:left w:val="single" w:sz="4" w:space="0" w:color="000000"/>
              <w:bottom w:val="single" w:sz="8" w:space="0" w:color="000000"/>
              <w:right w:val="single" w:sz="8" w:space="0" w:color="000000"/>
            </w:tcBorders>
            <w:shd w:val="clear" w:color="auto" w:fill="auto"/>
            <w:noWrap/>
            <w:vAlign w:val="center"/>
            <w:hideMark/>
          </w:tcPr>
          <w:p w:rsidR="006E1EF7" w:rsidRPr="00AF3608" w:rsidRDefault="006E1EF7" w:rsidP="00EA3644">
            <w:pPr>
              <w:jc w:val="right"/>
              <w:rPr>
                <w:rFonts w:asciiTheme="minorHAnsi" w:hAnsiTheme="minorHAnsi" w:cstheme="minorHAnsi"/>
                <w:sz w:val="18"/>
                <w:lang w:val="ro-RO"/>
              </w:rPr>
            </w:pPr>
            <w:r w:rsidRPr="00AF3608">
              <w:rPr>
                <w:rFonts w:asciiTheme="minorHAnsi" w:hAnsiTheme="minorHAnsi" w:cstheme="minorHAnsi"/>
                <w:b/>
                <w:bCs/>
                <w:i/>
                <w:iCs/>
                <w:sz w:val="18"/>
                <w:lang w:val="ro-RO"/>
              </w:rPr>
              <w:t>12.893.304,0</w:t>
            </w:r>
          </w:p>
        </w:tc>
        <w:tc>
          <w:tcPr>
            <w:tcW w:w="1267" w:type="dxa"/>
            <w:tcBorders>
              <w:top w:val="nil"/>
              <w:left w:val="single" w:sz="4" w:space="0" w:color="000000"/>
              <w:bottom w:val="single" w:sz="8" w:space="0" w:color="000000"/>
              <w:right w:val="single" w:sz="8" w:space="0" w:color="000000"/>
            </w:tcBorders>
            <w:shd w:val="clear" w:color="auto" w:fill="auto"/>
            <w:noWrap/>
            <w:vAlign w:val="center"/>
            <w:hideMark/>
          </w:tcPr>
          <w:p w:rsidR="006E1EF7" w:rsidRPr="00AF3608" w:rsidRDefault="006E1EF7" w:rsidP="00EA3644">
            <w:pPr>
              <w:jc w:val="right"/>
              <w:rPr>
                <w:rFonts w:asciiTheme="minorHAnsi" w:hAnsiTheme="minorHAnsi" w:cstheme="minorHAnsi"/>
                <w:sz w:val="18"/>
                <w:lang w:val="ro-RO"/>
              </w:rPr>
            </w:pPr>
            <w:r w:rsidRPr="00AF3608">
              <w:rPr>
                <w:rFonts w:asciiTheme="minorHAnsi" w:hAnsiTheme="minorHAnsi" w:cstheme="minorHAnsi"/>
                <w:b/>
                <w:bCs/>
                <w:i/>
                <w:iCs/>
                <w:sz w:val="18"/>
                <w:lang w:val="ro-RO"/>
              </w:rPr>
              <w:t>13.308.048,0</w:t>
            </w:r>
          </w:p>
        </w:tc>
      </w:tr>
    </w:tbl>
    <w:p w:rsidR="006E1EF7" w:rsidRPr="00AF3608" w:rsidRDefault="006E1EF7" w:rsidP="006E1EF7">
      <w:pPr>
        <w:suppressAutoHyphens/>
        <w:spacing w:after="120"/>
        <w:jc w:val="both"/>
        <w:rPr>
          <w:rFonts w:asciiTheme="minorHAnsi" w:eastAsia="SimSun" w:hAnsiTheme="minorHAnsi" w:cstheme="minorHAnsi"/>
          <w:lang w:val="ro-RO"/>
        </w:rPr>
      </w:pPr>
    </w:p>
    <w:p w:rsidR="006E1EF7" w:rsidRPr="00AF3608" w:rsidRDefault="006E1EF7" w:rsidP="006E1EF7">
      <w:pPr>
        <w:spacing w:before="120"/>
        <w:jc w:val="both"/>
        <w:rPr>
          <w:rFonts w:asciiTheme="minorHAnsi" w:hAnsiTheme="minorHAnsi" w:cstheme="minorHAnsi"/>
          <w:lang w:val="ro-RO"/>
        </w:rPr>
      </w:pPr>
      <w:r w:rsidRPr="00AF3608">
        <w:rPr>
          <w:rFonts w:asciiTheme="minorHAnsi" w:hAnsiTheme="minorHAnsi" w:cstheme="minorHAnsi"/>
          <w:lang w:val="ro-RO"/>
        </w:rPr>
        <w:t>Aceste sume pot suferi modificări, întrucât potrivit:</w:t>
      </w:r>
    </w:p>
    <w:p w:rsidR="006E1EF7" w:rsidRPr="00AF3608" w:rsidRDefault="006E1EF7" w:rsidP="003A0B85">
      <w:pPr>
        <w:numPr>
          <w:ilvl w:val="0"/>
          <w:numId w:val="156"/>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prevederilor</w:t>
      </w:r>
      <w:r w:rsidRPr="00AF3608">
        <w:rPr>
          <w:rFonts w:asciiTheme="minorHAnsi" w:hAnsiTheme="minorHAnsi" w:cstheme="minorHAnsi"/>
          <w:vertAlign w:val="superscript"/>
          <w:lang w:val="ro-RO"/>
        </w:rPr>
        <w:footnoteReference w:id="21"/>
      </w:r>
      <w:r w:rsidRPr="00AF3608">
        <w:rPr>
          <w:rFonts w:asciiTheme="minorHAnsi" w:hAnsiTheme="minorHAnsi" w:cstheme="minorHAnsi"/>
          <w:lang w:val="ro-RO"/>
        </w:rPr>
        <w:t xml:space="preserve"> noi aduse sistemului de resurse proprii pentru CFM 2021-2027. </w:t>
      </w:r>
    </w:p>
    <w:p w:rsidR="006E1EF7" w:rsidRPr="00AF3608" w:rsidRDefault="006E1EF7" w:rsidP="003A0B85">
      <w:pPr>
        <w:numPr>
          <w:ilvl w:val="0"/>
          <w:numId w:val="156"/>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introducerii unui instrument de relansare economică al Uniunii Europene în cuantum de 750 mld.euro (împrumuturi UE de pe piețele financiare). </w:t>
      </w:r>
    </w:p>
    <w:p w:rsidR="006E1EF7" w:rsidRPr="00AF3608" w:rsidRDefault="006E1EF7" w:rsidP="003A0B85">
      <w:pPr>
        <w:numPr>
          <w:ilvl w:val="0"/>
          <w:numId w:val="156"/>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procedurilor comunitare - ajustări tehnice automate ale indicatorilor stabiliţi în cadrul reuniunii ACOR-Previziuni, la momentul apariţiei noilor indicatori macroeconomici estimaţi de Comisia Europeană. </w:t>
      </w:r>
    </w:p>
    <w:p w:rsidR="006E1EF7" w:rsidRPr="00AF3608" w:rsidRDefault="006E1EF7" w:rsidP="003A0B85">
      <w:pPr>
        <w:numPr>
          <w:ilvl w:val="0"/>
          <w:numId w:val="156"/>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negocierilor la nivel comunitar în ceea ce priveşte volumul total al bugetului Uniunii Europene.</w:t>
      </w:r>
    </w:p>
    <w:p w:rsidR="006E1EF7" w:rsidRPr="00AF3608" w:rsidRDefault="006E1EF7" w:rsidP="003A0B85">
      <w:pPr>
        <w:numPr>
          <w:ilvl w:val="0"/>
          <w:numId w:val="156"/>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Alte influențe din piața internă și internațională.</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Având în vedere cele menținonate mai sus, pentru anii 2021 și 2022 pot apărea modificări substanțiale.</w:t>
      </w:r>
    </w:p>
    <w:p w:rsidR="006E1EF7" w:rsidRPr="00AF3608" w:rsidRDefault="006E1EF7" w:rsidP="006E1EF7">
      <w:pPr>
        <w:pStyle w:val="BodyTextIndent"/>
        <w:spacing w:before="120" w:after="0"/>
        <w:ind w:left="0"/>
        <w:rPr>
          <w:rFonts w:asciiTheme="minorHAnsi" w:hAnsiTheme="minorHAnsi" w:cstheme="minorHAnsi"/>
          <w:b/>
          <w:lang w:val="ro-RO"/>
        </w:rPr>
      </w:pPr>
    </w:p>
    <w:p w:rsidR="006E1EF7" w:rsidRPr="00AF3608" w:rsidRDefault="006E1EF7" w:rsidP="006E1EF7">
      <w:pPr>
        <w:pStyle w:val="BodyTextIndent"/>
        <w:spacing w:before="120" w:after="0"/>
        <w:ind w:left="0"/>
        <w:rPr>
          <w:rFonts w:asciiTheme="minorHAnsi" w:hAnsiTheme="minorHAnsi" w:cstheme="minorHAnsi"/>
          <w:b/>
          <w:bCs/>
          <w:lang w:val="ro-RO"/>
        </w:rPr>
      </w:pPr>
      <w:r w:rsidRPr="00AF3608">
        <w:rPr>
          <w:rFonts w:asciiTheme="minorHAnsi" w:hAnsiTheme="minorHAnsi" w:cstheme="minorHAnsi"/>
          <w:b/>
          <w:lang w:val="ro-RO"/>
        </w:rPr>
        <w:t>Contribuţia României la Fondul European de Dezvoltare pentru perioada 2021</w:t>
      </w:r>
      <w:r w:rsidRPr="00AF3608">
        <w:rPr>
          <w:rFonts w:asciiTheme="minorHAnsi" w:hAnsiTheme="minorHAnsi" w:cstheme="minorHAnsi"/>
          <w:b/>
          <w:bCs/>
          <w:lang w:val="ro-RO"/>
        </w:rPr>
        <w:t xml:space="preserve"> – 2023</w:t>
      </w:r>
    </w:p>
    <w:p w:rsidR="006E1EF7" w:rsidRPr="00AF3608" w:rsidRDefault="006E1EF7" w:rsidP="006E1EF7">
      <w:pPr>
        <w:pStyle w:val="BodyTextIndent2"/>
        <w:spacing w:after="0"/>
        <w:ind w:firstLine="0"/>
        <w:rPr>
          <w:rFonts w:asciiTheme="minorHAnsi" w:hAnsiTheme="minorHAnsi" w:cstheme="minorHAnsi"/>
          <w:sz w:val="24"/>
          <w:szCs w:val="24"/>
        </w:rPr>
      </w:pPr>
      <w:r w:rsidRPr="00AF3608">
        <w:rPr>
          <w:rFonts w:asciiTheme="minorHAnsi" w:hAnsiTheme="minorHAnsi" w:cstheme="minorHAnsi"/>
          <w:sz w:val="24"/>
          <w:szCs w:val="24"/>
        </w:rPr>
        <w:t>Prin Legea nr. 16/2008, România a aderat la Acordul, semnat la Luxemburg la 25 iunie 2005, de modificare a Acordului de parteneriat dintre membrii grupului statelor din Africa, Caraibe şi Pacific (ACP), pe de o parte, şi Comunitatea Europeană şi statele membre, pe de altă parte, semnat la Cotonou la 23 iunie 2000. În acest context, din 2011, România contribuie la cel de-al 10-lea Fond European pentru Dezvoltare (FED 10).</w:t>
      </w:r>
    </w:p>
    <w:p w:rsidR="006E1EF7" w:rsidRPr="00AF3608" w:rsidRDefault="006E1EF7" w:rsidP="006E1EF7">
      <w:pPr>
        <w:pStyle w:val="BodyTextIndent2"/>
        <w:spacing w:after="0"/>
        <w:ind w:firstLine="0"/>
        <w:rPr>
          <w:rFonts w:asciiTheme="minorHAnsi" w:hAnsiTheme="minorHAnsi" w:cstheme="minorHAnsi"/>
          <w:sz w:val="24"/>
          <w:szCs w:val="24"/>
        </w:rPr>
      </w:pPr>
      <w:r w:rsidRPr="00AF3608">
        <w:rPr>
          <w:rFonts w:asciiTheme="minorHAnsi" w:hAnsiTheme="minorHAnsi" w:cstheme="minorHAnsi"/>
          <w:sz w:val="24"/>
          <w:szCs w:val="24"/>
        </w:rPr>
        <w:t>În tabelul de mai jos este prezentată estimarea contribuției României la FED pentru perioada 2021-2023:</w:t>
      </w:r>
    </w:p>
    <w:p w:rsidR="006E1EF7" w:rsidRPr="00AF3608" w:rsidRDefault="006E1EF7" w:rsidP="006E1EF7">
      <w:pPr>
        <w:pStyle w:val="BodyTextIndent2"/>
        <w:spacing w:after="0"/>
        <w:ind w:firstLine="0"/>
        <w:rPr>
          <w:rFonts w:asciiTheme="minorHAnsi" w:hAnsiTheme="minorHAnsi" w:cstheme="minorHAnsi"/>
          <w:sz w:val="24"/>
          <w:szCs w:val="24"/>
        </w:rPr>
      </w:pPr>
    </w:p>
    <w:p w:rsidR="006E1EF7" w:rsidRPr="00AF3608" w:rsidRDefault="006E1EF7" w:rsidP="006E1EF7">
      <w:pPr>
        <w:pStyle w:val="BodyTextIndent2"/>
        <w:spacing w:after="0"/>
        <w:ind w:left="720" w:firstLine="0"/>
        <w:rPr>
          <w:rFonts w:asciiTheme="minorHAnsi" w:hAnsiTheme="minorHAnsi" w:cstheme="minorHAnsi"/>
          <w:sz w:val="24"/>
          <w:szCs w:val="24"/>
        </w:rPr>
      </w:pPr>
    </w:p>
    <w:tbl>
      <w:tblPr>
        <w:tblW w:w="10577" w:type="dxa"/>
        <w:tblInd w:w="128" w:type="dxa"/>
        <w:tblLook w:val="04A0" w:firstRow="1" w:lastRow="0" w:firstColumn="1" w:lastColumn="0" w:noHBand="0" w:noVBand="1"/>
      </w:tblPr>
      <w:tblGrid>
        <w:gridCol w:w="1064"/>
        <w:gridCol w:w="4478"/>
        <w:gridCol w:w="1387"/>
        <w:gridCol w:w="1270"/>
        <w:gridCol w:w="1171"/>
        <w:gridCol w:w="1207"/>
      </w:tblGrid>
      <w:tr w:rsidR="006E1EF7" w:rsidRPr="00AF3608" w:rsidTr="00EA3644">
        <w:trPr>
          <w:trHeight w:val="315"/>
        </w:trPr>
        <w:tc>
          <w:tcPr>
            <w:tcW w:w="10577" w:type="dxa"/>
            <w:gridSpan w:val="6"/>
            <w:tcBorders>
              <w:top w:val="nil"/>
              <w:left w:val="nil"/>
              <w:bottom w:val="nil"/>
              <w:right w:val="nil"/>
            </w:tcBorders>
            <w:shd w:val="clear" w:color="auto" w:fill="auto"/>
            <w:noWrap/>
            <w:vAlign w:val="bottom"/>
            <w:hideMark/>
          </w:tcPr>
          <w:p w:rsidR="006E1EF7" w:rsidRPr="00AF3608" w:rsidRDefault="006E1EF7" w:rsidP="00EA3644">
            <w:pPr>
              <w:jc w:val="center"/>
              <w:rPr>
                <w:rFonts w:asciiTheme="minorHAnsi" w:hAnsiTheme="minorHAnsi" w:cstheme="minorHAnsi"/>
                <w:b/>
                <w:bCs/>
                <w:lang w:val="ro-RO"/>
              </w:rPr>
            </w:pPr>
            <w:r w:rsidRPr="00AF3608">
              <w:rPr>
                <w:rFonts w:asciiTheme="minorHAnsi" w:hAnsiTheme="minorHAnsi" w:cstheme="minorHAnsi"/>
                <w:b/>
                <w:bCs/>
                <w:lang w:val="ro-RO"/>
              </w:rPr>
              <w:t>Contribuţia României la Fondul European de Dezvoltare pentru anul 2021 şi estimarea pentru anii 2022-2023</w:t>
            </w:r>
          </w:p>
        </w:tc>
      </w:tr>
      <w:tr w:rsidR="006E1EF7" w:rsidRPr="00AF3608" w:rsidTr="00EA3644">
        <w:trPr>
          <w:gridAfter w:val="1"/>
          <w:wAfter w:w="1207" w:type="dxa"/>
          <w:trHeight w:val="315"/>
        </w:trPr>
        <w:tc>
          <w:tcPr>
            <w:tcW w:w="1064" w:type="dxa"/>
            <w:tcBorders>
              <w:top w:val="nil"/>
              <w:left w:val="nil"/>
              <w:bottom w:val="nil"/>
              <w:right w:val="nil"/>
            </w:tcBorders>
            <w:shd w:val="clear" w:color="auto" w:fill="auto"/>
            <w:noWrap/>
            <w:vAlign w:val="bottom"/>
            <w:hideMark/>
          </w:tcPr>
          <w:p w:rsidR="006E1EF7" w:rsidRPr="00AF3608" w:rsidRDefault="006E1EF7" w:rsidP="00EA3644">
            <w:pPr>
              <w:jc w:val="center"/>
              <w:rPr>
                <w:rFonts w:asciiTheme="minorHAnsi" w:hAnsiTheme="minorHAnsi" w:cstheme="minorHAnsi"/>
                <w:b/>
                <w:bCs/>
                <w:sz w:val="20"/>
                <w:szCs w:val="20"/>
                <w:lang w:val="ro-RO"/>
              </w:rPr>
            </w:pPr>
          </w:p>
        </w:tc>
        <w:tc>
          <w:tcPr>
            <w:tcW w:w="4478" w:type="dxa"/>
            <w:tcBorders>
              <w:top w:val="nil"/>
              <w:left w:val="nil"/>
              <w:bottom w:val="single" w:sz="8" w:space="0" w:color="000000"/>
              <w:right w:val="nil"/>
            </w:tcBorders>
            <w:shd w:val="clear" w:color="auto" w:fill="auto"/>
            <w:noWrap/>
            <w:vAlign w:val="bottom"/>
            <w:hideMark/>
          </w:tcPr>
          <w:p w:rsidR="006E1EF7" w:rsidRPr="00AF3608" w:rsidRDefault="006E1EF7" w:rsidP="00EA3644">
            <w:pPr>
              <w:rPr>
                <w:rFonts w:asciiTheme="minorHAnsi" w:hAnsiTheme="minorHAnsi" w:cstheme="minorHAnsi"/>
                <w:sz w:val="20"/>
                <w:szCs w:val="20"/>
                <w:lang w:val="ro-RO"/>
              </w:rPr>
            </w:pPr>
            <w:r w:rsidRPr="00AF3608">
              <w:rPr>
                <w:rFonts w:asciiTheme="minorHAnsi" w:hAnsiTheme="minorHAnsi" w:cstheme="minorHAnsi"/>
                <w:sz w:val="20"/>
                <w:szCs w:val="20"/>
                <w:lang w:val="ro-RO"/>
              </w:rPr>
              <w:t> </w:t>
            </w:r>
          </w:p>
        </w:tc>
        <w:tc>
          <w:tcPr>
            <w:tcW w:w="1387" w:type="dxa"/>
            <w:tcBorders>
              <w:top w:val="nil"/>
              <w:left w:val="nil"/>
              <w:bottom w:val="nil"/>
              <w:right w:val="nil"/>
            </w:tcBorders>
            <w:shd w:val="clear" w:color="auto" w:fill="auto"/>
            <w:noWrap/>
            <w:vAlign w:val="bottom"/>
            <w:hideMark/>
          </w:tcPr>
          <w:p w:rsidR="006E1EF7" w:rsidRPr="00AF3608" w:rsidRDefault="006E1EF7" w:rsidP="00EA3644">
            <w:pPr>
              <w:rPr>
                <w:rFonts w:asciiTheme="minorHAnsi" w:hAnsiTheme="minorHAnsi" w:cstheme="minorHAnsi"/>
                <w:sz w:val="20"/>
                <w:szCs w:val="20"/>
                <w:lang w:val="ro-RO"/>
              </w:rPr>
            </w:pPr>
          </w:p>
        </w:tc>
        <w:tc>
          <w:tcPr>
            <w:tcW w:w="1270" w:type="dxa"/>
            <w:tcBorders>
              <w:top w:val="nil"/>
              <w:left w:val="nil"/>
              <w:bottom w:val="nil"/>
              <w:right w:val="nil"/>
            </w:tcBorders>
            <w:shd w:val="clear" w:color="auto" w:fill="auto"/>
            <w:noWrap/>
            <w:vAlign w:val="bottom"/>
            <w:hideMark/>
          </w:tcPr>
          <w:p w:rsidR="006E1EF7" w:rsidRPr="00AF3608" w:rsidRDefault="006E1EF7" w:rsidP="00EA3644">
            <w:pPr>
              <w:rPr>
                <w:rFonts w:asciiTheme="minorHAnsi" w:hAnsiTheme="minorHAnsi" w:cstheme="minorHAnsi"/>
                <w:sz w:val="20"/>
                <w:szCs w:val="20"/>
                <w:lang w:val="ro-RO"/>
              </w:rPr>
            </w:pPr>
          </w:p>
        </w:tc>
        <w:tc>
          <w:tcPr>
            <w:tcW w:w="1171" w:type="dxa"/>
            <w:tcBorders>
              <w:top w:val="nil"/>
              <w:left w:val="nil"/>
              <w:bottom w:val="nil"/>
              <w:right w:val="nil"/>
            </w:tcBorders>
            <w:shd w:val="clear" w:color="auto" w:fill="auto"/>
            <w:noWrap/>
            <w:vAlign w:val="bottom"/>
            <w:hideMark/>
          </w:tcPr>
          <w:p w:rsidR="006E1EF7" w:rsidRPr="00AF3608" w:rsidRDefault="006E1EF7" w:rsidP="00EA3644">
            <w:pPr>
              <w:rPr>
                <w:rFonts w:asciiTheme="minorHAnsi" w:hAnsiTheme="minorHAnsi" w:cstheme="minorHAnsi"/>
                <w:sz w:val="20"/>
                <w:szCs w:val="20"/>
                <w:lang w:val="ro-RO"/>
              </w:rPr>
            </w:pPr>
            <w:r w:rsidRPr="00AF3608">
              <w:rPr>
                <w:rFonts w:asciiTheme="minorHAnsi" w:hAnsiTheme="minorHAnsi" w:cstheme="minorHAnsi"/>
                <w:i/>
                <w:iCs/>
                <w:sz w:val="22"/>
                <w:szCs w:val="22"/>
                <w:lang w:val="ro-RO"/>
              </w:rPr>
              <w:t>mii lei</w:t>
            </w:r>
          </w:p>
        </w:tc>
      </w:tr>
      <w:tr w:rsidR="006E1EF7" w:rsidRPr="00AF3608" w:rsidTr="00EA3644">
        <w:trPr>
          <w:gridAfter w:val="1"/>
          <w:wAfter w:w="1207" w:type="dxa"/>
          <w:trHeight w:val="397"/>
        </w:trPr>
        <w:tc>
          <w:tcPr>
            <w:tcW w:w="1064" w:type="dxa"/>
            <w:tcBorders>
              <w:top w:val="single" w:sz="8" w:space="0" w:color="000000"/>
              <w:left w:val="single" w:sz="8" w:space="0" w:color="000000"/>
              <w:bottom w:val="single" w:sz="4" w:space="0" w:color="000000"/>
              <w:right w:val="single" w:sz="4" w:space="0" w:color="000000"/>
            </w:tcBorders>
            <w:shd w:val="clear" w:color="auto" w:fill="auto"/>
            <w:noWrap/>
            <w:hideMark/>
          </w:tcPr>
          <w:p w:rsidR="006E1EF7" w:rsidRPr="00AF3608" w:rsidRDefault="006E1EF7" w:rsidP="00EA3644">
            <w:pPr>
              <w:jc w:val="center"/>
              <w:rPr>
                <w:rFonts w:asciiTheme="minorHAnsi" w:hAnsiTheme="minorHAnsi" w:cstheme="minorHAnsi"/>
                <w:b/>
                <w:bCs/>
                <w:sz w:val="20"/>
                <w:szCs w:val="20"/>
                <w:lang w:val="ro-RO"/>
              </w:rPr>
            </w:pPr>
            <w:r w:rsidRPr="00AF3608">
              <w:rPr>
                <w:rFonts w:asciiTheme="minorHAnsi" w:hAnsiTheme="minorHAnsi" w:cstheme="minorHAnsi"/>
                <w:b/>
                <w:bCs/>
                <w:sz w:val="20"/>
                <w:szCs w:val="20"/>
                <w:lang w:val="ro-RO"/>
              </w:rPr>
              <w:t xml:space="preserve">Cod </w:t>
            </w:r>
          </w:p>
        </w:tc>
        <w:tc>
          <w:tcPr>
            <w:tcW w:w="4478" w:type="dxa"/>
            <w:tcBorders>
              <w:top w:val="nil"/>
              <w:left w:val="nil"/>
              <w:bottom w:val="single" w:sz="4" w:space="0" w:color="000000"/>
              <w:right w:val="single" w:sz="4" w:space="0" w:color="000000"/>
            </w:tcBorders>
            <w:shd w:val="clear" w:color="auto" w:fill="auto"/>
            <w:noWrap/>
            <w:hideMark/>
          </w:tcPr>
          <w:p w:rsidR="006E1EF7" w:rsidRPr="00AF3608" w:rsidRDefault="006E1EF7" w:rsidP="00EA3644">
            <w:pPr>
              <w:jc w:val="center"/>
              <w:rPr>
                <w:rFonts w:asciiTheme="minorHAnsi" w:hAnsiTheme="minorHAnsi" w:cstheme="minorHAnsi"/>
                <w:b/>
                <w:bCs/>
                <w:sz w:val="20"/>
                <w:szCs w:val="20"/>
                <w:lang w:val="ro-RO"/>
              </w:rPr>
            </w:pPr>
            <w:r w:rsidRPr="00AF3608">
              <w:rPr>
                <w:rFonts w:asciiTheme="minorHAnsi" w:hAnsiTheme="minorHAnsi" w:cstheme="minorHAnsi"/>
                <w:b/>
                <w:bCs/>
                <w:sz w:val="20"/>
                <w:szCs w:val="20"/>
                <w:lang w:val="ro-RO"/>
              </w:rPr>
              <w:t>Denumirea</w:t>
            </w:r>
          </w:p>
        </w:tc>
        <w:tc>
          <w:tcPr>
            <w:tcW w:w="1387" w:type="dxa"/>
            <w:tcBorders>
              <w:top w:val="single" w:sz="8" w:space="0" w:color="000000"/>
              <w:left w:val="single" w:sz="4" w:space="0" w:color="000000"/>
              <w:bottom w:val="single" w:sz="4" w:space="0" w:color="000000"/>
              <w:right w:val="single" w:sz="8" w:space="0" w:color="000000"/>
            </w:tcBorders>
            <w:shd w:val="clear" w:color="auto" w:fill="auto"/>
            <w:noWrap/>
            <w:hideMark/>
          </w:tcPr>
          <w:p w:rsidR="006E1EF7" w:rsidRPr="00AF3608" w:rsidRDefault="006E1EF7" w:rsidP="00EA3644">
            <w:pPr>
              <w:jc w:val="center"/>
              <w:rPr>
                <w:rFonts w:asciiTheme="minorHAnsi" w:hAnsiTheme="minorHAnsi" w:cstheme="minorHAnsi"/>
                <w:b/>
                <w:bCs/>
                <w:sz w:val="20"/>
                <w:szCs w:val="20"/>
                <w:lang w:val="ro-RO"/>
              </w:rPr>
            </w:pPr>
            <w:r w:rsidRPr="00AF3608">
              <w:rPr>
                <w:rFonts w:asciiTheme="minorHAnsi" w:hAnsiTheme="minorHAnsi" w:cstheme="minorHAnsi"/>
                <w:b/>
                <w:bCs/>
                <w:sz w:val="20"/>
                <w:szCs w:val="20"/>
                <w:lang w:val="ro-RO"/>
              </w:rPr>
              <w:t>2021</w:t>
            </w:r>
          </w:p>
        </w:tc>
        <w:tc>
          <w:tcPr>
            <w:tcW w:w="1270" w:type="dxa"/>
            <w:tcBorders>
              <w:top w:val="single" w:sz="8" w:space="0" w:color="000000"/>
              <w:left w:val="single" w:sz="4" w:space="0" w:color="000000"/>
              <w:bottom w:val="single" w:sz="4" w:space="0" w:color="000000"/>
              <w:right w:val="single" w:sz="8" w:space="0" w:color="000000"/>
            </w:tcBorders>
            <w:shd w:val="clear" w:color="auto" w:fill="auto"/>
            <w:noWrap/>
            <w:hideMark/>
          </w:tcPr>
          <w:p w:rsidR="006E1EF7" w:rsidRPr="00AF3608" w:rsidRDefault="006E1EF7" w:rsidP="00EA3644">
            <w:pPr>
              <w:jc w:val="center"/>
              <w:rPr>
                <w:rFonts w:asciiTheme="minorHAnsi" w:hAnsiTheme="minorHAnsi" w:cstheme="minorHAnsi"/>
                <w:b/>
                <w:bCs/>
                <w:sz w:val="20"/>
                <w:szCs w:val="20"/>
                <w:lang w:val="ro-RO"/>
              </w:rPr>
            </w:pPr>
            <w:r w:rsidRPr="00AF3608">
              <w:rPr>
                <w:rFonts w:asciiTheme="minorHAnsi" w:hAnsiTheme="minorHAnsi" w:cstheme="minorHAnsi"/>
                <w:b/>
                <w:bCs/>
                <w:sz w:val="20"/>
                <w:szCs w:val="20"/>
                <w:lang w:val="ro-RO"/>
              </w:rPr>
              <w:t>2022</w:t>
            </w:r>
          </w:p>
        </w:tc>
        <w:tc>
          <w:tcPr>
            <w:tcW w:w="1171" w:type="dxa"/>
            <w:tcBorders>
              <w:top w:val="single" w:sz="8" w:space="0" w:color="000000"/>
              <w:left w:val="single" w:sz="4" w:space="0" w:color="000000"/>
              <w:bottom w:val="single" w:sz="4" w:space="0" w:color="000000"/>
              <w:right w:val="single" w:sz="8" w:space="0" w:color="000000"/>
            </w:tcBorders>
            <w:shd w:val="clear" w:color="auto" w:fill="auto"/>
            <w:noWrap/>
            <w:hideMark/>
          </w:tcPr>
          <w:p w:rsidR="006E1EF7" w:rsidRPr="00AF3608" w:rsidRDefault="006E1EF7" w:rsidP="00EA3644">
            <w:pPr>
              <w:jc w:val="center"/>
              <w:rPr>
                <w:rFonts w:asciiTheme="minorHAnsi" w:hAnsiTheme="minorHAnsi" w:cstheme="minorHAnsi"/>
                <w:b/>
                <w:bCs/>
                <w:sz w:val="20"/>
                <w:szCs w:val="20"/>
                <w:lang w:val="ro-RO"/>
              </w:rPr>
            </w:pPr>
            <w:r w:rsidRPr="00AF3608">
              <w:rPr>
                <w:rFonts w:asciiTheme="minorHAnsi" w:hAnsiTheme="minorHAnsi" w:cstheme="minorHAnsi"/>
                <w:b/>
                <w:bCs/>
                <w:sz w:val="20"/>
                <w:szCs w:val="20"/>
                <w:lang w:val="ro-RO"/>
              </w:rPr>
              <w:t>2023</w:t>
            </w:r>
          </w:p>
        </w:tc>
      </w:tr>
      <w:tr w:rsidR="006E1EF7" w:rsidRPr="00AF3608" w:rsidTr="00EA3644">
        <w:trPr>
          <w:gridAfter w:val="1"/>
          <w:wAfter w:w="1207" w:type="dxa"/>
          <w:trHeight w:val="379"/>
        </w:trPr>
        <w:tc>
          <w:tcPr>
            <w:tcW w:w="1064" w:type="dxa"/>
            <w:tcBorders>
              <w:top w:val="nil"/>
              <w:left w:val="single" w:sz="8" w:space="0" w:color="000000"/>
              <w:bottom w:val="nil"/>
              <w:right w:val="single" w:sz="4" w:space="0" w:color="000000"/>
            </w:tcBorders>
            <w:shd w:val="clear" w:color="auto" w:fill="auto"/>
            <w:noWrap/>
            <w:hideMark/>
          </w:tcPr>
          <w:p w:rsidR="006E1EF7" w:rsidRPr="00AF3608" w:rsidRDefault="006E1EF7" w:rsidP="00EA3644">
            <w:pPr>
              <w:jc w:val="center"/>
              <w:rPr>
                <w:rFonts w:asciiTheme="minorHAnsi" w:hAnsiTheme="minorHAnsi" w:cstheme="minorHAnsi"/>
                <w:b/>
                <w:bCs/>
                <w:sz w:val="20"/>
                <w:szCs w:val="20"/>
                <w:lang w:val="ro-RO"/>
              </w:rPr>
            </w:pPr>
            <w:r w:rsidRPr="00AF3608">
              <w:rPr>
                <w:rFonts w:asciiTheme="minorHAnsi" w:hAnsiTheme="minorHAnsi" w:cstheme="minorHAnsi"/>
                <w:b/>
                <w:bCs/>
                <w:sz w:val="20"/>
                <w:szCs w:val="20"/>
                <w:lang w:val="ro-RO"/>
              </w:rPr>
              <w:t>55.02.05</w:t>
            </w:r>
          </w:p>
        </w:tc>
        <w:tc>
          <w:tcPr>
            <w:tcW w:w="4478" w:type="dxa"/>
            <w:tcBorders>
              <w:top w:val="nil"/>
              <w:left w:val="nil"/>
              <w:bottom w:val="single" w:sz="4" w:space="0" w:color="000000"/>
              <w:right w:val="single" w:sz="4" w:space="0" w:color="000000"/>
            </w:tcBorders>
            <w:shd w:val="clear" w:color="auto" w:fill="auto"/>
            <w:hideMark/>
          </w:tcPr>
          <w:p w:rsidR="006E1EF7" w:rsidRPr="00AF3608" w:rsidRDefault="006E1EF7" w:rsidP="00EA3644">
            <w:pPr>
              <w:rPr>
                <w:rFonts w:asciiTheme="minorHAnsi" w:hAnsiTheme="minorHAnsi" w:cstheme="minorHAnsi"/>
                <w:sz w:val="20"/>
                <w:szCs w:val="20"/>
                <w:lang w:val="ro-RO"/>
              </w:rPr>
            </w:pPr>
            <w:r w:rsidRPr="00AF3608">
              <w:rPr>
                <w:rFonts w:asciiTheme="minorHAnsi" w:hAnsiTheme="minorHAnsi" w:cstheme="minorHAnsi"/>
                <w:sz w:val="20"/>
                <w:szCs w:val="20"/>
                <w:lang w:val="ro-RO"/>
              </w:rPr>
              <w:t>Contribuţia României la Fondul European de Dezvoltare</w:t>
            </w:r>
          </w:p>
        </w:tc>
        <w:tc>
          <w:tcPr>
            <w:tcW w:w="1387" w:type="dxa"/>
            <w:tcBorders>
              <w:top w:val="nil"/>
              <w:left w:val="single" w:sz="4" w:space="0" w:color="000000"/>
              <w:bottom w:val="single" w:sz="4" w:space="0" w:color="000000"/>
              <w:right w:val="single" w:sz="8" w:space="0" w:color="000000"/>
            </w:tcBorders>
            <w:shd w:val="clear" w:color="auto" w:fill="auto"/>
            <w:noWrap/>
            <w:hideMark/>
          </w:tcPr>
          <w:p w:rsidR="006E1EF7" w:rsidRPr="00AF3608" w:rsidRDefault="006E1EF7" w:rsidP="00EA3644">
            <w:pPr>
              <w:jc w:val="right"/>
              <w:rPr>
                <w:rFonts w:asciiTheme="minorHAnsi" w:hAnsiTheme="minorHAnsi" w:cstheme="minorHAnsi"/>
                <w:sz w:val="20"/>
                <w:szCs w:val="20"/>
                <w:lang w:val="ro-RO"/>
              </w:rPr>
            </w:pPr>
            <w:r w:rsidRPr="00AF3608">
              <w:rPr>
                <w:rFonts w:asciiTheme="minorHAnsi" w:hAnsiTheme="minorHAnsi" w:cstheme="minorHAnsi"/>
                <w:sz w:val="20"/>
                <w:szCs w:val="20"/>
                <w:lang w:val="ro-RO"/>
              </w:rPr>
              <w:t>142.484,0</w:t>
            </w:r>
          </w:p>
        </w:tc>
        <w:tc>
          <w:tcPr>
            <w:tcW w:w="1270" w:type="dxa"/>
            <w:tcBorders>
              <w:top w:val="nil"/>
              <w:left w:val="single" w:sz="4" w:space="0" w:color="000000"/>
              <w:bottom w:val="single" w:sz="4" w:space="0" w:color="000000"/>
              <w:right w:val="single" w:sz="8" w:space="0" w:color="000000"/>
            </w:tcBorders>
            <w:shd w:val="clear" w:color="auto" w:fill="auto"/>
            <w:noWrap/>
            <w:hideMark/>
          </w:tcPr>
          <w:p w:rsidR="006E1EF7" w:rsidRPr="00AF3608" w:rsidRDefault="006E1EF7" w:rsidP="00EA3644">
            <w:pPr>
              <w:jc w:val="right"/>
              <w:rPr>
                <w:rFonts w:asciiTheme="minorHAnsi" w:hAnsiTheme="minorHAnsi" w:cstheme="minorHAnsi"/>
                <w:sz w:val="20"/>
                <w:szCs w:val="20"/>
                <w:lang w:val="ro-RO"/>
              </w:rPr>
            </w:pPr>
            <w:r w:rsidRPr="00AF3608">
              <w:rPr>
                <w:rFonts w:asciiTheme="minorHAnsi" w:hAnsiTheme="minorHAnsi" w:cstheme="minorHAnsi"/>
                <w:sz w:val="20"/>
                <w:szCs w:val="20"/>
                <w:lang w:val="ro-RO"/>
              </w:rPr>
              <w:t>100.541,0</w:t>
            </w:r>
          </w:p>
        </w:tc>
        <w:tc>
          <w:tcPr>
            <w:tcW w:w="1171" w:type="dxa"/>
            <w:tcBorders>
              <w:top w:val="nil"/>
              <w:left w:val="single" w:sz="4" w:space="0" w:color="000000"/>
              <w:bottom w:val="single" w:sz="4" w:space="0" w:color="000000"/>
              <w:right w:val="single" w:sz="8" w:space="0" w:color="000000"/>
            </w:tcBorders>
            <w:shd w:val="clear" w:color="auto" w:fill="auto"/>
            <w:noWrap/>
            <w:hideMark/>
          </w:tcPr>
          <w:p w:rsidR="006E1EF7" w:rsidRPr="00AF3608" w:rsidRDefault="006E1EF7" w:rsidP="00EA3644">
            <w:pPr>
              <w:jc w:val="right"/>
              <w:rPr>
                <w:rFonts w:asciiTheme="minorHAnsi" w:hAnsiTheme="minorHAnsi" w:cstheme="minorHAnsi"/>
                <w:sz w:val="20"/>
                <w:szCs w:val="20"/>
                <w:lang w:val="ro-RO"/>
              </w:rPr>
            </w:pPr>
            <w:r w:rsidRPr="00AF3608">
              <w:rPr>
                <w:rFonts w:asciiTheme="minorHAnsi" w:hAnsiTheme="minorHAnsi" w:cstheme="minorHAnsi"/>
                <w:sz w:val="20"/>
                <w:szCs w:val="20"/>
                <w:lang w:val="ro-RO"/>
              </w:rPr>
              <w:t>75.406,0</w:t>
            </w:r>
          </w:p>
        </w:tc>
      </w:tr>
      <w:tr w:rsidR="006E1EF7" w:rsidRPr="00AF3608" w:rsidTr="00EA3644">
        <w:trPr>
          <w:gridAfter w:val="1"/>
          <w:wAfter w:w="1207" w:type="dxa"/>
          <w:trHeight w:val="411"/>
        </w:trPr>
        <w:tc>
          <w:tcPr>
            <w:tcW w:w="1064" w:type="dxa"/>
            <w:tcBorders>
              <w:top w:val="single" w:sz="4" w:space="0" w:color="000000"/>
              <w:left w:val="single" w:sz="8" w:space="0" w:color="000000"/>
              <w:bottom w:val="single" w:sz="8" w:space="0" w:color="000000"/>
              <w:right w:val="single" w:sz="4" w:space="0" w:color="000000"/>
            </w:tcBorders>
            <w:shd w:val="clear" w:color="auto" w:fill="auto"/>
            <w:noWrap/>
            <w:hideMark/>
          </w:tcPr>
          <w:p w:rsidR="006E1EF7" w:rsidRPr="00AF3608" w:rsidRDefault="006E1EF7" w:rsidP="00EA3644">
            <w:pPr>
              <w:jc w:val="center"/>
              <w:rPr>
                <w:rFonts w:asciiTheme="minorHAnsi" w:hAnsiTheme="minorHAnsi" w:cstheme="minorHAnsi"/>
                <w:b/>
                <w:bCs/>
                <w:sz w:val="20"/>
                <w:szCs w:val="20"/>
                <w:lang w:val="ro-RO"/>
              </w:rPr>
            </w:pPr>
            <w:r w:rsidRPr="00AF3608">
              <w:rPr>
                <w:rFonts w:asciiTheme="minorHAnsi" w:hAnsiTheme="minorHAnsi" w:cstheme="minorHAnsi"/>
                <w:b/>
                <w:bCs/>
                <w:sz w:val="20"/>
                <w:szCs w:val="20"/>
                <w:lang w:val="ro-RO"/>
              </w:rPr>
              <w:t>55.02</w:t>
            </w:r>
          </w:p>
        </w:tc>
        <w:tc>
          <w:tcPr>
            <w:tcW w:w="4478" w:type="dxa"/>
            <w:tcBorders>
              <w:top w:val="nil"/>
              <w:left w:val="nil"/>
              <w:bottom w:val="single" w:sz="8" w:space="0" w:color="000000"/>
              <w:right w:val="single" w:sz="4" w:space="0" w:color="000000"/>
            </w:tcBorders>
            <w:shd w:val="clear" w:color="auto" w:fill="auto"/>
            <w:hideMark/>
          </w:tcPr>
          <w:p w:rsidR="006E1EF7" w:rsidRPr="00AF3608" w:rsidRDefault="006E1EF7" w:rsidP="00EA3644">
            <w:pPr>
              <w:rPr>
                <w:rFonts w:asciiTheme="minorHAnsi" w:hAnsiTheme="minorHAnsi" w:cstheme="minorHAnsi"/>
                <w:b/>
                <w:bCs/>
                <w:sz w:val="20"/>
                <w:szCs w:val="20"/>
                <w:lang w:val="ro-RO"/>
              </w:rPr>
            </w:pPr>
            <w:r w:rsidRPr="00AF3608">
              <w:rPr>
                <w:rFonts w:asciiTheme="minorHAnsi" w:hAnsiTheme="minorHAnsi" w:cstheme="minorHAnsi"/>
                <w:b/>
                <w:bCs/>
                <w:sz w:val="20"/>
                <w:szCs w:val="20"/>
                <w:lang w:val="ro-RO"/>
              </w:rPr>
              <w:t>Transferuri curente in strainatate (catre organizatii internationale)</w:t>
            </w:r>
          </w:p>
        </w:tc>
        <w:tc>
          <w:tcPr>
            <w:tcW w:w="1387" w:type="dxa"/>
            <w:tcBorders>
              <w:top w:val="nil"/>
              <w:left w:val="single" w:sz="4" w:space="0" w:color="000000"/>
              <w:bottom w:val="single" w:sz="8" w:space="0" w:color="000000"/>
              <w:right w:val="single" w:sz="8" w:space="0" w:color="000000"/>
            </w:tcBorders>
            <w:shd w:val="clear" w:color="auto" w:fill="auto"/>
            <w:noWrap/>
            <w:hideMark/>
          </w:tcPr>
          <w:p w:rsidR="006E1EF7" w:rsidRPr="00AF3608" w:rsidRDefault="006E1EF7" w:rsidP="00EA3644">
            <w:pPr>
              <w:jc w:val="right"/>
              <w:rPr>
                <w:rFonts w:asciiTheme="minorHAnsi" w:hAnsiTheme="minorHAnsi" w:cstheme="minorHAnsi"/>
                <w:b/>
                <w:bCs/>
                <w:sz w:val="20"/>
                <w:szCs w:val="20"/>
                <w:lang w:val="ro-RO"/>
              </w:rPr>
            </w:pPr>
            <w:r w:rsidRPr="00AF3608">
              <w:rPr>
                <w:rFonts w:asciiTheme="minorHAnsi" w:hAnsiTheme="minorHAnsi" w:cstheme="minorHAnsi"/>
                <w:b/>
                <w:bCs/>
                <w:sz w:val="20"/>
                <w:szCs w:val="20"/>
                <w:lang w:val="ro-RO"/>
              </w:rPr>
              <w:t>142.484,0</w:t>
            </w:r>
          </w:p>
        </w:tc>
        <w:tc>
          <w:tcPr>
            <w:tcW w:w="1270" w:type="dxa"/>
            <w:tcBorders>
              <w:top w:val="nil"/>
              <w:left w:val="single" w:sz="4" w:space="0" w:color="000000"/>
              <w:bottom w:val="single" w:sz="8" w:space="0" w:color="000000"/>
              <w:right w:val="single" w:sz="8" w:space="0" w:color="000000"/>
            </w:tcBorders>
            <w:shd w:val="clear" w:color="auto" w:fill="auto"/>
            <w:noWrap/>
            <w:hideMark/>
          </w:tcPr>
          <w:p w:rsidR="006E1EF7" w:rsidRPr="00AF3608" w:rsidRDefault="006E1EF7" w:rsidP="00EA3644">
            <w:pPr>
              <w:jc w:val="right"/>
              <w:rPr>
                <w:rFonts w:asciiTheme="minorHAnsi" w:hAnsiTheme="minorHAnsi" w:cstheme="minorHAnsi"/>
                <w:b/>
                <w:bCs/>
                <w:sz w:val="20"/>
                <w:szCs w:val="20"/>
                <w:lang w:val="ro-RO"/>
              </w:rPr>
            </w:pPr>
            <w:r w:rsidRPr="00AF3608">
              <w:rPr>
                <w:rFonts w:asciiTheme="minorHAnsi" w:hAnsiTheme="minorHAnsi" w:cstheme="minorHAnsi"/>
                <w:b/>
                <w:bCs/>
                <w:sz w:val="20"/>
                <w:szCs w:val="20"/>
                <w:lang w:val="ro-RO"/>
              </w:rPr>
              <w:t>100.541,0</w:t>
            </w:r>
          </w:p>
        </w:tc>
        <w:tc>
          <w:tcPr>
            <w:tcW w:w="1171" w:type="dxa"/>
            <w:tcBorders>
              <w:top w:val="nil"/>
              <w:left w:val="single" w:sz="4" w:space="0" w:color="000000"/>
              <w:bottom w:val="single" w:sz="8" w:space="0" w:color="000000"/>
              <w:right w:val="single" w:sz="8" w:space="0" w:color="000000"/>
            </w:tcBorders>
            <w:shd w:val="clear" w:color="auto" w:fill="auto"/>
            <w:noWrap/>
            <w:hideMark/>
          </w:tcPr>
          <w:p w:rsidR="006E1EF7" w:rsidRPr="00AF3608" w:rsidRDefault="006E1EF7" w:rsidP="00EA3644">
            <w:pPr>
              <w:jc w:val="right"/>
              <w:rPr>
                <w:rFonts w:asciiTheme="minorHAnsi" w:hAnsiTheme="minorHAnsi" w:cstheme="minorHAnsi"/>
                <w:b/>
                <w:bCs/>
                <w:sz w:val="20"/>
                <w:szCs w:val="20"/>
                <w:lang w:val="ro-RO"/>
              </w:rPr>
            </w:pPr>
            <w:r w:rsidRPr="00AF3608">
              <w:rPr>
                <w:rFonts w:asciiTheme="minorHAnsi" w:hAnsiTheme="minorHAnsi" w:cstheme="minorHAnsi"/>
                <w:b/>
                <w:bCs/>
                <w:sz w:val="20"/>
                <w:szCs w:val="20"/>
                <w:lang w:val="ro-RO"/>
              </w:rPr>
              <w:t>75.406,0</w:t>
            </w:r>
          </w:p>
        </w:tc>
      </w:tr>
    </w:tbl>
    <w:p w:rsidR="006E1EF7" w:rsidRPr="00AF3608" w:rsidRDefault="006E1EF7" w:rsidP="006E1EF7">
      <w:pPr>
        <w:pStyle w:val="BodyTextIndent"/>
        <w:ind w:left="0" w:right="6"/>
        <w:jc w:val="both"/>
        <w:rPr>
          <w:rFonts w:asciiTheme="minorHAnsi" w:hAnsiTheme="minorHAnsi" w:cstheme="minorHAnsi"/>
          <w:lang w:val="ro-RO"/>
        </w:rPr>
      </w:pPr>
    </w:p>
    <w:p w:rsidR="006E1EF7" w:rsidRPr="00AF3608" w:rsidRDefault="006E1EF7" w:rsidP="006E1EF7">
      <w:pPr>
        <w:pStyle w:val="BodyTextIndent"/>
        <w:ind w:left="0" w:right="6"/>
        <w:jc w:val="both"/>
        <w:rPr>
          <w:rFonts w:asciiTheme="minorHAnsi" w:hAnsiTheme="minorHAnsi" w:cstheme="minorHAnsi"/>
          <w:lang w:val="ro-RO"/>
        </w:rPr>
      </w:pPr>
      <w:r w:rsidRPr="00AF3608">
        <w:rPr>
          <w:rFonts w:asciiTheme="minorHAnsi" w:hAnsiTheme="minorHAnsi" w:cstheme="minorHAnsi"/>
          <w:lang w:val="ro-RO"/>
        </w:rPr>
        <w:t>Aceste sume pot suferi modificări în funcţie de deciziile luate la nivelul UE, cu privire la necesarul de fonduri pentru plăţile către statele ACP.</w:t>
      </w:r>
    </w:p>
    <w:p w:rsidR="006E1EF7" w:rsidRPr="00AF3608" w:rsidRDefault="006E1EF7" w:rsidP="006E1EF7">
      <w:pPr>
        <w:suppressAutoHyphens/>
        <w:spacing w:after="120"/>
        <w:jc w:val="both"/>
        <w:rPr>
          <w:rFonts w:asciiTheme="minorHAnsi" w:hAnsiTheme="minorHAnsi" w:cstheme="minorHAnsi"/>
          <w:lang w:val="ro-RO"/>
        </w:rPr>
      </w:pPr>
    </w:p>
    <w:p w:rsidR="006E1EF7" w:rsidRPr="00AF3608" w:rsidRDefault="006E1EF7" w:rsidP="006E1EF7">
      <w:pPr>
        <w:shd w:val="clear" w:color="auto" w:fill="FFE599" w:themeFill="accent4" w:themeFillTint="66"/>
        <w:suppressAutoHyphens/>
        <w:spacing w:after="120"/>
        <w:jc w:val="both"/>
        <w:rPr>
          <w:rFonts w:asciiTheme="minorHAnsi" w:hAnsiTheme="minorHAnsi" w:cstheme="minorHAnsi"/>
          <w:b/>
          <w:bCs/>
          <w:iCs/>
          <w:lang w:val="ro-RO"/>
        </w:rPr>
      </w:pPr>
      <w:r w:rsidRPr="00AF3608">
        <w:rPr>
          <w:rFonts w:asciiTheme="minorHAnsi" w:hAnsiTheme="minorHAnsi" w:cstheme="minorHAnsi"/>
          <w:b/>
          <w:bCs/>
          <w:iCs/>
          <w:lang w:val="ro-RO"/>
        </w:rPr>
        <w:t xml:space="preserve">Poziţia financiară netă a României în relaţia cu bugetul UE </w:t>
      </w:r>
    </w:p>
    <w:p w:rsidR="006E1EF7" w:rsidRPr="00AF3608" w:rsidRDefault="006E1EF7" w:rsidP="006E1EF7">
      <w:pPr>
        <w:suppressAutoHyphens/>
        <w:spacing w:after="120"/>
        <w:jc w:val="both"/>
        <w:rPr>
          <w:rFonts w:ascii="Arial" w:hAnsi="Arial" w:cs="Arial"/>
          <w:bCs/>
          <w:iCs/>
          <w:lang w:val="ro-RO"/>
        </w:rPr>
      </w:pPr>
      <w:r w:rsidRPr="00AF3608">
        <w:rPr>
          <w:noProof/>
        </w:rPr>
        <w:drawing>
          <wp:inline distT="0" distB="0" distL="0" distR="0" wp14:anchorId="158A9C75" wp14:editId="01A0DF25">
            <wp:extent cx="6300470" cy="4921077"/>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00470" cy="4921077"/>
                    </a:xfrm>
                    <a:prstGeom prst="rect">
                      <a:avLst/>
                    </a:prstGeom>
                    <a:noFill/>
                    <a:ln>
                      <a:noFill/>
                    </a:ln>
                  </pic:spPr>
                </pic:pic>
              </a:graphicData>
            </a:graphic>
          </wp:inline>
        </w:drawing>
      </w:r>
    </w:p>
    <w:p w:rsidR="006E1EF7" w:rsidRPr="00AF3608" w:rsidRDefault="006E1EF7" w:rsidP="006E1EF7">
      <w:pPr>
        <w:suppressAutoHyphens/>
        <w:spacing w:after="120"/>
        <w:jc w:val="both"/>
        <w:rPr>
          <w:rFonts w:ascii="Arial" w:hAnsi="Arial" w:cs="Arial"/>
          <w:bCs/>
          <w:iCs/>
          <w:lang w:val="ro-RO"/>
        </w:rPr>
      </w:pPr>
    </w:p>
    <w:p w:rsidR="006E1EF7" w:rsidRPr="00AF3608" w:rsidRDefault="006E1EF7" w:rsidP="006E1EF7">
      <w:pPr>
        <w:suppressAutoHyphens/>
        <w:spacing w:after="120"/>
        <w:jc w:val="both"/>
        <w:rPr>
          <w:rFonts w:ascii="Arial" w:hAnsi="Arial" w:cs="Arial"/>
          <w:bCs/>
          <w:iCs/>
          <w:lang w:val="ro-RO"/>
        </w:rPr>
      </w:pPr>
      <w:r w:rsidRPr="00AF3608">
        <w:rPr>
          <w:noProof/>
        </w:rPr>
        <w:lastRenderedPageBreak/>
        <w:drawing>
          <wp:inline distT="0" distB="0" distL="0" distR="0" wp14:anchorId="139D401F" wp14:editId="12B1A927">
            <wp:extent cx="6238875" cy="3802391"/>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39610" cy="3802839"/>
                    </a:xfrm>
                    <a:prstGeom prst="rect">
                      <a:avLst/>
                    </a:prstGeom>
                    <a:noFill/>
                    <a:ln>
                      <a:noFill/>
                    </a:ln>
                  </pic:spPr>
                </pic:pic>
              </a:graphicData>
            </a:graphic>
          </wp:inline>
        </w:drawing>
      </w:r>
    </w:p>
    <w:p w:rsidR="006E1EF7" w:rsidRPr="00AF3608" w:rsidRDefault="006E1EF7" w:rsidP="006E1EF7">
      <w:pPr>
        <w:suppressAutoHyphens/>
        <w:spacing w:after="120"/>
        <w:jc w:val="both"/>
        <w:rPr>
          <w:rFonts w:ascii="Arial" w:hAnsi="Arial" w:cs="Arial"/>
          <w:bCs/>
          <w:iCs/>
          <w:lang w:val="ro-RO"/>
        </w:rPr>
      </w:pPr>
      <w:r w:rsidRPr="00AF3608">
        <w:rPr>
          <w:noProof/>
        </w:rPr>
        <w:drawing>
          <wp:inline distT="0" distB="0" distL="0" distR="0" wp14:anchorId="44B2EB83" wp14:editId="1F01D479">
            <wp:extent cx="6238875" cy="1790446"/>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49728" cy="1793561"/>
                    </a:xfrm>
                    <a:prstGeom prst="rect">
                      <a:avLst/>
                    </a:prstGeom>
                    <a:noFill/>
                    <a:ln>
                      <a:noFill/>
                    </a:ln>
                  </pic:spPr>
                </pic:pic>
              </a:graphicData>
            </a:graphic>
          </wp:inline>
        </w:drawing>
      </w:r>
    </w:p>
    <w:p w:rsidR="006E1EF7" w:rsidRPr="00AF3608" w:rsidRDefault="006E1EF7" w:rsidP="006E1EF7">
      <w:pPr>
        <w:suppressAutoHyphens/>
        <w:spacing w:after="120"/>
        <w:jc w:val="both"/>
        <w:rPr>
          <w:rFonts w:ascii="Arial" w:hAnsi="Arial" w:cs="Arial"/>
          <w:bCs/>
          <w:iCs/>
          <w:lang w:val="ro-RO"/>
        </w:rPr>
      </w:pPr>
      <w:r w:rsidRPr="00AF3608">
        <w:rPr>
          <w:noProof/>
        </w:rPr>
        <w:drawing>
          <wp:inline distT="0" distB="0" distL="0" distR="0" wp14:anchorId="2440F9E1" wp14:editId="6BBEF0FF">
            <wp:extent cx="6300470" cy="2609662"/>
            <wp:effectExtent l="0" t="0" r="508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00470" cy="2609662"/>
                    </a:xfrm>
                    <a:prstGeom prst="rect">
                      <a:avLst/>
                    </a:prstGeom>
                    <a:noFill/>
                    <a:ln>
                      <a:noFill/>
                    </a:ln>
                  </pic:spPr>
                </pic:pic>
              </a:graphicData>
            </a:graphic>
          </wp:inline>
        </w:drawing>
      </w:r>
    </w:p>
    <w:p w:rsidR="00B00050" w:rsidRPr="00AF3608" w:rsidRDefault="00FB282C" w:rsidP="00B723C0">
      <w:pPr>
        <w:shd w:val="clear" w:color="auto" w:fill="666699"/>
        <w:suppressAutoHyphens/>
        <w:spacing w:before="120"/>
        <w:jc w:val="both"/>
        <w:rPr>
          <w:rFonts w:asciiTheme="minorHAnsi" w:hAnsiTheme="minorHAnsi" w:cstheme="minorHAnsi"/>
          <w:b/>
          <w:lang w:val="ro-RO"/>
        </w:rPr>
      </w:pPr>
      <w:bookmarkStart w:id="13" w:name="page170"/>
      <w:bookmarkStart w:id="14" w:name="page171"/>
      <w:bookmarkEnd w:id="13"/>
      <w:bookmarkEnd w:id="14"/>
      <w:r w:rsidRPr="00AF3608">
        <w:rPr>
          <w:rFonts w:asciiTheme="minorHAnsi" w:hAnsiTheme="minorHAnsi" w:cstheme="minorHAnsi"/>
          <w:b/>
          <w:lang w:val="ro-RO"/>
        </w:rPr>
        <w:lastRenderedPageBreak/>
        <w:t>4</w:t>
      </w:r>
      <w:r w:rsidR="00B00050" w:rsidRPr="00AF3608">
        <w:rPr>
          <w:rFonts w:asciiTheme="minorHAnsi" w:hAnsiTheme="minorHAnsi" w:cstheme="minorHAnsi"/>
          <w:b/>
          <w:lang w:val="ro-RO"/>
        </w:rPr>
        <w:t>.9 DATORIA PUBLICĂ ŞI FINANȚAREA DEFICITULUI BUGETAR</w:t>
      </w:r>
      <w:r w:rsidR="00B00050" w:rsidRPr="00AF3608">
        <w:rPr>
          <w:rFonts w:asciiTheme="minorHAnsi" w:hAnsiTheme="minorHAnsi" w:cstheme="minorHAnsi"/>
          <w:vertAlign w:val="superscript"/>
          <w:lang w:val="ro-RO"/>
        </w:rPr>
        <w:footnoteReference w:id="22"/>
      </w:r>
    </w:p>
    <w:p w:rsidR="00235460" w:rsidRPr="00AF3608" w:rsidRDefault="00235460" w:rsidP="00B723C0">
      <w:pPr>
        <w:suppressAutoHyphens/>
        <w:spacing w:before="120"/>
        <w:jc w:val="both"/>
        <w:rPr>
          <w:rFonts w:asciiTheme="minorHAnsi" w:hAnsiTheme="minorHAnsi" w:cstheme="minorHAnsi"/>
          <w:b/>
          <w:lang w:val="ro-RO"/>
        </w:rPr>
      </w:pPr>
    </w:p>
    <w:p w:rsidR="00235460" w:rsidRPr="00AF3608" w:rsidRDefault="00235460" w:rsidP="00B723C0">
      <w:pPr>
        <w:shd w:val="clear" w:color="auto" w:fill="B4C6E7"/>
        <w:suppressAutoHyphens/>
        <w:spacing w:before="120"/>
        <w:jc w:val="both"/>
        <w:rPr>
          <w:rFonts w:ascii="Calibri" w:hAnsi="Calibri" w:cs="Calibri"/>
          <w:b/>
          <w:i/>
          <w:lang w:val="ro-RO"/>
        </w:rPr>
      </w:pPr>
      <w:r w:rsidRPr="00AF3608">
        <w:rPr>
          <w:rFonts w:ascii="Calibri" w:hAnsi="Calibri" w:cs="Calibri"/>
          <w:b/>
          <w:i/>
          <w:lang w:val="ro-RO"/>
        </w:rPr>
        <w:t>Datoria guvernamentală (conform metodologiei UE)</w:t>
      </w:r>
    </w:p>
    <w:p w:rsidR="00235460" w:rsidRPr="00AF3608" w:rsidRDefault="00235460" w:rsidP="00B723C0">
      <w:pPr>
        <w:widowControl w:val="0"/>
        <w:tabs>
          <w:tab w:val="left" w:pos="993"/>
        </w:tabs>
        <w:rPr>
          <w:rFonts w:ascii="Calibri" w:hAnsi="Calibri" w:cs="Calibri"/>
          <w:lang w:val="ro-RO"/>
        </w:rPr>
      </w:pPr>
    </w:p>
    <w:p w:rsidR="000C7EAB" w:rsidRPr="00AF3608" w:rsidRDefault="000C7EAB" w:rsidP="000C7EAB">
      <w:pPr>
        <w:suppressAutoHyphens/>
        <w:spacing w:before="120"/>
        <w:jc w:val="both"/>
        <w:rPr>
          <w:rFonts w:asciiTheme="minorHAnsi" w:hAnsiTheme="minorHAnsi" w:cstheme="minorHAnsi"/>
          <w:bCs/>
          <w:lang w:val="ro-RO"/>
        </w:rPr>
      </w:pPr>
      <w:r w:rsidRPr="00AF3608">
        <w:rPr>
          <w:rFonts w:asciiTheme="minorHAnsi" w:hAnsiTheme="minorHAnsi" w:cstheme="minorHAnsi"/>
          <w:bCs/>
          <w:lang w:val="ro-RO"/>
        </w:rPr>
        <w:t xml:space="preserve">În anul 2020, datorită provocărilor semnificative impuse de contextul pandemiei COVID-19 și a urgenței implementării unor măsuri care au necesitat eforturi bugetare pentru combaterea efectelor sociale și economice cauzate de declanșarea crizei COVID-19, au crescut necesitățile de finanțare la nivel guvernamental (determinate de nivelul deficitului bugetului general consolidat și de volumul refinanțării datoriei publice), în principal datorită creșterii deficitului bugetar ca urmare a celor 3 rectificări bugetare, de la 3,6% din PIB ținta inițială aprobată prin Legea bugetului de stat nr.5/2020, la 9,14% din PIB stabilit urmare celei de a treia rectificări bugetare din luna noiembrie și aprobat prin Ordonanța de Urgență a Guvernului </w:t>
      </w:r>
      <w:r w:rsidR="00564C22" w:rsidRPr="00AF3608">
        <w:rPr>
          <w:rFonts w:asciiTheme="minorHAnsi" w:hAnsiTheme="minorHAnsi" w:cstheme="minorHAnsi"/>
          <w:bCs/>
          <w:lang w:val="ro-RO"/>
        </w:rPr>
        <w:t>nr.</w:t>
      </w:r>
      <w:r w:rsidRPr="00AF3608">
        <w:rPr>
          <w:rFonts w:asciiTheme="minorHAnsi" w:hAnsiTheme="minorHAnsi" w:cstheme="minorHAnsi"/>
          <w:bCs/>
          <w:lang w:val="ro-RO"/>
        </w:rPr>
        <w:t>201/2020 cu privire la rectificarea bugetului de stat pe anul 2020</w:t>
      </w:r>
      <w:r w:rsidRPr="00AF3608">
        <w:rPr>
          <w:rStyle w:val="FootnoteReference"/>
          <w:rFonts w:asciiTheme="minorHAnsi" w:hAnsiTheme="minorHAnsi" w:cstheme="minorHAnsi"/>
          <w:bCs/>
          <w:lang w:val="ro-RO"/>
        </w:rPr>
        <w:footnoteReference w:id="23"/>
      </w:r>
      <w:r w:rsidRPr="00AF3608">
        <w:rPr>
          <w:rFonts w:asciiTheme="minorHAnsi" w:hAnsiTheme="minorHAnsi" w:cstheme="minorHAnsi"/>
          <w:bCs/>
          <w:lang w:val="ro-RO"/>
        </w:rPr>
        <w:t>.</w:t>
      </w:r>
    </w:p>
    <w:p w:rsidR="000C7EAB" w:rsidRPr="00AF3608" w:rsidRDefault="000C7EAB" w:rsidP="000C7EAB">
      <w:pPr>
        <w:spacing w:before="120"/>
        <w:jc w:val="both"/>
        <w:rPr>
          <w:rFonts w:asciiTheme="minorHAnsi" w:hAnsiTheme="minorHAnsi" w:cstheme="minorHAnsi"/>
          <w:lang w:val="ro-RO"/>
        </w:rPr>
      </w:pPr>
    </w:p>
    <w:p w:rsidR="000C7EAB" w:rsidRPr="00AF3608" w:rsidRDefault="00564C22" w:rsidP="000C7EAB">
      <w:pPr>
        <w:spacing w:before="120"/>
        <w:jc w:val="both"/>
        <w:rPr>
          <w:rFonts w:asciiTheme="minorHAnsi" w:eastAsia="Calibri" w:hAnsiTheme="minorHAnsi" w:cstheme="minorHAnsi"/>
          <w:color w:val="000000"/>
          <w:lang w:val="ro-RO"/>
        </w:rPr>
      </w:pPr>
      <w:r w:rsidRPr="00AF3608">
        <w:rPr>
          <w:rFonts w:asciiTheme="minorHAnsi" w:eastAsia="Calibri" w:hAnsiTheme="minorHAnsi" w:cstheme="minorHAnsi"/>
          <w:color w:val="000000"/>
          <w:lang w:val="ro-RO"/>
        </w:rPr>
        <w:t>La sfârș</w:t>
      </w:r>
      <w:r w:rsidR="000C7EAB" w:rsidRPr="00AF3608">
        <w:rPr>
          <w:rFonts w:asciiTheme="minorHAnsi" w:eastAsia="Calibri" w:hAnsiTheme="minorHAnsi" w:cstheme="minorHAnsi"/>
          <w:color w:val="000000"/>
          <w:lang w:val="ro-RO"/>
        </w:rPr>
        <w:t xml:space="preserve">itul anului 2020, ca urmare a contractării de datorie pentru acoperirea necesităților de finanțare ridicate ale deficitului bugetar (9,79% din PIB conform execuției preliminate) pentru </w:t>
      </w:r>
      <w:r w:rsidRPr="00AF3608">
        <w:rPr>
          <w:rFonts w:asciiTheme="minorHAnsi" w:eastAsia="Calibri" w:hAnsiTheme="minorHAnsi" w:cstheme="minorHAnsi"/>
          <w:color w:val="000000"/>
          <w:lang w:val="ro-RO"/>
        </w:rPr>
        <w:t>prefinanț</w:t>
      </w:r>
      <w:r w:rsidR="000C7EAB" w:rsidRPr="00AF3608">
        <w:rPr>
          <w:rFonts w:asciiTheme="minorHAnsi" w:eastAsia="Calibri" w:hAnsiTheme="minorHAnsi" w:cstheme="minorHAnsi"/>
          <w:color w:val="000000"/>
          <w:lang w:val="ro-RO"/>
        </w:rPr>
        <w:t>area necesităților de finantare pentru anul 2021 și consolidarea rezervei în valută la dispoziția Trezoreriei statului, precum și pe fondul unei scăderi economice de -4,4%</w:t>
      </w:r>
      <w:r w:rsidRPr="00AF3608">
        <w:rPr>
          <w:rFonts w:asciiTheme="minorHAnsi" w:eastAsia="Calibri" w:hAnsiTheme="minorHAnsi" w:cstheme="minorHAnsi"/>
          <w:color w:val="000000"/>
          <w:lang w:val="ro-RO"/>
        </w:rPr>
        <w:t>, ponderea datoriei</w:t>
      </w:r>
      <w:r w:rsidR="000C7EAB" w:rsidRPr="00AF3608">
        <w:rPr>
          <w:rFonts w:asciiTheme="minorHAnsi" w:eastAsia="Calibri" w:hAnsiTheme="minorHAnsi" w:cstheme="minorHAnsi"/>
          <w:color w:val="000000"/>
          <w:lang w:val="ro-RO"/>
        </w:rPr>
        <w:t xml:space="preserve"> guvernamentale, conform metodologiei UE, s-a situat la nivelul de 47,7%</w:t>
      </w:r>
      <w:r w:rsidR="000C7EAB" w:rsidRPr="00AF3608">
        <w:rPr>
          <w:rStyle w:val="FootnoteReference"/>
          <w:rFonts w:asciiTheme="minorHAnsi" w:eastAsia="Calibri" w:hAnsiTheme="minorHAnsi" w:cstheme="minorHAnsi"/>
          <w:color w:val="000000"/>
          <w:lang w:val="ro-RO"/>
        </w:rPr>
        <w:footnoteReference w:id="24"/>
      </w:r>
      <w:r w:rsidR="000C7EAB" w:rsidRPr="00AF3608">
        <w:rPr>
          <w:rFonts w:asciiTheme="minorHAnsi" w:eastAsia="Calibri" w:hAnsiTheme="minorHAnsi" w:cstheme="minorHAnsi"/>
          <w:color w:val="000000"/>
          <w:lang w:val="ro-RO"/>
        </w:rPr>
        <w:t xml:space="preserve"> din PIB, depășind plafonul pentru datoria guvernamentală stabilit pentru anul 2020 la 47,0% din PIB prin </w:t>
      </w:r>
      <w:r w:rsidR="000C7EAB" w:rsidRPr="00AF3608">
        <w:rPr>
          <w:rFonts w:asciiTheme="minorHAnsi" w:eastAsia="Calibri" w:hAnsiTheme="minorHAnsi" w:cstheme="minorHAnsi"/>
          <w:bCs/>
          <w:color w:val="000000"/>
          <w:lang w:val="ro-RO"/>
        </w:rPr>
        <w:t>Ordonanța de Urgență a Guvernului</w:t>
      </w:r>
      <w:r w:rsidR="000C7EAB" w:rsidRPr="00AF3608">
        <w:rPr>
          <w:rFonts w:asciiTheme="minorHAnsi" w:eastAsia="Calibri" w:hAnsiTheme="minorHAnsi" w:cstheme="minorHAnsi"/>
          <w:color w:val="000000"/>
          <w:lang w:val="ro-RO"/>
        </w:rPr>
        <w:t xml:space="preserve"> nr.201/2020. </w:t>
      </w:r>
    </w:p>
    <w:p w:rsidR="000C7EAB" w:rsidRPr="00AF3608" w:rsidRDefault="000C7EAB" w:rsidP="000C7EAB">
      <w:pPr>
        <w:spacing w:before="120"/>
        <w:jc w:val="both"/>
        <w:rPr>
          <w:rFonts w:asciiTheme="minorHAnsi" w:hAnsiTheme="minorHAnsi" w:cstheme="minorHAnsi"/>
          <w:bCs/>
          <w:lang w:val="ro-RO"/>
        </w:rPr>
      </w:pPr>
      <w:r w:rsidRPr="00AF3608">
        <w:rPr>
          <w:rFonts w:asciiTheme="minorHAnsi" w:hAnsiTheme="minorHAnsi" w:cstheme="minorHAnsi"/>
          <w:bCs/>
          <w:lang w:val="ro-RO"/>
        </w:rPr>
        <w:t>În plus, având în vedere că pentru sfârșitul anului 2020 nivelul estimat al datoriei guvernamentale calculată conform metodologiei UE depașește limita</w:t>
      </w:r>
      <w:r w:rsidR="00564C22" w:rsidRPr="00AF3608">
        <w:rPr>
          <w:rFonts w:asciiTheme="minorHAnsi" w:hAnsiTheme="minorHAnsi" w:cstheme="minorHAnsi"/>
          <w:bCs/>
          <w:lang w:val="ro-RO"/>
        </w:rPr>
        <w:t xml:space="preserve"> de 45% din PIB, dar se situează</w:t>
      </w:r>
      <w:r w:rsidRPr="00AF3608">
        <w:rPr>
          <w:rFonts w:asciiTheme="minorHAnsi" w:hAnsiTheme="minorHAnsi" w:cstheme="minorHAnsi"/>
          <w:bCs/>
          <w:lang w:val="ro-RO"/>
        </w:rPr>
        <w:t xml:space="preserve"> sub 50% din PIB, la momentul în</w:t>
      </w:r>
      <w:r w:rsidR="00564C22" w:rsidRPr="00AF3608">
        <w:rPr>
          <w:rFonts w:asciiTheme="minorHAnsi" w:hAnsiTheme="minorHAnsi" w:cstheme="minorHAnsi"/>
          <w:bCs/>
          <w:lang w:val="ro-RO"/>
        </w:rPr>
        <w:t xml:space="preserve"> care se înregistrează în execuț</w:t>
      </w:r>
      <w:r w:rsidRPr="00AF3608">
        <w:rPr>
          <w:rFonts w:asciiTheme="minorHAnsi" w:hAnsiTheme="minorHAnsi" w:cstheme="minorHAnsi"/>
          <w:bCs/>
          <w:lang w:val="ro-RO"/>
        </w:rPr>
        <w:t xml:space="preserve">ie ponderea datoriei guvernamentale de peste 45% din PIB, </w:t>
      </w:r>
      <w:r w:rsidR="00564C22" w:rsidRPr="00AF3608">
        <w:rPr>
          <w:rFonts w:asciiTheme="minorHAnsi" w:hAnsiTheme="minorHAnsi" w:cstheme="minorHAnsi"/>
          <w:bCs/>
          <w:lang w:val="ro-RO"/>
        </w:rPr>
        <w:t xml:space="preserve">conform </w:t>
      </w:r>
      <w:r w:rsidRPr="00AF3608">
        <w:rPr>
          <w:rFonts w:asciiTheme="minorHAnsi" w:hAnsiTheme="minorHAnsi" w:cstheme="minorHAnsi"/>
          <w:bCs/>
          <w:lang w:val="ro-RO"/>
        </w:rPr>
        <w:t>Legii respon</w:t>
      </w:r>
      <w:r w:rsidR="00564C22" w:rsidRPr="00AF3608">
        <w:rPr>
          <w:rFonts w:asciiTheme="minorHAnsi" w:hAnsiTheme="minorHAnsi" w:cstheme="minorHAnsi"/>
          <w:bCs/>
          <w:lang w:val="ro-RO"/>
        </w:rPr>
        <w:t>sabilității fiscal-bugetare nr.</w:t>
      </w:r>
      <w:r w:rsidRPr="00AF3608">
        <w:rPr>
          <w:rFonts w:asciiTheme="minorHAnsi" w:hAnsiTheme="minorHAnsi" w:cstheme="minorHAnsi"/>
          <w:bCs/>
          <w:lang w:val="ro-RO"/>
        </w:rPr>
        <w:t>69/2010,</w:t>
      </w:r>
      <w:r w:rsidR="00564C22" w:rsidRPr="00AF3608">
        <w:rPr>
          <w:rFonts w:asciiTheme="minorHAnsi" w:hAnsiTheme="minorHAnsi" w:cstheme="minorHAnsi"/>
          <w:bCs/>
          <w:lang w:val="ro-RO"/>
        </w:rPr>
        <w:t xml:space="preserve"> republicată,</w:t>
      </w:r>
      <w:r w:rsidRPr="00AF3608">
        <w:rPr>
          <w:rFonts w:asciiTheme="minorHAnsi" w:hAnsiTheme="minorHAnsi" w:cstheme="minorHAnsi"/>
          <w:bCs/>
          <w:lang w:val="ro-RO"/>
        </w:rPr>
        <w:t xml:space="preserve"> Ministerul Finanțelor va prezenta Guvernului un raport privind justificarea creșterii datoriei guvernamentale și propuneri pentru menținerea acestui indicator la un nivel sustenabil.</w:t>
      </w:r>
    </w:p>
    <w:p w:rsidR="000C7EAB" w:rsidRPr="00AF3608" w:rsidRDefault="000C7EAB" w:rsidP="000C7EAB">
      <w:pPr>
        <w:tabs>
          <w:tab w:val="left" w:pos="5160"/>
        </w:tabs>
        <w:spacing w:before="120"/>
        <w:jc w:val="both"/>
        <w:rPr>
          <w:rFonts w:asciiTheme="minorHAnsi" w:hAnsiTheme="minorHAnsi" w:cstheme="minorHAnsi"/>
          <w:lang w:val="ro-RO"/>
        </w:rPr>
      </w:pPr>
      <w:r w:rsidRPr="00AF3608">
        <w:rPr>
          <w:rFonts w:asciiTheme="minorHAnsi" w:hAnsiTheme="minorHAnsi" w:cstheme="minorHAnsi"/>
          <w:lang w:val="ro-RO"/>
        </w:rPr>
        <w:t>Nivelului datoriei guvernamentale în PIB include și datoria contractată în nume propriu de companiile reclasificate în sectorul administrație publică la sfârșitul lunii decembrie 2020 de 0,1% în PIB, nivel care a fost extrapolat pe întreaga perioadă de analiză.</w:t>
      </w:r>
    </w:p>
    <w:p w:rsidR="000C7EAB" w:rsidRPr="00AF3608" w:rsidRDefault="000C7EAB" w:rsidP="000C7EAB">
      <w:pPr>
        <w:widowControl w:val="0"/>
        <w:tabs>
          <w:tab w:val="left" w:pos="993"/>
        </w:tabs>
        <w:spacing w:before="120"/>
        <w:ind w:right="-108"/>
        <w:jc w:val="both"/>
        <w:rPr>
          <w:rFonts w:asciiTheme="minorHAnsi" w:hAnsiTheme="minorHAnsi" w:cstheme="minorHAnsi"/>
          <w:iCs/>
          <w:lang w:val="ro-RO"/>
        </w:rPr>
      </w:pPr>
      <w:r w:rsidRPr="00AF3608">
        <w:rPr>
          <w:rFonts w:asciiTheme="minorHAnsi" w:hAnsiTheme="minorHAnsi" w:cstheme="minorHAnsi"/>
          <w:iCs/>
          <w:lang w:val="ro-RO"/>
        </w:rPr>
        <w:t>Pe termen mediu (2021 – 2023), în condiții de consolidare fiscală, datoria guvernamentală brută, conform metodologiei UE se va mentine la un nivel sustenabil, sub nivelul de 60%, fiind estimată la un nivel ce nu va depăși 55,0% din PIB, în timp ce datoria guvernamentală netă (</w:t>
      </w:r>
      <w:r w:rsidRPr="00AF3608">
        <w:rPr>
          <w:rFonts w:asciiTheme="minorHAnsi" w:hAnsiTheme="minorHAnsi" w:cstheme="minorHAnsi"/>
          <w:lang w:val="ro-RO"/>
        </w:rPr>
        <w:t>reprezentând datoria guvernamentală brută minus activele financiare lichide)</w:t>
      </w:r>
      <w:r w:rsidRPr="00AF3608">
        <w:rPr>
          <w:rFonts w:asciiTheme="minorHAnsi" w:hAnsiTheme="minorHAnsi" w:cstheme="minorHAnsi"/>
          <w:vertAlign w:val="superscript"/>
          <w:lang w:val="ro-RO"/>
        </w:rPr>
        <w:footnoteReference w:id="25"/>
      </w:r>
      <w:r w:rsidRPr="00AF3608">
        <w:rPr>
          <w:rFonts w:asciiTheme="minorHAnsi" w:hAnsiTheme="minorHAnsi" w:cstheme="minorHAnsi"/>
          <w:lang w:val="ro-RO"/>
        </w:rPr>
        <w:t xml:space="preserve"> </w:t>
      </w:r>
      <w:r w:rsidRPr="00AF3608">
        <w:rPr>
          <w:rFonts w:asciiTheme="minorHAnsi" w:hAnsiTheme="minorHAnsi" w:cstheme="minorHAnsi"/>
          <w:iCs/>
          <w:lang w:val="ro-RO"/>
        </w:rPr>
        <w:t>nu va depăşi 48,0% din PIB.</w:t>
      </w:r>
    </w:p>
    <w:p w:rsidR="000C7EAB" w:rsidRDefault="000C7EAB" w:rsidP="000C7EAB">
      <w:pPr>
        <w:widowControl w:val="0"/>
        <w:tabs>
          <w:tab w:val="left" w:pos="993"/>
        </w:tabs>
        <w:spacing w:before="120"/>
        <w:ind w:right="-108"/>
        <w:rPr>
          <w:rFonts w:asciiTheme="minorHAnsi" w:hAnsiTheme="minorHAnsi" w:cstheme="minorHAnsi"/>
          <w:b/>
          <w:lang w:val="ro-RO"/>
        </w:rPr>
      </w:pPr>
    </w:p>
    <w:p w:rsidR="00F00402" w:rsidRPr="00AF3608" w:rsidRDefault="00F00402" w:rsidP="000C7EAB">
      <w:pPr>
        <w:widowControl w:val="0"/>
        <w:tabs>
          <w:tab w:val="left" w:pos="993"/>
        </w:tabs>
        <w:spacing w:before="120"/>
        <w:ind w:right="-108"/>
        <w:rPr>
          <w:rFonts w:asciiTheme="minorHAnsi" w:hAnsiTheme="minorHAnsi" w:cstheme="minorHAnsi"/>
          <w:b/>
          <w:lang w:val="ro-RO"/>
        </w:rPr>
      </w:pPr>
    </w:p>
    <w:p w:rsidR="000C7EAB" w:rsidRPr="00AF3608" w:rsidRDefault="000C7EAB" w:rsidP="000C7EAB">
      <w:pPr>
        <w:tabs>
          <w:tab w:val="left" w:pos="5160"/>
        </w:tabs>
        <w:spacing w:line="276" w:lineRule="auto"/>
        <w:jc w:val="center"/>
        <w:rPr>
          <w:rFonts w:ascii="Arial Narrow" w:hAnsi="Arial Narrow" w:cs="Arial"/>
          <w:b/>
          <w:i/>
          <w:sz w:val="22"/>
          <w:lang w:val="ro-RO"/>
        </w:rPr>
      </w:pPr>
      <w:r w:rsidRPr="00AF3608">
        <w:rPr>
          <w:rFonts w:ascii="Arial Narrow" w:hAnsi="Arial Narrow" w:cs="Arial"/>
          <w:b/>
          <w:i/>
          <w:sz w:val="22"/>
          <w:lang w:val="ro-RO"/>
        </w:rPr>
        <w:t>Datoria guvernamentala conform metodologiei UE (%PIB)</w:t>
      </w:r>
    </w:p>
    <w:p w:rsidR="000C7EAB" w:rsidRPr="00AF3608" w:rsidRDefault="000C7EAB" w:rsidP="000C7EAB">
      <w:pPr>
        <w:tabs>
          <w:tab w:val="left" w:pos="5160"/>
        </w:tabs>
        <w:spacing w:line="276" w:lineRule="auto"/>
        <w:jc w:val="center"/>
        <w:rPr>
          <w:rFonts w:ascii="Arial Narrow" w:hAnsi="Arial Narrow" w:cs="Arial"/>
          <w:b/>
          <w:i/>
          <w:color w:val="365F91"/>
          <w:sz w:val="22"/>
          <w:lang w:val="ro-RO"/>
        </w:rPr>
      </w:pPr>
      <w:r w:rsidRPr="00AF3608">
        <w:rPr>
          <w:noProof/>
        </w:rPr>
        <w:drawing>
          <wp:inline distT="0" distB="0" distL="0" distR="0" wp14:anchorId="0B4E2E41" wp14:editId="51513028">
            <wp:extent cx="5276850" cy="22860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C7EAB" w:rsidRPr="00AF3608" w:rsidRDefault="000C7EAB" w:rsidP="000C7EAB">
      <w:pPr>
        <w:tabs>
          <w:tab w:val="left" w:pos="5160"/>
        </w:tabs>
        <w:spacing w:line="276" w:lineRule="auto"/>
        <w:jc w:val="center"/>
        <w:rPr>
          <w:rFonts w:ascii="Arial Narrow" w:hAnsi="Arial Narrow" w:cs="Arial"/>
          <w:b/>
          <w:i/>
          <w:color w:val="365F91"/>
          <w:sz w:val="22"/>
          <w:lang w:val="ro-RO"/>
        </w:rPr>
      </w:pPr>
    </w:p>
    <w:p w:rsidR="000C7EAB" w:rsidRPr="00AF3608" w:rsidRDefault="000C7EAB" w:rsidP="000C7EAB">
      <w:pPr>
        <w:widowControl w:val="0"/>
        <w:tabs>
          <w:tab w:val="left" w:pos="993"/>
        </w:tabs>
        <w:spacing w:line="276" w:lineRule="auto"/>
        <w:ind w:right="-108"/>
        <w:jc w:val="center"/>
        <w:rPr>
          <w:rFonts w:ascii="Calibri" w:hAnsi="Calibri" w:cs="Arial Narrow"/>
          <w:b/>
          <w:color w:val="000080"/>
          <w:lang w:val="ro-RO"/>
        </w:rPr>
      </w:pPr>
    </w:p>
    <w:p w:rsidR="000C7EAB" w:rsidRPr="00AF3608" w:rsidRDefault="000C7EAB" w:rsidP="000C7EAB">
      <w:pPr>
        <w:tabs>
          <w:tab w:val="left" w:pos="5160"/>
        </w:tabs>
        <w:spacing w:line="276" w:lineRule="auto"/>
        <w:rPr>
          <w:rFonts w:ascii="Arial Narrow" w:hAnsi="Arial Narrow" w:cs="Arial"/>
          <w:i/>
          <w:sz w:val="14"/>
          <w:szCs w:val="16"/>
          <w:lang w:val="ro-RO" w:eastAsia="ro-RO"/>
        </w:rPr>
      </w:pPr>
      <w:r w:rsidRPr="00AF3608">
        <w:rPr>
          <w:rFonts w:ascii="Arial Narrow" w:hAnsi="Arial Narrow" w:cs="Arial"/>
          <w:i/>
          <w:sz w:val="14"/>
          <w:szCs w:val="16"/>
          <w:lang w:val="ro-RO" w:eastAsia="ro-RO"/>
        </w:rPr>
        <w:t xml:space="preserve">          Sursa: Ministerul Finanțelor</w:t>
      </w:r>
    </w:p>
    <w:p w:rsidR="000C7EAB" w:rsidRPr="00AF3608" w:rsidRDefault="000C7EAB" w:rsidP="000C7EAB">
      <w:pPr>
        <w:jc w:val="both"/>
        <w:rPr>
          <w:rFonts w:ascii="Calibri" w:hAnsi="Calibri" w:cs="Arial"/>
          <w:iCs/>
          <w:sz w:val="12"/>
          <w:lang w:val="ro-RO"/>
        </w:rPr>
      </w:pPr>
    </w:p>
    <w:p w:rsidR="000C7EAB" w:rsidRPr="00AF3608" w:rsidRDefault="000C7EAB" w:rsidP="000C7EAB">
      <w:pPr>
        <w:jc w:val="both"/>
        <w:rPr>
          <w:rFonts w:ascii="Calibri" w:hAnsi="Calibri" w:cs="Arial"/>
          <w:iCs/>
          <w:lang w:val="ro-RO"/>
        </w:rPr>
      </w:pPr>
    </w:p>
    <w:p w:rsidR="000C7EAB" w:rsidRPr="00AF3608" w:rsidRDefault="000C7EAB" w:rsidP="000C7EAB">
      <w:pPr>
        <w:jc w:val="both"/>
        <w:rPr>
          <w:rFonts w:ascii="Calibri" w:hAnsi="Calibri" w:cs="Arial"/>
          <w:iCs/>
          <w:lang w:val="ro-RO"/>
        </w:rPr>
      </w:pPr>
      <w:r w:rsidRPr="00AF3608">
        <w:rPr>
          <w:rFonts w:ascii="Calibri" w:hAnsi="Calibri" w:cs="Arial"/>
          <w:iCs/>
          <w:lang w:val="ro-RO"/>
        </w:rPr>
        <w:t>Factorii care vor determina nivelul datoriei publice conform metodologiei UE, pe termen mediu sunt prezentati în tabelul de mai jos:</w:t>
      </w:r>
    </w:p>
    <w:p w:rsidR="000C7EAB" w:rsidRPr="00AF3608" w:rsidRDefault="000C7EAB" w:rsidP="000C7EAB">
      <w:pPr>
        <w:spacing w:line="276" w:lineRule="auto"/>
        <w:jc w:val="both"/>
        <w:rPr>
          <w:rFonts w:asciiTheme="minorHAnsi" w:hAnsiTheme="minorHAnsi" w:cstheme="minorHAnsi"/>
          <w:iCs/>
          <w:lang w:val="ro-RO"/>
        </w:rPr>
      </w:pPr>
    </w:p>
    <w:tbl>
      <w:tblPr>
        <w:tblW w:w="9230" w:type="dxa"/>
        <w:jc w:val="center"/>
        <w:tblBorders>
          <w:top w:val="single" w:sz="2" w:space="0" w:color="365F91"/>
          <w:bottom w:val="single" w:sz="2" w:space="0" w:color="365F91"/>
          <w:insideH w:val="single" w:sz="2" w:space="0" w:color="365F91"/>
        </w:tblBorders>
        <w:tblLayout w:type="fixed"/>
        <w:tblLook w:val="0000" w:firstRow="0" w:lastRow="0" w:firstColumn="0" w:lastColumn="0" w:noHBand="0" w:noVBand="0"/>
      </w:tblPr>
      <w:tblGrid>
        <w:gridCol w:w="3828"/>
        <w:gridCol w:w="856"/>
        <w:gridCol w:w="856"/>
        <w:gridCol w:w="855"/>
        <w:gridCol w:w="992"/>
        <w:gridCol w:w="851"/>
        <w:gridCol w:w="992"/>
      </w:tblGrid>
      <w:tr w:rsidR="000C7EAB" w:rsidRPr="00AF3608" w:rsidTr="00173CDE">
        <w:trPr>
          <w:trHeight w:val="784"/>
          <w:jc w:val="center"/>
        </w:trPr>
        <w:tc>
          <w:tcPr>
            <w:tcW w:w="3828" w:type="dxa"/>
            <w:shd w:val="clear" w:color="auto" w:fill="365F91"/>
            <w:vAlign w:val="center"/>
          </w:tcPr>
          <w:p w:rsidR="000C7EAB" w:rsidRPr="00AF3608" w:rsidRDefault="000C7EAB" w:rsidP="00173CDE">
            <w:pPr>
              <w:widowControl w:val="0"/>
              <w:spacing w:after="120" w:line="276" w:lineRule="auto"/>
              <w:jc w:val="center"/>
              <w:rPr>
                <w:rFonts w:ascii="Calibri" w:hAnsi="Calibri" w:cs="Calibri"/>
                <w:b/>
                <w:color w:val="FFFFFF"/>
                <w:sz w:val="20"/>
                <w:lang w:val="ro-RO" w:eastAsia="ro-RO"/>
              </w:rPr>
            </w:pPr>
            <w:r w:rsidRPr="00AF3608">
              <w:rPr>
                <w:rFonts w:ascii="Calibri" w:hAnsi="Calibri" w:cs="Calibri"/>
                <w:b/>
                <w:color w:val="FFFFFF"/>
                <w:sz w:val="20"/>
                <w:lang w:val="ro-RO" w:eastAsia="ro-RO"/>
              </w:rPr>
              <w:t>% DIN PIB</w:t>
            </w:r>
          </w:p>
        </w:tc>
        <w:tc>
          <w:tcPr>
            <w:tcW w:w="856" w:type="dxa"/>
            <w:shd w:val="clear" w:color="auto" w:fill="365F91"/>
            <w:vAlign w:val="center"/>
          </w:tcPr>
          <w:p w:rsidR="000C7EAB" w:rsidRPr="00AF3608" w:rsidRDefault="000C7EAB" w:rsidP="00173CDE">
            <w:pPr>
              <w:widowControl w:val="0"/>
              <w:spacing w:after="120" w:line="276" w:lineRule="auto"/>
              <w:jc w:val="center"/>
              <w:rPr>
                <w:rFonts w:ascii="Calibri" w:hAnsi="Calibri" w:cs="Calibri"/>
                <w:b/>
                <w:color w:val="FFFFFF"/>
                <w:sz w:val="20"/>
                <w:lang w:val="ro-RO" w:eastAsia="ro-RO"/>
              </w:rPr>
            </w:pPr>
            <w:r w:rsidRPr="00AF3608">
              <w:rPr>
                <w:rFonts w:ascii="Calibri" w:hAnsi="Calibri" w:cs="Calibri"/>
                <w:b/>
                <w:color w:val="FFFFFF"/>
                <w:sz w:val="20"/>
                <w:lang w:val="ro-RO" w:eastAsia="ro-RO"/>
              </w:rPr>
              <w:t>CODUL SEC</w:t>
            </w:r>
          </w:p>
        </w:tc>
        <w:tc>
          <w:tcPr>
            <w:tcW w:w="856" w:type="dxa"/>
            <w:shd w:val="clear" w:color="auto" w:fill="365F91"/>
            <w:vAlign w:val="center"/>
          </w:tcPr>
          <w:p w:rsidR="000C7EAB" w:rsidRPr="00AF3608" w:rsidRDefault="000C7EAB" w:rsidP="00173CDE">
            <w:pPr>
              <w:widowControl w:val="0"/>
              <w:spacing w:after="120" w:line="276" w:lineRule="auto"/>
              <w:jc w:val="center"/>
              <w:rPr>
                <w:rFonts w:ascii="Calibri" w:hAnsi="Calibri" w:cs="Calibri"/>
                <w:b/>
                <w:color w:val="FFFFFF"/>
                <w:sz w:val="20"/>
                <w:szCs w:val="20"/>
                <w:lang w:val="ro-RO" w:eastAsia="ro-RO"/>
              </w:rPr>
            </w:pPr>
            <w:r w:rsidRPr="00AF3608">
              <w:rPr>
                <w:rFonts w:ascii="Calibri" w:hAnsi="Calibri" w:cs="Calibri"/>
                <w:b/>
                <w:color w:val="FFFFFF"/>
                <w:sz w:val="20"/>
                <w:szCs w:val="20"/>
                <w:lang w:val="ro-RO" w:eastAsia="ro-RO"/>
              </w:rPr>
              <w:t>2019</w:t>
            </w:r>
          </w:p>
        </w:tc>
        <w:tc>
          <w:tcPr>
            <w:tcW w:w="855" w:type="dxa"/>
            <w:shd w:val="clear" w:color="auto" w:fill="365F91"/>
            <w:vAlign w:val="center"/>
          </w:tcPr>
          <w:p w:rsidR="000C7EAB" w:rsidRPr="00AF3608" w:rsidRDefault="000C7EAB" w:rsidP="00173CDE">
            <w:pPr>
              <w:widowControl w:val="0"/>
              <w:spacing w:after="120" w:line="276" w:lineRule="auto"/>
              <w:jc w:val="center"/>
              <w:rPr>
                <w:rFonts w:ascii="Calibri" w:hAnsi="Calibri" w:cs="Calibri"/>
                <w:b/>
                <w:color w:val="FFFFFF"/>
                <w:sz w:val="20"/>
                <w:szCs w:val="20"/>
                <w:lang w:val="ro-RO" w:eastAsia="ro-RO"/>
              </w:rPr>
            </w:pPr>
            <w:r w:rsidRPr="00AF3608">
              <w:rPr>
                <w:rFonts w:ascii="Calibri" w:hAnsi="Calibri" w:cs="Calibri"/>
                <w:b/>
                <w:color w:val="FFFFFF"/>
                <w:sz w:val="20"/>
                <w:szCs w:val="20"/>
                <w:lang w:val="ro-RO" w:eastAsia="ro-RO"/>
              </w:rPr>
              <w:t>2020</w:t>
            </w:r>
          </w:p>
          <w:p w:rsidR="000C7EAB" w:rsidRPr="00AF3608" w:rsidRDefault="000C7EAB" w:rsidP="00173CDE">
            <w:pPr>
              <w:widowControl w:val="0"/>
              <w:spacing w:after="120" w:line="276" w:lineRule="auto"/>
              <w:jc w:val="center"/>
              <w:rPr>
                <w:rFonts w:ascii="Calibri" w:hAnsi="Calibri" w:cs="Calibri"/>
                <w:b/>
                <w:color w:val="FFFFFF"/>
                <w:sz w:val="20"/>
                <w:szCs w:val="20"/>
                <w:lang w:val="ro-RO" w:eastAsia="ro-RO"/>
              </w:rPr>
            </w:pPr>
            <w:r w:rsidRPr="00AF3608">
              <w:rPr>
                <w:rFonts w:ascii="Calibri" w:hAnsi="Calibri" w:cs="Calibri"/>
                <w:b/>
                <w:color w:val="FFFFFF"/>
                <w:sz w:val="20"/>
                <w:szCs w:val="20"/>
                <w:lang w:val="ro-RO" w:eastAsia="ro-RO"/>
              </w:rPr>
              <w:t>est.</w:t>
            </w:r>
          </w:p>
        </w:tc>
        <w:tc>
          <w:tcPr>
            <w:tcW w:w="992" w:type="dxa"/>
            <w:shd w:val="clear" w:color="auto" w:fill="365F91"/>
            <w:vAlign w:val="center"/>
          </w:tcPr>
          <w:p w:rsidR="000C7EAB" w:rsidRPr="00AF3608" w:rsidRDefault="000C7EAB" w:rsidP="00173CDE">
            <w:pPr>
              <w:widowControl w:val="0"/>
              <w:spacing w:after="120" w:line="276" w:lineRule="auto"/>
              <w:jc w:val="center"/>
              <w:rPr>
                <w:rFonts w:ascii="Calibri" w:hAnsi="Calibri" w:cs="Calibri"/>
                <w:b/>
                <w:color w:val="FFFFFF"/>
                <w:sz w:val="20"/>
                <w:szCs w:val="20"/>
                <w:lang w:val="ro-RO" w:eastAsia="ro-RO"/>
              </w:rPr>
            </w:pPr>
            <w:r w:rsidRPr="00AF3608">
              <w:rPr>
                <w:rFonts w:ascii="Calibri" w:hAnsi="Calibri" w:cs="Calibri"/>
                <w:b/>
                <w:color w:val="FFFFFF"/>
                <w:sz w:val="20"/>
                <w:szCs w:val="20"/>
                <w:lang w:val="ro-RO" w:eastAsia="ro-RO"/>
              </w:rPr>
              <w:t>2021</w:t>
            </w:r>
          </w:p>
          <w:p w:rsidR="000C7EAB" w:rsidRPr="00AF3608" w:rsidRDefault="000C7EAB" w:rsidP="00173CDE">
            <w:pPr>
              <w:widowControl w:val="0"/>
              <w:spacing w:after="120" w:line="276" w:lineRule="auto"/>
              <w:jc w:val="center"/>
              <w:rPr>
                <w:rFonts w:ascii="Calibri" w:hAnsi="Calibri" w:cs="Calibri"/>
                <w:b/>
                <w:color w:val="FFFFFF"/>
                <w:sz w:val="20"/>
                <w:szCs w:val="20"/>
                <w:lang w:val="ro-RO" w:eastAsia="ro-RO"/>
              </w:rPr>
            </w:pPr>
            <w:r w:rsidRPr="00AF3608">
              <w:rPr>
                <w:rFonts w:ascii="Calibri" w:hAnsi="Calibri" w:cs="Calibri"/>
                <w:b/>
                <w:color w:val="FFFFFF"/>
                <w:sz w:val="20"/>
                <w:szCs w:val="20"/>
                <w:lang w:val="ro-RO" w:eastAsia="ro-RO"/>
              </w:rPr>
              <w:t>prog.</w:t>
            </w:r>
          </w:p>
        </w:tc>
        <w:tc>
          <w:tcPr>
            <w:tcW w:w="851" w:type="dxa"/>
            <w:shd w:val="clear" w:color="auto" w:fill="365F91"/>
            <w:vAlign w:val="center"/>
          </w:tcPr>
          <w:p w:rsidR="000C7EAB" w:rsidRPr="00AF3608" w:rsidRDefault="000C7EAB" w:rsidP="00173CDE">
            <w:pPr>
              <w:widowControl w:val="0"/>
              <w:spacing w:after="120" w:line="276" w:lineRule="auto"/>
              <w:jc w:val="center"/>
              <w:rPr>
                <w:rFonts w:ascii="Calibri" w:hAnsi="Calibri" w:cs="Calibri"/>
                <w:b/>
                <w:color w:val="FFFFFF"/>
                <w:sz w:val="20"/>
                <w:szCs w:val="20"/>
                <w:lang w:val="ro-RO" w:eastAsia="ro-RO"/>
              </w:rPr>
            </w:pPr>
            <w:r w:rsidRPr="00AF3608">
              <w:rPr>
                <w:rFonts w:ascii="Calibri" w:hAnsi="Calibri" w:cs="Calibri"/>
                <w:b/>
                <w:color w:val="FFFFFF"/>
                <w:sz w:val="20"/>
                <w:szCs w:val="20"/>
                <w:lang w:val="ro-RO" w:eastAsia="ro-RO"/>
              </w:rPr>
              <w:t>2022</w:t>
            </w:r>
          </w:p>
          <w:p w:rsidR="000C7EAB" w:rsidRPr="00AF3608" w:rsidRDefault="000C7EAB" w:rsidP="00173CDE">
            <w:pPr>
              <w:widowControl w:val="0"/>
              <w:spacing w:after="120" w:line="276" w:lineRule="auto"/>
              <w:jc w:val="center"/>
              <w:rPr>
                <w:color w:val="FFFFFF"/>
                <w:lang w:val="ro-RO"/>
              </w:rPr>
            </w:pPr>
            <w:r w:rsidRPr="00AF3608">
              <w:rPr>
                <w:rFonts w:ascii="Calibri" w:hAnsi="Calibri" w:cs="Calibri"/>
                <w:b/>
                <w:color w:val="FFFFFF"/>
                <w:sz w:val="20"/>
                <w:szCs w:val="20"/>
                <w:lang w:val="ro-RO" w:eastAsia="ro-RO"/>
              </w:rPr>
              <w:t>prog.</w:t>
            </w:r>
          </w:p>
        </w:tc>
        <w:tc>
          <w:tcPr>
            <w:tcW w:w="992" w:type="dxa"/>
            <w:shd w:val="clear" w:color="auto" w:fill="365F91"/>
            <w:vAlign w:val="center"/>
          </w:tcPr>
          <w:p w:rsidR="000C7EAB" w:rsidRPr="00AF3608" w:rsidRDefault="000C7EAB" w:rsidP="00173CDE">
            <w:pPr>
              <w:widowControl w:val="0"/>
              <w:spacing w:after="120" w:line="276" w:lineRule="auto"/>
              <w:jc w:val="center"/>
              <w:rPr>
                <w:rFonts w:ascii="Calibri" w:hAnsi="Calibri" w:cs="Calibri"/>
                <w:b/>
                <w:color w:val="FFFFFF"/>
                <w:sz w:val="20"/>
                <w:szCs w:val="20"/>
                <w:lang w:val="ro-RO" w:eastAsia="ro-RO"/>
              </w:rPr>
            </w:pPr>
            <w:r w:rsidRPr="00AF3608">
              <w:rPr>
                <w:rFonts w:ascii="Calibri" w:hAnsi="Calibri" w:cs="Calibri"/>
                <w:b/>
                <w:color w:val="FFFFFF"/>
                <w:sz w:val="20"/>
                <w:szCs w:val="20"/>
                <w:lang w:val="ro-RO" w:eastAsia="ro-RO"/>
              </w:rPr>
              <w:t>2023</w:t>
            </w:r>
          </w:p>
          <w:p w:rsidR="000C7EAB" w:rsidRPr="00AF3608" w:rsidRDefault="000C7EAB" w:rsidP="00173CDE">
            <w:pPr>
              <w:widowControl w:val="0"/>
              <w:spacing w:after="120" w:line="276" w:lineRule="auto"/>
              <w:jc w:val="center"/>
              <w:rPr>
                <w:color w:val="FFFFFF"/>
                <w:lang w:val="ro-RO"/>
              </w:rPr>
            </w:pPr>
            <w:r w:rsidRPr="00AF3608">
              <w:rPr>
                <w:rFonts w:ascii="Calibri" w:hAnsi="Calibri" w:cs="Calibri"/>
                <w:b/>
                <w:color w:val="FFFFFF"/>
                <w:sz w:val="20"/>
                <w:szCs w:val="20"/>
                <w:lang w:val="ro-RO" w:eastAsia="ro-RO"/>
              </w:rPr>
              <w:t>prog.</w:t>
            </w:r>
          </w:p>
        </w:tc>
      </w:tr>
      <w:tr w:rsidR="000C7EAB" w:rsidRPr="00AF3608" w:rsidTr="00173CDE">
        <w:trPr>
          <w:trHeight w:val="361"/>
          <w:jc w:val="center"/>
        </w:trPr>
        <w:tc>
          <w:tcPr>
            <w:tcW w:w="3828" w:type="dxa"/>
            <w:shd w:val="clear" w:color="auto" w:fill="auto"/>
            <w:vAlign w:val="center"/>
          </w:tcPr>
          <w:p w:rsidR="000C7EAB" w:rsidRPr="00AF3608" w:rsidRDefault="000C7EAB" w:rsidP="00173CDE">
            <w:pPr>
              <w:widowControl w:val="0"/>
              <w:shd w:val="clear" w:color="auto" w:fill="FFFFFF"/>
              <w:rPr>
                <w:rFonts w:ascii="Calibri" w:hAnsi="Calibri" w:cs="Calibri"/>
                <w:sz w:val="20"/>
                <w:szCs w:val="20"/>
                <w:lang w:val="ro-RO" w:eastAsia="ro-RO"/>
              </w:rPr>
            </w:pPr>
            <w:r w:rsidRPr="00AF3608">
              <w:rPr>
                <w:rFonts w:ascii="Calibri" w:hAnsi="Calibri" w:cs="Calibri"/>
                <w:sz w:val="20"/>
                <w:szCs w:val="20"/>
                <w:lang w:val="ro-RO" w:eastAsia="ro-RO"/>
              </w:rPr>
              <w:t>1. Datoria guvernamentală brută</w:t>
            </w:r>
          </w:p>
        </w:tc>
        <w:tc>
          <w:tcPr>
            <w:tcW w:w="856" w:type="dxa"/>
            <w:shd w:val="clear" w:color="auto" w:fill="auto"/>
            <w:vAlign w:val="center"/>
          </w:tcPr>
          <w:p w:rsidR="000C7EAB" w:rsidRPr="00AF3608" w:rsidRDefault="000C7EAB" w:rsidP="00173CDE">
            <w:pPr>
              <w:snapToGrid w:val="0"/>
              <w:jc w:val="center"/>
              <w:rPr>
                <w:rFonts w:ascii="Calibri" w:hAnsi="Calibri" w:cs="Calibri"/>
                <w:sz w:val="20"/>
                <w:szCs w:val="20"/>
                <w:lang w:val="ro-RO" w:eastAsia="ro-RO"/>
              </w:rPr>
            </w:pPr>
          </w:p>
        </w:tc>
        <w:tc>
          <w:tcPr>
            <w:tcW w:w="856" w:type="dxa"/>
            <w:shd w:val="clear" w:color="auto" w:fill="auto"/>
          </w:tcPr>
          <w:p w:rsidR="000C7EAB" w:rsidRPr="00AF3608" w:rsidRDefault="000C7EAB" w:rsidP="00173CDE">
            <w:pPr>
              <w:jc w:val="center"/>
              <w:rPr>
                <w:rFonts w:asciiTheme="minorHAnsi" w:hAnsiTheme="minorHAnsi" w:cstheme="minorHAnsi"/>
                <w:sz w:val="20"/>
                <w:szCs w:val="20"/>
                <w:lang w:val="ro-RO"/>
              </w:rPr>
            </w:pPr>
            <w:r w:rsidRPr="00AF3608">
              <w:rPr>
                <w:rFonts w:asciiTheme="minorHAnsi" w:hAnsiTheme="minorHAnsi" w:cstheme="minorHAnsi"/>
                <w:sz w:val="20"/>
                <w:szCs w:val="20"/>
                <w:lang w:val="ro-RO"/>
              </w:rPr>
              <w:t>35,3</w:t>
            </w:r>
          </w:p>
        </w:tc>
        <w:tc>
          <w:tcPr>
            <w:tcW w:w="855" w:type="dxa"/>
            <w:shd w:val="clear" w:color="auto" w:fill="auto"/>
          </w:tcPr>
          <w:p w:rsidR="000C7EAB" w:rsidRPr="00AF3608" w:rsidRDefault="000C7EAB" w:rsidP="00173CDE">
            <w:pPr>
              <w:jc w:val="center"/>
              <w:rPr>
                <w:rFonts w:asciiTheme="minorHAnsi" w:hAnsiTheme="minorHAnsi" w:cstheme="minorHAnsi"/>
                <w:sz w:val="20"/>
                <w:szCs w:val="20"/>
                <w:lang w:val="ro-RO"/>
              </w:rPr>
            </w:pPr>
            <w:r w:rsidRPr="00AF3608">
              <w:rPr>
                <w:rFonts w:asciiTheme="minorHAnsi" w:hAnsiTheme="minorHAnsi" w:cstheme="minorHAnsi"/>
                <w:sz w:val="20"/>
                <w:szCs w:val="20"/>
                <w:lang w:val="ro-RO"/>
              </w:rPr>
              <w:t>47,7</w:t>
            </w:r>
          </w:p>
        </w:tc>
        <w:tc>
          <w:tcPr>
            <w:tcW w:w="992" w:type="dxa"/>
            <w:shd w:val="clear" w:color="auto" w:fill="auto"/>
          </w:tcPr>
          <w:p w:rsidR="000C7EAB" w:rsidRPr="00AF3608" w:rsidRDefault="000C7EAB" w:rsidP="00173CDE">
            <w:pPr>
              <w:jc w:val="center"/>
              <w:rPr>
                <w:rFonts w:asciiTheme="minorHAnsi" w:hAnsiTheme="minorHAnsi" w:cstheme="minorHAnsi"/>
                <w:sz w:val="20"/>
                <w:szCs w:val="20"/>
                <w:lang w:val="ro-RO"/>
              </w:rPr>
            </w:pPr>
            <w:r w:rsidRPr="00AF3608">
              <w:rPr>
                <w:rFonts w:asciiTheme="minorHAnsi" w:hAnsiTheme="minorHAnsi" w:cstheme="minorHAnsi"/>
                <w:sz w:val="20"/>
                <w:szCs w:val="20"/>
                <w:lang w:val="ro-RO"/>
              </w:rPr>
              <w:t>51,8</w:t>
            </w:r>
          </w:p>
        </w:tc>
        <w:tc>
          <w:tcPr>
            <w:tcW w:w="851" w:type="dxa"/>
            <w:shd w:val="clear" w:color="auto" w:fill="auto"/>
          </w:tcPr>
          <w:p w:rsidR="000C7EAB" w:rsidRPr="00AF3608" w:rsidRDefault="000C7EAB" w:rsidP="00173CDE">
            <w:pPr>
              <w:jc w:val="center"/>
              <w:rPr>
                <w:rFonts w:asciiTheme="minorHAnsi" w:hAnsiTheme="minorHAnsi" w:cstheme="minorHAnsi"/>
                <w:sz w:val="20"/>
                <w:szCs w:val="20"/>
                <w:lang w:val="ro-RO"/>
              </w:rPr>
            </w:pPr>
            <w:r w:rsidRPr="00AF3608">
              <w:rPr>
                <w:rFonts w:asciiTheme="minorHAnsi" w:hAnsiTheme="minorHAnsi" w:cstheme="minorHAnsi"/>
                <w:sz w:val="20"/>
                <w:szCs w:val="20"/>
                <w:lang w:val="ro-RO"/>
              </w:rPr>
              <w:t>53,9</w:t>
            </w:r>
          </w:p>
        </w:tc>
        <w:tc>
          <w:tcPr>
            <w:tcW w:w="992" w:type="dxa"/>
            <w:shd w:val="clear" w:color="auto" w:fill="auto"/>
          </w:tcPr>
          <w:p w:rsidR="000C7EAB" w:rsidRPr="00AF3608" w:rsidRDefault="000C7EAB" w:rsidP="00173CDE">
            <w:pPr>
              <w:jc w:val="center"/>
              <w:rPr>
                <w:rFonts w:asciiTheme="minorHAnsi" w:hAnsiTheme="minorHAnsi" w:cstheme="minorHAnsi"/>
                <w:sz w:val="20"/>
                <w:szCs w:val="20"/>
                <w:lang w:val="ro-RO"/>
              </w:rPr>
            </w:pPr>
            <w:r w:rsidRPr="00AF3608">
              <w:rPr>
                <w:rFonts w:asciiTheme="minorHAnsi" w:hAnsiTheme="minorHAnsi" w:cstheme="minorHAnsi"/>
                <w:sz w:val="20"/>
                <w:szCs w:val="20"/>
                <w:lang w:val="ro-RO"/>
              </w:rPr>
              <w:t>54,3</w:t>
            </w:r>
          </w:p>
        </w:tc>
      </w:tr>
      <w:tr w:rsidR="000C7EAB" w:rsidRPr="00AF3608" w:rsidTr="00173CDE">
        <w:trPr>
          <w:trHeight w:val="284"/>
          <w:jc w:val="center"/>
        </w:trPr>
        <w:tc>
          <w:tcPr>
            <w:tcW w:w="3828" w:type="dxa"/>
            <w:shd w:val="clear" w:color="auto" w:fill="auto"/>
            <w:vAlign w:val="center"/>
          </w:tcPr>
          <w:p w:rsidR="000C7EAB" w:rsidRPr="00AF3608" w:rsidRDefault="000C7EAB" w:rsidP="00173CDE">
            <w:pPr>
              <w:widowControl w:val="0"/>
              <w:shd w:val="clear" w:color="auto" w:fill="FFFFFF"/>
              <w:rPr>
                <w:rFonts w:ascii="Calibri" w:hAnsi="Calibri" w:cs="Calibri"/>
                <w:sz w:val="20"/>
                <w:szCs w:val="20"/>
                <w:lang w:val="ro-RO" w:eastAsia="ro-RO"/>
              </w:rPr>
            </w:pPr>
            <w:r w:rsidRPr="00AF3608">
              <w:rPr>
                <w:rFonts w:ascii="Calibri" w:hAnsi="Calibri" w:cs="Calibri"/>
                <w:sz w:val="20"/>
                <w:szCs w:val="20"/>
                <w:lang w:val="ro-RO" w:eastAsia="ro-RO"/>
              </w:rPr>
              <w:t>2.Modificarea datoriei guvernamentale</w:t>
            </w:r>
          </w:p>
        </w:tc>
        <w:tc>
          <w:tcPr>
            <w:tcW w:w="856" w:type="dxa"/>
            <w:shd w:val="clear" w:color="auto" w:fill="auto"/>
            <w:vAlign w:val="center"/>
          </w:tcPr>
          <w:p w:rsidR="000C7EAB" w:rsidRPr="00AF3608" w:rsidRDefault="000C7EAB" w:rsidP="00173CDE">
            <w:pPr>
              <w:widowControl w:val="0"/>
              <w:shd w:val="clear" w:color="auto" w:fill="FFFFFF"/>
              <w:snapToGrid w:val="0"/>
              <w:jc w:val="center"/>
              <w:rPr>
                <w:rFonts w:ascii="Calibri" w:hAnsi="Calibri" w:cs="Calibri"/>
                <w:sz w:val="20"/>
                <w:szCs w:val="20"/>
                <w:lang w:val="ro-RO" w:eastAsia="ro-RO"/>
              </w:rPr>
            </w:pPr>
          </w:p>
        </w:tc>
        <w:tc>
          <w:tcPr>
            <w:tcW w:w="856" w:type="dxa"/>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0,3</w:t>
            </w:r>
          </w:p>
        </w:tc>
        <w:tc>
          <w:tcPr>
            <w:tcW w:w="855" w:type="dxa"/>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12,4</w:t>
            </w:r>
          </w:p>
        </w:tc>
        <w:tc>
          <w:tcPr>
            <w:tcW w:w="992" w:type="dxa"/>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4,1</w:t>
            </w:r>
          </w:p>
        </w:tc>
        <w:tc>
          <w:tcPr>
            <w:tcW w:w="851" w:type="dxa"/>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2,1</w:t>
            </w:r>
          </w:p>
        </w:tc>
        <w:tc>
          <w:tcPr>
            <w:tcW w:w="992" w:type="dxa"/>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0,4</w:t>
            </w:r>
          </w:p>
        </w:tc>
      </w:tr>
      <w:tr w:rsidR="000C7EAB" w:rsidRPr="00AF3608" w:rsidTr="00173CDE">
        <w:trPr>
          <w:trHeight w:val="360"/>
          <w:jc w:val="center"/>
        </w:trPr>
        <w:tc>
          <w:tcPr>
            <w:tcW w:w="9230" w:type="dxa"/>
            <w:gridSpan w:val="7"/>
            <w:shd w:val="clear" w:color="auto" w:fill="auto"/>
            <w:vAlign w:val="center"/>
          </w:tcPr>
          <w:p w:rsidR="000C7EAB" w:rsidRPr="00AF3608" w:rsidRDefault="000C7EAB" w:rsidP="00173CDE">
            <w:pPr>
              <w:rPr>
                <w:rFonts w:ascii="Calibri" w:hAnsi="Calibri"/>
                <w:sz w:val="20"/>
                <w:szCs w:val="20"/>
                <w:lang w:val="ro-RO"/>
              </w:rPr>
            </w:pPr>
            <w:r w:rsidRPr="00AF3608">
              <w:rPr>
                <w:rFonts w:ascii="Calibri" w:hAnsi="Calibri" w:cs="Calibri"/>
                <w:sz w:val="20"/>
                <w:szCs w:val="20"/>
                <w:lang w:val="ro-RO" w:eastAsia="ro-RO"/>
              </w:rPr>
              <w:t>Contribuția la modificarea datoriei brute</w:t>
            </w:r>
          </w:p>
        </w:tc>
      </w:tr>
      <w:tr w:rsidR="000C7EAB" w:rsidRPr="00AF3608" w:rsidTr="00173CDE">
        <w:trPr>
          <w:trHeight w:val="296"/>
          <w:jc w:val="center"/>
        </w:trPr>
        <w:tc>
          <w:tcPr>
            <w:tcW w:w="3828" w:type="dxa"/>
            <w:shd w:val="clear" w:color="auto" w:fill="auto"/>
            <w:vAlign w:val="center"/>
          </w:tcPr>
          <w:p w:rsidR="000C7EAB" w:rsidRPr="00AF3608" w:rsidRDefault="000C7EAB" w:rsidP="00173CDE">
            <w:pPr>
              <w:widowControl w:val="0"/>
              <w:shd w:val="clear" w:color="auto" w:fill="FFFFFF"/>
              <w:rPr>
                <w:rFonts w:ascii="Calibri" w:hAnsi="Calibri" w:cs="Calibri"/>
                <w:sz w:val="20"/>
                <w:szCs w:val="20"/>
                <w:lang w:val="ro-RO" w:eastAsia="ro-RO"/>
              </w:rPr>
            </w:pPr>
            <w:r w:rsidRPr="00AF3608">
              <w:rPr>
                <w:rFonts w:ascii="Calibri" w:hAnsi="Calibri" w:cs="Calibri"/>
                <w:sz w:val="20"/>
                <w:szCs w:val="20"/>
                <w:lang w:val="ro-RO" w:eastAsia="ro-RO"/>
              </w:rPr>
              <w:t>3. Balanța primară</w:t>
            </w:r>
          </w:p>
        </w:tc>
        <w:tc>
          <w:tcPr>
            <w:tcW w:w="856" w:type="dxa"/>
            <w:shd w:val="clear" w:color="auto" w:fill="auto"/>
            <w:vAlign w:val="center"/>
          </w:tcPr>
          <w:p w:rsidR="000C7EAB" w:rsidRPr="00AF3608" w:rsidRDefault="000C7EAB" w:rsidP="00173CDE">
            <w:pPr>
              <w:widowControl w:val="0"/>
              <w:shd w:val="clear" w:color="auto" w:fill="FFFFFF"/>
              <w:snapToGrid w:val="0"/>
              <w:jc w:val="center"/>
              <w:rPr>
                <w:rFonts w:ascii="Calibri" w:hAnsi="Calibri" w:cs="Calibri"/>
                <w:sz w:val="20"/>
                <w:szCs w:val="20"/>
                <w:lang w:val="ro-RO" w:eastAsia="ro-RO"/>
              </w:rPr>
            </w:pPr>
          </w:p>
        </w:tc>
        <w:tc>
          <w:tcPr>
            <w:tcW w:w="856" w:type="dxa"/>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-3,2</w:t>
            </w:r>
          </w:p>
        </w:tc>
        <w:tc>
          <w:tcPr>
            <w:tcW w:w="855" w:type="dxa"/>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-7,6</w:t>
            </w:r>
          </w:p>
        </w:tc>
        <w:tc>
          <w:tcPr>
            <w:tcW w:w="992" w:type="dxa"/>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-6,6</w:t>
            </w:r>
          </w:p>
        </w:tc>
        <w:tc>
          <w:tcPr>
            <w:tcW w:w="851" w:type="dxa"/>
            <w:shd w:val="clear" w:color="auto" w:fill="auto"/>
            <w:vAlign w:val="center"/>
          </w:tcPr>
          <w:p w:rsidR="000C7EAB" w:rsidRPr="00AF3608" w:rsidRDefault="000C7EAB" w:rsidP="00173CDE">
            <w:pPr>
              <w:jc w:val="center"/>
              <w:rPr>
                <w:rFonts w:ascii="Calibri" w:hAnsi="Calibri"/>
                <w:sz w:val="20"/>
                <w:szCs w:val="20"/>
                <w:lang w:val="ro-RO"/>
              </w:rPr>
            </w:pPr>
            <w:r w:rsidRPr="00AF3608">
              <w:rPr>
                <w:rFonts w:ascii="Calibri" w:hAnsi="Calibri" w:cs="Calibri"/>
                <w:sz w:val="20"/>
                <w:szCs w:val="20"/>
                <w:lang w:val="ro-RO"/>
              </w:rPr>
              <w:t>-4,8</w:t>
            </w:r>
          </w:p>
        </w:tc>
        <w:tc>
          <w:tcPr>
            <w:tcW w:w="992" w:type="dxa"/>
            <w:shd w:val="clear" w:color="auto" w:fill="auto"/>
            <w:vAlign w:val="center"/>
          </w:tcPr>
          <w:p w:rsidR="000C7EAB" w:rsidRPr="00AF3608" w:rsidRDefault="000C7EAB" w:rsidP="00173CDE">
            <w:pPr>
              <w:jc w:val="center"/>
              <w:rPr>
                <w:rFonts w:ascii="Calibri" w:hAnsi="Calibri"/>
                <w:sz w:val="20"/>
                <w:szCs w:val="20"/>
                <w:lang w:val="ro-RO"/>
              </w:rPr>
            </w:pPr>
            <w:r w:rsidRPr="00AF3608">
              <w:rPr>
                <w:rFonts w:ascii="Calibri" w:hAnsi="Calibri"/>
                <w:sz w:val="20"/>
                <w:szCs w:val="20"/>
                <w:lang w:val="ro-RO"/>
              </w:rPr>
              <w:t>-3,2</w:t>
            </w:r>
          </w:p>
        </w:tc>
      </w:tr>
      <w:tr w:rsidR="000C7EAB" w:rsidRPr="00AF3608" w:rsidTr="00173CDE">
        <w:trPr>
          <w:trHeight w:val="336"/>
          <w:jc w:val="center"/>
        </w:trPr>
        <w:tc>
          <w:tcPr>
            <w:tcW w:w="3828" w:type="dxa"/>
            <w:shd w:val="clear" w:color="auto" w:fill="auto"/>
            <w:vAlign w:val="center"/>
          </w:tcPr>
          <w:p w:rsidR="000C7EAB" w:rsidRPr="00AF3608" w:rsidRDefault="000C7EAB" w:rsidP="00173CDE">
            <w:pPr>
              <w:widowControl w:val="0"/>
              <w:shd w:val="clear" w:color="auto" w:fill="FFFFFF"/>
              <w:rPr>
                <w:rFonts w:ascii="Calibri" w:hAnsi="Calibri" w:cs="Calibri"/>
                <w:sz w:val="20"/>
                <w:szCs w:val="20"/>
                <w:lang w:val="ro-RO" w:eastAsia="ro-RO"/>
              </w:rPr>
            </w:pPr>
            <w:r w:rsidRPr="00AF3608">
              <w:rPr>
                <w:rFonts w:ascii="Calibri" w:hAnsi="Calibri" w:cs="Calibri"/>
                <w:sz w:val="20"/>
                <w:szCs w:val="20"/>
                <w:lang w:val="ro-RO" w:eastAsia="ro-RO"/>
              </w:rPr>
              <w:t>4. Dobânda</w:t>
            </w:r>
          </w:p>
        </w:tc>
        <w:tc>
          <w:tcPr>
            <w:tcW w:w="856" w:type="dxa"/>
            <w:shd w:val="clear" w:color="auto" w:fill="auto"/>
            <w:vAlign w:val="center"/>
          </w:tcPr>
          <w:p w:rsidR="000C7EAB" w:rsidRPr="00AF3608" w:rsidRDefault="000C7EAB" w:rsidP="00173CDE">
            <w:pPr>
              <w:widowControl w:val="0"/>
              <w:shd w:val="clear" w:color="auto" w:fill="FFFFFF"/>
              <w:jc w:val="center"/>
              <w:rPr>
                <w:rFonts w:ascii="Calibri" w:hAnsi="Calibri" w:cs="Calibri"/>
                <w:sz w:val="20"/>
                <w:szCs w:val="20"/>
                <w:lang w:val="ro-RO" w:eastAsia="ro-RO"/>
              </w:rPr>
            </w:pPr>
            <w:r w:rsidRPr="00AF3608">
              <w:rPr>
                <w:rFonts w:ascii="Calibri" w:hAnsi="Calibri" w:cs="Calibri"/>
                <w:sz w:val="20"/>
                <w:szCs w:val="20"/>
                <w:lang w:val="ro-RO" w:eastAsia="ro-RO"/>
              </w:rPr>
              <w:t>EDP D.41</w:t>
            </w:r>
          </w:p>
        </w:tc>
        <w:tc>
          <w:tcPr>
            <w:tcW w:w="856" w:type="dxa"/>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1,2</w:t>
            </w:r>
          </w:p>
        </w:tc>
        <w:tc>
          <w:tcPr>
            <w:tcW w:w="855" w:type="dxa"/>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1,49</w:t>
            </w:r>
          </w:p>
        </w:tc>
        <w:tc>
          <w:tcPr>
            <w:tcW w:w="992" w:type="dxa"/>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1,60</w:t>
            </w:r>
          </w:p>
        </w:tc>
        <w:tc>
          <w:tcPr>
            <w:tcW w:w="851" w:type="dxa"/>
            <w:shd w:val="clear" w:color="auto" w:fill="auto"/>
            <w:vAlign w:val="center"/>
          </w:tcPr>
          <w:p w:rsidR="000C7EAB" w:rsidRPr="00AF3608" w:rsidRDefault="000C7EAB" w:rsidP="00173CDE">
            <w:pPr>
              <w:jc w:val="center"/>
              <w:rPr>
                <w:rFonts w:ascii="Calibri" w:hAnsi="Calibri"/>
                <w:sz w:val="20"/>
                <w:szCs w:val="20"/>
                <w:highlight w:val="yellow"/>
                <w:lang w:val="ro-RO"/>
              </w:rPr>
            </w:pPr>
            <w:r w:rsidRPr="00AF3608">
              <w:rPr>
                <w:rFonts w:ascii="Calibri" w:hAnsi="Calibri" w:cs="Calibri"/>
                <w:sz w:val="20"/>
                <w:szCs w:val="20"/>
                <w:lang w:val="ro-RO"/>
              </w:rPr>
              <w:t>1,58</w:t>
            </w:r>
          </w:p>
        </w:tc>
        <w:tc>
          <w:tcPr>
            <w:tcW w:w="992" w:type="dxa"/>
            <w:shd w:val="clear" w:color="auto" w:fill="auto"/>
            <w:vAlign w:val="center"/>
          </w:tcPr>
          <w:p w:rsidR="000C7EAB" w:rsidRPr="00AF3608" w:rsidRDefault="000C7EAB" w:rsidP="00173CDE">
            <w:pPr>
              <w:jc w:val="center"/>
              <w:rPr>
                <w:rFonts w:ascii="Calibri" w:hAnsi="Calibri"/>
                <w:sz w:val="20"/>
                <w:szCs w:val="20"/>
                <w:highlight w:val="yellow"/>
                <w:lang w:val="ro-RO"/>
              </w:rPr>
            </w:pPr>
            <w:r w:rsidRPr="00AF3608">
              <w:rPr>
                <w:rFonts w:ascii="Calibri" w:hAnsi="Calibri"/>
                <w:sz w:val="20"/>
                <w:szCs w:val="20"/>
                <w:lang w:val="ro-RO"/>
              </w:rPr>
              <w:t>1,53</w:t>
            </w:r>
          </w:p>
        </w:tc>
      </w:tr>
      <w:tr w:rsidR="000C7EAB" w:rsidRPr="00AF3608" w:rsidTr="00173CDE">
        <w:trPr>
          <w:trHeight w:val="329"/>
          <w:jc w:val="center"/>
        </w:trPr>
        <w:tc>
          <w:tcPr>
            <w:tcW w:w="3828" w:type="dxa"/>
            <w:shd w:val="clear" w:color="auto" w:fill="auto"/>
            <w:vAlign w:val="center"/>
          </w:tcPr>
          <w:p w:rsidR="000C7EAB" w:rsidRPr="00AF3608" w:rsidRDefault="000C7EAB" w:rsidP="00173CDE">
            <w:pPr>
              <w:widowControl w:val="0"/>
              <w:shd w:val="clear" w:color="auto" w:fill="FFFFFF"/>
              <w:rPr>
                <w:rFonts w:ascii="Calibri" w:hAnsi="Calibri" w:cs="Calibri"/>
                <w:sz w:val="20"/>
                <w:szCs w:val="20"/>
                <w:lang w:val="ro-RO" w:eastAsia="ro-RO"/>
              </w:rPr>
            </w:pPr>
            <w:r w:rsidRPr="00AF3608">
              <w:rPr>
                <w:rFonts w:ascii="Calibri" w:hAnsi="Calibri" w:cs="Calibri"/>
                <w:sz w:val="20"/>
                <w:szCs w:val="20"/>
                <w:lang w:val="ro-RO" w:eastAsia="ro-RO"/>
              </w:rPr>
              <w:t>5. Ajustări stoc-flux (2+3-4)</w:t>
            </w:r>
          </w:p>
        </w:tc>
        <w:tc>
          <w:tcPr>
            <w:tcW w:w="856" w:type="dxa"/>
            <w:shd w:val="clear" w:color="auto" w:fill="auto"/>
            <w:vAlign w:val="center"/>
          </w:tcPr>
          <w:p w:rsidR="000C7EAB" w:rsidRPr="00AF3608" w:rsidRDefault="000C7EAB" w:rsidP="00173CDE">
            <w:pPr>
              <w:widowControl w:val="0"/>
              <w:shd w:val="clear" w:color="auto" w:fill="FFFFFF"/>
              <w:snapToGrid w:val="0"/>
              <w:jc w:val="center"/>
              <w:rPr>
                <w:rFonts w:ascii="Calibri" w:hAnsi="Calibri" w:cs="Calibri"/>
                <w:sz w:val="20"/>
                <w:szCs w:val="20"/>
                <w:lang w:val="ro-RO" w:eastAsia="ro-RO"/>
              </w:rPr>
            </w:pPr>
          </w:p>
        </w:tc>
        <w:tc>
          <w:tcPr>
            <w:tcW w:w="856" w:type="dxa"/>
            <w:shd w:val="clear" w:color="auto" w:fill="auto"/>
            <w:vAlign w:val="center"/>
          </w:tcPr>
          <w:p w:rsidR="000C7EAB" w:rsidRPr="00AF3608" w:rsidRDefault="000C7EAB" w:rsidP="00173CDE">
            <w:pPr>
              <w:jc w:val="center"/>
              <w:rPr>
                <w:rFonts w:ascii="Calibri" w:hAnsi="Calibri" w:cs="Calibri"/>
                <w:sz w:val="20"/>
                <w:szCs w:val="20"/>
                <w:lang w:val="ro-RO"/>
              </w:rPr>
            </w:pPr>
          </w:p>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-4,1</w:t>
            </w:r>
          </w:p>
        </w:tc>
        <w:tc>
          <w:tcPr>
            <w:tcW w:w="855" w:type="dxa"/>
            <w:shd w:val="clear" w:color="auto" w:fill="auto"/>
            <w:vAlign w:val="center"/>
          </w:tcPr>
          <w:p w:rsidR="000C7EAB" w:rsidRPr="00AF3608" w:rsidRDefault="000C7EAB" w:rsidP="00173CDE">
            <w:pPr>
              <w:jc w:val="center"/>
              <w:rPr>
                <w:rFonts w:ascii="Calibri" w:hAnsi="Calibri" w:cs="Calibri"/>
                <w:sz w:val="20"/>
                <w:szCs w:val="20"/>
                <w:lang w:val="ro-RO"/>
              </w:rPr>
            </w:pPr>
          </w:p>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3,3</w:t>
            </w:r>
          </w:p>
        </w:tc>
        <w:tc>
          <w:tcPr>
            <w:tcW w:w="992" w:type="dxa"/>
            <w:shd w:val="clear" w:color="auto" w:fill="auto"/>
            <w:vAlign w:val="center"/>
          </w:tcPr>
          <w:p w:rsidR="000C7EAB" w:rsidRPr="00AF3608" w:rsidRDefault="000C7EAB" w:rsidP="00173CDE">
            <w:pPr>
              <w:jc w:val="center"/>
              <w:rPr>
                <w:rFonts w:ascii="Calibri" w:hAnsi="Calibri" w:cs="Calibri"/>
                <w:sz w:val="20"/>
                <w:szCs w:val="20"/>
                <w:lang w:val="ro-RO"/>
              </w:rPr>
            </w:pPr>
          </w:p>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-4,2</w:t>
            </w:r>
          </w:p>
        </w:tc>
        <w:tc>
          <w:tcPr>
            <w:tcW w:w="851" w:type="dxa"/>
            <w:shd w:val="clear" w:color="auto" w:fill="auto"/>
            <w:vAlign w:val="center"/>
          </w:tcPr>
          <w:p w:rsidR="000C7EAB" w:rsidRPr="00AF3608" w:rsidRDefault="000C7EAB" w:rsidP="00173CDE">
            <w:pPr>
              <w:jc w:val="center"/>
              <w:rPr>
                <w:rFonts w:ascii="Calibri" w:hAnsi="Calibri" w:cs="Calibri"/>
                <w:sz w:val="20"/>
                <w:szCs w:val="20"/>
                <w:lang w:val="ro-RO"/>
              </w:rPr>
            </w:pPr>
          </w:p>
          <w:p w:rsidR="000C7EAB" w:rsidRPr="00AF3608" w:rsidRDefault="000C7EAB" w:rsidP="00173CDE">
            <w:pPr>
              <w:jc w:val="center"/>
              <w:rPr>
                <w:rFonts w:ascii="Calibri" w:hAnsi="Calibri"/>
                <w:sz w:val="20"/>
                <w:szCs w:val="20"/>
                <w:lang w:val="ro-RO"/>
              </w:rPr>
            </w:pPr>
            <w:r w:rsidRPr="00AF3608">
              <w:rPr>
                <w:rFonts w:ascii="Calibri" w:hAnsi="Calibri" w:cs="Calibri"/>
                <w:sz w:val="20"/>
                <w:szCs w:val="20"/>
                <w:lang w:val="ro-RO"/>
              </w:rPr>
              <w:t>-4,2</w:t>
            </w:r>
          </w:p>
        </w:tc>
        <w:tc>
          <w:tcPr>
            <w:tcW w:w="992" w:type="dxa"/>
            <w:shd w:val="clear" w:color="auto" w:fill="auto"/>
            <w:vAlign w:val="center"/>
          </w:tcPr>
          <w:p w:rsidR="000C7EAB" w:rsidRPr="00AF3608" w:rsidRDefault="000C7EAB" w:rsidP="00173CDE">
            <w:pPr>
              <w:jc w:val="center"/>
              <w:rPr>
                <w:rFonts w:ascii="Calibri" w:hAnsi="Calibri"/>
                <w:sz w:val="20"/>
                <w:szCs w:val="20"/>
                <w:lang w:val="ro-RO"/>
              </w:rPr>
            </w:pPr>
          </w:p>
          <w:p w:rsidR="000C7EAB" w:rsidRPr="00AF3608" w:rsidRDefault="000C7EAB" w:rsidP="00173CDE">
            <w:pPr>
              <w:jc w:val="center"/>
              <w:rPr>
                <w:rFonts w:ascii="Calibri" w:hAnsi="Calibri"/>
                <w:sz w:val="20"/>
                <w:szCs w:val="20"/>
                <w:lang w:val="ro-RO"/>
              </w:rPr>
            </w:pPr>
            <w:r w:rsidRPr="00AF3608">
              <w:rPr>
                <w:rFonts w:ascii="Calibri" w:hAnsi="Calibri"/>
                <w:sz w:val="20"/>
                <w:szCs w:val="20"/>
                <w:lang w:val="ro-RO"/>
              </w:rPr>
              <w:t>-4,2</w:t>
            </w:r>
          </w:p>
        </w:tc>
      </w:tr>
      <w:tr w:rsidR="000C7EAB" w:rsidRPr="00AF3608" w:rsidTr="00173CDE">
        <w:trPr>
          <w:trHeight w:val="500"/>
          <w:jc w:val="center"/>
        </w:trPr>
        <w:tc>
          <w:tcPr>
            <w:tcW w:w="3828" w:type="dxa"/>
            <w:shd w:val="clear" w:color="auto" w:fill="auto"/>
            <w:vAlign w:val="center"/>
          </w:tcPr>
          <w:p w:rsidR="000C7EAB" w:rsidRPr="00AF3608" w:rsidRDefault="000C7EAB" w:rsidP="00173CDE">
            <w:pPr>
              <w:widowControl w:val="0"/>
              <w:shd w:val="clear" w:color="auto" w:fill="FFFFFF"/>
              <w:rPr>
                <w:rFonts w:ascii="Calibri" w:hAnsi="Calibri" w:cs="Calibri"/>
                <w:sz w:val="20"/>
                <w:szCs w:val="20"/>
                <w:lang w:val="ro-RO" w:eastAsia="ro-RO"/>
              </w:rPr>
            </w:pPr>
            <w:r w:rsidRPr="00AF3608">
              <w:rPr>
                <w:rFonts w:ascii="Calibri" w:hAnsi="Calibri" w:cs="Calibri"/>
                <w:i/>
                <w:sz w:val="20"/>
                <w:szCs w:val="20"/>
                <w:lang w:val="ro-RO" w:eastAsia="ro-RO"/>
              </w:rPr>
              <w:t>Din care:</w:t>
            </w:r>
          </w:p>
          <w:p w:rsidR="000C7EAB" w:rsidRPr="00AF3608" w:rsidRDefault="000C7EAB" w:rsidP="00173CDE">
            <w:pPr>
              <w:widowControl w:val="0"/>
              <w:shd w:val="clear" w:color="auto" w:fill="FFFFFF"/>
              <w:rPr>
                <w:rFonts w:ascii="Calibri" w:hAnsi="Calibri" w:cs="Calibri"/>
                <w:sz w:val="20"/>
                <w:szCs w:val="20"/>
                <w:lang w:val="ro-RO" w:eastAsia="ro-RO"/>
              </w:rPr>
            </w:pPr>
            <w:r w:rsidRPr="00AF3608">
              <w:rPr>
                <w:rFonts w:ascii="Calibri" w:hAnsi="Calibri" w:cs="Calibri"/>
                <w:sz w:val="20"/>
                <w:szCs w:val="20"/>
                <w:lang w:val="ro-RO" w:eastAsia="ro-RO"/>
              </w:rPr>
              <w:t>- Diferențe între dobânzi plătite și  accrual</w:t>
            </w:r>
          </w:p>
        </w:tc>
        <w:tc>
          <w:tcPr>
            <w:tcW w:w="856" w:type="dxa"/>
            <w:shd w:val="clear" w:color="auto" w:fill="auto"/>
            <w:vAlign w:val="center"/>
          </w:tcPr>
          <w:p w:rsidR="000C7EAB" w:rsidRPr="00AF3608" w:rsidRDefault="000C7EAB" w:rsidP="00173CDE">
            <w:pPr>
              <w:widowControl w:val="0"/>
              <w:shd w:val="clear" w:color="auto" w:fill="FFFFFF"/>
              <w:snapToGrid w:val="0"/>
              <w:jc w:val="center"/>
              <w:rPr>
                <w:rFonts w:ascii="Calibri" w:hAnsi="Calibri" w:cs="Calibri"/>
                <w:sz w:val="20"/>
                <w:szCs w:val="20"/>
                <w:lang w:val="ro-RO" w:eastAsia="ro-RO"/>
              </w:rPr>
            </w:pPr>
          </w:p>
        </w:tc>
        <w:tc>
          <w:tcPr>
            <w:tcW w:w="856" w:type="dxa"/>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-0,1</w:t>
            </w:r>
          </w:p>
        </w:tc>
        <w:tc>
          <w:tcPr>
            <w:tcW w:w="855" w:type="dxa"/>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-0,1</w:t>
            </w:r>
          </w:p>
        </w:tc>
        <w:tc>
          <w:tcPr>
            <w:tcW w:w="992" w:type="dxa"/>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-0,1</w:t>
            </w:r>
          </w:p>
        </w:tc>
        <w:tc>
          <w:tcPr>
            <w:tcW w:w="851" w:type="dxa"/>
            <w:shd w:val="clear" w:color="auto" w:fill="auto"/>
            <w:vAlign w:val="center"/>
          </w:tcPr>
          <w:p w:rsidR="000C7EAB" w:rsidRPr="00AF3608" w:rsidRDefault="000C7EAB" w:rsidP="00173CDE">
            <w:pPr>
              <w:jc w:val="center"/>
              <w:rPr>
                <w:rFonts w:ascii="Calibri" w:hAnsi="Calibri"/>
                <w:sz w:val="20"/>
                <w:szCs w:val="20"/>
                <w:lang w:val="ro-RO"/>
              </w:rPr>
            </w:pPr>
            <w:r w:rsidRPr="00AF3608">
              <w:rPr>
                <w:rFonts w:ascii="Calibri" w:hAnsi="Calibri" w:cs="Calibri"/>
                <w:sz w:val="20"/>
                <w:szCs w:val="20"/>
                <w:lang w:val="ro-RO"/>
              </w:rPr>
              <w:t>-0,1</w:t>
            </w:r>
          </w:p>
        </w:tc>
        <w:tc>
          <w:tcPr>
            <w:tcW w:w="992" w:type="dxa"/>
            <w:shd w:val="clear" w:color="auto" w:fill="auto"/>
            <w:vAlign w:val="center"/>
          </w:tcPr>
          <w:p w:rsidR="000C7EAB" w:rsidRPr="00AF3608" w:rsidRDefault="000C7EAB" w:rsidP="00173CDE">
            <w:pPr>
              <w:jc w:val="center"/>
              <w:rPr>
                <w:rFonts w:ascii="Calibri" w:hAnsi="Calibri"/>
                <w:sz w:val="20"/>
                <w:szCs w:val="20"/>
                <w:lang w:val="ro-RO"/>
              </w:rPr>
            </w:pPr>
            <w:r w:rsidRPr="00AF3608">
              <w:rPr>
                <w:rFonts w:ascii="Calibri" w:hAnsi="Calibri"/>
                <w:sz w:val="20"/>
                <w:szCs w:val="20"/>
                <w:lang w:val="ro-RO"/>
              </w:rPr>
              <w:t>-0,1</w:t>
            </w:r>
          </w:p>
        </w:tc>
      </w:tr>
      <w:tr w:rsidR="000C7EAB" w:rsidRPr="00AF3608" w:rsidTr="00173CDE">
        <w:trPr>
          <w:trHeight w:val="308"/>
          <w:jc w:val="center"/>
        </w:trPr>
        <w:tc>
          <w:tcPr>
            <w:tcW w:w="3828" w:type="dxa"/>
            <w:shd w:val="clear" w:color="auto" w:fill="auto"/>
            <w:vAlign w:val="center"/>
          </w:tcPr>
          <w:p w:rsidR="000C7EAB" w:rsidRPr="00AF3608" w:rsidRDefault="000C7EAB" w:rsidP="00173CDE">
            <w:pPr>
              <w:widowControl w:val="0"/>
              <w:shd w:val="clear" w:color="auto" w:fill="FFFFFF"/>
              <w:rPr>
                <w:rFonts w:ascii="Calibri" w:hAnsi="Calibri" w:cs="Calibri"/>
                <w:sz w:val="20"/>
                <w:szCs w:val="20"/>
                <w:lang w:val="ro-RO" w:eastAsia="ro-RO"/>
              </w:rPr>
            </w:pPr>
            <w:r w:rsidRPr="00AF3608">
              <w:rPr>
                <w:rFonts w:ascii="Calibri" w:hAnsi="Calibri" w:cs="Calibri"/>
                <w:sz w:val="20"/>
                <w:szCs w:val="20"/>
                <w:lang w:val="ro-RO" w:eastAsia="ro-RO"/>
              </w:rPr>
              <w:t>- Acumularea netă de active financiare</w:t>
            </w:r>
          </w:p>
        </w:tc>
        <w:tc>
          <w:tcPr>
            <w:tcW w:w="856" w:type="dxa"/>
            <w:shd w:val="clear" w:color="auto" w:fill="auto"/>
            <w:vAlign w:val="center"/>
          </w:tcPr>
          <w:p w:rsidR="000C7EAB" w:rsidRPr="00AF3608" w:rsidRDefault="000C7EAB" w:rsidP="00173CDE">
            <w:pPr>
              <w:widowControl w:val="0"/>
              <w:shd w:val="clear" w:color="auto" w:fill="FFFFFF"/>
              <w:snapToGrid w:val="0"/>
              <w:jc w:val="center"/>
              <w:rPr>
                <w:rFonts w:ascii="Calibri" w:hAnsi="Calibri" w:cs="Calibri"/>
                <w:sz w:val="20"/>
                <w:szCs w:val="20"/>
                <w:lang w:val="ro-RO" w:eastAsia="ro-RO"/>
              </w:rPr>
            </w:pPr>
          </w:p>
        </w:tc>
        <w:tc>
          <w:tcPr>
            <w:tcW w:w="856" w:type="dxa"/>
            <w:tcBorders>
              <w:bottom w:val="single" w:sz="2" w:space="0" w:color="365F91"/>
            </w:tcBorders>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-1,5</w:t>
            </w:r>
          </w:p>
        </w:tc>
        <w:tc>
          <w:tcPr>
            <w:tcW w:w="855" w:type="dxa"/>
            <w:tcBorders>
              <w:bottom w:val="single" w:sz="2" w:space="0" w:color="365F91"/>
            </w:tcBorders>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2,3</w:t>
            </w:r>
          </w:p>
        </w:tc>
        <w:tc>
          <w:tcPr>
            <w:tcW w:w="992" w:type="dxa"/>
            <w:tcBorders>
              <w:bottom w:val="single" w:sz="2" w:space="0" w:color="365F91"/>
            </w:tcBorders>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0</w:t>
            </w:r>
          </w:p>
        </w:tc>
        <w:tc>
          <w:tcPr>
            <w:tcW w:w="851" w:type="dxa"/>
            <w:tcBorders>
              <w:bottom w:val="single" w:sz="2" w:space="0" w:color="365F91"/>
            </w:tcBorders>
            <w:shd w:val="clear" w:color="auto" w:fill="auto"/>
            <w:vAlign w:val="center"/>
          </w:tcPr>
          <w:p w:rsidR="000C7EAB" w:rsidRPr="00AF3608" w:rsidRDefault="000C7EAB" w:rsidP="00173CDE">
            <w:pPr>
              <w:jc w:val="center"/>
              <w:rPr>
                <w:rFonts w:ascii="Calibri" w:hAnsi="Calibri"/>
                <w:sz w:val="20"/>
                <w:szCs w:val="20"/>
                <w:lang w:val="ro-RO"/>
              </w:rPr>
            </w:pPr>
            <w:r w:rsidRPr="00AF3608">
              <w:rPr>
                <w:rFonts w:ascii="Calibri" w:hAnsi="Calibri" w:cs="Calibri"/>
                <w:sz w:val="20"/>
                <w:szCs w:val="20"/>
                <w:lang w:val="ro-RO"/>
              </w:rPr>
              <w:t>0</w:t>
            </w:r>
          </w:p>
        </w:tc>
        <w:tc>
          <w:tcPr>
            <w:tcW w:w="992" w:type="dxa"/>
            <w:tcBorders>
              <w:bottom w:val="single" w:sz="2" w:space="0" w:color="365F91"/>
            </w:tcBorders>
            <w:shd w:val="clear" w:color="auto" w:fill="auto"/>
            <w:vAlign w:val="center"/>
          </w:tcPr>
          <w:p w:rsidR="000C7EAB" w:rsidRPr="00AF3608" w:rsidRDefault="000C7EAB" w:rsidP="00173CDE">
            <w:pPr>
              <w:jc w:val="center"/>
              <w:rPr>
                <w:rFonts w:ascii="Calibri" w:hAnsi="Calibri"/>
                <w:sz w:val="20"/>
                <w:szCs w:val="20"/>
                <w:lang w:val="ro-RO"/>
              </w:rPr>
            </w:pPr>
            <w:r w:rsidRPr="00AF3608">
              <w:rPr>
                <w:rFonts w:ascii="Calibri" w:hAnsi="Calibri"/>
                <w:sz w:val="20"/>
                <w:szCs w:val="20"/>
                <w:lang w:val="ro-RO"/>
              </w:rPr>
              <w:t>0</w:t>
            </w:r>
          </w:p>
        </w:tc>
      </w:tr>
      <w:tr w:rsidR="000C7EAB" w:rsidRPr="00AF3608" w:rsidTr="00173CDE">
        <w:trPr>
          <w:trHeight w:val="284"/>
          <w:jc w:val="center"/>
        </w:trPr>
        <w:tc>
          <w:tcPr>
            <w:tcW w:w="3828" w:type="dxa"/>
            <w:vMerge w:val="restart"/>
            <w:shd w:val="clear" w:color="auto" w:fill="auto"/>
            <w:vAlign w:val="center"/>
          </w:tcPr>
          <w:p w:rsidR="000C7EAB" w:rsidRPr="00AF3608" w:rsidRDefault="000C7EAB" w:rsidP="00173CDE">
            <w:pPr>
              <w:widowControl w:val="0"/>
              <w:shd w:val="clear" w:color="auto" w:fill="FFFFFF"/>
              <w:jc w:val="center"/>
              <w:rPr>
                <w:rFonts w:ascii="Calibri" w:hAnsi="Calibri" w:cs="Calibri"/>
                <w:sz w:val="20"/>
                <w:szCs w:val="20"/>
                <w:lang w:val="ro-RO" w:eastAsia="ro-RO"/>
              </w:rPr>
            </w:pPr>
            <w:r w:rsidRPr="00AF3608">
              <w:rPr>
                <w:rFonts w:ascii="Calibri" w:hAnsi="Calibri" w:cs="Calibri"/>
                <w:i/>
                <w:sz w:val="20"/>
                <w:szCs w:val="20"/>
                <w:lang w:val="ro-RO" w:eastAsia="ro-RO"/>
              </w:rPr>
              <w:t>din care:</w:t>
            </w:r>
          </w:p>
          <w:p w:rsidR="000C7EAB" w:rsidRPr="00AF3608" w:rsidRDefault="000C7EAB" w:rsidP="00173CDE">
            <w:pPr>
              <w:widowControl w:val="0"/>
              <w:shd w:val="clear" w:color="auto" w:fill="FFFFFF"/>
              <w:jc w:val="right"/>
              <w:rPr>
                <w:rFonts w:ascii="Calibri" w:hAnsi="Calibri" w:cs="Calibri"/>
                <w:sz w:val="20"/>
                <w:szCs w:val="20"/>
                <w:lang w:val="ro-RO" w:eastAsia="ro-RO"/>
              </w:rPr>
            </w:pPr>
            <w:r w:rsidRPr="00AF3608">
              <w:rPr>
                <w:rFonts w:ascii="Calibri" w:hAnsi="Calibri" w:cs="Calibri"/>
                <w:sz w:val="20"/>
                <w:szCs w:val="20"/>
                <w:lang w:val="ro-RO" w:eastAsia="ro-RO"/>
              </w:rPr>
              <w:t>-  din privatizare</w:t>
            </w:r>
          </w:p>
        </w:tc>
        <w:tc>
          <w:tcPr>
            <w:tcW w:w="856" w:type="dxa"/>
            <w:vMerge w:val="restart"/>
            <w:shd w:val="clear" w:color="auto" w:fill="auto"/>
            <w:vAlign w:val="center"/>
          </w:tcPr>
          <w:p w:rsidR="000C7EAB" w:rsidRPr="00AF3608" w:rsidRDefault="000C7EAB" w:rsidP="00173CDE">
            <w:pPr>
              <w:widowControl w:val="0"/>
              <w:shd w:val="clear" w:color="auto" w:fill="FFFFFF"/>
              <w:snapToGrid w:val="0"/>
              <w:jc w:val="center"/>
              <w:rPr>
                <w:rFonts w:ascii="Calibri" w:hAnsi="Calibri" w:cs="Calibri"/>
                <w:sz w:val="20"/>
                <w:szCs w:val="20"/>
                <w:lang w:val="ro-RO" w:eastAsia="ro-RO"/>
              </w:rPr>
            </w:pPr>
          </w:p>
        </w:tc>
        <w:tc>
          <w:tcPr>
            <w:tcW w:w="856" w:type="dxa"/>
            <w:tcBorders>
              <w:bottom w:val="nil"/>
            </w:tcBorders>
            <w:shd w:val="clear" w:color="auto" w:fill="auto"/>
            <w:vAlign w:val="center"/>
          </w:tcPr>
          <w:p w:rsidR="000C7EAB" w:rsidRPr="00AF3608" w:rsidRDefault="000C7EAB" w:rsidP="00173CDE">
            <w:pPr>
              <w:jc w:val="center"/>
              <w:rPr>
                <w:rFonts w:ascii="Calibri" w:hAnsi="Calibri" w:cs="Calibri"/>
                <w:sz w:val="20"/>
                <w:szCs w:val="20"/>
                <w:lang w:val="ro-RO" w:eastAsia="ro-RO"/>
              </w:rPr>
            </w:pPr>
          </w:p>
        </w:tc>
        <w:tc>
          <w:tcPr>
            <w:tcW w:w="855" w:type="dxa"/>
            <w:tcBorders>
              <w:bottom w:val="nil"/>
            </w:tcBorders>
            <w:shd w:val="clear" w:color="auto" w:fill="auto"/>
            <w:vAlign w:val="center"/>
          </w:tcPr>
          <w:p w:rsidR="000C7EAB" w:rsidRPr="00AF3608" w:rsidRDefault="000C7EAB" w:rsidP="00173CDE">
            <w:pPr>
              <w:jc w:val="center"/>
              <w:rPr>
                <w:rFonts w:ascii="Calibri" w:hAnsi="Calibri" w:cs="Calibri"/>
                <w:sz w:val="20"/>
                <w:szCs w:val="20"/>
                <w:lang w:val="ro-RO" w:eastAsia="ro-RO"/>
              </w:rPr>
            </w:pPr>
          </w:p>
        </w:tc>
        <w:tc>
          <w:tcPr>
            <w:tcW w:w="992" w:type="dxa"/>
            <w:tcBorders>
              <w:bottom w:val="nil"/>
            </w:tcBorders>
            <w:shd w:val="clear" w:color="auto" w:fill="auto"/>
            <w:vAlign w:val="center"/>
          </w:tcPr>
          <w:p w:rsidR="000C7EAB" w:rsidRPr="00AF3608" w:rsidRDefault="000C7EAB" w:rsidP="00173CDE">
            <w:pPr>
              <w:jc w:val="center"/>
              <w:rPr>
                <w:rFonts w:ascii="Calibri" w:hAnsi="Calibri" w:cs="Calibri"/>
                <w:sz w:val="20"/>
                <w:szCs w:val="20"/>
                <w:lang w:val="ro-RO" w:eastAsia="ro-RO"/>
              </w:rPr>
            </w:pPr>
          </w:p>
        </w:tc>
        <w:tc>
          <w:tcPr>
            <w:tcW w:w="851" w:type="dxa"/>
            <w:tcBorders>
              <w:bottom w:val="nil"/>
            </w:tcBorders>
            <w:shd w:val="clear" w:color="auto" w:fill="auto"/>
            <w:vAlign w:val="center"/>
          </w:tcPr>
          <w:p w:rsidR="000C7EAB" w:rsidRPr="00AF3608" w:rsidRDefault="000C7EAB" w:rsidP="00173CDE">
            <w:pPr>
              <w:jc w:val="center"/>
              <w:rPr>
                <w:rFonts w:ascii="Calibri" w:hAnsi="Calibri" w:cs="Calibri"/>
                <w:sz w:val="20"/>
                <w:szCs w:val="20"/>
                <w:lang w:val="ro-RO" w:eastAsia="ro-RO"/>
              </w:rPr>
            </w:pPr>
          </w:p>
        </w:tc>
        <w:tc>
          <w:tcPr>
            <w:tcW w:w="992" w:type="dxa"/>
            <w:tcBorders>
              <w:bottom w:val="nil"/>
            </w:tcBorders>
            <w:shd w:val="clear" w:color="auto" w:fill="auto"/>
            <w:vAlign w:val="center"/>
          </w:tcPr>
          <w:p w:rsidR="000C7EAB" w:rsidRPr="00AF3608" w:rsidRDefault="000C7EAB" w:rsidP="00173CDE">
            <w:pPr>
              <w:jc w:val="center"/>
              <w:rPr>
                <w:rFonts w:ascii="Calibri" w:hAnsi="Calibri" w:cs="Calibri"/>
                <w:sz w:val="20"/>
                <w:szCs w:val="20"/>
                <w:lang w:val="ro-RO" w:eastAsia="ro-RO"/>
              </w:rPr>
            </w:pPr>
          </w:p>
        </w:tc>
      </w:tr>
      <w:tr w:rsidR="000C7EAB" w:rsidRPr="00AF3608" w:rsidTr="00173CDE">
        <w:trPr>
          <w:trHeight w:val="279"/>
          <w:jc w:val="center"/>
        </w:trPr>
        <w:tc>
          <w:tcPr>
            <w:tcW w:w="3828" w:type="dxa"/>
            <w:vMerge/>
            <w:shd w:val="clear" w:color="auto" w:fill="auto"/>
            <w:vAlign w:val="center"/>
          </w:tcPr>
          <w:p w:rsidR="000C7EAB" w:rsidRPr="00AF3608" w:rsidRDefault="000C7EAB" w:rsidP="00173CDE">
            <w:pPr>
              <w:widowControl w:val="0"/>
              <w:shd w:val="clear" w:color="auto" w:fill="FFFFFF"/>
              <w:snapToGrid w:val="0"/>
              <w:rPr>
                <w:rFonts w:ascii="Calibri" w:hAnsi="Calibri" w:cs="Calibri"/>
                <w:i/>
                <w:sz w:val="20"/>
                <w:szCs w:val="20"/>
                <w:lang w:val="ro-RO" w:eastAsia="ro-RO"/>
              </w:rPr>
            </w:pPr>
          </w:p>
        </w:tc>
        <w:tc>
          <w:tcPr>
            <w:tcW w:w="856" w:type="dxa"/>
            <w:vMerge/>
            <w:shd w:val="clear" w:color="auto" w:fill="auto"/>
            <w:vAlign w:val="center"/>
          </w:tcPr>
          <w:p w:rsidR="000C7EAB" w:rsidRPr="00AF3608" w:rsidRDefault="000C7EAB" w:rsidP="00173CDE">
            <w:pPr>
              <w:widowControl w:val="0"/>
              <w:shd w:val="clear" w:color="auto" w:fill="FFFFFF"/>
              <w:snapToGrid w:val="0"/>
              <w:jc w:val="center"/>
              <w:rPr>
                <w:rFonts w:ascii="Calibri" w:hAnsi="Calibri" w:cs="Calibri"/>
                <w:sz w:val="20"/>
                <w:szCs w:val="20"/>
                <w:lang w:val="ro-RO" w:eastAsia="ro-RO"/>
              </w:rPr>
            </w:pPr>
          </w:p>
        </w:tc>
        <w:tc>
          <w:tcPr>
            <w:tcW w:w="856" w:type="dxa"/>
            <w:tcBorders>
              <w:top w:val="nil"/>
            </w:tcBorders>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0</w:t>
            </w:r>
          </w:p>
        </w:tc>
        <w:tc>
          <w:tcPr>
            <w:tcW w:w="855" w:type="dxa"/>
            <w:tcBorders>
              <w:top w:val="nil"/>
            </w:tcBorders>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0</w:t>
            </w:r>
          </w:p>
        </w:tc>
        <w:tc>
          <w:tcPr>
            <w:tcW w:w="992" w:type="dxa"/>
            <w:tcBorders>
              <w:top w:val="nil"/>
            </w:tcBorders>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0</w:t>
            </w:r>
          </w:p>
        </w:tc>
        <w:tc>
          <w:tcPr>
            <w:tcW w:w="851" w:type="dxa"/>
            <w:tcBorders>
              <w:top w:val="nil"/>
            </w:tcBorders>
            <w:shd w:val="clear" w:color="auto" w:fill="auto"/>
            <w:vAlign w:val="center"/>
          </w:tcPr>
          <w:p w:rsidR="000C7EAB" w:rsidRPr="00AF3608" w:rsidRDefault="000C7EAB" w:rsidP="00173CDE">
            <w:pPr>
              <w:jc w:val="center"/>
              <w:rPr>
                <w:rFonts w:ascii="Calibri" w:hAnsi="Calibri"/>
                <w:sz w:val="20"/>
                <w:szCs w:val="20"/>
                <w:lang w:val="ro-RO"/>
              </w:rPr>
            </w:pPr>
            <w:r w:rsidRPr="00AF3608">
              <w:rPr>
                <w:rFonts w:ascii="Calibri" w:hAnsi="Calibri" w:cs="Calibri"/>
                <w:sz w:val="20"/>
                <w:szCs w:val="20"/>
                <w:lang w:val="ro-RO"/>
              </w:rPr>
              <w:t>0</w:t>
            </w:r>
          </w:p>
        </w:tc>
        <w:tc>
          <w:tcPr>
            <w:tcW w:w="992" w:type="dxa"/>
            <w:tcBorders>
              <w:top w:val="nil"/>
            </w:tcBorders>
            <w:shd w:val="clear" w:color="auto" w:fill="auto"/>
            <w:vAlign w:val="center"/>
          </w:tcPr>
          <w:p w:rsidR="000C7EAB" w:rsidRPr="00AF3608" w:rsidRDefault="000C7EAB" w:rsidP="00173CDE">
            <w:pPr>
              <w:jc w:val="center"/>
              <w:rPr>
                <w:rFonts w:ascii="Calibri" w:hAnsi="Calibri"/>
                <w:sz w:val="20"/>
                <w:szCs w:val="20"/>
                <w:lang w:val="ro-RO"/>
              </w:rPr>
            </w:pPr>
            <w:r w:rsidRPr="00AF3608">
              <w:rPr>
                <w:rFonts w:ascii="Calibri" w:hAnsi="Calibri"/>
                <w:sz w:val="20"/>
                <w:szCs w:val="20"/>
                <w:lang w:val="ro-RO"/>
              </w:rPr>
              <w:t>0</w:t>
            </w:r>
          </w:p>
        </w:tc>
      </w:tr>
      <w:tr w:rsidR="000C7EAB" w:rsidRPr="00AF3608" w:rsidTr="00173CDE">
        <w:trPr>
          <w:trHeight w:val="361"/>
          <w:jc w:val="center"/>
        </w:trPr>
        <w:tc>
          <w:tcPr>
            <w:tcW w:w="3828" w:type="dxa"/>
            <w:shd w:val="clear" w:color="auto" w:fill="auto"/>
            <w:vAlign w:val="center"/>
          </w:tcPr>
          <w:p w:rsidR="000C7EAB" w:rsidRPr="00AF3608" w:rsidRDefault="000C7EAB" w:rsidP="00173CDE">
            <w:pPr>
              <w:widowControl w:val="0"/>
              <w:shd w:val="clear" w:color="auto" w:fill="FFFFFF"/>
              <w:rPr>
                <w:rFonts w:ascii="Calibri" w:hAnsi="Calibri" w:cs="Calibri"/>
                <w:sz w:val="20"/>
                <w:szCs w:val="20"/>
                <w:lang w:val="ro-RO" w:eastAsia="ro-RO"/>
              </w:rPr>
            </w:pPr>
            <w:r w:rsidRPr="00AF3608">
              <w:rPr>
                <w:rFonts w:ascii="Calibri" w:hAnsi="Calibri" w:cs="Calibri"/>
                <w:sz w:val="20"/>
                <w:szCs w:val="20"/>
                <w:lang w:val="ro-RO" w:eastAsia="ro-RO"/>
              </w:rPr>
              <w:t xml:space="preserve">- Efecte ale evaluării și  altele </w:t>
            </w:r>
          </w:p>
        </w:tc>
        <w:tc>
          <w:tcPr>
            <w:tcW w:w="856" w:type="dxa"/>
            <w:shd w:val="clear" w:color="auto" w:fill="auto"/>
            <w:vAlign w:val="center"/>
          </w:tcPr>
          <w:p w:rsidR="000C7EAB" w:rsidRPr="00AF3608" w:rsidRDefault="000C7EAB" w:rsidP="00173CDE">
            <w:pPr>
              <w:widowControl w:val="0"/>
              <w:shd w:val="clear" w:color="auto" w:fill="FFFFFF"/>
              <w:snapToGrid w:val="0"/>
              <w:jc w:val="center"/>
              <w:rPr>
                <w:rFonts w:ascii="Calibri" w:hAnsi="Calibri" w:cs="Calibri"/>
                <w:sz w:val="20"/>
                <w:szCs w:val="20"/>
                <w:lang w:val="ro-RO" w:eastAsia="ro-RO"/>
              </w:rPr>
            </w:pPr>
          </w:p>
        </w:tc>
        <w:tc>
          <w:tcPr>
            <w:tcW w:w="856" w:type="dxa"/>
            <w:shd w:val="clear" w:color="auto" w:fill="auto"/>
            <w:vAlign w:val="center"/>
          </w:tcPr>
          <w:p w:rsidR="000C7EAB" w:rsidRPr="00AF3608" w:rsidRDefault="000C7EAB" w:rsidP="00173CDE">
            <w:pPr>
              <w:jc w:val="center"/>
              <w:rPr>
                <w:rFonts w:ascii="Calibri" w:hAnsi="Calibri" w:cs="Calibri"/>
                <w:sz w:val="20"/>
                <w:szCs w:val="20"/>
                <w:lang w:val="ro-RO"/>
              </w:rPr>
            </w:pPr>
          </w:p>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-2,5</w:t>
            </w:r>
          </w:p>
        </w:tc>
        <w:tc>
          <w:tcPr>
            <w:tcW w:w="855" w:type="dxa"/>
            <w:shd w:val="clear" w:color="auto" w:fill="auto"/>
            <w:vAlign w:val="center"/>
          </w:tcPr>
          <w:p w:rsidR="000C7EAB" w:rsidRPr="00AF3608" w:rsidRDefault="000C7EAB" w:rsidP="00173CDE">
            <w:pPr>
              <w:jc w:val="center"/>
              <w:rPr>
                <w:rFonts w:ascii="Calibri" w:hAnsi="Calibri" w:cs="Calibri"/>
                <w:sz w:val="20"/>
                <w:szCs w:val="20"/>
                <w:lang w:val="ro-RO"/>
              </w:rPr>
            </w:pPr>
          </w:p>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1,1</w:t>
            </w:r>
          </w:p>
        </w:tc>
        <w:tc>
          <w:tcPr>
            <w:tcW w:w="992" w:type="dxa"/>
            <w:shd w:val="clear" w:color="auto" w:fill="auto"/>
            <w:vAlign w:val="center"/>
          </w:tcPr>
          <w:p w:rsidR="000C7EAB" w:rsidRPr="00AF3608" w:rsidRDefault="000C7EAB" w:rsidP="00173CDE">
            <w:pPr>
              <w:jc w:val="center"/>
              <w:rPr>
                <w:rFonts w:ascii="Calibri" w:hAnsi="Calibri" w:cs="Calibri"/>
                <w:sz w:val="20"/>
                <w:szCs w:val="20"/>
                <w:lang w:val="ro-RO"/>
              </w:rPr>
            </w:pPr>
          </w:p>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-4,1</w:t>
            </w:r>
          </w:p>
        </w:tc>
        <w:tc>
          <w:tcPr>
            <w:tcW w:w="851" w:type="dxa"/>
            <w:shd w:val="clear" w:color="auto" w:fill="auto"/>
            <w:vAlign w:val="center"/>
          </w:tcPr>
          <w:p w:rsidR="000C7EAB" w:rsidRPr="00AF3608" w:rsidRDefault="000C7EAB" w:rsidP="00173CDE">
            <w:pPr>
              <w:jc w:val="center"/>
              <w:rPr>
                <w:rFonts w:ascii="Calibri" w:hAnsi="Calibri" w:cs="Calibri"/>
                <w:sz w:val="20"/>
                <w:szCs w:val="20"/>
                <w:lang w:val="ro-RO"/>
              </w:rPr>
            </w:pPr>
          </w:p>
          <w:p w:rsidR="000C7EAB" w:rsidRPr="00AF3608" w:rsidRDefault="000C7EAB" w:rsidP="00173CDE">
            <w:pPr>
              <w:jc w:val="center"/>
              <w:rPr>
                <w:rFonts w:ascii="Calibri" w:hAnsi="Calibri"/>
                <w:sz w:val="20"/>
                <w:szCs w:val="20"/>
                <w:lang w:val="ro-RO"/>
              </w:rPr>
            </w:pPr>
            <w:r w:rsidRPr="00AF3608">
              <w:rPr>
                <w:rFonts w:ascii="Calibri" w:hAnsi="Calibri" w:cs="Calibri"/>
                <w:sz w:val="20"/>
                <w:szCs w:val="20"/>
                <w:lang w:val="ro-RO"/>
              </w:rPr>
              <w:t>-4,1</w:t>
            </w:r>
          </w:p>
        </w:tc>
        <w:tc>
          <w:tcPr>
            <w:tcW w:w="992" w:type="dxa"/>
            <w:shd w:val="clear" w:color="auto" w:fill="auto"/>
            <w:vAlign w:val="center"/>
          </w:tcPr>
          <w:p w:rsidR="000C7EAB" w:rsidRPr="00AF3608" w:rsidRDefault="000C7EAB" w:rsidP="00173CDE">
            <w:pPr>
              <w:jc w:val="center"/>
              <w:rPr>
                <w:rFonts w:ascii="Calibri" w:hAnsi="Calibri"/>
                <w:sz w:val="20"/>
                <w:szCs w:val="20"/>
                <w:lang w:val="ro-RO"/>
              </w:rPr>
            </w:pPr>
          </w:p>
          <w:p w:rsidR="000C7EAB" w:rsidRPr="00AF3608" w:rsidRDefault="000C7EAB" w:rsidP="00173CDE">
            <w:pPr>
              <w:jc w:val="center"/>
              <w:rPr>
                <w:rFonts w:ascii="Calibri" w:hAnsi="Calibri"/>
                <w:sz w:val="20"/>
                <w:szCs w:val="20"/>
                <w:lang w:val="ro-RO"/>
              </w:rPr>
            </w:pPr>
            <w:r w:rsidRPr="00AF3608">
              <w:rPr>
                <w:rFonts w:ascii="Calibri" w:hAnsi="Calibri"/>
                <w:sz w:val="20"/>
                <w:szCs w:val="20"/>
                <w:lang w:val="ro-RO"/>
              </w:rPr>
              <w:t>-4,2</w:t>
            </w:r>
          </w:p>
        </w:tc>
      </w:tr>
      <w:tr w:rsidR="000C7EAB" w:rsidRPr="00AF3608" w:rsidTr="00173CDE">
        <w:trPr>
          <w:trHeight w:val="373"/>
          <w:jc w:val="center"/>
        </w:trPr>
        <w:tc>
          <w:tcPr>
            <w:tcW w:w="3828" w:type="dxa"/>
            <w:shd w:val="clear" w:color="auto" w:fill="auto"/>
            <w:vAlign w:val="center"/>
          </w:tcPr>
          <w:p w:rsidR="000C7EAB" w:rsidRPr="00AF3608" w:rsidRDefault="000C7EAB" w:rsidP="00173CDE">
            <w:pPr>
              <w:widowControl w:val="0"/>
              <w:shd w:val="clear" w:color="auto" w:fill="FFFFFF"/>
              <w:rPr>
                <w:rFonts w:ascii="Calibri" w:hAnsi="Calibri" w:cs="Calibri"/>
                <w:sz w:val="20"/>
                <w:szCs w:val="20"/>
                <w:lang w:val="ro-RO" w:eastAsia="ro-RO"/>
              </w:rPr>
            </w:pPr>
            <w:r w:rsidRPr="00AF3608">
              <w:rPr>
                <w:rFonts w:ascii="Calibri" w:hAnsi="Calibri" w:cs="Calibri"/>
                <w:sz w:val="20"/>
                <w:szCs w:val="20"/>
                <w:lang w:val="ro-RO" w:eastAsia="ro-RO"/>
              </w:rPr>
              <w:t>p.m. rata dobânzii implicite asupra datoriei</w:t>
            </w:r>
          </w:p>
        </w:tc>
        <w:tc>
          <w:tcPr>
            <w:tcW w:w="856" w:type="dxa"/>
            <w:shd w:val="clear" w:color="auto" w:fill="auto"/>
            <w:vAlign w:val="center"/>
          </w:tcPr>
          <w:p w:rsidR="000C7EAB" w:rsidRPr="00AF3608" w:rsidRDefault="000C7EAB" w:rsidP="00173CDE">
            <w:pPr>
              <w:widowControl w:val="0"/>
              <w:shd w:val="clear" w:color="auto" w:fill="FFFFFF"/>
              <w:snapToGrid w:val="0"/>
              <w:jc w:val="center"/>
              <w:rPr>
                <w:rFonts w:ascii="Calibri" w:hAnsi="Calibri" w:cs="Calibri"/>
                <w:sz w:val="20"/>
                <w:szCs w:val="20"/>
                <w:lang w:val="ro-RO" w:eastAsia="ro-RO"/>
              </w:rPr>
            </w:pPr>
          </w:p>
        </w:tc>
        <w:tc>
          <w:tcPr>
            <w:tcW w:w="856" w:type="dxa"/>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3,7</w:t>
            </w:r>
          </w:p>
        </w:tc>
        <w:tc>
          <w:tcPr>
            <w:tcW w:w="855" w:type="dxa"/>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4,2</w:t>
            </w:r>
          </w:p>
        </w:tc>
        <w:tc>
          <w:tcPr>
            <w:tcW w:w="992" w:type="dxa"/>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3,6</w:t>
            </w:r>
          </w:p>
        </w:tc>
        <w:tc>
          <w:tcPr>
            <w:tcW w:w="851" w:type="dxa"/>
            <w:shd w:val="clear" w:color="auto" w:fill="auto"/>
            <w:vAlign w:val="center"/>
          </w:tcPr>
          <w:p w:rsidR="000C7EAB" w:rsidRPr="00AF3608" w:rsidRDefault="000C7EAB" w:rsidP="00173CDE">
            <w:pPr>
              <w:jc w:val="center"/>
              <w:rPr>
                <w:rFonts w:ascii="Calibri" w:hAnsi="Calibri"/>
                <w:sz w:val="20"/>
                <w:szCs w:val="20"/>
                <w:lang w:val="ro-RO"/>
              </w:rPr>
            </w:pPr>
            <w:r w:rsidRPr="00AF3608">
              <w:rPr>
                <w:rFonts w:ascii="Calibri" w:hAnsi="Calibri" w:cs="Calibri"/>
                <w:sz w:val="20"/>
                <w:szCs w:val="20"/>
                <w:lang w:val="ro-RO"/>
              </w:rPr>
              <w:t>3,3</w:t>
            </w:r>
          </w:p>
        </w:tc>
        <w:tc>
          <w:tcPr>
            <w:tcW w:w="992" w:type="dxa"/>
            <w:shd w:val="clear" w:color="auto" w:fill="auto"/>
            <w:vAlign w:val="center"/>
          </w:tcPr>
          <w:p w:rsidR="000C7EAB" w:rsidRPr="00AF3608" w:rsidRDefault="000C7EAB" w:rsidP="00173CDE">
            <w:pPr>
              <w:jc w:val="center"/>
              <w:rPr>
                <w:rFonts w:ascii="Calibri" w:hAnsi="Calibri"/>
                <w:sz w:val="20"/>
                <w:szCs w:val="20"/>
                <w:lang w:val="ro-RO"/>
              </w:rPr>
            </w:pPr>
            <w:r w:rsidRPr="00AF3608">
              <w:rPr>
                <w:rFonts w:ascii="Calibri" w:hAnsi="Calibri"/>
                <w:sz w:val="20"/>
                <w:szCs w:val="20"/>
                <w:lang w:val="ro-RO"/>
              </w:rPr>
              <w:t>3,1</w:t>
            </w:r>
          </w:p>
        </w:tc>
      </w:tr>
    </w:tbl>
    <w:p w:rsidR="000C7EAB" w:rsidRPr="00AF3608" w:rsidRDefault="000C7EAB" w:rsidP="000C7EAB">
      <w:pPr>
        <w:spacing w:line="276" w:lineRule="auto"/>
        <w:jc w:val="both"/>
        <w:rPr>
          <w:rFonts w:ascii="Calibri" w:hAnsi="Calibri" w:cs="Arial"/>
          <w:i/>
          <w:iCs/>
          <w:sz w:val="16"/>
          <w:szCs w:val="16"/>
          <w:lang w:val="ro-RO"/>
        </w:rPr>
      </w:pPr>
    </w:p>
    <w:p w:rsidR="000C7EAB" w:rsidRPr="00AF3608" w:rsidRDefault="000C7EAB" w:rsidP="000C7EAB">
      <w:pPr>
        <w:spacing w:line="276" w:lineRule="auto"/>
        <w:jc w:val="both"/>
        <w:rPr>
          <w:rFonts w:ascii="Calibri" w:hAnsi="Calibri" w:cs="Arial"/>
          <w:i/>
          <w:iCs/>
          <w:sz w:val="16"/>
          <w:szCs w:val="16"/>
          <w:lang w:val="ro-RO"/>
        </w:rPr>
      </w:pPr>
    </w:p>
    <w:p w:rsidR="000C7EAB" w:rsidRPr="00AF3608" w:rsidRDefault="000C7EAB" w:rsidP="000C7EAB">
      <w:pPr>
        <w:spacing w:line="276" w:lineRule="auto"/>
        <w:jc w:val="both"/>
        <w:rPr>
          <w:rFonts w:ascii="Calibri" w:hAnsi="Calibri" w:cs="Arial"/>
          <w:i/>
          <w:iCs/>
          <w:sz w:val="16"/>
          <w:szCs w:val="16"/>
          <w:lang w:val="ro-RO"/>
        </w:rPr>
      </w:pPr>
      <w:r w:rsidRPr="00AF3608">
        <w:rPr>
          <w:rFonts w:ascii="Calibri" w:hAnsi="Calibri" w:cs="Arial"/>
          <w:i/>
          <w:iCs/>
          <w:sz w:val="16"/>
          <w:szCs w:val="16"/>
          <w:lang w:val="ro-RO"/>
        </w:rPr>
        <w:t xml:space="preserve">  Sursa : Ministerul Finanțelor</w:t>
      </w:r>
    </w:p>
    <w:p w:rsidR="000C7EAB" w:rsidRPr="00AF3608" w:rsidRDefault="000C7EAB" w:rsidP="000C7EAB">
      <w:pPr>
        <w:widowControl w:val="0"/>
        <w:tabs>
          <w:tab w:val="left" w:pos="993"/>
        </w:tabs>
        <w:spacing w:line="276" w:lineRule="auto"/>
        <w:ind w:right="-108"/>
        <w:rPr>
          <w:rFonts w:ascii="Calibri" w:hAnsi="Calibri" w:cs="Arial Narrow"/>
          <w:b/>
          <w:sz w:val="6"/>
          <w:lang w:val="ro-RO"/>
        </w:rPr>
      </w:pPr>
    </w:p>
    <w:p w:rsidR="000C7EAB" w:rsidRDefault="000C7EAB" w:rsidP="000C7EAB">
      <w:pPr>
        <w:spacing w:before="120"/>
        <w:ind w:right="291"/>
        <w:rPr>
          <w:rFonts w:ascii="Calibri" w:hAnsi="Calibri" w:cs="Arial"/>
          <w:lang w:val="ro-RO"/>
        </w:rPr>
      </w:pPr>
    </w:p>
    <w:p w:rsidR="00AB6E79" w:rsidRDefault="00AB6E79" w:rsidP="000C7EAB">
      <w:pPr>
        <w:spacing w:before="120"/>
        <w:ind w:right="291"/>
        <w:rPr>
          <w:rFonts w:ascii="Calibri" w:hAnsi="Calibri" w:cs="Arial"/>
          <w:lang w:val="ro-RO"/>
        </w:rPr>
      </w:pPr>
    </w:p>
    <w:p w:rsidR="000C7EAB" w:rsidRPr="00AF3608" w:rsidRDefault="000C7EAB" w:rsidP="000C7EAB">
      <w:pPr>
        <w:spacing w:before="120"/>
        <w:ind w:right="291"/>
        <w:rPr>
          <w:rFonts w:ascii="Arial" w:hAnsi="Arial" w:cs="Arial"/>
          <w:b/>
          <w:i/>
          <w:sz w:val="22"/>
          <w:szCs w:val="22"/>
          <w:lang w:val="ro-RO"/>
        </w:rPr>
      </w:pPr>
      <w:bookmarkStart w:id="15" w:name="_GoBack"/>
      <w:bookmarkEnd w:id="15"/>
      <w:r w:rsidRPr="00AF3608">
        <w:rPr>
          <w:rFonts w:ascii="Arial" w:hAnsi="Arial" w:cs="Arial"/>
          <w:b/>
          <w:i/>
          <w:sz w:val="22"/>
          <w:szCs w:val="22"/>
          <w:lang w:val="ro-RO"/>
        </w:rPr>
        <w:lastRenderedPageBreak/>
        <w:t xml:space="preserve">Finanţarea deficitului bugetar </w:t>
      </w:r>
    </w:p>
    <w:p w:rsidR="000C7EAB" w:rsidRPr="00AF3608" w:rsidRDefault="000C7EAB" w:rsidP="000C7EAB">
      <w:pPr>
        <w:widowControl w:val="0"/>
        <w:spacing w:before="120"/>
        <w:jc w:val="both"/>
        <w:rPr>
          <w:rFonts w:ascii="Calibri" w:hAnsi="Calibri" w:cs="Arial"/>
          <w:lang w:val="ro-RO"/>
        </w:rPr>
      </w:pPr>
      <w:r w:rsidRPr="00AF3608">
        <w:rPr>
          <w:rFonts w:ascii="Calibri" w:hAnsi="Calibri" w:cs="Calibri"/>
          <w:lang w:val="ro-RO"/>
        </w:rPr>
        <w:t>În anul 2020, necesarul brut de finanțare s-a situat la aproximativ 148,9 miliarde lei</w:t>
      </w:r>
      <w:r w:rsidRPr="00AF3608">
        <w:rPr>
          <w:rFonts w:ascii="Calibri" w:hAnsi="Calibri" w:cs="Calibri"/>
          <w:vertAlign w:val="superscript"/>
          <w:lang w:val="ro-RO"/>
        </w:rPr>
        <w:footnoteReference w:id="26"/>
      </w:r>
      <w:r w:rsidRPr="00AF3608">
        <w:rPr>
          <w:rFonts w:ascii="Calibri" w:hAnsi="Calibri" w:cs="Calibri"/>
          <w:lang w:val="ro-RO"/>
        </w:rPr>
        <w:t xml:space="preserve">, volumul total al împrumuturilor care au fost atrase de Ministerul Finanțelor de pe piețele interne și externe fiind determinat de un nivel al deficitului bugetar estimat la 9,79% din PIB conform datelor publicate de Ministerul Finanțelor privind execuția preliminată a deficitului bugetului general consolidat la 31 decembrie 2020 (aproximativ 101,9 mld. lei) și de un nivel al datoriei de refinanțat în valoare de cca 47,1 miliarde lei. </w:t>
      </w:r>
      <w:r w:rsidRPr="00AF3608">
        <w:rPr>
          <w:rFonts w:ascii="Calibri" w:hAnsi="Calibri" w:cs="Arial"/>
          <w:lang w:val="ro-RO"/>
        </w:rPr>
        <w:t xml:space="preserve">Planul de finanțare anunțat inițial la începutul anului a fost ajustat gradual, urmare a creșterii deficitului bugetar și modificărilor indicatorilor macroeconomici, în contextul pandemiei COVID-19. </w:t>
      </w:r>
    </w:p>
    <w:p w:rsidR="000C7EAB" w:rsidRPr="00AF3608" w:rsidRDefault="000C7EAB" w:rsidP="000C7EAB">
      <w:pPr>
        <w:suppressAutoHyphens/>
        <w:spacing w:before="120"/>
        <w:ind w:right="-1"/>
        <w:jc w:val="both"/>
        <w:rPr>
          <w:rFonts w:ascii="Calibri" w:hAnsi="Calibri" w:cs="Calibri"/>
          <w:bCs/>
          <w:lang w:val="ro-RO"/>
        </w:rPr>
      </w:pPr>
      <w:r w:rsidRPr="00AF3608">
        <w:rPr>
          <w:rFonts w:ascii="Calibri" w:hAnsi="Calibri" w:cs="Calibri"/>
          <w:lang w:val="ro-RO"/>
        </w:rPr>
        <w:t>Finanțarea pe piața internă s-a realizat prin organizarea de licitații regulate de titluri de stat pe piața interbancară, cu maturități cuprinse între 6 luni și 15 ani. Volumul total atras</w:t>
      </w:r>
      <w:r w:rsidRPr="00AF3608">
        <w:rPr>
          <w:rFonts w:ascii="Calibri" w:hAnsi="Calibri" w:cs="Calibri"/>
          <w:vertAlign w:val="superscript"/>
          <w:lang w:val="ro-RO"/>
        </w:rPr>
        <w:footnoteReference w:id="27"/>
      </w:r>
      <w:r w:rsidRPr="00AF3608">
        <w:rPr>
          <w:rFonts w:ascii="Calibri" w:hAnsi="Calibri" w:cs="Calibri"/>
          <w:lang w:val="ro-RO"/>
        </w:rPr>
        <w:t xml:space="preserve"> de pe piața internă interbancară s-a ridicat la cca 85 miliarde lei (prin emisiuni de titluri de stat denominate în lei și EUR), din care 9% datorie pe termen scurt, 58% pe termen mediu și 33% pe termen lung, la care se adaugă cca 6,5 miliarde lei atrase prin titluri de stat dedicate populației, în cadrul celor 2 programe de titluri de stat destinate populației TEZAUR (titluri de stat emise prin unități ale Trezoreriei Statului și oficii poștale ale Companiei Naționale “Poșta Română” S.A.) și FIDELIS (titluri de stat emise prin intermediul sistemului bancar). În anul 2020, în vederea diversificării canalelor de vânzare a titlurilor pentru populație, Ministerul Finanțelor a relansat, cu o frecvență trimestrială, Programul FIDELIS,</w:t>
      </w:r>
      <w:r w:rsidRPr="00AF3608">
        <w:rPr>
          <w:rFonts w:ascii="Calibri" w:hAnsi="Calibri" w:cs="Calibri"/>
          <w:bCs/>
          <w:lang w:val="ro-RO"/>
        </w:rPr>
        <w:t xml:space="preserve">  prin vânzarea titlurilor de stat prin intermediul băncilor și al societăților de servicii și investiții financiare participante și listarea acestora la Bursa de Valori București.</w:t>
      </w:r>
    </w:p>
    <w:p w:rsidR="000C7EAB" w:rsidRPr="00AF3608" w:rsidRDefault="000C7EAB" w:rsidP="000C7EAB">
      <w:pPr>
        <w:widowControl w:val="0"/>
        <w:spacing w:before="120"/>
        <w:jc w:val="both"/>
        <w:rPr>
          <w:rFonts w:ascii="Calibri" w:hAnsi="Calibri" w:cs="Arial"/>
          <w:lang w:val="ro-RO"/>
        </w:rPr>
      </w:pPr>
    </w:p>
    <w:p w:rsidR="000C7EAB" w:rsidRPr="00AF3608" w:rsidRDefault="000C7EAB" w:rsidP="000C7EAB">
      <w:pPr>
        <w:widowControl w:val="0"/>
        <w:spacing w:before="120"/>
        <w:jc w:val="both"/>
        <w:rPr>
          <w:rFonts w:ascii="Calibri" w:hAnsi="Calibri" w:cs="Arial"/>
          <w:lang w:val="ro-RO"/>
        </w:rPr>
      </w:pPr>
      <w:r w:rsidRPr="00AF3608">
        <w:rPr>
          <w:rFonts w:ascii="Calibri" w:hAnsi="Calibri" w:cs="Arial"/>
          <w:lang w:val="ro-RO"/>
        </w:rPr>
        <w:t xml:space="preserve">Deținerile nerezidenților în titlurile de stat emise pe piața internă s-au  menținut la un nivel relativ stabil pe parcursul anului 2020,acestea înregistrând o valoare de cca 21,0% la sfârșitul lunii decembrie. </w:t>
      </w:r>
    </w:p>
    <w:p w:rsidR="000C7EAB" w:rsidRPr="00AF3608" w:rsidRDefault="000C7EAB" w:rsidP="000C7EAB">
      <w:pPr>
        <w:widowControl w:val="0"/>
        <w:spacing w:before="120"/>
        <w:jc w:val="both"/>
        <w:rPr>
          <w:rFonts w:ascii="Calibri" w:hAnsi="Calibri" w:cs="Arial"/>
          <w:lang w:val="ro-RO"/>
        </w:rPr>
      </w:pPr>
    </w:p>
    <w:p w:rsidR="000C7EAB" w:rsidRPr="00AF3608" w:rsidRDefault="000C7EAB" w:rsidP="000C7EAB">
      <w:pPr>
        <w:widowControl w:val="0"/>
        <w:spacing w:before="120"/>
        <w:jc w:val="both"/>
        <w:rPr>
          <w:rFonts w:ascii="Calibri" w:hAnsi="Calibri" w:cs="Arial"/>
          <w:lang w:val="ro-RO"/>
        </w:rPr>
      </w:pPr>
      <w:r w:rsidRPr="00AF3608">
        <w:rPr>
          <w:rFonts w:ascii="Calibri" w:hAnsi="Calibri" w:cs="Arial"/>
          <w:lang w:val="ro-RO"/>
        </w:rPr>
        <w:t>Evolutia randamentelor titlurilor de stat pe piata internă prezintă o evoluție în scădere accentuată, în special pe segmentul maturităților medii și lungi, comparativ cu nivelurile înregistrate în anii 2018 -2020, așa cum rezultă din graficul de mai jos.</w:t>
      </w:r>
    </w:p>
    <w:p w:rsidR="000C7EAB" w:rsidRPr="00AF3608" w:rsidRDefault="000C7EAB" w:rsidP="000C7EAB">
      <w:pPr>
        <w:widowControl w:val="0"/>
        <w:spacing w:before="120"/>
        <w:jc w:val="both"/>
        <w:rPr>
          <w:lang w:val="ro-RO"/>
        </w:rPr>
      </w:pPr>
    </w:p>
    <w:p w:rsidR="000C7EAB" w:rsidRPr="00AF3608" w:rsidRDefault="000C7EAB" w:rsidP="000C7EAB">
      <w:pPr>
        <w:rPr>
          <w:lang w:val="ro-RO"/>
        </w:rPr>
      </w:pPr>
      <w:r w:rsidRPr="00AF3608">
        <w:rPr>
          <w:noProof/>
        </w:rPr>
        <w:lastRenderedPageBreak/>
        <w:drawing>
          <wp:inline distT="0" distB="0" distL="0" distR="0" wp14:anchorId="32B13F61" wp14:editId="54D945B4">
            <wp:extent cx="6300470" cy="2721610"/>
            <wp:effectExtent l="0" t="0" r="508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00470" cy="2721610"/>
                    </a:xfrm>
                    <a:prstGeom prst="rect">
                      <a:avLst/>
                    </a:prstGeom>
                  </pic:spPr>
                </pic:pic>
              </a:graphicData>
            </a:graphic>
          </wp:inline>
        </w:drawing>
      </w:r>
    </w:p>
    <w:p w:rsidR="000C7EAB" w:rsidRPr="00AF3608" w:rsidRDefault="000C7EAB" w:rsidP="000C7EAB">
      <w:pPr>
        <w:widowControl w:val="0"/>
        <w:rPr>
          <w:rFonts w:ascii="Calibri" w:hAnsi="Calibri" w:cs="Calibri"/>
          <w:color w:val="000000"/>
          <w:sz w:val="20"/>
          <w:szCs w:val="20"/>
          <w:lang w:val="ro-RO"/>
        </w:rPr>
      </w:pPr>
      <w:r w:rsidRPr="00AF3608">
        <w:rPr>
          <w:rFonts w:ascii="Calibri" w:hAnsi="Calibri" w:cs="Calibri"/>
          <w:color w:val="000000"/>
          <w:sz w:val="20"/>
          <w:szCs w:val="20"/>
          <w:lang w:val="ro-RO"/>
        </w:rPr>
        <w:t xml:space="preserve">Sursa: Ministerul Finanțelor </w:t>
      </w:r>
    </w:p>
    <w:p w:rsidR="000C7EAB" w:rsidRPr="00AF3608" w:rsidRDefault="000C7EAB" w:rsidP="000C7EAB">
      <w:pPr>
        <w:shd w:val="clear" w:color="auto" w:fill="FFFFFF"/>
        <w:spacing w:before="120"/>
        <w:jc w:val="both"/>
        <w:rPr>
          <w:rFonts w:asciiTheme="minorHAnsi" w:hAnsiTheme="minorHAnsi" w:cstheme="minorHAnsi"/>
          <w:lang w:val="ro-RO"/>
        </w:rPr>
      </w:pPr>
    </w:p>
    <w:p w:rsidR="000C7EAB" w:rsidRPr="00AF3608" w:rsidRDefault="000C7EAB" w:rsidP="000C7EAB">
      <w:pPr>
        <w:shd w:val="clear" w:color="auto" w:fill="FFFFFF"/>
        <w:spacing w:before="120"/>
        <w:jc w:val="both"/>
        <w:rPr>
          <w:rFonts w:asciiTheme="minorHAnsi" w:hAnsiTheme="minorHAnsi" w:cstheme="minorHAnsi"/>
          <w:lang w:val="ro-RO"/>
        </w:rPr>
      </w:pPr>
      <w:r w:rsidRPr="00AF3608">
        <w:rPr>
          <w:rFonts w:asciiTheme="minorHAnsi" w:hAnsiTheme="minorHAnsi" w:cstheme="minorHAnsi"/>
          <w:lang w:val="ro-RO"/>
        </w:rPr>
        <w:t xml:space="preserve">În cursul anului 2020, pe piața externă au fost lansate patru emisiuni de euroobligațiuni în valoare totală echivalent 11,7 miliarde EUR, astfel:  </w:t>
      </w:r>
    </w:p>
    <w:p w:rsidR="000C7EAB" w:rsidRPr="00AF3608" w:rsidRDefault="000C7EAB" w:rsidP="003A0B85">
      <w:pPr>
        <w:numPr>
          <w:ilvl w:val="0"/>
          <w:numId w:val="126"/>
        </w:numPr>
        <w:shd w:val="clear" w:color="auto" w:fill="FFFFFF"/>
        <w:spacing w:before="120"/>
        <w:jc w:val="both"/>
        <w:rPr>
          <w:rFonts w:asciiTheme="minorHAnsi" w:hAnsiTheme="minorHAnsi" w:cstheme="minorHAnsi"/>
          <w:lang w:val="ro-RO"/>
        </w:rPr>
      </w:pPr>
      <w:r w:rsidRPr="00AF3608">
        <w:rPr>
          <w:rFonts w:asciiTheme="minorHAnsi" w:hAnsiTheme="minorHAnsi" w:cstheme="minorHAnsi"/>
          <w:lang w:val="ro-RO"/>
        </w:rPr>
        <w:t xml:space="preserve">în data de 28 ianuarie 2020, a fost atrasă suma de 3 miliarde EUR printr-o emisiune de euroobligațiuni în două tranșe, din care 1,4 miliarde EUR cu scadența de 12 ani (randament 2,025%, cupon de 2,000%) și 1,6 miliarde EUR cu scadența de 30 ani (randament de 3,391%, cupon de 3,375%); </w:t>
      </w:r>
    </w:p>
    <w:p w:rsidR="000C7EAB" w:rsidRPr="00AF3608" w:rsidRDefault="000C7EAB" w:rsidP="003A0B85">
      <w:pPr>
        <w:numPr>
          <w:ilvl w:val="0"/>
          <w:numId w:val="126"/>
        </w:numPr>
        <w:shd w:val="clear" w:color="auto" w:fill="FFFFFF"/>
        <w:spacing w:before="120"/>
        <w:jc w:val="both"/>
        <w:rPr>
          <w:rFonts w:asciiTheme="minorHAnsi" w:hAnsiTheme="minorHAnsi" w:cstheme="minorHAnsi"/>
          <w:lang w:val="ro-RO"/>
        </w:rPr>
      </w:pPr>
      <w:r w:rsidRPr="00AF3608">
        <w:rPr>
          <w:rFonts w:asciiTheme="minorHAnsi" w:hAnsiTheme="minorHAnsi" w:cstheme="minorHAnsi"/>
          <w:lang w:val="ro-RO"/>
        </w:rPr>
        <w:t xml:space="preserve">în data de 26 mai a fost atrasă suma de 3,3 miliarde EUR printr-o emisiune de euroobligațiuni în două tranșe, din care 1,3 miliarde EUR cu maturitatea de 5 ani(randament de 2,793%, cupon de 2,750%) și 2 miliarde EUR cu scadența de 10 ani (randament de 3,624%, cupon de 3,624%). </w:t>
      </w:r>
    </w:p>
    <w:p w:rsidR="000C7EAB" w:rsidRPr="00AF3608" w:rsidRDefault="000C7EAB" w:rsidP="003A0B85">
      <w:pPr>
        <w:numPr>
          <w:ilvl w:val="0"/>
          <w:numId w:val="126"/>
        </w:numPr>
        <w:shd w:val="clear" w:color="auto" w:fill="FFFFFF"/>
        <w:spacing w:before="120"/>
        <w:jc w:val="both"/>
        <w:rPr>
          <w:rFonts w:asciiTheme="minorHAnsi" w:hAnsiTheme="minorHAnsi" w:cstheme="minorHAnsi"/>
          <w:lang w:val="ro-RO"/>
        </w:rPr>
      </w:pPr>
      <w:r w:rsidRPr="00AF3608">
        <w:rPr>
          <w:rFonts w:asciiTheme="minorHAnsi" w:hAnsiTheme="minorHAnsi" w:cstheme="minorHAnsi"/>
          <w:lang w:val="ro-RO"/>
        </w:rPr>
        <w:t xml:space="preserve">în data de 14 iulie a fost atrasă suma de 3,3 miliarde USD printr-o emisiune de euroobligațiuni în două tranșe, din care 1,3 miliarde USD cu maturitatea de 10 ani(randament de 3,045%, cupon de 3,000%) și 2 miliarde USD cu scadența  de 30 ani (randament de 4,000%, cupon de 4,000%). </w:t>
      </w:r>
    </w:p>
    <w:p w:rsidR="000C7EAB" w:rsidRPr="00AF3608" w:rsidRDefault="000C7EAB" w:rsidP="003A0B85">
      <w:pPr>
        <w:numPr>
          <w:ilvl w:val="0"/>
          <w:numId w:val="126"/>
        </w:numPr>
        <w:shd w:val="clear" w:color="auto" w:fill="FFFFFF"/>
        <w:spacing w:before="120"/>
        <w:jc w:val="both"/>
        <w:rPr>
          <w:rFonts w:asciiTheme="minorHAnsi" w:hAnsiTheme="minorHAnsi" w:cstheme="minorHAnsi"/>
          <w:lang w:val="ro-RO"/>
        </w:rPr>
      </w:pPr>
      <w:r w:rsidRPr="00AF3608">
        <w:rPr>
          <w:rFonts w:asciiTheme="minorHAnsi" w:hAnsiTheme="minorHAnsi" w:cstheme="minorHAnsi"/>
          <w:lang w:val="ro-RO"/>
        </w:rPr>
        <w:t>în data de 2 decembrie a fost atrasă suma de 2,5 miliarde EUR printr-o emisiune de euroobligațiuni în două tranșe, din care 1  miliard EUR cu maturitatea de 9 ani (randament de 1,468%, cupon de 1,375%) și 1,5 miliarde EUR cu scadența de 20 ani (randament de 2,650%, cupon de 2,625%).</w:t>
      </w:r>
    </w:p>
    <w:p w:rsidR="000C7EAB" w:rsidRPr="00AF3608" w:rsidRDefault="000C7EAB" w:rsidP="000C7EAB">
      <w:pPr>
        <w:widowControl w:val="0"/>
        <w:spacing w:before="120"/>
        <w:jc w:val="both"/>
        <w:rPr>
          <w:rFonts w:asciiTheme="minorHAnsi" w:hAnsiTheme="minorHAnsi" w:cstheme="minorHAnsi"/>
          <w:color w:val="FF0000"/>
          <w:lang w:val="ro-RO"/>
        </w:rPr>
      </w:pPr>
      <w:r w:rsidRPr="00AF3608">
        <w:rPr>
          <w:rFonts w:asciiTheme="minorHAnsi" w:hAnsiTheme="minorHAnsi" w:cstheme="minorHAnsi"/>
          <w:lang w:val="ro-RO"/>
        </w:rPr>
        <w:t xml:space="preserve">În perioada 2021 – 2023, finanţarea deficitului bugetului de stat şi refinanţarea datoriei publice guvernamentale se va realiza relativ echilibrat din surse interne și externe, iar refinanțarea datoriei publice guvernamentale se va efectua de pe piața de pe care s-a emis inițial datoria. Ministerul Finanțelor va păstra flexibilitatea în ceea ce priveşte momentul accesării pieţelor internaţionale şi volumul emisiunilor externe, ţinând cont de costurile asociate, de considerentele de risc, precum si de evoluția pietei locale. Pe piața internă vor continua emisiunile de titluri de stat dedicate populației, urmând să fie aduse o serie de îmbunătățiri care să faciliteze subscrierile și efectuarea rambursărilor la scadență, în mediu online. </w:t>
      </w:r>
    </w:p>
    <w:p w:rsidR="000C7EAB" w:rsidRPr="00AF3608" w:rsidRDefault="000C7EAB" w:rsidP="000C7EAB">
      <w:pPr>
        <w:widowControl w:val="0"/>
        <w:spacing w:before="120"/>
        <w:jc w:val="both"/>
        <w:rPr>
          <w:rFonts w:asciiTheme="minorHAnsi" w:hAnsiTheme="minorHAnsi" w:cstheme="minorHAnsi"/>
          <w:lang w:val="ro-RO"/>
        </w:rPr>
      </w:pPr>
      <w:r w:rsidRPr="00AF3608">
        <w:rPr>
          <w:rFonts w:asciiTheme="minorHAnsi" w:hAnsiTheme="minorHAnsi" w:cstheme="minorHAnsi"/>
          <w:lang w:val="ro-RO"/>
        </w:rPr>
        <w:t xml:space="preserve">Pentru limitarea riscului de refinanțare, Ministerul Finanțelor intenționează să  utilizeze operatiuni specifice de piață secundară de tipul răscumpărărilor anticipate sau preschimbărilor de titluri de stat, </w:t>
      </w:r>
      <w:r w:rsidRPr="00AF3608">
        <w:rPr>
          <w:rFonts w:asciiTheme="minorHAnsi" w:hAnsiTheme="minorHAnsi" w:cstheme="minorHAnsi"/>
          <w:lang w:val="ro-RO"/>
        </w:rPr>
        <w:lastRenderedPageBreak/>
        <w:t>ulterior finalizării, în colaborare cu Banca Națională a României, a cadrului legal, activitate estimată pentru prima parte a anului 2021.</w:t>
      </w:r>
    </w:p>
    <w:p w:rsidR="000C7EAB" w:rsidRPr="00AF3608" w:rsidRDefault="000C7EAB" w:rsidP="000C7EAB">
      <w:pPr>
        <w:widowControl w:val="0"/>
        <w:spacing w:before="120"/>
        <w:jc w:val="both"/>
        <w:rPr>
          <w:rFonts w:asciiTheme="minorHAnsi" w:hAnsiTheme="minorHAnsi" w:cstheme="minorHAnsi"/>
          <w:lang w:val="ro-RO"/>
        </w:rPr>
      </w:pPr>
      <w:r w:rsidRPr="00AF3608">
        <w:rPr>
          <w:rFonts w:asciiTheme="minorHAnsi" w:hAnsiTheme="minorHAnsi" w:cstheme="minorHAnsi"/>
          <w:lang w:val="ro-RO"/>
        </w:rPr>
        <w:t xml:space="preserve">De asemenea, pentru reducerea expunerii la riscul valutar și de rată de dobândă asociate portofoliului de datorie publice guvernamentale, Ministerul Finanțelor are în vedere utilizarea instrumentelor financiare derivate (swap valutar și swap pe rată de dobândă), în anul 2021 urmând să se finalizeze Cadrul operațional și să fie încheiate de acorduri-cadru ISDA Master Agreement cu o serie de contrapartide.  </w:t>
      </w:r>
    </w:p>
    <w:p w:rsidR="000C7EAB" w:rsidRPr="00AF3608" w:rsidRDefault="000C7EAB" w:rsidP="000C7EAB">
      <w:pPr>
        <w:widowControl w:val="0"/>
        <w:spacing w:before="120"/>
        <w:jc w:val="both"/>
        <w:rPr>
          <w:rFonts w:asciiTheme="minorHAnsi" w:hAnsiTheme="minorHAnsi" w:cstheme="minorHAnsi"/>
          <w:lang w:val="ro-RO"/>
        </w:rPr>
      </w:pPr>
      <w:r w:rsidRPr="00AF3608">
        <w:rPr>
          <w:rFonts w:asciiTheme="minorHAnsi" w:hAnsiTheme="minorHAnsi" w:cstheme="minorHAnsi"/>
          <w:lang w:val="ro-RO"/>
        </w:rPr>
        <w:t>Pe termen mediu, se are în vedere diversificarea instrumentelor de finanțare, prin realizarea de emisiuni de obligațiuni “verzi”, în acest sens o primă etapă o reprezintă crearea Cadrului general de emisiuni de obligațiuni verzi la nivel suveran, urmând să fie identificate în bugetul de stat proiectele de investiții/cheltuieli “verzi”.</w:t>
      </w:r>
    </w:p>
    <w:p w:rsidR="000C7EAB" w:rsidRPr="00AF3608" w:rsidRDefault="000C7EAB" w:rsidP="000C7EAB">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Pentru îmbunătățirea managementului datoriei publice și evitarea presiunilor sezoniere în asigurarea surselor de finanțare a deficitului bugetar și de refinanțare a datoriei publice guvernamentale, în vederea reducerii riscului de refinanțare și de lichiditate, Ministerul Finanțelor are în vedere menținerea rezervei financiare (buffer) în valută la dispoziția Trezoreriei Statului, în valoare echivalentă acoperirii necesităților de finanțare a deficitului bugetar și refinanțării datoriei publice </w:t>
      </w:r>
      <w:r w:rsidRPr="00AF3608">
        <w:rPr>
          <w:rFonts w:asciiTheme="minorHAnsi" w:eastAsia="Calibri" w:hAnsiTheme="minorHAnsi" w:cstheme="minorHAnsi"/>
          <w:lang w:val="ro-RO"/>
        </w:rPr>
        <w:t>care să acopere până la 4 luni din necesarul brut de finanțare.</w:t>
      </w:r>
      <w:r w:rsidRPr="00AF3608">
        <w:rPr>
          <w:rFonts w:asciiTheme="minorHAnsi" w:hAnsiTheme="minorHAnsi" w:cstheme="minorHAnsi"/>
          <w:lang w:val="ro-RO"/>
        </w:rPr>
        <w:t xml:space="preserve"> </w:t>
      </w:r>
    </w:p>
    <w:p w:rsidR="00235460" w:rsidRPr="00AF3608" w:rsidRDefault="00235460" w:rsidP="000C7EAB">
      <w:pPr>
        <w:spacing w:before="120"/>
        <w:rPr>
          <w:rFonts w:ascii="Calibri" w:hAnsi="Calibri" w:cs="Calibri"/>
          <w:lang w:val="ro-RO"/>
        </w:rPr>
      </w:pPr>
    </w:p>
    <w:p w:rsidR="000A1FF4" w:rsidRPr="00AF3608" w:rsidRDefault="000A1FF4" w:rsidP="00B723C0">
      <w:pPr>
        <w:widowControl w:val="0"/>
        <w:spacing w:before="120"/>
        <w:jc w:val="both"/>
        <w:rPr>
          <w:rFonts w:ascii="Calibri" w:eastAsia="Calibri" w:hAnsi="Calibri" w:cs="Arial"/>
          <w:lang w:val="ro-RO"/>
        </w:rPr>
      </w:pPr>
    </w:p>
    <w:p w:rsidR="00235460" w:rsidRPr="00AF3608" w:rsidRDefault="00235460" w:rsidP="00B723C0">
      <w:pPr>
        <w:widowControl w:val="0"/>
        <w:spacing w:before="120"/>
        <w:jc w:val="both"/>
        <w:rPr>
          <w:rFonts w:ascii="Calibri" w:eastAsia="Calibri" w:hAnsi="Calibri" w:cs="Arial"/>
          <w:lang w:val="ro-RO"/>
        </w:rPr>
      </w:pPr>
    </w:p>
    <w:p w:rsidR="00422988" w:rsidRPr="00AF3608" w:rsidRDefault="000A1FF4" w:rsidP="003E7D2E">
      <w:pPr>
        <w:shd w:val="clear" w:color="auto" w:fill="6666FF"/>
        <w:tabs>
          <w:tab w:val="right" w:pos="9747"/>
        </w:tabs>
        <w:rPr>
          <w:rFonts w:ascii="Calibri" w:hAnsi="Calibri" w:cs="Arial Narrow"/>
          <w:b/>
          <w:color w:val="1F4E79" w:themeColor="accent1" w:themeShade="80"/>
          <w:lang w:val="ro-RO"/>
        </w:rPr>
      </w:pPr>
      <w:r w:rsidRPr="00AF3608">
        <w:rPr>
          <w:rFonts w:ascii="Calibri" w:hAnsi="Calibri" w:cs="Arial Narrow"/>
          <w:b/>
          <w:lang w:val="ro-RO"/>
        </w:rPr>
        <w:t>4.10 PLAFOANE PRIVIND PRINCIPALII INDICATORI BUGETARI ÎN PERIOADA 202</w:t>
      </w:r>
      <w:r w:rsidR="005173B7" w:rsidRPr="00AF3608">
        <w:rPr>
          <w:rFonts w:ascii="Calibri" w:hAnsi="Calibri" w:cs="Arial Narrow"/>
          <w:b/>
          <w:lang w:val="ro-RO"/>
        </w:rPr>
        <w:t>1-2023</w:t>
      </w:r>
    </w:p>
    <w:p w:rsidR="00AF49FC" w:rsidRPr="00AF3608" w:rsidRDefault="00AF49FC" w:rsidP="00AB6E79">
      <w:pPr>
        <w:spacing w:before="120"/>
        <w:jc w:val="both"/>
        <w:rPr>
          <w:rFonts w:ascii="Calibri" w:hAnsi="Calibri"/>
          <w:lang w:val="ro-RO"/>
        </w:rPr>
      </w:pPr>
      <w:r w:rsidRPr="00AF3608">
        <w:rPr>
          <w:rFonts w:ascii="Calibri" w:hAnsi="Calibri"/>
          <w:lang w:val="ro-RO"/>
        </w:rPr>
        <w:t>În tabelele de mai jos sunt prezentate limite pentru anumiţi indicatori bugetari ce vor face obiectul adoptării de către Parlament potrivit art.26 din Legea responsabilităţii fiscal-bugetare, nr.69/2010, republicată.</w:t>
      </w:r>
    </w:p>
    <w:p w:rsidR="00AF49FC" w:rsidRPr="00AF3608" w:rsidRDefault="00AF49FC" w:rsidP="00AF49FC">
      <w:pPr>
        <w:jc w:val="center"/>
        <w:rPr>
          <w:rFonts w:ascii="Calibri" w:hAnsi="Calibri"/>
          <w:lang w:val="ro-RO"/>
        </w:rPr>
      </w:pPr>
      <w:r w:rsidRPr="00AF3608">
        <w:rPr>
          <w:noProof/>
        </w:rPr>
        <w:lastRenderedPageBreak/>
        <w:drawing>
          <wp:inline distT="0" distB="0" distL="0" distR="0" wp14:anchorId="2BF2F0C2" wp14:editId="220B0E15">
            <wp:extent cx="5791200" cy="4454208"/>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38221" cy="4490374"/>
                    </a:xfrm>
                    <a:prstGeom prst="rect">
                      <a:avLst/>
                    </a:prstGeom>
                    <a:noFill/>
                    <a:ln>
                      <a:noFill/>
                    </a:ln>
                  </pic:spPr>
                </pic:pic>
              </a:graphicData>
            </a:graphic>
          </wp:inline>
        </w:drawing>
      </w:r>
    </w:p>
    <w:p w:rsidR="00AF49FC" w:rsidRPr="00AF3608" w:rsidRDefault="00AF49FC" w:rsidP="00AF49FC">
      <w:pPr>
        <w:jc w:val="both"/>
        <w:rPr>
          <w:rFonts w:ascii="Calibri" w:hAnsi="Calibri"/>
          <w:lang w:val="ro-RO"/>
        </w:rPr>
      </w:pPr>
    </w:p>
    <w:p w:rsidR="00AF49FC" w:rsidRPr="00AF3608" w:rsidRDefault="00AF49FC" w:rsidP="00AF49FC">
      <w:pPr>
        <w:spacing w:after="120"/>
        <w:jc w:val="both"/>
        <w:rPr>
          <w:rFonts w:ascii="Calibri" w:hAnsi="Calibri"/>
          <w:lang w:val="ro-RO"/>
        </w:rPr>
      </w:pPr>
      <w:r w:rsidRPr="00AF3608">
        <w:rPr>
          <w:rFonts w:ascii="Calibri" w:hAnsi="Calibri"/>
          <w:lang w:val="ro-RO"/>
        </w:rPr>
        <w:t>În vederea încadrării în ţintele de deficit bugetar pentru perioada 2021 -2023, pentru unităţile administrativ-teritoriale (UAT) au fost propuse limite anuale atât pentru valoarea contractată a finanţărilor rambursabile care urmează a fi contractate de către acestea, cât şi limite de cheltuieli bugetare aferente tragerilor din finanţările rambursabile contractate sau care urmează a fi contractate de către UAT.</w:t>
      </w:r>
    </w:p>
    <w:p w:rsidR="00AF49FC" w:rsidRPr="00AF3608" w:rsidRDefault="00AF49FC" w:rsidP="00AF49FC">
      <w:pPr>
        <w:jc w:val="both"/>
        <w:rPr>
          <w:rFonts w:ascii="Calibri" w:hAnsi="Calibri"/>
          <w:lang w:val="ro-RO"/>
        </w:rPr>
      </w:pPr>
      <w:r w:rsidRPr="00AF3608">
        <w:rPr>
          <w:rFonts w:ascii="Calibri" w:hAnsi="Calibri"/>
          <w:lang w:val="ro-RO"/>
        </w:rPr>
        <w:t>Având în vedere perspectiva de crestere a economiei naţionale estimam ca datoria guvernamentală conform metodologiei UE se va situa la un nivel stabil și sustenabil și drept urmare propunem plafoane de maxim 55,0% din PIB pentru perioada 2021 - 2023, în timp ce pentru diminuarea riscului bugetar rezultat din plăţile ce ar trebui efectuate de MF şi UAT în contul garanţiilor emise în conformitate cu OUG nr.64/2007 privind datoria publică au fost propuse următoarele plafoane:</w:t>
      </w:r>
    </w:p>
    <w:p w:rsidR="00AF49FC" w:rsidRPr="00AF3608" w:rsidRDefault="00AF49FC" w:rsidP="00AF49FC">
      <w:pPr>
        <w:jc w:val="center"/>
        <w:rPr>
          <w:rFonts w:ascii="Calibri" w:hAnsi="Calibri"/>
          <w:lang w:val="ro-RO"/>
        </w:rPr>
      </w:pPr>
      <w:r w:rsidRPr="00AF3608">
        <w:rPr>
          <w:noProof/>
        </w:rPr>
        <w:lastRenderedPageBreak/>
        <w:drawing>
          <wp:inline distT="0" distB="0" distL="0" distR="0" wp14:anchorId="1D2810AD" wp14:editId="2514768B">
            <wp:extent cx="5867400" cy="38040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78192" cy="3811075"/>
                    </a:xfrm>
                    <a:prstGeom prst="rect">
                      <a:avLst/>
                    </a:prstGeom>
                    <a:noFill/>
                    <a:ln>
                      <a:noFill/>
                    </a:ln>
                  </pic:spPr>
                </pic:pic>
              </a:graphicData>
            </a:graphic>
          </wp:inline>
        </w:drawing>
      </w:r>
    </w:p>
    <w:p w:rsidR="009D1AB4" w:rsidRDefault="009D1AB4" w:rsidP="00AF49FC">
      <w:pPr>
        <w:jc w:val="both"/>
        <w:rPr>
          <w:rFonts w:ascii="Calibri" w:hAnsi="Calibri"/>
          <w:lang w:val="ro-RO"/>
        </w:rPr>
      </w:pPr>
    </w:p>
    <w:p w:rsidR="00AF49FC" w:rsidRPr="00AF3608" w:rsidRDefault="00AF49FC" w:rsidP="00AF49FC">
      <w:pPr>
        <w:jc w:val="both"/>
        <w:rPr>
          <w:rFonts w:ascii="Calibri" w:hAnsi="Calibri"/>
          <w:lang w:val="ro-RO"/>
        </w:rPr>
      </w:pPr>
      <w:r w:rsidRPr="00AF3608">
        <w:rPr>
          <w:rFonts w:ascii="Calibri" w:hAnsi="Calibri"/>
          <w:lang w:val="ro-RO"/>
        </w:rPr>
        <w:t>Plafoanele privind cheltuielile totale şi cele de personal ale bugetului general consolidat exclusiv asistenţa financiară de la Uniunea Europeană şi alţi donatori, sunt prezentate în tabelul de mai jos.</w:t>
      </w:r>
    </w:p>
    <w:p w:rsidR="00AF49FC" w:rsidRPr="00AF3608" w:rsidRDefault="00AF49FC" w:rsidP="00AF49FC">
      <w:pPr>
        <w:jc w:val="both"/>
        <w:rPr>
          <w:rFonts w:ascii="Calibri" w:hAnsi="Calibri"/>
          <w:lang w:val="ro-RO"/>
        </w:rPr>
      </w:pPr>
    </w:p>
    <w:p w:rsidR="00AF49FC" w:rsidRPr="00AF3608" w:rsidRDefault="00AF49FC" w:rsidP="00AF49FC">
      <w:pPr>
        <w:jc w:val="center"/>
        <w:rPr>
          <w:rFonts w:ascii="Calibri" w:hAnsi="Calibri"/>
          <w:lang w:val="ro-RO"/>
        </w:rPr>
      </w:pPr>
      <w:r w:rsidRPr="00AF3608">
        <w:rPr>
          <w:noProof/>
        </w:rPr>
        <w:lastRenderedPageBreak/>
        <w:drawing>
          <wp:inline distT="0" distB="0" distL="0" distR="0" wp14:anchorId="1D148718" wp14:editId="378F59F8">
            <wp:extent cx="6000750" cy="53130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00750" cy="5313045"/>
                    </a:xfrm>
                    <a:prstGeom prst="rect">
                      <a:avLst/>
                    </a:prstGeom>
                    <a:noFill/>
                    <a:ln>
                      <a:noFill/>
                    </a:ln>
                  </pic:spPr>
                </pic:pic>
              </a:graphicData>
            </a:graphic>
          </wp:inline>
        </w:drawing>
      </w:r>
    </w:p>
    <w:p w:rsidR="00F94016" w:rsidRPr="00AF3608" w:rsidRDefault="00F94016" w:rsidP="00B723C0">
      <w:pPr>
        <w:spacing w:after="120"/>
        <w:jc w:val="both"/>
        <w:rPr>
          <w:rFonts w:asciiTheme="minorHAnsi" w:hAnsiTheme="minorHAnsi" w:cs="Arial"/>
          <w:lang w:val="ro-RO"/>
        </w:rPr>
      </w:pPr>
    </w:p>
    <w:p w:rsidR="00667803" w:rsidRPr="00AF3608" w:rsidRDefault="00667803" w:rsidP="00B723C0">
      <w:pPr>
        <w:spacing w:after="120"/>
        <w:jc w:val="both"/>
        <w:rPr>
          <w:rFonts w:asciiTheme="minorHAnsi" w:hAnsiTheme="minorHAnsi" w:cs="Arial"/>
          <w:lang w:val="ro-RO"/>
        </w:rPr>
      </w:pPr>
    </w:p>
    <w:p w:rsidR="00667803" w:rsidRPr="00AF3608" w:rsidRDefault="00667803" w:rsidP="00B723C0">
      <w:pPr>
        <w:spacing w:after="120"/>
        <w:jc w:val="both"/>
        <w:rPr>
          <w:rFonts w:asciiTheme="minorHAnsi" w:hAnsiTheme="minorHAnsi" w:cs="Arial"/>
          <w:lang w:val="ro-RO"/>
        </w:rPr>
      </w:pPr>
    </w:p>
    <w:p w:rsidR="00ED5289" w:rsidRPr="00AF3608" w:rsidRDefault="00057027" w:rsidP="00B723C0">
      <w:pPr>
        <w:shd w:val="clear" w:color="auto" w:fill="A6A6A6" w:themeFill="background1" w:themeFillShade="A6"/>
        <w:suppressAutoHyphens/>
        <w:spacing w:before="120"/>
        <w:jc w:val="both"/>
        <w:rPr>
          <w:rFonts w:ascii="Calibri" w:hAnsi="Calibri" w:cs="Calibri"/>
          <w:lang w:val="ro-RO"/>
        </w:rPr>
      </w:pPr>
      <w:r w:rsidRPr="00AF3608">
        <w:rPr>
          <w:rFonts w:ascii="Calibri" w:hAnsi="Calibri" w:cs="Calibri"/>
          <w:b/>
          <w:lang w:val="ro-RO"/>
        </w:rPr>
        <w:t>4.11</w:t>
      </w:r>
      <w:r w:rsidRPr="00AF3608">
        <w:rPr>
          <w:rFonts w:ascii="Calibri" w:hAnsi="Calibri" w:cs="Calibri"/>
          <w:lang w:val="ro-RO"/>
        </w:rPr>
        <w:t xml:space="preserve"> </w:t>
      </w:r>
      <w:r w:rsidRPr="00AF3608">
        <w:rPr>
          <w:rFonts w:ascii="Calibri" w:hAnsi="Calibri" w:cs="Calibri"/>
          <w:b/>
          <w:lang w:val="ro-RO"/>
        </w:rPr>
        <w:t>POTENȚIALE RISCURI FISCAL-BUGETARE ASOCIATE STRATEGIEI FISCAL-BUGETARE 202</w:t>
      </w:r>
      <w:r w:rsidR="00FB6F35" w:rsidRPr="00AF3608">
        <w:rPr>
          <w:rFonts w:ascii="Calibri" w:hAnsi="Calibri" w:cs="Calibri"/>
          <w:b/>
          <w:lang w:val="ro-RO"/>
        </w:rPr>
        <w:t>1-2023</w:t>
      </w:r>
    </w:p>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Estimările bugetare şi prognozele economice care stau la baza întocmirii Strategiei fiscal-bugetare 2021-2023 se pot abate de la nivelurile din scenariul de bază, ca urmare a posibilei materializări a numeroase riscuri ce ce pot apărea atât din surse externe cât și interne, cu implicații diferite pentru evoluția finanțelor publice.</w:t>
      </w:r>
    </w:p>
    <w:p w:rsidR="006B1477" w:rsidRPr="00AF3608" w:rsidRDefault="006B1477" w:rsidP="00B723C0">
      <w:pPr>
        <w:suppressAutoHyphens/>
        <w:spacing w:before="120"/>
        <w:jc w:val="both"/>
        <w:rPr>
          <w:rFonts w:ascii="Calibri" w:hAnsi="Calibri" w:cs="Calibri"/>
          <w:lang w:val="ro-RO"/>
        </w:rPr>
      </w:pPr>
    </w:p>
    <w:tbl>
      <w:tblPr>
        <w:tblW w:w="0" w:type="auto"/>
        <w:jc w:val="center"/>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365F91"/>
        <w:tblLook w:val="04A0" w:firstRow="1" w:lastRow="0" w:firstColumn="1" w:lastColumn="0" w:noHBand="0" w:noVBand="1"/>
      </w:tblPr>
      <w:tblGrid>
        <w:gridCol w:w="9904"/>
      </w:tblGrid>
      <w:tr w:rsidR="00ED5289" w:rsidRPr="00AF3608" w:rsidTr="00F94016">
        <w:trPr>
          <w:trHeight w:val="510"/>
          <w:jc w:val="center"/>
        </w:trPr>
        <w:tc>
          <w:tcPr>
            <w:tcW w:w="9904" w:type="dxa"/>
            <w:shd w:val="clear" w:color="auto" w:fill="D9D9D9" w:themeFill="background1" w:themeFillShade="D9"/>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Riscuri macroeconomice</w:t>
            </w:r>
          </w:p>
        </w:tc>
      </w:tr>
    </w:tbl>
    <w:p w:rsidR="00ED5289" w:rsidRPr="00AF3608" w:rsidRDefault="00ED5289" w:rsidP="00B723C0">
      <w:pPr>
        <w:suppressAutoHyphens/>
        <w:spacing w:before="120"/>
        <w:jc w:val="both"/>
        <w:rPr>
          <w:rFonts w:ascii="Calibri" w:hAnsi="Calibri" w:cs="Calibri"/>
          <w:lang w:val="ro-RO"/>
        </w:rPr>
      </w:pPr>
    </w:p>
    <w:tbl>
      <w:tblPr>
        <w:tblW w:w="0" w:type="auto"/>
        <w:jc w:val="center"/>
        <w:tblBorders>
          <w:top w:val="single" w:sz="2" w:space="0" w:color="365F91"/>
          <w:left w:val="single" w:sz="2" w:space="0" w:color="365F91"/>
          <w:bottom w:val="single" w:sz="2" w:space="0" w:color="365F91"/>
          <w:right w:val="single" w:sz="2" w:space="0" w:color="365F91"/>
        </w:tblBorders>
        <w:shd w:val="clear" w:color="auto" w:fill="4F81BD"/>
        <w:tblLook w:val="04A0" w:firstRow="1" w:lastRow="0" w:firstColumn="1" w:lastColumn="0" w:noHBand="0" w:noVBand="1"/>
      </w:tblPr>
      <w:tblGrid>
        <w:gridCol w:w="9904"/>
      </w:tblGrid>
      <w:tr w:rsidR="00ED5289" w:rsidRPr="00AF3608" w:rsidTr="00F94016">
        <w:trPr>
          <w:trHeight w:val="435"/>
          <w:jc w:val="center"/>
        </w:trPr>
        <w:tc>
          <w:tcPr>
            <w:tcW w:w="9904" w:type="dxa"/>
            <w:shd w:val="clear" w:color="auto" w:fill="F2F2F2" w:themeFill="background1" w:themeFillShade="F2"/>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Riscuri asociate perspectivei economice pentru România</w:t>
            </w:r>
          </w:p>
        </w:tc>
      </w:tr>
    </w:tbl>
    <w:p w:rsidR="00ED5289" w:rsidRPr="00AF3608" w:rsidRDefault="00ED5289" w:rsidP="00B723C0">
      <w:pPr>
        <w:widowControl w:val="0"/>
        <w:spacing w:before="120"/>
        <w:jc w:val="both"/>
        <w:rPr>
          <w:rFonts w:ascii="Calibri" w:hAnsi="Calibri" w:cs="Calibri"/>
          <w:lang w:val="ro-RO"/>
        </w:rPr>
      </w:pPr>
      <w:r w:rsidRPr="00AF3608">
        <w:rPr>
          <w:rFonts w:ascii="Calibri" w:hAnsi="Calibri" w:cs="Calibri"/>
          <w:lang w:val="ro-RO"/>
        </w:rPr>
        <w:t xml:space="preserve">Riscurile la perspectiva de redresare persistă, deşi au fost lansate o serie de vaccinuri cu o eficacitate </w:t>
      </w:r>
      <w:r w:rsidRPr="00AF3608">
        <w:rPr>
          <w:rFonts w:ascii="Calibri" w:hAnsi="Calibri" w:cs="Calibri"/>
          <w:lang w:val="ro-RO"/>
        </w:rPr>
        <w:lastRenderedPageBreak/>
        <w:t xml:space="preserve">ridicată în testare si campaniile de vaccinare au inceput deja la nivel mondial. Perspectiva pe termen scurt este incertă în special în contextul apariţiei de noi focare şi de posibilitatea escaladării unor tensiuni geopolitice. O serie de state europene au fost nevoite să impună noi perioade de carantină, ceea ce poate afecta cererea externă, consumul privat şi investiţiile.  </w:t>
      </w:r>
    </w:p>
    <w:p w:rsidR="00ED5289" w:rsidRPr="00AF3608" w:rsidRDefault="00ED5289" w:rsidP="00B723C0">
      <w:pPr>
        <w:widowControl w:val="0"/>
        <w:spacing w:before="120"/>
        <w:jc w:val="both"/>
        <w:rPr>
          <w:rFonts w:ascii="Calibri" w:hAnsi="Calibri" w:cs="Calibri"/>
          <w:lang w:val="ro-RO"/>
        </w:rPr>
      </w:pPr>
      <w:r w:rsidRPr="00AF3608">
        <w:rPr>
          <w:rFonts w:ascii="Calibri" w:hAnsi="Calibri" w:cs="Calibri"/>
          <w:lang w:val="ro-RO"/>
        </w:rPr>
        <w:t>Dacă turismul va fi în continuare afectat, perspectivele de creştere pot avea de suferit, în special în statele care se bazează pe această ramură. Întârzierile în lantul de productie, in cazul achiziţionării şi distribuţiei vaccinului sau continuarea restricţiilor legate de pandemie pot întârzia redresarea economica.</w:t>
      </w:r>
    </w:p>
    <w:p w:rsidR="00ED5289" w:rsidRPr="00AF3608" w:rsidRDefault="00ED5289" w:rsidP="00B723C0">
      <w:pPr>
        <w:widowControl w:val="0"/>
        <w:spacing w:before="120"/>
        <w:jc w:val="both"/>
        <w:rPr>
          <w:rFonts w:ascii="Calibri" w:hAnsi="Calibri" w:cs="Calibri"/>
          <w:lang w:val="ro-RO"/>
        </w:rPr>
      </w:pPr>
      <w:r w:rsidRPr="00AF3608">
        <w:rPr>
          <w:rFonts w:ascii="Calibri" w:hAnsi="Calibri" w:cs="Calibri"/>
          <w:lang w:val="ro-RO"/>
        </w:rPr>
        <w:t>Chiar dacă pandemia este ţinută sub control datorita experientei dobandite de state in gestionarea ei, daunele provocate în 2020 pot fi mai pronunţate decât s-ar fi aşteptat. Consumatorii şi mediul de afaceri pot avea un comportament mai restrictiv, cu influenţă asupra consumului şi investiţiilor.</w:t>
      </w:r>
    </w:p>
    <w:p w:rsidR="00ED5289" w:rsidRPr="00AF3608" w:rsidRDefault="00ED5289" w:rsidP="00B723C0">
      <w:pPr>
        <w:widowControl w:val="0"/>
        <w:spacing w:before="120"/>
        <w:jc w:val="both"/>
        <w:rPr>
          <w:rFonts w:ascii="Calibri" w:hAnsi="Calibri" w:cs="Calibri"/>
          <w:lang w:val="ro-RO"/>
        </w:rPr>
      </w:pPr>
      <w:r w:rsidRPr="00AF3608">
        <w:rPr>
          <w:rFonts w:ascii="Calibri" w:hAnsi="Calibri" w:cs="Calibri"/>
          <w:lang w:val="ro-RO"/>
        </w:rPr>
        <w:t>Pe de altă parte sunt premise şi pentru o creştere economică peste aşteptări susţinute de un management eficient al pandemiei şi de eficientizarea procesului de vaccinare, precum si de accelerarea digitalizarii sau a altor tehnologii introduse în perioada pandemiei.</w:t>
      </w:r>
    </w:p>
    <w:p w:rsidR="00ED5289" w:rsidRPr="00AF3608" w:rsidRDefault="00ED5289" w:rsidP="00B723C0">
      <w:pPr>
        <w:widowControl w:val="0"/>
        <w:spacing w:before="120"/>
        <w:jc w:val="both"/>
        <w:rPr>
          <w:rFonts w:ascii="Calibri" w:hAnsi="Calibri" w:cs="Calibri"/>
          <w:lang w:val="ro-RO"/>
        </w:rPr>
      </w:pPr>
      <w:r w:rsidRPr="00AF3608">
        <w:rPr>
          <w:rFonts w:ascii="Calibri" w:hAnsi="Calibri" w:cs="Calibri"/>
          <w:lang w:val="ro-RO"/>
        </w:rPr>
        <w:t>Creşterea economică ar putea fi afectată de un ritm mai lent de reluare a schimburilor comerciale cu statele membre din UE şi cu alte state relevante din afara spaţiului comunitar.</w:t>
      </w:r>
    </w:p>
    <w:p w:rsidR="00ED5289" w:rsidRPr="00AF3608" w:rsidRDefault="00ED5289" w:rsidP="00B723C0">
      <w:pPr>
        <w:widowControl w:val="0"/>
        <w:spacing w:before="120"/>
        <w:jc w:val="both"/>
        <w:rPr>
          <w:rFonts w:ascii="Calibri" w:hAnsi="Calibri" w:cs="Calibri"/>
          <w:lang w:val="ro-RO"/>
        </w:rPr>
      </w:pPr>
      <w:r w:rsidRPr="00AF3608">
        <w:rPr>
          <w:rFonts w:ascii="Calibri" w:hAnsi="Calibri" w:cs="Calibri"/>
          <w:lang w:val="ro-RO"/>
        </w:rPr>
        <w:t>Un alt risc în plan intern îl reprezintă nerespectarea strategiei de vaccinare, ceea ce ar putea genera perturbări ale activităţilor economice în toate sectoarele economiei.</w:t>
      </w:r>
    </w:p>
    <w:p w:rsidR="00ED5289" w:rsidRPr="00AF3608" w:rsidRDefault="00ED5289" w:rsidP="00B723C0">
      <w:pPr>
        <w:suppressAutoHyphens/>
        <w:spacing w:before="120"/>
        <w:jc w:val="both"/>
        <w:rPr>
          <w:rFonts w:ascii="Calibri" w:hAnsi="Calibri" w:cs="Calibri"/>
          <w:lang w:val="ro-RO"/>
        </w:rPr>
      </w:pPr>
    </w:p>
    <w:tbl>
      <w:tblPr>
        <w:tblStyle w:val="TableGrid"/>
        <w:tblW w:w="9792" w:type="dxa"/>
        <w:tblInd w:w="139" w:type="dxa"/>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792"/>
      </w:tblGrid>
      <w:tr w:rsidR="00ED5289" w:rsidRPr="00AF3608" w:rsidTr="00F94016">
        <w:trPr>
          <w:trHeight w:val="576"/>
        </w:trPr>
        <w:tc>
          <w:tcPr>
            <w:tcW w:w="9792" w:type="dxa"/>
            <w:shd w:val="clear" w:color="auto" w:fill="D9D9D9" w:themeFill="background1" w:themeFillShade="D9"/>
            <w:vAlign w:val="center"/>
          </w:tcPr>
          <w:p w:rsidR="00ED5289" w:rsidRPr="00AF3608" w:rsidRDefault="00ED5289" w:rsidP="00B723C0">
            <w:pPr>
              <w:suppressAutoHyphens/>
              <w:spacing w:before="120"/>
              <w:jc w:val="both"/>
              <w:rPr>
                <w:rFonts w:ascii="Calibri" w:hAnsi="Calibri" w:cs="Calibri"/>
                <w:color w:val="FF0000"/>
                <w:lang w:val="ro-RO"/>
              </w:rPr>
            </w:pPr>
            <w:r w:rsidRPr="00AF3608">
              <w:rPr>
                <w:rFonts w:ascii="Calibri" w:hAnsi="Calibri" w:cs="Calibri"/>
                <w:lang w:val="ro-RO"/>
              </w:rPr>
              <w:t>Senzitivitatea unor proiecții bugetare la variația variabilelor macroeconomice-cheie</w:t>
            </w:r>
          </w:p>
        </w:tc>
      </w:tr>
    </w:tbl>
    <w:p w:rsidR="00ED5289" w:rsidRPr="00AF3608" w:rsidRDefault="00ED5289" w:rsidP="00B723C0">
      <w:pPr>
        <w:suppressAutoHyphens/>
        <w:spacing w:before="120"/>
        <w:jc w:val="both"/>
        <w:rPr>
          <w:rFonts w:ascii="Calibri" w:hAnsi="Calibri" w:cs="Calibri"/>
          <w:lang w:val="ro-RO"/>
        </w:rPr>
      </w:pPr>
    </w:p>
    <w:tbl>
      <w:tblPr>
        <w:tblW w:w="0" w:type="auto"/>
        <w:tblInd w:w="139" w:type="dxa"/>
        <w:tblBorders>
          <w:top w:val="single" w:sz="2" w:space="0" w:color="365F91"/>
          <w:left w:val="single" w:sz="2" w:space="0" w:color="365F91"/>
          <w:bottom w:val="single" w:sz="2" w:space="0" w:color="365F91"/>
          <w:right w:val="single" w:sz="2" w:space="0" w:color="365F91"/>
        </w:tblBorders>
        <w:tblLook w:val="04A0" w:firstRow="1" w:lastRow="0" w:firstColumn="1" w:lastColumn="0" w:noHBand="0" w:noVBand="1"/>
      </w:tblPr>
      <w:tblGrid>
        <w:gridCol w:w="9777"/>
      </w:tblGrid>
      <w:tr w:rsidR="00ED5289" w:rsidRPr="00AF3608" w:rsidTr="00F94016">
        <w:trPr>
          <w:trHeight w:val="192"/>
        </w:trPr>
        <w:tc>
          <w:tcPr>
            <w:tcW w:w="9831" w:type="dxa"/>
            <w:shd w:val="clear" w:color="auto" w:fill="F2F2F2" w:themeFill="background1" w:themeFillShade="F2"/>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Senzitivitatea veniturilor bugetare pentru diferite scenarii și ipoteze</w:t>
            </w:r>
          </w:p>
        </w:tc>
      </w:tr>
    </w:tbl>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În condițiile în care încasările din impozite și taxe sunt strâns corelate cu evoluția ratei de ocupare în economie, a câștigului mediu și creșterea economică, în tabelul următor se prezintă impactul asupra veniturilor bugetare a variației cu 1 p.p. a variabilelor economice menționate.</w:t>
      </w:r>
    </w:p>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Comparativ cu scenariul de bază din anul 2021, cel mai ridicat risc în cazul reducerii indicatorilor economici este asociat cu încasările din contribuții sociale și taxa pe valoarea adăugată.</w:t>
      </w:r>
    </w:p>
    <w:p w:rsidR="00ED5289" w:rsidRPr="00AF3608" w:rsidRDefault="00ED5289" w:rsidP="00B723C0">
      <w:pPr>
        <w:suppressAutoHyphens/>
        <w:spacing w:before="120"/>
        <w:jc w:val="both"/>
        <w:rPr>
          <w:rFonts w:ascii="Calibri" w:hAnsi="Calibri" w:cs="Calibri"/>
          <w:lang w:val="ro-RO"/>
        </w:rPr>
      </w:pPr>
    </w:p>
    <w:p w:rsidR="00ED5289" w:rsidRPr="00AF3608" w:rsidRDefault="00ED5289" w:rsidP="00B723C0">
      <w:pPr>
        <w:suppressAutoHyphens/>
        <w:spacing w:before="120"/>
        <w:jc w:val="both"/>
        <w:rPr>
          <w:rFonts w:ascii="Calibri" w:hAnsi="Calibri" w:cs="Calibri"/>
          <w:lang w:val="ro-RO"/>
        </w:rPr>
      </w:pPr>
      <w:bookmarkStart w:id="16" w:name="_Toc512340247"/>
      <w:bookmarkStart w:id="17" w:name="_Toc512586765"/>
      <w:r w:rsidRPr="00AF3608">
        <w:rPr>
          <w:rFonts w:ascii="Calibri" w:hAnsi="Calibri" w:cs="Calibri"/>
          <w:lang w:val="ro-RO"/>
        </w:rPr>
        <w:t>Tabel. Senzitivitatea proiecțiilor bugetare pentru diferite scenarii și ipoteze</w:t>
      </w:r>
      <w:bookmarkEnd w:id="16"/>
      <w:bookmarkEnd w:id="17"/>
    </w:p>
    <w:tbl>
      <w:tblPr>
        <w:tblStyle w:val="TableGrid"/>
        <w:tblW w:w="9690" w:type="dxa"/>
        <w:jc w:val="center"/>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31"/>
        <w:gridCol w:w="2379"/>
        <w:gridCol w:w="51"/>
        <w:gridCol w:w="2075"/>
        <w:gridCol w:w="51"/>
        <w:gridCol w:w="1933"/>
        <w:gridCol w:w="51"/>
      </w:tblGrid>
      <w:tr w:rsidR="00ED5289" w:rsidRPr="00AF3608" w:rsidTr="00F94016">
        <w:trPr>
          <w:gridAfter w:val="1"/>
          <w:wAfter w:w="51" w:type="dxa"/>
          <w:trHeight w:val="795"/>
          <w:jc w:val="center"/>
        </w:trPr>
        <w:tc>
          <w:tcPr>
            <w:tcW w:w="3119" w:type="dxa"/>
            <w:tcBorders>
              <w:top w:val="single" w:sz="2" w:space="0" w:color="365F91"/>
              <w:bottom w:val="nil"/>
            </w:tcBorders>
            <w:shd w:val="clear" w:color="auto" w:fill="D9D9D9" w:themeFill="background1" w:themeFillShade="D9"/>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 xml:space="preserve">Categoria de impozite și taxe </w:t>
            </w:r>
          </w:p>
        </w:tc>
        <w:tc>
          <w:tcPr>
            <w:tcW w:w="2410" w:type="dxa"/>
            <w:gridSpan w:val="2"/>
            <w:tcBorders>
              <w:top w:val="single" w:sz="2" w:space="0" w:color="365F91"/>
              <w:bottom w:val="nil"/>
            </w:tcBorders>
            <w:shd w:val="clear" w:color="auto" w:fill="D9D9D9" w:themeFill="background1" w:themeFillShade="D9"/>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Baza macroeconomică</w:t>
            </w:r>
          </w:p>
        </w:tc>
        <w:tc>
          <w:tcPr>
            <w:tcW w:w="2126" w:type="dxa"/>
            <w:gridSpan w:val="2"/>
            <w:tcBorders>
              <w:top w:val="single" w:sz="2" w:space="0" w:color="365F91"/>
              <w:bottom w:val="nil"/>
            </w:tcBorders>
            <w:shd w:val="clear" w:color="auto" w:fill="D9D9D9" w:themeFill="background1" w:themeFillShade="D9"/>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Modificări ale bazei macroeconomice (puncte procentuale)</w:t>
            </w:r>
          </w:p>
        </w:tc>
        <w:tc>
          <w:tcPr>
            <w:tcW w:w="1984" w:type="dxa"/>
            <w:gridSpan w:val="2"/>
            <w:tcBorders>
              <w:top w:val="single" w:sz="2" w:space="0" w:color="365F91"/>
              <w:bottom w:val="nil"/>
            </w:tcBorders>
            <w:shd w:val="clear" w:color="auto" w:fill="D9D9D9" w:themeFill="background1" w:themeFillShade="D9"/>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Modificări ale veniturilor (% din PIB) 2021</w:t>
            </w:r>
          </w:p>
        </w:tc>
      </w:tr>
      <w:tr w:rsidR="00ED5289" w:rsidRPr="00AF3608" w:rsidTr="00E751E4">
        <w:trPr>
          <w:jc w:val="center"/>
        </w:trPr>
        <w:tc>
          <w:tcPr>
            <w:tcW w:w="3150" w:type="dxa"/>
            <w:gridSpan w:val="2"/>
            <w:vMerge w:val="restart"/>
            <w:tcBorders>
              <w:top w:val="nil"/>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 xml:space="preserve">Impozitul pe venit </w:t>
            </w:r>
          </w:p>
        </w:tc>
        <w:tc>
          <w:tcPr>
            <w:tcW w:w="2430" w:type="dxa"/>
            <w:gridSpan w:val="2"/>
            <w:tcBorders>
              <w:top w:val="nil"/>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Câștig mediu brut</w:t>
            </w:r>
          </w:p>
        </w:tc>
        <w:tc>
          <w:tcPr>
            <w:tcW w:w="2126" w:type="dxa"/>
            <w:gridSpan w:val="2"/>
            <w:tcBorders>
              <w:top w:val="nil"/>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Redus cu 1 pp</w:t>
            </w:r>
          </w:p>
        </w:tc>
        <w:tc>
          <w:tcPr>
            <w:tcW w:w="1984" w:type="dxa"/>
            <w:gridSpan w:val="2"/>
            <w:tcBorders>
              <w:top w:val="nil"/>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-0,019</w:t>
            </w:r>
          </w:p>
        </w:tc>
      </w:tr>
      <w:tr w:rsidR="00ED5289" w:rsidRPr="00AF3608" w:rsidTr="00E751E4">
        <w:trPr>
          <w:jc w:val="center"/>
        </w:trPr>
        <w:tc>
          <w:tcPr>
            <w:tcW w:w="3150" w:type="dxa"/>
            <w:gridSpan w:val="2"/>
            <w:vMerge/>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p>
        </w:tc>
        <w:tc>
          <w:tcPr>
            <w:tcW w:w="2430" w:type="dxa"/>
            <w:gridSpan w:val="2"/>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Număr mediu de salariați</w:t>
            </w:r>
          </w:p>
        </w:tc>
        <w:tc>
          <w:tcPr>
            <w:tcW w:w="2126" w:type="dxa"/>
            <w:gridSpan w:val="2"/>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Redus cu 1 pp</w:t>
            </w:r>
          </w:p>
        </w:tc>
        <w:tc>
          <w:tcPr>
            <w:tcW w:w="1984" w:type="dxa"/>
            <w:gridSpan w:val="2"/>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-0,018</w:t>
            </w:r>
          </w:p>
        </w:tc>
      </w:tr>
      <w:tr w:rsidR="00ED5289" w:rsidRPr="00AF3608" w:rsidTr="00E751E4">
        <w:trPr>
          <w:trHeight w:val="399"/>
          <w:jc w:val="center"/>
        </w:trPr>
        <w:tc>
          <w:tcPr>
            <w:tcW w:w="3150" w:type="dxa"/>
            <w:gridSpan w:val="2"/>
            <w:vMerge w:val="restart"/>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Contribuțiile sociale</w:t>
            </w:r>
          </w:p>
        </w:tc>
        <w:tc>
          <w:tcPr>
            <w:tcW w:w="2430" w:type="dxa"/>
            <w:gridSpan w:val="2"/>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Câștig mediu brut</w:t>
            </w:r>
          </w:p>
        </w:tc>
        <w:tc>
          <w:tcPr>
            <w:tcW w:w="2126" w:type="dxa"/>
            <w:gridSpan w:val="2"/>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Redus cu 1 pp</w:t>
            </w:r>
          </w:p>
        </w:tc>
        <w:tc>
          <w:tcPr>
            <w:tcW w:w="1984" w:type="dxa"/>
            <w:gridSpan w:val="2"/>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-0,092</w:t>
            </w:r>
          </w:p>
        </w:tc>
      </w:tr>
      <w:tr w:rsidR="00ED5289" w:rsidRPr="00AF3608" w:rsidTr="00E751E4">
        <w:trPr>
          <w:trHeight w:val="159"/>
          <w:jc w:val="center"/>
        </w:trPr>
        <w:tc>
          <w:tcPr>
            <w:tcW w:w="3150" w:type="dxa"/>
            <w:gridSpan w:val="2"/>
            <w:vMerge/>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p>
        </w:tc>
        <w:tc>
          <w:tcPr>
            <w:tcW w:w="2430" w:type="dxa"/>
            <w:gridSpan w:val="2"/>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Număr mediu de salariați</w:t>
            </w:r>
          </w:p>
        </w:tc>
        <w:tc>
          <w:tcPr>
            <w:tcW w:w="2126" w:type="dxa"/>
            <w:gridSpan w:val="2"/>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Redus cu 1 pp</w:t>
            </w:r>
          </w:p>
        </w:tc>
        <w:tc>
          <w:tcPr>
            <w:tcW w:w="1984" w:type="dxa"/>
            <w:gridSpan w:val="2"/>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-0,092</w:t>
            </w:r>
          </w:p>
        </w:tc>
      </w:tr>
      <w:tr w:rsidR="00ED5289" w:rsidRPr="00AF3608" w:rsidTr="00E751E4">
        <w:trPr>
          <w:jc w:val="center"/>
        </w:trPr>
        <w:tc>
          <w:tcPr>
            <w:tcW w:w="3150" w:type="dxa"/>
            <w:gridSpan w:val="2"/>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lastRenderedPageBreak/>
              <w:t>Impozitul pe profit</w:t>
            </w:r>
          </w:p>
        </w:tc>
        <w:tc>
          <w:tcPr>
            <w:tcW w:w="2430" w:type="dxa"/>
            <w:gridSpan w:val="2"/>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PIB</w:t>
            </w:r>
          </w:p>
        </w:tc>
        <w:tc>
          <w:tcPr>
            <w:tcW w:w="2126" w:type="dxa"/>
            <w:gridSpan w:val="2"/>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Redus cu 1 pp</w:t>
            </w:r>
          </w:p>
        </w:tc>
        <w:tc>
          <w:tcPr>
            <w:tcW w:w="1984" w:type="dxa"/>
            <w:gridSpan w:val="2"/>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-0,011</w:t>
            </w:r>
          </w:p>
        </w:tc>
      </w:tr>
      <w:tr w:rsidR="00ED5289" w:rsidRPr="00AF3608" w:rsidTr="00E751E4">
        <w:trPr>
          <w:jc w:val="center"/>
        </w:trPr>
        <w:tc>
          <w:tcPr>
            <w:tcW w:w="3150" w:type="dxa"/>
            <w:gridSpan w:val="2"/>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Taxa pe valoarea adăugată</w:t>
            </w:r>
          </w:p>
        </w:tc>
        <w:tc>
          <w:tcPr>
            <w:tcW w:w="2430" w:type="dxa"/>
            <w:gridSpan w:val="2"/>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PIB</w:t>
            </w:r>
          </w:p>
        </w:tc>
        <w:tc>
          <w:tcPr>
            <w:tcW w:w="2126" w:type="dxa"/>
            <w:gridSpan w:val="2"/>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Redus cu 1 pp</w:t>
            </w:r>
          </w:p>
        </w:tc>
        <w:tc>
          <w:tcPr>
            <w:tcW w:w="1984" w:type="dxa"/>
            <w:gridSpan w:val="2"/>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-0,054</w:t>
            </w:r>
          </w:p>
        </w:tc>
      </w:tr>
    </w:tbl>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Sursa: calcule MF</w:t>
      </w:r>
    </w:p>
    <w:p w:rsidR="00ED5289" w:rsidRPr="00AF3608" w:rsidRDefault="00ED5289" w:rsidP="00B723C0">
      <w:pPr>
        <w:suppressAutoHyphens/>
        <w:spacing w:before="120"/>
        <w:jc w:val="both"/>
        <w:rPr>
          <w:rFonts w:ascii="Calibri" w:hAnsi="Calibri" w:cs="Calibri"/>
          <w:lang w:val="ro-RO"/>
        </w:rPr>
      </w:pPr>
    </w:p>
    <w:tbl>
      <w:tblPr>
        <w:tblStyle w:val="TableGrid13"/>
        <w:tblW w:w="0" w:type="auto"/>
        <w:shd w:val="clear" w:color="auto" w:fill="DEEAF6"/>
        <w:tblLook w:val="04A0" w:firstRow="1" w:lastRow="0" w:firstColumn="1" w:lastColumn="0" w:noHBand="0" w:noVBand="1"/>
      </w:tblPr>
      <w:tblGrid>
        <w:gridCol w:w="9827"/>
      </w:tblGrid>
      <w:tr w:rsidR="00ED5289" w:rsidRPr="00AF3608" w:rsidTr="00F94016">
        <w:tc>
          <w:tcPr>
            <w:tcW w:w="9827" w:type="dxa"/>
            <w:shd w:val="clear" w:color="auto" w:fill="F2F2F2" w:themeFill="background1" w:themeFillShade="F2"/>
          </w:tcPr>
          <w:p w:rsidR="00ED5289" w:rsidRPr="00AF3608" w:rsidRDefault="00ED5289" w:rsidP="00B723C0">
            <w:pPr>
              <w:suppressAutoHyphens/>
              <w:spacing w:before="120"/>
              <w:jc w:val="both"/>
              <w:rPr>
                <w:rFonts w:ascii="Calibri" w:hAnsi="Calibri" w:cs="Calibri"/>
              </w:rPr>
            </w:pPr>
            <w:r w:rsidRPr="00AF3608">
              <w:rPr>
                <w:rFonts w:ascii="Calibri" w:hAnsi="Calibri" w:cs="Calibri"/>
              </w:rPr>
              <w:t>Senzitivitatea datoriei guvernamentale brute și a plăților de dobândă față de modificările unor variabile macroeconomice</w:t>
            </w:r>
          </w:p>
        </w:tc>
      </w:tr>
    </w:tbl>
    <w:p w:rsidR="00DC6DA8" w:rsidRPr="00AF3608" w:rsidRDefault="00DC6DA8" w:rsidP="00DC6DA8">
      <w:pPr>
        <w:suppressAutoHyphens/>
        <w:spacing w:before="120"/>
        <w:jc w:val="both"/>
        <w:rPr>
          <w:rFonts w:ascii="Calibri" w:hAnsi="Calibri" w:cs="Calibri"/>
          <w:lang w:val="ro-RO"/>
        </w:rPr>
      </w:pPr>
      <w:r w:rsidRPr="00AF3608">
        <w:rPr>
          <w:rFonts w:ascii="Calibri" w:hAnsi="Calibri" w:cs="Calibri"/>
          <w:lang w:val="ro-RO"/>
        </w:rPr>
        <w:t>Analiza de senzitivitate a datoriei publice</w:t>
      </w:r>
      <w:r w:rsidRPr="00AF3608">
        <w:rPr>
          <w:rFonts w:ascii="Calibri" w:hAnsi="Calibri" w:cs="Calibri"/>
          <w:vertAlign w:val="superscript"/>
          <w:lang w:val="ro-RO"/>
        </w:rPr>
        <w:footnoteReference w:id="28"/>
      </w:r>
      <w:r w:rsidRPr="00AF3608">
        <w:rPr>
          <w:rFonts w:ascii="Calibri" w:hAnsi="Calibri" w:cs="Calibri"/>
          <w:lang w:val="ro-RO"/>
        </w:rPr>
        <w:t xml:space="preserve"> </w:t>
      </w:r>
    </w:p>
    <w:p w:rsidR="00DC6DA8" w:rsidRPr="00AF3608" w:rsidRDefault="00DC6DA8" w:rsidP="003A0B85">
      <w:pPr>
        <w:numPr>
          <w:ilvl w:val="0"/>
          <w:numId w:val="128"/>
        </w:numPr>
        <w:suppressAutoHyphens/>
        <w:spacing w:before="120" w:line="276" w:lineRule="auto"/>
        <w:contextualSpacing/>
        <w:jc w:val="both"/>
        <w:rPr>
          <w:rFonts w:ascii="Calibri" w:eastAsia="Calibri" w:hAnsi="Calibri" w:cs="Calibri"/>
          <w:szCs w:val="22"/>
          <w:lang w:val="ro-RO"/>
        </w:rPr>
      </w:pPr>
      <w:r w:rsidRPr="00AF3608">
        <w:rPr>
          <w:rFonts w:ascii="Calibri" w:eastAsia="Calibri" w:hAnsi="Calibri" w:cs="Calibri"/>
          <w:szCs w:val="22"/>
          <w:lang w:val="ro-RO"/>
        </w:rPr>
        <w:t xml:space="preserve">influența creșterii economice, a deprecierii monedei naționale, precum și a derapajului fiscal asupra soldului datoriei guvernamentale, și </w:t>
      </w:r>
    </w:p>
    <w:p w:rsidR="00DC6DA8" w:rsidRPr="00AF3608" w:rsidRDefault="00DC6DA8" w:rsidP="003A0B85">
      <w:pPr>
        <w:numPr>
          <w:ilvl w:val="0"/>
          <w:numId w:val="128"/>
        </w:numPr>
        <w:suppressAutoHyphens/>
        <w:spacing w:before="120" w:line="276" w:lineRule="auto"/>
        <w:contextualSpacing/>
        <w:jc w:val="both"/>
        <w:rPr>
          <w:rFonts w:ascii="Calibri" w:eastAsia="Calibri" w:hAnsi="Calibri" w:cs="Calibri"/>
          <w:szCs w:val="22"/>
          <w:lang w:val="ro-RO"/>
        </w:rPr>
      </w:pPr>
      <w:r w:rsidRPr="00AF3608">
        <w:rPr>
          <w:rFonts w:ascii="Calibri" w:eastAsia="Calibri" w:hAnsi="Calibri" w:cs="Calibri"/>
          <w:szCs w:val="22"/>
          <w:lang w:val="ro-RO"/>
        </w:rPr>
        <w:t>influența deprecierii monedei naționale și a modificării ratelor de dobândă asupra plăților de dobânzi.</w:t>
      </w:r>
    </w:p>
    <w:p w:rsidR="00DC6DA8" w:rsidRPr="00AF3608" w:rsidRDefault="00DC6DA8" w:rsidP="00DC6DA8">
      <w:pPr>
        <w:suppressAutoHyphens/>
        <w:spacing w:before="120"/>
        <w:jc w:val="both"/>
        <w:rPr>
          <w:rFonts w:ascii="Calibri" w:hAnsi="Calibri" w:cs="Calibri"/>
          <w:lang w:val="ro-RO"/>
        </w:rPr>
      </w:pPr>
      <w:bookmarkStart w:id="18" w:name="__RefHeading___Toc386110885"/>
      <w:bookmarkEnd w:id="18"/>
      <w:r w:rsidRPr="00AF3608">
        <w:rPr>
          <w:rFonts w:ascii="Calibri" w:hAnsi="Calibri" w:cs="Calibri"/>
          <w:lang w:val="ro-RO"/>
        </w:rPr>
        <w:t>Factori de influență  asupra datoriei guvernamentale</w:t>
      </w:r>
    </w:p>
    <w:p w:rsidR="00DC6DA8" w:rsidRPr="00AF3608" w:rsidRDefault="00DC6DA8" w:rsidP="00DC6DA8">
      <w:pPr>
        <w:suppressAutoHyphens/>
        <w:spacing w:before="120"/>
        <w:jc w:val="both"/>
        <w:rPr>
          <w:rFonts w:ascii="Calibri" w:hAnsi="Calibri" w:cs="Calibri"/>
          <w:lang w:val="ro-RO"/>
        </w:rPr>
      </w:pPr>
    </w:p>
    <w:p w:rsidR="00DC6DA8" w:rsidRPr="00AF3608" w:rsidRDefault="00DC6DA8" w:rsidP="00DC6DA8">
      <w:pPr>
        <w:suppressAutoHyphens/>
        <w:spacing w:before="120"/>
        <w:jc w:val="both"/>
        <w:rPr>
          <w:rFonts w:ascii="Calibri" w:hAnsi="Calibri" w:cs="Calibri"/>
          <w:lang w:val="ro-RO"/>
        </w:rPr>
      </w:pPr>
      <w:r w:rsidRPr="00AF3608">
        <w:rPr>
          <w:rFonts w:ascii="Calibri" w:hAnsi="Calibri" w:cs="Calibri"/>
          <w:noProof/>
        </w:rPr>
        <w:drawing>
          <wp:inline distT="0" distB="0" distL="0" distR="0" wp14:anchorId="0216EE68" wp14:editId="44C4B13F">
            <wp:extent cx="6005195" cy="37312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05195" cy="3731260"/>
                    </a:xfrm>
                    <a:prstGeom prst="rect">
                      <a:avLst/>
                    </a:prstGeom>
                    <a:noFill/>
                  </pic:spPr>
                </pic:pic>
              </a:graphicData>
            </a:graphic>
          </wp:inline>
        </w:drawing>
      </w:r>
    </w:p>
    <w:p w:rsidR="00DC6DA8" w:rsidRPr="00AF3608" w:rsidRDefault="00DC6DA8" w:rsidP="00DC6DA8">
      <w:pPr>
        <w:suppressAutoHyphens/>
        <w:spacing w:before="120"/>
        <w:jc w:val="both"/>
        <w:rPr>
          <w:rFonts w:ascii="Calibri" w:hAnsi="Calibri" w:cs="Calibri"/>
          <w:lang w:val="ro-RO"/>
        </w:rPr>
      </w:pPr>
      <w:r w:rsidRPr="00AF3608">
        <w:rPr>
          <w:rFonts w:ascii="Calibri" w:hAnsi="Calibri" w:cs="Calibri"/>
          <w:lang w:val="ro-RO"/>
        </w:rPr>
        <w:t xml:space="preserve">Sursă: Ministerul Finanțelor </w:t>
      </w:r>
    </w:p>
    <w:p w:rsidR="00DC6DA8" w:rsidRPr="00AF3608" w:rsidRDefault="00DC6DA8" w:rsidP="00DC6DA8">
      <w:pPr>
        <w:suppressAutoHyphens/>
        <w:spacing w:before="120"/>
        <w:jc w:val="both"/>
        <w:rPr>
          <w:rFonts w:ascii="Calibri" w:hAnsi="Calibri" w:cs="Calibri"/>
          <w:lang w:val="ro-RO"/>
        </w:rPr>
      </w:pPr>
      <w:bookmarkStart w:id="19" w:name="__RefHeading___Toc386110886"/>
      <w:bookmarkEnd w:id="19"/>
    </w:p>
    <w:p w:rsidR="00DC6DA8" w:rsidRPr="00AF3608" w:rsidRDefault="00DC6DA8" w:rsidP="00DC6DA8">
      <w:pPr>
        <w:suppressAutoHyphens/>
        <w:spacing w:before="120"/>
        <w:jc w:val="both"/>
        <w:rPr>
          <w:rFonts w:ascii="Calibri" w:hAnsi="Calibri" w:cs="Calibri"/>
          <w:lang w:val="ro-RO"/>
        </w:rPr>
      </w:pPr>
      <w:r w:rsidRPr="00AF3608">
        <w:rPr>
          <w:rFonts w:ascii="Calibri" w:hAnsi="Calibri" w:cs="Calibri"/>
          <w:lang w:val="ro-RO"/>
        </w:rPr>
        <w:lastRenderedPageBreak/>
        <w:t>În graficul de mai sus  se observă că influența unei scăderi economice cu 1% din PIB ar avea un impact negativ asupra nivelului de îndatorare, de creștere cu 4,9% din PIB în anul 2023, iar deprecierea monedei naționale cu 10% față de Euro, principala valută în care este denominată datoria guvernamentală în valută, ar determina  creșterea ponderii datoriei guvernamentale în PIB de până la 2,8% din PIB în 2023. Un derapaj fiscal transpus într-un deficit în numerar de finanțat de 11,3%</w:t>
      </w:r>
      <w:r w:rsidRPr="00AF3608">
        <w:rPr>
          <w:rStyle w:val="FootnoteReference"/>
          <w:rFonts w:ascii="Calibri" w:hAnsi="Calibri" w:cs="Calibri"/>
          <w:lang w:val="ro-RO"/>
        </w:rPr>
        <w:footnoteReference w:id="29"/>
      </w:r>
      <w:r w:rsidRPr="00AF3608">
        <w:rPr>
          <w:rFonts w:ascii="Calibri" w:hAnsi="Calibri" w:cs="Calibri"/>
          <w:lang w:val="ro-RO"/>
        </w:rPr>
        <w:t xml:space="preserve"> din PIB în perioada 2021 – 2023, ar conduce la o creștere a nivelului de îndatorare cu până la 15,4% din PIB în 2023, în timp ce influența combinată a acestor factori asupra ponderii datoriei guvernamentale în PIB determina  o creștere a acestui indicator cu 25,4% din PIB în anul 2023. </w:t>
      </w:r>
    </w:p>
    <w:p w:rsidR="00DC6DA8" w:rsidRPr="00AF3608" w:rsidRDefault="00DC6DA8" w:rsidP="00DC6DA8">
      <w:pPr>
        <w:suppressAutoHyphens/>
        <w:spacing w:before="120"/>
        <w:jc w:val="both"/>
        <w:rPr>
          <w:rFonts w:ascii="Calibri" w:hAnsi="Calibri" w:cs="Calibri"/>
          <w:lang w:val="ro-RO"/>
        </w:rPr>
      </w:pPr>
    </w:p>
    <w:p w:rsidR="00DC6DA8" w:rsidRPr="00AF3608" w:rsidRDefault="00DC6DA8" w:rsidP="00DC6DA8">
      <w:pPr>
        <w:suppressAutoHyphens/>
        <w:spacing w:before="120"/>
        <w:jc w:val="both"/>
        <w:rPr>
          <w:rFonts w:ascii="Calibri" w:hAnsi="Calibri" w:cs="Calibri"/>
          <w:lang w:val="ro-RO"/>
        </w:rPr>
      </w:pPr>
      <w:r w:rsidRPr="00AF3608">
        <w:rPr>
          <w:rFonts w:ascii="Calibri" w:hAnsi="Calibri" w:cs="Calibri"/>
          <w:lang w:val="ro-RO"/>
        </w:rPr>
        <w:t>Factorii de influență asupra plăților de dobândă</w:t>
      </w:r>
    </w:p>
    <w:p w:rsidR="00DC6DA8" w:rsidRPr="00AF3608" w:rsidRDefault="00DC6DA8" w:rsidP="00DC6DA8">
      <w:pPr>
        <w:suppressAutoHyphens/>
        <w:spacing w:before="120"/>
        <w:jc w:val="both"/>
        <w:rPr>
          <w:rFonts w:ascii="Calibri" w:hAnsi="Calibri" w:cs="Calibri"/>
          <w:lang w:val="ro-RO"/>
        </w:rPr>
      </w:pPr>
      <w:r w:rsidRPr="00AF3608">
        <w:rPr>
          <w:rFonts w:ascii="Calibri" w:hAnsi="Calibri" w:cs="Calibri"/>
          <w:noProof/>
        </w:rPr>
        <w:drawing>
          <wp:inline distT="0" distB="0" distL="0" distR="0" wp14:anchorId="48D090D6" wp14:editId="04512F26">
            <wp:extent cx="5305425" cy="23660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0045" cy="2376990"/>
                    </a:xfrm>
                    <a:prstGeom prst="rect">
                      <a:avLst/>
                    </a:prstGeom>
                    <a:noFill/>
                  </pic:spPr>
                </pic:pic>
              </a:graphicData>
            </a:graphic>
          </wp:inline>
        </w:drawing>
      </w:r>
    </w:p>
    <w:p w:rsidR="00DC6DA8" w:rsidRPr="00AF3608" w:rsidRDefault="00DC6DA8" w:rsidP="00DC6DA8">
      <w:pPr>
        <w:suppressAutoHyphens/>
        <w:spacing w:before="120"/>
        <w:jc w:val="both"/>
        <w:rPr>
          <w:rFonts w:ascii="Calibri" w:hAnsi="Calibri" w:cs="Calibri"/>
          <w:lang w:val="ro-RO"/>
        </w:rPr>
      </w:pPr>
      <w:r w:rsidRPr="00AF3608">
        <w:rPr>
          <w:rFonts w:ascii="Calibri" w:hAnsi="Calibri" w:cs="Calibri"/>
          <w:lang w:val="ro-RO"/>
        </w:rPr>
        <w:t xml:space="preserve">Sursă: Ministerul Finanțelor </w:t>
      </w:r>
    </w:p>
    <w:p w:rsidR="00DC6DA8" w:rsidRPr="00AF3608" w:rsidRDefault="00DC6DA8" w:rsidP="00DC6DA8">
      <w:pPr>
        <w:suppressAutoHyphens/>
        <w:spacing w:before="120"/>
        <w:jc w:val="both"/>
        <w:rPr>
          <w:rFonts w:ascii="Calibri" w:hAnsi="Calibri" w:cs="Calibri"/>
          <w:lang w:val="ro-RO"/>
        </w:rPr>
      </w:pPr>
      <w:r w:rsidRPr="00AF3608">
        <w:rPr>
          <w:rFonts w:ascii="Calibri" w:hAnsi="Calibri" w:cs="Calibri"/>
          <w:lang w:val="ro-RO"/>
        </w:rPr>
        <w:t>În graficul de mai sus se observă că deprecierea monedei naționale față de Euro ar avea un impact negativ scăzut asupra plăților de dobândă, în sensul creșterii ponderii acestora în PIB cu până la 0,08% din PIB în anul 2023, în timp ce creșterea ratelor de dobândă cu 1% ar conduce la o creștere a ponderii plăților de dobândă în PIB cu până la 0,09% în anul 2023. Influența combinată a acestor factori asupra plăților de dobândă ar determina o creștere a acestor plăți  cu 0,17% din PIB în anul 2023.</w:t>
      </w:r>
    </w:p>
    <w:p w:rsidR="00ED5289" w:rsidRPr="00AF3608" w:rsidRDefault="00ED5289" w:rsidP="00B723C0">
      <w:pPr>
        <w:suppressAutoHyphens/>
        <w:spacing w:before="120"/>
        <w:jc w:val="both"/>
        <w:rPr>
          <w:rFonts w:ascii="Calibri" w:hAnsi="Calibri" w:cs="Calibri"/>
          <w:color w:val="FF0000"/>
          <w:lang w:val="ro-RO"/>
        </w:rPr>
      </w:pPr>
    </w:p>
    <w:tbl>
      <w:tblPr>
        <w:tblW w:w="0" w:type="auto"/>
        <w:jc w:val="center"/>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DBE5F1"/>
        <w:tblLook w:val="04A0" w:firstRow="1" w:lastRow="0" w:firstColumn="1" w:lastColumn="0" w:noHBand="0" w:noVBand="1"/>
      </w:tblPr>
      <w:tblGrid>
        <w:gridCol w:w="9831"/>
      </w:tblGrid>
      <w:tr w:rsidR="00ED5289" w:rsidRPr="00AF3608" w:rsidTr="00F94016">
        <w:trPr>
          <w:trHeight w:val="456"/>
          <w:jc w:val="center"/>
        </w:trPr>
        <w:tc>
          <w:tcPr>
            <w:tcW w:w="9831" w:type="dxa"/>
            <w:shd w:val="clear" w:color="auto" w:fill="F2F2F2" w:themeFill="background1" w:themeFillShade="F2"/>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Sustenabilitatea pe termen lung a finanțelor publice</w:t>
            </w:r>
          </w:p>
        </w:tc>
      </w:tr>
    </w:tbl>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Viabilitatea finanțelor publice pentru statele membre ale Uniunii Europene este analizată o dată la trei ani, atât în cadrul Raportului de sustenabilitate fiscală, cât și în cadrul Raportului privind îmbătrânirea populației, care cuprinde proiecții economice și bugetare pentru statele membre ale Uniunii Europene. Raportul privind sustenabilitatea fiscala din 2018  a evidențiat, la fel ca și cel din ediția precedentă (2015), lipsa, pentru România, pe termen scurt, a unor riscuri semnificative la adresa sustenabilității, un nivel mediu al acestora pe termen mediu (față de unul considerat scăzut, în 2015) și unul mediu pe orizontul de proiecție, respectiv al anului 2070. Monitorul Sustenabilității Datoriei (ediția 2019) indică un risc redus pe termen scurt, dar unul mediu pe termen mediu și lung.</w:t>
      </w:r>
    </w:p>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lastRenderedPageBreak/>
        <w:t xml:space="preserve">În ceea ce privește Raportul privind îmbătrânirea populației, rezultatele proiecțiilor pentru exercițiul din 2018 estimau că ponderea cheltuielilor cu pensiile în PIB se va menține până la finele perioadei de proiecție (anul 2070), sub media UE. În luna mai a anului 2021 urmează a fi publicată ediția 2021 a Raportului privind îmbătrânirea populației și sustenabilitatea. </w:t>
      </w:r>
    </w:p>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 xml:space="preserve">La fel ca în exercițiul 2018, statele membre preconizează, în medie, o variație totală a costurilor bugetare legate de îmbătrânirea populației echilibrată pe orizontul de prognoză, cu un plus de doar 1,9 puncte procentuale din PIB 2070 față de 2019 (cu 0,4 puncte procentuale peste nivelul proiectat pentru 2070 în exercițiul de proiecție 2018). </w:t>
      </w:r>
    </w:p>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 xml:space="preserve">Efortul general în rândul statelor membre rămâne și mai departe în direcția ajustărilor și reformelor din sectoarele pensiilor, sănătății și asistenței sociale. </w:t>
      </w:r>
    </w:p>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 xml:space="preserve">Comparativ cu evoluțiile la nivel european, ritmul de majorare a cheltuielilor legate de îmbătrânirea populației este marcat în România de o răsturnare mai accentuată a piramidei vârstelor (proiecții Europop 2019): </w:t>
      </w:r>
    </w:p>
    <w:p w:rsidR="00ED5289" w:rsidRPr="00AF3608" w:rsidRDefault="00ED5289" w:rsidP="00B723C0">
      <w:pPr>
        <w:suppressAutoHyphens/>
        <w:spacing w:before="120"/>
        <w:jc w:val="both"/>
        <w:rPr>
          <w:rFonts w:ascii="Calibri" w:hAnsi="Calibri" w:cs="Calibri"/>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4"/>
        <w:gridCol w:w="4958"/>
      </w:tblGrid>
      <w:tr w:rsidR="00ED5289" w:rsidRPr="00AF3608" w:rsidTr="00E751E4">
        <w:tc>
          <w:tcPr>
            <w:tcW w:w="5096" w:type="dxa"/>
          </w:tcPr>
          <w:p w:rsidR="00ED5289" w:rsidRPr="00AF3608" w:rsidRDefault="00ED5289" w:rsidP="00B723C0">
            <w:pPr>
              <w:suppressAutoHyphens/>
              <w:jc w:val="both"/>
              <w:rPr>
                <w:rFonts w:ascii="Calibri" w:hAnsi="Calibri" w:cs="Calibri"/>
                <w:lang w:val="ro-RO"/>
              </w:rPr>
            </w:pPr>
            <w:r w:rsidRPr="00AF3608">
              <w:rPr>
                <w:rFonts w:ascii="Calibri" w:hAnsi="Calibri" w:cs="Calibri"/>
                <w:lang w:val="ro-RO"/>
              </w:rPr>
              <w:t>Structura Populației României la 1 ian 2020</w:t>
            </w:r>
          </w:p>
        </w:tc>
        <w:tc>
          <w:tcPr>
            <w:tcW w:w="5042" w:type="dxa"/>
          </w:tcPr>
          <w:p w:rsidR="00ED5289" w:rsidRPr="00AF3608" w:rsidRDefault="00ED5289" w:rsidP="00B723C0">
            <w:pPr>
              <w:suppressAutoHyphens/>
              <w:jc w:val="both"/>
              <w:rPr>
                <w:rFonts w:ascii="Calibri" w:hAnsi="Calibri" w:cs="Calibri"/>
                <w:lang w:val="ro-RO"/>
              </w:rPr>
            </w:pPr>
            <w:r w:rsidRPr="00AF3608">
              <w:rPr>
                <w:rFonts w:ascii="Calibri" w:hAnsi="Calibri" w:cs="Calibri"/>
                <w:lang w:val="ro-RO"/>
              </w:rPr>
              <w:t>Structura Populației României la 1 ian 2080</w:t>
            </w:r>
          </w:p>
        </w:tc>
      </w:tr>
      <w:tr w:rsidR="00ED5289" w:rsidRPr="00AF3608" w:rsidTr="00E751E4">
        <w:tc>
          <w:tcPr>
            <w:tcW w:w="5096" w:type="dxa"/>
          </w:tcPr>
          <w:p w:rsidR="00ED5289" w:rsidRPr="00AF3608" w:rsidRDefault="00ED5289" w:rsidP="00B723C0">
            <w:pPr>
              <w:suppressAutoHyphens/>
              <w:jc w:val="both"/>
              <w:rPr>
                <w:rFonts w:ascii="Calibri" w:hAnsi="Calibri" w:cs="Calibri"/>
                <w:lang w:val="ro-RO"/>
              </w:rPr>
            </w:pPr>
            <w:r w:rsidRPr="00AF3608">
              <w:rPr>
                <w:rFonts w:ascii="Calibri" w:hAnsi="Calibri" w:cs="Calibri"/>
                <w:noProof/>
              </w:rPr>
              <w:drawing>
                <wp:inline distT="0" distB="0" distL="0" distR="0" wp14:anchorId="2514FF9A" wp14:editId="319E75E3">
                  <wp:extent cx="3098800" cy="2866293"/>
                  <wp:effectExtent l="0" t="0" r="0" b="0"/>
                  <wp:docPr id="3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5042" w:type="dxa"/>
          </w:tcPr>
          <w:p w:rsidR="00ED5289" w:rsidRPr="00AF3608" w:rsidRDefault="00ED5289" w:rsidP="00B723C0">
            <w:pPr>
              <w:suppressAutoHyphens/>
              <w:jc w:val="both"/>
              <w:rPr>
                <w:rFonts w:ascii="Calibri" w:hAnsi="Calibri" w:cs="Calibri"/>
                <w:lang w:val="ro-RO"/>
              </w:rPr>
            </w:pPr>
            <w:r w:rsidRPr="00AF3608">
              <w:rPr>
                <w:rFonts w:ascii="Calibri" w:hAnsi="Calibri" w:cs="Calibri"/>
                <w:noProof/>
              </w:rPr>
              <w:drawing>
                <wp:inline distT="0" distB="0" distL="0" distR="0" wp14:anchorId="271D4F1F" wp14:editId="2A7120F2">
                  <wp:extent cx="3094355" cy="2892669"/>
                  <wp:effectExtent l="0" t="0" r="0" b="0"/>
                  <wp:docPr id="3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ED5289" w:rsidRPr="00AF3608" w:rsidTr="00E751E4">
        <w:tc>
          <w:tcPr>
            <w:tcW w:w="5096" w:type="dxa"/>
          </w:tcPr>
          <w:p w:rsidR="00ED5289" w:rsidRPr="00AF3608" w:rsidRDefault="00ED5289" w:rsidP="00B723C0">
            <w:pPr>
              <w:suppressAutoHyphens/>
              <w:jc w:val="both"/>
              <w:rPr>
                <w:rFonts w:ascii="Calibri" w:hAnsi="Calibri" w:cs="Calibri"/>
                <w:lang w:val="ro-RO"/>
              </w:rPr>
            </w:pPr>
            <w:r w:rsidRPr="00AF3608">
              <w:rPr>
                <w:rFonts w:ascii="Calibri" w:hAnsi="Calibri" w:cs="Calibri"/>
                <w:lang w:val="ro-RO"/>
              </w:rPr>
              <w:t>Sursa: Eurostat</w:t>
            </w:r>
          </w:p>
        </w:tc>
        <w:tc>
          <w:tcPr>
            <w:tcW w:w="5042" w:type="dxa"/>
          </w:tcPr>
          <w:p w:rsidR="00ED5289" w:rsidRPr="00AF3608" w:rsidRDefault="00ED5289" w:rsidP="00B723C0">
            <w:pPr>
              <w:suppressAutoHyphens/>
              <w:jc w:val="both"/>
              <w:rPr>
                <w:rFonts w:ascii="Calibri" w:hAnsi="Calibri" w:cs="Calibri"/>
                <w:lang w:val="ro-RO"/>
              </w:rPr>
            </w:pPr>
          </w:p>
        </w:tc>
      </w:tr>
    </w:tbl>
    <w:p w:rsidR="00ED5289" w:rsidRPr="00AF3608" w:rsidRDefault="00ED5289" w:rsidP="00B723C0">
      <w:pPr>
        <w:suppressAutoHyphens/>
        <w:spacing w:before="120"/>
        <w:jc w:val="both"/>
        <w:rPr>
          <w:rFonts w:ascii="Calibri" w:hAnsi="Calibri" w:cs="Calibri"/>
          <w:lang w:val="ro-RO"/>
        </w:rPr>
      </w:pPr>
    </w:p>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Schimbările demografice vor modifica structura populației României. Amploarea și viteza de îmbătrânire a populației depind de tendințele viitoare în ceea ce privește speranța de viață, fertilitatea și migrația.</w:t>
      </w:r>
    </w:p>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Procesul de îmbătrânire rapidă va modifica raportul dintre populația la vârsta de pensionare și populația activă, ceea ce va aduce schimbări majore în structura pe vârste și implicații negative pe piața forței de muncă. Raportul dintre persoanele în vârstă de peste 65 de ani și cele în vârstă de muncă (15-64 de ani) crește semnificativ, ceea ce înseamnă că, în perspectiva următorilor ani, sistemul public de pensii va avea resurse mult diminuate în raport cu cheltuielile.</w:t>
      </w:r>
    </w:p>
    <w:p w:rsidR="00964048" w:rsidRPr="00AF3608" w:rsidRDefault="00964048" w:rsidP="00B723C0">
      <w:pPr>
        <w:suppressAutoHyphens/>
        <w:spacing w:before="120"/>
        <w:jc w:val="both"/>
        <w:rPr>
          <w:rFonts w:ascii="Calibri" w:hAnsi="Calibri" w:cs="Calibri"/>
          <w:lang w:val="ro-RO"/>
        </w:rPr>
      </w:pPr>
    </w:p>
    <w:p w:rsidR="006B1477" w:rsidRPr="00AF3608" w:rsidRDefault="006B1477" w:rsidP="00B723C0">
      <w:pPr>
        <w:suppressAutoHyphens/>
        <w:spacing w:before="120"/>
        <w:jc w:val="both"/>
        <w:rPr>
          <w:rFonts w:ascii="Calibri" w:hAnsi="Calibri" w:cs="Calibri"/>
          <w:lang w:val="ro-RO"/>
        </w:rPr>
      </w:pPr>
    </w:p>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lastRenderedPageBreak/>
        <w:t>Grafic  Evoluția populației</w:t>
      </w:r>
    </w:p>
    <w:p w:rsidR="00ED5289" w:rsidRPr="00AF3608" w:rsidRDefault="00ED5289" w:rsidP="00B723C0">
      <w:pPr>
        <w:suppressAutoHyphens/>
        <w:spacing w:before="120"/>
        <w:jc w:val="center"/>
        <w:rPr>
          <w:rFonts w:ascii="Calibri" w:hAnsi="Calibri" w:cs="Calibri"/>
          <w:lang w:val="ro-RO"/>
        </w:rPr>
      </w:pPr>
      <w:r w:rsidRPr="00AF3608">
        <w:rPr>
          <w:rFonts w:ascii="Calibri" w:hAnsi="Calibri" w:cs="Calibri"/>
          <w:noProof/>
        </w:rPr>
        <w:drawing>
          <wp:inline distT="0" distB="0" distL="0" distR="0" wp14:anchorId="51099EBB" wp14:editId="791B5C53">
            <wp:extent cx="5347335" cy="2860243"/>
            <wp:effectExtent l="19050" t="0" r="24765" b="0"/>
            <wp:docPr id="3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Sursa: Eurostat- EUROPOP 2019</w:t>
      </w:r>
    </w:p>
    <w:p w:rsidR="00ED5289" w:rsidRPr="00AF3608" w:rsidRDefault="00ED5289" w:rsidP="00B723C0">
      <w:pPr>
        <w:suppressAutoHyphens/>
        <w:spacing w:before="120"/>
        <w:jc w:val="both"/>
        <w:rPr>
          <w:rFonts w:ascii="Calibri" w:hAnsi="Calibri" w:cs="Calibri"/>
          <w:lang w:val="ro-RO"/>
        </w:rPr>
      </w:pPr>
    </w:p>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Compoziția pe vârste a populației va fi profund afectată în perioada 2016-2070: ponderea populației în vârstă de muncă (15-64 ani) va înregistra o scădere semnificativă de 10,2 puncte procentuale în perioada intervalului de prognoză în timp ce ponderea populației cu vârsta peste 65 de ani va crește în acest interval cu 12,8 puncte procentuale.</w:t>
      </w:r>
    </w:p>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 xml:space="preserve">Procesul de îmbătrânire a populației este și o consecință a nivelului scăzut al fertilității: în anul </w:t>
      </w:r>
      <w:r w:rsidR="00DC6DA8" w:rsidRPr="00AF3608">
        <w:rPr>
          <w:rFonts w:ascii="Calibri" w:hAnsi="Calibri" w:cs="Calibri"/>
          <w:lang w:val="ro-RO"/>
        </w:rPr>
        <w:t>2019</w:t>
      </w:r>
      <w:r w:rsidRPr="00AF3608">
        <w:rPr>
          <w:rFonts w:ascii="Calibri" w:hAnsi="Calibri" w:cs="Calibri"/>
          <w:lang w:val="ro-RO"/>
        </w:rPr>
        <w:t xml:space="preserve"> rata de fertilitate a fost de 1,65 copii per femeie, situându-se sub nivelul optim de reproducere, aceasta urmând, conform estimărilor Eurostat (2019), să crească la 1,74 în anul 2070.</w:t>
      </w:r>
    </w:p>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Rezultatele previziunii demografice oferite de Eurostat pentru România (EUROPOP 2019), indică o scădere semnificativă a populației, cu 5,7 milioane persoane mai puțin în 2070 comparativ cu anul 2019. Deși populația tânără este în scădere ca urmare a numărului tot mai redus al femeilor aflate la vârsta de fertilitate, există totuși o serie de semnale pozitive din creșterea ratei fertilității.</w:t>
      </w:r>
    </w:p>
    <w:p w:rsidR="00ED5289" w:rsidRPr="00AF3608" w:rsidRDefault="00ED5289" w:rsidP="00B723C0">
      <w:pPr>
        <w:suppressAutoHyphens/>
        <w:spacing w:before="120"/>
        <w:jc w:val="both"/>
        <w:rPr>
          <w:rFonts w:ascii="Calibri" w:hAnsi="Calibri" w:cs="Calibri"/>
          <w:lang w:val="ro-RO"/>
        </w:rPr>
      </w:pPr>
    </w:p>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Tabel  -  Indicatori demografici</w:t>
      </w:r>
    </w:p>
    <w:tbl>
      <w:tblPr>
        <w:tblW w:w="9578" w:type="dxa"/>
        <w:jc w:val="center"/>
        <w:tblBorders>
          <w:top w:val="single" w:sz="2" w:space="0" w:color="365F91"/>
          <w:bottom w:val="single" w:sz="2" w:space="0" w:color="365F91"/>
          <w:insideH w:val="single" w:sz="2" w:space="0" w:color="365F91"/>
        </w:tblBorders>
        <w:tblLook w:val="00A0" w:firstRow="1" w:lastRow="0" w:firstColumn="1" w:lastColumn="0" w:noHBand="0" w:noVBand="0"/>
      </w:tblPr>
      <w:tblGrid>
        <w:gridCol w:w="2718"/>
        <w:gridCol w:w="980"/>
        <w:gridCol w:w="980"/>
        <w:gridCol w:w="980"/>
        <w:gridCol w:w="980"/>
        <w:gridCol w:w="980"/>
        <w:gridCol w:w="980"/>
        <w:gridCol w:w="980"/>
      </w:tblGrid>
      <w:tr w:rsidR="00ED5289" w:rsidRPr="00AF3608" w:rsidTr="00F94016">
        <w:trPr>
          <w:trHeight w:val="449"/>
          <w:jc w:val="center"/>
        </w:trPr>
        <w:tc>
          <w:tcPr>
            <w:tcW w:w="2718" w:type="dxa"/>
            <w:shd w:val="clear" w:color="auto" w:fill="D9D9D9" w:themeFill="background1" w:themeFillShade="D9"/>
            <w:vAlign w:val="center"/>
          </w:tcPr>
          <w:p w:rsidR="00ED5289" w:rsidRPr="00AF3608" w:rsidRDefault="00ED5289" w:rsidP="00B723C0">
            <w:pPr>
              <w:suppressAutoHyphens/>
              <w:spacing w:before="120"/>
              <w:jc w:val="both"/>
              <w:rPr>
                <w:rFonts w:ascii="Calibri" w:hAnsi="Calibri" w:cs="Calibri"/>
                <w:lang w:val="ro-RO"/>
              </w:rPr>
            </w:pPr>
          </w:p>
        </w:tc>
        <w:tc>
          <w:tcPr>
            <w:tcW w:w="980" w:type="dxa"/>
            <w:shd w:val="clear" w:color="auto" w:fill="D9D9D9" w:themeFill="background1" w:themeFillShade="D9"/>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2019</w:t>
            </w:r>
          </w:p>
        </w:tc>
        <w:tc>
          <w:tcPr>
            <w:tcW w:w="980" w:type="dxa"/>
            <w:shd w:val="clear" w:color="auto" w:fill="D9D9D9" w:themeFill="background1" w:themeFillShade="D9"/>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2020</w:t>
            </w:r>
          </w:p>
        </w:tc>
        <w:tc>
          <w:tcPr>
            <w:tcW w:w="980" w:type="dxa"/>
            <w:shd w:val="clear" w:color="auto" w:fill="D9D9D9" w:themeFill="background1" w:themeFillShade="D9"/>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2030</w:t>
            </w:r>
          </w:p>
        </w:tc>
        <w:tc>
          <w:tcPr>
            <w:tcW w:w="980" w:type="dxa"/>
            <w:shd w:val="clear" w:color="auto" w:fill="D9D9D9" w:themeFill="background1" w:themeFillShade="D9"/>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2040</w:t>
            </w:r>
          </w:p>
        </w:tc>
        <w:tc>
          <w:tcPr>
            <w:tcW w:w="980" w:type="dxa"/>
            <w:shd w:val="clear" w:color="auto" w:fill="D9D9D9" w:themeFill="background1" w:themeFillShade="D9"/>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2050</w:t>
            </w:r>
          </w:p>
        </w:tc>
        <w:tc>
          <w:tcPr>
            <w:tcW w:w="980" w:type="dxa"/>
            <w:shd w:val="clear" w:color="auto" w:fill="D9D9D9" w:themeFill="background1" w:themeFillShade="D9"/>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2060</w:t>
            </w:r>
          </w:p>
        </w:tc>
        <w:tc>
          <w:tcPr>
            <w:tcW w:w="980" w:type="dxa"/>
            <w:shd w:val="clear" w:color="auto" w:fill="D9D9D9" w:themeFill="background1" w:themeFillShade="D9"/>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2070</w:t>
            </w:r>
          </w:p>
        </w:tc>
      </w:tr>
      <w:tr w:rsidR="00ED5289" w:rsidRPr="00AF3608" w:rsidTr="00E751E4">
        <w:trPr>
          <w:jc w:val="center"/>
        </w:trPr>
        <w:tc>
          <w:tcPr>
            <w:tcW w:w="2718"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Rata de fertilitate</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 xml:space="preserve"> 1,65</w:t>
            </w:r>
          </w:p>
        </w:tc>
        <w:tc>
          <w:tcPr>
            <w:tcW w:w="980" w:type="dxa"/>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1,60</w:t>
            </w:r>
          </w:p>
        </w:tc>
        <w:tc>
          <w:tcPr>
            <w:tcW w:w="980" w:type="dxa"/>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1,66</w:t>
            </w:r>
          </w:p>
        </w:tc>
        <w:tc>
          <w:tcPr>
            <w:tcW w:w="980" w:type="dxa"/>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1,70</w:t>
            </w:r>
          </w:p>
        </w:tc>
        <w:tc>
          <w:tcPr>
            <w:tcW w:w="980" w:type="dxa"/>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1,72</w:t>
            </w:r>
          </w:p>
        </w:tc>
        <w:tc>
          <w:tcPr>
            <w:tcW w:w="980" w:type="dxa"/>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1,73</w:t>
            </w:r>
          </w:p>
        </w:tc>
        <w:tc>
          <w:tcPr>
            <w:tcW w:w="980" w:type="dxa"/>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1,74</w:t>
            </w:r>
          </w:p>
        </w:tc>
      </w:tr>
      <w:tr w:rsidR="00ED5289" w:rsidRPr="00AF3608" w:rsidTr="00E751E4">
        <w:trPr>
          <w:jc w:val="center"/>
        </w:trPr>
        <w:tc>
          <w:tcPr>
            <w:tcW w:w="2718"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Populație - total mil.</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19,35</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19,21</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17,74</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16,52</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15,45</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14,49</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13,65</w:t>
            </w:r>
          </w:p>
        </w:tc>
      </w:tr>
      <w:tr w:rsidR="00ED5289" w:rsidRPr="00AF3608" w:rsidTr="00E751E4">
        <w:trPr>
          <w:jc w:val="center"/>
        </w:trPr>
        <w:tc>
          <w:tcPr>
            <w:tcW w:w="2718"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din care:</w:t>
            </w:r>
          </w:p>
        </w:tc>
        <w:tc>
          <w:tcPr>
            <w:tcW w:w="980" w:type="dxa"/>
          </w:tcPr>
          <w:p w:rsidR="00ED5289" w:rsidRPr="00AF3608" w:rsidRDefault="00ED5289" w:rsidP="00B723C0">
            <w:pPr>
              <w:suppressAutoHyphens/>
              <w:spacing w:before="120"/>
              <w:jc w:val="both"/>
              <w:rPr>
                <w:rFonts w:ascii="Calibri" w:hAnsi="Calibri" w:cs="Calibri"/>
                <w:lang w:val="ro-RO"/>
              </w:rPr>
            </w:pPr>
          </w:p>
        </w:tc>
        <w:tc>
          <w:tcPr>
            <w:tcW w:w="980" w:type="dxa"/>
            <w:vAlign w:val="center"/>
          </w:tcPr>
          <w:p w:rsidR="00ED5289" w:rsidRPr="00AF3608" w:rsidRDefault="00ED5289" w:rsidP="00B723C0">
            <w:pPr>
              <w:suppressAutoHyphens/>
              <w:spacing w:before="120"/>
              <w:jc w:val="both"/>
              <w:rPr>
                <w:rFonts w:ascii="Calibri" w:hAnsi="Calibri" w:cs="Calibri"/>
                <w:lang w:val="ro-RO"/>
              </w:rPr>
            </w:pPr>
          </w:p>
        </w:tc>
        <w:tc>
          <w:tcPr>
            <w:tcW w:w="980" w:type="dxa"/>
            <w:vAlign w:val="center"/>
          </w:tcPr>
          <w:p w:rsidR="00ED5289" w:rsidRPr="00AF3608" w:rsidRDefault="00ED5289" w:rsidP="00B723C0">
            <w:pPr>
              <w:suppressAutoHyphens/>
              <w:spacing w:before="120"/>
              <w:jc w:val="both"/>
              <w:rPr>
                <w:rFonts w:ascii="Calibri" w:hAnsi="Calibri" w:cs="Calibri"/>
                <w:lang w:val="ro-RO"/>
              </w:rPr>
            </w:pPr>
          </w:p>
        </w:tc>
        <w:tc>
          <w:tcPr>
            <w:tcW w:w="980" w:type="dxa"/>
            <w:vAlign w:val="center"/>
          </w:tcPr>
          <w:p w:rsidR="00ED5289" w:rsidRPr="00AF3608" w:rsidRDefault="00ED5289" w:rsidP="00B723C0">
            <w:pPr>
              <w:suppressAutoHyphens/>
              <w:spacing w:before="120"/>
              <w:jc w:val="both"/>
              <w:rPr>
                <w:rFonts w:ascii="Calibri" w:hAnsi="Calibri" w:cs="Calibri"/>
                <w:lang w:val="ro-RO"/>
              </w:rPr>
            </w:pPr>
          </w:p>
        </w:tc>
        <w:tc>
          <w:tcPr>
            <w:tcW w:w="980" w:type="dxa"/>
            <w:vAlign w:val="center"/>
          </w:tcPr>
          <w:p w:rsidR="00ED5289" w:rsidRPr="00AF3608" w:rsidRDefault="00ED5289" w:rsidP="00B723C0">
            <w:pPr>
              <w:suppressAutoHyphens/>
              <w:spacing w:before="120"/>
              <w:jc w:val="both"/>
              <w:rPr>
                <w:rFonts w:ascii="Calibri" w:hAnsi="Calibri" w:cs="Calibri"/>
                <w:lang w:val="ro-RO"/>
              </w:rPr>
            </w:pPr>
          </w:p>
        </w:tc>
        <w:tc>
          <w:tcPr>
            <w:tcW w:w="980" w:type="dxa"/>
            <w:vAlign w:val="center"/>
          </w:tcPr>
          <w:p w:rsidR="00ED5289" w:rsidRPr="00AF3608" w:rsidRDefault="00ED5289" w:rsidP="00B723C0">
            <w:pPr>
              <w:suppressAutoHyphens/>
              <w:spacing w:before="120"/>
              <w:jc w:val="both"/>
              <w:rPr>
                <w:rFonts w:ascii="Calibri" w:hAnsi="Calibri" w:cs="Calibri"/>
                <w:lang w:val="ro-RO"/>
              </w:rPr>
            </w:pPr>
          </w:p>
        </w:tc>
        <w:tc>
          <w:tcPr>
            <w:tcW w:w="980" w:type="dxa"/>
            <w:vAlign w:val="center"/>
          </w:tcPr>
          <w:p w:rsidR="00ED5289" w:rsidRPr="00AF3608" w:rsidRDefault="00ED5289" w:rsidP="00B723C0">
            <w:pPr>
              <w:suppressAutoHyphens/>
              <w:spacing w:before="120"/>
              <w:jc w:val="both"/>
              <w:rPr>
                <w:rFonts w:ascii="Calibri" w:hAnsi="Calibri" w:cs="Calibri"/>
                <w:lang w:val="ro-RO"/>
              </w:rPr>
            </w:pPr>
          </w:p>
        </w:tc>
      </w:tr>
      <w:tr w:rsidR="00ED5289" w:rsidRPr="00AF3608" w:rsidTr="00E751E4">
        <w:trPr>
          <w:jc w:val="center"/>
        </w:trPr>
        <w:tc>
          <w:tcPr>
            <w:tcW w:w="2718"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 xml:space="preserve">           Bărbați</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9,47</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9,41</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8,73</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8,17</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7,70</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7,28</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6,91</w:t>
            </w:r>
          </w:p>
        </w:tc>
      </w:tr>
      <w:tr w:rsidR="00ED5289" w:rsidRPr="00AF3608" w:rsidTr="00E751E4">
        <w:trPr>
          <w:jc w:val="center"/>
        </w:trPr>
        <w:tc>
          <w:tcPr>
            <w:tcW w:w="2718"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 xml:space="preserve">           Femei</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9,88</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9,80</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9,01</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8,35</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7,75</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7,22</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6,74</w:t>
            </w:r>
          </w:p>
        </w:tc>
      </w:tr>
      <w:tr w:rsidR="00ED5289" w:rsidRPr="00AF3608" w:rsidTr="00E751E4">
        <w:trPr>
          <w:jc w:val="center"/>
        </w:trPr>
        <w:tc>
          <w:tcPr>
            <w:tcW w:w="2718"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Speranța de viață la naștere</w:t>
            </w:r>
          </w:p>
        </w:tc>
        <w:tc>
          <w:tcPr>
            <w:tcW w:w="980" w:type="dxa"/>
          </w:tcPr>
          <w:p w:rsidR="00ED5289" w:rsidRPr="00AF3608" w:rsidRDefault="00ED5289" w:rsidP="00B723C0">
            <w:pPr>
              <w:suppressAutoHyphens/>
              <w:spacing w:before="120"/>
              <w:jc w:val="both"/>
              <w:rPr>
                <w:rFonts w:ascii="Calibri" w:hAnsi="Calibri" w:cs="Calibri"/>
                <w:lang w:val="ro-RO"/>
              </w:rPr>
            </w:pPr>
          </w:p>
        </w:tc>
        <w:tc>
          <w:tcPr>
            <w:tcW w:w="980" w:type="dxa"/>
            <w:vAlign w:val="center"/>
          </w:tcPr>
          <w:p w:rsidR="00ED5289" w:rsidRPr="00AF3608" w:rsidRDefault="00ED5289" w:rsidP="00B723C0">
            <w:pPr>
              <w:suppressAutoHyphens/>
              <w:spacing w:before="120"/>
              <w:jc w:val="both"/>
              <w:rPr>
                <w:rFonts w:ascii="Calibri" w:hAnsi="Calibri" w:cs="Calibri"/>
                <w:lang w:val="ro-RO"/>
              </w:rPr>
            </w:pPr>
          </w:p>
        </w:tc>
        <w:tc>
          <w:tcPr>
            <w:tcW w:w="980" w:type="dxa"/>
            <w:vAlign w:val="center"/>
          </w:tcPr>
          <w:p w:rsidR="00ED5289" w:rsidRPr="00AF3608" w:rsidRDefault="00ED5289" w:rsidP="00B723C0">
            <w:pPr>
              <w:suppressAutoHyphens/>
              <w:spacing w:before="120"/>
              <w:jc w:val="both"/>
              <w:rPr>
                <w:rFonts w:ascii="Calibri" w:hAnsi="Calibri" w:cs="Calibri"/>
                <w:lang w:val="ro-RO"/>
              </w:rPr>
            </w:pPr>
          </w:p>
        </w:tc>
        <w:tc>
          <w:tcPr>
            <w:tcW w:w="980" w:type="dxa"/>
            <w:vAlign w:val="center"/>
          </w:tcPr>
          <w:p w:rsidR="00ED5289" w:rsidRPr="00AF3608" w:rsidRDefault="00ED5289" w:rsidP="00B723C0">
            <w:pPr>
              <w:suppressAutoHyphens/>
              <w:spacing w:before="120"/>
              <w:jc w:val="both"/>
              <w:rPr>
                <w:rFonts w:ascii="Calibri" w:hAnsi="Calibri" w:cs="Calibri"/>
                <w:lang w:val="ro-RO"/>
              </w:rPr>
            </w:pPr>
          </w:p>
        </w:tc>
        <w:tc>
          <w:tcPr>
            <w:tcW w:w="980" w:type="dxa"/>
            <w:vAlign w:val="center"/>
          </w:tcPr>
          <w:p w:rsidR="00ED5289" w:rsidRPr="00AF3608" w:rsidRDefault="00ED5289" w:rsidP="00B723C0">
            <w:pPr>
              <w:suppressAutoHyphens/>
              <w:spacing w:before="120"/>
              <w:jc w:val="both"/>
              <w:rPr>
                <w:rFonts w:ascii="Calibri" w:hAnsi="Calibri" w:cs="Calibri"/>
                <w:lang w:val="ro-RO"/>
              </w:rPr>
            </w:pPr>
          </w:p>
        </w:tc>
        <w:tc>
          <w:tcPr>
            <w:tcW w:w="980" w:type="dxa"/>
            <w:vAlign w:val="center"/>
          </w:tcPr>
          <w:p w:rsidR="00ED5289" w:rsidRPr="00AF3608" w:rsidRDefault="00ED5289" w:rsidP="00B723C0">
            <w:pPr>
              <w:suppressAutoHyphens/>
              <w:spacing w:before="120"/>
              <w:jc w:val="both"/>
              <w:rPr>
                <w:rFonts w:ascii="Calibri" w:hAnsi="Calibri" w:cs="Calibri"/>
                <w:lang w:val="ro-RO"/>
              </w:rPr>
            </w:pPr>
          </w:p>
        </w:tc>
        <w:tc>
          <w:tcPr>
            <w:tcW w:w="980" w:type="dxa"/>
            <w:vAlign w:val="center"/>
          </w:tcPr>
          <w:p w:rsidR="00ED5289" w:rsidRPr="00AF3608" w:rsidRDefault="00ED5289" w:rsidP="00B723C0">
            <w:pPr>
              <w:suppressAutoHyphens/>
              <w:spacing w:before="120"/>
              <w:jc w:val="both"/>
              <w:rPr>
                <w:rFonts w:ascii="Calibri" w:hAnsi="Calibri" w:cs="Calibri"/>
                <w:lang w:val="ro-RO"/>
              </w:rPr>
            </w:pPr>
          </w:p>
        </w:tc>
      </w:tr>
      <w:tr w:rsidR="00ED5289" w:rsidRPr="00AF3608" w:rsidTr="00E751E4">
        <w:trPr>
          <w:jc w:val="center"/>
        </w:trPr>
        <w:tc>
          <w:tcPr>
            <w:tcW w:w="2718"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lastRenderedPageBreak/>
              <w:t xml:space="preserve">           Bărbați</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71,9</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72,1</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74,7</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77,2</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79,5</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81,6</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83,5</w:t>
            </w:r>
          </w:p>
        </w:tc>
      </w:tr>
      <w:tr w:rsidR="00ED5289" w:rsidRPr="00AF3608" w:rsidTr="00E751E4">
        <w:trPr>
          <w:jc w:val="center"/>
        </w:trPr>
        <w:tc>
          <w:tcPr>
            <w:tcW w:w="2718"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 xml:space="preserve">           Femei</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79,5</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79,5</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81,6</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83,5</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85,3</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87,0</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88,5</w:t>
            </w:r>
          </w:p>
        </w:tc>
      </w:tr>
      <w:tr w:rsidR="00ED5289" w:rsidRPr="00AF3608" w:rsidTr="00E751E4">
        <w:trPr>
          <w:trHeight w:val="526"/>
          <w:jc w:val="center"/>
        </w:trPr>
        <w:tc>
          <w:tcPr>
            <w:tcW w:w="2718"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Speranța de viață la vârsta de 65 ani</w:t>
            </w:r>
          </w:p>
        </w:tc>
        <w:tc>
          <w:tcPr>
            <w:tcW w:w="980" w:type="dxa"/>
          </w:tcPr>
          <w:p w:rsidR="00ED5289" w:rsidRPr="00AF3608" w:rsidRDefault="00ED5289" w:rsidP="00B723C0">
            <w:pPr>
              <w:suppressAutoHyphens/>
              <w:spacing w:before="120"/>
              <w:jc w:val="both"/>
              <w:rPr>
                <w:rFonts w:ascii="Calibri" w:hAnsi="Calibri" w:cs="Calibri"/>
                <w:lang w:val="ro-RO"/>
              </w:rPr>
            </w:pPr>
          </w:p>
        </w:tc>
        <w:tc>
          <w:tcPr>
            <w:tcW w:w="980" w:type="dxa"/>
            <w:vAlign w:val="center"/>
          </w:tcPr>
          <w:p w:rsidR="00ED5289" w:rsidRPr="00AF3608" w:rsidRDefault="00ED5289" w:rsidP="00B723C0">
            <w:pPr>
              <w:suppressAutoHyphens/>
              <w:spacing w:before="120"/>
              <w:jc w:val="both"/>
              <w:rPr>
                <w:rFonts w:ascii="Calibri" w:hAnsi="Calibri" w:cs="Calibri"/>
                <w:lang w:val="ro-RO"/>
              </w:rPr>
            </w:pPr>
          </w:p>
        </w:tc>
        <w:tc>
          <w:tcPr>
            <w:tcW w:w="980" w:type="dxa"/>
            <w:vAlign w:val="center"/>
          </w:tcPr>
          <w:p w:rsidR="00ED5289" w:rsidRPr="00AF3608" w:rsidRDefault="00ED5289" w:rsidP="00B723C0">
            <w:pPr>
              <w:suppressAutoHyphens/>
              <w:spacing w:before="120"/>
              <w:jc w:val="both"/>
              <w:rPr>
                <w:rFonts w:ascii="Calibri" w:hAnsi="Calibri" w:cs="Calibri"/>
                <w:lang w:val="ro-RO"/>
              </w:rPr>
            </w:pPr>
          </w:p>
        </w:tc>
        <w:tc>
          <w:tcPr>
            <w:tcW w:w="980" w:type="dxa"/>
            <w:vAlign w:val="center"/>
          </w:tcPr>
          <w:p w:rsidR="00ED5289" w:rsidRPr="00AF3608" w:rsidRDefault="00ED5289" w:rsidP="00B723C0">
            <w:pPr>
              <w:suppressAutoHyphens/>
              <w:spacing w:before="120"/>
              <w:jc w:val="both"/>
              <w:rPr>
                <w:rFonts w:ascii="Calibri" w:hAnsi="Calibri" w:cs="Calibri"/>
                <w:lang w:val="ro-RO"/>
              </w:rPr>
            </w:pPr>
          </w:p>
        </w:tc>
        <w:tc>
          <w:tcPr>
            <w:tcW w:w="980" w:type="dxa"/>
            <w:vAlign w:val="center"/>
          </w:tcPr>
          <w:p w:rsidR="00ED5289" w:rsidRPr="00AF3608" w:rsidRDefault="00ED5289" w:rsidP="00B723C0">
            <w:pPr>
              <w:suppressAutoHyphens/>
              <w:spacing w:before="120"/>
              <w:jc w:val="both"/>
              <w:rPr>
                <w:rFonts w:ascii="Calibri" w:hAnsi="Calibri" w:cs="Calibri"/>
                <w:lang w:val="ro-RO"/>
              </w:rPr>
            </w:pPr>
          </w:p>
        </w:tc>
        <w:tc>
          <w:tcPr>
            <w:tcW w:w="980" w:type="dxa"/>
            <w:vAlign w:val="center"/>
          </w:tcPr>
          <w:p w:rsidR="00ED5289" w:rsidRPr="00AF3608" w:rsidRDefault="00ED5289" w:rsidP="00B723C0">
            <w:pPr>
              <w:suppressAutoHyphens/>
              <w:spacing w:before="120"/>
              <w:jc w:val="both"/>
              <w:rPr>
                <w:rFonts w:ascii="Calibri" w:hAnsi="Calibri" w:cs="Calibri"/>
                <w:lang w:val="ro-RO"/>
              </w:rPr>
            </w:pPr>
          </w:p>
        </w:tc>
        <w:tc>
          <w:tcPr>
            <w:tcW w:w="980" w:type="dxa"/>
            <w:vAlign w:val="center"/>
          </w:tcPr>
          <w:p w:rsidR="00ED5289" w:rsidRPr="00AF3608" w:rsidRDefault="00ED5289" w:rsidP="00B723C0">
            <w:pPr>
              <w:suppressAutoHyphens/>
              <w:spacing w:before="120"/>
              <w:jc w:val="both"/>
              <w:rPr>
                <w:rFonts w:ascii="Calibri" w:hAnsi="Calibri" w:cs="Calibri"/>
                <w:lang w:val="ro-RO"/>
              </w:rPr>
            </w:pPr>
          </w:p>
        </w:tc>
      </w:tr>
      <w:tr w:rsidR="00ED5289" w:rsidRPr="00AF3608" w:rsidTr="00E751E4">
        <w:trPr>
          <w:jc w:val="center"/>
        </w:trPr>
        <w:tc>
          <w:tcPr>
            <w:tcW w:w="2718"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 xml:space="preserve">           Bărbați</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15,3</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15,4</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16,8</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18,2</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19,5</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20,8</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22,0</w:t>
            </w:r>
          </w:p>
        </w:tc>
      </w:tr>
      <w:tr w:rsidR="00ED5289" w:rsidRPr="00AF3608" w:rsidTr="00E751E4">
        <w:trPr>
          <w:jc w:val="center"/>
        </w:trPr>
        <w:tc>
          <w:tcPr>
            <w:tcW w:w="2718"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 xml:space="preserve">           Femei</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18,7</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18,8</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20,2</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21,5</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22,8</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24,0</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25,1</w:t>
            </w:r>
          </w:p>
        </w:tc>
      </w:tr>
    </w:tbl>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 xml:space="preserve">  Sursa: Eurostat-EUROPOP 2019 (pentru Speranța de viață 65: EUROPOP 2016)</w:t>
      </w:r>
    </w:p>
    <w:p w:rsidR="00ED5289" w:rsidRPr="00AF3608" w:rsidRDefault="00ED5289" w:rsidP="00B723C0">
      <w:pPr>
        <w:suppressAutoHyphens/>
        <w:spacing w:before="120"/>
        <w:jc w:val="both"/>
        <w:rPr>
          <w:rFonts w:ascii="Calibri" w:hAnsi="Calibri" w:cs="Calibri"/>
          <w:lang w:val="ro-RO"/>
        </w:rPr>
      </w:pPr>
    </w:p>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Conform estimărilor Eurostat (EUROPOP2019), în România, speranța de viață la naștere pentru bărbați este estimată să crească cu aproximativ 12 ani pe parcursul perioadei de proiecție, de la 71/9 în 2019 la 83/5 ani în 2070. Speranța de viață la naștere este estimată să crească cu 9 ani pentru femei, de la 79/5 ani în 2019 la 88/5 în 2070, ceea ce indică o ușoară convergență a speranței de viață între bărbați și femei. Speranța de viață la 65 de ani se prognozează a evolua astfel:</w:t>
      </w:r>
    </w:p>
    <w:p w:rsidR="00ED5289" w:rsidRPr="00AF3608" w:rsidRDefault="00ED5289" w:rsidP="00120AA6">
      <w:pPr>
        <w:numPr>
          <w:ilvl w:val="0"/>
          <w:numId w:val="14"/>
        </w:numPr>
        <w:suppressAutoHyphens/>
        <w:spacing w:before="120" w:line="276" w:lineRule="auto"/>
        <w:contextualSpacing/>
        <w:jc w:val="both"/>
        <w:rPr>
          <w:rFonts w:ascii="Calibri" w:eastAsia="Calibri" w:hAnsi="Calibri" w:cs="Calibri"/>
          <w:szCs w:val="22"/>
          <w:lang w:val="ro-RO"/>
        </w:rPr>
      </w:pPr>
      <w:r w:rsidRPr="00AF3608">
        <w:rPr>
          <w:rFonts w:ascii="Calibri" w:eastAsia="Calibri" w:hAnsi="Calibri" w:cs="Calibri"/>
          <w:szCs w:val="22"/>
          <w:lang w:val="ro-RO"/>
        </w:rPr>
        <w:t>Bărbați  15/3 ani (2019) – 22/0 ani (2070)</w:t>
      </w:r>
    </w:p>
    <w:p w:rsidR="00ED5289" w:rsidRPr="00AF3608" w:rsidRDefault="00ED5289" w:rsidP="00120AA6">
      <w:pPr>
        <w:numPr>
          <w:ilvl w:val="0"/>
          <w:numId w:val="14"/>
        </w:numPr>
        <w:suppressAutoHyphens/>
        <w:spacing w:before="120" w:line="276" w:lineRule="auto"/>
        <w:contextualSpacing/>
        <w:jc w:val="both"/>
        <w:rPr>
          <w:rFonts w:ascii="Calibri" w:eastAsia="Calibri" w:hAnsi="Calibri" w:cs="Calibri"/>
          <w:szCs w:val="22"/>
          <w:lang w:val="ro-RO"/>
        </w:rPr>
      </w:pPr>
      <w:r w:rsidRPr="00AF3608">
        <w:rPr>
          <w:rFonts w:ascii="Calibri" w:eastAsia="Calibri" w:hAnsi="Calibri" w:cs="Calibri"/>
          <w:szCs w:val="22"/>
          <w:lang w:val="ro-RO"/>
        </w:rPr>
        <w:t>Femei    18/7 ani (2019) – 25/1 ani (2070)</w:t>
      </w:r>
    </w:p>
    <w:p w:rsidR="00ED5289" w:rsidRPr="00AF3608" w:rsidRDefault="00ED5289" w:rsidP="00DC6DA8">
      <w:pPr>
        <w:suppressAutoHyphens/>
        <w:spacing w:before="120"/>
        <w:jc w:val="both"/>
        <w:rPr>
          <w:rFonts w:ascii="Calibri" w:hAnsi="Calibri" w:cs="Calibri"/>
          <w:lang w:val="ro-RO"/>
        </w:rPr>
      </w:pPr>
      <w:r w:rsidRPr="00AF3608">
        <w:rPr>
          <w:rFonts w:ascii="Calibri" w:hAnsi="Calibri" w:cs="Calibri"/>
          <w:lang w:val="ro-RO"/>
        </w:rPr>
        <w:t>Pe termen mediu și lung, evoluția sectorului de pensii va fi influențată de perspectivele demografice date de evoluția ratei natalității și a speranței de viață și de procesul inevitabil de îmbătrânire a populației.</w:t>
      </w:r>
    </w:p>
    <w:p w:rsidR="00DC6DA8" w:rsidRPr="00AF3608" w:rsidRDefault="00DC6DA8" w:rsidP="00DC6DA8">
      <w:pPr>
        <w:spacing w:before="120"/>
        <w:jc w:val="both"/>
        <w:rPr>
          <w:rFonts w:ascii="Calibri" w:hAnsi="Calibri" w:cs="Calibri"/>
          <w:lang w:val="ro-RO"/>
        </w:rPr>
      </w:pPr>
      <w:r w:rsidRPr="00AF3608">
        <w:rPr>
          <w:rFonts w:ascii="Calibri" w:hAnsi="Calibri" w:cs="Calibri"/>
          <w:lang w:val="ro-RO"/>
        </w:rPr>
        <w:t>Aceste tendinţe pot fi inversate prin eficientizarea politicilor de ocupare şi de stimulare a muncii,  intensificarea politicilor active pe piaţa muncii în vederea unei mai bune inserţii precum şi continuarea aplicării măsurilor active pentru sprijinirea formării continue şi de învăţare pe tot parcursul vieţii şi vor contribui pe de o parte la creşterea gradului de contributivitate la sistemul de pensii public şi privat iar pe de altă parte la diminuarea cheltuielilor pentru pensiile anticipate şi/sau sociale prin intrarea în sistem la vârste mai înaintate.</w:t>
      </w:r>
    </w:p>
    <w:p w:rsidR="00DC6DA8" w:rsidRPr="00AF3608" w:rsidRDefault="00DC6DA8" w:rsidP="00DC6DA8">
      <w:pPr>
        <w:spacing w:before="120"/>
        <w:jc w:val="both"/>
        <w:rPr>
          <w:rFonts w:ascii="Calibri" w:hAnsi="Calibri" w:cs="Calibri"/>
          <w:lang w:val="ro-RO"/>
        </w:rPr>
      </w:pPr>
      <w:r w:rsidRPr="00AF3608">
        <w:rPr>
          <w:rFonts w:ascii="Calibri" w:hAnsi="Calibri" w:cs="Calibri"/>
          <w:lang w:val="ro-RO"/>
        </w:rPr>
        <w:t>În acelaşi timp, politicile de încurajare a natalităţii, de flexibilizare a raporturilor de muncă în vederea armonizării vieţii profesionale cu cea de familie în special pentru femei precum şi măsuri de stopare a fenomenului de emigraţie mai ales de sprijinire a tinerilor de a se integra pe piaţa muncii din România, vor avea ca rezultat sporirea numărului persoanelor active pe piaţa muncii astfel încât să se asigure sustenabilitatea sistemului de pensii.</w:t>
      </w:r>
    </w:p>
    <w:p w:rsidR="00ED5289" w:rsidRPr="00AF3608" w:rsidRDefault="00ED5289" w:rsidP="00B723C0">
      <w:pPr>
        <w:suppressAutoHyphens/>
        <w:spacing w:before="120"/>
        <w:jc w:val="both"/>
        <w:rPr>
          <w:rFonts w:ascii="Calibri" w:hAnsi="Calibri" w:cs="Calibri"/>
          <w:lang w:val="ro-RO"/>
        </w:rPr>
      </w:pPr>
    </w:p>
    <w:tbl>
      <w:tblPr>
        <w:tblStyle w:val="TableGrid12"/>
        <w:tblW w:w="9923" w:type="dxa"/>
        <w:tblBorders>
          <w:top w:val="single" w:sz="2" w:space="0" w:color="365F91"/>
          <w:left w:val="single" w:sz="2" w:space="0" w:color="365F91"/>
          <w:bottom w:val="single" w:sz="2" w:space="0" w:color="365F91"/>
          <w:right w:val="single" w:sz="2" w:space="0" w:color="365F91"/>
          <w:insideH w:val="none" w:sz="0" w:space="0" w:color="auto"/>
          <w:insideV w:val="none" w:sz="0" w:space="0" w:color="auto"/>
        </w:tblBorders>
        <w:shd w:val="clear" w:color="auto" w:fill="365F91"/>
        <w:tblLook w:val="04A0" w:firstRow="1" w:lastRow="0" w:firstColumn="1" w:lastColumn="0" w:noHBand="0" w:noVBand="1"/>
      </w:tblPr>
      <w:tblGrid>
        <w:gridCol w:w="9923"/>
      </w:tblGrid>
      <w:tr w:rsidR="00ED5289" w:rsidRPr="00AF3608" w:rsidTr="00F94016">
        <w:trPr>
          <w:trHeight w:val="415"/>
        </w:trPr>
        <w:tc>
          <w:tcPr>
            <w:tcW w:w="9923" w:type="dxa"/>
            <w:shd w:val="clear" w:color="auto" w:fill="D9D9D9" w:themeFill="background1" w:themeFillShade="D9"/>
            <w:vAlign w:val="center"/>
          </w:tcPr>
          <w:p w:rsidR="00ED5289" w:rsidRPr="00AF3608" w:rsidRDefault="00ED5289" w:rsidP="00B723C0">
            <w:pPr>
              <w:suppressAutoHyphens/>
              <w:spacing w:before="120"/>
              <w:jc w:val="both"/>
              <w:rPr>
                <w:rFonts w:ascii="Calibri" w:hAnsi="Calibri" w:cs="Calibri"/>
              </w:rPr>
            </w:pPr>
            <w:r w:rsidRPr="00AF3608">
              <w:rPr>
                <w:rFonts w:ascii="Calibri" w:hAnsi="Calibri" w:cs="Calibri"/>
              </w:rPr>
              <w:t>Riscuri fiscal-bugetare specifice</w:t>
            </w:r>
          </w:p>
        </w:tc>
      </w:tr>
    </w:tbl>
    <w:p w:rsidR="00DC6DA8" w:rsidRPr="00AF3608" w:rsidRDefault="00DC6DA8" w:rsidP="00DC6DA8">
      <w:pPr>
        <w:suppressAutoHyphens/>
        <w:spacing w:before="120"/>
        <w:jc w:val="both"/>
        <w:rPr>
          <w:rFonts w:asciiTheme="minorHAnsi" w:hAnsiTheme="minorHAnsi" w:cstheme="minorHAnsi"/>
          <w:lang w:val="ro-RO"/>
        </w:rPr>
      </w:pPr>
      <w:r w:rsidRPr="00AF3608">
        <w:rPr>
          <w:rFonts w:asciiTheme="minorHAnsi" w:hAnsiTheme="minorHAnsi" w:cstheme="minorHAnsi"/>
          <w:lang w:val="ro-RO"/>
        </w:rPr>
        <w:t>Dimensiunea garanţiilor guvernamentale acordate conform legislaţiei naţionale</w:t>
      </w:r>
    </w:p>
    <w:p w:rsidR="00DC6DA8" w:rsidRPr="00AF3608" w:rsidRDefault="00DC6DA8" w:rsidP="00DC6DA8">
      <w:pPr>
        <w:suppressAutoHyphens/>
        <w:spacing w:before="120"/>
        <w:jc w:val="both"/>
        <w:rPr>
          <w:rFonts w:asciiTheme="minorHAnsi" w:hAnsiTheme="minorHAnsi" w:cstheme="minorHAnsi"/>
          <w:lang w:val="ro-RO"/>
        </w:rPr>
      </w:pPr>
      <w:r w:rsidRPr="00AF3608">
        <w:rPr>
          <w:rFonts w:asciiTheme="minorHAnsi" w:hAnsiTheme="minorHAnsi" w:cstheme="minorHAnsi"/>
          <w:lang w:val="ro-RO"/>
        </w:rPr>
        <w:t>Soldul datoriei publice garantate de Guvern, prin Ministerul Finanțelor şi de către unităţile administrativ teritoriale, conform Ordonanței de urgență a Guvernului nr.64/2007, privind datoria publică, se prezintă astfel:</w:t>
      </w:r>
    </w:p>
    <w:p w:rsidR="00DC6DA8" w:rsidRPr="00AF3608" w:rsidRDefault="00DC6DA8" w:rsidP="00DC6DA8">
      <w:pPr>
        <w:suppressAutoHyphens/>
        <w:spacing w:before="120"/>
        <w:jc w:val="both"/>
        <w:rPr>
          <w:rFonts w:asciiTheme="minorHAnsi" w:hAnsiTheme="minorHAnsi" w:cstheme="minorHAnsi"/>
          <w:lang w:val="ro-RO"/>
        </w:rPr>
      </w:pPr>
    </w:p>
    <w:p w:rsidR="005A4B0D" w:rsidRPr="00AF3608" w:rsidRDefault="005A4B0D" w:rsidP="00DC6DA8">
      <w:pPr>
        <w:suppressAutoHyphens/>
        <w:spacing w:before="120"/>
        <w:jc w:val="both"/>
        <w:rPr>
          <w:rFonts w:asciiTheme="minorHAnsi" w:hAnsiTheme="minorHAnsi" w:cstheme="minorHAnsi"/>
          <w:lang w:val="ro-RO"/>
        </w:rPr>
      </w:pPr>
    </w:p>
    <w:tbl>
      <w:tblPr>
        <w:tblW w:w="9430" w:type="dxa"/>
        <w:jc w:val="center"/>
        <w:tblLayout w:type="fixed"/>
        <w:tblLook w:val="04A0" w:firstRow="1" w:lastRow="0" w:firstColumn="1" w:lastColumn="0" w:noHBand="0" w:noVBand="1"/>
      </w:tblPr>
      <w:tblGrid>
        <w:gridCol w:w="2249"/>
        <w:gridCol w:w="1036"/>
        <w:gridCol w:w="1419"/>
        <w:gridCol w:w="1574"/>
        <w:gridCol w:w="1576"/>
        <w:gridCol w:w="1576"/>
      </w:tblGrid>
      <w:tr w:rsidR="00DC6DA8" w:rsidRPr="00AF3608" w:rsidTr="00F94016">
        <w:trPr>
          <w:trHeight w:val="840"/>
          <w:jc w:val="center"/>
        </w:trPr>
        <w:tc>
          <w:tcPr>
            <w:tcW w:w="2249" w:type="dxa"/>
            <w:tcBorders>
              <w:top w:val="single" w:sz="8" w:space="0" w:color="auto"/>
              <w:left w:val="single" w:sz="8" w:space="0" w:color="auto"/>
              <w:bottom w:val="single" w:sz="2" w:space="0" w:color="365F91"/>
              <w:right w:val="dotted" w:sz="4" w:space="0" w:color="auto"/>
            </w:tcBorders>
            <w:shd w:val="clear" w:color="auto" w:fill="D9D9D9" w:themeFill="background1" w:themeFillShade="D9"/>
            <w:noWrap/>
            <w:vAlign w:val="center"/>
            <w:hideMark/>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lastRenderedPageBreak/>
              <w:t> </w:t>
            </w:r>
          </w:p>
        </w:tc>
        <w:tc>
          <w:tcPr>
            <w:tcW w:w="1036" w:type="dxa"/>
            <w:tcBorders>
              <w:top w:val="single" w:sz="8" w:space="0" w:color="auto"/>
              <w:left w:val="dotted" w:sz="4" w:space="0" w:color="auto"/>
              <w:bottom w:val="single" w:sz="2" w:space="0" w:color="365F91"/>
              <w:right w:val="dotted" w:sz="4" w:space="0" w:color="auto"/>
            </w:tcBorders>
            <w:shd w:val="clear" w:color="auto" w:fill="D9D9D9" w:themeFill="background1" w:themeFillShade="D9"/>
            <w:noWrap/>
            <w:vAlign w:val="center"/>
            <w:hideMark/>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2019 </w:t>
            </w:r>
          </w:p>
        </w:tc>
        <w:tc>
          <w:tcPr>
            <w:tcW w:w="1419" w:type="dxa"/>
            <w:tcBorders>
              <w:top w:val="single" w:sz="8" w:space="0" w:color="auto"/>
              <w:left w:val="dotted" w:sz="4" w:space="0" w:color="auto"/>
              <w:bottom w:val="single" w:sz="2" w:space="0" w:color="365F91"/>
              <w:right w:val="dotted" w:sz="4" w:space="0" w:color="auto"/>
            </w:tcBorders>
            <w:shd w:val="clear" w:color="auto" w:fill="D9D9D9" w:themeFill="background1" w:themeFillShade="D9"/>
            <w:noWrap/>
            <w:vAlign w:val="center"/>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2020 est.</w:t>
            </w:r>
          </w:p>
        </w:tc>
        <w:tc>
          <w:tcPr>
            <w:tcW w:w="1574" w:type="dxa"/>
            <w:tcBorders>
              <w:top w:val="single" w:sz="8" w:space="0" w:color="auto"/>
              <w:left w:val="dotted" w:sz="4" w:space="0" w:color="auto"/>
              <w:bottom w:val="single" w:sz="2" w:space="0" w:color="365F91"/>
              <w:right w:val="dotted" w:sz="4" w:space="0" w:color="auto"/>
            </w:tcBorders>
            <w:shd w:val="clear" w:color="auto" w:fill="D9D9D9" w:themeFill="background1" w:themeFillShade="D9"/>
            <w:noWrap/>
            <w:vAlign w:val="center"/>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2021 prog.</w:t>
            </w:r>
          </w:p>
        </w:tc>
        <w:tc>
          <w:tcPr>
            <w:tcW w:w="1576" w:type="dxa"/>
            <w:tcBorders>
              <w:top w:val="single" w:sz="8" w:space="0" w:color="auto"/>
              <w:left w:val="dotted" w:sz="4" w:space="0" w:color="auto"/>
              <w:bottom w:val="single" w:sz="2" w:space="0" w:color="365F91"/>
              <w:right w:val="dotted" w:sz="4" w:space="0" w:color="auto"/>
            </w:tcBorders>
            <w:shd w:val="clear" w:color="auto" w:fill="D9D9D9" w:themeFill="background1" w:themeFillShade="D9"/>
            <w:noWrap/>
            <w:vAlign w:val="center"/>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2022 prog.</w:t>
            </w:r>
          </w:p>
        </w:tc>
        <w:tc>
          <w:tcPr>
            <w:tcW w:w="1576" w:type="dxa"/>
            <w:tcBorders>
              <w:top w:val="single" w:sz="8" w:space="0" w:color="auto"/>
              <w:left w:val="dotted" w:sz="4" w:space="0" w:color="auto"/>
              <w:bottom w:val="single" w:sz="2" w:space="0" w:color="365F91"/>
              <w:right w:val="single" w:sz="8" w:space="0" w:color="auto"/>
            </w:tcBorders>
            <w:shd w:val="clear" w:color="auto" w:fill="D9D9D9" w:themeFill="background1" w:themeFillShade="D9"/>
            <w:noWrap/>
            <w:vAlign w:val="center"/>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2023 prog.</w:t>
            </w:r>
          </w:p>
        </w:tc>
      </w:tr>
      <w:tr w:rsidR="00DC6DA8" w:rsidRPr="00AF3608" w:rsidTr="00173CDE">
        <w:trPr>
          <w:trHeight w:val="623"/>
          <w:jc w:val="center"/>
        </w:trPr>
        <w:tc>
          <w:tcPr>
            <w:tcW w:w="9430" w:type="dxa"/>
            <w:gridSpan w:val="6"/>
            <w:tcBorders>
              <w:top w:val="single" w:sz="2" w:space="0" w:color="365F91"/>
              <w:bottom w:val="single" w:sz="2" w:space="0" w:color="365F91"/>
            </w:tcBorders>
            <w:shd w:val="clear" w:color="auto" w:fill="FFFFFF"/>
            <w:noWrap/>
            <w:vAlign w:val="center"/>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I.   Soldul datoriei publice garantate la sfarsit de perioada*)</w:t>
            </w:r>
          </w:p>
        </w:tc>
      </w:tr>
      <w:tr w:rsidR="00DC6DA8" w:rsidRPr="00AF3608" w:rsidTr="00173CDE">
        <w:trPr>
          <w:trHeight w:val="396"/>
          <w:jc w:val="center"/>
        </w:trPr>
        <w:tc>
          <w:tcPr>
            <w:tcW w:w="2249" w:type="dxa"/>
            <w:tcBorders>
              <w:top w:val="single" w:sz="2" w:space="0" w:color="365F91"/>
              <w:bottom w:val="single" w:sz="2" w:space="0" w:color="365F91"/>
            </w:tcBorders>
            <w:shd w:val="clear" w:color="auto" w:fill="auto"/>
            <w:noWrap/>
            <w:vAlign w:val="center"/>
            <w:hideMark/>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  - miliarde lei</w:t>
            </w:r>
          </w:p>
        </w:tc>
        <w:tc>
          <w:tcPr>
            <w:tcW w:w="1036" w:type="dxa"/>
            <w:tcBorders>
              <w:top w:val="single" w:sz="2" w:space="0" w:color="365F91"/>
              <w:bottom w:val="single" w:sz="2" w:space="0" w:color="365F91"/>
            </w:tcBorders>
            <w:shd w:val="clear" w:color="000000" w:fill="FFFFFF"/>
            <w:noWrap/>
            <w:hideMark/>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19,2</w:t>
            </w:r>
          </w:p>
        </w:tc>
        <w:tc>
          <w:tcPr>
            <w:tcW w:w="1419" w:type="dxa"/>
            <w:tcBorders>
              <w:top w:val="single" w:sz="2" w:space="0" w:color="365F91"/>
              <w:bottom w:val="single" w:sz="2" w:space="0" w:color="365F91"/>
            </w:tcBorders>
            <w:shd w:val="clear" w:color="auto" w:fill="auto"/>
            <w:noWrap/>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33,1</w:t>
            </w:r>
          </w:p>
        </w:tc>
        <w:tc>
          <w:tcPr>
            <w:tcW w:w="1574" w:type="dxa"/>
            <w:tcBorders>
              <w:top w:val="single" w:sz="2" w:space="0" w:color="365F91"/>
              <w:bottom w:val="single" w:sz="2" w:space="0" w:color="365F91"/>
            </w:tcBorders>
            <w:shd w:val="clear" w:color="auto" w:fill="auto"/>
            <w:noWrap/>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52,0</w:t>
            </w:r>
          </w:p>
        </w:tc>
        <w:tc>
          <w:tcPr>
            <w:tcW w:w="1576" w:type="dxa"/>
            <w:tcBorders>
              <w:top w:val="single" w:sz="2" w:space="0" w:color="365F91"/>
              <w:bottom w:val="single" w:sz="2" w:space="0" w:color="365F91"/>
            </w:tcBorders>
            <w:shd w:val="clear" w:color="auto" w:fill="auto"/>
            <w:noWrap/>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68,8</w:t>
            </w:r>
          </w:p>
        </w:tc>
        <w:tc>
          <w:tcPr>
            <w:tcW w:w="1576" w:type="dxa"/>
            <w:tcBorders>
              <w:top w:val="single" w:sz="2" w:space="0" w:color="365F91"/>
              <w:bottom w:val="single" w:sz="2" w:space="0" w:color="365F91"/>
            </w:tcBorders>
            <w:shd w:val="clear" w:color="auto" w:fill="auto"/>
            <w:noWrap/>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79,3</w:t>
            </w:r>
          </w:p>
        </w:tc>
      </w:tr>
      <w:tr w:rsidR="00DC6DA8" w:rsidRPr="00AF3608" w:rsidTr="00173CDE">
        <w:trPr>
          <w:trHeight w:val="396"/>
          <w:jc w:val="center"/>
        </w:trPr>
        <w:tc>
          <w:tcPr>
            <w:tcW w:w="2249" w:type="dxa"/>
            <w:tcBorders>
              <w:top w:val="single" w:sz="2" w:space="0" w:color="365F91"/>
              <w:bottom w:val="single" w:sz="2" w:space="0" w:color="365F91"/>
            </w:tcBorders>
            <w:shd w:val="clear" w:color="auto" w:fill="auto"/>
            <w:noWrap/>
            <w:vAlign w:val="center"/>
            <w:hideMark/>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  - % din PIB</w:t>
            </w:r>
          </w:p>
        </w:tc>
        <w:tc>
          <w:tcPr>
            <w:tcW w:w="1036" w:type="dxa"/>
            <w:tcBorders>
              <w:top w:val="single" w:sz="2" w:space="0" w:color="365F91"/>
              <w:bottom w:val="single" w:sz="2" w:space="0" w:color="365F91"/>
            </w:tcBorders>
            <w:shd w:val="clear" w:color="000000" w:fill="FFFFFF"/>
            <w:noWrap/>
            <w:hideMark/>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1,8%</w:t>
            </w:r>
          </w:p>
        </w:tc>
        <w:tc>
          <w:tcPr>
            <w:tcW w:w="1419" w:type="dxa"/>
            <w:tcBorders>
              <w:top w:val="single" w:sz="2" w:space="0" w:color="365F91"/>
              <w:bottom w:val="single" w:sz="2" w:space="0" w:color="365F91"/>
            </w:tcBorders>
            <w:shd w:val="clear" w:color="auto" w:fill="auto"/>
            <w:noWrap/>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3,2%</w:t>
            </w:r>
          </w:p>
        </w:tc>
        <w:tc>
          <w:tcPr>
            <w:tcW w:w="1574" w:type="dxa"/>
            <w:tcBorders>
              <w:top w:val="single" w:sz="2" w:space="0" w:color="365F91"/>
              <w:bottom w:val="single" w:sz="2" w:space="0" w:color="365F91"/>
            </w:tcBorders>
            <w:shd w:val="clear" w:color="auto" w:fill="auto"/>
            <w:noWrap/>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4,7%</w:t>
            </w:r>
          </w:p>
        </w:tc>
        <w:tc>
          <w:tcPr>
            <w:tcW w:w="1576" w:type="dxa"/>
            <w:tcBorders>
              <w:top w:val="single" w:sz="2" w:space="0" w:color="365F91"/>
              <w:bottom w:val="single" w:sz="2" w:space="0" w:color="365F91"/>
            </w:tcBorders>
            <w:shd w:val="clear" w:color="auto" w:fill="auto"/>
            <w:noWrap/>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5,7%</w:t>
            </w:r>
          </w:p>
        </w:tc>
        <w:tc>
          <w:tcPr>
            <w:tcW w:w="1576" w:type="dxa"/>
            <w:tcBorders>
              <w:top w:val="single" w:sz="2" w:space="0" w:color="365F91"/>
              <w:bottom w:val="single" w:sz="2" w:space="0" w:color="365F91"/>
            </w:tcBorders>
            <w:shd w:val="clear" w:color="auto" w:fill="auto"/>
            <w:noWrap/>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6,1%</w:t>
            </w:r>
          </w:p>
        </w:tc>
      </w:tr>
      <w:tr w:rsidR="00DC6DA8" w:rsidRPr="00AF3608" w:rsidTr="00173CDE">
        <w:trPr>
          <w:trHeight w:val="420"/>
          <w:jc w:val="center"/>
        </w:trPr>
        <w:tc>
          <w:tcPr>
            <w:tcW w:w="2249" w:type="dxa"/>
            <w:tcBorders>
              <w:top w:val="single" w:sz="2" w:space="0" w:color="365F91"/>
              <w:bottom w:val="single" w:sz="2" w:space="0" w:color="365F91"/>
            </w:tcBorders>
            <w:shd w:val="clear" w:color="auto" w:fill="auto"/>
            <w:noWrap/>
            <w:vAlign w:val="center"/>
            <w:hideMark/>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II. PIB (miliarde lei)</w:t>
            </w:r>
          </w:p>
        </w:tc>
        <w:tc>
          <w:tcPr>
            <w:tcW w:w="1036" w:type="dxa"/>
            <w:tcBorders>
              <w:top w:val="single" w:sz="2" w:space="0" w:color="365F91"/>
              <w:bottom w:val="single" w:sz="2" w:space="0" w:color="365F91"/>
            </w:tcBorders>
            <w:shd w:val="clear" w:color="000000" w:fill="FFFFFF"/>
            <w:noWrap/>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1.059,8</w:t>
            </w:r>
          </w:p>
        </w:tc>
        <w:tc>
          <w:tcPr>
            <w:tcW w:w="1419" w:type="dxa"/>
            <w:tcBorders>
              <w:top w:val="single" w:sz="2" w:space="0" w:color="365F91"/>
              <w:bottom w:val="single" w:sz="2" w:space="0" w:color="365F91"/>
            </w:tcBorders>
            <w:shd w:val="clear" w:color="auto" w:fill="auto"/>
            <w:noWrap/>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1.040,8</w:t>
            </w:r>
          </w:p>
        </w:tc>
        <w:tc>
          <w:tcPr>
            <w:tcW w:w="1574" w:type="dxa"/>
            <w:tcBorders>
              <w:top w:val="single" w:sz="2" w:space="0" w:color="365F91"/>
              <w:bottom w:val="single" w:sz="2" w:space="0" w:color="365F91"/>
            </w:tcBorders>
            <w:shd w:val="clear" w:color="auto" w:fill="auto"/>
            <w:noWrap/>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1.116,8</w:t>
            </w:r>
          </w:p>
        </w:tc>
        <w:tc>
          <w:tcPr>
            <w:tcW w:w="1576" w:type="dxa"/>
            <w:tcBorders>
              <w:top w:val="single" w:sz="2" w:space="0" w:color="365F91"/>
              <w:bottom w:val="single" w:sz="2" w:space="0" w:color="365F91"/>
            </w:tcBorders>
            <w:shd w:val="clear" w:color="auto" w:fill="auto"/>
            <w:noWrap/>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1.204,2</w:t>
            </w:r>
          </w:p>
        </w:tc>
        <w:tc>
          <w:tcPr>
            <w:tcW w:w="1576" w:type="dxa"/>
            <w:tcBorders>
              <w:top w:val="single" w:sz="2" w:space="0" w:color="365F91"/>
              <w:bottom w:val="single" w:sz="2" w:space="0" w:color="365F91"/>
            </w:tcBorders>
            <w:shd w:val="clear" w:color="auto" w:fill="auto"/>
            <w:noWrap/>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1.301,6</w:t>
            </w:r>
          </w:p>
        </w:tc>
      </w:tr>
    </w:tbl>
    <w:p w:rsidR="00DC6DA8" w:rsidRPr="00AF3608" w:rsidRDefault="00DC6DA8" w:rsidP="00DC6DA8">
      <w:pPr>
        <w:suppressAutoHyphens/>
        <w:spacing w:before="120"/>
        <w:jc w:val="both"/>
        <w:rPr>
          <w:rFonts w:asciiTheme="minorHAnsi" w:hAnsiTheme="minorHAnsi" w:cstheme="minorHAnsi"/>
          <w:lang w:val="ro-RO"/>
        </w:rPr>
      </w:pPr>
    </w:p>
    <w:p w:rsidR="00DC6DA8" w:rsidRPr="00AF3608" w:rsidRDefault="00DC6DA8" w:rsidP="00DC6DA8">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proiectia garantiilor a avut la baza valoarea estimata de MF pentru emiterea de noi garantii</w:t>
      </w:r>
    </w:p>
    <w:p w:rsidR="00DC6DA8" w:rsidRPr="00AF3608" w:rsidRDefault="00DC6DA8" w:rsidP="00DC6DA8">
      <w:pPr>
        <w:suppressAutoHyphens/>
        <w:spacing w:before="120"/>
        <w:ind w:firstLine="720"/>
        <w:jc w:val="both"/>
        <w:rPr>
          <w:rFonts w:asciiTheme="minorHAnsi" w:hAnsiTheme="minorHAnsi" w:cstheme="minorHAnsi"/>
          <w:lang w:val="ro-RO"/>
        </w:rPr>
      </w:pPr>
      <w:r w:rsidRPr="00AF3608">
        <w:rPr>
          <w:rFonts w:asciiTheme="minorHAnsi" w:hAnsiTheme="minorHAnsi" w:cstheme="minorHAnsi"/>
          <w:lang w:val="ro-RO"/>
        </w:rPr>
        <w:t>Sursă: MF</w:t>
      </w:r>
    </w:p>
    <w:p w:rsidR="00DC6DA8" w:rsidRPr="00AF3608" w:rsidRDefault="00DC6DA8" w:rsidP="00DC6DA8">
      <w:pPr>
        <w:suppressAutoHyphens/>
        <w:spacing w:before="120"/>
        <w:jc w:val="both"/>
        <w:rPr>
          <w:rFonts w:asciiTheme="minorHAnsi" w:hAnsiTheme="minorHAnsi" w:cstheme="minorHAnsi"/>
          <w:lang w:val="ro-RO"/>
        </w:rPr>
      </w:pPr>
      <w:r w:rsidRPr="00AF3608">
        <w:rPr>
          <w:rFonts w:asciiTheme="minorHAnsi" w:hAnsiTheme="minorHAnsi" w:cstheme="minorHAnsi"/>
          <w:lang w:val="ro-RO"/>
        </w:rPr>
        <w:t>Riscul bugetar rezultat din plățile ce ar putea fi efectuate de MF în calitate de garant, pentru garanțiile emise de stat</w:t>
      </w:r>
    </w:p>
    <w:p w:rsidR="00DC6DA8" w:rsidRPr="00AF3608" w:rsidRDefault="00DC6DA8" w:rsidP="00DC6DA8">
      <w:pPr>
        <w:suppressAutoHyphens/>
        <w:spacing w:before="120"/>
        <w:jc w:val="both"/>
        <w:rPr>
          <w:rFonts w:asciiTheme="minorHAnsi" w:hAnsiTheme="minorHAnsi" w:cstheme="minorHAnsi"/>
          <w:lang w:val="ro-RO"/>
        </w:rPr>
      </w:pPr>
    </w:p>
    <w:tbl>
      <w:tblPr>
        <w:tblW w:w="9497" w:type="dxa"/>
        <w:jc w:val="center"/>
        <w:tblBorders>
          <w:top w:val="single" w:sz="4" w:space="0" w:color="auto"/>
          <w:insideH w:val="single" w:sz="4" w:space="0" w:color="auto"/>
        </w:tblBorders>
        <w:tblLayout w:type="fixed"/>
        <w:tblLook w:val="04A0" w:firstRow="1" w:lastRow="0" w:firstColumn="1" w:lastColumn="0" w:noHBand="0" w:noVBand="1"/>
      </w:tblPr>
      <w:tblGrid>
        <w:gridCol w:w="2127"/>
        <w:gridCol w:w="1134"/>
        <w:gridCol w:w="1559"/>
        <w:gridCol w:w="1559"/>
        <w:gridCol w:w="1559"/>
        <w:gridCol w:w="1559"/>
      </w:tblGrid>
      <w:tr w:rsidR="00DC6DA8" w:rsidRPr="00AF3608" w:rsidTr="00F94016">
        <w:trPr>
          <w:trHeight w:val="540"/>
          <w:jc w:val="center"/>
        </w:trPr>
        <w:tc>
          <w:tcPr>
            <w:tcW w:w="2127" w:type="dxa"/>
            <w:shd w:val="clear" w:color="auto" w:fill="D9D9D9" w:themeFill="background1" w:themeFillShade="D9"/>
            <w:noWrap/>
            <w:vAlign w:val="center"/>
            <w:hideMark/>
          </w:tcPr>
          <w:p w:rsidR="00DC6DA8" w:rsidRPr="00AF3608" w:rsidRDefault="00DC6DA8" w:rsidP="00173CDE">
            <w:pPr>
              <w:suppressAutoHyphens/>
              <w:spacing w:before="120"/>
              <w:jc w:val="both"/>
              <w:rPr>
                <w:rFonts w:asciiTheme="minorHAnsi" w:hAnsiTheme="minorHAnsi" w:cstheme="minorHAnsi"/>
                <w:lang w:val="ro-RO"/>
              </w:rPr>
            </w:pPr>
          </w:p>
        </w:tc>
        <w:tc>
          <w:tcPr>
            <w:tcW w:w="1134" w:type="dxa"/>
            <w:shd w:val="clear" w:color="auto" w:fill="D9D9D9" w:themeFill="background1" w:themeFillShade="D9"/>
            <w:noWrap/>
            <w:vAlign w:val="center"/>
            <w:hideMark/>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2019 </w:t>
            </w:r>
          </w:p>
        </w:tc>
        <w:tc>
          <w:tcPr>
            <w:tcW w:w="1559" w:type="dxa"/>
            <w:shd w:val="clear" w:color="auto" w:fill="D9D9D9" w:themeFill="background1" w:themeFillShade="D9"/>
            <w:noWrap/>
            <w:vAlign w:val="center"/>
            <w:hideMark/>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2020 est.</w:t>
            </w:r>
          </w:p>
        </w:tc>
        <w:tc>
          <w:tcPr>
            <w:tcW w:w="1559" w:type="dxa"/>
            <w:shd w:val="clear" w:color="auto" w:fill="D9D9D9" w:themeFill="background1" w:themeFillShade="D9"/>
            <w:noWrap/>
            <w:vAlign w:val="center"/>
            <w:hideMark/>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2021 prog.</w:t>
            </w:r>
          </w:p>
        </w:tc>
        <w:tc>
          <w:tcPr>
            <w:tcW w:w="1559" w:type="dxa"/>
            <w:shd w:val="clear" w:color="auto" w:fill="D9D9D9" w:themeFill="background1" w:themeFillShade="D9"/>
            <w:noWrap/>
            <w:vAlign w:val="center"/>
            <w:hideMark/>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2022 prog.</w:t>
            </w:r>
          </w:p>
        </w:tc>
        <w:tc>
          <w:tcPr>
            <w:tcW w:w="1559" w:type="dxa"/>
            <w:shd w:val="clear" w:color="auto" w:fill="D9D9D9" w:themeFill="background1" w:themeFillShade="D9"/>
            <w:vAlign w:val="center"/>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2023 prog.</w:t>
            </w:r>
          </w:p>
        </w:tc>
      </w:tr>
      <w:tr w:rsidR="00DC6DA8" w:rsidRPr="00AF3608" w:rsidTr="00173CDE">
        <w:trPr>
          <w:trHeight w:val="284"/>
          <w:jc w:val="center"/>
        </w:trPr>
        <w:tc>
          <w:tcPr>
            <w:tcW w:w="9497" w:type="dxa"/>
            <w:gridSpan w:val="6"/>
          </w:tcPr>
          <w:p w:rsidR="00DC6DA8" w:rsidRPr="00AF3608" w:rsidRDefault="00DC6DA8" w:rsidP="00173CDE">
            <w:pPr>
              <w:jc w:val="both"/>
              <w:rPr>
                <w:rFonts w:asciiTheme="minorHAnsi" w:hAnsiTheme="minorHAnsi" w:cstheme="minorHAnsi"/>
                <w:lang w:val="ro-RO"/>
              </w:rPr>
            </w:pPr>
            <w:r w:rsidRPr="00AF3608">
              <w:rPr>
                <w:rFonts w:asciiTheme="minorHAnsi" w:hAnsiTheme="minorHAnsi" w:cstheme="minorHAnsi"/>
                <w:lang w:val="ro-RO" w:eastAsia="ro-RO"/>
              </w:rPr>
              <w:t>I.   Plati MFP in calitate de garant pentru garantiile emise de stat</w:t>
            </w:r>
          </w:p>
        </w:tc>
      </w:tr>
      <w:tr w:rsidR="00DC6DA8" w:rsidRPr="00AF3608" w:rsidTr="00173CDE">
        <w:trPr>
          <w:trHeight w:val="300"/>
          <w:jc w:val="center"/>
        </w:trPr>
        <w:tc>
          <w:tcPr>
            <w:tcW w:w="2127" w:type="dxa"/>
            <w:shd w:val="clear" w:color="auto" w:fill="auto"/>
            <w:noWrap/>
            <w:vAlign w:val="center"/>
            <w:hideMark/>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milioane lei</w:t>
            </w:r>
          </w:p>
        </w:tc>
        <w:tc>
          <w:tcPr>
            <w:tcW w:w="1134" w:type="dxa"/>
            <w:shd w:val="clear" w:color="auto" w:fill="auto"/>
            <w:noWrap/>
            <w:vAlign w:val="center"/>
            <w:hideMark/>
          </w:tcPr>
          <w:p w:rsidR="00DC6DA8" w:rsidRPr="00AF3608" w:rsidRDefault="00DC6DA8" w:rsidP="00173CDE">
            <w:pPr>
              <w:suppressAutoHyphens/>
              <w:spacing w:before="120"/>
              <w:jc w:val="center"/>
              <w:rPr>
                <w:rFonts w:asciiTheme="minorHAnsi" w:hAnsiTheme="minorHAnsi" w:cstheme="minorHAnsi"/>
                <w:lang w:val="ro-RO"/>
              </w:rPr>
            </w:pPr>
            <w:r w:rsidRPr="00AF3608">
              <w:rPr>
                <w:rFonts w:asciiTheme="minorHAnsi" w:hAnsiTheme="minorHAnsi" w:cstheme="minorHAnsi"/>
                <w:lang w:val="ro-RO"/>
              </w:rPr>
              <w:t>65,8</w:t>
            </w:r>
          </w:p>
        </w:tc>
        <w:tc>
          <w:tcPr>
            <w:tcW w:w="1559" w:type="dxa"/>
            <w:shd w:val="clear" w:color="auto" w:fill="auto"/>
            <w:noWrap/>
            <w:vAlign w:val="center"/>
            <w:hideMark/>
          </w:tcPr>
          <w:p w:rsidR="00DC6DA8" w:rsidRPr="00AF3608" w:rsidRDefault="00DC6DA8" w:rsidP="00173CDE">
            <w:pPr>
              <w:suppressAutoHyphens/>
              <w:spacing w:before="120"/>
              <w:jc w:val="center"/>
              <w:rPr>
                <w:rFonts w:asciiTheme="minorHAnsi" w:hAnsiTheme="minorHAnsi" w:cstheme="minorHAnsi"/>
                <w:lang w:val="ro-RO"/>
              </w:rPr>
            </w:pPr>
            <w:r w:rsidRPr="00AF3608">
              <w:rPr>
                <w:rFonts w:asciiTheme="minorHAnsi" w:hAnsiTheme="minorHAnsi" w:cstheme="minorHAnsi"/>
                <w:lang w:val="ro-RO"/>
              </w:rPr>
              <w:t>60,1</w:t>
            </w:r>
          </w:p>
        </w:tc>
        <w:tc>
          <w:tcPr>
            <w:tcW w:w="1559" w:type="dxa"/>
            <w:shd w:val="clear" w:color="auto" w:fill="auto"/>
            <w:noWrap/>
            <w:vAlign w:val="center"/>
            <w:hideMark/>
          </w:tcPr>
          <w:p w:rsidR="00DC6DA8" w:rsidRPr="00AF3608" w:rsidRDefault="00DC6DA8" w:rsidP="00173CDE">
            <w:pPr>
              <w:suppressAutoHyphens/>
              <w:spacing w:before="120"/>
              <w:jc w:val="center"/>
              <w:rPr>
                <w:rFonts w:asciiTheme="minorHAnsi" w:hAnsiTheme="minorHAnsi" w:cstheme="minorHAnsi"/>
                <w:lang w:val="ro-RO"/>
              </w:rPr>
            </w:pPr>
            <w:r w:rsidRPr="00AF3608">
              <w:rPr>
                <w:rFonts w:asciiTheme="minorHAnsi" w:hAnsiTheme="minorHAnsi" w:cstheme="minorHAnsi"/>
                <w:lang w:val="ro-RO"/>
              </w:rPr>
              <w:t>106,4</w:t>
            </w:r>
          </w:p>
        </w:tc>
        <w:tc>
          <w:tcPr>
            <w:tcW w:w="1559" w:type="dxa"/>
            <w:shd w:val="clear" w:color="auto" w:fill="auto"/>
            <w:noWrap/>
            <w:vAlign w:val="center"/>
            <w:hideMark/>
          </w:tcPr>
          <w:p w:rsidR="00DC6DA8" w:rsidRPr="00AF3608" w:rsidRDefault="00DC6DA8" w:rsidP="00173CDE">
            <w:pPr>
              <w:suppressAutoHyphens/>
              <w:spacing w:before="120"/>
              <w:jc w:val="center"/>
              <w:rPr>
                <w:rFonts w:asciiTheme="minorHAnsi" w:hAnsiTheme="minorHAnsi" w:cstheme="minorHAnsi"/>
                <w:lang w:val="ro-RO"/>
              </w:rPr>
            </w:pPr>
            <w:r w:rsidRPr="00AF3608">
              <w:rPr>
                <w:rFonts w:asciiTheme="minorHAnsi" w:hAnsiTheme="minorHAnsi" w:cstheme="minorHAnsi"/>
                <w:lang w:val="ro-RO"/>
              </w:rPr>
              <w:t>132,2</w:t>
            </w:r>
          </w:p>
        </w:tc>
        <w:tc>
          <w:tcPr>
            <w:tcW w:w="1559" w:type="dxa"/>
            <w:vAlign w:val="center"/>
          </w:tcPr>
          <w:p w:rsidR="00DC6DA8" w:rsidRPr="00AF3608" w:rsidRDefault="00DC6DA8" w:rsidP="00173CDE">
            <w:pPr>
              <w:suppressAutoHyphens/>
              <w:spacing w:before="120"/>
              <w:jc w:val="center"/>
              <w:rPr>
                <w:rFonts w:asciiTheme="minorHAnsi" w:hAnsiTheme="minorHAnsi" w:cstheme="minorHAnsi"/>
                <w:lang w:val="ro-RO"/>
              </w:rPr>
            </w:pPr>
            <w:r w:rsidRPr="00AF3608">
              <w:rPr>
                <w:rFonts w:asciiTheme="minorHAnsi" w:hAnsiTheme="minorHAnsi" w:cstheme="minorHAnsi"/>
                <w:lang w:val="ro-RO"/>
              </w:rPr>
              <w:t>165,9</w:t>
            </w:r>
          </w:p>
        </w:tc>
      </w:tr>
      <w:tr w:rsidR="00DC6DA8" w:rsidRPr="00AF3608" w:rsidTr="00173CDE">
        <w:trPr>
          <w:trHeight w:val="409"/>
          <w:jc w:val="center"/>
        </w:trPr>
        <w:tc>
          <w:tcPr>
            <w:tcW w:w="2127" w:type="dxa"/>
            <w:shd w:val="clear" w:color="auto" w:fill="auto"/>
            <w:noWrap/>
            <w:vAlign w:val="center"/>
            <w:hideMark/>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 din PIB</w:t>
            </w:r>
          </w:p>
        </w:tc>
        <w:tc>
          <w:tcPr>
            <w:tcW w:w="1134" w:type="dxa"/>
            <w:shd w:val="clear" w:color="auto" w:fill="auto"/>
            <w:noWrap/>
            <w:vAlign w:val="center"/>
            <w:hideMark/>
          </w:tcPr>
          <w:p w:rsidR="00DC6DA8" w:rsidRPr="00AF3608" w:rsidRDefault="00DC6DA8" w:rsidP="00173CDE">
            <w:pPr>
              <w:suppressAutoHyphens/>
              <w:spacing w:before="120"/>
              <w:jc w:val="center"/>
              <w:rPr>
                <w:rFonts w:asciiTheme="minorHAnsi" w:hAnsiTheme="minorHAnsi" w:cstheme="minorHAnsi"/>
                <w:lang w:val="ro-RO"/>
              </w:rPr>
            </w:pPr>
            <w:r w:rsidRPr="00AF3608">
              <w:rPr>
                <w:rFonts w:asciiTheme="minorHAnsi" w:hAnsiTheme="minorHAnsi" w:cstheme="minorHAnsi"/>
                <w:lang w:val="ro-RO"/>
              </w:rPr>
              <w:t>0,01%</w:t>
            </w:r>
          </w:p>
        </w:tc>
        <w:tc>
          <w:tcPr>
            <w:tcW w:w="1559" w:type="dxa"/>
            <w:shd w:val="clear" w:color="auto" w:fill="auto"/>
            <w:noWrap/>
            <w:vAlign w:val="center"/>
            <w:hideMark/>
          </w:tcPr>
          <w:p w:rsidR="00DC6DA8" w:rsidRPr="00AF3608" w:rsidRDefault="00DC6DA8" w:rsidP="00173CDE">
            <w:pPr>
              <w:suppressAutoHyphens/>
              <w:spacing w:before="120"/>
              <w:jc w:val="center"/>
              <w:rPr>
                <w:rFonts w:asciiTheme="minorHAnsi" w:hAnsiTheme="minorHAnsi" w:cstheme="minorHAnsi"/>
                <w:lang w:val="ro-RO"/>
              </w:rPr>
            </w:pPr>
            <w:r w:rsidRPr="00AF3608">
              <w:rPr>
                <w:rFonts w:asciiTheme="minorHAnsi" w:hAnsiTheme="minorHAnsi" w:cstheme="minorHAnsi"/>
                <w:lang w:val="ro-RO"/>
              </w:rPr>
              <w:t>0,01%</w:t>
            </w:r>
          </w:p>
        </w:tc>
        <w:tc>
          <w:tcPr>
            <w:tcW w:w="1559" w:type="dxa"/>
            <w:shd w:val="clear" w:color="auto" w:fill="auto"/>
            <w:noWrap/>
            <w:vAlign w:val="center"/>
            <w:hideMark/>
          </w:tcPr>
          <w:p w:rsidR="00DC6DA8" w:rsidRPr="00AF3608" w:rsidRDefault="00DC6DA8" w:rsidP="00173CDE">
            <w:pPr>
              <w:suppressAutoHyphens/>
              <w:spacing w:before="120"/>
              <w:jc w:val="center"/>
              <w:rPr>
                <w:rFonts w:asciiTheme="minorHAnsi" w:hAnsiTheme="minorHAnsi" w:cstheme="minorHAnsi"/>
                <w:lang w:val="ro-RO"/>
              </w:rPr>
            </w:pPr>
            <w:r w:rsidRPr="00AF3608">
              <w:rPr>
                <w:rFonts w:asciiTheme="minorHAnsi" w:hAnsiTheme="minorHAnsi" w:cstheme="minorHAnsi"/>
                <w:lang w:val="ro-RO"/>
              </w:rPr>
              <w:t>0,01%</w:t>
            </w:r>
          </w:p>
        </w:tc>
        <w:tc>
          <w:tcPr>
            <w:tcW w:w="1559" w:type="dxa"/>
            <w:shd w:val="clear" w:color="auto" w:fill="auto"/>
            <w:noWrap/>
            <w:vAlign w:val="center"/>
            <w:hideMark/>
          </w:tcPr>
          <w:p w:rsidR="00DC6DA8" w:rsidRPr="00AF3608" w:rsidRDefault="00DC6DA8" w:rsidP="00173CDE">
            <w:pPr>
              <w:suppressAutoHyphens/>
              <w:spacing w:before="120"/>
              <w:jc w:val="center"/>
              <w:rPr>
                <w:rFonts w:asciiTheme="minorHAnsi" w:hAnsiTheme="minorHAnsi" w:cstheme="minorHAnsi"/>
                <w:lang w:val="ro-RO"/>
              </w:rPr>
            </w:pPr>
            <w:r w:rsidRPr="00AF3608">
              <w:rPr>
                <w:rFonts w:asciiTheme="minorHAnsi" w:hAnsiTheme="minorHAnsi" w:cstheme="minorHAnsi"/>
                <w:lang w:val="ro-RO"/>
              </w:rPr>
              <w:t>0,01%</w:t>
            </w:r>
          </w:p>
        </w:tc>
        <w:tc>
          <w:tcPr>
            <w:tcW w:w="1559" w:type="dxa"/>
            <w:vAlign w:val="center"/>
          </w:tcPr>
          <w:p w:rsidR="00DC6DA8" w:rsidRPr="00AF3608" w:rsidRDefault="00DC6DA8" w:rsidP="00173CDE">
            <w:pPr>
              <w:suppressAutoHyphens/>
              <w:spacing w:before="120"/>
              <w:jc w:val="center"/>
              <w:rPr>
                <w:rFonts w:asciiTheme="minorHAnsi" w:hAnsiTheme="minorHAnsi" w:cstheme="minorHAnsi"/>
                <w:lang w:val="ro-RO"/>
              </w:rPr>
            </w:pPr>
            <w:r w:rsidRPr="00AF3608">
              <w:rPr>
                <w:rFonts w:asciiTheme="minorHAnsi" w:hAnsiTheme="minorHAnsi" w:cstheme="minorHAnsi"/>
                <w:lang w:val="ro-RO"/>
              </w:rPr>
              <w:t>0,01%</w:t>
            </w:r>
          </w:p>
        </w:tc>
      </w:tr>
      <w:tr w:rsidR="00DC6DA8" w:rsidRPr="00AF3608" w:rsidTr="00173CDE">
        <w:trPr>
          <w:trHeight w:val="375"/>
          <w:jc w:val="center"/>
        </w:trPr>
        <w:tc>
          <w:tcPr>
            <w:tcW w:w="2127" w:type="dxa"/>
            <w:shd w:val="clear" w:color="auto" w:fill="auto"/>
            <w:noWrap/>
            <w:vAlign w:val="center"/>
            <w:hideMark/>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II. PIB (milioane lei)</w:t>
            </w:r>
          </w:p>
        </w:tc>
        <w:tc>
          <w:tcPr>
            <w:tcW w:w="1134" w:type="dxa"/>
            <w:shd w:val="clear" w:color="auto" w:fill="auto"/>
            <w:noWrap/>
            <w:vAlign w:val="center"/>
          </w:tcPr>
          <w:p w:rsidR="00DC6DA8" w:rsidRPr="00AF3608" w:rsidRDefault="00DC6DA8" w:rsidP="00173CDE">
            <w:pPr>
              <w:suppressAutoHyphens/>
              <w:spacing w:before="120"/>
              <w:jc w:val="center"/>
              <w:rPr>
                <w:rFonts w:asciiTheme="minorHAnsi" w:hAnsiTheme="minorHAnsi" w:cstheme="minorHAnsi"/>
                <w:sz w:val="22"/>
                <w:szCs w:val="22"/>
                <w:lang w:val="ro-RO"/>
              </w:rPr>
            </w:pPr>
            <w:r w:rsidRPr="00AF3608">
              <w:rPr>
                <w:rFonts w:asciiTheme="minorHAnsi" w:hAnsiTheme="minorHAnsi" w:cstheme="minorHAnsi"/>
                <w:sz w:val="22"/>
                <w:szCs w:val="22"/>
                <w:lang w:val="ro-RO"/>
              </w:rPr>
              <w:t>1.059.800</w:t>
            </w:r>
          </w:p>
        </w:tc>
        <w:tc>
          <w:tcPr>
            <w:tcW w:w="1559" w:type="dxa"/>
            <w:shd w:val="clear" w:color="auto" w:fill="auto"/>
            <w:noWrap/>
            <w:vAlign w:val="center"/>
          </w:tcPr>
          <w:p w:rsidR="00DC6DA8" w:rsidRPr="00AF3608" w:rsidRDefault="00DC6DA8" w:rsidP="00173CDE">
            <w:pPr>
              <w:suppressAutoHyphens/>
              <w:spacing w:before="120"/>
              <w:jc w:val="center"/>
              <w:rPr>
                <w:rFonts w:asciiTheme="minorHAnsi" w:hAnsiTheme="minorHAnsi" w:cstheme="minorHAnsi"/>
                <w:sz w:val="22"/>
                <w:szCs w:val="22"/>
                <w:lang w:val="ro-RO"/>
              </w:rPr>
            </w:pPr>
            <w:r w:rsidRPr="00AF3608">
              <w:rPr>
                <w:rFonts w:asciiTheme="minorHAnsi" w:hAnsiTheme="minorHAnsi" w:cstheme="minorHAnsi"/>
                <w:sz w:val="22"/>
                <w:szCs w:val="22"/>
                <w:lang w:val="ro-RO"/>
              </w:rPr>
              <w:t>1.040.800</w:t>
            </w:r>
          </w:p>
        </w:tc>
        <w:tc>
          <w:tcPr>
            <w:tcW w:w="1559" w:type="dxa"/>
            <w:shd w:val="clear" w:color="auto" w:fill="auto"/>
            <w:noWrap/>
            <w:vAlign w:val="center"/>
          </w:tcPr>
          <w:p w:rsidR="00DC6DA8" w:rsidRPr="00AF3608" w:rsidRDefault="00DC6DA8" w:rsidP="00173CDE">
            <w:pPr>
              <w:suppressAutoHyphens/>
              <w:spacing w:before="120"/>
              <w:jc w:val="center"/>
              <w:rPr>
                <w:rFonts w:asciiTheme="minorHAnsi" w:hAnsiTheme="minorHAnsi" w:cstheme="minorHAnsi"/>
                <w:sz w:val="22"/>
                <w:szCs w:val="22"/>
                <w:lang w:val="ro-RO"/>
              </w:rPr>
            </w:pPr>
            <w:r w:rsidRPr="00AF3608">
              <w:rPr>
                <w:rFonts w:asciiTheme="minorHAnsi" w:hAnsiTheme="minorHAnsi" w:cstheme="minorHAnsi"/>
                <w:sz w:val="22"/>
                <w:szCs w:val="22"/>
                <w:lang w:val="ro-RO"/>
              </w:rPr>
              <w:t>1.116.800</w:t>
            </w:r>
          </w:p>
        </w:tc>
        <w:tc>
          <w:tcPr>
            <w:tcW w:w="1559" w:type="dxa"/>
            <w:shd w:val="clear" w:color="auto" w:fill="auto"/>
            <w:noWrap/>
            <w:vAlign w:val="center"/>
          </w:tcPr>
          <w:p w:rsidR="00DC6DA8" w:rsidRPr="00AF3608" w:rsidRDefault="00DC6DA8" w:rsidP="00173CDE">
            <w:pPr>
              <w:suppressAutoHyphens/>
              <w:spacing w:before="120"/>
              <w:jc w:val="center"/>
              <w:rPr>
                <w:rFonts w:asciiTheme="minorHAnsi" w:hAnsiTheme="minorHAnsi" w:cstheme="minorHAnsi"/>
                <w:sz w:val="22"/>
                <w:szCs w:val="22"/>
                <w:lang w:val="ro-RO"/>
              </w:rPr>
            </w:pPr>
            <w:r w:rsidRPr="00AF3608">
              <w:rPr>
                <w:rFonts w:asciiTheme="minorHAnsi" w:hAnsiTheme="minorHAnsi" w:cstheme="minorHAnsi"/>
                <w:sz w:val="22"/>
                <w:szCs w:val="22"/>
                <w:lang w:val="ro-RO"/>
              </w:rPr>
              <w:t>1.204.200</w:t>
            </w:r>
          </w:p>
        </w:tc>
        <w:tc>
          <w:tcPr>
            <w:tcW w:w="1559" w:type="dxa"/>
            <w:vAlign w:val="center"/>
          </w:tcPr>
          <w:p w:rsidR="00DC6DA8" w:rsidRPr="00AF3608" w:rsidRDefault="00DC6DA8" w:rsidP="00173CDE">
            <w:pPr>
              <w:suppressAutoHyphens/>
              <w:spacing w:before="120"/>
              <w:jc w:val="center"/>
              <w:rPr>
                <w:rFonts w:asciiTheme="minorHAnsi" w:hAnsiTheme="minorHAnsi" w:cstheme="minorHAnsi"/>
                <w:sz w:val="22"/>
                <w:szCs w:val="22"/>
                <w:lang w:val="ro-RO"/>
              </w:rPr>
            </w:pPr>
            <w:r w:rsidRPr="00AF3608">
              <w:rPr>
                <w:rFonts w:asciiTheme="minorHAnsi" w:hAnsiTheme="minorHAnsi" w:cstheme="minorHAnsi"/>
                <w:sz w:val="22"/>
                <w:szCs w:val="22"/>
                <w:lang w:val="ro-RO"/>
              </w:rPr>
              <w:t>1.301.600</w:t>
            </w:r>
          </w:p>
        </w:tc>
      </w:tr>
      <w:tr w:rsidR="00DC6DA8" w:rsidRPr="00AF3608" w:rsidTr="00173CDE">
        <w:trPr>
          <w:trHeight w:val="419"/>
          <w:jc w:val="center"/>
        </w:trPr>
        <w:tc>
          <w:tcPr>
            <w:tcW w:w="9497" w:type="dxa"/>
            <w:gridSpan w:val="6"/>
            <w:shd w:val="clear" w:color="auto" w:fill="auto"/>
            <w:noWrap/>
            <w:vAlign w:val="center"/>
          </w:tcPr>
          <w:p w:rsidR="00DC6DA8" w:rsidRPr="00AF3608" w:rsidRDefault="00DC6DA8" w:rsidP="00173CDE">
            <w:pPr>
              <w:suppressAutoHyphens/>
              <w:spacing w:before="120"/>
              <w:jc w:val="both"/>
              <w:rPr>
                <w:rFonts w:asciiTheme="minorHAnsi" w:hAnsiTheme="minorHAnsi" w:cstheme="minorHAnsi"/>
                <w:sz w:val="16"/>
                <w:szCs w:val="16"/>
                <w:lang w:val="ro-RO"/>
              </w:rPr>
            </w:pPr>
            <w:r w:rsidRPr="00AF3608">
              <w:rPr>
                <w:rFonts w:asciiTheme="minorHAnsi" w:hAnsiTheme="minorHAnsi" w:cstheme="minorHAnsi"/>
                <w:sz w:val="16"/>
                <w:szCs w:val="16"/>
                <w:lang w:val="ro-RO"/>
              </w:rPr>
              <w:t>*) Include toate platile MF in calitate de garant, inclusiv cele din fondul de risc</w:t>
            </w:r>
          </w:p>
          <w:p w:rsidR="00DC6DA8" w:rsidRPr="00AF3608" w:rsidRDefault="00DC6DA8" w:rsidP="00173CDE">
            <w:pPr>
              <w:suppressAutoHyphens/>
              <w:spacing w:before="120"/>
              <w:jc w:val="center"/>
              <w:rPr>
                <w:rFonts w:asciiTheme="minorHAnsi" w:hAnsiTheme="minorHAnsi" w:cstheme="minorHAnsi"/>
                <w:sz w:val="16"/>
                <w:szCs w:val="16"/>
                <w:lang w:val="ro-RO"/>
              </w:rPr>
            </w:pPr>
          </w:p>
        </w:tc>
      </w:tr>
    </w:tbl>
    <w:p w:rsidR="00ED5289" w:rsidRPr="00AF3608" w:rsidRDefault="00ED5289" w:rsidP="00B723C0">
      <w:pPr>
        <w:suppressAutoHyphens/>
        <w:spacing w:before="120"/>
        <w:jc w:val="both"/>
        <w:rPr>
          <w:rFonts w:ascii="Calibri" w:hAnsi="Calibri" w:cs="Calibri"/>
          <w:lang w:val="ro-RO"/>
        </w:rPr>
      </w:pPr>
    </w:p>
    <w:tbl>
      <w:tblPr>
        <w:tblW w:w="0" w:type="auto"/>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831"/>
      </w:tblGrid>
      <w:tr w:rsidR="00ED5289" w:rsidRPr="00AF3608" w:rsidTr="00F94016">
        <w:tc>
          <w:tcPr>
            <w:tcW w:w="9831" w:type="dxa"/>
            <w:shd w:val="clear" w:color="auto" w:fill="F2F2F2" w:themeFill="background1" w:themeFillShade="F2"/>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Riscuri aferente absorbției fondurilor europene nerambursabile</w:t>
            </w:r>
          </w:p>
        </w:tc>
      </w:tr>
    </w:tbl>
    <w:p w:rsidR="00ED5289" w:rsidRPr="00AF3608" w:rsidRDefault="00ED5289" w:rsidP="00B723C0">
      <w:pPr>
        <w:spacing w:before="120"/>
        <w:jc w:val="both"/>
        <w:rPr>
          <w:rFonts w:ascii="Calibri" w:eastAsia="Calibri" w:hAnsi="Calibri" w:cs="Calibri"/>
          <w:b/>
          <w:lang w:val="ro-RO" w:eastAsia="ro-RO"/>
        </w:rPr>
      </w:pPr>
      <w:r w:rsidRPr="00AF3608">
        <w:rPr>
          <w:rFonts w:ascii="Calibri" w:eastAsia="Calibri" w:hAnsi="Calibri" w:cs="Calibri"/>
          <w:b/>
          <w:lang w:val="ro-RO" w:eastAsia="ro-RO"/>
        </w:rPr>
        <w:t>Riscurile care pot interveni în perioada 2020-2021 în implementarea POPAM</w:t>
      </w:r>
    </w:p>
    <w:p w:rsidR="00ED5289" w:rsidRPr="00AF3608" w:rsidRDefault="00ED5289" w:rsidP="003A0B85">
      <w:pPr>
        <w:pStyle w:val="ListParagraph"/>
        <w:numPr>
          <w:ilvl w:val="0"/>
          <w:numId w:val="127"/>
        </w:numPr>
        <w:spacing w:before="120"/>
        <w:jc w:val="both"/>
        <w:rPr>
          <w:rFonts w:ascii="Calibri" w:hAnsi="Calibri" w:cs="Calibri"/>
          <w:lang w:eastAsia="ro-RO"/>
        </w:rPr>
      </w:pPr>
      <w:r w:rsidRPr="00AF3608">
        <w:rPr>
          <w:rFonts w:ascii="Calibri" w:hAnsi="Calibri" w:cs="Calibri"/>
          <w:lang w:eastAsia="ro-RO"/>
        </w:rPr>
        <w:t>lipsa disponibilităților financiare ale solicitanților/ beneficiarilor POPAM;</w:t>
      </w:r>
    </w:p>
    <w:p w:rsidR="00ED5289" w:rsidRPr="00AF3608" w:rsidRDefault="00ED5289" w:rsidP="003A0B85">
      <w:pPr>
        <w:numPr>
          <w:ilvl w:val="0"/>
          <w:numId w:val="127"/>
        </w:numPr>
        <w:spacing w:before="120"/>
        <w:jc w:val="both"/>
        <w:rPr>
          <w:rFonts w:ascii="Calibri" w:eastAsia="Calibri" w:hAnsi="Calibri" w:cs="Calibri"/>
          <w:lang w:val="ro-RO" w:eastAsia="ro-RO"/>
        </w:rPr>
      </w:pPr>
      <w:r w:rsidRPr="00AF3608">
        <w:rPr>
          <w:rFonts w:ascii="Calibri" w:eastAsia="Calibri" w:hAnsi="Calibri" w:cs="Calibri"/>
          <w:lang w:val="ro-RO" w:eastAsia="ro-RO"/>
        </w:rPr>
        <w:t>întârzieri în obținerea de către beneficiari a avizelor, autorizațiilor etc. de la diverse instituții;</w:t>
      </w:r>
    </w:p>
    <w:p w:rsidR="00ED5289" w:rsidRPr="00AF3608" w:rsidRDefault="00ED5289" w:rsidP="003A0B85">
      <w:pPr>
        <w:numPr>
          <w:ilvl w:val="0"/>
          <w:numId w:val="127"/>
        </w:numPr>
        <w:spacing w:before="120"/>
        <w:jc w:val="both"/>
        <w:rPr>
          <w:rFonts w:ascii="Calibri" w:eastAsia="Calibri" w:hAnsi="Calibri" w:cs="Calibri"/>
          <w:lang w:val="ro-RO" w:eastAsia="ro-RO"/>
        </w:rPr>
      </w:pPr>
      <w:r w:rsidRPr="00AF3608">
        <w:rPr>
          <w:rFonts w:ascii="Calibri" w:eastAsia="Calibri" w:hAnsi="Calibri" w:cs="Calibri"/>
          <w:lang w:val="ro-RO" w:eastAsia="ro-RO"/>
        </w:rPr>
        <w:t>neimplementarea proiectelor la timp din cauza restricțiilor impuse de pandemia COVID-19;</w:t>
      </w:r>
    </w:p>
    <w:p w:rsidR="00ED5289" w:rsidRPr="00AF3608" w:rsidRDefault="00ED5289" w:rsidP="003A0B85">
      <w:pPr>
        <w:numPr>
          <w:ilvl w:val="0"/>
          <w:numId w:val="127"/>
        </w:numPr>
        <w:spacing w:before="120"/>
        <w:jc w:val="both"/>
        <w:rPr>
          <w:rFonts w:ascii="Calibri" w:eastAsia="Calibri" w:hAnsi="Calibri" w:cs="Calibri"/>
          <w:lang w:val="ro-RO" w:eastAsia="ro-RO"/>
        </w:rPr>
      </w:pPr>
      <w:r w:rsidRPr="00AF3608">
        <w:rPr>
          <w:rFonts w:ascii="Calibri" w:eastAsia="Calibri" w:hAnsi="Calibri" w:cs="Calibri"/>
          <w:lang w:val="ro-RO" w:eastAsia="ro-RO"/>
        </w:rPr>
        <w:t>inoperabilitatea pe perioade semnificative a sistemului electronic de transmitere a datelor utilizat de DGP-AMPOPAM;</w:t>
      </w:r>
    </w:p>
    <w:p w:rsidR="00ED5289" w:rsidRPr="00AF3608" w:rsidRDefault="00ED5289" w:rsidP="003A0B85">
      <w:pPr>
        <w:numPr>
          <w:ilvl w:val="0"/>
          <w:numId w:val="127"/>
        </w:numPr>
        <w:spacing w:before="120"/>
        <w:jc w:val="both"/>
        <w:rPr>
          <w:rFonts w:ascii="Calibri" w:eastAsia="Calibri" w:hAnsi="Calibri" w:cs="Calibri"/>
          <w:lang w:val="ro-RO" w:eastAsia="ro-RO"/>
        </w:rPr>
      </w:pPr>
      <w:r w:rsidRPr="00AF3608">
        <w:rPr>
          <w:rFonts w:ascii="Calibri" w:eastAsia="Calibri" w:hAnsi="Calibri" w:cs="Calibri"/>
          <w:lang w:val="ro-RO" w:eastAsia="ro-RO"/>
        </w:rPr>
        <w:t>interesul scăzut al autorităților publice locale pentru infrastructura portuară de pescuit, din cauza faptului că se poate finanța numai modernizarea infrastructurii existente, nu şi crearea de noi porturi de pescuit, locuri de debarcare sau centre de licitații deși sprijinul financiar pentru autorități publice este de 100%;</w:t>
      </w:r>
    </w:p>
    <w:p w:rsidR="00ED5289" w:rsidRPr="00AF3608" w:rsidRDefault="00ED5289" w:rsidP="003A0B85">
      <w:pPr>
        <w:numPr>
          <w:ilvl w:val="0"/>
          <w:numId w:val="127"/>
        </w:numPr>
        <w:spacing w:before="120"/>
        <w:jc w:val="both"/>
        <w:rPr>
          <w:rFonts w:ascii="Calibri" w:eastAsia="Calibri" w:hAnsi="Calibri" w:cs="Calibri"/>
          <w:lang w:val="ro-RO" w:eastAsia="ro-RO"/>
        </w:rPr>
      </w:pPr>
      <w:r w:rsidRPr="00AF3608">
        <w:rPr>
          <w:rFonts w:ascii="Calibri" w:eastAsia="Calibri" w:hAnsi="Calibri" w:cs="Calibri"/>
          <w:lang w:val="ro-RO" w:eastAsia="ro-RO"/>
        </w:rPr>
        <w:t>dificultăți ale beneficiarilor în operarea datelor în MySMIS 2014;</w:t>
      </w:r>
    </w:p>
    <w:p w:rsidR="00ED5289" w:rsidRPr="00AF3608" w:rsidRDefault="00ED5289" w:rsidP="003A0B85">
      <w:pPr>
        <w:numPr>
          <w:ilvl w:val="0"/>
          <w:numId w:val="127"/>
        </w:numPr>
        <w:spacing w:before="120"/>
        <w:jc w:val="both"/>
        <w:rPr>
          <w:rFonts w:ascii="Calibri" w:eastAsia="Calibri" w:hAnsi="Calibri" w:cs="Calibri"/>
          <w:lang w:val="ro-RO" w:eastAsia="ro-RO"/>
        </w:rPr>
      </w:pPr>
      <w:r w:rsidRPr="00AF3608">
        <w:rPr>
          <w:rFonts w:ascii="Calibri" w:eastAsia="Calibri" w:hAnsi="Calibri" w:cs="Calibri"/>
          <w:lang w:val="ro-RO" w:eastAsia="ro-RO"/>
        </w:rPr>
        <w:t>disfuncționalități temporare ale sistemelor informatice MySMIS 2014, SMIS2014 ș.a.</w:t>
      </w:r>
    </w:p>
    <w:p w:rsidR="00ED5289" w:rsidRPr="00AF3608" w:rsidRDefault="00ED5289" w:rsidP="003A0B85">
      <w:pPr>
        <w:numPr>
          <w:ilvl w:val="0"/>
          <w:numId w:val="127"/>
        </w:numPr>
        <w:spacing w:before="120"/>
        <w:jc w:val="both"/>
        <w:rPr>
          <w:rFonts w:ascii="Calibri" w:eastAsia="Calibri" w:hAnsi="Calibri" w:cs="Calibri"/>
          <w:lang w:val="ro-RO" w:eastAsia="ro-RO"/>
        </w:rPr>
      </w:pPr>
      <w:r w:rsidRPr="00AF3608">
        <w:rPr>
          <w:rFonts w:ascii="Calibri" w:eastAsia="Calibri" w:hAnsi="Calibri" w:cs="Calibri"/>
          <w:lang w:val="ro-RO" w:eastAsia="ro-RO"/>
        </w:rPr>
        <w:lastRenderedPageBreak/>
        <w:t xml:space="preserve">întârzierea/lipsa aprobării CE a modificării țintelor/operațiunilor sau realocărilor bugetare POPAM; </w:t>
      </w:r>
    </w:p>
    <w:p w:rsidR="00ED5289" w:rsidRPr="00AF3608" w:rsidRDefault="00ED5289" w:rsidP="003A0B85">
      <w:pPr>
        <w:numPr>
          <w:ilvl w:val="0"/>
          <w:numId w:val="127"/>
        </w:numPr>
        <w:spacing w:before="120"/>
        <w:jc w:val="both"/>
        <w:rPr>
          <w:rFonts w:ascii="Calibri" w:eastAsia="Calibri" w:hAnsi="Calibri" w:cs="Calibri"/>
          <w:lang w:val="ro-RO" w:eastAsia="ro-RO"/>
        </w:rPr>
      </w:pPr>
      <w:r w:rsidRPr="00AF3608">
        <w:rPr>
          <w:rFonts w:ascii="Calibri" w:eastAsia="Calibri" w:hAnsi="Calibri" w:cs="Calibri"/>
          <w:lang w:val="ro-RO" w:eastAsia="ro-RO"/>
        </w:rPr>
        <w:t>modificări frecvente ale cadrului legislativ și instituțional;</w:t>
      </w:r>
    </w:p>
    <w:p w:rsidR="00ED5289" w:rsidRPr="00AF3608" w:rsidRDefault="00ED5289" w:rsidP="003A0B85">
      <w:pPr>
        <w:numPr>
          <w:ilvl w:val="0"/>
          <w:numId w:val="127"/>
        </w:numPr>
        <w:spacing w:before="120"/>
        <w:jc w:val="both"/>
        <w:rPr>
          <w:rFonts w:ascii="Calibri" w:eastAsia="Calibri" w:hAnsi="Calibri" w:cs="Calibri"/>
          <w:lang w:val="ro-RO" w:eastAsia="ro-RO"/>
        </w:rPr>
      </w:pPr>
      <w:r w:rsidRPr="00AF3608">
        <w:rPr>
          <w:rFonts w:ascii="Calibri" w:eastAsia="Calibri" w:hAnsi="Calibri" w:cs="Calibri"/>
          <w:lang w:val="ro-RO" w:eastAsia="ro-RO"/>
        </w:rPr>
        <w:t>birocrația excesivă.</w:t>
      </w:r>
    </w:p>
    <w:p w:rsidR="00ED5289" w:rsidRPr="00AF3608" w:rsidRDefault="00ED5289" w:rsidP="00B723C0">
      <w:pPr>
        <w:suppressAutoHyphens/>
        <w:spacing w:before="120"/>
        <w:jc w:val="both"/>
        <w:rPr>
          <w:rFonts w:ascii="Calibri" w:hAnsi="Calibri" w:cs="Calibri"/>
          <w:lang w:val="ro-RO"/>
        </w:rPr>
      </w:pPr>
    </w:p>
    <w:tbl>
      <w:tblPr>
        <w:tblW w:w="0" w:type="auto"/>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831"/>
      </w:tblGrid>
      <w:tr w:rsidR="00964048" w:rsidRPr="00AF3608" w:rsidTr="00F94016">
        <w:trPr>
          <w:trHeight w:val="397"/>
        </w:trPr>
        <w:tc>
          <w:tcPr>
            <w:tcW w:w="9831" w:type="dxa"/>
            <w:shd w:val="clear" w:color="auto" w:fill="F2F2F2" w:themeFill="background1" w:themeFillShade="F2"/>
            <w:vAlign w:val="center"/>
          </w:tcPr>
          <w:p w:rsidR="00ED5289" w:rsidRPr="00AF3608" w:rsidRDefault="00ED5289" w:rsidP="00B723C0">
            <w:pPr>
              <w:suppressAutoHyphens/>
              <w:spacing w:before="120"/>
              <w:jc w:val="both"/>
              <w:rPr>
                <w:rFonts w:ascii="Calibri" w:hAnsi="Calibri" w:cs="Calibri"/>
                <w:b/>
                <w:i/>
                <w:lang w:val="ro-RO"/>
              </w:rPr>
            </w:pPr>
            <w:r w:rsidRPr="00AF3608">
              <w:rPr>
                <w:rFonts w:ascii="Calibri" w:hAnsi="Calibri" w:cs="Calibri"/>
                <w:b/>
                <w:i/>
                <w:lang w:val="ro-RO"/>
              </w:rPr>
              <w:t>Riscuri asociate sectorului companiilor de stat</w:t>
            </w:r>
          </w:p>
        </w:tc>
      </w:tr>
    </w:tbl>
    <w:p w:rsidR="00ED5289" w:rsidRPr="00AF3608" w:rsidRDefault="00ED5289" w:rsidP="00B723C0">
      <w:pPr>
        <w:spacing w:before="120"/>
        <w:jc w:val="both"/>
        <w:rPr>
          <w:rFonts w:ascii="Calibri" w:eastAsia="Calibri" w:hAnsi="Calibri" w:cs="Calibri"/>
          <w:szCs w:val="22"/>
          <w:lang w:val="ro-RO"/>
        </w:rPr>
      </w:pPr>
      <w:r w:rsidRPr="00AF3608">
        <w:rPr>
          <w:rFonts w:ascii="Calibri" w:eastAsia="Calibri" w:hAnsi="Calibri" w:cs="Calibri"/>
          <w:szCs w:val="22"/>
          <w:lang w:val="ro-RO"/>
        </w:rPr>
        <w:t xml:space="preserve">Prezentele date au fost obţinute pe baza situaţiilor financiare pentru anul 2019, depuse până la data de 02.12.2020 la Ministerul Finanţelor de întreprinderile publice de subordonare centrală şi locală, furnizate de </w:t>
      </w:r>
      <w:r w:rsidRPr="00AF3608">
        <w:rPr>
          <w:rFonts w:ascii="Calibri" w:eastAsia="Calibri" w:hAnsi="Calibri" w:cs="Calibri"/>
          <w:bCs/>
          <w:szCs w:val="22"/>
          <w:lang w:val="ro-RO" w:eastAsia="ro-RO"/>
        </w:rPr>
        <w:t>CENTRUL NAȚIONAL PENTRU INFORMAȚII FINANCIARE</w:t>
      </w:r>
      <w:r w:rsidRPr="00AF3608">
        <w:rPr>
          <w:rFonts w:ascii="Calibri" w:eastAsia="Calibri" w:hAnsi="Calibri" w:cs="Calibri"/>
          <w:szCs w:val="22"/>
          <w:lang w:val="ro-RO"/>
        </w:rPr>
        <w:t>.</w:t>
      </w:r>
    </w:p>
    <w:p w:rsidR="00ED5289" w:rsidRPr="00AF3608" w:rsidRDefault="00ED5289" w:rsidP="003A0B85">
      <w:pPr>
        <w:numPr>
          <w:ilvl w:val="0"/>
          <w:numId w:val="131"/>
        </w:numPr>
        <w:spacing w:before="120"/>
        <w:ind w:left="426" w:hanging="426"/>
        <w:jc w:val="both"/>
        <w:rPr>
          <w:rFonts w:ascii="Calibri" w:hAnsi="Calibri" w:cs="Calibri"/>
          <w:b/>
          <w:lang w:val="ro-RO"/>
        </w:rPr>
      </w:pPr>
      <w:r w:rsidRPr="00AF3608">
        <w:rPr>
          <w:rFonts w:ascii="Calibri" w:hAnsi="Calibri" w:cs="Calibri"/>
          <w:b/>
          <w:u w:val="single"/>
          <w:lang w:val="ro-RO"/>
        </w:rPr>
        <w:t>Numărul întreprinderilor publice nefinanciare (operatori economici) care au depus situații financiare</w:t>
      </w:r>
      <w:r w:rsidRPr="00AF3608">
        <w:rPr>
          <w:rFonts w:ascii="Calibri" w:hAnsi="Calibri" w:cs="Calibri"/>
          <w:b/>
          <w:lang w:val="ro-RO"/>
        </w:rPr>
        <w:t xml:space="preserve"> – total 1495</w:t>
      </w:r>
    </w:p>
    <w:p w:rsidR="00ED5289" w:rsidRPr="00AF3608" w:rsidRDefault="00ED5289" w:rsidP="00B723C0">
      <w:pPr>
        <w:spacing w:before="120"/>
        <w:ind w:firstLine="720"/>
        <w:jc w:val="both"/>
        <w:rPr>
          <w:rFonts w:ascii="Calibri" w:hAnsi="Calibri" w:cs="Calibri"/>
          <w:lang w:val="ro-RO"/>
        </w:rPr>
      </w:pPr>
      <w:r w:rsidRPr="00AF3608">
        <w:rPr>
          <w:rFonts w:ascii="Calibri" w:hAnsi="Calibri" w:cs="Calibri"/>
          <w:lang w:val="ro-RO"/>
        </w:rPr>
        <w:t>Întreprindele publice au fost grupate astfel:</w:t>
      </w:r>
    </w:p>
    <w:p w:rsidR="00690B25" w:rsidRPr="00AF3608" w:rsidRDefault="00ED5289" w:rsidP="003A0B85">
      <w:pPr>
        <w:numPr>
          <w:ilvl w:val="0"/>
          <w:numId w:val="130"/>
        </w:numPr>
        <w:spacing w:before="120"/>
        <w:jc w:val="both"/>
        <w:rPr>
          <w:rFonts w:ascii="Calibri" w:hAnsi="Calibri" w:cs="Calibri"/>
          <w:lang w:val="ro-RO"/>
        </w:rPr>
      </w:pPr>
      <w:r w:rsidRPr="00AF3608">
        <w:rPr>
          <w:rFonts w:ascii="Calibri" w:hAnsi="Calibri" w:cs="Calibri"/>
          <w:lang w:val="ro-RO"/>
        </w:rPr>
        <w:t xml:space="preserve">- </w:t>
      </w:r>
      <w:r w:rsidRPr="00AF3608">
        <w:rPr>
          <w:rFonts w:ascii="Calibri" w:hAnsi="Calibri" w:cs="Calibri"/>
          <w:b/>
          <w:lang w:val="ro-RO"/>
        </w:rPr>
        <w:t>307</w:t>
      </w:r>
      <w:r w:rsidRPr="00AF3608">
        <w:rPr>
          <w:rFonts w:ascii="Calibri" w:hAnsi="Calibri" w:cs="Calibri"/>
          <w:lang w:val="ro-RO"/>
        </w:rPr>
        <w:t xml:space="preserve"> întreprinderi publice de </w:t>
      </w:r>
      <w:r w:rsidRPr="00AF3608">
        <w:rPr>
          <w:rFonts w:ascii="Calibri" w:hAnsi="Calibri" w:cs="Calibri"/>
          <w:b/>
          <w:lang w:val="ro-RO"/>
        </w:rPr>
        <w:t>subordonare centrală</w:t>
      </w:r>
      <w:r w:rsidRPr="00AF3608">
        <w:rPr>
          <w:rFonts w:ascii="Calibri" w:hAnsi="Calibri" w:cs="Calibri"/>
          <w:lang w:val="ro-RO"/>
        </w:rPr>
        <w:t>. Dintre acestea</w:t>
      </w:r>
    </w:p>
    <w:p w:rsidR="00690B25" w:rsidRPr="00AF3608" w:rsidRDefault="00690B25" w:rsidP="003A0B85">
      <w:pPr>
        <w:numPr>
          <w:ilvl w:val="1"/>
          <w:numId w:val="130"/>
        </w:numPr>
        <w:spacing w:before="120"/>
        <w:jc w:val="both"/>
        <w:rPr>
          <w:rFonts w:ascii="Calibri" w:hAnsi="Calibri" w:cs="Calibri"/>
          <w:lang w:val="ro-RO"/>
        </w:rPr>
      </w:pPr>
      <w:r w:rsidRPr="00AF3608">
        <w:rPr>
          <w:rFonts w:ascii="Calibri" w:hAnsi="Calibri" w:cs="Calibri"/>
          <w:lang w:val="ro-RO"/>
        </w:rPr>
        <w:t xml:space="preserve"> </w:t>
      </w:r>
      <w:r w:rsidR="00ED5289" w:rsidRPr="00AF3608">
        <w:rPr>
          <w:rFonts w:ascii="Calibri" w:hAnsi="Calibri" w:cs="Calibri"/>
          <w:lang w:val="ro-RO"/>
        </w:rPr>
        <w:t xml:space="preserve">213 întreprinderi publice </w:t>
      </w:r>
      <w:r w:rsidR="00ED5289" w:rsidRPr="00AF3608">
        <w:rPr>
          <w:rFonts w:ascii="Calibri" w:hAnsi="Calibri" w:cs="Calibri"/>
          <w:u w:val="single"/>
          <w:lang w:val="ro-RO"/>
        </w:rPr>
        <w:t>au fost active</w:t>
      </w:r>
      <w:r w:rsidR="00ED5289" w:rsidRPr="00AF3608">
        <w:rPr>
          <w:rFonts w:ascii="Calibri" w:hAnsi="Calibri" w:cs="Calibri"/>
          <w:lang w:val="ro-RO"/>
        </w:rPr>
        <w:t xml:space="preserve"> și </w:t>
      </w:r>
    </w:p>
    <w:p w:rsidR="00ED5289" w:rsidRPr="00AF3608" w:rsidRDefault="00690B25" w:rsidP="003A0B85">
      <w:pPr>
        <w:numPr>
          <w:ilvl w:val="1"/>
          <w:numId w:val="130"/>
        </w:numPr>
        <w:spacing w:before="120"/>
        <w:jc w:val="both"/>
        <w:rPr>
          <w:rFonts w:ascii="Calibri" w:hAnsi="Calibri" w:cs="Calibri"/>
          <w:lang w:val="ro-RO"/>
        </w:rPr>
      </w:pPr>
      <w:r w:rsidRPr="00AF3608">
        <w:rPr>
          <w:rFonts w:ascii="Calibri" w:hAnsi="Calibri" w:cs="Calibri"/>
          <w:lang w:val="ro-RO"/>
        </w:rPr>
        <w:t xml:space="preserve"> </w:t>
      </w:r>
      <w:r w:rsidR="00ED5289" w:rsidRPr="00AF3608">
        <w:rPr>
          <w:rFonts w:ascii="Calibri" w:hAnsi="Calibri" w:cs="Calibri"/>
          <w:lang w:val="ro-RO"/>
        </w:rPr>
        <w:t xml:space="preserve">94 întreprinderi publice </w:t>
      </w:r>
      <w:r w:rsidR="00ED5289" w:rsidRPr="00AF3608">
        <w:rPr>
          <w:rFonts w:ascii="Calibri" w:hAnsi="Calibri" w:cs="Calibri"/>
          <w:u w:val="single"/>
          <w:lang w:val="ro-RO"/>
        </w:rPr>
        <w:t>aflate în diverse stadii de insolvență, faliment, reorganizare judiciară, dizolvare, conform Legii 85/2014, cu modificările și completările ulterioare</w:t>
      </w:r>
      <w:r w:rsidR="00ED5289" w:rsidRPr="00AF3608">
        <w:rPr>
          <w:rFonts w:ascii="Calibri" w:hAnsi="Calibri" w:cs="Calibri"/>
          <w:lang w:val="ro-RO"/>
        </w:rPr>
        <w:t xml:space="preserve">; </w:t>
      </w:r>
    </w:p>
    <w:p w:rsidR="00690B25" w:rsidRPr="00AF3608" w:rsidRDefault="00ED5289" w:rsidP="003A0B85">
      <w:pPr>
        <w:numPr>
          <w:ilvl w:val="0"/>
          <w:numId w:val="129"/>
        </w:numPr>
        <w:spacing w:before="120"/>
        <w:jc w:val="both"/>
        <w:rPr>
          <w:rFonts w:ascii="Calibri" w:hAnsi="Calibri" w:cs="Calibri"/>
          <w:lang w:val="ro-RO"/>
        </w:rPr>
      </w:pPr>
      <w:r w:rsidRPr="00AF3608">
        <w:rPr>
          <w:rFonts w:ascii="Calibri" w:hAnsi="Calibri" w:cs="Calibri"/>
          <w:b/>
          <w:lang w:val="ro-RO"/>
        </w:rPr>
        <w:t>1188</w:t>
      </w:r>
      <w:r w:rsidRPr="00AF3608">
        <w:rPr>
          <w:rFonts w:ascii="Calibri" w:hAnsi="Calibri" w:cs="Calibri"/>
          <w:lang w:val="ro-RO"/>
        </w:rPr>
        <w:t xml:space="preserve"> întreprinderi publice de </w:t>
      </w:r>
      <w:r w:rsidRPr="00AF3608">
        <w:rPr>
          <w:rFonts w:ascii="Calibri" w:hAnsi="Calibri" w:cs="Calibri"/>
          <w:b/>
          <w:lang w:val="ro-RO"/>
        </w:rPr>
        <w:t>subordonare locală</w:t>
      </w:r>
      <w:r w:rsidRPr="00AF3608">
        <w:rPr>
          <w:rFonts w:ascii="Calibri" w:hAnsi="Calibri" w:cs="Calibri"/>
          <w:lang w:val="ro-RO"/>
        </w:rPr>
        <w:t xml:space="preserve">. Dintre acestea, </w:t>
      </w:r>
    </w:p>
    <w:p w:rsidR="00690B25" w:rsidRPr="00AF3608" w:rsidRDefault="00ED5289" w:rsidP="003A0B85">
      <w:pPr>
        <w:numPr>
          <w:ilvl w:val="1"/>
          <w:numId w:val="129"/>
        </w:numPr>
        <w:spacing w:before="120"/>
        <w:jc w:val="both"/>
        <w:rPr>
          <w:rFonts w:ascii="Calibri" w:hAnsi="Calibri" w:cs="Calibri"/>
          <w:lang w:val="ro-RO"/>
        </w:rPr>
      </w:pPr>
      <w:r w:rsidRPr="00AF3608">
        <w:rPr>
          <w:rFonts w:ascii="Calibri" w:hAnsi="Calibri" w:cs="Calibri"/>
          <w:lang w:val="ro-RO"/>
        </w:rPr>
        <w:t xml:space="preserve">1074 întreprinderi publice </w:t>
      </w:r>
      <w:r w:rsidRPr="00AF3608">
        <w:rPr>
          <w:rFonts w:ascii="Calibri" w:hAnsi="Calibri" w:cs="Calibri"/>
          <w:u w:val="single"/>
          <w:lang w:val="ro-RO"/>
        </w:rPr>
        <w:t>au fost active</w:t>
      </w:r>
      <w:r w:rsidRPr="00AF3608">
        <w:rPr>
          <w:rFonts w:ascii="Calibri" w:hAnsi="Calibri" w:cs="Calibri"/>
          <w:lang w:val="ro-RO"/>
        </w:rPr>
        <w:t xml:space="preserve"> și </w:t>
      </w:r>
    </w:p>
    <w:p w:rsidR="00ED5289" w:rsidRPr="00AF3608" w:rsidRDefault="00ED5289" w:rsidP="003A0B85">
      <w:pPr>
        <w:numPr>
          <w:ilvl w:val="1"/>
          <w:numId w:val="129"/>
        </w:numPr>
        <w:spacing w:before="120"/>
        <w:jc w:val="both"/>
        <w:rPr>
          <w:rFonts w:ascii="Calibri" w:hAnsi="Calibri" w:cs="Calibri"/>
          <w:lang w:val="ro-RO"/>
        </w:rPr>
      </w:pPr>
      <w:r w:rsidRPr="00AF3608">
        <w:rPr>
          <w:rFonts w:ascii="Calibri" w:hAnsi="Calibri" w:cs="Calibri"/>
          <w:lang w:val="ro-RO"/>
        </w:rPr>
        <w:t xml:space="preserve">114 întreprinderi publice </w:t>
      </w:r>
      <w:r w:rsidRPr="00AF3608">
        <w:rPr>
          <w:rFonts w:ascii="Calibri" w:hAnsi="Calibri" w:cs="Calibri"/>
          <w:u w:val="single"/>
          <w:lang w:val="ro-RO"/>
        </w:rPr>
        <w:t>aflate în diverse stadii de insolvență, faliment, reorganizare judiciară, dizolvare, conform Legii 85/2014, cu modificările și completările ulterioare</w:t>
      </w:r>
      <w:r w:rsidRPr="00AF3608">
        <w:rPr>
          <w:rFonts w:ascii="Calibri" w:hAnsi="Calibri" w:cs="Calibri"/>
          <w:lang w:val="ro-RO"/>
        </w:rPr>
        <w:t xml:space="preserve">; </w:t>
      </w:r>
    </w:p>
    <w:p w:rsidR="00ED5289" w:rsidRPr="00AF3608" w:rsidRDefault="00ED5289" w:rsidP="003A0B85">
      <w:pPr>
        <w:numPr>
          <w:ilvl w:val="0"/>
          <w:numId w:val="131"/>
        </w:numPr>
        <w:spacing w:before="120"/>
        <w:ind w:left="0" w:firstLine="0"/>
        <w:jc w:val="both"/>
        <w:rPr>
          <w:rFonts w:ascii="Calibri" w:hAnsi="Calibri" w:cs="Calibri"/>
          <w:b/>
          <w:u w:val="single"/>
          <w:lang w:val="ro-RO"/>
        </w:rPr>
      </w:pPr>
      <w:r w:rsidRPr="00AF3608">
        <w:rPr>
          <w:rFonts w:ascii="Calibri" w:hAnsi="Calibri" w:cs="Calibri"/>
          <w:b/>
          <w:lang w:val="ro-RO"/>
        </w:rPr>
        <w:t>Principalii indicatori economico-financiari raportați de</w:t>
      </w:r>
      <w:r w:rsidRPr="00AF3608">
        <w:rPr>
          <w:rFonts w:ascii="Calibri" w:hAnsi="Calibri" w:cs="Calibri"/>
          <w:b/>
          <w:u w:val="single"/>
          <w:lang w:val="ro-RO"/>
        </w:rPr>
        <w:t xml:space="preserve"> întreprinderile publice nefinanciare (operatori economici) </w:t>
      </w:r>
    </w:p>
    <w:p w:rsidR="00ED5289" w:rsidRPr="00AF3608" w:rsidRDefault="00ED5289" w:rsidP="00B723C0">
      <w:pPr>
        <w:spacing w:before="120"/>
        <w:ind w:firstLine="720"/>
        <w:jc w:val="both"/>
        <w:rPr>
          <w:rFonts w:ascii="Calibri" w:hAnsi="Calibri" w:cs="Calibri"/>
          <w:lang w:val="ro-RO"/>
        </w:rPr>
      </w:pPr>
      <w:r w:rsidRPr="00AF3608">
        <w:rPr>
          <w:rFonts w:ascii="Calibri" w:hAnsi="Calibri" w:cs="Calibri"/>
          <w:b/>
          <w:lang w:val="ro-RO"/>
        </w:rPr>
        <w:t>1. Capitalul propriu</w:t>
      </w:r>
      <w:r w:rsidRPr="00AF3608">
        <w:rPr>
          <w:rFonts w:ascii="Calibri" w:hAnsi="Calibri" w:cs="Calibri"/>
          <w:lang w:val="ro-RO"/>
        </w:rPr>
        <w:t xml:space="preserve"> al întreprinderilor publice nefinanciare a fost în sumă totală de </w:t>
      </w:r>
      <w:r w:rsidRPr="00AF3608">
        <w:rPr>
          <w:rFonts w:ascii="Calibri" w:hAnsi="Calibri" w:cs="Calibri"/>
          <w:u w:val="single"/>
          <w:lang w:val="ro-RO"/>
        </w:rPr>
        <w:t>54,58 mld lei</w:t>
      </w:r>
      <w:r w:rsidRPr="00AF3608">
        <w:rPr>
          <w:rFonts w:ascii="Calibri" w:hAnsi="Calibri" w:cs="Calibri"/>
          <w:lang w:val="ro-RO"/>
        </w:rPr>
        <w:t xml:space="preserve"> și reprezintă 5,15% din Produsul Intern Brut (P.I.B.) din care capitalul propriu al întreprinderilor publice de</w:t>
      </w:r>
      <w:r w:rsidRPr="00AF3608">
        <w:rPr>
          <w:rFonts w:ascii="Calibri" w:hAnsi="Calibri" w:cs="Calibri"/>
          <w:u w:val="single"/>
          <w:lang w:val="ro-RO"/>
        </w:rPr>
        <w:t xml:space="preserve"> subordonare centrală</w:t>
      </w:r>
      <w:r w:rsidRPr="00AF3608">
        <w:rPr>
          <w:rFonts w:ascii="Calibri" w:hAnsi="Calibri" w:cs="Calibri"/>
          <w:lang w:val="ro-RO"/>
        </w:rPr>
        <w:t xml:space="preserve"> a fost în sumă de </w:t>
      </w:r>
      <w:r w:rsidRPr="00AF3608">
        <w:rPr>
          <w:rFonts w:ascii="Calibri" w:hAnsi="Calibri" w:cs="Calibri"/>
          <w:u w:val="single"/>
          <w:lang w:val="ro-RO"/>
        </w:rPr>
        <w:t>53,98 mld lei</w:t>
      </w:r>
      <w:r w:rsidRPr="00AF3608">
        <w:rPr>
          <w:rFonts w:ascii="Calibri" w:hAnsi="Calibri" w:cs="Calibri"/>
          <w:lang w:val="ro-RO"/>
        </w:rPr>
        <w:t xml:space="preserve"> și reprezintă 5,09 % din P.I.B. iar capitalul propriu al întreprinderilor publice de</w:t>
      </w:r>
      <w:r w:rsidRPr="00AF3608">
        <w:rPr>
          <w:rFonts w:ascii="Calibri" w:hAnsi="Calibri" w:cs="Calibri"/>
          <w:u w:val="single"/>
          <w:lang w:val="ro-RO"/>
        </w:rPr>
        <w:t xml:space="preserve"> subordonare locală</w:t>
      </w:r>
      <w:r w:rsidRPr="00AF3608">
        <w:rPr>
          <w:rFonts w:ascii="Calibri" w:hAnsi="Calibri" w:cs="Calibri"/>
          <w:lang w:val="ro-RO"/>
        </w:rPr>
        <w:t xml:space="preserve"> a fost în sumă de 0,60 mld lei;</w:t>
      </w:r>
    </w:p>
    <w:p w:rsidR="00ED5289" w:rsidRPr="00AF3608" w:rsidRDefault="00ED5289" w:rsidP="00B723C0">
      <w:pPr>
        <w:spacing w:before="120"/>
        <w:ind w:firstLine="720"/>
        <w:jc w:val="both"/>
        <w:rPr>
          <w:rFonts w:ascii="Calibri" w:hAnsi="Calibri" w:cs="Calibri"/>
          <w:u w:val="single"/>
          <w:lang w:val="ro-RO"/>
        </w:rPr>
      </w:pPr>
      <w:r w:rsidRPr="00AF3608">
        <w:rPr>
          <w:rFonts w:ascii="Calibri" w:hAnsi="Calibri" w:cs="Calibri"/>
          <w:b/>
          <w:lang w:val="ro-RO"/>
        </w:rPr>
        <w:t>2. Activele totale</w:t>
      </w:r>
      <w:r w:rsidRPr="00AF3608">
        <w:rPr>
          <w:rFonts w:ascii="Calibri" w:hAnsi="Calibri" w:cs="Calibri"/>
          <w:lang w:val="ro-RO"/>
        </w:rPr>
        <w:t xml:space="preserve"> ale întreprinderilor publice nefinanciare au fost în sumă totală de </w:t>
      </w:r>
      <w:r w:rsidRPr="00AF3608">
        <w:rPr>
          <w:rFonts w:ascii="Calibri" w:hAnsi="Calibri" w:cs="Calibri"/>
          <w:u w:val="single"/>
          <w:lang w:val="ro-RO"/>
        </w:rPr>
        <w:t>247,40 mld lei</w:t>
      </w:r>
      <w:r w:rsidRPr="00AF3608">
        <w:rPr>
          <w:rFonts w:ascii="Calibri" w:hAnsi="Calibri" w:cs="Calibri"/>
          <w:lang w:val="ro-RO"/>
        </w:rPr>
        <w:t xml:space="preserve"> din care activele totale ale întreprinderilor publice de </w:t>
      </w:r>
      <w:r w:rsidRPr="00AF3608">
        <w:rPr>
          <w:rFonts w:ascii="Calibri" w:hAnsi="Calibri" w:cs="Calibri"/>
          <w:u w:val="single"/>
          <w:lang w:val="ro-RO"/>
        </w:rPr>
        <w:t>subordonare centrală</w:t>
      </w:r>
      <w:r w:rsidRPr="00AF3608">
        <w:rPr>
          <w:rFonts w:ascii="Calibri" w:hAnsi="Calibri" w:cs="Calibri"/>
          <w:lang w:val="ro-RO"/>
        </w:rPr>
        <w:t xml:space="preserve"> au fost în sumă de </w:t>
      </w:r>
      <w:r w:rsidRPr="00AF3608">
        <w:rPr>
          <w:rFonts w:ascii="Calibri" w:hAnsi="Calibri" w:cs="Calibri"/>
          <w:u w:val="single"/>
          <w:lang w:val="ro-RO"/>
        </w:rPr>
        <w:t>219,74 mld lei</w:t>
      </w:r>
      <w:r w:rsidRPr="00AF3608">
        <w:rPr>
          <w:rFonts w:ascii="Calibri" w:hAnsi="Calibri" w:cs="Calibri"/>
          <w:lang w:val="ro-RO"/>
        </w:rPr>
        <w:t xml:space="preserve">, iar activele totale ale întreprinderilor publice de </w:t>
      </w:r>
      <w:r w:rsidRPr="00AF3608">
        <w:rPr>
          <w:rFonts w:ascii="Calibri" w:hAnsi="Calibri" w:cs="Calibri"/>
          <w:u w:val="single"/>
          <w:lang w:val="ro-RO"/>
        </w:rPr>
        <w:t>subordonare locală</w:t>
      </w:r>
      <w:r w:rsidRPr="00AF3608">
        <w:rPr>
          <w:rFonts w:ascii="Calibri" w:hAnsi="Calibri" w:cs="Calibri"/>
          <w:lang w:val="ro-RO"/>
        </w:rPr>
        <w:t xml:space="preserve"> au fost în sumă de </w:t>
      </w:r>
      <w:r w:rsidRPr="00AF3608">
        <w:rPr>
          <w:rFonts w:ascii="Calibri" w:hAnsi="Calibri" w:cs="Calibri"/>
          <w:u w:val="single"/>
          <w:lang w:val="ro-RO"/>
        </w:rPr>
        <w:t>27,66 mld lei.</w:t>
      </w:r>
    </w:p>
    <w:p w:rsidR="00ED5289" w:rsidRPr="00AF3608" w:rsidRDefault="00ED5289" w:rsidP="00B723C0">
      <w:pPr>
        <w:spacing w:before="120"/>
        <w:ind w:firstLine="720"/>
        <w:jc w:val="both"/>
        <w:rPr>
          <w:rFonts w:ascii="Calibri" w:hAnsi="Calibri" w:cs="Calibri"/>
          <w:u w:val="single"/>
          <w:lang w:val="ro-RO"/>
        </w:rPr>
      </w:pPr>
      <w:r w:rsidRPr="00AF3608">
        <w:rPr>
          <w:rFonts w:ascii="Calibri" w:hAnsi="Calibri" w:cs="Calibri"/>
          <w:b/>
          <w:lang w:val="ro-RO"/>
        </w:rPr>
        <w:t>3. Datoriile totale</w:t>
      </w:r>
      <w:r w:rsidRPr="00AF3608">
        <w:rPr>
          <w:rFonts w:ascii="Calibri" w:hAnsi="Calibri" w:cs="Calibri"/>
          <w:lang w:val="ro-RO"/>
        </w:rPr>
        <w:t xml:space="preserve"> (sume ce trebuie plătite într-o perioadă de până la 1 an și peste 1 an) ale întreprinderilor publice nefinanciare au fost în sumă totală de </w:t>
      </w:r>
      <w:r w:rsidRPr="00AF3608">
        <w:rPr>
          <w:rFonts w:ascii="Calibri" w:hAnsi="Calibri" w:cs="Calibri"/>
          <w:u w:val="single"/>
          <w:lang w:val="ro-RO"/>
        </w:rPr>
        <w:t>127,57 mld lei</w:t>
      </w:r>
      <w:r w:rsidRPr="00AF3608">
        <w:rPr>
          <w:rFonts w:ascii="Calibri" w:hAnsi="Calibri" w:cs="Calibri"/>
          <w:lang w:val="ro-RO"/>
        </w:rPr>
        <w:t xml:space="preserve"> din care datoriile totale ale întreprinderilor publice de </w:t>
      </w:r>
      <w:r w:rsidRPr="00AF3608">
        <w:rPr>
          <w:rFonts w:ascii="Calibri" w:hAnsi="Calibri" w:cs="Calibri"/>
          <w:u w:val="single"/>
          <w:lang w:val="ro-RO"/>
        </w:rPr>
        <w:t>subordonare centrală</w:t>
      </w:r>
      <w:r w:rsidRPr="00AF3608">
        <w:rPr>
          <w:rFonts w:ascii="Calibri" w:hAnsi="Calibri" w:cs="Calibri"/>
          <w:lang w:val="ro-RO"/>
        </w:rPr>
        <w:t xml:space="preserve"> au fost în sumă de </w:t>
      </w:r>
      <w:r w:rsidRPr="00AF3608">
        <w:rPr>
          <w:rFonts w:ascii="Calibri" w:hAnsi="Calibri" w:cs="Calibri"/>
          <w:u w:val="single"/>
          <w:lang w:val="ro-RO"/>
        </w:rPr>
        <w:t>111,77 mld lei</w:t>
      </w:r>
      <w:r w:rsidRPr="00AF3608">
        <w:rPr>
          <w:rFonts w:ascii="Calibri" w:hAnsi="Calibri" w:cs="Calibri"/>
          <w:lang w:val="ro-RO"/>
        </w:rPr>
        <w:t xml:space="preserve"> iar datoriile totale ale întreprinderilor publice de </w:t>
      </w:r>
      <w:r w:rsidRPr="00AF3608">
        <w:rPr>
          <w:rFonts w:ascii="Calibri" w:hAnsi="Calibri" w:cs="Calibri"/>
          <w:u w:val="single"/>
          <w:lang w:val="ro-RO"/>
        </w:rPr>
        <w:t>subordonare locală</w:t>
      </w:r>
      <w:r w:rsidRPr="00AF3608">
        <w:rPr>
          <w:rFonts w:ascii="Calibri" w:hAnsi="Calibri" w:cs="Calibri"/>
          <w:lang w:val="ro-RO"/>
        </w:rPr>
        <w:t xml:space="preserve"> au fost în sumă de </w:t>
      </w:r>
      <w:r w:rsidRPr="00AF3608">
        <w:rPr>
          <w:rFonts w:ascii="Calibri" w:hAnsi="Calibri" w:cs="Calibri"/>
          <w:u w:val="single"/>
          <w:lang w:val="ro-RO"/>
        </w:rPr>
        <w:t>15,80 mld lei.</w:t>
      </w:r>
    </w:p>
    <w:p w:rsidR="00ED5289" w:rsidRPr="00AF3608" w:rsidRDefault="00ED5289" w:rsidP="00B723C0">
      <w:pPr>
        <w:spacing w:before="120"/>
        <w:ind w:firstLine="720"/>
        <w:jc w:val="both"/>
        <w:rPr>
          <w:rFonts w:ascii="Calibri" w:hAnsi="Calibri" w:cs="Calibri"/>
          <w:lang w:val="ro-RO"/>
        </w:rPr>
      </w:pPr>
      <w:r w:rsidRPr="00AF3608">
        <w:rPr>
          <w:rFonts w:ascii="Calibri" w:hAnsi="Calibri" w:cs="Calibri"/>
          <w:lang w:val="ro-RO"/>
        </w:rPr>
        <w:t>Din totalul datoriilor,</w:t>
      </w:r>
      <w:r w:rsidRPr="00AF3608">
        <w:rPr>
          <w:rFonts w:ascii="Calibri" w:hAnsi="Calibri" w:cs="Calibri"/>
          <w:b/>
          <w:lang w:val="ro-RO"/>
        </w:rPr>
        <w:t xml:space="preserve"> plățile restante</w:t>
      </w:r>
      <w:r w:rsidRPr="00AF3608">
        <w:rPr>
          <w:rFonts w:ascii="Calibri" w:hAnsi="Calibri" w:cs="Calibri"/>
          <w:lang w:val="ro-RO"/>
        </w:rPr>
        <w:t xml:space="preserve"> ale întreprinderilor publice nefinanciare au fost în sumă totală de </w:t>
      </w:r>
      <w:r w:rsidRPr="00AF3608">
        <w:rPr>
          <w:rFonts w:ascii="Calibri" w:hAnsi="Calibri" w:cs="Calibri"/>
          <w:u w:val="single"/>
          <w:lang w:val="ro-RO"/>
        </w:rPr>
        <w:t>18,51 mld lei</w:t>
      </w:r>
      <w:r w:rsidRPr="00AF3608">
        <w:rPr>
          <w:rFonts w:ascii="Calibri" w:hAnsi="Calibri" w:cs="Calibri"/>
          <w:lang w:val="ro-RO"/>
        </w:rPr>
        <w:t xml:space="preserve"> și reprezintă 1,74% din Produsul Intern Brut (P.I.B.). Dintre acestea, plățile restante ale întreprinderilor publice de </w:t>
      </w:r>
      <w:r w:rsidRPr="00AF3608">
        <w:rPr>
          <w:rFonts w:ascii="Calibri" w:hAnsi="Calibri" w:cs="Calibri"/>
          <w:u w:val="single"/>
          <w:lang w:val="ro-RO"/>
        </w:rPr>
        <w:t>subordonare centrală</w:t>
      </w:r>
      <w:r w:rsidRPr="00AF3608">
        <w:rPr>
          <w:rFonts w:ascii="Calibri" w:hAnsi="Calibri" w:cs="Calibri"/>
          <w:lang w:val="ro-RO"/>
        </w:rPr>
        <w:t xml:space="preserve"> au fost în sumă de </w:t>
      </w:r>
      <w:r w:rsidRPr="00AF3608">
        <w:rPr>
          <w:rFonts w:ascii="Calibri" w:hAnsi="Calibri" w:cs="Calibri"/>
          <w:u w:val="single"/>
          <w:lang w:val="ro-RO"/>
        </w:rPr>
        <w:t>10,29 mld lei</w:t>
      </w:r>
      <w:r w:rsidRPr="00AF3608">
        <w:rPr>
          <w:rFonts w:ascii="Calibri" w:hAnsi="Calibri" w:cs="Calibri"/>
          <w:lang w:val="ro-RO"/>
        </w:rPr>
        <w:t xml:space="preserve"> și </w:t>
      </w:r>
      <w:r w:rsidRPr="00AF3608">
        <w:rPr>
          <w:rFonts w:ascii="Calibri" w:hAnsi="Calibri" w:cs="Calibri"/>
          <w:lang w:val="ro-RO"/>
        </w:rPr>
        <w:lastRenderedPageBreak/>
        <w:t xml:space="preserve">reprezintă 0,97% din P.I.B. iar plățile restante ale întreprinderilor publice de </w:t>
      </w:r>
      <w:r w:rsidRPr="00AF3608">
        <w:rPr>
          <w:rFonts w:ascii="Calibri" w:hAnsi="Calibri" w:cs="Calibri"/>
          <w:u w:val="single"/>
          <w:lang w:val="ro-RO"/>
        </w:rPr>
        <w:t>subordonare locală</w:t>
      </w:r>
      <w:r w:rsidRPr="00AF3608">
        <w:rPr>
          <w:rFonts w:ascii="Calibri" w:hAnsi="Calibri" w:cs="Calibri"/>
          <w:lang w:val="ro-RO"/>
        </w:rPr>
        <w:t xml:space="preserve"> au fost în sumă de </w:t>
      </w:r>
      <w:r w:rsidRPr="00AF3608">
        <w:rPr>
          <w:rFonts w:ascii="Calibri" w:hAnsi="Calibri" w:cs="Calibri"/>
          <w:u w:val="single"/>
          <w:lang w:val="ro-RO"/>
        </w:rPr>
        <w:t>8,22 mld lei</w:t>
      </w:r>
      <w:r w:rsidRPr="00AF3608">
        <w:rPr>
          <w:rFonts w:ascii="Calibri" w:hAnsi="Calibri" w:cs="Calibri"/>
          <w:lang w:val="ro-RO"/>
        </w:rPr>
        <w:t xml:space="preserve"> și reprezintă 0,77% din P.I.B.</w:t>
      </w:r>
    </w:p>
    <w:p w:rsidR="00ED5289" w:rsidRPr="00AF3608" w:rsidRDefault="00ED5289" w:rsidP="00B723C0">
      <w:pPr>
        <w:spacing w:before="120"/>
        <w:ind w:firstLine="720"/>
        <w:jc w:val="both"/>
        <w:rPr>
          <w:rFonts w:ascii="Calibri" w:hAnsi="Calibri" w:cs="Calibri"/>
          <w:u w:val="single"/>
          <w:lang w:val="ro-RO"/>
        </w:rPr>
      </w:pPr>
      <w:r w:rsidRPr="00AF3608">
        <w:rPr>
          <w:rFonts w:ascii="Calibri" w:hAnsi="Calibri" w:cs="Calibri"/>
          <w:lang w:val="ro-RO"/>
        </w:rPr>
        <w:t xml:space="preserve">Din totalul plăților restante ale întreprinderilor publice de </w:t>
      </w:r>
      <w:r w:rsidRPr="00AF3608">
        <w:rPr>
          <w:rFonts w:ascii="Calibri" w:hAnsi="Calibri" w:cs="Calibri"/>
          <w:u w:val="single"/>
          <w:lang w:val="ro-RO"/>
        </w:rPr>
        <w:t>subordonare centrală,</w:t>
      </w:r>
      <w:r w:rsidRPr="00AF3608">
        <w:rPr>
          <w:rFonts w:ascii="Calibri" w:hAnsi="Calibri" w:cs="Calibri"/>
          <w:lang w:val="ro-RO"/>
        </w:rPr>
        <w:t xml:space="preserve"> suma de </w:t>
      </w:r>
      <w:r w:rsidRPr="00AF3608">
        <w:rPr>
          <w:rFonts w:ascii="Calibri" w:hAnsi="Calibri" w:cs="Calibri"/>
          <w:u w:val="single"/>
          <w:lang w:val="ro-RO"/>
        </w:rPr>
        <w:t>2,88 mld lei</w:t>
      </w:r>
      <w:r w:rsidRPr="00AF3608">
        <w:rPr>
          <w:rFonts w:ascii="Calibri" w:hAnsi="Calibri" w:cs="Calibri"/>
          <w:lang w:val="ro-RO"/>
        </w:rPr>
        <w:t xml:space="preserve"> a fost înregistrată de 213 întreprinderi publice </w:t>
      </w:r>
      <w:r w:rsidRPr="00AF3608">
        <w:rPr>
          <w:rFonts w:ascii="Calibri" w:hAnsi="Calibri" w:cs="Calibri"/>
          <w:u w:val="single"/>
          <w:lang w:val="ro-RO"/>
        </w:rPr>
        <w:t>active</w:t>
      </w:r>
      <w:r w:rsidRPr="00AF3608">
        <w:rPr>
          <w:rFonts w:ascii="Calibri" w:hAnsi="Calibri" w:cs="Calibri"/>
          <w:lang w:val="ro-RO"/>
        </w:rPr>
        <w:t xml:space="preserve"> și suma de </w:t>
      </w:r>
      <w:r w:rsidRPr="00AF3608">
        <w:rPr>
          <w:rFonts w:ascii="Calibri" w:hAnsi="Calibri" w:cs="Calibri"/>
          <w:u w:val="single"/>
          <w:lang w:val="ro-RO"/>
        </w:rPr>
        <w:t>7,41 mld lei</w:t>
      </w:r>
      <w:r w:rsidRPr="00AF3608">
        <w:rPr>
          <w:rFonts w:ascii="Calibri" w:hAnsi="Calibri" w:cs="Calibri"/>
          <w:lang w:val="ro-RO"/>
        </w:rPr>
        <w:t xml:space="preserve"> a fost înregistrată de 94 întreprinderi publice </w:t>
      </w:r>
      <w:r w:rsidRPr="00AF3608">
        <w:rPr>
          <w:rFonts w:ascii="Calibri" w:hAnsi="Calibri" w:cs="Calibri"/>
          <w:u w:val="single"/>
          <w:lang w:val="ro-RO"/>
        </w:rPr>
        <w:t>aflate în diverse stadii de insolvență, faliment, reorganizare judiciară, dizolvare, conform Legii 85/2014</w:t>
      </w:r>
      <w:r w:rsidRPr="00AF3608">
        <w:rPr>
          <w:rFonts w:ascii="Calibri" w:hAnsi="Calibri" w:cs="Calibri"/>
          <w:lang w:val="ro-RO"/>
        </w:rPr>
        <w:t>;</w:t>
      </w:r>
    </w:p>
    <w:p w:rsidR="00ED5289" w:rsidRPr="00AF3608" w:rsidRDefault="00ED5289" w:rsidP="00B723C0">
      <w:pPr>
        <w:spacing w:before="120"/>
        <w:ind w:firstLine="720"/>
        <w:jc w:val="both"/>
        <w:rPr>
          <w:rFonts w:ascii="Calibri" w:hAnsi="Calibri" w:cs="Calibri"/>
          <w:lang w:val="ro-RO"/>
        </w:rPr>
      </w:pPr>
      <w:r w:rsidRPr="00AF3608">
        <w:rPr>
          <w:rFonts w:ascii="Calibri" w:hAnsi="Calibri" w:cs="Calibri"/>
          <w:lang w:val="ro-RO"/>
        </w:rPr>
        <w:t xml:space="preserve">Din totalul plăților restante ale întreprinderilor publice de </w:t>
      </w:r>
      <w:r w:rsidRPr="00AF3608">
        <w:rPr>
          <w:rFonts w:ascii="Calibri" w:hAnsi="Calibri" w:cs="Calibri"/>
          <w:u w:val="single"/>
          <w:lang w:val="ro-RO"/>
        </w:rPr>
        <w:t>subordonare locală</w:t>
      </w:r>
      <w:r w:rsidRPr="00AF3608">
        <w:rPr>
          <w:rFonts w:ascii="Calibri" w:hAnsi="Calibri" w:cs="Calibri"/>
          <w:lang w:val="ro-RO"/>
        </w:rPr>
        <w:t xml:space="preserve">, suma de </w:t>
      </w:r>
      <w:r w:rsidRPr="00AF3608">
        <w:rPr>
          <w:rFonts w:ascii="Calibri" w:hAnsi="Calibri" w:cs="Calibri"/>
          <w:u w:val="single"/>
          <w:lang w:val="ro-RO"/>
        </w:rPr>
        <w:t>1,03 mld lei</w:t>
      </w:r>
      <w:r w:rsidRPr="00AF3608">
        <w:rPr>
          <w:rFonts w:ascii="Calibri" w:hAnsi="Calibri" w:cs="Calibri"/>
          <w:lang w:val="ro-RO"/>
        </w:rPr>
        <w:t xml:space="preserve"> a fost înregistrată de 1074 întreprinderi publice </w:t>
      </w:r>
      <w:r w:rsidRPr="00AF3608">
        <w:rPr>
          <w:rFonts w:ascii="Calibri" w:hAnsi="Calibri" w:cs="Calibri"/>
          <w:u w:val="single"/>
          <w:lang w:val="ro-RO"/>
        </w:rPr>
        <w:t>active</w:t>
      </w:r>
      <w:r w:rsidRPr="00AF3608">
        <w:rPr>
          <w:rFonts w:ascii="Calibri" w:hAnsi="Calibri" w:cs="Calibri"/>
          <w:lang w:val="ro-RO"/>
        </w:rPr>
        <w:t xml:space="preserve">, suma de </w:t>
      </w:r>
      <w:r w:rsidRPr="00AF3608">
        <w:rPr>
          <w:rFonts w:ascii="Calibri" w:hAnsi="Calibri" w:cs="Calibri"/>
          <w:u w:val="single"/>
          <w:lang w:val="ro-RO"/>
        </w:rPr>
        <w:t>7,19 mld lei</w:t>
      </w:r>
      <w:r w:rsidRPr="00AF3608">
        <w:rPr>
          <w:rFonts w:ascii="Calibri" w:hAnsi="Calibri" w:cs="Calibri"/>
          <w:lang w:val="ro-RO"/>
        </w:rPr>
        <w:t xml:space="preserve"> a fost înregistrată de 114 întreprinderi publice </w:t>
      </w:r>
      <w:r w:rsidRPr="00AF3608">
        <w:rPr>
          <w:rFonts w:ascii="Calibri" w:hAnsi="Calibri" w:cs="Calibri"/>
          <w:u w:val="single"/>
          <w:lang w:val="ro-RO"/>
        </w:rPr>
        <w:t>aflate în diverse stadii de insolvență, faliment, reorganizare judiciară, dizolvare, conform Legii 85/2014</w:t>
      </w:r>
      <w:r w:rsidRPr="00AF3608">
        <w:rPr>
          <w:rFonts w:ascii="Calibri" w:hAnsi="Calibri" w:cs="Calibri"/>
          <w:lang w:val="ro-RO"/>
        </w:rPr>
        <w:t>.</w:t>
      </w:r>
    </w:p>
    <w:p w:rsidR="00ED5289" w:rsidRPr="00AF3608" w:rsidRDefault="00ED5289" w:rsidP="00B723C0">
      <w:pPr>
        <w:spacing w:before="120"/>
        <w:ind w:firstLine="720"/>
        <w:jc w:val="both"/>
        <w:rPr>
          <w:rFonts w:ascii="Calibri" w:hAnsi="Calibri" w:cs="Calibri"/>
          <w:u w:val="single"/>
          <w:lang w:val="ro-RO"/>
        </w:rPr>
      </w:pPr>
      <w:r w:rsidRPr="00AF3608">
        <w:rPr>
          <w:rFonts w:ascii="Calibri" w:hAnsi="Calibri" w:cs="Calibri"/>
          <w:b/>
          <w:lang w:val="ro-RO"/>
        </w:rPr>
        <w:t>4. Gradul de îndatorare</w:t>
      </w:r>
      <w:r w:rsidRPr="00AF3608">
        <w:rPr>
          <w:rFonts w:ascii="Calibri" w:hAnsi="Calibri" w:cs="Calibri"/>
          <w:lang w:val="ro-RO"/>
        </w:rPr>
        <w:t xml:space="preserve"> calculat conform formulei (Total Datorii /Total Active) al întreprinderilor publice nefinanciare a fost de </w:t>
      </w:r>
      <w:r w:rsidRPr="00AF3608">
        <w:rPr>
          <w:rFonts w:ascii="Calibri" w:hAnsi="Calibri" w:cs="Calibri"/>
          <w:u w:val="single"/>
          <w:lang w:val="ro-RO"/>
        </w:rPr>
        <w:t>51,56 %</w:t>
      </w:r>
      <w:r w:rsidRPr="00AF3608">
        <w:rPr>
          <w:rFonts w:ascii="Calibri" w:hAnsi="Calibri" w:cs="Calibri"/>
          <w:lang w:val="ro-RO"/>
        </w:rPr>
        <w:t xml:space="preserve"> din care întreprinderile publice de </w:t>
      </w:r>
      <w:r w:rsidRPr="00AF3608">
        <w:rPr>
          <w:rFonts w:ascii="Calibri" w:hAnsi="Calibri" w:cs="Calibri"/>
          <w:u w:val="single"/>
          <w:lang w:val="ro-RO"/>
        </w:rPr>
        <w:t>subordonare centrală</w:t>
      </w:r>
      <w:r w:rsidRPr="00AF3608">
        <w:rPr>
          <w:rFonts w:ascii="Calibri" w:hAnsi="Calibri" w:cs="Calibri"/>
          <w:lang w:val="ro-RO"/>
        </w:rPr>
        <w:t xml:space="preserve"> înregistrează un grad de îndatorare de </w:t>
      </w:r>
      <w:r w:rsidRPr="00AF3608">
        <w:rPr>
          <w:rFonts w:ascii="Calibri" w:hAnsi="Calibri" w:cs="Calibri"/>
          <w:u w:val="single"/>
          <w:lang w:val="ro-RO"/>
        </w:rPr>
        <w:t>50,87%</w:t>
      </w:r>
      <w:r w:rsidRPr="00AF3608">
        <w:rPr>
          <w:rFonts w:ascii="Calibri" w:hAnsi="Calibri" w:cs="Calibri"/>
          <w:lang w:val="ro-RO"/>
        </w:rPr>
        <w:t xml:space="preserve"> iar întreprinderile publice de </w:t>
      </w:r>
      <w:r w:rsidRPr="00AF3608">
        <w:rPr>
          <w:rFonts w:ascii="Calibri" w:hAnsi="Calibri" w:cs="Calibri"/>
          <w:u w:val="single"/>
          <w:lang w:val="ro-RO"/>
        </w:rPr>
        <w:t>subordonare locală</w:t>
      </w:r>
      <w:r w:rsidRPr="00AF3608">
        <w:rPr>
          <w:rFonts w:ascii="Calibri" w:hAnsi="Calibri" w:cs="Calibri"/>
          <w:lang w:val="ro-RO"/>
        </w:rPr>
        <w:t xml:space="preserve"> înregistrează un grad de îndatorare de </w:t>
      </w:r>
      <w:r w:rsidRPr="00AF3608">
        <w:rPr>
          <w:rFonts w:ascii="Calibri" w:hAnsi="Calibri" w:cs="Calibri"/>
          <w:u w:val="single"/>
          <w:lang w:val="ro-RO"/>
        </w:rPr>
        <w:t>57,12%.</w:t>
      </w:r>
    </w:p>
    <w:p w:rsidR="00ED5289" w:rsidRPr="00AF3608" w:rsidRDefault="00ED5289" w:rsidP="00B723C0">
      <w:pPr>
        <w:spacing w:before="120"/>
        <w:ind w:firstLine="720"/>
        <w:jc w:val="both"/>
        <w:rPr>
          <w:rFonts w:ascii="Calibri" w:hAnsi="Calibri" w:cs="Calibri"/>
          <w:lang w:val="ro-RO"/>
        </w:rPr>
      </w:pPr>
      <w:r w:rsidRPr="00AF3608">
        <w:rPr>
          <w:rFonts w:ascii="Calibri" w:hAnsi="Calibri" w:cs="Calibri"/>
          <w:b/>
          <w:lang w:val="ro-RO"/>
        </w:rPr>
        <w:t>5.</w:t>
      </w:r>
      <w:r w:rsidRPr="00AF3608">
        <w:rPr>
          <w:rFonts w:ascii="Calibri" w:hAnsi="Calibri" w:cs="Calibri"/>
          <w:lang w:val="ro-RO"/>
        </w:rPr>
        <w:t xml:space="preserve"> Referitor la </w:t>
      </w:r>
      <w:r w:rsidRPr="00AF3608">
        <w:rPr>
          <w:rFonts w:ascii="Calibri" w:hAnsi="Calibri" w:cs="Calibri"/>
          <w:b/>
          <w:lang w:val="ro-RO"/>
        </w:rPr>
        <w:t>pierderea brută / profitul</w:t>
      </w:r>
      <w:r w:rsidRPr="00AF3608">
        <w:rPr>
          <w:rFonts w:ascii="Calibri" w:hAnsi="Calibri" w:cs="Calibri"/>
          <w:lang w:val="ro-RO"/>
        </w:rPr>
        <w:t xml:space="preserve"> </w:t>
      </w:r>
      <w:r w:rsidRPr="00AF3608">
        <w:rPr>
          <w:rFonts w:ascii="Calibri" w:hAnsi="Calibri" w:cs="Calibri"/>
          <w:b/>
          <w:lang w:val="ro-RO"/>
        </w:rPr>
        <w:t>brut</w:t>
      </w:r>
      <w:r w:rsidRPr="00AF3608">
        <w:rPr>
          <w:rFonts w:ascii="Calibri" w:hAnsi="Calibri" w:cs="Calibri"/>
          <w:lang w:val="ro-RO"/>
        </w:rPr>
        <w:t xml:space="preserve"> înregistrat de întreprinderile publice nefinanciare în anul 2019 din analiza datelor se desprind următoarele:  </w:t>
      </w:r>
    </w:p>
    <w:p w:rsidR="00ED5289" w:rsidRPr="00AF3608" w:rsidRDefault="00ED5289" w:rsidP="00B723C0">
      <w:pPr>
        <w:spacing w:before="120"/>
        <w:jc w:val="both"/>
        <w:rPr>
          <w:rFonts w:ascii="Calibri" w:hAnsi="Calibri" w:cs="Calibri"/>
          <w:lang w:val="ro-RO"/>
        </w:rPr>
      </w:pPr>
      <w:r w:rsidRPr="00AF3608">
        <w:rPr>
          <w:rFonts w:ascii="Calibri" w:hAnsi="Calibri" w:cs="Calibri"/>
          <w:lang w:val="ro-RO"/>
        </w:rPr>
        <w:t xml:space="preserve">a). Din cele 307 întreprinderi publice de </w:t>
      </w:r>
      <w:r w:rsidRPr="00AF3608">
        <w:rPr>
          <w:rFonts w:ascii="Calibri" w:hAnsi="Calibri" w:cs="Calibri"/>
          <w:u w:val="single"/>
          <w:lang w:val="ro-RO"/>
        </w:rPr>
        <w:t>subordonare centrală</w:t>
      </w:r>
      <w:r w:rsidRPr="00AF3608">
        <w:rPr>
          <w:rFonts w:ascii="Calibri" w:hAnsi="Calibri" w:cs="Calibri"/>
          <w:lang w:val="ro-RO"/>
        </w:rPr>
        <w:t xml:space="preserve"> un număr de 188  întreprinderi publice au înregistrat </w:t>
      </w:r>
      <w:r w:rsidRPr="00AF3608">
        <w:rPr>
          <w:rFonts w:ascii="Calibri" w:hAnsi="Calibri" w:cs="Calibri"/>
          <w:u w:val="single"/>
          <w:lang w:val="ro-RO"/>
        </w:rPr>
        <w:t>profit brut</w:t>
      </w:r>
      <w:r w:rsidRPr="00AF3608">
        <w:rPr>
          <w:rFonts w:ascii="Calibri" w:hAnsi="Calibri" w:cs="Calibri"/>
          <w:lang w:val="ro-RO"/>
        </w:rPr>
        <w:t xml:space="preserve"> în sumă totală de </w:t>
      </w:r>
      <w:r w:rsidRPr="00AF3608">
        <w:rPr>
          <w:rFonts w:ascii="Calibri" w:hAnsi="Calibri" w:cs="Calibri"/>
          <w:u w:val="single"/>
          <w:lang w:val="ro-RO"/>
        </w:rPr>
        <w:t>6,45 mld lei</w:t>
      </w:r>
      <w:r w:rsidRPr="00AF3608">
        <w:rPr>
          <w:rFonts w:ascii="Calibri" w:hAnsi="Calibri" w:cs="Calibri"/>
          <w:lang w:val="ro-RO"/>
        </w:rPr>
        <w:t xml:space="preserve"> reprezentând 0,61% din P.I.B. iar un număr de 119 întreprinderi publice au înregistrat </w:t>
      </w:r>
      <w:r w:rsidRPr="00AF3608">
        <w:rPr>
          <w:rFonts w:ascii="Calibri" w:hAnsi="Calibri" w:cs="Calibri"/>
          <w:u w:val="single"/>
          <w:lang w:val="ro-RO"/>
        </w:rPr>
        <w:t>pierdere brută</w:t>
      </w:r>
      <w:r w:rsidRPr="00AF3608">
        <w:rPr>
          <w:rFonts w:ascii="Calibri" w:hAnsi="Calibri" w:cs="Calibri"/>
          <w:lang w:val="ro-RO"/>
        </w:rPr>
        <w:t xml:space="preserve"> în sumă totală de </w:t>
      </w:r>
      <w:r w:rsidRPr="00AF3608">
        <w:rPr>
          <w:rFonts w:ascii="Calibri" w:hAnsi="Calibri" w:cs="Calibri"/>
          <w:u w:val="single"/>
          <w:lang w:val="ro-RO"/>
        </w:rPr>
        <w:t>7,00 mld lei</w:t>
      </w:r>
      <w:r w:rsidRPr="00AF3608">
        <w:rPr>
          <w:rFonts w:ascii="Calibri" w:hAnsi="Calibri" w:cs="Calibri"/>
          <w:lang w:val="ro-RO"/>
        </w:rPr>
        <w:t xml:space="preserve"> reprezentând 0,66% din P.I.B..</w:t>
      </w:r>
    </w:p>
    <w:p w:rsidR="00ED5289" w:rsidRPr="00AF3608" w:rsidRDefault="00ED5289" w:rsidP="00B723C0">
      <w:pPr>
        <w:spacing w:before="120"/>
        <w:jc w:val="both"/>
        <w:rPr>
          <w:rFonts w:ascii="Calibri" w:hAnsi="Calibri" w:cs="Calibri"/>
          <w:lang w:val="ro-RO"/>
        </w:rPr>
      </w:pPr>
      <w:r w:rsidRPr="00AF3608">
        <w:rPr>
          <w:rFonts w:ascii="Calibri" w:hAnsi="Calibri" w:cs="Calibri"/>
          <w:lang w:val="ro-RO"/>
        </w:rPr>
        <w:t xml:space="preserve">b). Din cele 1188 de întreprinderi publice de </w:t>
      </w:r>
      <w:r w:rsidRPr="00AF3608">
        <w:rPr>
          <w:rFonts w:ascii="Calibri" w:hAnsi="Calibri" w:cs="Calibri"/>
          <w:u w:val="single"/>
          <w:lang w:val="ro-RO"/>
        </w:rPr>
        <w:t>subordonare locală</w:t>
      </w:r>
      <w:r w:rsidRPr="00AF3608">
        <w:rPr>
          <w:rFonts w:ascii="Calibri" w:hAnsi="Calibri" w:cs="Calibri"/>
          <w:lang w:val="ro-RO"/>
        </w:rPr>
        <w:t xml:space="preserve"> un număr de 731 întreprinderi publice au înregistrat </w:t>
      </w:r>
      <w:r w:rsidRPr="00AF3608">
        <w:rPr>
          <w:rFonts w:ascii="Calibri" w:hAnsi="Calibri" w:cs="Calibri"/>
          <w:u w:val="single"/>
          <w:lang w:val="ro-RO"/>
        </w:rPr>
        <w:t>profit brut</w:t>
      </w:r>
      <w:r w:rsidRPr="00AF3608">
        <w:rPr>
          <w:rFonts w:ascii="Calibri" w:hAnsi="Calibri" w:cs="Calibri"/>
          <w:lang w:val="ro-RO"/>
        </w:rPr>
        <w:t xml:space="preserve"> în sumă totală de </w:t>
      </w:r>
      <w:r w:rsidRPr="00AF3608">
        <w:rPr>
          <w:rFonts w:ascii="Calibri" w:hAnsi="Calibri" w:cs="Calibri"/>
          <w:u w:val="single"/>
          <w:lang w:val="ro-RO"/>
        </w:rPr>
        <w:t>0,57 mld lei</w:t>
      </w:r>
      <w:r w:rsidRPr="00AF3608">
        <w:rPr>
          <w:rFonts w:ascii="Calibri" w:hAnsi="Calibri" w:cs="Calibri"/>
          <w:lang w:val="ro-RO"/>
        </w:rPr>
        <w:t xml:space="preserve"> reprezentând 0,05% din P.I.B. iar un număr de 457 întreprinderi publice au înregistrat </w:t>
      </w:r>
      <w:r w:rsidRPr="00AF3608">
        <w:rPr>
          <w:rFonts w:ascii="Calibri" w:hAnsi="Calibri" w:cs="Calibri"/>
          <w:u w:val="single"/>
          <w:lang w:val="ro-RO"/>
        </w:rPr>
        <w:t>pierdere brută</w:t>
      </w:r>
      <w:r w:rsidRPr="00AF3608">
        <w:rPr>
          <w:rFonts w:ascii="Calibri" w:hAnsi="Calibri" w:cs="Calibri"/>
          <w:lang w:val="ro-RO"/>
        </w:rPr>
        <w:t xml:space="preserve"> în sumă totală de </w:t>
      </w:r>
      <w:r w:rsidRPr="00AF3608">
        <w:rPr>
          <w:rFonts w:ascii="Calibri" w:hAnsi="Calibri" w:cs="Calibri"/>
          <w:u w:val="single"/>
          <w:lang w:val="ro-RO"/>
        </w:rPr>
        <w:t>0,64 mld lei</w:t>
      </w:r>
      <w:r w:rsidRPr="00AF3608">
        <w:rPr>
          <w:rFonts w:ascii="Calibri" w:hAnsi="Calibri" w:cs="Calibri"/>
          <w:lang w:val="ro-RO"/>
        </w:rPr>
        <w:t xml:space="preserve"> reprezentând 0,06% din P.I.B..</w:t>
      </w:r>
    </w:p>
    <w:p w:rsidR="00ED5289" w:rsidRPr="00AF3608" w:rsidRDefault="00ED5289" w:rsidP="00B723C0">
      <w:pPr>
        <w:spacing w:before="120"/>
        <w:ind w:firstLine="720"/>
        <w:jc w:val="both"/>
        <w:rPr>
          <w:rFonts w:ascii="Calibri" w:hAnsi="Calibri" w:cs="Calibri"/>
          <w:u w:val="single"/>
          <w:lang w:val="ro-RO"/>
        </w:rPr>
      </w:pPr>
      <w:r w:rsidRPr="00AF3608">
        <w:rPr>
          <w:rFonts w:ascii="Calibri" w:hAnsi="Calibri" w:cs="Calibri"/>
          <w:b/>
          <w:bCs/>
          <w:color w:val="000000"/>
          <w:lang w:val="ro-RO" w:eastAsia="ro-RO"/>
        </w:rPr>
        <w:t>Valoarea participațiilor statului la întreprinderile publice nefinanciare de subordonare centrală</w:t>
      </w:r>
      <w:r w:rsidRPr="00AF3608">
        <w:rPr>
          <w:rFonts w:ascii="Calibri" w:hAnsi="Calibri" w:cs="Calibri"/>
          <w:color w:val="000000"/>
          <w:lang w:val="ro-RO" w:eastAsia="ro-RO"/>
        </w:rPr>
        <w:t xml:space="preserve"> care au depus situațiile financiare pentru anul 2019 au fost în sumă totală de </w:t>
      </w:r>
      <w:r w:rsidRPr="00AF3608">
        <w:rPr>
          <w:rFonts w:ascii="Calibri" w:hAnsi="Calibri" w:cs="Calibri"/>
          <w:color w:val="000000"/>
          <w:u w:val="single"/>
          <w:lang w:val="ro-RO" w:eastAsia="ro-RO"/>
        </w:rPr>
        <w:t>28,24 mld lei</w:t>
      </w:r>
      <w:r w:rsidRPr="00AF3608">
        <w:rPr>
          <w:rFonts w:ascii="Calibri" w:hAnsi="Calibri" w:cs="Calibri"/>
          <w:color w:val="000000"/>
          <w:lang w:val="ro-RO" w:eastAsia="ro-RO"/>
        </w:rPr>
        <w:t xml:space="preserve"> din care </w:t>
      </w:r>
      <w:r w:rsidRPr="00AF3608">
        <w:rPr>
          <w:rFonts w:ascii="Calibri" w:hAnsi="Calibri" w:cs="Calibri"/>
          <w:color w:val="000000"/>
          <w:u w:val="single"/>
          <w:lang w:val="ro-RO" w:eastAsia="ro-RO"/>
        </w:rPr>
        <w:t>participațiile directe</w:t>
      </w:r>
      <w:r w:rsidRPr="00AF3608">
        <w:rPr>
          <w:rFonts w:ascii="Calibri" w:hAnsi="Calibri" w:cs="Calibri"/>
          <w:color w:val="000000"/>
          <w:lang w:val="ro-RO" w:eastAsia="ro-RO"/>
        </w:rPr>
        <w:t xml:space="preserve"> au fost în sumă de </w:t>
      </w:r>
      <w:r w:rsidRPr="00AF3608">
        <w:rPr>
          <w:rFonts w:ascii="Calibri" w:hAnsi="Calibri" w:cs="Calibri"/>
          <w:color w:val="000000"/>
          <w:u w:val="single"/>
          <w:lang w:val="ro-RO" w:eastAsia="ro-RO"/>
        </w:rPr>
        <w:t>26,74 mld lei</w:t>
      </w:r>
      <w:r w:rsidRPr="00AF3608">
        <w:rPr>
          <w:rFonts w:ascii="Calibri" w:hAnsi="Calibri" w:cs="Calibri"/>
          <w:color w:val="000000"/>
          <w:lang w:val="ro-RO" w:eastAsia="ro-RO"/>
        </w:rPr>
        <w:t xml:space="preserve"> și </w:t>
      </w:r>
      <w:r w:rsidRPr="00AF3608">
        <w:rPr>
          <w:rFonts w:ascii="Calibri" w:hAnsi="Calibri" w:cs="Calibri"/>
          <w:color w:val="000000"/>
          <w:u w:val="single"/>
          <w:lang w:val="ro-RO" w:eastAsia="ro-RO"/>
        </w:rPr>
        <w:t>participațiile indirecte</w:t>
      </w:r>
      <w:r w:rsidRPr="00AF3608">
        <w:rPr>
          <w:rFonts w:ascii="Calibri" w:hAnsi="Calibri" w:cs="Calibri"/>
          <w:color w:val="000000"/>
          <w:lang w:val="ro-RO" w:eastAsia="ro-RO"/>
        </w:rPr>
        <w:t xml:space="preserve"> au fost în sumă de </w:t>
      </w:r>
      <w:r w:rsidRPr="00AF3608">
        <w:rPr>
          <w:rFonts w:ascii="Calibri" w:hAnsi="Calibri" w:cs="Calibri"/>
          <w:color w:val="000000"/>
          <w:u w:val="single"/>
          <w:lang w:val="ro-RO" w:eastAsia="ro-RO"/>
        </w:rPr>
        <w:t>1,50 mld lei;</w:t>
      </w:r>
    </w:p>
    <w:p w:rsidR="00ED5289" w:rsidRPr="00AF3608" w:rsidRDefault="00ED5289" w:rsidP="00B723C0">
      <w:pPr>
        <w:spacing w:before="120"/>
        <w:ind w:firstLine="720"/>
        <w:jc w:val="both"/>
        <w:rPr>
          <w:rFonts w:ascii="Calibri" w:hAnsi="Calibri" w:cs="Calibri"/>
          <w:lang w:val="ro-RO"/>
        </w:rPr>
      </w:pPr>
      <w:r w:rsidRPr="00AF3608">
        <w:rPr>
          <w:rFonts w:ascii="Calibri" w:hAnsi="Calibri" w:cs="Calibri"/>
          <w:lang w:val="ro-RO"/>
        </w:rPr>
        <w:t xml:space="preserve">La nivelul Ministerului Finanțelor Publice au fost monitorizate un număr de </w:t>
      </w:r>
      <w:r w:rsidRPr="00AF3608">
        <w:rPr>
          <w:rFonts w:ascii="Calibri" w:hAnsi="Calibri" w:cs="Calibri"/>
          <w:u w:val="single"/>
          <w:lang w:val="ro-RO"/>
        </w:rPr>
        <w:t>241 întreprinderi publice nefinanciare de subordonare centrală</w:t>
      </w:r>
      <w:r w:rsidRPr="00AF3608">
        <w:rPr>
          <w:rFonts w:ascii="Calibri" w:hAnsi="Calibri" w:cs="Calibri"/>
          <w:lang w:val="ro-RO"/>
        </w:rPr>
        <w:t xml:space="preserve"> care au înregistrat la finele anului 2019 plăți restante în sumă totală de 6,52 mld lei și rezultat brut în sumă totală de 4,23 mld lei. </w:t>
      </w:r>
    </w:p>
    <w:p w:rsidR="00ED5289" w:rsidRPr="00AF3608" w:rsidRDefault="00ED5289" w:rsidP="00B723C0">
      <w:pPr>
        <w:spacing w:before="120"/>
        <w:ind w:firstLine="720"/>
        <w:jc w:val="both"/>
        <w:rPr>
          <w:rFonts w:ascii="Calibri" w:hAnsi="Calibri" w:cs="Calibri"/>
          <w:u w:val="single"/>
          <w:lang w:val="ro-RO"/>
        </w:rPr>
      </w:pPr>
      <w:r w:rsidRPr="00AF3608">
        <w:rPr>
          <w:rFonts w:ascii="Calibri" w:hAnsi="Calibri" w:cs="Calibri"/>
          <w:lang w:val="ro-RO"/>
        </w:rPr>
        <w:t xml:space="preserve">Din cele 241 întreprinderi publice de </w:t>
      </w:r>
      <w:r w:rsidRPr="00AF3608">
        <w:rPr>
          <w:rFonts w:ascii="Calibri" w:hAnsi="Calibri" w:cs="Calibri"/>
          <w:u w:val="single"/>
          <w:lang w:val="ro-RO"/>
        </w:rPr>
        <w:t>subordonare centrală,</w:t>
      </w:r>
      <w:r w:rsidRPr="00AF3608">
        <w:rPr>
          <w:rFonts w:ascii="Calibri" w:hAnsi="Calibri" w:cs="Calibri"/>
          <w:lang w:val="ro-RO"/>
        </w:rPr>
        <w:t xml:space="preserve"> plățile restante în sumă de </w:t>
      </w:r>
      <w:r w:rsidRPr="00AF3608">
        <w:rPr>
          <w:rFonts w:ascii="Calibri" w:hAnsi="Calibri" w:cs="Calibri"/>
          <w:u w:val="single"/>
          <w:lang w:val="ro-RO"/>
        </w:rPr>
        <w:t>3,19 mld lei</w:t>
      </w:r>
      <w:r w:rsidRPr="00AF3608">
        <w:rPr>
          <w:rFonts w:ascii="Calibri" w:hAnsi="Calibri" w:cs="Calibri"/>
          <w:lang w:val="ro-RO"/>
        </w:rPr>
        <w:t xml:space="preserve"> au fost înregistrate de 216 întreprinderi publice </w:t>
      </w:r>
      <w:r w:rsidRPr="00AF3608">
        <w:rPr>
          <w:rFonts w:ascii="Calibri" w:hAnsi="Calibri" w:cs="Calibri"/>
          <w:u w:val="single"/>
          <w:lang w:val="ro-RO"/>
        </w:rPr>
        <w:t>active,</w:t>
      </w:r>
      <w:r w:rsidRPr="00AF3608">
        <w:rPr>
          <w:rFonts w:ascii="Calibri" w:hAnsi="Calibri" w:cs="Calibri"/>
          <w:lang w:val="ro-RO"/>
        </w:rPr>
        <w:t xml:space="preserve"> și cele în sumă de </w:t>
      </w:r>
      <w:r w:rsidRPr="00AF3608">
        <w:rPr>
          <w:rFonts w:ascii="Calibri" w:hAnsi="Calibri" w:cs="Calibri"/>
          <w:u w:val="single"/>
          <w:lang w:val="ro-RO"/>
        </w:rPr>
        <w:t>3,33 mld lei</w:t>
      </w:r>
      <w:r w:rsidRPr="00AF3608">
        <w:rPr>
          <w:rFonts w:ascii="Calibri" w:hAnsi="Calibri" w:cs="Calibri"/>
          <w:lang w:val="ro-RO"/>
        </w:rPr>
        <w:t xml:space="preserve"> au fost înregistrate de 25 întreprinderi publice </w:t>
      </w:r>
      <w:r w:rsidRPr="00AF3608">
        <w:rPr>
          <w:rFonts w:ascii="Calibri" w:hAnsi="Calibri" w:cs="Calibri"/>
          <w:u w:val="single"/>
          <w:lang w:val="ro-RO"/>
        </w:rPr>
        <w:t>aflate în diverse stadii de insolvență, faliment, reorganizare judiciară, dizolvare, conform Legii 85/2014</w:t>
      </w:r>
      <w:r w:rsidRPr="00AF3608">
        <w:rPr>
          <w:rFonts w:ascii="Calibri" w:hAnsi="Calibri" w:cs="Calibri"/>
          <w:lang w:val="ro-RO"/>
        </w:rPr>
        <w:t>;</w:t>
      </w:r>
    </w:p>
    <w:p w:rsidR="00ED5289" w:rsidRPr="00AF3608" w:rsidRDefault="00ED5289" w:rsidP="00B723C0">
      <w:pPr>
        <w:autoSpaceDE w:val="0"/>
        <w:autoSpaceDN w:val="0"/>
        <w:adjustRightInd w:val="0"/>
        <w:spacing w:before="120"/>
        <w:ind w:firstLine="720"/>
        <w:jc w:val="both"/>
        <w:rPr>
          <w:rFonts w:ascii="Calibri" w:hAnsi="Calibri" w:cs="Calibri"/>
          <w:color w:val="000000"/>
          <w:lang w:val="ro-RO" w:eastAsia="ro-RO"/>
        </w:rPr>
      </w:pPr>
      <w:r w:rsidRPr="00AF3608">
        <w:rPr>
          <w:rFonts w:ascii="Calibri" w:hAnsi="Calibri" w:cs="Calibri"/>
          <w:color w:val="000000"/>
          <w:lang w:val="ro-RO" w:eastAsia="ro-RO"/>
        </w:rPr>
        <w:t xml:space="preserve">De asemenea au fost monitorizate și un număr de </w:t>
      </w:r>
      <w:r w:rsidRPr="00AF3608">
        <w:rPr>
          <w:rFonts w:ascii="Calibri" w:hAnsi="Calibri" w:cs="Calibri"/>
          <w:color w:val="000000"/>
          <w:u w:val="single"/>
          <w:lang w:val="ro-RO" w:eastAsia="ro-RO"/>
        </w:rPr>
        <w:t xml:space="preserve">1237 întreprinderi publice nefinanciare de subordonare locală </w:t>
      </w:r>
      <w:r w:rsidRPr="00AF3608">
        <w:rPr>
          <w:rFonts w:ascii="Calibri" w:hAnsi="Calibri" w:cs="Calibri"/>
          <w:color w:val="000000"/>
          <w:lang w:val="ro-RO" w:eastAsia="ro-RO"/>
        </w:rPr>
        <w:t>care au înregistrat la finele anului 2019 plăți restante în sumă totală de 2,27 mld lei și rezultat brut în sumă totală de 0,33 mld lei.</w:t>
      </w:r>
    </w:p>
    <w:p w:rsidR="00ED5289" w:rsidRPr="00AF3608" w:rsidRDefault="00ED5289" w:rsidP="00B723C0">
      <w:pPr>
        <w:spacing w:before="120"/>
        <w:ind w:firstLine="720"/>
        <w:jc w:val="both"/>
        <w:rPr>
          <w:rFonts w:ascii="Calibri" w:hAnsi="Calibri" w:cs="Calibri"/>
          <w:color w:val="000000"/>
          <w:lang w:val="ro-RO" w:eastAsia="ro-RO"/>
        </w:rPr>
      </w:pPr>
      <w:r w:rsidRPr="00AF3608">
        <w:rPr>
          <w:rFonts w:ascii="Calibri" w:hAnsi="Calibri" w:cs="Calibri"/>
          <w:color w:val="000000"/>
          <w:lang w:val="ro-RO" w:eastAsia="ro-RO"/>
        </w:rPr>
        <w:t xml:space="preserve">Din cele 1237 întreprinderi publice de </w:t>
      </w:r>
      <w:r w:rsidRPr="00AF3608">
        <w:rPr>
          <w:rFonts w:ascii="Calibri" w:hAnsi="Calibri" w:cs="Calibri"/>
          <w:color w:val="000000"/>
          <w:u w:val="single"/>
          <w:lang w:val="ro-RO" w:eastAsia="ro-RO"/>
        </w:rPr>
        <w:t>subordonare locală</w:t>
      </w:r>
      <w:r w:rsidRPr="00AF3608">
        <w:rPr>
          <w:rFonts w:ascii="Calibri" w:hAnsi="Calibri" w:cs="Calibri"/>
          <w:color w:val="000000"/>
          <w:lang w:val="ro-RO" w:eastAsia="ro-RO"/>
        </w:rPr>
        <w:t>, plățile restante în sumă de</w:t>
      </w:r>
      <w:r w:rsidRPr="00AF3608">
        <w:rPr>
          <w:rFonts w:ascii="Calibri" w:hAnsi="Calibri" w:cs="Calibri"/>
          <w:color w:val="000000"/>
          <w:u w:val="single"/>
          <w:lang w:val="ro-RO" w:eastAsia="ro-RO"/>
        </w:rPr>
        <w:t xml:space="preserve"> 1,22 mld lei</w:t>
      </w:r>
      <w:r w:rsidRPr="00AF3608">
        <w:rPr>
          <w:rFonts w:ascii="Calibri" w:hAnsi="Calibri" w:cs="Calibri"/>
          <w:color w:val="000000"/>
          <w:lang w:val="ro-RO" w:eastAsia="ro-RO"/>
        </w:rPr>
        <w:t xml:space="preserve"> a fost înregistrată de 1217 întreprinderi publice </w:t>
      </w:r>
      <w:r w:rsidRPr="00AF3608">
        <w:rPr>
          <w:rFonts w:ascii="Calibri" w:hAnsi="Calibri" w:cs="Calibri"/>
          <w:color w:val="000000"/>
          <w:u w:val="single"/>
          <w:lang w:val="ro-RO" w:eastAsia="ro-RO"/>
        </w:rPr>
        <w:t>active</w:t>
      </w:r>
      <w:r w:rsidRPr="00AF3608">
        <w:rPr>
          <w:rFonts w:ascii="Calibri" w:hAnsi="Calibri" w:cs="Calibri"/>
          <w:color w:val="000000"/>
          <w:lang w:val="ro-RO" w:eastAsia="ro-RO"/>
        </w:rPr>
        <w:t xml:space="preserve"> și suma de </w:t>
      </w:r>
      <w:r w:rsidRPr="00AF3608">
        <w:rPr>
          <w:rFonts w:ascii="Calibri" w:hAnsi="Calibri" w:cs="Calibri"/>
          <w:color w:val="000000"/>
          <w:u w:val="single"/>
          <w:lang w:val="ro-RO" w:eastAsia="ro-RO"/>
        </w:rPr>
        <w:t>1,05 mld lei</w:t>
      </w:r>
      <w:r w:rsidRPr="00AF3608">
        <w:rPr>
          <w:rFonts w:ascii="Calibri" w:hAnsi="Calibri" w:cs="Calibri"/>
          <w:color w:val="000000"/>
          <w:lang w:val="ro-RO" w:eastAsia="ro-RO"/>
        </w:rPr>
        <w:t xml:space="preserve"> a fost înregistrată de </w:t>
      </w:r>
      <w:r w:rsidRPr="00AF3608">
        <w:rPr>
          <w:rFonts w:ascii="Calibri" w:hAnsi="Calibri" w:cs="Calibri"/>
          <w:color w:val="000000"/>
          <w:lang w:val="ro-RO" w:eastAsia="ro-RO"/>
        </w:rPr>
        <w:lastRenderedPageBreak/>
        <w:t xml:space="preserve">20 întreprinderi publice </w:t>
      </w:r>
      <w:r w:rsidRPr="00AF3608">
        <w:rPr>
          <w:rFonts w:ascii="Calibri" w:hAnsi="Calibri" w:cs="Calibri"/>
          <w:color w:val="000000"/>
          <w:u w:val="single"/>
          <w:lang w:val="ro-RO" w:eastAsia="ro-RO"/>
        </w:rPr>
        <w:t>aflate în diverse stadii de insolvență, faliment, reorganizare judiciară, dizolvare, conform Legii 85/2014</w:t>
      </w:r>
      <w:r w:rsidRPr="00AF3608">
        <w:rPr>
          <w:rFonts w:ascii="Calibri" w:hAnsi="Calibri" w:cs="Calibri"/>
          <w:color w:val="000000"/>
          <w:lang w:val="ro-RO" w:eastAsia="ro-RO"/>
        </w:rPr>
        <w:t>."</w:t>
      </w:r>
    </w:p>
    <w:p w:rsidR="00ED5289" w:rsidRPr="00AF3608" w:rsidRDefault="00ED5289" w:rsidP="003A0B85">
      <w:pPr>
        <w:numPr>
          <w:ilvl w:val="0"/>
          <w:numId w:val="131"/>
        </w:numPr>
        <w:spacing w:before="120"/>
        <w:ind w:left="426" w:hanging="426"/>
        <w:jc w:val="both"/>
        <w:rPr>
          <w:rFonts w:ascii="Calibri" w:hAnsi="Calibri" w:cs="Calibri"/>
          <w:b/>
          <w:u w:val="single"/>
          <w:lang w:val="ro-RO"/>
        </w:rPr>
      </w:pPr>
      <w:r w:rsidRPr="00AF3608">
        <w:rPr>
          <w:rFonts w:ascii="Calibri" w:hAnsi="Calibri" w:cs="Calibri"/>
          <w:b/>
          <w:u w:val="single"/>
          <w:lang w:val="ro-RO"/>
        </w:rPr>
        <w:t xml:space="preserve">Principalii indicatori economico-financiari raportați de întreprinderile publice financiare </w:t>
      </w:r>
    </w:p>
    <w:p w:rsidR="00ED5289" w:rsidRPr="00AF3608" w:rsidRDefault="00ED5289" w:rsidP="00B723C0">
      <w:pPr>
        <w:spacing w:before="120"/>
        <w:jc w:val="both"/>
        <w:rPr>
          <w:rFonts w:ascii="Calibri" w:hAnsi="Calibri" w:cs="Calibri"/>
          <w:lang w:val="ro-RO"/>
        </w:rPr>
      </w:pPr>
      <w:r w:rsidRPr="00AF3608">
        <w:rPr>
          <w:rFonts w:ascii="Calibri" w:hAnsi="Calibri" w:cs="Calibri"/>
          <w:lang w:val="ro-RO"/>
        </w:rPr>
        <w:t xml:space="preserve">Statul deține capital social în proporție majoritară sau integrală la 10 întreprinderi publice financiare </w:t>
      </w:r>
    </w:p>
    <w:p w:rsidR="00ED5289" w:rsidRPr="00AF3608" w:rsidRDefault="00ED5289" w:rsidP="00B723C0">
      <w:pPr>
        <w:spacing w:before="120"/>
        <w:ind w:firstLine="720"/>
        <w:jc w:val="both"/>
        <w:rPr>
          <w:rFonts w:ascii="Calibri" w:hAnsi="Calibri" w:cs="Calibri"/>
          <w:lang w:val="ro-RO"/>
        </w:rPr>
      </w:pPr>
      <w:r w:rsidRPr="00AF3608">
        <w:rPr>
          <w:rFonts w:ascii="Calibri" w:hAnsi="Calibri" w:cs="Calibri"/>
          <w:b/>
          <w:lang w:val="ro-RO"/>
        </w:rPr>
        <w:t>1. Capitalul propriu</w:t>
      </w:r>
      <w:r w:rsidRPr="00AF3608">
        <w:rPr>
          <w:rFonts w:ascii="Calibri" w:hAnsi="Calibri" w:cs="Calibri"/>
          <w:lang w:val="ro-RO"/>
        </w:rPr>
        <w:t xml:space="preserve"> al acestora a fost în sumă totală de </w:t>
      </w:r>
      <w:r w:rsidRPr="00AF3608">
        <w:rPr>
          <w:rFonts w:ascii="Calibri" w:hAnsi="Calibri" w:cs="Calibri"/>
          <w:u w:val="single"/>
          <w:lang w:val="ro-RO"/>
        </w:rPr>
        <w:t>6,65 mld lei</w:t>
      </w:r>
      <w:r w:rsidRPr="00AF3608">
        <w:rPr>
          <w:rFonts w:ascii="Calibri" w:hAnsi="Calibri" w:cs="Calibri"/>
          <w:lang w:val="ro-RO"/>
        </w:rPr>
        <w:t xml:space="preserve"> şi reprezintă 0,62 % din Produsul Intern Brut (P.I.B.);</w:t>
      </w:r>
    </w:p>
    <w:p w:rsidR="00ED5289" w:rsidRPr="00AF3608" w:rsidRDefault="00ED5289" w:rsidP="00B723C0">
      <w:pPr>
        <w:spacing w:before="120"/>
        <w:ind w:firstLine="720"/>
        <w:jc w:val="both"/>
        <w:rPr>
          <w:rFonts w:ascii="Calibri" w:hAnsi="Calibri" w:cs="Calibri"/>
          <w:u w:val="single"/>
          <w:lang w:val="ro-RO"/>
        </w:rPr>
      </w:pPr>
      <w:r w:rsidRPr="00AF3608">
        <w:rPr>
          <w:rFonts w:ascii="Calibri" w:hAnsi="Calibri" w:cs="Calibri"/>
          <w:b/>
          <w:lang w:val="ro-RO"/>
        </w:rPr>
        <w:t>2. Activele totale</w:t>
      </w:r>
      <w:r w:rsidRPr="00AF3608">
        <w:rPr>
          <w:rFonts w:ascii="Calibri" w:hAnsi="Calibri" w:cs="Calibri"/>
          <w:lang w:val="ro-RO"/>
        </w:rPr>
        <w:t xml:space="preserve"> au fost în sumă totală de </w:t>
      </w:r>
      <w:r w:rsidRPr="00AF3608">
        <w:rPr>
          <w:rFonts w:ascii="Calibri" w:hAnsi="Calibri" w:cs="Calibri"/>
          <w:u w:val="single"/>
          <w:lang w:val="ro-RO"/>
        </w:rPr>
        <w:t>43,18 mld lei</w:t>
      </w:r>
      <w:r w:rsidRPr="00AF3608">
        <w:rPr>
          <w:rFonts w:ascii="Calibri" w:hAnsi="Calibri" w:cs="Calibri"/>
          <w:lang w:val="ro-RO"/>
        </w:rPr>
        <w:t>.</w:t>
      </w:r>
    </w:p>
    <w:p w:rsidR="00ED5289" w:rsidRPr="00AF3608" w:rsidRDefault="00ED5289" w:rsidP="00B723C0">
      <w:pPr>
        <w:spacing w:before="120"/>
        <w:ind w:firstLine="720"/>
        <w:jc w:val="both"/>
        <w:rPr>
          <w:rFonts w:ascii="Calibri" w:hAnsi="Calibri" w:cs="Calibri"/>
          <w:u w:val="single"/>
          <w:lang w:val="ro-RO"/>
        </w:rPr>
      </w:pPr>
      <w:r w:rsidRPr="00AF3608">
        <w:rPr>
          <w:rFonts w:ascii="Calibri" w:hAnsi="Calibri" w:cs="Calibri"/>
          <w:b/>
          <w:lang w:val="ro-RO"/>
        </w:rPr>
        <w:t>3. Datoriile totale</w:t>
      </w:r>
      <w:r w:rsidRPr="00AF3608">
        <w:rPr>
          <w:rFonts w:ascii="Calibri" w:hAnsi="Calibri" w:cs="Calibri"/>
          <w:lang w:val="ro-RO"/>
        </w:rPr>
        <w:t xml:space="preserve"> (sume ce trebuie plătite într-o perioadă de până la 1 an și peste 1 an) au fost în sumă totală de </w:t>
      </w:r>
      <w:r w:rsidRPr="00AF3608">
        <w:rPr>
          <w:rFonts w:ascii="Calibri" w:hAnsi="Calibri" w:cs="Calibri"/>
          <w:u w:val="single"/>
          <w:lang w:val="ro-RO"/>
        </w:rPr>
        <w:t>35,92 mld lei.</w:t>
      </w:r>
    </w:p>
    <w:p w:rsidR="00ED5289" w:rsidRPr="00AF3608" w:rsidRDefault="00ED5289" w:rsidP="00B723C0">
      <w:pPr>
        <w:spacing w:before="120"/>
        <w:ind w:firstLine="720"/>
        <w:jc w:val="both"/>
        <w:rPr>
          <w:rFonts w:ascii="Calibri" w:hAnsi="Calibri" w:cs="Calibri"/>
          <w:u w:val="single"/>
          <w:lang w:val="ro-RO"/>
        </w:rPr>
      </w:pPr>
      <w:r w:rsidRPr="00AF3608">
        <w:rPr>
          <w:rFonts w:ascii="Calibri" w:hAnsi="Calibri" w:cs="Calibri"/>
          <w:b/>
          <w:lang w:val="ro-RO"/>
        </w:rPr>
        <w:t>4. Gradul de îndatorare</w:t>
      </w:r>
      <w:r w:rsidRPr="00AF3608">
        <w:rPr>
          <w:rFonts w:ascii="Calibri" w:hAnsi="Calibri" w:cs="Calibri"/>
          <w:lang w:val="ro-RO"/>
        </w:rPr>
        <w:t xml:space="preserve"> calculat conform formulei (Total Datorii /Total Active) a fost de </w:t>
      </w:r>
      <w:r w:rsidRPr="00AF3608">
        <w:rPr>
          <w:rFonts w:ascii="Calibri" w:hAnsi="Calibri" w:cs="Calibri"/>
          <w:u w:val="single"/>
          <w:lang w:val="ro-RO"/>
        </w:rPr>
        <w:t>83,17 %.</w:t>
      </w:r>
    </w:p>
    <w:p w:rsidR="00ED5289" w:rsidRPr="00AF3608" w:rsidRDefault="00ED5289" w:rsidP="00B723C0">
      <w:pPr>
        <w:spacing w:before="120"/>
        <w:ind w:firstLine="720"/>
        <w:jc w:val="both"/>
        <w:rPr>
          <w:rFonts w:ascii="Calibri" w:hAnsi="Calibri" w:cs="Calibri"/>
          <w:lang w:val="ro-RO"/>
        </w:rPr>
      </w:pPr>
      <w:r w:rsidRPr="00AF3608">
        <w:rPr>
          <w:rFonts w:ascii="Calibri" w:hAnsi="Calibri" w:cs="Calibri"/>
          <w:b/>
          <w:lang w:val="ro-RO"/>
        </w:rPr>
        <w:t>5.</w:t>
      </w:r>
      <w:r w:rsidRPr="00AF3608">
        <w:rPr>
          <w:rFonts w:ascii="Calibri" w:hAnsi="Calibri" w:cs="Calibri"/>
          <w:lang w:val="ro-RO"/>
        </w:rPr>
        <w:t xml:space="preserve"> </w:t>
      </w:r>
      <w:r w:rsidRPr="00AF3608">
        <w:rPr>
          <w:rFonts w:ascii="Calibri" w:hAnsi="Calibri" w:cs="Calibri"/>
          <w:b/>
          <w:lang w:val="ro-RO"/>
        </w:rPr>
        <w:t>Profitul</w:t>
      </w:r>
      <w:r w:rsidRPr="00AF3608">
        <w:rPr>
          <w:rFonts w:ascii="Calibri" w:hAnsi="Calibri" w:cs="Calibri"/>
          <w:lang w:val="ro-RO"/>
        </w:rPr>
        <w:t xml:space="preserve"> </w:t>
      </w:r>
      <w:r w:rsidRPr="00AF3608">
        <w:rPr>
          <w:rFonts w:ascii="Calibri" w:hAnsi="Calibri" w:cs="Calibri"/>
          <w:b/>
          <w:lang w:val="ro-RO"/>
        </w:rPr>
        <w:t>brut</w:t>
      </w:r>
      <w:r w:rsidRPr="00AF3608">
        <w:rPr>
          <w:rFonts w:ascii="Calibri" w:hAnsi="Calibri" w:cs="Calibri"/>
          <w:lang w:val="ro-RO"/>
        </w:rPr>
        <w:t xml:space="preserve"> a fost în sumă totală de </w:t>
      </w:r>
      <w:r w:rsidRPr="00AF3608">
        <w:rPr>
          <w:rFonts w:ascii="Calibri" w:hAnsi="Calibri" w:cs="Calibri"/>
          <w:u w:val="single"/>
          <w:lang w:val="ro-RO"/>
        </w:rPr>
        <w:t>0,50 mld lei</w:t>
      </w:r>
      <w:r w:rsidRPr="00AF3608">
        <w:rPr>
          <w:rFonts w:ascii="Calibri" w:hAnsi="Calibri" w:cs="Calibri"/>
          <w:lang w:val="ro-RO"/>
        </w:rPr>
        <w:t xml:space="preserve"> și reprezintă 0,04% din Produsul Intern Brut (P.I.B.);</w:t>
      </w:r>
    </w:p>
    <w:p w:rsidR="00ED5289" w:rsidRPr="00AF3608" w:rsidRDefault="00ED5289" w:rsidP="00B723C0">
      <w:pPr>
        <w:spacing w:before="120"/>
        <w:ind w:firstLine="720"/>
        <w:jc w:val="both"/>
        <w:rPr>
          <w:rFonts w:ascii="Calibri" w:hAnsi="Calibri" w:cs="Calibri"/>
          <w:color w:val="000000"/>
          <w:u w:val="single"/>
          <w:lang w:val="ro-RO" w:eastAsia="ro-RO"/>
        </w:rPr>
      </w:pPr>
      <w:r w:rsidRPr="00AF3608">
        <w:rPr>
          <w:rFonts w:ascii="Calibri" w:hAnsi="Calibri" w:cs="Calibri"/>
          <w:b/>
          <w:bCs/>
          <w:color w:val="000000"/>
          <w:lang w:val="ro-RO" w:eastAsia="ro-RO"/>
        </w:rPr>
        <w:t xml:space="preserve">6. Valoarea participațiilor statului </w:t>
      </w:r>
      <w:r w:rsidRPr="00AF3608">
        <w:rPr>
          <w:rFonts w:ascii="Calibri" w:hAnsi="Calibri" w:cs="Calibri"/>
          <w:color w:val="000000"/>
          <w:lang w:val="ro-RO" w:eastAsia="ro-RO"/>
        </w:rPr>
        <w:t xml:space="preserve">a fost în sumă totală de </w:t>
      </w:r>
      <w:r w:rsidRPr="00AF3608">
        <w:rPr>
          <w:rFonts w:ascii="Calibri" w:hAnsi="Calibri" w:cs="Calibri"/>
          <w:color w:val="000000"/>
          <w:u w:val="single"/>
          <w:lang w:val="ro-RO" w:eastAsia="ro-RO"/>
        </w:rPr>
        <w:t>4,37 mld lei</w:t>
      </w:r>
      <w:r w:rsidRPr="00AF3608">
        <w:rPr>
          <w:rFonts w:ascii="Calibri" w:hAnsi="Calibri" w:cs="Calibri"/>
          <w:color w:val="000000"/>
          <w:lang w:val="ro-RO" w:eastAsia="ro-RO"/>
        </w:rPr>
        <w:t xml:space="preserve"> din care </w:t>
      </w:r>
      <w:r w:rsidRPr="00AF3608">
        <w:rPr>
          <w:rFonts w:ascii="Calibri" w:hAnsi="Calibri" w:cs="Calibri"/>
          <w:color w:val="000000"/>
          <w:u w:val="single"/>
          <w:lang w:val="ro-RO" w:eastAsia="ro-RO"/>
        </w:rPr>
        <w:t>participațiile directe</w:t>
      </w:r>
      <w:r w:rsidRPr="00AF3608">
        <w:rPr>
          <w:rFonts w:ascii="Calibri" w:hAnsi="Calibri" w:cs="Calibri"/>
          <w:color w:val="000000"/>
          <w:lang w:val="ro-RO" w:eastAsia="ro-RO"/>
        </w:rPr>
        <w:t xml:space="preserve"> au fost în sumă de </w:t>
      </w:r>
      <w:r w:rsidRPr="00AF3608">
        <w:rPr>
          <w:rFonts w:ascii="Calibri" w:hAnsi="Calibri" w:cs="Calibri"/>
          <w:color w:val="000000"/>
          <w:u w:val="single"/>
          <w:lang w:val="ro-RO" w:eastAsia="ro-RO"/>
        </w:rPr>
        <w:t>4,27 mld lei</w:t>
      </w:r>
      <w:r w:rsidRPr="00AF3608">
        <w:rPr>
          <w:rFonts w:ascii="Calibri" w:hAnsi="Calibri" w:cs="Calibri"/>
          <w:color w:val="000000"/>
          <w:lang w:val="ro-RO" w:eastAsia="ro-RO"/>
        </w:rPr>
        <w:t xml:space="preserve"> și </w:t>
      </w:r>
      <w:r w:rsidRPr="00AF3608">
        <w:rPr>
          <w:rFonts w:ascii="Calibri" w:hAnsi="Calibri" w:cs="Calibri"/>
          <w:color w:val="000000"/>
          <w:u w:val="single"/>
          <w:lang w:val="ro-RO" w:eastAsia="ro-RO"/>
        </w:rPr>
        <w:t>participațiile indirecte</w:t>
      </w:r>
      <w:r w:rsidRPr="00AF3608">
        <w:rPr>
          <w:rFonts w:ascii="Calibri" w:hAnsi="Calibri" w:cs="Calibri"/>
          <w:color w:val="000000"/>
          <w:lang w:val="ro-RO" w:eastAsia="ro-RO"/>
        </w:rPr>
        <w:t xml:space="preserve"> au fost în sumă de </w:t>
      </w:r>
      <w:r w:rsidRPr="00AF3608">
        <w:rPr>
          <w:rFonts w:ascii="Calibri" w:hAnsi="Calibri" w:cs="Calibri"/>
          <w:color w:val="000000"/>
          <w:u w:val="single"/>
          <w:lang w:val="ro-RO" w:eastAsia="ro-RO"/>
        </w:rPr>
        <w:t>0,10 mld lei;</w:t>
      </w:r>
    </w:p>
    <w:p w:rsidR="00ED5289" w:rsidRPr="00AF3608" w:rsidRDefault="00ED5289" w:rsidP="00B723C0">
      <w:pPr>
        <w:spacing w:before="120"/>
        <w:ind w:firstLine="720"/>
        <w:jc w:val="both"/>
        <w:rPr>
          <w:rFonts w:ascii="Calibri" w:hAnsi="Calibri" w:cs="Calibri"/>
          <w:color w:val="000000"/>
          <w:lang w:val="ro-RO"/>
        </w:rPr>
      </w:pPr>
      <w:r w:rsidRPr="00AF3608">
        <w:rPr>
          <w:rFonts w:ascii="Calibri" w:hAnsi="Calibri" w:cs="Calibri"/>
          <w:color w:val="000000"/>
          <w:lang w:val="ro-RO"/>
        </w:rPr>
        <w:t>P.I.B.-ul folosit este de 1059,8 mld lei (potrivit proiecției principalilor indicatori macroeconomici 2020-2024 prognoza de iarnă 2021 – sursa Comisia Națională de Prognoză</w:t>
      </w:r>
    </w:p>
    <w:p w:rsidR="00ED5289" w:rsidRPr="00AF3608" w:rsidRDefault="00ED5289" w:rsidP="00B723C0">
      <w:pPr>
        <w:suppressAutoHyphens/>
        <w:spacing w:before="120"/>
        <w:jc w:val="both"/>
        <w:rPr>
          <w:rFonts w:ascii="Calibri" w:hAnsi="Calibri" w:cs="Calibri"/>
          <w:lang w:val="ro-RO"/>
        </w:rPr>
      </w:pPr>
    </w:p>
    <w:tbl>
      <w:tblPr>
        <w:tblW w:w="0" w:type="auto"/>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831"/>
      </w:tblGrid>
      <w:tr w:rsidR="00F94016" w:rsidRPr="00AF3608" w:rsidTr="00F94016">
        <w:trPr>
          <w:trHeight w:val="397"/>
        </w:trPr>
        <w:tc>
          <w:tcPr>
            <w:tcW w:w="9831" w:type="dxa"/>
            <w:shd w:val="clear" w:color="auto" w:fill="D9D9D9" w:themeFill="background1" w:themeFillShade="D9"/>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Riscuri generate de situații de urgență (dezastre naturale, accidente)</w:t>
            </w:r>
          </w:p>
        </w:tc>
      </w:tr>
    </w:tbl>
    <w:p w:rsidR="00ED5289" w:rsidRPr="00AF3608" w:rsidRDefault="00ED5289" w:rsidP="00B723C0">
      <w:pPr>
        <w:suppressAutoHyphens/>
        <w:spacing w:before="120"/>
        <w:jc w:val="both"/>
        <w:rPr>
          <w:rFonts w:ascii="Calibri" w:hAnsi="Calibri" w:cs="Calibri"/>
          <w:lang w:val="ro-RO"/>
        </w:rPr>
      </w:pPr>
    </w:p>
    <w:tbl>
      <w:tblPr>
        <w:tblW w:w="0" w:type="auto"/>
        <w:tblBorders>
          <w:top w:val="single" w:sz="2" w:space="0" w:color="365F91"/>
          <w:left w:val="single" w:sz="2" w:space="0" w:color="365F91"/>
          <w:bottom w:val="single" w:sz="2" w:space="0" w:color="365F91"/>
          <w:right w:val="single" w:sz="2" w:space="0" w:color="365F91"/>
        </w:tblBorders>
        <w:tblLook w:val="04A0" w:firstRow="1" w:lastRow="0" w:firstColumn="1" w:lastColumn="0" w:noHBand="0" w:noVBand="1"/>
      </w:tblPr>
      <w:tblGrid>
        <w:gridCol w:w="9831"/>
      </w:tblGrid>
      <w:tr w:rsidR="00173CDE" w:rsidRPr="00AF3608" w:rsidTr="00F94016">
        <w:trPr>
          <w:trHeight w:val="397"/>
        </w:trPr>
        <w:tc>
          <w:tcPr>
            <w:tcW w:w="9831" w:type="dxa"/>
            <w:shd w:val="clear" w:color="auto" w:fill="F2F2F2" w:themeFill="background1" w:themeFillShade="F2"/>
          </w:tcPr>
          <w:p w:rsidR="00ED5289" w:rsidRPr="00AF3608" w:rsidRDefault="00ED5289" w:rsidP="00690B25">
            <w:pPr>
              <w:suppressAutoHyphens/>
              <w:spacing w:before="120"/>
              <w:jc w:val="both"/>
              <w:rPr>
                <w:rFonts w:ascii="Calibri" w:hAnsi="Calibri" w:cs="Calibri"/>
                <w:lang w:val="ro-RO"/>
              </w:rPr>
            </w:pPr>
            <w:r w:rsidRPr="00AF3608">
              <w:rPr>
                <w:rFonts w:ascii="Calibri" w:hAnsi="Calibri" w:cs="Calibri"/>
                <w:lang w:val="ro-RO"/>
              </w:rPr>
              <w:t>Sistemul de gestionare a riscurilor generate de situații de urgență din România</w:t>
            </w:r>
          </w:p>
        </w:tc>
      </w:tr>
    </w:tbl>
    <w:p w:rsidR="00ED5289" w:rsidRPr="00AF3608" w:rsidRDefault="00ED5289" w:rsidP="00690B25">
      <w:pPr>
        <w:suppressAutoHyphens/>
        <w:spacing w:before="120"/>
        <w:jc w:val="both"/>
        <w:rPr>
          <w:rFonts w:ascii="Calibri" w:hAnsi="Calibri" w:cs="Calibri"/>
          <w:lang w:val="ro-RO"/>
        </w:rPr>
      </w:pPr>
      <w:r w:rsidRPr="00AF3608">
        <w:rPr>
          <w:rFonts w:ascii="Calibri" w:hAnsi="Calibri" w:cs="Calibri"/>
          <w:lang w:val="ro-RO"/>
        </w:rPr>
        <w:t>În România, sistemul de gestionare a riscurilor</w:t>
      </w:r>
      <w:r w:rsidRPr="00AF3608">
        <w:rPr>
          <w:rFonts w:ascii="Calibri" w:hAnsi="Calibri" w:cs="Calibri"/>
          <w:vertAlign w:val="superscript"/>
          <w:lang w:val="ro-RO"/>
        </w:rPr>
        <w:footnoteReference w:id="30"/>
      </w:r>
      <w:r w:rsidRPr="00AF3608">
        <w:rPr>
          <w:rFonts w:ascii="Calibri" w:hAnsi="Calibri" w:cs="Calibri"/>
          <w:lang w:val="ro-RO"/>
        </w:rPr>
        <w:t xml:space="preserve"> cuprinde o serie de instituții aparținând administrației publice centrale precum și celei locale. Capacitatea instituțională și resursele acestora sunt importante datorită iminenței anumitor tipuri de situații de urgență, care au un model repetitiv în România și un impact important asupra oamenilor, mediului și stabilității socio-politice. Sistemul a fost creat pentru a asigura o gestionare eficientă a oricărui tip de situație de urgență și de asemenea, pentru a acoperi obligațiile pe care România le are ca parte a tratatelor și acordurilor internaționale, în special ca stat membru al Uniunii Europene. Acesta include și un sistem european de prevenire a riscurilor, având în vedere caracterul transfrontalier al riscurilor contemporane.</w:t>
      </w:r>
    </w:p>
    <w:p w:rsidR="00ED5289" w:rsidRPr="00AF3608" w:rsidRDefault="00ED5289" w:rsidP="00690B25">
      <w:pPr>
        <w:suppressAutoHyphens/>
        <w:spacing w:before="120"/>
        <w:jc w:val="both"/>
        <w:rPr>
          <w:rFonts w:ascii="Calibri" w:hAnsi="Calibri" w:cs="Calibri"/>
          <w:lang w:val="ro-RO"/>
        </w:rPr>
      </w:pPr>
      <w:r w:rsidRPr="00AF3608">
        <w:rPr>
          <w:rFonts w:ascii="Calibri" w:hAnsi="Calibri" w:cs="Calibri"/>
          <w:u w:val="single"/>
          <w:lang w:val="ro-RO"/>
        </w:rPr>
        <w:t>Ministerul Afacerilor Interne</w:t>
      </w:r>
      <w:r w:rsidRPr="00AF3608">
        <w:rPr>
          <w:rFonts w:ascii="Calibri" w:hAnsi="Calibri" w:cs="Calibri"/>
          <w:lang w:val="ro-RO"/>
        </w:rPr>
        <w:t xml:space="preserve"> elaborează principalele politici publice cu privire la situațiile de urgență, precum și centralizarea evaluării și a gestionarii riscurilor al căror management se află sub responsabilitatea ministerelor de resort. Câteva dintre ministerele de resort ce trebuie  să îndeplinească funcții de sprijin în managementul situațiilor de urgență sunt: Ministerul Dezvoltării Lucrărilor Publice și Administrației, Ministerul Mediului, Apelor și Pădurilor, Ministerul Agriculturii și Dezvoltării Rurale, Ministerul Sănătății, Ministerul Economiei, Antreprenoriatului și Turismului.</w:t>
      </w:r>
    </w:p>
    <w:p w:rsidR="00ED5289" w:rsidRPr="00AF3608" w:rsidRDefault="00ED5289" w:rsidP="00690B25">
      <w:pPr>
        <w:suppressAutoHyphens/>
        <w:spacing w:before="120"/>
        <w:jc w:val="both"/>
        <w:rPr>
          <w:rFonts w:ascii="Calibri" w:hAnsi="Calibri" w:cs="Calibri"/>
          <w:lang w:val="ro-RO"/>
        </w:rPr>
      </w:pPr>
      <w:r w:rsidRPr="00AF3608">
        <w:rPr>
          <w:rFonts w:ascii="Calibri" w:hAnsi="Calibri" w:cs="Calibri"/>
          <w:lang w:val="ro-RO"/>
        </w:rPr>
        <w:lastRenderedPageBreak/>
        <w:t>Piesa principală a legislației ce reglementează domeniul situațiilor de urgență este Ordonanța de urgență a Guvernului nr. 21/2004 privind Sistemul Național de Management pentru Situații de Urgență, modificată și completată prin Ordonanța de urgență a Guvernului nr. 1/2014 privind unele măsuri în domeniul gestionării situațiilor de urgență. În completarea cadrului legislativ, a fost adoptată Hotărârea de Guvern (G.D.) nr. 557/2016 privind managementul tipurilor de risc. Conform acestor acte normative, instituțiile au definit obligația de a întocmi planuri sectoriale pentru a oferi baza gestionării specifice situațiilor de urgență. Coordonarea întregului proces este asigurată de Comitetul Național pentru Situații de Urgență Speciale (CNSUS).</w:t>
      </w:r>
    </w:p>
    <w:p w:rsidR="00ED5289" w:rsidRPr="00AF3608" w:rsidRDefault="00ED5289" w:rsidP="00690B25">
      <w:pPr>
        <w:spacing w:before="120"/>
        <w:jc w:val="both"/>
        <w:rPr>
          <w:rFonts w:ascii="Calibri" w:hAnsi="Calibri" w:cs="Calibri"/>
          <w:color w:val="000000" w:themeColor="text1"/>
          <w:lang w:val="ro-RO"/>
        </w:rPr>
      </w:pPr>
      <w:r w:rsidRPr="00AF3608">
        <w:rPr>
          <w:rFonts w:ascii="Calibri" w:hAnsi="Calibri" w:cs="Calibri"/>
          <w:color w:val="000000" w:themeColor="text1"/>
          <w:lang w:val="ro-RO"/>
        </w:rPr>
        <w:t>În conformitate cu legislația românească, în România sunt identificate 24 de tipuri de riscuri majore cu 55 de riscuri asociate, care se pot manifesta pe teritoriul național, producând pierderi de vieți omenești, pagube materiale și de mediu.</w:t>
      </w:r>
    </w:p>
    <w:p w:rsidR="00ED5289" w:rsidRPr="00AF3608" w:rsidRDefault="00ED5289" w:rsidP="00690B25">
      <w:pPr>
        <w:spacing w:before="120"/>
        <w:jc w:val="both"/>
        <w:rPr>
          <w:rFonts w:ascii="Calibri" w:hAnsi="Calibri" w:cs="Calibri"/>
          <w:color w:val="000000" w:themeColor="text1"/>
          <w:lang w:val="ro-RO"/>
        </w:rPr>
      </w:pPr>
      <w:r w:rsidRPr="00AF3608">
        <w:rPr>
          <w:rFonts w:ascii="Calibri" w:hAnsi="Calibri" w:cs="Calibri"/>
          <w:color w:val="000000" w:themeColor="text1"/>
          <w:lang w:val="ro-RO"/>
        </w:rPr>
        <w:t>Ținând cont de evaluarea riscurilor făcută prin proiectul RO-RISK, precum și cu rapoartele de țară privind managementul riscurilor</w:t>
      </w:r>
      <w:r w:rsidRPr="00AF3608">
        <w:rPr>
          <w:rFonts w:ascii="Calibri" w:hAnsi="Calibri" w:cs="Calibri"/>
          <w:color w:val="000000" w:themeColor="text1"/>
          <w:vertAlign w:val="superscript"/>
          <w:lang w:val="ro-RO"/>
        </w:rPr>
        <w:footnoteReference w:id="31"/>
      </w:r>
      <w:r w:rsidRPr="00AF3608">
        <w:rPr>
          <w:rFonts w:ascii="Calibri" w:hAnsi="Calibri" w:cs="Calibri"/>
          <w:color w:val="000000" w:themeColor="text1"/>
          <w:lang w:val="ro-RO"/>
        </w:rPr>
        <w:t xml:space="preserve"> elaborate și transmise, în perioada 2016 – 2020, către Comisia Europeană în vederea îndeplinirii obligațiilor ce decurg din aplicarea Deciziei nr. 1313/2013/UE privind un mecanism de protecție civilă al Uniunii, modificată prin Decizia (UE) 2019/420 a Parlamentului European și a Consiliului din 13 martie 2019, România este o ţară cu factor mare de vulnerabilitate la producerea dezastrelor naturale și tehnologice. </w:t>
      </w:r>
    </w:p>
    <w:p w:rsidR="00ED5289" w:rsidRPr="00AF3608" w:rsidRDefault="00ED5289" w:rsidP="00690B25">
      <w:pPr>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În ceea ce privește contextul actual al riscului de dezastre din România, dezastrele geofizice și cele legate de climă reprezintă o amenințare considerabilă pentru eforturile țării de a atenua sărăcia și creșterea economică durabilă, pierderile în caz de dezastre crescând pe măsură ce apar schimbări climatice și urbanizare și au avut efecte fizice, sociale și financiare semnificative în ultimele decenii. România este predispusă la o serie de dezastre naturale, în special cutremure, inundații, secetă și vreme extremă, epidemii dar și datorate omului și activității sale (incendii, accidente chimice, accidente de transport în care sunt implicate substanțe periculoase și accidente nucleare și radiologice). </w:t>
      </w:r>
    </w:p>
    <w:p w:rsidR="00ED5289" w:rsidRPr="00AF3608" w:rsidRDefault="00ED5289" w:rsidP="00690B25">
      <w:pPr>
        <w:spacing w:before="120"/>
        <w:jc w:val="both"/>
        <w:rPr>
          <w:rFonts w:ascii="Calibri" w:hAnsi="Calibri" w:cs="Calibri"/>
          <w:color w:val="000000" w:themeColor="text1"/>
          <w:lang w:val="ro-RO"/>
        </w:rPr>
      </w:pPr>
      <w:r w:rsidRPr="00AF3608">
        <w:rPr>
          <w:rFonts w:ascii="Calibri" w:hAnsi="Calibri" w:cs="Calibri"/>
          <w:color w:val="000000" w:themeColor="text1"/>
          <w:lang w:val="ro-RO"/>
        </w:rPr>
        <w:t>Evaluarea riscurilor la nivel național a demonstrat faptul că în România practic întregul teritoriu național se află sub incidența unuia sau mai multor tipuri de dezastre, fapt ce face ca expunerea populației să fie una dintre cele mai ridicate în Uniunea Europeană (potrivit raportului INFORM din 2019, indicele de risc global GRI corespunzător României este 2.9, cu mult peste media europeană de 2.1, iar cel de expunere la hazarde de 3.5 față de 2.37 media europeană).</w:t>
      </w:r>
    </w:p>
    <w:p w:rsidR="00ED5289" w:rsidRPr="00AF3608" w:rsidRDefault="00ED5289" w:rsidP="00690B25">
      <w:pPr>
        <w:spacing w:before="120"/>
        <w:jc w:val="both"/>
        <w:outlineLvl w:val="0"/>
        <w:rPr>
          <w:rFonts w:ascii="Calibri" w:hAnsi="Calibri" w:cs="Calibri"/>
          <w:color w:val="000000" w:themeColor="text1"/>
          <w:lang w:val="ro-RO"/>
        </w:rPr>
      </w:pPr>
      <w:r w:rsidRPr="00AF3608">
        <w:rPr>
          <w:rFonts w:ascii="Calibri" w:hAnsi="Calibri" w:cs="Calibri"/>
          <w:color w:val="000000" w:themeColor="text1"/>
          <w:lang w:val="ro-RO"/>
        </w:rPr>
        <w:t>Scenarii considerate</w:t>
      </w:r>
    </w:p>
    <w:p w:rsidR="00ED5289" w:rsidRPr="00AF3608" w:rsidRDefault="00ED5289" w:rsidP="00690B25">
      <w:pPr>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Având în vedere cele menționate mai sus, pentru estimarea impactului bugetar al dezastrelor pentru perioada 2021 - 2023, s-au considerat 4 scenarii aparținând atât riscurilor naturale cât și celor tehnologice, care pot apărea pe parcursul perioadei, fără a se considera o legătură de dependență între ele. </w:t>
      </w:r>
    </w:p>
    <w:p w:rsidR="00ED5289" w:rsidRPr="00AF3608" w:rsidRDefault="00ED5289" w:rsidP="00690B25">
      <w:pPr>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Scenariile considerate sunt: </w:t>
      </w:r>
    </w:p>
    <w:p w:rsidR="00ED5289" w:rsidRPr="00AF3608" w:rsidRDefault="00ED5289" w:rsidP="003A0B85">
      <w:pPr>
        <w:numPr>
          <w:ilvl w:val="0"/>
          <w:numId w:val="133"/>
        </w:numPr>
        <w:spacing w:before="120"/>
        <w:jc w:val="both"/>
        <w:rPr>
          <w:rFonts w:ascii="Calibri" w:hAnsi="Calibri" w:cs="Calibri"/>
          <w:color w:val="000000" w:themeColor="text1"/>
          <w:lang w:val="ro-RO"/>
        </w:rPr>
      </w:pPr>
      <w:r w:rsidRPr="00AF3608">
        <w:rPr>
          <w:rFonts w:ascii="Calibri" w:hAnsi="Calibri" w:cs="Calibri"/>
          <w:color w:val="000000" w:themeColor="text1"/>
          <w:lang w:val="ro-RO"/>
        </w:rPr>
        <w:t>Cutremur de tip vrâncean cu o perioadă medie de recurență de 1000 de ani;</w:t>
      </w:r>
    </w:p>
    <w:p w:rsidR="00ED5289" w:rsidRPr="00AF3608" w:rsidRDefault="00ED5289" w:rsidP="003A0B85">
      <w:pPr>
        <w:numPr>
          <w:ilvl w:val="0"/>
          <w:numId w:val="133"/>
        </w:numPr>
        <w:spacing w:before="120"/>
        <w:jc w:val="both"/>
        <w:rPr>
          <w:rFonts w:ascii="Calibri" w:hAnsi="Calibri" w:cs="Calibri"/>
          <w:color w:val="000000" w:themeColor="text1"/>
          <w:lang w:val="ro-RO"/>
        </w:rPr>
      </w:pPr>
      <w:r w:rsidRPr="00AF3608">
        <w:rPr>
          <w:rFonts w:ascii="Calibri" w:hAnsi="Calibri" w:cs="Calibri"/>
          <w:color w:val="000000" w:themeColor="text1"/>
          <w:lang w:val="ro-RO"/>
        </w:rPr>
        <w:t>Accident nuclear la Centrala Cernavodă - Accident sever la Unitatea 1;</w:t>
      </w:r>
    </w:p>
    <w:p w:rsidR="00ED5289" w:rsidRPr="00AF3608" w:rsidRDefault="00ED5289" w:rsidP="003A0B85">
      <w:pPr>
        <w:numPr>
          <w:ilvl w:val="0"/>
          <w:numId w:val="133"/>
        </w:numPr>
        <w:spacing w:before="120"/>
        <w:jc w:val="both"/>
        <w:rPr>
          <w:rFonts w:ascii="Calibri" w:hAnsi="Calibri" w:cs="Calibri"/>
          <w:color w:val="000000" w:themeColor="text1"/>
          <w:lang w:val="ro-RO"/>
        </w:rPr>
      </w:pPr>
      <w:r w:rsidRPr="00AF3608">
        <w:rPr>
          <w:rFonts w:ascii="Calibri" w:hAnsi="Calibri" w:cs="Calibri"/>
          <w:color w:val="000000" w:themeColor="text1"/>
          <w:lang w:val="ro-RO"/>
        </w:rPr>
        <w:t>Inundație pe Dunăre cu o perioadă medie de recurență de 1000 de ani;</w:t>
      </w:r>
    </w:p>
    <w:p w:rsidR="00ED5289" w:rsidRPr="00AF3608" w:rsidRDefault="00ED5289" w:rsidP="003A0B85">
      <w:pPr>
        <w:numPr>
          <w:ilvl w:val="0"/>
          <w:numId w:val="133"/>
        </w:numPr>
        <w:spacing w:before="120"/>
        <w:jc w:val="both"/>
        <w:rPr>
          <w:rFonts w:ascii="Calibri" w:hAnsi="Calibri" w:cs="Calibri"/>
          <w:color w:val="000000" w:themeColor="text1"/>
          <w:lang w:val="ro-RO"/>
        </w:rPr>
      </w:pPr>
      <w:r w:rsidRPr="00AF3608">
        <w:rPr>
          <w:rFonts w:ascii="Calibri" w:hAnsi="Calibri" w:cs="Calibri"/>
          <w:color w:val="000000" w:themeColor="text1"/>
          <w:lang w:val="ro-RO"/>
        </w:rPr>
        <w:t>Pandemie de gripă</w:t>
      </w:r>
    </w:p>
    <w:p w:rsidR="00ED5289" w:rsidRPr="00AF3608" w:rsidRDefault="00ED5289" w:rsidP="009D1AB4">
      <w:pPr>
        <w:spacing w:before="120"/>
        <w:jc w:val="both"/>
        <w:outlineLvl w:val="2"/>
        <w:rPr>
          <w:rFonts w:ascii="Calibri" w:hAnsi="Calibri" w:cs="Calibri"/>
          <w:color w:val="000000" w:themeColor="text1"/>
          <w:lang w:val="ro-RO"/>
        </w:rPr>
      </w:pPr>
      <w:r w:rsidRPr="00AF3608">
        <w:rPr>
          <w:rFonts w:ascii="Calibri" w:hAnsi="Calibri" w:cs="Calibri"/>
          <w:color w:val="000000" w:themeColor="text1"/>
          <w:lang w:val="ro-RO"/>
        </w:rPr>
        <w:lastRenderedPageBreak/>
        <w:t>I. Cutremur de tip vrâncean cu o perioadă medie de recurență de 1000 de ani</w:t>
      </w:r>
    </w:p>
    <w:p w:rsidR="00ED5289" w:rsidRPr="00AF3608" w:rsidRDefault="00ED5289" w:rsidP="009D1AB4">
      <w:pPr>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Scenariul prezentat presupune un cutremur puternic în zona Vrancei cu un interval mediu de recurență de 1000 ani și că declanșarea și producerea cutremurului ar avea loc noapte și că 95% din populație s-ar afla în clădirile rezidențiale. </w:t>
      </w:r>
    </w:p>
    <w:p w:rsidR="00ED5289" w:rsidRPr="00AF3608" w:rsidRDefault="00ED5289" w:rsidP="009D1AB4">
      <w:pPr>
        <w:spacing w:before="120"/>
        <w:jc w:val="both"/>
        <w:outlineLvl w:val="1"/>
        <w:rPr>
          <w:rFonts w:ascii="Calibri" w:hAnsi="Calibri" w:cs="Calibri"/>
          <w:color w:val="000000" w:themeColor="text1"/>
          <w:lang w:val="ro-RO"/>
        </w:rPr>
      </w:pPr>
      <w:r w:rsidRPr="00AF3608">
        <w:rPr>
          <w:rFonts w:ascii="Calibri" w:hAnsi="Calibri" w:cs="Calibri"/>
          <w:smallCaps/>
          <w:color w:val="000000" w:themeColor="text1"/>
          <w:lang w:val="ro-RO"/>
        </w:rPr>
        <w:t xml:space="preserve">I.1. Evaluarea impactului economic </w:t>
      </w:r>
    </w:p>
    <w:p w:rsidR="00ED5289" w:rsidRPr="00AF3608" w:rsidRDefault="00ED5289" w:rsidP="009D1AB4">
      <w:pPr>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Cutremurul în sine ca şi celelalte dezastre geologice severe asociate, cum ar fi alunecările de teren, căderile de stânci sau ruperea de baraje, pot provoca în mod direct mari pierderi de vieţi omeneşti, distrugerea infrastructurii (şosele, căi ferate, tunele de cale ferată, poduri, conducte de apă, petrol, gaze şi comunicaţii, etc.), a clădirilor şi a vehiculelor, ca şi incendii sau explozii. Cutremurul poate afecta sau chiar distruge obiective industriale şi/sau centre de afaceri. </w:t>
      </w:r>
    </w:p>
    <w:p w:rsidR="00ED5289" w:rsidRPr="00AF3608" w:rsidRDefault="00ED5289" w:rsidP="009D1AB4">
      <w:pPr>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Costurile directe includ pierderea de capital fizic şi uman, costurile de asistenţă, precum şi cele cu operaţiunile de curăţare, reabilitare, reconstrucţie, de înlocuire, reconstruire, reparare sau întreţinere. </w:t>
      </w:r>
    </w:p>
    <w:p w:rsidR="00ED5289" w:rsidRPr="00AF3608" w:rsidRDefault="00ED5289" w:rsidP="009D1AB4">
      <w:pPr>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Costurile indirecte sunt datorate impacturilor secundare, cum ar fi pierderea producţiei şi a investiţiilor. Dezechilibrele macroeconomice cauzate de dezastre conduc adesea la datorii şi/sau sărăcie. Costurile indirecte includ toate celelalte costuri suportate în mod indirect, ca urmare a dezastrului. Acestea includ: </w:t>
      </w:r>
    </w:p>
    <w:p w:rsidR="00ED5289" w:rsidRPr="00AF3608" w:rsidRDefault="00ED5289" w:rsidP="009D1AB4">
      <w:pPr>
        <w:numPr>
          <w:ilvl w:val="0"/>
          <w:numId w:val="132"/>
        </w:numPr>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reducerea valorii imobiliare în zonele ameninţate de dezastre; </w:t>
      </w:r>
    </w:p>
    <w:p w:rsidR="00ED5289" w:rsidRPr="00AF3608" w:rsidRDefault="00ED5289" w:rsidP="009D1AB4">
      <w:pPr>
        <w:numPr>
          <w:ilvl w:val="0"/>
          <w:numId w:val="132"/>
        </w:numPr>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pierderea veniturilor fiscale corespunzătoare proprietăţilor devalorizate ca urmare a dezastrului; </w:t>
      </w:r>
    </w:p>
    <w:p w:rsidR="00ED5289" w:rsidRPr="00AF3608" w:rsidRDefault="00ED5289" w:rsidP="009D1AB4">
      <w:pPr>
        <w:numPr>
          <w:ilvl w:val="0"/>
          <w:numId w:val="132"/>
        </w:numPr>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pierderea productivităţii industriale, agricole şi forestiere, precum şi a veniturilor turistice ca urmare a deteriorării terenurilor sau a instalaţiilor sau întreruperii sistemelor de transport; </w:t>
      </w:r>
    </w:p>
    <w:p w:rsidR="00ED5289" w:rsidRPr="00AF3608" w:rsidRDefault="00ED5289" w:rsidP="009D1AB4">
      <w:pPr>
        <w:numPr>
          <w:ilvl w:val="0"/>
          <w:numId w:val="132"/>
        </w:numPr>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pierderea productivităţii umane sau cea a animalelor domestice din cauza decesului, leziunilor sau traumei psihologice; </w:t>
      </w:r>
    </w:p>
    <w:p w:rsidR="00ED5289" w:rsidRPr="00AF3608" w:rsidRDefault="00ED5289" w:rsidP="009D1AB4">
      <w:pPr>
        <w:numPr>
          <w:ilvl w:val="0"/>
          <w:numId w:val="132"/>
        </w:numPr>
        <w:spacing w:before="120"/>
        <w:jc w:val="both"/>
        <w:rPr>
          <w:rFonts w:ascii="Calibri" w:hAnsi="Calibri" w:cs="Calibri"/>
          <w:color w:val="000000" w:themeColor="text1"/>
          <w:lang w:val="ro-RO"/>
        </w:rPr>
      </w:pPr>
      <w:r w:rsidRPr="00AF3608">
        <w:rPr>
          <w:rFonts w:ascii="Calibri" w:hAnsi="Calibri" w:cs="Calibri"/>
          <w:color w:val="000000" w:themeColor="text1"/>
          <w:lang w:val="ro-RO"/>
        </w:rPr>
        <w:t>costurile măsurilor de atenuare a efectelor asociate potenţialului dezastru, cum ar fi alunecările de teren şi inundaţiile;</w:t>
      </w:r>
    </w:p>
    <w:p w:rsidR="00ED5289" w:rsidRDefault="00ED5289" w:rsidP="009D1AB4">
      <w:pPr>
        <w:numPr>
          <w:ilvl w:val="0"/>
          <w:numId w:val="132"/>
        </w:numPr>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consecinţele devierii cheltuielilor publice pentru acoperirea eforturilor de asistenţă, etc. </w:t>
      </w:r>
    </w:p>
    <w:p w:rsidR="00ED5289" w:rsidRPr="00AF3608" w:rsidRDefault="00ED5289" w:rsidP="009D1AB4">
      <w:pPr>
        <w:spacing w:before="120"/>
        <w:jc w:val="both"/>
        <w:outlineLvl w:val="3"/>
        <w:rPr>
          <w:rFonts w:ascii="Calibri" w:hAnsi="Calibri" w:cs="Calibri"/>
          <w:color w:val="000000" w:themeColor="text1"/>
          <w:lang w:val="ro-RO"/>
        </w:rPr>
      </w:pPr>
      <w:r w:rsidRPr="00AF3608">
        <w:rPr>
          <w:rFonts w:ascii="Calibri" w:hAnsi="Calibri" w:cs="Calibri"/>
          <w:smallCaps/>
          <w:color w:val="000000" w:themeColor="text1"/>
          <w:lang w:val="ro-RO"/>
        </w:rPr>
        <w:t xml:space="preserve">I.2. </w:t>
      </w:r>
      <w:r w:rsidRPr="00AF3608">
        <w:rPr>
          <w:rFonts w:asciiTheme="minorHAnsi" w:hAnsiTheme="minorHAnsi" w:cstheme="minorHAnsi"/>
          <w:smallCaps/>
          <w:color w:val="000000" w:themeColor="text1"/>
          <w:lang w:val="ro-RO"/>
        </w:rPr>
        <w:t>Indicatorii rezultați aferenți scenariului</w:t>
      </w:r>
      <w:r w:rsidRPr="00AF3608">
        <w:rPr>
          <w:rFonts w:ascii="Calibri" w:hAnsi="Calibri" w:cs="Calibri"/>
          <w:smallCaps/>
          <w:color w:val="000000" w:themeColor="text1"/>
          <w:vertAlign w:val="superscript"/>
          <w:lang w:val="ro-RO"/>
        </w:rPr>
        <w:footnoteReference w:id="32"/>
      </w:r>
    </w:p>
    <w:p w:rsidR="00ED5289" w:rsidRDefault="00ED5289" w:rsidP="009D1AB4">
      <w:pPr>
        <w:tabs>
          <w:tab w:val="left" w:pos="540"/>
        </w:tabs>
        <w:spacing w:before="120"/>
        <w:jc w:val="both"/>
        <w:rPr>
          <w:rFonts w:ascii="Calibri" w:hAnsi="Calibri" w:cs="Calibri"/>
          <w:color w:val="000000" w:themeColor="text1"/>
          <w:lang w:val="ro-RO"/>
        </w:rPr>
      </w:pPr>
      <w:r w:rsidRPr="00AF3608">
        <w:rPr>
          <w:rFonts w:ascii="Calibri" w:hAnsi="Calibri" w:cs="Calibri"/>
          <w:color w:val="000000" w:themeColor="text1"/>
          <w:lang w:val="ro-RO"/>
        </w:rPr>
        <w:t>Costurile economice totale asociate riscului de cutremur – scenariul Vrancea 1000 ani  (milioane euro)</w:t>
      </w:r>
    </w:p>
    <w:tbl>
      <w:tblPr>
        <w:tblStyle w:val="GridTable4-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1177"/>
        <w:gridCol w:w="1004"/>
        <w:gridCol w:w="1320"/>
        <w:gridCol w:w="1067"/>
        <w:gridCol w:w="921"/>
        <w:gridCol w:w="1185"/>
        <w:gridCol w:w="932"/>
        <w:gridCol w:w="1234"/>
      </w:tblGrid>
      <w:tr w:rsidR="00ED5289" w:rsidRPr="00AF3608" w:rsidTr="005506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eastAsia="en-US"/>
              </w:rPr>
            </w:pPr>
            <w:r w:rsidRPr="00AF3608">
              <w:rPr>
                <w:rFonts w:ascii="Calibri" w:hAnsi="Calibri" w:cs="Calibri"/>
                <w:color w:val="000000" w:themeColor="text1"/>
                <w:lang w:eastAsia="en-US"/>
              </w:rPr>
              <w:t>2.1</w:t>
            </w:r>
          </w:p>
          <w:p w:rsidR="00ED5289" w:rsidRPr="00AF3608" w:rsidRDefault="00ED5289" w:rsidP="00B723C0">
            <w:pPr>
              <w:spacing w:line="276" w:lineRule="auto"/>
              <w:jc w:val="both"/>
              <w:rPr>
                <w:rFonts w:ascii="Calibri" w:hAnsi="Calibri" w:cs="Calibri"/>
                <w:color w:val="000000" w:themeColor="text1"/>
                <w:lang w:eastAsia="en-US"/>
              </w:rPr>
            </w:pPr>
            <w:r w:rsidRPr="00AF3608">
              <w:rPr>
                <w:rFonts w:ascii="Calibri" w:hAnsi="Calibri" w:cs="Calibri"/>
                <w:color w:val="000000" w:themeColor="text1"/>
                <w:lang w:eastAsia="en-US"/>
              </w:rPr>
              <w:t>Valoare pierderi umane</w:t>
            </w:r>
          </w:p>
        </w:tc>
        <w:tc>
          <w:tcPr>
            <w:tcW w:w="11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5289" w:rsidRPr="00AF3608" w:rsidRDefault="00ED5289" w:rsidP="00B723C0">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C2.2 Valoare pierderi materiale</w:t>
            </w:r>
          </w:p>
        </w:tc>
        <w:tc>
          <w:tcPr>
            <w:tcW w:w="100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5289" w:rsidRPr="00AF3608" w:rsidRDefault="00ED5289" w:rsidP="00B723C0">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C2.3 Valoare pierderi de mediu</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5289" w:rsidRPr="00AF3608" w:rsidRDefault="00ED5289" w:rsidP="00B723C0">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C2.4 Valoare costuri intervenție</w:t>
            </w:r>
          </w:p>
        </w:tc>
        <w:tc>
          <w:tcPr>
            <w:tcW w:w="410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5289" w:rsidRPr="00AF3608" w:rsidRDefault="00ED5289" w:rsidP="00B723C0">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C2.5 Impact indirect</w:t>
            </w:r>
          </w:p>
        </w:tc>
        <w:tc>
          <w:tcPr>
            <w:tcW w:w="12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5289" w:rsidRPr="00AF3608" w:rsidRDefault="00ED5289" w:rsidP="00B723C0">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Total general</w:t>
            </w:r>
          </w:p>
        </w:tc>
      </w:tr>
      <w:tr w:rsidR="00ED5289" w:rsidRPr="00AF3608" w:rsidTr="00550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2" w:type="dxa"/>
            <w:vMerge/>
            <w:tcBorders>
              <w:top w:val="single" w:sz="4" w:space="0" w:color="auto"/>
            </w:tcBorders>
            <w:vAlign w:val="center"/>
          </w:tcPr>
          <w:p w:rsidR="00ED5289" w:rsidRPr="00AF3608" w:rsidRDefault="00ED5289" w:rsidP="00B723C0">
            <w:pPr>
              <w:spacing w:line="276" w:lineRule="auto"/>
              <w:jc w:val="both"/>
              <w:rPr>
                <w:rFonts w:ascii="Calibri" w:hAnsi="Calibri" w:cs="Calibri"/>
                <w:color w:val="000000" w:themeColor="text1"/>
                <w:lang w:eastAsia="en-US"/>
              </w:rPr>
            </w:pPr>
          </w:p>
        </w:tc>
        <w:tc>
          <w:tcPr>
            <w:tcW w:w="1177" w:type="dxa"/>
            <w:vMerge/>
            <w:tcBorders>
              <w:top w:val="single" w:sz="4" w:space="0" w:color="auto"/>
            </w:tcBorders>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p>
        </w:tc>
        <w:tc>
          <w:tcPr>
            <w:tcW w:w="1004" w:type="dxa"/>
            <w:vMerge/>
            <w:tcBorders>
              <w:top w:val="single" w:sz="4" w:space="0" w:color="auto"/>
            </w:tcBorders>
            <w:shd w:val="clear" w:color="auto" w:fill="D9D9D9" w:themeFill="background1" w:themeFillShade="D9"/>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p>
        </w:tc>
        <w:tc>
          <w:tcPr>
            <w:tcW w:w="1320" w:type="dxa"/>
            <w:vMerge/>
            <w:tcBorders>
              <w:top w:val="single" w:sz="4" w:space="0" w:color="auto"/>
              <w:right w:val="nil"/>
            </w:tcBorders>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p>
        </w:tc>
        <w:tc>
          <w:tcPr>
            <w:tcW w:w="1067" w:type="dxa"/>
            <w:tcBorders>
              <w:top w:val="single" w:sz="4" w:space="0" w:color="auto"/>
              <w:left w:val="nil"/>
              <w:bottom w:val="nil"/>
              <w:right w:val="nil"/>
            </w:tcBorders>
            <w:shd w:val="clear" w:color="auto" w:fill="D9D9D9" w:themeFill="background1" w:themeFillShade="D9"/>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Pierderi de venit</w:t>
            </w:r>
          </w:p>
        </w:tc>
        <w:tc>
          <w:tcPr>
            <w:tcW w:w="921" w:type="dxa"/>
            <w:tcBorders>
              <w:top w:val="single" w:sz="4" w:space="0" w:color="auto"/>
              <w:left w:val="nil"/>
              <w:bottom w:val="nil"/>
              <w:right w:val="nil"/>
            </w:tcBorders>
            <w:shd w:val="clear" w:color="auto" w:fill="D9D9D9" w:themeFill="background1" w:themeFillShade="D9"/>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Impact PIB</w:t>
            </w:r>
          </w:p>
        </w:tc>
        <w:tc>
          <w:tcPr>
            <w:tcW w:w="1185" w:type="dxa"/>
            <w:tcBorders>
              <w:top w:val="single" w:sz="4" w:space="0" w:color="auto"/>
              <w:left w:val="nil"/>
              <w:bottom w:val="nil"/>
              <w:right w:val="nil"/>
            </w:tcBorders>
            <w:shd w:val="clear" w:color="auto" w:fill="D9D9D9" w:themeFill="background1" w:themeFillShade="D9"/>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Reducere impact PIB prin investiții</w:t>
            </w:r>
          </w:p>
        </w:tc>
        <w:tc>
          <w:tcPr>
            <w:tcW w:w="932" w:type="dxa"/>
            <w:tcBorders>
              <w:top w:val="single" w:sz="4" w:space="0" w:color="auto"/>
              <w:left w:val="nil"/>
              <w:bottom w:val="nil"/>
              <w:right w:val="nil"/>
            </w:tcBorders>
            <w:shd w:val="clear" w:color="auto" w:fill="D9D9D9" w:themeFill="background1" w:themeFillShade="D9"/>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Total</w:t>
            </w:r>
          </w:p>
        </w:tc>
        <w:tc>
          <w:tcPr>
            <w:tcW w:w="1234" w:type="dxa"/>
            <w:vMerge/>
            <w:tcBorders>
              <w:top w:val="single" w:sz="4" w:space="0" w:color="auto"/>
              <w:left w:val="nil"/>
            </w:tcBorders>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p>
        </w:tc>
      </w:tr>
      <w:tr w:rsidR="00ED5289" w:rsidRPr="00AF3608" w:rsidTr="005506F6">
        <w:tc>
          <w:tcPr>
            <w:cnfStyle w:val="001000000000" w:firstRow="0" w:lastRow="0" w:firstColumn="1" w:lastColumn="0" w:oddVBand="0" w:evenVBand="0" w:oddHBand="0" w:evenHBand="0" w:firstRowFirstColumn="0" w:firstRowLastColumn="0" w:lastRowFirstColumn="0" w:lastRowLastColumn="0"/>
            <w:tcW w:w="1072" w:type="dxa"/>
            <w:shd w:val="clear" w:color="auto" w:fill="F2F2F2" w:themeFill="background1" w:themeFillShade="F2"/>
          </w:tcPr>
          <w:p w:rsidR="00ED5289" w:rsidRPr="00AF3608" w:rsidRDefault="00ED5289" w:rsidP="00B723C0">
            <w:pPr>
              <w:spacing w:line="276" w:lineRule="auto"/>
              <w:jc w:val="both"/>
              <w:rPr>
                <w:rFonts w:ascii="Calibri" w:hAnsi="Calibri" w:cs="Calibri"/>
                <w:color w:val="000000" w:themeColor="text1"/>
                <w:lang w:eastAsia="en-US"/>
              </w:rPr>
            </w:pPr>
            <w:r w:rsidRPr="00AF3608">
              <w:rPr>
                <w:rFonts w:ascii="Calibri" w:hAnsi="Calibri" w:cs="Calibri"/>
                <w:color w:val="000000" w:themeColor="text1"/>
                <w:lang w:eastAsia="en-US"/>
              </w:rPr>
              <w:t>1,888.76</w:t>
            </w:r>
          </w:p>
        </w:tc>
        <w:tc>
          <w:tcPr>
            <w:tcW w:w="1177" w:type="dxa"/>
            <w:shd w:val="clear" w:color="auto" w:fill="F2F2F2" w:themeFill="background1" w:themeFillShade="F2"/>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6,115.25</w:t>
            </w:r>
          </w:p>
        </w:tc>
        <w:tc>
          <w:tcPr>
            <w:tcW w:w="1004" w:type="dxa"/>
            <w:shd w:val="clear" w:color="auto" w:fill="F2F2F2" w:themeFill="background1" w:themeFillShade="F2"/>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0.00</w:t>
            </w:r>
          </w:p>
        </w:tc>
        <w:tc>
          <w:tcPr>
            <w:tcW w:w="1320" w:type="dxa"/>
            <w:shd w:val="clear" w:color="auto" w:fill="F2F2F2" w:themeFill="background1" w:themeFillShade="F2"/>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2,696.61</w:t>
            </w:r>
          </w:p>
        </w:tc>
        <w:tc>
          <w:tcPr>
            <w:tcW w:w="1067" w:type="dxa"/>
            <w:tcBorders>
              <w:top w:val="nil"/>
            </w:tcBorders>
            <w:shd w:val="clear" w:color="auto" w:fill="F2F2F2" w:themeFill="background1" w:themeFillShade="F2"/>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2,406.62</w:t>
            </w:r>
          </w:p>
        </w:tc>
        <w:tc>
          <w:tcPr>
            <w:tcW w:w="921" w:type="dxa"/>
            <w:tcBorders>
              <w:top w:val="nil"/>
            </w:tcBorders>
            <w:shd w:val="clear" w:color="auto" w:fill="F2F2F2" w:themeFill="background1" w:themeFillShade="F2"/>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0.00</w:t>
            </w:r>
          </w:p>
        </w:tc>
        <w:tc>
          <w:tcPr>
            <w:tcW w:w="1185" w:type="dxa"/>
            <w:tcBorders>
              <w:top w:val="nil"/>
            </w:tcBorders>
            <w:shd w:val="clear" w:color="auto" w:fill="F2F2F2" w:themeFill="background1" w:themeFillShade="F2"/>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3,133.65</w:t>
            </w:r>
          </w:p>
        </w:tc>
        <w:tc>
          <w:tcPr>
            <w:tcW w:w="932" w:type="dxa"/>
            <w:tcBorders>
              <w:top w:val="nil"/>
            </w:tcBorders>
            <w:shd w:val="clear" w:color="auto" w:fill="F2F2F2" w:themeFill="background1" w:themeFillShade="F2"/>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727.03</w:t>
            </w:r>
          </w:p>
        </w:tc>
        <w:tc>
          <w:tcPr>
            <w:tcW w:w="1234" w:type="dxa"/>
            <w:shd w:val="clear" w:color="auto" w:fill="F2F2F2" w:themeFill="background1" w:themeFillShade="F2"/>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9,973.60</w:t>
            </w:r>
          </w:p>
        </w:tc>
      </w:tr>
    </w:tbl>
    <w:p w:rsidR="00ED5289" w:rsidRPr="00AF3608" w:rsidRDefault="00ED5289" w:rsidP="00B723C0">
      <w:pPr>
        <w:spacing w:line="276" w:lineRule="auto"/>
        <w:jc w:val="both"/>
        <w:rPr>
          <w:rFonts w:ascii="Calibri" w:hAnsi="Calibri" w:cs="Calibri"/>
          <w:color w:val="000000" w:themeColor="text1"/>
          <w:lang w:val="ro-RO"/>
        </w:rPr>
      </w:pPr>
    </w:p>
    <w:p w:rsidR="00ED5289" w:rsidRPr="00AF3608" w:rsidRDefault="00ED5289" w:rsidP="00B723C0">
      <w:pPr>
        <w:tabs>
          <w:tab w:val="left" w:pos="540"/>
        </w:tabs>
        <w:spacing w:before="240" w:after="240" w:line="276" w:lineRule="auto"/>
        <w:jc w:val="both"/>
        <w:rPr>
          <w:rFonts w:ascii="Calibri" w:hAnsi="Calibri" w:cs="Calibri"/>
          <w:color w:val="000000" w:themeColor="text1"/>
          <w:lang w:val="ro-RO"/>
        </w:rPr>
      </w:pPr>
      <w:r w:rsidRPr="00AF3608">
        <w:rPr>
          <w:rFonts w:ascii="Calibri" w:hAnsi="Calibri" w:cs="Calibri"/>
          <w:color w:val="000000" w:themeColor="text1"/>
          <w:lang w:val="ro-RO"/>
        </w:rPr>
        <w:lastRenderedPageBreak/>
        <w:t>Încadrarea costurilor economice totale în clasele de impact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6"/>
        <w:gridCol w:w="2159"/>
        <w:gridCol w:w="2069"/>
        <w:gridCol w:w="2069"/>
        <w:gridCol w:w="1619"/>
      </w:tblGrid>
      <w:tr w:rsidR="00ED5289" w:rsidRPr="00AF3608" w:rsidTr="00F94016">
        <w:tc>
          <w:tcPr>
            <w:tcW w:w="1998"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C2.1</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Valoare pierderi umane</w:t>
            </w:r>
          </w:p>
        </w:tc>
        <w:tc>
          <w:tcPr>
            <w:tcW w:w="2160"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C2.2</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Valoare pierderi materiale</w:t>
            </w:r>
          </w:p>
        </w:tc>
        <w:tc>
          <w:tcPr>
            <w:tcW w:w="2070"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C2.3</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Valoare pierderi de mediu</w:t>
            </w:r>
          </w:p>
        </w:tc>
        <w:tc>
          <w:tcPr>
            <w:tcW w:w="2070"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C2.4</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Valoare costuri interventie</w:t>
            </w:r>
          </w:p>
        </w:tc>
        <w:tc>
          <w:tcPr>
            <w:tcW w:w="1620"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C2.5</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 indirect</w:t>
            </w:r>
          </w:p>
        </w:tc>
      </w:tr>
      <w:tr w:rsidR="00ED5289" w:rsidRPr="00AF3608" w:rsidTr="00F94016">
        <w:tc>
          <w:tcPr>
            <w:tcW w:w="1998" w:type="dxa"/>
            <w:shd w:val="clear" w:color="auto" w:fill="F2F2F2" w:themeFill="background1" w:themeFillShade="F2"/>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Foarte Mare</w:t>
            </w:r>
          </w:p>
        </w:tc>
        <w:tc>
          <w:tcPr>
            <w:tcW w:w="2160" w:type="dxa"/>
            <w:shd w:val="clear" w:color="auto" w:fill="F2F2F2" w:themeFill="background1" w:themeFillShade="F2"/>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Foarte Mare</w:t>
            </w:r>
          </w:p>
        </w:tc>
        <w:tc>
          <w:tcPr>
            <w:tcW w:w="2070" w:type="dxa"/>
            <w:shd w:val="clear" w:color="auto" w:fill="F2F2F2" w:themeFill="background1" w:themeFillShade="F2"/>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Foarte Mic</w:t>
            </w:r>
          </w:p>
        </w:tc>
        <w:tc>
          <w:tcPr>
            <w:tcW w:w="2070" w:type="dxa"/>
            <w:shd w:val="clear" w:color="auto" w:fill="F2F2F2" w:themeFill="background1" w:themeFillShade="F2"/>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Foarte Mare</w:t>
            </w:r>
          </w:p>
        </w:tc>
        <w:tc>
          <w:tcPr>
            <w:tcW w:w="1620" w:type="dxa"/>
            <w:shd w:val="clear" w:color="auto" w:fill="F2F2F2" w:themeFill="background1" w:themeFillShade="F2"/>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Foarte Mic</w:t>
            </w:r>
          </w:p>
        </w:tc>
      </w:tr>
    </w:tbl>
    <w:p w:rsidR="00ED5289" w:rsidRPr="00AF3608" w:rsidRDefault="00ED5289" w:rsidP="003815D8">
      <w:pPr>
        <w:spacing w:before="120"/>
        <w:jc w:val="both"/>
        <w:outlineLvl w:val="2"/>
        <w:rPr>
          <w:rFonts w:ascii="Calibri" w:hAnsi="Calibri" w:cs="Calibri"/>
          <w:color w:val="000000" w:themeColor="text1"/>
          <w:lang w:val="ro-RO"/>
        </w:rPr>
      </w:pPr>
      <w:r w:rsidRPr="00AF3608">
        <w:rPr>
          <w:rFonts w:ascii="Calibri" w:hAnsi="Calibri" w:cs="Calibri"/>
          <w:color w:val="000000" w:themeColor="text1"/>
          <w:lang w:val="ro-RO"/>
        </w:rPr>
        <w:t xml:space="preserve">II. Scenariu accident nuclear la centrala nuclearo-electrică Cernavodă - Accident sever Unitatea 1 - Pierderea alimentării din exterior cu energie electrică și pierderea tuturor celorlalte surse de curent alternativ (generatoare electrice de rezervă și de avarie) – Station Black-Out (SBO). </w:t>
      </w:r>
    </w:p>
    <w:p w:rsidR="00ED5289" w:rsidRPr="00AF3608" w:rsidRDefault="00ED5289" w:rsidP="003815D8">
      <w:pPr>
        <w:autoSpaceDE w:val="0"/>
        <w:autoSpaceDN w:val="0"/>
        <w:adjustRightInd w:val="0"/>
        <w:spacing w:before="120"/>
        <w:jc w:val="both"/>
        <w:rPr>
          <w:rFonts w:ascii="Calibri" w:hAnsi="Calibri" w:cs="Calibri"/>
          <w:color w:val="000000" w:themeColor="text1"/>
          <w:lang w:val="ro-RO"/>
        </w:rPr>
      </w:pPr>
      <w:r w:rsidRPr="00AF3608">
        <w:rPr>
          <w:rFonts w:ascii="Calibri" w:hAnsi="Calibri" w:cs="Calibri"/>
          <w:color w:val="000000" w:themeColor="text1"/>
          <w:lang w:val="ro-RO"/>
        </w:rPr>
        <w:t>Secvența de accident începe cu pierderea totală a alimentării cu energie electrică de Clasa IV, Clasa III iar încercarea de a pune în funcțiune sistemul de asigurare a energiei electrice în caz de avarie (EPS- Emergency Power System) eșuează. Aceste evenimente determină pierderea pompelor (debit) SPTC, răcirea moderatorului, răcirea protecțiilor de capăt, apa de alimentare la generatoarele de abur și pierderea apei tehnice de răcire (RCW si RSW).</w:t>
      </w:r>
    </w:p>
    <w:p w:rsidR="00ED5289" w:rsidRPr="00AF3608" w:rsidRDefault="00ED5289" w:rsidP="003815D8">
      <w:pPr>
        <w:spacing w:before="120"/>
        <w:jc w:val="both"/>
        <w:outlineLvl w:val="1"/>
        <w:rPr>
          <w:rFonts w:ascii="Calibri" w:hAnsi="Calibri" w:cs="Calibri"/>
          <w:color w:val="000000" w:themeColor="text1"/>
          <w:lang w:val="ro-RO"/>
        </w:rPr>
      </w:pPr>
      <w:r w:rsidRPr="00AF3608">
        <w:rPr>
          <w:rFonts w:ascii="Calibri" w:hAnsi="Calibri" w:cs="Calibri"/>
          <w:smallCaps/>
          <w:color w:val="000000" w:themeColor="text1"/>
          <w:lang w:val="ro-RO"/>
        </w:rPr>
        <w:t xml:space="preserve">II.1. Evaluarea impactului economic </w:t>
      </w:r>
    </w:p>
    <w:p w:rsidR="00ED5289" w:rsidRPr="00AF3608" w:rsidRDefault="00ED5289" w:rsidP="003815D8">
      <w:pPr>
        <w:autoSpaceDE w:val="0"/>
        <w:autoSpaceDN w:val="0"/>
        <w:adjustRightInd w:val="0"/>
        <w:spacing w:before="120"/>
        <w:jc w:val="both"/>
        <w:rPr>
          <w:rFonts w:ascii="Calibri" w:hAnsi="Calibri" w:cs="Calibri"/>
          <w:color w:val="000000" w:themeColor="text1"/>
          <w:lang w:val="ro-RO"/>
        </w:rPr>
      </w:pPr>
      <w:r w:rsidRPr="00AF3608">
        <w:rPr>
          <w:rFonts w:ascii="Calibri" w:hAnsi="Calibri" w:cs="Calibri"/>
          <w:color w:val="000000" w:themeColor="text1"/>
          <w:lang w:val="ro-RO"/>
        </w:rPr>
        <w:t>Evaluarea economică a costurilor legate de efectele asupra populației este realizată pe doua categorii:</w:t>
      </w:r>
    </w:p>
    <w:p w:rsidR="00ED5289" w:rsidRPr="00AF3608" w:rsidRDefault="00ED5289" w:rsidP="003A0B85">
      <w:pPr>
        <w:numPr>
          <w:ilvl w:val="0"/>
          <w:numId w:val="134"/>
        </w:numPr>
        <w:autoSpaceDE w:val="0"/>
        <w:autoSpaceDN w:val="0"/>
        <w:adjustRightInd w:val="0"/>
        <w:spacing w:before="120"/>
        <w:jc w:val="both"/>
        <w:rPr>
          <w:rFonts w:ascii="Calibri" w:hAnsi="Calibri" w:cs="Calibri"/>
          <w:color w:val="000000" w:themeColor="text1"/>
          <w:lang w:val="ro-RO"/>
        </w:rPr>
      </w:pPr>
      <w:r w:rsidRPr="00AF3608">
        <w:rPr>
          <w:rFonts w:ascii="Calibri" w:hAnsi="Calibri" w:cs="Calibri"/>
          <w:color w:val="000000" w:themeColor="text1"/>
          <w:lang w:val="ro-RO"/>
        </w:rPr>
        <w:t>Decese - evaluarea economică a deceselor a fost efectuată conform metodologiei prin metoda capitalizării veniturilor nete</w:t>
      </w:r>
    </w:p>
    <w:p w:rsidR="00ED5289" w:rsidRPr="00AF3608" w:rsidRDefault="00ED5289" w:rsidP="003A0B85">
      <w:pPr>
        <w:numPr>
          <w:ilvl w:val="0"/>
          <w:numId w:val="134"/>
        </w:numPr>
        <w:autoSpaceDE w:val="0"/>
        <w:autoSpaceDN w:val="0"/>
        <w:adjustRightInd w:val="0"/>
        <w:spacing w:before="120"/>
        <w:jc w:val="both"/>
        <w:rPr>
          <w:rFonts w:ascii="Calibri" w:hAnsi="Calibri" w:cs="Calibri"/>
          <w:color w:val="000000" w:themeColor="text1"/>
          <w:lang w:val="ro-RO"/>
        </w:rPr>
      </w:pPr>
      <w:r w:rsidRPr="00AF3608">
        <w:rPr>
          <w:rFonts w:ascii="Calibri" w:hAnsi="Calibri" w:cs="Calibri"/>
          <w:color w:val="000000" w:themeColor="text1"/>
          <w:lang w:val="ro-RO"/>
        </w:rPr>
        <w:t>Vătămări corporale - evaluarea economică a vătămărilor corporale ținându-se cont de numărului de zile pierdute și a câștigul mediu salarial net lunar și costurile îngrijirilor medicale pentru o perioadă medie de 5 zile de tratament spitalizării și tratamentului aferent</w:t>
      </w:r>
    </w:p>
    <w:p w:rsidR="00ED5289" w:rsidRPr="00AF3608" w:rsidRDefault="00ED5289" w:rsidP="003815D8">
      <w:pPr>
        <w:autoSpaceDE w:val="0"/>
        <w:autoSpaceDN w:val="0"/>
        <w:adjustRightInd w:val="0"/>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Costurile economice ale impactul asupra mediului au fost estimate în baza suprafețelor afectate necesar a fi decontaminate și a prețului mediu de decontaminare, precum și a costurilor de intervenție </w:t>
      </w:r>
    </w:p>
    <w:p w:rsidR="00ED5289" w:rsidRPr="00AF3608" w:rsidRDefault="00ED5289" w:rsidP="003815D8">
      <w:pPr>
        <w:autoSpaceDE w:val="0"/>
        <w:autoSpaceDN w:val="0"/>
        <w:adjustRightInd w:val="0"/>
        <w:spacing w:before="120"/>
        <w:jc w:val="both"/>
        <w:rPr>
          <w:rFonts w:ascii="Calibri" w:hAnsi="Calibri" w:cs="Calibri"/>
          <w:color w:val="000000" w:themeColor="text1"/>
          <w:lang w:val="ro-RO"/>
        </w:rPr>
      </w:pPr>
      <w:r w:rsidRPr="00AF3608">
        <w:rPr>
          <w:rFonts w:ascii="Calibri" w:hAnsi="Calibri" w:cs="Calibri"/>
          <w:color w:val="000000" w:themeColor="text1"/>
          <w:lang w:val="ro-RO"/>
        </w:rPr>
        <w:t>Evaluarea costurilor indirecte s-a efectuat ținându-se cont de veniturile pierdute de către companii datorită producerii evenimentului, estimate în baza numărului de zile de întrerupere a activității și pierderea de energie electrică pentru o perioada de doi ani, respectiv perioada de refacere a unei unități nucleare.</w:t>
      </w:r>
    </w:p>
    <w:p w:rsidR="00ED5289" w:rsidRPr="00AF3608" w:rsidRDefault="00ED5289" w:rsidP="003815D8">
      <w:pPr>
        <w:spacing w:before="120"/>
        <w:jc w:val="both"/>
        <w:outlineLvl w:val="3"/>
        <w:rPr>
          <w:rFonts w:ascii="Calibri" w:hAnsi="Calibri" w:cs="Calibri"/>
          <w:color w:val="000000" w:themeColor="text1"/>
          <w:lang w:val="ro-RO"/>
        </w:rPr>
      </w:pPr>
      <w:r w:rsidRPr="00AF3608">
        <w:rPr>
          <w:rFonts w:ascii="Calibri" w:hAnsi="Calibri" w:cs="Calibri"/>
          <w:smallCaps/>
          <w:color w:val="000000" w:themeColor="text1"/>
          <w:lang w:val="ro-RO"/>
        </w:rPr>
        <w:t>II.2. Indicatorii rezultați aferenți scenariului</w:t>
      </w:r>
      <w:r w:rsidRPr="00AF3608">
        <w:rPr>
          <w:rFonts w:ascii="Calibri" w:hAnsi="Calibri" w:cs="Calibri"/>
          <w:color w:val="000000" w:themeColor="text1"/>
          <w:lang w:val="ro-RO"/>
        </w:rPr>
        <w:footnoteReference w:id="33"/>
      </w:r>
    </w:p>
    <w:p w:rsidR="00ED5289" w:rsidRPr="00AF3608" w:rsidRDefault="00ED5289" w:rsidP="003815D8">
      <w:pPr>
        <w:tabs>
          <w:tab w:val="left" w:pos="540"/>
        </w:tabs>
        <w:spacing w:before="120"/>
        <w:jc w:val="both"/>
        <w:rPr>
          <w:rFonts w:ascii="Calibri" w:hAnsi="Calibri" w:cs="Calibri"/>
          <w:color w:val="000000" w:themeColor="text1"/>
          <w:lang w:val="ro-RO"/>
        </w:rPr>
      </w:pPr>
      <w:r w:rsidRPr="00AF3608">
        <w:rPr>
          <w:rFonts w:ascii="Calibri" w:hAnsi="Calibri" w:cs="Calibri"/>
          <w:color w:val="000000" w:themeColor="text1"/>
          <w:lang w:val="ro-RO"/>
        </w:rPr>
        <w:t>Costurile economice totale asociate scenariului de accident nuclear - Accident sever Unitat</w:t>
      </w:r>
      <w:r w:rsidR="003815D8" w:rsidRPr="00AF3608">
        <w:rPr>
          <w:rFonts w:ascii="Calibri" w:hAnsi="Calibri" w:cs="Calibri"/>
          <w:color w:val="000000" w:themeColor="text1"/>
          <w:lang w:val="ro-RO"/>
        </w:rPr>
        <w:t>ea 1 - Station Black-Out (SBO)</w:t>
      </w:r>
      <w:r w:rsidRPr="00AF3608">
        <w:rPr>
          <w:rFonts w:ascii="Calibri" w:hAnsi="Calibri" w:cs="Calibri"/>
          <w:color w:val="000000" w:themeColor="text1"/>
          <w:lang w:val="ro-RO"/>
        </w:rPr>
        <w:t>(milioane euro)</w:t>
      </w:r>
    </w:p>
    <w:p w:rsidR="00ED5289" w:rsidRDefault="00ED5289" w:rsidP="00B723C0">
      <w:pPr>
        <w:spacing w:line="276" w:lineRule="auto"/>
        <w:jc w:val="both"/>
        <w:rPr>
          <w:rFonts w:ascii="Calibri" w:hAnsi="Calibri" w:cs="Calibri"/>
          <w:color w:val="000000" w:themeColor="text1"/>
          <w:lang w:val="ro-RO"/>
        </w:rPr>
      </w:pPr>
    </w:p>
    <w:p w:rsidR="009D1AB4" w:rsidRDefault="009D1AB4" w:rsidP="00B723C0">
      <w:pPr>
        <w:spacing w:line="276" w:lineRule="auto"/>
        <w:jc w:val="both"/>
        <w:rPr>
          <w:rFonts w:ascii="Calibri" w:hAnsi="Calibri" w:cs="Calibri"/>
          <w:color w:val="000000" w:themeColor="text1"/>
          <w:lang w:val="ro-RO"/>
        </w:rPr>
      </w:pPr>
    </w:p>
    <w:p w:rsidR="009D1AB4" w:rsidRDefault="009D1AB4" w:rsidP="00B723C0">
      <w:pPr>
        <w:spacing w:line="276" w:lineRule="auto"/>
        <w:jc w:val="both"/>
        <w:rPr>
          <w:rFonts w:ascii="Calibri" w:hAnsi="Calibri" w:cs="Calibri"/>
          <w:color w:val="000000" w:themeColor="text1"/>
          <w:lang w:val="ro-RO"/>
        </w:rPr>
      </w:pPr>
    </w:p>
    <w:p w:rsidR="009D1AB4" w:rsidRDefault="009D1AB4" w:rsidP="00B723C0">
      <w:pPr>
        <w:spacing w:line="276" w:lineRule="auto"/>
        <w:jc w:val="both"/>
        <w:rPr>
          <w:rFonts w:ascii="Calibri" w:hAnsi="Calibri" w:cs="Calibri"/>
          <w:color w:val="000000" w:themeColor="text1"/>
          <w:lang w:val="ro-RO"/>
        </w:rPr>
      </w:pPr>
    </w:p>
    <w:p w:rsidR="009D1AB4" w:rsidRDefault="009D1AB4" w:rsidP="00B723C0">
      <w:pPr>
        <w:spacing w:line="276" w:lineRule="auto"/>
        <w:jc w:val="both"/>
        <w:rPr>
          <w:rFonts w:ascii="Calibri" w:hAnsi="Calibri" w:cs="Calibri"/>
          <w:color w:val="000000" w:themeColor="text1"/>
          <w:lang w:val="ro-RO"/>
        </w:rPr>
      </w:pPr>
    </w:p>
    <w:p w:rsidR="009D1AB4" w:rsidRPr="00AF3608" w:rsidRDefault="009D1AB4" w:rsidP="00B723C0">
      <w:pPr>
        <w:spacing w:line="276" w:lineRule="auto"/>
        <w:jc w:val="both"/>
        <w:rPr>
          <w:rFonts w:ascii="Calibri" w:hAnsi="Calibri" w:cs="Calibri"/>
          <w:color w:val="000000" w:themeColor="text1"/>
          <w:lang w:val="ro-RO"/>
        </w:rPr>
      </w:pPr>
    </w:p>
    <w:tbl>
      <w:tblPr>
        <w:tblW w:w="99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1"/>
        <w:gridCol w:w="1151"/>
        <w:gridCol w:w="1067"/>
        <w:gridCol w:w="1290"/>
        <w:gridCol w:w="983"/>
        <w:gridCol w:w="1067"/>
        <w:gridCol w:w="1142"/>
        <w:gridCol w:w="1067"/>
        <w:gridCol w:w="1188"/>
      </w:tblGrid>
      <w:tr w:rsidR="00ED5289" w:rsidRPr="00AF3608" w:rsidTr="00F94016">
        <w:trPr>
          <w:jc w:val="center"/>
        </w:trPr>
        <w:tc>
          <w:tcPr>
            <w:tcW w:w="1198" w:type="dxa"/>
            <w:vMerge w:val="restart"/>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lastRenderedPageBreak/>
              <w:t>C2.1</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Valoare pierderi umane</w:t>
            </w:r>
          </w:p>
        </w:tc>
        <w:tc>
          <w:tcPr>
            <w:tcW w:w="1124" w:type="dxa"/>
            <w:vMerge w:val="restart"/>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C2.2 Valoare pierderi materiale</w:t>
            </w:r>
          </w:p>
        </w:tc>
        <w:tc>
          <w:tcPr>
            <w:tcW w:w="1043" w:type="dxa"/>
            <w:vMerge w:val="restart"/>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C2.3 Valoare pierderi de mediu</w:t>
            </w:r>
          </w:p>
        </w:tc>
        <w:tc>
          <w:tcPr>
            <w:tcW w:w="1259" w:type="dxa"/>
            <w:vMerge w:val="restart"/>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C2.4 Valoare costuri intervenție</w:t>
            </w:r>
          </w:p>
        </w:tc>
        <w:tc>
          <w:tcPr>
            <w:tcW w:w="4162" w:type="dxa"/>
            <w:gridSpan w:val="4"/>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C2.5 Impact indirect</w:t>
            </w:r>
          </w:p>
        </w:tc>
        <w:tc>
          <w:tcPr>
            <w:tcW w:w="1160" w:type="dxa"/>
            <w:vMerge w:val="restart"/>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Total general</w:t>
            </w:r>
          </w:p>
        </w:tc>
      </w:tr>
      <w:tr w:rsidR="00ED5289" w:rsidRPr="00AF3608" w:rsidTr="00F94016">
        <w:trPr>
          <w:jc w:val="center"/>
        </w:trPr>
        <w:tc>
          <w:tcPr>
            <w:tcW w:w="1198" w:type="dxa"/>
            <w:vMerge/>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p>
        </w:tc>
        <w:tc>
          <w:tcPr>
            <w:tcW w:w="1124" w:type="dxa"/>
            <w:vMerge/>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p>
        </w:tc>
        <w:tc>
          <w:tcPr>
            <w:tcW w:w="1043" w:type="dxa"/>
            <w:vMerge/>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p>
        </w:tc>
        <w:tc>
          <w:tcPr>
            <w:tcW w:w="1259" w:type="dxa"/>
            <w:vMerge/>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p>
        </w:tc>
        <w:tc>
          <w:tcPr>
            <w:tcW w:w="961"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Pierderi de venit</w:t>
            </w:r>
          </w:p>
        </w:tc>
        <w:tc>
          <w:tcPr>
            <w:tcW w:w="1043"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 PIB</w:t>
            </w:r>
          </w:p>
        </w:tc>
        <w:tc>
          <w:tcPr>
            <w:tcW w:w="1115"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Reducere impact PIB prin investiții</w:t>
            </w:r>
          </w:p>
        </w:tc>
        <w:tc>
          <w:tcPr>
            <w:tcW w:w="1043"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Total</w:t>
            </w:r>
          </w:p>
        </w:tc>
        <w:tc>
          <w:tcPr>
            <w:tcW w:w="1160" w:type="dxa"/>
            <w:vMerge/>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p>
        </w:tc>
      </w:tr>
      <w:tr w:rsidR="00ED5289" w:rsidRPr="00AF3608" w:rsidTr="00F94016">
        <w:trPr>
          <w:jc w:val="center"/>
        </w:trPr>
        <w:tc>
          <w:tcPr>
            <w:tcW w:w="1198"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0.01</w:t>
            </w:r>
          </w:p>
        </w:tc>
        <w:tc>
          <w:tcPr>
            <w:tcW w:w="1124"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0.01</w:t>
            </w:r>
          </w:p>
        </w:tc>
        <w:tc>
          <w:tcPr>
            <w:tcW w:w="1043"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9,420.00</w:t>
            </w:r>
          </w:p>
        </w:tc>
        <w:tc>
          <w:tcPr>
            <w:tcW w:w="1259"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0.01</w:t>
            </w:r>
          </w:p>
        </w:tc>
        <w:tc>
          <w:tcPr>
            <w:tcW w:w="961"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103.40</w:t>
            </w:r>
          </w:p>
        </w:tc>
        <w:tc>
          <w:tcPr>
            <w:tcW w:w="1043"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2,426.27</w:t>
            </w:r>
          </w:p>
        </w:tc>
        <w:tc>
          <w:tcPr>
            <w:tcW w:w="1115"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0.00</w:t>
            </w:r>
          </w:p>
        </w:tc>
        <w:tc>
          <w:tcPr>
            <w:tcW w:w="1043"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2,529.67</w:t>
            </w:r>
          </w:p>
        </w:tc>
        <w:tc>
          <w:tcPr>
            <w:tcW w:w="1160"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11,979.69</w:t>
            </w:r>
          </w:p>
        </w:tc>
      </w:tr>
    </w:tbl>
    <w:p w:rsidR="00ED5289" w:rsidRPr="00AF3608" w:rsidRDefault="00ED5289" w:rsidP="00B723C0">
      <w:pPr>
        <w:spacing w:line="276" w:lineRule="auto"/>
        <w:jc w:val="both"/>
        <w:rPr>
          <w:rFonts w:ascii="Calibri" w:hAnsi="Calibri" w:cs="Calibri"/>
          <w:color w:val="000000" w:themeColor="text1"/>
          <w:lang w:val="ro-RO"/>
        </w:rPr>
      </w:pPr>
    </w:p>
    <w:p w:rsidR="00ED5289" w:rsidRPr="00AF3608" w:rsidRDefault="00ED5289" w:rsidP="00B723C0">
      <w:pPr>
        <w:tabs>
          <w:tab w:val="left" w:pos="540"/>
        </w:tabs>
        <w:spacing w:after="240" w:line="276" w:lineRule="auto"/>
        <w:jc w:val="both"/>
        <w:rPr>
          <w:rFonts w:ascii="Calibri" w:hAnsi="Calibri" w:cs="Calibri"/>
          <w:color w:val="000000" w:themeColor="text1"/>
          <w:lang w:val="ro-RO"/>
        </w:rPr>
      </w:pPr>
      <w:r w:rsidRPr="00AF3608">
        <w:rPr>
          <w:rFonts w:ascii="Calibri" w:hAnsi="Calibri" w:cs="Calibri"/>
          <w:color w:val="000000" w:themeColor="text1"/>
          <w:lang w:val="ro-RO"/>
        </w:rPr>
        <w:t>Încadrarea costurilor economice totale în clasele de impact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114"/>
        <w:gridCol w:w="2020"/>
        <w:gridCol w:w="2035"/>
        <w:gridCol w:w="1590"/>
      </w:tblGrid>
      <w:tr w:rsidR="00ED5289" w:rsidRPr="00AF3608" w:rsidTr="00F94016">
        <w:tc>
          <w:tcPr>
            <w:tcW w:w="1951"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C2.1</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Valoare pierderi umane</w:t>
            </w:r>
          </w:p>
        </w:tc>
        <w:tc>
          <w:tcPr>
            <w:tcW w:w="2114"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C2.2</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Valoare pierderi materiale</w:t>
            </w:r>
          </w:p>
        </w:tc>
        <w:tc>
          <w:tcPr>
            <w:tcW w:w="2020"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C2.3</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Valoare pierderi de mediu</w:t>
            </w:r>
          </w:p>
        </w:tc>
        <w:tc>
          <w:tcPr>
            <w:tcW w:w="2035"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C2.4</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Valoare costuri interventie</w:t>
            </w:r>
          </w:p>
        </w:tc>
        <w:tc>
          <w:tcPr>
            <w:tcW w:w="1590"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C2.5</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 indirect</w:t>
            </w:r>
          </w:p>
        </w:tc>
      </w:tr>
      <w:tr w:rsidR="00ED5289" w:rsidRPr="00AF3608" w:rsidTr="00F94016">
        <w:tc>
          <w:tcPr>
            <w:tcW w:w="1951"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Foarte Mic</w:t>
            </w:r>
          </w:p>
        </w:tc>
        <w:tc>
          <w:tcPr>
            <w:tcW w:w="2114"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Foarte Mic</w:t>
            </w:r>
          </w:p>
        </w:tc>
        <w:tc>
          <w:tcPr>
            <w:tcW w:w="2020"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Foarte Mic</w:t>
            </w:r>
          </w:p>
        </w:tc>
        <w:tc>
          <w:tcPr>
            <w:tcW w:w="2035"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Foarte Mic</w:t>
            </w:r>
          </w:p>
        </w:tc>
        <w:tc>
          <w:tcPr>
            <w:tcW w:w="1590"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Mare</w:t>
            </w:r>
          </w:p>
        </w:tc>
      </w:tr>
    </w:tbl>
    <w:p w:rsidR="00ED5289" w:rsidRPr="00AF3608" w:rsidRDefault="00ED5289" w:rsidP="00B723C0">
      <w:pPr>
        <w:autoSpaceDE w:val="0"/>
        <w:autoSpaceDN w:val="0"/>
        <w:adjustRightInd w:val="0"/>
        <w:spacing w:line="276" w:lineRule="auto"/>
        <w:jc w:val="both"/>
        <w:rPr>
          <w:rFonts w:ascii="Calibri" w:hAnsi="Calibri" w:cs="Calibri"/>
          <w:color w:val="000000" w:themeColor="text1"/>
          <w:lang w:val="ro-RO"/>
        </w:rPr>
      </w:pPr>
    </w:p>
    <w:p w:rsidR="00ED5289" w:rsidRPr="00AF3608" w:rsidRDefault="00ED5289" w:rsidP="003815D8">
      <w:pPr>
        <w:spacing w:before="120"/>
        <w:jc w:val="both"/>
        <w:outlineLvl w:val="2"/>
        <w:rPr>
          <w:rFonts w:ascii="Calibri" w:hAnsi="Calibri" w:cs="Calibri"/>
          <w:color w:val="000000" w:themeColor="text1"/>
          <w:lang w:val="ro-RO"/>
        </w:rPr>
      </w:pPr>
      <w:r w:rsidRPr="00AF3608">
        <w:rPr>
          <w:rFonts w:ascii="Calibri" w:hAnsi="Calibri" w:cs="Calibri"/>
          <w:color w:val="000000" w:themeColor="text1"/>
          <w:lang w:val="ro-RO"/>
        </w:rPr>
        <w:t xml:space="preserve">III. Eveniment extrem – Dunăre (cedare diguri) – Debitele maxime luate în considerare în dezvoltarea scenariului Dunăre (cedare diguri) pot fi asociate probabilităţii de depăşire a debitului maxim de 0,1% </w:t>
      </w:r>
    </w:p>
    <w:p w:rsidR="00ED5289" w:rsidRPr="00AF3608" w:rsidRDefault="00ED5289" w:rsidP="003815D8">
      <w:pPr>
        <w:suppressAutoHyphens/>
        <w:spacing w:before="120"/>
        <w:jc w:val="both"/>
        <w:rPr>
          <w:rFonts w:ascii="Calibri" w:hAnsi="Calibri" w:cs="Calibri"/>
          <w:smallCaps/>
          <w:color w:val="000000" w:themeColor="text1"/>
          <w:lang w:val="ro-RO"/>
        </w:rPr>
      </w:pPr>
      <w:r w:rsidRPr="00AF3608">
        <w:rPr>
          <w:rFonts w:ascii="Calibri" w:hAnsi="Calibri" w:cs="Calibri"/>
          <w:smallCaps/>
          <w:color w:val="000000" w:themeColor="text1"/>
          <w:lang w:val="ro-RO"/>
        </w:rPr>
        <w:t>III.1. Evaluarea impactului economic</w:t>
      </w:r>
    </w:p>
    <w:p w:rsidR="00ED5289" w:rsidRPr="00AF3608" w:rsidRDefault="00ED5289" w:rsidP="003815D8">
      <w:pPr>
        <w:autoSpaceDE w:val="0"/>
        <w:autoSpaceDN w:val="0"/>
        <w:adjustRightInd w:val="0"/>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a) Costurile patrimoniale directe reprezentând valoarea economică a pierderilor și pagubelor produse construcțiilor rezidențiale afectate precum și a pagubelor și pierderilor suportate de infrastructură ca urmare a producerii evenimentului. </w:t>
      </w:r>
    </w:p>
    <w:p w:rsidR="00ED5289" w:rsidRPr="00AF3608" w:rsidRDefault="00ED5289" w:rsidP="003815D8">
      <w:pPr>
        <w:autoSpaceDE w:val="0"/>
        <w:autoSpaceDN w:val="0"/>
        <w:adjustRightInd w:val="0"/>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b) Pierderile umane au însumat pierderile de vieți omenești, costurile datorate spitalizării persoanelor rănite, pentru o perioadă medie de 10 zile de spitalizare. </w:t>
      </w:r>
    </w:p>
    <w:p w:rsidR="00ED5289" w:rsidRPr="00AF3608" w:rsidRDefault="00ED5289" w:rsidP="003815D8">
      <w:pPr>
        <w:autoSpaceDE w:val="0"/>
        <w:autoSpaceDN w:val="0"/>
        <w:adjustRightInd w:val="0"/>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d) Costurile economice indirecte sunt de două categorii: </w:t>
      </w:r>
    </w:p>
    <w:p w:rsidR="00ED5289" w:rsidRPr="00AF3608" w:rsidRDefault="00ED5289" w:rsidP="003A0B85">
      <w:pPr>
        <w:numPr>
          <w:ilvl w:val="0"/>
          <w:numId w:val="137"/>
        </w:numPr>
        <w:autoSpaceDE w:val="0"/>
        <w:autoSpaceDN w:val="0"/>
        <w:adjustRightInd w:val="0"/>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Pierderi de venituri determinate de pierderea producției agricole aferente terenurilor agricole afectate de inundații. </w:t>
      </w:r>
    </w:p>
    <w:p w:rsidR="00ED5289" w:rsidRPr="00AF3608" w:rsidRDefault="00ED5289" w:rsidP="003A0B85">
      <w:pPr>
        <w:numPr>
          <w:ilvl w:val="0"/>
          <w:numId w:val="137"/>
        </w:numPr>
        <w:autoSpaceDE w:val="0"/>
        <w:autoSpaceDN w:val="0"/>
        <w:adjustRightInd w:val="0"/>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Investițiile necesare pentru recuperarea daunelor patrimoniale produse au fost introduse în model prin intermediul creșterii ratei VAB pentru sectorul construcții în următorii doi ani, cât a fost considerată durata perioadei de recuperare. </w:t>
      </w:r>
    </w:p>
    <w:p w:rsidR="00ED5289" w:rsidRPr="00AF3608" w:rsidRDefault="00ED5289" w:rsidP="003A0B85">
      <w:pPr>
        <w:numPr>
          <w:ilvl w:val="0"/>
          <w:numId w:val="137"/>
        </w:numPr>
        <w:autoSpaceDE w:val="0"/>
        <w:autoSpaceDN w:val="0"/>
        <w:adjustRightInd w:val="0"/>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Pierderile de PIB (produs intern brut) sunt determinate de pierderile de venituri. Aceste pierderi sunt estimate cu ajutorul unui model CGE. </w:t>
      </w:r>
    </w:p>
    <w:p w:rsidR="00ED5289" w:rsidRPr="00AF3608" w:rsidRDefault="00ED5289" w:rsidP="003A0B85">
      <w:pPr>
        <w:pStyle w:val="ListParagraph"/>
        <w:numPr>
          <w:ilvl w:val="0"/>
          <w:numId w:val="90"/>
        </w:numPr>
        <w:autoSpaceDE w:val="0"/>
        <w:autoSpaceDN w:val="0"/>
        <w:adjustRightInd w:val="0"/>
        <w:spacing w:before="120" w:line="240" w:lineRule="auto"/>
        <w:contextualSpacing w:val="0"/>
        <w:jc w:val="both"/>
        <w:rPr>
          <w:rFonts w:ascii="Calibri" w:hAnsi="Calibri" w:cs="Calibri"/>
          <w:color w:val="000000" w:themeColor="text1"/>
        </w:rPr>
      </w:pPr>
      <w:r w:rsidRPr="00AF3608">
        <w:rPr>
          <w:rFonts w:ascii="Calibri" w:hAnsi="Calibri" w:cs="Calibri"/>
          <w:color w:val="000000" w:themeColor="text1"/>
        </w:rPr>
        <w:t xml:space="preserve">Costurile generate de intervenția forțelor - costuri de intervenție pentru persoanele evacuate sau sinistrate însumează costuri legate de consultația medicală, hrană, cazare și alte servicii. </w:t>
      </w:r>
    </w:p>
    <w:p w:rsidR="00964048" w:rsidRDefault="00964048" w:rsidP="003815D8">
      <w:pPr>
        <w:autoSpaceDE w:val="0"/>
        <w:autoSpaceDN w:val="0"/>
        <w:adjustRightInd w:val="0"/>
        <w:spacing w:before="120"/>
        <w:jc w:val="both"/>
        <w:rPr>
          <w:rFonts w:ascii="Calibri" w:hAnsi="Calibri" w:cs="Calibri"/>
          <w:color w:val="000000" w:themeColor="text1"/>
          <w:lang w:val="ro-RO"/>
        </w:rPr>
      </w:pPr>
    </w:p>
    <w:p w:rsidR="009D1AB4" w:rsidRDefault="009D1AB4" w:rsidP="003815D8">
      <w:pPr>
        <w:autoSpaceDE w:val="0"/>
        <w:autoSpaceDN w:val="0"/>
        <w:adjustRightInd w:val="0"/>
        <w:spacing w:before="120"/>
        <w:jc w:val="both"/>
        <w:rPr>
          <w:rFonts w:ascii="Calibri" w:hAnsi="Calibri" w:cs="Calibri"/>
          <w:color w:val="000000" w:themeColor="text1"/>
          <w:lang w:val="ro-RO"/>
        </w:rPr>
      </w:pPr>
    </w:p>
    <w:p w:rsidR="009D1AB4" w:rsidRPr="00AF3608" w:rsidRDefault="009D1AB4" w:rsidP="003815D8">
      <w:pPr>
        <w:autoSpaceDE w:val="0"/>
        <w:autoSpaceDN w:val="0"/>
        <w:adjustRightInd w:val="0"/>
        <w:spacing w:before="120"/>
        <w:jc w:val="both"/>
        <w:rPr>
          <w:rFonts w:ascii="Calibri" w:hAnsi="Calibri" w:cs="Calibri"/>
          <w:color w:val="000000" w:themeColor="text1"/>
          <w:lang w:val="ro-RO"/>
        </w:rPr>
      </w:pPr>
    </w:p>
    <w:p w:rsidR="00ED5289" w:rsidRPr="00AF3608" w:rsidRDefault="00ED5289" w:rsidP="003815D8">
      <w:pPr>
        <w:spacing w:before="120"/>
        <w:jc w:val="both"/>
        <w:outlineLvl w:val="3"/>
        <w:rPr>
          <w:rFonts w:ascii="Calibri" w:hAnsi="Calibri" w:cs="Calibri"/>
          <w:color w:val="000000" w:themeColor="text1"/>
          <w:lang w:val="ro-RO"/>
        </w:rPr>
      </w:pPr>
      <w:r w:rsidRPr="00AF3608">
        <w:rPr>
          <w:rFonts w:ascii="Calibri" w:hAnsi="Calibri" w:cs="Calibri"/>
          <w:smallCaps/>
          <w:color w:val="000000" w:themeColor="text1"/>
          <w:lang w:val="ro-RO"/>
        </w:rPr>
        <w:lastRenderedPageBreak/>
        <w:t>III.2. Indicatorii rezultați aferenți scenariului</w:t>
      </w:r>
      <w:r w:rsidRPr="00AF3608">
        <w:rPr>
          <w:rFonts w:ascii="Calibri" w:hAnsi="Calibri" w:cs="Calibri"/>
          <w:smallCaps/>
          <w:color w:val="000000" w:themeColor="text1"/>
          <w:vertAlign w:val="superscript"/>
          <w:lang w:val="ro-RO"/>
        </w:rPr>
        <w:footnoteReference w:id="34"/>
      </w:r>
    </w:p>
    <w:p w:rsidR="00ED5289" w:rsidRPr="00AF3608" w:rsidRDefault="00ED5289" w:rsidP="003815D8">
      <w:pPr>
        <w:tabs>
          <w:tab w:val="left" w:pos="540"/>
        </w:tabs>
        <w:spacing w:before="120"/>
        <w:jc w:val="both"/>
        <w:rPr>
          <w:rFonts w:ascii="Calibri" w:hAnsi="Calibri" w:cs="Calibri"/>
          <w:color w:val="000000" w:themeColor="text1"/>
          <w:lang w:val="ro-RO"/>
        </w:rPr>
      </w:pPr>
      <w:r w:rsidRPr="00AF3608">
        <w:rPr>
          <w:rFonts w:ascii="Calibri" w:hAnsi="Calibri" w:cs="Calibri"/>
          <w:color w:val="000000" w:themeColor="text1"/>
          <w:lang w:val="ro-RO"/>
        </w:rPr>
        <w:t>Costurile economice totale asociate scenariului de inundație pe Dunăre (cedare diguri)  (milioane euro)</w:t>
      </w:r>
    </w:p>
    <w:tbl>
      <w:tblPr>
        <w:tblStyle w:val="GridTable4-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
        <w:gridCol w:w="1177"/>
        <w:gridCol w:w="1004"/>
        <w:gridCol w:w="1320"/>
        <w:gridCol w:w="1024"/>
        <w:gridCol w:w="900"/>
        <w:gridCol w:w="1154"/>
        <w:gridCol w:w="1067"/>
        <w:gridCol w:w="1114"/>
      </w:tblGrid>
      <w:tr w:rsidR="00ED5289" w:rsidRPr="00AF3608" w:rsidTr="00AF49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eastAsia="en-US"/>
              </w:rPr>
            </w:pPr>
            <w:r w:rsidRPr="00AF3608">
              <w:rPr>
                <w:rFonts w:ascii="Calibri" w:hAnsi="Calibri" w:cs="Calibri"/>
                <w:color w:val="000000" w:themeColor="text1"/>
                <w:lang w:eastAsia="en-US"/>
              </w:rPr>
              <w:t>C2.1</w:t>
            </w:r>
          </w:p>
          <w:p w:rsidR="00ED5289" w:rsidRPr="00AF3608" w:rsidRDefault="00ED5289" w:rsidP="00B723C0">
            <w:pPr>
              <w:spacing w:line="276" w:lineRule="auto"/>
              <w:jc w:val="both"/>
              <w:rPr>
                <w:rFonts w:ascii="Calibri" w:hAnsi="Calibri" w:cs="Calibri"/>
                <w:color w:val="000000" w:themeColor="text1"/>
                <w:lang w:eastAsia="en-US"/>
              </w:rPr>
            </w:pPr>
            <w:r w:rsidRPr="00AF3608">
              <w:rPr>
                <w:rFonts w:ascii="Calibri" w:hAnsi="Calibri" w:cs="Calibri"/>
                <w:color w:val="000000" w:themeColor="text1"/>
                <w:lang w:eastAsia="en-US"/>
              </w:rPr>
              <w:t>Valoare pierderi umane</w:t>
            </w:r>
          </w:p>
        </w:tc>
        <w:tc>
          <w:tcPr>
            <w:tcW w:w="1151"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ED5289" w:rsidRPr="00AF3608" w:rsidRDefault="00ED5289" w:rsidP="00B723C0">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C2.2 Valoare pierderi materiale</w:t>
            </w:r>
          </w:p>
        </w:tc>
        <w:tc>
          <w:tcPr>
            <w:tcW w:w="985"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ED5289" w:rsidRPr="00AF3608" w:rsidRDefault="00ED5289" w:rsidP="00B723C0">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C2.3 Valoare pierderi de mediu</w:t>
            </w:r>
          </w:p>
        </w:tc>
        <w:tc>
          <w:tcPr>
            <w:tcW w:w="1290"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ED5289" w:rsidRPr="00AF3608" w:rsidRDefault="00ED5289" w:rsidP="00B723C0">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C2.4 Valoare costuri intervenție</w:t>
            </w:r>
          </w:p>
        </w:tc>
        <w:tc>
          <w:tcPr>
            <w:tcW w:w="4145"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ED5289" w:rsidRPr="00AF3608" w:rsidRDefault="00ED5289" w:rsidP="00B723C0">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C2.5 Impact indirect</w:t>
            </w:r>
          </w:p>
        </w:tc>
        <w:tc>
          <w:tcPr>
            <w:tcW w:w="1114"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ED5289" w:rsidRPr="00AF3608" w:rsidRDefault="00ED5289" w:rsidP="00B723C0">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Total general</w:t>
            </w:r>
          </w:p>
        </w:tc>
      </w:tr>
      <w:tr w:rsidR="00ED5289" w:rsidRPr="00AF3608" w:rsidTr="00F94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dxa"/>
            <w:vMerge/>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eastAsia="en-US"/>
              </w:rPr>
            </w:pPr>
          </w:p>
        </w:tc>
        <w:tc>
          <w:tcPr>
            <w:tcW w:w="1151" w:type="dxa"/>
            <w:vMerge/>
            <w:shd w:val="clear" w:color="auto" w:fill="D9D9D9" w:themeFill="background1" w:themeFillShade="D9"/>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p>
        </w:tc>
        <w:tc>
          <w:tcPr>
            <w:tcW w:w="985" w:type="dxa"/>
            <w:vMerge/>
            <w:shd w:val="clear" w:color="auto" w:fill="D9D9D9" w:themeFill="background1" w:themeFillShade="D9"/>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p>
        </w:tc>
        <w:tc>
          <w:tcPr>
            <w:tcW w:w="1290" w:type="dxa"/>
            <w:vMerge/>
            <w:shd w:val="clear" w:color="auto" w:fill="D9D9D9" w:themeFill="background1" w:themeFillShade="D9"/>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p>
        </w:tc>
        <w:tc>
          <w:tcPr>
            <w:tcW w:w="1024" w:type="dxa"/>
            <w:shd w:val="clear" w:color="auto" w:fill="D9D9D9" w:themeFill="background1" w:themeFillShade="D9"/>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Pierderi de venit</w:t>
            </w:r>
          </w:p>
        </w:tc>
        <w:tc>
          <w:tcPr>
            <w:tcW w:w="900" w:type="dxa"/>
            <w:shd w:val="clear" w:color="auto" w:fill="D9D9D9" w:themeFill="background1" w:themeFillShade="D9"/>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Impact PIB</w:t>
            </w:r>
          </w:p>
        </w:tc>
        <w:tc>
          <w:tcPr>
            <w:tcW w:w="1154" w:type="dxa"/>
            <w:shd w:val="clear" w:color="auto" w:fill="D9D9D9" w:themeFill="background1" w:themeFillShade="D9"/>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Reducere impact PIB prin investiții</w:t>
            </w:r>
          </w:p>
        </w:tc>
        <w:tc>
          <w:tcPr>
            <w:tcW w:w="1067" w:type="dxa"/>
            <w:shd w:val="clear" w:color="auto" w:fill="D9D9D9" w:themeFill="background1" w:themeFillShade="D9"/>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Total</w:t>
            </w:r>
          </w:p>
        </w:tc>
        <w:tc>
          <w:tcPr>
            <w:tcW w:w="1114" w:type="dxa"/>
            <w:vMerge/>
            <w:shd w:val="clear" w:color="auto" w:fill="D9D9D9" w:themeFill="background1" w:themeFillShade="D9"/>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p>
        </w:tc>
      </w:tr>
      <w:tr w:rsidR="00ED5289" w:rsidRPr="00AF3608" w:rsidTr="00F94016">
        <w:tc>
          <w:tcPr>
            <w:cnfStyle w:val="001000000000" w:firstRow="0" w:lastRow="0" w:firstColumn="1" w:lastColumn="0" w:oddVBand="0" w:evenVBand="0" w:oddHBand="0" w:evenHBand="0" w:firstRowFirstColumn="0" w:firstRowLastColumn="0" w:lastRowFirstColumn="0" w:lastRowLastColumn="0"/>
            <w:tcW w:w="1025"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eastAsia="en-US"/>
              </w:rPr>
            </w:pPr>
            <w:r w:rsidRPr="00AF3608">
              <w:rPr>
                <w:rFonts w:ascii="Calibri" w:hAnsi="Calibri" w:cs="Calibri"/>
                <w:color w:val="000000" w:themeColor="text1"/>
                <w:lang w:eastAsia="en-US"/>
              </w:rPr>
              <w:t>0.61</w:t>
            </w:r>
          </w:p>
        </w:tc>
        <w:tc>
          <w:tcPr>
            <w:tcW w:w="1151" w:type="dxa"/>
            <w:shd w:val="clear" w:color="auto" w:fill="F2F2F2" w:themeFill="background1" w:themeFillShade="F2"/>
            <w:vAlign w:val="center"/>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917.92</w:t>
            </w:r>
          </w:p>
        </w:tc>
        <w:tc>
          <w:tcPr>
            <w:tcW w:w="985" w:type="dxa"/>
            <w:shd w:val="clear" w:color="auto" w:fill="F2F2F2" w:themeFill="background1" w:themeFillShade="F2"/>
            <w:vAlign w:val="center"/>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0.00</w:t>
            </w:r>
          </w:p>
        </w:tc>
        <w:tc>
          <w:tcPr>
            <w:tcW w:w="1290" w:type="dxa"/>
            <w:shd w:val="clear" w:color="auto" w:fill="F2F2F2" w:themeFill="background1" w:themeFillShade="F2"/>
            <w:vAlign w:val="center"/>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0.98</w:t>
            </w:r>
          </w:p>
        </w:tc>
        <w:tc>
          <w:tcPr>
            <w:tcW w:w="1024" w:type="dxa"/>
            <w:shd w:val="clear" w:color="auto" w:fill="F2F2F2" w:themeFill="background1" w:themeFillShade="F2"/>
            <w:vAlign w:val="center"/>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846.80</w:t>
            </w:r>
          </w:p>
        </w:tc>
        <w:tc>
          <w:tcPr>
            <w:tcW w:w="900" w:type="dxa"/>
            <w:shd w:val="clear" w:color="auto" w:fill="F2F2F2" w:themeFill="background1" w:themeFillShade="F2"/>
            <w:vAlign w:val="center"/>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825.46</w:t>
            </w:r>
          </w:p>
        </w:tc>
        <w:tc>
          <w:tcPr>
            <w:tcW w:w="1154" w:type="dxa"/>
            <w:shd w:val="clear" w:color="auto" w:fill="F2F2F2" w:themeFill="background1" w:themeFillShade="F2"/>
            <w:vAlign w:val="center"/>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147.13</w:t>
            </w:r>
          </w:p>
        </w:tc>
        <w:tc>
          <w:tcPr>
            <w:tcW w:w="1067" w:type="dxa"/>
            <w:shd w:val="clear" w:color="auto" w:fill="F2F2F2" w:themeFill="background1" w:themeFillShade="F2"/>
            <w:vAlign w:val="center"/>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2,644.86</w:t>
            </w:r>
          </w:p>
        </w:tc>
        <w:tc>
          <w:tcPr>
            <w:tcW w:w="1114" w:type="dxa"/>
            <w:shd w:val="clear" w:color="auto" w:fill="F2F2F2" w:themeFill="background1" w:themeFillShade="F2"/>
            <w:vAlign w:val="center"/>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3,564.38</w:t>
            </w:r>
          </w:p>
        </w:tc>
      </w:tr>
    </w:tbl>
    <w:p w:rsidR="00ED5289" w:rsidRPr="00AF3608" w:rsidRDefault="00ED5289" w:rsidP="00B723C0">
      <w:pPr>
        <w:spacing w:line="276" w:lineRule="auto"/>
        <w:jc w:val="both"/>
        <w:rPr>
          <w:rFonts w:ascii="Calibri" w:hAnsi="Calibri" w:cs="Calibri"/>
          <w:color w:val="000000" w:themeColor="text1"/>
          <w:lang w:val="ro-RO"/>
        </w:rPr>
      </w:pPr>
    </w:p>
    <w:p w:rsidR="00ED5289" w:rsidRPr="00AF3608" w:rsidRDefault="00ED5289" w:rsidP="00B723C0">
      <w:pPr>
        <w:tabs>
          <w:tab w:val="left" w:pos="540"/>
        </w:tabs>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Încadrarea costurilor economice totale în clasele de impact</w:t>
      </w:r>
    </w:p>
    <w:p w:rsidR="00ED5289" w:rsidRPr="00AF3608" w:rsidRDefault="00ED5289" w:rsidP="00B723C0">
      <w:pPr>
        <w:spacing w:line="276" w:lineRule="auto"/>
        <w:jc w:val="both"/>
        <w:rPr>
          <w:rFonts w:ascii="Calibri" w:hAnsi="Calibri" w:cs="Calibri"/>
          <w:color w:val="000000" w:themeColor="text1"/>
          <w:lang w:val="ro-R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114"/>
        <w:gridCol w:w="2020"/>
        <w:gridCol w:w="2035"/>
        <w:gridCol w:w="1590"/>
      </w:tblGrid>
      <w:tr w:rsidR="00ED5289" w:rsidRPr="00AF3608" w:rsidTr="00F94016">
        <w:tc>
          <w:tcPr>
            <w:tcW w:w="1951"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C2.1</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Valoare pierderi umane</w:t>
            </w:r>
          </w:p>
        </w:tc>
        <w:tc>
          <w:tcPr>
            <w:tcW w:w="2114"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C2.2</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Valoare pierderi materiale</w:t>
            </w:r>
          </w:p>
        </w:tc>
        <w:tc>
          <w:tcPr>
            <w:tcW w:w="2020"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C2.3</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Valoare pierderi de mediu</w:t>
            </w:r>
          </w:p>
        </w:tc>
        <w:tc>
          <w:tcPr>
            <w:tcW w:w="2035"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C2.4</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Valoare costuri interventie</w:t>
            </w:r>
          </w:p>
        </w:tc>
        <w:tc>
          <w:tcPr>
            <w:tcW w:w="1590"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C2.5</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 indirect</w:t>
            </w:r>
          </w:p>
        </w:tc>
      </w:tr>
      <w:tr w:rsidR="00ED5289" w:rsidRPr="00AF3608" w:rsidTr="00F94016">
        <w:tc>
          <w:tcPr>
            <w:tcW w:w="1951"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Foarte Mic</w:t>
            </w:r>
          </w:p>
        </w:tc>
        <w:tc>
          <w:tcPr>
            <w:tcW w:w="2114"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Mare</w:t>
            </w:r>
          </w:p>
        </w:tc>
        <w:tc>
          <w:tcPr>
            <w:tcW w:w="2020"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Foarte Mic</w:t>
            </w:r>
          </w:p>
        </w:tc>
        <w:tc>
          <w:tcPr>
            <w:tcW w:w="2035"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Mic</w:t>
            </w:r>
          </w:p>
        </w:tc>
        <w:tc>
          <w:tcPr>
            <w:tcW w:w="1590"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Mare</w:t>
            </w:r>
          </w:p>
        </w:tc>
      </w:tr>
    </w:tbl>
    <w:p w:rsidR="00ED5289" w:rsidRPr="00AF3608" w:rsidRDefault="00ED5289" w:rsidP="00B723C0">
      <w:pPr>
        <w:autoSpaceDE w:val="0"/>
        <w:autoSpaceDN w:val="0"/>
        <w:adjustRightInd w:val="0"/>
        <w:spacing w:line="276" w:lineRule="auto"/>
        <w:jc w:val="both"/>
        <w:rPr>
          <w:rFonts w:ascii="Calibri" w:hAnsi="Calibri" w:cs="Calibri"/>
          <w:color w:val="000000" w:themeColor="text1"/>
          <w:lang w:val="ro-RO"/>
        </w:rPr>
      </w:pPr>
    </w:p>
    <w:p w:rsidR="00ED5289" w:rsidRPr="00AF3608" w:rsidRDefault="00ED5289" w:rsidP="003815D8">
      <w:pPr>
        <w:widowControl w:val="0"/>
        <w:spacing w:before="120"/>
        <w:jc w:val="both"/>
        <w:outlineLvl w:val="2"/>
        <w:rPr>
          <w:rFonts w:ascii="Calibri" w:hAnsi="Calibri" w:cs="Calibri"/>
          <w:color w:val="000000" w:themeColor="text1"/>
          <w:lang w:val="ro-RO"/>
        </w:rPr>
      </w:pPr>
      <w:r w:rsidRPr="00AF3608">
        <w:rPr>
          <w:rFonts w:ascii="Calibri" w:hAnsi="Calibri" w:cs="Calibri"/>
          <w:color w:val="000000" w:themeColor="text1"/>
          <w:lang w:val="ro-RO"/>
        </w:rPr>
        <w:t>IV. Gripa pandemică</w:t>
      </w:r>
    </w:p>
    <w:p w:rsidR="00ED5289" w:rsidRPr="00AF3608" w:rsidRDefault="00ED5289" w:rsidP="003815D8">
      <w:pPr>
        <w:autoSpaceDE w:val="0"/>
        <w:autoSpaceDN w:val="0"/>
        <w:adjustRightInd w:val="0"/>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O pandemie de gripă este o epidemie globală ce implică o tulpină de virus care nu a circulat anterior în rândul populației umane. Dintre cele trei grupe principale de gripă (A, B și C), gripa cu virus gripal A are capacitatea cea mai mare de a provoca pandemii umane. Virusul gripal A se clasifică în funcție de cele 2 proteine existente pe partea exterioara a virusului (hemaglutinina H și neuraminidaza N). Există 16 tipuri cunoscute de H și 9 tipuri cunoscute de N, iar combinațiile acestor tipuri de proteine formează tulpini distincte de gripă A. Din 2009, doar trei combinații H1N1, H2N2 și H3N2 au fost implicate în răspândirea directă de la o persoană la alta persoana. Cu toate acestea, este posibil ca și alte tulpini virale, cum ar fi cele găsite în păsări sau porcine, să se schimbe și să devină capabile să infecteze alte specii.Prin urmare, cea mai probabilă cauză de apariție a unei pandemii de gripă este reprezentată de emergența unui virus gripal de tip A semnificativ diferit din punct de vedere genetic de cele circulante, având următoarele caracteristici: capabil să cauzeze îmbolnăviri și să se transmită ușor de la om la om. În continuare, în scenariul creat, va fi utilizat ca virus gripal tip A(HxNy). </w:t>
      </w:r>
    </w:p>
    <w:p w:rsidR="00ED5289" w:rsidRPr="00AF3608" w:rsidRDefault="00ED5289" w:rsidP="003815D8">
      <w:pPr>
        <w:autoSpaceDE w:val="0"/>
        <w:autoSpaceDN w:val="0"/>
        <w:adjustRightInd w:val="0"/>
        <w:spacing w:before="120"/>
        <w:jc w:val="both"/>
        <w:rPr>
          <w:rFonts w:ascii="Calibri" w:hAnsi="Calibri" w:cs="Calibri"/>
          <w:smallCaps/>
          <w:color w:val="000000" w:themeColor="text1"/>
          <w:lang w:val="ro-RO"/>
        </w:rPr>
      </w:pPr>
      <w:r w:rsidRPr="00AF3608">
        <w:rPr>
          <w:rFonts w:ascii="Calibri" w:hAnsi="Calibri" w:cs="Calibri"/>
          <w:smallCaps/>
          <w:color w:val="000000" w:themeColor="text1"/>
          <w:lang w:val="ro-RO"/>
        </w:rPr>
        <w:t>IV.1. Evaluarea impactului economic</w:t>
      </w:r>
    </w:p>
    <w:p w:rsidR="00ED5289" w:rsidRPr="00AF3608" w:rsidRDefault="00ED5289" w:rsidP="003815D8">
      <w:pPr>
        <w:autoSpaceDE w:val="0"/>
        <w:autoSpaceDN w:val="0"/>
        <w:adjustRightInd w:val="0"/>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Evaluarea economică a costurilor legate de efectele asupra populației este realizată pe doua categorii: </w:t>
      </w:r>
    </w:p>
    <w:p w:rsidR="00ED5289" w:rsidRPr="00AF3608" w:rsidRDefault="00ED5289" w:rsidP="003A0B85">
      <w:pPr>
        <w:numPr>
          <w:ilvl w:val="0"/>
          <w:numId w:val="136"/>
        </w:numPr>
        <w:autoSpaceDE w:val="0"/>
        <w:autoSpaceDN w:val="0"/>
        <w:adjustRightInd w:val="0"/>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Decese - evaluarea economică a deceselor a fost efectuată conform metodologiei prin metoda capitalizării veniturilor nete </w:t>
      </w:r>
    </w:p>
    <w:p w:rsidR="00ED5289" w:rsidRPr="00AF3608" w:rsidRDefault="00ED5289" w:rsidP="003A0B85">
      <w:pPr>
        <w:numPr>
          <w:ilvl w:val="0"/>
          <w:numId w:val="136"/>
        </w:numPr>
        <w:autoSpaceDE w:val="0"/>
        <w:autoSpaceDN w:val="0"/>
        <w:adjustRightInd w:val="0"/>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Cazurile de îmbolnăvire - evaluarea economică a vătămărilor corporale ținându-se cont de numărului de zile pierdute și a câștigul mediu salarial net lunar și costurile îngrijirilor medicale pentru o perioadă medie de 5 zile de tratament spitalizării și tratamentului aferent </w:t>
      </w:r>
    </w:p>
    <w:p w:rsidR="00ED5289" w:rsidRPr="00AF3608" w:rsidRDefault="00ED5289" w:rsidP="003815D8">
      <w:pPr>
        <w:autoSpaceDE w:val="0"/>
        <w:autoSpaceDN w:val="0"/>
        <w:adjustRightInd w:val="0"/>
        <w:spacing w:before="120"/>
        <w:jc w:val="both"/>
        <w:rPr>
          <w:rFonts w:ascii="Calibri" w:hAnsi="Calibri" w:cs="Calibri"/>
          <w:color w:val="000000" w:themeColor="text1"/>
          <w:lang w:val="ro-RO"/>
        </w:rPr>
      </w:pPr>
      <w:r w:rsidRPr="00AF3608">
        <w:rPr>
          <w:rFonts w:ascii="Calibri" w:hAnsi="Calibri" w:cs="Calibri"/>
          <w:color w:val="000000" w:themeColor="text1"/>
          <w:lang w:val="ro-RO"/>
        </w:rPr>
        <w:lastRenderedPageBreak/>
        <w:t xml:space="preserve">Evaluarea costurilor indirecte s-a efectuat ținându-se cont de veniturile pierdute de către companii datoriată producerii evenimentului, luându-se în considerare inclusiv orele-om pierdute pentru personalul de ingrijire al bolnavilor la domiciliu </w:t>
      </w:r>
    </w:p>
    <w:p w:rsidR="00ED5289" w:rsidRPr="00AF3608" w:rsidRDefault="00ED5289" w:rsidP="003815D8">
      <w:pPr>
        <w:spacing w:before="120"/>
        <w:jc w:val="both"/>
        <w:outlineLvl w:val="3"/>
        <w:rPr>
          <w:rFonts w:ascii="Calibri" w:hAnsi="Calibri" w:cs="Calibri"/>
          <w:color w:val="000000" w:themeColor="text1"/>
          <w:lang w:val="ro-RO"/>
        </w:rPr>
      </w:pPr>
      <w:r w:rsidRPr="00AF3608">
        <w:rPr>
          <w:rFonts w:ascii="Calibri" w:hAnsi="Calibri" w:cs="Calibri"/>
          <w:smallCaps/>
          <w:color w:val="000000" w:themeColor="text1"/>
          <w:lang w:val="ro-RO"/>
        </w:rPr>
        <w:t>IV.2. Indicatorii rezultați aferenți scenariului</w:t>
      </w:r>
      <w:r w:rsidRPr="00AF3608">
        <w:rPr>
          <w:rFonts w:ascii="Calibri" w:hAnsi="Calibri" w:cs="Calibri"/>
          <w:color w:val="000000" w:themeColor="text1"/>
          <w:lang w:val="ro-RO"/>
        </w:rPr>
        <w:footnoteReference w:id="35"/>
      </w:r>
    </w:p>
    <w:p w:rsidR="00ED5289" w:rsidRPr="00AF3608" w:rsidRDefault="00ED5289" w:rsidP="003815D8">
      <w:pPr>
        <w:tabs>
          <w:tab w:val="left" w:pos="540"/>
        </w:tabs>
        <w:spacing w:before="120"/>
        <w:jc w:val="both"/>
        <w:rPr>
          <w:rFonts w:ascii="Calibri" w:hAnsi="Calibri" w:cs="Calibri"/>
          <w:color w:val="000000" w:themeColor="text1"/>
          <w:lang w:val="ro-RO"/>
        </w:rPr>
      </w:pPr>
      <w:r w:rsidRPr="00AF3608">
        <w:rPr>
          <w:rFonts w:ascii="Calibri" w:hAnsi="Calibri" w:cs="Calibri"/>
          <w:color w:val="000000" w:themeColor="text1"/>
          <w:lang w:val="ro-RO"/>
        </w:rPr>
        <w:t>Costurile economice totale asociate scenariului de inundație pe Dunăre (cedare diguri)  (milioane euro)</w:t>
      </w:r>
    </w:p>
    <w:tbl>
      <w:tblPr>
        <w:tblStyle w:val="GridTable4-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1177"/>
        <w:gridCol w:w="1004"/>
        <w:gridCol w:w="1320"/>
        <w:gridCol w:w="988"/>
        <w:gridCol w:w="1067"/>
        <w:gridCol w:w="1144"/>
        <w:gridCol w:w="1067"/>
        <w:gridCol w:w="1073"/>
      </w:tblGrid>
      <w:tr w:rsidR="00ED5289" w:rsidRPr="00AF3608" w:rsidTr="00AF49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eastAsia="en-US"/>
              </w:rPr>
            </w:pPr>
            <w:r w:rsidRPr="00AF3608">
              <w:rPr>
                <w:rFonts w:ascii="Calibri" w:hAnsi="Calibri" w:cs="Calibri"/>
                <w:color w:val="000000" w:themeColor="text1"/>
                <w:lang w:eastAsia="en-US"/>
              </w:rPr>
              <w:t>C2.1</w:t>
            </w:r>
          </w:p>
          <w:p w:rsidR="00ED5289" w:rsidRPr="00AF3608" w:rsidRDefault="00ED5289" w:rsidP="00B723C0">
            <w:pPr>
              <w:spacing w:line="276" w:lineRule="auto"/>
              <w:jc w:val="both"/>
              <w:rPr>
                <w:rFonts w:ascii="Calibri" w:hAnsi="Calibri" w:cs="Calibri"/>
                <w:color w:val="000000" w:themeColor="text1"/>
                <w:lang w:eastAsia="en-US"/>
              </w:rPr>
            </w:pPr>
            <w:r w:rsidRPr="00AF3608">
              <w:rPr>
                <w:rFonts w:ascii="Calibri" w:hAnsi="Calibri" w:cs="Calibri"/>
                <w:color w:val="000000" w:themeColor="text1"/>
                <w:lang w:eastAsia="en-US"/>
              </w:rPr>
              <w:t>Valoare pierderi umane</w:t>
            </w:r>
          </w:p>
        </w:tc>
        <w:tc>
          <w:tcPr>
            <w:tcW w:w="1151"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ED5289" w:rsidRPr="00AF3608" w:rsidRDefault="00ED5289" w:rsidP="00B723C0">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C2.2 Valoare pierderi materiale</w:t>
            </w:r>
          </w:p>
        </w:tc>
        <w:tc>
          <w:tcPr>
            <w:tcW w:w="985"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ED5289" w:rsidRPr="00AF3608" w:rsidRDefault="00ED5289" w:rsidP="00B723C0">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C2.3 Valoare pierderi de mediu</w:t>
            </w:r>
          </w:p>
        </w:tc>
        <w:tc>
          <w:tcPr>
            <w:tcW w:w="1290"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ED5289" w:rsidRPr="00AF3608" w:rsidRDefault="00ED5289" w:rsidP="00B723C0">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C2.4 Valoare costuri intervenție</w:t>
            </w:r>
          </w:p>
        </w:tc>
        <w:tc>
          <w:tcPr>
            <w:tcW w:w="4053"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ED5289" w:rsidRPr="00AF3608" w:rsidRDefault="00ED5289" w:rsidP="00B723C0">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C2.5 Impact indirect</w:t>
            </w:r>
          </w:p>
        </w:tc>
        <w:tc>
          <w:tcPr>
            <w:tcW w:w="1164"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ED5289" w:rsidRPr="00AF3608" w:rsidRDefault="00ED5289" w:rsidP="00B723C0">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Total general</w:t>
            </w:r>
          </w:p>
        </w:tc>
      </w:tr>
      <w:tr w:rsidR="00ED5289" w:rsidRPr="00AF3608" w:rsidTr="00F94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vMerge/>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eastAsia="en-US"/>
              </w:rPr>
            </w:pPr>
          </w:p>
        </w:tc>
        <w:tc>
          <w:tcPr>
            <w:tcW w:w="1151" w:type="dxa"/>
            <w:vMerge/>
            <w:shd w:val="clear" w:color="auto" w:fill="D9D9D9" w:themeFill="background1" w:themeFillShade="D9"/>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p>
        </w:tc>
        <w:tc>
          <w:tcPr>
            <w:tcW w:w="985" w:type="dxa"/>
            <w:vMerge/>
            <w:shd w:val="clear" w:color="auto" w:fill="D9D9D9" w:themeFill="background1" w:themeFillShade="D9"/>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p>
        </w:tc>
        <w:tc>
          <w:tcPr>
            <w:tcW w:w="1290" w:type="dxa"/>
            <w:vMerge/>
            <w:shd w:val="clear" w:color="auto" w:fill="D9D9D9" w:themeFill="background1" w:themeFillShade="D9"/>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p>
        </w:tc>
        <w:tc>
          <w:tcPr>
            <w:tcW w:w="1067" w:type="dxa"/>
            <w:shd w:val="clear" w:color="auto" w:fill="D9D9D9" w:themeFill="background1" w:themeFillShade="D9"/>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Pierderi de venit</w:t>
            </w:r>
          </w:p>
        </w:tc>
        <w:tc>
          <w:tcPr>
            <w:tcW w:w="909" w:type="dxa"/>
            <w:shd w:val="clear" w:color="auto" w:fill="D9D9D9" w:themeFill="background1" w:themeFillShade="D9"/>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Impact PIB</w:t>
            </w:r>
          </w:p>
        </w:tc>
        <w:tc>
          <w:tcPr>
            <w:tcW w:w="1166" w:type="dxa"/>
            <w:shd w:val="clear" w:color="auto" w:fill="D9D9D9" w:themeFill="background1" w:themeFillShade="D9"/>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Reducere impact PIB prin investiții</w:t>
            </w:r>
          </w:p>
        </w:tc>
        <w:tc>
          <w:tcPr>
            <w:tcW w:w="911" w:type="dxa"/>
            <w:shd w:val="clear" w:color="auto" w:fill="D9D9D9" w:themeFill="background1" w:themeFillShade="D9"/>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Total</w:t>
            </w:r>
          </w:p>
        </w:tc>
        <w:tc>
          <w:tcPr>
            <w:tcW w:w="1164" w:type="dxa"/>
            <w:vMerge/>
            <w:shd w:val="clear" w:color="auto" w:fill="D9D9D9" w:themeFill="background1" w:themeFillShade="D9"/>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p>
        </w:tc>
      </w:tr>
      <w:tr w:rsidR="00ED5289" w:rsidRPr="00AF3608" w:rsidTr="00F94016">
        <w:tc>
          <w:tcPr>
            <w:cnfStyle w:val="001000000000" w:firstRow="0" w:lastRow="0" w:firstColumn="1" w:lastColumn="0" w:oddVBand="0" w:evenVBand="0" w:oddHBand="0" w:evenHBand="0" w:firstRowFirstColumn="0" w:firstRowLastColumn="0" w:lastRowFirstColumn="0" w:lastRowLastColumn="0"/>
            <w:tcW w:w="1067"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eastAsia="en-US"/>
              </w:rPr>
            </w:pPr>
            <w:r w:rsidRPr="00AF3608">
              <w:rPr>
                <w:rFonts w:ascii="Calibri" w:hAnsi="Calibri" w:cs="Calibri"/>
                <w:color w:val="000000" w:themeColor="text1"/>
                <w:lang w:eastAsia="en-US"/>
              </w:rPr>
              <w:t>2,797.53</w:t>
            </w:r>
          </w:p>
        </w:tc>
        <w:tc>
          <w:tcPr>
            <w:tcW w:w="1151" w:type="dxa"/>
            <w:shd w:val="clear" w:color="auto" w:fill="F2F2F2" w:themeFill="background1" w:themeFillShade="F2"/>
            <w:vAlign w:val="center"/>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0.00</w:t>
            </w:r>
          </w:p>
        </w:tc>
        <w:tc>
          <w:tcPr>
            <w:tcW w:w="985" w:type="dxa"/>
            <w:shd w:val="clear" w:color="auto" w:fill="F2F2F2" w:themeFill="background1" w:themeFillShade="F2"/>
            <w:vAlign w:val="center"/>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0.00</w:t>
            </w:r>
          </w:p>
        </w:tc>
        <w:tc>
          <w:tcPr>
            <w:tcW w:w="1290" w:type="dxa"/>
            <w:shd w:val="clear" w:color="auto" w:fill="F2F2F2" w:themeFill="background1" w:themeFillShade="F2"/>
            <w:vAlign w:val="center"/>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0.00</w:t>
            </w:r>
          </w:p>
        </w:tc>
        <w:tc>
          <w:tcPr>
            <w:tcW w:w="1067" w:type="dxa"/>
            <w:shd w:val="clear" w:color="auto" w:fill="F2F2F2" w:themeFill="background1" w:themeFillShade="F2"/>
            <w:vAlign w:val="center"/>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0.00</w:t>
            </w:r>
          </w:p>
        </w:tc>
        <w:tc>
          <w:tcPr>
            <w:tcW w:w="909" w:type="dxa"/>
            <w:shd w:val="clear" w:color="auto" w:fill="F2F2F2" w:themeFill="background1" w:themeFillShade="F2"/>
            <w:vAlign w:val="center"/>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1,926.80</w:t>
            </w:r>
          </w:p>
        </w:tc>
        <w:tc>
          <w:tcPr>
            <w:tcW w:w="1166" w:type="dxa"/>
            <w:shd w:val="clear" w:color="auto" w:fill="F2F2F2" w:themeFill="background1" w:themeFillShade="F2"/>
            <w:vAlign w:val="center"/>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0.00</w:t>
            </w:r>
          </w:p>
        </w:tc>
        <w:tc>
          <w:tcPr>
            <w:tcW w:w="911" w:type="dxa"/>
            <w:shd w:val="clear" w:color="auto" w:fill="F2F2F2" w:themeFill="background1" w:themeFillShade="F2"/>
            <w:vAlign w:val="center"/>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1,926.80</w:t>
            </w:r>
          </w:p>
        </w:tc>
        <w:tc>
          <w:tcPr>
            <w:tcW w:w="1164" w:type="dxa"/>
            <w:shd w:val="clear" w:color="auto" w:fill="F2F2F2" w:themeFill="background1" w:themeFillShade="F2"/>
            <w:vAlign w:val="center"/>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4,724.35</w:t>
            </w:r>
          </w:p>
        </w:tc>
      </w:tr>
    </w:tbl>
    <w:p w:rsidR="00ED5289" w:rsidRPr="00AF3608" w:rsidRDefault="00ED5289" w:rsidP="00B723C0">
      <w:pPr>
        <w:spacing w:line="276" w:lineRule="auto"/>
        <w:jc w:val="both"/>
        <w:rPr>
          <w:rFonts w:ascii="Calibri" w:hAnsi="Calibri" w:cs="Calibri"/>
          <w:color w:val="000000" w:themeColor="text1"/>
          <w:lang w:val="ro-RO"/>
        </w:rPr>
      </w:pPr>
    </w:p>
    <w:p w:rsidR="00ED5289" w:rsidRPr="00AF3608" w:rsidRDefault="00ED5289" w:rsidP="00B723C0">
      <w:pPr>
        <w:tabs>
          <w:tab w:val="left" w:pos="540"/>
        </w:tabs>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Încadrarea costurilor economice totale în clasele de impact</w:t>
      </w:r>
    </w:p>
    <w:p w:rsidR="00ED5289" w:rsidRPr="00AF3608" w:rsidRDefault="00ED5289" w:rsidP="00B723C0">
      <w:pPr>
        <w:spacing w:line="276" w:lineRule="auto"/>
        <w:jc w:val="both"/>
        <w:rPr>
          <w:rFonts w:ascii="Calibri" w:hAnsi="Calibri" w:cs="Calibri"/>
          <w:color w:val="000000" w:themeColor="text1"/>
          <w:lang w:val="ro-R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114"/>
        <w:gridCol w:w="2020"/>
        <w:gridCol w:w="2035"/>
        <w:gridCol w:w="1590"/>
      </w:tblGrid>
      <w:tr w:rsidR="00ED5289" w:rsidRPr="00AF3608" w:rsidTr="00F94016">
        <w:tc>
          <w:tcPr>
            <w:tcW w:w="1951"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C2.1</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Valoare pierderi umane</w:t>
            </w:r>
          </w:p>
        </w:tc>
        <w:tc>
          <w:tcPr>
            <w:tcW w:w="2114"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C2.2</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Valoare pierderi materiale</w:t>
            </w:r>
          </w:p>
        </w:tc>
        <w:tc>
          <w:tcPr>
            <w:tcW w:w="2020"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C2.3</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Valoare pierderi de mediu</w:t>
            </w:r>
          </w:p>
        </w:tc>
        <w:tc>
          <w:tcPr>
            <w:tcW w:w="2035"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C2.4</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Valoare costuri interventie</w:t>
            </w:r>
          </w:p>
        </w:tc>
        <w:tc>
          <w:tcPr>
            <w:tcW w:w="1590"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C2.5</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 indirect</w:t>
            </w:r>
          </w:p>
        </w:tc>
      </w:tr>
      <w:tr w:rsidR="00ED5289" w:rsidRPr="00AF3608" w:rsidTr="00E9174E">
        <w:tc>
          <w:tcPr>
            <w:tcW w:w="1951"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Foarte Mare</w:t>
            </w:r>
          </w:p>
        </w:tc>
        <w:tc>
          <w:tcPr>
            <w:tcW w:w="2114"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Foarte Mic</w:t>
            </w:r>
          </w:p>
        </w:tc>
        <w:tc>
          <w:tcPr>
            <w:tcW w:w="2020"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Foarte Mic</w:t>
            </w:r>
          </w:p>
        </w:tc>
        <w:tc>
          <w:tcPr>
            <w:tcW w:w="2035"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Foarte Mic</w:t>
            </w:r>
          </w:p>
        </w:tc>
        <w:tc>
          <w:tcPr>
            <w:tcW w:w="1590"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Foarte Mare</w:t>
            </w:r>
          </w:p>
        </w:tc>
      </w:tr>
    </w:tbl>
    <w:p w:rsidR="006B1477" w:rsidRPr="00AF3608" w:rsidRDefault="006B1477" w:rsidP="00B723C0">
      <w:pPr>
        <w:suppressAutoHyphens/>
        <w:spacing w:before="120"/>
        <w:jc w:val="both"/>
        <w:rPr>
          <w:rFonts w:ascii="Calibri" w:hAnsi="Calibri" w:cs="Calibri"/>
          <w:lang w:val="ro-RO"/>
        </w:rPr>
      </w:pPr>
    </w:p>
    <w:p w:rsidR="006B1477" w:rsidRPr="00AF3608" w:rsidRDefault="006B1477" w:rsidP="00B723C0">
      <w:pPr>
        <w:suppressAutoHyphens/>
        <w:spacing w:before="120"/>
        <w:jc w:val="both"/>
        <w:rPr>
          <w:rFonts w:ascii="Calibri" w:hAnsi="Calibri" w:cs="Calibri"/>
          <w:lang w:val="ro-RO"/>
        </w:rPr>
      </w:pPr>
    </w:p>
    <w:p w:rsidR="00ED5289" w:rsidRPr="00AF3608" w:rsidRDefault="00ED5289" w:rsidP="003815D8">
      <w:pPr>
        <w:suppressAutoHyphens/>
        <w:spacing w:before="120"/>
        <w:jc w:val="both"/>
        <w:rPr>
          <w:rFonts w:ascii="Calibri" w:hAnsi="Calibri" w:cs="Calibri"/>
          <w:i/>
          <w:u w:val="single"/>
          <w:lang w:val="ro-RO"/>
        </w:rPr>
      </w:pPr>
      <w:r w:rsidRPr="00AF3608">
        <w:rPr>
          <w:rFonts w:ascii="Calibri" w:hAnsi="Calibri" w:cs="Calibri"/>
          <w:i/>
          <w:u w:val="single"/>
          <w:lang w:val="ro-RO"/>
        </w:rPr>
        <w:t>Ministerul Transporturilor și Infrastructurii</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Estimarea impactului bugetar al procedurii unor dezastre pentru a fi inclus în strategia fiscal-bugetară pentru perioada 2021-2023 pentru entitățile din subordinea/sub autoritatea Ministerului Transporturilor și Infrastructurii</w:t>
      </w:r>
    </w:p>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ab/>
      </w:r>
      <w:r w:rsidRPr="00AF3608">
        <w:rPr>
          <w:rFonts w:ascii="Calibri" w:hAnsi="Calibri" w:cs="Calibri"/>
          <w:lang w:val="ro-RO"/>
        </w:rPr>
        <w:tab/>
      </w:r>
      <w:r w:rsidRPr="00AF3608">
        <w:rPr>
          <w:rFonts w:ascii="Calibri" w:hAnsi="Calibri" w:cs="Calibri"/>
          <w:lang w:val="ro-RO"/>
        </w:rPr>
        <w:tab/>
      </w:r>
      <w:r w:rsidRPr="00AF3608">
        <w:rPr>
          <w:rFonts w:ascii="Calibri" w:hAnsi="Calibri" w:cs="Calibri"/>
          <w:lang w:val="ro-RO"/>
        </w:rPr>
        <w:tab/>
      </w:r>
      <w:r w:rsidRPr="00AF3608">
        <w:rPr>
          <w:rFonts w:ascii="Calibri" w:hAnsi="Calibri" w:cs="Calibri"/>
          <w:lang w:val="ro-RO"/>
        </w:rPr>
        <w:tab/>
      </w:r>
      <w:r w:rsidRPr="00AF3608">
        <w:rPr>
          <w:rFonts w:ascii="Calibri" w:hAnsi="Calibri" w:cs="Calibri"/>
          <w:lang w:val="ro-RO"/>
        </w:rPr>
        <w:tab/>
      </w:r>
      <w:r w:rsidRPr="00AF3608">
        <w:rPr>
          <w:rFonts w:ascii="Calibri" w:hAnsi="Calibri" w:cs="Calibri"/>
          <w:lang w:val="ro-RO"/>
        </w:rPr>
        <w:tab/>
      </w:r>
      <w:r w:rsidRPr="00AF3608">
        <w:rPr>
          <w:rFonts w:ascii="Calibri" w:hAnsi="Calibri" w:cs="Calibri"/>
          <w:lang w:val="ro-RO"/>
        </w:rPr>
        <w:tab/>
      </w:r>
      <w:r w:rsidRPr="00AF3608">
        <w:rPr>
          <w:rFonts w:ascii="Calibri" w:hAnsi="Calibri" w:cs="Calibri"/>
          <w:lang w:val="ro-RO"/>
        </w:rPr>
        <w:tab/>
      </w:r>
      <w:r w:rsidRPr="00AF3608">
        <w:rPr>
          <w:rFonts w:ascii="Calibri" w:hAnsi="Calibri" w:cs="Calibri"/>
          <w:lang w:val="ro-RO"/>
        </w:rPr>
        <w:tab/>
      </w:r>
      <w:r w:rsidRPr="00AF3608">
        <w:rPr>
          <w:rFonts w:ascii="Calibri" w:hAnsi="Calibri" w:cs="Calibri"/>
          <w:lang w:val="ro-RO"/>
        </w:rPr>
        <w:tab/>
        <w:t>-mii lei -</w:t>
      </w:r>
    </w:p>
    <w:tbl>
      <w:tblPr>
        <w:tblStyle w:val="TableGrid"/>
        <w:tblW w:w="0" w:type="auto"/>
        <w:tblLook w:val="04A0" w:firstRow="1" w:lastRow="0" w:firstColumn="1" w:lastColumn="0" w:noHBand="0" w:noVBand="1"/>
      </w:tblPr>
      <w:tblGrid>
        <w:gridCol w:w="793"/>
        <w:gridCol w:w="4447"/>
        <w:gridCol w:w="2977"/>
        <w:gridCol w:w="1695"/>
      </w:tblGrid>
      <w:tr w:rsidR="00ED5289" w:rsidRPr="00AF3608" w:rsidTr="00E751E4">
        <w:tc>
          <w:tcPr>
            <w:tcW w:w="793" w:type="dxa"/>
          </w:tcPr>
          <w:p w:rsidR="00ED5289" w:rsidRPr="00AF3608" w:rsidRDefault="00ED5289" w:rsidP="00B723C0">
            <w:pPr>
              <w:suppressAutoHyphens/>
              <w:spacing w:before="120"/>
              <w:jc w:val="both"/>
              <w:rPr>
                <w:rFonts w:ascii="Calibri" w:hAnsi="Calibri" w:cs="Calibri"/>
                <w:b/>
                <w:lang w:val="ro-RO"/>
              </w:rPr>
            </w:pPr>
            <w:r w:rsidRPr="00AF3608">
              <w:rPr>
                <w:rFonts w:ascii="Calibri" w:hAnsi="Calibri" w:cs="Calibri"/>
                <w:b/>
                <w:lang w:val="ro-RO"/>
              </w:rPr>
              <w:t>Nr.crt</w:t>
            </w:r>
          </w:p>
        </w:tc>
        <w:tc>
          <w:tcPr>
            <w:tcW w:w="4447" w:type="dxa"/>
          </w:tcPr>
          <w:p w:rsidR="00ED5289" w:rsidRPr="00AF3608" w:rsidRDefault="00ED5289" w:rsidP="00B723C0">
            <w:pPr>
              <w:suppressAutoHyphens/>
              <w:spacing w:before="120"/>
              <w:jc w:val="both"/>
              <w:rPr>
                <w:rFonts w:ascii="Calibri" w:hAnsi="Calibri" w:cs="Calibri"/>
                <w:b/>
                <w:lang w:val="ro-RO"/>
              </w:rPr>
            </w:pPr>
            <w:r w:rsidRPr="00AF3608">
              <w:rPr>
                <w:rFonts w:ascii="Calibri" w:hAnsi="Calibri" w:cs="Calibri"/>
                <w:b/>
                <w:lang w:val="ro-RO"/>
              </w:rPr>
              <w:t>Direcție MT / entitate MT</w:t>
            </w:r>
          </w:p>
        </w:tc>
        <w:tc>
          <w:tcPr>
            <w:tcW w:w="2977" w:type="dxa"/>
          </w:tcPr>
          <w:p w:rsidR="00ED5289" w:rsidRPr="00AF3608" w:rsidRDefault="00ED5289" w:rsidP="00B723C0">
            <w:pPr>
              <w:suppressAutoHyphens/>
              <w:spacing w:before="120"/>
              <w:jc w:val="both"/>
              <w:rPr>
                <w:rFonts w:ascii="Calibri" w:hAnsi="Calibri" w:cs="Calibri"/>
                <w:b/>
                <w:lang w:val="ro-RO"/>
              </w:rPr>
            </w:pPr>
            <w:r w:rsidRPr="00AF3608">
              <w:rPr>
                <w:rFonts w:ascii="Calibri" w:hAnsi="Calibri" w:cs="Calibri"/>
                <w:b/>
                <w:lang w:val="ro-RO"/>
              </w:rPr>
              <w:t>Explicații</w:t>
            </w:r>
          </w:p>
        </w:tc>
        <w:tc>
          <w:tcPr>
            <w:tcW w:w="1695" w:type="dxa"/>
          </w:tcPr>
          <w:p w:rsidR="00ED5289" w:rsidRPr="00AF3608" w:rsidRDefault="00ED5289" w:rsidP="00B723C0">
            <w:pPr>
              <w:suppressAutoHyphens/>
              <w:spacing w:before="120"/>
              <w:jc w:val="both"/>
              <w:rPr>
                <w:rFonts w:ascii="Calibri" w:hAnsi="Calibri" w:cs="Calibri"/>
                <w:b/>
                <w:lang w:val="ro-RO"/>
              </w:rPr>
            </w:pPr>
            <w:r w:rsidRPr="00AF3608">
              <w:rPr>
                <w:rFonts w:ascii="Calibri" w:hAnsi="Calibri" w:cs="Calibri"/>
                <w:b/>
                <w:lang w:val="ro-RO"/>
              </w:rPr>
              <w:t>Cost estimativ</w:t>
            </w:r>
          </w:p>
        </w:tc>
      </w:tr>
      <w:tr w:rsidR="00ED5289" w:rsidRPr="00AF3608" w:rsidTr="00E751E4">
        <w:tc>
          <w:tcPr>
            <w:tcW w:w="793" w:type="dxa"/>
          </w:tcPr>
          <w:p w:rsidR="00ED5289" w:rsidRPr="00AF3608" w:rsidRDefault="00ED5289" w:rsidP="00B723C0">
            <w:pPr>
              <w:suppressAutoHyphens/>
              <w:spacing w:before="120"/>
              <w:jc w:val="both"/>
              <w:rPr>
                <w:rFonts w:ascii="Calibri" w:hAnsi="Calibri" w:cs="Calibri"/>
                <w:i/>
                <w:u w:val="single"/>
                <w:lang w:val="ro-RO"/>
              </w:rPr>
            </w:pPr>
          </w:p>
        </w:tc>
        <w:tc>
          <w:tcPr>
            <w:tcW w:w="4447" w:type="dxa"/>
          </w:tcPr>
          <w:p w:rsidR="00ED5289" w:rsidRPr="00AF3608" w:rsidRDefault="00ED5289" w:rsidP="00B723C0">
            <w:pPr>
              <w:suppressAutoHyphens/>
              <w:spacing w:before="120"/>
              <w:jc w:val="both"/>
              <w:rPr>
                <w:rFonts w:ascii="Calibri" w:hAnsi="Calibri" w:cs="Calibri"/>
                <w:b/>
                <w:lang w:val="ro-RO"/>
              </w:rPr>
            </w:pPr>
            <w:r w:rsidRPr="00AF3608">
              <w:rPr>
                <w:rFonts w:ascii="Calibri" w:hAnsi="Calibri" w:cs="Calibri"/>
                <w:b/>
                <w:lang w:val="ro-RO"/>
              </w:rPr>
              <w:t>Direcția Transport Aerian</w:t>
            </w:r>
          </w:p>
        </w:tc>
        <w:tc>
          <w:tcPr>
            <w:tcW w:w="2977" w:type="dxa"/>
          </w:tcPr>
          <w:p w:rsidR="00ED5289" w:rsidRPr="00AF3608" w:rsidRDefault="00ED5289" w:rsidP="00B723C0">
            <w:pPr>
              <w:suppressAutoHyphens/>
              <w:spacing w:before="120"/>
              <w:jc w:val="both"/>
              <w:rPr>
                <w:rFonts w:ascii="Calibri" w:hAnsi="Calibri" w:cs="Calibri"/>
                <w:i/>
                <w:u w:val="single"/>
                <w:lang w:val="ro-RO"/>
              </w:rPr>
            </w:pPr>
          </w:p>
        </w:tc>
        <w:tc>
          <w:tcPr>
            <w:tcW w:w="1695" w:type="dxa"/>
          </w:tcPr>
          <w:p w:rsidR="00ED5289" w:rsidRPr="00AF3608" w:rsidRDefault="00ED5289" w:rsidP="00B723C0">
            <w:pPr>
              <w:suppressAutoHyphens/>
              <w:spacing w:before="120"/>
              <w:jc w:val="both"/>
              <w:rPr>
                <w:rFonts w:ascii="Calibri" w:hAnsi="Calibri" w:cs="Calibri"/>
                <w:i/>
                <w:u w:val="single"/>
                <w:lang w:val="ro-RO"/>
              </w:rPr>
            </w:pPr>
          </w:p>
        </w:tc>
      </w:tr>
      <w:tr w:rsidR="00ED5289" w:rsidRPr="00AF3608" w:rsidTr="00E751E4">
        <w:tc>
          <w:tcPr>
            <w:tcW w:w="793" w:type="dxa"/>
            <w:vMerge w:val="restart"/>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w:t>
            </w:r>
          </w:p>
        </w:tc>
        <w:tc>
          <w:tcPr>
            <w:tcW w:w="4447" w:type="dxa"/>
            <w:vMerge w:val="restart"/>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Autoritatea de Investigații si Analiză pentru Siguranța Aviației Civile (AIAS)</w:t>
            </w:r>
          </w:p>
        </w:tc>
        <w:tc>
          <w:tcPr>
            <w:tcW w:w="2977"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Catastrofă aeriană pe uscat</w:t>
            </w:r>
          </w:p>
        </w:tc>
        <w:tc>
          <w:tcPr>
            <w:tcW w:w="1695"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24.450</w:t>
            </w:r>
          </w:p>
        </w:tc>
      </w:tr>
      <w:tr w:rsidR="00ED5289" w:rsidRPr="00AF3608" w:rsidTr="00E751E4">
        <w:tc>
          <w:tcPr>
            <w:tcW w:w="793" w:type="dxa"/>
            <w:vMerge/>
          </w:tcPr>
          <w:p w:rsidR="00ED5289" w:rsidRPr="00AF3608" w:rsidRDefault="00ED5289" w:rsidP="00B723C0">
            <w:pPr>
              <w:suppressAutoHyphens/>
              <w:spacing w:before="120"/>
              <w:jc w:val="both"/>
              <w:rPr>
                <w:rFonts w:ascii="Calibri" w:hAnsi="Calibri" w:cs="Calibri"/>
                <w:i/>
                <w:u w:val="single"/>
                <w:lang w:val="ro-RO"/>
              </w:rPr>
            </w:pPr>
          </w:p>
        </w:tc>
        <w:tc>
          <w:tcPr>
            <w:tcW w:w="4447" w:type="dxa"/>
            <w:vMerge/>
          </w:tcPr>
          <w:p w:rsidR="00ED5289" w:rsidRPr="00AF3608" w:rsidRDefault="00ED5289" w:rsidP="00B723C0">
            <w:pPr>
              <w:suppressAutoHyphens/>
              <w:spacing w:before="120"/>
              <w:jc w:val="both"/>
              <w:rPr>
                <w:rFonts w:ascii="Calibri" w:hAnsi="Calibri" w:cs="Calibri"/>
                <w:i/>
                <w:u w:val="single"/>
                <w:lang w:val="ro-RO"/>
              </w:rPr>
            </w:pPr>
          </w:p>
        </w:tc>
        <w:tc>
          <w:tcPr>
            <w:tcW w:w="2977"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Catastrofă aeriană în apele teritoriale române</w:t>
            </w:r>
          </w:p>
        </w:tc>
        <w:tc>
          <w:tcPr>
            <w:tcW w:w="1695"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151.590</w:t>
            </w:r>
          </w:p>
        </w:tc>
      </w:tr>
      <w:tr w:rsidR="00ED5289" w:rsidRPr="00AF3608" w:rsidTr="00E751E4">
        <w:tc>
          <w:tcPr>
            <w:tcW w:w="793"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w:t>
            </w:r>
          </w:p>
        </w:tc>
        <w:tc>
          <w:tcPr>
            <w:tcW w:w="4447"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SN Aeroportul Internațional Timișoara ”Traian Vuia” - SA</w:t>
            </w:r>
          </w:p>
        </w:tc>
        <w:tc>
          <w:tcPr>
            <w:tcW w:w="2977"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Dezastru produs de inundații</w:t>
            </w:r>
          </w:p>
        </w:tc>
        <w:tc>
          <w:tcPr>
            <w:tcW w:w="1695"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2.300</w:t>
            </w:r>
          </w:p>
        </w:tc>
      </w:tr>
      <w:tr w:rsidR="00ED5289" w:rsidRPr="00AF3608" w:rsidTr="00E751E4">
        <w:tc>
          <w:tcPr>
            <w:tcW w:w="793"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lastRenderedPageBreak/>
              <w:t>3</w:t>
            </w:r>
          </w:p>
        </w:tc>
        <w:tc>
          <w:tcPr>
            <w:tcW w:w="4447"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CN Aeroporturi București</w:t>
            </w:r>
          </w:p>
        </w:tc>
        <w:tc>
          <w:tcPr>
            <w:tcW w:w="2977"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Asigurare cutremur de pământ, alunecări de teren, furtună, vijelii, tornade</w:t>
            </w:r>
          </w:p>
        </w:tc>
        <w:tc>
          <w:tcPr>
            <w:tcW w:w="1695"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2.744</w:t>
            </w:r>
          </w:p>
        </w:tc>
      </w:tr>
      <w:tr w:rsidR="00ED5289" w:rsidRPr="00AF3608" w:rsidTr="00E751E4">
        <w:tc>
          <w:tcPr>
            <w:tcW w:w="793" w:type="dxa"/>
          </w:tcPr>
          <w:p w:rsidR="00ED5289" w:rsidRPr="00AF3608" w:rsidRDefault="00ED5289" w:rsidP="00B723C0">
            <w:pPr>
              <w:suppressAutoHyphens/>
              <w:spacing w:before="120"/>
              <w:jc w:val="both"/>
              <w:rPr>
                <w:rFonts w:ascii="Calibri" w:hAnsi="Calibri" w:cs="Calibri"/>
                <w:lang w:val="ro-RO"/>
              </w:rPr>
            </w:pPr>
          </w:p>
        </w:tc>
        <w:tc>
          <w:tcPr>
            <w:tcW w:w="4447" w:type="dxa"/>
          </w:tcPr>
          <w:p w:rsidR="00ED5289" w:rsidRPr="00AF3608" w:rsidRDefault="00ED5289" w:rsidP="00B723C0">
            <w:pPr>
              <w:suppressAutoHyphens/>
              <w:spacing w:before="120"/>
              <w:jc w:val="both"/>
              <w:rPr>
                <w:rFonts w:ascii="Calibri" w:hAnsi="Calibri" w:cs="Calibri"/>
                <w:b/>
                <w:lang w:val="ro-RO"/>
              </w:rPr>
            </w:pPr>
            <w:r w:rsidRPr="00AF3608">
              <w:rPr>
                <w:rFonts w:ascii="Calibri" w:hAnsi="Calibri" w:cs="Calibri"/>
                <w:b/>
                <w:lang w:val="ro-RO"/>
              </w:rPr>
              <w:t>Direcția Generală Investiții, Proiecte Strategice și Monitorizare Proiecte</w:t>
            </w:r>
          </w:p>
        </w:tc>
        <w:tc>
          <w:tcPr>
            <w:tcW w:w="2977" w:type="dxa"/>
          </w:tcPr>
          <w:p w:rsidR="00ED5289" w:rsidRPr="00AF3608" w:rsidRDefault="00ED5289" w:rsidP="00B723C0">
            <w:pPr>
              <w:suppressAutoHyphens/>
              <w:spacing w:before="120"/>
              <w:jc w:val="both"/>
              <w:rPr>
                <w:rFonts w:ascii="Calibri" w:hAnsi="Calibri" w:cs="Calibri"/>
                <w:i/>
                <w:u w:val="single"/>
                <w:lang w:val="ro-RO"/>
              </w:rPr>
            </w:pPr>
          </w:p>
        </w:tc>
        <w:tc>
          <w:tcPr>
            <w:tcW w:w="1695" w:type="dxa"/>
          </w:tcPr>
          <w:p w:rsidR="00ED5289" w:rsidRPr="00AF3608" w:rsidRDefault="00ED5289" w:rsidP="00B723C0">
            <w:pPr>
              <w:suppressAutoHyphens/>
              <w:spacing w:before="120"/>
              <w:jc w:val="both"/>
              <w:rPr>
                <w:rFonts w:ascii="Calibri" w:hAnsi="Calibri" w:cs="Calibri"/>
                <w:i/>
                <w:u w:val="single"/>
                <w:lang w:val="ro-RO"/>
              </w:rPr>
            </w:pPr>
          </w:p>
        </w:tc>
      </w:tr>
      <w:tr w:rsidR="00ED5289" w:rsidRPr="00AF3608" w:rsidTr="00E751E4">
        <w:tc>
          <w:tcPr>
            <w:tcW w:w="793" w:type="dxa"/>
            <w:vMerge w:val="restart"/>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4</w:t>
            </w:r>
          </w:p>
        </w:tc>
        <w:tc>
          <w:tcPr>
            <w:tcW w:w="4447" w:type="dxa"/>
            <w:vMerge w:val="restart"/>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CNAIR – SA</w:t>
            </w:r>
          </w:p>
        </w:tc>
        <w:tc>
          <w:tcPr>
            <w:tcW w:w="2977"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Lucrări reabilitare a sectoarelor de drumuri naționale și autostrăzi afectate de fenomene meteorologice și hidrologice</w:t>
            </w:r>
          </w:p>
        </w:tc>
        <w:tc>
          <w:tcPr>
            <w:tcW w:w="1695"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240.000</w:t>
            </w:r>
          </w:p>
        </w:tc>
      </w:tr>
      <w:tr w:rsidR="00ED5289" w:rsidRPr="00AF3608" w:rsidTr="00E751E4">
        <w:tc>
          <w:tcPr>
            <w:tcW w:w="793" w:type="dxa"/>
            <w:vMerge/>
          </w:tcPr>
          <w:p w:rsidR="00ED5289" w:rsidRPr="00AF3608" w:rsidRDefault="00ED5289" w:rsidP="00B723C0">
            <w:pPr>
              <w:suppressAutoHyphens/>
              <w:spacing w:before="120"/>
              <w:jc w:val="both"/>
              <w:rPr>
                <w:rFonts w:ascii="Calibri" w:hAnsi="Calibri" w:cs="Calibri"/>
                <w:lang w:val="ro-RO"/>
              </w:rPr>
            </w:pPr>
          </w:p>
        </w:tc>
        <w:tc>
          <w:tcPr>
            <w:tcW w:w="4447" w:type="dxa"/>
            <w:vMerge/>
          </w:tcPr>
          <w:p w:rsidR="00ED5289" w:rsidRPr="00AF3608" w:rsidRDefault="00ED5289" w:rsidP="00B723C0">
            <w:pPr>
              <w:suppressAutoHyphens/>
              <w:spacing w:before="120"/>
              <w:jc w:val="both"/>
              <w:rPr>
                <w:rFonts w:ascii="Calibri" w:hAnsi="Calibri" w:cs="Calibri"/>
                <w:lang w:val="ro-RO"/>
              </w:rPr>
            </w:pPr>
          </w:p>
        </w:tc>
        <w:tc>
          <w:tcPr>
            <w:tcW w:w="2977"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Impact cutremur asupra podurilor rutiere</w:t>
            </w:r>
          </w:p>
        </w:tc>
        <w:tc>
          <w:tcPr>
            <w:tcW w:w="1695"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135.698</w:t>
            </w:r>
          </w:p>
        </w:tc>
      </w:tr>
      <w:tr w:rsidR="00ED5289" w:rsidRPr="00AF3608" w:rsidTr="00E751E4">
        <w:tc>
          <w:tcPr>
            <w:tcW w:w="793" w:type="dxa"/>
          </w:tcPr>
          <w:p w:rsidR="00ED5289" w:rsidRPr="00AF3608" w:rsidRDefault="00ED5289" w:rsidP="00B723C0">
            <w:pPr>
              <w:suppressAutoHyphens/>
              <w:spacing w:before="120"/>
              <w:jc w:val="both"/>
              <w:rPr>
                <w:rFonts w:ascii="Calibri" w:hAnsi="Calibri" w:cs="Calibri"/>
                <w:lang w:val="ro-RO"/>
              </w:rPr>
            </w:pPr>
          </w:p>
        </w:tc>
        <w:tc>
          <w:tcPr>
            <w:tcW w:w="4447" w:type="dxa"/>
          </w:tcPr>
          <w:p w:rsidR="00ED5289" w:rsidRPr="00AF3608" w:rsidRDefault="00ED5289" w:rsidP="00B723C0">
            <w:pPr>
              <w:suppressAutoHyphens/>
              <w:spacing w:before="120"/>
              <w:jc w:val="both"/>
              <w:rPr>
                <w:rFonts w:ascii="Calibri" w:hAnsi="Calibri" w:cs="Calibri"/>
                <w:b/>
                <w:lang w:val="ro-RO"/>
              </w:rPr>
            </w:pPr>
            <w:r w:rsidRPr="00AF3608">
              <w:rPr>
                <w:rFonts w:ascii="Calibri" w:hAnsi="Calibri" w:cs="Calibri"/>
                <w:b/>
                <w:lang w:val="ro-RO"/>
              </w:rPr>
              <w:t>Direcția Transport Naval</w:t>
            </w:r>
          </w:p>
        </w:tc>
        <w:tc>
          <w:tcPr>
            <w:tcW w:w="2977" w:type="dxa"/>
          </w:tcPr>
          <w:p w:rsidR="00ED5289" w:rsidRPr="00AF3608" w:rsidRDefault="00ED5289" w:rsidP="00B723C0">
            <w:pPr>
              <w:suppressAutoHyphens/>
              <w:spacing w:before="120"/>
              <w:jc w:val="both"/>
              <w:rPr>
                <w:rFonts w:ascii="Calibri" w:hAnsi="Calibri" w:cs="Calibri"/>
                <w:lang w:val="ro-RO"/>
              </w:rPr>
            </w:pPr>
          </w:p>
        </w:tc>
        <w:tc>
          <w:tcPr>
            <w:tcW w:w="1695" w:type="dxa"/>
          </w:tcPr>
          <w:p w:rsidR="00ED5289" w:rsidRPr="00AF3608" w:rsidRDefault="00ED5289" w:rsidP="00B723C0">
            <w:pPr>
              <w:suppressAutoHyphens/>
              <w:spacing w:before="120"/>
              <w:jc w:val="both"/>
              <w:rPr>
                <w:rFonts w:ascii="Calibri" w:hAnsi="Calibri" w:cs="Calibri"/>
                <w:lang w:val="ro-RO"/>
              </w:rPr>
            </w:pPr>
          </w:p>
        </w:tc>
      </w:tr>
      <w:tr w:rsidR="00ED5289" w:rsidRPr="00AF3608" w:rsidTr="00E751E4">
        <w:tc>
          <w:tcPr>
            <w:tcW w:w="793"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5</w:t>
            </w:r>
          </w:p>
        </w:tc>
        <w:tc>
          <w:tcPr>
            <w:tcW w:w="4447"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RA AFDJ Galați</w:t>
            </w:r>
          </w:p>
        </w:tc>
        <w:tc>
          <w:tcPr>
            <w:tcW w:w="2977"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Resurse financiare necesare gestionării situațiilor de urgență în perioada 2021-2023</w:t>
            </w:r>
          </w:p>
        </w:tc>
        <w:tc>
          <w:tcPr>
            <w:tcW w:w="1695"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29.340</w:t>
            </w:r>
          </w:p>
        </w:tc>
      </w:tr>
      <w:tr w:rsidR="00ED5289" w:rsidRPr="00AF3608" w:rsidTr="00E751E4">
        <w:tc>
          <w:tcPr>
            <w:tcW w:w="793"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6</w:t>
            </w:r>
          </w:p>
        </w:tc>
        <w:tc>
          <w:tcPr>
            <w:tcW w:w="4447"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ARSVOM</w:t>
            </w:r>
          </w:p>
        </w:tc>
        <w:tc>
          <w:tcPr>
            <w:tcW w:w="2977"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Estimare impact bugetar dezastru în perioada 2021-2023</w:t>
            </w:r>
          </w:p>
        </w:tc>
        <w:tc>
          <w:tcPr>
            <w:tcW w:w="1695"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432.855</w:t>
            </w:r>
          </w:p>
        </w:tc>
      </w:tr>
      <w:tr w:rsidR="00ED5289" w:rsidRPr="00AF3608" w:rsidTr="00E751E4">
        <w:tc>
          <w:tcPr>
            <w:tcW w:w="793" w:type="dxa"/>
          </w:tcPr>
          <w:p w:rsidR="00ED5289" w:rsidRPr="00AF3608" w:rsidRDefault="00ED5289" w:rsidP="00B723C0">
            <w:pPr>
              <w:suppressAutoHyphens/>
              <w:spacing w:before="120"/>
              <w:jc w:val="both"/>
              <w:rPr>
                <w:rFonts w:ascii="Calibri" w:hAnsi="Calibri" w:cs="Calibri"/>
                <w:lang w:val="ro-RO"/>
              </w:rPr>
            </w:pPr>
          </w:p>
        </w:tc>
        <w:tc>
          <w:tcPr>
            <w:tcW w:w="4447" w:type="dxa"/>
          </w:tcPr>
          <w:p w:rsidR="00ED5289" w:rsidRPr="00AF3608" w:rsidRDefault="00ED5289" w:rsidP="00B723C0">
            <w:pPr>
              <w:suppressAutoHyphens/>
              <w:spacing w:before="120"/>
              <w:jc w:val="both"/>
              <w:rPr>
                <w:rFonts w:ascii="Calibri" w:hAnsi="Calibri" w:cs="Calibri"/>
                <w:b/>
                <w:lang w:val="ro-RO"/>
              </w:rPr>
            </w:pPr>
            <w:r w:rsidRPr="00AF3608">
              <w:rPr>
                <w:rFonts w:ascii="Calibri" w:hAnsi="Calibri" w:cs="Calibri"/>
                <w:b/>
                <w:lang w:val="ro-RO"/>
              </w:rPr>
              <w:t>Direcția Transport Feroviar</w:t>
            </w:r>
          </w:p>
        </w:tc>
        <w:tc>
          <w:tcPr>
            <w:tcW w:w="2977"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Estimare producere cutremur major care afectează întreaga rețea de metrou</w:t>
            </w:r>
          </w:p>
        </w:tc>
        <w:tc>
          <w:tcPr>
            <w:tcW w:w="1695"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2.981.580</w:t>
            </w:r>
          </w:p>
        </w:tc>
      </w:tr>
      <w:tr w:rsidR="00ED5289" w:rsidRPr="00AF3608" w:rsidTr="00E751E4">
        <w:trPr>
          <w:trHeight w:val="311"/>
        </w:trPr>
        <w:tc>
          <w:tcPr>
            <w:tcW w:w="793"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7</w:t>
            </w:r>
          </w:p>
        </w:tc>
        <w:tc>
          <w:tcPr>
            <w:tcW w:w="4447"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METROREX - SA</w:t>
            </w:r>
          </w:p>
        </w:tc>
        <w:tc>
          <w:tcPr>
            <w:tcW w:w="2977"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Estimare producere cutremur major care afectează întreaga rețea de metrou</w:t>
            </w:r>
          </w:p>
        </w:tc>
        <w:tc>
          <w:tcPr>
            <w:tcW w:w="1695"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2.981.580</w:t>
            </w:r>
          </w:p>
        </w:tc>
      </w:tr>
    </w:tbl>
    <w:p w:rsidR="00ED5289" w:rsidRPr="00AF3608" w:rsidRDefault="00ED5289" w:rsidP="003815D8">
      <w:pPr>
        <w:suppressAutoHyphens/>
        <w:spacing w:before="120"/>
        <w:jc w:val="both"/>
        <w:rPr>
          <w:rFonts w:ascii="Calibri" w:hAnsi="Calibri" w:cs="Calibri"/>
          <w:lang w:val="ro-RO"/>
        </w:rPr>
      </w:pPr>
    </w:p>
    <w:p w:rsidR="00ED5289" w:rsidRPr="00AF3608" w:rsidRDefault="00ED5289" w:rsidP="003815D8">
      <w:pPr>
        <w:suppressAutoHyphens/>
        <w:spacing w:before="120"/>
        <w:jc w:val="both"/>
        <w:rPr>
          <w:rFonts w:ascii="Calibri" w:hAnsi="Calibri" w:cs="Calibri"/>
          <w:lang w:val="ro-RO"/>
        </w:rPr>
      </w:pPr>
    </w:p>
    <w:tbl>
      <w:tblPr>
        <w:tblW w:w="0" w:type="auto"/>
        <w:tblBorders>
          <w:top w:val="single" w:sz="2" w:space="0" w:color="365F91"/>
          <w:left w:val="single" w:sz="2" w:space="0" w:color="365F91"/>
          <w:bottom w:val="single" w:sz="2" w:space="0" w:color="365F91"/>
          <w:right w:val="single" w:sz="2" w:space="0" w:color="365F91"/>
        </w:tblBorders>
        <w:tblLook w:val="04A0" w:firstRow="1" w:lastRow="0" w:firstColumn="1" w:lastColumn="0" w:noHBand="0" w:noVBand="1"/>
      </w:tblPr>
      <w:tblGrid>
        <w:gridCol w:w="9904"/>
      </w:tblGrid>
      <w:tr w:rsidR="00ED5289" w:rsidRPr="00AF3608" w:rsidTr="00E751E4">
        <w:trPr>
          <w:trHeight w:val="397"/>
        </w:trPr>
        <w:tc>
          <w:tcPr>
            <w:tcW w:w="9904" w:type="dxa"/>
            <w:shd w:val="clear" w:color="auto" w:fill="D9D9D9" w:themeFill="background1" w:themeFillShade="D9"/>
          </w:tcPr>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Măsuri implementate sau în curs de implementare pentru prevenirea riscurilor generate de situații de urgență</w:t>
            </w:r>
          </w:p>
        </w:tc>
      </w:tr>
    </w:tbl>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 xml:space="preserve">În vederea sprijinirii eforturilor de a reacționa în mod eficient în cazul producerii unor dezastre naturale și al schimbărilor climatice, pe de o parte, prin intermediul unui management performant al riscurilor de dezastre, prin dezvoltarea de politici specifice și pe de altă parte, prin asigurarea resurselor financiare în cazul producerii unor dezastre naturale, România a încheiat o serie de acorduri de împrumut cu Banca Internațională pentru Reconstrucție și Dezvoltare (BIRD). </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 xml:space="preserve">În decursul ultimului deceniu, Grupul Băncii Mondiale a devenit lider mondial în gestionarea riscului de dezastre, sprijinind țările membre în evaluarea expunerii la dezastre și gestionarea acestora. </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lastRenderedPageBreak/>
        <w:t xml:space="preserve">În luna iunie, 2018, s-a încheiat Acordul de împrumut pentru politici de dezvoltare privind managementul riscurilor de dezastru, cu opțiune de amânare a tragerii până la apariția unei catastrofe (CAT-DDO), în valoare de 400 milioane de euro, încheiat între Ministerul Finanțelor și BIRD (Banca Internațională pentru Reconstrucție și Dezvoltare). </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Împrumutul este acordat pe o perioadă de până la 20 ani, cu 19,5 ani perioadă de grație, rambursarea efectuându-se într-o singură tranșă la 1 mai 2038 și este disponibil până la data de 31 decembrie 2021, cu posibilitatea extinderii acestei perioade de 4 ori, dar fără a depăși în total 15 ani.</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Totodată, în luna iulie, 2019 au fost încheiate două noi acorduri de împrumut cu Banca Internațională pentru Reconstrucție și Dezvoltare (BIRD)</w:t>
      </w:r>
      <w:r w:rsidRPr="00AF3608">
        <w:rPr>
          <w:rFonts w:ascii="Calibri" w:hAnsi="Calibri" w:cs="Calibri"/>
          <w:vertAlign w:val="superscript"/>
          <w:lang w:val="ro-RO"/>
        </w:rPr>
        <w:footnoteReference w:id="36"/>
      </w:r>
      <w:r w:rsidRPr="00AF3608">
        <w:rPr>
          <w:rFonts w:ascii="Calibri" w:hAnsi="Calibri" w:cs="Calibri"/>
          <w:lang w:val="ro-RO"/>
        </w:rPr>
        <w:t>, unul în valoare de 50 de milioane de euro, pentru Proiectul privind îmbunătățirea rezilienței și a răspunsului la situații de urgență, iar al doilea, în valoare de 40 milioane de euro pentru Proiectul privind consolidarea infrastructurii și a pregătirii pentru situații critice de urgență.</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Fiecare împrumut este acordat pe o perioadă de până la 10 ani, rambursarea efectuându-se într-o singură tranșă la data de 1 februarie 2029, sumele împrumuturilor fiind disponibile până la data de 31 decembrie 2025.</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Punerea în aplicare a acțiunilor prevăzute se va asigura de către Ministerul Afacerilor Interne, prin Unităţile de implementare a proiectelor înfiinţate în acest scop în cadrul Inspectoratului General al Poliției și Inspectoratului General al Jandarmeriei.</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Punerea în aplicare a acțiunilor prevăzute în Acordul de Împrumut se asigură de către: Ministerul Finanțelor, în calitate de împrumutat, Ministerul Afacerilor Interne, în calitate de coordonator al Comitetului Național pentru Situații Speciale de Urgență, prin Departamentul pentru Situații de Urgență, precum și de către Ministerul Dezvoltării, Lucrărilor Publice și Administrației.</w:t>
      </w:r>
    </w:p>
    <w:p w:rsidR="0021263A" w:rsidRPr="00AF3608" w:rsidRDefault="0021263A" w:rsidP="003815D8">
      <w:pPr>
        <w:suppressAutoHyphens/>
        <w:spacing w:before="120"/>
        <w:jc w:val="both"/>
        <w:rPr>
          <w:rFonts w:ascii="Calibri" w:hAnsi="Calibri" w:cs="Calibri"/>
          <w:color w:val="70AD47" w:themeColor="accent6"/>
          <w:lang w:val="ro-RO"/>
        </w:rPr>
      </w:pP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Ministerul Mediului, Apelor și Pădurilor asigură managementul riscului la inundații care constă în asigurarea implementării strategiilor, politicilor și proiectelor în domeniul riscului la inundații.</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În promovarea construcțiilor și amenajărilor hidrotehnice, Ministerul Mediului, Apelor și Pădurilor urmărește respectarea principiilor prevăzute prin Hotărârea Guvernului nr. 846/2010 pentru aprobarea Strategiei naționale de management al riscului la inundații pe termen mediu și lung ce cuprinde un ansamblu de acțiuni la nivel național și bazinal care include planificare, programe, politici cadru, coordonare, facilitare, sporirea conștientizării și consolidarea socială, reziliența, precum și a principiilor aprobate prin Hotărârea Guvernului nr. 972/2016 pentru aprobarea planurilor de management al riscului la inundații aferent celor 11 administrații bazinale de apă și a fluviului Dunărea de pe teritoriul României.</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Planurile de management al riscului la inundații constituie un document de planificare a măsurilor pentru managementul riscului la inundații și cu prioritate, pentru reducerea efectelor acestora, ce trebuie realizate în perioada 2016-2021 de către fiecare instituție cu atribuții în domeniu, pentru reducerea riscului la inundații în zonele cu risc potențial semnificativ la inundații la nivelul fiecărui bazin hidrografic.</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 xml:space="preserve">Planul cuprinde măsuri specifice, concrete, inclusiv lucrări de investiții, care urmăresc cele 5 domenii de acțiune din ciclul de management al riscului la inundații: Prevenire, Protecție, Pregătire, </w:t>
      </w:r>
      <w:r w:rsidRPr="00AF3608">
        <w:rPr>
          <w:rFonts w:ascii="Calibri" w:hAnsi="Calibri" w:cs="Calibri"/>
          <w:lang w:val="ro-RO"/>
        </w:rPr>
        <w:lastRenderedPageBreak/>
        <w:t>Conștientizarea riscului la inundații și Refacere/Reconstrucție, care vor fi implementate de către toate instituțiile cu atribuții în managementul acestui tip de risc.</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Costurile medii estimate în Strategia Națională de Management al Riscului la inundații pe termen mediu și lung pentru contracararea dezastrelor provocate de inundații sunt de aproximativ 700 milioane Euro/an, respectiv 2100 milioane Euro pentru perioada 2019-2021 pentru toate instituțiile cu responsabilități în implementarea acestor strategii (Ministerul Mediului, Apelor și Pădurilor, Ministerul Transporturilor și Infrastructurii, Ministerul Agriculturii și Dezvoltării Rurale, Ministerul Economiei, Antreprenoriatului și Turismului, precum și administrațiile regionale/județene și locale).</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De asemenea, la nivelul fiecărui bazin hidrografic au fost identificate un număr de proiecte integrate majore – ca un ansamblu de măsuri pentru amenajarea zonelor cu risc maxim potențial la inundații de tip flash-flood înregistrate în ultimii ani, proiecte care sunt propuse a fi realizate cu finanțare externă în cadrul Programului Operațional Infrastructură Mare 2014-2020.</w:t>
      </w:r>
    </w:p>
    <w:p w:rsidR="00ED5289" w:rsidRPr="00AF3608" w:rsidRDefault="00ED5289" w:rsidP="003815D8">
      <w:pPr>
        <w:suppressAutoHyphens/>
        <w:spacing w:before="120"/>
        <w:jc w:val="both"/>
        <w:rPr>
          <w:rFonts w:ascii="Calibri" w:hAnsi="Calibri" w:cs="Calibri"/>
          <w:i/>
          <w:u w:val="single"/>
          <w:lang w:val="ro-RO"/>
        </w:rPr>
      </w:pPr>
      <w:r w:rsidRPr="00AF3608">
        <w:rPr>
          <w:rFonts w:ascii="Calibri" w:hAnsi="Calibri" w:cs="Calibri"/>
          <w:i/>
          <w:u w:val="single"/>
          <w:lang w:val="ro-RO"/>
        </w:rPr>
        <w:t>Ministerul Mediului, Apelor și Pădurilor</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În România, datele climatice din ultimele decenii evidențiază o creștere progresivă a temperaturii aerului, precum și o creștere a frecvenței evenimentelor extreme, fiind din ce în ce mai evidentă alternanța rapidă între caniculă severă, secetă accentuată și precipitații abundente generatoare de viituri rapide și inundații.</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Proiecțiile climatice indică și pentru viitor o creștere semnificativă a temperaturilor extreme, în special în lunile de vară, precum și a perioadelor secetoase sau a intervalelor cu precipitații abundente generatoare de viituri rapide la scară regională/locală, fiind din ce în ce mai evidente diferențierile regionale în evoluția acestor fenomene. Ca o consecință, efectele asupra activității socio-economice ale fenomenelor meteorologice periculoase (valuri de căldură, secete, furtuni, ploi torențiale, etc) vor fi tot mai pregnante.</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În următorii 3 ani, din analiza hazardurilor climatice observate și a proiecțiilor viitoare în condițiile schimbării climatice, se estimează apariția de episoade cu precipitații intense pe întreg teritoriul țării, creșterea intensității precipitațiilor fiind mai accentuată în special în zonele de munte. Creșterea frecvenței și intensității valurilor de căldură legată de schimbarea climei va fi mai accentuată în zonele extracarpatice din vestul, sudul și sud-estul țării.</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Valurile de căldură și episoadele cu precipitații intense sunt hazarduri amplificate în mediul urban de caracteristicile mediului construit.</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Seceta meteorologică este, din punct de vedere statistic, mai frecventă în sud-estul teritoriului și izolat, în regiuni din Câmpia Română și Moldova. Proiecțiile viitoare în condițiile schimbării climatice sugerează o probabilitate crescută de apariție a episoadelor de secetă meteorologică în lunile de vară, datorită intensificării evapotranspirației și reducerii cantității de precipitații.</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Impactul economic asociat secetei meteorologice a fost cuantificat în cadrul Proiectului „Evaluarea riscurilor de dezastre la nivel național” – RO-RISK, finanțat în cadrul Programului Operațional Capacitate Administrativă 2014-2020.</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În cadrul proiectului au fost analizate 4 scenarii pentru seceta meteorologică din care 2 scenarii la nivel național și 2 scenarii la nivel regional, după cum urmează:</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Scenariul 1 – Anul 2011-2012, an excesiv secetos la nivel național, cu o perioadă de revenire de 3 evenimente la 10 ani;</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lastRenderedPageBreak/>
        <w:t>Scenariul 2 – Anul 2006-2007, an excesiv secetos la nivel național, cu o perioadă de revenire de 1 eveniment la 25 ani, respectiv 4 evenimente la 100 de ani;</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Scenariul 3 – Sudul României (Oltenia și Muntenia), cu o perioadă de revenire între 10 și 100 de ani;</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Scenariul 4 – Sudul Moldovei, cu o perioadă de revenire între 10 și 100 de ani.</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Din calculul impactului economic aferent scenariilor de secetă meteorologică analizate, rezultă următoarele valori aferente pierderilor de producție vegetală și pierderi de PIB:</w:t>
      </w:r>
    </w:p>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mil. euro</w:t>
      </w:r>
    </w:p>
    <w:tbl>
      <w:tblPr>
        <w:tblStyle w:val="TableGrid"/>
        <w:tblW w:w="9920" w:type="dxa"/>
        <w:jc w:val="center"/>
        <w:tblBorders>
          <w:top w:val="single" w:sz="2" w:space="0" w:color="365F91"/>
          <w:left w:val="none" w:sz="0" w:space="0" w:color="auto"/>
          <w:bottom w:val="single" w:sz="2" w:space="0" w:color="365F91"/>
          <w:right w:val="none" w:sz="0" w:space="0" w:color="auto"/>
          <w:insideH w:val="single" w:sz="2" w:space="0" w:color="365F91"/>
          <w:insideV w:val="none" w:sz="0" w:space="0" w:color="auto"/>
        </w:tblBorders>
        <w:tblLook w:val="04A0" w:firstRow="1" w:lastRow="0" w:firstColumn="1" w:lastColumn="0" w:noHBand="0" w:noVBand="1"/>
      </w:tblPr>
      <w:tblGrid>
        <w:gridCol w:w="846"/>
        <w:gridCol w:w="3690"/>
        <w:gridCol w:w="2832"/>
        <w:gridCol w:w="2552"/>
      </w:tblGrid>
      <w:tr w:rsidR="00ED5289" w:rsidRPr="00AF3608" w:rsidTr="00E9174E">
        <w:trPr>
          <w:jc w:val="center"/>
        </w:trPr>
        <w:tc>
          <w:tcPr>
            <w:tcW w:w="846" w:type="dxa"/>
            <w:shd w:val="clear" w:color="auto" w:fill="D9D9D9" w:themeFill="background1" w:themeFillShade="D9"/>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Nr. crt.</w:t>
            </w:r>
          </w:p>
        </w:tc>
        <w:tc>
          <w:tcPr>
            <w:tcW w:w="3690" w:type="dxa"/>
            <w:shd w:val="clear" w:color="auto" w:fill="D9D9D9" w:themeFill="background1" w:themeFillShade="D9"/>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Scenariul</w:t>
            </w:r>
          </w:p>
        </w:tc>
        <w:tc>
          <w:tcPr>
            <w:tcW w:w="2832" w:type="dxa"/>
            <w:shd w:val="clear" w:color="auto" w:fill="D9D9D9" w:themeFill="background1" w:themeFillShade="D9"/>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Pierderi de producție</w:t>
            </w:r>
          </w:p>
        </w:tc>
        <w:tc>
          <w:tcPr>
            <w:tcW w:w="2552" w:type="dxa"/>
            <w:shd w:val="clear" w:color="auto" w:fill="D9D9D9" w:themeFill="background1" w:themeFillShade="D9"/>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Pierderi de PIB</w:t>
            </w:r>
          </w:p>
        </w:tc>
      </w:tr>
      <w:tr w:rsidR="00ED5289" w:rsidRPr="00AF3608" w:rsidTr="00E751E4">
        <w:trPr>
          <w:jc w:val="center"/>
        </w:trPr>
        <w:tc>
          <w:tcPr>
            <w:tcW w:w="846"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w:t>
            </w:r>
          </w:p>
        </w:tc>
        <w:tc>
          <w:tcPr>
            <w:tcW w:w="3690"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Scenariul național 2006-2007</w:t>
            </w:r>
          </w:p>
        </w:tc>
        <w:tc>
          <w:tcPr>
            <w:tcW w:w="2832"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4606,1</w:t>
            </w:r>
          </w:p>
        </w:tc>
        <w:tc>
          <w:tcPr>
            <w:tcW w:w="2552"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4978,2</w:t>
            </w:r>
          </w:p>
        </w:tc>
      </w:tr>
      <w:tr w:rsidR="00ED5289" w:rsidRPr="00AF3608" w:rsidTr="00E751E4">
        <w:trPr>
          <w:jc w:val="center"/>
        </w:trPr>
        <w:tc>
          <w:tcPr>
            <w:tcW w:w="846"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w:t>
            </w:r>
          </w:p>
        </w:tc>
        <w:tc>
          <w:tcPr>
            <w:tcW w:w="3690"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Scenariul național 2011-2012</w:t>
            </w:r>
          </w:p>
        </w:tc>
        <w:tc>
          <w:tcPr>
            <w:tcW w:w="2832"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4376,4</w:t>
            </w:r>
          </w:p>
        </w:tc>
        <w:tc>
          <w:tcPr>
            <w:tcW w:w="2552"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4686,5</w:t>
            </w:r>
          </w:p>
        </w:tc>
      </w:tr>
      <w:tr w:rsidR="00ED5289" w:rsidRPr="00AF3608" w:rsidTr="00E751E4">
        <w:trPr>
          <w:jc w:val="center"/>
        </w:trPr>
        <w:tc>
          <w:tcPr>
            <w:tcW w:w="846"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3</w:t>
            </w:r>
          </w:p>
        </w:tc>
        <w:tc>
          <w:tcPr>
            <w:tcW w:w="3690"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Scenariul Regional Sudul României (Oltenia și Muntenia)</w:t>
            </w:r>
          </w:p>
        </w:tc>
        <w:tc>
          <w:tcPr>
            <w:tcW w:w="2832"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2177,8</w:t>
            </w:r>
          </w:p>
        </w:tc>
        <w:tc>
          <w:tcPr>
            <w:tcW w:w="2552"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2098,4</w:t>
            </w:r>
          </w:p>
        </w:tc>
      </w:tr>
      <w:tr w:rsidR="00ED5289" w:rsidRPr="00AF3608" w:rsidTr="00E751E4">
        <w:trPr>
          <w:jc w:val="center"/>
        </w:trPr>
        <w:tc>
          <w:tcPr>
            <w:tcW w:w="846"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4</w:t>
            </w:r>
          </w:p>
        </w:tc>
        <w:tc>
          <w:tcPr>
            <w:tcW w:w="3690"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Scenariul Regional Sudul Moldovei</w:t>
            </w:r>
          </w:p>
        </w:tc>
        <w:tc>
          <w:tcPr>
            <w:tcW w:w="2832"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537,0</w:t>
            </w:r>
          </w:p>
        </w:tc>
        <w:tc>
          <w:tcPr>
            <w:tcW w:w="2552"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500,0</w:t>
            </w:r>
          </w:p>
        </w:tc>
      </w:tr>
    </w:tbl>
    <w:p w:rsidR="00ED5289" w:rsidRPr="00AF3608" w:rsidRDefault="00ED5289" w:rsidP="00B723C0">
      <w:pPr>
        <w:suppressAutoHyphens/>
        <w:spacing w:before="120"/>
        <w:jc w:val="both"/>
        <w:rPr>
          <w:rFonts w:ascii="Calibri" w:hAnsi="Calibri" w:cs="Calibri"/>
          <w:lang w:val="ro-RO"/>
        </w:rPr>
      </w:pPr>
    </w:p>
    <w:p w:rsidR="00ED5289" w:rsidRPr="00AF3608" w:rsidRDefault="00ED5289" w:rsidP="00B723C0">
      <w:pPr>
        <w:suppressAutoHyphens/>
        <w:spacing w:before="120"/>
        <w:jc w:val="both"/>
        <w:rPr>
          <w:rFonts w:ascii="Calibri" w:hAnsi="Calibri" w:cs="Calibri"/>
          <w:i/>
          <w:u w:val="single"/>
          <w:lang w:val="ro-RO"/>
        </w:rPr>
      </w:pPr>
      <w:r w:rsidRPr="00AF3608">
        <w:rPr>
          <w:rFonts w:ascii="Calibri" w:hAnsi="Calibri" w:cs="Calibri"/>
          <w:i/>
          <w:u w:val="single"/>
          <w:lang w:val="ro-RO"/>
        </w:rPr>
        <w:t>Ministerului Agriculturii și Dezvoltării Rurale</w:t>
      </w:r>
    </w:p>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Referitor la evaluarea impactului bugetar pe care l-ar putea determina producerea unui eveniment de tip dezastru, la nivelul Ministerului Agriculturii și Dezvoltării Rurale, prin Centrul Operativ pentru Situații de Urgență, sunt monitorizate suprafețele de culturi agricole afectate în urma fenomenelor meteo nefavorabile. În  ultimii 3 ani, autoritățile s-au confruntat cu o serie de probleme din cauza acestor fenomene, după cum urmează:</w:t>
      </w:r>
    </w:p>
    <w:p w:rsidR="00ED5289" w:rsidRPr="00AF3608" w:rsidRDefault="00ED5289" w:rsidP="00B723C0">
      <w:pPr>
        <w:suppressAutoHyphens/>
        <w:spacing w:before="120"/>
        <w:jc w:val="both"/>
        <w:rPr>
          <w:rFonts w:ascii="Calibri" w:hAnsi="Calibri" w:cs="Calibri"/>
          <w:color w:val="FF0000"/>
          <w:lang w:val="ro-RO"/>
        </w:rPr>
      </w:pPr>
      <w:r w:rsidRPr="00AF3608">
        <w:rPr>
          <w:rFonts w:ascii="Calibri" w:hAnsi="Calibri" w:cs="Calibri"/>
          <w:noProof/>
          <w:color w:val="FF0000"/>
        </w:rPr>
        <w:drawing>
          <wp:inline distT="0" distB="0" distL="0" distR="0" wp14:anchorId="197AD826" wp14:editId="18C2D7D0">
            <wp:extent cx="6218536" cy="30327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bel impact bugetar__Ministerul Agriculturii.jpg"/>
                    <pic:cNvPicPr/>
                  </pic:nvPicPr>
                  <pic:blipFill>
                    <a:blip r:embed="rId54">
                      <a:extLst>
                        <a:ext uri="{28A0092B-C50C-407E-A947-70E740481C1C}">
                          <a14:useLocalDpi xmlns:a14="http://schemas.microsoft.com/office/drawing/2010/main" val="0"/>
                        </a:ext>
                      </a:extLst>
                    </a:blip>
                    <a:stretch>
                      <a:fillRect/>
                    </a:stretch>
                  </pic:blipFill>
                  <pic:spPr>
                    <a:xfrm>
                      <a:off x="0" y="0"/>
                      <a:ext cx="6260151" cy="3053056"/>
                    </a:xfrm>
                    <a:prstGeom prst="rect">
                      <a:avLst/>
                    </a:prstGeom>
                  </pic:spPr>
                </pic:pic>
              </a:graphicData>
            </a:graphic>
          </wp:inline>
        </w:drawing>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Față de valoarea estimată a pagubelor, nivelul pierderilor pe ultimii 3 ani se ridică la circa 133.150 mii euro.</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i/>
          <w:u w:val="single"/>
          <w:lang w:val="ro-RO"/>
        </w:rPr>
        <w:lastRenderedPageBreak/>
        <w:t>Ministerul Dezvoltării, Lucrărilor Publice și Administrației</w:t>
      </w:r>
      <w:r w:rsidRPr="00AF3608">
        <w:rPr>
          <w:rFonts w:ascii="Calibri" w:hAnsi="Calibri" w:cs="Calibri"/>
          <w:lang w:val="ro-RO"/>
        </w:rPr>
        <w:t>, prin Programul anual de acțiuni privind proiectarea și execuția lucrărilor de intervenție pentru reducerea riscului seismic la construcțiile cu destinație de locuință multietajate, încadrate prin raport de expertiză tehnică în clasa I de risc seismic și care prezintă pericol public, conform OG nr. 20/1994, republicată și-a propus ca principale obiective pentru anul 2018:</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Finalizarea execuției lucrărilor de consolidare pentru 10 clădiri de locuit;</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Continuarea execuției lucrărilor de consolidare pentru 10 clădiri de locuit;</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Începerea execuției lucrărilor de consolidare pentru 30 clădiri de locuit;</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Finalizarea proiectării lucrărilor de consolidare pentru 7 clădiri de locuit;</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Începerea elaborării proiectării lucrărilor de consolidare pentru 46 clădiri de locuit.</w:t>
      </w:r>
    </w:p>
    <w:p w:rsidR="00ED5289" w:rsidRPr="00AF3608" w:rsidRDefault="00ED5289" w:rsidP="003815D8">
      <w:pPr>
        <w:suppressAutoHyphens/>
        <w:spacing w:before="120"/>
        <w:jc w:val="both"/>
        <w:rPr>
          <w:rFonts w:ascii="Calibri" w:hAnsi="Calibri" w:cs="Calibri"/>
          <w:i/>
          <w:u w:val="single"/>
          <w:lang w:val="ro-RO"/>
        </w:rPr>
      </w:pPr>
      <w:r w:rsidRPr="00AF3608">
        <w:rPr>
          <w:rFonts w:ascii="Calibri" w:hAnsi="Calibri" w:cs="Calibri"/>
          <w:i/>
          <w:u w:val="single"/>
          <w:lang w:val="ro-RO"/>
        </w:rPr>
        <w:t>Ministerul Muncii și Protecției Sociale</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În eventualitatea evaluării unui impact bugetar pe care l-ar putea determina producerea unui eveniment de tip dezastru, Ministerul Muncii și Protecției Sociale acordă ajutoare de urgență potrivit art. 28 alin.(1) din Legea nr. 416/2001 privind venitul minim garantat. Potrivit acestuia, Guvernul, la propunerea Ministerului Muncii și Protecției Sociale, poate acorda ajutoare de urgență familiilor și persoanelor care se află în situații deosebite datorate stării de sănătate ori altor cauze care pot conduce la riscul de excluziune socială, precum și în alte situații stabilite prin hotărâre a Guvernului, care va cuprinde și procedura și/sau condițiile de acordare.</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 xml:space="preserve">În conformitate cu politica în domeniul asistenței sociale, sumele reprezentând ajutoare de urgență prevăzute prin art. 28 alin.(1) din Legea nr. 416/2001 privind venitul minim garantat estimate pentru fiecare an din perioada 2018-2021, se ridică la 10.000 mii lei. </w:t>
      </w:r>
    </w:p>
    <w:p w:rsidR="003815D8" w:rsidRPr="00AF3608" w:rsidRDefault="003815D8" w:rsidP="003815D8">
      <w:pPr>
        <w:suppressAutoHyphens/>
        <w:spacing w:before="120"/>
        <w:jc w:val="both"/>
        <w:rPr>
          <w:rFonts w:ascii="Calibri" w:hAnsi="Calibri" w:cs="Calibri"/>
          <w:lang w:val="ro-RO"/>
        </w:rPr>
      </w:pPr>
    </w:p>
    <w:p w:rsidR="003815D8" w:rsidRDefault="003815D8" w:rsidP="003815D8">
      <w:pPr>
        <w:suppressAutoHyphens/>
        <w:spacing w:before="120"/>
        <w:jc w:val="both"/>
        <w:rPr>
          <w:rFonts w:ascii="Calibri" w:hAnsi="Calibri" w:cs="Calibri"/>
          <w:lang w:val="ro-RO"/>
        </w:rPr>
      </w:pPr>
    </w:p>
    <w:p w:rsidR="009D1AB4" w:rsidRDefault="009D1AB4" w:rsidP="003815D8">
      <w:pPr>
        <w:suppressAutoHyphens/>
        <w:spacing w:before="120"/>
        <w:jc w:val="both"/>
        <w:rPr>
          <w:rFonts w:ascii="Calibri" w:hAnsi="Calibri" w:cs="Calibri"/>
          <w:lang w:val="ro-RO"/>
        </w:rPr>
      </w:pPr>
    </w:p>
    <w:p w:rsidR="009D1AB4" w:rsidRDefault="009D1AB4" w:rsidP="003815D8">
      <w:pPr>
        <w:suppressAutoHyphens/>
        <w:spacing w:before="120"/>
        <w:jc w:val="both"/>
        <w:rPr>
          <w:rFonts w:ascii="Calibri" w:hAnsi="Calibri" w:cs="Calibri"/>
          <w:lang w:val="ro-RO"/>
        </w:rPr>
      </w:pPr>
    </w:p>
    <w:p w:rsidR="009D1AB4" w:rsidRDefault="009D1AB4" w:rsidP="003815D8">
      <w:pPr>
        <w:suppressAutoHyphens/>
        <w:spacing w:before="120"/>
        <w:jc w:val="both"/>
        <w:rPr>
          <w:rFonts w:ascii="Calibri" w:hAnsi="Calibri" w:cs="Calibri"/>
          <w:lang w:val="ro-RO"/>
        </w:rPr>
      </w:pPr>
    </w:p>
    <w:p w:rsidR="009D1AB4" w:rsidRDefault="009D1AB4" w:rsidP="003815D8">
      <w:pPr>
        <w:suppressAutoHyphens/>
        <w:spacing w:before="120"/>
        <w:jc w:val="both"/>
        <w:rPr>
          <w:rFonts w:ascii="Calibri" w:hAnsi="Calibri" w:cs="Calibri"/>
          <w:lang w:val="ro-RO"/>
        </w:rPr>
      </w:pPr>
    </w:p>
    <w:p w:rsidR="009D1AB4" w:rsidRDefault="009D1AB4" w:rsidP="003815D8">
      <w:pPr>
        <w:suppressAutoHyphens/>
        <w:spacing w:before="120"/>
        <w:jc w:val="both"/>
        <w:rPr>
          <w:rFonts w:ascii="Calibri" w:hAnsi="Calibri" w:cs="Calibri"/>
          <w:lang w:val="ro-RO"/>
        </w:rPr>
      </w:pPr>
    </w:p>
    <w:p w:rsidR="009D1AB4" w:rsidRDefault="009D1AB4" w:rsidP="003815D8">
      <w:pPr>
        <w:suppressAutoHyphens/>
        <w:spacing w:before="120"/>
        <w:jc w:val="both"/>
        <w:rPr>
          <w:rFonts w:ascii="Calibri" w:hAnsi="Calibri" w:cs="Calibri"/>
          <w:lang w:val="ro-RO"/>
        </w:rPr>
      </w:pPr>
    </w:p>
    <w:p w:rsidR="009D1AB4" w:rsidRDefault="009D1AB4" w:rsidP="003815D8">
      <w:pPr>
        <w:suppressAutoHyphens/>
        <w:spacing w:before="120"/>
        <w:jc w:val="both"/>
        <w:rPr>
          <w:rFonts w:ascii="Calibri" w:hAnsi="Calibri" w:cs="Calibri"/>
          <w:lang w:val="ro-RO"/>
        </w:rPr>
      </w:pPr>
    </w:p>
    <w:p w:rsidR="009D1AB4" w:rsidRDefault="009D1AB4" w:rsidP="003815D8">
      <w:pPr>
        <w:suppressAutoHyphens/>
        <w:spacing w:before="120"/>
        <w:jc w:val="both"/>
        <w:rPr>
          <w:rFonts w:ascii="Calibri" w:hAnsi="Calibri" w:cs="Calibri"/>
          <w:lang w:val="ro-RO"/>
        </w:rPr>
      </w:pPr>
    </w:p>
    <w:p w:rsidR="009D1AB4" w:rsidRDefault="009D1AB4" w:rsidP="003815D8">
      <w:pPr>
        <w:suppressAutoHyphens/>
        <w:spacing w:before="120"/>
        <w:jc w:val="both"/>
        <w:rPr>
          <w:rFonts w:ascii="Calibri" w:hAnsi="Calibri" w:cs="Calibri"/>
          <w:lang w:val="ro-RO"/>
        </w:rPr>
      </w:pPr>
    </w:p>
    <w:p w:rsidR="009D1AB4" w:rsidRDefault="009D1AB4" w:rsidP="003815D8">
      <w:pPr>
        <w:suppressAutoHyphens/>
        <w:spacing w:before="120"/>
        <w:jc w:val="both"/>
        <w:rPr>
          <w:rFonts w:ascii="Calibri" w:hAnsi="Calibri" w:cs="Calibri"/>
          <w:lang w:val="ro-RO"/>
        </w:rPr>
      </w:pPr>
    </w:p>
    <w:p w:rsidR="009D1AB4" w:rsidRDefault="009D1AB4" w:rsidP="003815D8">
      <w:pPr>
        <w:suppressAutoHyphens/>
        <w:spacing w:before="120"/>
        <w:jc w:val="both"/>
        <w:rPr>
          <w:rFonts w:ascii="Calibri" w:hAnsi="Calibri" w:cs="Calibri"/>
          <w:lang w:val="ro-RO"/>
        </w:rPr>
      </w:pPr>
    </w:p>
    <w:p w:rsidR="009D1AB4" w:rsidRDefault="009D1AB4" w:rsidP="003815D8">
      <w:pPr>
        <w:suppressAutoHyphens/>
        <w:spacing w:before="120"/>
        <w:jc w:val="both"/>
        <w:rPr>
          <w:rFonts w:ascii="Calibri" w:hAnsi="Calibri" w:cs="Calibri"/>
          <w:lang w:val="ro-RO"/>
        </w:rPr>
      </w:pPr>
    </w:p>
    <w:p w:rsidR="009D1AB4" w:rsidRDefault="009D1AB4" w:rsidP="003815D8">
      <w:pPr>
        <w:suppressAutoHyphens/>
        <w:spacing w:before="120"/>
        <w:jc w:val="both"/>
        <w:rPr>
          <w:rFonts w:ascii="Calibri" w:hAnsi="Calibri" w:cs="Calibri"/>
          <w:lang w:val="ro-RO"/>
        </w:rPr>
      </w:pPr>
    </w:p>
    <w:p w:rsidR="005173B7" w:rsidRPr="00AF3608" w:rsidRDefault="005173B7" w:rsidP="00B723C0">
      <w:pPr>
        <w:shd w:val="clear" w:color="auto" w:fill="002060"/>
        <w:spacing w:after="120"/>
        <w:rPr>
          <w:rFonts w:ascii="Calibri" w:hAnsi="Calibri" w:cs="Arial Narrow"/>
          <w:b/>
          <w:lang w:val="ro-RO"/>
        </w:rPr>
      </w:pPr>
    </w:p>
    <w:p w:rsidR="00073EA0" w:rsidRPr="00AF3608" w:rsidRDefault="005A53A4" w:rsidP="00B723C0">
      <w:pPr>
        <w:shd w:val="clear" w:color="auto" w:fill="002060"/>
        <w:tabs>
          <w:tab w:val="right" w:pos="9747"/>
        </w:tabs>
        <w:spacing w:after="120"/>
        <w:rPr>
          <w:rFonts w:ascii="Calibri" w:hAnsi="Calibri" w:cs="Arial Narrow"/>
          <w:b/>
          <w:lang w:val="ro-RO"/>
        </w:rPr>
      </w:pPr>
      <w:r w:rsidRPr="00AF3608">
        <w:rPr>
          <w:rFonts w:ascii="Calibri" w:hAnsi="Calibri" w:cs="Arial Narrow"/>
          <w:b/>
          <w:lang w:val="ro-RO"/>
        </w:rPr>
        <w:t xml:space="preserve">5. </w:t>
      </w:r>
      <w:r w:rsidR="00A5634B" w:rsidRPr="00AF3608">
        <w:rPr>
          <w:rFonts w:ascii="Calibri" w:hAnsi="Calibri" w:cs="Arial Narrow"/>
          <w:b/>
          <w:lang w:val="ro-RO"/>
        </w:rPr>
        <w:t>CADRUL DE CHELTUIELI PE TERMEN MEDIU 202</w:t>
      </w:r>
      <w:r w:rsidR="001F69D8" w:rsidRPr="00AF3608">
        <w:rPr>
          <w:rFonts w:ascii="Calibri" w:hAnsi="Calibri" w:cs="Arial Narrow"/>
          <w:b/>
          <w:lang w:val="ro-RO"/>
        </w:rPr>
        <w:t>1-2023</w:t>
      </w:r>
    </w:p>
    <w:p w:rsidR="005173B7" w:rsidRPr="00AF3608" w:rsidRDefault="005173B7" w:rsidP="00B723C0">
      <w:pPr>
        <w:shd w:val="clear" w:color="auto" w:fill="002060"/>
        <w:spacing w:after="120"/>
        <w:rPr>
          <w:rFonts w:ascii="Calibri" w:hAnsi="Calibri" w:cs="Arial Narrow"/>
          <w:b/>
          <w:lang w:val="ro-RO"/>
        </w:rPr>
      </w:pPr>
    </w:p>
    <w:p w:rsidR="003672DF" w:rsidRPr="00AF3608" w:rsidRDefault="003672DF" w:rsidP="003672DF">
      <w:pPr>
        <w:spacing w:before="120"/>
        <w:jc w:val="both"/>
        <w:rPr>
          <w:rFonts w:ascii="Calibri" w:hAnsi="Calibri"/>
          <w:lang w:val="ro-RO"/>
        </w:rPr>
      </w:pPr>
      <w:r w:rsidRPr="00AF3608">
        <w:rPr>
          <w:rFonts w:ascii="Calibri" w:hAnsi="Calibri"/>
          <w:lang w:val="ro-RO"/>
        </w:rPr>
        <w:t>Cheltuielile totale ale bugetului de stat pentru perioada 2018-2023, precum şi cheltuielile agregate ale celor mai mari 10 ordonatori principali de credite în funcţie de criteriul fondurilor alocate din bugetul de stat, sunt prezentate în tabelul de mai jos:</w:t>
      </w:r>
    </w:p>
    <w:p w:rsidR="005341EA" w:rsidRPr="00AF3608" w:rsidRDefault="005341EA" w:rsidP="003672DF">
      <w:pPr>
        <w:spacing w:before="120"/>
        <w:jc w:val="both"/>
        <w:rPr>
          <w:rFonts w:ascii="Calibri" w:hAnsi="Calibri"/>
          <w:lang w:val="ro-RO"/>
        </w:rPr>
      </w:pPr>
    </w:p>
    <w:p w:rsidR="003672DF" w:rsidRPr="00AF3608" w:rsidRDefault="003672DF" w:rsidP="003672DF">
      <w:pPr>
        <w:jc w:val="center"/>
        <w:rPr>
          <w:rFonts w:ascii="Calibri" w:hAnsi="Calibri"/>
          <w:lang w:val="ro-RO"/>
        </w:rPr>
      </w:pPr>
      <w:r w:rsidRPr="00AF3608">
        <w:rPr>
          <w:noProof/>
        </w:rPr>
        <w:drawing>
          <wp:inline distT="0" distB="0" distL="0" distR="0" wp14:anchorId="0DDE26C6" wp14:editId="1E8237E6">
            <wp:extent cx="3636818" cy="6798411"/>
            <wp:effectExtent l="0" t="0" r="190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36818" cy="6798411"/>
                    </a:xfrm>
                    <a:prstGeom prst="rect">
                      <a:avLst/>
                    </a:prstGeom>
                    <a:noFill/>
                    <a:ln>
                      <a:noFill/>
                    </a:ln>
                  </pic:spPr>
                </pic:pic>
              </a:graphicData>
            </a:graphic>
          </wp:inline>
        </w:drawing>
      </w:r>
    </w:p>
    <w:p w:rsidR="003672DF" w:rsidRPr="00AF3608" w:rsidRDefault="003672DF" w:rsidP="003672DF">
      <w:pPr>
        <w:jc w:val="both"/>
        <w:rPr>
          <w:rFonts w:ascii="Calibri" w:hAnsi="Calibri"/>
          <w:lang w:val="ro-RO"/>
        </w:rPr>
      </w:pPr>
    </w:p>
    <w:p w:rsidR="003672DF" w:rsidRPr="00AF3608" w:rsidRDefault="003672DF" w:rsidP="003672DF">
      <w:pPr>
        <w:spacing w:before="120"/>
        <w:jc w:val="both"/>
        <w:rPr>
          <w:rFonts w:ascii="Calibri" w:hAnsi="Calibri"/>
          <w:lang w:val="ro-RO"/>
        </w:rPr>
      </w:pPr>
      <w:r w:rsidRPr="00AF3608">
        <w:rPr>
          <w:rFonts w:ascii="Calibri" w:hAnsi="Calibri"/>
          <w:lang w:val="ro-RO"/>
        </w:rPr>
        <w:lastRenderedPageBreak/>
        <w:t>Bugetul celor 10 ordonatori principali de credite prezentaţi în strategie reprezintă peste 75% din totalul cheltuielilor bugetului de stat. Adăugând la aceşti ordonatori de credite şi bugetul Ministerului Finanţelor Publice – Acţiuni Generale care cuprinde dobânzi, rambursări de credite, contribuţia României la bugetul UE, cofinanţarea la proiectele cu finanțare europeană, precum şi schemele de ajutor de stat, acestea ar reprezenta aproximativ 90% din totalul cheltuielilor bugetului de stat.</w:t>
      </w:r>
    </w:p>
    <w:p w:rsidR="003672DF" w:rsidRPr="00AF3608" w:rsidRDefault="003672DF" w:rsidP="003672DF">
      <w:pPr>
        <w:spacing w:before="120"/>
        <w:jc w:val="both"/>
        <w:rPr>
          <w:rFonts w:ascii="Calibri" w:hAnsi="Calibri"/>
          <w:lang w:val="ro-RO"/>
        </w:rPr>
      </w:pPr>
    </w:p>
    <w:p w:rsidR="003672DF" w:rsidRPr="00AF3608" w:rsidRDefault="003672DF" w:rsidP="003672DF">
      <w:pPr>
        <w:spacing w:before="120"/>
        <w:jc w:val="both"/>
        <w:rPr>
          <w:rFonts w:ascii="Calibri" w:hAnsi="Calibri"/>
          <w:lang w:val="ro-RO"/>
        </w:rPr>
      </w:pPr>
      <w:r w:rsidRPr="00AF3608">
        <w:rPr>
          <w:rFonts w:ascii="Calibri" w:hAnsi="Calibri"/>
          <w:lang w:val="ro-RO"/>
        </w:rPr>
        <w:t>Detalierea cheltuielilor pentru fiecare din cei 10 ordonatori principali de credite pentru orizontul de referinţă este prezentată în Anexele 1 – 10 ataşate Strategiei.</w:t>
      </w:r>
    </w:p>
    <w:p w:rsidR="00994FD9" w:rsidRPr="00AF3608" w:rsidRDefault="00994FD9" w:rsidP="003672DF">
      <w:pPr>
        <w:spacing w:before="120"/>
        <w:jc w:val="both"/>
        <w:rPr>
          <w:rFonts w:ascii="Calibri" w:hAnsi="Calibri"/>
          <w:lang w:val="ro-RO"/>
        </w:rPr>
      </w:pPr>
    </w:p>
    <w:p w:rsidR="003672DF" w:rsidRPr="00AF3608" w:rsidRDefault="003672DF" w:rsidP="003672DF">
      <w:pPr>
        <w:tabs>
          <w:tab w:val="left" w:pos="6273"/>
        </w:tabs>
        <w:rPr>
          <w:rFonts w:ascii="Calibri" w:hAnsi="Calibri"/>
          <w:lang w:val="ro-RO"/>
        </w:rPr>
      </w:pPr>
      <w:r w:rsidRPr="00AF3608">
        <w:rPr>
          <w:noProof/>
        </w:rPr>
        <w:drawing>
          <wp:inline distT="0" distB="0" distL="0" distR="0" wp14:anchorId="192F694D" wp14:editId="4AE75BDB">
            <wp:extent cx="5852018" cy="63607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59469" cy="6368893"/>
                    </a:xfrm>
                    <a:prstGeom prst="rect">
                      <a:avLst/>
                    </a:prstGeom>
                    <a:noFill/>
                    <a:ln>
                      <a:noFill/>
                    </a:ln>
                  </pic:spPr>
                </pic:pic>
              </a:graphicData>
            </a:graphic>
          </wp:inline>
        </w:drawing>
      </w:r>
    </w:p>
    <w:p w:rsidR="003672DF" w:rsidRPr="00AF3608" w:rsidRDefault="003672DF" w:rsidP="003672DF">
      <w:pPr>
        <w:tabs>
          <w:tab w:val="left" w:pos="6273"/>
        </w:tabs>
        <w:rPr>
          <w:rFonts w:ascii="Calibri" w:hAnsi="Calibri"/>
          <w:lang w:val="ro-RO"/>
        </w:rPr>
      </w:pPr>
    </w:p>
    <w:p w:rsidR="003672DF" w:rsidRPr="00AF3608" w:rsidRDefault="003672DF" w:rsidP="003672DF">
      <w:pPr>
        <w:tabs>
          <w:tab w:val="left" w:pos="6273"/>
        </w:tabs>
        <w:rPr>
          <w:rFonts w:ascii="Calibri" w:hAnsi="Calibri"/>
          <w:lang w:val="ro-RO"/>
        </w:rPr>
      </w:pPr>
      <w:r w:rsidRPr="00AF3608">
        <w:rPr>
          <w:noProof/>
        </w:rPr>
        <w:lastRenderedPageBreak/>
        <w:drawing>
          <wp:inline distT="0" distB="0" distL="0" distR="0" wp14:anchorId="28BBB2D5" wp14:editId="43C859CA">
            <wp:extent cx="6246495" cy="762305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46495" cy="7623055"/>
                    </a:xfrm>
                    <a:prstGeom prst="rect">
                      <a:avLst/>
                    </a:prstGeom>
                    <a:noFill/>
                    <a:ln>
                      <a:noFill/>
                    </a:ln>
                  </pic:spPr>
                </pic:pic>
              </a:graphicData>
            </a:graphic>
          </wp:inline>
        </w:drawing>
      </w:r>
    </w:p>
    <w:p w:rsidR="003672DF" w:rsidRPr="00AF3608" w:rsidRDefault="003672DF" w:rsidP="003672DF">
      <w:pPr>
        <w:tabs>
          <w:tab w:val="left" w:pos="6273"/>
        </w:tabs>
        <w:rPr>
          <w:rFonts w:ascii="Calibri" w:hAnsi="Calibri"/>
          <w:lang w:val="ro-RO"/>
        </w:rPr>
      </w:pPr>
      <w:r w:rsidRPr="00AF3608">
        <w:rPr>
          <w:noProof/>
        </w:rPr>
        <w:lastRenderedPageBreak/>
        <w:drawing>
          <wp:inline distT="0" distB="0" distL="0" distR="0" wp14:anchorId="78296E00" wp14:editId="686DEB1C">
            <wp:extent cx="6246495" cy="6623934"/>
            <wp:effectExtent l="0" t="0" r="190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46495" cy="6623934"/>
                    </a:xfrm>
                    <a:prstGeom prst="rect">
                      <a:avLst/>
                    </a:prstGeom>
                    <a:noFill/>
                    <a:ln>
                      <a:noFill/>
                    </a:ln>
                  </pic:spPr>
                </pic:pic>
              </a:graphicData>
            </a:graphic>
          </wp:inline>
        </w:drawing>
      </w:r>
    </w:p>
    <w:p w:rsidR="003672DF" w:rsidRPr="00AF3608" w:rsidRDefault="003672DF" w:rsidP="003672DF">
      <w:pPr>
        <w:tabs>
          <w:tab w:val="left" w:pos="6273"/>
        </w:tabs>
        <w:rPr>
          <w:rFonts w:ascii="Calibri" w:hAnsi="Calibri"/>
          <w:lang w:val="ro-RO"/>
        </w:rPr>
      </w:pPr>
    </w:p>
    <w:p w:rsidR="003672DF" w:rsidRPr="00AF3608" w:rsidRDefault="003672DF" w:rsidP="003672DF">
      <w:pPr>
        <w:tabs>
          <w:tab w:val="left" w:pos="6273"/>
        </w:tabs>
        <w:rPr>
          <w:rFonts w:ascii="Calibri" w:hAnsi="Calibri"/>
          <w:lang w:val="ro-RO"/>
        </w:rPr>
      </w:pPr>
      <w:r w:rsidRPr="00AF3608">
        <w:rPr>
          <w:noProof/>
        </w:rPr>
        <w:lastRenderedPageBreak/>
        <w:drawing>
          <wp:inline distT="0" distB="0" distL="0" distR="0" wp14:anchorId="5BE18DC7" wp14:editId="7708E7C0">
            <wp:extent cx="6246495" cy="8401191"/>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46495" cy="8401191"/>
                    </a:xfrm>
                    <a:prstGeom prst="rect">
                      <a:avLst/>
                    </a:prstGeom>
                    <a:noFill/>
                    <a:ln>
                      <a:noFill/>
                    </a:ln>
                  </pic:spPr>
                </pic:pic>
              </a:graphicData>
            </a:graphic>
          </wp:inline>
        </w:drawing>
      </w:r>
    </w:p>
    <w:p w:rsidR="003672DF" w:rsidRPr="00AF3608" w:rsidRDefault="003672DF" w:rsidP="003672DF">
      <w:pPr>
        <w:tabs>
          <w:tab w:val="left" w:pos="6273"/>
        </w:tabs>
        <w:rPr>
          <w:rFonts w:ascii="Calibri" w:hAnsi="Calibri"/>
          <w:lang w:val="ro-RO"/>
        </w:rPr>
      </w:pPr>
    </w:p>
    <w:p w:rsidR="003672DF" w:rsidRPr="00AF3608" w:rsidRDefault="003672DF" w:rsidP="003672DF">
      <w:pPr>
        <w:tabs>
          <w:tab w:val="left" w:pos="6273"/>
        </w:tabs>
        <w:rPr>
          <w:rFonts w:ascii="Calibri" w:hAnsi="Calibri"/>
          <w:lang w:val="ro-RO"/>
        </w:rPr>
      </w:pPr>
      <w:r w:rsidRPr="00AF3608">
        <w:rPr>
          <w:noProof/>
        </w:rPr>
        <w:lastRenderedPageBreak/>
        <w:drawing>
          <wp:inline distT="0" distB="0" distL="0" distR="0" wp14:anchorId="2BAFB680" wp14:editId="0EF908D2">
            <wp:extent cx="6246495" cy="8365061"/>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46495" cy="8365061"/>
                    </a:xfrm>
                    <a:prstGeom prst="rect">
                      <a:avLst/>
                    </a:prstGeom>
                    <a:noFill/>
                    <a:ln>
                      <a:noFill/>
                    </a:ln>
                  </pic:spPr>
                </pic:pic>
              </a:graphicData>
            </a:graphic>
          </wp:inline>
        </w:drawing>
      </w:r>
    </w:p>
    <w:p w:rsidR="003672DF" w:rsidRPr="00AF3608" w:rsidRDefault="003672DF" w:rsidP="003672DF">
      <w:pPr>
        <w:tabs>
          <w:tab w:val="left" w:pos="6273"/>
        </w:tabs>
        <w:rPr>
          <w:rFonts w:ascii="Calibri" w:hAnsi="Calibri"/>
          <w:lang w:val="ro-RO"/>
        </w:rPr>
      </w:pPr>
    </w:p>
    <w:p w:rsidR="003672DF" w:rsidRPr="00AF3608" w:rsidRDefault="003672DF" w:rsidP="003672DF">
      <w:pPr>
        <w:tabs>
          <w:tab w:val="left" w:pos="6273"/>
        </w:tabs>
        <w:rPr>
          <w:rFonts w:ascii="Calibri" w:hAnsi="Calibri"/>
          <w:lang w:val="ro-RO"/>
        </w:rPr>
      </w:pPr>
      <w:r w:rsidRPr="00AF3608">
        <w:rPr>
          <w:noProof/>
        </w:rPr>
        <w:lastRenderedPageBreak/>
        <w:drawing>
          <wp:inline distT="0" distB="0" distL="0" distR="0" wp14:anchorId="02D41C3C" wp14:editId="1E4BE943">
            <wp:extent cx="6246495" cy="8065793"/>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46495" cy="8065793"/>
                    </a:xfrm>
                    <a:prstGeom prst="rect">
                      <a:avLst/>
                    </a:prstGeom>
                    <a:noFill/>
                    <a:ln>
                      <a:noFill/>
                    </a:ln>
                  </pic:spPr>
                </pic:pic>
              </a:graphicData>
            </a:graphic>
          </wp:inline>
        </w:drawing>
      </w:r>
    </w:p>
    <w:p w:rsidR="003672DF" w:rsidRPr="00AF3608" w:rsidRDefault="003672DF" w:rsidP="003672DF">
      <w:pPr>
        <w:tabs>
          <w:tab w:val="left" w:pos="6273"/>
        </w:tabs>
        <w:rPr>
          <w:rFonts w:ascii="Calibri" w:hAnsi="Calibri"/>
          <w:lang w:val="ro-RO"/>
        </w:rPr>
      </w:pPr>
    </w:p>
    <w:p w:rsidR="003672DF" w:rsidRPr="00AF3608" w:rsidRDefault="003672DF" w:rsidP="003672DF">
      <w:pPr>
        <w:tabs>
          <w:tab w:val="left" w:pos="6273"/>
        </w:tabs>
        <w:rPr>
          <w:rFonts w:ascii="Calibri" w:hAnsi="Calibri"/>
          <w:lang w:val="ro-RO"/>
        </w:rPr>
      </w:pPr>
      <w:r w:rsidRPr="00AF3608">
        <w:rPr>
          <w:noProof/>
        </w:rPr>
        <w:lastRenderedPageBreak/>
        <w:drawing>
          <wp:inline distT="0" distB="0" distL="0" distR="0" wp14:anchorId="61408369" wp14:editId="02FE3C59">
            <wp:extent cx="5880124" cy="9331037"/>
            <wp:effectExtent l="0" t="0" r="635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83087" cy="9335739"/>
                    </a:xfrm>
                    <a:prstGeom prst="rect">
                      <a:avLst/>
                    </a:prstGeom>
                    <a:noFill/>
                    <a:ln>
                      <a:noFill/>
                    </a:ln>
                  </pic:spPr>
                </pic:pic>
              </a:graphicData>
            </a:graphic>
          </wp:inline>
        </w:drawing>
      </w:r>
    </w:p>
    <w:p w:rsidR="003672DF" w:rsidRPr="00AF3608" w:rsidRDefault="003672DF" w:rsidP="003672DF">
      <w:pPr>
        <w:tabs>
          <w:tab w:val="left" w:pos="6273"/>
        </w:tabs>
        <w:rPr>
          <w:rFonts w:ascii="Calibri" w:hAnsi="Calibri"/>
          <w:lang w:val="ro-RO"/>
        </w:rPr>
      </w:pPr>
      <w:r w:rsidRPr="00AF3608">
        <w:rPr>
          <w:noProof/>
        </w:rPr>
        <w:lastRenderedPageBreak/>
        <w:drawing>
          <wp:inline distT="0" distB="0" distL="0" distR="0" wp14:anchorId="6E5DD6B4" wp14:editId="2102B653">
            <wp:extent cx="6246495" cy="9185498"/>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46495" cy="9185498"/>
                    </a:xfrm>
                    <a:prstGeom prst="rect">
                      <a:avLst/>
                    </a:prstGeom>
                    <a:noFill/>
                    <a:ln>
                      <a:noFill/>
                    </a:ln>
                  </pic:spPr>
                </pic:pic>
              </a:graphicData>
            </a:graphic>
          </wp:inline>
        </w:drawing>
      </w:r>
    </w:p>
    <w:p w:rsidR="003672DF" w:rsidRPr="00AF3608" w:rsidRDefault="003672DF" w:rsidP="003672DF">
      <w:pPr>
        <w:tabs>
          <w:tab w:val="left" w:pos="6273"/>
        </w:tabs>
        <w:rPr>
          <w:rFonts w:ascii="Calibri" w:hAnsi="Calibri"/>
          <w:lang w:val="ro-RO"/>
        </w:rPr>
      </w:pPr>
    </w:p>
    <w:p w:rsidR="003672DF" w:rsidRPr="00AF3608" w:rsidRDefault="003672DF" w:rsidP="003672DF">
      <w:pPr>
        <w:tabs>
          <w:tab w:val="left" w:pos="6273"/>
        </w:tabs>
        <w:rPr>
          <w:rFonts w:ascii="Calibri" w:hAnsi="Calibri"/>
          <w:lang w:val="ro-RO"/>
        </w:rPr>
      </w:pPr>
      <w:r w:rsidRPr="00AF3608">
        <w:rPr>
          <w:noProof/>
        </w:rPr>
        <w:drawing>
          <wp:inline distT="0" distB="0" distL="0" distR="0" wp14:anchorId="00194D2C" wp14:editId="65B23B3E">
            <wp:extent cx="6246495" cy="7486819"/>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46495" cy="7486819"/>
                    </a:xfrm>
                    <a:prstGeom prst="rect">
                      <a:avLst/>
                    </a:prstGeom>
                    <a:noFill/>
                    <a:ln>
                      <a:noFill/>
                    </a:ln>
                  </pic:spPr>
                </pic:pic>
              </a:graphicData>
            </a:graphic>
          </wp:inline>
        </w:drawing>
      </w:r>
    </w:p>
    <w:p w:rsidR="003672DF" w:rsidRPr="00AF3608" w:rsidRDefault="003672DF" w:rsidP="003672DF">
      <w:pPr>
        <w:tabs>
          <w:tab w:val="left" w:pos="6273"/>
        </w:tabs>
        <w:rPr>
          <w:rFonts w:ascii="Calibri" w:hAnsi="Calibri"/>
          <w:lang w:val="ro-RO"/>
        </w:rPr>
      </w:pPr>
    </w:p>
    <w:p w:rsidR="003672DF" w:rsidRPr="00AF3608" w:rsidRDefault="003672DF" w:rsidP="003672DF">
      <w:pPr>
        <w:tabs>
          <w:tab w:val="left" w:pos="6273"/>
        </w:tabs>
        <w:rPr>
          <w:rFonts w:ascii="Calibri" w:hAnsi="Calibri"/>
          <w:lang w:val="ro-RO"/>
        </w:rPr>
      </w:pPr>
    </w:p>
    <w:p w:rsidR="003672DF" w:rsidRPr="00AF3608" w:rsidRDefault="003672DF" w:rsidP="003672DF">
      <w:pPr>
        <w:tabs>
          <w:tab w:val="left" w:pos="6273"/>
        </w:tabs>
        <w:rPr>
          <w:rFonts w:ascii="Calibri" w:hAnsi="Calibri"/>
          <w:lang w:val="ro-RO"/>
        </w:rPr>
      </w:pPr>
    </w:p>
    <w:p w:rsidR="003672DF" w:rsidRPr="00AF3608" w:rsidRDefault="003672DF" w:rsidP="003672DF">
      <w:pPr>
        <w:tabs>
          <w:tab w:val="left" w:pos="6273"/>
        </w:tabs>
        <w:rPr>
          <w:rFonts w:ascii="Calibri" w:hAnsi="Calibri"/>
          <w:lang w:val="ro-RO"/>
        </w:rPr>
      </w:pPr>
    </w:p>
    <w:p w:rsidR="003672DF" w:rsidRPr="00AF3608" w:rsidRDefault="003672DF" w:rsidP="003672DF">
      <w:pPr>
        <w:tabs>
          <w:tab w:val="left" w:pos="6273"/>
        </w:tabs>
        <w:rPr>
          <w:rFonts w:ascii="Calibri" w:hAnsi="Calibri"/>
          <w:lang w:val="ro-RO"/>
        </w:rPr>
      </w:pPr>
    </w:p>
    <w:p w:rsidR="003672DF" w:rsidRPr="00AF3608" w:rsidRDefault="003672DF" w:rsidP="003672DF">
      <w:pPr>
        <w:tabs>
          <w:tab w:val="left" w:pos="6273"/>
        </w:tabs>
        <w:rPr>
          <w:rFonts w:ascii="Calibri" w:hAnsi="Calibri"/>
          <w:lang w:val="ro-RO"/>
        </w:rPr>
      </w:pPr>
      <w:r w:rsidRPr="00AF3608">
        <w:rPr>
          <w:noProof/>
        </w:rPr>
        <w:lastRenderedPageBreak/>
        <w:drawing>
          <wp:inline distT="0" distB="0" distL="0" distR="0" wp14:anchorId="0197A474" wp14:editId="318C989C">
            <wp:extent cx="6246495" cy="8068017"/>
            <wp:effectExtent l="0" t="0" r="190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46495" cy="8068017"/>
                    </a:xfrm>
                    <a:prstGeom prst="rect">
                      <a:avLst/>
                    </a:prstGeom>
                    <a:noFill/>
                    <a:ln>
                      <a:noFill/>
                    </a:ln>
                  </pic:spPr>
                </pic:pic>
              </a:graphicData>
            </a:graphic>
          </wp:inline>
        </w:drawing>
      </w:r>
    </w:p>
    <w:p w:rsidR="00994FD9" w:rsidRPr="00AF3608" w:rsidRDefault="00994FD9" w:rsidP="00B723C0">
      <w:pPr>
        <w:jc w:val="both"/>
        <w:rPr>
          <w:rFonts w:ascii="Calibri" w:hAnsi="Calibri"/>
          <w:lang w:val="ro-RO"/>
        </w:rPr>
      </w:pPr>
    </w:p>
    <w:p w:rsidR="00994FD9" w:rsidRPr="00AF3608" w:rsidRDefault="00994FD9" w:rsidP="00B723C0">
      <w:pPr>
        <w:jc w:val="both"/>
        <w:rPr>
          <w:rFonts w:ascii="Calibri" w:hAnsi="Calibri"/>
          <w:lang w:val="ro-RO"/>
        </w:rPr>
      </w:pPr>
    </w:p>
    <w:p w:rsidR="003672DF" w:rsidRPr="00AF3608" w:rsidRDefault="003672DF" w:rsidP="00B723C0">
      <w:pPr>
        <w:pStyle w:val="BodyText"/>
        <w:shd w:val="clear" w:color="auto" w:fill="002060"/>
        <w:rPr>
          <w:rFonts w:ascii="Calibri" w:hAnsi="Calibri"/>
          <w:b/>
          <w:lang w:val="ro-RO"/>
        </w:rPr>
      </w:pPr>
    </w:p>
    <w:p w:rsidR="005173B7" w:rsidRPr="00AF3608" w:rsidRDefault="005173B7" w:rsidP="00B723C0">
      <w:pPr>
        <w:pStyle w:val="BodyText"/>
        <w:shd w:val="clear" w:color="auto" w:fill="002060"/>
        <w:rPr>
          <w:rFonts w:ascii="Calibri" w:hAnsi="Calibri"/>
          <w:b/>
          <w:lang w:val="ro-RO"/>
        </w:rPr>
      </w:pPr>
      <w:r w:rsidRPr="00AF3608">
        <w:rPr>
          <w:rFonts w:ascii="Calibri" w:hAnsi="Calibri"/>
          <w:b/>
          <w:lang w:val="ro-RO"/>
        </w:rPr>
        <w:t>6. DECLARAŢIE DE RĂSPUNDERE</w:t>
      </w:r>
    </w:p>
    <w:p w:rsidR="005173B7" w:rsidRPr="00AF3608" w:rsidRDefault="005173B7" w:rsidP="00B723C0">
      <w:pPr>
        <w:pStyle w:val="BodyText"/>
        <w:shd w:val="clear" w:color="auto" w:fill="002060"/>
        <w:rPr>
          <w:rFonts w:ascii="Calibri" w:hAnsi="Calibri"/>
          <w:b/>
          <w:lang w:val="ro-RO"/>
        </w:rPr>
      </w:pPr>
    </w:p>
    <w:p w:rsidR="00073EA0" w:rsidRPr="00AF3608" w:rsidRDefault="00073EA0" w:rsidP="00B723C0">
      <w:pPr>
        <w:kinsoku w:val="0"/>
        <w:overflowPunct w:val="0"/>
        <w:spacing w:after="120"/>
        <w:jc w:val="both"/>
        <w:rPr>
          <w:rFonts w:ascii="Calibri" w:hAnsi="Calibri"/>
          <w:lang w:val="ro-RO"/>
        </w:rPr>
      </w:pPr>
      <w:r w:rsidRPr="00AF3608">
        <w:rPr>
          <w:rFonts w:ascii="Calibri" w:hAnsi="Calibri"/>
          <w:lang w:val="ro-RO"/>
        </w:rPr>
        <w:t>Se atestă corectitudinea şi integralitatea preluării şi prelucrării de către Ministerul Finanţelor a informaţiilor prevăzute în Strategia fisc</w:t>
      </w:r>
      <w:r w:rsidR="00057027" w:rsidRPr="00AF3608">
        <w:rPr>
          <w:rFonts w:ascii="Calibri" w:hAnsi="Calibri"/>
          <w:lang w:val="ro-RO"/>
        </w:rPr>
        <w:t>al-bugetară pentru perioada 2021-2023</w:t>
      </w:r>
      <w:r w:rsidRPr="00AF3608">
        <w:rPr>
          <w:rFonts w:ascii="Calibri" w:hAnsi="Calibri"/>
          <w:lang w:val="ro-RO"/>
        </w:rPr>
        <w:t>.</w:t>
      </w:r>
    </w:p>
    <w:p w:rsidR="00073EA0" w:rsidRPr="00AF3608" w:rsidRDefault="00073EA0" w:rsidP="00B723C0">
      <w:pPr>
        <w:kinsoku w:val="0"/>
        <w:overflowPunct w:val="0"/>
        <w:spacing w:after="120"/>
        <w:jc w:val="both"/>
        <w:rPr>
          <w:rFonts w:ascii="Calibri" w:hAnsi="Calibri"/>
          <w:lang w:val="ro-RO"/>
        </w:rPr>
      </w:pPr>
      <w:r w:rsidRPr="00AF3608">
        <w:rPr>
          <w:rFonts w:ascii="Calibri" w:hAnsi="Calibri"/>
          <w:lang w:val="ro-RO"/>
        </w:rPr>
        <w:t>Strategia fiscal-bugetară pentru perioada 202</w:t>
      </w:r>
      <w:r w:rsidR="00057027" w:rsidRPr="00AF3608">
        <w:rPr>
          <w:rFonts w:ascii="Calibri" w:hAnsi="Calibri"/>
          <w:lang w:val="ro-RO"/>
        </w:rPr>
        <w:t>1-2023</w:t>
      </w:r>
      <w:r w:rsidRPr="00AF3608">
        <w:rPr>
          <w:rFonts w:ascii="Calibri" w:hAnsi="Calibri"/>
          <w:lang w:val="ro-RO"/>
        </w:rPr>
        <w:t xml:space="preserve"> a fost elaborată pe baza informațiilor fiscal bugetare furnizate de către factorii implicați în procesul bugetar, precum şi cu luarea în consideraţie a conjuncturii interne şi internaţionale cunoscute la această dată.</w:t>
      </w:r>
    </w:p>
    <w:p w:rsidR="00086BE8" w:rsidRPr="00AF3608" w:rsidRDefault="00086BE8" w:rsidP="00086BE8">
      <w:pPr>
        <w:jc w:val="center"/>
        <w:rPr>
          <w:rFonts w:ascii="Calibri" w:hAnsi="Calibri" w:cs="Arial"/>
          <w:b/>
          <w:lang w:val="ro-RO"/>
        </w:rPr>
      </w:pPr>
    </w:p>
    <w:p w:rsidR="00086BE8" w:rsidRPr="00AF3608" w:rsidRDefault="00086BE8" w:rsidP="00086BE8">
      <w:pPr>
        <w:jc w:val="center"/>
        <w:rPr>
          <w:rFonts w:ascii="Calibri" w:hAnsi="Calibri" w:cs="Arial"/>
          <w:b/>
          <w:lang w:val="ro-RO"/>
        </w:rPr>
      </w:pPr>
    </w:p>
    <w:p w:rsidR="005341EA" w:rsidRPr="00AF3608" w:rsidRDefault="005341EA" w:rsidP="005341EA">
      <w:pPr>
        <w:kinsoku w:val="0"/>
        <w:overflowPunct w:val="0"/>
        <w:spacing w:before="120"/>
        <w:jc w:val="center"/>
        <w:rPr>
          <w:rFonts w:asciiTheme="minorHAnsi" w:hAnsiTheme="minorHAnsi" w:cs="Arial"/>
          <w:b/>
          <w:lang w:val="ro-RO"/>
        </w:rPr>
      </w:pPr>
      <w:r w:rsidRPr="00AF3608">
        <w:rPr>
          <w:rFonts w:asciiTheme="minorHAnsi" w:hAnsiTheme="minorHAnsi" w:cs="Arial"/>
          <w:b/>
          <w:lang w:val="ro-RO"/>
        </w:rPr>
        <w:t>FLORIN – VASILE CÎŢU</w:t>
      </w:r>
    </w:p>
    <w:p w:rsidR="00086BE8" w:rsidRPr="00AF3608" w:rsidRDefault="005341EA" w:rsidP="00086BE8">
      <w:pPr>
        <w:spacing w:before="120"/>
        <w:jc w:val="center"/>
        <w:rPr>
          <w:rFonts w:ascii="Calibri" w:hAnsi="Calibri" w:cs="Arial"/>
          <w:b/>
          <w:lang w:val="ro-RO"/>
        </w:rPr>
      </w:pPr>
      <w:r w:rsidRPr="00AF3608">
        <w:rPr>
          <w:rFonts w:ascii="Calibri" w:hAnsi="Calibri" w:cs="Arial"/>
          <w:b/>
          <w:lang w:val="ro-RO"/>
        </w:rPr>
        <w:t>PRIM – MINISTRU</w:t>
      </w:r>
    </w:p>
    <w:p w:rsidR="00086BE8" w:rsidRPr="00AF3608" w:rsidRDefault="00086BE8" w:rsidP="00086BE8">
      <w:pPr>
        <w:kinsoku w:val="0"/>
        <w:overflowPunct w:val="0"/>
        <w:spacing w:before="120"/>
        <w:jc w:val="center"/>
        <w:rPr>
          <w:rFonts w:asciiTheme="minorHAnsi" w:hAnsiTheme="minorHAnsi" w:cs="Arial"/>
          <w:b/>
          <w:lang w:val="ro-RO"/>
        </w:rPr>
      </w:pPr>
    </w:p>
    <w:p w:rsidR="00086BE8" w:rsidRPr="00AF3608" w:rsidRDefault="00086BE8" w:rsidP="00086BE8">
      <w:pPr>
        <w:kinsoku w:val="0"/>
        <w:overflowPunct w:val="0"/>
        <w:spacing w:before="120"/>
        <w:jc w:val="center"/>
        <w:rPr>
          <w:rFonts w:asciiTheme="minorHAnsi" w:hAnsiTheme="minorHAnsi" w:cs="Arial"/>
          <w:b/>
          <w:lang w:val="ro-RO"/>
        </w:rPr>
      </w:pPr>
    </w:p>
    <w:p w:rsidR="00086BE8" w:rsidRPr="00AF3608" w:rsidRDefault="00086BE8" w:rsidP="00086BE8">
      <w:pPr>
        <w:kinsoku w:val="0"/>
        <w:overflowPunct w:val="0"/>
        <w:spacing w:before="120"/>
        <w:jc w:val="center"/>
        <w:rPr>
          <w:rFonts w:asciiTheme="minorHAnsi" w:hAnsiTheme="minorHAnsi" w:cs="Arial"/>
          <w:b/>
          <w:lang w:val="ro-RO"/>
        </w:rPr>
      </w:pPr>
    </w:p>
    <w:p w:rsidR="005341EA" w:rsidRPr="00AF3608" w:rsidRDefault="005341EA" w:rsidP="005341EA">
      <w:pPr>
        <w:kinsoku w:val="0"/>
        <w:overflowPunct w:val="0"/>
        <w:spacing w:before="120"/>
        <w:jc w:val="center"/>
        <w:rPr>
          <w:rFonts w:ascii="Calibri" w:hAnsi="Calibri"/>
          <w:lang w:val="ro-RO"/>
        </w:rPr>
      </w:pPr>
      <w:r w:rsidRPr="00AF3608">
        <w:rPr>
          <w:rFonts w:asciiTheme="minorHAnsi" w:hAnsiTheme="minorHAnsi" w:cs="Arial"/>
          <w:b/>
          <w:lang w:val="ro-RO"/>
        </w:rPr>
        <w:t>ALEXANDRU NAZARE</w:t>
      </w:r>
    </w:p>
    <w:p w:rsidR="00086BE8" w:rsidRPr="00AF3608" w:rsidRDefault="00200A4A" w:rsidP="00086BE8">
      <w:pPr>
        <w:kinsoku w:val="0"/>
        <w:overflowPunct w:val="0"/>
        <w:spacing w:before="120"/>
        <w:jc w:val="center"/>
        <w:rPr>
          <w:rFonts w:asciiTheme="minorHAnsi" w:hAnsiTheme="minorHAnsi" w:cs="Arial"/>
          <w:b/>
          <w:lang w:val="ro-RO"/>
        </w:rPr>
      </w:pPr>
      <w:r w:rsidRPr="00AF3608">
        <w:rPr>
          <w:rFonts w:asciiTheme="minorHAnsi" w:hAnsiTheme="minorHAnsi" w:cs="Arial"/>
          <w:b/>
          <w:lang w:val="ro-RO"/>
        </w:rPr>
        <w:t>MINISTRUL FINANȚELOR</w:t>
      </w:r>
    </w:p>
    <w:p w:rsidR="00073EA0" w:rsidRPr="00AF3608" w:rsidRDefault="00073EA0" w:rsidP="00B723C0">
      <w:pPr>
        <w:kinsoku w:val="0"/>
        <w:overflowPunct w:val="0"/>
        <w:spacing w:after="120"/>
        <w:jc w:val="both"/>
        <w:rPr>
          <w:rFonts w:ascii="Calibri" w:hAnsi="Calibri"/>
          <w:lang w:val="ro-RO"/>
        </w:rPr>
      </w:pPr>
    </w:p>
    <w:p w:rsidR="007E08DE" w:rsidRPr="00AF3608" w:rsidRDefault="007E08DE" w:rsidP="00B723C0">
      <w:pPr>
        <w:suppressAutoHyphens/>
        <w:spacing w:before="120"/>
        <w:jc w:val="both"/>
        <w:rPr>
          <w:rFonts w:ascii="Calibri" w:hAnsi="Calibri" w:cs="Calibri"/>
          <w:lang w:val="ro-RO"/>
        </w:rPr>
      </w:pPr>
    </w:p>
    <w:p w:rsidR="00F90794" w:rsidRPr="00AF3608" w:rsidRDefault="00F90794" w:rsidP="00B723C0">
      <w:pPr>
        <w:jc w:val="both"/>
        <w:rPr>
          <w:rFonts w:ascii="Calibri" w:hAnsi="Calibri"/>
          <w:lang w:val="ro-RO"/>
        </w:rPr>
      </w:pPr>
    </w:p>
    <w:p w:rsidR="00F90794" w:rsidRPr="00AF3608" w:rsidRDefault="00F90794" w:rsidP="00B723C0">
      <w:pPr>
        <w:jc w:val="both"/>
        <w:rPr>
          <w:rFonts w:ascii="Calibri" w:hAnsi="Calibri"/>
          <w:lang w:val="ro-RO"/>
        </w:rPr>
      </w:pPr>
    </w:p>
    <w:p w:rsidR="00F90794" w:rsidRPr="00AF3608" w:rsidRDefault="00F90794" w:rsidP="00B723C0">
      <w:pPr>
        <w:jc w:val="both"/>
        <w:rPr>
          <w:rFonts w:ascii="Calibri" w:hAnsi="Calibri"/>
          <w:lang w:val="ro-RO"/>
        </w:rPr>
      </w:pPr>
    </w:p>
    <w:p w:rsidR="00F90794" w:rsidRPr="00AF3608" w:rsidRDefault="00F90794" w:rsidP="00B723C0">
      <w:pPr>
        <w:jc w:val="both"/>
        <w:rPr>
          <w:rFonts w:ascii="Calibri" w:hAnsi="Calibri"/>
          <w:lang w:val="ro-RO"/>
        </w:rPr>
      </w:pPr>
    </w:p>
    <w:sectPr w:rsidR="00F90794" w:rsidRPr="00AF3608" w:rsidSect="00B723C0">
      <w:footerReference w:type="default" r:id="rId66"/>
      <w:pgSz w:w="12240" w:h="15840"/>
      <w:pgMar w:top="1134" w:right="758" w:bottom="1134" w:left="15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6D9E" w:rsidRDefault="008E6D9E" w:rsidP="003A35CA">
      <w:r>
        <w:separator/>
      </w:r>
    </w:p>
  </w:endnote>
  <w:endnote w:type="continuationSeparator" w:id="0">
    <w:p w:rsidR="008E6D9E" w:rsidRDefault="008E6D9E" w:rsidP="003A3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Open Sans">
    <w:altName w:val="Verdana"/>
    <w:charset w:val="EE"/>
    <w:family w:val="swiss"/>
    <w:pitch w:val="variable"/>
    <w:sig w:usb0="00000001" w:usb1="4000205B" w:usb2="00000028" w:usb3="00000000" w:csb0="0000019F" w:csb1="00000000"/>
  </w:font>
  <w:font w:name="Iskoola Pota">
    <w:altName w:val="Times New Roman"/>
    <w:panose1 w:val="00000000000000000000"/>
    <w:charset w:val="00"/>
    <w:family w:val="roman"/>
    <w:notTrueType/>
    <w:pitch w:val="default"/>
  </w:font>
  <w:font w:name="TimesRomanR">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New Roman Rom">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NewRomanPS">
    <w:panose1 w:val="00000000000000000000"/>
    <w:charset w:val="00"/>
    <w:family w:val="roman"/>
    <w:notTrueType/>
    <w:pitch w:val="default"/>
    <w:sig w:usb0="00000003" w:usb1="00000000" w:usb2="00000000" w:usb3="00000000" w:csb0="00000001" w:csb1="00000000"/>
  </w:font>
  <w:font w:name="0HelvR">
    <w:altName w:val="Courier New"/>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dobe Garamond Pro">
    <w:altName w:val="Times New Roman"/>
    <w:charset w:val="00"/>
    <w:family w:val="roman"/>
    <w:pitch w:val="variable"/>
    <w:sig w:usb0="00000003" w:usb1="00000000" w:usb2="00000000" w:usb3="00000000" w:csb0="00000001" w:csb1="00000000"/>
  </w:font>
  <w:font w:name="Adobe Garamond Pro Bold">
    <w:altName w:val="Times New Roman"/>
    <w:charset w:val="00"/>
    <w:family w:val="roman"/>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Legato">
    <w:altName w:val="Arial"/>
    <w:charset w:val="00"/>
    <w:family w:val="swiss"/>
    <w:pitch w:val="default"/>
    <w:sig w:usb0="00000003" w:usb1="00000000" w:usb2="00000000" w:usb3="00000000" w:csb0="00000001" w:csb1="00000000"/>
  </w:font>
  <w:font w:name="TheSans LP7 Bold">
    <w:altName w:val="Arial"/>
    <w:charset w:val="00"/>
    <w:family w:val="swiss"/>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EUAlbertina">
    <w:altName w:val="Times New Roman"/>
    <w:charset w:val="00"/>
    <w:family w:val="roman"/>
    <w:pitch w:val="default"/>
  </w:font>
  <w:font w:name="Mangal">
    <w:panose1 w:val="00000400000000000000"/>
    <w:charset w:val="00"/>
    <w:family w:val="roman"/>
    <w:pitch w:val="variable"/>
    <w:sig w:usb0="00008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Calibri Light">
    <w:panose1 w:val="020F0302020204030204"/>
    <w:charset w:val="00"/>
    <w:family w:val="swiss"/>
    <w:pitch w:val="variable"/>
    <w:sig w:usb0="E0002A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mn-e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SimSun">
    <w:panose1 w:val="02010609030101010101"/>
    <w:charset w:val="86"/>
    <w:family w:val="modern"/>
    <w:pitch w:val="fixed"/>
    <w:sig w:usb0="00000283" w:usb1="288F0000" w:usb2="00000016" w:usb3="00000000" w:csb0="00040001" w:csb1="00000000"/>
  </w:font>
  <w:font w:name="Arial (W1)">
    <w:altName w:val="Arial"/>
    <w:charset w:val="EE"/>
    <w:family w:val="swiss"/>
    <w:pitch w:val="variable"/>
  </w:font>
  <w:font w:name="Segoe UI Emoji">
    <w:panose1 w:val="020B0502040204020203"/>
    <w:charset w:val="00"/>
    <w:family w:val="swiss"/>
    <w:pitch w:val="variable"/>
    <w:sig w:usb0="00000003" w:usb1="02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00"/>
    <w:family w:val="swiss"/>
    <w:pitch w:val="variable"/>
    <w:sig w:usb0="A00002EF" w:usb1="4000A44B" w:usb2="00000000" w:usb3="00000000" w:csb0="0000019F" w:csb1="00000000"/>
  </w:font>
  <w:font w:name="ヒラギノ角ゴ Pro W3">
    <w:altName w:val="MS Mincho"/>
    <w:charset w:val="80"/>
    <w:family w:val="auto"/>
    <w:pitch w:val="variable"/>
    <w:sig w:usb0="00000000" w:usb1="00000000" w:usb2="01000407"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81B" w:rsidRDefault="001D681B" w:rsidP="00FB64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00402">
      <w:rPr>
        <w:rStyle w:val="PageNumber"/>
        <w:noProof/>
      </w:rPr>
      <w:t>140</w:t>
    </w:r>
    <w:r>
      <w:rPr>
        <w:rStyle w:val="PageNumber"/>
      </w:rPr>
      <w:fldChar w:fldCharType="end"/>
    </w:r>
  </w:p>
  <w:p w:rsidR="001D681B" w:rsidRDefault="001D681B" w:rsidP="00317D30"/>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81B" w:rsidRDefault="001D681B" w:rsidP="00FB64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00402">
      <w:rPr>
        <w:rStyle w:val="PageNumber"/>
        <w:noProof/>
      </w:rPr>
      <w:t>187</w:t>
    </w:r>
    <w:r>
      <w:rPr>
        <w:rStyle w:val="PageNumber"/>
      </w:rPr>
      <w:fldChar w:fldCharType="end"/>
    </w:r>
  </w:p>
  <w:p w:rsidR="001D681B" w:rsidRDefault="001D681B" w:rsidP="00317D3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6D9E" w:rsidRDefault="008E6D9E" w:rsidP="003A35CA">
      <w:r>
        <w:separator/>
      </w:r>
    </w:p>
  </w:footnote>
  <w:footnote w:type="continuationSeparator" w:id="0">
    <w:p w:rsidR="008E6D9E" w:rsidRDefault="008E6D9E" w:rsidP="003A35CA">
      <w:r>
        <w:continuationSeparator/>
      </w:r>
    </w:p>
  </w:footnote>
  <w:footnote w:id="1">
    <w:p w:rsidR="001D681B" w:rsidRPr="00737E37" w:rsidRDefault="001D681B" w:rsidP="00D95CB1">
      <w:pPr>
        <w:spacing w:before="60" w:after="60"/>
        <w:jc w:val="both"/>
        <w:rPr>
          <w:rFonts w:ascii="Arial" w:hAnsi="Arial" w:cs="Arial"/>
          <w:sz w:val="16"/>
          <w:szCs w:val="16"/>
          <w:lang w:val="ro-RO"/>
        </w:rPr>
      </w:pPr>
      <w:r w:rsidRPr="00737E37">
        <w:rPr>
          <w:rStyle w:val="FootnoteReference"/>
          <w:sz w:val="16"/>
          <w:szCs w:val="16"/>
        </w:rPr>
        <w:footnoteRef/>
      </w:r>
      <w:r w:rsidRPr="00737E37">
        <w:rPr>
          <w:sz w:val="16"/>
          <w:szCs w:val="16"/>
        </w:rPr>
        <w:t xml:space="preserve"> </w:t>
      </w:r>
      <w:r w:rsidRPr="00737E37">
        <w:rPr>
          <w:rFonts w:ascii="Arial" w:hAnsi="Arial" w:cs="Arial"/>
          <w:i/>
          <w:color w:val="000000"/>
          <w:sz w:val="16"/>
          <w:szCs w:val="16"/>
        </w:rPr>
        <w:t>privind prelungirea aplicării unor măsuri de protecţie socială adoptate în contextul răspândirii coronavirusului SARS-CoV-2, precum şi pentru modificarea Ordonanţei de urgenţă a Guvernului nr. 132/2020 privind măsuri de sprijin destinate salariaţilor şi angajatorilor în contextul situaţiei epidemiologice determinate de răspândirea coronavirusului SARS-CoV-2, precum şi pentru stimularea creşterii ocupării forţei de muncă</w:t>
      </w:r>
    </w:p>
  </w:footnote>
  <w:footnote w:id="2">
    <w:p w:rsidR="001D681B" w:rsidRPr="00737E37" w:rsidRDefault="001D681B" w:rsidP="00D95CB1">
      <w:pPr>
        <w:pStyle w:val="FootnoteText"/>
        <w:rPr>
          <w:sz w:val="16"/>
          <w:szCs w:val="16"/>
          <w:lang w:val="ro-RO"/>
        </w:rPr>
      </w:pPr>
      <w:r w:rsidRPr="00737E37">
        <w:rPr>
          <w:rStyle w:val="FootnoteReference"/>
          <w:sz w:val="16"/>
          <w:szCs w:val="16"/>
        </w:rPr>
        <w:footnoteRef/>
      </w:r>
      <w:r w:rsidRPr="00737E37">
        <w:rPr>
          <w:sz w:val="16"/>
          <w:szCs w:val="16"/>
        </w:rPr>
        <w:t xml:space="preserve"> </w:t>
      </w:r>
      <w:r w:rsidRPr="00737E37">
        <w:rPr>
          <w:rFonts w:ascii="Arial" w:hAnsi="Arial" w:cs="Arial"/>
          <w:i/>
          <w:color w:val="000000"/>
          <w:sz w:val="16"/>
          <w:szCs w:val="16"/>
        </w:rPr>
        <w:t>privind aplicarea unor măsuri de protecţie socială după 1 ianuarie 2021 în contextul răspândirii coronavirusului SARS-CoV-2, precum şi pentru modificarea unor acte normative</w:t>
      </w:r>
    </w:p>
  </w:footnote>
  <w:footnote w:id="3">
    <w:p w:rsidR="001D681B" w:rsidRPr="00737E37" w:rsidRDefault="001D681B" w:rsidP="00D95CB1">
      <w:pPr>
        <w:pStyle w:val="FootnoteText"/>
        <w:jc w:val="both"/>
        <w:rPr>
          <w:sz w:val="16"/>
          <w:szCs w:val="16"/>
          <w:lang w:val="ro-RO"/>
        </w:rPr>
      </w:pPr>
      <w:r w:rsidRPr="00737E37">
        <w:rPr>
          <w:rStyle w:val="FootnoteReference"/>
          <w:sz w:val="16"/>
          <w:szCs w:val="16"/>
        </w:rPr>
        <w:footnoteRef/>
      </w:r>
      <w:r w:rsidRPr="00737E37">
        <w:rPr>
          <w:sz w:val="16"/>
          <w:szCs w:val="16"/>
        </w:rPr>
        <w:t xml:space="preserve"> </w:t>
      </w:r>
      <w:r w:rsidRPr="00737E37">
        <w:rPr>
          <w:rFonts w:ascii="Arial" w:hAnsi="Arial" w:cs="Arial"/>
          <w:i/>
          <w:sz w:val="16"/>
          <w:szCs w:val="16"/>
        </w:rPr>
        <w:t xml:space="preserve">privind măsuri de sprijin destinate salariaţilor şi angajatorilor în contextul situaţiei epidemiologice determinate de răspândirea coronavirusului SARS-CoV-2 precum și pentru stimularea creșterii ocupării forței de muncă, </w:t>
      </w:r>
      <w:r w:rsidRPr="00737E37">
        <w:rPr>
          <w:rFonts w:ascii="Arial" w:hAnsi="Arial" w:cs="Arial"/>
          <w:sz w:val="16"/>
          <w:szCs w:val="16"/>
        </w:rPr>
        <w:t>aprobată cu modificări și completări prin Legea nr.282/2020, cu modificările ulterioare</w:t>
      </w:r>
    </w:p>
  </w:footnote>
  <w:footnote w:id="4">
    <w:p w:rsidR="001D681B" w:rsidRPr="00BA6F4C" w:rsidRDefault="001D681B" w:rsidP="00D95CB1">
      <w:pPr>
        <w:pStyle w:val="FootnoteText"/>
        <w:jc w:val="both"/>
        <w:rPr>
          <w:rFonts w:ascii="Arial" w:hAnsi="Arial" w:cs="Arial"/>
          <w:sz w:val="18"/>
          <w:szCs w:val="18"/>
          <w:lang w:val="ro-RO"/>
        </w:rPr>
      </w:pPr>
      <w:r>
        <w:rPr>
          <w:rStyle w:val="FootnoteReference"/>
        </w:rPr>
        <w:footnoteRef/>
      </w:r>
      <w:r>
        <w:t xml:space="preserve"> </w:t>
      </w:r>
      <w:r w:rsidRPr="00BA6F4C">
        <w:rPr>
          <w:rFonts w:ascii="Arial" w:hAnsi="Arial" w:cs="Arial"/>
          <w:sz w:val="18"/>
          <w:szCs w:val="18"/>
        </w:rPr>
        <w:t>privind acordarea unor zile libere pentru părinţi în vederea supravegherii copiilor, în situaţia limitării sau suspendării activităţilor didactice care presupun prezenţa efectivă a copiilor în unităţile de învăţământ şi în unităţile de educaţie timpurie antepreşcolară, ca urmare a răspândirii coronavirusului SARS-CoV-2</w:t>
      </w:r>
    </w:p>
  </w:footnote>
  <w:footnote w:id="5">
    <w:p w:rsidR="001D681B" w:rsidRPr="00DC3BD2" w:rsidRDefault="001D681B" w:rsidP="00666E11">
      <w:pPr>
        <w:pStyle w:val="FootnoteText"/>
        <w:rPr>
          <w:rFonts w:ascii="Calibri" w:hAnsi="Calibri" w:cs="Calibri"/>
          <w:sz w:val="16"/>
          <w:szCs w:val="16"/>
          <w:lang w:val="ro-RO"/>
        </w:rPr>
      </w:pPr>
      <w:r w:rsidRPr="00820308">
        <w:rPr>
          <w:rStyle w:val="FootnoteReference"/>
          <w:rFonts w:ascii="Calibri" w:hAnsi="Calibri" w:cs="Calibri"/>
          <w:sz w:val="16"/>
          <w:szCs w:val="16"/>
        </w:rPr>
        <w:footnoteRef/>
      </w:r>
      <w:r w:rsidRPr="00CD16AA">
        <w:rPr>
          <w:rFonts w:ascii="Calibri" w:hAnsi="Calibri" w:cs="Calibri"/>
          <w:sz w:val="16"/>
          <w:szCs w:val="16"/>
          <w:lang w:val="fr-FR"/>
        </w:rPr>
        <w:t xml:space="preserve"> </w:t>
      </w:r>
      <w:r w:rsidRPr="00DC3BD2">
        <w:rPr>
          <w:rFonts w:ascii="Calibri" w:hAnsi="Calibri" w:cs="Calibri"/>
          <w:sz w:val="16"/>
          <w:szCs w:val="16"/>
          <w:lang w:val="ro-RO"/>
        </w:rPr>
        <w:t>Activele financiare  lichide calculate pe baza datelor disponibile de la BNR  pentru primele 3 trimestre din 2020, la care s-a adaugat cresterea de buffer la dispozitia Trezoreriei statului din ultimul trimestru al lui 2020. Activele financiare lichide se refera la urmatoarle instrumente : AF1 – aur şi DST, AF2 – depozite şi numerar, AF3- titluri de valoare, altele decât acţiuni, AF5 – acţiuni şi alte participaţii la capital, dacă sunt cotate la bursă, inclusiv acţiunile fondurilor mutuale, conform metodologiei pentru Programul de Convergență</w:t>
      </w:r>
      <w:r>
        <w:rPr>
          <w:rFonts w:ascii="Calibri" w:hAnsi="Calibri" w:cs="Calibri"/>
          <w:sz w:val="16"/>
          <w:szCs w:val="16"/>
          <w:lang w:val="ro-RO"/>
        </w:rPr>
        <w:t>.</w:t>
      </w:r>
    </w:p>
  </w:footnote>
  <w:footnote w:id="6">
    <w:p w:rsidR="001D681B" w:rsidRPr="00DC3BD2" w:rsidRDefault="001D681B" w:rsidP="006F06B2">
      <w:pPr>
        <w:pStyle w:val="FootnoteText"/>
        <w:rPr>
          <w:rFonts w:ascii="Calibri" w:hAnsi="Calibri" w:cs="Calibri"/>
          <w:sz w:val="16"/>
          <w:szCs w:val="16"/>
          <w:lang w:val="ro-RO"/>
        </w:rPr>
      </w:pPr>
      <w:r w:rsidRPr="00820308">
        <w:rPr>
          <w:rStyle w:val="FootnoteReference"/>
          <w:rFonts w:ascii="Calibri" w:hAnsi="Calibri" w:cs="Calibri"/>
          <w:sz w:val="16"/>
          <w:szCs w:val="16"/>
        </w:rPr>
        <w:footnoteRef/>
      </w:r>
      <w:r w:rsidRPr="00CD16AA">
        <w:rPr>
          <w:rFonts w:ascii="Calibri" w:hAnsi="Calibri" w:cs="Calibri"/>
          <w:sz w:val="16"/>
          <w:szCs w:val="16"/>
          <w:lang w:val="fr-FR"/>
        </w:rPr>
        <w:t xml:space="preserve"> </w:t>
      </w:r>
      <w:r w:rsidRPr="00DC3BD2">
        <w:rPr>
          <w:rFonts w:ascii="Calibri" w:hAnsi="Calibri" w:cs="Calibri"/>
          <w:sz w:val="16"/>
          <w:szCs w:val="16"/>
          <w:lang w:val="ro-RO"/>
        </w:rPr>
        <w:t>Activele financiare  lichide calculate pe baza datelor disponibile de la BNR  pentru primele 3 trimestre din 2020, la care s-a adaugat cresterea de buffer la dispozitia Trezoreriei statului din ultimul trimestru al lui 2020. Activele financiare lichide se refera la urmatoarle instrumente : AF1 – aur şi DST, AF2 – depozite şi numerar, AF3- titluri de valoare, altele decât acţiuni, AF5 – acţiuni şi alte participaţii la capital, dacă sunt cotate la bursă, inclusiv acţiunile fondurilor mutuale, conform metodologiei pentru Programul de Convergență</w:t>
      </w:r>
      <w:r>
        <w:rPr>
          <w:rFonts w:ascii="Calibri" w:hAnsi="Calibri" w:cs="Calibri"/>
          <w:sz w:val="16"/>
          <w:szCs w:val="16"/>
          <w:lang w:val="ro-RO"/>
        </w:rPr>
        <w:t>.</w:t>
      </w:r>
    </w:p>
  </w:footnote>
  <w:footnote w:id="7">
    <w:p w:rsidR="001D681B" w:rsidRPr="00946889" w:rsidRDefault="001D681B" w:rsidP="006B2719">
      <w:pPr>
        <w:pStyle w:val="FootnoteText"/>
        <w:jc w:val="both"/>
        <w:rPr>
          <w:lang w:val="ro-RO"/>
        </w:rPr>
      </w:pPr>
      <w:r w:rsidRPr="00946889">
        <w:rPr>
          <w:rStyle w:val="FootnoteReference"/>
          <w:lang w:val="ro-RO"/>
        </w:rPr>
        <w:footnoteRef/>
      </w:r>
      <w:r w:rsidRPr="00946889">
        <w:rPr>
          <w:lang w:val="ro-RO"/>
        </w:rPr>
        <w:t xml:space="preserve"> Regula este stabilită prin prevederile art.3 alin.(1) din TSCG ratificat de România prin Legea nr.83/2012, iar potrivit prevederilor art.3 alin.(2) din același TSCG regula a fost preluată și în legislația națională prin modificarea Legii responsabilității fiscal-bugetare nr.69/2010, astfel încât aceasta se regăsește în prezent la art.7 din Legea nr.69/2010, republicată, cu modificările și completările ulterioare.</w:t>
      </w:r>
    </w:p>
  </w:footnote>
  <w:footnote w:id="8">
    <w:p w:rsidR="001D681B" w:rsidRPr="00417A89" w:rsidRDefault="001D681B" w:rsidP="005C01EF">
      <w:pPr>
        <w:pStyle w:val="FootnoteText"/>
        <w:jc w:val="both"/>
        <w:rPr>
          <w:sz w:val="18"/>
          <w:lang w:val="it-IT"/>
        </w:rPr>
      </w:pPr>
      <w:r w:rsidRPr="00417A89">
        <w:rPr>
          <w:rFonts w:ascii="Tahoma" w:hAnsi="Tahoma" w:cs="Tahoma"/>
          <w:color w:val="808080"/>
          <w:sz w:val="18"/>
          <w:vertAlign w:val="superscript"/>
        </w:rPr>
        <w:footnoteRef/>
      </w:r>
      <w:r w:rsidRPr="00417A89">
        <w:rPr>
          <w:rFonts w:ascii="Tahoma" w:hAnsi="Tahoma" w:cs="Tahoma"/>
          <w:color w:val="808080"/>
          <w:sz w:val="18"/>
          <w:lang w:val="it-IT"/>
        </w:rPr>
        <w:t xml:space="preserve"> În decembrie 2020, creșterea de 4,6% (an/an) a veniturilor fiscale a fost determinată în principal de dinamica veniturilor din TVA (+16%), accize (+3,1%) și impozit pe venit (+8,9%).</w:t>
      </w:r>
      <w:r w:rsidRPr="00417A89">
        <w:rPr>
          <w:color w:val="808080"/>
          <w:sz w:val="18"/>
          <w:lang w:val="it-IT"/>
        </w:rPr>
        <w:t xml:space="preserve"> </w:t>
      </w:r>
    </w:p>
  </w:footnote>
  <w:footnote w:id="9">
    <w:p w:rsidR="001D681B" w:rsidRPr="00417A89" w:rsidRDefault="001D681B" w:rsidP="005C01EF">
      <w:pPr>
        <w:pStyle w:val="FootnoteText"/>
        <w:jc w:val="both"/>
        <w:rPr>
          <w:rFonts w:ascii="Tahoma" w:hAnsi="Tahoma" w:cs="Tahoma"/>
          <w:color w:val="808080"/>
          <w:sz w:val="18"/>
          <w:lang w:val="it-IT"/>
        </w:rPr>
      </w:pPr>
      <w:r w:rsidRPr="00417A89">
        <w:rPr>
          <w:rStyle w:val="FootnoteReference"/>
          <w:rFonts w:ascii="Tahoma" w:hAnsi="Tahoma" w:cs="Tahoma"/>
          <w:color w:val="808080"/>
          <w:sz w:val="18"/>
        </w:rPr>
        <w:footnoteRef/>
      </w:r>
      <w:r w:rsidRPr="00417A89">
        <w:rPr>
          <w:rFonts w:ascii="Tahoma" w:hAnsi="Tahoma" w:cs="Tahoma"/>
          <w:color w:val="808080"/>
          <w:sz w:val="18"/>
          <w:lang w:val="it-IT"/>
        </w:rPr>
        <w:t xml:space="preserve"> creșterea câștigului salarial mediu brut la nivelul economiei cu 6,6% și scăderea efectivului de salariați cu 0,8%; </w:t>
      </w:r>
    </w:p>
  </w:footnote>
  <w:footnote w:id="10">
    <w:p w:rsidR="001D681B" w:rsidRPr="00417A89" w:rsidRDefault="001D681B" w:rsidP="005C01EF">
      <w:pPr>
        <w:pStyle w:val="FootnoteText"/>
        <w:jc w:val="both"/>
        <w:rPr>
          <w:rFonts w:ascii="Tahoma" w:hAnsi="Tahoma" w:cs="Tahoma"/>
          <w:sz w:val="18"/>
          <w:lang w:val="it-IT"/>
        </w:rPr>
      </w:pPr>
      <w:r w:rsidRPr="00417A89">
        <w:rPr>
          <w:rStyle w:val="FootnoteReference"/>
          <w:rFonts w:ascii="Tahoma" w:hAnsi="Tahoma" w:cs="Tahoma"/>
          <w:color w:val="808080"/>
          <w:sz w:val="18"/>
        </w:rPr>
        <w:footnoteRef/>
      </w:r>
      <w:r w:rsidRPr="00417A89">
        <w:rPr>
          <w:rFonts w:ascii="Tahoma" w:hAnsi="Tahoma" w:cs="Tahoma"/>
          <w:color w:val="808080"/>
          <w:sz w:val="18"/>
          <w:lang w:val="it-IT"/>
        </w:rPr>
        <w:t xml:space="preserve"> În structura impozitului venit, încasările din impozitul pe venitul din salarii dețin o pondere de aprox. 80%.</w:t>
      </w:r>
    </w:p>
  </w:footnote>
  <w:footnote w:id="11">
    <w:p w:rsidR="001D681B" w:rsidRPr="00417A89" w:rsidRDefault="001D681B" w:rsidP="005C01EF">
      <w:pPr>
        <w:pStyle w:val="FootnoteText"/>
        <w:rPr>
          <w:rFonts w:ascii="Tahoma" w:hAnsi="Tahoma" w:cs="Tahoma"/>
          <w:sz w:val="18"/>
          <w:lang w:val="it-IT"/>
        </w:rPr>
      </w:pPr>
      <w:r w:rsidRPr="00417A89">
        <w:rPr>
          <w:color w:val="808080"/>
          <w:sz w:val="18"/>
          <w:vertAlign w:val="superscript"/>
        </w:rPr>
        <w:footnoteRef/>
      </w:r>
      <w:r w:rsidRPr="00417A89">
        <w:rPr>
          <w:rFonts w:ascii="Tahoma" w:hAnsi="Tahoma" w:cs="Tahoma"/>
          <w:color w:val="808080"/>
          <w:sz w:val="18"/>
          <w:lang w:val="it-IT"/>
        </w:rPr>
        <w:t xml:space="preserve"> OUG nr. 30/2020, modificată prin OUG nr. 32/2020</w:t>
      </w:r>
    </w:p>
  </w:footnote>
  <w:footnote w:id="12">
    <w:p w:rsidR="001D681B" w:rsidRPr="00417A89" w:rsidRDefault="001D681B" w:rsidP="005C01EF">
      <w:pPr>
        <w:pStyle w:val="FootnoteText"/>
        <w:rPr>
          <w:sz w:val="18"/>
          <w:lang w:val="it-IT"/>
        </w:rPr>
      </w:pPr>
      <w:r w:rsidRPr="00417A89">
        <w:rPr>
          <w:rFonts w:ascii="Tahoma" w:hAnsi="Tahoma" w:cs="Tahoma"/>
          <w:color w:val="808080"/>
          <w:sz w:val="18"/>
          <w:vertAlign w:val="superscript"/>
        </w:rPr>
        <w:footnoteRef/>
      </w:r>
      <w:r w:rsidRPr="00417A89">
        <w:rPr>
          <w:rFonts w:ascii="Tahoma" w:hAnsi="Tahoma" w:cs="Tahoma"/>
          <w:color w:val="808080"/>
          <w:sz w:val="18"/>
          <w:vertAlign w:val="superscript"/>
          <w:lang w:val="it-IT"/>
        </w:rPr>
        <w:t xml:space="preserve"> </w:t>
      </w:r>
      <w:r w:rsidRPr="00417A89">
        <w:rPr>
          <w:rFonts w:ascii="Tahoma" w:hAnsi="Tahoma" w:cs="Tahoma"/>
          <w:color w:val="808080"/>
          <w:sz w:val="18"/>
          <w:lang w:val="it-IT"/>
        </w:rPr>
        <w:t>Dețin o pondere de aproximativ 95% în această categorie.</w:t>
      </w:r>
    </w:p>
  </w:footnote>
  <w:footnote w:id="13">
    <w:p w:rsidR="001D681B" w:rsidRPr="00417A89" w:rsidRDefault="001D681B" w:rsidP="005C01EF">
      <w:pPr>
        <w:pStyle w:val="FootnoteText"/>
        <w:jc w:val="both"/>
        <w:rPr>
          <w:color w:val="808080"/>
          <w:sz w:val="18"/>
          <w:lang w:val="it-IT"/>
        </w:rPr>
      </w:pPr>
      <w:r w:rsidRPr="00417A89">
        <w:rPr>
          <w:rStyle w:val="FootnoteReference"/>
          <w:rFonts w:ascii="Tahoma" w:hAnsi="Tahoma" w:cs="Tahoma"/>
          <w:color w:val="808080"/>
          <w:sz w:val="18"/>
        </w:rPr>
        <w:footnoteRef/>
      </w:r>
      <w:r w:rsidRPr="00417A89">
        <w:rPr>
          <w:rFonts w:ascii="Tahoma" w:hAnsi="Tahoma" w:cs="Tahoma"/>
          <w:color w:val="808080"/>
          <w:sz w:val="18"/>
          <w:lang w:val="it-IT"/>
        </w:rPr>
        <w:t xml:space="preserve"> Veniturile nete din TVA reprezintă diferența dintre TVA colectată sau brută și restituirile de TVA.</w:t>
      </w:r>
      <w:r w:rsidRPr="00417A89">
        <w:rPr>
          <w:color w:val="808080"/>
          <w:sz w:val="18"/>
          <w:lang w:val="it-IT"/>
        </w:rPr>
        <w:t xml:space="preserve"> </w:t>
      </w:r>
    </w:p>
  </w:footnote>
  <w:footnote w:id="14">
    <w:p w:rsidR="001D681B" w:rsidRPr="00417A89" w:rsidRDefault="001D681B" w:rsidP="005C01EF">
      <w:pPr>
        <w:pStyle w:val="FootnoteText"/>
        <w:jc w:val="both"/>
        <w:rPr>
          <w:sz w:val="18"/>
          <w:lang w:val="it-IT"/>
        </w:rPr>
      </w:pPr>
      <w:r w:rsidRPr="00417A89">
        <w:rPr>
          <w:rStyle w:val="FootnoteReference"/>
          <w:rFonts w:ascii="Tahoma" w:hAnsi="Tahoma" w:cs="Tahoma"/>
          <w:color w:val="808080"/>
          <w:sz w:val="18"/>
        </w:rPr>
        <w:footnoteRef/>
      </w:r>
      <w:r w:rsidRPr="00417A89">
        <w:rPr>
          <w:rStyle w:val="FootnoteReference"/>
          <w:rFonts w:ascii="Tahoma" w:hAnsi="Tahoma" w:cs="Tahoma"/>
          <w:sz w:val="18"/>
          <w:lang w:val="it-IT"/>
        </w:rPr>
        <w:t xml:space="preserve"> </w:t>
      </w:r>
      <w:r w:rsidRPr="00417A89">
        <w:rPr>
          <w:color w:val="808080"/>
          <w:sz w:val="18"/>
          <w:lang w:val="it-IT"/>
        </w:rPr>
        <w:t>N</w:t>
      </w:r>
      <w:r w:rsidRPr="00417A89">
        <w:rPr>
          <w:rFonts w:ascii="Tahoma" w:hAnsi="Tahoma" w:cs="Tahoma"/>
          <w:color w:val="808080"/>
          <w:sz w:val="18"/>
          <w:lang w:val="it-IT"/>
        </w:rPr>
        <w:t>ivelul rambursărilor de TVA  a înregistrat o medie lunară de 1,8 mld. lei, peste media înregistrată înainte de instituirea stării de urgență ori cea a anului 2019 (1,6 mld. lei).</w:t>
      </w:r>
    </w:p>
  </w:footnote>
  <w:footnote w:id="15">
    <w:p w:rsidR="001D681B" w:rsidRPr="00417A89" w:rsidRDefault="001D681B" w:rsidP="005C01EF">
      <w:pPr>
        <w:pStyle w:val="FootnoteText"/>
        <w:rPr>
          <w:rFonts w:ascii="Tahoma" w:hAnsi="Tahoma" w:cs="Tahoma"/>
          <w:sz w:val="18"/>
          <w:lang w:val="it-IT"/>
        </w:rPr>
      </w:pPr>
      <w:r w:rsidRPr="00417A89">
        <w:rPr>
          <w:rStyle w:val="FootnoteReference"/>
          <w:rFonts w:ascii="Tahoma" w:hAnsi="Tahoma" w:cs="Tahoma"/>
          <w:color w:val="808080"/>
          <w:sz w:val="18"/>
        </w:rPr>
        <w:footnoteRef/>
      </w:r>
      <w:r w:rsidRPr="00417A89">
        <w:rPr>
          <w:rFonts w:ascii="Tahoma" w:hAnsi="Tahoma" w:cs="Tahoma"/>
          <w:color w:val="808080"/>
          <w:sz w:val="18"/>
          <w:lang w:val="it-IT"/>
        </w:rPr>
        <w:t xml:space="preserve"> Cu o pondere în total accize de aproximativ 55%.</w:t>
      </w:r>
    </w:p>
  </w:footnote>
  <w:footnote w:id="16">
    <w:p w:rsidR="001D681B" w:rsidRPr="00417A89" w:rsidRDefault="001D681B" w:rsidP="005C01EF">
      <w:pPr>
        <w:pStyle w:val="FootnoteText"/>
        <w:rPr>
          <w:rFonts w:ascii="Tahoma" w:hAnsi="Tahoma" w:cs="Tahoma"/>
          <w:sz w:val="18"/>
          <w:lang w:val="it-IT"/>
        </w:rPr>
      </w:pPr>
      <w:r w:rsidRPr="00417A89">
        <w:rPr>
          <w:rStyle w:val="FootnoteReference"/>
          <w:rFonts w:ascii="Tahoma" w:hAnsi="Tahoma" w:cs="Tahoma"/>
          <w:color w:val="808080"/>
          <w:sz w:val="18"/>
        </w:rPr>
        <w:footnoteRef/>
      </w:r>
      <w:r w:rsidRPr="00417A89">
        <w:rPr>
          <w:rFonts w:ascii="Tahoma" w:hAnsi="Tahoma" w:cs="Tahoma"/>
          <w:color w:val="808080"/>
          <w:sz w:val="18"/>
          <w:lang w:val="it-IT"/>
        </w:rPr>
        <w:t xml:space="preserve"> HG nr. 226/2020 privind stabilirea cuantumului taxei de licență pentru prelungirea unor licențe a frecvențelor radio și a condițiilor privind efectuarea plății.</w:t>
      </w:r>
    </w:p>
  </w:footnote>
  <w:footnote w:id="17">
    <w:p w:rsidR="001D681B" w:rsidRPr="00BE7BCF" w:rsidRDefault="001D681B" w:rsidP="000941AE">
      <w:pPr>
        <w:pStyle w:val="FootnoteText"/>
        <w:rPr>
          <w:rFonts w:ascii="Calibri" w:hAnsi="Calibri"/>
          <w:sz w:val="18"/>
          <w:szCs w:val="18"/>
          <w:lang w:val="ro-RO"/>
        </w:rPr>
      </w:pPr>
      <w:r>
        <w:rPr>
          <w:rStyle w:val="FootnoteReference"/>
        </w:rPr>
        <w:footnoteRef/>
      </w:r>
      <w:r w:rsidRPr="00BE7BCF">
        <w:rPr>
          <w:lang w:val="ro-RO"/>
        </w:rPr>
        <w:t xml:space="preserve"> </w:t>
      </w:r>
      <w:r w:rsidRPr="00BE7BCF">
        <w:rPr>
          <w:rFonts w:ascii="Calibri" w:hAnsi="Calibri"/>
          <w:sz w:val="18"/>
          <w:szCs w:val="18"/>
          <w:lang w:val="ro-RO"/>
        </w:rPr>
        <w:t>Dacă nu se specifică altfel, indicatorii prezentați la această secțiune sunt calculați în metodologie cash.</w:t>
      </w:r>
    </w:p>
  </w:footnote>
  <w:footnote w:id="18">
    <w:p w:rsidR="001D681B" w:rsidRPr="00BE7BCF" w:rsidRDefault="001D681B" w:rsidP="000941AE">
      <w:pPr>
        <w:pStyle w:val="FootnoteText"/>
        <w:rPr>
          <w:rFonts w:ascii="Calibri" w:hAnsi="Calibri"/>
          <w:sz w:val="18"/>
          <w:szCs w:val="18"/>
          <w:lang w:val="ro-RO"/>
        </w:rPr>
      </w:pPr>
      <w:r w:rsidRPr="002A4FC7">
        <w:rPr>
          <w:rStyle w:val="FootnoteReference"/>
          <w:rFonts w:ascii="Calibri" w:hAnsi="Calibri"/>
          <w:sz w:val="18"/>
          <w:szCs w:val="18"/>
        </w:rPr>
        <w:footnoteRef/>
      </w:r>
      <w:r w:rsidRPr="00BE7BCF">
        <w:rPr>
          <w:rFonts w:ascii="Calibri" w:hAnsi="Calibri"/>
          <w:sz w:val="18"/>
          <w:szCs w:val="18"/>
          <w:lang w:val="ro-RO"/>
        </w:rPr>
        <w:t xml:space="preserve"> Dacă nu se specifică altfel, indicatorii prezentați la această secțiune sunt calculați în metodologie cash.</w:t>
      </w:r>
    </w:p>
  </w:footnote>
  <w:footnote w:id="19">
    <w:p w:rsidR="001D681B" w:rsidRPr="00F04790" w:rsidRDefault="001D681B" w:rsidP="006E1EF7">
      <w:pPr>
        <w:pStyle w:val="FootnoteText"/>
        <w:spacing w:after="60"/>
        <w:jc w:val="both"/>
        <w:rPr>
          <w:rFonts w:ascii="Arial" w:hAnsi="Arial" w:cs="Arial"/>
          <w:lang w:val="ro-RO"/>
        </w:rPr>
      </w:pPr>
      <w:r w:rsidRPr="00F04790">
        <w:rPr>
          <w:rStyle w:val="FootnoteReference"/>
          <w:rFonts w:ascii="Arial" w:hAnsi="Arial" w:cs="Arial"/>
        </w:rPr>
        <w:footnoteRef/>
      </w:r>
      <w:r w:rsidRPr="00F04790">
        <w:rPr>
          <w:rFonts w:ascii="Arial" w:hAnsi="Arial" w:cs="Arial"/>
        </w:rPr>
        <w:t xml:space="preserve"> Publicată, atât în original (EN) cât şi toate limbile oficiale ale statelor membre (inclusiv în limba română), în Jurnalul Oficial al Uniunii Europene nr. L 168 din 07.06.2014.</w:t>
      </w:r>
    </w:p>
  </w:footnote>
  <w:footnote w:id="20">
    <w:p w:rsidR="001D681B" w:rsidRPr="00F04790" w:rsidRDefault="001D681B" w:rsidP="006E1EF7">
      <w:pPr>
        <w:pStyle w:val="FootnoteText"/>
        <w:jc w:val="both"/>
        <w:rPr>
          <w:rFonts w:ascii="Arial" w:hAnsi="Arial" w:cs="Arial"/>
        </w:rPr>
      </w:pPr>
      <w:r w:rsidRPr="00F04790">
        <w:rPr>
          <w:rStyle w:val="FootnoteReference"/>
          <w:rFonts w:ascii="Arial" w:hAnsi="Arial" w:cs="Arial"/>
        </w:rPr>
        <w:footnoteRef/>
      </w:r>
      <w:r w:rsidRPr="00F04790">
        <w:rPr>
          <w:rFonts w:ascii="Arial" w:hAnsi="Arial" w:cs="Arial"/>
        </w:rPr>
        <w:t xml:space="preserve"> Publicată, atât în original (EN) cât şi toate limbile oficiale ale statelor membre (inclusiv în limba română), în Jurnalul Oficial al Uniunii Europene nr. L 424, 15.12.2020, p. 1. </w:t>
      </w:r>
    </w:p>
    <w:p w:rsidR="001D681B" w:rsidRDefault="001D681B" w:rsidP="006E1EF7">
      <w:pPr>
        <w:pStyle w:val="FootnoteText"/>
        <w:spacing w:before="60"/>
        <w:jc w:val="both"/>
        <w:rPr>
          <w:rFonts w:ascii="Arial" w:hAnsi="Arial" w:cs="Arial"/>
          <w:lang w:val="ro-RO"/>
        </w:rPr>
      </w:pPr>
      <w:r w:rsidRPr="00F04790">
        <w:rPr>
          <w:rFonts w:ascii="Arial" w:hAnsi="Arial" w:cs="Arial"/>
        </w:rPr>
        <w:t xml:space="preserve">De asemenea, se află în process de ratificare de către Parlamentul Romaâniei - </w:t>
      </w:r>
      <w:r w:rsidRPr="00F04790">
        <w:rPr>
          <w:rFonts w:ascii="Arial" w:hAnsi="Arial" w:cs="Arial"/>
          <w:lang w:val="ro-RO"/>
        </w:rPr>
        <w:t>Lege pentru ratificarea Deciziei (UE, EURATOM) 2020/2053 a Consiliului din 14 decembrie 2020 privind sistemul de resurse proprii ale Uniunii Europene și de abrogare a Deciziei 2014/335/UE, Euratom.</w:t>
      </w:r>
    </w:p>
    <w:p w:rsidR="001D681B" w:rsidRDefault="001D681B" w:rsidP="006E1EF7">
      <w:pPr>
        <w:pStyle w:val="FootnoteText"/>
        <w:spacing w:before="60"/>
        <w:jc w:val="both"/>
        <w:rPr>
          <w:rFonts w:ascii="Arial" w:hAnsi="Arial" w:cs="Arial"/>
          <w:lang w:val="ro-RO"/>
        </w:rPr>
      </w:pPr>
    </w:p>
    <w:p w:rsidR="001D681B" w:rsidRPr="00620116" w:rsidRDefault="001D681B" w:rsidP="006E1EF7">
      <w:pPr>
        <w:pStyle w:val="FootnoteText"/>
        <w:spacing w:before="60"/>
        <w:jc w:val="both"/>
        <w:rPr>
          <w:lang w:val="ro-RO"/>
        </w:rPr>
      </w:pPr>
    </w:p>
  </w:footnote>
  <w:footnote w:id="21">
    <w:p w:rsidR="001D681B" w:rsidRPr="00F04790" w:rsidRDefault="001D681B" w:rsidP="006E1EF7">
      <w:pPr>
        <w:pStyle w:val="FootnoteText"/>
        <w:spacing w:before="60"/>
        <w:jc w:val="both"/>
        <w:rPr>
          <w:rFonts w:ascii="Arial" w:hAnsi="Arial" w:cs="Arial"/>
          <w:lang w:val="ro-RO"/>
        </w:rPr>
      </w:pPr>
      <w:r w:rsidRPr="00F04790">
        <w:rPr>
          <w:rStyle w:val="FootnoteReference"/>
          <w:rFonts w:ascii="Arial" w:hAnsi="Arial" w:cs="Arial"/>
        </w:rPr>
        <w:footnoteRef/>
      </w:r>
      <w:r w:rsidRPr="00F04790">
        <w:rPr>
          <w:rFonts w:ascii="Arial" w:hAnsi="Arial" w:cs="Arial"/>
        </w:rPr>
        <w:t xml:space="preserve"> Împuternicirea Comisiei Europene pentru a împrumuta de pe piețele de capital a 750 mld.euro, creșterea plafonului de finanțare la bugetul UE, introducere de noi resurse proprii, modificarea costului de colectare reținut de SM privind taxele vamale, reduceri acordate anumitor state membre etc.</w:t>
      </w:r>
    </w:p>
  </w:footnote>
  <w:footnote w:id="22">
    <w:p w:rsidR="001D681B" w:rsidRPr="00482CB3" w:rsidRDefault="001D681B" w:rsidP="00B00050">
      <w:pPr>
        <w:pStyle w:val="FootnoteText"/>
        <w:jc w:val="both"/>
        <w:rPr>
          <w:rFonts w:ascii="Calibri" w:hAnsi="Calibri"/>
          <w:i/>
          <w:sz w:val="16"/>
          <w:szCs w:val="18"/>
          <w:lang w:val="ro-RO"/>
        </w:rPr>
      </w:pPr>
      <w:r w:rsidRPr="00482CB3">
        <w:rPr>
          <w:rStyle w:val="FootnoteReference"/>
          <w:rFonts w:ascii="Calibri" w:hAnsi="Calibri"/>
          <w:i/>
          <w:sz w:val="16"/>
          <w:szCs w:val="18"/>
        </w:rPr>
        <w:footnoteRef/>
      </w:r>
      <w:r w:rsidRPr="00482CB3">
        <w:rPr>
          <w:rFonts w:ascii="Calibri" w:hAnsi="Calibri" w:cs="Arial"/>
          <w:i/>
          <w:sz w:val="16"/>
          <w:szCs w:val="18"/>
          <w:lang w:val="it-IT"/>
        </w:rPr>
        <w:t xml:space="preserve">datoria guvernamentala bruta calculata conform metodologiei UE, care </w:t>
      </w:r>
      <w:r w:rsidRPr="00482CB3">
        <w:rPr>
          <w:rFonts w:ascii="Calibri" w:hAnsi="Calibri" w:cs="Arial"/>
          <w:i/>
          <w:sz w:val="16"/>
          <w:szCs w:val="18"/>
          <w:lang w:val="ro-RO"/>
        </w:rPr>
        <w:t xml:space="preserve">include şi datoria societăţilor reclasificate în sectorul administraţiei publice. </w:t>
      </w:r>
    </w:p>
  </w:footnote>
  <w:footnote w:id="23">
    <w:p w:rsidR="001D681B" w:rsidRPr="00A9632E" w:rsidRDefault="001D681B" w:rsidP="000C7EAB">
      <w:pPr>
        <w:pStyle w:val="FootnoteText"/>
        <w:rPr>
          <w:lang w:val="fr-FR"/>
        </w:rPr>
      </w:pPr>
      <w:r>
        <w:rPr>
          <w:rStyle w:val="FootnoteReference"/>
        </w:rPr>
        <w:footnoteRef/>
      </w:r>
      <w:r w:rsidRPr="00A9632E">
        <w:rPr>
          <w:lang w:val="fr-FR"/>
        </w:rPr>
        <w:t xml:space="preserve"> </w:t>
      </w:r>
      <w:r w:rsidRPr="00D84653">
        <w:rPr>
          <w:rFonts w:ascii="Arial" w:hAnsi="Arial" w:cs="Arial"/>
          <w:sz w:val="14"/>
          <w:szCs w:val="14"/>
          <w:lang w:val="ro-RO"/>
        </w:rPr>
        <w:t>Conform executiei preliminate, deficitul BGC  pentru 2020 este de 9.79% din PIB</w:t>
      </w:r>
      <w:r w:rsidRPr="00A9632E">
        <w:rPr>
          <w:lang w:val="fr-FR"/>
        </w:rPr>
        <w:t xml:space="preserve"> </w:t>
      </w:r>
    </w:p>
  </w:footnote>
  <w:footnote w:id="24">
    <w:p w:rsidR="001D681B" w:rsidRPr="00D84653" w:rsidRDefault="001D681B" w:rsidP="000C7EAB">
      <w:pPr>
        <w:pStyle w:val="FootnoteText"/>
        <w:rPr>
          <w:rFonts w:ascii="Arial" w:hAnsi="Arial" w:cs="Arial"/>
          <w:sz w:val="14"/>
          <w:szCs w:val="14"/>
          <w:lang w:val="ro-RO"/>
        </w:rPr>
      </w:pPr>
      <w:r>
        <w:rPr>
          <w:rStyle w:val="FootnoteReference"/>
        </w:rPr>
        <w:footnoteRef/>
      </w:r>
      <w:r>
        <w:t xml:space="preserve"> </w:t>
      </w:r>
      <w:r w:rsidRPr="00D84653">
        <w:rPr>
          <w:rFonts w:ascii="Arial" w:hAnsi="Arial" w:cs="Arial"/>
          <w:sz w:val="14"/>
          <w:szCs w:val="14"/>
          <w:lang w:val="ro-RO"/>
        </w:rPr>
        <w:t xml:space="preserve">conform metodologiei UE, ponderea datoriei în PIB s-a calculat luând în considerare suma PIB-urilor realizate în ultimele 4 trimestre (PIB conform comunicat INS 12  ianuarie  2021) </w:t>
      </w:r>
    </w:p>
  </w:footnote>
  <w:footnote w:id="25">
    <w:p w:rsidR="001D681B" w:rsidRPr="00DC3BD2" w:rsidRDefault="001D681B" w:rsidP="000C7EAB">
      <w:pPr>
        <w:pStyle w:val="FootnoteText"/>
        <w:rPr>
          <w:rFonts w:ascii="Calibri" w:hAnsi="Calibri" w:cs="Calibri"/>
          <w:sz w:val="16"/>
          <w:szCs w:val="16"/>
          <w:lang w:val="ro-RO"/>
        </w:rPr>
      </w:pPr>
      <w:r w:rsidRPr="00820308">
        <w:rPr>
          <w:rStyle w:val="FootnoteReference"/>
          <w:rFonts w:ascii="Calibri" w:hAnsi="Calibri" w:cs="Calibri"/>
          <w:sz w:val="16"/>
          <w:szCs w:val="16"/>
        </w:rPr>
        <w:footnoteRef/>
      </w:r>
      <w:r w:rsidRPr="00CD16AA">
        <w:rPr>
          <w:rFonts w:ascii="Calibri" w:hAnsi="Calibri" w:cs="Calibri"/>
          <w:sz w:val="16"/>
          <w:szCs w:val="16"/>
          <w:lang w:val="fr-FR"/>
        </w:rPr>
        <w:t xml:space="preserve"> </w:t>
      </w:r>
      <w:r w:rsidRPr="00DC3BD2">
        <w:rPr>
          <w:rFonts w:ascii="Calibri" w:hAnsi="Calibri" w:cs="Calibri"/>
          <w:sz w:val="16"/>
          <w:szCs w:val="16"/>
          <w:lang w:val="ro-RO"/>
        </w:rPr>
        <w:t>Activele financiare  lichide calculate pe baza datelor disponibile de la BNR  pentru primele 3 trimestre din 2020, la care s-a adaugat cresterea de buffer la dispozitia Trezoreriei statului din ultimul trimestru al lui 2020. Activele financiare lichide se refera la urmatoarle instrumente : AF1 – aur şi DST, AF2 – depozite şi numerar, AF3- titluri de valoare, altele decât acţiuni, AF5 – acţiuni şi alte participaţii la capital, dacă sunt cotate la bursă, inclusiv acţiunile fondurilor mutuale, conform metodologiei pentru Programul de Convergență</w:t>
      </w:r>
      <w:r>
        <w:rPr>
          <w:rFonts w:ascii="Calibri" w:hAnsi="Calibri" w:cs="Calibri"/>
          <w:sz w:val="16"/>
          <w:szCs w:val="16"/>
          <w:lang w:val="ro-RO"/>
        </w:rPr>
        <w:t>.</w:t>
      </w:r>
    </w:p>
  </w:footnote>
  <w:footnote w:id="26">
    <w:p w:rsidR="001D681B" w:rsidRPr="00460B9D" w:rsidRDefault="001D681B" w:rsidP="000C7EAB">
      <w:pPr>
        <w:pStyle w:val="FootnoteText"/>
        <w:rPr>
          <w:rFonts w:ascii="Arial" w:hAnsi="Arial" w:cs="Arial"/>
          <w:sz w:val="16"/>
          <w:szCs w:val="16"/>
          <w:lang w:val="ro-RO"/>
        </w:rPr>
      </w:pPr>
      <w:r w:rsidRPr="00820308">
        <w:rPr>
          <w:rStyle w:val="FootnoteReference"/>
          <w:rFonts w:ascii="Calibri" w:hAnsi="Calibri" w:cs="Arial"/>
          <w:sz w:val="16"/>
          <w:szCs w:val="16"/>
        </w:rPr>
        <w:footnoteRef/>
      </w:r>
      <w:r w:rsidRPr="00DC3BD2">
        <w:rPr>
          <w:rFonts w:ascii="Calibri" w:hAnsi="Calibri" w:cs="Arial"/>
          <w:sz w:val="16"/>
          <w:szCs w:val="16"/>
          <w:lang w:val="ro-RO"/>
        </w:rPr>
        <w:t xml:space="preserve"> </w:t>
      </w:r>
      <w:r w:rsidRPr="00820308">
        <w:rPr>
          <w:rFonts w:ascii="Calibri" w:hAnsi="Calibri" w:cs="Arial"/>
          <w:sz w:val="16"/>
          <w:szCs w:val="16"/>
          <w:lang w:val="ro-RO"/>
        </w:rPr>
        <w:t xml:space="preserve">Suma reflectă </w:t>
      </w:r>
      <w:r>
        <w:rPr>
          <w:rFonts w:ascii="Arial" w:hAnsi="Arial" w:cs="Arial"/>
          <w:sz w:val="16"/>
          <w:szCs w:val="16"/>
          <w:lang w:val="ro-RO"/>
        </w:rPr>
        <w:t>n</w:t>
      </w:r>
      <w:r w:rsidRPr="00460B9D">
        <w:rPr>
          <w:rFonts w:ascii="Arial" w:hAnsi="Arial" w:cs="Arial"/>
          <w:sz w:val="16"/>
          <w:szCs w:val="16"/>
          <w:lang w:val="ro-RO"/>
        </w:rPr>
        <w:t>ecesar</w:t>
      </w:r>
      <w:r>
        <w:rPr>
          <w:rFonts w:ascii="Arial" w:hAnsi="Arial" w:cs="Arial"/>
          <w:sz w:val="16"/>
          <w:szCs w:val="16"/>
          <w:lang w:val="ro-RO"/>
        </w:rPr>
        <w:t>ul</w:t>
      </w:r>
      <w:r w:rsidRPr="00460B9D">
        <w:rPr>
          <w:rFonts w:ascii="Arial" w:hAnsi="Arial" w:cs="Arial"/>
          <w:sz w:val="16"/>
          <w:szCs w:val="16"/>
          <w:lang w:val="ro-RO"/>
        </w:rPr>
        <w:t xml:space="preserve"> </w:t>
      </w:r>
      <w:r>
        <w:rPr>
          <w:rFonts w:ascii="Arial" w:hAnsi="Arial" w:cs="Arial"/>
          <w:sz w:val="16"/>
          <w:szCs w:val="16"/>
          <w:lang w:val="ro-RO"/>
        </w:rPr>
        <w:t xml:space="preserve">de finantare </w:t>
      </w:r>
      <w:r w:rsidRPr="00460B9D">
        <w:rPr>
          <w:rFonts w:ascii="Arial" w:hAnsi="Arial" w:cs="Arial"/>
          <w:sz w:val="16"/>
          <w:szCs w:val="16"/>
          <w:lang w:val="ro-RO"/>
        </w:rPr>
        <w:t xml:space="preserve">actualizat </w:t>
      </w:r>
      <w:r>
        <w:rPr>
          <w:rFonts w:ascii="Arial" w:hAnsi="Arial" w:cs="Arial"/>
          <w:sz w:val="16"/>
          <w:szCs w:val="16"/>
          <w:lang w:val="ro-RO"/>
        </w:rPr>
        <w:t>conform datelor publicate de MF</w:t>
      </w:r>
      <w:r w:rsidRPr="00460B9D">
        <w:rPr>
          <w:rFonts w:ascii="Arial" w:hAnsi="Arial" w:cs="Arial"/>
          <w:sz w:val="16"/>
          <w:szCs w:val="16"/>
          <w:lang w:val="ro-RO"/>
        </w:rPr>
        <w:t xml:space="preserve"> privind execuția preliminată a deficitului bugetului general </w:t>
      </w:r>
      <w:r>
        <w:rPr>
          <w:rFonts w:ascii="Arial" w:hAnsi="Arial" w:cs="Arial"/>
          <w:sz w:val="16"/>
          <w:szCs w:val="16"/>
          <w:lang w:val="ro-RO"/>
        </w:rPr>
        <w:t xml:space="preserve">consolidat la 31 decembrie 2020, </w:t>
      </w:r>
      <w:r w:rsidRPr="00460B9D">
        <w:rPr>
          <w:rFonts w:ascii="Arial" w:hAnsi="Arial" w:cs="Arial"/>
          <w:sz w:val="16"/>
          <w:szCs w:val="16"/>
          <w:lang w:val="ro-RO"/>
        </w:rPr>
        <w:t xml:space="preserve">  </w:t>
      </w:r>
      <w:r w:rsidRPr="00820308">
        <w:rPr>
          <w:rFonts w:ascii="Calibri" w:hAnsi="Calibri" w:cs="Arial"/>
          <w:sz w:val="16"/>
          <w:szCs w:val="16"/>
          <w:lang w:val="ro-RO"/>
        </w:rPr>
        <w:t xml:space="preserve">deficitl bugetar majorat </w:t>
      </w:r>
      <w:r>
        <w:rPr>
          <w:rFonts w:ascii="Calibri" w:hAnsi="Calibri" w:cs="Arial"/>
          <w:sz w:val="16"/>
          <w:szCs w:val="16"/>
          <w:lang w:val="ro-RO"/>
        </w:rPr>
        <w:t>fata de cea de</w:t>
      </w:r>
      <w:r w:rsidRPr="00820308">
        <w:rPr>
          <w:rFonts w:ascii="Calibri" w:hAnsi="Calibri" w:cs="Arial"/>
          <w:sz w:val="16"/>
          <w:szCs w:val="16"/>
          <w:lang w:val="ro-RO"/>
        </w:rPr>
        <w:t xml:space="preserve"> a </w:t>
      </w:r>
      <w:r>
        <w:rPr>
          <w:rFonts w:ascii="Calibri" w:hAnsi="Calibri" w:cs="Arial"/>
          <w:sz w:val="16"/>
          <w:szCs w:val="16"/>
          <w:lang w:val="ro-RO"/>
        </w:rPr>
        <w:t>treia</w:t>
      </w:r>
      <w:r w:rsidRPr="00820308">
        <w:rPr>
          <w:rFonts w:ascii="Calibri" w:hAnsi="Calibri" w:cs="Arial"/>
          <w:sz w:val="16"/>
          <w:szCs w:val="16"/>
          <w:lang w:val="ro-RO"/>
        </w:rPr>
        <w:t xml:space="preserve"> rectificări bugetare aprobate </w:t>
      </w:r>
      <w:r w:rsidRPr="00CD16AA">
        <w:rPr>
          <w:rFonts w:ascii="Calibri" w:hAnsi="Calibri" w:cs="Arial"/>
          <w:sz w:val="16"/>
          <w:szCs w:val="16"/>
          <w:lang w:val="ro-RO"/>
        </w:rPr>
        <w:t>prin OUG nr201/</w:t>
      </w:r>
      <w:r>
        <w:rPr>
          <w:rFonts w:ascii="Calibri" w:hAnsi="Calibri" w:cs="Arial"/>
          <w:sz w:val="16"/>
          <w:szCs w:val="16"/>
          <w:lang w:val="ro-RO"/>
        </w:rPr>
        <w:t>2020</w:t>
      </w:r>
    </w:p>
  </w:footnote>
  <w:footnote w:id="27">
    <w:p w:rsidR="001D681B" w:rsidRPr="00CD16AA" w:rsidRDefault="001D681B" w:rsidP="000C7EAB">
      <w:pPr>
        <w:pStyle w:val="FootnoteText"/>
        <w:rPr>
          <w:lang w:val="ro-RO"/>
        </w:rPr>
      </w:pPr>
      <w:r w:rsidRPr="00CD16AA">
        <w:rPr>
          <w:rStyle w:val="FootnoteReference"/>
          <w:rFonts w:ascii="Calibri" w:hAnsi="Calibri" w:cs="Arial"/>
          <w:sz w:val="16"/>
          <w:szCs w:val="16"/>
        </w:rPr>
        <w:footnoteRef/>
      </w:r>
      <w:r w:rsidRPr="00CD16AA">
        <w:rPr>
          <w:rFonts w:ascii="Calibri" w:hAnsi="Calibri" w:cs="Arial"/>
          <w:sz w:val="16"/>
          <w:szCs w:val="16"/>
          <w:lang w:val="ro-RO"/>
        </w:rPr>
        <w:t xml:space="preserve"> La data de 31 decembrie 2020</w:t>
      </w:r>
    </w:p>
  </w:footnote>
  <w:footnote w:id="28">
    <w:p w:rsidR="001D681B" w:rsidRPr="00A9632E" w:rsidRDefault="001D681B" w:rsidP="00DC6DA8">
      <w:pPr>
        <w:pStyle w:val="FootnoteText"/>
        <w:rPr>
          <w:rFonts w:asciiTheme="minorHAnsi" w:hAnsiTheme="minorHAnsi" w:cstheme="minorHAnsi"/>
          <w:sz w:val="18"/>
          <w:szCs w:val="18"/>
          <w:lang w:val="ro-RO"/>
        </w:rPr>
      </w:pPr>
      <w:r w:rsidRPr="00A9632E">
        <w:rPr>
          <w:rStyle w:val="FootnoteReference"/>
          <w:rFonts w:asciiTheme="minorHAnsi" w:hAnsiTheme="minorHAnsi" w:cstheme="minorHAnsi"/>
          <w:sz w:val="18"/>
          <w:szCs w:val="18"/>
        </w:rPr>
        <w:footnoteRef/>
      </w:r>
      <w:r w:rsidRPr="00A9632E">
        <w:rPr>
          <w:rFonts w:asciiTheme="minorHAnsi" w:hAnsiTheme="minorHAnsi" w:cstheme="minorHAnsi"/>
          <w:sz w:val="18"/>
          <w:szCs w:val="18"/>
          <w:lang w:val="ro-RO"/>
        </w:rPr>
        <w:t xml:space="preserve"> Toți indicatorii utilizați în acest subcapitol  sunt în conformitate cu metodologia UE</w:t>
      </w:r>
    </w:p>
  </w:footnote>
  <w:footnote w:id="29">
    <w:p w:rsidR="001D681B" w:rsidRPr="00A9632E" w:rsidRDefault="001D681B" w:rsidP="00DC6DA8">
      <w:pPr>
        <w:pStyle w:val="FootnoteText"/>
        <w:rPr>
          <w:rFonts w:asciiTheme="minorHAnsi" w:hAnsiTheme="minorHAnsi" w:cstheme="minorHAnsi"/>
          <w:sz w:val="18"/>
          <w:szCs w:val="18"/>
          <w:lang w:val="ro-RO"/>
        </w:rPr>
      </w:pPr>
      <w:r w:rsidRPr="00A9632E">
        <w:rPr>
          <w:rStyle w:val="FootnoteReference"/>
          <w:rFonts w:asciiTheme="minorHAnsi" w:hAnsiTheme="minorHAnsi" w:cstheme="minorHAnsi"/>
          <w:sz w:val="18"/>
          <w:szCs w:val="18"/>
        </w:rPr>
        <w:footnoteRef/>
      </w:r>
      <w:r w:rsidRPr="00A9632E">
        <w:rPr>
          <w:rFonts w:asciiTheme="minorHAnsi" w:hAnsiTheme="minorHAnsi" w:cstheme="minorHAnsi"/>
          <w:sz w:val="18"/>
          <w:szCs w:val="18"/>
          <w:lang w:val="ro-RO"/>
        </w:rPr>
        <w:t xml:space="preserve"> La determinarea acestui indicator s-a avut în vedere prognoza de toamna 2019 a CE care estimează pentru 2021 un deficit ESA2010 de 11,3% din PIB</w:t>
      </w:r>
    </w:p>
  </w:footnote>
  <w:footnote w:id="30">
    <w:p w:rsidR="001D681B" w:rsidRPr="00173CDE" w:rsidRDefault="001D681B" w:rsidP="00ED5289">
      <w:r w:rsidRPr="00173CDE">
        <w:rPr>
          <w:rStyle w:val="FootnoteReference"/>
        </w:rPr>
        <w:footnoteRef/>
      </w:r>
      <w:r w:rsidRPr="00173CDE">
        <w:t xml:space="preserve"> </w:t>
      </w:r>
      <w:r w:rsidRPr="00173CDE">
        <w:rPr>
          <w:rFonts w:asciiTheme="minorHAnsi" w:hAnsiTheme="minorHAnsi" w:cstheme="minorHAnsi"/>
          <w:sz w:val="18"/>
          <w:szCs w:val="18"/>
        </w:rPr>
        <w:t>În conformitate cu prevederile legislative: HG nr. 762/2008 privind aprobarea Strategiei naționale de prevenire a situațiilor de urgență; Hotărârea Guvernului nr. 557/2016 privind managentul tipurilor de risc; Ordonanța de urgență nr. 1/2014 privind unele măsuri în domeniul gestionării situațiilor de urgență și pentru modificarea și completarea Ordonanței de urgență a Guvernului nr. 21/2004 privind Sistemul Național de Management pentru Situații de Urgență.</w:t>
      </w:r>
    </w:p>
    <w:p w:rsidR="001D681B" w:rsidRPr="00370A97" w:rsidRDefault="001D681B" w:rsidP="00ED5289">
      <w:pPr>
        <w:pStyle w:val="FootnoteText"/>
        <w:rPr>
          <w:lang w:val="ro-RO"/>
        </w:rPr>
      </w:pPr>
    </w:p>
  </w:footnote>
  <w:footnote w:id="31">
    <w:p w:rsidR="001D681B" w:rsidRPr="00777391" w:rsidRDefault="001D681B" w:rsidP="00ED5289">
      <w:pPr>
        <w:pStyle w:val="FootnoteText"/>
        <w:rPr>
          <w:lang w:val="ro-RO"/>
        </w:rPr>
      </w:pPr>
      <w:r>
        <w:rPr>
          <w:rStyle w:val="FootnoteReference"/>
        </w:rPr>
        <w:footnoteRef/>
      </w:r>
      <w:r>
        <w:t xml:space="preserve"> </w:t>
      </w:r>
      <w:r w:rsidRPr="001A0E16">
        <w:rPr>
          <w:rFonts w:ascii="Calibri" w:hAnsi="Calibri" w:cs="Calibri"/>
          <w:sz w:val="18"/>
          <w:szCs w:val="18"/>
        </w:rPr>
        <w:t>Obligație de raportare conform art. 6 din Decizia nr. 1313/2013/UE privind un mecanism de protecție civilă al Uniunii, modificată prin Decizia (UE) 2019/420 a Parlamentului European și a Consiliului din 13 martie 2019</w:t>
      </w:r>
    </w:p>
  </w:footnote>
  <w:footnote w:id="32">
    <w:p w:rsidR="001D681B" w:rsidRDefault="001D681B" w:rsidP="00ED5289">
      <w:pPr>
        <w:pStyle w:val="FootnoteText"/>
      </w:pPr>
      <w:r>
        <w:rPr>
          <w:rStyle w:val="FootnoteReference"/>
        </w:rPr>
        <w:footnoteRef/>
      </w:r>
      <w:r>
        <w:t xml:space="preserve"> </w:t>
      </w:r>
      <w:r w:rsidRPr="001A0E16">
        <w:rPr>
          <w:rFonts w:ascii="Calibri" w:hAnsi="Calibri" w:cs="Calibri"/>
          <w:sz w:val="18"/>
          <w:szCs w:val="18"/>
        </w:rPr>
        <w:t>Conform raportului consolidat privind evaluarea riscului de cutremur – UTCB, URBAN INCERC și INFP și raportului consolidat impact economic al celor 10 tipuri de riscuri analizate în proiect - IPE</w:t>
      </w:r>
    </w:p>
    <w:p w:rsidR="001D681B" w:rsidRPr="00777391" w:rsidRDefault="001D681B" w:rsidP="00ED5289">
      <w:pPr>
        <w:pStyle w:val="FootnoteText"/>
        <w:rPr>
          <w:lang w:val="ro-RO"/>
        </w:rPr>
      </w:pPr>
    </w:p>
  </w:footnote>
  <w:footnote w:id="33">
    <w:p w:rsidR="001D681B" w:rsidRDefault="001D681B" w:rsidP="00ED5289">
      <w:pPr>
        <w:pStyle w:val="FootnoteText"/>
      </w:pPr>
      <w:r>
        <w:rPr>
          <w:rStyle w:val="FootnoteReference"/>
        </w:rPr>
        <w:footnoteRef/>
      </w:r>
      <w:r>
        <w:t xml:space="preserve"> </w:t>
      </w:r>
      <w:r w:rsidRPr="001A0E16">
        <w:rPr>
          <w:rFonts w:ascii="Calibri" w:hAnsi="Calibri" w:cs="Calibri"/>
          <w:sz w:val="18"/>
          <w:szCs w:val="18"/>
        </w:rPr>
        <w:t>Conform raportului consolidat privind evaluarea riscului de accident nuclear – ANDR și raportului consolidat impact economic al celor 10 tipuri de riscuri analizate în proiect - IPE</w:t>
      </w:r>
    </w:p>
  </w:footnote>
  <w:footnote w:id="34">
    <w:p w:rsidR="001D681B" w:rsidRPr="001A0E16" w:rsidRDefault="001D681B" w:rsidP="00ED5289">
      <w:pPr>
        <w:pStyle w:val="FootnoteText"/>
        <w:rPr>
          <w:rFonts w:ascii="Calibri" w:hAnsi="Calibri" w:cs="Calibri"/>
          <w:sz w:val="18"/>
          <w:szCs w:val="18"/>
        </w:rPr>
      </w:pPr>
      <w:r>
        <w:rPr>
          <w:rStyle w:val="FootnoteReference"/>
        </w:rPr>
        <w:footnoteRef/>
      </w:r>
      <w:r>
        <w:t xml:space="preserve"> </w:t>
      </w:r>
      <w:r w:rsidRPr="001A0E16">
        <w:rPr>
          <w:rFonts w:ascii="Calibri" w:hAnsi="Calibri" w:cs="Calibri"/>
          <w:sz w:val="18"/>
          <w:szCs w:val="18"/>
        </w:rPr>
        <w:t>Conform raportului consolidat privind evaluarea riscului de inundație – MMAP și raportului consolidat impact economic al celor 10 tipuri de riscuri analizate în proiect - IPE</w:t>
      </w:r>
    </w:p>
    <w:p w:rsidR="001D681B" w:rsidRPr="00F56C0D" w:rsidRDefault="001D681B" w:rsidP="00ED5289">
      <w:pPr>
        <w:pStyle w:val="FootnoteText"/>
        <w:rPr>
          <w:lang w:val="ro-RO"/>
        </w:rPr>
      </w:pPr>
    </w:p>
  </w:footnote>
  <w:footnote w:id="35">
    <w:p w:rsidR="001D681B" w:rsidRDefault="001D681B" w:rsidP="00ED5289">
      <w:pPr>
        <w:pStyle w:val="FootnoteText"/>
      </w:pPr>
      <w:r>
        <w:rPr>
          <w:rStyle w:val="FootnoteReference"/>
        </w:rPr>
        <w:footnoteRef/>
      </w:r>
      <w:r>
        <w:t xml:space="preserve"> </w:t>
      </w:r>
      <w:r w:rsidRPr="001A0E16">
        <w:rPr>
          <w:rFonts w:asciiTheme="minorHAnsi" w:hAnsiTheme="minorHAnsi" w:cstheme="minorHAnsi"/>
          <w:sz w:val="18"/>
          <w:szCs w:val="18"/>
        </w:rPr>
        <w:t>Conform raportului consolidat privind evaluarea riscului de epidemii – INSP și raportului consolidat impact economic al celor 10 tipuri de riscuri analizate în proiect - IPE</w:t>
      </w:r>
    </w:p>
  </w:footnote>
  <w:footnote w:id="36">
    <w:p w:rsidR="001D681B" w:rsidRPr="00777391" w:rsidRDefault="001D681B" w:rsidP="00ED5289">
      <w:r w:rsidRPr="00885E71">
        <w:rPr>
          <w:rStyle w:val="FootnoteReference"/>
          <w:sz w:val="20"/>
          <w:szCs w:val="20"/>
        </w:rPr>
        <w:footnoteRef/>
      </w:r>
      <w:r w:rsidRPr="00885E71">
        <w:rPr>
          <w:sz w:val="20"/>
          <w:szCs w:val="20"/>
        </w:rPr>
        <w:t xml:space="preserve"> </w:t>
      </w:r>
      <w:r w:rsidRPr="001A0E16">
        <w:rPr>
          <w:rFonts w:ascii="Calibri" w:hAnsi="Calibri" w:cs="Calibri"/>
          <w:sz w:val="18"/>
          <w:szCs w:val="18"/>
        </w:rPr>
        <w:t>www.mfinante.gov.ro</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5E07"/>
      </v:shape>
    </w:pict>
  </w:numPicBullet>
  <w:abstractNum w:abstractNumId="0" w15:restartNumberingAfterBreak="0">
    <w:nsid w:val="D4A757EE"/>
    <w:multiLevelType w:val="multilevel"/>
    <w:tmpl w:val="58F89B7A"/>
    <w:lvl w:ilvl="0">
      <w:start w:val="1"/>
      <w:numFmt w:val="decimal"/>
      <w:suff w:val="space"/>
      <w:lvlText w:val="%1."/>
      <w:lvlJc w:val="left"/>
      <w:rPr>
        <w:rFonts w:ascii="Calibri" w:eastAsia="Calibri" w:hAnsi="Calibri" w:cs="Calibri"/>
        <w:b/>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DAC63E8D"/>
    <w:multiLevelType w:val="singleLevel"/>
    <w:tmpl w:val="DAC63E8D"/>
    <w:lvl w:ilvl="0">
      <w:start w:val="1"/>
      <w:numFmt w:val="bullet"/>
      <w:lvlText w:val=""/>
      <w:lvlJc w:val="left"/>
      <w:pPr>
        <w:ind w:left="720" w:hanging="360"/>
      </w:pPr>
      <w:rPr>
        <w:rFonts w:ascii="Wingdings" w:hAnsi="Wingdings" w:hint="default"/>
      </w:rPr>
    </w:lvl>
  </w:abstractNum>
  <w:abstractNum w:abstractNumId="2" w15:restartNumberingAfterBreak="0">
    <w:nsid w:val="FFFFFF82"/>
    <w:multiLevelType w:val="singleLevel"/>
    <w:tmpl w:val="699E732E"/>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BDA62AD2"/>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CF8E26C2"/>
    <w:lvl w:ilvl="0">
      <w:start w:val="1"/>
      <w:numFmt w:val="bullet"/>
      <w:pStyle w:val="ListBullet"/>
      <w:lvlText w:val=""/>
      <w:lvlJc w:val="left"/>
      <w:pPr>
        <w:tabs>
          <w:tab w:val="num" w:pos="720"/>
        </w:tabs>
        <w:ind w:left="720" w:hanging="720"/>
      </w:pPr>
      <w:rPr>
        <w:rFonts w:ascii="Symbol" w:hAnsi="Symbol" w:hint="default"/>
      </w:rPr>
    </w:lvl>
  </w:abstractNum>
  <w:abstractNum w:abstractNumId="5" w15:restartNumberingAfterBreak="0">
    <w:nsid w:val="00000002"/>
    <w:multiLevelType w:val="multilevel"/>
    <w:tmpl w:val="7E38A766"/>
    <w:name w:val="WW8Num2"/>
    <w:lvl w:ilvl="0">
      <w:start w:val="1"/>
      <w:numFmt w:val="bullet"/>
      <w:lvlText w:val=""/>
      <w:lvlJc w:val="left"/>
      <w:pPr>
        <w:tabs>
          <w:tab w:val="num" w:pos="0"/>
        </w:tabs>
        <w:ind w:left="432" w:hanging="432"/>
      </w:pPr>
      <w:rPr>
        <w:rFonts w:ascii="Wingdings" w:hAnsi="Wingdings" w:hint="default"/>
        <w:b w:val="0"/>
        <w:color w:val="000000"/>
        <w:sz w:val="24"/>
        <w:szCs w:val="24"/>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6" w15:restartNumberingAfterBreak="0">
    <w:nsid w:val="00000003"/>
    <w:multiLevelType w:val="multilevel"/>
    <w:tmpl w:val="019E51E2"/>
    <w:name w:val="WW8Num3"/>
    <w:lvl w:ilvl="0">
      <w:start w:val="1"/>
      <w:numFmt w:val="bullet"/>
      <w:lvlText w:val=""/>
      <w:lvlJc w:val="left"/>
      <w:pPr>
        <w:tabs>
          <w:tab w:val="num" w:pos="720"/>
        </w:tabs>
        <w:ind w:left="720" w:hanging="360"/>
      </w:pPr>
      <w:rPr>
        <w:rFonts w:ascii="Wingdings" w:hAnsi="Wingdings" w:hint="default"/>
        <w:lang w:val="ro-RO"/>
      </w:rPr>
    </w:lvl>
    <w:lvl w:ilvl="1">
      <w:start w:val="1"/>
      <w:numFmt w:val="bullet"/>
      <w:lvlText w:val="o"/>
      <w:lvlJc w:val="left"/>
      <w:pPr>
        <w:tabs>
          <w:tab w:val="num" w:pos="1440"/>
        </w:tabs>
        <w:ind w:left="1440" w:hanging="360"/>
      </w:pPr>
      <w:rPr>
        <w:rFonts w:ascii="Courier New" w:hAnsi="Courier New" w:cs="Courier New"/>
        <w:sz w:val="24"/>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7" w15:restartNumberingAfterBreak="0">
    <w:nsid w:val="00000004"/>
    <w:multiLevelType w:val="multilevel"/>
    <w:tmpl w:val="F75C46A2"/>
    <w:name w:val="WW8Num4"/>
    <w:lvl w:ilvl="0">
      <w:start w:val="1"/>
      <w:numFmt w:val="bullet"/>
      <w:lvlText w:val=""/>
      <w:lvlJc w:val="left"/>
      <w:pPr>
        <w:tabs>
          <w:tab w:val="num" w:pos="360"/>
        </w:tabs>
        <w:ind w:left="360" w:hanging="360"/>
      </w:pPr>
      <w:rPr>
        <w:rFonts w:ascii="Wingdings" w:hAnsi="Wingdings" w:cs="OpenSymbol"/>
        <w:color w:val="000080"/>
        <w:sz w:val="16"/>
        <w:szCs w:val="16"/>
      </w:rPr>
    </w:lvl>
    <w:lvl w:ilvl="1">
      <w:start w:val="1"/>
      <w:numFmt w:val="lowerLetter"/>
      <w:lvlText w:val=" %2)"/>
      <w:lvlJc w:val="left"/>
      <w:pPr>
        <w:tabs>
          <w:tab w:val="num" w:pos="720"/>
        </w:tabs>
        <w:ind w:left="720" w:hanging="360"/>
      </w:pPr>
    </w:lvl>
    <w:lvl w:ilvl="2">
      <w:start w:val="1"/>
      <w:numFmt w:val="bullet"/>
      <w:lvlText w:val=""/>
      <w:lvlJc w:val="left"/>
      <w:pPr>
        <w:tabs>
          <w:tab w:val="num" w:pos="1080"/>
        </w:tabs>
        <w:ind w:left="1080" w:hanging="360"/>
      </w:pPr>
      <w:rPr>
        <w:rFonts w:ascii="Symbol" w:hAnsi="Symbol" w:cs="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Symbol" w:hAnsi="Symbol" w:cs="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8"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hint="default"/>
        <w:sz w:val="20"/>
        <w:lang w:val="it-IT"/>
      </w:rPr>
    </w:lvl>
    <w:lvl w:ilvl="1">
      <w:start w:val="1"/>
      <w:numFmt w:val="bullet"/>
      <w:lvlText w:val="o"/>
      <w:lvlJc w:val="left"/>
      <w:pPr>
        <w:tabs>
          <w:tab w:val="num" w:pos="1440"/>
        </w:tabs>
        <w:ind w:left="1440" w:hanging="360"/>
      </w:pPr>
      <w:rPr>
        <w:rFonts w:ascii="Courier New" w:hAnsi="Courier New" w:cs="Courier New" w:hint="default"/>
        <w:color w:val="000000"/>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hint="default"/>
        <w:sz w:val="20"/>
        <w:lang w:val="it-IT"/>
      </w:rPr>
    </w:lvl>
    <w:lvl w:ilvl="1">
      <w:start w:val="1"/>
      <w:numFmt w:val="bullet"/>
      <w:lvlText w:val="o"/>
      <w:lvlJc w:val="left"/>
      <w:pPr>
        <w:tabs>
          <w:tab w:val="num" w:pos="1440"/>
        </w:tabs>
        <w:ind w:left="1440" w:hanging="360"/>
      </w:pPr>
      <w:rPr>
        <w:rFonts w:ascii="Courier New" w:hAnsi="Courier New" w:cs="Courier New" w:hint="default"/>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sz w:val="20"/>
        <w:lang w:val="pt-BR"/>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hint="default"/>
        <w:sz w:val="20"/>
        <w:lang w:val="it-IT"/>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0000000B"/>
    <w:multiLevelType w:val="singleLevel"/>
    <w:tmpl w:val="0000000B"/>
    <w:name w:val="WW8Num12"/>
    <w:lvl w:ilvl="0">
      <w:start w:val="1"/>
      <w:numFmt w:val="bullet"/>
      <w:lvlText w:val=""/>
      <w:lvlJc w:val="left"/>
      <w:pPr>
        <w:tabs>
          <w:tab w:val="num" w:pos="1800"/>
        </w:tabs>
        <w:ind w:left="1800" w:hanging="360"/>
      </w:pPr>
      <w:rPr>
        <w:rFonts w:ascii="Wingdings" w:hAnsi="Wingdings" w:cs="Wingdings" w:hint="default"/>
        <w:lang w:val="it-IT"/>
      </w:rPr>
    </w:lvl>
  </w:abstractNum>
  <w:abstractNum w:abstractNumId="15" w15:restartNumberingAfterBreak="0">
    <w:nsid w:val="0000000C"/>
    <w:multiLevelType w:val="multilevel"/>
    <w:tmpl w:val="9A424D66"/>
    <w:name w:val="WW8Num13"/>
    <w:lvl w:ilvl="0">
      <w:start w:val="1"/>
      <w:numFmt w:val="decimal"/>
      <w:lvlText w:val="%1."/>
      <w:lvlJc w:val="left"/>
      <w:pPr>
        <w:tabs>
          <w:tab w:val="num" w:pos="720"/>
        </w:tabs>
        <w:ind w:left="720" w:hanging="360"/>
      </w:pPr>
      <w:rPr>
        <w:rFonts w:ascii="Calibri" w:eastAsia="Times New Roman" w:hAnsi="Calibri" w:cs="Calibri"/>
        <w:sz w:val="20"/>
      </w:rPr>
    </w:lvl>
    <w:lvl w:ilvl="1">
      <w:start w:val="1"/>
      <w:numFmt w:val="bullet"/>
      <w:lvlText w:val="o"/>
      <w:lvlJc w:val="left"/>
      <w:pPr>
        <w:tabs>
          <w:tab w:val="num" w:pos="1440"/>
        </w:tabs>
        <w:ind w:left="1440" w:hanging="360"/>
      </w:pPr>
      <w:rPr>
        <w:rFonts w:ascii="Courier New" w:hAnsi="Courier New" w:cs="Courier New" w:hint="default"/>
        <w:color w:val="000000"/>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15:restartNumberingAfterBreak="0">
    <w:nsid w:val="0000000D"/>
    <w:multiLevelType w:val="singleLevel"/>
    <w:tmpl w:val="0000000D"/>
    <w:name w:val="WW8Num15"/>
    <w:lvl w:ilvl="0">
      <w:start w:val="1"/>
      <w:numFmt w:val="bullet"/>
      <w:lvlText w:val=""/>
      <w:lvlJc w:val="left"/>
      <w:pPr>
        <w:tabs>
          <w:tab w:val="num" w:pos="1440"/>
        </w:tabs>
        <w:ind w:left="1440" w:hanging="360"/>
      </w:pPr>
      <w:rPr>
        <w:rFonts w:ascii="Wingdings" w:hAnsi="Wingdings" w:cs="Wingdings" w:hint="default"/>
        <w:color w:val="000000"/>
        <w:lang w:val="ro-RO"/>
      </w:rPr>
    </w:lvl>
  </w:abstractNum>
  <w:abstractNum w:abstractNumId="17" w15:restartNumberingAfterBreak="0">
    <w:nsid w:val="00305F5C"/>
    <w:multiLevelType w:val="hybridMultilevel"/>
    <w:tmpl w:val="31B69E30"/>
    <w:lvl w:ilvl="0" w:tplc="2354A7E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01F24E7C"/>
    <w:multiLevelType w:val="hybridMultilevel"/>
    <w:tmpl w:val="838E69C2"/>
    <w:lvl w:ilvl="0" w:tplc="2354A7E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02645819"/>
    <w:multiLevelType w:val="hybridMultilevel"/>
    <w:tmpl w:val="120E03DA"/>
    <w:lvl w:ilvl="0" w:tplc="F1F4A6F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02912C15"/>
    <w:multiLevelType w:val="hybridMultilevel"/>
    <w:tmpl w:val="9F8074B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02AF2F27"/>
    <w:multiLevelType w:val="hybridMultilevel"/>
    <w:tmpl w:val="EEF033F4"/>
    <w:lvl w:ilvl="0" w:tplc="83387F28">
      <w:start w:val="4"/>
      <w:numFmt w:val="bullet"/>
      <w:lvlText w:val="-"/>
      <w:lvlJc w:val="left"/>
      <w:pPr>
        <w:ind w:left="360" w:hanging="360"/>
      </w:pPr>
      <w:rPr>
        <w:rFonts w:ascii="Times New Roman" w:eastAsia="Times New Roman" w:hAnsi="Times New Roman" w:cs="Times New Roman" w:hint="default"/>
        <w:strike w:val="0"/>
        <w:dstrike w:val="0"/>
        <w:u w:val="none"/>
        <w:effect w:val="none"/>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4432C27"/>
    <w:multiLevelType w:val="hybridMultilevel"/>
    <w:tmpl w:val="350EB362"/>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057B7367"/>
    <w:multiLevelType w:val="hybridMultilevel"/>
    <w:tmpl w:val="30BC167E"/>
    <w:lvl w:ilvl="0" w:tplc="2354A7E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08444F11"/>
    <w:multiLevelType w:val="hybridMultilevel"/>
    <w:tmpl w:val="53463DBC"/>
    <w:lvl w:ilvl="0" w:tplc="0409000B">
      <w:start w:val="1"/>
      <w:numFmt w:val="bullet"/>
      <w:lvlText w:val=""/>
      <w:lvlJc w:val="left"/>
      <w:pPr>
        <w:ind w:left="784" w:hanging="360"/>
      </w:pPr>
      <w:rPr>
        <w:rFonts w:ascii="Wingdings" w:hAnsi="Wingdings"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5" w15:restartNumberingAfterBreak="0">
    <w:nsid w:val="08F83775"/>
    <w:multiLevelType w:val="hybridMultilevel"/>
    <w:tmpl w:val="A39078BC"/>
    <w:lvl w:ilvl="0" w:tplc="064AA7A0">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6" w15:restartNumberingAfterBreak="0">
    <w:nsid w:val="09D61373"/>
    <w:multiLevelType w:val="hybridMultilevel"/>
    <w:tmpl w:val="C81E9D9A"/>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27" w15:restartNumberingAfterBreak="0">
    <w:nsid w:val="0B7836C4"/>
    <w:multiLevelType w:val="hybridMultilevel"/>
    <w:tmpl w:val="9AAEAF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0E051134"/>
    <w:multiLevelType w:val="hybridMultilevel"/>
    <w:tmpl w:val="36F24358"/>
    <w:lvl w:ilvl="0" w:tplc="2354A7E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0E7E361A"/>
    <w:multiLevelType w:val="hybridMultilevel"/>
    <w:tmpl w:val="5E0A2ACE"/>
    <w:lvl w:ilvl="0" w:tplc="2354A7E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0FA427C4"/>
    <w:multiLevelType w:val="hybridMultilevel"/>
    <w:tmpl w:val="7B668F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02E5B7D"/>
    <w:multiLevelType w:val="hybridMultilevel"/>
    <w:tmpl w:val="84227B12"/>
    <w:lvl w:ilvl="0" w:tplc="8C449F16">
      <w:numFmt w:val="bullet"/>
      <w:lvlText w:val="-"/>
      <w:lvlJc w:val="left"/>
      <w:pPr>
        <w:ind w:left="784" w:hanging="360"/>
      </w:pPr>
      <w:rPr>
        <w:rFonts w:ascii="Arial" w:eastAsia="Times New Roman" w:hAnsi="Arial" w:cs="Arial" w:hint="default"/>
        <w:color w:val="auto"/>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2" w15:restartNumberingAfterBreak="0">
    <w:nsid w:val="1136685F"/>
    <w:multiLevelType w:val="hybridMultilevel"/>
    <w:tmpl w:val="7A94E74A"/>
    <w:lvl w:ilvl="0" w:tplc="0409000D">
      <w:start w:val="1"/>
      <w:numFmt w:val="bullet"/>
      <w:lvlText w:val=""/>
      <w:lvlJc w:val="left"/>
      <w:pPr>
        <w:ind w:left="502" w:hanging="360"/>
      </w:pPr>
      <w:rPr>
        <w:rFonts w:ascii="Wingdings" w:hAnsi="Wingdings" w:hint="default"/>
      </w:rPr>
    </w:lvl>
    <w:lvl w:ilvl="1" w:tplc="0409000D">
      <w:start w:val="1"/>
      <w:numFmt w:val="bullet"/>
      <w:lvlText w:val=""/>
      <w:lvlJc w:val="left"/>
      <w:pPr>
        <w:ind w:left="-545" w:hanging="360"/>
      </w:pPr>
      <w:rPr>
        <w:rFonts w:ascii="Wingdings" w:hAnsi="Wingdings" w:hint="default"/>
      </w:rPr>
    </w:lvl>
    <w:lvl w:ilvl="2" w:tplc="04090005">
      <w:start w:val="1"/>
      <w:numFmt w:val="bullet"/>
      <w:lvlText w:val=""/>
      <w:lvlJc w:val="left"/>
      <w:pPr>
        <w:ind w:left="175" w:hanging="360"/>
      </w:pPr>
      <w:rPr>
        <w:rFonts w:ascii="Wingdings" w:hAnsi="Wingdings" w:hint="default"/>
      </w:rPr>
    </w:lvl>
    <w:lvl w:ilvl="3" w:tplc="04090001">
      <w:start w:val="1"/>
      <w:numFmt w:val="bullet"/>
      <w:lvlText w:val=""/>
      <w:lvlJc w:val="left"/>
      <w:pPr>
        <w:ind w:left="895" w:hanging="360"/>
      </w:pPr>
      <w:rPr>
        <w:rFonts w:ascii="Symbol" w:hAnsi="Symbol" w:hint="default"/>
      </w:rPr>
    </w:lvl>
    <w:lvl w:ilvl="4" w:tplc="04090003" w:tentative="1">
      <w:start w:val="1"/>
      <w:numFmt w:val="bullet"/>
      <w:lvlText w:val="o"/>
      <w:lvlJc w:val="left"/>
      <w:pPr>
        <w:ind w:left="1615" w:hanging="360"/>
      </w:pPr>
      <w:rPr>
        <w:rFonts w:ascii="Courier New" w:hAnsi="Courier New" w:cs="Courier New" w:hint="default"/>
      </w:rPr>
    </w:lvl>
    <w:lvl w:ilvl="5" w:tplc="04090005" w:tentative="1">
      <w:start w:val="1"/>
      <w:numFmt w:val="bullet"/>
      <w:lvlText w:val=""/>
      <w:lvlJc w:val="left"/>
      <w:pPr>
        <w:ind w:left="2335" w:hanging="360"/>
      </w:pPr>
      <w:rPr>
        <w:rFonts w:ascii="Wingdings" w:hAnsi="Wingdings" w:hint="default"/>
      </w:rPr>
    </w:lvl>
    <w:lvl w:ilvl="6" w:tplc="04090001" w:tentative="1">
      <w:start w:val="1"/>
      <w:numFmt w:val="bullet"/>
      <w:lvlText w:val=""/>
      <w:lvlJc w:val="left"/>
      <w:pPr>
        <w:ind w:left="3055" w:hanging="360"/>
      </w:pPr>
      <w:rPr>
        <w:rFonts w:ascii="Symbol" w:hAnsi="Symbol" w:hint="default"/>
      </w:rPr>
    </w:lvl>
    <w:lvl w:ilvl="7" w:tplc="04090003" w:tentative="1">
      <w:start w:val="1"/>
      <w:numFmt w:val="bullet"/>
      <w:lvlText w:val="o"/>
      <w:lvlJc w:val="left"/>
      <w:pPr>
        <w:ind w:left="3775" w:hanging="360"/>
      </w:pPr>
      <w:rPr>
        <w:rFonts w:ascii="Courier New" w:hAnsi="Courier New" w:cs="Courier New" w:hint="default"/>
      </w:rPr>
    </w:lvl>
    <w:lvl w:ilvl="8" w:tplc="04090005" w:tentative="1">
      <w:start w:val="1"/>
      <w:numFmt w:val="bullet"/>
      <w:lvlText w:val=""/>
      <w:lvlJc w:val="left"/>
      <w:pPr>
        <w:ind w:left="4495" w:hanging="360"/>
      </w:pPr>
      <w:rPr>
        <w:rFonts w:ascii="Wingdings" w:hAnsi="Wingdings" w:hint="default"/>
      </w:rPr>
    </w:lvl>
  </w:abstractNum>
  <w:abstractNum w:abstractNumId="33" w15:restartNumberingAfterBreak="0">
    <w:nsid w:val="138A4AB2"/>
    <w:multiLevelType w:val="hybridMultilevel"/>
    <w:tmpl w:val="90E2CB24"/>
    <w:lvl w:ilvl="0" w:tplc="04090001">
      <w:start w:val="1"/>
      <w:numFmt w:val="bullet"/>
      <w:lvlText w:val=""/>
      <w:lvlJc w:val="left"/>
      <w:pPr>
        <w:ind w:left="1440" w:hanging="360"/>
      </w:pPr>
      <w:rPr>
        <w:rFonts w:ascii="Symbol" w:hAnsi="Symbol" w:hint="default"/>
      </w:rPr>
    </w:lvl>
    <w:lvl w:ilvl="1" w:tplc="D2024F78">
      <w:numFmt w:val="bullet"/>
      <w:lvlText w:val="-"/>
      <w:lvlJc w:val="left"/>
      <w:pPr>
        <w:ind w:left="2520" w:hanging="720"/>
      </w:pPr>
      <w:rPr>
        <w:rFonts w:ascii="Trebuchet MS" w:eastAsia="MS Mincho" w:hAnsi="Trebuchet MS"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4" w15:restartNumberingAfterBreak="0">
    <w:nsid w:val="13F55D02"/>
    <w:multiLevelType w:val="hybridMultilevel"/>
    <w:tmpl w:val="BDFAD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4105CA9"/>
    <w:multiLevelType w:val="hybridMultilevel"/>
    <w:tmpl w:val="460A68F0"/>
    <w:lvl w:ilvl="0" w:tplc="DE3E80D0">
      <w:start w:val="1"/>
      <w:numFmt w:val="decimal"/>
      <w:pStyle w:val="ParagraphNumbering"/>
      <w:lvlText w:val="%1.     "/>
      <w:lvlJc w:val="left"/>
      <w:pPr>
        <w:tabs>
          <w:tab w:val="num" w:pos="1080"/>
        </w:tabs>
        <w:ind w:left="360" w:firstLine="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14856000"/>
    <w:multiLevelType w:val="hybridMultilevel"/>
    <w:tmpl w:val="317E147A"/>
    <w:lvl w:ilvl="0" w:tplc="2698EAD2">
      <w:start w:val="5"/>
      <w:numFmt w:val="bullet"/>
      <w:lvlText w:val="-"/>
      <w:lvlJc w:val="left"/>
      <w:pPr>
        <w:ind w:left="365" w:hanging="360"/>
      </w:pPr>
      <w:rPr>
        <w:rFonts w:ascii="Calibri" w:eastAsia="MS Gothic" w:hAnsi="Calibri" w:cs="Calibri" w:hint="default"/>
      </w:rPr>
    </w:lvl>
    <w:lvl w:ilvl="1" w:tplc="04180003" w:tentative="1">
      <w:start w:val="1"/>
      <w:numFmt w:val="bullet"/>
      <w:lvlText w:val="o"/>
      <w:lvlJc w:val="left"/>
      <w:pPr>
        <w:ind w:left="1085" w:hanging="360"/>
      </w:pPr>
      <w:rPr>
        <w:rFonts w:ascii="Courier New" w:hAnsi="Courier New" w:cs="Courier New" w:hint="default"/>
      </w:rPr>
    </w:lvl>
    <w:lvl w:ilvl="2" w:tplc="04180005" w:tentative="1">
      <w:start w:val="1"/>
      <w:numFmt w:val="bullet"/>
      <w:lvlText w:val=""/>
      <w:lvlJc w:val="left"/>
      <w:pPr>
        <w:ind w:left="1805" w:hanging="360"/>
      </w:pPr>
      <w:rPr>
        <w:rFonts w:ascii="Wingdings" w:hAnsi="Wingdings" w:hint="default"/>
      </w:rPr>
    </w:lvl>
    <w:lvl w:ilvl="3" w:tplc="04180001" w:tentative="1">
      <w:start w:val="1"/>
      <w:numFmt w:val="bullet"/>
      <w:lvlText w:val=""/>
      <w:lvlJc w:val="left"/>
      <w:pPr>
        <w:ind w:left="2525" w:hanging="360"/>
      </w:pPr>
      <w:rPr>
        <w:rFonts w:ascii="Symbol" w:hAnsi="Symbol" w:hint="default"/>
      </w:rPr>
    </w:lvl>
    <w:lvl w:ilvl="4" w:tplc="04180003" w:tentative="1">
      <w:start w:val="1"/>
      <w:numFmt w:val="bullet"/>
      <w:lvlText w:val="o"/>
      <w:lvlJc w:val="left"/>
      <w:pPr>
        <w:ind w:left="3245" w:hanging="360"/>
      </w:pPr>
      <w:rPr>
        <w:rFonts w:ascii="Courier New" w:hAnsi="Courier New" w:cs="Courier New" w:hint="default"/>
      </w:rPr>
    </w:lvl>
    <w:lvl w:ilvl="5" w:tplc="04180005" w:tentative="1">
      <w:start w:val="1"/>
      <w:numFmt w:val="bullet"/>
      <w:lvlText w:val=""/>
      <w:lvlJc w:val="left"/>
      <w:pPr>
        <w:ind w:left="3965" w:hanging="360"/>
      </w:pPr>
      <w:rPr>
        <w:rFonts w:ascii="Wingdings" w:hAnsi="Wingdings" w:hint="default"/>
      </w:rPr>
    </w:lvl>
    <w:lvl w:ilvl="6" w:tplc="04180001" w:tentative="1">
      <w:start w:val="1"/>
      <w:numFmt w:val="bullet"/>
      <w:lvlText w:val=""/>
      <w:lvlJc w:val="left"/>
      <w:pPr>
        <w:ind w:left="4685" w:hanging="360"/>
      </w:pPr>
      <w:rPr>
        <w:rFonts w:ascii="Symbol" w:hAnsi="Symbol" w:hint="default"/>
      </w:rPr>
    </w:lvl>
    <w:lvl w:ilvl="7" w:tplc="04180003" w:tentative="1">
      <w:start w:val="1"/>
      <w:numFmt w:val="bullet"/>
      <w:lvlText w:val="o"/>
      <w:lvlJc w:val="left"/>
      <w:pPr>
        <w:ind w:left="5405" w:hanging="360"/>
      </w:pPr>
      <w:rPr>
        <w:rFonts w:ascii="Courier New" w:hAnsi="Courier New" w:cs="Courier New" w:hint="default"/>
      </w:rPr>
    </w:lvl>
    <w:lvl w:ilvl="8" w:tplc="04180005" w:tentative="1">
      <w:start w:val="1"/>
      <w:numFmt w:val="bullet"/>
      <w:lvlText w:val=""/>
      <w:lvlJc w:val="left"/>
      <w:pPr>
        <w:ind w:left="6125" w:hanging="360"/>
      </w:pPr>
      <w:rPr>
        <w:rFonts w:ascii="Wingdings" w:hAnsi="Wingdings" w:hint="default"/>
      </w:rPr>
    </w:lvl>
  </w:abstractNum>
  <w:abstractNum w:abstractNumId="37" w15:restartNumberingAfterBreak="0">
    <w:nsid w:val="15423464"/>
    <w:multiLevelType w:val="hybridMultilevel"/>
    <w:tmpl w:val="4EC2FF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6DE7243"/>
    <w:multiLevelType w:val="hybridMultilevel"/>
    <w:tmpl w:val="7AEC47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7473168"/>
    <w:multiLevelType w:val="hybridMultilevel"/>
    <w:tmpl w:val="2CC278B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17B53BD9"/>
    <w:multiLevelType w:val="hybridMultilevel"/>
    <w:tmpl w:val="419A10C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C3235D"/>
    <w:multiLevelType w:val="hybridMultilevel"/>
    <w:tmpl w:val="8EAAB9B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2" w15:restartNumberingAfterBreak="0">
    <w:nsid w:val="1951615F"/>
    <w:multiLevelType w:val="hybridMultilevel"/>
    <w:tmpl w:val="B67C32BC"/>
    <w:lvl w:ilvl="0" w:tplc="83664F86">
      <w:start w:val="2"/>
      <w:numFmt w:val="bullet"/>
      <w:lvlText w:val="-"/>
      <w:lvlJc w:val="left"/>
      <w:pPr>
        <w:ind w:left="720" w:hanging="360"/>
      </w:pPr>
      <w:rPr>
        <w:rFonts w:ascii="Arial" w:eastAsia="Times New Roman" w:hAnsi="Arial" w:cs="Aria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3" w15:restartNumberingAfterBreak="0">
    <w:nsid w:val="1B1058DF"/>
    <w:multiLevelType w:val="hybridMultilevel"/>
    <w:tmpl w:val="24CCF7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45" w15:restartNumberingAfterBreak="0">
    <w:nsid w:val="1BE71EC5"/>
    <w:multiLevelType w:val="hybridMultilevel"/>
    <w:tmpl w:val="64C0AA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15:restartNumberingAfterBreak="0">
    <w:nsid w:val="1CCE4232"/>
    <w:multiLevelType w:val="hybridMultilevel"/>
    <w:tmpl w:val="8376BDB4"/>
    <w:lvl w:ilvl="0" w:tplc="12B8A1E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1CF80827"/>
    <w:multiLevelType w:val="hybridMultilevel"/>
    <w:tmpl w:val="CDBA0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D546839"/>
    <w:multiLevelType w:val="hybridMultilevel"/>
    <w:tmpl w:val="54209FE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15:restartNumberingAfterBreak="0">
    <w:nsid w:val="1DCB3203"/>
    <w:multiLevelType w:val="hybridMultilevel"/>
    <w:tmpl w:val="4F76E7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F746D1C"/>
    <w:multiLevelType w:val="hybridMultilevel"/>
    <w:tmpl w:val="4EAC9C7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15:restartNumberingAfterBreak="0">
    <w:nsid w:val="202327AE"/>
    <w:multiLevelType w:val="hybridMultilevel"/>
    <w:tmpl w:val="FF9CB8B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2" w15:restartNumberingAfterBreak="0">
    <w:nsid w:val="20FFDCF0"/>
    <w:multiLevelType w:val="hybridMultilevel"/>
    <w:tmpl w:val="98254556"/>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223B5C4D"/>
    <w:multiLevelType w:val="hybridMultilevel"/>
    <w:tmpl w:val="8A4E48AE"/>
    <w:lvl w:ilvl="0" w:tplc="04090005">
      <w:start w:val="1"/>
      <w:numFmt w:val="bullet"/>
      <w:lvlText w:val=""/>
      <w:lvlJc w:val="left"/>
      <w:pPr>
        <w:ind w:left="1144" w:hanging="360"/>
      </w:pPr>
      <w:rPr>
        <w:rFonts w:ascii="Wingdings" w:hAnsi="Wingdings" w:hint="default"/>
      </w:rPr>
    </w:lvl>
    <w:lvl w:ilvl="1" w:tplc="04090003" w:tentative="1">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54" w15:restartNumberingAfterBreak="0">
    <w:nsid w:val="22567A6B"/>
    <w:multiLevelType w:val="hybridMultilevel"/>
    <w:tmpl w:val="4198C226"/>
    <w:lvl w:ilvl="0" w:tplc="624ECD22">
      <w:start w:val="4"/>
      <w:numFmt w:val="bullet"/>
      <w:lvlText w:val="-"/>
      <w:lvlJc w:val="left"/>
      <w:pPr>
        <w:ind w:left="1806" w:hanging="360"/>
      </w:pPr>
      <w:rPr>
        <w:rFonts w:ascii="Arial" w:eastAsia="Times New Roman" w:hAnsi="Arial" w:cs="Arial" w:hint="default"/>
      </w:rPr>
    </w:lvl>
    <w:lvl w:ilvl="1" w:tplc="04090003" w:tentative="1">
      <w:start w:val="1"/>
      <w:numFmt w:val="bullet"/>
      <w:lvlText w:val="o"/>
      <w:lvlJc w:val="left"/>
      <w:pPr>
        <w:ind w:left="2526" w:hanging="360"/>
      </w:pPr>
      <w:rPr>
        <w:rFonts w:ascii="Courier New" w:hAnsi="Courier New" w:cs="Courier New" w:hint="default"/>
      </w:rPr>
    </w:lvl>
    <w:lvl w:ilvl="2" w:tplc="04090005" w:tentative="1">
      <w:start w:val="1"/>
      <w:numFmt w:val="bullet"/>
      <w:lvlText w:val=""/>
      <w:lvlJc w:val="left"/>
      <w:pPr>
        <w:ind w:left="3246" w:hanging="360"/>
      </w:pPr>
      <w:rPr>
        <w:rFonts w:ascii="Wingdings" w:hAnsi="Wingdings" w:hint="default"/>
      </w:rPr>
    </w:lvl>
    <w:lvl w:ilvl="3" w:tplc="04090001" w:tentative="1">
      <w:start w:val="1"/>
      <w:numFmt w:val="bullet"/>
      <w:lvlText w:val=""/>
      <w:lvlJc w:val="left"/>
      <w:pPr>
        <w:ind w:left="3966" w:hanging="360"/>
      </w:pPr>
      <w:rPr>
        <w:rFonts w:ascii="Symbol" w:hAnsi="Symbol" w:hint="default"/>
      </w:rPr>
    </w:lvl>
    <w:lvl w:ilvl="4" w:tplc="04090003" w:tentative="1">
      <w:start w:val="1"/>
      <w:numFmt w:val="bullet"/>
      <w:lvlText w:val="o"/>
      <w:lvlJc w:val="left"/>
      <w:pPr>
        <w:ind w:left="4686" w:hanging="360"/>
      </w:pPr>
      <w:rPr>
        <w:rFonts w:ascii="Courier New" w:hAnsi="Courier New" w:cs="Courier New" w:hint="default"/>
      </w:rPr>
    </w:lvl>
    <w:lvl w:ilvl="5" w:tplc="04090005" w:tentative="1">
      <w:start w:val="1"/>
      <w:numFmt w:val="bullet"/>
      <w:lvlText w:val=""/>
      <w:lvlJc w:val="left"/>
      <w:pPr>
        <w:ind w:left="5406" w:hanging="360"/>
      </w:pPr>
      <w:rPr>
        <w:rFonts w:ascii="Wingdings" w:hAnsi="Wingdings" w:hint="default"/>
      </w:rPr>
    </w:lvl>
    <w:lvl w:ilvl="6" w:tplc="04090001" w:tentative="1">
      <w:start w:val="1"/>
      <w:numFmt w:val="bullet"/>
      <w:lvlText w:val=""/>
      <w:lvlJc w:val="left"/>
      <w:pPr>
        <w:ind w:left="6126" w:hanging="360"/>
      </w:pPr>
      <w:rPr>
        <w:rFonts w:ascii="Symbol" w:hAnsi="Symbol" w:hint="default"/>
      </w:rPr>
    </w:lvl>
    <w:lvl w:ilvl="7" w:tplc="04090003" w:tentative="1">
      <w:start w:val="1"/>
      <w:numFmt w:val="bullet"/>
      <w:lvlText w:val="o"/>
      <w:lvlJc w:val="left"/>
      <w:pPr>
        <w:ind w:left="6846" w:hanging="360"/>
      </w:pPr>
      <w:rPr>
        <w:rFonts w:ascii="Courier New" w:hAnsi="Courier New" w:cs="Courier New" w:hint="default"/>
      </w:rPr>
    </w:lvl>
    <w:lvl w:ilvl="8" w:tplc="04090005" w:tentative="1">
      <w:start w:val="1"/>
      <w:numFmt w:val="bullet"/>
      <w:lvlText w:val=""/>
      <w:lvlJc w:val="left"/>
      <w:pPr>
        <w:ind w:left="7566" w:hanging="360"/>
      </w:pPr>
      <w:rPr>
        <w:rFonts w:ascii="Wingdings" w:hAnsi="Wingdings" w:hint="default"/>
      </w:rPr>
    </w:lvl>
  </w:abstractNum>
  <w:abstractNum w:abstractNumId="55" w15:restartNumberingAfterBreak="0">
    <w:nsid w:val="22BC4F78"/>
    <w:multiLevelType w:val="hybridMultilevel"/>
    <w:tmpl w:val="E5987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32F7FCB"/>
    <w:multiLevelType w:val="hybridMultilevel"/>
    <w:tmpl w:val="7214EADA"/>
    <w:lvl w:ilvl="0" w:tplc="A6046C1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15:restartNumberingAfterBreak="0">
    <w:nsid w:val="24580018"/>
    <w:multiLevelType w:val="hybridMultilevel"/>
    <w:tmpl w:val="77D838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4E21D22"/>
    <w:multiLevelType w:val="hybridMultilevel"/>
    <w:tmpl w:val="82C2CE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5DE6AB8"/>
    <w:multiLevelType w:val="hybridMultilevel"/>
    <w:tmpl w:val="D8AE39CE"/>
    <w:lvl w:ilvl="0" w:tplc="09C415E6">
      <w:start w:val="1"/>
      <w:numFmt w:val="bullet"/>
      <w:lvlText w:val=""/>
      <w:lvlJc w:val="left"/>
      <w:pPr>
        <w:ind w:left="720" w:hanging="360"/>
      </w:pPr>
      <w:rPr>
        <w:rFonts w:ascii="Symbol" w:hAnsi="Symbol" w:hint="default"/>
        <w:sz w:val="18"/>
        <w:szCs w:val="1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0" w15:restartNumberingAfterBreak="0">
    <w:nsid w:val="260C511B"/>
    <w:multiLevelType w:val="hybridMultilevel"/>
    <w:tmpl w:val="62F6D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7291106"/>
    <w:multiLevelType w:val="hybridMultilevel"/>
    <w:tmpl w:val="BEFE9BE8"/>
    <w:lvl w:ilvl="0" w:tplc="B82E483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8381880"/>
    <w:multiLevelType w:val="hybridMultilevel"/>
    <w:tmpl w:val="687CCA0C"/>
    <w:lvl w:ilvl="0" w:tplc="0409000B">
      <w:start w:val="1"/>
      <w:numFmt w:val="bullet"/>
      <w:lvlText w:val=""/>
      <w:lvlJc w:val="left"/>
      <w:pPr>
        <w:ind w:left="1080" w:hanging="360"/>
      </w:pPr>
      <w:rPr>
        <w:rFonts w:ascii="Wingdings" w:hAnsi="Wingdings" w:hint="default"/>
        <w:strike w:val="0"/>
        <w:dstrike w:val="0"/>
        <w:u w:val="none"/>
        <w:effect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2AD90022"/>
    <w:multiLevelType w:val="hybridMultilevel"/>
    <w:tmpl w:val="8AFC8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B7B55D4"/>
    <w:multiLevelType w:val="hybridMultilevel"/>
    <w:tmpl w:val="CB5074B4"/>
    <w:lvl w:ilvl="0" w:tplc="E09C70E8">
      <w:start w:val="1"/>
      <w:numFmt w:val="bullet"/>
      <w:pStyle w:val="WW-ListBullet2"/>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2DF71DB6"/>
    <w:multiLevelType w:val="hybridMultilevel"/>
    <w:tmpl w:val="A9C46100"/>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6" w15:restartNumberingAfterBreak="0">
    <w:nsid w:val="303E08C8"/>
    <w:multiLevelType w:val="hybridMultilevel"/>
    <w:tmpl w:val="FE3E575A"/>
    <w:lvl w:ilvl="0" w:tplc="FFFFFFFF">
      <w:start w:val="1"/>
      <w:numFmt w:val="bullet"/>
      <w:lvlText w:val="-"/>
      <w:lvlJc w:val="left"/>
      <w:pPr>
        <w:ind w:left="2148" w:hanging="360"/>
      </w:pPr>
    </w:lvl>
    <w:lvl w:ilvl="1" w:tplc="04090003" w:tentative="1">
      <w:start w:val="1"/>
      <w:numFmt w:val="bullet"/>
      <w:lvlText w:val="o"/>
      <w:lvlJc w:val="left"/>
      <w:pPr>
        <w:ind w:left="2868" w:hanging="360"/>
      </w:pPr>
      <w:rPr>
        <w:rFonts w:ascii="Courier New" w:hAnsi="Courier New" w:cs="Courier New" w:hint="default"/>
      </w:rPr>
    </w:lvl>
    <w:lvl w:ilvl="2" w:tplc="04090005" w:tentative="1">
      <w:start w:val="1"/>
      <w:numFmt w:val="bullet"/>
      <w:lvlText w:val=""/>
      <w:lvlJc w:val="left"/>
      <w:pPr>
        <w:ind w:left="3588" w:hanging="360"/>
      </w:pPr>
      <w:rPr>
        <w:rFonts w:ascii="Wingdings" w:hAnsi="Wingdings" w:hint="default"/>
      </w:rPr>
    </w:lvl>
    <w:lvl w:ilvl="3" w:tplc="04090001" w:tentative="1">
      <w:start w:val="1"/>
      <w:numFmt w:val="bullet"/>
      <w:lvlText w:val=""/>
      <w:lvlJc w:val="left"/>
      <w:pPr>
        <w:ind w:left="4308" w:hanging="360"/>
      </w:pPr>
      <w:rPr>
        <w:rFonts w:ascii="Symbol" w:hAnsi="Symbol" w:hint="default"/>
      </w:rPr>
    </w:lvl>
    <w:lvl w:ilvl="4" w:tplc="04090003" w:tentative="1">
      <w:start w:val="1"/>
      <w:numFmt w:val="bullet"/>
      <w:lvlText w:val="o"/>
      <w:lvlJc w:val="left"/>
      <w:pPr>
        <w:ind w:left="5028" w:hanging="360"/>
      </w:pPr>
      <w:rPr>
        <w:rFonts w:ascii="Courier New" w:hAnsi="Courier New" w:cs="Courier New" w:hint="default"/>
      </w:rPr>
    </w:lvl>
    <w:lvl w:ilvl="5" w:tplc="04090005" w:tentative="1">
      <w:start w:val="1"/>
      <w:numFmt w:val="bullet"/>
      <w:lvlText w:val=""/>
      <w:lvlJc w:val="left"/>
      <w:pPr>
        <w:ind w:left="5748" w:hanging="360"/>
      </w:pPr>
      <w:rPr>
        <w:rFonts w:ascii="Wingdings" w:hAnsi="Wingdings" w:hint="default"/>
      </w:rPr>
    </w:lvl>
    <w:lvl w:ilvl="6" w:tplc="04090001" w:tentative="1">
      <w:start w:val="1"/>
      <w:numFmt w:val="bullet"/>
      <w:lvlText w:val=""/>
      <w:lvlJc w:val="left"/>
      <w:pPr>
        <w:ind w:left="6468" w:hanging="360"/>
      </w:pPr>
      <w:rPr>
        <w:rFonts w:ascii="Symbol" w:hAnsi="Symbol" w:hint="default"/>
      </w:rPr>
    </w:lvl>
    <w:lvl w:ilvl="7" w:tplc="04090003" w:tentative="1">
      <w:start w:val="1"/>
      <w:numFmt w:val="bullet"/>
      <w:lvlText w:val="o"/>
      <w:lvlJc w:val="left"/>
      <w:pPr>
        <w:ind w:left="7188" w:hanging="360"/>
      </w:pPr>
      <w:rPr>
        <w:rFonts w:ascii="Courier New" w:hAnsi="Courier New" w:cs="Courier New" w:hint="default"/>
      </w:rPr>
    </w:lvl>
    <w:lvl w:ilvl="8" w:tplc="04090005" w:tentative="1">
      <w:start w:val="1"/>
      <w:numFmt w:val="bullet"/>
      <w:lvlText w:val=""/>
      <w:lvlJc w:val="left"/>
      <w:pPr>
        <w:ind w:left="7908" w:hanging="360"/>
      </w:pPr>
      <w:rPr>
        <w:rFonts w:ascii="Wingdings" w:hAnsi="Wingdings" w:hint="default"/>
      </w:rPr>
    </w:lvl>
  </w:abstractNum>
  <w:abstractNum w:abstractNumId="67" w15:restartNumberingAfterBreak="0">
    <w:nsid w:val="30403104"/>
    <w:multiLevelType w:val="hybridMultilevel"/>
    <w:tmpl w:val="ACFE2F0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8" w15:restartNumberingAfterBreak="0">
    <w:nsid w:val="30A4302B"/>
    <w:multiLevelType w:val="hybridMultilevel"/>
    <w:tmpl w:val="E6F49E60"/>
    <w:lvl w:ilvl="0" w:tplc="BE2C3AAA">
      <w:numFmt w:val="bullet"/>
      <w:lvlText w:val="-"/>
      <w:lvlJc w:val="left"/>
      <w:pPr>
        <w:ind w:left="720" w:hanging="360"/>
      </w:pPr>
      <w:rPr>
        <w:rFonts w:ascii="Calibri" w:eastAsia="Calibri" w:hAnsi="Calibri"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9" w15:restartNumberingAfterBreak="0">
    <w:nsid w:val="3211744E"/>
    <w:multiLevelType w:val="hybridMultilevel"/>
    <w:tmpl w:val="D95EAC98"/>
    <w:lvl w:ilvl="0" w:tplc="2354A7E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0" w15:restartNumberingAfterBreak="0">
    <w:nsid w:val="33021143"/>
    <w:multiLevelType w:val="hybridMultilevel"/>
    <w:tmpl w:val="EA624E2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359238C"/>
    <w:multiLevelType w:val="multilevel"/>
    <w:tmpl w:val="CC102C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33725E8C"/>
    <w:multiLevelType w:val="hybridMultilevel"/>
    <w:tmpl w:val="CA92C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38C4D24"/>
    <w:multiLevelType w:val="hybridMultilevel"/>
    <w:tmpl w:val="5FF6B59A"/>
    <w:lvl w:ilvl="0" w:tplc="BE2C3AAA">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3951124"/>
    <w:multiLevelType w:val="hybridMultilevel"/>
    <w:tmpl w:val="7E68E6A4"/>
    <w:lvl w:ilvl="0" w:tplc="0418000B">
      <w:start w:val="1"/>
      <w:numFmt w:val="bullet"/>
      <w:lvlText w:val=""/>
      <w:lvlJc w:val="left"/>
      <w:pPr>
        <w:ind w:left="1440" w:hanging="360"/>
      </w:pPr>
      <w:rPr>
        <w:rFonts w:ascii="Wingdings" w:hAnsi="Wingdings"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5" w15:restartNumberingAfterBreak="0">
    <w:nsid w:val="35DE4E75"/>
    <w:multiLevelType w:val="hybridMultilevel"/>
    <w:tmpl w:val="5A9C9D30"/>
    <w:lvl w:ilvl="0" w:tplc="0409000B">
      <w:start w:val="1"/>
      <w:numFmt w:val="bullet"/>
      <w:lvlText w:val=""/>
      <w:lvlJc w:val="left"/>
      <w:pPr>
        <w:ind w:left="2160" w:hanging="360"/>
      </w:pPr>
      <w:rPr>
        <w:rFonts w:ascii="Wingdings" w:hAnsi="Wingdings" w:hint="default"/>
      </w:rPr>
    </w:lvl>
    <w:lvl w:ilvl="1" w:tplc="0409000B">
      <w:start w:val="1"/>
      <w:numFmt w:val="bullet"/>
      <w:lvlText w:val=""/>
      <w:lvlJc w:val="left"/>
      <w:pPr>
        <w:ind w:left="2880" w:hanging="360"/>
      </w:pPr>
      <w:rPr>
        <w:rFonts w:ascii="Wingdings" w:hAnsi="Wingdings"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76" w15:restartNumberingAfterBreak="0">
    <w:nsid w:val="36005855"/>
    <w:multiLevelType w:val="hybridMultilevel"/>
    <w:tmpl w:val="EACAE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6175A8B"/>
    <w:multiLevelType w:val="hybridMultilevel"/>
    <w:tmpl w:val="814CCD3E"/>
    <w:lvl w:ilvl="0" w:tplc="0418000D">
      <w:start w:val="1"/>
      <w:numFmt w:val="bullet"/>
      <w:lvlText w:val=""/>
      <w:lvlJc w:val="left"/>
      <w:pPr>
        <w:ind w:left="1287" w:hanging="360"/>
      </w:pPr>
      <w:rPr>
        <w:rFonts w:ascii="Wingdings" w:hAnsi="Wingdings"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78" w15:restartNumberingAfterBreak="0">
    <w:nsid w:val="37377016"/>
    <w:multiLevelType w:val="hybridMultilevel"/>
    <w:tmpl w:val="A9969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9122D26"/>
    <w:multiLevelType w:val="hybridMultilevel"/>
    <w:tmpl w:val="A25662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9791624"/>
    <w:multiLevelType w:val="hybridMultilevel"/>
    <w:tmpl w:val="4B1CD7C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A004522"/>
    <w:multiLevelType w:val="hybridMultilevel"/>
    <w:tmpl w:val="C0808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A0632BF"/>
    <w:multiLevelType w:val="hybridMultilevel"/>
    <w:tmpl w:val="F446CEEC"/>
    <w:lvl w:ilvl="0" w:tplc="99F0F308">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3A146187"/>
    <w:multiLevelType w:val="hybridMultilevel"/>
    <w:tmpl w:val="1A4C5434"/>
    <w:lvl w:ilvl="0" w:tplc="1E786110">
      <w:start w:val="1"/>
      <w:numFmt w:val="bullet"/>
      <w:lvlText w:val="-"/>
      <w:lvlJc w:val="left"/>
      <w:pPr>
        <w:ind w:left="720" w:hanging="360"/>
      </w:pPr>
      <w:rPr>
        <w:rFonts w:ascii="Times New Roman" w:eastAsia="SimSu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4" w15:restartNumberingAfterBreak="0">
    <w:nsid w:val="3C7D3F4D"/>
    <w:multiLevelType w:val="hybridMultilevel"/>
    <w:tmpl w:val="8390B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D5F2877"/>
    <w:multiLevelType w:val="hybridMultilevel"/>
    <w:tmpl w:val="37700B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E6612FD"/>
    <w:multiLevelType w:val="multilevel"/>
    <w:tmpl w:val="30E29AC8"/>
    <w:lvl w:ilvl="0">
      <w:start w:val="1"/>
      <w:numFmt w:val="bullet"/>
      <w:lvlText w:val=""/>
      <w:lvlJc w:val="left"/>
      <w:pPr>
        <w:ind w:left="360" w:hanging="360"/>
      </w:pPr>
      <w:rPr>
        <w:rFonts w:ascii="Wingdings" w:hAnsi="Wingdings" w:hint="default"/>
        <w:u w:val="none"/>
      </w:rPr>
    </w:lvl>
    <w:lvl w:ilvl="1">
      <w:start w:val="1"/>
      <w:numFmt w:val="decimal"/>
      <w:isLgl/>
      <w:lvlText w:val="%1.%2."/>
      <w:lvlJc w:val="left"/>
      <w:pPr>
        <w:ind w:left="720" w:hanging="720"/>
      </w:pPr>
      <w:rPr>
        <w:rFonts w:hint="default"/>
        <w:b/>
        <w:color w:val="auto"/>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87" w15:restartNumberingAfterBreak="0">
    <w:nsid w:val="3EF4481D"/>
    <w:multiLevelType w:val="hybridMultilevel"/>
    <w:tmpl w:val="6D48C40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3F491B0F"/>
    <w:multiLevelType w:val="hybridMultilevel"/>
    <w:tmpl w:val="6A5A9C8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9" w15:restartNumberingAfterBreak="0">
    <w:nsid w:val="40D864EE"/>
    <w:multiLevelType w:val="hybridMultilevel"/>
    <w:tmpl w:val="67FEFDEC"/>
    <w:lvl w:ilvl="0" w:tplc="F5A2D036">
      <w:start w:val="9"/>
      <w:numFmt w:val="upperLetter"/>
      <w:lvlText w:val="%1."/>
      <w:lvlJc w:val="left"/>
      <w:pPr>
        <w:ind w:left="720" w:hanging="360"/>
      </w:pPr>
      <w:rPr>
        <w:rFonts w:eastAsia="Calibri"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1645151"/>
    <w:multiLevelType w:val="hybridMultilevel"/>
    <w:tmpl w:val="D21AD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41EE7F92"/>
    <w:multiLevelType w:val="hybridMultilevel"/>
    <w:tmpl w:val="D4F09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226748E"/>
    <w:multiLevelType w:val="hybridMultilevel"/>
    <w:tmpl w:val="54523BDC"/>
    <w:lvl w:ilvl="0" w:tplc="FCE8EDEE">
      <w:start w:val="1"/>
      <w:numFmt w:val="bullet"/>
      <w:lvlText w:val="-"/>
      <w:lvlJc w:val="left"/>
      <w:pPr>
        <w:ind w:left="1647" w:hanging="360"/>
      </w:pPr>
      <w:rPr>
        <w:rFonts w:ascii="Trebuchet MS" w:eastAsia="Times New Roman" w:hAnsi="Trebuchet MS" w:cs="Times New Roman" w:hint="default"/>
        <w:b/>
        <w:color w:val="000000"/>
      </w:rPr>
    </w:lvl>
    <w:lvl w:ilvl="1" w:tplc="04180003" w:tentative="1">
      <w:start w:val="1"/>
      <w:numFmt w:val="bullet"/>
      <w:lvlText w:val="o"/>
      <w:lvlJc w:val="left"/>
      <w:pPr>
        <w:ind w:left="2367" w:hanging="360"/>
      </w:pPr>
      <w:rPr>
        <w:rFonts w:ascii="Courier New" w:hAnsi="Courier New" w:cs="Courier New" w:hint="default"/>
      </w:rPr>
    </w:lvl>
    <w:lvl w:ilvl="2" w:tplc="04180005" w:tentative="1">
      <w:start w:val="1"/>
      <w:numFmt w:val="bullet"/>
      <w:lvlText w:val=""/>
      <w:lvlJc w:val="left"/>
      <w:pPr>
        <w:ind w:left="3087" w:hanging="360"/>
      </w:pPr>
      <w:rPr>
        <w:rFonts w:ascii="Wingdings" w:hAnsi="Wingdings" w:hint="default"/>
      </w:rPr>
    </w:lvl>
    <w:lvl w:ilvl="3" w:tplc="04180001" w:tentative="1">
      <w:start w:val="1"/>
      <w:numFmt w:val="bullet"/>
      <w:lvlText w:val=""/>
      <w:lvlJc w:val="left"/>
      <w:pPr>
        <w:ind w:left="3807" w:hanging="360"/>
      </w:pPr>
      <w:rPr>
        <w:rFonts w:ascii="Symbol" w:hAnsi="Symbol" w:hint="default"/>
      </w:rPr>
    </w:lvl>
    <w:lvl w:ilvl="4" w:tplc="04180003" w:tentative="1">
      <w:start w:val="1"/>
      <w:numFmt w:val="bullet"/>
      <w:lvlText w:val="o"/>
      <w:lvlJc w:val="left"/>
      <w:pPr>
        <w:ind w:left="4527" w:hanging="360"/>
      </w:pPr>
      <w:rPr>
        <w:rFonts w:ascii="Courier New" w:hAnsi="Courier New" w:cs="Courier New" w:hint="default"/>
      </w:rPr>
    </w:lvl>
    <w:lvl w:ilvl="5" w:tplc="04180005" w:tentative="1">
      <w:start w:val="1"/>
      <w:numFmt w:val="bullet"/>
      <w:lvlText w:val=""/>
      <w:lvlJc w:val="left"/>
      <w:pPr>
        <w:ind w:left="5247" w:hanging="360"/>
      </w:pPr>
      <w:rPr>
        <w:rFonts w:ascii="Wingdings" w:hAnsi="Wingdings" w:hint="default"/>
      </w:rPr>
    </w:lvl>
    <w:lvl w:ilvl="6" w:tplc="04180001" w:tentative="1">
      <w:start w:val="1"/>
      <w:numFmt w:val="bullet"/>
      <w:lvlText w:val=""/>
      <w:lvlJc w:val="left"/>
      <w:pPr>
        <w:ind w:left="5967" w:hanging="360"/>
      </w:pPr>
      <w:rPr>
        <w:rFonts w:ascii="Symbol" w:hAnsi="Symbol" w:hint="default"/>
      </w:rPr>
    </w:lvl>
    <w:lvl w:ilvl="7" w:tplc="04180003" w:tentative="1">
      <w:start w:val="1"/>
      <w:numFmt w:val="bullet"/>
      <w:lvlText w:val="o"/>
      <w:lvlJc w:val="left"/>
      <w:pPr>
        <w:ind w:left="6687" w:hanging="360"/>
      </w:pPr>
      <w:rPr>
        <w:rFonts w:ascii="Courier New" w:hAnsi="Courier New" w:cs="Courier New" w:hint="default"/>
      </w:rPr>
    </w:lvl>
    <w:lvl w:ilvl="8" w:tplc="04180005" w:tentative="1">
      <w:start w:val="1"/>
      <w:numFmt w:val="bullet"/>
      <w:lvlText w:val=""/>
      <w:lvlJc w:val="left"/>
      <w:pPr>
        <w:ind w:left="7407" w:hanging="360"/>
      </w:pPr>
      <w:rPr>
        <w:rFonts w:ascii="Wingdings" w:hAnsi="Wingdings" w:hint="default"/>
      </w:rPr>
    </w:lvl>
  </w:abstractNum>
  <w:abstractNum w:abstractNumId="93" w15:restartNumberingAfterBreak="0">
    <w:nsid w:val="42736CCD"/>
    <w:multiLevelType w:val="hybridMultilevel"/>
    <w:tmpl w:val="7AB880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0A299C"/>
    <w:multiLevelType w:val="hybridMultilevel"/>
    <w:tmpl w:val="EE2247C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5" w15:restartNumberingAfterBreak="0">
    <w:nsid w:val="43357A48"/>
    <w:multiLevelType w:val="hybridMultilevel"/>
    <w:tmpl w:val="3B547B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3BE01DD"/>
    <w:multiLevelType w:val="hybridMultilevel"/>
    <w:tmpl w:val="50CE5C0A"/>
    <w:lvl w:ilvl="0" w:tplc="041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58E1B59"/>
    <w:multiLevelType w:val="hybridMultilevel"/>
    <w:tmpl w:val="8FEA8C0A"/>
    <w:lvl w:ilvl="0" w:tplc="DF2C4C70">
      <w:start w:val="1"/>
      <w:numFmt w:val="bullet"/>
      <w:pStyle w:val="NormalBulletSquare"/>
      <w:lvlText w:val=""/>
      <w:lvlJc w:val="left"/>
      <w:pPr>
        <w:ind w:left="720" w:hanging="360"/>
      </w:pPr>
      <w:rPr>
        <w:rFonts w:ascii="Wingdings" w:hAnsi="Wingdings" w:cs="Wingdings" w:hint="default"/>
      </w:rPr>
    </w:lvl>
    <w:lvl w:ilvl="1" w:tplc="04090005">
      <w:start w:val="1"/>
      <w:numFmt w:val="bullet"/>
      <w:lvlText w:val=""/>
      <w:lvlJc w:val="left"/>
      <w:pPr>
        <w:ind w:left="1440" w:hanging="360"/>
      </w:pPr>
      <w:rPr>
        <w:rFonts w:ascii="Wingdings" w:hAnsi="Wingdings" w:cs="Wingdings" w:hint="default"/>
      </w:rPr>
    </w:lvl>
    <w:lvl w:ilvl="2" w:tplc="04090005">
      <w:start w:val="1"/>
      <w:numFmt w:val="bullet"/>
      <w:lvlText w:val=""/>
      <w:lvlJc w:val="left"/>
      <w:pPr>
        <w:ind w:left="2160" w:hanging="180"/>
      </w:pPr>
      <w:rPr>
        <w:rFonts w:ascii="Wingdings" w:hAnsi="Wingdings" w:cs="Wingding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15:restartNumberingAfterBreak="0">
    <w:nsid w:val="45CE3EC0"/>
    <w:multiLevelType w:val="hybridMultilevel"/>
    <w:tmpl w:val="26363502"/>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9" w15:restartNumberingAfterBreak="0">
    <w:nsid w:val="45E63A16"/>
    <w:multiLevelType w:val="hybridMultilevel"/>
    <w:tmpl w:val="2536D0B8"/>
    <w:lvl w:ilvl="0" w:tplc="5CA80678">
      <w:start w:val="1"/>
      <w:numFmt w:val="bullet"/>
      <w:lvlText w:val=""/>
      <w:lvlJc w:val="left"/>
      <w:pPr>
        <w:ind w:left="1308" w:hanging="360"/>
      </w:pPr>
      <w:rPr>
        <w:rFonts w:ascii="Symbol" w:hAnsi="Symbol" w:hint="default"/>
        <w:sz w:val="24"/>
      </w:rPr>
    </w:lvl>
    <w:lvl w:ilvl="1" w:tplc="04180003">
      <w:start w:val="1"/>
      <w:numFmt w:val="bullet"/>
      <w:lvlText w:val="o"/>
      <w:lvlJc w:val="left"/>
      <w:pPr>
        <w:ind w:left="2028" w:hanging="360"/>
      </w:pPr>
      <w:rPr>
        <w:rFonts w:ascii="Courier New" w:hAnsi="Courier New" w:cs="Courier New" w:hint="default"/>
      </w:rPr>
    </w:lvl>
    <w:lvl w:ilvl="2" w:tplc="04180005">
      <w:start w:val="1"/>
      <w:numFmt w:val="bullet"/>
      <w:lvlText w:val=""/>
      <w:lvlJc w:val="left"/>
      <w:pPr>
        <w:ind w:left="2748" w:hanging="360"/>
      </w:pPr>
      <w:rPr>
        <w:rFonts w:ascii="Wingdings" w:hAnsi="Wingdings" w:hint="default"/>
      </w:rPr>
    </w:lvl>
    <w:lvl w:ilvl="3" w:tplc="04180001">
      <w:start w:val="1"/>
      <w:numFmt w:val="bullet"/>
      <w:lvlText w:val=""/>
      <w:lvlJc w:val="left"/>
      <w:pPr>
        <w:ind w:left="3468" w:hanging="360"/>
      </w:pPr>
      <w:rPr>
        <w:rFonts w:ascii="Symbol" w:hAnsi="Symbol" w:hint="default"/>
      </w:rPr>
    </w:lvl>
    <w:lvl w:ilvl="4" w:tplc="04180003">
      <w:start w:val="1"/>
      <w:numFmt w:val="bullet"/>
      <w:lvlText w:val="o"/>
      <w:lvlJc w:val="left"/>
      <w:pPr>
        <w:ind w:left="4188" w:hanging="360"/>
      </w:pPr>
      <w:rPr>
        <w:rFonts w:ascii="Courier New" w:hAnsi="Courier New" w:cs="Courier New" w:hint="default"/>
      </w:rPr>
    </w:lvl>
    <w:lvl w:ilvl="5" w:tplc="04180005">
      <w:start w:val="1"/>
      <w:numFmt w:val="bullet"/>
      <w:lvlText w:val=""/>
      <w:lvlJc w:val="left"/>
      <w:pPr>
        <w:ind w:left="4908" w:hanging="360"/>
      </w:pPr>
      <w:rPr>
        <w:rFonts w:ascii="Wingdings" w:hAnsi="Wingdings" w:hint="default"/>
      </w:rPr>
    </w:lvl>
    <w:lvl w:ilvl="6" w:tplc="04180001">
      <w:start w:val="1"/>
      <w:numFmt w:val="bullet"/>
      <w:lvlText w:val=""/>
      <w:lvlJc w:val="left"/>
      <w:pPr>
        <w:ind w:left="5628" w:hanging="360"/>
      </w:pPr>
      <w:rPr>
        <w:rFonts w:ascii="Symbol" w:hAnsi="Symbol" w:hint="default"/>
      </w:rPr>
    </w:lvl>
    <w:lvl w:ilvl="7" w:tplc="04180003">
      <w:start w:val="1"/>
      <w:numFmt w:val="bullet"/>
      <w:lvlText w:val="o"/>
      <w:lvlJc w:val="left"/>
      <w:pPr>
        <w:ind w:left="6348" w:hanging="360"/>
      </w:pPr>
      <w:rPr>
        <w:rFonts w:ascii="Courier New" w:hAnsi="Courier New" w:cs="Courier New" w:hint="default"/>
      </w:rPr>
    </w:lvl>
    <w:lvl w:ilvl="8" w:tplc="04180005">
      <w:start w:val="1"/>
      <w:numFmt w:val="bullet"/>
      <w:lvlText w:val=""/>
      <w:lvlJc w:val="left"/>
      <w:pPr>
        <w:ind w:left="7068" w:hanging="360"/>
      </w:pPr>
      <w:rPr>
        <w:rFonts w:ascii="Wingdings" w:hAnsi="Wingdings" w:hint="default"/>
      </w:rPr>
    </w:lvl>
  </w:abstractNum>
  <w:abstractNum w:abstractNumId="100" w15:restartNumberingAfterBreak="0">
    <w:nsid w:val="462B3431"/>
    <w:multiLevelType w:val="hybridMultilevel"/>
    <w:tmpl w:val="31BC864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1" w15:restartNumberingAfterBreak="0">
    <w:nsid w:val="46504108"/>
    <w:multiLevelType w:val="hybridMultilevel"/>
    <w:tmpl w:val="41DAAE0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6946A85"/>
    <w:multiLevelType w:val="hybridMultilevel"/>
    <w:tmpl w:val="9ACE6648"/>
    <w:lvl w:ilvl="0" w:tplc="2354A7E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3" w15:restartNumberingAfterBreak="0">
    <w:nsid w:val="46B016E3"/>
    <w:multiLevelType w:val="hybridMultilevel"/>
    <w:tmpl w:val="22CEA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6B13847"/>
    <w:multiLevelType w:val="hybridMultilevel"/>
    <w:tmpl w:val="89BA2A6A"/>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5" w15:restartNumberingAfterBreak="0">
    <w:nsid w:val="473D31EB"/>
    <w:multiLevelType w:val="hybridMultilevel"/>
    <w:tmpl w:val="69766316"/>
    <w:lvl w:ilvl="0" w:tplc="DFE6320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47FC4ECD"/>
    <w:multiLevelType w:val="hybridMultilevel"/>
    <w:tmpl w:val="BF7C6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84B1D8C"/>
    <w:multiLevelType w:val="hybridMultilevel"/>
    <w:tmpl w:val="AA0AC42E"/>
    <w:lvl w:ilvl="0" w:tplc="8F7C2168">
      <w:start w:val="1"/>
      <w:numFmt w:val="upperRoman"/>
      <w:lvlText w:val="%1."/>
      <w:lvlJc w:val="left"/>
      <w:pPr>
        <w:ind w:left="1080" w:hanging="720"/>
      </w:pPr>
      <w:rPr>
        <w:rFonts w:hint="default"/>
        <w:b/>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95D26A1"/>
    <w:multiLevelType w:val="multilevel"/>
    <w:tmpl w:val="6A4ECF7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9" w15:restartNumberingAfterBreak="0">
    <w:nsid w:val="4A2117BA"/>
    <w:multiLevelType w:val="hybridMultilevel"/>
    <w:tmpl w:val="C6C05EF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4A403D5E"/>
    <w:multiLevelType w:val="hybridMultilevel"/>
    <w:tmpl w:val="014410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B320A5F"/>
    <w:multiLevelType w:val="hybridMultilevel"/>
    <w:tmpl w:val="22DE0EFA"/>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12" w15:restartNumberingAfterBreak="0">
    <w:nsid w:val="4CE069BF"/>
    <w:multiLevelType w:val="hybridMultilevel"/>
    <w:tmpl w:val="2420269C"/>
    <w:lvl w:ilvl="0" w:tplc="38C68F3E">
      <w:start w:val="15"/>
      <w:numFmt w:val="bullet"/>
      <w:lvlText w:val="-"/>
      <w:lvlJc w:val="left"/>
      <w:pPr>
        <w:ind w:left="720" w:hanging="360"/>
      </w:pPr>
      <w:rPr>
        <w:rFonts w:ascii="Calibri" w:eastAsia="SimSu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F0B1E7D"/>
    <w:multiLevelType w:val="hybridMultilevel"/>
    <w:tmpl w:val="8BC6C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4" w15:restartNumberingAfterBreak="0">
    <w:nsid w:val="4FA837F9"/>
    <w:multiLevelType w:val="hybridMultilevel"/>
    <w:tmpl w:val="1A84A0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02D1A7B"/>
    <w:multiLevelType w:val="hybridMultilevel"/>
    <w:tmpl w:val="8E863A6E"/>
    <w:lvl w:ilvl="0" w:tplc="F75E8166">
      <w:start w:val="2"/>
      <w:numFmt w:val="upperRoman"/>
      <w:lvlText w:val="%1."/>
      <w:lvlJc w:val="left"/>
      <w:pPr>
        <w:ind w:left="1080" w:hanging="72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13644CE"/>
    <w:multiLevelType w:val="hybridMultilevel"/>
    <w:tmpl w:val="6DB89AA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7" w15:restartNumberingAfterBreak="0">
    <w:nsid w:val="5188273E"/>
    <w:multiLevelType w:val="hybridMultilevel"/>
    <w:tmpl w:val="9A6CAE32"/>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1F163D1"/>
    <w:multiLevelType w:val="hybridMultilevel"/>
    <w:tmpl w:val="35A0B1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3576836"/>
    <w:multiLevelType w:val="hybridMultilevel"/>
    <w:tmpl w:val="361AF1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538D1630"/>
    <w:multiLevelType w:val="hybridMultilevel"/>
    <w:tmpl w:val="F476F3C0"/>
    <w:lvl w:ilvl="0" w:tplc="FCD62D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3B225B3"/>
    <w:multiLevelType w:val="hybridMultilevel"/>
    <w:tmpl w:val="FED86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4771A97"/>
    <w:multiLevelType w:val="hybridMultilevel"/>
    <w:tmpl w:val="9C9EF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4D95CD0"/>
    <w:multiLevelType w:val="hybridMultilevel"/>
    <w:tmpl w:val="CDB09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553062A"/>
    <w:multiLevelType w:val="hybridMultilevel"/>
    <w:tmpl w:val="515EDE2A"/>
    <w:lvl w:ilvl="0" w:tplc="E4AC54BA">
      <w:numFmt w:val="bullet"/>
      <w:lvlText w:val="-"/>
      <w:lvlJc w:val="left"/>
      <w:pPr>
        <w:ind w:left="720" w:hanging="360"/>
      </w:pPr>
      <w:rPr>
        <w:rFonts w:ascii="Calibri" w:eastAsia="SimSun" w:hAnsi="Calibri"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5C0770B"/>
    <w:multiLevelType w:val="hybridMultilevel"/>
    <w:tmpl w:val="2A0EA536"/>
    <w:lvl w:ilvl="0" w:tplc="B3BCACDE">
      <w:start w:val="1"/>
      <w:numFmt w:val="lowerLetter"/>
      <w:lvlText w:val="%1)"/>
      <w:lvlJc w:val="left"/>
      <w:pPr>
        <w:ind w:left="818" w:hanging="360"/>
      </w:pPr>
      <w:rPr>
        <w:b/>
      </w:rPr>
    </w:lvl>
    <w:lvl w:ilvl="1" w:tplc="04180019">
      <w:start w:val="1"/>
      <w:numFmt w:val="lowerLetter"/>
      <w:lvlText w:val="%2."/>
      <w:lvlJc w:val="left"/>
      <w:pPr>
        <w:ind w:left="1538" w:hanging="360"/>
      </w:pPr>
    </w:lvl>
    <w:lvl w:ilvl="2" w:tplc="0418001B">
      <w:start w:val="1"/>
      <w:numFmt w:val="lowerRoman"/>
      <w:lvlText w:val="%3."/>
      <w:lvlJc w:val="right"/>
      <w:pPr>
        <w:ind w:left="2258" w:hanging="180"/>
      </w:pPr>
    </w:lvl>
    <w:lvl w:ilvl="3" w:tplc="0418000F">
      <w:start w:val="1"/>
      <w:numFmt w:val="decimal"/>
      <w:lvlText w:val="%4."/>
      <w:lvlJc w:val="left"/>
      <w:pPr>
        <w:ind w:left="2978" w:hanging="360"/>
      </w:pPr>
    </w:lvl>
    <w:lvl w:ilvl="4" w:tplc="04180019">
      <w:start w:val="1"/>
      <w:numFmt w:val="lowerLetter"/>
      <w:lvlText w:val="%5."/>
      <w:lvlJc w:val="left"/>
      <w:pPr>
        <w:ind w:left="3698" w:hanging="360"/>
      </w:pPr>
    </w:lvl>
    <w:lvl w:ilvl="5" w:tplc="0418001B">
      <w:start w:val="1"/>
      <w:numFmt w:val="lowerRoman"/>
      <w:lvlText w:val="%6."/>
      <w:lvlJc w:val="right"/>
      <w:pPr>
        <w:ind w:left="4418" w:hanging="180"/>
      </w:pPr>
    </w:lvl>
    <w:lvl w:ilvl="6" w:tplc="0418000F">
      <w:start w:val="1"/>
      <w:numFmt w:val="decimal"/>
      <w:lvlText w:val="%7."/>
      <w:lvlJc w:val="left"/>
      <w:pPr>
        <w:ind w:left="5138" w:hanging="360"/>
      </w:pPr>
    </w:lvl>
    <w:lvl w:ilvl="7" w:tplc="04180019">
      <w:start w:val="1"/>
      <w:numFmt w:val="lowerLetter"/>
      <w:lvlText w:val="%8."/>
      <w:lvlJc w:val="left"/>
      <w:pPr>
        <w:ind w:left="5858" w:hanging="360"/>
      </w:pPr>
    </w:lvl>
    <w:lvl w:ilvl="8" w:tplc="0418001B">
      <w:start w:val="1"/>
      <w:numFmt w:val="lowerRoman"/>
      <w:lvlText w:val="%9."/>
      <w:lvlJc w:val="right"/>
      <w:pPr>
        <w:ind w:left="6578" w:hanging="180"/>
      </w:pPr>
    </w:lvl>
  </w:abstractNum>
  <w:abstractNum w:abstractNumId="126" w15:restartNumberingAfterBreak="0">
    <w:nsid w:val="5677675E"/>
    <w:multiLevelType w:val="hybridMultilevel"/>
    <w:tmpl w:val="9A26375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57621D63"/>
    <w:multiLevelType w:val="hybridMultilevel"/>
    <w:tmpl w:val="284A0B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B4D5040"/>
    <w:multiLevelType w:val="hybridMultilevel"/>
    <w:tmpl w:val="7AD6EAAA"/>
    <w:lvl w:ilvl="0" w:tplc="04090001">
      <w:start w:val="1"/>
      <w:numFmt w:val="bullet"/>
      <w:lvlText w:val=""/>
      <w:lvlJc w:val="left"/>
      <w:pPr>
        <w:ind w:left="800" w:hanging="360"/>
      </w:pPr>
      <w:rPr>
        <w:rFonts w:ascii="Symbol" w:hAnsi="Symbol" w:hint="default"/>
      </w:rPr>
    </w:lvl>
    <w:lvl w:ilvl="1" w:tplc="04090003">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29" w15:restartNumberingAfterBreak="0">
    <w:nsid w:val="5D380526"/>
    <w:multiLevelType w:val="hybridMultilevel"/>
    <w:tmpl w:val="4A840FFA"/>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0" w15:restartNumberingAfterBreak="0">
    <w:nsid w:val="5DA12371"/>
    <w:multiLevelType w:val="hybridMultilevel"/>
    <w:tmpl w:val="23EED470"/>
    <w:lvl w:ilvl="0" w:tplc="53CE5F36">
      <w:start w:val="1"/>
      <w:numFmt w:val="bullet"/>
      <w:lvlText w:val=""/>
      <w:lvlJc w:val="left"/>
      <w:pPr>
        <w:ind w:left="360" w:hanging="360"/>
      </w:pPr>
      <w:rPr>
        <w:rFonts w:ascii="Wingdings" w:hAnsi="Wingdings" w:hint="default"/>
        <w:color w:val="0070C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FB0400E"/>
    <w:multiLevelType w:val="hybridMultilevel"/>
    <w:tmpl w:val="E8A6C9E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2" w15:restartNumberingAfterBreak="0">
    <w:nsid w:val="61F658E1"/>
    <w:multiLevelType w:val="hybridMultilevel"/>
    <w:tmpl w:val="0AF84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2260558"/>
    <w:multiLevelType w:val="hybridMultilevel"/>
    <w:tmpl w:val="69E29708"/>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4" w15:restartNumberingAfterBreak="0">
    <w:nsid w:val="63EF0CF9"/>
    <w:multiLevelType w:val="hybridMultilevel"/>
    <w:tmpl w:val="C67E5772"/>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5" w15:restartNumberingAfterBreak="0">
    <w:nsid w:val="67527351"/>
    <w:multiLevelType w:val="hybridMultilevel"/>
    <w:tmpl w:val="7458CD62"/>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7D47F40"/>
    <w:multiLevelType w:val="hybridMultilevel"/>
    <w:tmpl w:val="19AE7990"/>
    <w:lvl w:ilvl="0" w:tplc="72C8CB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839311A"/>
    <w:multiLevelType w:val="hybridMultilevel"/>
    <w:tmpl w:val="BA029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9691BDF"/>
    <w:multiLevelType w:val="hybridMultilevel"/>
    <w:tmpl w:val="BCE0843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9F109A8"/>
    <w:multiLevelType w:val="hybridMultilevel"/>
    <w:tmpl w:val="4302038C"/>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6ABE4B49"/>
    <w:multiLevelType w:val="hybridMultilevel"/>
    <w:tmpl w:val="EC24E8BE"/>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1" w15:restartNumberingAfterBreak="0">
    <w:nsid w:val="6B530D97"/>
    <w:multiLevelType w:val="hybridMultilevel"/>
    <w:tmpl w:val="3172622C"/>
    <w:lvl w:ilvl="0" w:tplc="83664F8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15:restartNumberingAfterBreak="0">
    <w:nsid w:val="6B8A58A4"/>
    <w:multiLevelType w:val="hybridMultilevel"/>
    <w:tmpl w:val="3EC22150"/>
    <w:lvl w:ilvl="0" w:tplc="65CE1B88">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C507E03"/>
    <w:multiLevelType w:val="hybridMultilevel"/>
    <w:tmpl w:val="7CC4EA76"/>
    <w:lvl w:ilvl="0" w:tplc="0409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44" w15:restartNumberingAfterBreak="0">
    <w:nsid w:val="6CC6418A"/>
    <w:multiLevelType w:val="hybridMultilevel"/>
    <w:tmpl w:val="3C10B7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5" w15:restartNumberingAfterBreak="0">
    <w:nsid w:val="6CE43510"/>
    <w:multiLevelType w:val="hybridMultilevel"/>
    <w:tmpl w:val="AD4A9FB6"/>
    <w:lvl w:ilvl="0" w:tplc="2354A7E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6" w15:restartNumberingAfterBreak="0">
    <w:nsid w:val="6E0A38C8"/>
    <w:multiLevelType w:val="hybridMultilevel"/>
    <w:tmpl w:val="3A4AA38E"/>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F142B5E"/>
    <w:multiLevelType w:val="hybridMultilevel"/>
    <w:tmpl w:val="61FC7A22"/>
    <w:lvl w:ilvl="0" w:tplc="5E041BD8">
      <w:numFmt w:val="bullet"/>
      <w:lvlText w:val="-"/>
      <w:lvlJc w:val="left"/>
      <w:pPr>
        <w:tabs>
          <w:tab w:val="num" w:pos="720"/>
        </w:tabs>
        <w:ind w:left="720" w:hanging="360"/>
      </w:pPr>
      <w:rPr>
        <w:rFonts w:ascii="Calibri" w:eastAsia="Times New Roman" w:hAnsi="Calibri"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6F4D3C1F"/>
    <w:multiLevelType w:val="hybridMultilevel"/>
    <w:tmpl w:val="7E807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F8F0259"/>
    <w:multiLevelType w:val="hybridMultilevel"/>
    <w:tmpl w:val="A3E6374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70105AAF"/>
    <w:multiLevelType w:val="hybridMultilevel"/>
    <w:tmpl w:val="49AE2E0A"/>
    <w:lvl w:ilvl="0" w:tplc="5CA80678">
      <w:start w:val="1"/>
      <w:numFmt w:val="bullet"/>
      <w:lvlText w:val=""/>
      <w:lvlJc w:val="left"/>
      <w:pPr>
        <w:ind w:left="2520" w:hanging="360"/>
      </w:pPr>
      <w:rPr>
        <w:rFonts w:ascii="Symbol" w:hAnsi="Symbol" w:hint="default"/>
        <w:sz w:val="24"/>
      </w:rPr>
    </w:lvl>
    <w:lvl w:ilvl="1" w:tplc="04180003">
      <w:start w:val="1"/>
      <w:numFmt w:val="bullet"/>
      <w:lvlText w:val="o"/>
      <w:lvlJc w:val="left"/>
      <w:pPr>
        <w:ind w:left="3240" w:hanging="360"/>
      </w:pPr>
      <w:rPr>
        <w:rFonts w:ascii="Courier New" w:hAnsi="Courier New" w:cs="Courier New" w:hint="default"/>
      </w:rPr>
    </w:lvl>
    <w:lvl w:ilvl="2" w:tplc="04180005">
      <w:start w:val="1"/>
      <w:numFmt w:val="bullet"/>
      <w:lvlText w:val=""/>
      <w:lvlJc w:val="left"/>
      <w:pPr>
        <w:ind w:left="3960" w:hanging="360"/>
      </w:pPr>
      <w:rPr>
        <w:rFonts w:ascii="Wingdings" w:hAnsi="Wingdings" w:hint="default"/>
      </w:rPr>
    </w:lvl>
    <w:lvl w:ilvl="3" w:tplc="04180001">
      <w:start w:val="1"/>
      <w:numFmt w:val="bullet"/>
      <w:lvlText w:val=""/>
      <w:lvlJc w:val="left"/>
      <w:pPr>
        <w:ind w:left="4680" w:hanging="360"/>
      </w:pPr>
      <w:rPr>
        <w:rFonts w:ascii="Symbol" w:hAnsi="Symbol" w:hint="default"/>
      </w:rPr>
    </w:lvl>
    <w:lvl w:ilvl="4" w:tplc="04180003">
      <w:start w:val="1"/>
      <w:numFmt w:val="bullet"/>
      <w:lvlText w:val="o"/>
      <w:lvlJc w:val="left"/>
      <w:pPr>
        <w:ind w:left="5400" w:hanging="360"/>
      </w:pPr>
      <w:rPr>
        <w:rFonts w:ascii="Courier New" w:hAnsi="Courier New" w:cs="Courier New" w:hint="default"/>
      </w:rPr>
    </w:lvl>
    <w:lvl w:ilvl="5" w:tplc="04180005">
      <w:start w:val="1"/>
      <w:numFmt w:val="bullet"/>
      <w:lvlText w:val=""/>
      <w:lvlJc w:val="left"/>
      <w:pPr>
        <w:ind w:left="6120" w:hanging="360"/>
      </w:pPr>
      <w:rPr>
        <w:rFonts w:ascii="Wingdings" w:hAnsi="Wingdings" w:hint="default"/>
      </w:rPr>
    </w:lvl>
    <w:lvl w:ilvl="6" w:tplc="04180001">
      <w:start w:val="1"/>
      <w:numFmt w:val="bullet"/>
      <w:lvlText w:val=""/>
      <w:lvlJc w:val="left"/>
      <w:pPr>
        <w:ind w:left="6840" w:hanging="360"/>
      </w:pPr>
      <w:rPr>
        <w:rFonts w:ascii="Symbol" w:hAnsi="Symbol" w:hint="default"/>
      </w:rPr>
    </w:lvl>
    <w:lvl w:ilvl="7" w:tplc="04180003">
      <w:start w:val="1"/>
      <w:numFmt w:val="bullet"/>
      <w:lvlText w:val="o"/>
      <w:lvlJc w:val="left"/>
      <w:pPr>
        <w:ind w:left="7560" w:hanging="360"/>
      </w:pPr>
      <w:rPr>
        <w:rFonts w:ascii="Courier New" w:hAnsi="Courier New" w:cs="Courier New" w:hint="default"/>
      </w:rPr>
    </w:lvl>
    <w:lvl w:ilvl="8" w:tplc="04180005">
      <w:start w:val="1"/>
      <w:numFmt w:val="bullet"/>
      <w:lvlText w:val=""/>
      <w:lvlJc w:val="left"/>
      <w:pPr>
        <w:ind w:left="8280" w:hanging="360"/>
      </w:pPr>
      <w:rPr>
        <w:rFonts w:ascii="Wingdings" w:hAnsi="Wingdings" w:hint="default"/>
      </w:rPr>
    </w:lvl>
  </w:abstractNum>
  <w:abstractNum w:abstractNumId="151" w15:restartNumberingAfterBreak="0">
    <w:nsid w:val="705C4549"/>
    <w:multiLevelType w:val="hybridMultilevel"/>
    <w:tmpl w:val="66286D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08F5FEA"/>
    <w:multiLevelType w:val="hybridMultilevel"/>
    <w:tmpl w:val="BADAF2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0F83288"/>
    <w:multiLevelType w:val="hybridMultilevel"/>
    <w:tmpl w:val="743829D6"/>
    <w:lvl w:ilvl="0" w:tplc="0409000B">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54" w15:restartNumberingAfterBreak="0">
    <w:nsid w:val="71F51606"/>
    <w:multiLevelType w:val="hybridMultilevel"/>
    <w:tmpl w:val="F5BCE0AE"/>
    <w:lvl w:ilvl="0" w:tplc="4216BF4C">
      <w:start w:val="1"/>
      <w:numFmt w:val="upperLetter"/>
      <w:lvlText w:val="%1."/>
      <w:lvlJc w:val="left"/>
      <w:pPr>
        <w:ind w:left="1095" w:hanging="375"/>
      </w:pPr>
      <w:rPr>
        <w:rFonts w:hint="default"/>
        <w:u w:val="single"/>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55" w15:restartNumberingAfterBreak="0">
    <w:nsid w:val="72EA5BB1"/>
    <w:multiLevelType w:val="hybridMultilevel"/>
    <w:tmpl w:val="A1025BD6"/>
    <w:lvl w:ilvl="0" w:tplc="0418000B">
      <w:start w:val="1"/>
      <w:numFmt w:val="bullet"/>
      <w:lvlText w:val=""/>
      <w:lvlJc w:val="left"/>
      <w:pPr>
        <w:ind w:left="1440" w:hanging="360"/>
      </w:pPr>
      <w:rPr>
        <w:rFonts w:ascii="Wingdings" w:hAnsi="Wingdings"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56" w15:restartNumberingAfterBreak="0">
    <w:nsid w:val="72ED333C"/>
    <w:multiLevelType w:val="hybridMultilevel"/>
    <w:tmpl w:val="DF160476"/>
    <w:lvl w:ilvl="0" w:tplc="08090001">
      <w:start w:val="1"/>
      <w:numFmt w:val="bullet"/>
      <w:lvlText w:val=""/>
      <w:lvlJc w:val="left"/>
      <w:pPr>
        <w:tabs>
          <w:tab w:val="num" w:pos="720"/>
        </w:tabs>
        <w:ind w:left="720" w:hanging="360"/>
      </w:pPr>
      <w:rPr>
        <w:rFonts w:ascii="Symbol" w:hAnsi="Symbol" w:hint="default"/>
      </w:rPr>
    </w:lvl>
    <w:lvl w:ilvl="1" w:tplc="7CDA3C48">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733206B3"/>
    <w:multiLevelType w:val="hybridMultilevel"/>
    <w:tmpl w:val="67C20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3B403BD"/>
    <w:multiLevelType w:val="hybridMultilevel"/>
    <w:tmpl w:val="1BF4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3D222FF"/>
    <w:multiLevelType w:val="hybridMultilevel"/>
    <w:tmpl w:val="CE369BB2"/>
    <w:lvl w:ilvl="0" w:tplc="A9D610B4">
      <w:start w:val="1"/>
      <w:numFmt w:val="bullet"/>
      <w:lvlText w:val=""/>
      <w:lvlJc w:val="left"/>
      <w:pPr>
        <w:ind w:left="502" w:hanging="360"/>
      </w:pPr>
      <w:rPr>
        <w:rFonts w:ascii="Wingdings" w:hAnsi="Wingdings" w:hint="default"/>
        <w:strike w:val="0"/>
      </w:rPr>
    </w:lvl>
    <w:lvl w:ilvl="1" w:tplc="04180003" w:tentative="1">
      <w:start w:val="1"/>
      <w:numFmt w:val="bullet"/>
      <w:lvlText w:val="o"/>
      <w:lvlJc w:val="left"/>
      <w:pPr>
        <w:ind w:left="1497" w:hanging="360"/>
      </w:pPr>
      <w:rPr>
        <w:rFonts w:ascii="Courier New" w:hAnsi="Courier New" w:cs="Courier New" w:hint="default"/>
      </w:rPr>
    </w:lvl>
    <w:lvl w:ilvl="2" w:tplc="04180005" w:tentative="1">
      <w:start w:val="1"/>
      <w:numFmt w:val="bullet"/>
      <w:lvlText w:val=""/>
      <w:lvlJc w:val="left"/>
      <w:pPr>
        <w:ind w:left="2217" w:hanging="360"/>
      </w:pPr>
      <w:rPr>
        <w:rFonts w:ascii="Wingdings" w:hAnsi="Wingdings" w:hint="default"/>
      </w:rPr>
    </w:lvl>
    <w:lvl w:ilvl="3" w:tplc="04180001" w:tentative="1">
      <w:start w:val="1"/>
      <w:numFmt w:val="bullet"/>
      <w:lvlText w:val=""/>
      <w:lvlJc w:val="left"/>
      <w:pPr>
        <w:ind w:left="2937" w:hanging="360"/>
      </w:pPr>
      <w:rPr>
        <w:rFonts w:ascii="Symbol" w:hAnsi="Symbol" w:hint="default"/>
      </w:rPr>
    </w:lvl>
    <w:lvl w:ilvl="4" w:tplc="04180003" w:tentative="1">
      <w:start w:val="1"/>
      <w:numFmt w:val="bullet"/>
      <w:lvlText w:val="o"/>
      <w:lvlJc w:val="left"/>
      <w:pPr>
        <w:ind w:left="3657" w:hanging="360"/>
      </w:pPr>
      <w:rPr>
        <w:rFonts w:ascii="Courier New" w:hAnsi="Courier New" w:cs="Courier New" w:hint="default"/>
      </w:rPr>
    </w:lvl>
    <w:lvl w:ilvl="5" w:tplc="04180005" w:tentative="1">
      <w:start w:val="1"/>
      <w:numFmt w:val="bullet"/>
      <w:lvlText w:val=""/>
      <w:lvlJc w:val="left"/>
      <w:pPr>
        <w:ind w:left="4377" w:hanging="360"/>
      </w:pPr>
      <w:rPr>
        <w:rFonts w:ascii="Wingdings" w:hAnsi="Wingdings" w:hint="default"/>
      </w:rPr>
    </w:lvl>
    <w:lvl w:ilvl="6" w:tplc="04180001" w:tentative="1">
      <w:start w:val="1"/>
      <w:numFmt w:val="bullet"/>
      <w:lvlText w:val=""/>
      <w:lvlJc w:val="left"/>
      <w:pPr>
        <w:ind w:left="5097" w:hanging="360"/>
      </w:pPr>
      <w:rPr>
        <w:rFonts w:ascii="Symbol" w:hAnsi="Symbol" w:hint="default"/>
      </w:rPr>
    </w:lvl>
    <w:lvl w:ilvl="7" w:tplc="04180003" w:tentative="1">
      <w:start w:val="1"/>
      <w:numFmt w:val="bullet"/>
      <w:lvlText w:val="o"/>
      <w:lvlJc w:val="left"/>
      <w:pPr>
        <w:ind w:left="5817" w:hanging="360"/>
      </w:pPr>
      <w:rPr>
        <w:rFonts w:ascii="Courier New" w:hAnsi="Courier New" w:cs="Courier New" w:hint="default"/>
      </w:rPr>
    </w:lvl>
    <w:lvl w:ilvl="8" w:tplc="04180005" w:tentative="1">
      <w:start w:val="1"/>
      <w:numFmt w:val="bullet"/>
      <w:lvlText w:val=""/>
      <w:lvlJc w:val="left"/>
      <w:pPr>
        <w:ind w:left="6537" w:hanging="360"/>
      </w:pPr>
      <w:rPr>
        <w:rFonts w:ascii="Wingdings" w:hAnsi="Wingdings" w:hint="default"/>
      </w:rPr>
    </w:lvl>
  </w:abstractNum>
  <w:abstractNum w:abstractNumId="160" w15:restartNumberingAfterBreak="0">
    <w:nsid w:val="74873D10"/>
    <w:multiLevelType w:val="hybridMultilevel"/>
    <w:tmpl w:val="525CF5F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51B5F48"/>
    <w:multiLevelType w:val="hybridMultilevel"/>
    <w:tmpl w:val="33F6BD28"/>
    <w:lvl w:ilvl="0" w:tplc="0409000D">
      <w:start w:val="1"/>
      <w:numFmt w:val="bullet"/>
      <w:lvlText w:val=""/>
      <w:lvlJc w:val="left"/>
      <w:pPr>
        <w:ind w:left="720" w:hanging="360"/>
      </w:pPr>
      <w:rPr>
        <w:rFonts w:ascii="Wingdings" w:hAnsi="Wingding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2" w15:restartNumberingAfterBreak="0">
    <w:nsid w:val="75D42626"/>
    <w:multiLevelType w:val="hybridMultilevel"/>
    <w:tmpl w:val="7F88055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75DA05CD"/>
    <w:multiLevelType w:val="hybridMultilevel"/>
    <w:tmpl w:val="7BC474E0"/>
    <w:lvl w:ilvl="0" w:tplc="0409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64" w15:restartNumberingAfterBreak="0">
    <w:nsid w:val="76392E32"/>
    <w:multiLevelType w:val="hybridMultilevel"/>
    <w:tmpl w:val="E96447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6ED2EE4"/>
    <w:multiLevelType w:val="hybridMultilevel"/>
    <w:tmpl w:val="5C96833C"/>
    <w:lvl w:ilvl="0" w:tplc="53CE5F36">
      <w:start w:val="1"/>
      <w:numFmt w:val="bullet"/>
      <w:lvlText w:val=""/>
      <w:lvlJc w:val="left"/>
      <w:pPr>
        <w:ind w:left="780" w:hanging="360"/>
      </w:pPr>
      <w:rPr>
        <w:rFonts w:ascii="Wingdings" w:hAnsi="Wingdings" w:hint="default"/>
        <w:color w:val="0070C0"/>
        <w:sz w:val="36"/>
        <w:szCs w:val="36"/>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6" w15:restartNumberingAfterBreak="0">
    <w:nsid w:val="77511EA6"/>
    <w:multiLevelType w:val="hybridMultilevel"/>
    <w:tmpl w:val="C818C1F6"/>
    <w:lvl w:ilvl="0" w:tplc="B52E3B92">
      <w:start w:val="1"/>
      <w:numFmt w:val="bullet"/>
      <w:lvlText w:val="-"/>
      <w:lvlJc w:val="left"/>
      <w:pPr>
        <w:ind w:left="720" w:hanging="360"/>
      </w:pPr>
      <w:rPr>
        <w:rFonts w:ascii="Trebuchet MS" w:eastAsia="Calibri" w:hAnsi="Trebuchet MS" w:cs="Open San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7" w15:restartNumberingAfterBreak="0">
    <w:nsid w:val="775F54CF"/>
    <w:multiLevelType w:val="hybridMultilevel"/>
    <w:tmpl w:val="BF68A488"/>
    <w:lvl w:ilvl="0" w:tplc="04090003">
      <w:start w:val="1"/>
      <w:numFmt w:val="bullet"/>
      <w:lvlText w:val="o"/>
      <w:lvlJc w:val="left"/>
      <w:pPr>
        <w:ind w:left="1440" w:hanging="360"/>
      </w:pPr>
      <w:rPr>
        <w:rFonts w:ascii="Courier New" w:hAnsi="Courier New" w:cs="Courier New" w:hint="default"/>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cs="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cs="Courier New" w:hint="default"/>
      </w:rPr>
    </w:lvl>
    <w:lvl w:ilvl="8" w:tplc="04180005">
      <w:start w:val="1"/>
      <w:numFmt w:val="bullet"/>
      <w:lvlText w:val=""/>
      <w:lvlJc w:val="left"/>
      <w:pPr>
        <w:ind w:left="7200" w:hanging="360"/>
      </w:pPr>
      <w:rPr>
        <w:rFonts w:ascii="Wingdings" w:hAnsi="Wingdings" w:hint="default"/>
      </w:rPr>
    </w:lvl>
  </w:abstractNum>
  <w:abstractNum w:abstractNumId="168" w15:restartNumberingAfterBreak="0">
    <w:nsid w:val="776B0F57"/>
    <w:multiLevelType w:val="hybridMultilevel"/>
    <w:tmpl w:val="6DA24F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7A13C98"/>
    <w:multiLevelType w:val="hybridMultilevel"/>
    <w:tmpl w:val="8DB6F168"/>
    <w:lvl w:ilvl="0" w:tplc="382EC394">
      <w:numFmt w:val="bullet"/>
      <w:lvlText w:val="-"/>
      <w:lvlJc w:val="left"/>
      <w:pPr>
        <w:ind w:left="1080" w:hanging="360"/>
      </w:pPr>
      <w:rPr>
        <w:rFonts w:ascii="Times New Roman" w:eastAsia="SimSun" w:hAnsi="Times New Roman" w:cs="Times New Roman" w:hint="default"/>
        <w:color w:val="auto"/>
        <w:sz w:val="28"/>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0" w15:restartNumberingAfterBreak="0">
    <w:nsid w:val="78D130F8"/>
    <w:multiLevelType w:val="hybridMultilevel"/>
    <w:tmpl w:val="8C18E002"/>
    <w:lvl w:ilvl="0" w:tplc="041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A142CF0"/>
    <w:multiLevelType w:val="hybridMultilevel"/>
    <w:tmpl w:val="7EDC2306"/>
    <w:lvl w:ilvl="0" w:tplc="43683908">
      <w:start w:val="1"/>
      <w:numFmt w:val="bullet"/>
      <w:lvlText w:val="-"/>
      <w:lvlJc w:val="left"/>
      <w:pPr>
        <w:ind w:left="1647" w:hanging="360"/>
      </w:pPr>
      <w:rPr>
        <w:rFonts w:ascii="Trebuchet MS" w:eastAsia="Times New Roman" w:hAnsi="Trebuchet MS" w:cs="Times New Roman" w:hint="default"/>
        <w:b/>
        <w:color w:val="000000"/>
      </w:rPr>
    </w:lvl>
    <w:lvl w:ilvl="1" w:tplc="04180003" w:tentative="1">
      <w:start w:val="1"/>
      <w:numFmt w:val="bullet"/>
      <w:lvlText w:val="o"/>
      <w:lvlJc w:val="left"/>
      <w:pPr>
        <w:ind w:left="2367" w:hanging="360"/>
      </w:pPr>
      <w:rPr>
        <w:rFonts w:ascii="Courier New" w:hAnsi="Courier New" w:cs="Courier New" w:hint="default"/>
      </w:rPr>
    </w:lvl>
    <w:lvl w:ilvl="2" w:tplc="04180005" w:tentative="1">
      <w:start w:val="1"/>
      <w:numFmt w:val="bullet"/>
      <w:lvlText w:val=""/>
      <w:lvlJc w:val="left"/>
      <w:pPr>
        <w:ind w:left="3087" w:hanging="360"/>
      </w:pPr>
      <w:rPr>
        <w:rFonts w:ascii="Wingdings" w:hAnsi="Wingdings" w:hint="default"/>
      </w:rPr>
    </w:lvl>
    <w:lvl w:ilvl="3" w:tplc="04180001" w:tentative="1">
      <w:start w:val="1"/>
      <w:numFmt w:val="bullet"/>
      <w:lvlText w:val=""/>
      <w:lvlJc w:val="left"/>
      <w:pPr>
        <w:ind w:left="3807" w:hanging="360"/>
      </w:pPr>
      <w:rPr>
        <w:rFonts w:ascii="Symbol" w:hAnsi="Symbol" w:hint="default"/>
      </w:rPr>
    </w:lvl>
    <w:lvl w:ilvl="4" w:tplc="04180003" w:tentative="1">
      <w:start w:val="1"/>
      <w:numFmt w:val="bullet"/>
      <w:lvlText w:val="o"/>
      <w:lvlJc w:val="left"/>
      <w:pPr>
        <w:ind w:left="4527" w:hanging="360"/>
      </w:pPr>
      <w:rPr>
        <w:rFonts w:ascii="Courier New" w:hAnsi="Courier New" w:cs="Courier New" w:hint="default"/>
      </w:rPr>
    </w:lvl>
    <w:lvl w:ilvl="5" w:tplc="04180005" w:tentative="1">
      <w:start w:val="1"/>
      <w:numFmt w:val="bullet"/>
      <w:lvlText w:val=""/>
      <w:lvlJc w:val="left"/>
      <w:pPr>
        <w:ind w:left="5247" w:hanging="360"/>
      </w:pPr>
      <w:rPr>
        <w:rFonts w:ascii="Wingdings" w:hAnsi="Wingdings" w:hint="default"/>
      </w:rPr>
    </w:lvl>
    <w:lvl w:ilvl="6" w:tplc="04180001" w:tentative="1">
      <w:start w:val="1"/>
      <w:numFmt w:val="bullet"/>
      <w:lvlText w:val=""/>
      <w:lvlJc w:val="left"/>
      <w:pPr>
        <w:ind w:left="5967" w:hanging="360"/>
      </w:pPr>
      <w:rPr>
        <w:rFonts w:ascii="Symbol" w:hAnsi="Symbol" w:hint="default"/>
      </w:rPr>
    </w:lvl>
    <w:lvl w:ilvl="7" w:tplc="04180003" w:tentative="1">
      <w:start w:val="1"/>
      <w:numFmt w:val="bullet"/>
      <w:lvlText w:val="o"/>
      <w:lvlJc w:val="left"/>
      <w:pPr>
        <w:ind w:left="6687" w:hanging="360"/>
      </w:pPr>
      <w:rPr>
        <w:rFonts w:ascii="Courier New" w:hAnsi="Courier New" w:cs="Courier New" w:hint="default"/>
      </w:rPr>
    </w:lvl>
    <w:lvl w:ilvl="8" w:tplc="04180005" w:tentative="1">
      <w:start w:val="1"/>
      <w:numFmt w:val="bullet"/>
      <w:lvlText w:val=""/>
      <w:lvlJc w:val="left"/>
      <w:pPr>
        <w:ind w:left="7407" w:hanging="360"/>
      </w:pPr>
      <w:rPr>
        <w:rFonts w:ascii="Wingdings" w:hAnsi="Wingdings" w:hint="default"/>
      </w:rPr>
    </w:lvl>
  </w:abstractNum>
  <w:abstractNum w:abstractNumId="172" w15:restartNumberingAfterBreak="0">
    <w:nsid w:val="7B136D01"/>
    <w:multiLevelType w:val="hybridMultilevel"/>
    <w:tmpl w:val="25325686"/>
    <w:lvl w:ilvl="0" w:tplc="0E3C60BC">
      <w:start w:val="1"/>
      <w:numFmt w:val="bullet"/>
      <w:pStyle w:val="WW-ListBullet3"/>
      <w:lvlText w:val="-"/>
      <w:lvlJc w:val="left"/>
      <w:pPr>
        <w:ind w:left="1440" w:hanging="360"/>
      </w:pPr>
      <w:rPr>
        <w:rFonts w:ascii="Arial Narrow" w:eastAsia="Times New Roman" w:hAnsi="Arial Narrow" w:hint="default"/>
        <w:color w:val="auto"/>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73" w15:restartNumberingAfterBreak="0">
    <w:nsid w:val="7CA33ADE"/>
    <w:multiLevelType w:val="hybridMultilevel"/>
    <w:tmpl w:val="505AE96C"/>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4" w15:restartNumberingAfterBreak="0">
    <w:nsid w:val="7CA52BDB"/>
    <w:multiLevelType w:val="hybridMultilevel"/>
    <w:tmpl w:val="77FA4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CC56868"/>
    <w:multiLevelType w:val="hybridMultilevel"/>
    <w:tmpl w:val="58647E4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6" w15:restartNumberingAfterBreak="0">
    <w:nsid w:val="7D8525FE"/>
    <w:multiLevelType w:val="hybridMultilevel"/>
    <w:tmpl w:val="65248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19"/>
  </w:num>
  <w:num w:numId="2">
    <w:abstractNumId w:val="35"/>
  </w:num>
  <w:num w:numId="3">
    <w:abstractNumId w:val="4"/>
  </w:num>
  <w:num w:numId="4">
    <w:abstractNumId w:val="172"/>
  </w:num>
  <w:num w:numId="5">
    <w:abstractNumId w:val="64"/>
  </w:num>
  <w:num w:numId="6">
    <w:abstractNumId w:val="3"/>
  </w:num>
  <w:num w:numId="7">
    <w:abstractNumId w:val="2"/>
  </w:num>
  <w:num w:numId="8">
    <w:abstractNumId w:val="97"/>
  </w:num>
  <w:num w:numId="9">
    <w:abstractNumId w:val="168"/>
  </w:num>
  <w:num w:numId="10">
    <w:abstractNumId w:val="124"/>
  </w:num>
  <w:num w:numId="11">
    <w:abstractNumId w:val="83"/>
  </w:num>
  <w:num w:numId="12">
    <w:abstractNumId w:val="19"/>
  </w:num>
  <w:num w:numId="13">
    <w:abstractNumId w:val="21"/>
  </w:num>
  <w:num w:numId="14">
    <w:abstractNumId w:val="143"/>
  </w:num>
  <w:num w:numId="15">
    <w:abstractNumId w:val="39"/>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1"/>
  </w:num>
  <w:num w:numId="18">
    <w:abstractNumId w:val="45"/>
  </w:num>
  <w:num w:numId="19">
    <w:abstractNumId w:val="176"/>
  </w:num>
  <w:num w:numId="20">
    <w:abstractNumId w:val="113"/>
  </w:num>
  <w:num w:numId="21">
    <w:abstractNumId w:val="88"/>
  </w:num>
  <w:num w:numId="22">
    <w:abstractNumId w:val="156"/>
  </w:num>
  <w:num w:numId="23">
    <w:abstractNumId w:val="166"/>
  </w:num>
  <w:num w:numId="24">
    <w:abstractNumId w:val="163"/>
  </w:num>
  <w:num w:numId="25">
    <w:abstractNumId w:val="90"/>
  </w:num>
  <w:num w:numId="26">
    <w:abstractNumId w:val="150"/>
  </w:num>
  <w:num w:numId="27">
    <w:abstractNumId w:val="60"/>
  </w:num>
  <w:num w:numId="28">
    <w:abstractNumId w:val="99"/>
  </w:num>
  <w:num w:numId="29">
    <w:abstractNumId w:val="37"/>
  </w:num>
  <w:num w:numId="30">
    <w:abstractNumId w:val="107"/>
  </w:num>
  <w:num w:numId="31">
    <w:abstractNumId w:val="1"/>
  </w:num>
  <w:num w:numId="32">
    <w:abstractNumId w:val="0"/>
  </w:num>
  <w:num w:numId="33">
    <w:abstractNumId w:val="70"/>
  </w:num>
  <w:num w:numId="34">
    <w:abstractNumId w:val="40"/>
  </w:num>
  <w:num w:numId="35">
    <w:abstractNumId w:val="164"/>
  </w:num>
  <w:num w:numId="36">
    <w:abstractNumId w:val="62"/>
  </w:num>
  <w:num w:numId="37">
    <w:abstractNumId w:val="137"/>
  </w:num>
  <w:num w:numId="38">
    <w:abstractNumId w:val="121"/>
  </w:num>
  <w:num w:numId="39">
    <w:abstractNumId w:val="55"/>
  </w:num>
  <w:num w:numId="40">
    <w:abstractNumId w:val="81"/>
  </w:num>
  <w:num w:numId="41">
    <w:abstractNumId w:val="132"/>
  </w:num>
  <w:num w:numId="42">
    <w:abstractNumId w:val="148"/>
  </w:num>
  <w:num w:numId="43">
    <w:abstractNumId w:val="91"/>
  </w:num>
  <w:num w:numId="44">
    <w:abstractNumId w:val="123"/>
  </w:num>
  <w:num w:numId="45">
    <w:abstractNumId w:val="78"/>
  </w:num>
  <w:num w:numId="46">
    <w:abstractNumId w:val="106"/>
  </w:num>
  <w:num w:numId="47">
    <w:abstractNumId w:val="76"/>
  </w:num>
  <w:num w:numId="48">
    <w:abstractNumId w:val="160"/>
  </w:num>
  <w:num w:numId="49">
    <w:abstractNumId w:val="50"/>
  </w:num>
  <w:num w:numId="50">
    <w:abstractNumId w:val="133"/>
  </w:num>
  <w:num w:numId="51">
    <w:abstractNumId w:val="104"/>
  </w:num>
  <w:num w:numId="52">
    <w:abstractNumId w:val="173"/>
  </w:num>
  <w:num w:numId="53">
    <w:abstractNumId w:val="140"/>
  </w:num>
  <w:num w:numId="54">
    <w:abstractNumId w:val="175"/>
  </w:num>
  <w:num w:numId="55">
    <w:abstractNumId w:val="98"/>
  </w:num>
  <w:num w:numId="56">
    <w:abstractNumId w:val="65"/>
  </w:num>
  <w:num w:numId="57">
    <w:abstractNumId w:val="93"/>
  </w:num>
  <w:num w:numId="58">
    <w:abstractNumId w:val="30"/>
  </w:num>
  <w:num w:numId="59">
    <w:abstractNumId w:val="69"/>
  </w:num>
  <w:num w:numId="60">
    <w:abstractNumId w:val="77"/>
  </w:num>
  <w:num w:numId="61">
    <w:abstractNumId w:val="171"/>
  </w:num>
  <w:num w:numId="62">
    <w:abstractNumId w:val="92"/>
  </w:num>
  <w:num w:numId="63">
    <w:abstractNumId w:val="59"/>
  </w:num>
  <w:num w:numId="64">
    <w:abstractNumId w:val="23"/>
  </w:num>
  <w:num w:numId="65">
    <w:abstractNumId w:val="145"/>
  </w:num>
  <w:num w:numId="66">
    <w:abstractNumId w:val="18"/>
  </w:num>
  <w:num w:numId="67">
    <w:abstractNumId w:val="29"/>
  </w:num>
  <w:num w:numId="68">
    <w:abstractNumId w:val="102"/>
  </w:num>
  <w:num w:numId="69">
    <w:abstractNumId w:val="17"/>
  </w:num>
  <w:num w:numId="70">
    <w:abstractNumId w:val="28"/>
  </w:num>
  <w:num w:numId="71">
    <w:abstractNumId w:val="63"/>
  </w:num>
  <w:num w:numId="72">
    <w:abstractNumId w:val="114"/>
  </w:num>
  <w:num w:numId="73">
    <w:abstractNumId w:val="25"/>
  </w:num>
  <w:num w:numId="74">
    <w:abstractNumId w:val="33"/>
  </w:num>
  <w:num w:numId="75">
    <w:abstractNumId w:val="75"/>
  </w:num>
  <w:num w:numId="76">
    <w:abstractNumId w:val="27"/>
  </w:num>
  <w:num w:numId="77">
    <w:abstractNumId w:val="118"/>
  </w:num>
  <w:num w:numId="78">
    <w:abstractNumId w:val="79"/>
  </w:num>
  <w:num w:numId="79">
    <w:abstractNumId w:val="170"/>
  </w:num>
  <w:num w:numId="80">
    <w:abstractNumId w:val="136"/>
  </w:num>
  <w:num w:numId="81">
    <w:abstractNumId w:val="111"/>
  </w:num>
  <w:num w:numId="82">
    <w:abstractNumId w:val="94"/>
  </w:num>
  <w:num w:numId="83">
    <w:abstractNumId w:val="122"/>
  </w:num>
  <w:num w:numId="84">
    <w:abstractNumId w:val="46"/>
  </w:num>
  <w:num w:numId="85">
    <w:abstractNumId w:val="120"/>
  </w:num>
  <w:num w:numId="86">
    <w:abstractNumId w:val="41"/>
  </w:num>
  <w:num w:numId="87">
    <w:abstractNumId w:val="115"/>
  </w:num>
  <w:num w:numId="88">
    <w:abstractNumId w:val="89"/>
  </w:num>
  <w:num w:numId="89">
    <w:abstractNumId w:val="95"/>
  </w:num>
  <w:num w:numId="90">
    <w:abstractNumId w:val="43"/>
  </w:num>
  <w:num w:numId="91">
    <w:abstractNumId w:val="49"/>
  </w:num>
  <w:num w:numId="92">
    <w:abstractNumId w:val="66"/>
  </w:num>
  <w:num w:numId="93">
    <w:abstractNumId w:val="147"/>
  </w:num>
  <w:num w:numId="94">
    <w:abstractNumId w:val="12"/>
  </w:num>
  <w:num w:numId="95">
    <w:abstractNumId w:val="15"/>
  </w:num>
  <w:num w:numId="96">
    <w:abstractNumId w:val="11"/>
  </w:num>
  <w:num w:numId="97">
    <w:abstractNumId w:val="68"/>
  </w:num>
  <w:num w:numId="98">
    <w:abstractNumId w:val="14"/>
  </w:num>
  <w:num w:numId="99">
    <w:abstractNumId w:val="73"/>
  </w:num>
  <w:num w:numId="100">
    <w:abstractNumId w:val="142"/>
  </w:num>
  <w:num w:numId="101">
    <w:abstractNumId w:val="159"/>
  </w:num>
  <w:num w:numId="102">
    <w:abstractNumId w:val="151"/>
  </w:num>
  <w:num w:numId="103">
    <w:abstractNumId w:val="105"/>
  </w:num>
  <w:num w:numId="104">
    <w:abstractNumId w:val="131"/>
  </w:num>
  <w:num w:numId="105">
    <w:abstractNumId w:val="101"/>
  </w:num>
  <w:num w:numId="106">
    <w:abstractNumId w:val="47"/>
  </w:num>
  <w:num w:numId="107">
    <w:abstractNumId w:val="127"/>
  </w:num>
  <w:num w:numId="108">
    <w:abstractNumId w:val="135"/>
  </w:num>
  <w:num w:numId="109">
    <w:abstractNumId w:val="162"/>
  </w:num>
  <w:num w:numId="110">
    <w:abstractNumId w:val="126"/>
  </w:num>
  <w:num w:numId="111">
    <w:abstractNumId w:val="87"/>
  </w:num>
  <w:num w:numId="112">
    <w:abstractNumId w:val="86"/>
  </w:num>
  <w:num w:numId="113">
    <w:abstractNumId w:val="149"/>
  </w:num>
  <w:num w:numId="114">
    <w:abstractNumId w:val="130"/>
  </w:num>
  <w:num w:numId="115">
    <w:abstractNumId w:val="72"/>
  </w:num>
  <w:num w:numId="116">
    <w:abstractNumId w:val="84"/>
  </w:num>
  <w:num w:numId="117">
    <w:abstractNumId w:val="54"/>
  </w:num>
  <w:num w:numId="118">
    <w:abstractNumId w:val="128"/>
  </w:num>
  <w:num w:numId="119">
    <w:abstractNumId w:val="169"/>
  </w:num>
  <w:num w:numId="120">
    <w:abstractNumId w:val="7"/>
  </w:num>
  <w:num w:numId="121">
    <w:abstractNumId w:val="58"/>
  </w:num>
  <w:num w:numId="122">
    <w:abstractNumId w:val="158"/>
  </w:num>
  <w:num w:numId="123">
    <w:abstractNumId w:val="32"/>
  </w:num>
  <w:num w:numId="124">
    <w:abstractNumId w:val="57"/>
  </w:num>
  <w:num w:numId="125">
    <w:abstractNumId w:val="112"/>
  </w:num>
  <w:num w:numId="126">
    <w:abstractNumId w:val="34"/>
  </w:num>
  <w:num w:numId="127">
    <w:abstractNumId w:val="82"/>
  </w:num>
  <w:num w:numId="128">
    <w:abstractNumId w:val="38"/>
  </w:num>
  <w:num w:numId="129">
    <w:abstractNumId w:val="155"/>
  </w:num>
  <w:num w:numId="130">
    <w:abstractNumId w:val="74"/>
  </w:num>
  <w:num w:numId="131">
    <w:abstractNumId w:val="154"/>
  </w:num>
  <w:num w:numId="132">
    <w:abstractNumId w:val="161"/>
  </w:num>
  <w:num w:numId="133">
    <w:abstractNumId w:val="56"/>
  </w:num>
  <w:num w:numId="134">
    <w:abstractNumId w:val="20"/>
  </w:num>
  <w:num w:numId="135">
    <w:abstractNumId w:val="52"/>
  </w:num>
  <w:num w:numId="136">
    <w:abstractNumId w:val="100"/>
  </w:num>
  <w:num w:numId="137">
    <w:abstractNumId w:val="144"/>
  </w:num>
  <w:num w:numId="138">
    <w:abstractNumId w:val="109"/>
  </w:num>
  <w:num w:numId="139">
    <w:abstractNumId w:val="110"/>
  </w:num>
  <w:num w:numId="140">
    <w:abstractNumId w:val="80"/>
  </w:num>
  <w:num w:numId="141">
    <w:abstractNumId w:val="165"/>
  </w:num>
  <w:num w:numId="142">
    <w:abstractNumId w:val="24"/>
  </w:num>
  <w:num w:numId="143">
    <w:abstractNumId w:val="53"/>
  </w:num>
  <w:num w:numId="144">
    <w:abstractNumId w:val="31"/>
  </w:num>
  <w:num w:numId="145">
    <w:abstractNumId w:val="103"/>
  </w:num>
  <w:num w:numId="146">
    <w:abstractNumId w:val="85"/>
  </w:num>
  <w:num w:numId="147">
    <w:abstractNumId w:val="139"/>
  </w:num>
  <w:num w:numId="148">
    <w:abstractNumId w:val="138"/>
  </w:num>
  <w:num w:numId="149">
    <w:abstractNumId w:val="96"/>
  </w:num>
  <w:num w:numId="150">
    <w:abstractNumId w:val="152"/>
  </w:num>
  <w:num w:numId="151">
    <w:abstractNumId w:val="117"/>
  </w:num>
  <w:num w:numId="152">
    <w:abstractNumId w:val="146"/>
  </w:num>
  <w:num w:numId="153">
    <w:abstractNumId w:val="108"/>
  </w:num>
  <w:num w:numId="154">
    <w:abstractNumId w:val="153"/>
  </w:num>
  <w:num w:numId="155">
    <w:abstractNumId w:val="134"/>
  </w:num>
  <w:num w:numId="156">
    <w:abstractNumId w:val="129"/>
  </w:num>
  <w:num w:numId="157">
    <w:abstractNumId w:val="174"/>
  </w:num>
  <w:num w:numId="158">
    <w:abstractNumId w:val="157"/>
  </w:num>
  <w:num w:numId="159">
    <w:abstractNumId w:val="48"/>
  </w:num>
  <w:num w:numId="160">
    <w:abstractNumId w:val="51"/>
  </w:num>
  <w:num w:numId="161">
    <w:abstractNumId w:val="22"/>
  </w:num>
  <w:num w:numId="162">
    <w:abstractNumId w:val="67"/>
  </w:num>
  <w:num w:numId="163">
    <w:abstractNumId w:val="42"/>
  </w:num>
  <w:num w:numId="16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67"/>
  </w:num>
  <w:num w:numId="166">
    <w:abstractNumId w:val="36"/>
  </w:num>
  <w:num w:numId="1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16"/>
  </w:num>
  <w:num w:numId="169">
    <w:abstractNumId w:val="141"/>
  </w:num>
  <w:num w:numId="170">
    <w:abstractNumId w:val="61"/>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EDB"/>
    <w:rsid w:val="0001019D"/>
    <w:rsid w:val="00014E21"/>
    <w:rsid w:val="00016063"/>
    <w:rsid w:val="00017871"/>
    <w:rsid w:val="00023E6F"/>
    <w:rsid w:val="00024369"/>
    <w:rsid w:val="000245CE"/>
    <w:rsid w:val="00036C62"/>
    <w:rsid w:val="00045DD6"/>
    <w:rsid w:val="0004696B"/>
    <w:rsid w:val="00053B49"/>
    <w:rsid w:val="00055C79"/>
    <w:rsid w:val="00057027"/>
    <w:rsid w:val="00060006"/>
    <w:rsid w:val="00061D1F"/>
    <w:rsid w:val="00066AEE"/>
    <w:rsid w:val="00073EA0"/>
    <w:rsid w:val="000750AC"/>
    <w:rsid w:val="000762B8"/>
    <w:rsid w:val="00082AFB"/>
    <w:rsid w:val="000867B7"/>
    <w:rsid w:val="00086BE8"/>
    <w:rsid w:val="0009111B"/>
    <w:rsid w:val="00091DCE"/>
    <w:rsid w:val="000941AE"/>
    <w:rsid w:val="000977E0"/>
    <w:rsid w:val="000A1FF4"/>
    <w:rsid w:val="000A56C9"/>
    <w:rsid w:val="000B1B5A"/>
    <w:rsid w:val="000B25E8"/>
    <w:rsid w:val="000B4416"/>
    <w:rsid w:val="000B4623"/>
    <w:rsid w:val="000B51DA"/>
    <w:rsid w:val="000B7FFB"/>
    <w:rsid w:val="000C0554"/>
    <w:rsid w:val="000C05D9"/>
    <w:rsid w:val="000C4B25"/>
    <w:rsid w:val="000C6B05"/>
    <w:rsid w:val="000C7EAB"/>
    <w:rsid w:val="000D06E2"/>
    <w:rsid w:val="000D3C6F"/>
    <w:rsid w:val="000D77EA"/>
    <w:rsid w:val="000E25C1"/>
    <w:rsid w:val="000E2F3C"/>
    <w:rsid w:val="000E326B"/>
    <w:rsid w:val="000E51B8"/>
    <w:rsid w:val="000E79CA"/>
    <w:rsid w:val="000F057D"/>
    <w:rsid w:val="000F3503"/>
    <w:rsid w:val="000F5EFD"/>
    <w:rsid w:val="000F653C"/>
    <w:rsid w:val="000F6953"/>
    <w:rsid w:val="001075DB"/>
    <w:rsid w:val="00120AA6"/>
    <w:rsid w:val="00120CF4"/>
    <w:rsid w:val="001253AC"/>
    <w:rsid w:val="00126508"/>
    <w:rsid w:val="001268A3"/>
    <w:rsid w:val="0013397F"/>
    <w:rsid w:val="00134670"/>
    <w:rsid w:val="001363CD"/>
    <w:rsid w:val="0014588A"/>
    <w:rsid w:val="00145BAD"/>
    <w:rsid w:val="00146751"/>
    <w:rsid w:val="00154CEA"/>
    <w:rsid w:val="00157B2B"/>
    <w:rsid w:val="00161889"/>
    <w:rsid w:val="00161B53"/>
    <w:rsid w:val="001668AF"/>
    <w:rsid w:val="0017267B"/>
    <w:rsid w:val="00173CDE"/>
    <w:rsid w:val="00174111"/>
    <w:rsid w:val="00174C95"/>
    <w:rsid w:val="00175EE3"/>
    <w:rsid w:val="0017683D"/>
    <w:rsid w:val="00181A59"/>
    <w:rsid w:val="00190637"/>
    <w:rsid w:val="00195E42"/>
    <w:rsid w:val="001A0E16"/>
    <w:rsid w:val="001A6488"/>
    <w:rsid w:val="001B5141"/>
    <w:rsid w:val="001C1AA6"/>
    <w:rsid w:val="001C2FA9"/>
    <w:rsid w:val="001C6FD4"/>
    <w:rsid w:val="001C7290"/>
    <w:rsid w:val="001D681B"/>
    <w:rsid w:val="001E3108"/>
    <w:rsid w:val="001E5DD8"/>
    <w:rsid w:val="001F69D8"/>
    <w:rsid w:val="001F7907"/>
    <w:rsid w:val="00200A4A"/>
    <w:rsid w:val="00204A3C"/>
    <w:rsid w:val="00206958"/>
    <w:rsid w:val="0021263A"/>
    <w:rsid w:val="002167CF"/>
    <w:rsid w:val="00216808"/>
    <w:rsid w:val="0021789C"/>
    <w:rsid w:val="002267CD"/>
    <w:rsid w:val="002326F3"/>
    <w:rsid w:val="002339A8"/>
    <w:rsid w:val="00234961"/>
    <w:rsid w:val="00235460"/>
    <w:rsid w:val="0023766A"/>
    <w:rsid w:val="002377B3"/>
    <w:rsid w:val="00237F6F"/>
    <w:rsid w:val="00240C1D"/>
    <w:rsid w:val="00242EEE"/>
    <w:rsid w:val="00244893"/>
    <w:rsid w:val="0024714A"/>
    <w:rsid w:val="00250096"/>
    <w:rsid w:val="00250B4A"/>
    <w:rsid w:val="00250BC4"/>
    <w:rsid w:val="002543E9"/>
    <w:rsid w:val="00256AC8"/>
    <w:rsid w:val="00263009"/>
    <w:rsid w:val="00270B4D"/>
    <w:rsid w:val="002715C2"/>
    <w:rsid w:val="00273229"/>
    <w:rsid w:val="00275FE7"/>
    <w:rsid w:val="00280453"/>
    <w:rsid w:val="002905F8"/>
    <w:rsid w:val="002912DC"/>
    <w:rsid w:val="00293463"/>
    <w:rsid w:val="0029424D"/>
    <w:rsid w:val="00296E3E"/>
    <w:rsid w:val="00297847"/>
    <w:rsid w:val="002A04E9"/>
    <w:rsid w:val="002A1167"/>
    <w:rsid w:val="002A1606"/>
    <w:rsid w:val="002A34D7"/>
    <w:rsid w:val="002A45A5"/>
    <w:rsid w:val="002A507D"/>
    <w:rsid w:val="002B0712"/>
    <w:rsid w:val="002B29A8"/>
    <w:rsid w:val="002B3B54"/>
    <w:rsid w:val="002B7FB9"/>
    <w:rsid w:val="002C3075"/>
    <w:rsid w:val="002C43A5"/>
    <w:rsid w:val="002C7545"/>
    <w:rsid w:val="002D35C4"/>
    <w:rsid w:val="002E119F"/>
    <w:rsid w:val="002E1BA5"/>
    <w:rsid w:val="002E2BDA"/>
    <w:rsid w:val="002E6E71"/>
    <w:rsid w:val="002E7E2E"/>
    <w:rsid w:val="002F07BA"/>
    <w:rsid w:val="002F2703"/>
    <w:rsid w:val="002F3F6A"/>
    <w:rsid w:val="002F7D02"/>
    <w:rsid w:val="003015D7"/>
    <w:rsid w:val="00303BA5"/>
    <w:rsid w:val="003042CC"/>
    <w:rsid w:val="00305286"/>
    <w:rsid w:val="00307B2C"/>
    <w:rsid w:val="0031133A"/>
    <w:rsid w:val="003175EE"/>
    <w:rsid w:val="00317D30"/>
    <w:rsid w:val="00326DC8"/>
    <w:rsid w:val="00330B6B"/>
    <w:rsid w:val="003328CA"/>
    <w:rsid w:val="00333362"/>
    <w:rsid w:val="00340D47"/>
    <w:rsid w:val="00342B08"/>
    <w:rsid w:val="0034540D"/>
    <w:rsid w:val="0035254C"/>
    <w:rsid w:val="0035302F"/>
    <w:rsid w:val="00353CF1"/>
    <w:rsid w:val="00355B69"/>
    <w:rsid w:val="003562DA"/>
    <w:rsid w:val="003672DF"/>
    <w:rsid w:val="003720F5"/>
    <w:rsid w:val="003721C1"/>
    <w:rsid w:val="00373BA8"/>
    <w:rsid w:val="003752B3"/>
    <w:rsid w:val="003802B5"/>
    <w:rsid w:val="00381513"/>
    <w:rsid w:val="003815D8"/>
    <w:rsid w:val="00385710"/>
    <w:rsid w:val="003917AA"/>
    <w:rsid w:val="00392113"/>
    <w:rsid w:val="00396ACD"/>
    <w:rsid w:val="00397A95"/>
    <w:rsid w:val="003A0B85"/>
    <w:rsid w:val="003A1656"/>
    <w:rsid w:val="003A35CA"/>
    <w:rsid w:val="003A4B4F"/>
    <w:rsid w:val="003B0CF1"/>
    <w:rsid w:val="003B1258"/>
    <w:rsid w:val="003B17F5"/>
    <w:rsid w:val="003B1B45"/>
    <w:rsid w:val="003B277E"/>
    <w:rsid w:val="003B553C"/>
    <w:rsid w:val="003B6514"/>
    <w:rsid w:val="003B692D"/>
    <w:rsid w:val="003C116E"/>
    <w:rsid w:val="003C2D2C"/>
    <w:rsid w:val="003C3E0F"/>
    <w:rsid w:val="003C6FE9"/>
    <w:rsid w:val="003C754B"/>
    <w:rsid w:val="003C76BE"/>
    <w:rsid w:val="003D3213"/>
    <w:rsid w:val="003D467D"/>
    <w:rsid w:val="003D5822"/>
    <w:rsid w:val="003D60B2"/>
    <w:rsid w:val="003D6741"/>
    <w:rsid w:val="003E7D2E"/>
    <w:rsid w:val="003F1D1B"/>
    <w:rsid w:val="003F44D7"/>
    <w:rsid w:val="003F761D"/>
    <w:rsid w:val="004016AA"/>
    <w:rsid w:val="00401EBD"/>
    <w:rsid w:val="00403BB7"/>
    <w:rsid w:val="00404DEF"/>
    <w:rsid w:val="004177A5"/>
    <w:rsid w:val="004205B1"/>
    <w:rsid w:val="0042284F"/>
    <w:rsid w:val="00422988"/>
    <w:rsid w:val="004229B5"/>
    <w:rsid w:val="00423C64"/>
    <w:rsid w:val="0042684B"/>
    <w:rsid w:val="00432377"/>
    <w:rsid w:val="004339F8"/>
    <w:rsid w:val="00435413"/>
    <w:rsid w:val="00436CF3"/>
    <w:rsid w:val="004401BA"/>
    <w:rsid w:val="00440C71"/>
    <w:rsid w:val="00441889"/>
    <w:rsid w:val="00442982"/>
    <w:rsid w:val="00444F26"/>
    <w:rsid w:val="00447A82"/>
    <w:rsid w:val="00450BCB"/>
    <w:rsid w:val="00450C35"/>
    <w:rsid w:val="00460A70"/>
    <w:rsid w:val="0046597D"/>
    <w:rsid w:val="00467476"/>
    <w:rsid w:val="00476D3B"/>
    <w:rsid w:val="004913D6"/>
    <w:rsid w:val="00491D9D"/>
    <w:rsid w:val="00491FFB"/>
    <w:rsid w:val="00497313"/>
    <w:rsid w:val="004A0EB9"/>
    <w:rsid w:val="004A3E09"/>
    <w:rsid w:val="004A4328"/>
    <w:rsid w:val="004A586A"/>
    <w:rsid w:val="004B17AC"/>
    <w:rsid w:val="004C2CE3"/>
    <w:rsid w:val="004C5FD5"/>
    <w:rsid w:val="004C6470"/>
    <w:rsid w:val="004D123A"/>
    <w:rsid w:val="004D7E1E"/>
    <w:rsid w:val="004E1A7A"/>
    <w:rsid w:val="004E491C"/>
    <w:rsid w:val="004E727F"/>
    <w:rsid w:val="004F13C4"/>
    <w:rsid w:val="004F4A48"/>
    <w:rsid w:val="004F5DFA"/>
    <w:rsid w:val="00507756"/>
    <w:rsid w:val="00511EA9"/>
    <w:rsid w:val="005173B7"/>
    <w:rsid w:val="005208EE"/>
    <w:rsid w:val="00521AFE"/>
    <w:rsid w:val="00522055"/>
    <w:rsid w:val="00531B8B"/>
    <w:rsid w:val="005341EA"/>
    <w:rsid w:val="005342FE"/>
    <w:rsid w:val="00536161"/>
    <w:rsid w:val="00536BB3"/>
    <w:rsid w:val="00544868"/>
    <w:rsid w:val="005472FA"/>
    <w:rsid w:val="005506F6"/>
    <w:rsid w:val="00551962"/>
    <w:rsid w:val="005520CD"/>
    <w:rsid w:val="00552E21"/>
    <w:rsid w:val="00553C3A"/>
    <w:rsid w:val="00554E93"/>
    <w:rsid w:val="00555679"/>
    <w:rsid w:val="00560D23"/>
    <w:rsid w:val="00561CD0"/>
    <w:rsid w:val="00564C22"/>
    <w:rsid w:val="00567CF5"/>
    <w:rsid w:val="0057332B"/>
    <w:rsid w:val="00573BB3"/>
    <w:rsid w:val="00590129"/>
    <w:rsid w:val="005903C8"/>
    <w:rsid w:val="00597DDF"/>
    <w:rsid w:val="005A08C6"/>
    <w:rsid w:val="005A30E6"/>
    <w:rsid w:val="005A3D56"/>
    <w:rsid w:val="005A3E67"/>
    <w:rsid w:val="005A4B0D"/>
    <w:rsid w:val="005A53A4"/>
    <w:rsid w:val="005A65B8"/>
    <w:rsid w:val="005B3C95"/>
    <w:rsid w:val="005B4F9C"/>
    <w:rsid w:val="005C01EF"/>
    <w:rsid w:val="005C1103"/>
    <w:rsid w:val="005C6A46"/>
    <w:rsid w:val="005D3680"/>
    <w:rsid w:val="005D39E0"/>
    <w:rsid w:val="005D74AB"/>
    <w:rsid w:val="005D7C40"/>
    <w:rsid w:val="005E195E"/>
    <w:rsid w:val="005E2447"/>
    <w:rsid w:val="005E3669"/>
    <w:rsid w:val="005E403F"/>
    <w:rsid w:val="005E53A5"/>
    <w:rsid w:val="005E5E6B"/>
    <w:rsid w:val="005E6824"/>
    <w:rsid w:val="005F01DC"/>
    <w:rsid w:val="005F2C8C"/>
    <w:rsid w:val="005F3BD1"/>
    <w:rsid w:val="005F558B"/>
    <w:rsid w:val="00603063"/>
    <w:rsid w:val="00607331"/>
    <w:rsid w:val="00612785"/>
    <w:rsid w:val="0061290E"/>
    <w:rsid w:val="0062045B"/>
    <w:rsid w:val="006217D9"/>
    <w:rsid w:val="00624567"/>
    <w:rsid w:val="0062482B"/>
    <w:rsid w:val="00627688"/>
    <w:rsid w:val="00633677"/>
    <w:rsid w:val="006378C8"/>
    <w:rsid w:val="0064261A"/>
    <w:rsid w:val="00643FB2"/>
    <w:rsid w:val="0065015F"/>
    <w:rsid w:val="006502DA"/>
    <w:rsid w:val="00650D7E"/>
    <w:rsid w:val="00653BED"/>
    <w:rsid w:val="00656C6C"/>
    <w:rsid w:val="00661497"/>
    <w:rsid w:val="00665AA1"/>
    <w:rsid w:val="00666E11"/>
    <w:rsid w:val="00667803"/>
    <w:rsid w:val="00670E5B"/>
    <w:rsid w:val="00675C77"/>
    <w:rsid w:val="006762E5"/>
    <w:rsid w:val="00680732"/>
    <w:rsid w:val="006873A7"/>
    <w:rsid w:val="00690B25"/>
    <w:rsid w:val="00695E81"/>
    <w:rsid w:val="0069727A"/>
    <w:rsid w:val="006A7EF8"/>
    <w:rsid w:val="006B1477"/>
    <w:rsid w:val="006B2719"/>
    <w:rsid w:val="006B6CB3"/>
    <w:rsid w:val="006C1A14"/>
    <w:rsid w:val="006C3199"/>
    <w:rsid w:val="006C64F3"/>
    <w:rsid w:val="006D03AB"/>
    <w:rsid w:val="006D66A9"/>
    <w:rsid w:val="006D7EC3"/>
    <w:rsid w:val="006E03C8"/>
    <w:rsid w:val="006E1EF7"/>
    <w:rsid w:val="006E2C27"/>
    <w:rsid w:val="006E7E13"/>
    <w:rsid w:val="006F0164"/>
    <w:rsid w:val="006F06B2"/>
    <w:rsid w:val="006F5A27"/>
    <w:rsid w:val="00700E65"/>
    <w:rsid w:val="0070673E"/>
    <w:rsid w:val="007123E1"/>
    <w:rsid w:val="00714CF9"/>
    <w:rsid w:val="00726A98"/>
    <w:rsid w:val="00730E6E"/>
    <w:rsid w:val="0073346C"/>
    <w:rsid w:val="00733C3C"/>
    <w:rsid w:val="00733F0B"/>
    <w:rsid w:val="00734DFE"/>
    <w:rsid w:val="00735F7D"/>
    <w:rsid w:val="00737E37"/>
    <w:rsid w:val="007410E5"/>
    <w:rsid w:val="00745837"/>
    <w:rsid w:val="00745AF6"/>
    <w:rsid w:val="007462B6"/>
    <w:rsid w:val="0075539B"/>
    <w:rsid w:val="00757B6F"/>
    <w:rsid w:val="007769EA"/>
    <w:rsid w:val="0077730A"/>
    <w:rsid w:val="00781B44"/>
    <w:rsid w:val="00782C7C"/>
    <w:rsid w:val="007842D9"/>
    <w:rsid w:val="00785238"/>
    <w:rsid w:val="00787E34"/>
    <w:rsid w:val="00791FE6"/>
    <w:rsid w:val="00794177"/>
    <w:rsid w:val="007944A8"/>
    <w:rsid w:val="00794530"/>
    <w:rsid w:val="007951C9"/>
    <w:rsid w:val="007B349E"/>
    <w:rsid w:val="007B468B"/>
    <w:rsid w:val="007B773F"/>
    <w:rsid w:val="007C4E53"/>
    <w:rsid w:val="007C6312"/>
    <w:rsid w:val="007D2884"/>
    <w:rsid w:val="007D440C"/>
    <w:rsid w:val="007D4FD3"/>
    <w:rsid w:val="007E08DE"/>
    <w:rsid w:val="007E503D"/>
    <w:rsid w:val="007F1EB7"/>
    <w:rsid w:val="007F1FB3"/>
    <w:rsid w:val="007F2A88"/>
    <w:rsid w:val="007F52E1"/>
    <w:rsid w:val="007F5479"/>
    <w:rsid w:val="007F72EC"/>
    <w:rsid w:val="007F7CEF"/>
    <w:rsid w:val="0080231A"/>
    <w:rsid w:val="00803833"/>
    <w:rsid w:val="00806A38"/>
    <w:rsid w:val="008075D3"/>
    <w:rsid w:val="0081337E"/>
    <w:rsid w:val="0081563F"/>
    <w:rsid w:val="0081652F"/>
    <w:rsid w:val="00817B3B"/>
    <w:rsid w:val="00823BCD"/>
    <w:rsid w:val="00825B0D"/>
    <w:rsid w:val="008274FB"/>
    <w:rsid w:val="00831EEB"/>
    <w:rsid w:val="00835DFE"/>
    <w:rsid w:val="00840BB5"/>
    <w:rsid w:val="00841A4B"/>
    <w:rsid w:val="00842DFF"/>
    <w:rsid w:val="00845778"/>
    <w:rsid w:val="00854361"/>
    <w:rsid w:val="008548C1"/>
    <w:rsid w:val="008579BD"/>
    <w:rsid w:val="00861035"/>
    <w:rsid w:val="0086452D"/>
    <w:rsid w:val="00864D81"/>
    <w:rsid w:val="008662EF"/>
    <w:rsid w:val="0086695E"/>
    <w:rsid w:val="0087224D"/>
    <w:rsid w:val="00873F43"/>
    <w:rsid w:val="0087408E"/>
    <w:rsid w:val="0087579C"/>
    <w:rsid w:val="00876A6F"/>
    <w:rsid w:val="00877303"/>
    <w:rsid w:val="008853CE"/>
    <w:rsid w:val="008908E7"/>
    <w:rsid w:val="00890CD2"/>
    <w:rsid w:val="0089400E"/>
    <w:rsid w:val="00894CBB"/>
    <w:rsid w:val="0089536C"/>
    <w:rsid w:val="00897C17"/>
    <w:rsid w:val="008A0FEF"/>
    <w:rsid w:val="008A62D6"/>
    <w:rsid w:val="008B0A4E"/>
    <w:rsid w:val="008B46BE"/>
    <w:rsid w:val="008B5AF5"/>
    <w:rsid w:val="008B7484"/>
    <w:rsid w:val="008C29EF"/>
    <w:rsid w:val="008C35B0"/>
    <w:rsid w:val="008C7877"/>
    <w:rsid w:val="008D4DB9"/>
    <w:rsid w:val="008E19CF"/>
    <w:rsid w:val="008E2161"/>
    <w:rsid w:val="008E2CB7"/>
    <w:rsid w:val="008E4E32"/>
    <w:rsid w:val="008E6D9E"/>
    <w:rsid w:val="008E7C6C"/>
    <w:rsid w:val="008F0C26"/>
    <w:rsid w:val="008F2E6C"/>
    <w:rsid w:val="008F5127"/>
    <w:rsid w:val="008F5305"/>
    <w:rsid w:val="008F7EE4"/>
    <w:rsid w:val="009034D1"/>
    <w:rsid w:val="009051D0"/>
    <w:rsid w:val="0090580C"/>
    <w:rsid w:val="00910CD7"/>
    <w:rsid w:val="00914E80"/>
    <w:rsid w:val="00916374"/>
    <w:rsid w:val="00917E0C"/>
    <w:rsid w:val="00920756"/>
    <w:rsid w:val="00920E23"/>
    <w:rsid w:val="009260DE"/>
    <w:rsid w:val="00930EED"/>
    <w:rsid w:val="00931680"/>
    <w:rsid w:val="00932E2A"/>
    <w:rsid w:val="009371F8"/>
    <w:rsid w:val="0094080C"/>
    <w:rsid w:val="009430F0"/>
    <w:rsid w:val="00943DAE"/>
    <w:rsid w:val="00943F9A"/>
    <w:rsid w:val="009553CC"/>
    <w:rsid w:val="00964048"/>
    <w:rsid w:val="00973B90"/>
    <w:rsid w:val="009748AE"/>
    <w:rsid w:val="00983304"/>
    <w:rsid w:val="00990B99"/>
    <w:rsid w:val="00994FD9"/>
    <w:rsid w:val="00995C7F"/>
    <w:rsid w:val="00996903"/>
    <w:rsid w:val="009A0B93"/>
    <w:rsid w:val="009A3441"/>
    <w:rsid w:val="009A3E33"/>
    <w:rsid w:val="009B0ED7"/>
    <w:rsid w:val="009B30D1"/>
    <w:rsid w:val="009B5381"/>
    <w:rsid w:val="009C0B5C"/>
    <w:rsid w:val="009C1E32"/>
    <w:rsid w:val="009C257C"/>
    <w:rsid w:val="009C2C54"/>
    <w:rsid w:val="009C58AD"/>
    <w:rsid w:val="009C7C0F"/>
    <w:rsid w:val="009D0B5E"/>
    <w:rsid w:val="009D1AB4"/>
    <w:rsid w:val="009D3107"/>
    <w:rsid w:val="009D3B26"/>
    <w:rsid w:val="009D41F8"/>
    <w:rsid w:val="009E25C2"/>
    <w:rsid w:val="009E47DB"/>
    <w:rsid w:val="009E4DE8"/>
    <w:rsid w:val="009E5997"/>
    <w:rsid w:val="009E7659"/>
    <w:rsid w:val="009F2404"/>
    <w:rsid w:val="009F6427"/>
    <w:rsid w:val="009F78A6"/>
    <w:rsid w:val="00A04617"/>
    <w:rsid w:val="00A10896"/>
    <w:rsid w:val="00A11F31"/>
    <w:rsid w:val="00A17517"/>
    <w:rsid w:val="00A21518"/>
    <w:rsid w:val="00A24D95"/>
    <w:rsid w:val="00A2616A"/>
    <w:rsid w:val="00A31053"/>
    <w:rsid w:val="00A32FB9"/>
    <w:rsid w:val="00A339CF"/>
    <w:rsid w:val="00A34F32"/>
    <w:rsid w:val="00A37876"/>
    <w:rsid w:val="00A50868"/>
    <w:rsid w:val="00A5634B"/>
    <w:rsid w:val="00A61923"/>
    <w:rsid w:val="00A63BB6"/>
    <w:rsid w:val="00A65ABB"/>
    <w:rsid w:val="00A665E5"/>
    <w:rsid w:val="00A6704F"/>
    <w:rsid w:val="00A7122D"/>
    <w:rsid w:val="00A74201"/>
    <w:rsid w:val="00A76A38"/>
    <w:rsid w:val="00A82C44"/>
    <w:rsid w:val="00A84CAC"/>
    <w:rsid w:val="00A875DD"/>
    <w:rsid w:val="00A92E94"/>
    <w:rsid w:val="00A964B2"/>
    <w:rsid w:val="00A9734F"/>
    <w:rsid w:val="00AA013C"/>
    <w:rsid w:val="00AA32D7"/>
    <w:rsid w:val="00AA4E2F"/>
    <w:rsid w:val="00AA4F98"/>
    <w:rsid w:val="00AA53E9"/>
    <w:rsid w:val="00AA5661"/>
    <w:rsid w:val="00AA5664"/>
    <w:rsid w:val="00AA5EB4"/>
    <w:rsid w:val="00AA735B"/>
    <w:rsid w:val="00AB0450"/>
    <w:rsid w:val="00AB067F"/>
    <w:rsid w:val="00AB0DC8"/>
    <w:rsid w:val="00AB38D7"/>
    <w:rsid w:val="00AB4212"/>
    <w:rsid w:val="00AB65B7"/>
    <w:rsid w:val="00AB6E79"/>
    <w:rsid w:val="00AC17CB"/>
    <w:rsid w:val="00AC206F"/>
    <w:rsid w:val="00AC2BE0"/>
    <w:rsid w:val="00AD1693"/>
    <w:rsid w:val="00AE01FC"/>
    <w:rsid w:val="00AE3A13"/>
    <w:rsid w:val="00AE664D"/>
    <w:rsid w:val="00AF3608"/>
    <w:rsid w:val="00AF49FC"/>
    <w:rsid w:val="00AF6D50"/>
    <w:rsid w:val="00B00050"/>
    <w:rsid w:val="00B0107E"/>
    <w:rsid w:val="00B02858"/>
    <w:rsid w:val="00B04827"/>
    <w:rsid w:val="00B057E7"/>
    <w:rsid w:val="00B05E29"/>
    <w:rsid w:val="00B069A2"/>
    <w:rsid w:val="00B072F3"/>
    <w:rsid w:val="00B07598"/>
    <w:rsid w:val="00B13F91"/>
    <w:rsid w:val="00B150CC"/>
    <w:rsid w:val="00B1570A"/>
    <w:rsid w:val="00B1684E"/>
    <w:rsid w:val="00B16F2A"/>
    <w:rsid w:val="00B211C7"/>
    <w:rsid w:val="00B22274"/>
    <w:rsid w:val="00B223F0"/>
    <w:rsid w:val="00B23476"/>
    <w:rsid w:val="00B344C6"/>
    <w:rsid w:val="00B36812"/>
    <w:rsid w:val="00B406AD"/>
    <w:rsid w:val="00B44F8C"/>
    <w:rsid w:val="00B470B0"/>
    <w:rsid w:val="00B569BA"/>
    <w:rsid w:val="00B63C9A"/>
    <w:rsid w:val="00B67237"/>
    <w:rsid w:val="00B71363"/>
    <w:rsid w:val="00B723C0"/>
    <w:rsid w:val="00B731AC"/>
    <w:rsid w:val="00B735F7"/>
    <w:rsid w:val="00B752EA"/>
    <w:rsid w:val="00B85EEB"/>
    <w:rsid w:val="00B9427E"/>
    <w:rsid w:val="00B94C3C"/>
    <w:rsid w:val="00BA135D"/>
    <w:rsid w:val="00BA3AE6"/>
    <w:rsid w:val="00BB049F"/>
    <w:rsid w:val="00BB2CC0"/>
    <w:rsid w:val="00BC1149"/>
    <w:rsid w:val="00BC74BE"/>
    <w:rsid w:val="00BD34C0"/>
    <w:rsid w:val="00BD3C1B"/>
    <w:rsid w:val="00BD6043"/>
    <w:rsid w:val="00BD669D"/>
    <w:rsid w:val="00BD692C"/>
    <w:rsid w:val="00BE3251"/>
    <w:rsid w:val="00BE50CC"/>
    <w:rsid w:val="00BF1FDA"/>
    <w:rsid w:val="00BF31A4"/>
    <w:rsid w:val="00C075CC"/>
    <w:rsid w:val="00C07C54"/>
    <w:rsid w:val="00C10A79"/>
    <w:rsid w:val="00C14E09"/>
    <w:rsid w:val="00C15732"/>
    <w:rsid w:val="00C17DFE"/>
    <w:rsid w:val="00C24341"/>
    <w:rsid w:val="00C30EDB"/>
    <w:rsid w:val="00C4244C"/>
    <w:rsid w:val="00C44458"/>
    <w:rsid w:val="00C46919"/>
    <w:rsid w:val="00C47D9F"/>
    <w:rsid w:val="00C57755"/>
    <w:rsid w:val="00C62FC3"/>
    <w:rsid w:val="00C74725"/>
    <w:rsid w:val="00C8060F"/>
    <w:rsid w:val="00C81042"/>
    <w:rsid w:val="00C876E1"/>
    <w:rsid w:val="00C91D30"/>
    <w:rsid w:val="00C9493C"/>
    <w:rsid w:val="00C965C0"/>
    <w:rsid w:val="00C96890"/>
    <w:rsid w:val="00CA0CD2"/>
    <w:rsid w:val="00CA55C2"/>
    <w:rsid w:val="00CA7ADF"/>
    <w:rsid w:val="00CB0683"/>
    <w:rsid w:val="00CB5B59"/>
    <w:rsid w:val="00CB5E3E"/>
    <w:rsid w:val="00CC7613"/>
    <w:rsid w:val="00CD226D"/>
    <w:rsid w:val="00CD6770"/>
    <w:rsid w:val="00CD69D8"/>
    <w:rsid w:val="00CE04E1"/>
    <w:rsid w:val="00CF2B2C"/>
    <w:rsid w:val="00D00CE1"/>
    <w:rsid w:val="00D04074"/>
    <w:rsid w:val="00D04561"/>
    <w:rsid w:val="00D04DAF"/>
    <w:rsid w:val="00D07D9B"/>
    <w:rsid w:val="00D21FED"/>
    <w:rsid w:val="00D3152D"/>
    <w:rsid w:val="00D41171"/>
    <w:rsid w:val="00D421F6"/>
    <w:rsid w:val="00D5536D"/>
    <w:rsid w:val="00D56B57"/>
    <w:rsid w:val="00D60059"/>
    <w:rsid w:val="00D6239D"/>
    <w:rsid w:val="00D6299C"/>
    <w:rsid w:val="00D64851"/>
    <w:rsid w:val="00D66C88"/>
    <w:rsid w:val="00D72E0F"/>
    <w:rsid w:val="00D72F8C"/>
    <w:rsid w:val="00D74897"/>
    <w:rsid w:val="00D77023"/>
    <w:rsid w:val="00D87DFD"/>
    <w:rsid w:val="00D90E62"/>
    <w:rsid w:val="00D91452"/>
    <w:rsid w:val="00D92FB5"/>
    <w:rsid w:val="00D930E3"/>
    <w:rsid w:val="00D93811"/>
    <w:rsid w:val="00D95CB1"/>
    <w:rsid w:val="00D969C8"/>
    <w:rsid w:val="00D976D1"/>
    <w:rsid w:val="00DA0404"/>
    <w:rsid w:val="00DA76B5"/>
    <w:rsid w:val="00DB260A"/>
    <w:rsid w:val="00DB27F3"/>
    <w:rsid w:val="00DC45CA"/>
    <w:rsid w:val="00DC5C18"/>
    <w:rsid w:val="00DC6C97"/>
    <w:rsid w:val="00DC6DA8"/>
    <w:rsid w:val="00DC7A10"/>
    <w:rsid w:val="00DC7F80"/>
    <w:rsid w:val="00DD2562"/>
    <w:rsid w:val="00DE069D"/>
    <w:rsid w:val="00DE1A45"/>
    <w:rsid w:val="00DE4425"/>
    <w:rsid w:val="00DE52C1"/>
    <w:rsid w:val="00DE560E"/>
    <w:rsid w:val="00DE7BE2"/>
    <w:rsid w:val="00DF22F2"/>
    <w:rsid w:val="00E04056"/>
    <w:rsid w:val="00E0431D"/>
    <w:rsid w:val="00E065DF"/>
    <w:rsid w:val="00E106E6"/>
    <w:rsid w:val="00E10BFC"/>
    <w:rsid w:val="00E15905"/>
    <w:rsid w:val="00E20C04"/>
    <w:rsid w:val="00E25D27"/>
    <w:rsid w:val="00E26EA6"/>
    <w:rsid w:val="00E314B2"/>
    <w:rsid w:val="00E345E4"/>
    <w:rsid w:val="00E35A76"/>
    <w:rsid w:val="00E36317"/>
    <w:rsid w:val="00E366F9"/>
    <w:rsid w:val="00E4136B"/>
    <w:rsid w:val="00E422A2"/>
    <w:rsid w:val="00E54607"/>
    <w:rsid w:val="00E6092B"/>
    <w:rsid w:val="00E7079F"/>
    <w:rsid w:val="00E751E4"/>
    <w:rsid w:val="00E76701"/>
    <w:rsid w:val="00E801C0"/>
    <w:rsid w:val="00E84971"/>
    <w:rsid w:val="00E85957"/>
    <w:rsid w:val="00E9174E"/>
    <w:rsid w:val="00E972DB"/>
    <w:rsid w:val="00EA0A97"/>
    <w:rsid w:val="00EA2500"/>
    <w:rsid w:val="00EA2CB7"/>
    <w:rsid w:val="00EA3644"/>
    <w:rsid w:val="00EA3742"/>
    <w:rsid w:val="00EA4853"/>
    <w:rsid w:val="00EA487B"/>
    <w:rsid w:val="00EA7803"/>
    <w:rsid w:val="00EB45E9"/>
    <w:rsid w:val="00EC02AE"/>
    <w:rsid w:val="00EC3003"/>
    <w:rsid w:val="00EC5E83"/>
    <w:rsid w:val="00EC745D"/>
    <w:rsid w:val="00EC7CD4"/>
    <w:rsid w:val="00ED0FBE"/>
    <w:rsid w:val="00ED48B1"/>
    <w:rsid w:val="00ED5289"/>
    <w:rsid w:val="00ED5958"/>
    <w:rsid w:val="00ED6287"/>
    <w:rsid w:val="00ED6C61"/>
    <w:rsid w:val="00EE2DB8"/>
    <w:rsid w:val="00EF23E3"/>
    <w:rsid w:val="00EF26AC"/>
    <w:rsid w:val="00EF3C94"/>
    <w:rsid w:val="00EF6E12"/>
    <w:rsid w:val="00EF7572"/>
    <w:rsid w:val="00F00402"/>
    <w:rsid w:val="00F00B7D"/>
    <w:rsid w:val="00F01FC3"/>
    <w:rsid w:val="00F02728"/>
    <w:rsid w:val="00F113E1"/>
    <w:rsid w:val="00F12855"/>
    <w:rsid w:val="00F1368D"/>
    <w:rsid w:val="00F21543"/>
    <w:rsid w:val="00F24956"/>
    <w:rsid w:val="00F26256"/>
    <w:rsid w:val="00F2662B"/>
    <w:rsid w:val="00F311E2"/>
    <w:rsid w:val="00F3514F"/>
    <w:rsid w:val="00F40588"/>
    <w:rsid w:val="00F42063"/>
    <w:rsid w:val="00F4605B"/>
    <w:rsid w:val="00F47082"/>
    <w:rsid w:val="00F47BE7"/>
    <w:rsid w:val="00F57E11"/>
    <w:rsid w:val="00F61DA4"/>
    <w:rsid w:val="00F65831"/>
    <w:rsid w:val="00F67752"/>
    <w:rsid w:val="00F67E42"/>
    <w:rsid w:val="00F70FE2"/>
    <w:rsid w:val="00F76E76"/>
    <w:rsid w:val="00F81DD0"/>
    <w:rsid w:val="00F828B3"/>
    <w:rsid w:val="00F87F42"/>
    <w:rsid w:val="00F90794"/>
    <w:rsid w:val="00F9154B"/>
    <w:rsid w:val="00F94016"/>
    <w:rsid w:val="00F95C6E"/>
    <w:rsid w:val="00FA14ED"/>
    <w:rsid w:val="00FA387B"/>
    <w:rsid w:val="00FA5F5A"/>
    <w:rsid w:val="00FA7B2E"/>
    <w:rsid w:val="00FB100C"/>
    <w:rsid w:val="00FB27F2"/>
    <w:rsid w:val="00FB282C"/>
    <w:rsid w:val="00FB495B"/>
    <w:rsid w:val="00FB647E"/>
    <w:rsid w:val="00FB6F35"/>
    <w:rsid w:val="00FC1EE8"/>
    <w:rsid w:val="00FC25BC"/>
    <w:rsid w:val="00FC3E40"/>
    <w:rsid w:val="00FC4E3F"/>
    <w:rsid w:val="00FE240B"/>
    <w:rsid w:val="00FE34DB"/>
    <w:rsid w:val="00FE4CF1"/>
    <w:rsid w:val="00FE769A"/>
    <w:rsid w:val="00FF0106"/>
    <w:rsid w:val="00FF4F37"/>
    <w:rsid w:val="00FF789E"/>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B2B44D4"/>
  <w15:chartTrackingRefBased/>
  <w15:docId w15:val="{7772341F-A861-4D5D-BBDA-91E6AA5D0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0"/>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62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D674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1"/>
    <w:qFormat/>
    <w:rsid w:val="00730E6E"/>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1"/>
    <w:qFormat/>
    <w:rsid w:val="00730E6E"/>
    <w:pPr>
      <w:spacing w:before="100" w:beforeAutospacing="1" w:after="100" w:afterAutospacing="1"/>
      <w:outlineLvl w:val="2"/>
    </w:pPr>
    <w:rPr>
      <w:b/>
      <w:bCs/>
      <w:sz w:val="27"/>
      <w:szCs w:val="27"/>
    </w:rPr>
  </w:style>
  <w:style w:type="paragraph" w:styleId="Heading4">
    <w:name w:val="heading 4"/>
    <w:basedOn w:val="Normal"/>
    <w:next w:val="Normal"/>
    <w:link w:val="Heading4Char"/>
    <w:qFormat/>
    <w:rsid w:val="00730E6E"/>
    <w:pPr>
      <w:keepNext/>
      <w:outlineLvl w:val="3"/>
    </w:pPr>
    <w:rPr>
      <w:b/>
      <w:bCs/>
      <w:szCs w:val="20"/>
      <w:lang w:val="en-GB"/>
    </w:rPr>
  </w:style>
  <w:style w:type="paragraph" w:styleId="Heading5">
    <w:name w:val="heading 5"/>
    <w:basedOn w:val="Normal"/>
    <w:next w:val="Normal"/>
    <w:link w:val="Heading5Char"/>
    <w:qFormat/>
    <w:rsid w:val="00730E6E"/>
    <w:pPr>
      <w:keepNext/>
      <w:jc w:val="center"/>
      <w:outlineLvl w:val="4"/>
    </w:pPr>
    <w:rPr>
      <w:b/>
      <w:bCs/>
      <w:sz w:val="28"/>
    </w:rPr>
  </w:style>
  <w:style w:type="paragraph" w:styleId="Heading6">
    <w:name w:val="heading 6"/>
    <w:basedOn w:val="Normal"/>
    <w:next w:val="Normal"/>
    <w:link w:val="Heading6Char"/>
    <w:qFormat/>
    <w:rsid w:val="00730E6E"/>
    <w:pPr>
      <w:keepNext/>
      <w:ind w:firstLine="720"/>
      <w:jc w:val="center"/>
      <w:outlineLvl w:val="5"/>
    </w:pPr>
    <w:rPr>
      <w:rFonts w:ascii="TimesRomanR" w:hAnsi="TimesRomanR"/>
      <w:b/>
      <w:bCs/>
      <w:szCs w:val="20"/>
    </w:rPr>
  </w:style>
  <w:style w:type="paragraph" w:styleId="Heading7">
    <w:name w:val="heading 7"/>
    <w:basedOn w:val="Normal"/>
    <w:next w:val="Normal"/>
    <w:link w:val="Heading7Char"/>
    <w:qFormat/>
    <w:rsid w:val="00730E6E"/>
    <w:pPr>
      <w:spacing w:before="240" w:after="60"/>
      <w:outlineLvl w:val="6"/>
    </w:pPr>
    <w:rPr>
      <w:rFonts w:ascii="Calibri" w:hAnsi="Calibri"/>
    </w:rPr>
  </w:style>
  <w:style w:type="paragraph" w:styleId="Heading8">
    <w:name w:val="heading 8"/>
    <w:basedOn w:val="Normal"/>
    <w:next w:val="Normal"/>
    <w:link w:val="Heading8Char"/>
    <w:qFormat/>
    <w:rsid w:val="00730E6E"/>
    <w:pPr>
      <w:spacing w:before="240" w:after="60"/>
      <w:outlineLvl w:val="7"/>
    </w:pPr>
    <w:rPr>
      <w:i/>
      <w:iCs/>
    </w:rPr>
  </w:style>
  <w:style w:type="paragraph" w:styleId="Heading9">
    <w:name w:val="heading 9"/>
    <w:basedOn w:val="Normal"/>
    <w:next w:val="Normal"/>
    <w:link w:val="Heading9Char"/>
    <w:unhideWhenUsed/>
    <w:qFormat/>
    <w:rsid w:val="00730E6E"/>
    <w:pPr>
      <w:spacing w:before="240" w:after="60" w:line="276" w:lineRule="auto"/>
      <w:outlineLvl w:val="8"/>
    </w:pPr>
    <w:rPr>
      <w:rFonts w:ascii="Cambria" w:hAnsi="Cambria"/>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lock style,Standard paragraph,Body,b,bt,body text,body,text,BodyText"/>
    <w:basedOn w:val="Normal"/>
    <w:link w:val="BodyTextChar1"/>
    <w:qFormat/>
    <w:rsid w:val="00BE50CC"/>
    <w:pPr>
      <w:spacing w:after="120"/>
    </w:pPr>
  </w:style>
  <w:style w:type="character" w:customStyle="1" w:styleId="BodyTextChar">
    <w:name w:val="Body Text Char"/>
    <w:basedOn w:val="DefaultParagraphFont"/>
    <w:uiPriority w:val="99"/>
    <w:semiHidden/>
    <w:rsid w:val="00BE50CC"/>
    <w:rPr>
      <w:rFonts w:ascii="Times New Roman" w:eastAsia="Times New Roman" w:hAnsi="Times New Roman" w:cs="Times New Roman"/>
      <w:sz w:val="24"/>
      <w:szCs w:val="24"/>
    </w:rPr>
  </w:style>
  <w:style w:type="character" w:customStyle="1" w:styleId="BodyTextChar1">
    <w:name w:val="Body Text Char1"/>
    <w:aliases w:val="block style Char,Standard paragraph Char,Body Char,b Char,bt Char,body text Char,body Char,text Char,BodyText Char"/>
    <w:link w:val="BodyText"/>
    <w:locked/>
    <w:rsid w:val="00BE50CC"/>
    <w:rPr>
      <w:rFonts w:ascii="Times New Roman" w:eastAsia="Times New Roman" w:hAnsi="Times New Roman" w:cs="Times New Roman"/>
      <w:sz w:val="24"/>
      <w:szCs w:val="24"/>
    </w:rPr>
  </w:style>
  <w:style w:type="paragraph" w:styleId="FootnoteText">
    <w:name w:val="footnote text"/>
    <w:aliases w:val="Footnote,Fußnote,Fußnotentext Char,Podrozdział,Footnote Text Char Char,single space,footnote text,FOOTNOTES,fn,fn Char Char Char,fn Char Char,fn Char,Fußnote Char Char Char,Fußnote Char,Fußnote Char Char Char Char,ADB,ft,Tekst przypisu,f"/>
    <w:basedOn w:val="Normal"/>
    <w:link w:val="FootnoteTextChar1"/>
    <w:uiPriority w:val="99"/>
    <w:qFormat/>
    <w:rsid w:val="003A35CA"/>
    <w:rPr>
      <w:sz w:val="20"/>
      <w:szCs w:val="20"/>
    </w:rPr>
  </w:style>
  <w:style w:type="character" w:customStyle="1" w:styleId="FootnoteTextChar">
    <w:name w:val="Footnote Text Char"/>
    <w:aliases w:val="Tekst przypisu Char,Tekst przypisu Znak Znak Znak Znak Char,Tekst przypisu Znak Znak Znak Znak Znak Char,Tekst przypisu Znak Znak Znak Znak Znak Znak Znak Char,FOOTNOTE Char,Footnote Char1,Caracter Char Char Char,Caracter Char Char1"/>
    <w:basedOn w:val="DefaultParagraphFont"/>
    <w:rsid w:val="003A35CA"/>
    <w:rPr>
      <w:rFonts w:ascii="Times New Roman" w:eastAsia="Times New Roman" w:hAnsi="Times New Roman" w:cs="Times New Roman"/>
      <w:sz w:val="20"/>
      <w:szCs w:val="20"/>
    </w:rPr>
  </w:style>
  <w:style w:type="character" w:customStyle="1" w:styleId="FootnoteTextChar1">
    <w:name w:val="Footnote Text Char1"/>
    <w:aliases w:val="Footnote Char,Fußnote Char1,Fußnotentext Char Char,Podrozdział Char,Footnote Text Char Char Char,single space Char,footnote text Char,FOOTNOTES Char,fn Char1,fn Char Char Char Char,fn Char Char Char1,fn Char Char1,Fußnote Char Char"/>
    <w:link w:val="FootnoteText"/>
    <w:uiPriority w:val="99"/>
    <w:qFormat/>
    <w:locked/>
    <w:rsid w:val="003A35CA"/>
    <w:rPr>
      <w:rFonts w:ascii="Times New Roman" w:eastAsia="Times New Roman" w:hAnsi="Times New Roman" w:cs="Times New Roman"/>
      <w:sz w:val="20"/>
      <w:szCs w:val="20"/>
    </w:rPr>
  </w:style>
  <w:style w:type="character" w:styleId="FootnoteReference">
    <w:name w:val="footnote reference"/>
    <w:aliases w:val=" Char Char Char Char1 Char Char Char Char Char Char Char Char Caracter Caracter Caracter Char, Char Char1 Char Char Char Char Char Char Caracter Char, Char Char1 Char Char Char Char Char Char Caracter Char Char Char Char Char,ftref,fr"/>
    <w:link w:val="CharCharCharChar1CharCharCharCharCharCharCharCharCaracterCaracterCaracter"/>
    <w:uiPriority w:val="99"/>
    <w:qFormat/>
    <w:rsid w:val="003A35CA"/>
    <w:rPr>
      <w:vertAlign w:val="superscript"/>
    </w:rPr>
  </w:style>
  <w:style w:type="paragraph" w:customStyle="1" w:styleId="CharCharCharChar1CharCharCharCharCharCharCharCharCaracterCaracterCaracter">
    <w:name w:val="Char Char Char Char1 Char Char Char Char Char Char Char Char Caracter Caracter Caracter"/>
    <w:aliases w:val=" Char Char1 Char Char Char Char Char Char Caracter, Char Char1 Char Char Char Char Char Char Caracter Char Caracter Char Char Caracter"/>
    <w:basedOn w:val="Normal"/>
    <w:next w:val="Normal"/>
    <w:link w:val="FootnoteReference"/>
    <w:uiPriority w:val="99"/>
    <w:rsid w:val="003A35CA"/>
    <w:pPr>
      <w:spacing w:after="160" w:line="240" w:lineRule="exact"/>
    </w:pPr>
    <w:rPr>
      <w:rFonts w:asciiTheme="minorHAnsi" w:eastAsiaTheme="minorHAnsi" w:hAnsiTheme="minorHAnsi" w:cstheme="minorBidi"/>
      <w:sz w:val="22"/>
      <w:szCs w:val="22"/>
      <w:vertAlign w:val="superscript"/>
    </w:rPr>
  </w:style>
  <w:style w:type="paragraph" w:styleId="ListParagraph">
    <w:name w:val="List Paragraph"/>
    <w:aliases w:val="Antes de enumeración,Akapit z listą BS,Outlines a.b.c.,List_Paragraph,Multilevel para_II,Akapit z lista BS,List1,Списък на абзаци,List Paragraph11,body 2,List Paragraph compact,Paragraphe de liste 2,Reference list,Bullet list,Bullet 1,bu"/>
    <w:basedOn w:val="Normal"/>
    <w:link w:val="ListParagraphChar"/>
    <w:uiPriority w:val="34"/>
    <w:qFormat/>
    <w:rsid w:val="003A35CA"/>
    <w:pPr>
      <w:spacing w:line="276" w:lineRule="auto"/>
      <w:ind w:left="720"/>
      <w:contextualSpacing/>
    </w:pPr>
    <w:rPr>
      <w:rFonts w:eastAsia="Calibri"/>
      <w:szCs w:val="22"/>
      <w:lang w:val="ro-RO"/>
    </w:rPr>
  </w:style>
  <w:style w:type="character" w:customStyle="1" w:styleId="ListParagraphChar">
    <w:name w:val="List Paragraph Char"/>
    <w:aliases w:val="Antes de enumeración Char,Akapit z listą BS Char,Outlines a.b.c. Char,List_Paragraph Char,Multilevel para_II Char,Akapit z lista BS Char,List1 Char,Списък на абзаци Char,List Paragraph11 Char,body 2 Char,List Paragraph compact Char"/>
    <w:link w:val="ListParagraph"/>
    <w:uiPriority w:val="34"/>
    <w:qFormat/>
    <w:locked/>
    <w:rsid w:val="003A35CA"/>
    <w:rPr>
      <w:rFonts w:ascii="Times New Roman" w:eastAsia="Calibri" w:hAnsi="Times New Roman" w:cs="Times New Roman"/>
      <w:sz w:val="24"/>
      <w:lang w:val="ro-RO"/>
    </w:rPr>
  </w:style>
  <w:style w:type="paragraph" w:styleId="NormalWeb">
    <w:name w:val="Normal (Web)"/>
    <w:aliases w:val="Normal (Web) Char Char,Normal (Web) Char"/>
    <w:basedOn w:val="Normal"/>
    <w:link w:val="NormalWebChar1"/>
    <w:uiPriority w:val="99"/>
    <w:qFormat/>
    <w:rsid w:val="003A35CA"/>
    <w:pPr>
      <w:spacing w:before="100" w:beforeAutospacing="1" w:after="100" w:afterAutospacing="1"/>
    </w:pPr>
  </w:style>
  <w:style w:type="character" w:customStyle="1" w:styleId="NormalWebChar1">
    <w:name w:val="Normal (Web) Char1"/>
    <w:aliases w:val="Normal (Web) Char Char Char,Normal (Web) Char Char1"/>
    <w:link w:val="NormalWeb"/>
    <w:uiPriority w:val="99"/>
    <w:locked/>
    <w:rsid w:val="003A35CA"/>
    <w:rPr>
      <w:rFonts w:ascii="Times New Roman" w:eastAsia="Times New Roman" w:hAnsi="Times New Roman" w:cs="Times New Roman"/>
      <w:sz w:val="24"/>
      <w:szCs w:val="24"/>
    </w:rPr>
  </w:style>
  <w:style w:type="character" w:styleId="Strong">
    <w:name w:val="Strong"/>
    <w:uiPriority w:val="99"/>
    <w:qFormat/>
    <w:rsid w:val="003A35CA"/>
    <w:rPr>
      <w:b/>
      <w:bCs/>
    </w:rPr>
  </w:style>
  <w:style w:type="character" w:styleId="Emphasis">
    <w:name w:val="Emphasis"/>
    <w:uiPriority w:val="20"/>
    <w:qFormat/>
    <w:rsid w:val="003A35CA"/>
    <w:rPr>
      <w:i/>
      <w:iCs/>
    </w:rPr>
  </w:style>
  <w:style w:type="character" w:styleId="PageNumber">
    <w:name w:val="page number"/>
    <w:rsid w:val="0013397F"/>
    <w:rPr>
      <w:rFonts w:cs="Times New Roman"/>
    </w:rPr>
  </w:style>
  <w:style w:type="paragraph" w:styleId="Footer">
    <w:name w:val="footer"/>
    <w:basedOn w:val="Normal"/>
    <w:link w:val="FooterChar1"/>
    <w:uiPriority w:val="99"/>
    <w:rsid w:val="0013397F"/>
    <w:pPr>
      <w:tabs>
        <w:tab w:val="center" w:pos="4536"/>
        <w:tab w:val="right" w:pos="9072"/>
      </w:tabs>
      <w:spacing w:after="120"/>
      <w:jc w:val="both"/>
    </w:pPr>
    <w:rPr>
      <w:rFonts w:ascii="Garamond" w:hAnsi="Garamond" w:cs="Garamond"/>
      <w:lang w:val="ro-RO" w:eastAsia="ro-RO"/>
    </w:rPr>
  </w:style>
  <w:style w:type="character" w:customStyle="1" w:styleId="FooterChar">
    <w:name w:val="Footer Char"/>
    <w:basedOn w:val="DefaultParagraphFont"/>
    <w:uiPriority w:val="99"/>
    <w:rsid w:val="0013397F"/>
    <w:rPr>
      <w:rFonts w:ascii="Times New Roman" w:eastAsia="Times New Roman" w:hAnsi="Times New Roman" w:cs="Times New Roman"/>
      <w:sz w:val="24"/>
      <w:szCs w:val="24"/>
    </w:rPr>
  </w:style>
  <w:style w:type="character" w:customStyle="1" w:styleId="FooterChar1">
    <w:name w:val="Footer Char1"/>
    <w:link w:val="Footer"/>
    <w:locked/>
    <w:rsid w:val="0013397F"/>
    <w:rPr>
      <w:rFonts w:ascii="Garamond" w:eastAsia="Times New Roman" w:hAnsi="Garamond" w:cs="Garamond"/>
      <w:sz w:val="24"/>
      <w:szCs w:val="24"/>
      <w:lang w:val="ro-RO" w:eastAsia="ro-RO"/>
    </w:rPr>
  </w:style>
  <w:style w:type="paragraph" w:styleId="List">
    <w:name w:val="List"/>
    <w:basedOn w:val="Normal"/>
    <w:rsid w:val="00B22274"/>
    <w:pPr>
      <w:ind w:left="360" w:hanging="360"/>
    </w:pPr>
  </w:style>
  <w:style w:type="table" w:customStyle="1" w:styleId="Tabelgril131">
    <w:name w:val="Tabel grilă131"/>
    <w:basedOn w:val="TableNormal"/>
    <w:next w:val="TableGrid"/>
    <w:uiPriority w:val="39"/>
    <w:rsid w:val="00FE769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FE769A"/>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E7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2BE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aracterCaracter">
    <w:name w:val="Caracter Caracter"/>
    <w:basedOn w:val="Normal"/>
    <w:rsid w:val="00AC2BE0"/>
    <w:pPr>
      <w:suppressAutoHyphens/>
    </w:pPr>
    <w:rPr>
      <w:lang w:val="pl-PL" w:eastAsia="zh-CN"/>
    </w:rPr>
  </w:style>
  <w:style w:type="paragraph" w:customStyle="1" w:styleId="Style35001908">
    <w:name w:val="Style35001908"/>
    <w:basedOn w:val="Normal"/>
    <w:rsid w:val="00E54607"/>
    <w:pPr>
      <w:widowControl w:val="0"/>
      <w:autoSpaceDE w:val="0"/>
      <w:autoSpaceDN w:val="0"/>
      <w:adjustRightInd w:val="0"/>
    </w:pPr>
  </w:style>
  <w:style w:type="character" w:customStyle="1" w:styleId="Heading1Char">
    <w:name w:val="Heading 1 Char"/>
    <w:basedOn w:val="DefaultParagraphFont"/>
    <w:link w:val="Heading1"/>
    <w:uiPriority w:val="9"/>
    <w:rsid w:val="003D6741"/>
    <w:rPr>
      <w:rFonts w:ascii="Arial" w:eastAsia="Times New Roman" w:hAnsi="Arial" w:cs="Arial"/>
      <w:b/>
      <w:bCs/>
      <w:kern w:val="32"/>
      <w:sz w:val="32"/>
      <w:szCs w:val="32"/>
    </w:rPr>
  </w:style>
  <w:style w:type="numbering" w:customStyle="1" w:styleId="NoList1">
    <w:name w:val="No List1"/>
    <w:next w:val="NoList"/>
    <w:uiPriority w:val="99"/>
    <w:semiHidden/>
    <w:unhideWhenUsed/>
    <w:rsid w:val="003D6741"/>
  </w:style>
  <w:style w:type="paragraph" w:styleId="BalloonText">
    <w:name w:val="Balloon Text"/>
    <w:basedOn w:val="Normal"/>
    <w:link w:val="BalloonTextChar"/>
    <w:uiPriority w:val="99"/>
    <w:unhideWhenUsed/>
    <w:rsid w:val="003D6741"/>
    <w:rPr>
      <w:rFonts w:ascii="Segoe UI" w:eastAsia="Calibri" w:hAnsi="Segoe UI" w:cs="Segoe UI"/>
      <w:sz w:val="18"/>
      <w:szCs w:val="18"/>
      <w:lang w:val="ro-RO" w:eastAsia="ro-RO"/>
    </w:rPr>
  </w:style>
  <w:style w:type="character" w:customStyle="1" w:styleId="BalloonTextChar">
    <w:name w:val="Balloon Text Char"/>
    <w:basedOn w:val="DefaultParagraphFont"/>
    <w:link w:val="BalloonText"/>
    <w:uiPriority w:val="99"/>
    <w:rsid w:val="003D6741"/>
    <w:rPr>
      <w:rFonts w:ascii="Segoe UI" w:eastAsia="Calibri" w:hAnsi="Segoe UI" w:cs="Segoe UI"/>
      <w:sz w:val="18"/>
      <w:szCs w:val="18"/>
      <w:lang w:val="ro-RO" w:eastAsia="ro-RO"/>
    </w:rPr>
  </w:style>
  <w:style w:type="paragraph" w:styleId="NoSpacing">
    <w:name w:val="No Spacing"/>
    <w:aliases w:val="normal1"/>
    <w:link w:val="NoSpacingChar"/>
    <w:uiPriority w:val="1"/>
    <w:qFormat/>
    <w:rsid w:val="003D6741"/>
    <w:pPr>
      <w:spacing w:after="0" w:line="240" w:lineRule="auto"/>
    </w:pPr>
    <w:rPr>
      <w:rFonts w:ascii="Times New Roman" w:eastAsia="Times New Roman" w:hAnsi="Times New Roman" w:cs="Times New Roman"/>
      <w:sz w:val="24"/>
      <w:szCs w:val="24"/>
    </w:rPr>
  </w:style>
  <w:style w:type="paragraph" w:customStyle="1" w:styleId="Frspaiere2">
    <w:name w:val="Fără spațiere2"/>
    <w:qFormat/>
    <w:rsid w:val="003D6741"/>
    <w:pPr>
      <w:overflowPunct w:val="0"/>
      <w:autoSpaceDE w:val="0"/>
      <w:autoSpaceDN w:val="0"/>
      <w:adjustRightInd w:val="0"/>
      <w:spacing w:after="0" w:line="240" w:lineRule="auto"/>
      <w:textAlignment w:val="baseline"/>
    </w:pPr>
    <w:rPr>
      <w:rFonts w:ascii="Times New Roman Rom" w:eastAsia="Times New Roman" w:hAnsi="Times New Roman Rom" w:cs="Times New Roman"/>
      <w:sz w:val="32"/>
      <w:szCs w:val="20"/>
      <w:lang w:val="ro-RO" w:eastAsia="ro-RO"/>
    </w:rPr>
  </w:style>
  <w:style w:type="character" w:styleId="SubtleEmphasis">
    <w:name w:val="Subtle Emphasis"/>
    <w:uiPriority w:val="19"/>
    <w:qFormat/>
    <w:rsid w:val="003D6741"/>
    <w:rPr>
      <w:rFonts w:eastAsia="Times New Roman" w:cs="Times New Roman"/>
      <w:bCs w:val="0"/>
      <w:i/>
      <w:iCs/>
      <w:color w:val="808080"/>
      <w:szCs w:val="22"/>
      <w:lang w:val="en-US"/>
    </w:rPr>
  </w:style>
  <w:style w:type="character" w:customStyle="1" w:styleId="do1">
    <w:name w:val="do1"/>
    <w:qFormat/>
    <w:rsid w:val="003D6741"/>
    <w:rPr>
      <w:b/>
      <w:bCs/>
      <w:sz w:val="26"/>
      <w:szCs w:val="26"/>
    </w:rPr>
  </w:style>
  <w:style w:type="character" w:customStyle="1" w:styleId="tal1">
    <w:name w:val="tal1"/>
    <w:rsid w:val="003D6741"/>
  </w:style>
  <w:style w:type="character" w:customStyle="1" w:styleId="NoSpacingChar">
    <w:name w:val="No Spacing Char"/>
    <w:aliases w:val="normal1 Char"/>
    <w:link w:val="NoSpacing"/>
    <w:uiPriority w:val="1"/>
    <w:rsid w:val="003D6741"/>
    <w:rPr>
      <w:rFonts w:ascii="Times New Roman" w:eastAsia="Times New Roman" w:hAnsi="Times New Roman" w:cs="Times New Roman"/>
      <w:sz w:val="24"/>
      <w:szCs w:val="24"/>
    </w:rPr>
  </w:style>
  <w:style w:type="character" w:customStyle="1" w:styleId="tca1">
    <w:name w:val="tca1"/>
    <w:rsid w:val="003D6741"/>
    <w:rPr>
      <w:b/>
      <w:bCs/>
      <w:sz w:val="24"/>
      <w:szCs w:val="24"/>
    </w:rPr>
  </w:style>
  <w:style w:type="paragraph" w:styleId="Header">
    <w:name w:val="header"/>
    <w:basedOn w:val="Normal"/>
    <w:link w:val="HeaderChar"/>
    <w:uiPriority w:val="99"/>
    <w:unhideWhenUsed/>
    <w:rsid w:val="003D6741"/>
    <w:pPr>
      <w:tabs>
        <w:tab w:val="center" w:pos="4680"/>
        <w:tab w:val="right" w:pos="9360"/>
      </w:tabs>
    </w:pPr>
    <w:rPr>
      <w:rFonts w:ascii="Calibri" w:eastAsia="Calibri" w:hAnsi="Calibri" w:cs="Arial"/>
      <w:sz w:val="20"/>
      <w:szCs w:val="20"/>
    </w:rPr>
  </w:style>
  <w:style w:type="character" w:customStyle="1" w:styleId="HeaderChar">
    <w:name w:val="Header Char"/>
    <w:basedOn w:val="DefaultParagraphFont"/>
    <w:link w:val="Header"/>
    <w:uiPriority w:val="99"/>
    <w:rsid w:val="003D6741"/>
    <w:rPr>
      <w:rFonts w:ascii="Calibri" w:eastAsia="Calibri" w:hAnsi="Calibri" w:cs="Arial"/>
      <w:sz w:val="20"/>
      <w:szCs w:val="20"/>
    </w:rPr>
  </w:style>
  <w:style w:type="table" w:customStyle="1" w:styleId="TableGrid1">
    <w:name w:val="Table Grid1"/>
    <w:basedOn w:val="TableNormal"/>
    <w:next w:val="TableGrid"/>
    <w:rsid w:val="003D6741"/>
    <w:pPr>
      <w:spacing w:after="0" w:line="240" w:lineRule="auto"/>
    </w:pPr>
    <w:rPr>
      <w:rFonts w:ascii="Calibri" w:eastAsia="Calibri" w:hAnsi="Calibri"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eading2Char">
    <w:name w:val="Heading 2 Char"/>
    <w:basedOn w:val="DefaultParagraphFont"/>
    <w:link w:val="Heading2"/>
    <w:uiPriority w:val="1"/>
    <w:rsid w:val="00730E6E"/>
    <w:rPr>
      <w:rFonts w:ascii="Arial" w:eastAsia="Times New Roman" w:hAnsi="Arial" w:cs="Arial"/>
      <w:b/>
      <w:bCs/>
      <w:i/>
      <w:iCs/>
      <w:sz w:val="28"/>
      <w:szCs w:val="28"/>
    </w:rPr>
  </w:style>
  <w:style w:type="character" w:customStyle="1" w:styleId="Heading3Char">
    <w:name w:val="Heading 3 Char"/>
    <w:basedOn w:val="DefaultParagraphFont"/>
    <w:link w:val="Heading3"/>
    <w:uiPriority w:val="1"/>
    <w:rsid w:val="00730E6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730E6E"/>
    <w:rPr>
      <w:rFonts w:ascii="Times New Roman" w:eastAsia="Times New Roman" w:hAnsi="Times New Roman" w:cs="Times New Roman"/>
      <w:b/>
      <w:bCs/>
      <w:sz w:val="24"/>
      <w:szCs w:val="20"/>
      <w:lang w:val="en-GB"/>
    </w:rPr>
  </w:style>
  <w:style w:type="character" w:customStyle="1" w:styleId="Heading5Char">
    <w:name w:val="Heading 5 Char"/>
    <w:basedOn w:val="DefaultParagraphFont"/>
    <w:link w:val="Heading5"/>
    <w:rsid w:val="00730E6E"/>
    <w:rPr>
      <w:rFonts w:ascii="Times New Roman" w:eastAsia="Times New Roman" w:hAnsi="Times New Roman" w:cs="Times New Roman"/>
      <w:b/>
      <w:bCs/>
      <w:sz w:val="28"/>
      <w:szCs w:val="24"/>
    </w:rPr>
  </w:style>
  <w:style w:type="character" w:customStyle="1" w:styleId="Heading6Char">
    <w:name w:val="Heading 6 Char"/>
    <w:basedOn w:val="DefaultParagraphFont"/>
    <w:link w:val="Heading6"/>
    <w:rsid w:val="00730E6E"/>
    <w:rPr>
      <w:rFonts w:ascii="TimesRomanR" w:eastAsia="Times New Roman" w:hAnsi="TimesRomanR" w:cs="Times New Roman"/>
      <w:b/>
      <w:bCs/>
      <w:sz w:val="24"/>
      <w:szCs w:val="20"/>
    </w:rPr>
  </w:style>
  <w:style w:type="character" w:customStyle="1" w:styleId="Heading7Char">
    <w:name w:val="Heading 7 Char"/>
    <w:basedOn w:val="DefaultParagraphFont"/>
    <w:link w:val="Heading7"/>
    <w:rsid w:val="00730E6E"/>
    <w:rPr>
      <w:rFonts w:ascii="Calibri" w:eastAsia="Times New Roman" w:hAnsi="Calibri" w:cs="Times New Roman"/>
      <w:sz w:val="24"/>
      <w:szCs w:val="24"/>
    </w:rPr>
  </w:style>
  <w:style w:type="character" w:customStyle="1" w:styleId="Heading8Char">
    <w:name w:val="Heading 8 Char"/>
    <w:basedOn w:val="DefaultParagraphFont"/>
    <w:link w:val="Heading8"/>
    <w:rsid w:val="00730E6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730E6E"/>
    <w:rPr>
      <w:rFonts w:ascii="Cambria" w:eastAsia="Times New Roman" w:hAnsi="Cambria" w:cs="Times New Roman"/>
      <w:color w:val="000000"/>
    </w:rPr>
  </w:style>
  <w:style w:type="paragraph" w:customStyle="1" w:styleId="CharChar3CaracterCaracter1CharCharCaracterCaracter1CaracterCaracterCharCharCaracterCaracterCharCharCaracterCaracterCharCharCaracterCaracterCaracterCaracter1">
    <w:name w:val="Char Char3 Caracter Caracter1 Char Char Caracter Caracter1 Caracter Caracter Char Char Caracter Caracter Char Char Caracter Caracter Char Char Caracter Caracter Caracter Caracter1"/>
    <w:basedOn w:val="Normal"/>
    <w:rsid w:val="00730E6E"/>
    <w:rPr>
      <w:lang w:val="pl-PL" w:eastAsia="pl-PL"/>
    </w:rPr>
  </w:style>
  <w:style w:type="paragraph" w:customStyle="1" w:styleId="CaracterCaracter6CharChar">
    <w:name w:val="Caracter Caracter6 Char Char"/>
    <w:basedOn w:val="Normal"/>
    <w:rsid w:val="00730E6E"/>
    <w:rPr>
      <w:lang w:val="pl-PL" w:eastAsia="pl-PL"/>
    </w:rPr>
  </w:style>
  <w:style w:type="table" w:styleId="TableSimple1">
    <w:name w:val="Table Simple 1"/>
    <w:basedOn w:val="TableNormal"/>
    <w:rsid w:val="00730E6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Normal16pc">
    <w:name w:val="Normal+16pc"/>
    <w:basedOn w:val="Normal"/>
    <w:rsid w:val="00730E6E"/>
    <w:rPr>
      <w:rFonts w:eastAsia="SimSun"/>
      <w:sz w:val="28"/>
      <w:szCs w:val="28"/>
      <w:lang w:val="ro-RO" w:eastAsia="ro-RO"/>
    </w:rPr>
  </w:style>
  <w:style w:type="paragraph" w:customStyle="1" w:styleId="DefaultText">
    <w:name w:val="Default Text"/>
    <w:basedOn w:val="Normal"/>
    <w:link w:val="DefaultTextCaracter"/>
    <w:rsid w:val="00730E6E"/>
    <w:pPr>
      <w:autoSpaceDE w:val="0"/>
      <w:autoSpaceDN w:val="0"/>
      <w:adjustRightInd w:val="0"/>
    </w:pPr>
  </w:style>
  <w:style w:type="character" w:customStyle="1" w:styleId="DefaultTextCaracter">
    <w:name w:val="Default Text Caracter"/>
    <w:link w:val="DefaultText"/>
    <w:locked/>
    <w:rsid w:val="00730E6E"/>
    <w:rPr>
      <w:rFonts w:ascii="Times New Roman" w:eastAsia="Times New Roman" w:hAnsi="Times New Roman" w:cs="Times New Roman"/>
      <w:sz w:val="24"/>
      <w:szCs w:val="24"/>
    </w:rPr>
  </w:style>
  <w:style w:type="paragraph" w:styleId="BodyTextIndent2">
    <w:name w:val="Body Text Indent 2"/>
    <w:basedOn w:val="Normal"/>
    <w:link w:val="BodyTextIndent2Char"/>
    <w:rsid w:val="00730E6E"/>
    <w:pPr>
      <w:widowControl w:val="0"/>
      <w:spacing w:before="120" w:after="120"/>
      <w:ind w:firstLine="1134"/>
      <w:jc w:val="both"/>
    </w:pPr>
    <w:rPr>
      <w:rFonts w:eastAsia="SimSun"/>
      <w:sz w:val="28"/>
      <w:szCs w:val="28"/>
      <w:lang w:val="ro-RO" w:eastAsia="ro-RO"/>
    </w:rPr>
  </w:style>
  <w:style w:type="character" w:customStyle="1" w:styleId="BodyTextIndent2Char">
    <w:name w:val="Body Text Indent 2 Char"/>
    <w:basedOn w:val="DefaultParagraphFont"/>
    <w:link w:val="BodyTextIndent2"/>
    <w:rsid w:val="00730E6E"/>
    <w:rPr>
      <w:rFonts w:ascii="Times New Roman" w:eastAsia="SimSun" w:hAnsi="Times New Roman" w:cs="Times New Roman"/>
      <w:sz w:val="28"/>
      <w:szCs w:val="28"/>
      <w:lang w:val="ro-RO" w:eastAsia="ro-RO"/>
    </w:rPr>
  </w:style>
  <w:style w:type="paragraph" w:customStyle="1" w:styleId="western">
    <w:name w:val="western"/>
    <w:basedOn w:val="Normal"/>
    <w:rsid w:val="00730E6E"/>
    <w:pPr>
      <w:spacing w:before="100" w:beforeAutospacing="1"/>
    </w:pPr>
    <w:rPr>
      <w:rFonts w:ascii="Tahoma" w:hAnsi="Tahoma" w:cs="Tahoma"/>
      <w:b/>
      <w:bCs/>
      <w:color w:val="000080"/>
      <w:sz w:val="20"/>
      <w:szCs w:val="20"/>
    </w:rPr>
  </w:style>
  <w:style w:type="paragraph" w:customStyle="1" w:styleId="CaracterCharCharCaracterCharCharCaracterCharCharCaracterCharCharCaracterCharCharCaracterCharCharCaracter">
    <w:name w:val="Caracter Char Char Caracter Char Char Caracter Char Char Caracter Char Char Caracter Char Char Caracter Char Char Caracter"/>
    <w:basedOn w:val="Normal"/>
    <w:rsid w:val="00730E6E"/>
    <w:rPr>
      <w:lang w:val="pl-PL" w:eastAsia="pl-PL"/>
    </w:rPr>
  </w:style>
  <w:style w:type="paragraph" w:customStyle="1" w:styleId="CharCharCaracter1CharCharCaracterCharCharCaracterCharCharCaracterCharCharCaracter">
    <w:name w:val="Char Char Caracter1 Char Char Caracter Char Char Caracter Char Char Caracter Char Char Caracter"/>
    <w:basedOn w:val="Normal"/>
    <w:rsid w:val="00730E6E"/>
    <w:rPr>
      <w:lang w:val="pl-PL" w:eastAsia="pl-PL"/>
    </w:rPr>
  </w:style>
  <w:style w:type="paragraph" w:customStyle="1" w:styleId="CaracterCharCharCaracter">
    <w:name w:val="Caracter Char Char Caracter"/>
    <w:basedOn w:val="Normal"/>
    <w:rsid w:val="00730E6E"/>
    <w:rPr>
      <w:lang w:val="pl-PL" w:eastAsia="pl-PL"/>
    </w:rPr>
  </w:style>
  <w:style w:type="paragraph" w:customStyle="1" w:styleId="CaracterCharCharCaracterCharCharCaracterCharCharCaracterCharCharCaracterCharCharCaracterCharCharCaracterCharCharCaracter">
    <w:name w:val="Caracter Char Char Caracter Char Char Caracter Char Char Caracter Char Char Caracter Char Char Caracter Char Char Caracter Char Char Caracter"/>
    <w:basedOn w:val="Normal"/>
    <w:rsid w:val="00730E6E"/>
    <w:rPr>
      <w:lang w:val="pl-PL" w:eastAsia="pl-PL"/>
    </w:rPr>
  </w:style>
  <w:style w:type="paragraph" w:customStyle="1" w:styleId="CaracterCaracter1">
    <w:name w:val="Caracter Caracter1"/>
    <w:basedOn w:val="Normal"/>
    <w:rsid w:val="00730E6E"/>
    <w:rPr>
      <w:lang w:val="pl-PL" w:eastAsia="pl-PL"/>
    </w:rPr>
  </w:style>
  <w:style w:type="character" w:styleId="Hyperlink">
    <w:name w:val="Hyperlink"/>
    <w:uiPriority w:val="99"/>
    <w:rsid w:val="00730E6E"/>
    <w:rPr>
      <w:color w:val="0000FF"/>
      <w:u w:val="single"/>
    </w:rPr>
  </w:style>
  <w:style w:type="paragraph" w:customStyle="1" w:styleId="CharCharCaracter1CharCharCaracterCharCharCaracterCharCharCaracterCharCharCaracterCharCharCaracterCaracterCaracter">
    <w:name w:val="Char Char Caracter1 Char Char Caracter Char Char Caracter Char Char Caracter Char Char Caracter Char Char Caracter Caracter Caracter"/>
    <w:basedOn w:val="Normal"/>
    <w:rsid w:val="00730E6E"/>
    <w:rPr>
      <w:lang w:val="pl-PL" w:eastAsia="pl-PL"/>
    </w:rPr>
  </w:style>
  <w:style w:type="paragraph" w:customStyle="1" w:styleId="DefaultTextCaracterCaracterCaracterCaracter">
    <w:name w:val="Default Text Caracter Caracter Caracter Caracter"/>
    <w:basedOn w:val="Normal"/>
    <w:link w:val="DefaultTextCaracterCaracterCaracterCaracterCaracter"/>
    <w:rsid w:val="00730E6E"/>
    <w:rPr>
      <w:szCs w:val="20"/>
      <w:lang w:val="ro-RO" w:eastAsia="ro-RO"/>
    </w:rPr>
  </w:style>
  <w:style w:type="character" w:customStyle="1" w:styleId="DefaultTextCaracterCaracterCaracterCaracterCaracter">
    <w:name w:val="Default Text Caracter Caracter Caracter Caracter Caracter"/>
    <w:link w:val="DefaultTextCaracterCaracterCaracterCaracter"/>
    <w:rsid w:val="00730E6E"/>
    <w:rPr>
      <w:rFonts w:ascii="Times New Roman" w:eastAsia="Times New Roman" w:hAnsi="Times New Roman" w:cs="Times New Roman"/>
      <w:sz w:val="24"/>
      <w:szCs w:val="20"/>
      <w:lang w:val="ro-RO" w:eastAsia="ro-RO"/>
    </w:rPr>
  </w:style>
  <w:style w:type="paragraph" w:customStyle="1" w:styleId="1CaracterCharCharCaracterCharCharCaracterCharCharCaracterCharChar1Caracter">
    <w:name w:val="1 Caracter Char Char Caracter Char Char Caracter Char Char Caracter Char Char1 Caracter"/>
    <w:basedOn w:val="Normal"/>
    <w:rsid w:val="00730E6E"/>
    <w:rPr>
      <w:lang w:val="pl-PL" w:eastAsia="pl-PL"/>
    </w:rPr>
  </w:style>
  <w:style w:type="paragraph" w:customStyle="1" w:styleId="ParagraphNumbering">
    <w:name w:val="Paragraph Numbering"/>
    <w:basedOn w:val="Normal"/>
    <w:link w:val="ParagraphNumberingChar"/>
    <w:qFormat/>
    <w:rsid w:val="00730E6E"/>
    <w:pPr>
      <w:numPr>
        <w:numId w:val="2"/>
      </w:numPr>
      <w:spacing w:after="240" w:line="264" w:lineRule="auto"/>
    </w:pPr>
  </w:style>
  <w:style w:type="character" w:customStyle="1" w:styleId="ParagraphNumberingChar">
    <w:name w:val="Paragraph Numbering Char"/>
    <w:link w:val="ParagraphNumbering"/>
    <w:rsid w:val="00730E6E"/>
    <w:rPr>
      <w:rFonts w:ascii="Times New Roman" w:eastAsia="Times New Roman" w:hAnsi="Times New Roman" w:cs="Times New Roman"/>
      <w:sz w:val="24"/>
      <w:szCs w:val="24"/>
    </w:rPr>
  </w:style>
  <w:style w:type="character" w:customStyle="1" w:styleId="longtext1">
    <w:name w:val="long_text1"/>
    <w:rsid w:val="00730E6E"/>
    <w:rPr>
      <w:sz w:val="20"/>
      <w:szCs w:val="20"/>
    </w:rPr>
  </w:style>
  <w:style w:type="paragraph" w:customStyle="1" w:styleId="CaracterCaracter4">
    <w:name w:val="Caracter Caracter4"/>
    <w:basedOn w:val="Normal"/>
    <w:rsid w:val="00730E6E"/>
    <w:rPr>
      <w:lang w:val="pl-PL" w:eastAsia="pl-PL"/>
    </w:rPr>
  </w:style>
  <w:style w:type="character" w:customStyle="1" w:styleId="search9">
    <w:name w:val="search9"/>
    <w:rsid w:val="00730E6E"/>
    <w:rPr>
      <w:rFonts w:ascii="Arial" w:hAnsi="Arial" w:cs="Arial" w:hint="default"/>
      <w:b/>
      <w:bCs/>
      <w:color w:val="0000FF"/>
      <w:sz w:val="21"/>
      <w:szCs w:val="21"/>
    </w:rPr>
  </w:style>
  <w:style w:type="character" w:customStyle="1" w:styleId="med11">
    <w:name w:val="med11"/>
    <w:rsid w:val="00730E6E"/>
    <w:rPr>
      <w:sz w:val="21"/>
      <w:szCs w:val="21"/>
    </w:rPr>
  </w:style>
  <w:style w:type="character" w:customStyle="1" w:styleId="def">
    <w:name w:val="def"/>
    <w:basedOn w:val="DefaultParagraphFont"/>
    <w:rsid w:val="00730E6E"/>
  </w:style>
  <w:style w:type="paragraph" w:styleId="HTMLAddress">
    <w:name w:val="HTML Address"/>
    <w:basedOn w:val="Normal"/>
    <w:link w:val="HTMLAddressChar"/>
    <w:rsid w:val="00730E6E"/>
    <w:rPr>
      <w:i/>
      <w:iCs/>
    </w:rPr>
  </w:style>
  <w:style w:type="character" w:customStyle="1" w:styleId="HTMLAddressChar">
    <w:name w:val="HTML Address Char"/>
    <w:basedOn w:val="DefaultParagraphFont"/>
    <w:link w:val="HTMLAddress"/>
    <w:rsid w:val="00730E6E"/>
    <w:rPr>
      <w:rFonts w:ascii="Times New Roman" w:eastAsia="Times New Roman" w:hAnsi="Times New Roman" w:cs="Times New Roman"/>
      <w:i/>
      <w:iCs/>
      <w:sz w:val="24"/>
      <w:szCs w:val="24"/>
    </w:rPr>
  </w:style>
  <w:style w:type="paragraph" w:customStyle="1" w:styleId="Char">
    <w:name w:val="Char"/>
    <w:basedOn w:val="Normal"/>
    <w:rsid w:val="00730E6E"/>
    <w:rPr>
      <w:lang w:val="pl-PL" w:eastAsia="pl-PL"/>
    </w:rPr>
  </w:style>
  <w:style w:type="paragraph" w:styleId="BodyText2">
    <w:name w:val="Body Text 2"/>
    <w:aliases w:val="Body Text Numbered Char Char,Body Text Numbered Char,Body Text Numbered"/>
    <w:basedOn w:val="Normal"/>
    <w:link w:val="BodyText2Char"/>
    <w:rsid w:val="00730E6E"/>
    <w:pPr>
      <w:spacing w:after="120" w:line="480" w:lineRule="auto"/>
    </w:pPr>
  </w:style>
  <w:style w:type="character" w:customStyle="1" w:styleId="BodyText2Char">
    <w:name w:val="Body Text 2 Char"/>
    <w:aliases w:val="Body Text Numbered Char Char Char1,Body Text Numbered Char Char1,Body Text Numbered Char1"/>
    <w:basedOn w:val="DefaultParagraphFont"/>
    <w:link w:val="BodyText2"/>
    <w:rsid w:val="00730E6E"/>
    <w:rPr>
      <w:rFonts w:ascii="Times New Roman" w:eastAsia="Times New Roman" w:hAnsi="Times New Roman" w:cs="Times New Roman"/>
      <w:sz w:val="24"/>
      <w:szCs w:val="24"/>
    </w:rPr>
  </w:style>
  <w:style w:type="paragraph" w:customStyle="1" w:styleId="CharCharCaracter1CharCharCaracterCharCharCaracterCharCharCaracterCharCharCaracterCharCharCaracterCaracterCaracterCharChar">
    <w:name w:val="Char Char Caracter1 Char Char Caracter Char Char Caracter Char Char Caracter Char Char Caracter Char Char Caracter Caracter Caracter Char Char"/>
    <w:basedOn w:val="Normal"/>
    <w:rsid w:val="00730E6E"/>
    <w:rPr>
      <w:lang w:val="pl-PL" w:eastAsia="pl-PL"/>
    </w:rPr>
  </w:style>
  <w:style w:type="character" w:customStyle="1" w:styleId="CharChar4">
    <w:name w:val="Char Char4"/>
    <w:rsid w:val="00730E6E"/>
    <w:rPr>
      <w:rFonts w:ascii="Calibri" w:hAnsi="Calibri"/>
      <w:sz w:val="24"/>
      <w:szCs w:val="24"/>
      <w:lang w:val="en-US" w:eastAsia="en-US" w:bidi="ar-SA"/>
    </w:rPr>
  </w:style>
  <w:style w:type="character" w:styleId="CommentReference">
    <w:name w:val="annotation reference"/>
    <w:rsid w:val="00730E6E"/>
    <w:rPr>
      <w:sz w:val="16"/>
      <w:szCs w:val="16"/>
    </w:rPr>
  </w:style>
  <w:style w:type="paragraph" w:styleId="CommentText">
    <w:name w:val="annotation text"/>
    <w:basedOn w:val="Normal"/>
    <w:link w:val="CommentTextChar"/>
    <w:rsid w:val="00730E6E"/>
    <w:rPr>
      <w:sz w:val="20"/>
      <w:szCs w:val="20"/>
    </w:rPr>
  </w:style>
  <w:style w:type="character" w:customStyle="1" w:styleId="CommentTextChar">
    <w:name w:val="Comment Text Char"/>
    <w:basedOn w:val="DefaultParagraphFont"/>
    <w:link w:val="CommentText"/>
    <w:rsid w:val="00730E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30E6E"/>
    <w:rPr>
      <w:b/>
      <w:bCs/>
    </w:rPr>
  </w:style>
  <w:style w:type="character" w:customStyle="1" w:styleId="CommentSubjectChar">
    <w:name w:val="Comment Subject Char"/>
    <w:basedOn w:val="CommentTextChar"/>
    <w:link w:val="CommentSubject"/>
    <w:rsid w:val="00730E6E"/>
    <w:rPr>
      <w:rFonts w:ascii="Times New Roman" w:eastAsia="Times New Roman" w:hAnsi="Times New Roman" w:cs="Times New Roman"/>
      <w:b/>
      <w:bCs/>
      <w:sz w:val="20"/>
      <w:szCs w:val="20"/>
    </w:rPr>
  </w:style>
  <w:style w:type="paragraph" w:customStyle="1" w:styleId="CaracterCaracter5CharCharCaracterCaracterCharCharCaracterCaracterCharCharCaracterCaracterCharChar">
    <w:name w:val="Caracter Caracter5 Char Char Caracter Caracter Char Char Caracter Caracter Char Char Caracter Caracter Char Char"/>
    <w:basedOn w:val="Normal"/>
    <w:rsid w:val="00730E6E"/>
    <w:rPr>
      <w:lang w:val="pl-PL" w:eastAsia="pl-PL"/>
    </w:rPr>
  </w:style>
  <w:style w:type="paragraph" w:customStyle="1" w:styleId="CaracterCharCharCaracterCharCharCaracter">
    <w:name w:val="Caracter Char Char Caracter Char Char Caracter"/>
    <w:basedOn w:val="Normal"/>
    <w:rsid w:val="00730E6E"/>
    <w:rPr>
      <w:lang w:val="pl-PL" w:eastAsia="pl-PL"/>
    </w:rPr>
  </w:style>
  <w:style w:type="paragraph" w:customStyle="1" w:styleId="CaracterCaracter5CharCharCaracterCaracterCharCharCaracterCaracterCharCharCaracterCaracterCharCharCaracterCaracterCharCharCaracterCaracterCharCharCaracterCaracter">
    <w:name w:val="Caracter Caracter5 Char Char Caracter Caracter Char Char Caracter Caracter Char Char Caracter Caracter Char Char Caracter Caracter Char Char Caracter Caracter Char Char Caracter Caracter"/>
    <w:basedOn w:val="Normal"/>
    <w:rsid w:val="00730E6E"/>
    <w:rPr>
      <w:lang w:val="pl-PL" w:eastAsia="pl-PL"/>
    </w:rPr>
  </w:style>
  <w:style w:type="paragraph" w:customStyle="1" w:styleId="CaracterCaracter5CharCharCaracterCaracterCharCharCaracterCaracter">
    <w:name w:val="Caracter Caracter5 Char Char Caracter Caracter Char Char Caracter Caracter"/>
    <w:basedOn w:val="Normal"/>
    <w:rsid w:val="00730E6E"/>
    <w:rPr>
      <w:lang w:val="pl-PL" w:eastAsia="pl-PL"/>
    </w:rPr>
  </w:style>
  <w:style w:type="paragraph" w:customStyle="1" w:styleId="CaracterCaracter5CharCharCaracterCaracterCharCharCaracterCaracterCharChar">
    <w:name w:val="Caracter Caracter5 Char Char Caracter Caracter Char Char Caracter Caracter Char Char"/>
    <w:basedOn w:val="Normal"/>
    <w:rsid w:val="00730E6E"/>
    <w:rPr>
      <w:lang w:val="pl-PL" w:eastAsia="pl-PL"/>
    </w:rPr>
  </w:style>
  <w:style w:type="paragraph" w:customStyle="1" w:styleId="CharCharCharChar">
    <w:name w:val="Char Char Char Char"/>
    <w:basedOn w:val="Normal"/>
    <w:rsid w:val="00730E6E"/>
    <w:rPr>
      <w:lang w:val="pl-PL" w:eastAsia="pl-PL"/>
    </w:rPr>
  </w:style>
  <w:style w:type="paragraph" w:customStyle="1" w:styleId="CaracterCaracter5CharCharCaracterCaracterCharCharCaracterCaracterCharCharCaracterCaracter">
    <w:name w:val="Caracter Caracter5 Char Char Caracter Caracter Char Char Caracter Caracter Char Char Caracter Caracter"/>
    <w:basedOn w:val="Normal"/>
    <w:rsid w:val="00730E6E"/>
    <w:rPr>
      <w:lang w:val="pl-PL" w:eastAsia="pl-PL"/>
    </w:rPr>
  </w:style>
  <w:style w:type="paragraph" w:customStyle="1" w:styleId="CharCharCaracter1CharCharCaracterCharCharCaracterCharCharCaracterCharCharCaracterCharCharCaracter">
    <w:name w:val="Char Char Caracter1 Char Char Caracter Char Char Caracter Char Char Caracter Char Char Caracter Char Char Caracter"/>
    <w:basedOn w:val="Normal"/>
    <w:rsid w:val="00730E6E"/>
    <w:rPr>
      <w:lang w:val="pl-PL" w:eastAsia="pl-PL"/>
    </w:rPr>
  </w:style>
  <w:style w:type="paragraph" w:customStyle="1" w:styleId="CaracterCaracter5CharCharCaracterCaracterCharCharCaracterCaracterCharCharCaracterCaracterCharCharCaracterCaracterCharCharCaracterCaracterCharCharCaracterCaracterCharCharCaracterCaracter">
    <w:name w:val="Caracter Caracter5 Char Char Caracter Caracter Char Char Caracter Caracter Char Char Caracter Caracter Char Char Caracter Caracter Char Char Caracter Caracter Char Char Caracter Caracter Char Char Caracter Caracter"/>
    <w:basedOn w:val="Normal"/>
    <w:rsid w:val="00730E6E"/>
    <w:rPr>
      <w:lang w:val="pl-PL" w:eastAsia="pl-PL"/>
    </w:rPr>
  </w:style>
  <w:style w:type="character" w:styleId="FollowedHyperlink">
    <w:name w:val="FollowedHyperlink"/>
    <w:uiPriority w:val="99"/>
    <w:rsid w:val="00730E6E"/>
    <w:rPr>
      <w:color w:val="800080"/>
      <w:u w:val="single"/>
    </w:rPr>
  </w:style>
  <w:style w:type="character" w:customStyle="1" w:styleId="CharChar5">
    <w:name w:val="Char Char5"/>
    <w:locked/>
    <w:rsid w:val="00730E6E"/>
    <w:rPr>
      <w:rFonts w:ascii="Calibri" w:hAnsi="Calibri"/>
      <w:sz w:val="24"/>
      <w:szCs w:val="24"/>
      <w:lang w:val="en-US" w:eastAsia="en-US" w:bidi="ar-SA"/>
    </w:rPr>
  </w:style>
  <w:style w:type="character" w:customStyle="1" w:styleId="CharChar2">
    <w:name w:val="Char Char2"/>
    <w:locked/>
    <w:rsid w:val="00730E6E"/>
    <w:rPr>
      <w:rFonts w:ascii="Garamond" w:hAnsi="Garamond" w:cs="Garamond"/>
      <w:sz w:val="24"/>
      <w:szCs w:val="24"/>
      <w:lang w:val="ro-RO" w:eastAsia="ro-RO" w:bidi="ar-SA"/>
    </w:rPr>
  </w:style>
  <w:style w:type="character" w:customStyle="1" w:styleId="CharChar">
    <w:name w:val="Char Char"/>
    <w:locked/>
    <w:rsid w:val="00730E6E"/>
    <w:rPr>
      <w:sz w:val="24"/>
      <w:szCs w:val="24"/>
      <w:lang w:val="en-US" w:eastAsia="en-US" w:bidi="ar-SA"/>
    </w:rPr>
  </w:style>
  <w:style w:type="character" w:customStyle="1" w:styleId="CharChar1">
    <w:name w:val="Char Char1"/>
    <w:locked/>
    <w:rsid w:val="00730E6E"/>
    <w:rPr>
      <w:rFonts w:ascii="SimSun" w:eastAsia="SimSun"/>
      <w:sz w:val="28"/>
      <w:szCs w:val="28"/>
      <w:lang w:val="ro-RO" w:eastAsia="ro-RO" w:bidi="ar-SA"/>
    </w:rPr>
  </w:style>
  <w:style w:type="paragraph" w:customStyle="1" w:styleId="CaracterCaracter5CharCharCaracterCaracterCharCharCaracterCaracterCharCharCaracterCaracterCharChar1CaracterCaracterCharChar">
    <w:name w:val="Caracter Caracter5 Char Char Caracter Caracter Char Char Caracter Caracter Char Char Caracter Caracter Char Char1 Caracter Caracter Char Char"/>
    <w:basedOn w:val="Normal"/>
    <w:rsid w:val="00730E6E"/>
    <w:rPr>
      <w:lang w:val="pl-PL" w:eastAsia="pl-PL"/>
    </w:rPr>
  </w:style>
  <w:style w:type="paragraph" w:customStyle="1" w:styleId="CaracterCaracter5CharCharCaracterCaracterCharCharCaracterCaracterCharCharCaracterCaracterCharChar1CaracterCaracter">
    <w:name w:val="Caracter Caracter5 Char Char Caracter Caracter Char Char Caracter Caracter Char Char Caracter Caracter Char Char1 Caracter Caracter"/>
    <w:basedOn w:val="Normal"/>
    <w:rsid w:val="00730E6E"/>
    <w:rPr>
      <w:lang w:val="pl-PL" w:eastAsia="pl-PL"/>
    </w:rPr>
  </w:style>
  <w:style w:type="paragraph" w:customStyle="1" w:styleId="Listparagraf">
    <w:name w:val="Listă paragraf"/>
    <w:basedOn w:val="Normal"/>
    <w:link w:val="ListparagrafCaracter"/>
    <w:qFormat/>
    <w:rsid w:val="00730E6E"/>
    <w:pPr>
      <w:widowControl w:val="0"/>
      <w:autoSpaceDE w:val="0"/>
      <w:autoSpaceDN w:val="0"/>
      <w:adjustRightInd w:val="0"/>
      <w:ind w:left="720"/>
      <w:contextualSpacing/>
    </w:pPr>
    <w:rPr>
      <w:rFonts w:ascii="Arial" w:hAnsi="Arial" w:cs="Arial"/>
      <w:sz w:val="20"/>
      <w:szCs w:val="20"/>
      <w:lang w:val="ro-RO" w:eastAsia="ro-RO"/>
    </w:rPr>
  </w:style>
  <w:style w:type="paragraph" w:customStyle="1" w:styleId="CaracterCaracterCharCharCaracterCaracterCharCharCaracterCaracterCaracterCaracterCaracter">
    <w:name w:val="Caracter Caracter Char Char Caracter Caracter Char Char Caracter Caracter Caracter Caracter Caracter"/>
    <w:basedOn w:val="Normal"/>
    <w:rsid w:val="00730E6E"/>
    <w:pPr>
      <w:spacing w:after="160" w:line="240" w:lineRule="exact"/>
    </w:pPr>
    <w:rPr>
      <w:rFonts w:ascii="Tahoma" w:hAnsi="Tahoma"/>
      <w:sz w:val="20"/>
      <w:szCs w:val="20"/>
    </w:rPr>
  </w:style>
  <w:style w:type="paragraph" w:customStyle="1" w:styleId="CaracterCaracter5CharCharCaracterCaracterCharCharCaracterCaracterCharCharCaracterCaracterCharChar1CaracterCaracterCharCharCaracterCaracterCharCharCaracterCaracter">
    <w:name w:val="Caracter Caracter5 Char Char Caracter Caracter Char Char Caracter Caracter Char Char Caracter Caracter Char Char1 Caracter Caracter Char Char Caracter Caracter Char Char Caracter Caracter"/>
    <w:basedOn w:val="Normal"/>
    <w:rsid w:val="00730E6E"/>
    <w:rPr>
      <w:lang w:val="pl-PL" w:eastAsia="pl-PL"/>
    </w:rPr>
  </w:style>
  <w:style w:type="paragraph" w:customStyle="1" w:styleId="CaracterCaracter2CharCharCaracterCaracterCharCharCaracterCaracterCharCharCaracterCaracterCharCharCaracterCaracterCharCharCaracterCaracterCharCharCaracterCaracterCharCharCaracterCaracter">
    <w:name w:val="Caracter Caracter2 Char Char Caracter Caracter Char Char Caracter Caracter Char Char Caracter Caracter Char Char Caracter Caracter Char Char Caracter Caracter Char Char Caracter Caracter Char Char Caracter Caracter"/>
    <w:basedOn w:val="Normal"/>
    <w:rsid w:val="00730E6E"/>
    <w:rPr>
      <w:lang w:val="pl-PL" w:eastAsia="pl-PL"/>
    </w:rPr>
  </w:style>
  <w:style w:type="paragraph" w:styleId="EndnoteText">
    <w:name w:val="endnote text"/>
    <w:basedOn w:val="Normal"/>
    <w:link w:val="EndnoteTextChar"/>
    <w:rsid w:val="00730E6E"/>
    <w:rPr>
      <w:sz w:val="20"/>
      <w:szCs w:val="20"/>
    </w:rPr>
  </w:style>
  <w:style w:type="character" w:customStyle="1" w:styleId="EndnoteTextChar">
    <w:name w:val="Endnote Text Char"/>
    <w:basedOn w:val="DefaultParagraphFont"/>
    <w:link w:val="EndnoteText"/>
    <w:rsid w:val="00730E6E"/>
    <w:rPr>
      <w:rFonts w:ascii="Times New Roman" w:eastAsia="Times New Roman" w:hAnsi="Times New Roman" w:cs="Times New Roman"/>
      <w:sz w:val="20"/>
      <w:szCs w:val="20"/>
    </w:rPr>
  </w:style>
  <w:style w:type="character" w:styleId="EndnoteReference">
    <w:name w:val="endnote reference"/>
    <w:rsid w:val="00730E6E"/>
    <w:rPr>
      <w:vertAlign w:val="superscript"/>
    </w:rPr>
  </w:style>
  <w:style w:type="paragraph" w:customStyle="1" w:styleId="CaracterCaracter1CharChar1CaracterCaracter">
    <w:name w:val="Caracter Caracter1 Char Char1 Caracter Caracter"/>
    <w:basedOn w:val="Normal"/>
    <w:rsid w:val="00730E6E"/>
    <w:rPr>
      <w:lang w:val="pl-PL" w:eastAsia="pl-PL"/>
    </w:rPr>
  </w:style>
  <w:style w:type="paragraph" w:customStyle="1" w:styleId="DefaultText1">
    <w:name w:val="Default Text:1"/>
    <w:basedOn w:val="Normal"/>
    <w:rsid w:val="00730E6E"/>
    <w:rPr>
      <w:snapToGrid w:val="0"/>
      <w:szCs w:val="20"/>
    </w:rPr>
  </w:style>
  <w:style w:type="paragraph" w:styleId="ListBullet">
    <w:name w:val="List Bullet"/>
    <w:aliases w:val="List Bullet Char1,List Bullet Char Char, Char Char Char,Char Char Char, Char"/>
    <w:basedOn w:val="Normal"/>
    <w:rsid w:val="00730E6E"/>
    <w:pPr>
      <w:numPr>
        <w:numId w:val="3"/>
      </w:numPr>
      <w:spacing w:after="240" w:line="264" w:lineRule="auto"/>
    </w:pPr>
  </w:style>
  <w:style w:type="paragraph" w:customStyle="1" w:styleId="CharCharCaracterCaracter">
    <w:name w:val="Char Char Caracter Caracter"/>
    <w:basedOn w:val="Normal"/>
    <w:rsid w:val="00730E6E"/>
    <w:rPr>
      <w:lang w:val="pl-PL" w:eastAsia="pl-PL"/>
    </w:rPr>
  </w:style>
  <w:style w:type="paragraph" w:customStyle="1" w:styleId="Char3CharCharChar">
    <w:name w:val="Char3 Char Char Char"/>
    <w:basedOn w:val="Normal"/>
    <w:rsid w:val="00730E6E"/>
    <w:rPr>
      <w:lang w:val="pl-PL" w:eastAsia="pl-PL"/>
    </w:rPr>
  </w:style>
  <w:style w:type="paragraph" w:customStyle="1" w:styleId="CaracterCaracter5CharCharCaracterCaracterCharCharCaracterCaracterCharCharCaracterCaracterCharChar1CaracterCaracterCharCharCaracterCaracterCharCharCaracterCaracterCharCharCaracterCaracter">
    <w:name w:val="Caracter Caracter5 Char Char Caracter Caracter Char Char Caracter Caracter Char Char Caracter Caracter Char Char1 Caracter Caracter Char Char Caracter Caracter Char Char Caracter Caracter Char Char Caracter Caracter"/>
    <w:basedOn w:val="Normal"/>
    <w:rsid w:val="00730E6E"/>
    <w:rPr>
      <w:lang w:val="pl-PL" w:eastAsia="pl-PL"/>
    </w:rPr>
  </w:style>
  <w:style w:type="paragraph" w:customStyle="1" w:styleId="CaracterCaracterCharChar1CaracterCaracterCharCharCaracterCaracter">
    <w:name w:val="Caracter Caracter Char Char1 Caracter Caracter Char Char Caracter Caracter"/>
    <w:basedOn w:val="Normal"/>
    <w:rsid w:val="00730E6E"/>
    <w:pPr>
      <w:spacing w:after="160" w:line="240" w:lineRule="exact"/>
    </w:pPr>
    <w:rPr>
      <w:rFonts w:ascii="Tahoma" w:hAnsi="Tahoma"/>
      <w:sz w:val="20"/>
      <w:szCs w:val="20"/>
    </w:rPr>
  </w:style>
  <w:style w:type="paragraph" w:styleId="BodyTextIndent">
    <w:name w:val="Body Text Indent"/>
    <w:basedOn w:val="Normal"/>
    <w:link w:val="BodyTextIndentChar"/>
    <w:rsid w:val="00730E6E"/>
    <w:pPr>
      <w:spacing w:after="120"/>
      <w:ind w:left="360"/>
    </w:pPr>
  </w:style>
  <w:style w:type="character" w:customStyle="1" w:styleId="BodyTextIndentChar">
    <w:name w:val="Body Text Indent Char"/>
    <w:basedOn w:val="DefaultParagraphFont"/>
    <w:link w:val="BodyTextIndent"/>
    <w:rsid w:val="00730E6E"/>
    <w:rPr>
      <w:rFonts w:ascii="Times New Roman" w:eastAsia="Times New Roman" w:hAnsi="Times New Roman" w:cs="Times New Roman"/>
      <w:sz w:val="24"/>
      <w:szCs w:val="24"/>
    </w:rPr>
  </w:style>
  <w:style w:type="character" w:customStyle="1" w:styleId="Indrumare">
    <w:name w:val="Indrumare"/>
    <w:rsid w:val="00730E6E"/>
    <w:rPr>
      <w:i/>
      <w:iCs/>
      <w:color w:val="333399"/>
    </w:rPr>
  </w:style>
  <w:style w:type="paragraph" w:customStyle="1" w:styleId="CaracterCaracter5CharCharCaracterCaracterCharCharCaracterCaracterCharCharCaracterCaracterCharChar1CaracterCaracterCharCharCaracterCaracter">
    <w:name w:val="Caracter Caracter5 Char Char Caracter Caracter Char Char Caracter Caracter Char Char Caracter Caracter Char Char1 Caracter Caracter Char Char Caracter Caracter"/>
    <w:basedOn w:val="Normal"/>
    <w:rsid w:val="00730E6E"/>
    <w:rPr>
      <w:lang w:val="pl-PL" w:eastAsia="pl-PL"/>
    </w:rPr>
  </w:style>
  <w:style w:type="character" w:customStyle="1" w:styleId="apple-style-span">
    <w:name w:val="apple-style-span"/>
    <w:basedOn w:val="DefaultParagraphFont"/>
    <w:rsid w:val="00730E6E"/>
  </w:style>
  <w:style w:type="paragraph" w:customStyle="1" w:styleId="CaracterCaracter5CharCharCaracterCaracterCharCharCaracterCaracterCharCharCaracterCaracterCharChar1CaracterCaracterCharCharCaracterCaracterCharCharCaracterCaracterCharChar">
    <w:name w:val="Caracter Caracter5 Char Char Caracter Caracter Char Char Caracter Caracter Char Char Caracter Caracter Char Char1 Caracter Caracter Char Char Caracter Caracter Char Char Caracter Caracter Char Char"/>
    <w:basedOn w:val="Normal"/>
    <w:rsid w:val="00730E6E"/>
    <w:rPr>
      <w:lang w:val="pl-PL" w:eastAsia="pl-PL"/>
    </w:rPr>
  </w:style>
  <w:style w:type="paragraph" w:customStyle="1" w:styleId="CharChar3CaracterCaracterCharCharCaracterCaracter">
    <w:name w:val="Char Char3 Caracter Caracter Char Char Caracter Caracter"/>
    <w:basedOn w:val="Normal"/>
    <w:rsid w:val="00730E6E"/>
    <w:rPr>
      <w:lang w:val="pl-PL" w:eastAsia="pl-PL"/>
    </w:rPr>
  </w:style>
  <w:style w:type="paragraph" w:customStyle="1" w:styleId="CharCharCharCharCharCharCaracterCaracterCharCharCharCaracterCaracterCharCharCaracterCaracterCharCharCharCaracterCaracter">
    <w:name w:val="Char Char Char Char Char Char Caracter Caracter Char Char Char Caracter Caracter Char Char Caracter Caracter Char Char Char Caracter Caracter"/>
    <w:basedOn w:val="Normal"/>
    <w:rsid w:val="00730E6E"/>
    <w:pPr>
      <w:widowControl w:val="0"/>
      <w:tabs>
        <w:tab w:val="left" w:pos="2160"/>
      </w:tabs>
      <w:adjustRightInd w:val="0"/>
      <w:spacing w:before="120" w:after="160" w:line="240" w:lineRule="exact"/>
      <w:jc w:val="both"/>
    </w:pPr>
    <w:rPr>
      <w:rFonts w:ascii="Bookman Old Style" w:hAnsi="Bookman Old Style" w:cs="Bookman Old Style"/>
      <w:kern w:val="24"/>
      <w:sz w:val="20"/>
      <w:szCs w:val="20"/>
      <w:lang w:val="en-GB"/>
    </w:rPr>
  </w:style>
  <w:style w:type="paragraph" w:customStyle="1" w:styleId="CharChar3CaracterCaracter">
    <w:name w:val="Char Char3 Caracter Caracter"/>
    <w:basedOn w:val="Normal"/>
    <w:rsid w:val="00730E6E"/>
    <w:rPr>
      <w:lang w:val="pl-PL" w:eastAsia="pl-PL"/>
    </w:rPr>
  </w:style>
  <w:style w:type="paragraph" w:customStyle="1" w:styleId="CharChar3CaracterCaracterCharCharCaracterCaracter1">
    <w:name w:val="Char Char3 Caracter Caracter Char Char Caracter Caracter1"/>
    <w:basedOn w:val="Normal"/>
    <w:rsid w:val="00730E6E"/>
    <w:rPr>
      <w:lang w:val="pl-PL" w:eastAsia="pl-PL"/>
    </w:rPr>
  </w:style>
  <w:style w:type="character" w:customStyle="1" w:styleId="gt-icon-text1">
    <w:name w:val="gt-icon-text1"/>
    <w:basedOn w:val="DefaultParagraphFont"/>
    <w:rsid w:val="00730E6E"/>
  </w:style>
  <w:style w:type="paragraph" w:customStyle="1" w:styleId="CharChar3CaracterCaracterCharCharCaracterCaracter1CharCharCaracterCaracterCharCharCaracterCaracter">
    <w:name w:val="Char Char3 Caracter Caracter Char Char Caracter Caracter1 Char Char Caracter Caracter Char Char Caracter Caracter"/>
    <w:basedOn w:val="Normal"/>
    <w:rsid w:val="00730E6E"/>
    <w:rPr>
      <w:lang w:val="pl-PL" w:eastAsia="pl-PL"/>
    </w:rPr>
  </w:style>
  <w:style w:type="character" w:customStyle="1" w:styleId="FontStyle23">
    <w:name w:val="Font Style23"/>
    <w:rsid w:val="00730E6E"/>
    <w:rPr>
      <w:rFonts w:ascii="Times New Roman" w:hAnsi="Times New Roman" w:cs="Times New Roman"/>
      <w:b/>
      <w:bCs/>
      <w:sz w:val="24"/>
      <w:szCs w:val="24"/>
    </w:rPr>
  </w:style>
  <w:style w:type="paragraph" w:customStyle="1" w:styleId="CharChar3CaracterCaracterCharCharCaracterCaracter1CharCharCaracterCaracter">
    <w:name w:val="Char Char3 Caracter Caracter Char Char Caracter Caracter1 Char Char Caracter Caracter"/>
    <w:basedOn w:val="Normal"/>
    <w:rsid w:val="00730E6E"/>
    <w:rPr>
      <w:lang w:val="pl-PL" w:eastAsia="pl-PL"/>
    </w:rPr>
  </w:style>
  <w:style w:type="paragraph" w:customStyle="1" w:styleId="CaracterCaracter1Caracter">
    <w:name w:val="Caracter Caracter1 Caracter"/>
    <w:basedOn w:val="Normal"/>
    <w:rsid w:val="00730E6E"/>
    <w:rPr>
      <w:lang w:val="pl-PL" w:eastAsia="pl-PL"/>
    </w:rPr>
  </w:style>
  <w:style w:type="paragraph" w:customStyle="1" w:styleId="CharChar3CaracterCaracterCharCharCaracterCaracter1CharCharCaracterCaracterCharCharCaracterCaracter1CharCharCaracterCaracterCharCharCaracterCaracterCharCharCaracterCaracter">
    <w:name w:val="Char Char3 Caracter Caracter Char Char Caracter Caracter1 Char Char Caracter Caracter Char Char Caracter Caracter1 Char Char Caracter Caracter Char Char Caracter Caracter Char Char Caracter Caracter"/>
    <w:basedOn w:val="Normal"/>
    <w:rsid w:val="00730E6E"/>
    <w:rPr>
      <w:lang w:val="pl-PL" w:eastAsia="pl-PL"/>
    </w:rPr>
  </w:style>
  <w:style w:type="paragraph" w:customStyle="1" w:styleId="msonormalcxspmiddle">
    <w:name w:val="msonormalcxspmiddle"/>
    <w:basedOn w:val="Normal"/>
    <w:rsid w:val="00730E6E"/>
    <w:pPr>
      <w:spacing w:before="100" w:beforeAutospacing="1" w:after="100" w:afterAutospacing="1"/>
    </w:pPr>
  </w:style>
  <w:style w:type="paragraph" w:customStyle="1" w:styleId="CharChar3CaracterCaracterCharCharCaracterCaracter1CharCharCaracterCaracterCharCharCaracterCaracter1CharCharCaracterCaracter">
    <w:name w:val="Char Char3 Caracter Caracter Char Char Caracter Caracter1 Char Char Caracter Caracter Char Char Caracter Caracter1 Char Char Caracter Caracter"/>
    <w:basedOn w:val="Normal"/>
    <w:rsid w:val="00730E6E"/>
    <w:rPr>
      <w:lang w:val="pl-PL" w:eastAsia="pl-PL"/>
    </w:rPr>
  </w:style>
  <w:style w:type="paragraph" w:customStyle="1" w:styleId="s11">
    <w:name w:val="s11"/>
    <w:basedOn w:val="Normal"/>
    <w:rsid w:val="00730E6E"/>
    <w:pPr>
      <w:spacing w:before="100" w:beforeAutospacing="1" w:after="100" w:afterAutospacing="1"/>
    </w:pPr>
    <w:rPr>
      <w:lang w:val="en-GB" w:eastAsia="en-GB"/>
    </w:rPr>
  </w:style>
  <w:style w:type="paragraph" w:customStyle="1" w:styleId="CaracterCaracterCharCharCaracterCaracter">
    <w:name w:val="Caracter Caracter Char Char Caracter Caracter"/>
    <w:basedOn w:val="Normal"/>
    <w:rsid w:val="00730E6E"/>
    <w:rPr>
      <w:lang w:val="pl-PL" w:eastAsia="pl-PL"/>
    </w:rPr>
  </w:style>
  <w:style w:type="paragraph" w:customStyle="1" w:styleId="CaracterCaracterCharCharCaracterCaracterCharCharCaracterCaracter">
    <w:name w:val="Caracter Caracter Char Char Caracter Caracter Char Char Caracter Caracter"/>
    <w:basedOn w:val="Normal"/>
    <w:rsid w:val="00730E6E"/>
    <w:rPr>
      <w:lang w:val="pl-PL" w:eastAsia="pl-PL"/>
    </w:rPr>
  </w:style>
  <w:style w:type="paragraph" w:customStyle="1" w:styleId="fright">
    <w:name w:val="fright"/>
    <w:basedOn w:val="Normal"/>
    <w:rsid w:val="00730E6E"/>
  </w:style>
  <w:style w:type="paragraph" w:customStyle="1" w:styleId="CaracterCaracter1CharCharCaracterCaracter1CharCharCaracterCaracter">
    <w:name w:val="Caracter Caracter1 Char Char Caracter Caracter1 Char Char Caracter Caracter"/>
    <w:basedOn w:val="Normal"/>
    <w:rsid w:val="00730E6E"/>
    <w:rPr>
      <w:lang w:val="pl-PL" w:eastAsia="pl-PL"/>
    </w:rPr>
  </w:style>
  <w:style w:type="character" w:customStyle="1" w:styleId="hps">
    <w:name w:val="hps"/>
    <w:basedOn w:val="DefaultParagraphFont"/>
    <w:rsid w:val="00730E6E"/>
  </w:style>
  <w:style w:type="character" w:customStyle="1" w:styleId="atn">
    <w:name w:val="atn"/>
    <w:basedOn w:val="DefaultParagraphFont"/>
    <w:rsid w:val="00730E6E"/>
  </w:style>
  <w:style w:type="character" w:customStyle="1" w:styleId="hpsatn">
    <w:name w:val="hps atn"/>
    <w:basedOn w:val="DefaultParagraphFont"/>
    <w:rsid w:val="00730E6E"/>
  </w:style>
  <w:style w:type="paragraph" w:customStyle="1" w:styleId="a3520normal">
    <w:name w:val="a___35__20_normal"/>
    <w:basedOn w:val="Normal"/>
    <w:rsid w:val="00730E6E"/>
    <w:pPr>
      <w:spacing w:after="120"/>
    </w:pPr>
  </w:style>
  <w:style w:type="paragraph" w:customStyle="1" w:styleId="asous-titre201p8">
    <w:name w:val="a_sous-titre_20_1_p8"/>
    <w:basedOn w:val="Normal"/>
    <w:rsid w:val="00730E6E"/>
    <w:pPr>
      <w:spacing w:before="240" w:after="80"/>
    </w:pPr>
    <w:rPr>
      <w:b/>
      <w:bCs/>
    </w:rPr>
  </w:style>
  <w:style w:type="character" w:customStyle="1" w:styleId="at4">
    <w:name w:val="a__t4"/>
    <w:basedOn w:val="DefaultParagraphFont"/>
    <w:rsid w:val="00730E6E"/>
  </w:style>
  <w:style w:type="character" w:customStyle="1" w:styleId="italic1">
    <w:name w:val="italic1"/>
    <w:rsid w:val="00730E6E"/>
    <w:rPr>
      <w:i/>
      <w:iCs/>
    </w:rPr>
  </w:style>
  <w:style w:type="paragraph" w:customStyle="1" w:styleId="atexte201tiret201">
    <w:name w:val="a_texte_20_1_tiret_20_1"/>
    <w:basedOn w:val="Normal"/>
    <w:rsid w:val="00730E6E"/>
    <w:pPr>
      <w:spacing w:after="40"/>
    </w:pPr>
  </w:style>
  <w:style w:type="paragraph" w:customStyle="1" w:styleId="atiret201p9">
    <w:name w:val="a_tiret_20_1_p9"/>
    <w:basedOn w:val="Normal"/>
    <w:rsid w:val="00730E6E"/>
    <w:pPr>
      <w:spacing w:after="40"/>
    </w:pPr>
  </w:style>
  <w:style w:type="character" w:customStyle="1" w:styleId="at3">
    <w:name w:val="a__t3"/>
    <w:basedOn w:val="DefaultParagraphFont"/>
    <w:rsid w:val="00730E6E"/>
  </w:style>
  <w:style w:type="character" w:customStyle="1" w:styleId="at71">
    <w:name w:val="a__t71"/>
    <w:rsid w:val="00730E6E"/>
    <w:rPr>
      <w:color w:val="000000"/>
    </w:rPr>
  </w:style>
  <w:style w:type="character" w:customStyle="1" w:styleId="at51">
    <w:name w:val="a__t51"/>
    <w:rsid w:val="00730E6E"/>
    <w:rPr>
      <w:u w:val="single"/>
    </w:rPr>
  </w:style>
  <w:style w:type="paragraph" w:customStyle="1" w:styleId="CharCharCaracterCaracterCharCharCaracterCaracter">
    <w:name w:val="Char Char Caracter Caracter Char Char Caracter Caracter"/>
    <w:basedOn w:val="Normal"/>
    <w:rsid w:val="00730E6E"/>
    <w:rPr>
      <w:lang w:val="pl-PL" w:eastAsia="pl-PL"/>
    </w:rPr>
  </w:style>
  <w:style w:type="paragraph" w:customStyle="1" w:styleId="CharCharCaracterCaracterCharCharCaracterCaracterCharChar">
    <w:name w:val="Char Char Caracter Caracter Char Char Caracter Caracter Char Char"/>
    <w:basedOn w:val="Normal"/>
    <w:rsid w:val="00730E6E"/>
    <w:rPr>
      <w:lang w:val="pl-PL" w:eastAsia="pl-PL"/>
    </w:rPr>
  </w:style>
  <w:style w:type="paragraph" w:customStyle="1" w:styleId="CaracterCaracterCharChar">
    <w:name w:val="Caracter Caracter Char Char"/>
    <w:basedOn w:val="Normal"/>
    <w:rsid w:val="00730E6E"/>
    <w:rPr>
      <w:lang w:val="pl-PL" w:eastAsia="pl-PL"/>
    </w:rPr>
  </w:style>
  <w:style w:type="paragraph" w:customStyle="1" w:styleId="a3520normalp4">
    <w:name w:val="a__35__20_normal_p4"/>
    <w:basedOn w:val="Normal"/>
    <w:rsid w:val="00730E6E"/>
    <w:pPr>
      <w:spacing w:after="120"/>
    </w:pPr>
  </w:style>
  <w:style w:type="paragraph" w:customStyle="1" w:styleId="a3520normalp5">
    <w:name w:val="a__35__20_normal_p5"/>
    <w:basedOn w:val="Normal"/>
    <w:rsid w:val="00730E6E"/>
    <w:pPr>
      <w:spacing w:after="120"/>
    </w:pPr>
  </w:style>
  <w:style w:type="paragraph" w:customStyle="1" w:styleId="asous-titre201p9">
    <w:name w:val="a_sous-titre_20_1_p9"/>
    <w:basedOn w:val="Normal"/>
    <w:rsid w:val="00730E6E"/>
    <w:pPr>
      <w:spacing w:before="240" w:after="80"/>
    </w:pPr>
    <w:rPr>
      <w:b/>
      <w:bCs/>
    </w:rPr>
  </w:style>
  <w:style w:type="character" w:customStyle="1" w:styleId="at61">
    <w:name w:val="a__t61"/>
    <w:rsid w:val="00730E6E"/>
    <w:rPr>
      <w:color w:val="0000FF"/>
    </w:rPr>
  </w:style>
  <w:style w:type="paragraph" w:customStyle="1" w:styleId="CharChar3CaracterCaracter1CharChar">
    <w:name w:val="Char Char3 Caracter Caracter1 Char Char"/>
    <w:basedOn w:val="Normal"/>
    <w:rsid w:val="00730E6E"/>
    <w:rPr>
      <w:lang w:val="pl-PL" w:eastAsia="pl-PL"/>
    </w:rPr>
  </w:style>
  <w:style w:type="paragraph" w:customStyle="1" w:styleId="CaracterCaracter6">
    <w:name w:val="Caracter Caracter6"/>
    <w:basedOn w:val="Normal"/>
    <w:rsid w:val="00730E6E"/>
    <w:rPr>
      <w:lang w:val="pl-PL" w:eastAsia="pl-PL"/>
    </w:rPr>
  </w:style>
  <w:style w:type="character" w:customStyle="1" w:styleId="tli1">
    <w:name w:val="tli1"/>
    <w:basedOn w:val="DefaultParagraphFont"/>
    <w:rsid w:val="00730E6E"/>
  </w:style>
  <w:style w:type="paragraph" w:customStyle="1" w:styleId="msolistparagraph0">
    <w:name w:val="msolistparagraph"/>
    <w:basedOn w:val="Normal"/>
    <w:rsid w:val="00730E6E"/>
    <w:pPr>
      <w:ind w:left="720"/>
    </w:pPr>
  </w:style>
  <w:style w:type="paragraph" w:customStyle="1" w:styleId="CaracterCharCharCaracterCharCharCaracterCharCharCaracterCharCharCaracterCharCharCaracterCharCharCaracterCharCharCaracterCharCharCaracterCharCharCaracter">
    <w:name w:val="Caracter Char Char Caracter Char Char Caracter Char Char Caracter Char Char Caracter Char Char Caracter Char Char Caracter Char Char Caracter Char Char Caracter Char Char Caracter"/>
    <w:basedOn w:val="Normal"/>
    <w:rsid w:val="00730E6E"/>
    <w:pPr>
      <w:spacing w:after="160" w:line="240" w:lineRule="exact"/>
    </w:pPr>
    <w:rPr>
      <w:rFonts w:ascii="Tahoma" w:hAnsi="Tahoma"/>
      <w:sz w:val="20"/>
      <w:szCs w:val="20"/>
      <w:lang w:val="ro-RO"/>
    </w:rPr>
  </w:style>
  <w:style w:type="paragraph" w:customStyle="1" w:styleId="BVIfnrChar1CaracterChar">
    <w:name w:val="BVI fnr Char1 Caracter Char"/>
    <w:aliases w:val="Footnote Reference Number Char Caracter Char,Times 10 Point Char Caracter Char, Exposant 3 Point Char Caracter Char,Footnote symbol Char1 Caracter Char, BVI fnr Char1 Caracter Char"/>
    <w:basedOn w:val="Normal"/>
    <w:next w:val="Normal"/>
    <w:rsid w:val="00730E6E"/>
    <w:pPr>
      <w:spacing w:after="160" w:line="240" w:lineRule="exact"/>
    </w:pPr>
    <w:rPr>
      <w:sz w:val="20"/>
      <w:szCs w:val="20"/>
      <w:vertAlign w:val="superscript"/>
      <w:lang w:val="ro-RO" w:eastAsia="ro-RO"/>
    </w:rPr>
  </w:style>
  <w:style w:type="paragraph" w:customStyle="1" w:styleId="CaracterCaracter6CharCharCaracterCaracterCaracterCaracter">
    <w:name w:val="Caracter Caracter6 Char Char Caracter Caracter Caracter Caracter"/>
    <w:basedOn w:val="Normal"/>
    <w:rsid w:val="00730E6E"/>
    <w:rPr>
      <w:lang w:val="pl-PL" w:eastAsia="pl-PL"/>
    </w:rPr>
  </w:style>
  <w:style w:type="paragraph" w:customStyle="1" w:styleId="CaracterCaracter6CharCharCaracterCaracterCaracterCaracterCharCharCaracterCaracter">
    <w:name w:val="Caracter Caracter6 Char Char Caracter Caracter Caracter Caracter Char Char Caracter Caracter"/>
    <w:basedOn w:val="Normal"/>
    <w:rsid w:val="00730E6E"/>
    <w:rPr>
      <w:lang w:val="pl-PL" w:eastAsia="pl-PL"/>
    </w:rPr>
  </w:style>
  <w:style w:type="paragraph" w:customStyle="1" w:styleId="style3">
    <w:name w:val="style3"/>
    <w:basedOn w:val="Normal"/>
    <w:rsid w:val="00730E6E"/>
    <w:pPr>
      <w:spacing w:before="100" w:beforeAutospacing="1" w:after="100" w:afterAutospacing="1"/>
    </w:pPr>
  </w:style>
  <w:style w:type="paragraph" w:customStyle="1" w:styleId="TableText">
    <w:name w:val="Table Text"/>
    <w:basedOn w:val="Normal"/>
    <w:rsid w:val="00730E6E"/>
    <w:pPr>
      <w:tabs>
        <w:tab w:val="decimal" w:pos="0"/>
      </w:tabs>
    </w:pPr>
    <w:rPr>
      <w:snapToGrid w:val="0"/>
      <w:szCs w:val="20"/>
    </w:rPr>
  </w:style>
  <w:style w:type="paragraph" w:customStyle="1" w:styleId="CaracterCaracter6CharCharCaracterCaracterCaracterCaracterCharCharCaracterCaracterCharCharCaracterCaracter">
    <w:name w:val="Caracter Caracter6 Char Char Caracter Caracter Caracter Caracter Char Char Caracter Caracter Char Char Caracter Caracter"/>
    <w:basedOn w:val="Normal"/>
    <w:rsid w:val="00730E6E"/>
    <w:rPr>
      <w:lang w:val="pl-PL" w:eastAsia="pl-PL"/>
    </w:rPr>
  </w:style>
  <w:style w:type="paragraph" w:customStyle="1" w:styleId="CaracterCaracter6CharCharCaracterCaracterCaracterCaracterCharCharCaracterCaracterCharCharCaracterCaracterCharCharCaracterCaracterCharCharCaracterCaracter">
    <w:name w:val="Caracter Caracter6 Char Char Caracter Caracter Caracter Caracter Char Char Caracter Caracter Char Char Caracter Caracter Char Char Caracter Caracter Char Char Caracter Caracter"/>
    <w:basedOn w:val="Normal"/>
    <w:rsid w:val="00730E6E"/>
    <w:rPr>
      <w:lang w:val="pl-PL" w:eastAsia="pl-PL"/>
    </w:rPr>
  </w:style>
  <w:style w:type="paragraph" w:customStyle="1" w:styleId="CharChar3CaracterCaracter1CharCharCaracterCaracter">
    <w:name w:val="Char Char3 Caracter Caracter1 Char Char Caracter Caracter"/>
    <w:basedOn w:val="Normal"/>
    <w:rsid w:val="00730E6E"/>
    <w:rPr>
      <w:lang w:val="pl-PL" w:eastAsia="pl-PL"/>
    </w:rPr>
  </w:style>
  <w:style w:type="paragraph" w:customStyle="1" w:styleId="BVIfnrCharCaracterCharCaracterCharCaracterCharCaracterCharCaracterCharCaracterCharCaracterCaracterCharCharCaracter">
    <w:name w:val="BVI fnr Char Caracter Char Caracter Char Caracter Char Caracter Char Caracter Char Caracter Char Caracter Caracter Char Char Caracter"/>
    <w:aliases w:val=" BVI fnr Char Char Caracter Char Caracter Char Caracter1"/>
    <w:basedOn w:val="Normal"/>
    <w:next w:val="Normal"/>
    <w:rsid w:val="00730E6E"/>
    <w:pPr>
      <w:spacing w:after="160" w:line="240" w:lineRule="exact"/>
    </w:pPr>
    <w:rPr>
      <w:sz w:val="20"/>
      <w:szCs w:val="20"/>
      <w:vertAlign w:val="superscript"/>
      <w:lang w:val="ro-RO" w:eastAsia="ro-RO"/>
    </w:rPr>
  </w:style>
  <w:style w:type="paragraph" w:customStyle="1" w:styleId="Normal10pt">
    <w:name w:val="Normal + 10 pt"/>
    <w:basedOn w:val="Normal"/>
    <w:rsid w:val="00730E6E"/>
    <w:rPr>
      <w:sz w:val="20"/>
      <w:szCs w:val="20"/>
    </w:rPr>
  </w:style>
  <w:style w:type="paragraph" w:customStyle="1" w:styleId="astandard3520normal">
    <w:name w:val="a_standard__35__20_normal"/>
    <w:basedOn w:val="Normal"/>
    <w:rsid w:val="00730E6E"/>
    <w:pPr>
      <w:spacing w:after="120"/>
      <w:ind w:right="57"/>
      <w:jc w:val="both"/>
    </w:pPr>
  </w:style>
  <w:style w:type="character" w:customStyle="1" w:styleId="at1">
    <w:name w:val="a__t1"/>
    <w:basedOn w:val="DefaultParagraphFont"/>
    <w:rsid w:val="00730E6E"/>
  </w:style>
  <w:style w:type="paragraph" w:customStyle="1" w:styleId="CharChar3CaracterCaracter1CharCharCaracterCaracterCharChar">
    <w:name w:val="Char Char3 Caracter Caracter1 Char Char Caracter Caracter Char Char"/>
    <w:basedOn w:val="Normal"/>
    <w:rsid w:val="00730E6E"/>
    <w:rPr>
      <w:lang w:val="pl-PL" w:eastAsia="pl-PL"/>
    </w:rPr>
  </w:style>
  <w:style w:type="paragraph" w:customStyle="1" w:styleId="CharChar3CaracterCaracter1CharCharCaracterCaracter1CaracterCaracterCharCharCaracterCaracterCharCharCaracterCaracterCharChar">
    <w:name w:val="Char Char3 Caracter Caracter1 Char Char Caracter Caracter1 Caracter Caracter Char Char Caracter Caracter Char Char Caracter Caracter Char Char"/>
    <w:basedOn w:val="Normal"/>
    <w:rsid w:val="00730E6E"/>
    <w:rPr>
      <w:lang w:val="pl-PL" w:eastAsia="pl-PL"/>
    </w:rPr>
  </w:style>
  <w:style w:type="paragraph" w:customStyle="1" w:styleId="BVIfnrCharCaracterCharCaracterCharCaracterCharCaracterCharCaracterCharCaracterCharCaracterCaracter">
    <w:name w:val="BVI fnr Char Caracter Char Caracter Char Caracter Char Caracter Char Caracter Char Caracter Char Caracter Caracter"/>
    <w:basedOn w:val="Normal"/>
    <w:next w:val="Normal"/>
    <w:rsid w:val="00730E6E"/>
    <w:pPr>
      <w:spacing w:after="160" w:line="240" w:lineRule="exact"/>
    </w:pPr>
    <w:rPr>
      <w:sz w:val="20"/>
      <w:szCs w:val="20"/>
      <w:vertAlign w:val="superscript"/>
      <w:lang w:val="ro-RO" w:eastAsia="ro-RO"/>
    </w:rPr>
  </w:style>
  <w:style w:type="paragraph" w:customStyle="1" w:styleId="CaracterCaracter2">
    <w:name w:val="Caracter Caracter2"/>
    <w:basedOn w:val="Normal"/>
    <w:rsid w:val="00730E6E"/>
    <w:rPr>
      <w:lang w:val="pl-PL" w:eastAsia="pl-PL"/>
    </w:rPr>
  </w:style>
  <w:style w:type="paragraph" w:customStyle="1" w:styleId="CharChar3CaracterCaracter1">
    <w:name w:val="Char Char3 Caracter Caracter1"/>
    <w:basedOn w:val="Normal"/>
    <w:rsid w:val="00730E6E"/>
    <w:rPr>
      <w:lang w:val="pl-PL" w:eastAsia="pl-PL"/>
    </w:rPr>
  </w:style>
  <w:style w:type="paragraph" w:customStyle="1" w:styleId="CaracterCharCaracterCharChar">
    <w:name w:val="Caracter Char Caracter Char Char"/>
    <w:basedOn w:val="Normal"/>
    <w:rsid w:val="00730E6E"/>
    <w:pPr>
      <w:tabs>
        <w:tab w:val="left" w:pos="709"/>
      </w:tabs>
    </w:pPr>
    <w:rPr>
      <w:rFonts w:ascii="Tahoma" w:hAnsi="Tahoma"/>
      <w:lang w:val="pl-PL" w:eastAsia="pl-PL"/>
    </w:rPr>
  </w:style>
  <w:style w:type="paragraph" w:customStyle="1" w:styleId="S1">
    <w:name w:val="S1"/>
    <w:basedOn w:val="Normal"/>
    <w:rsid w:val="00730E6E"/>
    <w:pPr>
      <w:ind w:left="144" w:right="144" w:firstLine="720"/>
      <w:jc w:val="both"/>
    </w:pPr>
    <w:rPr>
      <w:rFonts w:ascii="TimesNewRomanPS" w:hAnsi="TimesNewRomanPS"/>
      <w:sz w:val="36"/>
      <w:szCs w:val="20"/>
    </w:rPr>
  </w:style>
  <w:style w:type="paragraph" w:customStyle="1" w:styleId="CharChar3CaracterCaracter1CharCharCaracterCaracter1CaracterCaracter">
    <w:name w:val="Char Char3 Caracter Caracter1 Char Char Caracter Caracter1 Caracter Caracter"/>
    <w:basedOn w:val="Normal"/>
    <w:rsid w:val="00730E6E"/>
    <w:rPr>
      <w:lang w:val="pl-PL" w:eastAsia="pl-PL"/>
    </w:rPr>
  </w:style>
  <w:style w:type="paragraph" w:customStyle="1" w:styleId="BVIfnrCharCaracterCharCaracterCharCaracterCharCaracterCharCaracterCharCaracterCharCaracterCaracterCharCharCaracter1CharCaracter">
    <w:name w:val="BVI fnr Char Caracter Char Caracter Char Caracter Char Caracter Char Caracter Char Caracter Char Caracter Caracter Char Char Caracter1 Char Caracter"/>
    <w:basedOn w:val="Normal"/>
    <w:next w:val="Normal"/>
    <w:rsid w:val="00730E6E"/>
    <w:pPr>
      <w:spacing w:after="160" w:line="240" w:lineRule="exact"/>
    </w:pPr>
    <w:rPr>
      <w:sz w:val="20"/>
      <w:szCs w:val="20"/>
      <w:vertAlign w:val="superscript"/>
      <w:lang w:val="ro-RO" w:eastAsia="ro-RO"/>
    </w:rPr>
  </w:style>
  <w:style w:type="paragraph" w:customStyle="1" w:styleId="ColorfulList-Accent11">
    <w:name w:val="Colorful List - Accent 11"/>
    <w:basedOn w:val="Normal"/>
    <w:qFormat/>
    <w:rsid w:val="00730E6E"/>
    <w:pPr>
      <w:spacing w:line="276" w:lineRule="auto"/>
      <w:ind w:left="720"/>
      <w:contextualSpacing/>
    </w:pPr>
    <w:rPr>
      <w:rFonts w:eastAsia="Calibri"/>
      <w:szCs w:val="22"/>
      <w:lang w:val="ro-RO"/>
    </w:rPr>
  </w:style>
  <w:style w:type="paragraph" w:customStyle="1" w:styleId="CaracterCaracter2CharCharCaracterCaracterCharCharCaracterCaracterCharCharCaracterCaracter">
    <w:name w:val="Caracter Caracter2 Char Char Caracter Caracter Char Char Caracter Caracter Char Char Caracter Caracter"/>
    <w:basedOn w:val="Normal"/>
    <w:rsid w:val="00730E6E"/>
    <w:rPr>
      <w:lang w:val="pl-PL" w:eastAsia="pl-PL"/>
    </w:rPr>
  </w:style>
  <w:style w:type="paragraph" w:customStyle="1" w:styleId="BVIfnrCharCharCaracterCharCaracterCharCaracterCharCaracterChar">
    <w:name w:val="BVI fnr Char Char Caracter Char Caracter Char Caracter Char Caracter Char"/>
    <w:aliases w:val=" BVI fnr Char Char Caracter Char,BVI fnr Char Char Caracter Char, BVI fnr Char Char Caracter Char Caracter Char Caracter Char Caracter Char"/>
    <w:basedOn w:val="Normal"/>
    <w:next w:val="Normal"/>
    <w:rsid w:val="00730E6E"/>
    <w:pPr>
      <w:spacing w:after="160" w:line="240" w:lineRule="exact"/>
    </w:pPr>
    <w:rPr>
      <w:sz w:val="20"/>
      <w:szCs w:val="20"/>
      <w:vertAlign w:val="superscript"/>
      <w:lang w:val="ro-RO" w:eastAsia="ro-RO"/>
    </w:rPr>
  </w:style>
  <w:style w:type="paragraph" w:customStyle="1" w:styleId="CaracterCaracter2CharCharCaracterCaracterCharCharCaracterCaracterCharCharCaracterCaracterCaracterCaracter">
    <w:name w:val="Caracter Caracter2 Char Char Caracter Caracter Char Char Caracter Caracter Char Char Caracter Caracter Caracter Caracter"/>
    <w:basedOn w:val="Normal"/>
    <w:rsid w:val="00730E6E"/>
    <w:rPr>
      <w:lang w:val="pl-PL" w:eastAsia="pl-PL"/>
    </w:rPr>
  </w:style>
  <w:style w:type="paragraph" w:customStyle="1" w:styleId="BVIfnrCharCaracterCharCaracterCharCaracterCharCaracterCharCaracterCharCaracterCharCaracterCaracterCharCharCaracterCaracter">
    <w:name w:val="BVI fnr Char Caracter Char Caracter Char Caracter Char Caracter Char Caracter Char Caracter Char Caracter Caracter Char Char Caracter Caracter"/>
    <w:basedOn w:val="Normal"/>
    <w:next w:val="Normal"/>
    <w:rsid w:val="00730E6E"/>
    <w:pPr>
      <w:spacing w:after="160" w:line="240" w:lineRule="exact"/>
    </w:pPr>
    <w:rPr>
      <w:sz w:val="20"/>
      <w:szCs w:val="20"/>
      <w:vertAlign w:val="superscript"/>
      <w:lang w:val="ro-RO" w:eastAsia="ro-RO"/>
    </w:rPr>
  </w:style>
  <w:style w:type="character" w:customStyle="1" w:styleId="DefaultTextChar">
    <w:name w:val="Default Text Char"/>
    <w:rsid w:val="00730E6E"/>
    <w:rPr>
      <w:sz w:val="24"/>
      <w:szCs w:val="24"/>
      <w:lang w:val="en-US" w:eastAsia="en-US" w:bidi="ar-SA"/>
    </w:rPr>
  </w:style>
  <w:style w:type="paragraph" w:styleId="BodyText3">
    <w:name w:val="Body Text 3"/>
    <w:basedOn w:val="Normal"/>
    <w:link w:val="BodyText3Char"/>
    <w:rsid w:val="00730E6E"/>
    <w:pPr>
      <w:jc w:val="both"/>
    </w:pPr>
    <w:rPr>
      <w:sz w:val="28"/>
      <w:szCs w:val="20"/>
      <w:lang w:val="en-GB"/>
    </w:rPr>
  </w:style>
  <w:style w:type="character" w:customStyle="1" w:styleId="BodyText3Char">
    <w:name w:val="Body Text 3 Char"/>
    <w:basedOn w:val="DefaultParagraphFont"/>
    <w:link w:val="BodyText3"/>
    <w:rsid w:val="00730E6E"/>
    <w:rPr>
      <w:rFonts w:ascii="Times New Roman" w:eastAsia="Times New Roman" w:hAnsi="Times New Roman" w:cs="Times New Roman"/>
      <w:sz w:val="28"/>
      <w:szCs w:val="20"/>
      <w:lang w:val="en-GB"/>
    </w:rPr>
  </w:style>
  <w:style w:type="character" w:customStyle="1" w:styleId="preambul1">
    <w:name w:val="preambul1"/>
    <w:rsid w:val="00730E6E"/>
    <w:rPr>
      <w:i/>
      <w:iCs/>
      <w:color w:val="000000"/>
    </w:rPr>
  </w:style>
  <w:style w:type="paragraph" w:customStyle="1" w:styleId="CaracterCaracter1CharCharCaracterCaracter">
    <w:name w:val="Caracter Caracter1 Char Char Caracter Caracter"/>
    <w:basedOn w:val="Normal"/>
    <w:rsid w:val="00730E6E"/>
    <w:rPr>
      <w:lang w:val="pl-PL" w:eastAsia="pl-PL"/>
    </w:rPr>
  </w:style>
  <w:style w:type="paragraph" w:customStyle="1" w:styleId="WW-BodyText3">
    <w:name w:val="WW-Body Text 3"/>
    <w:basedOn w:val="Normal"/>
    <w:rsid w:val="00730E6E"/>
    <w:pPr>
      <w:suppressAutoHyphens/>
      <w:jc w:val="both"/>
    </w:pPr>
    <w:rPr>
      <w:rFonts w:ascii="0HelvR" w:hAnsi="0HelvR"/>
      <w:bCs/>
      <w:szCs w:val="20"/>
      <w:lang w:val="en-GB" w:eastAsia="ar-SA"/>
    </w:rPr>
  </w:style>
  <w:style w:type="paragraph" w:styleId="BodyTextIndent3">
    <w:name w:val="Body Text Indent 3"/>
    <w:basedOn w:val="Normal"/>
    <w:link w:val="BodyTextIndent3Char"/>
    <w:rsid w:val="00730E6E"/>
    <w:pPr>
      <w:spacing w:after="120"/>
      <w:ind w:left="283"/>
    </w:pPr>
    <w:rPr>
      <w:sz w:val="16"/>
      <w:szCs w:val="16"/>
      <w:lang w:eastAsia="ro-RO"/>
    </w:rPr>
  </w:style>
  <w:style w:type="character" w:customStyle="1" w:styleId="BodyTextIndent3Char">
    <w:name w:val="Body Text Indent 3 Char"/>
    <w:basedOn w:val="DefaultParagraphFont"/>
    <w:link w:val="BodyTextIndent3"/>
    <w:rsid w:val="00730E6E"/>
    <w:rPr>
      <w:rFonts w:ascii="Times New Roman" w:eastAsia="Times New Roman" w:hAnsi="Times New Roman" w:cs="Times New Roman"/>
      <w:sz w:val="16"/>
      <w:szCs w:val="16"/>
      <w:lang w:eastAsia="ro-RO"/>
    </w:rPr>
  </w:style>
  <w:style w:type="character" w:customStyle="1" w:styleId="s41">
    <w:name w:val="s41"/>
    <w:rsid w:val="00730E6E"/>
    <w:rPr>
      <w:rFonts w:ascii="Verdana" w:hAnsi="Verdana" w:hint="default"/>
      <w:strike w:val="0"/>
      <w:dstrike w:val="0"/>
      <w:color w:val="3372B9"/>
      <w:sz w:val="17"/>
      <w:szCs w:val="17"/>
      <w:u w:val="none"/>
      <w:effect w:val="none"/>
    </w:rPr>
  </w:style>
  <w:style w:type="paragraph" w:styleId="Title">
    <w:name w:val="Title"/>
    <w:basedOn w:val="Normal"/>
    <w:link w:val="TitleChar"/>
    <w:qFormat/>
    <w:rsid w:val="00730E6E"/>
    <w:pPr>
      <w:jc w:val="center"/>
    </w:pPr>
    <w:rPr>
      <w:sz w:val="36"/>
      <w:szCs w:val="20"/>
      <w:lang w:val="ro-RO"/>
    </w:rPr>
  </w:style>
  <w:style w:type="character" w:customStyle="1" w:styleId="TitleChar">
    <w:name w:val="Title Char"/>
    <w:basedOn w:val="DefaultParagraphFont"/>
    <w:link w:val="Title"/>
    <w:rsid w:val="00730E6E"/>
    <w:rPr>
      <w:rFonts w:ascii="Times New Roman" w:eastAsia="Times New Roman" w:hAnsi="Times New Roman" w:cs="Times New Roman"/>
      <w:sz w:val="36"/>
      <w:szCs w:val="20"/>
      <w:lang w:val="ro-RO"/>
    </w:rPr>
  </w:style>
  <w:style w:type="paragraph" w:customStyle="1" w:styleId="CaracterCharCharCaracterCharCharCaracterCharChar1">
    <w:name w:val="Caracter Char Char Caracter Char Char Caracter Char Char1"/>
    <w:basedOn w:val="Normal"/>
    <w:rsid w:val="00730E6E"/>
    <w:rPr>
      <w:lang w:val="pl-PL" w:eastAsia="pl-PL"/>
    </w:rPr>
  </w:style>
  <w:style w:type="paragraph" w:customStyle="1" w:styleId="CharCharCaracterCaracterCaracterCharCharChar1CharCharCharCharCharCharCharCharCharCharCharCharCharCharCharCaracterCaracterCaracterCaracterCharChar2">
    <w:name w:val="Char Char Caracter Caracter Caracter Char Char Char1 Char Char Char Char Char Char Char Char Char Char Char Char Char Char Char Caracter Caracter Caracter Caracter Char Char2"/>
    <w:basedOn w:val="Normal"/>
    <w:rsid w:val="00730E6E"/>
    <w:rPr>
      <w:lang w:val="pl-PL" w:eastAsia="pl-PL"/>
    </w:rPr>
  </w:style>
  <w:style w:type="paragraph" w:customStyle="1" w:styleId="CaracterCharCharCaracterCharCharCaracterCharChar">
    <w:name w:val="Caracter Char Char Caracter Char Char Caracter Char Char"/>
    <w:basedOn w:val="Normal"/>
    <w:rsid w:val="00730E6E"/>
    <w:rPr>
      <w:lang w:val="pl-PL" w:eastAsia="pl-PL"/>
    </w:rPr>
  </w:style>
  <w:style w:type="paragraph" w:customStyle="1" w:styleId="CaracterCharCharCaracterCharCharCaracterCharCharCaracterCharCharCaracterCharCharCaracter">
    <w:name w:val="Caracter Char Char Caracter Char Char Caracter Char Char Caracter Char Char Caracter Char Char Caracter"/>
    <w:basedOn w:val="Normal"/>
    <w:rsid w:val="00730E6E"/>
    <w:rPr>
      <w:lang w:val="pl-PL" w:eastAsia="pl-PL"/>
    </w:rPr>
  </w:style>
  <w:style w:type="paragraph" w:customStyle="1" w:styleId="char0">
    <w:name w:val="char"/>
    <w:basedOn w:val="Normal"/>
    <w:rsid w:val="00730E6E"/>
    <w:rPr>
      <w:rFonts w:ascii="Arial Narrow" w:hAnsi="Arial Narrow"/>
      <w:b/>
      <w:bCs/>
      <w:sz w:val="26"/>
      <w:szCs w:val="26"/>
    </w:rPr>
  </w:style>
  <w:style w:type="paragraph" w:customStyle="1" w:styleId="A11comment">
    <w:name w:val="A 1.1 comment"/>
    <w:basedOn w:val="Normal"/>
    <w:rsid w:val="00730E6E"/>
    <w:pPr>
      <w:widowControl w:val="0"/>
      <w:tabs>
        <w:tab w:val="left" w:pos="8900"/>
      </w:tabs>
      <w:autoSpaceDE w:val="0"/>
      <w:autoSpaceDN w:val="0"/>
      <w:adjustRightInd w:val="0"/>
      <w:spacing w:before="60" w:after="120"/>
      <w:ind w:left="360"/>
    </w:pPr>
    <w:rPr>
      <w:sz w:val="21"/>
      <w:szCs w:val="21"/>
      <w:lang w:val="ro-RO" w:eastAsia="sk-SK"/>
    </w:rPr>
  </w:style>
  <w:style w:type="paragraph" w:customStyle="1" w:styleId="xl87">
    <w:name w:val="xl87"/>
    <w:basedOn w:val="Normal"/>
    <w:rsid w:val="00730E6E"/>
    <w:pPr>
      <w:pBdr>
        <w:top w:val="single" w:sz="8" w:space="0" w:color="auto"/>
        <w:bottom w:val="single" w:sz="8" w:space="0" w:color="auto"/>
        <w:right w:val="single" w:sz="8" w:space="0" w:color="auto"/>
      </w:pBdr>
      <w:spacing w:before="100" w:beforeAutospacing="1" w:after="100" w:afterAutospacing="1"/>
      <w:jc w:val="center"/>
    </w:pPr>
    <w:rPr>
      <w:lang w:val="en-GB" w:eastAsia="en-GB"/>
    </w:rPr>
  </w:style>
  <w:style w:type="paragraph" w:customStyle="1" w:styleId="CaracterCharCharCaracterCharCharCaracterCharChar1CaracterCaracterCharChar">
    <w:name w:val="Caracter Char Char Caracter Char Char Caracter Char Char1 Caracter Caracter Char Char"/>
    <w:basedOn w:val="Normal"/>
    <w:rsid w:val="00730E6E"/>
    <w:rPr>
      <w:lang w:val="pl-PL" w:eastAsia="pl-PL"/>
    </w:rPr>
  </w:style>
  <w:style w:type="paragraph" w:customStyle="1" w:styleId="MoUparagraphs">
    <w:name w:val="MoU paragraphs"/>
    <w:basedOn w:val="Normal"/>
    <w:link w:val="MoUparagraphsChar"/>
    <w:rsid w:val="00730E6E"/>
    <w:pPr>
      <w:spacing w:before="80" w:after="60" w:line="280" w:lineRule="exact"/>
      <w:jc w:val="both"/>
    </w:pPr>
    <w:rPr>
      <w:rFonts w:ascii="Calibri" w:hAnsi="Calibri"/>
      <w:sz w:val="20"/>
      <w:szCs w:val="20"/>
      <w:lang w:val="en-GB"/>
    </w:rPr>
  </w:style>
  <w:style w:type="character" w:customStyle="1" w:styleId="MoUparagraphsChar">
    <w:name w:val="MoU paragraphs Char"/>
    <w:link w:val="MoUparagraphs"/>
    <w:locked/>
    <w:rsid w:val="00730E6E"/>
    <w:rPr>
      <w:rFonts w:ascii="Calibri" w:eastAsia="Times New Roman" w:hAnsi="Calibri" w:cs="Times New Roman"/>
      <w:sz w:val="20"/>
      <w:szCs w:val="20"/>
      <w:lang w:val="en-GB"/>
    </w:rPr>
  </w:style>
  <w:style w:type="paragraph" w:customStyle="1" w:styleId="BVIfnrCharCharCaracterCharCaracterCharCaracterCharCaracterCharCaracterCharCaracter">
    <w:name w:val="BVI fnr Char Char Caracter Char Caracter Char Caracter Char Caracter Char Caracter Char Caracter"/>
    <w:aliases w:val="BVI f Caracter Caracter, BVI fnr Char Char Caracter Char Caracter Char Caracter Char Caracter Char Caracter Char Caracter"/>
    <w:basedOn w:val="Normal"/>
    <w:next w:val="Normal"/>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CaracterCaracter">
    <w:name w:val="Char Char3 Caracter Caracter1 Char Char Caracter Caracter1 Caracter Caracter Char Char Caracter Caracter Char Char Caracter Caracter Char Char Caracter Caracter Caracter Caracter"/>
    <w:basedOn w:val="Normal"/>
    <w:rsid w:val="00730E6E"/>
    <w:rPr>
      <w:lang w:val="pl-PL" w:eastAsia="pl-PL"/>
    </w:rPr>
  </w:style>
  <w:style w:type="paragraph" w:customStyle="1" w:styleId="BVIfnrCaracter">
    <w:name w:val="BVI fnr Caracter"/>
    <w:aliases w:val=" BVI fnr Caracter,Footnote Reference Number Caracter,Odwołanie przypisu Caracter,Footnote Reference_LVL6 Caracter,Footnote Reference_LVL61 Caracter,Footnote Reference_LVL62 Caracter,fr Caracter"/>
    <w:basedOn w:val="Normal"/>
    <w:next w:val="Normal"/>
    <w:rsid w:val="00730E6E"/>
    <w:pPr>
      <w:spacing w:after="160" w:line="240" w:lineRule="exact"/>
    </w:pPr>
    <w:rPr>
      <w:sz w:val="20"/>
      <w:szCs w:val="20"/>
      <w:vertAlign w:val="superscript"/>
      <w:lang w:val="ro-RO" w:eastAsia="ro-RO"/>
    </w:rPr>
  </w:style>
  <w:style w:type="character" w:customStyle="1" w:styleId="fontstyle63">
    <w:name w:val="fontstyle63"/>
    <w:rsid w:val="00730E6E"/>
    <w:rPr>
      <w:rFonts w:ascii="Times New Roman" w:hAnsi="Times New Roman" w:cs="Times New Roman" w:hint="default"/>
      <w:b/>
      <w:bCs/>
      <w:i/>
      <w:iCs/>
    </w:rPr>
  </w:style>
  <w:style w:type="paragraph" w:customStyle="1" w:styleId="CaracterCaracter1CharChar1CaracterCaracterCharCharCaracterCaracterCharCharCaracterCaracter">
    <w:name w:val="Caracter Caracter1 Char Char1 Caracter Caracter Char Char Caracter Caracter Char Char Caracter Caracter"/>
    <w:basedOn w:val="Normal"/>
    <w:rsid w:val="00730E6E"/>
    <w:rPr>
      <w:lang w:val="pl-PL" w:eastAsia="pl-PL"/>
    </w:rPr>
  </w:style>
  <w:style w:type="paragraph" w:customStyle="1" w:styleId="CaracterCaracter2CharCharCaracterCaracterCharCharCaracterCaracterCharCharCaracterCaracterCharCharCaracterCaracterCharCharCaracterCaracterCharCharCaracterCaracter">
    <w:name w:val="Caracter Caracter2 Char Char Caracter Caracter Char Char Caracter Caracter Char Char Caracter Caracter Char Char Caracter Caracter Char Char Caracter Caracter Char Char Caracter Caracter"/>
    <w:basedOn w:val="Normal"/>
    <w:rsid w:val="00730E6E"/>
    <w:rPr>
      <w:lang w:val="pl-PL" w:eastAsia="pl-PL"/>
    </w:rPr>
  </w:style>
  <w:style w:type="paragraph" w:customStyle="1" w:styleId="CaracterCaracter1CaracterCaracterCaracter">
    <w:name w:val="Caracter Caracter1 Caracter Caracter Caracter"/>
    <w:basedOn w:val="Normal"/>
    <w:rsid w:val="00730E6E"/>
    <w:rPr>
      <w:lang w:val="pl-PL" w:eastAsia="pl-PL"/>
    </w:rPr>
  </w:style>
  <w:style w:type="paragraph" w:customStyle="1" w:styleId="Pa2">
    <w:name w:val="Pa2"/>
    <w:basedOn w:val="Default"/>
    <w:next w:val="Default"/>
    <w:rsid w:val="00730E6E"/>
    <w:pPr>
      <w:spacing w:line="241" w:lineRule="atLeast"/>
    </w:pPr>
    <w:rPr>
      <w:rFonts w:ascii="Adobe Garamond Pro" w:hAnsi="Adobe Garamond Pro"/>
      <w:color w:val="auto"/>
    </w:rPr>
  </w:style>
  <w:style w:type="character" w:customStyle="1" w:styleId="A4">
    <w:name w:val="A4"/>
    <w:rsid w:val="00730E6E"/>
    <w:rPr>
      <w:rFonts w:cs="Adobe Garamond Pro"/>
      <w:color w:val="000000"/>
      <w:sz w:val="18"/>
      <w:szCs w:val="18"/>
    </w:rPr>
  </w:style>
  <w:style w:type="character" w:customStyle="1" w:styleId="A9">
    <w:name w:val="A9"/>
    <w:rsid w:val="00730E6E"/>
    <w:rPr>
      <w:rFonts w:cs="Adobe Garamond Pro"/>
      <w:color w:val="000000"/>
    </w:rPr>
  </w:style>
  <w:style w:type="paragraph" w:customStyle="1" w:styleId="Pa0">
    <w:name w:val="Pa0"/>
    <w:basedOn w:val="Default"/>
    <w:next w:val="Default"/>
    <w:rsid w:val="00730E6E"/>
    <w:pPr>
      <w:spacing w:line="241" w:lineRule="atLeast"/>
    </w:pPr>
    <w:rPr>
      <w:rFonts w:ascii="Adobe Garamond Pro Bold" w:hAnsi="Adobe Garamond Pro Bold"/>
      <w:color w:val="auto"/>
    </w:rPr>
  </w:style>
  <w:style w:type="character" w:customStyle="1" w:styleId="A2">
    <w:name w:val="A2"/>
    <w:rsid w:val="00730E6E"/>
    <w:rPr>
      <w:rFonts w:cs="Adobe Garamond Pro Bold"/>
      <w:b/>
      <w:bCs/>
      <w:color w:val="000000"/>
      <w:sz w:val="72"/>
      <w:szCs w:val="72"/>
    </w:rPr>
  </w:style>
  <w:style w:type="paragraph" w:customStyle="1" w:styleId="Pa4">
    <w:name w:val="Pa4"/>
    <w:basedOn w:val="Default"/>
    <w:next w:val="Default"/>
    <w:rsid w:val="00730E6E"/>
    <w:pPr>
      <w:spacing w:line="241" w:lineRule="atLeast"/>
    </w:pPr>
    <w:rPr>
      <w:rFonts w:ascii="Gabriola" w:hAnsi="Gabriola"/>
      <w:color w:val="auto"/>
    </w:rPr>
  </w:style>
  <w:style w:type="character" w:customStyle="1" w:styleId="A26">
    <w:name w:val="A26"/>
    <w:rsid w:val="00730E6E"/>
    <w:rPr>
      <w:rFonts w:cs="Gabriola"/>
      <w:color w:val="000000"/>
      <w:sz w:val="22"/>
      <w:szCs w:val="22"/>
    </w:rPr>
  </w:style>
  <w:style w:type="character" w:customStyle="1" w:styleId="A6">
    <w:name w:val="A6"/>
    <w:rsid w:val="00730E6E"/>
    <w:rPr>
      <w:rFonts w:ascii="Legato" w:hAnsi="Legato" w:cs="Legato"/>
      <w:color w:val="000000"/>
      <w:sz w:val="16"/>
      <w:szCs w:val="16"/>
    </w:rPr>
  </w:style>
  <w:style w:type="character" w:customStyle="1" w:styleId="A20">
    <w:name w:val="A20"/>
    <w:rsid w:val="00730E6E"/>
    <w:rPr>
      <w:rFonts w:ascii="Gabriola" w:hAnsi="Gabriola" w:cs="Gabriola"/>
      <w:color w:val="000000"/>
      <w:sz w:val="40"/>
      <w:szCs w:val="40"/>
    </w:rPr>
  </w:style>
  <w:style w:type="character" w:customStyle="1" w:styleId="A24">
    <w:name w:val="A24"/>
    <w:rsid w:val="00730E6E"/>
    <w:rPr>
      <w:rFonts w:cs="TheSans LP7 Bold"/>
      <w:b/>
      <w:bCs/>
      <w:color w:val="000000"/>
      <w:sz w:val="20"/>
      <w:szCs w:val="20"/>
    </w:rPr>
  </w:style>
  <w:style w:type="paragraph" w:customStyle="1" w:styleId="SUPERSChar">
    <w:name w:val="SUPERS Char"/>
    <w:aliases w:val=" BVI fnr Char,BVI fnr Char,Footnote symbol Char,ftref Char Char Char Char Char Char Char Char Char Char Char Char,Footnote Char Char Char Char Char Char Char Char Char Char Char Char,numar nota subsol Char,SUPERS Char Char Char"/>
    <w:basedOn w:val="Normal"/>
    <w:next w:val="Normal"/>
    <w:rsid w:val="00730E6E"/>
    <w:pPr>
      <w:spacing w:after="160" w:line="240" w:lineRule="exact"/>
    </w:pPr>
    <w:rPr>
      <w:sz w:val="20"/>
      <w:szCs w:val="20"/>
      <w:vertAlign w:val="superscript"/>
      <w:lang w:val="ro-RO" w:eastAsia="ro-RO"/>
    </w:rPr>
  </w:style>
  <w:style w:type="paragraph" w:customStyle="1" w:styleId="CaracterCaracterCharCharCaracterCaracter1">
    <w:name w:val="Caracter Caracter Char Char Caracter Caracter1"/>
    <w:basedOn w:val="Normal"/>
    <w:rsid w:val="00730E6E"/>
    <w:rPr>
      <w:lang w:val="pl-PL" w:eastAsia="pl-PL"/>
    </w:rPr>
  </w:style>
  <w:style w:type="paragraph" w:customStyle="1" w:styleId="CaracterCharCharCaracterCharChar">
    <w:name w:val="Caracter Char Char Caracter Char Char"/>
    <w:basedOn w:val="Normal"/>
    <w:rsid w:val="00730E6E"/>
    <w:rPr>
      <w:lang w:val="pl-PL" w:eastAsia="pl-PL"/>
    </w:rPr>
  </w:style>
  <w:style w:type="paragraph" w:customStyle="1" w:styleId="BodyText21">
    <w:name w:val="Body Text 21"/>
    <w:basedOn w:val="Normal"/>
    <w:rsid w:val="00730E6E"/>
    <w:pPr>
      <w:overflowPunct w:val="0"/>
      <w:autoSpaceDE w:val="0"/>
      <w:autoSpaceDN w:val="0"/>
      <w:adjustRightInd w:val="0"/>
      <w:ind w:firstLine="720"/>
      <w:jc w:val="both"/>
      <w:textAlignment w:val="baseline"/>
    </w:pPr>
    <w:rPr>
      <w:szCs w:val="20"/>
    </w:rPr>
  </w:style>
  <w:style w:type="character" w:customStyle="1" w:styleId="ds251">
    <w:name w:val="ds251"/>
    <w:rsid w:val="00730E6E"/>
    <w:rPr>
      <w:rFonts w:ascii="Georgia" w:hAnsi="Georgia" w:hint="default"/>
      <w:sz w:val="21"/>
      <w:szCs w:val="21"/>
    </w:rPr>
  </w:style>
  <w:style w:type="paragraph" w:customStyle="1" w:styleId="CaracterCaracter4CharChar1CaracterCaracter">
    <w:name w:val="Caracter Caracter4 Char Char1 Caracter Caracter"/>
    <w:basedOn w:val="Normal"/>
    <w:rsid w:val="00730E6E"/>
    <w:pPr>
      <w:spacing w:before="120"/>
      <w:jc w:val="both"/>
    </w:pPr>
    <w:rPr>
      <w:rFonts w:ascii="Arial" w:hAnsi="Arial"/>
      <w:lang w:val="pl-PL" w:eastAsia="pl-PL"/>
    </w:rPr>
  </w:style>
  <w:style w:type="paragraph" w:customStyle="1" w:styleId="CaracterCharCharCaracterCharCharCaracterCharCharCaracterCharCharCaracterCharCharCaracterCharCharCaracterCaracterCaracterCaracter">
    <w:name w:val="Caracter Char Char Caracter Char Char Caracter Char Char Caracter Char Char Caracter Char Char Caracter Char Char Caracter Caracter Caracter Caracter"/>
    <w:basedOn w:val="Normal"/>
    <w:rsid w:val="00730E6E"/>
    <w:pPr>
      <w:spacing w:after="160" w:line="240" w:lineRule="exact"/>
    </w:pPr>
    <w:rPr>
      <w:rFonts w:ascii="Tahoma" w:hAnsi="Tahoma"/>
      <w:sz w:val="20"/>
      <w:szCs w:val="20"/>
      <w:lang w:val="ro-RO"/>
    </w:rPr>
  </w:style>
  <w:style w:type="paragraph" w:customStyle="1" w:styleId="DefaultText11">
    <w:name w:val="Default Text:1:1"/>
    <w:basedOn w:val="Normal"/>
    <w:rsid w:val="00730E6E"/>
    <w:pPr>
      <w:overflowPunct w:val="0"/>
      <w:autoSpaceDE w:val="0"/>
      <w:autoSpaceDN w:val="0"/>
      <w:adjustRightInd w:val="0"/>
      <w:textAlignment w:val="baseline"/>
    </w:pPr>
    <w:rPr>
      <w:szCs w:val="20"/>
      <w:lang w:val="ro-RO"/>
    </w:rPr>
  </w:style>
  <w:style w:type="paragraph" w:customStyle="1" w:styleId="5Normal">
    <w:name w:val="5 Normal"/>
    <w:basedOn w:val="Normal"/>
    <w:link w:val="5NormalChar"/>
    <w:rsid w:val="00730E6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sz w:val="20"/>
      <w:lang w:val="en-GB" w:eastAsia="en-GB"/>
    </w:rPr>
  </w:style>
  <w:style w:type="character" w:customStyle="1" w:styleId="5NormalChar">
    <w:name w:val="5 Normal Char"/>
    <w:link w:val="5Normal"/>
    <w:locked/>
    <w:rsid w:val="00730E6E"/>
    <w:rPr>
      <w:rFonts w:ascii="Verdana" w:eastAsia="Times New Roman" w:hAnsi="Verdana" w:cs="Times New Roman"/>
      <w:spacing w:val="-2"/>
      <w:sz w:val="20"/>
      <w:szCs w:val="24"/>
      <w:lang w:val="en-GB" w:eastAsia="en-GB"/>
    </w:rPr>
  </w:style>
  <w:style w:type="paragraph" w:styleId="EnvelopeReturn">
    <w:name w:val="envelope return"/>
    <w:basedOn w:val="Normal"/>
    <w:rsid w:val="00730E6E"/>
    <w:rPr>
      <w:rFonts w:ascii="Arial" w:hAnsi="Arial"/>
      <w:sz w:val="20"/>
      <w:szCs w:val="20"/>
    </w:rPr>
  </w:style>
  <w:style w:type="paragraph" w:customStyle="1" w:styleId="CaracterCharCharCaracterCharCharCaracterCharCharCaracterCaracterCaracterCharCharCaracter">
    <w:name w:val="Caracter Char Char Caracter Char Char Caracter Char Char Caracter Caracter Caracter Char Char Caracter"/>
    <w:basedOn w:val="Normal"/>
    <w:rsid w:val="00730E6E"/>
    <w:rPr>
      <w:lang w:val="pl-PL" w:eastAsia="pl-PL"/>
    </w:rPr>
  </w:style>
  <w:style w:type="paragraph" w:customStyle="1" w:styleId="BVIfnrCharCharCaracterCharCaracterCharCaracterCharCaracterCharCaracterCharCharCharChar">
    <w:name w:val="BVI fnr Char Char Caracter Char Caracter Char Caracter Char Caracter Char Caracter Char Char Char Char"/>
    <w:aliases w:val="BVI fnr Char Char Caracter Char Caracter Char Caracter Char Caracter Char Caracter Char Char Char Char Char Char"/>
    <w:basedOn w:val="Normal"/>
    <w:next w:val="Normal"/>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
    <w:name w:val="Char Char3 Caracter Caracter1 Char Char Caracter Caracter1 Caracter Caracter Char Char Caracter Caracter Char Char Caracter Caracter Char Char Caracter Caracter"/>
    <w:basedOn w:val="Normal"/>
    <w:rsid w:val="00730E6E"/>
    <w:rPr>
      <w:lang w:val="pl-PL" w:eastAsia="pl-PL"/>
    </w:rPr>
  </w:style>
  <w:style w:type="paragraph" w:customStyle="1" w:styleId="CharCharCharChar1CharCharCharCharCharCharCharCharCharCharCharCharCaracterCaracterCharCharCaracterCharCharCaracterCaracterCharCharCharCharCharCharCaracterCaracterCharCharCharCharCharChar">
    <w:name w:val="Char Char Char Char1 Char Char Char Char Char Char Char Char Char Char Char Char Caracter Caracter Char Char Caracter Char Char Caracter Caracter Char Char Char Char Char Char Caracter Caracter Char Char Char Char Char Char"/>
    <w:basedOn w:val="Normal"/>
    <w:next w:val="Normal"/>
    <w:rsid w:val="00730E6E"/>
    <w:pPr>
      <w:spacing w:after="160" w:line="240" w:lineRule="exact"/>
    </w:pPr>
    <w:rPr>
      <w:sz w:val="20"/>
      <w:szCs w:val="20"/>
      <w:vertAlign w:val="superscript"/>
      <w:lang w:val="ro-RO" w:eastAsia="ro-RO"/>
    </w:rPr>
  </w:style>
  <w:style w:type="paragraph" w:customStyle="1" w:styleId="CaracterCaracter1CharChar">
    <w:name w:val="Caracter Caracter1 Char Char"/>
    <w:basedOn w:val="Normal"/>
    <w:rsid w:val="00730E6E"/>
    <w:rPr>
      <w:lang w:val="pl-PL" w:eastAsia="pl-PL"/>
    </w:rPr>
  </w:style>
  <w:style w:type="paragraph" w:customStyle="1" w:styleId="BVIfnrCharCharCaracterCharCaracterCharCaracterCharCaracterCharCaracterCharCaracterCharCaracter">
    <w:name w:val="BVI fnr Char Char Caracter Char Caracter Char Caracter Char Caracter Char Caracter Char Caracter Char Caracter"/>
    <w:basedOn w:val="Normal"/>
    <w:next w:val="Normal"/>
    <w:rsid w:val="00730E6E"/>
    <w:pPr>
      <w:spacing w:after="160" w:line="240" w:lineRule="exact"/>
    </w:pPr>
    <w:rPr>
      <w:sz w:val="20"/>
      <w:szCs w:val="20"/>
      <w:vertAlign w:val="superscript"/>
      <w:lang w:val="ro-RO" w:eastAsia="ro-RO"/>
    </w:rPr>
  </w:style>
  <w:style w:type="paragraph" w:customStyle="1" w:styleId="CharCharCharChar1CharCharCharCharCharCharCharCharCharCharCharChar">
    <w:name w:val="Char Char Char Char1 Char Char Char Char Char Char Char Char Char Char Char Char"/>
    <w:aliases w:val=" BVI fnr Char Char Caracter Char Caracter Char Caracter Char Caracter Char Caracter Char, BVI fnr Char Char Caracter Char Caracter Char Char"/>
    <w:basedOn w:val="Normal"/>
    <w:next w:val="Normal"/>
    <w:rsid w:val="00730E6E"/>
    <w:pPr>
      <w:spacing w:after="160" w:line="240" w:lineRule="exact"/>
    </w:pPr>
    <w:rPr>
      <w:sz w:val="20"/>
      <w:szCs w:val="20"/>
      <w:vertAlign w:val="superscript"/>
      <w:lang w:val="ro-RO" w:eastAsia="ro-RO"/>
    </w:rPr>
  </w:style>
  <w:style w:type="paragraph" w:styleId="List2">
    <w:name w:val="List 2"/>
    <w:basedOn w:val="Normal"/>
    <w:rsid w:val="00730E6E"/>
    <w:pPr>
      <w:ind w:left="720" w:hanging="360"/>
    </w:pPr>
  </w:style>
  <w:style w:type="paragraph" w:styleId="List3">
    <w:name w:val="List 3"/>
    <w:basedOn w:val="Normal"/>
    <w:rsid w:val="00730E6E"/>
    <w:pPr>
      <w:ind w:left="1080" w:hanging="360"/>
    </w:pPr>
  </w:style>
  <w:style w:type="paragraph" w:styleId="ListBullet2">
    <w:name w:val="List Bullet 2"/>
    <w:basedOn w:val="Normal"/>
    <w:rsid w:val="00730E6E"/>
    <w:pPr>
      <w:numPr>
        <w:numId w:val="6"/>
      </w:numPr>
    </w:pPr>
  </w:style>
  <w:style w:type="paragraph" w:styleId="ListBullet3">
    <w:name w:val="List Bullet 3"/>
    <w:basedOn w:val="Normal"/>
    <w:rsid w:val="00730E6E"/>
    <w:pPr>
      <w:numPr>
        <w:numId w:val="7"/>
      </w:numPr>
    </w:pPr>
  </w:style>
  <w:style w:type="paragraph" w:styleId="ListContinue2">
    <w:name w:val="List Continue 2"/>
    <w:basedOn w:val="Normal"/>
    <w:rsid w:val="00730E6E"/>
    <w:pPr>
      <w:spacing w:after="120"/>
      <w:ind w:left="720"/>
    </w:pPr>
  </w:style>
  <w:style w:type="paragraph" w:styleId="Caption">
    <w:name w:val="caption"/>
    <w:basedOn w:val="Normal"/>
    <w:next w:val="Normal"/>
    <w:qFormat/>
    <w:rsid w:val="00730E6E"/>
    <w:rPr>
      <w:b/>
      <w:bCs/>
      <w:sz w:val="20"/>
      <w:szCs w:val="20"/>
    </w:rPr>
  </w:style>
  <w:style w:type="paragraph" w:styleId="BodyTextFirstIndent">
    <w:name w:val="Body Text First Indent"/>
    <w:basedOn w:val="BodyText"/>
    <w:link w:val="BodyTextFirstIndentChar"/>
    <w:rsid w:val="00730E6E"/>
    <w:pPr>
      <w:ind w:firstLine="210"/>
    </w:pPr>
  </w:style>
  <w:style w:type="character" w:customStyle="1" w:styleId="BodyTextFirstIndentChar">
    <w:name w:val="Body Text First Indent Char"/>
    <w:basedOn w:val="BodyTextChar1"/>
    <w:link w:val="BodyTextFirstIndent"/>
    <w:rsid w:val="00730E6E"/>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730E6E"/>
    <w:pPr>
      <w:ind w:firstLine="210"/>
    </w:pPr>
  </w:style>
  <w:style w:type="character" w:customStyle="1" w:styleId="BodyTextFirstIndent2Char">
    <w:name w:val="Body Text First Indent 2 Char"/>
    <w:basedOn w:val="BodyTextIndentChar"/>
    <w:link w:val="BodyTextFirstIndent2"/>
    <w:rsid w:val="00730E6E"/>
    <w:rPr>
      <w:rFonts w:ascii="Times New Roman" w:eastAsia="Times New Roman" w:hAnsi="Times New Roman" w:cs="Times New Roman"/>
      <w:sz w:val="24"/>
      <w:szCs w:val="24"/>
    </w:rPr>
  </w:style>
  <w:style w:type="paragraph" w:customStyle="1" w:styleId="CaracterCharCharCaracterCharCharCaracterCharCharCaracterCaracterCaracterCharCharCaracterCharCharCaracterCaracterCaracterCaracter">
    <w:name w:val="Caracter Char Char Caracter Char Char Caracter Char Char Caracter Caracter Caracter Char Char Caracter Char Char Caracter Caracter Caracter Caracter"/>
    <w:basedOn w:val="Normal"/>
    <w:rsid w:val="00730E6E"/>
    <w:rPr>
      <w:lang w:val="pl-PL" w:eastAsia="pl-PL"/>
    </w:rPr>
  </w:style>
  <w:style w:type="paragraph" w:customStyle="1" w:styleId="CharChar3CaracterCaracter1CharCharCaracterCaracter1CaracterCaracterCharCharCaracterCaracterCharCharCaracterCaracterCharCharCaracterCaracterCaracterCaracter1CaracterCaracterCharCharCaracterCaracter">
    <w:name w:val="Char Char3 Caracter Caracter1 Char Char Caracter Caracter1 Caracter Caracter Char Char Caracter Caracter Char Char Caracter Caracter Char Char Caracter Caracter Caracter Caracter1 Caracter Caracter Char Char Caracter Caracter"/>
    <w:basedOn w:val="Normal"/>
    <w:rsid w:val="00730E6E"/>
    <w:rPr>
      <w:lang w:val="pl-PL" w:eastAsia="pl-PL"/>
    </w:rPr>
  </w:style>
  <w:style w:type="paragraph" w:customStyle="1" w:styleId="BVIfnrCharCharCaracterCharCaracterCharCaracterCharCaracterCharCaracterCharCaracterCharCaracterCharCharCharChar">
    <w:name w:val="BVI fnr Char Char Caracter Char Caracter Char Caracter Char Caracter Char Caracter Char Caracter Char Caracter Char Char Char Char"/>
    <w:basedOn w:val="Normal"/>
    <w:next w:val="Normal"/>
    <w:rsid w:val="00730E6E"/>
    <w:pPr>
      <w:spacing w:after="160" w:line="240" w:lineRule="exact"/>
    </w:pPr>
    <w:rPr>
      <w:sz w:val="20"/>
      <w:szCs w:val="20"/>
      <w:vertAlign w:val="superscript"/>
      <w:lang w:val="ro-RO" w:eastAsia="ro-RO"/>
    </w:rPr>
  </w:style>
  <w:style w:type="paragraph" w:customStyle="1" w:styleId="BVIfnrCharCharCaracterCharCaracterCharCaracterCharCaracterCharCaracterCharCaracterCharCaracterCharCharCharCharCharCharCaracterCaracter">
    <w:name w:val="BVI fnr Char Char Caracter Char Caracter Char Caracter Char Caracter Char Caracter Char Caracter Char Caracter Char Char Char Char Char Char Caracter Caracter"/>
    <w:basedOn w:val="Normal"/>
    <w:next w:val="Normal"/>
    <w:rsid w:val="00730E6E"/>
    <w:pPr>
      <w:spacing w:after="160" w:line="240" w:lineRule="exact"/>
    </w:pPr>
    <w:rPr>
      <w:sz w:val="20"/>
      <w:szCs w:val="20"/>
      <w:vertAlign w:val="superscript"/>
      <w:lang w:val="ro-RO" w:eastAsia="ro-RO"/>
    </w:rPr>
  </w:style>
  <w:style w:type="paragraph" w:customStyle="1" w:styleId="BVIfnrCharCharCaracterCharCaracterCharCaracterCharCaracterCharCaracterCharCaracterCharCaracterCharCharCharCharCharCharCaracterCaracterCharCharCharChar">
    <w:name w:val="BVI fnr Char Char Caracter Char Caracter Char Caracter Char Caracter Char Caracter Char Caracter Char Caracter Char Char Char Char Char Char Caracter Caracter Char Char Char Char"/>
    <w:basedOn w:val="Normal"/>
    <w:next w:val="Normal"/>
    <w:rsid w:val="00730E6E"/>
    <w:pPr>
      <w:spacing w:after="160" w:line="240" w:lineRule="exact"/>
    </w:pPr>
    <w:rPr>
      <w:sz w:val="20"/>
      <w:szCs w:val="20"/>
      <w:vertAlign w:val="superscript"/>
      <w:lang w:val="ro-RO" w:eastAsia="ro-RO"/>
    </w:rPr>
  </w:style>
  <w:style w:type="paragraph" w:customStyle="1" w:styleId="CaracterCaracter7CharCharCharCharCharChar">
    <w:name w:val="Caracter Caracter7 Char Char Char Char Char Char"/>
    <w:basedOn w:val="Normal"/>
    <w:rsid w:val="00730E6E"/>
    <w:rPr>
      <w:szCs w:val="20"/>
      <w:lang w:val="pl-PL" w:eastAsia="pl-PL"/>
    </w:rPr>
  </w:style>
  <w:style w:type="character" w:customStyle="1" w:styleId="tpa1">
    <w:name w:val="tpa1"/>
    <w:rsid w:val="00730E6E"/>
    <w:rPr>
      <w:rFonts w:cs="Times New Roman"/>
    </w:rPr>
  </w:style>
  <w:style w:type="paragraph" w:styleId="PlainText">
    <w:name w:val="Plain Text"/>
    <w:basedOn w:val="Normal"/>
    <w:link w:val="PlainTextChar"/>
    <w:rsid w:val="00730E6E"/>
    <w:rPr>
      <w:rFonts w:ascii="Consolas" w:eastAsia="MS Mincho" w:hAnsi="Consolas"/>
      <w:sz w:val="21"/>
      <w:szCs w:val="21"/>
    </w:rPr>
  </w:style>
  <w:style w:type="character" w:customStyle="1" w:styleId="PlainTextChar">
    <w:name w:val="Plain Text Char"/>
    <w:basedOn w:val="DefaultParagraphFont"/>
    <w:link w:val="PlainText"/>
    <w:rsid w:val="00730E6E"/>
    <w:rPr>
      <w:rFonts w:ascii="Consolas" w:eastAsia="MS Mincho" w:hAnsi="Consolas" w:cs="Times New Roman"/>
      <w:sz w:val="21"/>
      <w:szCs w:val="21"/>
    </w:rPr>
  </w:style>
  <w:style w:type="paragraph" w:customStyle="1" w:styleId="CM1">
    <w:name w:val="CM1"/>
    <w:basedOn w:val="Normal"/>
    <w:next w:val="Normal"/>
    <w:rsid w:val="00730E6E"/>
    <w:pPr>
      <w:autoSpaceDE w:val="0"/>
      <w:autoSpaceDN w:val="0"/>
      <w:adjustRightInd w:val="0"/>
    </w:pPr>
    <w:rPr>
      <w:rFonts w:ascii="EUAlbertina" w:eastAsia="MS Mincho" w:hAnsi="EUAlbertina"/>
    </w:rPr>
  </w:style>
  <w:style w:type="paragraph" w:customStyle="1" w:styleId="CM3">
    <w:name w:val="CM3"/>
    <w:basedOn w:val="Normal"/>
    <w:next w:val="Normal"/>
    <w:rsid w:val="00730E6E"/>
    <w:pPr>
      <w:autoSpaceDE w:val="0"/>
      <w:autoSpaceDN w:val="0"/>
      <w:adjustRightInd w:val="0"/>
    </w:pPr>
    <w:rPr>
      <w:rFonts w:ascii="EUAlbertina" w:eastAsia="MS Mincho" w:hAnsi="EUAlbertina"/>
    </w:rPr>
  </w:style>
  <w:style w:type="paragraph" w:customStyle="1" w:styleId="CM4">
    <w:name w:val="CM4"/>
    <w:basedOn w:val="Normal"/>
    <w:next w:val="Normal"/>
    <w:rsid w:val="00730E6E"/>
    <w:pPr>
      <w:autoSpaceDE w:val="0"/>
      <w:autoSpaceDN w:val="0"/>
      <w:adjustRightInd w:val="0"/>
    </w:pPr>
    <w:rPr>
      <w:rFonts w:ascii="EUAlbertina" w:eastAsia="MS Mincho" w:hAnsi="EUAlbertina"/>
    </w:rPr>
  </w:style>
  <w:style w:type="paragraph" w:styleId="Revision">
    <w:name w:val="Revision"/>
    <w:hidden/>
    <w:uiPriority w:val="99"/>
    <w:rsid w:val="00730E6E"/>
    <w:pPr>
      <w:spacing w:after="0"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730E6E"/>
  </w:style>
  <w:style w:type="paragraph" w:styleId="TOC2">
    <w:name w:val="toc 2"/>
    <w:basedOn w:val="Normal"/>
    <w:next w:val="Normal"/>
    <w:autoRedefine/>
    <w:rsid w:val="00730E6E"/>
    <w:pPr>
      <w:ind w:left="240"/>
    </w:pPr>
  </w:style>
  <w:style w:type="paragraph" w:customStyle="1" w:styleId="CharChar1CharCharCharCharCharChar">
    <w:name w:val="Char Char1 Char Char Char Char Char Char"/>
    <w:aliases w:val=" Char Char Char Char1 Char Char Char Char Char Char Char Char Caracter Caracter Char1 Caracter Char, Char Char Char Char1 Char Char Char Char Char Char Char Char Caracter Caracter Char1"/>
    <w:basedOn w:val="Normal"/>
    <w:next w:val="Normal"/>
    <w:rsid w:val="00730E6E"/>
    <w:pPr>
      <w:spacing w:after="160" w:line="240" w:lineRule="exact"/>
    </w:pPr>
    <w:rPr>
      <w:sz w:val="20"/>
      <w:szCs w:val="20"/>
      <w:vertAlign w:val="superscript"/>
      <w:lang w:val="ro-RO" w:eastAsia="ro-RO"/>
    </w:rPr>
  </w:style>
  <w:style w:type="paragraph" w:customStyle="1" w:styleId="astandardsous-titre201">
    <w:name w:val="a_standard_sous-titre_20_1"/>
    <w:basedOn w:val="Normal"/>
    <w:rsid w:val="00730E6E"/>
    <w:pPr>
      <w:spacing w:before="240" w:after="80"/>
      <w:ind w:right="57"/>
    </w:pPr>
    <w:rPr>
      <w:b/>
      <w:bCs/>
    </w:rPr>
  </w:style>
  <w:style w:type="character" w:customStyle="1" w:styleId="at2">
    <w:name w:val="a__t2"/>
    <w:basedOn w:val="DefaultParagraphFont"/>
    <w:rsid w:val="00730E6E"/>
  </w:style>
  <w:style w:type="character" w:customStyle="1" w:styleId="at5">
    <w:name w:val="a__t5"/>
    <w:basedOn w:val="DefaultParagraphFont"/>
    <w:rsid w:val="00730E6E"/>
  </w:style>
  <w:style w:type="paragraph" w:customStyle="1" w:styleId="firstp">
    <w:name w:val="firstp"/>
    <w:basedOn w:val="Normal"/>
    <w:rsid w:val="00730E6E"/>
    <w:pPr>
      <w:spacing w:line="270" w:lineRule="atLeast"/>
    </w:pPr>
    <w:rPr>
      <w:rFonts w:ascii="Arial" w:hAnsi="Arial" w:cs="Arial"/>
      <w:color w:val="333333"/>
      <w:sz w:val="18"/>
      <w:szCs w:val="18"/>
    </w:rPr>
  </w:style>
  <w:style w:type="paragraph" w:customStyle="1" w:styleId="CaracterCaracter2CharCharCaracterCaracterCharCharCaracterCaracterCharChar">
    <w:name w:val="Caracter Caracter2 Char Char Caracter Caracter Char Char Caracter Caracter Char Char"/>
    <w:basedOn w:val="Normal"/>
    <w:rsid w:val="00730E6E"/>
    <w:rPr>
      <w:lang w:val="pl-PL" w:eastAsia="pl-PL"/>
    </w:rPr>
  </w:style>
  <w:style w:type="paragraph" w:customStyle="1" w:styleId="CaracterCaracterCharCharCaracterCaracterCharCharCaracterCaracterCharCharCaracterCaracterCharCharCaracterCaracterCharCharCaracterCaracter">
    <w:name w:val="Caracter Caracter Char Char Caracter Caracter Char Char Caracter Caracter Char Char Caracter Caracter Char Char Caracter Caracter Char Char Caracter Caracter"/>
    <w:basedOn w:val="Normal"/>
    <w:rsid w:val="00730E6E"/>
    <w:pPr>
      <w:spacing w:after="160" w:line="240" w:lineRule="exact"/>
    </w:pPr>
    <w:rPr>
      <w:rFonts w:ascii="Tahoma" w:hAnsi="Tahoma"/>
      <w:sz w:val="20"/>
      <w:szCs w:val="20"/>
    </w:rPr>
  </w:style>
  <w:style w:type="paragraph" w:customStyle="1" w:styleId="CharCharCaracterCaracterCharCharCaracterCaracterCharCharCaracterCaracter">
    <w:name w:val="Char Char Caracter Caracter Char Char Caracter Caracter Char Char Caracter Caracter"/>
    <w:basedOn w:val="Normal"/>
    <w:rsid w:val="00730E6E"/>
    <w:rPr>
      <w:lang w:val="pl-PL" w:eastAsia="pl-PL"/>
    </w:rPr>
  </w:style>
  <w:style w:type="paragraph" w:customStyle="1" w:styleId="DefaultText2">
    <w:name w:val="Default Text:2"/>
    <w:basedOn w:val="Normal"/>
    <w:rsid w:val="00730E6E"/>
    <w:pPr>
      <w:autoSpaceDE w:val="0"/>
      <w:autoSpaceDN w:val="0"/>
      <w:adjustRightInd w:val="0"/>
    </w:pPr>
  </w:style>
  <w:style w:type="character" w:customStyle="1" w:styleId="FontStyle18">
    <w:name w:val="Font Style18"/>
    <w:rsid w:val="00730E6E"/>
    <w:rPr>
      <w:rFonts w:ascii="Arial" w:hAnsi="Arial" w:cs="Arial"/>
      <w:b/>
      <w:bCs/>
      <w:sz w:val="22"/>
      <w:szCs w:val="22"/>
    </w:rPr>
  </w:style>
  <w:style w:type="character" w:customStyle="1" w:styleId="FontStyle19">
    <w:name w:val="Font Style19"/>
    <w:rsid w:val="00730E6E"/>
    <w:rPr>
      <w:rFonts w:ascii="Arial" w:hAnsi="Arial" w:cs="Arial"/>
      <w:sz w:val="22"/>
      <w:szCs w:val="22"/>
    </w:rPr>
  </w:style>
  <w:style w:type="paragraph" w:customStyle="1" w:styleId="BVIfnrCharChar">
    <w:name w:val="BVI fnr Char Char"/>
    <w:aliases w:val="Footnote Reference Number Char Char,Times 10 Point Char Char, Exposant 3 Point Char Char,Footnote symbol Char Char,Footnote reference number Char Char,Exposant 3 Point Char Char, BVI fnr,BVI fnr, BVI fnr Char Char,Times 10 Point"/>
    <w:basedOn w:val="Normal"/>
    <w:next w:val="Normal"/>
    <w:rsid w:val="00730E6E"/>
    <w:pPr>
      <w:spacing w:after="160" w:line="240" w:lineRule="exact"/>
    </w:pPr>
    <w:rPr>
      <w:sz w:val="20"/>
      <w:szCs w:val="20"/>
      <w:vertAlign w:val="superscript"/>
      <w:lang w:val="ro-RO" w:eastAsia="ro-RO"/>
    </w:rPr>
  </w:style>
  <w:style w:type="paragraph" w:customStyle="1" w:styleId="BVIfnrCharCharCaracterCharCaracterCharCaracter">
    <w:name w:val="BVI fnr Char Char Caracter Char Caracter Char Caracter"/>
    <w:aliases w:val="Footnote Reference Number Char Char Caracter Char Caracter Char Caracter, BVI fnr Char Char Caracter Char Caracter Char Caracter"/>
    <w:basedOn w:val="Normal"/>
    <w:next w:val="Normal"/>
    <w:rsid w:val="00730E6E"/>
    <w:pPr>
      <w:spacing w:after="160" w:line="240" w:lineRule="exact"/>
    </w:pPr>
    <w:rPr>
      <w:sz w:val="20"/>
      <w:szCs w:val="20"/>
      <w:vertAlign w:val="superscript"/>
      <w:lang w:val="ro-RO" w:eastAsia="ro-RO"/>
    </w:rPr>
  </w:style>
  <w:style w:type="paragraph" w:customStyle="1" w:styleId="CaracterCaracter2CharCharCaracterCaracterCharCharCaracterCaracter">
    <w:name w:val="Caracter Caracter2 Char Char Caracter Caracter Char Char Caracter Caracter"/>
    <w:basedOn w:val="Normal"/>
    <w:rsid w:val="00730E6E"/>
    <w:rPr>
      <w:lang w:val="pl-PL" w:eastAsia="pl-PL"/>
    </w:rPr>
  </w:style>
  <w:style w:type="paragraph" w:customStyle="1" w:styleId="CharChar3CaracterCaracter1CharCharCaracterCaracter1CaracterCaracterCharCharCaracterCaracterCharCharCaracterCaracter">
    <w:name w:val="Char Char3 Caracter Caracter1 Char Char Caracter Caracter1 Caracter Caracter Char Char Caracter Caracter Char Char Caracter Caracter"/>
    <w:basedOn w:val="Normal"/>
    <w:rsid w:val="00730E6E"/>
    <w:rPr>
      <w:lang w:val="pl-PL" w:eastAsia="pl-PL"/>
    </w:rPr>
  </w:style>
  <w:style w:type="paragraph" w:customStyle="1" w:styleId="BVIfnrCharCharCaracterCharCaracterCharChar">
    <w:name w:val="BVI fnr Char Char Caracter Char Caracter Char Char"/>
    <w:basedOn w:val="Normal"/>
    <w:next w:val="Normal"/>
    <w:rsid w:val="00730E6E"/>
    <w:pPr>
      <w:spacing w:after="160" w:line="240" w:lineRule="exact"/>
    </w:pPr>
    <w:rPr>
      <w:sz w:val="20"/>
      <w:szCs w:val="20"/>
      <w:vertAlign w:val="superscript"/>
      <w:lang w:val="ro-RO" w:eastAsia="ro-RO"/>
    </w:rPr>
  </w:style>
  <w:style w:type="paragraph" w:customStyle="1" w:styleId="BVIfnrCharCharCaracterCharCaracterCharCaracterCharCaracter">
    <w:name w:val="BVI fnr Char Char Caracter Char Caracter Char Caracter Char Caracter"/>
    <w:aliases w:val=" BVI fnr Char Char Caracter,BVI fnr Char Char Caracter,Times 10 Point Char Char Caracter, BVI fnr Char Char Caracter Char Caracter Char Caracter Char Caracter"/>
    <w:basedOn w:val="Normal"/>
    <w:next w:val="Normal"/>
    <w:rsid w:val="00730E6E"/>
    <w:pPr>
      <w:spacing w:after="160" w:line="240" w:lineRule="exact"/>
    </w:pPr>
    <w:rPr>
      <w:sz w:val="20"/>
      <w:szCs w:val="20"/>
      <w:vertAlign w:val="superscript"/>
      <w:lang w:val="ro-RO" w:eastAsia="ro-RO"/>
    </w:rPr>
  </w:style>
  <w:style w:type="paragraph" w:customStyle="1" w:styleId="CaracterCaracter2CharCharCaracterCaracter">
    <w:name w:val="Caracter Caracter2 Char Char Caracter Caracter"/>
    <w:basedOn w:val="Normal"/>
    <w:rsid w:val="00730E6E"/>
    <w:rPr>
      <w:szCs w:val="20"/>
      <w:lang w:val="pl-PL" w:eastAsia="pl-PL"/>
    </w:rPr>
  </w:style>
  <w:style w:type="paragraph" w:customStyle="1" w:styleId="Frspaiere">
    <w:name w:val="Fără spațiere"/>
    <w:qFormat/>
    <w:rsid w:val="00730E6E"/>
    <w:pPr>
      <w:overflowPunct w:val="0"/>
      <w:autoSpaceDE w:val="0"/>
      <w:autoSpaceDN w:val="0"/>
      <w:adjustRightInd w:val="0"/>
      <w:spacing w:after="0" w:line="240" w:lineRule="auto"/>
      <w:textAlignment w:val="baseline"/>
    </w:pPr>
    <w:rPr>
      <w:rFonts w:ascii="Times New Roman Rom" w:eastAsia="Times New Roman" w:hAnsi="Times New Roman Rom" w:cs="Times New Roman"/>
      <w:sz w:val="32"/>
      <w:szCs w:val="20"/>
      <w:lang w:val="ro-RO" w:eastAsia="ro-RO"/>
    </w:rPr>
  </w:style>
  <w:style w:type="paragraph" w:customStyle="1" w:styleId="CharCharCharChar1CharCharCharCharCharCharCharCharCharChar">
    <w:name w:val="Char Char Char Char1 Char Char Char Char Char Char Char Char Char Char"/>
    <w:basedOn w:val="Normal"/>
    <w:next w:val="Normal"/>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CaracterCaracter1CaracterCaracter">
    <w:name w:val="Char Char3 Caracter Caracter1 Char Char Caracter Caracter1 Caracter Caracter Char Char Caracter Caracter Char Char Caracter Caracter Char Char Caracter Caracter Caracter Caracter1 Caracter Caracter"/>
    <w:basedOn w:val="Normal"/>
    <w:rsid w:val="00730E6E"/>
    <w:rPr>
      <w:lang w:val="pl-PL" w:eastAsia="pl-PL"/>
    </w:rPr>
  </w:style>
  <w:style w:type="paragraph" w:customStyle="1" w:styleId="CaracterCaracter1CaracterCharCharCaracterCaracter">
    <w:name w:val="Caracter Caracter1 Caracter Char Char Caracter Caracter"/>
    <w:basedOn w:val="Normal"/>
    <w:rsid w:val="00730E6E"/>
    <w:rPr>
      <w:lang w:val="pl-PL" w:eastAsia="pl-PL"/>
    </w:rPr>
  </w:style>
  <w:style w:type="paragraph" w:customStyle="1" w:styleId="CaracterCaracter1CharCharCaracterCaracter1">
    <w:name w:val="Caracter Caracter1 Char Char Caracter Caracter1"/>
    <w:basedOn w:val="Normal"/>
    <w:rsid w:val="00730E6E"/>
    <w:rPr>
      <w:lang w:val="pl-PL" w:eastAsia="pl-PL"/>
    </w:rPr>
  </w:style>
  <w:style w:type="paragraph" w:customStyle="1" w:styleId="BVIfnrCharCharCaracterCharCaracterCharCaracterCharCaracterCharCaracter">
    <w:name w:val="BVI fnr Char Char Caracter Char Caracter Char Caracter Char Caracter Char Caracter"/>
    <w:aliases w:val="BVI fnr Char Char Caracter Char Caracter"/>
    <w:basedOn w:val="Normal"/>
    <w:next w:val="Normal"/>
    <w:rsid w:val="00730E6E"/>
    <w:pPr>
      <w:spacing w:after="160" w:line="240" w:lineRule="exact"/>
    </w:pPr>
    <w:rPr>
      <w:rFonts w:ascii="Calibri" w:hAnsi="Calibri"/>
      <w:sz w:val="22"/>
      <w:szCs w:val="22"/>
      <w:vertAlign w:val="superscript"/>
    </w:rPr>
  </w:style>
  <w:style w:type="paragraph" w:customStyle="1" w:styleId="CaracterCaracter7">
    <w:name w:val="Caracter Caracter7"/>
    <w:basedOn w:val="Normal"/>
    <w:rsid w:val="00730E6E"/>
    <w:rPr>
      <w:lang w:val="pl-PL" w:eastAsia="pl-PL"/>
    </w:rPr>
  </w:style>
  <w:style w:type="character" w:customStyle="1" w:styleId="WW8Num1z0">
    <w:name w:val="WW8Num1z0"/>
    <w:rsid w:val="00730E6E"/>
    <w:rPr>
      <w:rFonts w:ascii="Times New Roman" w:eastAsia="Times New Roman" w:hAnsi="Times New Roman" w:cs="Times New Roman"/>
      <w:b/>
      <w:color w:val="000000"/>
      <w:sz w:val="24"/>
      <w:szCs w:val="24"/>
    </w:rPr>
  </w:style>
  <w:style w:type="character" w:customStyle="1" w:styleId="WW8Num1z1">
    <w:name w:val="WW8Num1z1"/>
    <w:rsid w:val="00730E6E"/>
  </w:style>
  <w:style w:type="character" w:customStyle="1" w:styleId="WW8Num1z2">
    <w:name w:val="WW8Num1z2"/>
    <w:rsid w:val="00730E6E"/>
  </w:style>
  <w:style w:type="character" w:customStyle="1" w:styleId="WW8Num1z3">
    <w:name w:val="WW8Num1z3"/>
    <w:rsid w:val="00730E6E"/>
  </w:style>
  <w:style w:type="character" w:customStyle="1" w:styleId="WW8Num1z4">
    <w:name w:val="WW8Num1z4"/>
    <w:rsid w:val="00730E6E"/>
  </w:style>
  <w:style w:type="character" w:customStyle="1" w:styleId="WW8Num1z5">
    <w:name w:val="WW8Num1z5"/>
    <w:rsid w:val="00730E6E"/>
  </w:style>
  <w:style w:type="character" w:customStyle="1" w:styleId="WW8Num1z6">
    <w:name w:val="WW8Num1z6"/>
    <w:rsid w:val="00730E6E"/>
  </w:style>
  <w:style w:type="character" w:customStyle="1" w:styleId="WW8Num1z7">
    <w:name w:val="WW8Num1z7"/>
    <w:rsid w:val="00730E6E"/>
  </w:style>
  <w:style w:type="character" w:customStyle="1" w:styleId="WW8Num1z8">
    <w:name w:val="WW8Num1z8"/>
    <w:rsid w:val="00730E6E"/>
  </w:style>
  <w:style w:type="character" w:customStyle="1" w:styleId="WW8Num2z0">
    <w:name w:val="WW8Num2z0"/>
    <w:rsid w:val="00730E6E"/>
    <w:rPr>
      <w:rFonts w:ascii="Times New Roman" w:eastAsia="Times New Roman" w:hAnsi="Times New Roman" w:cs="Times New Roman"/>
      <w:b/>
      <w:color w:val="000000"/>
      <w:sz w:val="24"/>
      <w:szCs w:val="24"/>
    </w:rPr>
  </w:style>
  <w:style w:type="character" w:customStyle="1" w:styleId="WW8Num2z1">
    <w:name w:val="WW8Num2z1"/>
    <w:rsid w:val="00730E6E"/>
  </w:style>
  <w:style w:type="character" w:customStyle="1" w:styleId="WW8Num2z2">
    <w:name w:val="WW8Num2z2"/>
    <w:rsid w:val="00730E6E"/>
  </w:style>
  <w:style w:type="character" w:customStyle="1" w:styleId="WW8Num2z3">
    <w:name w:val="WW8Num2z3"/>
    <w:rsid w:val="00730E6E"/>
  </w:style>
  <w:style w:type="character" w:customStyle="1" w:styleId="WW8Num2z4">
    <w:name w:val="WW8Num2z4"/>
    <w:rsid w:val="00730E6E"/>
  </w:style>
  <w:style w:type="character" w:customStyle="1" w:styleId="WW8Num2z5">
    <w:name w:val="WW8Num2z5"/>
    <w:rsid w:val="00730E6E"/>
  </w:style>
  <w:style w:type="character" w:customStyle="1" w:styleId="WW8Num2z6">
    <w:name w:val="WW8Num2z6"/>
    <w:rsid w:val="00730E6E"/>
  </w:style>
  <w:style w:type="character" w:customStyle="1" w:styleId="WW8Num2z7">
    <w:name w:val="WW8Num2z7"/>
    <w:rsid w:val="00730E6E"/>
  </w:style>
  <w:style w:type="character" w:customStyle="1" w:styleId="WW8Num2z8">
    <w:name w:val="WW8Num2z8"/>
    <w:rsid w:val="00730E6E"/>
  </w:style>
  <w:style w:type="character" w:customStyle="1" w:styleId="WW8Num3z0">
    <w:name w:val="WW8Num3z0"/>
    <w:rsid w:val="00730E6E"/>
    <w:rPr>
      <w:rFonts w:ascii="Symbol" w:hAnsi="Symbol" w:cs="Symbol"/>
      <w:color w:val="0033CC"/>
      <w:sz w:val="24"/>
      <w:szCs w:val="24"/>
    </w:rPr>
  </w:style>
  <w:style w:type="character" w:customStyle="1" w:styleId="WW8Num4z0">
    <w:name w:val="WW8Num4z0"/>
    <w:rsid w:val="00730E6E"/>
    <w:rPr>
      <w:rFonts w:ascii="Symbol" w:eastAsia="Times New Roman" w:hAnsi="Symbol" w:cs="Symbol"/>
      <w:color w:val="000000"/>
      <w:sz w:val="24"/>
      <w:szCs w:val="24"/>
    </w:rPr>
  </w:style>
  <w:style w:type="character" w:customStyle="1" w:styleId="WW8Num5z0">
    <w:name w:val="WW8Num5z0"/>
    <w:rsid w:val="00730E6E"/>
    <w:rPr>
      <w:rFonts w:ascii="Symbol" w:eastAsia="Times New Roman" w:hAnsi="Symbol" w:cs="Symbol"/>
      <w:color w:val="auto"/>
      <w:sz w:val="24"/>
      <w:szCs w:val="24"/>
      <w:lang w:eastAsia="zh-CN" w:bidi="ar-SA"/>
    </w:rPr>
  </w:style>
  <w:style w:type="character" w:customStyle="1" w:styleId="WW8Num6z0">
    <w:name w:val="WW8Num6z0"/>
    <w:rsid w:val="00730E6E"/>
    <w:rPr>
      <w:b w:val="0"/>
    </w:rPr>
  </w:style>
  <w:style w:type="character" w:customStyle="1" w:styleId="WW8Num7z0">
    <w:name w:val="WW8Num7z0"/>
    <w:rsid w:val="00730E6E"/>
    <w:rPr>
      <w:rFonts w:ascii="Arial Narrow" w:eastAsia="Times New Roman" w:hAnsi="Arial Narrow" w:cs="Arial Narrow"/>
      <w:b/>
      <w:i/>
      <w:szCs w:val="24"/>
    </w:rPr>
  </w:style>
  <w:style w:type="character" w:customStyle="1" w:styleId="WW8Num8z0">
    <w:name w:val="WW8Num8z0"/>
    <w:rsid w:val="00730E6E"/>
    <w:rPr>
      <w:rFonts w:ascii="Arial Narrow" w:hAnsi="Arial Narrow" w:cs="Arial Narrow"/>
    </w:rPr>
  </w:style>
  <w:style w:type="character" w:customStyle="1" w:styleId="WW8Num9z0">
    <w:name w:val="WW8Num9z0"/>
    <w:rsid w:val="00730E6E"/>
  </w:style>
  <w:style w:type="character" w:customStyle="1" w:styleId="WW8Num9z1">
    <w:name w:val="WW8Num9z1"/>
    <w:rsid w:val="00730E6E"/>
  </w:style>
  <w:style w:type="character" w:customStyle="1" w:styleId="WW8Num9z2">
    <w:name w:val="WW8Num9z2"/>
    <w:rsid w:val="00730E6E"/>
    <w:rPr>
      <w:color w:val="000080"/>
    </w:rPr>
  </w:style>
  <w:style w:type="character" w:customStyle="1" w:styleId="WW8Num9z3">
    <w:name w:val="WW8Num9z3"/>
    <w:rsid w:val="00730E6E"/>
  </w:style>
  <w:style w:type="character" w:customStyle="1" w:styleId="WW8Num9z4">
    <w:name w:val="WW8Num9z4"/>
    <w:rsid w:val="00730E6E"/>
  </w:style>
  <w:style w:type="character" w:customStyle="1" w:styleId="WW8Num9z5">
    <w:name w:val="WW8Num9z5"/>
    <w:rsid w:val="00730E6E"/>
  </w:style>
  <w:style w:type="character" w:customStyle="1" w:styleId="WW8Num9z6">
    <w:name w:val="WW8Num9z6"/>
    <w:rsid w:val="00730E6E"/>
  </w:style>
  <w:style w:type="character" w:customStyle="1" w:styleId="WW8Num9z7">
    <w:name w:val="WW8Num9z7"/>
    <w:rsid w:val="00730E6E"/>
  </w:style>
  <w:style w:type="character" w:customStyle="1" w:styleId="WW8Num9z8">
    <w:name w:val="WW8Num9z8"/>
    <w:rsid w:val="00730E6E"/>
  </w:style>
  <w:style w:type="character" w:customStyle="1" w:styleId="WW8Num10z0">
    <w:name w:val="WW8Num10z0"/>
    <w:rsid w:val="00730E6E"/>
    <w:rPr>
      <w:rFonts w:ascii="Symbol" w:hAnsi="Symbol" w:cs="Symbol"/>
      <w:color w:val="auto"/>
    </w:rPr>
  </w:style>
  <w:style w:type="character" w:customStyle="1" w:styleId="WW8Num11z0">
    <w:name w:val="WW8Num11z0"/>
    <w:rsid w:val="00730E6E"/>
    <w:rPr>
      <w:rFonts w:ascii="Arial" w:eastAsia="Times New Roman" w:hAnsi="Arial" w:cs="Times New Roman"/>
      <w:b/>
      <w:i/>
      <w:szCs w:val="24"/>
      <w:lang w:eastAsia="ro-RO"/>
    </w:rPr>
  </w:style>
  <w:style w:type="character" w:customStyle="1" w:styleId="WW8Num12z0">
    <w:name w:val="WW8Num12z0"/>
    <w:rsid w:val="00730E6E"/>
    <w:rPr>
      <w:rFonts w:ascii="Arial Narrow" w:eastAsia="Times New Roman" w:hAnsi="Arial Narrow" w:cs="Times New Roman"/>
      <w:b/>
      <w:bCs/>
      <w:i/>
      <w:color w:val="000000"/>
      <w:szCs w:val="24"/>
    </w:rPr>
  </w:style>
  <w:style w:type="character" w:customStyle="1" w:styleId="WW8Num13z0">
    <w:name w:val="WW8Num13z0"/>
    <w:rsid w:val="00730E6E"/>
    <w:rPr>
      <w:rFonts w:ascii="Arial Narrow" w:hAnsi="Arial Narrow" w:cs="Arial Narrow"/>
    </w:rPr>
  </w:style>
  <w:style w:type="character" w:customStyle="1" w:styleId="WW8Num14z0">
    <w:name w:val="WW8Num14z0"/>
    <w:rsid w:val="00730E6E"/>
    <w:rPr>
      <w:rFonts w:ascii="Arial Narrow" w:eastAsia="Times New Roman" w:hAnsi="Arial Narrow" w:cs="Arial Narrow"/>
      <w:b/>
      <w:i/>
      <w:szCs w:val="24"/>
    </w:rPr>
  </w:style>
  <w:style w:type="character" w:customStyle="1" w:styleId="WW8Num15z0">
    <w:name w:val="WW8Num15z0"/>
    <w:rsid w:val="00730E6E"/>
    <w:rPr>
      <w:rFonts w:ascii="Arial Narrow" w:hAnsi="Arial Narrow" w:cs="Calibri"/>
    </w:rPr>
  </w:style>
  <w:style w:type="character" w:customStyle="1" w:styleId="WW8Num16z0">
    <w:name w:val="WW8Num16z0"/>
    <w:rsid w:val="00730E6E"/>
    <w:rPr>
      <w:rFonts w:ascii="Wingdings" w:eastAsia="Times New Roman" w:hAnsi="Wingdings" w:cs="OpenSymbol"/>
      <w:szCs w:val="24"/>
    </w:rPr>
  </w:style>
  <w:style w:type="character" w:customStyle="1" w:styleId="WW8Num16z1">
    <w:name w:val="WW8Num16z1"/>
    <w:rsid w:val="00730E6E"/>
    <w:rPr>
      <w:rFonts w:ascii="Courier New" w:eastAsia="Times New Roman" w:hAnsi="Courier New" w:cs="Courier New"/>
      <w:sz w:val="24"/>
      <w:szCs w:val="24"/>
    </w:rPr>
  </w:style>
  <w:style w:type="character" w:customStyle="1" w:styleId="WW8Num16z2">
    <w:name w:val="WW8Num16z2"/>
    <w:rsid w:val="00730E6E"/>
    <w:rPr>
      <w:rFonts w:ascii="Wingdings" w:hAnsi="Wingdings" w:cs="Wingdings"/>
    </w:rPr>
  </w:style>
  <w:style w:type="character" w:customStyle="1" w:styleId="WW8Num16z3">
    <w:name w:val="WW8Num16z3"/>
    <w:rsid w:val="00730E6E"/>
    <w:rPr>
      <w:rFonts w:ascii="Symbol" w:hAnsi="Symbol" w:cs="Symbol"/>
      <w:sz w:val="24"/>
      <w:szCs w:val="24"/>
      <w:shd w:val="clear" w:color="auto" w:fill="auto"/>
    </w:rPr>
  </w:style>
  <w:style w:type="character" w:customStyle="1" w:styleId="WW8Num17z0">
    <w:name w:val="WW8Num17z0"/>
    <w:rsid w:val="00730E6E"/>
    <w:rPr>
      <w:rFonts w:ascii="Symbol" w:eastAsia="Times New Roman" w:hAnsi="Symbol" w:cs="OpenSymbol"/>
      <w:color w:val="auto"/>
      <w:sz w:val="24"/>
      <w:szCs w:val="24"/>
      <w:shd w:val="clear" w:color="auto" w:fill="FFFFFF"/>
      <w:lang w:eastAsia="zh-CN" w:bidi="ar-SA"/>
    </w:rPr>
  </w:style>
  <w:style w:type="character" w:customStyle="1" w:styleId="WW8Num17z1">
    <w:name w:val="WW8Num17z1"/>
    <w:rsid w:val="00730E6E"/>
    <w:rPr>
      <w:rFonts w:ascii="Courier New" w:hAnsi="Courier New" w:cs="Courier New"/>
    </w:rPr>
  </w:style>
  <w:style w:type="character" w:customStyle="1" w:styleId="WW8Num17z2">
    <w:name w:val="WW8Num17z2"/>
    <w:rsid w:val="00730E6E"/>
    <w:rPr>
      <w:rFonts w:ascii="Wingdings" w:hAnsi="Wingdings" w:cs="Wingdings"/>
      <w:sz w:val="24"/>
      <w:szCs w:val="24"/>
    </w:rPr>
  </w:style>
  <w:style w:type="character" w:customStyle="1" w:styleId="WW8Num17z3">
    <w:name w:val="WW8Num17z3"/>
    <w:rsid w:val="00730E6E"/>
    <w:rPr>
      <w:rFonts w:ascii="Symbol" w:hAnsi="Symbol" w:cs="Symbol"/>
    </w:rPr>
  </w:style>
  <w:style w:type="character" w:customStyle="1" w:styleId="WW8Num18z0">
    <w:name w:val="WW8Num18z0"/>
    <w:rsid w:val="00730E6E"/>
    <w:rPr>
      <w:rFonts w:ascii="Symbol" w:hAnsi="Symbol" w:cs="OpenSymbol"/>
    </w:rPr>
  </w:style>
  <w:style w:type="character" w:customStyle="1" w:styleId="WW8Num18z1">
    <w:name w:val="WW8Num18z1"/>
    <w:rsid w:val="00730E6E"/>
    <w:rPr>
      <w:rFonts w:ascii="OpenSymbol" w:hAnsi="OpenSymbol" w:cs="OpenSymbol"/>
    </w:rPr>
  </w:style>
  <w:style w:type="character" w:customStyle="1" w:styleId="WW8Num18z3">
    <w:name w:val="WW8Num18z3"/>
    <w:rsid w:val="00730E6E"/>
    <w:rPr>
      <w:rFonts w:ascii="Symbol" w:hAnsi="Symbol" w:cs="OpenSymbol"/>
      <w:sz w:val="24"/>
      <w:szCs w:val="24"/>
    </w:rPr>
  </w:style>
  <w:style w:type="character" w:customStyle="1" w:styleId="WW8Num19z0">
    <w:name w:val="WW8Num19z0"/>
    <w:rsid w:val="00730E6E"/>
    <w:rPr>
      <w:rFonts w:ascii="Symbol" w:hAnsi="Symbol" w:cs="OpenSymbol"/>
      <w:szCs w:val="24"/>
    </w:rPr>
  </w:style>
  <w:style w:type="character" w:customStyle="1" w:styleId="WW8Num19z1">
    <w:name w:val="WW8Num19z1"/>
    <w:rsid w:val="00730E6E"/>
    <w:rPr>
      <w:rFonts w:ascii="OpenSymbol" w:hAnsi="OpenSymbol" w:cs="OpenSymbol"/>
    </w:rPr>
  </w:style>
  <w:style w:type="character" w:customStyle="1" w:styleId="WW8Num20z0">
    <w:name w:val="WW8Num20z0"/>
    <w:rsid w:val="00730E6E"/>
    <w:rPr>
      <w:rFonts w:ascii="Wingdings" w:eastAsia="Times New Roman" w:hAnsi="Wingdings" w:cs="OpenSymbol"/>
      <w:szCs w:val="24"/>
    </w:rPr>
  </w:style>
  <w:style w:type="character" w:customStyle="1" w:styleId="WW8Num20z1">
    <w:name w:val="WW8Num20z1"/>
    <w:rsid w:val="00730E6E"/>
    <w:rPr>
      <w:rFonts w:ascii="OpenSymbol" w:hAnsi="OpenSymbol" w:cs="OpenSymbol"/>
    </w:rPr>
  </w:style>
  <w:style w:type="character" w:customStyle="1" w:styleId="WW8Num20z3">
    <w:name w:val="WW8Num20z3"/>
    <w:rsid w:val="00730E6E"/>
    <w:rPr>
      <w:rFonts w:ascii="Symbol" w:hAnsi="Symbol" w:cs="OpenSymbol"/>
      <w:szCs w:val="24"/>
      <w:shd w:val="clear" w:color="auto" w:fill="auto"/>
    </w:rPr>
  </w:style>
  <w:style w:type="character" w:customStyle="1" w:styleId="WW8Num21z0">
    <w:name w:val="WW8Num21z0"/>
    <w:rsid w:val="00730E6E"/>
    <w:rPr>
      <w:rFonts w:ascii="Arial Narrow" w:hAnsi="Arial Narrow" w:cs="Arial Narrow"/>
      <w:color w:val="00000A"/>
      <w:szCs w:val="24"/>
      <w:shd w:val="clear" w:color="auto" w:fill="FFFFFF"/>
    </w:rPr>
  </w:style>
  <w:style w:type="character" w:customStyle="1" w:styleId="WW8Num21z1">
    <w:name w:val="WW8Num21z1"/>
    <w:rsid w:val="00730E6E"/>
    <w:rPr>
      <w:rFonts w:ascii="Courier New" w:hAnsi="Courier New" w:cs="Courier New"/>
    </w:rPr>
  </w:style>
  <w:style w:type="character" w:customStyle="1" w:styleId="WW8Num21z2">
    <w:name w:val="WW8Num21z2"/>
    <w:rsid w:val="00730E6E"/>
    <w:rPr>
      <w:rFonts w:ascii="Wingdings" w:hAnsi="Wingdings" w:cs="Wingdings"/>
    </w:rPr>
  </w:style>
  <w:style w:type="character" w:customStyle="1" w:styleId="WW8Num21z3">
    <w:name w:val="WW8Num21z3"/>
    <w:rsid w:val="00730E6E"/>
    <w:rPr>
      <w:rFonts w:ascii="Symbol" w:hAnsi="Symbol" w:cs="Courier New"/>
    </w:rPr>
  </w:style>
  <w:style w:type="character" w:customStyle="1" w:styleId="WW8Num22z0">
    <w:name w:val="WW8Num22z0"/>
    <w:rsid w:val="00730E6E"/>
    <w:rPr>
      <w:rFonts w:ascii="Calibri" w:hAnsi="Calibri" w:cs="Times New Roman"/>
    </w:rPr>
  </w:style>
  <w:style w:type="character" w:customStyle="1" w:styleId="WW8Num22z1">
    <w:name w:val="WW8Num22z1"/>
    <w:rsid w:val="00730E6E"/>
    <w:rPr>
      <w:rFonts w:ascii="Courier New" w:hAnsi="Courier New" w:cs="Courier New"/>
    </w:rPr>
  </w:style>
  <w:style w:type="character" w:customStyle="1" w:styleId="WW8Num22z2">
    <w:name w:val="WW8Num22z2"/>
    <w:rsid w:val="00730E6E"/>
    <w:rPr>
      <w:rFonts w:ascii="Wingdings" w:hAnsi="Wingdings" w:cs="Wingdings"/>
    </w:rPr>
  </w:style>
  <w:style w:type="character" w:customStyle="1" w:styleId="WW8Num22z3">
    <w:name w:val="WW8Num22z3"/>
    <w:rsid w:val="00730E6E"/>
    <w:rPr>
      <w:rFonts w:ascii="Symbol" w:hAnsi="Symbol" w:cs="Courier New"/>
    </w:rPr>
  </w:style>
  <w:style w:type="character" w:customStyle="1" w:styleId="WW8Num23z0">
    <w:name w:val="WW8Num23z0"/>
    <w:rsid w:val="00730E6E"/>
  </w:style>
  <w:style w:type="character" w:customStyle="1" w:styleId="WW8Num23z1">
    <w:name w:val="WW8Num23z1"/>
    <w:rsid w:val="00730E6E"/>
  </w:style>
  <w:style w:type="character" w:customStyle="1" w:styleId="WW8Num23z2">
    <w:name w:val="WW8Num23z2"/>
    <w:rsid w:val="00730E6E"/>
  </w:style>
  <w:style w:type="character" w:customStyle="1" w:styleId="WW8Num23z3">
    <w:name w:val="WW8Num23z3"/>
    <w:rsid w:val="00730E6E"/>
  </w:style>
  <w:style w:type="character" w:customStyle="1" w:styleId="WW8Num23z4">
    <w:name w:val="WW8Num23z4"/>
    <w:rsid w:val="00730E6E"/>
  </w:style>
  <w:style w:type="character" w:customStyle="1" w:styleId="WW8Num23z5">
    <w:name w:val="WW8Num23z5"/>
    <w:rsid w:val="00730E6E"/>
  </w:style>
  <w:style w:type="character" w:customStyle="1" w:styleId="WW8Num23z6">
    <w:name w:val="WW8Num23z6"/>
    <w:rsid w:val="00730E6E"/>
  </w:style>
  <w:style w:type="character" w:customStyle="1" w:styleId="WW8Num23z7">
    <w:name w:val="WW8Num23z7"/>
    <w:rsid w:val="00730E6E"/>
  </w:style>
  <w:style w:type="character" w:customStyle="1" w:styleId="WW8Num23z8">
    <w:name w:val="WW8Num23z8"/>
    <w:rsid w:val="00730E6E"/>
  </w:style>
  <w:style w:type="character" w:customStyle="1" w:styleId="WW8Num24z0">
    <w:name w:val="WW8Num24z0"/>
    <w:rsid w:val="00730E6E"/>
    <w:rPr>
      <w:rFonts w:ascii="Wingdings" w:hAnsi="Wingdings" w:cs="OpenSymbol"/>
      <w:shd w:val="clear" w:color="auto" w:fill="auto"/>
    </w:rPr>
  </w:style>
  <w:style w:type="character" w:customStyle="1" w:styleId="WW8Num24z1">
    <w:name w:val="WW8Num24z1"/>
    <w:rsid w:val="00730E6E"/>
    <w:rPr>
      <w:rFonts w:ascii="OpenSymbol" w:hAnsi="OpenSymbol" w:cs="OpenSymbol"/>
    </w:rPr>
  </w:style>
  <w:style w:type="character" w:customStyle="1" w:styleId="WW8Num24z3">
    <w:name w:val="WW8Num24z3"/>
    <w:rsid w:val="00730E6E"/>
    <w:rPr>
      <w:rFonts w:ascii="Symbol" w:hAnsi="Symbol" w:cs="OpenSymbol"/>
    </w:rPr>
  </w:style>
  <w:style w:type="character" w:customStyle="1" w:styleId="WW8Num25z0">
    <w:name w:val="WW8Num25z0"/>
    <w:rsid w:val="00730E6E"/>
    <w:rPr>
      <w:rFonts w:ascii="Wingdings" w:eastAsia="Times New Roman" w:hAnsi="Wingdings" w:cs="OpenSymbol"/>
      <w:color w:val="auto"/>
      <w:sz w:val="24"/>
      <w:szCs w:val="24"/>
      <w:shd w:val="clear" w:color="auto" w:fill="auto"/>
      <w:lang w:val="ro-RO" w:eastAsia="zh-CN" w:bidi="ar-SA"/>
    </w:rPr>
  </w:style>
  <w:style w:type="character" w:customStyle="1" w:styleId="WW8Num26z0">
    <w:name w:val="WW8Num26z0"/>
    <w:rsid w:val="00730E6E"/>
    <w:rPr>
      <w:rFonts w:ascii="Wingdings" w:eastAsia="Times New Roman" w:hAnsi="Wingdings" w:cs="OpenSymbol"/>
      <w:szCs w:val="24"/>
    </w:rPr>
  </w:style>
  <w:style w:type="character" w:customStyle="1" w:styleId="WW8Num27z0">
    <w:name w:val="WW8Num27z0"/>
    <w:rsid w:val="00730E6E"/>
    <w:rPr>
      <w:rFonts w:ascii="Wingdings" w:eastAsia="Times New Roman" w:hAnsi="Wingdings" w:cs="OpenSymbol"/>
      <w:color w:val="333333"/>
      <w:szCs w:val="24"/>
    </w:rPr>
  </w:style>
  <w:style w:type="character" w:customStyle="1" w:styleId="WW8Num28z0">
    <w:name w:val="WW8Num28z0"/>
    <w:rsid w:val="00730E6E"/>
    <w:rPr>
      <w:rFonts w:ascii="Symbol" w:eastAsia="Times New Roman" w:hAnsi="Symbol" w:cs="OpenSymbol"/>
      <w:szCs w:val="24"/>
    </w:rPr>
  </w:style>
  <w:style w:type="character" w:customStyle="1" w:styleId="WW8Num28z1">
    <w:name w:val="WW8Num28z1"/>
    <w:rsid w:val="00730E6E"/>
    <w:rPr>
      <w:rFonts w:ascii="OpenSymbol" w:hAnsi="OpenSymbol" w:cs="OpenSymbol"/>
    </w:rPr>
  </w:style>
  <w:style w:type="character" w:customStyle="1" w:styleId="WW8Num29z0">
    <w:name w:val="WW8Num29z0"/>
    <w:rsid w:val="00730E6E"/>
    <w:rPr>
      <w:rFonts w:ascii="Symbol" w:eastAsia="Times New Roman" w:hAnsi="Symbol" w:cs="OpenSymbol"/>
      <w:color w:val="000000"/>
      <w:lang w:bidi="ar-SA"/>
    </w:rPr>
  </w:style>
  <w:style w:type="character" w:customStyle="1" w:styleId="WW8Num29z1">
    <w:name w:val="WW8Num29z1"/>
    <w:rsid w:val="00730E6E"/>
    <w:rPr>
      <w:rFonts w:ascii="OpenSymbol" w:hAnsi="OpenSymbol" w:cs="OpenSymbol"/>
    </w:rPr>
  </w:style>
  <w:style w:type="character" w:customStyle="1" w:styleId="WW8Num10z1">
    <w:name w:val="WW8Num10z1"/>
    <w:rsid w:val="00730E6E"/>
  </w:style>
  <w:style w:type="character" w:customStyle="1" w:styleId="WW8Num10z2">
    <w:name w:val="WW8Num10z2"/>
    <w:rsid w:val="00730E6E"/>
    <w:rPr>
      <w:color w:val="000080"/>
    </w:rPr>
  </w:style>
  <w:style w:type="character" w:customStyle="1" w:styleId="WW8Num10z3">
    <w:name w:val="WW8Num10z3"/>
    <w:rsid w:val="00730E6E"/>
  </w:style>
  <w:style w:type="character" w:customStyle="1" w:styleId="WW8Num10z4">
    <w:name w:val="WW8Num10z4"/>
    <w:rsid w:val="00730E6E"/>
  </w:style>
  <w:style w:type="character" w:customStyle="1" w:styleId="WW8Num10z5">
    <w:name w:val="WW8Num10z5"/>
    <w:rsid w:val="00730E6E"/>
  </w:style>
  <w:style w:type="character" w:customStyle="1" w:styleId="WW8Num10z6">
    <w:name w:val="WW8Num10z6"/>
    <w:rsid w:val="00730E6E"/>
  </w:style>
  <w:style w:type="character" w:customStyle="1" w:styleId="WW8Num10z7">
    <w:name w:val="WW8Num10z7"/>
    <w:rsid w:val="00730E6E"/>
  </w:style>
  <w:style w:type="character" w:customStyle="1" w:styleId="WW8Num10z8">
    <w:name w:val="WW8Num10z8"/>
    <w:rsid w:val="00730E6E"/>
  </w:style>
  <w:style w:type="character" w:customStyle="1" w:styleId="WW8Num19z2">
    <w:name w:val="WW8Num19z2"/>
    <w:rsid w:val="00730E6E"/>
    <w:rPr>
      <w:rFonts w:ascii="Wingdings" w:hAnsi="Wingdings" w:cs="Wingdings"/>
    </w:rPr>
  </w:style>
  <w:style w:type="character" w:customStyle="1" w:styleId="WW8Num19z3">
    <w:name w:val="WW8Num19z3"/>
    <w:rsid w:val="00730E6E"/>
    <w:rPr>
      <w:rFonts w:ascii="Symbol" w:hAnsi="Symbol" w:cs="Symbol"/>
      <w:sz w:val="24"/>
      <w:szCs w:val="24"/>
      <w:shd w:val="clear" w:color="auto" w:fill="auto"/>
    </w:rPr>
  </w:style>
  <w:style w:type="character" w:customStyle="1" w:styleId="WW8Num20z2">
    <w:name w:val="WW8Num20z2"/>
    <w:rsid w:val="00730E6E"/>
    <w:rPr>
      <w:rFonts w:ascii="Wingdings" w:hAnsi="Wingdings" w:cs="Wingdings"/>
      <w:sz w:val="24"/>
      <w:szCs w:val="24"/>
    </w:rPr>
  </w:style>
  <w:style w:type="character" w:customStyle="1" w:styleId="WW8Num24z2">
    <w:name w:val="WW8Num24z2"/>
    <w:rsid w:val="00730E6E"/>
    <w:rPr>
      <w:rFonts w:ascii="Wingdings" w:hAnsi="Wingdings" w:cs="Wingdings"/>
    </w:rPr>
  </w:style>
  <w:style w:type="character" w:customStyle="1" w:styleId="WW8Num25z1">
    <w:name w:val="WW8Num25z1"/>
    <w:rsid w:val="00730E6E"/>
    <w:rPr>
      <w:rFonts w:ascii="Courier New" w:hAnsi="Courier New" w:cs="Courier New"/>
    </w:rPr>
  </w:style>
  <w:style w:type="character" w:customStyle="1" w:styleId="WW8Num25z2">
    <w:name w:val="WW8Num25z2"/>
    <w:rsid w:val="00730E6E"/>
    <w:rPr>
      <w:rFonts w:ascii="Wingdings" w:hAnsi="Wingdings" w:cs="Wingdings"/>
    </w:rPr>
  </w:style>
  <w:style w:type="character" w:customStyle="1" w:styleId="WW8Num25z3">
    <w:name w:val="WW8Num25z3"/>
    <w:rsid w:val="00730E6E"/>
    <w:rPr>
      <w:rFonts w:ascii="Symbol" w:hAnsi="Symbol" w:cs="Courier New"/>
    </w:rPr>
  </w:style>
  <w:style w:type="character" w:customStyle="1" w:styleId="WW8Num26z1">
    <w:name w:val="WW8Num26z1"/>
    <w:rsid w:val="00730E6E"/>
  </w:style>
  <w:style w:type="character" w:customStyle="1" w:styleId="WW8Num26z2">
    <w:name w:val="WW8Num26z2"/>
    <w:rsid w:val="00730E6E"/>
  </w:style>
  <w:style w:type="character" w:customStyle="1" w:styleId="WW8Num26z3">
    <w:name w:val="WW8Num26z3"/>
    <w:rsid w:val="00730E6E"/>
  </w:style>
  <w:style w:type="character" w:customStyle="1" w:styleId="WW8Num26z4">
    <w:name w:val="WW8Num26z4"/>
    <w:rsid w:val="00730E6E"/>
  </w:style>
  <w:style w:type="character" w:customStyle="1" w:styleId="WW8Num26z5">
    <w:name w:val="WW8Num26z5"/>
    <w:rsid w:val="00730E6E"/>
  </w:style>
  <w:style w:type="character" w:customStyle="1" w:styleId="WW8Num26z6">
    <w:name w:val="WW8Num26z6"/>
    <w:rsid w:val="00730E6E"/>
  </w:style>
  <w:style w:type="character" w:customStyle="1" w:styleId="WW8Num26z7">
    <w:name w:val="WW8Num26z7"/>
    <w:rsid w:val="00730E6E"/>
  </w:style>
  <w:style w:type="character" w:customStyle="1" w:styleId="WW8Num26z8">
    <w:name w:val="WW8Num26z8"/>
    <w:rsid w:val="00730E6E"/>
  </w:style>
  <w:style w:type="character" w:customStyle="1" w:styleId="WW8Num27z1">
    <w:name w:val="WW8Num27z1"/>
    <w:rsid w:val="00730E6E"/>
    <w:rPr>
      <w:rFonts w:ascii="OpenSymbol" w:hAnsi="OpenSymbol" w:cs="OpenSymbol"/>
    </w:rPr>
  </w:style>
  <w:style w:type="character" w:customStyle="1" w:styleId="WW8Num27z3">
    <w:name w:val="WW8Num27z3"/>
    <w:rsid w:val="00730E6E"/>
    <w:rPr>
      <w:rFonts w:ascii="Symbol" w:hAnsi="Symbol" w:cs="OpenSymbol"/>
    </w:rPr>
  </w:style>
  <w:style w:type="character" w:customStyle="1" w:styleId="WW8Num30z0">
    <w:name w:val="WW8Num30z0"/>
    <w:rsid w:val="00730E6E"/>
    <w:rPr>
      <w:rFonts w:ascii="Wingdings" w:eastAsia="Times New Roman" w:hAnsi="Wingdings" w:cs="OpenSymbol"/>
      <w:color w:val="333333"/>
      <w:szCs w:val="24"/>
    </w:rPr>
  </w:style>
  <w:style w:type="character" w:customStyle="1" w:styleId="WW8Num31z0">
    <w:name w:val="WW8Num31z0"/>
    <w:rsid w:val="00730E6E"/>
    <w:rPr>
      <w:rFonts w:ascii="Symbol" w:eastAsia="Times New Roman" w:hAnsi="Symbol" w:cs="OpenSymbol"/>
      <w:szCs w:val="24"/>
    </w:rPr>
  </w:style>
  <w:style w:type="character" w:customStyle="1" w:styleId="WW8Num31z1">
    <w:name w:val="WW8Num31z1"/>
    <w:rsid w:val="00730E6E"/>
    <w:rPr>
      <w:rFonts w:ascii="OpenSymbol" w:hAnsi="OpenSymbol" w:cs="OpenSymbol"/>
    </w:rPr>
  </w:style>
  <w:style w:type="character" w:customStyle="1" w:styleId="WW8Num27z2">
    <w:name w:val="WW8Num27z2"/>
    <w:rsid w:val="00730E6E"/>
  </w:style>
  <w:style w:type="character" w:customStyle="1" w:styleId="WW8Num27z4">
    <w:name w:val="WW8Num27z4"/>
    <w:rsid w:val="00730E6E"/>
  </w:style>
  <w:style w:type="character" w:customStyle="1" w:styleId="WW8Num27z5">
    <w:name w:val="WW8Num27z5"/>
    <w:rsid w:val="00730E6E"/>
  </w:style>
  <w:style w:type="character" w:customStyle="1" w:styleId="WW8Num27z6">
    <w:name w:val="WW8Num27z6"/>
    <w:rsid w:val="00730E6E"/>
  </w:style>
  <w:style w:type="character" w:customStyle="1" w:styleId="WW8Num27z7">
    <w:name w:val="WW8Num27z7"/>
    <w:rsid w:val="00730E6E"/>
  </w:style>
  <w:style w:type="character" w:customStyle="1" w:styleId="WW8Num27z8">
    <w:name w:val="WW8Num27z8"/>
    <w:rsid w:val="00730E6E"/>
  </w:style>
  <w:style w:type="character" w:customStyle="1" w:styleId="WW8Num28z3">
    <w:name w:val="WW8Num28z3"/>
    <w:rsid w:val="00730E6E"/>
    <w:rPr>
      <w:rFonts w:ascii="Symbol" w:hAnsi="Symbol" w:cs="OpenSymbol"/>
    </w:rPr>
  </w:style>
  <w:style w:type="character" w:customStyle="1" w:styleId="WW8Num32z0">
    <w:name w:val="WW8Num32z0"/>
    <w:rsid w:val="00730E6E"/>
    <w:rPr>
      <w:rFonts w:ascii="Symbol" w:eastAsia="Times New Roman" w:hAnsi="Symbol" w:cs="OpenSymbol"/>
      <w:szCs w:val="24"/>
    </w:rPr>
  </w:style>
  <w:style w:type="character" w:customStyle="1" w:styleId="WW8Num32z1">
    <w:name w:val="WW8Num32z1"/>
    <w:rsid w:val="00730E6E"/>
    <w:rPr>
      <w:rFonts w:ascii="OpenSymbol" w:hAnsi="OpenSymbol" w:cs="OpenSymbol"/>
    </w:rPr>
  </w:style>
  <w:style w:type="character" w:customStyle="1" w:styleId="WW8Num28z2">
    <w:name w:val="WW8Num28z2"/>
    <w:rsid w:val="00730E6E"/>
  </w:style>
  <w:style w:type="character" w:customStyle="1" w:styleId="WW8Num28z4">
    <w:name w:val="WW8Num28z4"/>
    <w:rsid w:val="00730E6E"/>
  </w:style>
  <w:style w:type="character" w:customStyle="1" w:styleId="WW8Num28z5">
    <w:name w:val="WW8Num28z5"/>
    <w:rsid w:val="00730E6E"/>
  </w:style>
  <w:style w:type="character" w:customStyle="1" w:styleId="WW8Num28z6">
    <w:name w:val="WW8Num28z6"/>
    <w:rsid w:val="00730E6E"/>
  </w:style>
  <w:style w:type="character" w:customStyle="1" w:styleId="WW8Num28z7">
    <w:name w:val="WW8Num28z7"/>
    <w:rsid w:val="00730E6E"/>
  </w:style>
  <w:style w:type="character" w:customStyle="1" w:styleId="WW8Num28z8">
    <w:name w:val="WW8Num28z8"/>
    <w:rsid w:val="00730E6E"/>
  </w:style>
  <w:style w:type="character" w:customStyle="1" w:styleId="WW8Num29z2">
    <w:name w:val="WW8Num29z2"/>
    <w:rsid w:val="00730E6E"/>
  </w:style>
  <w:style w:type="character" w:customStyle="1" w:styleId="WW8Num29z3">
    <w:name w:val="WW8Num29z3"/>
    <w:rsid w:val="00730E6E"/>
  </w:style>
  <w:style w:type="character" w:customStyle="1" w:styleId="WW8Num29z4">
    <w:name w:val="WW8Num29z4"/>
    <w:rsid w:val="00730E6E"/>
  </w:style>
  <w:style w:type="character" w:customStyle="1" w:styleId="WW8Num29z5">
    <w:name w:val="WW8Num29z5"/>
    <w:rsid w:val="00730E6E"/>
  </w:style>
  <w:style w:type="character" w:customStyle="1" w:styleId="WW8Num29z6">
    <w:name w:val="WW8Num29z6"/>
    <w:rsid w:val="00730E6E"/>
  </w:style>
  <w:style w:type="character" w:customStyle="1" w:styleId="WW8Num29z7">
    <w:name w:val="WW8Num29z7"/>
    <w:rsid w:val="00730E6E"/>
  </w:style>
  <w:style w:type="character" w:customStyle="1" w:styleId="WW8Num29z8">
    <w:name w:val="WW8Num29z8"/>
    <w:rsid w:val="00730E6E"/>
  </w:style>
  <w:style w:type="character" w:customStyle="1" w:styleId="WW8Num30z1">
    <w:name w:val="WW8Num30z1"/>
    <w:rsid w:val="00730E6E"/>
  </w:style>
  <w:style w:type="character" w:customStyle="1" w:styleId="WW8Num30z2">
    <w:name w:val="WW8Num30z2"/>
    <w:rsid w:val="00730E6E"/>
  </w:style>
  <w:style w:type="character" w:customStyle="1" w:styleId="WW8Num30z3">
    <w:name w:val="WW8Num30z3"/>
    <w:rsid w:val="00730E6E"/>
  </w:style>
  <w:style w:type="character" w:customStyle="1" w:styleId="WW8Num30z4">
    <w:name w:val="WW8Num30z4"/>
    <w:rsid w:val="00730E6E"/>
  </w:style>
  <w:style w:type="character" w:customStyle="1" w:styleId="WW8Num30z5">
    <w:name w:val="WW8Num30z5"/>
    <w:rsid w:val="00730E6E"/>
  </w:style>
  <w:style w:type="character" w:customStyle="1" w:styleId="WW8Num30z6">
    <w:name w:val="WW8Num30z6"/>
    <w:rsid w:val="00730E6E"/>
  </w:style>
  <w:style w:type="character" w:customStyle="1" w:styleId="WW8Num30z7">
    <w:name w:val="WW8Num30z7"/>
    <w:rsid w:val="00730E6E"/>
  </w:style>
  <w:style w:type="character" w:customStyle="1" w:styleId="WW8Num30z8">
    <w:name w:val="WW8Num30z8"/>
    <w:rsid w:val="00730E6E"/>
  </w:style>
  <w:style w:type="character" w:customStyle="1" w:styleId="WW-DefaultParagraphFont">
    <w:name w:val="WW-Default Paragraph Font"/>
    <w:rsid w:val="00730E6E"/>
  </w:style>
  <w:style w:type="character" w:customStyle="1" w:styleId="WW8Num11z1">
    <w:name w:val="WW8Num11z1"/>
    <w:rsid w:val="00730E6E"/>
  </w:style>
  <w:style w:type="character" w:customStyle="1" w:styleId="WW8Num11z2">
    <w:name w:val="WW8Num11z2"/>
    <w:rsid w:val="00730E6E"/>
    <w:rPr>
      <w:color w:val="000080"/>
    </w:rPr>
  </w:style>
  <w:style w:type="character" w:customStyle="1" w:styleId="WW8Num11z3">
    <w:name w:val="WW8Num11z3"/>
    <w:rsid w:val="00730E6E"/>
  </w:style>
  <w:style w:type="character" w:customStyle="1" w:styleId="WW8Num11z4">
    <w:name w:val="WW8Num11z4"/>
    <w:rsid w:val="00730E6E"/>
  </w:style>
  <w:style w:type="character" w:customStyle="1" w:styleId="WW8Num11z5">
    <w:name w:val="WW8Num11z5"/>
    <w:rsid w:val="00730E6E"/>
  </w:style>
  <w:style w:type="character" w:customStyle="1" w:styleId="WW8Num11z6">
    <w:name w:val="WW8Num11z6"/>
    <w:rsid w:val="00730E6E"/>
  </w:style>
  <w:style w:type="character" w:customStyle="1" w:styleId="WW8Num11z7">
    <w:name w:val="WW8Num11z7"/>
    <w:rsid w:val="00730E6E"/>
  </w:style>
  <w:style w:type="character" w:customStyle="1" w:styleId="WW8Num11z8">
    <w:name w:val="WW8Num11z8"/>
    <w:rsid w:val="00730E6E"/>
  </w:style>
  <w:style w:type="character" w:customStyle="1" w:styleId="WW8Num18z2">
    <w:name w:val="WW8Num18z2"/>
    <w:rsid w:val="00730E6E"/>
    <w:rPr>
      <w:rFonts w:ascii="Wingdings" w:hAnsi="Wingdings" w:cs="Wingdings"/>
    </w:rPr>
  </w:style>
  <w:style w:type="character" w:customStyle="1" w:styleId="WW-DefaultParagraphFont1">
    <w:name w:val="WW-Default Paragraph Font1"/>
    <w:rsid w:val="00730E6E"/>
  </w:style>
  <w:style w:type="character" w:customStyle="1" w:styleId="WW8Num33z0">
    <w:name w:val="WW8Num33z0"/>
    <w:rsid w:val="00730E6E"/>
    <w:rPr>
      <w:rFonts w:ascii="Symbol" w:eastAsia="Times New Roman" w:hAnsi="Symbol" w:cs="OpenSymbol"/>
      <w:szCs w:val="24"/>
      <w:shd w:val="clear" w:color="auto" w:fill="auto"/>
    </w:rPr>
  </w:style>
  <w:style w:type="character" w:customStyle="1" w:styleId="WW8Num33z1">
    <w:name w:val="WW8Num33z1"/>
    <w:rsid w:val="00730E6E"/>
    <w:rPr>
      <w:rFonts w:ascii="OpenSymbol" w:hAnsi="OpenSymbol" w:cs="OpenSymbol"/>
    </w:rPr>
  </w:style>
  <w:style w:type="character" w:customStyle="1" w:styleId="WW8Num31z3">
    <w:name w:val="WW8Num31z3"/>
    <w:rsid w:val="00730E6E"/>
    <w:rPr>
      <w:rFonts w:ascii="Symbol" w:hAnsi="Symbol" w:cs="Symbol"/>
    </w:rPr>
  </w:style>
  <w:style w:type="character" w:customStyle="1" w:styleId="WW8Num32z3">
    <w:name w:val="WW8Num32z3"/>
    <w:rsid w:val="00730E6E"/>
    <w:rPr>
      <w:rFonts w:ascii="Symbol" w:hAnsi="Symbol" w:cs="OpenSymbol"/>
      <w:sz w:val="24"/>
      <w:szCs w:val="24"/>
    </w:rPr>
  </w:style>
  <w:style w:type="character" w:customStyle="1" w:styleId="WW8Num34z0">
    <w:name w:val="WW8Num34z0"/>
    <w:rsid w:val="00730E6E"/>
    <w:rPr>
      <w:rFonts w:ascii="Symbol" w:hAnsi="Symbol" w:cs="OpenSymbol"/>
    </w:rPr>
  </w:style>
  <w:style w:type="character" w:customStyle="1" w:styleId="WW8Num34z1">
    <w:name w:val="WW8Num34z1"/>
    <w:rsid w:val="00730E6E"/>
    <w:rPr>
      <w:rFonts w:ascii="OpenSymbol" w:hAnsi="OpenSymbol" w:cs="OpenSymbol"/>
    </w:rPr>
  </w:style>
  <w:style w:type="character" w:customStyle="1" w:styleId="WW8Num35z0">
    <w:name w:val="WW8Num35z0"/>
    <w:rsid w:val="00730E6E"/>
    <w:rPr>
      <w:rFonts w:ascii="Symbol" w:eastAsia="Times New Roman" w:hAnsi="Symbol" w:cs="OpenSymbol"/>
      <w:szCs w:val="24"/>
      <w:shd w:val="clear" w:color="auto" w:fill="auto"/>
    </w:rPr>
  </w:style>
  <w:style w:type="character" w:customStyle="1" w:styleId="WW8Num35z1">
    <w:name w:val="WW8Num35z1"/>
    <w:rsid w:val="00730E6E"/>
    <w:rPr>
      <w:rFonts w:ascii="OpenSymbol" w:hAnsi="OpenSymbol" w:cs="OpenSymbol"/>
    </w:rPr>
  </w:style>
  <w:style w:type="character" w:customStyle="1" w:styleId="WW8Num12z1">
    <w:name w:val="WW8Num12z1"/>
    <w:rsid w:val="00730E6E"/>
  </w:style>
  <w:style w:type="character" w:customStyle="1" w:styleId="WW8Num12z2">
    <w:name w:val="WW8Num12z2"/>
    <w:rsid w:val="00730E6E"/>
    <w:rPr>
      <w:color w:val="000080"/>
    </w:rPr>
  </w:style>
  <w:style w:type="character" w:customStyle="1" w:styleId="WW8Num12z3">
    <w:name w:val="WW8Num12z3"/>
    <w:rsid w:val="00730E6E"/>
  </w:style>
  <w:style w:type="character" w:customStyle="1" w:styleId="WW8Num12z4">
    <w:name w:val="WW8Num12z4"/>
    <w:rsid w:val="00730E6E"/>
  </w:style>
  <w:style w:type="character" w:customStyle="1" w:styleId="WW8Num12z5">
    <w:name w:val="WW8Num12z5"/>
    <w:rsid w:val="00730E6E"/>
  </w:style>
  <w:style w:type="character" w:customStyle="1" w:styleId="WW8Num12z6">
    <w:name w:val="WW8Num12z6"/>
    <w:rsid w:val="00730E6E"/>
  </w:style>
  <w:style w:type="character" w:customStyle="1" w:styleId="WW8Num12z7">
    <w:name w:val="WW8Num12z7"/>
    <w:rsid w:val="00730E6E"/>
  </w:style>
  <w:style w:type="character" w:customStyle="1" w:styleId="WW8Num12z8">
    <w:name w:val="WW8Num12z8"/>
    <w:rsid w:val="00730E6E"/>
  </w:style>
  <w:style w:type="character" w:customStyle="1" w:styleId="WW8Num32z2">
    <w:name w:val="WW8Num32z2"/>
    <w:rsid w:val="00730E6E"/>
    <w:rPr>
      <w:rFonts w:ascii="Wingdings" w:hAnsi="Wingdings" w:cs="Wingdings"/>
    </w:rPr>
  </w:style>
  <w:style w:type="character" w:customStyle="1" w:styleId="WW8Num33z3">
    <w:name w:val="WW8Num33z3"/>
    <w:rsid w:val="00730E6E"/>
    <w:rPr>
      <w:rFonts w:ascii="Symbol" w:hAnsi="Symbol" w:cs="Symbol"/>
    </w:rPr>
  </w:style>
  <w:style w:type="character" w:customStyle="1" w:styleId="WW8Num34z2">
    <w:name w:val="WW8Num34z2"/>
    <w:rsid w:val="00730E6E"/>
    <w:rPr>
      <w:rFonts w:ascii="Wingdings" w:hAnsi="Wingdings" w:cs="Wingdings"/>
    </w:rPr>
  </w:style>
  <w:style w:type="character" w:customStyle="1" w:styleId="WW8Num35z2">
    <w:name w:val="WW8Num35z2"/>
    <w:rsid w:val="00730E6E"/>
    <w:rPr>
      <w:rFonts w:ascii="Wingdings" w:hAnsi="Wingdings" w:cs="Wingdings"/>
      <w:sz w:val="24"/>
      <w:szCs w:val="24"/>
    </w:rPr>
  </w:style>
  <w:style w:type="character" w:customStyle="1" w:styleId="WW8Num35z3">
    <w:name w:val="WW8Num35z3"/>
    <w:rsid w:val="00730E6E"/>
    <w:rPr>
      <w:rFonts w:ascii="Symbol" w:hAnsi="Symbol" w:cs="Symbol"/>
    </w:rPr>
  </w:style>
  <w:style w:type="character" w:customStyle="1" w:styleId="WW8Num36z0">
    <w:name w:val="WW8Num36z0"/>
    <w:rsid w:val="00730E6E"/>
    <w:rPr>
      <w:rFonts w:ascii="Wingdings" w:hAnsi="Wingdings" w:cs="Wingdings"/>
    </w:rPr>
  </w:style>
  <w:style w:type="character" w:customStyle="1" w:styleId="WW8Num36z1">
    <w:name w:val="WW8Num36z1"/>
    <w:rsid w:val="00730E6E"/>
    <w:rPr>
      <w:rFonts w:ascii="Courier New" w:hAnsi="Courier New" w:cs="Courier New"/>
    </w:rPr>
  </w:style>
  <w:style w:type="character" w:customStyle="1" w:styleId="WW8Num36z3">
    <w:name w:val="WW8Num36z3"/>
    <w:rsid w:val="00730E6E"/>
    <w:rPr>
      <w:rFonts w:ascii="Symbol" w:hAnsi="Symbol" w:cs="Symbol"/>
    </w:rPr>
  </w:style>
  <w:style w:type="character" w:customStyle="1" w:styleId="WW8Num37z0">
    <w:name w:val="WW8Num37z0"/>
    <w:rsid w:val="00730E6E"/>
    <w:rPr>
      <w:rFonts w:ascii="Wingdings" w:hAnsi="Wingdings" w:cs="Wingdings"/>
      <w:sz w:val="24"/>
      <w:szCs w:val="24"/>
    </w:rPr>
  </w:style>
  <w:style w:type="character" w:customStyle="1" w:styleId="WW8Num37z1">
    <w:name w:val="WW8Num37z1"/>
    <w:rsid w:val="00730E6E"/>
    <w:rPr>
      <w:rFonts w:ascii="Courier New" w:hAnsi="Courier New" w:cs="Courier New"/>
    </w:rPr>
  </w:style>
  <w:style w:type="character" w:customStyle="1" w:styleId="WW8Num37z3">
    <w:name w:val="WW8Num37z3"/>
    <w:rsid w:val="00730E6E"/>
    <w:rPr>
      <w:rFonts w:ascii="Symbol" w:hAnsi="Symbol" w:cs="Symbol"/>
    </w:rPr>
  </w:style>
  <w:style w:type="character" w:customStyle="1" w:styleId="WW8Num38z0">
    <w:name w:val="WW8Num38z0"/>
    <w:rsid w:val="00730E6E"/>
    <w:rPr>
      <w:rFonts w:ascii="Symbol" w:hAnsi="Symbol" w:cs="OpenSymbol"/>
    </w:rPr>
  </w:style>
  <w:style w:type="character" w:customStyle="1" w:styleId="WW8Num38z1">
    <w:name w:val="WW8Num38z1"/>
    <w:rsid w:val="00730E6E"/>
    <w:rPr>
      <w:rFonts w:ascii="OpenSymbol" w:hAnsi="OpenSymbol" w:cs="OpenSymbol"/>
    </w:rPr>
  </w:style>
  <w:style w:type="character" w:customStyle="1" w:styleId="WW8Num6z1">
    <w:name w:val="WW8Num6z1"/>
    <w:rsid w:val="00730E6E"/>
    <w:rPr>
      <w:rFonts w:ascii="Arial" w:hAnsi="Arial" w:cs="Arial"/>
    </w:rPr>
  </w:style>
  <w:style w:type="character" w:customStyle="1" w:styleId="WW8Num6z2">
    <w:name w:val="WW8Num6z2"/>
    <w:rsid w:val="00730E6E"/>
    <w:rPr>
      <w:rFonts w:cs="Times New Roman"/>
    </w:rPr>
  </w:style>
  <w:style w:type="character" w:customStyle="1" w:styleId="WW8Num13z1">
    <w:name w:val="WW8Num13z1"/>
    <w:rsid w:val="00730E6E"/>
  </w:style>
  <w:style w:type="character" w:customStyle="1" w:styleId="WW8Num13z2">
    <w:name w:val="WW8Num13z2"/>
    <w:rsid w:val="00730E6E"/>
    <w:rPr>
      <w:color w:val="000080"/>
    </w:rPr>
  </w:style>
  <w:style w:type="character" w:customStyle="1" w:styleId="WW8Num13z3">
    <w:name w:val="WW8Num13z3"/>
    <w:rsid w:val="00730E6E"/>
  </w:style>
  <w:style w:type="character" w:customStyle="1" w:styleId="WW8Num13z4">
    <w:name w:val="WW8Num13z4"/>
    <w:rsid w:val="00730E6E"/>
  </w:style>
  <w:style w:type="character" w:customStyle="1" w:styleId="WW8Num13z5">
    <w:name w:val="WW8Num13z5"/>
    <w:rsid w:val="00730E6E"/>
  </w:style>
  <w:style w:type="character" w:customStyle="1" w:styleId="WW8Num13z6">
    <w:name w:val="WW8Num13z6"/>
    <w:rsid w:val="00730E6E"/>
  </w:style>
  <w:style w:type="character" w:customStyle="1" w:styleId="WW8Num13z7">
    <w:name w:val="WW8Num13z7"/>
    <w:rsid w:val="00730E6E"/>
  </w:style>
  <w:style w:type="character" w:customStyle="1" w:styleId="WW8Num13z8">
    <w:name w:val="WW8Num13z8"/>
    <w:rsid w:val="00730E6E"/>
  </w:style>
  <w:style w:type="character" w:customStyle="1" w:styleId="WW8Num34z3">
    <w:name w:val="WW8Num34z3"/>
    <w:rsid w:val="00730E6E"/>
    <w:rPr>
      <w:rFonts w:ascii="Symbol" w:hAnsi="Symbol" w:cs="Symbol"/>
    </w:rPr>
  </w:style>
  <w:style w:type="character" w:customStyle="1" w:styleId="WW8Num36z2">
    <w:name w:val="WW8Num36z2"/>
    <w:rsid w:val="00730E6E"/>
    <w:rPr>
      <w:rFonts w:ascii="Wingdings" w:hAnsi="Wingdings" w:cs="Wingdings"/>
    </w:rPr>
  </w:style>
  <w:style w:type="character" w:customStyle="1" w:styleId="WW8Num38z3">
    <w:name w:val="WW8Num38z3"/>
    <w:rsid w:val="00730E6E"/>
    <w:rPr>
      <w:rFonts w:ascii="Symbol" w:hAnsi="Symbol" w:cs="Symbol"/>
    </w:rPr>
  </w:style>
  <w:style w:type="character" w:customStyle="1" w:styleId="WW8Num39z0">
    <w:name w:val="WW8Num39z0"/>
    <w:rsid w:val="00730E6E"/>
    <w:rPr>
      <w:rFonts w:ascii="Wingdings" w:hAnsi="Wingdings" w:cs="Wingdings"/>
    </w:rPr>
  </w:style>
  <w:style w:type="character" w:customStyle="1" w:styleId="WW8Num39z1">
    <w:name w:val="WW8Num39z1"/>
    <w:rsid w:val="00730E6E"/>
    <w:rPr>
      <w:rFonts w:ascii="Courier New" w:hAnsi="Courier New" w:cs="Courier New"/>
    </w:rPr>
  </w:style>
  <w:style w:type="character" w:customStyle="1" w:styleId="WW8Num39z3">
    <w:name w:val="WW8Num39z3"/>
    <w:rsid w:val="00730E6E"/>
    <w:rPr>
      <w:rFonts w:ascii="Symbol" w:hAnsi="Symbol" w:cs="Symbol"/>
    </w:rPr>
  </w:style>
  <w:style w:type="character" w:customStyle="1" w:styleId="WW8Num40z0">
    <w:name w:val="WW8Num40z0"/>
    <w:rsid w:val="00730E6E"/>
    <w:rPr>
      <w:rFonts w:ascii="Wingdings" w:eastAsia="Times New Roman" w:hAnsi="Wingdings" w:cs="Wingdings"/>
      <w:sz w:val="24"/>
      <w:szCs w:val="24"/>
    </w:rPr>
  </w:style>
  <w:style w:type="character" w:customStyle="1" w:styleId="WW8Num40z1">
    <w:name w:val="WW8Num40z1"/>
    <w:rsid w:val="00730E6E"/>
    <w:rPr>
      <w:rFonts w:ascii="Courier New" w:hAnsi="Courier New" w:cs="Courier New"/>
    </w:rPr>
  </w:style>
  <w:style w:type="character" w:customStyle="1" w:styleId="WW8Num40z3">
    <w:name w:val="WW8Num40z3"/>
    <w:rsid w:val="00730E6E"/>
    <w:rPr>
      <w:rFonts w:ascii="Symbol" w:hAnsi="Symbol" w:cs="Symbol"/>
    </w:rPr>
  </w:style>
  <w:style w:type="character" w:customStyle="1" w:styleId="WW8Num41z0">
    <w:name w:val="WW8Num41z0"/>
    <w:rsid w:val="00730E6E"/>
    <w:rPr>
      <w:rFonts w:ascii="Symbol" w:eastAsia="Times New Roman" w:hAnsi="Symbol" w:cs="OpenSymbol"/>
      <w:color w:val="auto"/>
      <w:sz w:val="24"/>
      <w:szCs w:val="24"/>
      <w:shd w:val="clear" w:color="auto" w:fill="FFCCFF"/>
      <w:lang w:eastAsia="zh-CN" w:bidi="ar-SA"/>
    </w:rPr>
  </w:style>
  <w:style w:type="character" w:customStyle="1" w:styleId="WW8Num41z1">
    <w:name w:val="WW8Num41z1"/>
    <w:rsid w:val="00730E6E"/>
    <w:rPr>
      <w:rFonts w:ascii="OpenSymbol" w:hAnsi="OpenSymbol" w:cs="OpenSymbol"/>
    </w:rPr>
  </w:style>
  <w:style w:type="character" w:customStyle="1" w:styleId="WW8Num5z1">
    <w:name w:val="WW8Num5z1"/>
    <w:rsid w:val="00730E6E"/>
    <w:rPr>
      <w:rFonts w:ascii="Arial" w:hAnsi="Arial" w:cs="Arial"/>
    </w:rPr>
  </w:style>
  <w:style w:type="character" w:customStyle="1" w:styleId="WW8Num5z2">
    <w:name w:val="WW8Num5z2"/>
    <w:rsid w:val="00730E6E"/>
    <w:rPr>
      <w:rFonts w:cs="Times New Roman"/>
    </w:rPr>
  </w:style>
  <w:style w:type="character" w:customStyle="1" w:styleId="WW8Num4z1">
    <w:name w:val="WW8Num4z1"/>
    <w:rsid w:val="00730E6E"/>
    <w:rPr>
      <w:rFonts w:cs="Times New Roman"/>
    </w:rPr>
  </w:style>
  <w:style w:type="character" w:customStyle="1" w:styleId="WW8Num6z3">
    <w:name w:val="WW8Num6z3"/>
    <w:rsid w:val="00730E6E"/>
  </w:style>
  <w:style w:type="character" w:customStyle="1" w:styleId="WW8Num6z4">
    <w:name w:val="WW8Num6z4"/>
    <w:rsid w:val="00730E6E"/>
  </w:style>
  <w:style w:type="character" w:customStyle="1" w:styleId="WW8Num6z5">
    <w:name w:val="WW8Num6z5"/>
    <w:rsid w:val="00730E6E"/>
  </w:style>
  <w:style w:type="character" w:customStyle="1" w:styleId="WW8Num6z6">
    <w:name w:val="WW8Num6z6"/>
    <w:rsid w:val="00730E6E"/>
  </w:style>
  <w:style w:type="character" w:customStyle="1" w:styleId="WW8Num6z7">
    <w:name w:val="WW8Num6z7"/>
    <w:rsid w:val="00730E6E"/>
  </w:style>
  <w:style w:type="character" w:customStyle="1" w:styleId="WW8Num6z8">
    <w:name w:val="WW8Num6z8"/>
    <w:rsid w:val="00730E6E"/>
  </w:style>
  <w:style w:type="character" w:customStyle="1" w:styleId="WW8Num7z1">
    <w:name w:val="WW8Num7z1"/>
    <w:rsid w:val="00730E6E"/>
    <w:rPr>
      <w:rFonts w:ascii="Courier New" w:hAnsi="Courier New" w:cs="Courier New"/>
    </w:rPr>
  </w:style>
  <w:style w:type="character" w:customStyle="1" w:styleId="WW8Num7z2">
    <w:name w:val="WW8Num7z2"/>
    <w:rsid w:val="00730E6E"/>
    <w:rPr>
      <w:rFonts w:ascii="Wingdings" w:hAnsi="Wingdings" w:cs="Wingdings"/>
    </w:rPr>
  </w:style>
  <w:style w:type="character" w:customStyle="1" w:styleId="WW8Num8z1">
    <w:name w:val="WW8Num8z1"/>
    <w:rsid w:val="00730E6E"/>
  </w:style>
  <w:style w:type="character" w:customStyle="1" w:styleId="WW8Num8z2">
    <w:name w:val="WW8Num8z2"/>
    <w:rsid w:val="00730E6E"/>
  </w:style>
  <w:style w:type="character" w:customStyle="1" w:styleId="WW8Num8z3">
    <w:name w:val="WW8Num8z3"/>
    <w:rsid w:val="00730E6E"/>
  </w:style>
  <w:style w:type="character" w:customStyle="1" w:styleId="WW8Num8z4">
    <w:name w:val="WW8Num8z4"/>
    <w:rsid w:val="00730E6E"/>
  </w:style>
  <w:style w:type="character" w:customStyle="1" w:styleId="WW8Num8z5">
    <w:name w:val="WW8Num8z5"/>
    <w:rsid w:val="00730E6E"/>
  </w:style>
  <w:style w:type="character" w:customStyle="1" w:styleId="WW8Num8z6">
    <w:name w:val="WW8Num8z6"/>
    <w:rsid w:val="00730E6E"/>
  </w:style>
  <w:style w:type="character" w:customStyle="1" w:styleId="WW8Num8z7">
    <w:name w:val="WW8Num8z7"/>
    <w:rsid w:val="00730E6E"/>
  </w:style>
  <w:style w:type="character" w:customStyle="1" w:styleId="WW8Num8z8">
    <w:name w:val="WW8Num8z8"/>
    <w:rsid w:val="00730E6E"/>
  </w:style>
  <w:style w:type="character" w:customStyle="1" w:styleId="WW8Num14z1">
    <w:name w:val="WW8Num14z1"/>
    <w:rsid w:val="00730E6E"/>
  </w:style>
  <w:style w:type="character" w:customStyle="1" w:styleId="WW8Num14z2">
    <w:name w:val="WW8Num14z2"/>
    <w:rsid w:val="00730E6E"/>
    <w:rPr>
      <w:color w:val="000080"/>
    </w:rPr>
  </w:style>
  <w:style w:type="character" w:customStyle="1" w:styleId="WW8Num14z3">
    <w:name w:val="WW8Num14z3"/>
    <w:rsid w:val="00730E6E"/>
  </w:style>
  <w:style w:type="character" w:customStyle="1" w:styleId="WW8Num14z4">
    <w:name w:val="WW8Num14z4"/>
    <w:rsid w:val="00730E6E"/>
  </w:style>
  <w:style w:type="character" w:customStyle="1" w:styleId="WW8Num14z5">
    <w:name w:val="WW8Num14z5"/>
    <w:rsid w:val="00730E6E"/>
  </w:style>
  <w:style w:type="character" w:customStyle="1" w:styleId="WW8Num14z6">
    <w:name w:val="WW8Num14z6"/>
    <w:rsid w:val="00730E6E"/>
  </w:style>
  <w:style w:type="character" w:customStyle="1" w:styleId="WW8Num14z7">
    <w:name w:val="WW8Num14z7"/>
    <w:rsid w:val="00730E6E"/>
  </w:style>
  <w:style w:type="character" w:customStyle="1" w:styleId="WW8Num14z8">
    <w:name w:val="WW8Num14z8"/>
    <w:rsid w:val="00730E6E"/>
  </w:style>
  <w:style w:type="character" w:customStyle="1" w:styleId="WW8Num15z1">
    <w:name w:val="WW8Num15z1"/>
    <w:rsid w:val="00730E6E"/>
    <w:rPr>
      <w:rFonts w:ascii="Courier New" w:hAnsi="Courier New" w:cs="Courier New"/>
    </w:rPr>
  </w:style>
  <w:style w:type="character" w:customStyle="1" w:styleId="WW8Num15z3">
    <w:name w:val="WW8Num15z3"/>
    <w:rsid w:val="00730E6E"/>
    <w:rPr>
      <w:rFonts w:ascii="Symbol" w:hAnsi="Symbol" w:cs="Symbol"/>
    </w:rPr>
  </w:style>
  <w:style w:type="character" w:customStyle="1" w:styleId="WW8Num24z4">
    <w:name w:val="WW8Num24z4"/>
    <w:rsid w:val="00730E6E"/>
  </w:style>
  <w:style w:type="character" w:customStyle="1" w:styleId="WW8Num24z5">
    <w:name w:val="WW8Num24z5"/>
    <w:rsid w:val="00730E6E"/>
  </w:style>
  <w:style w:type="character" w:customStyle="1" w:styleId="WW8Num24z6">
    <w:name w:val="WW8Num24z6"/>
    <w:rsid w:val="00730E6E"/>
  </w:style>
  <w:style w:type="character" w:customStyle="1" w:styleId="WW8Num24z7">
    <w:name w:val="WW8Num24z7"/>
    <w:rsid w:val="00730E6E"/>
  </w:style>
  <w:style w:type="character" w:customStyle="1" w:styleId="WW8Num24z8">
    <w:name w:val="WW8Num24z8"/>
    <w:rsid w:val="00730E6E"/>
  </w:style>
  <w:style w:type="character" w:customStyle="1" w:styleId="WW8Num33z2">
    <w:name w:val="WW8Num33z2"/>
    <w:rsid w:val="00730E6E"/>
  </w:style>
  <w:style w:type="character" w:customStyle="1" w:styleId="WW8Num33z4">
    <w:name w:val="WW8Num33z4"/>
    <w:rsid w:val="00730E6E"/>
  </w:style>
  <w:style w:type="character" w:customStyle="1" w:styleId="WW8Num33z5">
    <w:name w:val="WW8Num33z5"/>
    <w:rsid w:val="00730E6E"/>
  </w:style>
  <w:style w:type="character" w:customStyle="1" w:styleId="WW8Num33z6">
    <w:name w:val="WW8Num33z6"/>
    <w:rsid w:val="00730E6E"/>
  </w:style>
  <w:style w:type="character" w:customStyle="1" w:styleId="WW8Num33z7">
    <w:name w:val="WW8Num33z7"/>
    <w:rsid w:val="00730E6E"/>
  </w:style>
  <w:style w:type="character" w:customStyle="1" w:styleId="WW8Num33z8">
    <w:name w:val="WW8Num33z8"/>
    <w:rsid w:val="00730E6E"/>
  </w:style>
  <w:style w:type="character" w:customStyle="1" w:styleId="WW8Num35z4">
    <w:name w:val="WW8Num35z4"/>
    <w:rsid w:val="00730E6E"/>
  </w:style>
  <w:style w:type="character" w:customStyle="1" w:styleId="WW8Num35z5">
    <w:name w:val="WW8Num35z5"/>
    <w:rsid w:val="00730E6E"/>
  </w:style>
  <w:style w:type="character" w:customStyle="1" w:styleId="WW8Num35z6">
    <w:name w:val="WW8Num35z6"/>
    <w:rsid w:val="00730E6E"/>
  </w:style>
  <w:style w:type="character" w:customStyle="1" w:styleId="WW8Num35z7">
    <w:name w:val="WW8Num35z7"/>
    <w:rsid w:val="00730E6E"/>
  </w:style>
  <w:style w:type="character" w:customStyle="1" w:styleId="WW8Num35z8">
    <w:name w:val="WW8Num35z8"/>
    <w:rsid w:val="00730E6E"/>
  </w:style>
  <w:style w:type="character" w:customStyle="1" w:styleId="WW8Num37z2">
    <w:name w:val="WW8Num37z2"/>
    <w:rsid w:val="00730E6E"/>
  </w:style>
  <w:style w:type="character" w:customStyle="1" w:styleId="WW8Num37z4">
    <w:name w:val="WW8Num37z4"/>
    <w:rsid w:val="00730E6E"/>
  </w:style>
  <w:style w:type="character" w:customStyle="1" w:styleId="WW8Num37z5">
    <w:name w:val="WW8Num37z5"/>
    <w:rsid w:val="00730E6E"/>
  </w:style>
  <w:style w:type="character" w:customStyle="1" w:styleId="WW8Num37z6">
    <w:name w:val="WW8Num37z6"/>
    <w:rsid w:val="00730E6E"/>
  </w:style>
  <w:style w:type="character" w:customStyle="1" w:styleId="WW8Num37z7">
    <w:name w:val="WW8Num37z7"/>
    <w:rsid w:val="00730E6E"/>
  </w:style>
  <w:style w:type="character" w:customStyle="1" w:styleId="WW8Num37z8">
    <w:name w:val="WW8Num37z8"/>
    <w:rsid w:val="00730E6E"/>
  </w:style>
  <w:style w:type="character" w:customStyle="1" w:styleId="WW8Num39z2">
    <w:name w:val="WW8Num39z2"/>
    <w:rsid w:val="00730E6E"/>
    <w:rPr>
      <w:rFonts w:ascii="Wingdings" w:hAnsi="Wingdings" w:cs="Wingdings"/>
    </w:rPr>
  </w:style>
  <w:style w:type="character" w:customStyle="1" w:styleId="WW8Num41z3">
    <w:name w:val="WW8Num41z3"/>
    <w:rsid w:val="00730E6E"/>
    <w:rPr>
      <w:rFonts w:ascii="Symbol" w:hAnsi="Symbol" w:cs="Symbol"/>
    </w:rPr>
  </w:style>
  <w:style w:type="character" w:customStyle="1" w:styleId="WW8Num42z0">
    <w:name w:val="WW8Num42z0"/>
    <w:rsid w:val="00730E6E"/>
    <w:rPr>
      <w:rFonts w:ascii="Wingdings" w:hAnsi="Wingdings" w:cs="Wingdings"/>
    </w:rPr>
  </w:style>
  <w:style w:type="character" w:customStyle="1" w:styleId="WW8Num42z1">
    <w:name w:val="WW8Num42z1"/>
    <w:rsid w:val="00730E6E"/>
    <w:rPr>
      <w:rFonts w:ascii="Courier New" w:hAnsi="Courier New" w:cs="Courier New"/>
    </w:rPr>
  </w:style>
  <w:style w:type="character" w:customStyle="1" w:styleId="WW8Num42z3">
    <w:name w:val="WW8Num42z3"/>
    <w:rsid w:val="00730E6E"/>
    <w:rPr>
      <w:rFonts w:ascii="Symbol" w:hAnsi="Symbol" w:cs="Symbol"/>
    </w:rPr>
  </w:style>
  <w:style w:type="character" w:customStyle="1" w:styleId="WW8Num43z0">
    <w:name w:val="WW8Num43z0"/>
    <w:rsid w:val="00730E6E"/>
    <w:rPr>
      <w:rFonts w:ascii="Wingdings" w:eastAsia="Times New Roman" w:hAnsi="Wingdings" w:cs="Wingdings"/>
      <w:szCs w:val="24"/>
    </w:rPr>
  </w:style>
  <w:style w:type="character" w:customStyle="1" w:styleId="WW8Num43z1">
    <w:name w:val="WW8Num43z1"/>
    <w:rsid w:val="00730E6E"/>
    <w:rPr>
      <w:rFonts w:ascii="Courier New" w:hAnsi="Courier New" w:cs="Courier New"/>
    </w:rPr>
  </w:style>
  <w:style w:type="character" w:customStyle="1" w:styleId="WW8Num43z3">
    <w:name w:val="WW8Num43z3"/>
    <w:rsid w:val="00730E6E"/>
    <w:rPr>
      <w:rFonts w:ascii="Symbol" w:hAnsi="Symbol" w:cs="Symbol"/>
    </w:rPr>
  </w:style>
  <w:style w:type="character" w:customStyle="1" w:styleId="WW8Num44z0">
    <w:name w:val="WW8Num44z0"/>
    <w:rsid w:val="00730E6E"/>
    <w:rPr>
      <w:rFonts w:ascii="Symbol" w:eastAsia="Times New Roman" w:hAnsi="Symbol" w:cs="Symbol"/>
      <w:szCs w:val="24"/>
    </w:rPr>
  </w:style>
  <w:style w:type="character" w:customStyle="1" w:styleId="WW8Num44z1">
    <w:name w:val="WW8Num44z1"/>
    <w:rsid w:val="00730E6E"/>
    <w:rPr>
      <w:rFonts w:ascii="Courier New" w:eastAsia="Times New Roman" w:hAnsi="Courier New" w:cs="Courier New"/>
      <w:szCs w:val="24"/>
    </w:rPr>
  </w:style>
  <w:style w:type="character" w:customStyle="1" w:styleId="WW8Num44z2">
    <w:name w:val="WW8Num44z2"/>
    <w:rsid w:val="00730E6E"/>
    <w:rPr>
      <w:rFonts w:ascii="Wingdings" w:hAnsi="Wingdings" w:cs="Wingdings"/>
    </w:rPr>
  </w:style>
  <w:style w:type="character" w:customStyle="1" w:styleId="WW8Num45z0">
    <w:name w:val="WW8Num45z0"/>
    <w:rsid w:val="00730E6E"/>
    <w:rPr>
      <w:rFonts w:ascii="Wingdings" w:hAnsi="Wingdings" w:cs="Wingdings"/>
    </w:rPr>
  </w:style>
  <w:style w:type="character" w:customStyle="1" w:styleId="WW8Num45z1">
    <w:name w:val="WW8Num45z1"/>
    <w:rsid w:val="00730E6E"/>
    <w:rPr>
      <w:rFonts w:ascii="Courier New" w:hAnsi="Courier New" w:cs="Courier New"/>
    </w:rPr>
  </w:style>
  <w:style w:type="character" w:customStyle="1" w:styleId="WW8Num45z3">
    <w:name w:val="WW8Num45z3"/>
    <w:rsid w:val="00730E6E"/>
    <w:rPr>
      <w:rFonts w:ascii="Symbol" w:hAnsi="Symbol" w:cs="Symbol"/>
    </w:rPr>
  </w:style>
  <w:style w:type="character" w:customStyle="1" w:styleId="WW8Num46z0">
    <w:name w:val="WW8Num46z0"/>
    <w:rsid w:val="00730E6E"/>
    <w:rPr>
      <w:rFonts w:ascii="Symbol" w:hAnsi="Symbol" w:cs="Symbol"/>
    </w:rPr>
  </w:style>
  <w:style w:type="character" w:customStyle="1" w:styleId="WW8Num46z1">
    <w:name w:val="WW8Num46z1"/>
    <w:rsid w:val="00730E6E"/>
    <w:rPr>
      <w:rFonts w:ascii="Courier New" w:hAnsi="Courier New" w:cs="Courier New"/>
    </w:rPr>
  </w:style>
  <w:style w:type="character" w:customStyle="1" w:styleId="WW8Num46z2">
    <w:name w:val="WW8Num46z2"/>
    <w:rsid w:val="00730E6E"/>
    <w:rPr>
      <w:rFonts w:ascii="Wingdings" w:hAnsi="Wingdings" w:cs="Wingdings"/>
    </w:rPr>
  </w:style>
  <w:style w:type="character" w:customStyle="1" w:styleId="WW8Num47z0">
    <w:name w:val="WW8Num47z0"/>
    <w:rsid w:val="00730E6E"/>
    <w:rPr>
      <w:rFonts w:ascii="Arial Narrow" w:eastAsia="Times New Roman" w:hAnsi="Arial Narrow" w:cs="Calibri"/>
    </w:rPr>
  </w:style>
  <w:style w:type="character" w:customStyle="1" w:styleId="WW8Num47z1">
    <w:name w:val="WW8Num47z1"/>
    <w:rsid w:val="00730E6E"/>
    <w:rPr>
      <w:rFonts w:ascii="Courier New" w:hAnsi="Courier New" w:cs="Courier New"/>
    </w:rPr>
  </w:style>
  <w:style w:type="character" w:customStyle="1" w:styleId="WW8Num47z2">
    <w:name w:val="WW8Num47z2"/>
    <w:rsid w:val="00730E6E"/>
    <w:rPr>
      <w:rFonts w:ascii="Wingdings" w:hAnsi="Wingdings" w:cs="Wingdings"/>
    </w:rPr>
  </w:style>
  <w:style w:type="character" w:customStyle="1" w:styleId="WW8Num47z3">
    <w:name w:val="WW8Num47z3"/>
    <w:rsid w:val="00730E6E"/>
    <w:rPr>
      <w:rFonts w:ascii="Symbol" w:hAnsi="Symbol" w:cs="Symbol"/>
    </w:rPr>
  </w:style>
  <w:style w:type="character" w:customStyle="1" w:styleId="WW8Num48z0">
    <w:name w:val="WW8Num48z0"/>
    <w:rsid w:val="00730E6E"/>
    <w:rPr>
      <w:rFonts w:ascii="Symbol" w:hAnsi="Symbol" w:cs="Symbol"/>
    </w:rPr>
  </w:style>
  <w:style w:type="character" w:customStyle="1" w:styleId="WW8Num48z1">
    <w:name w:val="WW8Num48z1"/>
    <w:rsid w:val="00730E6E"/>
    <w:rPr>
      <w:rFonts w:ascii="Courier New" w:hAnsi="Courier New" w:cs="Courier New"/>
    </w:rPr>
  </w:style>
  <w:style w:type="character" w:customStyle="1" w:styleId="WW8Num48z2">
    <w:name w:val="WW8Num48z2"/>
    <w:rsid w:val="00730E6E"/>
    <w:rPr>
      <w:rFonts w:ascii="Wingdings" w:hAnsi="Wingdings" w:cs="Wingdings"/>
    </w:rPr>
  </w:style>
  <w:style w:type="character" w:customStyle="1" w:styleId="WW8Num49z0">
    <w:name w:val="WW8Num49z0"/>
    <w:rsid w:val="00730E6E"/>
    <w:rPr>
      <w:rFonts w:ascii="Arial Narrow" w:eastAsia="Times New Roman" w:hAnsi="Arial Narrow" w:cs="Arial Narrow"/>
      <w:color w:val="auto"/>
    </w:rPr>
  </w:style>
  <w:style w:type="character" w:customStyle="1" w:styleId="WW8Num49z1">
    <w:name w:val="WW8Num49z1"/>
    <w:rsid w:val="00730E6E"/>
    <w:rPr>
      <w:rFonts w:ascii="Courier New" w:hAnsi="Courier New" w:cs="Courier New"/>
    </w:rPr>
  </w:style>
  <w:style w:type="character" w:customStyle="1" w:styleId="WW8Num49z2">
    <w:name w:val="WW8Num49z2"/>
    <w:rsid w:val="00730E6E"/>
    <w:rPr>
      <w:rFonts w:ascii="Wingdings" w:hAnsi="Wingdings" w:cs="Wingdings"/>
    </w:rPr>
  </w:style>
  <w:style w:type="character" w:customStyle="1" w:styleId="WW8Num49z3">
    <w:name w:val="WW8Num49z3"/>
    <w:rsid w:val="00730E6E"/>
    <w:rPr>
      <w:rFonts w:ascii="Symbol" w:hAnsi="Symbol" w:cs="Symbol"/>
    </w:rPr>
  </w:style>
  <w:style w:type="character" w:customStyle="1" w:styleId="WW8Num50z0">
    <w:name w:val="WW8Num50z0"/>
    <w:rsid w:val="00730E6E"/>
    <w:rPr>
      <w:rFonts w:cs="Times New Roman"/>
    </w:rPr>
  </w:style>
  <w:style w:type="character" w:customStyle="1" w:styleId="WW-DefaultParagraphFont11">
    <w:name w:val="WW-Default Paragraph Font11"/>
    <w:rsid w:val="00730E6E"/>
  </w:style>
  <w:style w:type="character" w:customStyle="1" w:styleId="CharChar3">
    <w:name w:val="Char Char3"/>
    <w:rsid w:val="00730E6E"/>
    <w:rPr>
      <w:rFonts w:ascii="Calibri" w:hAnsi="Calibri" w:cs="Calibri"/>
      <w:sz w:val="24"/>
      <w:szCs w:val="24"/>
      <w:lang w:bidi="ar-SA"/>
    </w:rPr>
  </w:style>
  <w:style w:type="character" w:customStyle="1" w:styleId="BodyTextCharChar">
    <w:name w:val="Body Text Char Char"/>
    <w:rsid w:val="00730E6E"/>
    <w:rPr>
      <w:rFonts w:cs="Times New Roman"/>
      <w:sz w:val="24"/>
      <w:szCs w:val="24"/>
    </w:rPr>
  </w:style>
  <w:style w:type="character" w:customStyle="1" w:styleId="FootnoteCharacters">
    <w:name w:val="Footnote Characters"/>
    <w:rsid w:val="00730E6E"/>
    <w:rPr>
      <w:vertAlign w:val="superscript"/>
    </w:rPr>
  </w:style>
  <w:style w:type="character" w:customStyle="1" w:styleId="EndnoteCharacters">
    <w:name w:val="Endnote Characters"/>
    <w:rsid w:val="00730E6E"/>
    <w:rPr>
      <w:vertAlign w:val="superscript"/>
    </w:rPr>
  </w:style>
  <w:style w:type="character" w:customStyle="1" w:styleId="BodyTextNumberedCharCharChar">
    <w:name w:val="Body Text Numbered Char Char Char"/>
    <w:rsid w:val="00730E6E"/>
    <w:rPr>
      <w:sz w:val="24"/>
      <w:szCs w:val="24"/>
      <w:lang w:bidi="ar-SA"/>
    </w:rPr>
  </w:style>
  <w:style w:type="character" w:customStyle="1" w:styleId="CharChar6">
    <w:name w:val="Char Char6"/>
    <w:rsid w:val="00730E6E"/>
    <w:rPr>
      <w:rFonts w:ascii="Arial Narrow" w:eastAsia="Times New Roman" w:hAnsi="Arial Narrow" w:cs="Times New Roman"/>
      <w:b/>
      <w:bCs/>
      <w:kern w:val="1"/>
      <w:sz w:val="24"/>
      <w:szCs w:val="32"/>
    </w:rPr>
  </w:style>
  <w:style w:type="character" w:customStyle="1" w:styleId="ListLabel7">
    <w:name w:val="ListLabel 7"/>
    <w:rsid w:val="00730E6E"/>
    <w:rPr>
      <w:rFonts w:eastAsia="Calibri" w:cs="Times New Roman"/>
    </w:rPr>
  </w:style>
  <w:style w:type="character" w:customStyle="1" w:styleId="ListLabel2">
    <w:name w:val="ListLabel 2"/>
    <w:rsid w:val="00730E6E"/>
    <w:rPr>
      <w:rFonts w:cs="Courier New"/>
    </w:rPr>
  </w:style>
  <w:style w:type="character" w:customStyle="1" w:styleId="NumberingSymbols">
    <w:name w:val="Numbering Symbols"/>
    <w:rsid w:val="00730E6E"/>
  </w:style>
  <w:style w:type="character" w:customStyle="1" w:styleId="Bullets">
    <w:name w:val="Bullets"/>
    <w:rsid w:val="00730E6E"/>
    <w:rPr>
      <w:rFonts w:ascii="OpenSymbol" w:eastAsia="OpenSymbol" w:hAnsi="OpenSymbol" w:cs="OpenSymbol"/>
    </w:rPr>
  </w:style>
  <w:style w:type="character" w:customStyle="1" w:styleId="CITE">
    <w:name w:val="CITE"/>
    <w:rsid w:val="00730E6E"/>
    <w:rPr>
      <w:i/>
    </w:rPr>
  </w:style>
  <w:style w:type="character" w:customStyle="1" w:styleId="CODE">
    <w:name w:val="CODE"/>
    <w:rsid w:val="00730E6E"/>
    <w:rPr>
      <w:rFonts w:ascii="Courier New" w:hAnsi="Courier New" w:cs="Courier New"/>
      <w:sz w:val="20"/>
    </w:rPr>
  </w:style>
  <w:style w:type="character" w:customStyle="1" w:styleId="Keyboard">
    <w:name w:val="Keyboard"/>
    <w:rsid w:val="00730E6E"/>
    <w:rPr>
      <w:rFonts w:ascii="Courier New" w:hAnsi="Courier New" w:cs="Courier New"/>
      <w:b/>
      <w:sz w:val="20"/>
    </w:rPr>
  </w:style>
  <w:style w:type="character" w:customStyle="1" w:styleId="Sample">
    <w:name w:val="Sample"/>
    <w:rsid w:val="00730E6E"/>
    <w:rPr>
      <w:rFonts w:ascii="Courier New" w:hAnsi="Courier New" w:cs="Courier New"/>
    </w:rPr>
  </w:style>
  <w:style w:type="character" w:customStyle="1" w:styleId="Typewriter">
    <w:name w:val="Typewriter"/>
    <w:rsid w:val="00730E6E"/>
    <w:rPr>
      <w:rFonts w:ascii="Courier New" w:hAnsi="Courier New" w:cs="Courier New"/>
      <w:sz w:val="20"/>
    </w:rPr>
  </w:style>
  <w:style w:type="character" w:customStyle="1" w:styleId="HTMLMarkup">
    <w:name w:val="HTML Markup"/>
    <w:rsid w:val="00730E6E"/>
    <w:rPr>
      <w:vanish/>
      <w:color w:val="FF0000"/>
    </w:rPr>
  </w:style>
  <w:style w:type="character" w:customStyle="1" w:styleId="Comment">
    <w:name w:val="Comment"/>
    <w:rsid w:val="00730E6E"/>
    <w:rPr>
      <w:vanish/>
    </w:rPr>
  </w:style>
  <w:style w:type="character" w:customStyle="1" w:styleId="WW-FootnoteReference">
    <w:name w:val="WW-Footnote Reference"/>
    <w:rsid w:val="00730E6E"/>
    <w:rPr>
      <w:vertAlign w:val="superscript"/>
    </w:rPr>
  </w:style>
  <w:style w:type="character" w:customStyle="1" w:styleId="WW-EndnoteReference">
    <w:name w:val="WW-Endnote Reference"/>
    <w:rsid w:val="00730E6E"/>
    <w:rPr>
      <w:vertAlign w:val="superscript"/>
    </w:rPr>
  </w:style>
  <w:style w:type="character" w:customStyle="1" w:styleId="ListLabel5">
    <w:name w:val="ListLabel 5"/>
    <w:rsid w:val="00730E6E"/>
    <w:rPr>
      <w:b/>
      <w:bCs/>
    </w:rPr>
  </w:style>
  <w:style w:type="character" w:customStyle="1" w:styleId="ListLabel1">
    <w:name w:val="ListLabel 1"/>
    <w:rsid w:val="00730E6E"/>
    <w:rPr>
      <w:rFonts w:cs="Wingdings"/>
    </w:rPr>
  </w:style>
  <w:style w:type="character" w:customStyle="1" w:styleId="ListLabel3">
    <w:name w:val="ListLabel 3"/>
    <w:rsid w:val="00730E6E"/>
    <w:rPr>
      <w:rFonts w:cs="Courier New"/>
    </w:rPr>
  </w:style>
  <w:style w:type="character" w:customStyle="1" w:styleId="ListLabel4">
    <w:name w:val="ListLabel 4"/>
    <w:rsid w:val="00730E6E"/>
    <w:rPr>
      <w:rFonts w:eastAsia="Times New Roman"/>
      <w:color w:val="00000A"/>
    </w:rPr>
  </w:style>
  <w:style w:type="character" w:customStyle="1" w:styleId="WW-FootnoteReference1">
    <w:name w:val="WW-Footnote Reference1"/>
    <w:rsid w:val="00730E6E"/>
    <w:rPr>
      <w:vertAlign w:val="superscript"/>
    </w:rPr>
  </w:style>
  <w:style w:type="character" w:customStyle="1" w:styleId="WW-EndnoteReference1">
    <w:name w:val="WW-Endnote Reference1"/>
    <w:rsid w:val="00730E6E"/>
    <w:rPr>
      <w:vertAlign w:val="superscript"/>
    </w:rPr>
  </w:style>
  <w:style w:type="character" w:customStyle="1" w:styleId="at14">
    <w:name w:val="a__t14"/>
    <w:basedOn w:val="DefaultParagraphFont"/>
    <w:rsid w:val="00730E6E"/>
  </w:style>
  <w:style w:type="paragraph" w:customStyle="1" w:styleId="Heading">
    <w:name w:val="Heading"/>
    <w:basedOn w:val="Normal"/>
    <w:next w:val="BodyText"/>
    <w:rsid w:val="00730E6E"/>
    <w:pPr>
      <w:suppressAutoHyphens/>
      <w:jc w:val="center"/>
    </w:pPr>
    <w:rPr>
      <w:sz w:val="36"/>
      <w:szCs w:val="20"/>
      <w:lang w:val="ro-RO" w:eastAsia="zh-CN"/>
    </w:rPr>
  </w:style>
  <w:style w:type="paragraph" w:customStyle="1" w:styleId="Index">
    <w:name w:val="Index"/>
    <w:basedOn w:val="Normal"/>
    <w:rsid w:val="00730E6E"/>
    <w:pPr>
      <w:suppressLineNumbers/>
      <w:suppressAutoHyphens/>
    </w:pPr>
    <w:rPr>
      <w:rFonts w:cs="Mangal"/>
      <w:lang w:val="ro-RO" w:eastAsia="zh-CN"/>
    </w:rPr>
  </w:style>
  <w:style w:type="paragraph" w:customStyle="1" w:styleId="CharCharCharChar1CharCharCharCharCharCharCharCharCharCharCharCharCaracterCaracterCharCharCaracterCharCharCaracterCaracterCharCharCharCharCharCharCaracterCaracterCharCharCharChar">
    <w:name w:val="Char Char Char Char1 Char Char Char Char Char Char Char Char Char Char Char Char Caracter Caracter Char Char Caracter Char Char Caracter Caracter Char Char Char Char Char Char Caracter Caracter Char Char Char Char"/>
    <w:basedOn w:val="Normal"/>
    <w:next w:val="Normal"/>
    <w:rsid w:val="00730E6E"/>
    <w:pPr>
      <w:suppressAutoHyphens/>
      <w:spacing w:after="160" w:line="240" w:lineRule="exact"/>
    </w:pPr>
    <w:rPr>
      <w:sz w:val="20"/>
      <w:szCs w:val="20"/>
      <w:vertAlign w:val="superscript"/>
      <w:lang w:val="ro-RO" w:eastAsia="ro-RO"/>
    </w:rPr>
  </w:style>
  <w:style w:type="paragraph" w:customStyle="1" w:styleId="WW-ListBullet2">
    <w:name w:val="WW-List Bullet 2"/>
    <w:basedOn w:val="Normal"/>
    <w:rsid w:val="00730E6E"/>
    <w:pPr>
      <w:numPr>
        <w:numId w:val="5"/>
      </w:numPr>
      <w:suppressAutoHyphens/>
    </w:pPr>
    <w:rPr>
      <w:lang w:val="ro-RO" w:eastAsia="zh-CN"/>
    </w:rPr>
  </w:style>
  <w:style w:type="paragraph" w:customStyle="1" w:styleId="WW-ListBullet3">
    <w:name w:val="WW-List Bullet 3"/>
    <w:basedOn w:val="Normal"/>
    <w:rsid w:val="00730E6E"/>
    <w:pPr>
      <w:numPr>
        <w:numId w:val="4"/>
      </w:numPr>
      <w:suppressAutoHyphens/>
    </w:pPr>
    <w:rPr>
      <w:lang w:val="ro-RO" w:eastAsia="zh-CN"/>
    </w:rPr>
  </w:style>
  <w:style w:type="paragraph" w:customStyle="1" w:styleId="CaracterCaracter7CharCharCharChar">
    <w:name w:val="Caracter Caracter7 Char Char Char Char"/>
    <w:basedOn w:val="Normal"/>
    <w:rsid w:val="00730E6E"/>
    <w:pPr>
      <w:suppressAutoHyphens/>
    </w:pPr>
    <w:rPr>
      <w:szCs w:val="20"/>
      <w:lang w:val="ro-RO" w:eastAsia="zh-CN"/>
    </w:rPr>
  </w:style>
  <w:style w:type="paragraph" w:customStyle="1" w:styleId="TableContents">
    <w:name w:val="Table Contents"/>
    <w:basedOn w:val="Normal"/>
    <w:rsid w:val="00730E6E"/>
    <w:pPr>
      <w:suppressLineNumbers/>
      <w:suppressAutoHyphens/>
    </w:pPr>
    <w:rPr>
      <w:lang w:val="ro-RO" w:eastAsia="zh-CN"/>
    </w:rPr>
  </w:style>
  <w:style w:type="paragraph" w:customStyle="1" w:styleId="TableHeading">
    <w:name w:val="Table Heading"/>
    <w:basedOn w:val="TableContents"/>
    <w:rsid w:val="00730E6E"/>
    <w:pPr>
      <w:jc w:val="center"/>
    </w:pPr>
    <w:rPr>
      <w:b/>
      <w:bCs/>
    </w:rPr>
  </w:style>
  <w:style w:type="paragraph" w:customStyle="1" w:styleId="FrameContents">
    <w:name w:val="Frame Contents"/>
    <w:basedOn w:val="Normal"/>
    <w:rsid w:val="00730E6E"/>
    <w:pPr>
      <w:suppressAutoHyphens/>
    </w:pPr>
    <w:rPr>
      <w:lang w:val="ro-RO" w:eastAsia="zh-CN"/>
    </w:rPr>
  </w:style>
  <w:style w:type="paragraph" w:customStyle="1" w:styleId="DefinitionTerm">
    <w:name w:val="Definition Term"/>
    <w:basedOn w:val="Normal"/>
    <w:rsid w:val="00730E6E"/>
    <w:pPr>
      <w:suppressAutoHyphens/>
    </w:pPr>
    <w:rPr>
      <w:lang w:val="ro-RO" w:eastAsia="zh-CN"/>
    </w:rPr>
  </w:style>
  <w:style w:type="paragraph" w:customStyle="1" w:styleId="DefinitionList">
    <w:name w:val="Definition List"/>
    <w:basedOn w:val="Normal"/>
    <w:rsid w:val="00730E6E"/>
    <w:pPr>
      <w:suppressAutoHyphens/>
      <w:ind w:left="360"/>
    </w:pPr>
    <w:rPr>
      <w:lang w:val="ro-RO" w:eastAsia="zh-CN"/>
    </w:rPr>
  </w:style>
  <w:style w:type="paragraph" w:customStyle="1" w:styleId="H1">
    <w:name w:val="H1"/>
    <w:basedOn w:val="Normal"/>
    <w:rsid w:val="00730E6E"/>
    <w:pPr>
      <w:keepNext/>
      <w:suppressAutoHyphens/>
      <w:spacing w:before="100" w:after="100"/>
    </w:pPr>
    <w:rPr>
      <w:b/>
      <w:kern w:val="1"/>
      <w:sz w:val="48"/>
      <w:lang w:val="ro-RO" w:eastAsia="zh-CN"/>
    </w:rPr>
  </w:style>
  <w:style w:type="paragraph" w:customStyle="1" w:styleId="H2">
    <w:name w:val="H2"/>
    <w:basedOn w:val="Normal"/>
    <w:rsid w:val="00730E6E"/>
    <w:pPr>
      <w:keepNext/>
      <w:suppressAutoHyphens/>
      <w:spacing w:before="100" w:after="100"/>
    </w:pPr>
    <w:rPr>
      <w:b/>
      <w:sz w:val="36"/>
      <w:lang w:val="ro-RO" w:eastAsia="zh-CN"/>
    </w:rPr>
  </w:style>
  <w:style w:type="paragraph" w:customStyle="1" w:styleId="H3">
    <w:name w:val="H3"/>
    <w:basedOn w:val="Normal"/>
    <w:rsid w:val="00730E6E"/>
    <w:pPr>
      <w:keepNext/>
      <w:suppressAutoHyphens/>
      <w:spacing w:before="100" w:after="100"/>
    </w:pPr>
    <w:rPr>
      <w:b/>
      <w:sz w:val="28"/>
      <w:lang w:val="ro-RO" w:eastAsia="zh-CN"/>
    </w:rPr>
  </w:style>
  <w:style w:type="paragraph" w:customStyle="1" w:styleId="H4">
    <w:name w:val="H4"/>
    <w:basedOn w:val="Normal"/>
    <w:rsid w:val="00730E6E"/>
    <w:pPr>
      <w:keepNext/>
      <w:suppressAutoHyphens/>
      <w:spacing w:before="100" w:after="100"/>
    </w:pPr>
    <w:rPr>
      <w:b/>
      <w:lang w:val="ro-RO" w:eastAsia="zh-CN"/>
    </w:rPr>
  </w:style>
  <w:style w:type="paragraph" w:customStyle="1" w:styleId="H5">
    <w:name w:val="H5"/>
    <w:basedOn w:val="Normal"/>
    <w:rsid w:val="00730E6E"/>
    <w:pPr>
      <w:keepNext/>
      <w:suppressAutoHyphens/>
      <w:spacing w:before="100" w:after="100"/>
    </w:pPr>
    <w:rPr>
      <w:b/>
      <w:sz w:val="20"/>
      <w:lang w:val="ro-RO" w:eastAsia="zh-CN"/>
    </w:rPr>
  </w:style>
  <w:style w:type="paragraph" w:customStyle="1" w:styleId="H6">
    <w:name w:val="H6"/>
    <w:basedOn w:val="Normal"/>
    <w:rsid w:val="00730E6E"/>
    <w:pPr>
      <w:keepNext/>
      <w:suppressAutoHyphens/>
      <w:spacing w:before="100" w:after="100"/>
    </w:pPr>
    <w:rPr>
      <w:b/>
      <w:sz w:val="16"/>
      <w:lang w:val="ro-RO" w:eastAsia="zh-CN"/>
    </w:rPr>
  </w:style>
  <w:style w:type="paragraph" w:customStyle="1" w:styleId="Address">
    <w:name w:val="Address"/>
    <w:basedOn w:val="Normal"/>
    <w:rsid w:val="00730E6E"/>
    <w:pPr>
      <w:suppressAutoHyphens/>
    </w:pPr>
    <w:rPr>
      <w:i/>
      <w:lang w:val="ro-RO" w:eastAsia="zh-CN"/>
    </w:rPr>
  </w:style>
  <w:style w:type="paragraph" w:customStyle="1" w:styleId="Blockquote">
    <w:name w:val="Blockquote"/>
    <w:basedOn w:val="Normal"/>
    <w:rsid w:val="00730E6E"/>
    <w:pPr>
      <w:suppressAutoHyphens/>
      <w:spacing w:before="100" w:after="100"/>
      <w:ind w:left="360" w:right="360"/>
    </w:pPr>
    <w:rPr>
      <w:lang w:val="ro-RO" w:eastAsia="zh-CN"/>
    </w:rPr>
  </w:style>
  <w:style w:type="paragraph" w:customStyle="1" w:styleId="Preformatted">
    <w:name w:val="Preformatted"/>
    <w:basedOn w:val="Normal"/>
    <w:rsid w:val="00730E6E"/>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cs="Courier New"/>
      <w:sz w:val="20"/>
      <w:lang w:val="ro-RO" w:eastAsia="zh-CN"/>
    </w:rPr>
  </w:style>
  <w:style w:type="paragraph" w:styleId="z-BottomofForm">
    <w:name w:val="HTML Bottom of Form"/>
    <w:link w:val="z-BottomofFormChar"/>
    <w:rsid w:val="00730E6E"/>
    <w:pPr>
      <w:pBdr>
        <w:top w:val="double" w:sz="2" w:space="0" w:color="000000"/>
      </w:pBdr>
      <w:suppressAutoHyphens/>
      <w:spacing w:after="0" w:line="240" w:lineRule="auto"/>
      <w:jc w:val="center"/>
    </w:pPr>
    <w:rPr>
      <w:rFonts w:ascii="Arial" w:eastAsia="Arial" w:hAnsi="Arial" w:cs="Courier New"/>
      <w:vanish/>
      <w:sz w:val="16"/>
      <w:szCs w:val="24"/>
      <w:lang w:val="ro-RO" w:eastAsia="zh-CN" w:bidi="hi-IN"/>
    </w:rPr>
  </w:style>
  <w:style w:type="character" w:customStyle="1" w:styleId="z-BottomofFormChar">
    <w:name w:val="z-Bottom of Form Char"/>
    <w:basedOn w:val="DefaultParagraphFont"/>
    <w:link w:val="z-BottomofForm"/>
    <w:rsid w:val="00730E6E"/>
    <w:rPr>
      <w:rFonts w:ascii="Arial" w:eastAsia="Arial" w:hAnsi="Arial" w:cs="Courier New"/>
      <w:vanish/>
      <w:sz w:val="16"/>
      <w:szCs w:val="24"/>
      <w:lang w:val="ro-RO" w:eastAsia="zh-CN" w:bidi="hi-IN"/>
    </w:rPr>
  </w:style>
  <w:style w:type="paragraph" w:styleId="z-TopofForm">
    <w:name w:val="HTML Top of Form"/>
    <w:link w:val="z-TopofFormChar"/>
    <w:rsid w:val="00730E6E"/>
    <w:pPr>
      <w:pBdr>
        <w:bottom w:val="double" w:sz="2" w:space="0" w:color="000000"/>
      </w:pBdr>
      <w:suppressAutoHyphens/>
      <w:spacing w:after="0" w:line="240" w:lineRule="auto"/>
      <w:jc w:val="center"/>
    </w:pPr>
    <w:rPr>
      <w:rFonts w:ascii="Arial" w:eastAsia="Arial" w:hAnsi="Arial" w:cs="Courier New"/>
      <w:vanish/>
      <w:sz w:val="16"/>
      <w:szCs w:val="24"/>
      <w:lang w:val="ro-RO" w:eastAsia="zh-CN" w:bidi="hi-IN"/>
    </w:rPr>
  </w:style>
  <w:style w:type="character" w:customStyle="1" w:styleId="z-TopofFormChar">
    <w:name w:val="z-Top of Form Char"/>
    <w:basedOn w:val="DefaultParagraphFont"/>
    <w:link w:val="z-TopofForm"/>
    <w:rsid w:val="00730E6E"/>
    <w:rPr>
      <w:rFonts w:ascii="Arial" w:eastAsia="Arial" w:hAnsi="Arial" w:cs="Courier New"/>
      <w:vanish/>
      <w:sz w:val="16"/>
      <w:szCs w:val="24"/>
      <w:lang w:val="ro-RO" w:eastAsia="zh-CN" w:bidi="hi-IN"/>
    </w:rPr>
  </w:style>
  <w:style w:type="paragraph" w:customStyle="1" w:styleId="Quotations">
    <w:name w:val="Quotations"/>
    <w:basedOn w:val="Normal"/>
    <w:rsid w:val="00730E6E"/>
    <w:pPr>
      <w:suppressAutoHyphens/>
      <w:spacing w:after="283"/>
      <w:ind w:left="567" w:right="567"/>
    </w:pPr>
    <w:rPr>
      <w:lang w:val="ro-RO" w:eastAsia="zh-CN"/>
    </w:rPr>
  </w:style>
  <w:style w:type="paragraph" w:styleId="Subtitle">
    <w:name w:val="Subtitle"/>
    <w:basedOn w:val="Heading"/>
    <w:next w:val="BodyText"/>
    <w:link w:val="SubtitleChar"/>
    <w:qFormat/>
    <w:rsid w:val="00730E6E"/>
    <w:pPr>
      <w:spacing w:before="60" w:after="120"/>
    </w:pPr>
    <w:rPr>
      <w:szCs w:val="36"/>
    </w:rPr>
  </w:style>
  <w:style w:type="character" w:customStyle="1" w:styleId="SubtitleChar">
    <w:name w:val="Subtitle Char"/>
    <w:basedOn w:val="DefaultParagraphFont"/>
    <w:link w:val="Subtitle"/>
    <w:rsid w:val="00730E6E"/>
    <w:rPr>
      <w:rFonts w:ascii="Times New Roman" w:eastAsia="Times New Roman" w:hAnsi="Times New Roman" w:cs="Times New Roman"/>
      <w:sz w:val="36"/>
      <w:szCs w:val="36"/>
      <w:lang w:val="ro-RO" w:eastAsia="zh-CN"/>
    </w:rPr>
  </w:style>
  <w:style w:type="paragraph" w:customStyle="1" w:styleId="astandardtiret202">
    <w:name w:val="a_standard_tiret_20_2"/>
    <w:basedOn w:val="Normal"/>
    <w:rsid w:val="00730E6E"/>
    <w:pPr>
      <w:suppressAutoHyphens/>
      <w:spacing w:after="40"/>
      <w:ind w:right="57"/>
      <w:jc w:val="both"/>
    </w:pPr>
    <w:rPr>
      <w:lang w:eastAsia="zh-CN"/>
    </w:rPr>
  </w:style>
  <w:style w:type="paragraph" w:customStyle="1" w:styleId="BodyTextIndent21">
    <w:name w:val="Body Text Indent 21"/>
    <w:basedOn w:val="Normal"/>
    <w:rsid w:val="00730E6E"/>
    <w:pPr>
      <w:widowControl w:val="0"/>
      <w:suppressAutoHyphens/>
      <w:spacing w:before="120" w:after="120"/>
      <w:ind w:firstLine="1134"/>
      <w:jc w:val="both"/>
    </w:pPr>
    <w:rPr>
      <w:rFonts w:eastAsia="SimSun"/>
      <w:sz w:val="28"/>
      <w:szCs w:val="20"/>
      <w:lang w:val="ro-RO" w:eastAsia="zh-CN"/>
    </w:rPr>
  </w:style>
  <w:style w:type="character" w:customStyle="1" w:styleId="Caracter7">
    <w:name w:val="Caracter7"/>
    <w:rsid w:val="00730E6E"/>
    <w:rPr>
      <w:rFonts w:ascii="Arial Narrow" w:eastAsia="Times New Roman" w:hAnsi="Arial Narrow" w:cs="Times New Roman"/>
      <w:b/>
      <w:bCs/>
      <w:kern w:val="32"/>
      <w:sz w:val="24"/>
      <w:szCs w:val="32"/>
    </w:rPr>
  </w:style>
  <w:style w:type="character" w:customStyle="1" w:styleId="Caracter6">
    <w:name w:val="Caracter6"/>
    <w:rsid w:val="00730E6E"/>
    <w:rPr>
      <w:rFonts w:ascii="Arial Narrow" w:eastAsia="Times New Roman" w:hAnsi="Arial Narrow" w:cs="Times New Roman"/>
      <w:b/>
      <w:bCs/>
      <w:iCs/>
      <w:sz w:val="24"/>
      <w:szCs w:val="28"/>
      <w:shd w:val="clear" w:color="auto" w:fill="FABF8F"/>
    </w:rPr>
  </w:style>
  <w:style w:type="paragraph" w:customStyle="1" w:styleId="CharChar3CaracterCaracter1CharCharCaracterCaracter1CaracterCaracterCharCharCaracterCaracterCharCharCaracterCaracterCharCharCaracterCaracterCaracterCaracter1CharChar1">
    <w:name w:val="Char Char3 Caracter Caracter1 Char Char Caracter Caracter1 Caracter Caracter Char Char Caracter Caracter Char Char Caracter Caracter Char Char Caracter Caracter Caracter Caracter1 Char Char1"/>
    <w:basedOn w:val="Normal"/>
    <w:rsid w:val="00730E6E"/>
    <w:rPr>
      <w:lang w:val="pl-PL" w:eastAsia="pl-PL"/>
    </w:rPr>
  </w:style>
  <w:style w:type="paragraph" w:customStyle="1" w:styleId="CharCharCharChar1CharCharCharCharCharCharCharCharCaracterCaracterCaracterCharCaracterChar">
    <w:name w:val="Char Char Char Char1 Char Char Char Char Char Char Char Char Caracter Caracter Caracter Char Caracter Char"/>
    <w:aliases w:val=" Char Char1 Char Char Char Char Char Char Caracter Char Caracter Char Char"/>
    <w:basedOn w:val="Normal"/>
    <w:next w:val="Normal"/>
    <w:rsid w:val="00730E6E"/>
    <w:pPr>
      <w:spacing w:after="160" w:line="240" w:lineRule="exact"/>
    </w:pPr>
    <w:rPr>
      <w:sz w:val="20"/>
      <w:szCs w:val="20"/>
      <w:vertAlign w:val="superscript"/>
      <w:lang w:val="ro-RO" w:eastAsia="ro-RO"/>
    </w:rPr>
  </w:style>
  <w:style w:type="character" w:customStyle="1" w:styleId="shorttext">
    <w:name w:val="short_text"/>
    <w:basedOn w:val="DefaultParagraphFont"/>
    <w:rsid w:val="00730E6E"/>
  </w:style>
  <w:style w:type="paragraph" w:customStyle="1" w:styleId="BVIfnrChar1CharCharCharCharCharChar1CharCaracterCharCharCharCharCharCharChar">
    <w:name w:val="BVI fnr Char1 Char Char Char Char Char Char1 Char Caracter Char Char Char Char Char Char Char"/>
    <w:basedOn w:val="Normal"/>
    <w:next w:val="Normal"/>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CaracterCaracter1CharChar1CaracterCharChar">
    <w:name w:val="Char Char3 Caracter Caracter1 Char Char Caracter Caracter1 Caracter Caracter Char Char Caracter Caracter Char Char Caracter Caracter Char Char Caracter Caracter Caracter Caracter1 Char Char1 Caracter Char Char"/>
    <w:basedOn w:val="Normal"/>
    <w:rsid w:val="00730E6E"/>
    <w:rPr>
      <w:lang w:val="pl-PL" w:eastAsia="pl-PL"/>
    </w:rPr>
  </w:style>
  <w:style w:type="character" w:customStyle="1" w:styleId="apple-converted-space">
    <w:name w:val="apple-converted-space"/>
    <w:basedOn w:val="DefaultParagraphFont"/>
    <w:rsid w:val="00730E6E"/>
  </w:style>
  <w:style w:type="character" w:customStyle="1" w:styleId="ListparagrafCaracter">
    <w:name w:val="Listă paragraf Caracter"/>
    <w:link w:val="Listparagraf"/>
    <w:locked/>
    <w:rsid w:val="00730E6E"/>
    <w:rPr>
      <w:rFonts w:ascii="Arial" w:eastAsia="Times New Roman" w:hAnsi="Arial" w:cs="Arial"/>
      <w:sz w:val="20"/>
      <w:szCs w:val="20"/>
      <w:lang w:val="ro-RO" w:eastAsia="ro-RO"/>
    </w:rPr>
  </w:style>
  <w:style w:type="paragraph" w:customStyle="1" w:styleId="Frspaiere1">
    <w:name w:val="Fără spațiere1"/>
    <w:link w:val="FrspaiereChar"/>
    <w:qFormat/>
    <w:rsid w:val="00730E6E"/>
    <w:pPr>
      <w:spacing w:after="0" w:line="240" w:lineRule="auto"/>
    </w:pPr>
    <w:rPr>
      <w:rFonts w:ascii="Calibri" w:eastAsia="Calibri" w:hAnsi="Calibri" w:cs="Times New Roman"/>
    </w:rPr>
  </w:style>
  <w:style w:type="character" w:customStyle="1" w:styleId="FrspaiereChar">
    <w:name w:val="Fără spațiere Char"/>
    <w:link w:val="Frspaiere1"/>
    <w:rsid w:val="00730E6E"/>
    <w:rPr>
      <w:rFonts w:ascii="Calibri" w:eastAsia="Calibri" w:hAnsi="Calibri" w:cs="Times New Roman"/>
    </w:rPr>
  </w:style>
  <w:style w:type="paragraph" w:customStyle="1" w:styleId="CharChar3CaracterCaracter1CharCharCaracterCaracter1CaracterCaracterCharCharCaracterCaracterCharCharCaracterCaracterCharCharCaracterCaracterCaracterCaracter1CharChar">
    <w:name w:val="Char Char3 Caracter Caracter1 Char Char Caracter Caracter1 Caracter Caracter Char Char Caracter Caracter Char Char Caracter Caracter Char Char Caracter Caracter Caracter Caracter1 Char Char"/>
    <w:basedOn w:val="Normal"/>
    <w:rsid w:val="00730E6E"/>
    <w:rPr>
      <w:lang w:val="pl-PL" w:eastAsia="pl-PL"/>
    </w:rPr>
  </w:style>
  <w:style w:type="paragraph" w:customStyle="1" w:styleId="CharCharCharChar1CharCharCharCharCharCharCharCharCaracterCaracterCaracterCharCaracterCharCharCharChar">
    <w:name w:val="Char Char Char Char1 Char Char Char Char Char Char Char Char Caracter Caracter Caracter Char Caracter Char Char Char Char"/>
    <w:aliases w:val=" Char Char1 Char Char Char Char Char Char Caracter Char Caracter Char Char Char Char Char Char Char Char"/>
    <w:basedOn w:val="Normal"/>
    <w:next w:val="Normal"/>
    <w:rsid w:val="00730E6E"/>
    <w:pPr>
      <w:spacing w:after="160" w:line="240" w:lineRule="exact"/>
    </w:pPr>
    <w:rPr>
      <w:sz w:val="20"/>
      <w:szCs w:val="20"/>
      <w:vertAlign w:val="superscript"/>
    </w:rPr>
  </w:style>
  <w:style w:type="paragraph" w:customStyle="1" w:styleId="CharChar3CaracterCaracter1CharCharCaracterCaracter1CaracterCaracterCharCharCaracterCaracterCharCharCaracterCaracterCharCharCaracterCaracterCaracterCaracter1CharChar1Caracter">
    <w:name w:val="Char Char3 Caracter Caracter1 Char Char Caracter Caracter1 Caracter Caracter Char Char Caracter Caracter Char Char Caracter Caracter Char Char Caracter Caracter Caracter Caracter1 Char Char1 Caracter"/>
    <w:basedOn w:val="Normal"/>
    <w:rsid w:val="00730E6E"/>
    <w:rPr>
      <w:lang w:val="pl-PL" w:eastAsia="pl-PL"/>
    </w:rPr>
  </w:style>
  <w:style w:type="paragraph" w:customStyle="1" w:styleId="Caracter2CharCharCaracterCharCharCaracterCharCharCaracterCharChar">
    <w:name w:val="Caracter2 Char Char Caracter Char Char Caracter Char Char Caracter Char Char"/>
    <w:basedOn w:val="Normal"/>
    <w:rsid w:val="00730E6E"/>
    <w:rPr>
      <w:lang w:val="pl-PL" w:eastAsia="pl-PL"/>
    </w:rPr>
  </w:style>
  <w:style w:type="character" w:customStyle="1" w:styleId="StrongEmphasis">
    <w:name w:val="Strong Emphasis"/>
    <w:rsid w:val="00730E6E"/>
    <w:rPr>
      <w:rFonts w:cs="Times New Roman"/>
      <w:b/>
      <w:bCs/>
    </w:rPr>
  </w:style>
  <w:style w:type="character" w:customStyle="1" w:styleId="fontstyle13">
    <w:name w:val="fontstyle13"/>
    <w:rsid w:val="00730E6E"/>
    <w:rPr>
      <w:rFonts w:cs="Times New Roman"/>
    </w:rPr>
  </w:style>
  <w:style w:type="character" w:customStyle="1" w:styleId="InternetLink">
    <w:name w:val="Internet Link"/>
    <w:rsid w:val="00730E6E"/>
    <w:rPr>
      <w:color w:val="000080"/>
      <w:u w:val="single"/>
    </w:rPr>
  </w:style>
  <w:style w:type="paragraph" w:customStyle="1" w:styleId="CharCharCharChar1CharCharCharCharCharCharCharCharCaracterCaracterCaracterCharCaracterCharCharChar">
    <w:name w:val="Char Char Char Char1 Char Char Char Char Char Char Char Char Caracter Caracter Caracter Char Caracter Char Char Char"/>
    <w:aliases w:val=" Char Char1 Char Char Char Char Char Char Caracter Char Caracter Char Char Char Char Char Char"/>
    <w:basedOn w:val="Normal"/>
    <w:next w:val="Normal"/>
    <w:rsid w:val="00730E6E"/>
    <w:pPr>
      <w:spacing w:after="160" w:line="240" w:lineRule="exact"/>
    </w:pPr>
    <w:rPr>
      <w:sz w:val="20"/>
      <w:szCs w:val="20"/>
      <w:vertAlign w:val="superscript"/>
    </w:rPr>
  </w:style>
  <w:style w:type="paragraph" w:customStyle="1" w:styleId="Caracter2CharCharCaracterCharCharCaracterCharCharCaracter">
    <w:name w:val="Caracter2 Char Char Caracter Char Char Caracter Char Char Caracter"/>
    <w:basedOn w:val="Normal"/>
    <w:rsid w:val="00730E6E"/>
    <w:rPr>
      <w:lang w:val="pl-PL" w:eastAsia="pl-PL"/>
    </w:rPr>
  </w:style>
  <w:style w:type="table" w:customStyle="1" w:styleId="TableSimple11">
    <w:name w:val="Table Simple 11"/>
    <w:basedOn w:val="TableNormal"/>
    <w:next w:val="TableSimple1"/>
    <w:rsid w:val="00730E6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harChar1CharCharCharCharCharCharCaracter1CharCaracterCharCaracterCharCaracterCharCharChar">
    <w:name w:val="Char Char1 Char Char Char Char Char Char Caracter1 Char Caracter Char Caracter Char Caracter Char Char Char"/>
    <w:aliases w:val=" Char Char1 Char Char Char Char Char Char Caracter Char Char Char Char, Char Char1 Char Char Char Char Char Char Caracter Cha"/>
    <w:basedOn w:val="Normal"/>
    <w:next w:val="Normal"/>
    <w:rsid w:val="00730E6E"/>
    <w:pPr>
      <w:spacing w:after="160" w:line="240" w:lineRule="exact"/>
    </w:pPr>
    <w:rPr>
      <w:sz w:val="20"/>
      <w:szCs w:val="20"/>
      <w:vertAlign w:val="superscript"/>
    </w:rPr>
  </w:style>
  <w:style w:type="paragraph" w:customStyle="1" w:styleId="CharCharCharChar1CharCharCharCharCharCharCharCharCaracterCaracterChar1Caracter">
    <w:name w:val="Char Char Char Char1 Char Char Char Char Char Char Char Char Caracter Caracter Char1 Caracter"/>
    <w:aliases w:val=" Char Char Char Char1 Char Char Char Char Char Char Char Char Caracter Caracter Caracter Caracter Char Char1 Caracter Caracter"/>
    <w:basedOn w:val="Normal"/>
    <w:next w:val="Normal"/>
    <w:rsid w:val="00730E6E"/>
    <w:pPr>
      <w:spacing w:after="160" w:line="240" w:lineRule="exact"/>
    </w:pPr>
    <w:rPr>
      <w:sz w:val="20"/>
      <w:szCs w:val="20"/>
      <w:vertAlign w:val="superscript"/>
      <w:lang w:val="ro-RO" w:eastAsia="ro-RO"/>
    </w:rPr>
  </w:style>
  <w:style w:type="paragraph" w:customStyle="1" w:styleId="CharCharCaracterCaracterCaracterCharCharChar1CharCharCharCharCharCharCharCharCharCharCharCharCharCharCharCaracterCaracterCaracterCaracterCaracterCaracterCaracter">
    <w:name w:val="Char Char Caracter Caracter Caracter Char Char Char1 Char Char Char Char Char Char Char Char Char Char Char Char Char Char Char Caracter Caracter Caracter Caracter Caracter Caracter Caracter"/>
    <w:basedOn w:val="Normal"/>
    <w:rsid w:val="00730E6E"/>
    <w:rPr>
      <w:lang w:val="pl-PL" w:eastAsia="pl-PL"/>
    </w:rPr>
  </w:style>
  <w:style w:type="paragraph" w:customStyle="1" w:styleId="CaracterCaracter3CharCharCaracterCaracterCharCharCaracterCaracterCharCharCaracterCaracterCharCharCaracterCaracter">
    <w:name w:val="Caracter Caracter3 Char Char Caracter Caracter Char Char Caracter Caracter Char Char Caracter Caracter Char Char Caracter Caracter"/>
    <w:basedOn w:val="Normal"/>
    <w:rsid w:val="00730E6E"/>
    <w:rPr>
      <w:lang w:val="pl-PL" w:eastAsia="pl-PL"/>
    </w:rPr>
  </w:style>
  <w:style w:type="paragraph" w:customStyle="1" w:styleId="CharChar1CaracterCaracter1">
    <w:name w:val="Char Char1 Caracter Caracter1"/>
    <w:basedOn w:val="Normal"/>
    <w:rsid w:val="00730E6E"/>
    <w:rPr>
      <w:lang w:val="pl-PL" w:eastAsia="pl-PL"/>
    </w:rPr>
  </w:style>
  <w:style w:type="paragraph" w:customStyle="1" w:styleId="BVIfnrChar1CharCharCharCharCharChar1CharCaracterCharCharCharCharCharChar">
    <w:name w:val="BVI fnr Char1 Char Char Char Char Char Char1 Char Caracter Char Char Char Char Char Char"/>
    <w:aliases w:val="Footnote Reference Number Char Char Char Char Char Char Char1 Char Caracter Char Char Char Char Char Char Char Char Char Char Caracter"/>
    <w:basedOn w:val="Normal"/>
    <w:next w:val="Normal"/>
    <w:rsid w:val="00730E6E"/>
    <w:pPr>
      <w:spacing w:after="160" w:line="240" w:lineRule="exact"/>
    </w:pPr>
    <w:rPr>
      <w:sz w:val="20"/>
      <w:szCs w:val="20"/>
      <w:vertAlign w:val="superscript"/>
      <w:lang w:val="ro-RO" w:eastAsia="ro-RO"/>
    </w:rPr>
  </w:style>
  <w:style w:type="character" w:customStyle="1" w:styleId="FootnoteAnchor">
    <w:name w:val="Footnote Anchor"/>
    <w:rsid w:val="00730E6E"/>
    <w:rPr>
      <w:vertAlign w:val="superscript"/>
    </w:rPr>
  </w:style>
  <w:style w:type="paragraph" w:customStyle="1" w:styleId="CaracterCaracterCharCharCaracterCaracterCharCharCaracterCaracterCharCharCaracterCaracterCharCharCharCharCaracterCaracterCharCharCaracterCaracter">
    <w:name w:val="Caracter Caracter Char Char Caracter Caracter Char Char Caracter Caracter Char Char Caracter Caracter Char Char Char Char Caracter Caracter Char Char Caracter Caracter"/>
    <w:basedOn w:val="Normal"/>
    <w:rsid w:val="00730E6E"/>
    <w:pPr>
      <w:suppressAutoHyphens/>
    </w:pPr>
    <w:rPr>
      <w:rFonts w:ascii="Arial" w:hAnsi="Arial" w:cs="Arial"/>
      <w:lang w:val="pl-PL" w:eastAsia="zh-CN"/>
    </w:rPr>
  </w:style>
  <w:style w:type="paragraph" w:customStyle="1" w:styleId="Date1">
    <w:name w:val="Date1"/>
    <w:basedOn w:val="Normal"/>
    <w:rsid w:val="00730E6E"/>
    <w:pPr>
      <w:spacing w:before="100" w:beforeAutospacing="1" w:after="100" w:afterAutospacing="1"/>
    </w:pPr>
  </w:style>
  <w:style w:type="paragraph" w:customStyle="1" w:styleId="Caracter">
    <w:name w:val="Caracter"/>
    <w:basedOn w:val="Normal"/>
    <w:rsid w:val="00730E6E"/>
    <w:rPr>
      <w:szCs w:val="20"/>
      <w:lang w:val="pl-PL" w:eastAsia="pl-PL"/>
    </w:rPr>
  </w:style>
  <w:style w:type="paragraph" w:customStyle="1" w:styleId="CharChar1CharCharCharCharCharCharChar">
    <w:name w:val="Char Char1 Char Char Char Char Char Char Char"/>
    <w:aliases w:val="Char Char Char Char1 Char Char Char Char Char Char Char Char Caracter Caracter Char1 Caracter Char Char"/>
    <w:basedOn w:val="Normal"/>
    <w:next w:val="Normal"/>
    <w:rsid w:val="00730E6E"/>
    <w:pPr>
      <w:spacing w:after="160" w:line="240" w:lineRule="exact"/>
    </w:pPr>
    <w:rPr>
      <w:sz w:val="20"/>
      <w:szCs w:val="20"/>
      <w:vertAlign w:val="superscript"/>
      <w:lang w:val="ro-RO" w:eastAsia="ro-RO"/>
    </w:rPr>
  </w:style>
  <w:style w:type="paragraph" w:customStyle="1" w:styleId="DecimalAligned">
    <w:name w:val="Decimal Aligned"/>
    <w:basedOn w:val="Normal"/>
    <w:qFormat/>
    <w:rsid w:val="00730E6E"/>
    <w:pPr>
      <w:tabs>
        <w:tab w:val="decimal" w:pos="360"/>
      </w:tabs>
      <w:spacing w:after="200" w:line="276" w:lineRule="auto"/>
    </w:pPr>
    <w:rPr>
      <w:rFonts w:ascii="Calibri" w:hAnsi="Calibri"/>
      <w:sz w:val="22"/>
      <w:szCs w:val="22"/>
    </w:rPr>
  </w:style>
  <w:style w:type="table" w:styleId="MediumShading2-Accent5">
    <w:name w:val="Medium Shading 2 Accent 5"/>
    <w:basedOn w:val="TableNormal"/>
    <w:rsid w:val="00730E6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Char1CharCharCharChar">
    <w:name w:val="Char Char1 Char Char Char Char"/>
    <w:basedOn w:val="Normal"/>
    <w:next w:val="Normal"/>
    <w:rsid w:val="00730E6E"/>
    <w:pPr>
      <w:spacing w:after="160" w:line="240" w:lineRule="exact"/>
    </w:pPr>
    <w:rPr>
      <w:sz w:val="20"/>
      <w:szCs w:val="20"/>
      <w:vertAlign w:val="superscript"/>
    </w:rPr>
  </w:style>
  <w:style w:type="paragraph" w:customStyle="1" w:styleId="CaracterCaracter1CharChar1CaracterCharCharCaracterCaracter">
    <w:name w:val="Caracter Caracter1 Char Char1 Caracter Char Char Caracter Caracter"/>
    <w:basedOn w:val="Normal"/>
    <w:rsid w:val="00730E6E"/>
    <w:rPr>
      <w:lang w:val="pl-PL" w:eastAsia="pl-PL"/>
    </w:rPr>
  </w:style>
  <w:style w:type="paragraph" w:customStyle="1" w:styleId="Listparagraf1">
    <w:name w:val="Listă paragraf1"/>
    <w:basedOn w:val="Normal"/>
    <w:qFormat/>
    <w:rsid w:val="00730E6E"/>
    <w:pPr>
      <w:spacing w:after="160" w:line="276" w:lineRule="auto"/>
      <w:ind w:left="720"/>
    </w:pPr>
    <w:rPr>
      <w:rFonts w:ascii="Perpetua" w:hAnsi="Perpetua"/>
      <w:color w:val="000000"/>
      <w:sz w:val="22"/>
      <w:szCs w:val="20"/>
    </w:rPr>
  </w:style>
  <w:style w:type="paragraph" w:customStyle="1" w:styleId="BVIfnrChar1CharCharCharCharCharChar1CharCaracterCharCharCharCharCharCharCha">
    <w:name w:val="BVI fnr Char1 Char Char Char Char Char Char1 Char Caracter Char Char Char Char Char Char Cha"/>
    <w:basedOn w:val="Normal"/>
    <w:next w:val="Normal"/>
    <w:rsid w:val="00730E6E"/>
    <w:pPr>
      <w:spacing w:after="160" w:line="240" w:lineRule="exact"/>
    </w:pPr>
    <w:rPr>
      <w:rFonts w:ascii="Calibri" w:eastAsia="Calibri" w:hAnsi="Calibri"/>
      <w:sz w:val="22"/>
      <w:szCs w:val="22"/>
      <w:vertAlign w:val="superscript"/>
    </w:rPr>
  </w:style>
  <w:style w:type="paragraph" w:customStyle="1" w:styleId="CaracterCaracter2CharCharCaracterCaracterCharCharCaracterCaracterCharCharCaracterCaracterCaracterCaracterCaracterCaracter">
    <w:name w:val="Caracter Caracter2 Char Char Caracter Caracter Char Char Caracter Caracter Char Char Caracter Caracter Caracter Caracter Caracter Caracter"/>
    <w:basedOn w:val="Normal"/>
    <w:rsid w:val="00730E6E"/>
    <w:rPr>
      <w:lang w:val="pl-PL" w:eastAsia="pl-PL"/>
    </w:rPr>
  </w:style>
  <w:style w:type="paragraph" w:customStyle="1" w:styleId="Caracter2">
    <w:name w:val="Caracter2"/>
    <w:basedOn w:val="Normal"/>
    <w:rsid w:val="00730E6E"/>
    <w:rPr>
      <w:lang w:val="pl-PL" w:eastAsia="pl-PL"/>
    </w:rPr>
  </w:style>
  <w:style w:type="paragraph" w:customStyle="1" w:styleId="Caracter2CharChar">
    <w:name w:val="Caracter2 Char Char"/>
    <w:basedOn w:val="Normal"/>
    <w:rsid w:val="00730E6E"/>
    <w:rPr>
      <w:lang w:val="pl-PL" w:eastAsia="pl-PL"/>
    </w:rPr>
  </w:style>
  <w:style w:type="paragraph" w:customStyle="1" w:styleId="BodyTextIndent22">
    <w:name w:val="Body Text Indent 22"/>
    <w:basedOn w:val="Normal"/>
    <w:rsid w:val="00730E6E"/>
    <w:pPr>
      <w:widowControl w:val="0"/>
      <w:suppressAutoHyphens/>
      <w:spacing w:before="120" w:after="120"/>
      <w:ind w:firstLine="1134"/>
      <w:jc w:val="both"/>
    </w:pPr>
    <w:rPr>
      <w:rFonts w:eastAsia="SimSun"/>
      <w:sz w:val="28"/>
      <w:szCs w:val="20"/>
      <w:lang w:val="ro-RO" w:eastAsia="zh-CN"/>
    </w:rPr>
  </w:style>
  <w:style w:type="paragraph" w:customStyle="1" w:styleId="CharCharCharChar1CharCharCharCharCharCharCharCharCaracterCaracterCaracterCharCaracter">
    <w:name w:val="Char Char Char Char1 Char Char Char Char Char Char Char Char Caracter Caracter Caracter Char Caracter"/>
    <w:aliases w:val=" Char Char1 Char Char Char Char Char Char Caracter Char Caracter"/>
    <w:basedOn w:val="Normal"/>
    <w:next w:val="Normal"/>
    <w:rsid w:val="00730E6E"/>
    <w:pPr>
      <w:spacing w:after="160" w:line="240" w:lineRule="exact"/>
    </w:pPr>
    <w:rPr>
      <w:sz w:val="20"/>
      <w:szCs w:val="20"/>
      <w:vertAlign w:val="superscript"/>
      <w:lang w:val="ro-RO" w:eastAsia="ro-RO"/>
    </w:rPr>
  </w:style>
  <w:style w:type="character" w:customStyle="1" w:styleId="CharChar8">
    <w:name w:val="Char Char8"/>
    <w:semiHidden/>
    <w:locked/>
    <w:rsid w:val="00730E6E"/>
    <w:rPr>
      <w:rFonts w:ascii="Garamond" w:hAnsi="Garamond" w:cs="Garamond"/>
      <w:sz w:val="24"/>
      <w:szCs w:val="24"/>
      <w:lang w:val="ro-RO" w:eastAsia="ro-RO" w:bidi="ar-SA"/>
    </w:rPr>
  </w:style>
  <w:style w:type="character" w:customStyle="1" w:styleId="st1">
    <w:name w:val="st1"/>
    <w:basedOn w:val="DefaultParagraphFont"/>
    <w:rsid w:val="00730E6E"/>
  </w:style>
  <w:style w:type="character" w:customStyle="1" w:styleId="prdsubttitle1">
    <w:name w:val="prdsubttitle1"/>
    <w:basedOn w:val="DefaultParagraphFont"/>
    <w:rsid w:val="00730E6E"/>
  </w:style>
  <w:style w:type="paragraph" w:customStyle="1" w:styleId="Caracter2CharCharCaracterCharCharCaracter">
    <w:name w:val="Caracter2 Char Char Caracter Char Char Caracter"/>
    <w:basedOn w:val="Normal"/>
    <w:rsid w:val="00730E6E"/>
    <w:rPr>
      <w:lang w:val="pl-PL" w:eastAsia="pl-PL"/>
    </w:rPr>
  </w:style>
  <w:style w:type="paragraph" w:customStyle="1" w:styleId="CharChar1CharCharCharCharCharCharCaracter1CharCaracterCharCaracterCharCaracterCharChar">
    <w:name w:val="Char Char1 Char Char Char Char Char Char Caracter1 Char Caracter Char Caracter Char Caracter Char Char"/>
    <w:aliases w:val="Char Char1 Char Char Char Char Char Char Caracter Char Char"/>
    <w:basedOn w:val="Normal"/>
    <w:next w:val="Normal"/>
    <w:rsid w:val="00730E6E"/>
    <w:pPr>
      <w:spacing w:after="160" w:line="240" w:lineRule="exact"/>
    </w:pPr>
    <w:rPr>
      <w:sz w:val="20"/>
      <w:szCs w:val="20"/>
      <w:vertAlign w:val="superscript"/>
      <w:lang w:val="ro-RO" w:eastAsia="ko-KR"/>
    </w:rPr>
  </w:style>
  <w:style w:type="paragraph" w:customStyle="1" w:styleId="CharChar2CaracterCharCharCaracter">
    <w:name w:val="Char Char2 Caracter Char Char Caracter"/>
    <w:basedOn w:val="Normal"/>
    <w:rsid w:val="00730E6E"/>
    <w:rPr>
      <w:lang w:val="pl-PL" w:eastAsia="pl-PL"/>
    </w:rPr>
  </w:style>
  <w:style w:type="paragraph" w:customStyle="1" w:styleId="CaracterCaracter2CharCharCaracterCharChar1">
    <w:name w:val="Caracter Caracter2 Char Char Caracter Char Char1"/>
    <w:basedOn w:val="Normal"/>
    <w:rsid w:val="00730E6E"/>
    <w:rPr>
      <w:lang w:val="pl-PL" w:eastAsia="pl-PL"/>
    </w:rPr>
  </w:style>
  <w:style w:type="paragraph" w:customStyle="1" w:styleId="CharChar1CharCharCharCharCharCharCaracter1CharCaracterCharCaracterCharCaracterCharCharCaracterChar">
    <w:name w:val="Char Char1 Char Char Char Char Char Char Caracter1 Char Caracter Char Caracter Char Caracter Char Char Caracter Char"/>
    <w:aliases w:val=" Char Char1 Char Char Char Char Char Char Caracter Char Char Caracter Char Char"/>
    <w:basedOn w:val="Normal"/>
    <w:next w:val="Normal"/>
    <w:rsid w:val="00730E6E"/>
    <w:pPr>
      <w:spacing w:after="160" w:line="240" w:lineRule="exact"/>
    </w:pPr>
    <w:rPr>
      <w:sz w:val="20"/>
      <w:szCs w:val="20"/>
      <w:vertAlign w:val="superscript"/>
    </w:rPr>
  </w:style>
  <w:style w:type="paragraph" w:styleId="DocumentMap">
    <w:name w:val="Document Map"/>
    <w:basedOn w:val="Normal"/>
    <w:link w:val="DocumentMapChar"/>
    <w:rsid w:val="00730E6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730E6E"/>
    <w:rPr>
      <w:rFonts w:ascii="Tahoma" w:eastAsia="Times New Roman" w:hAnsi="Tahoma" w:cs="Tahoma"/>
      <w:sz w:val="20"/>
      <w:szCs w:val="20"/>
      <w:shd w:val="clear" w:color="auto" w:fill="000080"/>
    </w:rPr>
  </w:style>
  <w:style w:type="paragraph" w:customStyle="1" w:styleId="CharChar1CharCharCharCharCharCharCaracter1CharCaracterCharCaracterCharCaracterCharCharCaracter">
    <w:name w:val="Char Char1 Char Char Char Char Char Char Caracter1 Char Caracter Char Caracter Char Caracter Char Char Caracter"/>
    <w:aliases w:val=" Char Char1 Char Char Char Char Char Char Caracter Char Char Caracter"/>
    <w:basedOn w:val="Normal"/>
    <w:next w:val="Normal"/>
    <w:rsid w:val="00730E6E"/>
    <w:pPr>
      <w:spacing w:after="160" w:line="240" w:lineRule="exact"/>
    </w:pPr>
    <w:rPr>
      <w:sz w:val="20"/>
      <w:szCs w:val="20"/>
      <w:vertAlign w:val="superscript"/>
    </w:rPr>
  </w:style>
  <w:style w:type="character" w:customStyle="1" w:styleId="WW8Num3z1">
    <w:name w:val="WW8Num3z1"/>
    <w:rsid w:val="00730E6E"/>
  </w:style>
  <w:style w:type="character" w:customStyle="1" w:styleId="WW8Num3z2">
    <w:name w:val="WW8Num3z2"/>
    <w:rsid w:val="00730E6E"/>
    <w:rPr>
      <w:rFonts w:ascii="Symbol" w:hAnsi="Symbol" w:cs="Symbol"/>
    </w:rPr>
  </w:style>
  <w:style w:type="character" w:customStyle="1" w:styleId="WW8Num5z3">
    <w:name w:val="WW8Num5z3"/>
    <w:rsid w:val="00730E6E"/>
    <w:rPr>
      <w:rFonts w:ascii="Symbol" w:hAnsi="Symbol" w:cs="Symbol"/>
      <w:sz w:val="24"/>
      <w:szCs w:val="24"/>
      <w:shd w:val="clear" w:color="auto" w:fill="auto"/>
    </w:rPr>
  </w:style>
  <w:style w:type="character" w:customStyle="1" w:styleId="WW8Num7z3">
    <w:name w:val="WW8Num7z3"/>
    <w:rsid w:val="00730E6E"/>
    <w:rPr>
      <w:rFonts w:ascii="Symbol" w:hAnsi="Symbol" w:cs="Courier New"/>
    </w:rPr>
  </w:style>
  <w:style w:type="character" w:customStyle="1" w:styleId="WW8Num15z2">
    <w:name w:val="WW8Num15z2"/>
    <w:rsid w:val="00730E6E"/>
    <w:rPr>
      <w:rFonts w:ascii="Wingdings" w:hAnsi="Wingdings" w:cs="Wingdings"/>
    </w:rPr>
  </w:style>
  <w:style w:type="character" w:customStyle="1" w:styleId="WW8Num17z4">
    <w:name w:val="WW8Num17z4"/>
    <w:rsid w:val="00730E6E"/>
    <w:rPr>
      <w:rFonts w:ascii="Courier New" w:hAnsi="Courier New" w:cs="Courier New"/>
    </w:rPr>
  </w:style>
  <w:style w:type="table" w:customStyle="1" w:styleId="TableGrid2">
    <w:name w:val="Table Grid2"/>
    <w:basedOn w:val="TableNormal"/>
    <w:next w:val="TableGrid"/>
    <w:uiPriority w:val="59"/>
    <w:rsid w:val="00730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30E6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20">
    <w:name w:val="Body text (2)_"/>
    <w:basedOn w:val="DefaultParagraphFont"/>
    <w:link w:val="Bodytext22"/>
    <w:locked/>
    <w:rsid w:val="00730E6E"/>
    <w:rPr>
      <w:rFonts w:ascii="Trebuchet MS" w:eastAsia="Trebuchet MS" w:hAnsi="Trebuchet MS" w:cs="Trebuchet MS"/>
      <w:shd w:val="clear" w:color="auto" w:fill="FFFFFF"/>
    </w:rPr>
  </w:style>
  <w:style w:type="paragraph" w:customStyle="1" w:styleId="Bodytext22">
    <w:name w:val="Body text (2)"/>
    <w:basedOn w:val="Normal"/>
    <w:link w:val="Bodytext20"/>
    <w:rsid w:val="00730E6E"/>
    <w:pPr>
      <w:widowControl w:val="0"/>
      <w:shd w:val="clear" w:color="auto" w:fill="FFFFFF"/>
      <w:spacing w:after="240" w:line="283" w:lineRule="exact"/>
      <w:jc w:val="both"/>
    </w:pPr>
    <w:rPr>
      <w:rFonts w:ascii="Trebuchet MS" w:eastAsia="Trebuchet MS" w:hAnsi="Trebuchet MS" w:cs="Trebuchet MS"/>
      <w:sz w:val="22"/>
      <w:szCs w:val="22"/>
    </w:rPr>
  </w:style>
  <w:style w:type="paragraph" w:customStyle="1" w:styleId="Date2">
    <w:name w:val="Date2"/>
    <w:basedOn w:val="Normal"/>
    <w:rsid w:val="00730E6E"/>
    <w:pPr>
      <w:spacing w:before="100" w:beforeAutospacing="1" w:after="100" w:afterAutospacing="1"/>
    </w:pPr>
  </w:style>
  <w:style w:type="table" w:customStyle="1" w:styleId="MediumShading2-Accent51">
    <w:name w:val="Medium Shading 2 - Accent 51"/>
    <w:basedOn w:val="TableNormal"/>
    <w:next w:val="MediumShading2-Accent5"/>
    <w:rsid w:val="00730E6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50">
    <w:name w:val="Heading #5_"/>
    <w:link w:val="Heading51"/>
    <w:rsid w:val="00730E6E"/>
    <w:rPr>
      <w:rFonts w:ascii="Trebuchet MS" w:eastAsia="Trebuchet MS" w:hAnsi="Trebuchet MS" w:cs="Trebuchet MS"/>
      <w:b/>
      <w:bCs/>
      <w:shd w:val="clear" w:color="auto" w:fill="FFFFFF"/>
    </w:rPr>
  </w:style>
  <w:style w:type="paragraph" w:customStyle="1" w:styleId="Heading51">
    <w:name w:val="Heading #5"/>
    <w:basedOn w:val="Normal"/>
    <w:link w:val="Heading50"/>
    <w:rsid w:val="00730E6E"/>
    <w:pPr>
      <w:widowControl w:val="0"/>
      <w:shd w:val="clear" w:color="auto" w:fill="FFFFFF"/>
      <w:spacing w:before="240" w:after="420" w:line="0" w:lineRule="atLeast"/>
      <w:jc w:val="both"/>
      <w:outlineLvl w:val="4"/>
    </w:pPr>
    <w:rPr>
      <w:rFonts w:ascii="Trebuchet MS" w:eastAsia="Trebuchet MS" w:hAnsi="Trebuchet MS" w:cs="Trebuchet MS"/>
      <w:b/>
      <w:bCs/>
      <w:sz w:val="22"/>
      <w:szCs w:val="22"/>
    </w:rPr>
  </w:style>
  <w:style w:type="character" w:customStyle="1" w:styleId="Headerorfooter4">
    <w:name w:val="Header or footer (4)_"/>
    <w:link w:val="Headerorfooter40"/>
    <w:rsid w:val="00730E6E"/>
    <w:rPr>
      <w:rFonts w:ascii="Trebuchet MS" w:eastAsia="Trebuchet MS" w:hAnsi="Trebuchet MS" w:cs="Trebuchet MS"/>
      <w:shd w:val="clear" w:color="auto" w:fill="FFFFFF"/>
    </w:rPr>
  </w:style>
  <w:style w:type="paragraph" w:customStyle="1" w:styleId="Headerorfooter40">
    <w:name w:val="Header or footer (4)"/>
    <w:basedOn w:val="Normal"/>
    <w:link w:val="Headerorfooter4"/>
    <w:rsid w:val="00730E6E"/>
    <w:pPr>
      <w:widowControl w:val="0"/>
      <w:shd w:val="clear" w:color="auto" w:fill="FFFFFF"/>
      <w:spacing w:line="0" w:lineRule="atLeast"/>
    </w:pPr>
    <w:rPr>
      <w:rFonts w:ascii="Trebuchet MS" w:eastAsia="Trebuchet MS" w:hAnsi="Trebuchet MS" w:cs="Trebuchet MS"/>
      <w:sz w:val="22"/>
      <w:szCs w:val="22"/>
    </w:rPr>
  </w:style>
  <w:style w:type="character" w:customStyle="1" w:styleId="NoSpacingChar1">
    <w:name w:val="No Spacing Char1"/>
    <w:uiPriority w:val="99"/>
    <w:locked/>
    <w:rsid w:val="00730E6E"/>
    <w:rPr>
      <w:rFonts w:ascii="Arial" w:eastAsia="Times New Roman" w:hAnsi="Arial" w:cs="Arial"/>
      <w:sz w:val="20"/>
      <w:szCs w:val="20"/>
      <w:lang w:val="ro-RO" w:eastAsia="ro-RO"/>
    </w:rPr>
  </w:style>
  <w:style w:type="character" w:customStyle="1" w:styleId="StyleTahoma">
    <w:name w:val="Style Tahoma"/>
    <w:semiHidden/>
    <w:rsid w:val="00730E6E"/>
    <w:rPr>
      <w:rFonts w:ascii="Tahoma" w:hAnsi="Tahoma"/>
      <w:sz w:val="24"/>
    </w:rPr>
  </w:style>
  <w:style w:type="character" w:customStyle="1" w:styleId="gri1">
    <w:name w:val="gri1"/>
    <w:rsid w:val="00730E6E"/>
    <w:rPr>
      <w:rFonts w:ascii="Verdana" w:hAnsi="Verdana" w:hint="default"/>
      <w:strike w:val="0"/>
      <w:dstrike w:val="0"/>
      <w:color w:val="666666"/>
      <w:sz w:val="20"/>
      <w:szCs w:val="20"/>
      <w:u w:val="none"/>
      <w:effect w:val="none"/>
    </w:rPr>
  </w:style>
  <w:style w:type="character" w:customStyle="1" w:styleId="FrspaiereCaracter">
    <w:name w:val="Fără spațiere Caracter"/>
    <w:locked/>
    <w:rsid w:val="00730E6E"/>
    <w:rPr>
      <w:rFonts w:ascii="Times New Roman" w:eastAsia="Times New Roman" w:hAnsi="Times New Roman" w:cs="Times New Roman"/>
      <w:sz w:val="24"/>
      <w:szCs w:val="24"/>
      <w:lang w:val="ro-RO" w:eastAsia="ro-RO"/>
    </w:rPr>
  </w:style>
  <w:style w:type="paragraph" w:styleId="HTMLPreformatted">
    <w:name w:val="HTML Preformatted"/>
    <w:basedOn w:val="Normal"/>
    <w:link w:val="HTMLPreformattedChar"/>
    <w:uiPriority w:val="99"/>
    <w:rsid w:val="00730E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PreformattedChar">
    <w:name w:val="HTML Preformatted Char"/>
    <w:basedOn w:val="DefaultParagraphFont"/>
    <w:link w:val="HTMLPreformatted"/>
    <w:uiPriority w:val="99"/>
    <w:rsid w:val="00730E6E"/>
    <w:rPr>
      <w:rFonts w:ascii="Courier New" w:eastAsia="Times New Roman" w:hAnsi="Courier New" w:cs="Times New Roman"/>
      <w:color w:val="000000"/>
      <w:sz w:val="20"/>
      <w:szCs w:val="20"/>
    </w:rPr>
  </w:style>
  <w:style w:type="character" w:customStyle="1" w:styleId="FontStyle208">
    <w:name w:val="Font Style208"/>
    <w:rsid w:val="00730E6E"/>
    <w:rPr>
      <w:rFonts w:ascii="Times New Roman" w:hAnsi="Times New Roman" w:cs="Times New Roman"/>
      <w:sz w:val="16"/>
      <w:szCs w:val="16"/>
    </w:rPr>
  </w:style>
  <w:style w:type="paragraph" w:customStyle="1" w:styleId="NoteHead">
    <w:name w:val="NoteHead"/>
    <w:basedOn w:val="Normal"/>
    <w:next w:val="Normal"/>
    <w:rsid w:val="00730E6E"/>
    <w:pPr>
      <w:spacing w:before="720" w:after="720"/>
      <w:jc w:val="center"/>
    </w:pPr>
    <w:rPr>
      <w:b/>
      <w:smallCaps/>
      <w:szCs w:val="20"/>
      <w:lang w:val="en-GB" w:eastAsia="en-GB"/>
    </w:rPr>
  </w:style>
  <w:style w:type="character" w:customStyle="1" w:styleId="ar1">
    <w:name w:val="ar1"/>
    <w:rsid w:val="00730E6E"/>
    <w:rPr>
      <w:b/>
      <w:bCs/>
      <w:color w:val="0000AF"/>
      <w:sz w:val="22"/>
      <w:szCs w:val="22"/>
    </w:rPr>
  </w:style>
  <w:style w:type="character" w:customStyle="1" w:styleId="pt1">
    <w:name w:val="pt1"/>
    <w:rsid w:val="00730E6E"/>
    <w:rPr>
      <w:b/>
      <w:bCs/>
      <w:color w:val="8F0000"/>
    </w:rPr>
  </w:style>
  <w:style w:type="character" w:customStyle="1" w:styleId="tpt1">
    <w:name w:val="tpt1"/>
    <w:rsid w:val="00730E6E"/>
  </w:style>
  <w:style w:type="paragraph" w:customStyle="1" w:styleId="CaracterCaracter1CharCharCaracter">
    <w:name w:val="Caracter Caracter1 Char Char Caracter"/>
    <w:basedOn w:val="Normal"/>
    <w:rsid w:val="00730E6E"/>
    <w:rPr>
      <w:lang w:val="pl-PL" w:eastAsia="pl-PL"/>
    </w:rPr>
  </w:style>
  <w:style w:type="paragraph" w:styleId="TOC3">
    <w:name w:val="toc 3"/>
    <w:basedOn w:val="Normal"/>
    <w:next w:val="Normal"/>
    <w:autoRedefine/>
    <w:uiPriority w:val="39"/>
    <w:unhideWhenUsed/>
    <w:rsid w:val="00730E6E"/>
    <w:pPr>
      <w:tabs>
        <w:tab w:val="right" w:pos="9913"/>
      </w:tabs>
      <w:spacing w:line="276" w:lineRule="auto"/>
      <w:ind w:left="220"/>
    </w:pPr>
    <w:rPr>
      <w:rFonts w:eastAsia="Perpetua"/>
      <w:i/>
      <w:noProof/>
      <w:lang w:val="ro-RO"/>
    </w:rPr>
  </w:style>
  <w:style w:type="paragraph" w:customStyle="1" w:styleId="Listparagraf2">
    <w:name w:val="Listă paragraf2"/>
    <w:basedOn w:val="Normal"/>
    <w:qFormat/>
    <w:rsid w:val="00730E6E"/>
    <w:pPr>
      <w:spacing w:after="200" w:line="276" w:lineRule="auto"/>
      <w:ind w:left="720"/>
      <w:contextualSpacing/>
    </w:pPr>
    <w:rPr>
      <w:rFonts w:ascii="Calibri" w:eastAsia="Calibri" w:hAnsi="Calibri"/>
      <w:sz w:val="22"/>
      <w:szCs w:val="22"/>
      <w:lang w:val="ro-RO"/>
    </w:rPr>
  </w:style>
  <w:style w:type="character" w:customStyle="1" w:styleId="ln2tlitera">
    <w:name w:val="ln2tlitera"/>
    <w:rsid w:val="00730E6E"/>
  </w:style>
  <w:style w:type="character" w:customStyle="1" w:styleId="tax1">
    <w:name w:val="tax1"/>
    <w:rsid w:val="00730E6E"/>
    <w:rPr>
      <w:b/>
      <w:bCs/>
      <w:sz w:val="26"/>
      <w:szCs w:val="26"/>
    </w:rPr>
  </w:style>
  <w:style w:type="paragraph" w:customStyle="1" w:styleId="Frspaiere3">
    <w:name w:val="Fără spațiere3"/>
    <w:qFormat/>
    <w:rsid w:val="00730E6E"/>
    <w:pPr>
      <w:spacing w:after="0" w:line="240" w:lineRule="auto"/>
      <w:jc w:val="both"/>
    </w:pPr>
    <w:rPr>
      <w:rFonts w:ascii="Times New Roman" w:eastAsia="Times New Roman" w:hAnsi="Times New Roman" w:cs="Times New Roman"/>
      <w:sz w:val="24"/>
      <w:szCs w:val="24"/>
      <w:lang w:val="en-GB"/>
    </w:rPr>
  </w:style>
  <w:style w:type="character" w:customStyle="1" w:styleId="ln2alineat">
    <w:name w:val="ln2alineat"/>
    <w:rsid w:val="00730E6E"/>
  </w:style>
  <w:style w:type="character" w:customStyle="1" w:styleId="ln2talineat">
    <w:name w:val="ln2talineat"/>
    <w:rsid w:val="00730E6E"/>
  </w:style>
  <w:style w:type="paragraph" w:styleId="TOC4">
    <w:name w:val="toc 4"/>
    <w:basedOn w:val="Normal"/>
    <w:next w:val="Normal"/>
    <w:autoRedefine/>
    <w:uiPriority w:val="39"/>
    <w:unhideWhenUsed/>
    <w:rsid w:val="00730E6E"/>
    <w:pPr>
      <w:spacing w:line="276" w:lineRule="auto"/>
      <w:ind w:left="440"/>
    </w:pPr>
    <w:rPr>
      <w:rFonts w:ascii="Calibri" w:eastAsia="Perpetua" w:hAnsi="Calibri"/>
      <w:color w:val="000000"/>
      <w:sz w:val="20"/>
      <w:szCs w:val="20"/>
    </w:rPr>
  </w:style>
  <w:style w:type="paragraph" w:styleId="TOC5">
    <w:name w:val="toc 5"/>
    <w:basedOn w:val="Normal"/>
    <w:next w:val="Normal"/>
    <w:autoRedefine/>
    <w:uiPriority w:val="39"/>
    <w:unhideWhenUsed/>
    <w:rsid w:val="00730E6E"/>
    <w:pPr>
      <w:spacing w:line="276" w:lineRule="auto"/>
      <w:ind w:left="660"/>
    </w:pPr>
    <w:rPr>
      <w:rFonts w:ascii="Calibri" w:eastAsia="Perpetua" w:hAnsi="Calibri"/>
      <w:color w:val="000000"/>
      <w:sz w:val="20"/>
      <w:szCs w:val="20"/>
    </w:rPr>
  </w:style>
  <w:style w:type="paragraph" w:styleId="TOC6">
    <w:name w:val="toc 6"/>
    <w:basedOn w:val="Normal"/>
    <w:next w:val="Normal"/>
    <w:autoRedefine/>
    <w:uiPriority w:val="39"/>
    <w:unhideWhenUsed/>
    <w:rsid w:val="00730E6E"/>
    <w:pPr>
      <w:spacing w:line="276" w:lineRule="auto"/>
      <w:ind w:left="880"/>
    </w:pPr>
    <w:rPr>
      <w:rFonts w:ascii="Calibri" w:eastAsia="Perpetua" w:hAnsi="Calibri"/>
      <w:color w:val="000000"/>
      <w:sz w:val="20"/>
      <w:szCs w:val="20"/>
    </w:rPr>
  </w:style>
  <w:style w:type="paragraph" w:styleId="TOC7">
    <w:name w:val="toc 7"/>
    <w:basedOn w:val="Normal"/>
    <w:next w:val="Normal"/>
    <w:autoRedefine/>
    <w:uiPriority w:val="39"/>
    <w:unhideWhenUsed/>
    <w:rsid w:val="00730E6E"/>
    <w:pPr>
      <w:spacing w:line="276" w:lineRule="auto"/>
      <w:ind w:left="1100"/>
    </w:pPr>
    <w:rPr>
      <w:rFonts w:ascii="Calibri" w:eastAsia="Perpetua" w:hAnsi="Calibri"/>
      <w:color w:val="000000"/>
      <w:sz w:val="20"/>
      <w:szCs w:val="20"/>
    </w:rPr>
  </w:style>
  <w:style w:type="paragraph" w:styleId="TOC8">
    <w:name w:val="toc 8"/>
    <w:basedOn w:val="Normal"/>
    <w:next w:val="Normal"/>
    <w:autoRedefine/>
    <w:uiPriority w:val="39"/>
    <w:unhideWhenUsed/>
    <w:rsid w:val="00730E6E"/>
    <w:pPr>
      <w:spacing w:line="276" w:lineRule="auto"/>
      <w:ind w:left="1320"/>
    </w:pPr>
    <w:rPr>
      <w:rFonts w:ascii="Calibri" w:eastAsia="Perpetua" w:hAnsi="Calibri"/>
      <w:color w:val="000000"/>
      <w:sz w:val="20"/>
      <w:szCs w:val="20"/>
    </w:rPr>
  </w:style>
  <w:style w:type="paragraph" w:styleId="TOC9">
    <w:name w:val="toc 9"/>
    <w:basedOn w:val="Normal"/>
    <w:next w:val="Normal"/>
    <w:autoRedefine/>
    <w:uiPriority w:val="39"/>
    <w:unhideWhenUsed/>
    <w:rsid w:val="00730E6E"/>
    <w:pPr>
      <w:spacing w:line="276" w:lineRule="auto"/>
      <w:ind w:left="1540"/>
    </w:pPr>
    <w:rPr>
      <w:rFonts w:ascii="Calibri" w:eastAsia="Perpetua" w:hAnsi="Calibri"/>
      <w:color w:val="000000"/>
      <w:sz w:val="20"/>
      <w:szCs w:val="20"/>
    </w:rPr>
  </w:style>
  <w:style w:type="character" w:customStyle="1" w:styleId="Stil1">
    <w:name w:val="Stil1"/>
    <w:uiPriority w:val="1"/>
    <w:qFormat/>
    <w:rsid w:val="00730E6E"/>
  </w:style>
  <w:style w:type="paragraph" w:customStyle="1" w:styleId="CaracterCaracter4CharCharCaracterCaracter1CharChar">
    <w:name w:val="Caracter Caracter4 Char Char Caracter Caracter1 Char Char"/>
    <w:basedOn w:val="Normal"/>
    <w:rsid w:val="00730E6E"/>
    <w:rPr>
      <w:lang w:val="pl-PL" w:eastAsia="pl-PL"/>
    </w:rPr>
  </w:style>
  <w:style w:type="character" w:customStyle="1" w:styleId="Style12ptBoldCustomColorRGB84141212">
    <w:name w:val="Style 12 pt Bold Custom Color(RGB(84141212))"/>
    <w:rsid w:val="00730E6E"/>
    <w:rPr>
      <w:rFonts w:cs="Times New Roman"/>
      <w:b/>
      <w:color w:val="auto"/>
      <w:sz w:val="24"/>
    </w:rPr>
  </w:style>
  <w:style w:type="paragraph" w:customStyle="1" w:styleId="albastru">
    <w:name w:val="albastru"/>
    <w:basedOn w:val="Normal"/>
    <w:rsid w:val="00730E6E"/>
    <w:pPr>
      <w:spacing w:before="100" w:beforeAutospacing="1" w:after="100" w:afterAutospacing="1"/>
    </w:pPr>
  </w:style>
  <w:style w:type="character" w:customStyle="1" w:styleId="highlightterm">
    <w:name w:val="highlight_term"/>
    <w:rsid w:val="00730E6E"/>
  </w:style>
  <w:style w:type="character" w:customStyle="1" w:styleId="st">
    <w:name w:val="st"/>
    <w:rsid w:val="00730E6E"/>
  </w:style>
  <w:style w:type="character" w:customStyle="1" w:styleId="li1">
    <w:name w:val="li1"/>
    <w:rsid w:val="00730E6E"/>
    <w:rPr>
      <w:b/>
      <w:bCs/>
      <w:color w:val="8F0000"/>
    </w:rPr>
  </w:style>
  <w:style w:type="character" w:customStyle="1" w:styleId="lia1">
    <w:name w:val="li_a1"/>
    <w:rsid w:val="00730E6E"/>
    <w:rPr>
      <w:b/>
      <w:bCs/>
      <w:strike/>
      <w:color w:val="DC143C"/>
    </w:rPr>
  </w:style>
  <w:style w:type="character" w:customStyle="1" w:styleId="tlia1">
    <w:name w:val="tli_a1"/>
    <w:rsid w:val="00730E6E"/>
    <w:rPr>
      <w:strike/>
      <w:color w:val="DC143C"/>
    </w:rPr>
  </w:style>
  <w:style w:type="paragraph" w:customStyle="1" w:styleId="Frspaiere4">
    <w:name w:val="Fără spațiere4"/>
    <w:uiPriority w:val="1"/>
    <w:qFormat/>
    <w:rsid w:val="00730E6E"/>
    <w:pPr>
      <w:spacing w:after="0" w:line="240" w:lineRule="auto"/>
    </w:pPr>
    <w:rPr>
      <w:rFonts w:ascii="Calibri" w:eastAsia="Calibri" w:hAnsi="Calibri" w:cs="Times New Roman"/>
      <w:lang w:val="ro-RO"/>
    </w:rPr>
  </w:style>
  <w:style w:type="paragraph" w:customStyle="1" w:styleId="Style13">
    <w:name w:val="Style13"/>
    <w:basedOn w:val="Normal"/>
    <w:rsid w:val="00730E6E"/>
    <w:pPr>
      <w:widowControl w:val="0"/>
      <w:autoSpaceDE w:val="0"/>
      <w:autoSpaceDN w:val="0"/>
      <w:adjustRightInd w:val="0"/>
    </w:pPr>
    <w:rPr>
      <w:rFonts w:eastAsia="MS Mincho"/>
      <w:lang w:eastAsia="ja-JP"/>
    </w:rPr>
  </w:style>
  <w:style w:type="paragraph" w:customStyle="1" w:styleId="Normaltableau">
    <w:name w:val="Normal tableau"/>
    <w:basedOn w:val="Normal"/>
    <w:rsid w:val="00730E6E"/>
    <w:rPr>
      <w:rFonts w:ascii="Arial" w:hAnsi="Arial" w:cs="Arial"/>
      <w:sz w:val="18"/>
      <w:szCs w:val="20"/>
      <w:lang w:val="fr-FR" w:eastAsia="fr-FR"/>
    </w:rPr>
  </w:style>
  <w:style w:type="paragraph" w:customStyle="1" w:styleId="Style47">
    <w:name w:val="Style47"/>
    <w:basedOn w:val="Normal"/>
    <w:rsid w:val="00730E6E"/>
    <w:pPr>
      <w:widowControl w:val="0"/>
      <w:autoSpaceDE w:val="0"/>
      <w:autoSpaceDN w:val="0"/>
      <w:adjustRightInd w:val="0"/>
      <w:spacing w:line="275" w:lineRule="exact"/>
      <w:jc w:val="both"/>
    </w:pPr>
    <w:rPr>
      <w:rFonts w:ascii="Arial" w:hAnsi="Arial" w:cs="Arial"/>
      <w:lang w:val="ro-RO" w:eastAsia="ro-RO"/>
    </w:rPr>
  </w:style>
  <w:style w:type="paragraph" w:customStyle="1" w:styleId="NoSpacing1">
    <w:name w:val="No Spacing1"/>
    <w:qFormat/>
    <w:rsid w:val="00730E6E"/>
    <w:pPr>
      <w:spacing w:after="0" w:line="240" w:lineRule="auto"/>
    </w:pPr>
    <w:rPr>
      <w:rFonts w:ascii="Calibri" w:eastAsia="Calibri" w:hAnsi="Calibri" w:cs="Calibri"/>
      <w:lang w:val="ro-RO"/>
    </w:rPr>
  </w:style>
  <w:style w:type="paragraph" w:customStyle="1" w:styleId="ZDGName">
    <w:name w:val="Z_DGName"/>
    <w:basedOn w:val="Normal"/>
    <w:rsid w:val="00730E6E"/>
    <w:pPr>
      <w:widowControl w:val="0"/>
      <w:autoSpaceDE w:val="0"/>
      <w:autoSpaceDN w:val="0"/>
      <w:ind w:right="85"/>
    </w:pPr>
    <w:rPr>
      <w:rFonts w:ascii="Arial" w:hAnsi="Arial" w:cs="Arial"/>
      <w:sz w:val="16"/>
      <w:szCs w:val="16"/>
      <w:lang w:val="ro-RO" w:eastAsia="en-GB"/>
    </w:rPr>
  </w:style>
  <w:style w:type="paragraph" w:customStyle="1" w:styleId="ZCom">
    <w:name w:val="Z_Com"/>
    <w:basedOn w:val="Normal"/>
    <w:next w:val="ZDGName"/>
    <w:rsid w:val="00730E6E"/>
    <w:pPr>
      <w:widowControl w:val="0"/>
      <w:autoSpaceDE w:val="0"/>
      <w:autoSpaceDN w:val="0"/>
      <w:ind w:right="85"/>
      <w:jc w:val="both"/>
    </w:pPr>
    <w:rPr>
      <w:rFonts w:ascii="Arial" w:hAnsi="Arial" w:cs="Arial"/>
      <w:lang w:val="ro-RO" w:eastAsia="en-GB"/>
    </w:rPr>
  </w:style>
  <w:style w:type="character" w:customStyle="1" w:styleId="rvts8">
    <w:name w:val="rvts8"/>
    <w:rsid w:val="00730E6E"/>
    <w:rPr>
      <w:rFonts w:ascii="Times New Roman" w:hAnsi="Times New Roman" w:cs="Times New Roman" w:hint="default"/>
      <w:b/>
      <w:bCs/>
      <w:sz w:val="24"/>
      <w:szCs w:val="24"/>
    </w:rPr>
  </w:style>
  <w:style w:type="character" w:customStyle="1" w:styleId="albastru6">
    <w:name w:val="albastru6"/>
    <w:rsid w:val="00730E6E"/>
    <w:rPr>
      <w:rFonts w:ascii="Verdana" w:hAnsi="Verdana" w:hint="default"/>
      <w:b/>
      <w:bCs/>
      <w:strike w:val="0"/>
      <w:dstrike w:val="0"/>
      <w:color w:val="133984"/>
      <w:sz w:val="20"/>
      <w:szCs w:val="20"/>
      <w:u w:val="none"/>
      <w:effect w:val="none"/>
    </w:rPr>
  </w:style>
  <w:style w:type="paragraph" w:customStyle="1" w:styleId="Frspaiere5">
    <w:name w:val="Fără spațiere5"/>
    <w:qFormat/>
    <w:rsid w:val="00730E6E"/>
    <w:pPr>
      <w:spacing w:after="0" w:line="240" w:lineRule="auto"/>
    </w:pPr>
    <w:rPr>
      <w:rFonts w:ascii="Calibri" w:eastAsia="Calibri" w:hAnsi="Calibri" w:cs="Times New Roman"/>
      <w:lang w:val="ro-RO"/>
    </w:rPr>
  </w:style>
  <w:style w:type="paragraph" w:customStyle="1" w:styleId="CaracterCaracter1CharCharCaracterCaracter1Caracter">
    <w:name w:val="Caracter Caracter1 Char Char Caracter Caracter1 Caracter"/>
    <w:basedOn w:val="Normal"/>
    <w:rsid w:val="00730E6E"/>
    <w:rPr>
      <w:rFonts w:ascii="Arial" w:hAnsi="Arial" w:cs="Arial"/>
      <w:sz w:val="20"/>
      <w:szCs w:val="20"/>
      <w:lang w:val="pl-PL" w:eastAsia="pl-PL"/>
    </w:rPr>
  </w:style>
  <w:style w:type="paragraph" w:customStyle="1" w:styleId="ListParagraph1">
    <w:name w:val="List Paragraph1"/>
    <w:aliases w:val="Normal bullet 2"/>
    <w:basedOn w:val="Normal"/>
    <w:qFormat/>
    <w:rsid w:val="00730E6E"/>
    <w:pPr>
      <w:spacing w:after="200" w:line="276" w:lineRule="auto"/>
      <w:ind w:left="720"/>
    </w:pPr>
    <w:rPr>
      <w:rFonts w:ascii="Calibri" w:hAnsi="Calibri" w:cs="Calibri"/>
      <w:sz w:val="22"/>
      <w:szCs w:val="22"/>
    </w:rPr>
  </w:style>
  <w:style w:type="character" w:customStyle="1" w:styleId="al1">
    <w:name w:val="al1"/>
    <w:rsid w:val="00730E6E"/>
    <w:rPr>
      <w:b/>
      <w:bCs/>
      <w:color w:val="008F00"/>
    </w:rPr>
  </w:style>
  <w:style w:type="paragraph" w:customStyle="1" w:styleId="Style8">
    <w:name w:val="Style8"/>
    <w:basedOn w:val="Normal"/>
    <w:rsid w:val="00730E6E"/>
    <w:pPr>
      <w:widowControl w:val="0"/>
      <w:autoSpaceDE w:val="0"/>
      <w:autoSpaceDN w:val="0"/>
      <w:adjustRightInd w:val="0"/>
      <w:spacing w:line="274" w:lineRule="exact"/>
      <w:jc w:val="center"/>
    </w:pPr>
    <w:rPr>
      <w:lang w:val="ro-RO" w:eastAsia="ro-RO"/>
    </w:rPr>
  </w:style>
  <w:style w:type="character" w:customStyle="1" w:styleId="FontStyle55">
    <w:name w:val="Font Style55"/>
    <w:rsid w:val="00730E6E"/>
    <w:rPr>
      <w:rFonts w:ascii="Times New Roman" w:hAnsi="Times New Roman" w:cs="Times New Roman" w:hint="default"/>
      <w:b/>
      <w:bCs/>
      <w:sz w:val="20"/>
      <w:szCs w:val="20"/>
    </w:rPr>
  </w:style>
  <w:style w:type="paragraph" w:customStyle="1" w:styleId="Listparagraf3">
    <w:name w:val="Listă paragraf3"/>
    <w:basedOn w:val="Normal"/>
    <w:qFormat/>
    <w:rsid w:val="00730E6E"/>
    <w:pPr>
      <w:spacing w:after="200" w:line="276" w:lineRule="auto"/>
      <w:ind w:left="720"/>
      <w:contextualSpacing/>
    </w:pPr>
    <w:rPr>
      <w:rFonts w:ascii="Calibri" w:eastAsia="Calibri" w:hAnsi="Calibri"/>
      <w:sz w:val="22"/>
      <w:szCs w:val="22"/>
      <w:lang w:val="ro-RO"/>
    </w:rPr>
  </w:style>
  <w:style w:type="character" w:customStyle="1" w:styleId="do">
    <w:name w:val="do"/>
    <w:rsid w:val="00730E6E"/>
  </w:style>
  <w:style w:type="character" w:customStyle="1" w:styleId="rvts16">
    <w:name w:val="rvts16"/>
    <w:rsid w:val="00730E6E"/>
  </w:style>
  <w:style w:type="paragraph" w:customStyle="1" w:styleId="NormalBulletSquare">
    <w:name w:val="Normal Bullet Square"/>
    <w:basedOn w:val="Normal"/>
    <w:uiPriority w:val="99"/>
    <w:rsid w:val="00730E6E"/>
    <w:pPr>
      <w:numPr>
        <w:numId w:val="8"/>
      </w:numPr>
      <w:spacing w:after="120"/>
      <w:jc w:val="both"/>
    </w:pPr>
    <w:rPr>
      <w:rFonts w:ascii="Calibri" w:eastAsia="Calibri" w:hAnsi="Calibri" w:cs="Calibri"/>
      <w:color w:val="253959"/>
      <w:sz w:val="22"/>
      <w:szCs w:val="22"/>
      <w:lang w:val="ro-RO"/>
    </w:rPr>
  </w:style>
  <w:style w:type="character" w:customStyle="1" w:styleId="rvts13">
    <w:name w:val="rvts13"/>
    <w:rsid w:val="00730E6E"/>
  </w:style>
  <w:style w:type="paragraph" w:customStyle="1" w:styleId="yiv1944280112msonormal">
    <w:name w:val="yiv1944280112msonormal"/>
    <w:basedOn w:val="Normal"/>
    <w:rsid w:val="00730E6E"/>
    <w:pPr>
      <w:spacing w:before="100" w:beforeAutospacing="1" w:after="100" w:afterAutospacing="1"/>
    </w:pPr>
  </w:style>
  <w:style w:type="paragraph" w:customStyle="1" w:styleId="Frspaiere6">
    <w:name w:val="Fără spațiere6"/>
    <w:uiPriority w:val="1"/>
    <w:qFormat/>
    <w:rsid w:val="00730E6E"/>
    <w:pPr>
      <w:spacing w:after="0" w:line="240" w:lineRule="auto"/>
    </w:pPr>
    <w:rPr>
      <w:rFonts w:ascii="Times New Roman" w:eastAsia="Times New Roman" w:hAnsi="Times New Roman" w:cs="Times New Roman"/>
      <w:sz w:val="28"/>
      <w:szCs w:val="24"/>
      <w:lang w:val="ro-RO"/>
    </w:rPr>
  </w:style>
  <w:style w:type="character" w:customStyle="1" w:styleId="ca1">
    <w:name w:val="ca1"/>
    <w:rsid w:val="00730E6E"/>
    <w:rPr>
      <w:b/>
      <w:bCs/>
      <w:color w:val="005F00"/>
      <w:sz w:val="24"/>
      <w:szCs w:val="24"/>
    </w:rPr>
  </w:style>
  <w:style w:type="character" w:customStyle="1" w:styleId="CaracterCaracter1Char">
    <w:name w:val="Caracter Caracter1 Char"/>
    <w:rsid w:val="00730E6E"/>
    <w:rPr>
      <w:sz w:val="24"/>
      <w:szCs w:val="24"/>
      <w:lang w:val="pl-PL" w:eastAsia="pl-PL" w:bidi="ar-SA"/>
    </w:rPr>
  </w:style>
  <w:style w:type="paragraph" w:customStyle="1" w:styleId="Listparagraf4">
    <w:name w:val="Listă paragraf4"/>
    <w:basedOn w:val="Normal"/>
    <w:uiPriority w:val="99"/>
    <w:qFormat/>
    <w:rsid w:val="00730E6E"/>
    <w:pPr>
      <w:spacing w:after="200" w:line="276" w:lineRule="auto"/>
      <w:ind w:left="720"/>
      <w:contextualSpacing/>
    </w:pPr>
    <w:rPr>
      <w:rFonts w:ascii="Calibri" w:eastAsia="Calibri" w:hAnsi="Calibri"/>
      <w:sz w:val="22"/>
      <w:szCs w:val="22"/>
      <w:lang w:val="ro-RO"/>
    </w:rPr>
  </w:style>
  <w:style w:type="character" w:customStyle="1" w:styleId="rvts10">
    <w:name w:val="rvts10"/>
    <w:rsid w:val="00730E6E"/>
  </w:style>
  <w:style w:type="paragraph" w:customStyle="1" w:styleId="CaracterCaracter1CharCharCaracterCharCharCaracterCharCharCaracter">
    <w:name w:val="Caracter Caracter1 Char Char Caracter Char Char Caracter Char Char Caracter"/>
    <w:basedOn w:val="Normal"/>
    <w:rsid w:val="00730E6E"/>
    <w:rPr>
      <w:lang w:val="pl-PL" w:eastAsia="pl-PL"/>
    </w:rPr>
  </w:style>
  <w:style w:type="paragraph" w:customStyle="1" w:styleId="MediumGrid21">
    <w:name w:val="Medium Grid 21"/>
    <w:uiPriority w:val="1"/>
    <w:qFormat/>
    <w:rsid w:val="00730E6E"/>
    <w:pPr>
      <w:spacing w:after="0" w:line="240" w:lineRule="auto"/>
    </w:pPr>
    <w:rPr>
      <w:rFonts w:ascii="Trebuchet MS" w:eastAsia="MS Mincho" w:hAnsi="Trebuchet MS" w:cs="Times New Roman"/>
      <w:sz w:val="18"/>
      <w:szCs w:val="18"/>
    </w:rPr>
  </w:style>
  <w:style w:type="paragraph" w:customStyle="1" w:styleId="Titreobjet">
    <w:name w:val="Titre objet"/>
    <w:basedOn w:val="Normal"/>
    <w:next w:val="Normal"/>
    <w:rsid w:val="00730E6E"/>
    <w:pPr>
      <w:spacing w:before="360" w:after="360"/>
      <w:jc w:val="center"/>
    </w:pPr>
    <w:rPr>
      <w:b/>
      <w:szCs w:val="20"/>
      <w:lang w:val="en-GB" w:eastAsia="ro-RO"/>
    </w:rPr>
  </w:style>
  <w:style w:type="character" w:customStyle="1" w:styleId="CaracterCaracter5">
    <w:name w:val="Caracter Caracter5"/>
    <w:rsid w:val="00730E6E"/>
    <w:rPr>
      <w:rFonts w:ascii="Arial" w:eastAsia="Times New Roman" w:hAnsi="Arial" w:cs="Times New Roman" w:hint="default"/>
      <w:b/>
      <w:bCs w:val="0"/>
      <w:sz w:val="28"/>
      <w:szCs w:val="20"/>
      <w:lang w:eastAsia="ro-RO"/>
    </w:rPr>
  </w:style>
  <w:style w:type="paragraph" w:customStyle="1" w:styleId="Frspaiere7">
    <w:name w:val="Fără spațiere7"/>
    <w:basedOn w:val="Normal"/>
    <w:qFormat/>
    <w:rsid w:val="00730E6E"/>
    <w:rPr>
      <w:sz w:val="20"/>
      <w:szCs w:val="20"/>
      <w:lang w:bidi="en-US"/>
    </w:rPr>
  </w:style>
  <w:style w:type="paragraph" w:customStyle="1" w:styleId="NormalCentered">
    <w:name w:val="Normal Centered"/>
    <w:basedOn w:val="Normal"/>
    <w:rsid w:val="00730E6E"/>
    <w:pPr>
      <w:spacing w:before="120" w:after="120"/>
      <w:jc w:val="center"/>
    </w:pPr>
    <w:rPr>
      <w:szCs w:val="20"/>
      <w:lang w:val="en-GB"/>
    </w:rPr>
  </w:style>
  <w:style w:type="paragraph" w:customStyle="1" w:styleId="Subtitlu3">
    <w:name w:val="Subtitlu3"/>
    <w:basedOn w:val="Normal"/>
    <w:link w:val="SubtitluChar1"/>
    <w:rsid w:val="00730E6E"/>
    <w:pPr>
      <w:spacing w:before="120" w:after="200"/>
      <w:jc w:val="both"/>
    </w:pPr>
    <w:rPr>
      <w:rFonts w:ascii="Arial" w:eastAsia="Calibri" w:hAnsi="Arial" w:cs="Arial"/>
      <w:b/>
      <w:i/>
      <w:color w:val="006600"/>
      <w:lang w:val="ro-RO"/>
    </w:rPr>
  </w:style>
  <w:style w:type="character" w:customStyle="1" w:styleId="SubtitluChar1">
    <w:name w:val="Subtitlu Char1"/>
    <w:link w:val="Subtitlu3"/>
    <w:rsid w:val="00730E6E"/>
    <w:rPr>
      <w:rFonts w:ascii="Arial" w:eastAsia="Calibri" w:hAnsi="Arial" w:cs="Arial"/>
      <w:b/>
      <w:i/>
      <w:color w:val="006600"/>
      <w:sz w:val="24"/>
      <w:szCs w:val="24"/>
      <w:lang w:val="ro-RO"/>
    </w:rPr>
  </w:style>
  <w:style w:type="paragraph" w:customStyle="1" w:styleId="doc-ti">
    <w:name w:val="doc-ti"/>
    <w:basedOn w:val="Normal"/>
    <w:rsid w:val="00730E6E"/>
    <w:pPr>
      <w:spacing w:before="100" w:beforeAutospacing="1" w:after="100" w:afterAutospacing="1"/>
    </w:pPr>
  </w:style>
  <w:style w:type="character" w:styleId="HTMLTypewriter">
    <w:name w:val="HTML Typewriter"/>
    <w:basedOn w:val="DefaultParagraphFont"/>
    <w:uiPriority w:val="99"/>
    <w:unhideWhenUsed/>
    <w:rsid w:val="00730E6E"/>
    <w:rPr>
      <w:rFonts w:ascii="Courier New" w:eastAsia="Calibri" w:hAnsi="Courier New" w:cs="Courier New" w:hint="default"/>
      <w:sz w:val="20"/>
      <w:szCs w:val="20"/>
    </w:rPr>
  </w:style>
  <w:style w:type="character" w:customStyle="1" w:styleId="tal">
    <w:name w:val="tal"/>
    <w:rsid w:val="00730E6E"/>
  </w:style>
  <w:style w:type="paragraph" w:customStyle="1" w:styleId="BVIfnrChar3">
    <w:name w:val="BVI fnr Char3"/>
    <w:aliases w:val=" BVI fnr Char3,Footnote Reference Number Char2,Odwołanie przypisu Char2,Footnote Reference_LVL6 Char2,Footnote Reference_LVL61 Char2,Footnote Reference_LVL62 Char2,Footnote Reference_LVL63 Char2,fr Char1,BVI fnr Char3 Ch"/>
    <w:basedOn w:val="Normal"/>
    <w:next w:val="Normal"/>
    <w:rsid w:val="00730E6E"/>
    <w:pPr>
      <w:spacing w:after="160" w:line="240" w:lineRule="exact"/>
    </w:pPr>
    <w:rPr>
      <w:rFonts w:ascii="Calibri" w:eastAsia="Calibri" w:hAnsi="Calibri"/>
      <w:sz w:val="20"/>
      <w:szCs w:val="20"/>
      <w:vertAlign w:val="superscript"/>
      <w:lang w:val="en-GB" w:eastAsia="en-GB"/>
    </w:rPr>
  </w:style>
  <w:style w:type="numbering" w:customStyle="1" w:styleId="NoList2">
    <w:name w:val="No List2"/>
    <w:next w:val="NoList"/>
    <w:uiPriority w:val="99"/>
    <w:semiHidden/>
    <w:unhideWhenUsed/>
    <w:rsid w:val="00730E6E"/>
  </w:style>
  <w:style w:type="table" w:customStyle="1" w:styleId="TableGrid6">
    <w:name w:val="Table Grid6"/>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0">
    <w:name w:val="default text"/>
    <w:basedOn w:val="Normal"/>
    <w:rsid w:val="00730E6E"/>
    <w:rPr>
      <w:rFonts w:ascii="Arial" w:hAnsi="Arial" w:cs="Arial"/>
      <w:kern w:val="1"/>
      <w:lang w:eastAsia="zh-CN"/>
    </w:rPr>
  </w:style>
  <w:style w:type="paragraph" w:customStyle="1" w:styleId="CaracterCharCharCaracterCharCharCaracterCharChar1CaracterCaracterCharCharCaracter">
    <w:name w:val="Caracter Char Char Caracter Char Char Caracter Char Char1 Caracter Caracter Char Char Caracter"/>
    <w:basedOn w:val="Normal"/>
    <w:rsid w:val="00730E6E"/>
    <w:rPr>
      <w:lang w:val="pl-PL" w:eastAsia="pl-PL"/>
    </w:rPr>
  </w:style>
  <w:style w:type="paragraph" w:customStyle="1" w:styleId="CaracterCaracter3">
    <w:name w:val="Caracter Caracter3"/>
    <w:basedOn w:val="Normal"/>
    <w:rsid w:val="00730E6E"/>
    <w:pPr>
      <w:spacing w:after="160" w:line="240" w:lineRule="exact"/>
    </w:pPr>
    <w:rPr>
      <w:rFonts w:ascii="Tahoma" w:hAnsi="Tahoma"/>
      <w:sz w:val="20"/>
      <w:szCs w:val="20"/>
      <w:lang w:val="ro-RO"/>
    </w:rPr>
  </w:style>
  <w:style w:type="paragraph" w:customStyle="1" w:styleId="rvps1">
    <w:name w:val="rvps1"/>
    <w:basedOn w:val="Normal"/>
    <w:rsid w:val="00730E6E"/>
    <w:pPr>
      <w:spacing w:before="100" w:beforeAutospacing="1" w:after="100" w:afterAutospacing="1"/>
    </w:pPr>
    <w:rPr>
      <w:lang w:val="ro-RO" w:eastAsia="ro-RO"/>
    </w:rPr>
  </w:style>
  <w:style w:type="character" w:customStyle="1" w:styleId="rvts1">
    <w:name w:val="rvts1"/>
    <w:rsid w:val="00730E6E"/>
  </w:style>
  <w:style w:type="character" w:customStyle="1" w:styleId="rvts2">
    <w:name w:val="rvts2"/>
    <w:rsid w:val="00730E6E"/>
  </w:style>
  <w:style w:type="character" w:customStyle="1" w:styleId="rvts4">
    <w:name w:val="rvts4"/>
    <w:rsid w:val="00730E6E"/>
  </w:style>
  <w:style w:type="character" w:customStyle="1" w:styleId="rvts6">
    <w:name w:val="rvts6"/>
    <w:rsid w:val="00730E6E"/>
  </w:style>
  <w:style w:type="character" w:customStyle="1" w:styleId="rvts7">
    <w:name w:val="rvts7"/>
    <w:rsid w:val="00730E6E"/>
  </w:style>
  <w:style w:type="character" w:customStyle="1" w:styleId="rvts11">
    <w:name w:val="rvts11"/>
    <w:rsid w:val="00730E6E"/>
  </w:style>
  <w:style w:type="character" w:customStyle="1" w:styleId="ln2tlinie">
    <w:name w:val="ln2tlinie"/>
    <w:rsid w:val="00730E6E"/>
  </w:style>
  <w:style w:type="character" w:styleId="HTMLCite">
    <w:name w:val="HTML Cite"/>
    <w:uiPriority w:val="99"/>
    <w:unhideWhenUsed/>
    <w:rsid w:val="00730E6E"/>
    <w:rPr>
      <w:i/>
      <w:iCs/>
    </w:rPr>
  </w:style>
  <w:style w:type="character" w:customStyle="1" w:styleId="SubtleEmphasis1">
    <w:name w:val="Subtle Emphasis1"/>
    <w:uiPriority w:val="19"/>
    <w:qFormat/>
    <w:rsid w:val="00730E6E"/>
    <w:rPr>
      <w:color w:val="808080"/>
    </w:rPr>
  </w:style>
  <w:style w:type="character" w:customStyle="1" w:styleId="IntenseEmphasis1">
    <w:name w:val="Intense Emphasis1"/>
    <w:uiPriority w:val="21"/>
    <w:qFormat/>
    <w:rsid w:val="00730E6E"/>
    <w:rPr>
      <w:b/>
      <w:bCs/>
      <w:i/>
      <w:iCs/>
      <w:color w:val="4F81BD"/>
    </w:rPr>
  </w:style>
  <w:style w:type="paragraph" w:customStyle="1" w:styleId="ColorfulGrid-Accent11">
    <w:name w:val="Colorful Grid - Accent 11"/>
    <w:basedOn w:val="Normal"/>
    <w:next w:val="Normal"/>
    <w:link w:val="ColorfulGrid-Accent1Char"/>
    <w:uiPriority w:val="29"/>
    <w:qFormat/>
    <w:rsid w:val="00730E6E"/>
    <w:pPr>
      <w:spacing w:after="120" w:line="276" w:lineRule="auto"/>
      <w:ind w:left="1701"/>
      <w:jc w:val="both"/>
    </w:pPr>
    <w:rPr>
      <w:rFonts w:ascii="Trebuchet MS" w:eastAsia="MS Mincho" w:hAnsi="Trebuchet MS"/>
      <w:i/>
      <w:iCs/>
      <w:color w:val="000000"/>
      <w:sz w:val="22"/>
      <w:szCs w:val="22"/>
    </w:rPr>
  </w:style>
  <w:style w:type="character" w:customStyle="1" w:styleId="ColorfulGrid-Accent1Char">
    <w:name w:val="Colorful Grid - Accent 1 Char"/>
    <w:link w:val="ColorfulGrid-Accent11"/>
    <w:uiPriority w:val="29"/>
    <w:rsid w:val="00730E6E"/>
    <w:rPr>
      <w:rFonts w:ascii="Trebuchet MS" w:eastAsia="MS Mincho" w:hAnsi="Trebuchet MS" w:cs="Times New Roman"/>
      <w:i/>
      <w:iCs/>
      <w:color w:val="000000"/>
    </w:rPr>
  </w:style>
  <w:style w:type="character" w:customStyle="1" w:styleId="FontStyle12">
    <w:name w:val="Font Style12"/>
    <w:rsid w:val="00730E6E"/>
    <w:rPr>
      <w:rFonts w:ascii="Arial" w:hAnsi="Arial" w:cs="Arial"/>
      <w:sz w:val="22"/>
      <w:szCs w:val="22"/>
    </w:rPr>
  </w:style>
  <w:style w:type="paragraph" w:styleId="TOCHeading">
    <w:name w:val="TOC Heading"/>
    <w:basedOn w:val="Heading1"/>
    <w:next w:val="Normal"/>
    <w:uiPriority w:val="39"/>
    <w:unhideWhenUsed/>
    <w:qFormat/>
    <w:rsid w:val="00730E6E"/>
    <w:pPr>
      <w:keepLines/>
      <w:spacing w:after="0" w:line="259" w:lineRule="auto"/>
      <w:outlineLvl w:val="9"/>
    </w:pPr>
    <w:rPr>
      <w:rFonts w:ascii="Calibri Light" w:hAnsi="Calibri Light" w:cs="Times New Roman"/>
      <w:b w:val="0"/>
      <w:bCs w:val="0"/>
      <w:color w:val="2E74B5"/>
      <w:kern w:val="0"/>
    </w:rPr>
  </w:style>
  <w:style w:type="paragraph" w:customStyle="1" w:styleId="Caracter2CharCharCaracterCharCharCaracterCharCharCaracterCharCharCharChar">
    <w:name w:val="Caracter2 Char Char Caracter Char Char Caracter Char Char Caracter Char Char Char Char"/>
    <w:basedOn w:val="Normal"/>
    <w:rsid w:val="00730E6E"/>
    <w:rPr>
      <w:lang w:val="pl-PL" w:eastAsia="pl-PL"/>
    </w:rPr>
  </w:style>
  <w:style w:type="table" w:customStyle="1" w:styleId="Tabelgril1">
    <w:name w:val="Tabel grilă1"/>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30E6E"/>
  </w:style>
  <w:style w:type="numbering" w:customStyle="1" w:styleId="NoList11">
    <w:name w:val="No List11"/>
    <w:next w:val="NoList"/>
    <w:uiPriority w:val="99"/>
    <w:semiHidden/>
    <w:unhideWhenUsed/>
    <w:rsid w:val="00730E6E"/>
  </w:style>
  <w:style w:type="table" w:customStyle="1" w:styleId="TableGrid7">
    <w:name w:val="Table Grid7"/>
    <w:basedOn w:val="TableNormal"/>
    <w:next w:val="TableGrid"/>
    <w:uiPriority w:val="39"/>
    <w:rsid w:val="00730E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
    <w:name w:val="Table Simple 12"/>
    <w:basedOn w:val="TableNormal"/>
    <w:next w:val="TableSimple1"/>
    <w:rsid w:val="00730E6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
    <w:name w:val="Table Simple 111"/>
    <w:basedOn w:val="TableNormal"/>
    <w:next w:val="TableSimple1"/>
    <w:rsid w:val="00730E6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
    <w:name w:val="Table Grid11"/>
    <w:basedOn w:val="TableNormal"/>
    <w:next w:val="TableGrid"/>
    <w:rsid w:val="00730E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
    <w:name w:val="Medium Shading 2 - Accent 52"/>
    <w:basedOn w:val="TableNormal"/>
    <w:next w:val="MediumShading2-Accent5"/>
    <w:rsid w:val="00730E6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
    <w:name w:val="No List111"/>
    <w:next w:val="NoList"/>
    <w:uiPriority w:val="99"/>
    <w:semiHidden/>
    <w:unhideWhenUsed/>
    <w:rsid w:val="00730E6E"/>
  </w:style>
  <w:style w:type="table" w:customStyle="1" w:styleId="TableGrid21">
    <w:name w:val="Table Grid21"/>
    <w:basedOn w:val="TableNormal"/>
    <w:next w:val="TableGrid"/>
    <w:uiPriority w:val="59"/>
    <w:rsid w:val="00730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locked/>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30E6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
    <w:name w:val="Medium Shading 2 - Accent 511"/>
    <w:basedOn w:val="TableNormal"/>
    <w:next w:val="MediumShading2-Accent5"/>
    <w:rsid w:val="00730E6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
    <w:name w:val="No List21"/>
    <w:next w:val="NoList"/>
    <w:uiPriority w:val="99"/>
    <w:semiHidden/>
    <w:unhideWhenUsed/>
    <w:rsid w:val="00730E6E"/>
  </w:style>
  <w:style w:type="table" w:customStyle="1" w:styleId="TableGrid61">
    <w:name w:val="Table Grid61"/>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anchor">
    <w:name w:val="panchor"/>
    <w:basedOn w:val="DefaultParagraphFont"/>
    <w:rsid w:val="00730E6E"/>
  </w:style>
  <w:style w:type="table" w:customStyle="1" w:styleId="Tabelgril12">
    <w:name w:val="Tabel grilă12"/>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730E6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
    <w:name w:val="Tabel grilă13"/>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730E6E"/>
    <w:pPr>
      <w:widowControl w:val="0"/>
    </w:pPr>
    <w:rPr>
      <w:rFonts w:asciiTheme="minorHAnsi" w:eastAsiaTheme="minorHAnsi" w:hAnsiTheme="minorHAnsi" w:cstheme="minorBidi"/>
      <w:sz w:val="22"/>
      <w:szCs w:val="22"/>
    </w:rPr>
  </w:style>
  <w:style w:type="table" w:customStyle="1" w:styleId="TableGrid10">
    <w:name w:val="Table Grid10"/>
    <w:basedOn w:val="TableNormal"/>
    <w:next w:val="TableGrid"/>
    <w:uiPriority w:val="39"/>
    <w:rsid w:val="001C6FD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A7EF8"/>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650D7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C46919"/>
  </w:style>
  <w:style w:type="character" w:customStyle="1" w:styleId="ax1">
    <w:name w:val="ax1"/>
    <w:rsid w:val="00C46919"/>
    <w:rPr>
      <w:b/>
      <w:bCs/>
      <w:sz w:val="26"/>
      <w:szCs w:val="26"/>
    </w:rPr>
  </w:style>
  <w:style w:type="paragraph" w:customStyle="1" w:styleId="Point0number">
    <w:name w:val="Point 0 (number)"/>
    <w:basedOn w:val="Normal"/>
    <w:rsid w:val="00C46919"/>
    <w:pPr>
      <w:numPr>
        <w:numId w:val="16"/>
      </w:numPr>
      <w:tabs>
        <w:tab w:val="clear" w:pos="850"/>
        <w:tab w:val="num" w:pos="360"/>
      </w:tabs>
      <w:spacing w:before="120" w:after="120"/>
      <w:ind w:left="0" w:firstLine="0"/>
      <w:jc w:val="both"/>
    </w:pPr>
    <w:rPr>
      <w:rFonts w:eastAsia="Calibri"/>
      <w:szCs w:val="22"/>
      <w:lang w:val="ro-RO" w:eastAsia="ro-RO" w:bidi="ro-RO"/>
    </w:rPr>
  </w:style>
  <w:style w:type="paragraph" w:customStyle="1" w:styleId="Point1number">
    <w:name w:val="Point 1 (number)"/>
    <w:basedOn w:val="Normal"/>
    <w:rsid w:val="00C46919"/>
    <w:pPr>
      <w:numPr>
        <w:ilvl w:val="2"/>
        <w:numId w:val="16"/>
      </w:numPr>
      <w:tabs>
        <w:tab w:val="clear" w:pos="1417"/>
      </w:tabs>
      <w:spacing w:before="120" w:after="120"/>
      <w:ind w:left="0" w:firstLine="0"/>
      <w:jc w:val="both"/>
    </w:pPr>
    <w:rPr>
      <w:rFonts w:eastAsia="Calibri"/>
      <w:szCs w:val="22"/>
      <w:lang w:val="ro-RO" w:eastAsia="ro-RO" w:bidi="ro-RO"/>
    </w:rPr>
  </w:style>
  <w:style w:type="paragraph" w:customStyle="1" w:styleId="Point2number">
    <w:name w:val="Point 2 (number)"/>
    <w:basedOn w:val="Normal"/>
    <w:rsid w:val="00C46919"/>
    <w:pPr>
      <w:numPr>
        <w:ilvl w:val="4"/>
        <w:numId w:val="16"/>
      </w:numPr>
      <w:tabs>
        <w:tab w:val="clear" w:pos="1984"/>
        <w:tab w:val="num" w:pos="360"/>
      </w:tabs>
      <w:spacing w:before="120" w:after="120"/>
      <w:ind w:left="0" w:firstLine="0"/>
      <w:jc w:val="both"/>
    </w:pPr>
    <w:rPr>
      <w:rFonts w:eastAsia="Calibri"/>
      <w:szCs w:val="22"/>
      <w:lang w:val="ro-RO" w:eastAsia="ro-RO" w:bidi="ro-RO"/>
    </w:rPr>
  </w:style>
  <w:style w:type="paragraph" w:customStyle="1" w:styleId="Point3number">
    <w:name w:val="Point 3 (number)"/>
    <w:basedOn w:val="Normal"/>
    <w:rsid w:val="00C46919"/>
    <w:pPr>
      <w:numPr>
        <w:ilvl w:val="6"/>
        <w:numId w:val="16"/>
      </w:numPr>
      <w:tabs>
        <w:tab w:val="clear" w:pos="2551"/>
      </w:tabs>
      <w:spacing w:before="120" w:after="120"/>
      <w:ind w:left="0" w:firstLine="0"/>
      <w:jc w:val="both"/>
    </w:pPr>
    <w:rPr>
      <w:rFonts w:eastAsia="Calibri"/>
      <w:szCs w:val="22"/>
      <w:lang w:val="ro-RO" w:eastAsia="ro-RO" w:bidi="ro-RO"/>
    </w:rPr>
  </w:style>
  <w:style w:type="paragraph" w:customStyle="1" w:styleId="Point0letter">
    <w:name w:val="Point 0 (letter)"/>
    <w:basedOn w:val="Normal"/>
    <w:rsid w:val="00C46919"/>
    <w:pPr>
      <w:numPr>
        <w:ilvl w:val="1"/>
        <w:numId w:val="16"/>
      </w:numPr>
      <w:tabs>
        <w:tab w:val="clear" w:pos="850"/>
      </w:tabs>
      <w:spacing w:before="120" w:after="120"/>
      <w:ind w:left="0" w:firstLine="0"/>
      <w:jc w:val="both"/>
    </w:pPr>
    <w:rPr>
      <w:rFonts w:eastAsia="Calibri"/>
      <w:szCs w:val="22"/>
      <w:lang w:val="ro-RO" w:eastAsia="ro-RO" w:bidi="ro-RO"/>
    </w:rPr>
  </w:style>
  <w:style w:type="paragraph" w:customStyle="1" w:styleId="Point1letter">
    <w:name w:val="Point 1 (letter)"/>
    <w:basedOn w:val="Normal"/>
    <w:rsid w:val="00C46919"/>
    <w:pPr>
      <w:numPr>
        <w:ilvl w:val="3"/>
        <w:numId w:val="16"/>
      </w:numPr>
      <w:tabs>
        <w:tab w:val="clear" w:pos="1417"/>
        <w:tab w:val="num" w:pos="360"/>
      </w:tabs>
      <w:spacing w:before="120" w:after="120"/>
      <w:ind w:left="0" w:firstLine="0"/>
      <w:jc w:val="both"/>
    </w:pPr>
    <w:rPr>
      <w:rFonts w:eastAsia="Calibri"/>
      <w:szCs w:val="22"/>
      <w:lang w:val="ro-RO" w:eastAsia="ro-RO" w:bidi="ro-RO"/>
    </w:rPr>
  </w:style>
  <w:style w:type="paragraph" w:customStyle="1" w:styleId="Point2letter">
    <w:name w:val="Point 2 (letter)"/>
    <w:basedOn w:val="Normal"/>
    <w:rsid w:val="00C46919"/>
    <w:pPr>
      <w:numPr>
        <w:ilvl w:val="5"/>
        <w:numId w:val="16"/>
      </w:numPr>
      <w:tabs>
        <w:tab w:val="clear" w:pos="1984"/>
      </w:tabs>
      <w:spacing w:before="120" w:after="120"/>
      <w:ind w:left="0" w:firstLine="0"/>
      <w:jc w:val="both"/>
    </w:pPr>
    <w:rPr>
      <w:rFonts w:eastAsia="Calibri"/>
      <w:szCs w:val="22"/>
      <w:lang w:val="ro-RO" w:eastAsia="ro-RO" w:bidi="ro-RO"/>
    </w:rPr>
  </w:style>
  <w:style w:type="paragraph" w:customStyle="1" w:styleId="Point3letter">
    <w:name w:val="Point 3 (letter)"/>
    <w:basedOn w:val="Normal"/>
    <w:rsid w:val="00C46919"/>
    <w:pPr>
      <w:numPr>
        <w:ilvl w:val="7"/>
        <w:numId w:val="16"/>
      </w:numPr>
      <w:tabs>
        <w:tab w:val="clear" w:pos="2551"/>
      </w:tabs>
      <w:spacing w:before="120" w:after="120"/>
      <w:ind w:left="0" w:firstLine="0"/>
      <w:jc w:val="both"/>
    </w:pPr>
    <w:rPr>
      <w:rFonts w:eastAsia="Calibri"/>
      <w:szCs w:val="22"/>
      <w:lang w:val="ro-RO" w:eastAsia="ro-RO" w:bidi="ro-RO"/>
    </w:rPr>
  </w:style>
  <w:style w:type="paragraph" w:customStyle="1" w:styleId="Point4letter">
    <w:name w:val="Point 4 (letter)"/>
    <w:basedOn w:val="Normal"/>
    <w:rsid w:val="00C46919"/>
    <w:pPr>
      <w:numPr>
        <w:ilvl w:val="8"/>
        <w:numId w:val="16"/>
      </w:numPr>
      <w:tabs>
        <w:tab w:val="clear" w:pos="3118"/>
      </w:tabs>
      <w:spacing w:before="120" w:after="120"/>
      <w:ind w:left="0" w:firstLine="0"/>
      <w:jc w:val="both"/>
    </w:pPr>
    <w:rPr>
      <w:rFonts w:eastAsia="Calibri"/>
      <w:szCs w:val="22"/>
      <w:lang w:val="ro-RO" w:eastAsia="ro-RO" w:bidi="ro-RO"/>
    </w:rPr>
  </w:style>
  <w:style w:type="paragraph" w:customStyle="1" w:styleId="ManualNumPar1">
    <w:name w:val="Manual NumPar 1"/>
    <w:basedOn w:val="Normal"/>
    <w:next w:val="Normal"/>
    <w:rsid w:val="00C46919"/>
    <w:pPr>
      <w:spacing w:before="120" w:after="120"/>
      <w:ind w:left="850" w:hanging="850"/>
      <w:jc w:val="both"/>
    </w:pPr>
    <w:rPr>
      <w:rFonts w:eastAsia="Calibri"/>
      <w:szCs w:val="22"/>
      <w:lang w:val="ro-RO" w:eastAsia="ro-RO" w:bidi="ro-RO"/>
    </w:rPr>
  </w:style>
  <w:style w:type="paragraph" w:customStyle="1" w:styleId="Titrearticle">
    <w:name w:val="Titre article"/>
    <w:basedOn w:val="Normal"/>
    <w:next w:val="Normal"/>
    <w:rsid w:val="00C46919"/>
    <w:pPr>
      <w:keepNext/>
      <w:spacing w:before="360" w:after="120"/>
      <w:jc w:val="center"/>
    </w:pPr>
    <w:rPr>
      <w:rFonts w:eastAsia="Calibri"/>
      <w:i/>
      <w:szCs w:val="22"/>
      <w:lang w:val="ro-RO" w:eastAsia="ro-RO" w:bidi="ro-RO"/>
    </w:rPr>
  </w:style>
  <w:style w:type="character" w:customStyle="1" w:styleId="lego1">
    <w:name w:val="lego1"/>
    <w:rsid w:val="00C46919"/>
    <w:rPr>
      <w:b w:val="0"/>
      <w:bCs w:val="0"/>
      <w:i/>
      <w:iCs/>
      <w:vanish w:val="0"/>
      <w:webHidden w:val="0"/>
      <w:color w:val="6666FF"/>
      <w:sz w:val="18"/>
      <w:szCs w:val="18"/>
      <w:specVanish w:val="0"/>
    </w:rPr>
  </w:style>
  <w:style w:type="character" w:customStyle="1" w:styleId="tar1">
    <w:name w:val="tar1"/>
    <w:rsid w:val="00C46919"/>
    <w:rPr>
      <w:b/>
      <w:bCs/>
      <w:sz w:val="22"/>
      <w:szCs w:val="22"/>
    </w:rPr>
  </w:style>
  <w:style w:type="character" w:customStyle="1" w:styleId="ala1">
    <w:name w:val="al_a1"/>
    <w:rsid w:val="00C46919"/>
    <w:rPr>
      <w:b/>
      <w:bCs/>
      <w:strike/>
      <w:color w:val="DC143C"/>
    </w:rPr>
  </w:style>
  <w:style w:type="character" w:customStyle="1" w:styleId="tala1">
    <w:name w:val="tal_a1"/>
    <w:rsid w:val="00C46919"/>
    <w:rPr>
      <w:strike/>
      <w:color w:val="DC143C"/>
    </w:rPr>
  </w:style>
  <w:style w:type="table" w:customStyle="1" w:styleId="TableGrid131">
    <w:name w:val="Table Grid131"/>
    <w:basedOn w:val="TableNormal"/>
    <w:next w:val="TableGrid"/>
    <w:uiPriority w:val="39"/>
    <w:rsid w:val="0001019D"/>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racterCaracter0">
    <w:name w:val="Caracter Caracter"/>
    <w:basedOn w:val="Normal"/>
    <w:rsid w:val="00206958"/>
    <w:pPr>
      <w:suppressAutoHyphens/>
    </w:pPr>
    <w:rPr>
      <w:lang w:val="pl-PL" w:eastAsia="zh-CN"/>
    </w:rPr>
  </w:style>
  <w:style w:type="character" w:customStyle="1" w:styleId="FontStyle16">
    <w:name w:val="Font Style16"/>
    <w:rsid w:val="00195E42"/>
    <w:rPr>
      <w:rFonts w:ascii="Times New Roman" w:hAnsi="Times New Roman" w:cs="Times New Roman"/>
      <w:sz w:val="22"/>
      <w:szCs w:val="22"/>
    </w:rPr>
  </w:style>
  <w:style w:type="paragraph" w:customStyle="1" w:styleId="Style4">
    <w:name w:val="Style4"/>
    <w:basedOn w:val="Normal"/>
    <w:uiPriority w:val="99"/>
    <w:rsid w:val="00195E42"/>
    <w:pPr>
      <w:widowControl w:val="0"/>
      <w:autoSpaceDE w:val="0"/>
      <w:autoSpaceDN w:val="0"/>
      <w:adjustRightInd w:val="0"/>
      <w:spacing w:line="382" w:lineRule="exact"/>
    </w:pPr>
    <w:rPr>
      <w:rFonts w:ascii="Arial" w:hAnsi="Arial" w:cs="Arial"/>
    </w:rPr>
  </w:style>
  <w:style w:type="character" w:customStyle="1" w:styleId="FontStyle17">
    <w:name w:val="Font Style17"/>
    <w:uiPriority w:val="99"/>
    <w:rsid w:val="00195E42"/>
    <w:rPr>
      <w:rFonts w:ascii="Trebuchet MS" w:hAnsi="Trebuchet MS" w:cs="Trebuchet MS" w:hint="default"/>
      <w:b/>
      <w:bCs/>
      <w:sz w:val="20"/>
      <w:szCs w:val="20"/>
    </w:rPr>
  </w:style>
  <w:style w:type="character" w:customStyle="1" w:styleId="FontStyle21">
    <w:name w:val="Font Style21"/>
    <w:uiPriority w:val="99"/>
    <w:rsid w:val="00195E42"/>
    <w:rPr>
      <w:rFonts w:ascii="Trebuchet MS" w:hAnsi="Trebuchet MS" w:cs="Trebuchet MS" w:hint="default"/>
      <w:sz w:val="20"/>
      <w:szCs w:val="20"/>
    </w:rPr>
  </w:style>
  <w:style w:type="character" w:customStyle="1" w:styleId="FontStyle25">
    <w:name w:val="Font Style25"/>
    <w:uiPriority w:val="99"/>
    <w:rsid w:val="00195E42"/>
    <w:rPr>
      <w:rFonts w:ascii="Trebuchet MS" w:hAnsi="Trebuchet MS" w:cs="Trebuchet MS" w:hint="default"/>
      <w:i/>
      <w:iCs/>
      <w:sz w:val="20"/>
      <w:szCs w:val="20"/>
    </w:rPr>
  </w:style>
  <w:style w:type="character" w:customStyle="1" w:styleId="salnbdy">
    <w:name w:val="s_aln_bdy"/>
    <w:basedOn w:val="DefaultParagraphFont"/>
    <w:rsid w:val="00055C79"/>
  </w:style>
  <w:style w:type="paragraph" w:customStyle="1" w:styleId="Caracter2CharCharCaracterCharCharCaracterCharCharCaracter0">
    <w:name w:val="Caracter2 Char Char Caracter Char Char Caracter Char Char Caracter"/>
    <w:basedOn w:val="Normal"/>
    <w:rsid w:val="00396ACD"/>
    <w:rPr>
      <w:lang w:val="pl-PL" w:eastAsia="pl-PL"/>
    </w:rPr>
  </w:style>
  <w:style w:type="paragraph" w:customStyle="1" w:styleId="CaracterCaracter8">
    <w:name w:val="Caracter Caracter"/>
    <w:basedOn w:val="Normal"/>
    <w:rsid w:val="00396ACD"/>
    <w:rPr>
      <w:lang w:val="pl-PL" w:eastAsia="pl-PL"/>
    </w:rPr>
  </w:style>
  <w:style w:type="table" w:customStyle="1" w:styleId="TableSimple13">
    <w:name w:val="Table Simple 13"/>
    <w:basedOn w:val="TableNormal"/>
    <w:next w:val="TableSimple1"/>
    <w:rsid w:val="00396ACD"/>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
    <w:name w:val="Table Grid14"/>
    <w:basedOn w:val="TableNormal"/>
    <w:next w:val="TableGrid"/>
    <w:uiPriority w:val="59"/>
    <w:rsid w:val="00396A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10">
    <w:name w:val="Caracter Caracter1"/>
    <w:basedOn w:val="Normal"/>
    <w:rsid w:val="00396ACD"/>
    <w:rPr>
      <w:lang w:val="pl-PL" w:eastAsia="pl-PL"/>
    </w:rPr>
  </w:style>
  <w:style w:type="paragraph" w:customStyle="1" w:styleId="CaracterCaracterCharCharCaracterCaracter0">
    <w:name w:val="Caracter Caracter Char Char Caracter Caracter"/>
    <w:basedOn w:val="Normal"/>
    <w:rsid w:val="00396ACD"/>
    <w:pPr>
      <w:spacing w:after="160" w:line="240" w:lineRule="exact"/>
    </w:pPr>
    <w:rPr>
      <w:rFonts w:ascii="Tahoma" w:hAnsi="Tahoma"/>
      <w:sz w:val="20"/>
      <w:szCs w:val="20"/>
    </w:rPr>
  </w:style>
  <w:style w:type="paragraph" w:customStyle="1" w:styleId="CaracterCaracterCharCharCaracterCaracterCharCharCaracterCaracter0">
    <w:name w:val="Caracter Caracter Char Char Caracter Caracter Char Char Caracter Caracter"/>
    <w:basedOn w:val="Normal"/>
    <w:rsid w:val="00396ACD"/>
    <w:rPr>
      <w:lang w:val="pl-PL" w:eastAsia="pl-PL"/>
    </w:rPr>
  </w:style>
  <w:style w:type="paragraph" w:customStyle="1" w:styleId="CharChar3CaracterCaracter10">
    <w:name w:val="Char Char3 Caracter Caracter1"/>
    <w:basedOn w:val="Normal"/>
    <w:rsid w:val="00396ACD"/>
    <w:rPr>
      <w:lang w:val="pl-PL" w:eastAsia="pl-PL"/>
    </w:rPr>
  </w:style>
  <w:style w:type="paragraph" w:customStyle="1" w:styleId="CaracterCaracter2CharCharCaracterCaracterCharCharCaracterCaracterCharChar0">
    <w:name w:val="Caracter Caracter2 Char Char Caracter Caracter Char Char Caracter Caracter Char Char"/>
    <w:basedOn w:val="Normal"/>
    <w:rsid w:val="00396ACD"/>
    <w:rPr>
      <w:lang w:val="pl-PL" w:eastAsia="pl-PL"/>
    </w:rPr>
  </w:style>
  <w:style w:type="paragraph" w:customStyle="1" w:styleId="CaracterCaracter5CharCharCaracterCaracterCharCharCaracterCaracter0">
    <w:name w:val="Caracter Caracter5 Char Char Caracter Caracter Char Char Caracter Caracter"/>
    <w:basedOn w:val="Normal"/>
    <w:rsid w:val="00396ACD"/>
    <w:rPr>
      <w:lang w:val="pl-PL" w:eastAsia="pl-PL"/>
    </w:rPr>
  </w:style>
  <w:style w:type="paragraph" w:customStyle="1" w:styleId="CaracterCaracterCharCharCaracterCaracterCharCharCaracterCaracterCharCharCaracterCaracterCharCharCaracterCaracterCharCharCaracterCaracter0">
    <w:name w:val="Caracter Caracter Char Char Caracter Caracter Char Char Caracter Caracter Char Char Caracter Caracter Char Char Caracter Caracter Char Char Caracter Caracter"/>
    <w:basedOn w:val="Normal"/>
    <w:rsid w:val="00396ACD"/>
    <w:pPr>
      <w:spacing w:after="160" w:line="240" w:lineRule="exact"/>
    </w:pPr>
    <w:rPr>
      <w:rFonts w:ascii="Tahoma" w:hAnsi="Tahoma"/>
      <w:sz w:val="20"/>
      <w:szCs w:val="20"/>
    </w:rPr>
  </w:style>
  <w:style w:type="paragraph" w:customStyle="1" w:styleId="CharCharCaracterCaracterCharCharCaracterCaracterCharCharCaracterCaracter0">
    <w:name w:val="Char Char Caracter Caracter Char Char Caracter Caracter Char Char Caracter Caracter"/>
    <w:basedOn w:val="Normal"/>
    <w:rsid w:val="00396ACD"/>
    <w:rPr>
      <w:lang w:val="pl-PL" w:eastAsia="pl-PL"/>
    </w:rPr>
  </w:style>
  <w:style w:type="paragraph" w:customStyle="1" w:styleId="CharChar3CaracterCaracter0">
    <w:name w:val="Char Char3 Caracter Caracter"/>
    <w:basedOn w:val="Normal"/>
    <w:rsid w:val="00396ACD"/>
    <w:rPr>
      <w:lang w:val="pl-PL" w:eastAsia="pl-PL"/>
    </w:rPr>
  </w:style>
  <w:style w:type="table" w:customStyle="1" w:styleId="TableGrid15">
    <w:name w:val="Table Grid15"/>
    <w:basedOn w:val="TableNormal"/>
    <w:next w:val="TableGrid"/>
    <w:rsid w:val="00396AC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harCharCaracter0">
    <w:name w:val="Caracter Char Char Caracter"/>
    <w:basedOn w:val="Normal"/>
    <w:rsid w:val="00396ACD"/>
    <w:rPr>
      <w:lang w:val="pl-PL" w:eastAsia="pl-PL"/>
    </w:rPr>
  </w:style>
  <w:style w:type="paragraph" w:customStyle="1" w:styleId="CharChar3CaracterCaracter1CharCharCaracterCaracter0">
    <w:name w:val="Char Char3 Caracter Caracter1 Char Char Caracter Caracter"/>
    <w:basedOn w:val="Normal"/>
    <w:rsid w:val="00396ACD"/>
    <w:rPr>
      <w:lang w:val="pl-PL" w:eastAsia="pl-PL"/>
    </w:rPr>
  </w:style>
  <w:style w:type="paragraph" w:customStyle="1" w:styleId="CaracterCaracter2CharCharCaracterCaracterCharCharCaracterCaracterCharCharCaracterCaracter0">
    <w:name w:val="Caracter Caracter2 Char Char Caracter Caracter Char Char Caracter Caracter Char Char Caracter Caracter"/>
    <w:basedOn w:val="Normal"/>
    <w:rsid w:val="00396ACD"/>
    <w:rPr>
      <w:lang w:val="pl-PL" w:eastAsia="pl-PL"/>
    </w:rPr>
  </w:style>
  <w:style w:type="paragraph" w:customStyle="1" w:styleId="CaracterCaracter2CharCharCaracterCaracterCharCharCaracterCaracter0">
    <w:name w:val="Caracter Caracter2 Char Char Caracter Caracter Char Char Caracter Caracter"/>
    <w:basedOn w:val="Normal"/>
    <w:rsid w:val="00396ACD"/>
    <w:rPr>
      <w:lang w:val="pl-PL" w:eastAsia="pl-PL"/>
    </w:rPr>
  </w:style>
  <w:style w:type="paragraph" w:customStyle="1" w:styleId="CaracterCharCharCaracterCharCharCaracterCharCharCaracterCaracterCaracterCharCharCaracter0">
    <w:name w:val="Caracter Char Char Caracter Char Char Caracter Char Char Caracter Caracter Caracter Char Char Caracter"/>
    <w:basedOn w:val="Normal"/>
    <w:rsid w:val="00396ACD"/>
    <w:rPr>
      <w:lang w:val="pl-PL" w:eastAsia="pl-PL"/>
    </w:rPr>
  </w:style>
  <w:style w:type="paragraph" w:customStyle="1" w:styleId="CharChar3CaracterCaracter1CharCharCaracterCaracter1CaracterCaracterCharCharCaracterCaracterCharCharCaracterCaracter0">
    <w:name w:val="Char Char3 Caracter Caracter1 Char Char Caracter Caracter1 Caracter Caracter Char Char Caracter Caracter Char Char Caracter Caracter"/>
    <w:basedOn w:val="Normal"/>
    <w:rsid w:val="00396ACD"/>
    <w:rPr>
      <w:lang w:val="pl-PL" w:eastAsia="pl-PL"/>
    </w:rPr>
  </w:style>
  <w:style w:type="paragraph" w:customStyle="1" w:styleId="CaracterCaracter2CharCharCaracterCaracterCharCharCaracterCaracterCharCharCaracterCaracterCaracterCaracter0">
    <w:name w:val="Caracter Caracter2 Char Char Caracter Caracter Char Char Caracter Caracter Char Char Caracter Caracter Caracter Caracter"/>
    <w:basedOn w:val="Normal"/>
    <w:rsid w:val="00396ACD"/>
    <w:rPr>
      <w:lang w:val="pl-PL" w:eastAsia="pl-PL"/>
    </w:rPr>
  </w:style>
  <w:style w:type="paragraph" w:customStyle="1" w:styleId="CaracterCaracter20">
    <w:name w:val="Caracter Caracter2"/>
    <w:basedOn w:val="Normal"/>
    <w:rsid w:val="00396ACD"/>
    <w:rPr>
      <w:lang w:val="pl-PL" w:eastAsia="pl-PL"/>
    </w:rPr>
  </w:style>
  <w:style w:type="paragraph" w:customStyle="1" w:styleId="CaracterCaracter1CharChar0">
    <w:name w:val="Caracter Caracter1 Char Char"/>
    <w:basedOn w:val="Normal"/>
    <w:rsid w:val="00396ACD"/>
    <w:rPr>
      <w:lang w:val="pl-PL" w:eastAsia="pl-PL"/>
    </w:rPr>
  </w:style>
  <w:style w:type="paragraph" w:customStyle="1" w:styleId="CaracterCaracter2CharCharCaracterCaracter0">
    <w:name w:val="Caracter Caracter2 Char Char Caracter Caracter"/>
    <w:basedOn w:val="Normal"/>
    <w:rsid w:val="00396ACD"/>
    <w:rPr>
      <w:szCs w:val="20"/>
      <w:lang w:val="pl-PL" w:eastAsia="pl-PL"/>
    </w:rPr>
  </w:style>
  <w:style w:type="paragraph" w:customStyle="1" w:styleId="CharChar3CaracterCaracter1CharCharCaracterCaracter1CaracterCaracterCharCharCaracterCaracterCharCharCaracterCaracterCharCharCaracterCaracterCaracterCaracter10">
    <w:name w:val="Char Char3 Caracter Caracter1 Char Char Caracter Caracter1 Caracter Caracter Char Char Caracter Caracter Char Char Caracter Caracter Char Char Caracter Caracter Caracter Caracter1"/>
    <w:basedOn w:val="Normal"/>
    <w:rsid w:val="00396ACD"/>
    <w:rPr>
      <w:lang w:val="pl-PL" w:eastAsia="pl-PL"/>
    </w:rPr>
  </w:style>
  <w:style w:type="paragraph" w:customStyle="1" w:styleId="CharCharCharChar1CharCharCharCharCharCharCharCharCharCharCharChar0">
    <w:name w:val="Char Char Char Char1 Char Char Char Char Char Char Char Char Char Char Char Char"/>
    <w:basedOn w:val="Normal"/>
    <w:next w:val="Normal"/>
    <w:rsid w:val="00396ACD"/>
    <w:pPr>
      <w:spacing w:after="160" w:line="240" w:lineRule="exact"/>
    </w:pPr>
    <w:rPr>
      <w:sz w:val="20"/>
      <w:szCs w:val="20"/>
      <w:vertAlign w:val="superscript"/>
    </w:rPr>
  </w:style>
  <w:style w:type="paragraph" w:customStyle="1" w:styleId="CaracterCharCharCaracterCharChar0">
    <w:name w:val="Caracter Char Char Caracter Char Char"/>
    <w:basedOn w:val="Normal"/>
    <w:rsid w:val="00396ACD"/>
    <w:rPr>
      <w:lang w:val="pl-PL" w:eastAsia="pl-PL"/>
    </w:rPr>
  </w:style>
  <w:style w:type="paragraph" w:customStyle="1" w:styleId="CharCharCharChar1CharCharCharCharCharCharCharCharCharChar0">
    <w:name w:val="Char Char Char Char1 Char Char Char Char Char Char Char Char Char Char"/>
    <w:basedOn w:val="Normal"/>
    <w:next w:val="Normal"/>
    <w:rsid w:val="00396ACD"/>
    <w:pPr>
      <w:spacing w:after="160" w:line="240" w:lineRule="exact"/>
    </w:pPr>
    <w:rPr>
      <w:sz w:val="20"/>
      <w:szCs w:val="20"/>
      <w:vertAlign w:val="superscript"/>
    </w:rPr>
  </w:style>
  <w:style w:type="paragraph" w:customStyle="1" w:styleId="CharCharCaracter1CharCharCaracterCharCharCaracterCharCharCaracterCharCharCaracterCharCharCaracterCaracterCaracter0">
    <w:name w:val="Char Char Caracter1 Char Char Caracter Char Char Caracter Char Char Caracter Char Char Caracter Char Char Caracter Caracter Caracter"/>
    <w:basedOn w:val="Normal"/>
    <w:rsid w:val="00396ACD"/>
    <w:rPr>
      <w:lang w:val="pl-PL" w:eastAsia="pl-PL"/>
    </w:rPr>
  </w:style>
  <w:style w:type="paragraph" w:customStyle="1" w:styleId="CharChar3CaracterCaracter1CharCharCaracterCaracter1CaracterCaracterCharCharCaracterCaracterCharCharCaracterCaracterCharCharCaracterCaracterCaracterCaracter1CaracterCaracter0">
    <w:name w:val="Char Char3 Caracter Caracter1 Char Char Caracter Caracter1 Caracter Caracter Char Char Caracter Caracter Char Char Caracter Caracter Char Char Caracter Caracter Caracter Caracter1 Caracter Caracter"/>
    <w:basedOn w:val="Normal"/>
    <w:rsid w:val="00396ACD"/>
    <w:rPr>
      <w:lang w:val="pl-PL" w:eastAsia="pl-PL"/>
    </w:rPr>
  </w:style>
  <w:style w:type="paragraph" w:customStyle="1" w:styleId="CaracterCaracter1CaracterCharCharCaracterCaracter0">
    <w:name w:val="Caracter Caracter1 Caracter Char Char Caracter Caracter"/>
    <w:basedOn w:val="Normal"/>
    <w:rsid w:val="00396ACD"/>
    <w:rPr>
      <w:lang w:val="pl-PL" w:eastAsia="pl-PL"/>
    </w:rPr>
  </w:style>
  <w:style w:type="paragraph" w:customStyle="1" w:styleId="CaracterCharCharCaracterCharCharCaracterCharCharCaracterCaracterCaracterCharCharCaracterCharCharCaracterCaracterCaracterCaracter0">
    <w:name w:val="Caracter Char Char Caracter Char Char Caracter Char Char Caracter Caracter Caracter Char Char Caracter Char Char Caracter Caracter Caracter Caracter"/>
    <w:basedOn w:val="Normal"/>
    <w:rsid w:val="00396ACD"/>
    <w:rPr>
      <w:lang w:val="pl-PL" w:eastAsia="pl-PL"/>
    </w:rPr>
  </w:style>
  <w:style w:type="paragraph" w:customStyle="1" w:styleId="CaracterCaracter1CharCharCaracterCaracter10">
    <w:name w:val="Caracter Caracter1 Char Char Caracter Caracter1"/>
    <w:basedOn w:val="Normal"/>
    <w:rsid w:val="00396ACD"/>
    <w:rPr>
      <w:lang w:val="pl-PL" w:eastAsia="pl-PL"/>
    </w:rPr>
  </w:style>
  <w:style w:type="paragraph" w:customStyle="1" w:styleId="CaracterCaracter70">
    <w:name w:val="Caracter Caracter7"/>
    <w:basedOn w:val="Normal"/>
    <w:rsid w:val="00396ACD"/>
    <w:rPr>
      <w:lang w:val="pl-PL" w:eastAsia="pl-PL"/>
    </w:rPr>
  </w:style>
  <w:style w:type="paragraph" w:customStyle="1" w:styleId="CaracterCaracter7CharCharCharChar0">
    <w:name w:val="Caracter Caracter7 Char Char Char Char"/>
    <w:basedOn w:val="Normal"/>
    <w:rsid w:val="00396ACD"/>
    <w:rPr>
      <w:szCs w:val="20"/>
      <w:lang w:val="pl-PL" w:eastAsia="pl-PL"/>
    </w:rPr>
  </w:style>
  <w:style w:type="paragraph" w:customStyle="1" w:styleId="CaracterCaracter3CharCharCaracterCaracterCharCharCaracterCaracterCharCharCaracterCaracterCharCharCaracterCaracter0">
    <w:name w:val="Caracter Caracter3 Char Char Caracter Caracter Char Char Caracter Caracter Char Char Caracter Caracter Char Char Caracter Caracter"/>
    <w:basedOn w:val="Normal"/>
    <w:rsid w:val="00396ACD"/>
    <w:rPr>
      <w:lang w:val="pl-PL" w:eastAsia="pl-PL"/>
    </w:rPr>
  </w:style>
  <w:style w:type="paragraph" w:customStyle="1" w:styleId="CaracterCaracter1Caracter0">
    <w:name w:val="Caracter Caracter1 Caracter"/>
    <w:basedOn w:val="Normal"/>
    <w:rsid w:val="00396ACD"/>
    <w:rPr>
      <w:lang w:val="pl-PL" w:eastAsia="pl-PL"/>
    </w:rPr>
  </w:style>
  <w:style w:type="paragraph" w:customStyle="1" w:styleId="CharChar1CaracterCaracter10">
    <w:name w:val="Char Char1 Caracter Caracter1"/>
    <w:basedOn w:val="Normal"/>
    <w:rsid w:val="00396ACD"/>
    <w:rPr>
      <w:lang w:val="pl-PL" w:eastAsia="pl-PL"/>
    </w:rPr>
  </w:style>
  <w:style w:type="paragraph" w:customStyle="1" w:styleId="Date3">
    <w:name w:val="Date3"/>
    <w:basedOn w:val="Normal"/>
    <w:rsid w:val="00396ACD"/>
    <w:pPr>
      <w:spacing w:before="100" w:beforeAutospacing="1" w:after="100" w:afterAutospacing="1"/>
    </w:pPr>
  </w:style>
  <w:style w:type="paragraph" w:customStyle="1" w:styleId="Caracter0">
    <w:name w:val="Caracter"/>
    <w:basedOn w:val="Normal"/>
    <w:rsid w:val="00396ACD"/>
    <w:rPr>
      <w:szCs w:val="20"/>
      <w:lang w:val="pl-PL" w:eastAsia="pl-PL"/>
    </w:rPr>
  </w:style>
  <w:style w:type="table" w:customStyle="1" w:styleId="MediumShading2-Accent53">
    <w:name w:val="Medium Shading 2 - Accent 53"/>
    <w:basedOn w:val="TableNormal"/>
    <w:next w:val="MediumShading2-Accent5"/>
    <w:rsid w:val="00396ACD"/>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30">
    <w:name w:val="Char Char3"/>
    <w:rsid w:val="00396ACD"/>
    <w:rPr>
      <w:rFonts w:ascii="Calibri" w:hAnsi="Calibri" w:cs="Calibri"/>
      <w:sz w:val="24"/>
      <w:szCs w:val="24"/>
      <w:lang w:bidi="ar-SA"/>
    </w:rPr>
  </w:style>
  <w:style w:type="character" w:customStyle="1" w:styleId="CharChar20">
    <w:name w:val="Char Char2"/>
    <w:rsid w:val="00396ACD"/>
    <w:rPr>
      <w:rFonts w:cs="Times New Roman"/>
      <w:sz w:val="24"/>
      <w:szCs w:val="24"/>
    </w:rPr>
  </w:style>
  <w:style w:type="character" w:customStyle="1" w:styleId="CharChar10">
    <w:name w:val="Char Char1"/>
    <w:rsid w:val="00396ACD"/>
    <w:rPr>
      <w:rFonts w:cs="Times New Roman"/>
      <w:sz w:val="24"/>
      <w:szCs w:val="24"/>
    </w:rPr>
  </w:style>
  <w:style w:type="character" w:customStyle="1" w:styleId="CharChar40">
    <w:name w:val="Char Char4"/>
    <w:rsid w:val="00396ACD"/>
    <w:rPr>
      <w:rFonts w:ascii="Calibri" w:hAnsi="Calibri" w:cs="Calibri"/>
      <w:sz w:val="24"/>
      <w:szCs w:val="24"/>
      <w:lang w:bidi="ar-SA"/>
    </w:rPr>
  </w:style>
  <w:style w:type="character" w:customStyle="1" w:styleId="CharChar60">
    <w:name w:val="Char Char6"/>
    <w:rsid w:val="00396ACD"/>
    <w:rPr>
      <w:rFonts w:ascii="Arial Narrow" w:eastAsia="Times New Roman" w:hAnsi="Arial Narrow" w:cs="Times New Roman"/>
      <w:b/>
      <w:bCs/>
      <w:kern w:val="1"/>
      <w:sz w:val="24"/>
      <w:szCs w:val="32"/>
    </w:rPr>
  </w:style>
  <w:style w:type="character" w:customStyle="1" w:styleId="CharChar50">
    <w:name w:val="Char Char5"/>
    <w:rsid w:val="00396ACD"/>
    <w:rPr>
      <w:rFonts w:ascii="Arial Narrow" w:eastAsia="Times New Roman" w:hAnsi="Arial Narrow" w:cs="Times New Roman"/>
      <w:b/>
      <w:bCs/>
      <w:iCs/>
      <w:sz w:val="24"/>
      <w:szCs w:val="28"/>
      <w:shd w:val="clear" w:color="auto" w:fill="FABF8F"/>
    </w:rPr>
  </w:style>
  <w:style w:type="paragraph" w:customStyle="1" w:styleId="CaracterCaracter6CharChar0">
    <w:name w:val="Caracter Caracter6 Char Char"/>
    <w:basedOn w:val="Normal"/>
    <w:rsid w:val="00396ACD"/>
    <w:pPr>
      <w:suppressAutoHyphens/>
    </w:pPr>
    <w:rPr>
      <w:lang w:val="ro-RO" w:eastAsia="zh-CN"/>
    </w:rPr>
  </w:style>
  <w:style w:type="paragraph" w:customStyle="1" w:styleId="CharCharCharChar1CharCharCharCharCharCharCharCharCharCharCharCharCaracterCaracterCharCharCaracterCharCharCaracterCaracterCharCharCharCharCharCharCaracterCaracterCharCharCharChar0">
    <w:name w:val="Char Char Char Char1 Char Char Char Char Char Char Char Char Char Char Char Char Caracter Caracter Char Char Caracter Char Char Caracter Caracter Char Char Char Char Char Char Caracter Caracter Char Char Char Char"/>
    <w:basedOn w:val="Normal"/>
    <w:next w:val="Normal"/>
    <w:rsid w:val="00396ACD"/>
    <w:pPr>
      <w:suppressAutoHyphens/>
      <w:spacing w:after="160" w:line="240" w:lineRule="exact"/>
    </w:pPr>
    <w:rPr>
      <w:sz w:val="20"/>
      <w:szCs w:val="20"/>
      <w:vertAlign w:val="superscript"/>
      <w:lang w:val="ro-RO"/>
    </w:rPr>
  </w:style>
  <w:style w:type="paragraph" w:customStyle="1" w:styleId="CaracterCaracter40">
    <w:name w:val="Caracter Caracter4"/>
    <w:basedOn w:val="Normal"/>
    <w:rsid w:val="00396ACD"/>
    <w:pPr>
      <w:suppressAutoHyphens/>
    </w:pPr>
    <w:rPr>
      <w:lang w:val="ro-RO" w:eastAsia="zh-CN"/>
    </w:rPr>
  </w:style>
  <w:style w:type="paragraph" w:customStyle="1" w:styleId="CharCharCaracter1CharCharCaracterCharCharCaracterCharCharCaracterCharCharCaracter0">
    <w:name w:val="Char Char Caracter1 Char Char Caracter Char Char Caracter Char Char Caracter Char Char Caracter"/>
    <w:basedOn w:val="Normal"/>
    <w:rsid w:val="00396ACD"/>
    <w:pPr>
      <w:suppressAutoHyphens/>
    </w:pPr>
    <w:rPr>
      <w:lang w:val="ro-RO" w:eastAsia="zh-CN"/>
    </w:rPr>
  </w:style>
  <w:style w:type="paragraph" w:customStyle="1" w:styleId="CharCharCaracter1CharCharCaracterCharCharCaracterCharCharCaracterCharCharCaracterCharCharCaracterCaracterCaracterCharChar0">
    <w:name w:val="Char Char Caracter1 Char Char Caracter Char Char Caracter Char Char Caracter Char Char Caracter Char Char Caracter Caracter Caracter Char Char"/>
    <w:basedOn w:val="Normal"/>
    <w:rsid w:val="00396ACD"/>
    <w:pPr>
      <w:suppressAutoHyphens/>
    </w:pPr>
    <w:rPr>
      <w:lang w:val="ro-RO" w:eastAsia="zh-CN"/>
    </w:rPr>
  </w:style>
  <w:style w:type="paragraph" w:customStyle="1" w:styleId="CaracterCaracter5CharCharCaracterCaracterCharCharCaracterCaracterCharCharCaracterCaracterCharChar0">
    <w:name w:val="Caracter Caracter5 Char Char Caracter Caracter Char Char Caracter Caracter Char Char Caracter Caracter Char Char"/>
    <w:basedOn w:val="Normal"/>
    <w:rsid w:val="00396ACD"/>
    <w:pPr>
      <w:suppressAutoHyphens/>
    </w:pPr>
    <w:rPr>
      <w:lang w:val="ro-RO" w:eastAsia="zh-CN"/>
    </w:rPr>
  </w:style>
  <w:style w:type="paragraph" w:customStyle="1" w:styleId="CaracterCharCharCaracterCharCharCaracter0">
    <w:name w:val="Caracter Char Char Caracter Char Char Caracter"/>
    <w:basedOn w:val="Normal"/>
    <w:rsid w:val="00396ACD"/>
    <w:pPr>
      <w:suppressAutoHyphens/>
    </w:pPr>
    <w:rPr>
      <w:lang w:val="ro-RO" w:eastAsia="zh-CN"/>
    </w:rPr>
  </w:style>
  <w:style w:type="paragraph" w:customStyle="1" w:styleId="CaracterCaracter5CharCharCaracterCaracterCharCharCaracterCaracterCharCharCaracterCaracterCharCharCaracterCaracterCharCharCaracterCaracterCharCharCaracterCaracter0">
    <w:name w:val="Caracter Caracter5 Char Char Caracter Caracter Char Char Caracter Caracter Char Char Caracter Caracter Char Char Caracter Caracter Char Char Caracter Caracter Char Char Caracter Caracter"/>
    <w:basedOn w:val="Normal"/>
    <w:rsid w:val="00396ACD"/>
    <w:pPr>
      <w:suppressAutoHyphens/>
    </w:pPr>
    <w:rPr>
      <w:lang w:val="ro-RO" w:eastAsia="zh-CN"/>
    </w:rPr>
  </w:style>
  <w:style w:type="paragraph" w:customStyle="1" w:styleId="CaracterCaracter5CharCharCaracterCaracterCharCharCaracterCaracterCharChar0">
    <w:name w:val="Caracter Caracter5 Char Char Caracter Caracter Char Char Caracter Caracter Char Char"/>
    <w:basedOn w:val="Normal"/>
    <w:rsid w:val="00396ACD"/>
    <w:pPr>
      <w:suppressAutoHyphens/>
    </w:pPr>
    <w:rPr>
      <w:lang w:val="ro-RO" w:eastAsia="zh-CN"/>
    </w:rPr>
  </w:style>
  <w:style w:type="paragraph" w:customStyle="1" w:styleId="CharCharCharChar0">
    <w:name w:val="Char Char Char Char"/>
    <w:basedOn w:val="Normal"/>
    <w:rsid w:val="00396ACD"/>
    <w:pPr>
      <w:suppressAutoHyphens/>
    </w:pPr>
    <w:rPr>
      <w:lang w:val="ro-RO" w:eastAsia="zh-CN"/>
    </w:rPr>
  </w:style>
  <w:style w:type="paragraph" w:customStyle="1" w:styleId="CaracterCaracter5CharCharCaracterCaracterCharCharCaracterCaracterCharCharCaracterCaracter0">
    <w:name w:val="Caracter Caracter5 Char Char Caracter Caracter Char Char Caracter Caracter Char Char Caracter Caracter"/>
    <w:basedOn w:val="Normal"/>
    <w:rsid w:val="00396ACD"/>
    <w:pPr>
      <w:suppressAutoHyphens/>
    </w:pPr>
    <w:rPr>
      <w:lang w:val="ro-RO" w:eastAsia="zh-CN"/>
    </w:rPr>
  </w:style>
  <w:style w:type="paragraph" w:customStyle="1" w:styleId="CharCharCaracter1CharCharCaracterCharCharCaracterCharCharCaracterCharCharCaracterCharCharCaracter0">
    <w:name w:val="Char Char Caracter1 Char Char Caracter Char Char Caracter Char Char Caracter Char Char Caracter Char Char Caracter"/>
    <w:basedOn w:val="Normal"/>
    <w:rsid w:val="00396ACD"/>
    <w:pPr>
      <w:suppressAutoHyphens/>
    </w:pPr>
    <w:rPr>
      <w:lang w:val="ro-RO" w:eastAsia="zh-CN"/>
    </w:rPr>
  </w:style>
  <w:style w:type="paragraph" w:customStyle="1" w:styleId="CaracterCaracter5CharCharCaracterCaracterCharCharCaracterCaracterCharCharCaracterCaracterCharCharCaracterCaracterCharCharCaracterCaracterCharCharCaracterCaracterCharCharCaracterCaracter0">
    <w:name w:val="Caracter Caracter5 Char Char Caracter Caracter Char Char Caracter Caracter Char Char Caracter Caracter Char Char Caracter Caracter Char Char Caracter Caracter Char Char Caracter Caracter Char Char Caracter Caracter"/>
    <w:basedOn w:val="Normal"/>
    <w:rsid w:val="00396ACD"/>
    <w:pPr>
      <w:suppressAutoHyphens/>
    </w:pPr>
    <w:rPr>
      <w:lang w:val="ro-RO" w:eastAsia="zh-CN"/>
    </w:rPr>
  </w:style>
  <w:style w:type="paragraph" w:customStyle="1" w:styleId="CaracterCaracter5CharCharCaracterCaracterCharCharCaracterCaracterCharCharCaracterCaracterCharChar1CaracterCaracter0">
    <w:name w:val="Caracter Caracter5 Char Char Caracter Caracter Char Char Caracter Caracter Char Char Caracter Caracter Char Char1 Caracter Caracter"/>
    <w:basedOn w:val="Normal"/>
    <w:rsid w:val="00396ACD"/>
    <w:pPr>
      <w:suppressAutoHyphens/>
    </w:pPr>
    <w:rPr>
      <w:lang w:val="ro-RO" w:eastAsia="zh-CN"/>
    </w:rPr>
  </w:style>
  <w:style w:type="paragraph" w:customStyle="1" w:styleId="CaracterCaracter5CharCharCaracterCaracterCharCharCaracterCaracterCharCharCaracterCaracterCharChar1CaracterCaracterCharCharCaracterCaracterCharCharCaracterCaracter0">
    <w:name w:val="Caracter Caracter5 Char Char Caracter Caracter Char Char Caracter Caracter Char Char Caracter Caracter Char Char1 Caracter Caracter Char Char Caracter Caracter Char Char Caracter Caracter"/>
    <w:basedOn w:val="Normal"/>
    <w:rsid w:val="00396ACD"/>
    <w:pPr>
      <w:suppressAutoHyphens/>
    </w:pPr>
    <w:rPr>
      <w:lang w:val="ro-RO" w:eastAsia="zh-CN"/>
    </w:rPr>
  </w:style>
  <w:style w:type="paragraph" w:customStyle="1" w:styleId="CaracterCaracter2CharCharCaracterCaracterCharCharCaracterCaracterCharCharCaracterCaracterCharCharCaracterCaracterCharCharCaracterCaracterCharCharCaracterCaracterCharCharCaracterCaracter0">
    <w:name w:val="Caracter Caracter2 Char Char Caracter Caracter Char Char Caracter Caracter Char Char Caracter Caracter Char Char Caracter Caracter Char Char Caracter Caracter Char Char Caracter Caracter Char Char Caracter Caracter"/>
    <w:basedOn w:val="Normal"/>
    <w:rsid w:val="00396ACD"/>
    <w:pPr>
      <w:suppressAutoHyphens/>
    </w:pPr>
    <w:rPr>
      <w:lang w:val="ro-RO" w:eastAsia="zh-CN"/>
    </w:rPr>
  </w:style>
  <w:style w:type="paragraph" w:customStyle="1" w:styleId="CaracterCaracter1CharChar1CaracterCaracter0">
    <w:name w:val="Caracter Caracter1 Char Char1 Caracter Caracter"/>
    <w:basedOn w:val="Normal"/>
    <w:rsid w:val="00396ACD"/>
    <w:pPr>
      <w:suppressAutoHyphens/>
    </w:pPr>
    <w:rPr>
      <w:lang w:val="ro-RO" w:eastAsia="zh-CN"/>
    </w:rPr>
  </w:style>
  <w:style w:type="paragraph" w:customStyle="1" w:styleId="CharCharCaracterCaracter0">
    <w:name w:val="Char Char Caracter Caracter"/>
    <w:basedOn w:val="Normal"/>
    <w:rsid w:val="00396ACD"/>
    <w:pPr>
      <w:suppressAutoHyphens/>
    </w:pPr>
    <w:rPr>
      <w:lang w:val="ro-RO" w:eastAsia="zh-CN"/>
    </w:rPr>
  </w:style>
  <w:style w:type="paragraph" w:customStyle="1" w:styleId="Char3CharCharChar0">
    <w:name w:val="Char3 Char Char Char"/>
    <w:basedOn w:val="Normal"/>
    <w:rsid w:val="00396ACD"/>
    <w:pPr>
      <w:suppressAutoHyphens/>
    </w:pPr>
    <w:rPr>
      <w:lang w:val="ro-RO" w:eastAsia="zh-CN"/>
    </w:rPr>
  </w:style>
  <w:style w:type="paragraph" w:customStyle="1" w:styleId="CaracterCaracter5CharCharCaracterCaracterCharCharCaracterCaracterCharCharCaracterCaracterCharChar1CaracterCaracterCharCharCaracterCaracterCharCharCaracterCaracterCharCharCaracterCaracter0">
    <w:name w:val="Caracter Caracter5 Char Char Caracter Caracter Char Char Caracter Caracter Char Char Caracter Caracter Char Char1 Caracter Caracter Char Char Caracter Caracter Char Char Caracter Caracter Char Char Caracter Caracter"/>
    <w:basedOn w:val="Normal"/>
    <w:rsid w:val="00396ACD"/>
    <w:pPr>
      <w:suppressAutoHyphens/>
    </w:pPr>
    <w:rPr>
      <w:lang w:val="ro-RO" w:eastAsia="zh-CN"/>
    </w:rPr>
  </w:style>
  <w:style w:type="paragraph" w:customStyle="1" w:styleId="CaracterCaracterCharChar1CaracterCaracterCharCharCaracterCaracter0">
    <w:name w:val="Caracter Caracter Char Char1 Caracter Caracter Char Char Caracter Caracter"/>
    <w:basedOn w:val="Normal"/>
    <w:rsid w:val="00396ACD"/>
    <w:pPr>
      <w:suppressAutoHyphens/>
      <w:spacing w:after="160" w:line="240" w:lineRule="exact"/>
    </w:pPr>
    <w:rPr>
      <w:rFonts w:ascii="Tahoma" w:hAnsi="Tahoma" w:cs="Tahoma"/>
      <w:sz w:val="20"/>
      <w:szCs w:val="20"/>
      <w:lang w:val="ro-RO" w:eastAsia="zh-CN"/>
    </w:rPr>
  </w:style>
  <w:style w:type="paragraph" w:customStyle="1" w:styleId="CaracterCaracter5CharCharCaracterCaracterCharCharCaracterCaracterCharCharCaracterCaracterCharChar1CaracterCaracterCharCharCaracterCaracter0">
    <w:name w:val="Caracter Caracter5 Char Char Caracter Caracter Char Char Caracter Caracter Char Char Caracter Caracter Char Char1 Caracter Caracter Char Char Caracter Caracter"/>
    <w:basedOn w:val="Normal"/>
    <w:rsid w:val="00396ACD"/>
    <w:pPr>
      <w:suppressAutoHyphens/>
    </w:pPr>
    <w:rPr>
      <w:lang w:val="ro-RO" w:eastAsia="zh-CN"/>
    </w:rPr>
  </w:style>
  <w:style w:type="paragraph" w:customStyle="1" w:styleId="CaracterCaracter5CharCharCaracterCaracterCharCharCaracterCaracterCharCharCaracterCaracterCharChar1CaracterCaracterCharCharCaracterCaracterCharCharCaracterCaracterCharChar0">
    <w:name w:val="Caracter Caracter5 Char Char Caracter Caracter Char Char Caracter Caracter Char Char Caracter Caracter Char Char1 Caracter Caracter Char Char Caracter Caracter Char Char Caracter Caracter Char Char"/>
    <w:basedOn w:val="Normal"/>
    <w:rsid w:val="00396ACD"/>
    <w:pPr>
      <w:suppressAutoHyphens/>
    </w:pPr>
    <w:rPr>
      <w:lang w:val="ro-RO" w:eastAsia="zh-CN"/>
    </w:rPr>
  </w:style>
  <w:style w:type="paragraph" w:customStyle="1" w:styleId="CharChar3CaracterCaracterCharCharCaracterCaracter0">
    <w:name w:val="Char Char3 Caracter Caracter Char Char Caracter Caracter"/>
    <w:basedOn w:val="Normal"/>
    <w:rsid w:val="00396ACD"/>
    <w:pPr>
      <w:suppressAutoHyphens/>
    </w:pPr>
    <w:rPr>
      <w:lang w:val="ro-RO" w:eastAsia="zh-CN"/>
    </w:rPr>
  </w:style>
  <w:style w:type="paragraph" w:customStyle="1" w:styleId="CharCharCharCharCharCharCaracterCaracterCharCharCharCaracterCaracterCharCharCaracterCaracterCharCharCharCaracterCaracter0">
    <w:name w:val="Char Char Char Char Char Char Caracter Caracter Char Char Char Caracter Caracter Char Char Caracter Caracter Char Char Char Caracter Caracter"/>
    <w:basedOn w:val="Normal"/>
    <w:rsid w:val="00396ACD"/>
    <w:pPr>
      <w:widowControl w:val="0"/>
      <w:tabs>
        <w:tab w:val="left" w:pos="2160"/>
      </w:tabs>
      <w:suppressAutoHyphens/>
      <w:spacing w:before="120" w:after="160" w:line="240" w:lineRule="exact"/>
      <w:jc w:val="both"/>
    </w:pPr>
    <w:rPr>
      <w:rFonts w:ascii="Bookman Old Style" w:hAnsi="Bookman Old Style" w:cs="Bookman Old Style"/>
      <w:kern w:val="1"/>
      <w:sz w:val="20"/>
      <w:szCs w:val="20"/>
      <w:lang w:val="ro-RO" w:eastAsia="zh-CN"/>
    </w:rPr>
  </w:style>
  <w:style w:type="paragraph" w:customStyle="1" w:styleId="CharChar3CaracterCaracterCharCharCaracterCaracter10">
    <w:name w:val="Char Char3 Caracter Caracter Char Char Caracter Caracter1"/>
    <w:basedOn w:val="Normal"/>
    <w:rsid w:val="00396ACD"/>
    <w:pPr>
      <w:suppressAutoHyphens/>
    </w:pPr>
    <w:rPr>
      <w:lang w:val="ro-RO" w:eastAsia="zh-CN"/>
    </w:rPr>
  </w:style>
  <w:style w:type="paragraph" w:customStyle="1" w:styleId="CharChar3CaracterCaracterCharCharCaracterCaracter1CharCharCaracterCaracterCharCharCaracterCaracter0">
    <w:name w:val="Char Char3 Caracter Caracter Char Char Caracter Caracter1 Char Char Caracter Caracter Char Char Caracter Caracter"/>
    <w:basedOn w:val="Normal"/>
    <w:rsid w:val="00396ACD"/>
    <w:pPr>
      <w:suppressAutoHyphens/>
    </w:pPr>
    <w:rPr>
      <w:lang w:val="ro-RO" w:eastAsia="zh-CN"/>
    </w:rPr>
  </w:style>
  <w:style w:type="paragraph" w:customStyle="1" w:styleId="CharChar3CaracterCaracterCharCharCaracterCaracter1CharCharCaracterCaracter0">
    <w:name w:val="Char Char3 Caracter Caracter Char Char Caracter Caracter1 Char Char Caracter Caracter"/>
    <w:basedOn w:val="Normal"/>
    <w:rsid w:val="00396ACD"/>
    <w:pPr>
      <w:suppressAutoHyphens/>
    </w:pPr>
    <w:rPr>
      <w:lang w:val="ro-RO" w:eastAsia="zh-CN"/>
    </w:rPr>
  </w:style>
  <w:style w:type="paragraph" w:customStyle="1" w:styleId="CharChar3CaracterCaracterCharCharCaracterCaracter1CharCharCaracterCaracterCharCharCaracterCaracter1CharCharCaracterCaracter0">
    <w:name w:val="Char Char3 Caracter Caracter Char Char Caracter Caracter1 Char Char Caracter Caracter Char Char Caracter Caracter1 Char Char Caracter Caracter"/>
    <w:basedOn w:val="Normal"/>
    <w:rsid w:val="00396ACD"/>
    <w:pPr>
      <w:suppressAutoHyphens/>
    </w:pPr>
    <w:rPr>
      <w:lang w:val="ro-RO" w:eastAsia="zh-CN"/>
    </w:rPr>
  </w:style>
  <w:style w:type="paragraph" w:customStyle="1" w:styleId="CharChar3CaracterCaracterCharCharCaracterCaracter1CharCharCaracterCaracterCharCharCaracterCaracter1CharCharCaracterCaracterCharCharCaracterCaracterCharCharCaracterCaracter0">
    <w:name w:val="Char Char3 Caracter Caracter Char Char Caracter Caracter1 Char Char Caracter Caracter Char Char Caracter Caracter1 Char Char Caracter Caracter Char Char Caracter Caracter Char Char Caracter Caracter"/>
    <w:basedOn w:val="Normal"/>
    <w:rsid w:val="00396ACD"/>
    <w:pPr>
      <w:suppressAutoHyphens/>
    </w:pPr>
    <w:rPr>
      <w:lang w:val="ro-RO" w:eastAsia="zh-CN"/>
    </w:rPr>
  </w:style>
  <w:style w:type="paragraph" w:customStyle="1" w:styleId="CaracterCaracter1CharCharCaracterCaracter1CharCharCaracterCaracter0">
    <w:name w:val="Caracter Caracter1 Char Char Caracter Caracter1 Char Char Caracter Caracter"/>
    <w:basedOn w:val="Normal"/>
    <w:rsid w:val="00396ACD"/>
    <w:pPr>
      <w:suppressAutoHyphens/>
    </w:pPr>
    <w:rPr>
      <w:lang w:val="ro-RO" w:eastAsia="zh-CN"/>
    </w:rPr>
  </w:style>
  <w:style w:type="paragraph" w:customStyle="1" w:styleId="CharCharCaracterCaracterCharCharCaracterCaracter0">
    <w:name w:val="Char Char Caracter Caracter Char Char Caracter Caracter"/>
    <w:basedOn w:val="Normal"/>
    <w:rsid w:val="00396ACD"/>
    <w:pPr>
      <w:suppressAutoHyphens/>
    </w:pPr>
    <w:rPr>
      <w:lang w:val="ro-RO" w:eastAsia="zh-CN"/>
    </w:rPr>
  </w:style>
  <w:style w:type="paragraph" w:customStyle="1" w:styleId="CharCharCaracterCaracterCharCharCaracterCaracterCharChar0">
    <w:name w:val="Char Char Caracter Caracter Char Char Caracter Caracter Char Char"/>
    <w:basedOn w:val="Normal"/>
    <w:rsid w:val="00396ACD"/>
    <w:pPr>
      <w:suppressAutoHyphens/>
    </w:pPr>
    <w:rPr>
      <w:lang w:val="ro-RO" w:eastAsia="zh-CN"/>
    </w:rPr>
  </w:style>
  <w:style w:type="paragraph" w:customStyle="1" w:styleId="CaracterCaracterCharChar0">
    <w:name w:val="Caracter Caracter Char Char"/>
    <w:basedOn w:val="Normal"/>
    <w:rsid w:val="00396ACD"/>
    <w:pPr>
      <w:suppressAutoHyphens/>
    </w:pPr>
    <w:rPr>
      <w:lang w:val="ro-RO" w:eastAsia="zh-CN"/>
    </w:rPr>
  </w:style>
  <w:style w:type="paragraph" w:customStyle="1" w:styleId="CaracterCaracter60">
    <w:name w:val="Caracter Caracter6"/>
    <w:basedOn w:val="Normal"/>
    <w:rsid w:val="00396ACD"/>
    <w:pPr>
      <w:suppressAutoHyphens/>
    </w:pPr>
    <w:rPr>
      <w:lang w:val="ro-RO" w:eastAsia="zh-CN"/>
    </w:rPr>
  </w:style>
  <w:style w:type="paragraph" w:customStyle="1" w:styleId="CaracterCharCharCaracterCharCharCaracterCharCharCaracterCharCharCaracterCharCharCaracterCharCharCaracterCharCharCaracterCharCharCaracterCharCharCaracter0">
    <w:name w:val="Caracter Char Char Caracter Char Char Caracter Char Char Caracter Char Char Caracter Char Char Caracter Char Char Caracter Char Char Caracter Char Char Caracter Char Char Caracter"/>
    <w:basedOn w:val="Normal"/>
    <w:rsid w:val="00396ACD"/>
    <w:pPr>
      <w:suppressAutoHyphens/>
      <w:spacing w:after="160" w:line="240" w:lineRule="exact"/>
    </w:pPr>
    <w:rPr>
      <w:rFonts w:ascii="Tahoma" w:hAnsi="Tahoma" w:cs="Tahoma"/>
      <w:sz w:val="20"/>
      <w:szCs w:val="20"/>
      <w:lang w:val="ro-RO" w:eastAsia="zh-CN"/>
    </w:rPr>
  </w:style>
  <w:style w:type="paragraph" w:customStyle="1" w:styleId="CaracterCaracter6CharCharCaracterCaracterCaracterCaracter0">
    <w:name w:val="Caracter Caracter6 Char Char Caracter Caracter Caracter Caracter"/>
    <w:basedOn w:val="Normal"/>
    <w:rsid w:val="00396ACD"/>
    <w:pPr>
      <w:suppressAutoHyphens/>
    </w:pPr>
    <w:rPr>
      <w:lang w:val="ro-RO" w:eastAsia="zh-CN"/>
    </w:rPr>
  </w:style>
  <w:style w:type="paragraph" w:customStyle="1" w:styleId="CaracterCaracter6CharCharCaracterCaracterCaracterCaracterCharCharCaracterCaracter0">
    <w:name w:val="Caracter Caracter6 Char Char Caracter Caracter Caracter Caracter Char Char Caracter Caracter"/>
    <w:basedOn w:val="Normal"/>
    <w:rsid w:val="00396ACD"/>
    <w:pPr>
      <w:suppressAutoHyphens/>
    </w:pPr>
    <w:rPr>
      <w:lang w:val="ro-RO" w:eastAsia="zh-CN"/>
    </w:rPr>
  </w:style>
  <w:style w:type="paragraph" w:customStyle="1" w:styleId="CaracterCaracter6CharCharCaracterCaracterCaracterCaracterCharCharCaracterCaracterCharCharCaracterCaracter0">
    <w:name w:val="Caracter Caracter6 Char Char Caracter Caracter Caracter Caracter Char Char Caracter Caracter Char Char Caracter Caracter"/>
    <w:basedOn w:val="Normal"/>
    <w:rsid w:val="00396ACD"/>
    <w:pPr>
      <w:suppressAutoHyphens/>
    </w:pPr>
    <w:rPr>
      <w:lang w:val="ro-RO" w:eastAsia="zh-CN"/>
    </w:rPr>
  </w:style>
  <w:style w:type="paragraph" w:customStyle="1" w:styleId="CaracterCaracter6CharCharCaracterCaracterCaracterCaracterCharCharCaracterCaracterCharCharCaracterCaracterCharCharCaracterCaracterCharCharCaracterCaracter0">
    <w:name w:val="Caracter Caracter6 Char Char Caracter Caracter Caracter Caracter Char Char Caracter Caracter Char Char Caracter Caracter Char Char Caracter Caracter Char Char Caracter Caracter"/>
    <w:basedOn w:val="Normal"/>
    <w:rsid w:val="00396ACD"/>
    <w:pPr>
      <w:suppressAutoHyphens/>
    </w:pPr>
    <w:rPr>
      <w:lang w:val="ro-RO" w:eastAsia="zh-CN"/>
    </w:rPr>
  </w:style>
  <w:style w:type="paragraph" w:customStyle="1" w:styleId="CharChar3CaracterCaracter1CharCharCaracterCaracterCharChar0">
    <w:name w:val="Char Char3 Caracter Caracter1 Char Char Caracter Caracter Char Char"/>
    <w:basedOn w:val="Normal"/>
    <w:rsid w:val="00396ACD"/>
    <w:pPr>
      <w:suppressAutoHyphens/>
    </w:pPr>
    <w:rPr>
      <w:lang w:val="ro-RO" w:eastAsia="zh-CN"/>
    </w:rPr>
  </w:style>
  <w:style w:type="paragraph" w:customStyle="1" w:styleId="CharChar3CaracterCaracter1CharCharCaracterCaracter1CaracterCaracterCharCharCaracterCaracterCharCharCaracterCaracterCharChar0">
    <w:name w:val="Char Char3 Caracter Caracter1 Char Char Caracter Caracter1 Caracter Caracter Char Char Caracter Caracter Char Char Caracter Caracter Char Char"/>
    <w:basedOn w:val="Normal"/>
    <w:rsid w:val="00396ACD"/>
    <w:pPr>
      <w:suppressAutoHyphens/>
    </w:pPr>
    <w:rPr>
      <w:lang w:val="ro-RO" w:eastAsia="zh-CN"/>
    </w:rPr>
  </w:style>
  <w:style w:type="paragraph" w:customStyle="1" w:styleId="CharChar3CaracterCaracter1CharCharCaracterCaracter1CaracterCaracter0">
    <w:name w:val="Char Char3 Caracter Caracter1 Char Char Caracter Caracter1 Caracter Caracter"/>
    <w:basedOn w:val="Normal"/>
    <w:rsid w:val="00396ACD"/>
    <w:pPr>
      <w:suppressAutoHyphens/>
    </w:pPr>
    <w:rPr>
      <w:lang w:val="ro-RO" w:eastAsia="zh-CN"/>
    </w:rPr>
  </w:style>
  <w:style w:type="paragraph" w:customStyle="1" w:styleId="CaracterCaracter1CharCharCaracterCaracter0">
    <w:name w:val="Caracter Caracter1 Char Char Caracter Caracter"/>
    <w:basedOn w:val="Normal"/>
    <w:rsid w:val="00396ACD"/>
    <w:pPr>
      <w:suppressAutoHyphens/>
    </w:pPr>
    <w:rPr>
      <w:lang w:val="ro-RO" w:eastAsia="zh-CN"/>
    </w:rPr>
  </w:style>
  <w:style w:type="paragraph" w:customStyle="1" w:styleId="CaracterCharCharCaracterCharCharCaracterCharChar10">
    <w:name w:val="Caracter Char Char Caracter Char Char Caracter Char Char1"/>
    <w:basedOn w:val="Normal"/>
    <w:rsid w:val="00396ACD"/>
    <w:pPr>
      <w:suppressAutoHyphens/>
    </w:pPr>
    <w:rPr>
      <w:lang w:val="ro-RO" w:eastAsia="zh-CN"/>
    </w:rPr>
  </w:style>
  <w:style w:type="paragraph" w:customStyle="1" w:styleId="CharCharCaracterCaracterCaracterCharCharChar1CharCharCharCharCharCharCharCharCharCharCharCharCharCharCharCaracterCaracterCaracterCaracterCharChar20">
    <w:name w:val="Char Char Caracter Caracter Caracter Char Char Char1 Char Char Char Char Char Char Char Char Char Char Char Char Char Char Char Caracter Caracter Caracter Caracter Char Char2"/>
    <w:basedOn w:val="Normal"/>
    <w:rsid w:val="00396ACD"/>
    <w:pPr>
      <w:suppressAutoHyphens/>
    </w:pPr>
    <w:rPr>
      <w:lang w:val="ro-RO" w:eastAsia="zh-CN"/>
    </w:rPr>
  </w:style>
  <w:style w:type="paragraph" w:customStyle="1" w:styleId="CaracterCharCharCaracterCharCharCaracterCharChar0">
    <w:name w:val="Caracter Char Char Caracter Char Char Caracter Char Char"/>
    <w:basedOn w:val="Normal"/>
    <w:rsid w:val="00396ACD"/>
    <w:pPr>
      <w:suppressAutoHyphens/>
    </w:pPr>
    <w:rPr>
      <w:lang w:val="ro-RO" w:eastAsia="zh-CN"/>
    </w:rPr>
  </w:style>
  <w:style w:type="paragraph" w:customStyle="1" w:styleId="CaracterCharCharCaracterCharCharCaracterCharCharCaracterCharCharCaracterCharCharCaracter0">
    <w:name w:val="Caracter Char Char Caracter Char Char Caracter Char Char Caracter Char Char Caracter Char Char Caracter"/>
    <w:basedOn w:val="Normal"/>
    <w:rsid w:val="00396ACD"/>
    <w:pPr>
      <w:suppressAutoHyphens/>
    </w:pPr>
    <w:rPr>
      <w:lang w:val="ro-RO" w:eastAsia="zh-CN"/>
    </w:rPr>
  </w:style>
  <w:style w:type="paragraph" w:customStyle="1" w:styleId="CaracterCharCharCaracterCharCharCaracterCharChar1CaracterCaracterCharChar0">
    <w:name w:val="Caracter Char Char Caracter Char Char Caracter Char Char1 Caracter Caracter Char Char"/>
    <w:basedOn w:val="Normal"/>
    <w:rsid w:val="00396ACD"/>
    <w:pPr>
      <w:suppressAutoHyphens/>
    </w:pPr>
    <w:rPr>
      <w:lang w:val="ro-RO" w:eastAsia="zh-CN"/>
    </w:rPr>
  </w:style>
  <w:style w:type="paragraph" w:customStyle="1" w:styleId="CharChar3CaracterCaracter1CharCharCaracterCaracter1CaracterCaracterCharCharCaracterCaracterCharCharCaracterCaracterCharCharCaracterCaracterCaracterCaracter0">
    <w:name w:val="Char Char3 Caracter Caracter1 Char Char Caracter Caracter1 Caracter Caracter Char Char Caracter Caracter Char Char Caracter Caracter Char Char Caracter Caracter Caracter Caracter"/>
    <w:basedOn w:val="Normal"/>
    <w:rsid w:val="00396ACD"/>
    <w:pPr>
      <w:suppressAutoHyphens/>
    </w:pPr>
    <w:rPr>
      <w:lang w:val="ro-RO" w:eastAsia="zh-CN"/>
    </w:rPr>
  </w:style>
  <w:style w:type="paragraph" w:customStyle="1" w:styleId="CaracterCaracter1CharChar1CaracterCaracterCharCharCaracterCaracterCharCharCaracterCaracter0">
    <w:name w:val="Caracter Caracter1 Char Char1 Caracter Caracter Char Char Caracter Caracter Char Char Caracter Caracter"/>
    <w:basedOn w:val="Normal"/>
    <w:rsid w:val="00396ACD"/>
    <w:pPr>
      <w:suppressAutoHyphens/>
    </w:pPr>
    <w:rPr>
      <w:lang w:val="ro-RO" w:eastAsia="zh-CN"/>
    </w:rPr>
  </w:style>
  <w:style w:type="paragraph" w:customStyle="1" w:styleId="CaracterCaracter2CharCharCaracterCaracterCharCharCaracterCaracterCharCharCaracterCaracterCharCharCaracterCaracterCharCharCaracterCaracterCharCharCaracterCaracter0">
    <w:name w:val="Caracter Caracter2 Char Char Caracter Caracter Char Char Caracter Caracter Char Char Caracter Caracter Char Char Caracter Caracter Char Char Caracter Caracter Char Char Caracter Caracter"/>
    <w:basedOn w:val="Normal"/>
    <w:rsid w:val="00396ACD"/>
    <w:pPr>
      <w:suppressAutoHyphens/>
    </w:pPr>
    <w:rPr>
      <w:lang w:val="ro-RO" w:eastAsia="zh-CN"/>
    </w:rPr>
  </w:style>
  <w:style w:type="paragraph" w:customStyle="1" w:styleId="CaracterCaracter1CaracterCaracterCaracter0">
    <w:name w:val="Caracter Caracter1 Caracter Caracter Caracter"/>
    <w:basedOn w:val="Normal"/>
    <w:rsid w:val="00396ACD"/>
    <w:pPr>
      <w:suppressAutoHyphens/>
    </w:pPr>
    <w:rPr>
      <w:lang w:val="ro-RO" w:eastAsia="zh-CN"/>
    </w:rPr>
  </w:style>
  <w:style w:type="paragraph" w:customStyle="1" w:styleId="CaracterCaracterCharCharCaracterCaracter10">
    <w:name w:val="Caracter Caracter Char Char Caracter Caracter1"/>
    <w:basedOn w:val="Normal"/>
    <w:rsid w:val="00396ACD"/>
    <w:pPr>
      <w:suppressAutoHyphens/>
    </w:pPr>
    <w:rPr>
      <w:lang w:val="ro-RO" w:eastAsia="zh-CN"/>
    </w:rPr>
  </w:style>
  <w:style w:type="paragraph" w:customStyle="1" w:styleId="CaracterCaracter4CharChar1CaracterCaracter0">
    <w:name w:val="Caracter Caracter4 Char Char1 Caracter Caracter"/>
    <w:basedOn w:val="Normal"/>
    <w:rsid w:val="00396ACD"/>
    <w:pPr>
      <w:suppressAutoHyphens/>
      <w:spacing w:before="120"/>
      <w:jc w:val="both"/>
    </w:pPr>
    <w:rPr>
      <w:rFonts w:ascii="Arial" w:hAnsi="Arial" w:cs="Arial"/>
      <w:lang w:val="ro-RO" w:eastAsia="zh-CN"/>
    </w:rPr>
  </w:style>
  <w:style w:type="paragraph" w:customStyle="1" w:styleId="CaracterCharCharCaracterCharCharCaracterCharCharCaracterCharCharCaracterCharCharCaracterCharCharCaracterCaracterCaracterCaracter0">
    <w:name w:val="Caracter Char Char Caracter Char Char Caracter Char Char Caracter Char Char Caracter Char Char Caracter Char Char Caracter Caracter Caracter Caracter"/>
    <w:basedOn w:val="Normal"/>
    <w:rsid w:val="00396ACD"/>
    <w:pPr>
      <w:suppressAutoHyphens/>
      <w:spacing w:after="160" w:line="240" w:lineRule="exact"/>
    </w:pPr>
    <w:rPr>
      <w:rFonts w:ascii="Tahoma" w:hAnsi="Tahoma" w:cs="Tahoma"/>
      <w:sz w:val="20"/>
      <w:szCs w:val="20"/>
      <w:lang w:val="ro-RO" w:eastAsia="zh-CN"/>
    </w:rPr>
  </w:style>
  <w:style w:type="paragraph" w:customStyle="1" w:styleId="CharChar3CaracterCaracter1CharCharCaracterCaracter1CaracterCaracterCharCharCaracterCaracterCharCharCaracterCaracterCharCharCaracterCaracter0">
    <w:name w:val="Char Char3 Caracter Caracter1 Char Char Caracter Caracter1 Caracter Caracter Char Char Caracter Caracter Char Char Caracter Caracter Char Char Caracter Caracter"/>
    <w:basedOn w:val="Normal"/>
    <w:rsid w:val="00396ACD"/>
    <w:pPr>
      <w:suppressAutoHyphens/>
    </w:pPr>
    <w:rPr>
      <w:lang w:val="ro-RO" w:eastAsia="zh-CN"/>
    </w:rPr>
  </w:style>
  <w:style w:type="paragraph" w:customStyle="1" w:styleId="BVIfnrCharCharCaracterCharCaracterCharCaracterCharCaracterCharCaracterCharCaracterCharCaracter0">
    <w:name w:val="BVI fnr Char Char Caracter Char Caracter Char Caracter Char Caracter Char Caracter Char Caracter Char Caracter"/>
    <w:basedOn w:val="Normal"/>
    <w:next w:val="Normal"/>
    <w:rsid w:val="00396ACD"/>
    <w:pPr>
      <w:suppressAutoHyphens/>
      <w:spacing w:after="160" w:line="240" w:lineRule="exact"/>
    </w:pPr>
    <w:rPr>
      <w:sz w:val="20"/>
      <w:szCs w:val="20"/>
      <w:vertAlign w:val="superscript"/>
      <w:lang w:val="ro-RO"/>
    </w:rPr>
  </w:style>
  <w:style w:type="paragraph" w:customStyle="1" w:styleId="CharChar3CaracterCaracter1CharCharCaracterCaracter1CaracterCaracterCharCharCaracterCaracterCharCharCaracterCaracterCharCharCaracterCaracterCaracterCaracter1CaracterCaracterCharCharCaracterCaracter0">
    <w:name w:val="Char Char3 Caracter Caracter1 Char Char Caracter Caracter1 Caracter Caracter Char Char Caracter Caracter Char Char Caracter Caracter Char Char Caracter Caracter Caracter Caracter1 Caracter Caracter Char Char Caracter Caracter"/>
    <w:basedOn w:val="Normal"/>
    <w:rsid w:val="00396ACD"/>
    <w:pPr>
      <w:suppressAutoHyphens/>
    </w:pPr>
    <w:rPr>
      <w:lang w:val="ro-RO" w:eastAsia="zh-CN"/>
    </w:rPr>
  </w:style>
  <w:style w:type="paragraph" w:customStyle="1" w:styleId="BVIfnrCharCharCaracterCharCaracterCharCaracterCharCaracterCharCaracterCharCaracterCharCaracterCharCharCharChar0">
    <w:name w:val="BVI fnr Char Char Caracter Char Caracter Char Caracter Char Caracter Char Caracter Char Caracter Char Caracter Char Char Char Char"/>
    <w:basedOn w:val="Normal"/>
    <w:next w:val="Normal"/>
    <w:rsid w:val="00396ACD"/>
    <w:pPr>
      <w:suppressAutoHyphens/>
      <w:spacing w:after="160" w:line="240" w:lineRule="exact"/>
    </w:pPr>
    <w:rPr>
      <w:sz w:val="20"/>
      <w:szCs w:val="20"/>
      <w:vertAlign w:val="superscript"/>
      <w:lang w:val="ro-RO"/>
    </w:rPr>
  </w:style>
  <w:style w:type="paragraph" w:customStyle="1" w:styleId="BVIfnrCharCharCaracterCharCaracterCharCaracterCharCaracterCharCaracterCharCaracterCharCaracterCharCharCharCharCharCharCaracterCaracter0">
    <w:name w:val="BVI fnr Char Char Caracter Char Caracter Char Caracter Char Caracter Char Caracter Char Caracter Char Caracter Char Char Char Char Char Char Caracter Caracter"/>
    <w:basedOn w:val="Normal"/>
    <w:next w:val="Normal"/>
    <w:rsid w:val="00396ACD"/>
    <w:pPr>
      <w:suppressAutoHyphens/>
      <w:spacing w:after="160" w:line="240" w:lineRule="exact"/>
    </w:pPr>
    <w:rPr>
      <w:sz w:val="20"/>
      <w:szCs w:val="20"/>
      <w:vertAlign w:val="superscript"/>
      <w:lang w:val="ro-RO"/>
    </w:rPr>
  </w:style>
  <w:style w:type="paragraph" w:customStyle="1" w:styleId="BVIfnrCharCharCaracterCharCaracterCharCaracterCharCaracterCharCaracterCharCaracterCharCaracterCharCharCharCharCharCharCaracterCaracterCharCharCharChar0">
    <w:name w:val="BVI fnr Char Char Caracter Char Caracter Char Caracter Char Caracter Char Caracter Char Caracter Char Caracter Char Char Char Char Char Char Caracter Caracter Char Char Char Char"/>
    <w:basedOn w:val="Normal"/>
    <w:next w:val="Normal"/>
    <w:rsid w:val="00396ACD"/>
    <w:pPr>
      <w:suppressAutoHyphens/>
      <w:spacing w:after="160" w:line="240" w:lineRule="exact"/>
    </w:pPr>
    <w:rPr>
      <w:sz w:val="20"/>
      <w:szCs w:val="20"/>
      <w:vertAlign w:val="superscript"/>
      <w:lang w:val="ro-RO"/>
    </w:rPr>
  </w:style>
  <w:style w:type="paragraph" w:customStyle="1" w:styleId="CaracterCaracter1CharChar1CaracterCharCharCaracterCaracter0">
    <w:name w:val="Caracter Caracter1 Char Char1 Caracter Char Char Caracter Caracter"/>
    <w:basedOn w:val="Normal"/>
    <w:rsid w:val="00396ACD"/>
    <w:rPr>
      <w:lang w:val="pl-PL" w:eastAsia="pl-PL"/>
    </w:rPr>
  </w:style>
  <w:style w:type="paragraph" w:customStyle="1" w:styleId="CaracterCaracter2CharCharCaracterCaracterCharCharCaracterCaracterCharCharCaracterCaracterCaracterCaracterCaracterCaracter0">
    <w:name w:val="Caracter Caracter2 Char Char Caracter Caracter Char Char Caracter Caracter Char Char Caracter Caracter Caracter Caracter Caracter Caracter"/>
    <w:basedOn w:val="Normal"/>
    <w:rsid w:val="00396ACD"/>
    <w:rPr>
      <w:lang w:val="pl-PL" w:eastAsia="pl-PL"/>
    </w:rPr>
  </w:style>
  <w:style w:type="paragraph" w:customStyle="1" w:styleId="CharChar3CaracterCaracter1CharChar0">
    <w:name w:val="Char Char3 Caracter Caracter1 Char Char"/>
    <w:basedOn w:val="Normal"/>
    <w:rsid w:val="00396ACD"/>
    <w:rPr>
      <w:lang w:val="pl-PL" w:eastAsia="pl-PL"/>
    </w:rPr>
  </w:style>
  <w:style w:type="paragraph" w:customStyle="1" w:styleId="Caracter2CharChar0">
    <w:name w:val="Caracter2 Char Char"/>
    <w:basedOn w:val="Normal"/>
    <w:rsid w:val="00396ACD"/>
    <w:rPr>
      <w:lang w:val="pl-PL" w:eastAsia="pl-PL"/>
    </w:rPr>
  </w:style>
  <w:style w:type="character" w:customStyle="1" w:styleId="CharChar0">
    <w:name w:val="Char Char"/>
    <w:rsid w:val="00396ACD"/>
    <w:rPr>
      <w:rFonts w:ascii="Consolas" w:eastAsia="MS Mincho" w:hAnsi="Consolas" w:cs="Consolas"/>
      <w:sz w:val="21"/>
      <w:szCs w:val="21"/>
      <w:lang w:bidi="ar-SA"/>
    </w:rPr>
  </w:style>
  <w:style w:type="paragraph" w:customStyle="1" w:styleId="CharChar3CaracterCaracter1CharCharCaracterCaracter1CaracterCaracterCharCharCaracterCaracterCharCharCaracterCaracterCharCharCaracterCaracterCaracterCaracter1CharChar10">
    <w:name w:val="Char Char3 Caracter Caracter1 Char Char Caracter Caracter1 Caracter Caracter Char Char Caracter Caracter Char Char Caracter Caracter Char Char Caracter Caracter Caracter Caracter1 Char Char1"/>
    <w:basedOn w:val="Normal"/>
    <w:rsid w:val="00396ACD"/>
    <w:rPr>
      <w:lang w:val="pl-PL" w:eastAsia="pl-PL"/>
    </w:rPr>
  </w:style>
  <w:style w:type="paragraph" w:customStyle="1" w:styleId="Caracter20">
    <w:name w:val="Caracter2"/>
    <w:basedOn w:val="Normal"/>
    <w:rsid w:val="00396ACD"/>
    <w:rPr>
      <w:lang w:val="pl-PL" w:eastAsia="pl-PL"/>
    </w:rPr>
  </w:style>
  <w:style w:type="paragraph" w:customStyle="1" w:styleId="Caracter2CharCharCaracterCharCharCaracterCharCharCaracterCharChar0">
    <w:name w:val="Caracter2 Char Char Caracter Char Char Caracter Char Char Caracter Char Char"/>
    <w:basedOn w:val="Normal"/>
    <w:rsid w:val="00396ACD"/>
    <w:rPr>
      <w:lang w:val="pl-PL" w:eastAsia="pl-PL"/>
    </w:rPr>
  </w:style>
  <w:style w:type="character" w:customStyle="1" w:styleId="CharChar80">
    <w:name w:val="Char Char8"/>
    <w:semiHidden/>
    <w:locked/>
    <w:rsid w:val="00396ACD"/>
    <w:rPr>
      <w:rFonts w:ascii="Garamond" w:hAnsi="Garamond" w:cs="Garamond"/>
      <w:sz w:val="24"/>
      <w:szCs w:val="24"/>
      <w:lang w:val="ro-RO" w:eastAsia="ro-RO" w:bidi="ar-SA"/>
    </w:rPr>
  </w:style>
  <w:style w:type="paragraph" w:customStyle="1" w:styleId="Caracter2CharCharCaracterCharCharCaracter0">
    <w:name w:val="Caracter2 Char Char Caracter Char Char Caracter"/>
    <w:basedOn w:val="Normal"/>
    <w:rsid w:val="00396ACD"/>
    <w:rPr>
      <w:lang w:val="pl-PL" w:eastAsia="pl-PL"/>
    </w:rPr>
  </w:style>
  <w:style w:type="paragraph" w:customStyle="1" w:styleId="CharChar2CaracterCharCharCaracter0">
    <w:name w:val="Char Char2 Caracter Char Char Caracter"/>
    <w:basedOn w:val="Normal"/>
    <w:rsid w:val="00396ACD"/>
    <w:rPr>
      <w:lang w:val="pl-PL" w:eastAsia="pl-PL"/>
    </w:rPr>
  </w:style>
  <w:style w:type="paragraph" w:customStyle="1" w:styleId="CaracterCaracter2CharCharCaracterCharChar10">
    <w:name w:val="Caracter Caracter2 Char Char Caracter Char Char1"/>
    <w:basedOn w:val="Normal"/>
    <w:rsid w:val="00396ACD"/>
    <w:rPr>
      <w:lang w:val="pl-PL" w:eastAsia="pl-PL"/>
    </w:rPr>
  </w:style>
  <w:style w:type="paragraph" w:customStyle="1" w:styleId="CharCharCharChar1CharCharCharCharCharCharCharCharCharCharCharCharCaracterCaracterCharCharCaracterCharCharCaracterCaracterCharCharCharCharCharCharCaracterCaracterCharCharCharCharCharChar0">
    <w:name w:val="Char Char Char Char1 Char Char Char Char Char Char Char Char Char Char Char Char Caracter Caracter Char Char Caracter Char Char Caracter Caracter Char Char Char Char Char Char Caracter Caracter Char Char Char Char Char Char"/>
    <w:basedOn w:val="Normal"/>
    <w:next w:val="Normal"/>
    <w:rsid w:val="00396ACD"/>
    <w:pPr>
      <w:spacing w:after="160" w:line="240" w:lineRule="exact"/>
    </w:pPr>
    <w:rPr>
      <w:sz w:val="20"/>
      <w:szCs w:val="20"/>
      <w:vertAlign w:val="superscript"/>
    </w:rPr>
  </w:style>
  <w:style w:type="paragraph" w:customStyle="1" w:styleId="CaracterCaracter7CharCharCharCharCharChar0">
    <w:name w:val="Caracter Caracter7 Char Char Char Char Char Char"/>
    <w:basedOn w:val="Normal"/>
    <w:rsid w:val="00396ACD"/>
    <w:rPr>
      <w:szCs w:val="20"/>
      <w:lang w:val="pl-PL" w:eastAsia="pl-PL"/>
    </w:rPr>
  </w:style>
  <w:style w:type="character" w:customStyle="1" w:styleId="Caracter70">
    <w:name w:val="Caracter7"/>
    <w:rsid w:val="00396ACD"/>
    <w:rPr>
      <w:rFonts w:ascii="Arial Narrow" w:eastAsia="Times New Roman" w:hAnsi="Arial Narrow" w:cs="Times New Roman"/>
      <w:b/>
      <w:bCs/>
      <w:kern w:val="32"/>
      <w:sz w:val="24"/>
      <w:szCs w:val="32"/>
    </w:rPr>
  </w:style>
  <w:style w:type="character" w:customStyle="1" w:styleId="Caracter60">
    <w:name w:val="Caracter6"/>
    <w:rsid w:val="00396ACD"/>
    <w:rPr>
      <w:rFonts w:ascii="Arial Narrow" w:eastAsia="Times New Roman" w:hAnsi="Arial Narrow" w:cs="Times New Roman"/>
      <w:b/>
      <w:bCs/>
      <w:iCs/>
      <w:sz w:val="24"/>
      <w:szCs w:val="28"/>
      <w:shd w:val="clear" w:color="auto" w:fill="FABF8F"/>
    </w:rPr>
  </w:style>
  <w:style w:type="paragraph" w:customStyle="1" w:styleId="CharChar3CaracterCaracter1CharCharCaracterCaracter1CaracterCaracterCharCharCaracterCaracterCharCharCaracterCaracterCharCharCaracterCaracterCaracterCaracter1CharChar1CaracterCharChar0">
    <w:name w:val="Char Char3 Caracter Caracter1 Char Char Caracter Caracter1 Caracter Caracter Char Char Caracter Caracter Char Char Caracter Caracter Char Char Caracter Caracter Caracter Caracter1 Char Char1 Caracter Char Char"/>
    <w:basedOn w:val="Normal"/>
    <w:rsid w:val="00396ACD"/>
    <w:rPr>
      <w:lang w:val="pl-PL" w:eastAsia="pl-PL"/>
    </w:rPr>
  </w:style>
  <w:style w:type="paragraph" w:customStyle="1" w:styleId="CharChar3CaracterCaracter1CharCharCaracterCaracter1CaracterCaracterCharCharCaracterCaracterCharCharCaracterCaracterCharCharCaracterCaracterCaracterCaracter1CharChar0">
    <w:name w:val="Char Char3 Caracter Caracter1 Char Char Caracter Caracter1 Caracter Caracter Char Char Caracter Caracter Char Char Caracter Caracter Char Char Caracter Caracter Caracter Caracter1 Char Char"/>
    <w:basedOn w:val="Normal"/>
    <w:rsid w:val="00396ACD"/>
    <w:rPr>
      <w:lang w:val="pl-PL" w:eastAsia="pl-PL"/>
    </w:rPr>
  </w:style>
  <w:style w:type="paragraph" w:customStyle="1" w:styleId="Standard">
    <w:name w:val="Standard"/>
    <w:rsid w:val="00396ACD"/>
    <w:pPr>
      <w:widowControl w:val="0"/>
      <w:suppressAutoHyphens/>
      <w:autoSpaceDN w:val="0"/>
      <w:spacing w:after="0" w:line="240" w:lineRule="auto"/>
      <w:textAlignment w:val="baseline"/>
    </w:pPr>
    <w:rPr>
      <w:rFonts w:ascii="Liberation Serif" w:eastAsia="SimSun" w:hAnsi="Liberation Serif" w:cs="Mangal"/>
      <w:kern w:val="3"/>
      <w:sz w:val="24"/>
      <w:szCs w:val="24"/>
      <w:lang w:val="ro-RO" w:eastAsia="zh-CN" w:bidi="hi-IN"/>
    </w:rPr>
  </w:style>
  <w:style w:type="character" w:customStyle="1" w:styleId="WW8Num3z3">
    <w:name w:val="WW8Num3z3"/>
    <w:rsid w:val="00396ACD"/>
  </w:style>
  <w:style w:type="character" w:customStyle="1" w:styleId="WW8Num3z4">
    <w:name w:val="WW8Num3z4"/>
    <w:rsid w:val="00396ACD"/>
  </w:style>
  <w:style w:type="character" w:customStyle="1" w:styleId="WW8Num3z5">
    <w:name w:val="WW8Num3z5"/>
    <w:rsid w:val="00396ACD"/>
  </w:style>
  <w:style w:type="character" w:customStyle="1" w:styleId="WW8Num3z6">
    <w:name w:val="WW8Num3z6"/>
    <w:rsid w:val="00396ACD"/>
  </w:style>
  <w:style w:type="character" w:customStyle="1" w:styleId="WW8Num3z7">
    <w:name w:val="WW8Num3z7"/>
    <w:rsid w:val="00396ACD"/>
  </w:style>
  <w:style w:type="character" w:customStyle="1" w:styleId="WW8Num3z8">
    <w:name w:val="WW8Num3z8"/>
    <w:rsid w:val="00396ACD"/>
  </w:style>
  <w:style w:type="character" w:customStyle="1" w:styleId="WW8Num4z2">
    <w:name w:val="WW8Num4z2"/>
    <w:rsid w:val="00396ACD"/>
    <w:rPr>
      <w:rFonts w:ascii="Wingdings" w:hAnsi="Wingdings" w:cs="Wingdings"/>
    </w:rPr>
  </w:style>
  <w:style w:type="character" w:customStyle="1" w:styleId="WW-DefaultParagraphFont111">
    <w:name w:val="WW-Default Paragraph Font111"/>
    <w:rsid w:val="00396ACD"/>
  </w:style>
  <w:style w:type="character" w:customStyle="1" w:styleId="WW8Num4z3">
    <w:name w:val="WW8Num4z3"/>
    <w:rsid w:val="00396ACD"/>
    <w:rPr>
      <w:rFonts w:ascii="Symbol" w:hAnsi="Symbol" w:cs="Symbol"/>
    </w:rPr>
  </w:style>
  <w:style w:type="character" w:customStyle="1" w:styleId="WW8Num7z4">
    <w:name w:val="WW8Num7z4"/>
    <w:rsid w:val="00396ACD"/>
    <w:rPr>
      <w:rFonts w:ascii="Courier New" w:hAnsi="Courier New" w:cs="Courier New"/>
    </w:rPr>
  </w:style>
  <w:style w:type="character" w:customStyle="1" w:styleId="WW8Num18z4">
    <w:name w:val="WW8Num18z4"/>
    <w:rsid w:val="00396ACD"/>
    <w:rPr>
      <w:rFonts w:ascii="Courier New" w:hAnsi="Courier New" w:cs="Courier New"/>
    </w:rPr>
  </w:style>
  <w:style w:type="character" w:customStyle="1" w:styleId="WW8Num38z4">
    <w:name w:val="WW8Num38z4"/>
    <w:rsid w:val="00396ACD"/>
    <w:rPr>
      <w:rFonts w:ascii="Courier New" w:hAnsi="Courier New" w:cs="Courier New"/>
    </w:rPr>
  </w:style>
  <w:style w:type="character" w:customStyle="1" w:styleId="WW8Num40z2">
    <w:name w:val="WW8Num40z2"/>
    <w:rsid w:val="00396ACD"/>
    <w:rPr>
      <w:rFonts w:ascii="Wingdings" w:hAnsi="Wingdings" w:cs="Wingdings"/>
    </w:rPr>
  </w:style>
  <w:style w:type="character" w:customStyle="1" w:styleId="WW-DefaultParagraphFont1111">
    <w:name w:val="WW-Default Paragraph Font1111"/>
    <w:rsid w:val="00396ACD"/>
  </w:style>
  <w:style w:type="character" w:customStyle="1" w:styleId="WW8Num43z2">
    <w:name w:val="WW8Num43z2"/>
    <w:rsid w:val="00396ACD"/>
    <w:rPr>
      <w:rFonts w:ascii="Wingdings" w:hAnsi="Wingdings" w:cs="Wingdings"/>
    </w:rPr>
  </w:style>
  <w:style w:type="character" w:customStyle="1" w:styleId="WW8Num42z4">
    <w:name w:val="WW8Num42z4"/>
    <w:rsid w:val="00396ACD"/>
    <w:rPr>
      <w:rFonts w:ascii="Courier New" w:hAnsi="Courier New" w:cs="Courier New"/>
    </w:rPr>
  </w:style>
  <w:style w:type="character" w:customStyle="1" w:styleId="WW8Num39z4">
    <w:name w:val="WW8Num39z4"/>
    <w:rsid w:val="00396ACD"/>
    <w:rPr>
      <w:rFonts w:ascii="Courier New" w:hAnsi="Courier New" w:cs="Courier New"/>
    </w:rPr>
  </w:style>
  <w:style w:type="character" w:customStyle="1" w:styleId="WW8Num38z2">
    <w:name w:val="WW8Num38z2"/>
    <w:rsid w:val="00396ACD"/>
    <w:rPr>
      <w:rFonts w:ascii="Wingdings" w:hAnsi="Wingdings" w:cs="Wingdings"/>
    </w:rPr>
  </w:style>
  <w:style w:type="character" w:customStyle="1" w:styleId="WW8Num21z4">
    <w:name w:val="WW8Num21z4"/>
    <w:rsid w:val="00396ACD"/>
    <w:rPr>
      <w:rFonts w:ascii="Courier New" w:hAnsi="Courier New" w:cs="Courier New"/>
    </w:rPr>
  </w:style>
  <w:style w:type="character" w:customStyle="1" w:styleId="WW-DefaultParagraphFont111111">
    <w:name w:val="WW-Default Paragraph Font111111"/>
    <w:rsid w:val="00396ACD"/>
  </w:style>
  <w:style w:type="character" w:customStyle="1" w:styleId="ListLabel118">
    <w:name w:val="ListLabel 118"/>
    <w:rsid w:val="00396ACD"/>
    <w:rPr>
      <w:rFonts w:cs="Wingdings"/>
    </w:rPr>
  </w:style>
  <w:style w:type="character" w:customStyle="1" w:styleId="ListLabel117">
    <w:name w:val="ListLabel 117"/>
    <w:rsid w:val="00396ACD"/>
    <w:rPr>
      <w:rFonts w:cs="Wingdings"/>
      <w:color w:val="000000"/>
    </w:rPr>
  </w:style>
  <w:style w:type="character" w:customStyle="1" w:styleId="ListLabel119">
    <w:name w:val="ListLabel 119"/>
    <w:rsid w:val="00396ACD"/>
    <w:rPr>
      <w:rFonts w:cs="Symbol"/>
    </w:rPr>
  </w:style>
  <w:style w:type="character" w:customStyle="1" w:styleId="ListLabel120">
    <w:name w:val="ListLabel 120"/>
    <w:rsid w:val="00396ACD"/>
    <w:rPr>
      <w:rFonts w:cs="Courier New"/>
    </w:rPr>
  </w:style>
  <w:style w:type="character" w:customStyle="1" w:styleId="ListLabel121">
    <w:name w:val="ListLabel 121"/>
    <w:rsid w:val="00396ACD"/>
    <w:rPr>
      <w:rFonts w:cs="OpenSymbol"/>
    </w:rPr>
  </w:style>
  <w:style w:type="paragraph" w:customStyle="1" w:styleId="CaracterCaracterCharCharCaracterCaracterCharCharCaracterCaracterCaracterCaracterCaracterCharCharCaracterCaracter">
    <w:name w:val="Caracter Caracter Char Char Caracter Caracter Char Char Caracter Caracter Caracter Caracter Caracter Char Char Caracter Caracter"/>
    <w:basedOn w:val="Normal"/>
    <w:rsid w:val="00396ACD"/>
    <w:pPr>
      <w:tabs>
        <w:tab w:val="left" w:pos="709"/>
      </w:tabs>
      <w:suppressAutoHyphens/>
    </w:pPr>
    <w:rPr>
      <w:rFonts w:ascii="Tahoma" w:hAnsi="Tahoma" w:cs="Tahoma"/>
      <w:kern w:val="1"/>
      <w:lang w:val="pl-PL" w:eastAsia="zh-CN"/>
    </w:rPr>
  </w:style>
  <w:style w:type="paragraph" w:customStyle="1" w:styleId="FooterLeft">
    <w:name w:val="Footer Left"/>
    <w:basedOn w:val="Normal"/>
    <w:rsid w:val="00396ACD"/>
    <w:pPr>
      <w:suppressLineNumbers/>
      <w:tabs>
        <w:tab w:val="center" w:pos="4556"/>
        <w:tab w:val="right" w:pos="9113"/>
      </w:tabs>
      <w:suppressAutoHyphens/>
    </w:pPr>
    <w:rPr>
      <w:kern w:val="1"/>
      <w:lang w:val="en-GB" w:eastAsia="zh-CN"/>
    </w:rPr>
  </w:style>
  <w:style w:type="table" w:customStyle="1" w:styleId="TableSimple112">
    <w:name w:val="Table Simple 112"/>
    <w:basedOn w:val="TableNormal"/>
    <w:next w:val="TableSimple1"/>
    <w:rsid w:val="00396ACD"/>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
    <w:name w:val="Table Grid22"/>
    <w:basedOn w:val="TableNormal"/>
    <w:next w:val="TableGrid"/>
    <w:uiPriority w:val="5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396ACD"/>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59"/>
    <w:rsid w:val="00396ACD"/>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
    <w:name w:val="Table Simple 131"/>
    <w:basedOn w:val="TableNormal"/>
    <w:next w:val="TableSimple1"/>
    <w:rsid w:val="00396ACD"/>
    <w:pPr>
      <w:spacing w:after="0" w:line="240" w:lineRule="auto"/>
    </w:pPr>
    <w:rPr>
      <w:rFonts w:ascii="Times New Roman" w:eastAsia="Times New Roman" w:hAnsi="Times New Roman" w:cs="Times New Roman"/>
      <w:sz w:val="20"/>
      <w:szCs w:val="20"/>
    </w:rPr>
    <w:tblPr>
      <w:tblInd w:w="0" w:type="nil"/>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
    <w:name w:val="Table Simple 1121"/>
    <w:basedOn w:val="TableNormal"/>
    <w:next w:val="TableSimple1"/>
    <w:rsid w:val="00396ACD"/>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
    <w:name w:val="Table Grid211"/>
    <w:basedOn w:val="TableNormal"/>
    <w:next w:val="TableGrid"/>
    <w:uiPriority w:val="59"/>
    <w:locked/>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locked/>
    <w:rsid w:val="00396ACD"/>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
    <w:name w:val="Tabel grilă14"/>
    <w:basedOn w:val="TableNormal"/>
    <w:next w:val="TableGrid"/>
    <w:uiPriority w:val="39"/>
    <w:rsid w:val="00396A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
    <w:name w:val="Tabel grilă111"/>
    <w:basedOn w:val="TableNormal"/>
    <w:next w:val="TableGrid"/>
    <w:uiPriority w:val="39"/>
    <w:rsid w:val="00396A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
    <w:name w:val="Tabel grilă121"/>
    <w:basedOn w:val="TableNormal"/>
    <w:next w:val="TableGrid"/>
    <w:uiPriority w:val="39"/>
    <w:rsid w:val="00396A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6">
    <w:name w:val="Style6"/>
    <w:basedOn w:val="Normal"/>
    <w:rsid w:val="00396ACD"/>
    <w:pPr>
      <w:widowControl w:val="0"/>
      <w:autoSpaceDE w:val="0"/>
      <w:autoSpaceDN w:val="0"/>
      <w:adjustRightInd w:val="0"/>
      <w:spacing w:line="454" w:lineRule="exact"/>
      <w:ind w:firstLine="684"/>
      <w:jc w:val="both"/>
    </w:pPr>
  </w:style>
  <w:style w:type="table" w:customStyle="1" w:styleId="TableGrid81">
    <w:name w:val="Table Grid81"/>
    <w:basedOn w:val="TableNormal"/>
    <w:next w:val="TableGrid"/>
    <w:uiPriority w:val="3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396AC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normal0">
    <w:name w:val="5normal"/>
    <w:basedOn w:val="Normal"/>
    <w:rsid w:val="00396ACD"/>
    <w:pPr>
      <w:spacing w:before="100" w:beforeAutospacing="1" w:after="100" w:afterAutospacing="1"/>
    </w:pPr>
  </w:style>
  <w:style w:type="table" w:customStyle="1" w:styleId="TableGrid101">
    <w:name w:val="Table Grid101"/>
    <w:basedOn w:val="TableNormal"/>
    <w:next w:val="TableGrid"/>
    <w:uiPriority w:val="3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utreachitemdesc">
    <w:name w:val="outreach__item__desc"/>
    <w:rsid w:val="00396ACD"/>
  </w:style>
  <w:style w:type="paragraph" w:customStyle="1" w:styleId="al">
    <w:name w:val="a_l"/>
    <w:basedOn w:val="Normal"/>
    <w:rsid w:val="00396ACD"/>
    <w:pPr>
      <w:spacing w:before="100" w:beforeAutospacing="1" w:after="100" w:afterAutospacing="1"/>
    </w:pPr>
    <w:rPr>
      <w:lang w:val="ro-RO" w:eastAsia="ro-RO"/>
    </w:rPr>
  </w:style>
  <w:style w:type="paragraph" w:customStyle="1" w:styleId="FootnoteReferenceNumberChar2Char2">
    <w:name w:val="Footnote Reference Number Char2 Char2"/>
    <w:aliases w:val="Odwołanie przypisu Char2 Char2,Footnote Reference_LVL6 Char2 Char2,Footnote Reference_LVL61 Char2 Char2,Footnote Reference_LVL62 Char2 Char2,fr Char1 Char1"/>
    <w:basedOn w:val="Normal"/>
    <w:next w:val="Normal"/>
    <w:uiPriority w:val="99"/>
    <w:rsid w:val="00396ACD"/>
    <w:pPr>
      <w:spacing w:after="160" w:line="240" w:lineRule="exact"/>
    </w:pPr>
    <w:rPr>
      <w:sz w:val="20"/>
      <w:szCs w:val="20"/>
      <w:vertAlign w:val="superscript"/>
      <w:lang w:val="x-none" w:eastAsia="x-none"/>
    </w:rPr>
  </w:style>
  <w:style w:type="paragraph" w:customStyle="1" w:styleId="rai-text">
    <w:name w:val="rai-text"/>
    <w:basedOn w:val="Normal"/>
    <w:rsid w:val="00396ACD"/>
    <w:pPr>
      <w:spacing w:before="100" w:beforeAutospacing="1" w:after="100" w:afterAutospacing="1"/>
    </w:pPr>
  </w:style>
  <w:style w:type="paragraph" w:customStyle="1" w:styleId="Caption1">
    <w:name w:val="Caption1"/>
    <w:basedOn w:val="Normal"/>
    <w:rsid w:val="00396ACD"/>
    <w:pPr>
      <w:spacing w:before="100" w:beforeAutospacing="1" w:after="100" w:afterAutospacing="1"/>
    </w:pPr>
  </w:style>
  <w:style w:type="paragraph" w:customStyle="1" w:styleId="CaracterCaracter30">
    <w:name w:val="Caracter Caracter3"/>
    <w:basedOn w:val="Normal"/>
    <w:rsid w:val="00396ACD"/>
    <w:pPr>
      <w:spacing w:after="160" w:line="240" w:lineRule="exact"/>
    </w:pPr>
    <w:rPr>
      <w:rFonts w:ascii="Tahoma" w:hAnsi="Tahoma"/>
      <w:sz w:val="20"/>
      <w:szCs w:val="20"/>
      <w:lang w:val="ro-RO"/>
    </w:rPr>
  </w:style>
  <w:style w:type="character" w:customStyle="1" w:styleId="FootnoteReference1">
    <w:name w:val="Footnote Reference1"/>
    <w:rsid w:val="00396ACD"/>
    <w:rPr>
      <w:vertAlign w:val="superscript"/>
    </w:rPr>
  </w:style>
  <w:style w:type="character" w:styleId="SubtleReference">
    <w:name w:val="Subtle Reference"/>
    <w:basedOn w:val="DefaultParagraphFont"/>
    <w:uiPriority w:val="31"/>
    <w:qFormat/>
    <w:rsid w:val="00ED5289"/>
    <w:rPr>
      <w:smallCaps/>
      <w:color w:val="5A5A5A" w:themeColor="text1" w:themeTint="A5"/>
    </w:rPr>
  </w:style>
  <w:style w:type="table" w:customStyle="1" w:styleId="GridTable4-Accent11">
    <w:name w:val="Grid Table 4 - Accent 11"/>
    <w:basedOn w:val="TableNormal"/>
    <w:uiPriority w:val="49"/>
    <w:rsid w:val="00ED528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Caracter2CharCharCaracterCharCharCaracterCharCharCaracterCharChar1">
    <w:name w:val="Caracter2 Char Char Caracter Char Char Caracter Char Char Caracter Char Char"/>
    <w:basedOn w:val="Normal"/>
    <w:rsid w:val="007D4FD3"/>
    <w:rPr>
      <w:lang w:val="pl-PL" w:eastAsia="pl-PL"/>
    </w:rPr>
  </w:style>
  <w:style w:type="paragraph" w:customStyle="1" w:styleId="Caracter2CharCharCaracterCharCharCaracterCharCharCaracterCharChar2">
    <w:name w:val="Caracter2 Char Char Caracter Char Char Caracter Char Char Caracter Char Char"/>
    <w:basedOn w:val="Normal"/>
    <w:rsid w:val="00ED6C61"/>
    <w:rPr>
      <w:lang w:val="pl-PL" w:eastAsia="pl-PL"/>
    </w:rPr>
  </w:style>
  <w:style w:type="paragraph" w:customStyle="1" w:styleId="Caracter2CharCharCaracterCharCharCaracterCharCharCaracterCharChar3">
    <w:name w:val="Caracter2 Char Char Caracter Char Char Caracter Char Char Caracter Char Char"/>
    <w:basedOn w:val="Normal"/>
    <w:rsid w:val="00666E11"/>
    <w:rPr>
      <w:lang w:val="pl-PL" w:eastAsia="pl-PL"/>
    </w:rPr>
  </w:style>
  <w:style w:type="paragraph" w:customStyle="1" w:styleId="Caracter2CharCharCaracterCharCharCaracterCharCharCaracterCharChar4">
    <w:name w:val="Caracter2 Char Char Caracter Char Char Caracter Char Char Caracter Char Char"/>
    <w:basedOn w:val="Normal"/>
    <w:rsid w:val="004D123A"/>
    <w:rPr>
      <w:lang w:val="pl-PL" w:eastAsia="pl-PL"/>
    </w:rPr>
  </w:style>
  <w:style w:type="paragraph" w:customStyle="1" w:styleId="Caracter2CharCharCaracterCharCharCaracterCharCharCaracterCharChar5">
    <w:name w:val="Caracter2 Char Char Caracter Char Char Caracter Char Char Caracter Char Char"/>
    <w:basedOn w:val="Normal"/>
    <w:rsid w:val="00C47D9F"/>
    <w:rPr>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8156834">
      <w:bodyDiv w:val="1"/>
      <w:marLeft w:val="0"/>
      <w:marRight w:val="0"/>
      <w:marTop w:val="0"/>
      <w:marBottom w:val="0"/>
      <w:divBdr>
        <w:top w:val="none" w:sz="0" w:space="0" w:color="auto"/>
        <w:left w:val="none" w:sz="0" w:space="0" w:color="auto"/>
        <w:bottom w:val="none" w:sz="0" w:space="0" w:color="auto"/>
        <w:right w:val="none" w:sz="0" w:space="0" w:color="auto"/>
      </w:divBdr>
    </w:div>
    <w:div w:id="1461991929">
      <w:bodyDiv w:val="1"/>
      <w:marLeft w:val="0"/>
      <w:marRight w:val="0"/>
      <w:marTop w:val="0"/>
      <w:marBottom w:val="0"/>
      <w:divBdr>
        <w:top w:val="none" w:sz="0" w:space="0" w:color="auto"/>
        <w:left w:val="none" w:sz="0" w:space="0" w:color="auto"/>
        <w:bottom w:val="none" w:sz="0" w:space="0" w:color="auto"/>
        <w:right w:val="none" w:sz="0" w:space="0" w:color="auto"/>
      </w:divBdr>
    </w:div>
    <w:div w:id="1536894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chart" Target="charts/chart3.xml"/><Relationship Id="rId34" Type="http://schemas.openxmlformats.org/officeDocument/2006/relationships/image" Target="media/image18.emf"/><Relationship Id="rId42" Type="http://schemas.openxmlformats.org/officeDocument/2006/relationships/image" Target="media/image21.emf"/><Relationship Id="rId47" Type="http://schemas.openxmlformats.org/officeDocument/2006/relationships/image" Target="media/image25.emf"/><Relationship Id="rId50" Type="http://schemas.openxmlformats.org/officeDocument/2006/relationships/image" Target="media/image28.png"/><Relationship Id="rId55" Type="http://schemas.openxmlformats.org/officeDocument/2006/relationships/image" Target="media/image30.emf"/><Relationship Id="rId63" Type="http://schemas.openxmlformats.org/officeDocument/2006/relationships/image" Target="media/image38.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emf"/><Relationship Id="rId11" Type="http://schemas.openxmlformats.org/officeDocument/2006/relationships/chart" Target="charts/chart1.xml"/><Relationship Id="rId24" Type="http://schemas.openxmlformats.org/officeDocument/2006/relationships/chart" Target="charts/chart6.xml"/><Relationship Id="rId32" Type="http://schemas.openxmlformats.org/officeDocument/2006/relationships/image" Target="media/image16.emf"/><Relationship Id="rId37" Type="http://schemas.openxmlformats.org/officeDocument/2006/relationships/chart" Target="charts/chart8.xml"/><Relationship Id="rId40" Type="http://schemas.openxmlformats.org/officeDocument/2006/relationships/image" Target="media/image19.emf"/><Relationship Id="rId45" Type="http://schemas.openxmlformats.org/officeDocument/2006/relationships/image" Target="media/image23.png"/><Relationship Id="rId53" Type="http://schemas.openxmlformats.org/officeDocument/2006/relationships/chart" Target="charts/chart13.xml"/><Relationship Id="rId58" Type="http://schemas.openxmlformats.org/officeDocument/2006/relationships/image" Target="media/image33.emf"/><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36.emf"/><Relationship Id="rId19" Type="http://schemas.openxmlformats.org/officeDocument/2006/relationships/hyperlink" Target="http://legislatie.just.ro/Public/DetaliiDocumentAfis/232307" TargetMode="External"/><Relationship Id="rId14" Type="http://schemas.openxmlformats.org/officeDocument/2006/relationships/oleObject" Target="embeddings/Microsoft_Excel_97-2003_Worksheet1.xls"/><Relationship Id="rId22" Type="http://schemas.openxmlformats.org/officeDocument/2006/relationships/chart" Target="charts/chart4.xm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hyperlink" Target="http://www.anl.ro/ro/locuinte-pentru-tineri/locuinte-pentru-rromi/" TargetMode="External"/><Relationship Id="rId43" Type="http://schemas.openxmlformats.org/officeDocument/2006/relationships/image" Target="media/image22.emf"/><Relationship Id="rId48" Type="http://schemas.openxmlformats.org/officeDocument/2006/relationships/image" Target="media/image26.emf"/><Relationship Id="rId56" Type="http://schemas.openxmlformats.org/officeDocument/2006/relationships/image" Target="media/image31.emf"/><Relationship Id="rId64" Type="http://schemas.openxmlformats.org/officeDocument/2006/relationships/image" Target="media/image39.emf"/><Relationship Id="rId8" Type="http://schemas.openxmlformats.org/officeDocument/2006/relationships/image" Target="media/image2.png"/><Relationship Id="rId51" Type="http://schemas.openxmlformats.org/officeDocument/2006/relationships/chart" Target="charts/chart1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7.png"/><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chart" Target="charts/chart9.xml"/><Relationship Id="rId46" Type="http://schemas.openxmlformats.org/officeDocument/2006/relationships/image" Target="media/image24.emf"/><Relationship Id="rId59" Type="http://schemas.openxmlformats.org/officeDocument/2006/relationships/image" Target="media/image34.emf"/><Relationship Id="rId67" Type="http://schemas.openxmlformats.org/officeDocument/2006/relationships/fontTable" Target="fontTable.xml"/><Relationship Id="rId20" Type="http://schemas.openxmlformats.org/officeDocument/2006/relationships/hyperlink" Target="http://legislatie.just.ro/Public/DetaliiDocumentAfis/232307" TargetMode="External"/><Relationship Id="rId41" Type="http://schemas.openxmlformats.org/officeDocument/2006/relationships/image" Target="media/image20.emf"/><Relationship Id="rId54" Type="http://schemas.openxmlformats.org/officeDocument/2006/relationships/image" Target="media/image29.jpeg"/><Relationship Id="rId62"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hart" Target="charts/chart5.xml"/><Relationship Id="rId28" Type="http://schemas.openxmlformats.org/officeDocument/2006/relationships/image" Target="media/image12.emf"/><Relationship Id="rId36" Type="http://schemas.openxmlformats.org/officeDocument/2006/relationships/chart" Target="charts/chart7.xml"/><Relationship Id="rId49" Type="http://schemas.openxmlformats.org/officeDocument/2006/relationships/image" Target="media/image27.png"/><Relationship Id="rId57" Type="http://schemas.openxmlformats.org/officeDocument/2006/relationships/image" Target="media/image32.emf"/><Relationship Id="rId10" Type="http://schemas.openxmlformats.org/officeDocument/2006/relationships/oleObject" Target="embeddings/Microsoft_Excel_97-2003_Worksheet.xls"/><Relationship Id="rId31" Type="http://schemas.openxmlformats.org/officeDocument/2006/relationships/image" Target="media/image15.emf"/><Relationship Id="rId44" Type="http://schemas.openxmlformats.org/officeDocument/2006/relationships/chart" Target="charts/chart10.xml"/><Relationship Id="rId52" Type="http://schemas.openxmlformats.org/officeDocument/2006/relationships/chart" Target="charts/chart12.xml"/><Relationship Id="rId60" Type="http://schemas.openxmlformats.org/officeDocument/2006/relationships/image" Target="media/image35.emf"/><Relationship Id="rId65" Type="http://schemas.openxmlformats.org/officeDocument/2006/relationships/image" Target="media/image40.emf"/><Relationship Id="rId4" Type="http://schemas.openxmlformats.org/officeDocument/2006/relationships/settings" Target="settings.xml"/><Relationship Id="rId9" Type="http://schemas.openxmlformats.org/officeDocument/2006/relationships/image" Target="media/image3.emf"/><Relationship Id="rId13" Type="http://schemas.openxmlformats.org/officeDocument/2006/relationships/image" Target="media/image4.emf"/><Relationship Id="rId18" Type="http://schemas.openxmlformats.org/officeDocument/2006/relationships/image" Target="media/image8.png"/><Relationship Id="rId3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11.xml.rels><?xml version="1.0" encoding="UTF-8" standalone="yes"?>
<Relationships xmlns="http://schemas.openxmlformats.org/package/2006/relationships"><Relationship Id="rId2" Type="http://schemas.openxmlformats.org/officeDocument/2006/relationships/oleObject" Target="file:///D:\Venituri\Strategia%20fiscal%20bugetara%202021\grafic%20piramida%20populatie.xls"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oleObject" Target="file:///D:\Venituri\Strategia%20fiscal%20bugetara%202021\grafic%20piramida%20populatie.xls"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T\Downloads\proj_19np.xls"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file:///D:\Comparatii%20potential%20Buget%202020%20si%20Buget%20202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92522075\Desktop\BGC%202015-2024%20-%20estimari%2011%20februarie%20retea.xls"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76026672\AppData\Local\Temp\notesE97E9E\lista%20proiecte%20de%20inv%20publice%20-%20toate_14.07.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76026672\AppData\Local\Temp\notesE97E9E\lista%20proiecte%20de%20inv%20publice%20-%20toate_14.07.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Prioritizare\2020\pentru%20guvern\17.07.2020\lista%20proiecte%20de%20inv%20publice%20-%20toate_17.0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o-RO"/>
              <a:t>Structura cheltuielilor de investiții în perioada 2018-2022 - miliarde lei</a:t>
            </a:r>
          </a:p>
          <a:p>
            <a:pPr>
              <a:defRPr/>
            </a:pPr>
            <a:endParaRPr lang="en-US"/>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0213839526153692"/>
          <c:y val="0.13304597701149423"/>
          <c:w val="0.87645978919043166"/>
          <c:h val="0.68175717259480495"/>
        </c:manualLayout>
      </c:layout>
      <c:barChart>
        <c:barDir val="col"/>
        <c:grouping val="stacked"/>
        <c:varyColors val="0"/>
        <c:ser>
          <c:idx val="0"/>
          <c:order val="0"/>
          <c:tx>
            <c:strRef>
              <c:f>'g7 investitii valori'!$D$3</c:f>
              <c:strCache>
                <c:ptCount val="1"/>
                <c:pt idx="0">
                  <c:v>Cheltuieli pentru investiții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'g7 investitii valori'!$E$2:$I$2</c:f>
              <c:numCache>
                <c:formatCode>General</c:formatCode>
                <c:ptCount val="5"/>
                <c:pt idx="0">
                  <c:v>2018</c:v>
                </c:pt>
                <c:pt idx="1">
                  <c:v>2019</c:v>
                </c:pt>
                <c:pt idx="2">
                  <c:v>2020</c:v>
                </c:pt>
                <c:pt idx="3">
                  <c:v>2021</c:v>
                </c:pt>
                <c:pt idx="4">
                  <c:v>2022</c:v>
                </c:pt>
              </c:numCache>
            </c:numRef>
          </c:cat>
          <c:val>
            <c:numRef>
              <c:f>'g7 investitii valori'!$E$3:$I$3</c:f>
            </c:numRef>
          </c:val>
          <c:extLst>
            <c:ext xmlns:c16="http://schemas.microsoft.com/office/drawing/2014/chart" uri="{C3380CC4-5D6E-409C-BE32-E72D297353CC}">
              <c16:uniqueId val="{00000000-4DB1-4D3C-9D83-E726A5B082F4}"/>
            </c:ext>
          </c:extLst>
        </c:ser>
        <c:ser>
          <c:idx val="1"/>
          <c:order val="1"/>
          <c:tx>
            <c:strRef>
              <c:f>'g7 investitii valori'!$D$4</c:f>
              <c:strCache>
                <c:ptCount val="1"/>
                <c:pt idx="0">
                  <c:v>Proiecte cu finantare din fonduri externe nerambursabile postaderare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'g7 investitii valori'!$E$2:$I$2</c:f>
              <c:numCache>
                <c:formatCode>General</c:formatCode>
                <c:ptCount val="5"/>
                <c:pt idx="0">
                  <c:v>2018</c:v>
                </c:pt>
                <c:pt idx="1">
                  <c:v>2019</c:v>
                </c:pt>
                <c:pt idx="2">
                  <c:v>2020</c:v>
                </c:pt>
                <c:pt idx="3">
                  <c:v>2021</c:v>
                </c:pt>
                <c:pt idx="4">
                  <c:v>2022</c:v>
                </c:pt>
              </c:numCache>
            </c:numRef>
          </c:cat>
          <c:val>
            <c:numRef>
              <c:f>'g7 investitii valori'!$E$4:$I$4</c:f>
              <c:numCache>
                <c:formatCode>#,##0.0</c:formatCode>
                <c:ptCount val="5"/>
                <c:pt idx="0">
                  <c:v>10.826000000000001</c:v>
                </c:pt>
                <c:pt idx="1">
                  <c:v>12.134</c:v>
                </c:pt>
                <c:pt idx="2">
                  <c:v>21</c:v>
                </c:pt>
                <c:pt idx="3">
                  <c:v>32.1</c:v>
                </c:pt>
                <c:pt idx="4">
                  <c:v>33.200000000000003</c:v>
                </c:pt>
              </c:numCache>
            </c:numRef>
          </c:val>
          <c:extLst>
            <c:ext xmlns:c16="http://schemas.microsoft.com/office/drawing/2014/chart" uri="{C3380CC4-5D6E-409C-BE32-E72D297353CC}">
              <c16:uniqueId val="{00000001-4DB1-4D3C-9D83-E726A5B082F4}"/>
            </c:ext>
          </c:extLst>
        </c:ser>
        <c:ser>
          <c:idx val="2"/>
          <c:order val="2"/>
          <c:tx>
            <c:strRef>
              <c:f>'g7 investitii valori'!$D$5</c:f>
              <c:strCache>
                <c:ptCount val="1"/>
                <c:pt idx="0">
                  <c:v>Investiții finanțate din fonduri naționale</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'g7 investitii valori'!$E$2:$I$2</c:f>
              <c:numCache>
                <c:formatCode>General</c:formatCode>
                <c:ptCount val="5"/>
                <c:pt idx="0">
                  <c:v>2018</c:v>
                </c:pt>
                <c:pt idx="1">
                  <c:v>2019</c:v>
                </c:pt>
                <c:pt idx="2">
                  <c:v>2020</c:v>
                </c:pt>
                <c:pt idx="3">
                  <c:v>2021</c:v>
                </c:pt>
                <c:pt idx="4">
                  <c:v>2022</c:v>
                </c:pt>
              </c:numCache>
            </c:numRef>
          </c:cat>
          <c:val>
            <c:numRef>
              <c:f>'g7 investitii valori'!$E$5:$I$5</c:f>
              <c:numCache>
                <c:formatCode>#,##0.0</c:formatCode>
                <c:ptCount val="5"/>
                <c:pt idx="0">
                  <c:v>23.402999999999999</c:v>
                </c:pt>
                <c:pt idx="1">
                  <c:v>31.537999999999997</c:v>
                </c:pt>
                <c:pt idx="2">
                  <c:v>32.08</c:v>
                </c:pt>
                <c:pt idx="3">
                  <c:v>29.299999999999997</c:v>
                </c:pt>
                <c:pt idx="4">
                  <c:v>30.899999999999991</c:v>
                </c:pt>
              </c:numCache>
            </c:numRef>
          </c:val>
          <c:extLst>
            <c:ext xmlns:c16="http://schemas.microsoft.com/office/drawing/2014/chart" uri="{C3380CC4-5D6E-409C-BE32-E72D297353CC}">
              <c16:uniqueId val="{00000002-4DB1-4D3C-9D83-E726A5B082F4}"/>
            </c:ext>
          </c:extLst>
        </c:ser>
        <c:dLbls>
          <c:dLblPos val="ctr"/>
          <c:showLegendKey val="0"/>
          <c:showVal val="1"/>
          <c:showCatName val="0"/>
          <c:showSerName val="0"/>
          <c:showPercent val="0"/>
          <c:showBubbleSize val="0"/>
        </c:dLbls>
        <c:gapWidth val="150"/>
        <c:overlap val="100"/>
        <c:axId val="1634741536"/>
        <c:axId val="1634751936"/>
      </c:barChart>
      <c:catAx>
        <c:axId val="16347415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34751936"/>
        <c:crosses val="autoZero"/>
        <c:auto val="1"/>
        <c:lblAlgn val="ctr"/>
        <c:lblOffset val="100"/>
        <c:noMultiLvlLbl val="0"/>
      </c:catAx>
      <c:valAx>
        <c:axId val="1634751936"/>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34741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'grafice SFB si LB'!$C$4</c:f>
              <c:strCache>
                <c:ptCount val="1"/>
                <c:pt idx="0">
                  <c:v>datoria guvernamentala bruta (%PIB)</c:v>
                </c:pt>
              </c:strCache>
            </c:strRef>
          </c:tx>
          <c:spPr>
            <a:solidFill>
              <a:schemeClr val="accent1"/>
            </a:solidFill>
            <a:ln>
              <a:noFill/>
            </a:ln>
            <a:effectLst/>
          </c:spPr>
          <c:invertIfNegative val="0"/>
          <c:dLbls>
            <c:dLbl>
              <c:idx val="2"/>
              <c:layout/>
              <c:tx>
                <c:rich>
                  <a:bodyPr/>
                  <a:lstStyle/>
                  <a:p>
                    <a:r>
                      <a:rPr lang="en-US"/>
                      <a:t>51,8%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482-455B-BBCB-BD1D5852804F}"/>
                </c:ext>
              </c:extLst>
            </c:dLbl>
            <c:dLbl>
              <c:idx val="3"/>
              <c:layout/>
              <c:tx>
                <c:rich>
                  <a:bodyPr/>
                  <a:lstStyle/>
                  <a:p>
                    <a:r>
                      <a:rPr lang="en-US"/>
                      <a:t>53,9%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482-455B-BBCB-BD1D5852804F}"/>
                </c:ext>
              </c:extLst>
            </c:dLbl>
            <c:dLbl>
              <c:idx val="4"/>
              <c:layout/>
              <c:tx>
                <c:rich>
                  <a:bodyPr/>
                  <a:lstStyle/>
                  <a:p>
                    <a:r>
                      <a:rPr lang="en-US"/>
                      <a:t>54,3%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482-455B-BBCB-BD1D585280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'grafice SFB si LB'!$D$3:$H$3</c:f>
              <c:strCache>
                <c:ptCount val="5"/>
                <c:pt idx="0">
                  <c:v>2019</c:v>
                </c:pt>
                <c:pt idx="1">
                  <c:v>2020 est</c:v>
                </c:pt>
                <c:pt idx="2">
                  <c:v>2021prog</c:v>
                </c:pt>
                <c:pt idx="3">
                  <c:v>2022prog</c:v>
                </c:pt>
                <c:pt idx="4">
                  <c:v>2023prog</c:v>
                </c:pt>
              </c:strCache>
            </c:strRef>
          </c:cat>
          <c:val>
            <c:numRef>
              <c:f>'grafice SFB si LB'!$D$4:$H$4</c:f>
              <c:numCache>
                <c:formatCode>0.0%</c:formatCode>
                <c:ptCount val="5"/>
                <c:pt idx="0">
                  <c:v>0.35299999999999998</c:v>
                </c:pt>
                <c:pt idx="1">
                  <c:v>0.47699999999999998</c:v>
                </c:pt>
                <c:pt idx="2">
                  <c:v>0.51700000000000002</c:v>
                </c:pt>
                <c:pt idx="3">
                  <c:v>0.54</c:v>
                </c:pt>
                <c:pt idx="4">
                  <c:v>0.54500000000000004</c:v>
                </c:pt>
              </c:numCache>
            </c:numRef>
          </c:val>
          <c:extLst>
            <c:ext xmlns:c16="http://schemas.microsoft.com/office/drawing/2014/chart" uri="{C3380CC4-5D6E-409C-BE32-E72D297353CC}">
              <c16:uniqueId val="{00000003-2482-455B-BBCB-BD1D5852804F}"/>
            </c:ext>
          </c:extLst>
        </c:ser>
        <c:ser>
          <c:idx val="1"/>
          <c:order val="1"/>
          <c:tx>
            <c:strRef>
              <c:f>'grafice SFB si LB'!$C$5</c:f>
              <c:strCache>
                <c:ptCount val="1"/>
                <c:pt idx="0">
                  <c:v>datoria guvernamentala neta (%PIB)</c:v>
                </c:pt>
              </c:strCache>
            </c:strRef>
          </c:tx>
          <c:spPr>
            <a:solidFill>
              <a:schemeClr val="accent2"/>
            </a:solidFill>
            <a:ln>
              <a:noFill/>
            </a:ln>
            <a:effectLst/>
          </c:spPr>
          <c:invertIfNegative val="0"/>
          <c:dLbls>
            <c:dLbl>
              <c:idx val="2"/>
              <c:layout/>
              <c:tx>
                <c:rich>
                  <a:bodyPr/>
                  <a:lstStyle/>
                  <a:p>
                    <a:r>
                      <a:rPr lang="en-US"/>
                      <a:t>44,3%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482-455B-BBCB-BD1D5852804F}"/>
                </c:ext>
              </c:extLst>
            </c:dLbl>
            <c:dLbl>
              <c:idx val="3"/>
              <c:layout/>
              <c:tx>
                <c:rich>
                  <a:bodyPr/>
                  <a:lstStyle/>
                  <a:p>
                    <a:r>
                      <a:rPr lang="en-US"/>
                      <a:t>47,0%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482-455B-BBCB-BD1D5852804F}"/>
                </c:ext>
              </c:extLst>
            </c:dLbl>
            <c:dLbl>
              <c:idx val="4"/>
              <c:layout/>
              <c:tx>
                <c:rich>
                  <a:bodyPr/>
                  <a:lstStyle/>
                  <a:p>
                    <a:r>
                      <a:rPr lang="en-US"/>
                      <a:t>47,9%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482-455B-BBCB-BD1D585280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'grafice SFB si LB'!$D$3:$H$3</c:f>
              <c:strCache>
                <c:ptCount val="5"/>
                <c:pt idx="0">
                  <c:v>2019</c:v>
                </c:pt>
                <c:pt idx="1">
                  <c:v>2020 est</c:v>
                </c:pt>
                <c:pt idx="2">
                  <c:v>2021prog</c:v>
                </c:pt>
                <c:pt idx="3">
                  <c:v>2022prog</c:v>
                </c:pt>
                <c:pt idx="4">
                  <c:v>2023prog</c:v>
                </c:pt>
              </c:strCache>
            </c:strRef>
          </c:cat>
          <c:val>
            <c:numRef>
              <c:f>'grafice SFB si LB'!$D$5:$H$5</c:f>
              <c:numCache>
                <c:formatCode>0.0%</c:formatCode>
                <c:ptCount val="5"/>
                <c:pt idx="0">
                  <c:v>0.29454261847860053</c:v>
                </c:pt>
                <c:pt idx="1">
                  <c:v>0.3968861463489623</c:v>
                </c:pt>
                <c:pt idx="2">
                  <c:v>0.4423429661980659</c:v>
                </c:pt>
                <c:pt idx="3">
                  <c:v>0.47071110363726959</c:v>
                </c:pt>
                <c:pt idx="4">
                  <c:v>0.48081064766441306</c:v>
                </c:pt>
              </c:numCache>
            </c:numRef>
          </c:val>
          <c:extLst>
            <c:ext xmlns:c16="http://schemas.microsoft.com/office/drawing/2014/chart" uri="{C3380CC4-5D6E-409C-BE32-E72D297353CC}">
              <c16:uniqueId val="{00000007-2482-455B-BBCB-BD1D5852804F}"/>
            </c:ext>
          </c:extLst>
        </c:ser>
        <c:dLbls>
          <c:showLegendKey val="0"/>
          <c:showVal val="0"/>
          <c:showCatName val="0"/>
          <c:showSerName val="0"/>
          <c:showPercent val="0"/>
          <c:showBubbleSize val="0"/>
        </c:dLbls>
        <c:gapWidth val="219"/>
        <c:overlap val="-27"/>
        <c:axId val="331895592"/>
        <c:axId val="331896768"/>
      </c:barChart>
      <c:catAx>
        <c:axId val="331895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896768"/>
        <c:crosses val="autoZero"/>
        <c:auto val="1"/>
        <c:lblAlgn val="ctr"/>
        <c:lblOffset val="100"/>
        <c:noMultiLvlLbl val="0"/>
      </c:catAx>
      <c:valAx>
        <c:axId val="331896768"/>
        <c:scaling>
          <c:orientation val="minMax"/>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8955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555555555555495E-2"/>
          <c:y val="6.1958847363211396E-2"/>
          <c:w val="0.86288888888889248"/>
          <c:h val="0.85729436566424622"/>
        </c:manualLayout>
      </c:layout>
      <c:barChart>
        <c:barDir val="bar"/>
        <c:grouping val="clustered"/>
        <c:varyColors val="0"/>
        <c:ser>
          <c:idx val="0"/>
          <c:order val="0"/>
          <c:tx>
            <c:v>Barbati</c:v>
          </c:tx>
          <c:spPr>
            <a:solidFill>
              <a:srgbClr val="5B9BD5"/>
            </a:solidFill>
            <a:ln w="25400">
              <a:noFill/>
            </a:ln>
          </c:spPr>
          <c:invertIfNegative val="0"/>
          <c:cat>
            <c:strRef>
              <c:f>'actualizat 2020'!$A$12:$A$112</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peste 100</c:v>
                </c:pt>
              </c:strCache>
            </c:strRef>
          </c:cat>
          <c:val>
            <c:numRef>
              <c:f>'actualizat 2020'!$C$12:$C$112</c:f>
              <c:numCache>
                <c:formatCode>#,##0</c:formatCode>
                <c:ptCount val="101"/>
                <c:pt idx="0">
                  <c:v>102060</c:v>
                </c:pt>
                <c:pt idx="1">
                  <c:v>102115</c:v>
                </c:pt>
                <c:pt idx="2">
                  <c:v>102818</c:v>
                </c:pt>
                <c:pt idx="3">
                  <c:v>102700</c:v>
                </c:pt>
                <c:pt idx="4">
                  <c:v>101174</c:v>
                </c:pt>
                <c:pt idx="5">
                  <c:v>100958</c:v>
                </c:pt>
                <c:pt idx="6">
                  <c:v>100329</c:v>
                </c:pt>
                <c:pt idx="7">
                  <c:v>93559</c:v>
                </c:pt>
                <c:pt idx="8">
                  <c:v>95580</c:v>
                </c:pt>
                <c:pt idx="9">
                  <c:v>105847</c:v>
                </c:pt>
                <c:pt idx="10">
                  <c:v>110214</c:v>
                </c:pt>
                <c:pt idx="11">
                  <c:v>110374</c:v>
                </c:pt>
                <c:pt idx="12">
                  <c:v>107464</c:v>
                </c:pt>
                <c:pt idx="13">
                  <c:v>107339</c:v>
                </c:pt>
                <c:pt idx="14">
                  <c:v>109355</c:v>
                </c:pt>
                <c:pt idx="15">
                  <c:v>106043</c:v>
                </c:pt>
                <c:pt idx="16">
                  <c:v>105938</c:v>
                </c:pt>
                <c:pt idx="17">
                  <c:v>103326</c:v>
                </c:pt>
                <c:pt idx="18">
                  <c:v>105593</c:v>
                </c:pt>
                <c:pt idx="19">
                  <c:v>109872</c:v>
                </c:pt>
                <c:pt idx="20">
                  <c:v>105819</c:v>
                </c:pt>
                <c:pt idx="21">
                  <c:v>105363</c:v>
                </c:pt>
                <c:pt idx="22">
                  <c:v>104811</c:v>
                </c:pt>
                <c:pt idx="23">
                  <c:v>99689</c:v>
                </c:pt>
                <c:pt idx="24">
                  <c:v>100651</c:v>
                </c:pt>
                <c:pt idx="25">
                  <c:v>105137</c:v>
                </c:pt>
                <c:pt idx="26">
                  <c:v>102882</c:v>
                </c:pt>
                <c:pt idx="27">
                  <c:v>107220</c:v>
                </c:pt>
                <c:pt idx="28">
                  <c:v>113513</c:v>
                </c:pt>
                <c:pt idx="29">
                  <c:v>123232</c:v>
                </c:pt>
                <c:pt idx="30">
                  <c:v>140660</c:v>
                </c:pt>
                <c:pt idx="31">
                  <c:v>143857</c:v>
                </c:pt>
                <c:pt idx="32">
                  <c:v>144376</c:v>
                </c:pt>
                <c:pt idx="33">
                  <c:v>141354</c:v>
                </c:pt>
                <c:pt idx="34">
                  <c:v>136960</c:v>
                </c:pt>
                <c:pt idx="35">
                  <c:v>134323</c:v>
                </c:pt>
                <c:pt idx="36">
                  <c:v>122292</c:v>
                </c:pt>
                <c:pt idx="37">
                  <c:v>130144</c:v>
                </c:pt>
                <c:pt idx="38">
                  <c:v>142296</c:v>
                </c:pt>
                <c:pt idx="39">
                  <c:v>149524</c:v>
                </c:pt>
                <c:pt idx="40">
                  <c:v>152842</c:v>
                </c:pt>
                <c:pt idx="41">
                  <c:v>154005</c:v>
                </c:pt>
                <c:pt idx="42">
                  <c:v>159299</c:v>
                </c:pt>
                <c:pt idx="43">
                  <c:v>156359</c:v>
                </c:pt>
                <c:pt idx="44">
                  <c:v>158343</c:v>
                </c:pt>
                <c:pt idx="45">
                  <c:v>161999</c:v>
                </c:pt>
                <c:pt idx="46">
                  <c:v>144264</c:v>
                </c:pt>
                <c:pt idx="47">
                  <c:v>146561</c:v>
                </c:pt>
                <c:pt idx="48">
                  <c:v>149630</c:v>
                </c:pt>
                <c:pt idx="49">
                  <c:v>157821</c:v>
                </c:pt>
                <c:pt idx="50">
                  <c:v>169787</c:v>
                </c:pt>
                <c:pt idx="51">
                  <c:v>188696</c:v>
                </c:pt>
                <c:pt idx="52">
                  <c:v>192810</c:v>
                </c:pt>
                <c:pt idx="53">
                  <c:v>100425</c:v>
                </c:pt>
                <c:pt idx="54">
                  <c:v>100778</c:v>
                </c:pt>
                <c:pt idx="55">
                  <c:v>102020</c:v>
                </c:pt>
                <c:pt idx="56">
                  <c:v>101589</c:v>
                </c:pt>
                <c:pt idx="57">
                  <c:v>101764</c:v>
                </c:pt>
                <c:pt idx="58">
                  <c:v>107319</c:v>
                </c:pt>
                <c:pt idx="59">
                  <c:v>113066</c:v>
                </c:pt>
                <c:pt idx="60">
                  <c:v>115379</c:v>
                </c:pt>
                <c:pt idx="61">
                  <c:v>118837</c:v>
                </c:pt>
                <c:pt idx="62">
                  <c:v>120897</c:v>
                </c:pt>
                <c:pt idx="63">
                  <c:v>124300</c:v>
                </c:pt>
                <c:pt idx="64">
                  <c:v>126559</c:v>
                </c:pt>
                <c:pt idx="65">
                  <c:v>117826</c:v>
                </c:pt>
                <c:pt idx="66">
                  <c:v>107125</c:v>
                </c:pt>
                <c:pt idx="67">
                  <c:v>106085</c:v>
                </c:pt>
                <c:pt idx="68">
                  <c:v>101277</c:v>
                </c:pt>
                <c:pt idx="69">
                  <c:v>100109</c:v>
                </c:pt>
                <c:pt idx="70">
                  <c:v>101721</c:v>
                </c:pt>
                <c:pt idx="71">
                  <c:v>81098</c:v>
                </c:pt>
                <c:pt idx="72">
                  <c:v>72222</c:v>
                </c:pt>
                <c:pt idx="73">
                  <c:v>69675</c:v>
                </c:pt>
                <c:pt idx="74">
                  <c:v>52877</c:v>
                </c:pt>
                <c:pt idx="75">
                  <c:v>58167</c:v>
                </c:pt>
                <c:pt idx="76">
                  <c:v>48936</c:v>
                </c:pt>
                <c:pt idx="77">
                  <c:v>47886</c:v>
                </c:pt>
                <c:pt idx="78">
                  <c:v>46821</c:v>
                </c:pt>
                <c:pt idx="79">
                  <c:v>46125</c:v>
                </c:pt>
                <c:pt idx="80">
                  <c:v>45080</c:v>
                </c:pt>
                <c:pt idx="81">
                  <c:v>41236</c:v>
                </c:pt>
                <c:pt idx="82">
                  <c:v>37676</c:v>
                </c:pt>
                <c:pt idx="83">
                  <c:v>34058</c:v>
                </c:pt>
                <c:pt idx="84">
                  <c:v>28315</c:v>
                </c:pt>
                <c:pt idx="85">
                  <c:v>24894</c:v>
                </c:pt>
                <c:pt idx="86">
                  <c:v>20783</c:v>
                </c:pt>
                <c:pt idx="87">
                  <c:v>19821</c:v>
                </c:pt>
                <c:pt idx="88">
                  <c:v>14751</c:v>
                </c:pt>
                <c:pt idx="89">
                  <c:v>12572</c:v>
                </c:pt>
                <c:pt idx="90">
                  <c:v>9890</c:v>
                </c:pt>
                <c:pt idx="91">
                  <c:v>8056</c:v>
                </c:pt>
                <c:pt idx="92">
                  <c:v>6066</c:v>
                </c:pt>
                <c:pt idx="93">
                  <c:v>4517</c:v>
                </c:pt>
                <c:pt idx="94">
                  <c:v>3487</c:v>
                </c:pt>
                <c:pt idx="95">
                  <c:v>2635</c:v>
                </c:pt>
                <c:pt idx="96">
                  <c:v>1922</c:v>
                </c:pt>
                <c:pt idx="97">
                  <c:v>1422</c:v>
                </c:pt>
                <c:pt idx="98">
                  <c:v>1218</c:v>
                </c:pt>
                <c:pt idx="99">
                  <c:v>507</c:v>
                </c:pt>
                <c:pt idx="100">
                  <c:v>1395</c:v>
                </c:pt>
              </c:numCache>
            </c:numRef>
          </c:val>
          <c:extLst>
            <c:ext xmlns:c16="http://schemas.microsoft.com/office/drawing/2014/chart" uri="{C3380CC4-5D6E-409C-BE32-E72D297353CC}">
              <c16:uniqueId val="{00000000-9DB1-4457-A3BE-D00050EAE7F0}"/>
            </c:ext>
          </c:extLst>
        </c:ser>
        <c:ser>
          <c:idx val="1"/>
          <c:order val="1"/>
          <c:tx>
            <c:v>Femei</c:v>
          </c:tx>
          <c:spPr>
            <a:solidFill>
              <a:srgbClr val="ED7D31"/>
            </a:solidFill>
            <a:ln w="25400">
              <a:noFill/>
            </a:ln>
          </c:spPr>
          <c:invertIfNegative val="0"/>
          <c:val>
            <c:numRef>
              <c:f>'actualizat 2020'!$O$12:$O$112</c:f>
              <c:numCache>
                <c:formatCode>General</c:formatCode>
                <c:ptCount val="101"/>
                <c:pt idx="0">
                  <c:v>-96922</c:v>
                </c:pt>
                <c:pt idx="1">
                  <c:v>-97488</c:v>
                </c:pt>
                <c:pt idx="2">
                  <c:v>-98037</c:v>
                </c:pt>
                <c:pt idx="3">
                  <c:v>-98134</c:v>
                </c:pt>
                <c:pt idx="4">
                  <c:v>-95614</c:v>
                </c:pt>
                <c:pt idx="5">
                  <c:v>-96090</c:v>
                </c:pt>
                <c:pt idx="6">
                  <c:v>-94390</c:v>
                </c:pt>
                <c:pt idx="7">
                  <c:v>-88314</c:v>
                </c:pt>
                <c:pt idx="8">
                  <c:v>-89877</c:v>
                </c:pt>
                <c:pt idx="9">
                  <c:v>-100373</c:v>
                </c:pt>
                <c:pt idx="10">
                  <c:v>-103746</c:v>
                </c:pt>
                <c:pt idx="11">
                  <c:v>-103734</c:v>
                </c:pt>
                <c:pt idx="12">
                  <c:v>-101688</c:v>
                </c:pt>
                <c:pt idx="13">
                  <c:v>-102544</c:v>
                </c:pt>
                <c:pt idx="14">
                  <c:v>-103274</c:v>
                </c:pt>
                <c:pt idx="15">
                  <c:v>-99963</c:v>
                </c:pt>
                <c:pt idx="16">
                  <c:v>-99902</c:v>
                </c:pt>
                <c:pt idx="17">
                  <c:v>-97982</c:v>
                </c:pt>
                <c:pt idx="18">
                  <c:v>-98976</c:v>
                </c:pt>
                <c:pt idx="19">
                  <c:v>-103296</c:v>
                </c:pt>
                <c:pt idx="20">
                  <c:v>-100341</c:v>
                </c:pt>
                <c:pt idx="21">
                  <c:v>-99256</c:v>
                </c:pt>
                <c:pt idx="22">
                  <c:v>-97217</c:v>
                </c:pt>
                <c:pt idx="23">
                  <c:v>-95329</c:v>
                </c:pt>
                <c:pt idx="24">
                  <c:v>-95633</c:v>
                </c:pt>
                <c:pt idx="25">
                  <c:v>-98542</c:v>
                </c:pt>
                <c:pt idx="26">
                  <c:v>-95937</c:v>
                </c:pt>
                <c:pt idx="27">
                  <c:v>-96010</c:v>
                </c:pt>
                <c:pt idx="28">
                  <c:v>-98273</c:v>
                </c:pt>
                <c:pt idx="29">
                  <c:v>-110544</c:v>
                </c:pt>
                <c:pt idx="30">
                  <c:v>-127842</c:v>
                </c:pt>
                <c:pt idx="31">
                  <c:v>-130959</c:v>
                </c:pt>
                <c:pt idx="32">
                  <c:v>-132276</c:v>
                </c:pt>
                <c:pt idx="33">
                  <c:v>-129560</c:v>
                </c:pt>
                <c:pt idx="34">
                  <c:v>-125505</c:v>
                </c:pt>
                <c:pt idx="35">
                  <c:v>-123767</c:v>
                </c:pt>
                <c:pt idx="36">
                  <c:v>-113776</c:v>
                </c:pt>
                <c:pt idx="37">
                  <c:v>-122217</c:v>
                </c:pt>
                <c:pt idx="38">
                  <c:v>-135405</c:v>
                </c:pt>
                <c:pt idx="39">
                  <c:v>-142260</c:v>
                </c:pt>
                <c:pt idx="40">
                  <c:v>-145521</c:v>
                </c:pt>
                <c:pt idx="41">
                  <c:v>-148838</c:v>
                </c:pt>
                <c:pt idx="42">
                  <c:v>-151750</c:v>
                </c:pt>
                <c:pt idx="43">
                  <c:v>-150047</c:v>
                </c:pt>
                <c:pt idx="44">
                  <c:v>-149891</c:v>
                </c:pt>
                <c:pt idx="45">
                  <c:v>-153434</c:v>
                </c:pt>
                <c:pt idx="46">
                  <c:v>-135581</c:v>
                </c:pt>
                <c:pt idx="47">
                  <c:v>-138680</c:v>
                </c:pt>
                <c:pt idx="48">
                  <c:v>-140823</c:v>
                </c:pt>
                <c:pt idx="49">
                  <c:v>-149948</c:v>
                </c:pt>
                <c:pt idx="50">
                  <c:v>-161351</c:v>
                </c:pt>
                <c:pt idx="51">
                  <c:v>-181420</c:v>
                </c:pt>
                <c:pt idx="52">
                  <c:v>-185205</c:v>
                </c:pt>
                <c:pt idx="53">
                  <c:v>-96198</c:v>
                </c:pt>
                <c:pt idx="54">
                  <c:v>-98877</c:v>
                </c:pt>
                <c:pt idx="55">
                  <c:v>-100632</c:v>
                </c:pt>
                <c:pt idx="56">
                  <c:v>-102327</c:v>
                </c:pt>
                <c:pt idx="57">
                  <c:v>-104380</c:v>
                </c:pt>
                <c:pt idx="58">
                  <c:v>-111579</c:v>
                </c:pt>
                <c:pt idx="59">
                  <c:v>-120110</c:v>
                </c:pt>
                <c:pt idx="60">
                  <c:v>-125691</c:v>
                </c:pt>
                <c:pt idx="61">
                  <c:v>-133342</c:v>
                </c:pt>
                <c:pt idx="62">
                  <c:v>-138961</c:v>
                </c:pt>
                <c:pt idx="63">
                  <c:v>-144432</c:v>
                </c:pt>
                <c:pt idx="64">
                  <c:v>-150374</c:v>
                </c:pt>
                <c:pt idx="65">
                  <c:v>-142396</c:v>
                </c:pt>
                <c:pt idx="66">
                  <c:v>-132001</c:v>
                </c:pt>
                <c:pt idx="67">
                  <c:v>-133350</c:v>
                </c:pt>
                <c:pt idx="68">
                  <c:v>-130844</c:v>
                </c:pt>
                <c:pt idx="69">
                  <c:v>-132175</c:v>
                </c:pt>
                <c:pt idx="70">
                  <c:v>-134688</c:v>
                </c:pt>
                <c:pt idx="71">
                  <c:v>-109960</c:v>
                </c:pt>
                <c:pt idx="72">
                  <c:v>-97271</c:v>
                </c:pt>
                <c:pt idx="73">
                  <c:v>-97561</c:v>
                </c:pt>
                <c:pt idx="74">
                  <c:v>-77213</c:v>
                </c:pt>
                <c:pt idx="75">
                  <c:v>-86331</c:v>
                </c:pt>
                <c:pt idx="76">
                  <c:v>-75213</c:v>
                </c:pt>
                <c:pt idx="77">
                  <c:v>-75029</c:v>
                </c:pt>
                <c:pt idx="78">
                  <c:v>-76465</c:v>
                </c:pt>
                <c:pt idx="79">
                  <c:v>-77184</c:v>
                </c:pt>
                <c:pt idx="80">
                  <c:v>-79081</c:v>
                </c:pt>
                <c:pt idx="81">
                  <c:v>-74633</c:v>
                </c:pt>
                <c:pt idx="82">
                  <c:v>-68487</c:v>
                </c:pt>
                <c:pt idx="83">
                  <c:v>-63628</c:v>
                </c:pt>
                <c:pt idx="84">
                  <c:v>-53065</c:v>
                </c:pt>
                <c:pt idx="85">
                  <c:v>-47230</c:v>
                </c:pt>
                <c:pt idx="86">
                  <c:v>-40098</c:v>
                </c:pt>
                <c:pt idx="87">
                  <c:v>-38208</c:v>
                </c:pt>
                <c:pt idx="88">
                  <c:v>-29419</c:v>
                </c:pt>
                <c:pt idx="89">
                  <c:v>-25306</c:v>
                </c:pt>
                <c:pt idx="90">
                  <c:v>-19525</c:v>
                </c:pt>
                <c:pt idx="91">
                  <c:v>-16372</c:v>
                </c:pt>
                <c:pt idx="92">
                  <c:v>-12144</c:v>
                </c:pt>
                <c:pt idx="93">
                  <c:v>-9304</c:v>
                </c:pt>
                <c:pt idx="94">
                  <c:v>-7171</c:v>
                </c:pt>
                <c:pt idx="95">
                  <c:v>-5391</c:v>
                </c:pt>
                <c:pt idx="96">
                  <c:v>-3843</c:v>
                </c:pt>
                <c:pt idx="97">
                  <c:v>-2792</c:v>
                </c:pt>
                <c:pt idx="98">
                  <c:v>-2616</c:v>
                </c:pt>
                <c:pt idx="99">
                  <c:v>-1287</c:v>
                </c:pt>
                <c:pt idx="100">
                  <c:v>-3091</c:v>
                </c:pt>
              </c:numCache>
            </c:numRef>
          </c:val>
          <c:extLst>
            <c:ext xmlns:c16="http://schemas.microsoft.com/office/drawing/2014/chart" uri="{C3380CC4-5D6E-409C-BE32-E72D297353CC}">
              <c16:uniqueId val="{00000001-9DB1-4457-A3BE-D00050EAE7F0}"/>
            </c:ext>
          </c:extLst>
        </c:ser>
        <c:dLbls>
          <c:showLegendKey val="0"/>
          <c:showVal val="0"/>
          <c:showCatName val="0"/>
          <c:showSerName val="0"/>
          <c:showPercent val="0"/>
          <c:showBubbleSize val="0"/>
        </c:dLbls>
        <c:gapWidth val="182"/>
        <c:axId val="145453056"/>
        <c:axId val="145454592"/>
      </c:barChart>
      <c:catAx>
        <c:axId val="14545305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5454592"/>
        <c:crosses val="autoZero"/>
        <c:auto val="1"/>
        <c:lblAlgn val="ctr"/>
        <c:lblOffset val="100"/>
        <c:tickLblSkip val="5"/>
        <c:noMultiLvlLbl val="0"/>
      </c:catAx>
      <c:valAx>
        <c:axId val="145454592"/>
        <c:scaling>
          <c:orientation val="minMax"/>
          <c:max val="200000"/>
          <c:min val="-200000"/>
        </c:scaling>
        <c:delete val="0"/>
        <c:axPos val="b"/>
        <c:majorGridlines>
          <c:spPr>
            <a:ln w="9525" cap="flat" cmpd="sng" algn="ctr">
              <a:solidFill>
                <a:schemeClr val="tx1">
                  <a:lumMod val="15000"/>
                  <a:lumOff val="85000"/>
                </a:schemeClr>
              </a:solidFill>
              <a:round/>
            </a:ln>
            <a:effectLst/>
          </c:spPr>
        </c:majorGridlines>
        <c:numFmt formatCode="0;[Black]0" sourceLinked="0"/>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5453056"/>
        <c:crosses val="autoZero"/>
        <c:crossBetween val="between"/>
        <c:dispUnits>
          <c:builtInUnit val="thousands"/>
        </c:dispUnits>
      </c:valAx>
      <c:spPr>
        <a:noFill/>
        <a:ln w="25400">
          <a:noFill/>
        </a:ln>
      </c:spPr>
    </c:plotArea>
    <c:legend>
      <c:legendPos val="t"/>
      <c:layout>
        <c:manualLayout>
          <c:xMode val="edge"/>
          <c:yMode val="edge"/>
          <c:x val="0.34880082612624436"/>
          <c:y val="2.7737436710571577E-3"/>
          <c:w val="0.30084973753281025"/>
          <c:h val="5.9288852051388327E-2"/>
        </c:manualLayout>
      </c:layout>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555555555555495E-2"/>
          <c:y val="6.1958847363211396E-2"/>
          <c:w val="0.83845680279088863"/>
          <c:h val="0.85899236799571299"/>
        </c:manualLayout>
      </c:layout>
      <c:barChart>
        <c:barDir val="bar"/>
        <c:grouping val="clustered"/>
        <c:varyColors val="0"/>
        <c:ser>
          <c:idx val="0"/>
          <c:order val="0"/>
          <c:tx>
            <c:v>Barbati</c:v>
          </c:tx>
          <c:spPr>
            <a:solidFill>
              <a:srgbClr val="5B9BD5"/>
            </a:solidFill>
            <a:ln w="25400">
              <a:noFill/>
            </a:ln>
          </c:spPr>
          <c:invertIfNegative val="0"/>
          <c:cat>
            <c:strRef>
              <c:f>'actualizat 2020'!$A$12:$A$112</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peste 100</c:v>
                </c:pt>
              </c:strCache>
            </c:strRef>
          </c:cat>
          <c:val>
            <c:numRef>
              <c:f>'actualizat 2020'!$I$12:$I$112</c:f>
              <c:numCache>
                <c:formatCode>#,##0</c:formatCode>
                <c:ptCount val="101"/>
                <c:pt idx="0">
                  <c:v>58346</c:v>
                </c:pt>
                <c:pt idx="1">
                  <c:v>58686</c:v>
                </c:pt>
                <c:pt idx="2">
                  <c:v>59019</c:v>
                </c:pt>
                <c:pt idx="3">
                  <c:v>59353</c:v>
                </c:pt>
                <c:pt idx="4">
                  <c:v>59668</c:v>
                </c:pt>
                <c:pt idx="5">
                  <c:v>59968</c:v>
                </c:pt>
                <c:pt idx="6">
                  <c:v>60265</c:v>
                </c:pt>
                <c:pt idx="7">
                  <c:v>60523</c:v>
                </c:pt>
                <c:pt idx="8">
                  <c:v>60755</c:v>
                </c:pt>
                <c:pt idx="9">
                  <c:v>60948</c:v>
                </c:pt>
                <c:pt idx="10">
                  <c:v>61137</c:v>
                </c:pt>
                <c:pt idx="11">
                  <c:v>61314</c:v>
                </c:pt>
                <c:pt idx="12">
                  <c:v>61477</c:v>
                </c:pt>
                <c:pt idx="13">
                  <c:v>61615</c:v>
                </c:pt>
                <c:pt idx="14">
                  <c:v>61781</c:v>
                </c:pt>
                <c:pt idx="15">
                  <c:v>62048</c:v>
                </c:pt>
                <c:pt idx="16">
                  <c:v>62390</c:v>
                </c:pt>
                <c:pt idx="17">
                  <c:v>62699</c:v>
                </c:pt>
                <c:pt idx="18">
                  <c:v>63361</c:v>
                </c:pt>
                <c:pt idx="19">
                  <c:v>64252</c:v>
                </c:pt>
                <c:pt idx="20">
                  <c:v>64801</c:v>
                </c:pt>
                <c:pt idx="21">
                  <c:v>65275</c:v>
                </c:pt>
                <c:pt idx="22">
                  <c:v>65808</c:v>
                </c:pt>
                <c:pt idx="23">
                  <c:v>66406</c:v>
                </c:pt>
                <c:pt idx="24">
                  <c:v>67095</c:v>
                </c:pt>
                <c:pt idx="25">
                  <c:v>67982</c:v>
                </c:pt>
                <c:pt idx="26">
                  <c:v>68988</c:v>
                </c:pt>
                <c:pt idx="27">
                  <c:v>70101</c:v>
                </c:pt>
                <c:pt idx="28">
                  <c:v>71267</c:v>
                </c:pt>
                <c:pt idx="29">
                  <c:v>72405</c:v>
                </c:pt>
                <c:pt idx="30">
                  <c:v>73436</c:v>
                </c:pt>
                <c:pt idx="31">
                  <c:v>74411</c:v>
                </c:pt>
                <c:pt idx="32">
                  <c:v>75327</c:v>
                </c:pt>
                <c:pt idx="33">
                  <c:v>76250</c:v>
                </c:pt>
                <c:pt idx="34">
                  <c:v>77069</c:v>
                </c:pt>
                <c:pt idx="35">
                  <c:v>77696</c:v>
                </c:pt>
                <c:pt idx="36">
                  <c:v>78252</c:v>
                </c:pt>
                <c:pt idx="37">
                  <c:v>78779</c:v>
                </c:pt>
                <c:pt idx="38">
                  <c:v>79269</c:v>
                </c:pt>
                <c:pt idx="39">
                  <c:v>79659</c:v>
                </c:pt>
                <c:pt idx="40">
                  <c:v>79936</c:v>
                </c:pt>
                <c:pt idx="41">
                  <c:v>80146</c:v>
                </c:pt>
                <c:pt idx="42">
                  <c:v>80299</c:v>
                </c:pt>
                <c:pt idx="43">
                  <c:v>80397</c:v>
                </c:pt>
                <c:pt idx="44">
                  <c:v>80418</c:v>
                </c:pt>
                <c:pt idx="45">
                  <c:v>80390</c:v>
                </c:pt>
                <c:pt idx="46">
                  <c:v>80371</c:v>
                </c:pt>
                <c:pt idx="47">
                  <c:v>80345</c:v>
                </c:pt>
                <c:pt idx="48">
                  <c:v>80287</c:v>
                </c:pt>
                <c:pt idx="49">
                  <c:v>80231</c:v>
                </c:pt>
                <c:pt idx="50">
                  <c:v>80203</c:v>
                </c:pt>
                <c:pt idx="51">
                  <c:v>80230</c:v>
                </c:pt>
                <c:pt idx="52">
                  <c:v>80332</c:v>
                </c:pt>
                <c:pt idx="53">
                  <c:v>80514</c:v>
                </c:pt>
                <c:pt idx="54">
                  <c:v>80728</c:v>
                </c:pt>
                <c:pt idx="55">
                  <c:v>81052</c:v>
                </c:pt>
                <c:pt idx="56">
                  <c:v>81425</c:v>
                </c:pt>
                <c:pt idx="57">
                  <c:v>81829</c:v>
                </c:pt>
                <c:pt idx="58">
                  <c:v>82274</c:v>
                </c:pt>
                <c:pt idx="59">
                  <c:v>82744</c:v>
                </c:pt>
                <c:pt idx="60">
                  <c:v>88410</c:v>
                </c:pt>
                <c:pt idx="61">
                  <c:v>88095</c:v>
                </c:pt>
                <c:pt idx="62">
                  <c:v>88300</c:v>
                </c:pt>
                <c:pt idx="63">
                  <c:v>87860</c:v>
                </c:pt>
                <c:pt idx="64">
                  <c:v>86473</c:v>
                </c:pt>
                <c:pt idx="65">
                  <c:v>85813</c:v>
                </c:pt>
                <c:pt idx="66">
                  <c:v>84560</c:v>
                </c:pt>
                <c:pt idx="67">
                  <c:v>81242</c:v>
                </c:pt>
                <c:pt idx="68">
                  <c:v>81279</c:v>
                </c:pt>
                <c:pt idx="69">
                  <c:v>85080</c:v>
                </c:pt>
                <c:pt idx="70">
                  <c:v>85890</c:v>
                </c:pt>
                <c:pt idx="71">
                  <c:v>84973</c:v>
                </c:pt>
                <c:pt idx="72">
                  <c:v>82099</c:v>
                </c:pt>
                <c:pt idx="73">
                  <c:v>80579</c:v>
                </c:pt>
                <c:pt idx="74">
                  <c:v>79751</c:v>
                </c:pt>
                <c:pt idx="75">
                  <c:v>76861</c:v>
                </c:pt>
                <c:pt idx="76">
                  <c:v>75044</c:v>
                </c:pt>
                <c:pt idx="77">
                  <c:v>72358</c:v>
                </c:pt>
                <c:pt idx="78">
                  <c:v>71283</c:v>
                </c:pt>
                <c:pt idx="79">
                  <c:v>70822</c:v>
                </c:pt>
                <c:pt idx="80">
                  <c:v>67069</c:v>
                </c:pt>
                <c:pt idx="81">
                  <c:v>64657</c:v>
                </c:pt>
                <c:pt idx="82">
                  <c:v>62121</c:v>
                </c:pt>
                <c:pt idx="83">
                  <c:v>57761</c:v>
                </c:pt>
                <c:pt idx="84">
                  <c:v>55088</c:v>
                </c:pt>
                <c:pt idx="85">
                  <c:v>53264</c:v>
                </c:pt>
                <c:pt idx="86">
                  <c:v>48993</c:v>
                </c:pt>
                <c:pt idx="87">
                  <c:v>46299</c:v>
                </c:pt>
                <c:pt idx="88">
                  <c:v>43664</c:v>
                </c:pt>
                <c:pt idx="89">
                  <c:v>41528</c:v>
                </c:pt>
                <c:pt idx="90">
                  <c:v>40388</c:v>
                </c:pt>
                <c:pt idx="91">
                  <c:v>35837</c:v>
                </c:pt>
                <c:pt idx="92">
                  <c:v>30743</c:v>
                </c:pt>
                <c:pt idx="93">
                  <c:v>25445</c:v>
                </c:pt>
                <c:pt idx="94">
                  <c:v>20518</c:v>
                </c:pt>
                <c:pt idx="95">
                  <c:v>16444</c:v>
                </c:pt>
                <c:pt idx="96">
                  <c:v>12171</c:v>
                </c:pt>
                <c:pt idx="97">
                  <c:v>10036</c:v>
                </c:pt>
                <c:pt idx="98">
                  <c:v>8299</c:v>
                </c:pt>
                <c:pt idx="99">
                  <c:v>6529</c:v>
                </c:pt>
                <c:pt idx="100">
                  <c:v>17749</c:v>
                </c:pt>
              </c:numCache>
            </c:numRef>
          </c:val>
          <c:extLst>
            <c:ext xmlns:c16="http://schemas.microsoft.com/office/drawing/2014/chart" uri="{C3380CC4-5D6E-409C-BE32-E72D297353CC}">
              <c16:uniqueId val="{00000000-BF4A-42CE-8E61-8589C58FF24F}"/>
            </c:ext>
          </c:extLst>
        </c:ser>
        <c:ser>
          <c:idx val="1"/>
          <c:order val="1"/>
          <c:tx>
            <c:v>Femei</c:v>
          </c:tx>
          <c:spPr>
            <a:solidFill>
              <a:srgbClr val="ED7D31"/>
            </a:solidFill>
            <a:ln w="25400">
              <a:noFill/>
            </a:ln>
          </c:spPr>
          <c:invertIfNegative val="0"/>
          <c:val>
            <c:numRef>
              <c:f>'actualizat 2020'!$U$12:$U$112</c:f>
              <c:numCache>
                <c:formatCode>General</c:formatCode>
                <c:ptCount val="101"/>
                <c:pt idx="0">
                  <c:v>-54955</c:v>
                </c:pt>
                <c:pt idx="1">
                  <c:v>-55288</c:v>
                </c:pt>
                <c:pt idx="2">
                  <c:v>-55619</c:v>
                </c:pt>
                <c:pt idx="3">
                  <c:v>-55934</c:v>
                </c:pt>
                <c:pt idx="4">
                  <c:v>-56225</c:v>
                </c:pt>
                <c:pt idx="5">
                  <c:v>-56495</c:v>
                </c:pt>
                <c:pt idx="6">
                  <c:v>-56754</c:v>
                </c:pt>
                <c:pt idx="7">
                  <c:v>-56984</c:v>
                </c:pt>
                <c:pt idx="8">
                  <c:v>-57198</c:v>
                </c:pt>
                <c:pt idx="9">
                  <c:v>-57373</c:v>
                </c:pt>
                <c:pt idx="10">
                  <c:v>-57523</c:v>
                </c:pt>
                <c:pt idx="11">
                  <c:v>-57672</c:v>
                </c:pt>
                <c:pt idx="12">
                  <c:v>-57811</c:v>
                </c:pt>
                <c:pt idx="13">
                  <c:v>-57899</c:v>
                </c:pt>
                <c:pt idx="14">
                  <c:v>-58023</c:v>
                </c:pt>
                <c:pt idx="15">
                  <c:v>-58203</c:v>
                </c:pt>
                <c:pt idx="16">
                  <c:v>-58442</c:v>
                </c:pt>
                <c:pt idx="17">
                  <c:v>-58578</c:v>
                </c:pt>
                <c:pt idx="18">
                  <c:v>-58996</c:v>
                </c:pt>
                <c:pt idx="19">
                  <c:v>-59645</c:v>
                </c:pt>
                <c:pt idx="20">
                  <c:v>-60045</c:v>
                </c:pt>
                <c:pt idx="21">
                  <c:v>-60377</c:v>
                </c:pt>
                <c:pt idx="22">
                  <c:v>-60757</c:v>
                </c:pt>
                <c:pt idx="23">
                  <c:v>-61221</c:v>
                </c:pt>
                <c:pt idx="24">
                  <c:v>-61718</c:v>
                </c:pt>
                <c:pt idx="25">
                  <c:v>-62247</c:v>
                </c:pt>
                <c:pt idx="26">
                  <c:v>-62829</c:v>
                </c:pt>
                <c:pt idx="27">
                  <c:v>-63470</c:v>
                </c:pt>
                <c:pt idx="28">
                  <c:v>-64140</c:v>
                </c:pt>
                <c:pt idx="29">
                  <c:v>-64812</c:v>
                </c:pt>
                <c:pt idx="30">
                  <c:v>-65431</c:v>
                </c:pt>
                <c:pt idx="31">
                  <c:v>-66020</c:v>
                </c:pt>
                <c:pt idx="32">
                  <c:v>-66560</c:v>
                </c:pt>
                <c:pt idx="33">
                  <c:v>-67096</c:v>
                </c:pt>
                <c:pt idx="34">
                  <c:v>-67604</c:v>
                </c:pt>
                <c:pt idx="35">
                  <c:v>-68113</c:v>
                </c:pt>
                <c:pt idx="36">
                  <c:v>-68564</c:v>
                </c:pt>
                <c:pt idx="37">
                  <c:v>-69005</c:v>
                </c:pt>
                <c:pt idx="38">
                  <c:v>-69377</c:v>
                </c:pt>
                <c:pt idx="39">
                  <c:v>-69679</c:v>
                </c:pt>
                <c:pt idx="40">
                  <c:v>-69864</c:v>
                </c:pt>
                <c:pt idx="41">
                  <c:v>-69989</c:v>
                </c:pt>
                <c:pt idx="42">
                  <c:v>-70079</c:v>
                </c:pt>
                <c:pt idx="43">
                  <c:v>-70133</c:v>
                </c:pt>
                <c:pt idx="44">
                  <c:v>-70133</c:v>
                </c:pt>
                <c:pt idx="45">
                  <c:v>-70096</c:v>
                </c:pt>
                <c:pt idx="46">
                  <c:v>-70063</c:v>
                </c:pt>
                <c:pt idx="47">
                  <c:v>-70074</c:v>
                </c:pt>
                <c:pt idx="48">
                  <c:v>-70081</c:v>
                </c:pt>
                <c:pt idx="49">
                  <c:v>-70091</c:v>
                </c:pt>
                <c:pt idx="50">
                  <c:v>-70150</c:v>
                </c:pt>
                <c:pt idx="51">
                  <c:v>-70268</c:v>
                </c:pt>
                <c:pt idx="52">
                  <c:v>-70481</c:v>
                </c:pt>
                <c:pt idx="53">
                  <c:v>-70771</c:v>
                </c:pt>
                <c:pt idx="54">
                  <c:v>-71103</c:v>
                </c:pt>
                <c:pt idx="55">
                  <c:v>-71543</c:v>
                </c:pt>
                <c:pt idx="56">
                  <c:v>-72063</c:v>
                </c:pt>
                <c:pt idx="57">
                  <c:v>-72643</c:v>
                </c:pt>
                <c:pt idx="58">
                  <c:v>-73272</c:v>
                </c:pt>
                <c:pt idx="59">
                  <c:v>-73961</c:v>
                </c:pt>
                <c:pt idx="60">
                  <c:v>-80113</c:v>
                </c:pt>
                <c:pt idx="61">
                  <c:v>-80338</c:v>
                </c:pt>
                <c:pt idx="62">
                  <c:v>-80765</c:v>
                </c:pt>
                <c:pt idx="63">
                  <c:v>-80784</c:v>
                </c:pt>
                <c:pt idx="64">
                  <c:v>-79267</c:v>
                </c:pt>
                <c:pt idx="65">
                  <c:v>-79339</c:v>
                </c:pt>
                <c:pt idx="66">
                  <c:v>-78087</c:v>
                </c:pt>
                <c:pt idx="67">
                  <c:v>-75269</c:v>
                </c:pt>
                <c:pt idx="68">
                  <c:v>-75633</c:v>
                </c:pt>
                <c:pt idx="69">
                  <c:v>-80346</c:v>
                </c:pt>
                <c:pt idx="70">
                  <c:v>-81427</c:v>
                </c:pt>
                <c:pt idx="71">
                  <c:v>-81008</c:v>
                </c:pt>
                <c:pt idx="72">
                  <c:v>-79125</c:v>
                </c:pt>
                <c:pt idx="73">
                  <c:v>-78689</c:v>
                </c:pt>
                <c:pt idx="74">
                  <c:v>-78091</c:v>
                </c:pt>
                <c:pt idx="75">
                  <c:v>-75757</c:v>
                </c:pt>
                <c:pt idx="76">
                  <c:v>-74726</c:v>
                </c:pt>
                <c:pt idx="77">
                  <c:v>-73000</c:v>
                </c:pt>
                <c:pt idx="78">
                  <c:v>-72466</c:v>
                </c:pt>
                <c:pt idx="79">
                  <c:v>-73322</c:v>
                </c:pt>
                <c:pt idx="80">
                  <c:v>-70837</c:v>
                </c:pt>
                <c:pt idx="81">
                  <c:v>-69330</c:v>
                </c:pt>
                <c:pt idx="82">
                  <c:v>-67404</c:v>
                </c:pt>
                <c:pt idx="83">
                  <c:v>-65240</c:v>
                </c:pt>
                <c:pt idx="84">
                  <c:v>-63666</c:v>
                </c:pt>
                <c:pt idx="85">
                  <c:v>-63069</c:v>
                </c:pt>
                <c:pt idx="86">
                  <c:v>-59734</c:v>
                </c:pt>
                <c:pt idx="87">
                  <c:v>-57022</c:v>
                </c:pt>
                <c:pt idx="88">
                  <c:v>-54631</c:v>
                </c:pt>
                <c:pt idx="89">
                  <c:v>-55580</c:v>
                </c:pt>
                <c:pt idx="90">
                  <c:v>-57119</c:v>
                </c:pt>
                <c:pt idx="91">
                  <c:v>-52960</c:v>
                </c:pt>
                <c:pt idx="92">
                  <c:v>-47718</c:v>
                </c:pt>
                <c:pt idx="93">
                  <c:v>-41307</c:v>
                </c:pt>
                <c:pt idx="94">
                  <c:v>-34796</c:v>
                </c:pt>
                <c:pt idx="95">
                  <c:v>-29180</c:v>
                </c:pt>
                <c:pt idx="96">
                  <c:v>-22653</c:v>
                </c:pt>
                <c:pt idx="97">
                  <c:v>-19606</c:v>
                </c:pt>
                <c:pt idx="98">
                  <c:v>-17086</c:v>
                </c:pt>
                <c:pt idx="99">
                  <c:v>-13966</c:v>
                </c:pt>
                <c:pt idx="100">
                  <c:v>-42932</c:v>
                </c:pt>
              </c:numCache>
            </c:numRef>
          </c:val>
          <c:extLst>
            <c:ext xmlns:c16="http://schemas.microsoft.com/office/drawing/2014/chart" uri="{C3380CC4-5D6E-409C-BE32-E72D297353CC}">
              <c16:uniqueId val="{00000001-BF4A-42CE-8E61-8589C58FF24F}"/>
            </c:ext>
          </c:extLst>
        </c:ser>
        <c:dLbls>
          <c:showLegendKey val="0"/>
          <c:showVal val="0"/>
          <c:showCatName val="0"/>
          <c:showSerName val="0"/>
          <c:showPercent val="0"/>
          <c:showBubbleSize val="0"/>
        </c:dLbls>
        <c:gapWidth val="182"/>
        <c:axId val="145476224"/>
        <c:axId val="145559936"/>
      </c:barChart>
      <c:catAx>
        <c:axId val="14547622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5559936"/>
        <c:crosses val="autoZero"/>
        <c:auto val="1"/>
        <c:lblAlgn val="ctr"/>
        <c:lblOffset val="100"/>
        <c:tickLblSkip val="5"/>
        <c:noMultiLvlLbl val="0"/>
      </c:catAx>
      <c:valAx>
        <c:axId val="145559936"/>
        <c:scaling>
          <c:orientation val="minMax"/>
          <c:max val="200000"/>
          <c:min val="-200000"/>
        </c:scaling>
        <c:delete val="0"/>
        <c:axPos val="b"/>
        <c:majorGridlines>
          <c:spPr>
            <a:ln w="9525" cap="flat" cmpd="sng" algn="ctr">
              <a:solidFill>
                <a:schemeClr val="tx1">
                  <a:lumMod val="15000"/>
                  <a:lumOff val="85000"/>
                </a:schemeClr>
              </a:solidFill>
              <a:round/>
            </a:ln>
            <a:effectLst/>
          </c:spPr>
        </c:majorGridlines>
        <c:numFmt formatCode="0;[Black]0" sourceLinked="0"/>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5476224"/>
        <c:crosses val="autoZero"/>
        <c:crossBetween val="between"/>
        <c:dispUnits>
          <c:builtInUnit val="thousands"/>
        </c:dispUnits>
      </c:valAx>
      <c:spPr>
        <a:noFill/>
        <a:ln w="25400">
          <a:noFill/>
        </a:ln>
      </c:spPr>
    </c:plotArea>
    <c:legend>
      <c:legendPos val="t"/>
      <c:layout>
        <c:manualLayout>
          <c:xMode val="edge"/>
          <c:yMode val="edge"/>
          <c:x val="0.29331702406478932"/>
          <c:y val="3.5174637198890192E-3"/>
          <c:w val="0.3925164041994787"/>
          <c:h val="5.9289128332642632E-2"/>
        </c:manualLayout>
      </c:layout>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ro-RO" sz="1200"/>
              <a:t>Evoluția populației 2019-2070 (EUROPOP2019)</a:t>
            </a:r>
          </a:p>
        </c:rich>
      </c:tx>
      <c:layout/>
      <c:overlay val="0"/>
      <c:spPr>
        <a:noFill/>
        <a:ln>
          <a:noFill/>
        </a:ln>
        <a:effectLst/>
      </c:spPr>
    </c:title>
    <c:autoTitleDeleted val="0"/>
    <c:plotArea>
      <c:layout/>
      <c:lineChart>
        <c:grouping val="standard"/>
        <c:varyColors val="0"/>
        <c:ser>
          <c:idx val="0"/>
          <c:order val="0"/>
          <c:tx>
            <c:strRef>
              <c:f>[proj_19np.xls]Data!$A$13</c:f>
              <c:strCache>
                <c:ptCount val="1"/>
                <c:pt idx="0">
                  <c:v>Total</c:v>
                </c:pt>
              </c:strCache>
            </c:strRef>
          </c:tx>
          <c:spPr>
            <a:ln w="28575" cap="rnd" cmpd="sng" algn="ctr">
              <a:solidFill>
                <a:srgbClr val="00B0F0"/>
              </a:solidFill>
              <a:prstDash val="solid"/>
              <a:round/>
            </a:ln>
            <a:effectLst/>
          </c:spPr>
          <c:marker>
            <c:symbol val="none"/>
          </c:marker>
          <c:cat>
            <c:numRef>
              <c:f>[proj_19np.xls]Data!$B$12:$S$12</c:f>
              <c:numCache>
                <c:formatCode>General</c:formatCode>
                <c:ptCount val="18"/>
                <c:pt idx="0">
                  <c:v>2019</c:v>
                </c:pt>
                <c:pt idx="1">
                  <c:v>2022</c:v>
                </c:pt>
                <c:pt idx="2">
                  <c:v>2025</c:v>
                </c:pt>
                <c:pt idx="3">
                  <c:v>2028</c:v>
                </c:pt>
                <c:pt idx="4">
                  <c:v>2031</c:v>
                </c:pt>
                <c:pt idx="5">
                  <c:v>2034</c:v>
                </c:pt>
                <c:pt idx="6">
                  <c:v>2037</c:v>
                </c:pt>
                <c:pt idx="7">
                  <c:v>2040</c:v>
                </c:pt>
                <c:pt idx="8">
                  <c:v>2043</c:v>
                </c:pt>
                <c:pt idx="9">
                  <c:v>2046</c:v>
                </c:pt>
                <c:pt idx="10">
                  <c:v>2049</c:v>
                </c:pt>
                <c:pt idx="11">
                  <c:v>2052</c:v>
                </c:pt>
                <c:pt idx="12">
                  <c:v>2055</c:v>
                </c:pt>
                <c:pt idx="13">
                  <c:v>2058</c:v>
                </c:pt>
                <c:pt idx="14">
                  <c:v>2061</c:v>
                </c:pt>
                <c:pt idx="15">
                  <c:v>2064</c:v>
                </c:pt>
                <c:pt idx="16">
                  <c:v>2067</c:v>
                </c:pt>
                <c:pt idx="17">
                  <c:v>2070</c:v>
                </c:pt>
              </c:numCache>
            </c:numRef>
          </c:cat>
          <c:val>
            <c:numRef>
              <c:f>[proj_19np.xls]Data!$B$13:$S$13</c:f>
              <c:numCache>
                <c:formatCode>#,##0</c:formatCode>
                <c:ptCount val="18"/>
                <c:pt idx="0">
                  <c:v>19414458</c:v>
                </c:pt>
                <c:pt idx="1">
                  <c:v>18983507</c:v>
                </c:pt>
                <c:pt idx="2">
                  <c:v>18507547</c:v>
                </c:pt>
                <c:pt idx="3">
                  <c:v>18080284</c:v>
                </c:pt>
                <c:pt idx="4">
                  <c:v>17675624</c:v>
                </c:pt>
                <c:pt idx="5">
                  <c:v>17292675</c:v>
                </c:pt>
                <c:pt idx="6">
                  <c:v>16927790</c:v>
                </c:pt>
                <c:pt idx="7">
                  <c:v>16576187</c:v>
                </c:pt>
                <c:pt idx="8">
                  <c:v>16237022</c:v>
                </c:pt>
                <c:pt idx="9">
                  <c:v>15912440</c:v>
                </c:pt>
                <c:pt idx="10">
                  <c:v>15603000</c:v>
                </c:pt>
                <c:pt idx="11">
                  <c:v>15305956</c:v>
                </c:pt>
                <c:pt idx="12">
                  <c:v>15015940</c:v>
                </c:pt>
                <c:pt idx="13">
                  <c:v>14729395</c:v>
                </c:pt>
                <c:pt idx="14">
                  <c:v>14448007</c:v>
                </c:pt>
                <c:pt idx="15">
                  <c:v>14176721</c:v>
                </c:pt>
                <c:pt idx="16">
                  <c:v>13921394</c:v>
                </c:pt>
                <c:pt idx="17">
                  <c:v>13688060</c:v>
                </c:pt>
              </c:numCache>
            </c:numRef>
          </c:val>
          <c:smooth val="0"/>
          <c:extLst>
            <c:ext xmlns:c16="http://schemas.microsoft.com/office/drawing/2014/chart" uri="{C3380CC4-5D6E-409C-BE32-E72D297353CC}">
              <c16:uniqueId val="{00000000-D919-4886-96EB-E9C7F10702D5}"/>
            </c:ext>
          </c:extLst>
        </c:ser>
        <c:ser>
          <c:idx val="1"/>
          <c:order val="1"/>
          <c:tx>
            <c:strRef>
              <c:f>[proj_19np.xls]Data!$A$14</c:f>
              <c:strCache>
                <c:ptCount val="1"/>
                <c:pt idx="0">
                  <c:v>15-64</c:v>
                </c:pt>
              </c:strCache>
            </c:strRef>
          </c:tx>
          <c:spPr>
            <a:ln w="28575" cap="rnd" cmpd="sng" algn="ctr">
              <a:solidFill>
                <a:schemeClr val="accent2">
                  <a:lumMod val="40000"/>
                  <a:lumOff val="60000"/>
                </a:schemeClr>
              </a:solidFill>
              <a:prstDash val="solid"/>
              <a:round/>
            </a:ln>
            <a:effectLst/>
          </c:spPr>
          <c:marker>
            <c:symbol val="none"/>
          </c:marker>
          <c:cat>
            <c:numRef>
              <c:f>[proj_19np.xls]Data!$B$12:$S$12</c:f>
              <c:numCache>
                <c:formatCode>General</c:formatCode>
                <c:ptCount val="18"/>
                <c:pt idx="0">
                  <c:v>2019</c:v>
                </c:pt>
                <c:pt idx="1">
                  <c:v>2022</c:v>
                </c:pt>
                <c:pt idx="2">
                  <c:v>2025</c:v>
                </c:pt>
                <c:pt idx="3">
                  <c:v>2028</c:v>
                </c:pt>
                <c:pt idx="4">
                  <c:v>2031</c:v>
                </c:pt>
                <c:pt idx="5">
                  <c:v>2034</c:v>
                </c:pt>
                <c:pt idx="6">
                  <c:v>2037</c:v>
                </c:pt>
                <c:pt idx="7">
                  <c:v>2040</c:v>
                </c:pt>
                <c:pt idx="8">
                  <c:v>2043</c:v>
                </c:pt>
                <c:pt idx="9">
                  <c:v>2046</c:v>
                </c:pt>
                <c:pt idx="10">
                  <c:v>2049</c:v>
                </c:pt>
                <c:pt idx="11">
                  <c:v>2052</c:v>
                </c:pt>
                <c:pt idx="12">
                  <c:v>2055</c:v>
                </c:pt>
                <c:pt idx="13">
                  <c:v>2058</c:v>
                </c:pt>
                <c:pt idx="14">
                  <c:v>2061</c:v>
                </c:pt>
                <c:pt idx="15">
                  <c:v>2064</c:v>
                </c:pt>
                <c:pt idx="16">
                  <c:v>2067</c:v>
                </c:pt>
                <c:pt idx="17">
                  <c:v>2070</c:v>
                </c:pt>
              </c:numCache>
            </c:numRef>
          </c:cat>
          <c:val>
            <c:numRef>
              <c:f>[proj_19np.xls]Data!$B$14:$S$14</c:f>
              <c:numCache>
                <c:formatCode>#,##0</c:formatCode>
                <c:ptCount val="18"/>
                <c:pt idx="0">
                  <c:v>12775859</c:v>
                </c:pt>
                <c:pt idx="1">
                  <c:v>12275389</c:v>
                </c:pt>
                <c:pt idx="2">
                  <c:v>11867189</c:v>
                </c:pt>
                <c:pt idx="3">
                  <c:v>11554529</c:v>
                </c:pt>
                <c:pt idx="4">
                  <c:v>11331860</c:v>
                </c:pt>
                <c:pt idx="5">
                  <c:v>10867876</c:v>
                </c:pt>
                <c:pt idx="6">
                  <c:v>10401918</c:v>
                </c:pt>
                <c:pt idx="7">
                  <c:v>9963558</c:v>
                </c:pt>
                <c:pt idx="8">
                  <c:v>9504271</c:v>
                </c:pt>
                <c:pt idx="9">
                  <c:v>9091798</c:v>
                </c:pt>
                <c:pt idx="10">
                  <c:v>8793996</c:v>
                </c:pt>
                <c:pt idx="11">
                  <c:v>8501228</c:v>
                </c:pt>
                <c:pt idx="12">
                  <c:v>8210633</c:v>
                </c:pt>
                <c:pt idx="13">
                  <c:v>8044622</c:v>
                </c:pt>
                <c:pt idx="14">
                  <c:v>7922085</c:v>
                </c:pt>
                <c:pt idx="15">
                  <c:v>7809919</c:v>
                </c:pt>
                <c:pt idx="16">
                  <c:v>7692899</c:v>
                </c:pt>
                <c:pt idx="17">
                  <c:v>7581598</c:v>
                </c:pt>
              </c:numCache>
            </c:numRef>
          </c:val>
          <c:smooth val="0"/>
          <c:extLst>
            <c:ext xmlns:c16="http://schemas.microsoft.com/office/drawing/2014/chart" uri="{C3380CC4-5D6E-409C-BE32-E72D297353CC}">
              <c16:uniqueId val="{00000001-D919-4886-96EB-E9C7F10702D5}"/>
            </c:ext>
          </c:extLst>
        </c:ser>
        <c:ser>
          <c:idx val="2"/>
          <c:order val="2"/>
          <c:tx>
            <c:strRef>
              <c:f>[proj_19np.xls]Data!$A$15</c:f>
              <c:strCache>
                <c:ptCount val="1"/>
                <c:pt idx="0">
                  <c:v>65+</c:v>
                </c:pt>
              </c:strCache>
            </c:strRef>
          </c:tx>
          <c:spPr>
            <a:ln w="28575" cap="rnd" cmpd="sng" algn="ctr">
              <a:solidFill>
                <a:schemeClr val="bg1">
                  <a:lumMod val="75000"/>
                </a:schemeClr>
              </a:solidFill>
              <a:prstDash val="solid"/>
              <a:round/>
            </a:ln>
            <a:effectLst/>
          </c:spPr>
          <c:marker>
            <c:symbol val="none"/>
          </c:marker>
          <c:cat>
            <c:numRef>
              <c:f>[proj_19np.xls]Data!$B$12:$S$12</c:f>
              <c:numCache>
                <c:formatCode>General</c:formatCode>
                <c:ptCount val="18"/>
                <c:pt idx="0">
                  <c:v>2019</c:v>
                </c:pt>
                <c:pt idx="1">
                  <c:v>2022</c:v>
                </c:pt>
                <c:pt idx="2">
                  <c:v>2025</c:v>
                </c:pt>
                <c:pt idx="3">
                  <c:v>2028</c:v>
                </c:pt>
                <c:pt idx="4">
                  <c:v>2031</c:v>
                </c:pt>
                <c:pt idx="5">
                  <c:v>2034</c:v>
                </c:pt>
                <c:pt idx="6">
                  <c:v>2037</c:v>
                </c:pt>
                <c:pt idx="7">
                  <c:v>2040</c:v>
                </c:pt>
                <c:pt idx="8">
                  <c:v>2043</c:v>
                </c:pt>
                <c:pt idx="9">
                  <c:v>2046</c:v>
                </c:pt>
                <c:pt idx="10">
                  <c:v>2049</c:v>
                </c:pt>
                <c:pt idx="11">
                  <c:v>2052</c:v>
                </c:pt>
                <c:pt idx="12">
                  <c:v>2055</c:v>
                </c:pt>
                <c:pt idx="13">
                  <c:v>2058</c:v>
                </c:pt>
                <c:pt idx="14">
                  <c:v>2061</c:v>
                </c:pt>
                <c:pt idx="15">
                  <c:v>2064</c:v>
                </c:pt>
                <c:pt idx="16">
                  <c:v>2067</c:v>
                </c:pt>
                <c:pt idx="17">
                  <c:v>2070</c:v>
                </c:pt>
              </c:numCache>
            </c:numRef>
          </c:cat>
          <c:val>
            <c:numRef>
              <c:f>[proj_19np.xls]Data!$B$15:$S$15</c:f>
              <c:numCache>
                <c:formatCode>#,##0</c:formatCode>
                <c:ptCount val="18"/>
                <c:pt idx="0">
                  <c:v>3596357</c:v>
                </c:pt>
                <c:pt idx="1">
                  <c:v>3789190</c:v>
                </c:pt>
                <c:pt idx="2">
                  <c:v>3897819</c:v>
                </c:pt>
                <c:pt idx="3">
                  <c:v>3906015</c:v>
                </c:pt>
                <c:pt idx="4">
                  <c:v>3864990</c:v>
                </c:pt>
                <c:pt idx="5">
                  <c:v>4096413</c:v>
                </c:pt>
                <c:pt idx="6">
                  <c:v>4288771</c:v>
                </c:pt>
                <c:pt idx="7">
                  <c:v>4423512</c:v>
                </c:pt>
                <c:pt idx="8">
                  <c:v>4579710</c:v>
                </c:pt>
                <c:pt idx="9">
                  <c:v>4701257</c:v>
                </c:pt>
                <c:pt idx="10">
                  <c:v>4728040</c:v>
                </c:pt>
                <c:pt idx="11">
                  <c:v>4770493</c:v>
                </c:pt>
                <c:pt idx="12">
                  <c:v>4823051</c:v>
                </c:pt>
                <c:pt idx="13">
                  <c:v>4754773</c:v>
                </c:pt>
                <c:pt idx="14">
                  <c:v>4643801</c:v>
                </c:pt>
                <c:pt idx="15">
                  <c:v>4524397</c:v>
                </c:pt>
                <c:pt idx="16">
                  <c:v>4415784</c:v>
                </c:pt>
                <c:pt idx="17">
                  <c:v>4314057</c:v>
                </c:pt>
              </c:numCache>
            </c:numRef>
          </c:val>
          <c:smooth val="0"/>
          <c:extLst>
            <c:ext xmlns:c16="http://schemas.microsoft.com/office/drawing/2014/chart" uri="{C3380CC4-5D6E-409C-BE32-E72D297353CC}">
              <c16:uniqueId val="{00000002-D919-4886-96EB-E9C7F10702D5}"/>
            </c:ext>
          </c:extLst>
        </c:ser>
        <c:dLbls>
          <c:showLegendKey val="0"/>
          <c:showVal val="0"/>
          <c:showCatName val="0"/>
          <c:showSerName val="0"/>
          <c:showPercent val="0"/>
          <c:showBubbleSize val="0"/>
        </c:dLbls>
        <c:smooth val="0"/>
        <c:axId val="127494784"/>
        <c:axId val="127500672"/>
      </c:lineChart>
      <c:catAx>
        <c:axId val="12749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27500672"/>
        <c:crosses val="autoZero"/>
        <c:auto val="1"/>
        <c:lblAlgn val="ctr"/>
        <c:lblOffset val="100"/>
        <c:noMultiLvlLbl val="0"/>
      </c:catAx>
      <c:valAx>
        <c:axId val="127500672"/>
        <c:scaling>
          <c:orientation val="minMax"/>
        </c:scaling>
        <c:delete val="0"/>
        <c:axPos val="l"/>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274947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626629162298419E-2"/>
          <c:y val="3.3416145741622952E-2"/>
          <c:w val="0.90845670793032396"/>
          <c:h val="0.70833439394967868"/>
        </c:manualLayout>
      </c:layout>
      <c:lineChart>
        <c:grouping val="standard"/>
        <c:varyColors val="0"/>
        <c:ser>
          <c:idx val="0"/>
          <c:order val="0"/>
          <c:tx>
            <c:strRef>
              <c:f>RO!$C$3</c:f>
              <c:strCache>
                <c:ptCount val="1"/>
                <c:pt idx="0">
                  <c:v>Buget 2021</c:v>
                </c:pt>
              </c:strCache>
            </c:strRef>
          </c:tx>
          <c:marker>
            <c:symbol val="none"/>
          </c:marker>
          <c:dLbls>
            <c:dLbl>
              <c:idx val="0"/>
              <c:layout>
                <c:manualLayout>
                  <c:x val="-1.2722646310432581E-2"/>
                  <c:y val="6.243032329988883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4BC-4AF5-A5AC-49FD3A758F03}"/>
                </c:ext>
              </c:extLst>
            </c:dLbl>
            <c:dLbl>
              <c:idx val="1"/>
              <c:layout>
                <c:manualLayout>
                  <c:x val="-7.6335877862595504E-3"/>
                  <c:y val="6.68896321070234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4BC-4AF5-A5AC-49FD3A758F03}"/>
                </c:ext>
              </c:extLst>
            </c:dLbl>
            <c:dLbl>
              <c:idx val="2"/>
              <c:delete val="1"/>
              <c:extLst>
                <c:ext xmlns:c15="http://schemas.microsoft.com/office/drawing/2012/chart" uri="{CE6537A1-D6FC-4f65-9D91-7224C49458BB}"/>
                <c:ext xmlns:c16="http://schemas.microsoft.com/office/drawing/2014/chart" uri="{C3380CC4-5D6E-409C-BE32-E72D297353CC}">
                  <c16:uniqueId val="{00000002-44BC-4AF5-A5AC-49FD3A758F03}"/>
                </c:ext>
              </c:extLst>
            </c:dLbl>
            <c:dLbl>
              <c:idx val="3"/>
              <c:layout>
                <c:manualLayout>
                  <c:x val="-1.0178117048346058E-2"/>
                  <c:y val="5.79710144927536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4BC-4AF5-A5AC-49FD3A758F03}"/>
                </c:ext>
              </c:extLst>
            </c:dLbl>
            <c:dLbl>
              <c:idx val="4"/>
              <c:layout>
                <c:manualLayout>
                  <c:x val="-7.6335877862595504E-3"/>
                  <c:y val="4.01337792642140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4BC-4AF5-A5AC-49FD3A758F03}"/>
                </c:ext>
              </c:extLst>
            </c:dLbl>
            <c:dLbl>
              <c:idx val="6"/>
              <c:layout>
                <c:manualLayout>
                  <c:x val="0"/>
                  <c:y val="1.783723522853954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4BC-4AF5-A5AC-49FD3A758F03}"/>
                </c:ext>
              </c:extLst>
            </c:dLbl>
            <c:spPr>
              <a:noFill/>
              <a:ln>
                <a:noFill/>
              </a:ln>
              <a:effectLst/>
            </c:spPr>
            <c:txPr>
              <a:bodyPr/>
              <a:lstStyle/>
              <a:p>
                <a:pPr>
                  <a:defRPr>
                    <a:solidFill>
                      <a:schemeClr val="tx2">
                        <a:lumMod val="7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RO!$B$4:$B$11</c:f>
              <c:numCache>
                <c:formatCode>General</c:formatCode>
                <c:ptCount val="8"/>
                <c:pt idx="0">
                  <c:v>2017</c:v>
                </c:pt>
                <c:pt idx="1">
                  <c:v>2018</c:v>
                </c:pt>
                <c:pt idx="2">
                  <c:v>2019</c:v>
                </c:pt>
                <c:pt idx="3">
                  <c:v>2020</c:v>
                </c:pt>
                <c:pt idx="4">
                  <c:v>2021</c:v>
                </c:pt>
                <c:pt idx="5">
                  <c:v>2022</c:v>
                </c:pt>
                <c:pt idx="6">
                  <c:v>2023</c:v>
                </c:pt>
                <c:pt idx="7">
                  <c:v>2024</c:v>
                </c:pt>
              </c:numCache>
            </c:numRef>
          </c:cat>
          <c:val>
            <c:numRef>
              <c:f>RO!$C$4:$C$11</c:f>
              <c:numCache>
                <c:formatCode>0.0</c:formatCode>
                <c:ptCount val="8"/>
                <c:pt idx="0">
                  <c:v>4.6216005884749611</c:v>
                </c:pt>
                <c:pt idx="1">
                  <c:v>4.7886282230332533</c:v>
                </c:pt>
                <c:pt idx="2">
                  <c:v>4.6715209292626874</c:v>
                </c:pt>
                <c:pt idx="3">
                  <c:v>2.4636508453295352</c:v>
                </c:pt>
                <c:pt idx="4">
                  <c:v>2.5575577075823834</c:v>
                </c:pt>
                <c:pt idx="5">
                  <c:v>2.9832582460146639</c:v>
                </c:pt>
                <c:pt idx="6">
                  <c:v>3.5849403688677852</c:v>
                </c:pt>
                <c:pt idx="7">
                  <c:v>3.7952900768105646</c:v>
                </c:pt>
              </c:numCache>
            </c:numRef>
          </c:val>
          <c:smooth val="0"/>
          <c:extLst>
            <c:ext xmlns:c16="http://schemas.microsoft.com/office/drawing/2014/chart" uri="{C3380CC4-5D6E-409C-BE32-E72D297353CC}">
              <c16:uniqueId val="{00000006-44BC-4AF5-A5AC-49FD3A758F03}"/>
            </c:ext>
          </c:extLst>
        </c:ser>
        <c:ser>
          <c:idx val="1"/>
          <c:order val="1"/>
          <c:tx>
            <c:strRef>
              <c:f>RO!$D$3</c:f>
              <c:strCache>
                <c:ptCount val="1"/>
                <c:pt idx="0">
                  <c:v>Buget 2020</c:v>
                </c:pt>
              </c:strCache>
            </c:strRef>
          </c:tx>
          <c:spPr>
            <a:ln cmpd="dbl">
              <a:solidFill>
                <a:schemeClr val="tx2">
                  <a:lumMod val="75000"/>
                </a:schemeClr>
              </a:solidFill>
              <a:prstDash val="dash"/>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7-44BC-4AF5-A5AC-49FD3A758F03}"/>
                </c:ext>
              </c:extLst>
            </c:dLbl>
            <c:dLbl>
              <c:idx val="1"/>
              <c:delete val="1"/>
              <c:extLst>
                <c:ext xmlns:c15="http://schemas.microsoft.com/office/drawing/2012/chart" uri="{CE6537A1-D6FC-4f65-9D91-7224C49458BB}"/>
                <c:ext xmlns:c16="http://schemas.microsoft.com/office/drawing/2014/chart" uri="{C3380CC4-5D6E-409C-BE32-E72D297353CC}">
                  <c16:uniqueId val="{00000008-44BC-4AF5-A5AC-49FD3A758F03}"/>
                </c:ext>
              </c:extLst>
            </c:dLbl>
            <c:dLbl>
              <c:idx val="2"/>
              <c:layout>
                <c:manualLayout>
                  <c:x val="-3.0534551501672988E-2"/>
                  <c:y val="-6.243032329988883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44BC-4AF5-A5AC-49FD3A758F03}"/>
                </c:ext>
              </c:extLst>
            </c:dLbl>
            <c:dLbl>
              <c:idx val="3"/>
              <c:layout>
                <c:manualLayout>
                  <c:x val="-2.5445292620865659E-2"/>
                  <c:y val="-4.45930880713491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44BC-4AF5-A5AC-49FD3A758F03}"/>
                </c:ext>
              </c:extLst>
            </c:dLbl>
            <c:dLbl>
              <c:idx val="4"/>
              <c:layout>
                <c:manualLayout>
                  <c:x val="2.5445292620865714E-3"/>
                  <c:y val="-2.67558528428094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44BC-4AF5-A5AC-49FD3A758F03}"/>
                </c:ext>
              </c:extLst>
            </c:dLbl>
            <c:dLbl>
              <c:idx val="5"/>
              <c:layout>
                <c:manualLayout>
                  <c:x val="-9.3298328486258556E-17"/>
                  <c:y val="-2.67558528428094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44BC-4AF5-A5AC-49FD3A758F03}"/>
                </c:ext>
              </c:extLst>
            </c:dLbl>
            <c:spPr>
              <a:noFill/>
              <a:ln>
                <a:noFill/>
              </a:ln>
              <a:effectLst/>
            </c:spPr>
            <c:txPr>
              <a:bodyPr/>
              <a:lstStyle/>
              <a:p>
                <a:pPr>
                  <a:defRPr>
                    <a:solidFill>
                      <a:schemeClr val="tx2">
                        <a:lumMod val="7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RO!$B$4:$B$11</c:f>
              <c:numCache>
                <c:formatCode>General</c:formatCode>
                <c:ptCount val="8"/>
                <c:pt idx="0">
                  <c:v>2017</c:v>
                </c:pt>
                <c:pt idx="1">
                  <c:v>2018</c:v>
                </c:pt>
                <c:pt idx="2">
                  <c:v>2019</c:v>
                </c:pt>
                <c:pt idx="3">
                  <c:v>2020</c:v>
                </c:pt>
                <c:pt idx="4">
                  <c:v>2021</c:v>
                </c:pt>
                <c:pt idx="5">
                  <c:v>2022</c:v>
                </c:pt>
                <c:pt idx="6">
                  <c:v>2023</c:v>
                </c:pt>
                <c:pt idx="7">
                  <c:v>2024</c:v>
                </c:pt>
              </c:numCache>
            </c:numRef>
          </c:cat>
          <c:val>
            <c:numRef>
              <c:f>RO!$D$4:$D$11</c:f>
              <c:numCache>
                <c:formatCode>0.0</c:formatCode>
                <c:ptCount val="8"/>
                <c:pt idx="0">
                  <c:v>4.6216005884749611</c:v>
                </c:pt>
                <c:pt idx="1">
                  <c:v>4.7886282230332533</c:v>
                </c:pt>
                <c:pt idx="2">
                  <c:v>4.6715209292626874</c:v>
                </c:pt>
                <c:pt idx="3">
                  <c:v>4.3494227641637524</c:v>
                </c:pt>
                <c:pt idx="4">
                  <c:v>4.2766628254438972</c:v>
                </c:pt>
                <c:pt idx="5">
                  <c:v>4.0734751765298727</c:v>
                </c:pt>
                <c:pt idx="6">
                  <c:v>3.8394010817362587</c:v>
                </c:pt>
              </c:numCache>
            </c:numRef>
          </c:val>
          <c:smooth val="0"/>
          <c:extLst>
            <c:ext xmlns:c16="http://schemas.microsoft.com/office/drawing/2014/chart" uri="{C3380CC4-5D6E-409C-BE32-E72D297353CC}">
              <c16:uniqueId val="{0000000D-44BC-4AF5-A5AC-49FD3A758F03}"/>
            </c:ext>
          </c:extLst>
        </c:ser>
        <c:dLbls>
          <c:showLegendKey val="0"/>
          <c:showVal val="0"/>
          <c:showCatName val="0"/>
          <c:showSerName val="0"/>
          <c:showPercent val="0"/>
          <c:showBubbleSize val="0"/>
        </c:dLbls>
        <c:smooth val="0"/>
        <c:axId val="127806848"/>
        <c:axId val="127808640"/>
      </c:lineChart>
      <c:catAx>
        <c:axId val="127806848"/>
        <c:scaling>
          <c:orientation val="minMax"/>
        </c:scaling>
        <c:delete val="0"/>
        <c:axPos val="b"/>
        <c:numFmt formatCode="General" sourceLinked="1"/>
        <c:majorTickMark val="out"/>
        <c:minorTickMark val="none"/>
        <c:tickLblPos val="nextTo"/>
        <c:crossAx val="127808640"/>
        <c:crosses val="autoZero"/>
        <c:auto val="1"/>
        <c:lblAlgn val="ctr"/>
        <c:lblOffset val="100"/>
        <c:noMultiLvlLbl val="0"/>
      </c:catAx>
      <c:valAx>
        <c:axId val="127808640"/>
        <c:scaling>
          <c:orientation val="minMax"/>
          <c:min val="1.5"/>
        </c:scaling>
        <c:delete val="0"/>
        <c:axPos val="l"/>
        <c:numFmt formatCode="0.0" sourceLinked="1"/>
        <c:majorTickMark val="out"/>
        <c:minorTickMark val="none"/>
        <c:tickLblPos val="nextTo"/>
        <c:crossAx val="127806848"/>
        <c:crosses val="autoZero"/>
        <c:crossBetween val="between"/>
      </c:valAx>
    </c:plotArea>
    <c:legend>
      <c:legendPos val="b"/>
      <c:layout>
        <c:manualLayout>
          <c:xMode val="edge"/>
          <c:yMode val="edge"/>
          <c:x val="0.27701784588754647"/>
          <c:y val="0.89186910297311983"/>
          <c:w val="0.44596430822491523"/>
          <c:h val="6.7721414268259589E-2"/>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Structura veniturilor bugetare in anul 2020</a:t>
            </a: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 in total venituri  </a:t>
            </a:r>
          </a:p>
        </c:rich>
      </c:tx>
      <c:layout/>
      <c:overlay val="0"/>
      <c:spPr>
        <a:noFill/>
        <a:ln w="25400">
          <a:noFill/>
        </a:ln>
      </c:spPr>
    </c:title>
    <c:autoTitleDeleted val="0"/>
    <c:plotArea>
      <c:layout>
        <c:manualLayout>
          <c:layoutTarget val="inner"/>
          <c:xMode val="edge"/>
          <c:yMode val="edge"/>
          <c:x val="0.21805555555555553"/>
          <c:y val="0.31733333333333336"/>
          <c:w val="0.55555555555555558"/>
          <c:h val="0.5333333333333333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F31-4B6D-8D8D-E03B35BCB78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F31-4B6D-8D8D-E03B35BCB78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F31-4B6D-8D8D-E03B35BCB783}"/>
              </c:ext>
            </c:extLst>
          </c:dPt>
          <c:dPt>
            <c:idx val="3"/>
            <c:bubble3D val="0"/>
            <c:explosion val="16"/>
            <c:spPr>
              <a:solidFill>
                <a:schemeClr val="accent4"/>
              </a:solidFill>
              <a:ln w="19050">
                <a:solidFill>
                  <a:schemeClr val="lt1"/>
                </a:solidFill>
              </a:ln>
              <a:effectLst/>
            </c:spPr>
            <c:extLst>
              <c:ext xmlns:c16="http://schemas.microsoft.com/office/drawing/2014/chart" uri="{C3380CC4-5D6E-409C-BE32-E72D297353CC}">
                <c16:uniqueId val="{00000007-8F31-4B6D-8D8D-E03B35BCB78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F31-4B6D-8D8D-E03B35BCB78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F31-4B6D-8D8D-E03B35BCB78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F31-4B6D-8D8D-E03B35BCB783}"/>
              </c:ext>
            </c:extLst>
          </c:dPt>
          <c:dPt>
            <c:idx val="7"/>
            <c:bubble3D val="0"/>
            <c:explosion val="12"/>
            <c:spPr>
              <a:solidFill>
                <a:schemeClr val="accent2">
                  <a:lumMod val="60000"/>
                </a:schemeClr>
              </a:solidFill>
              <a:ln w="19050">
                <a:solidFill>
                  <a:schemeClr val="lt1"/>
                </a:solidFill>
              </a:ln>
              <a:effectLst/>
            </c:spPr>
            <c:extLst>
              <c:ext xmlns:c16="http://schemas.microsoft.com/office/drawing/2014/chart" uri="{C3380CC4-5D6E-409C-BE32-E72D297353CC}">
                <c16:uniqueId val="{0000000F-8F31-4B6D-8D8D-E03B35BCB78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8F31-4B6D-8D8D-E03B35BCB783}"/>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8F31-4B6D-8D8D-E03B35BCB783}"/>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8F31-4B6D-8D8D-E03B35BCB783}"/>
              </c:ext>
            </c:extLst>
          </c:dPt>
          <c:dLbls>
            <c:dLbl>
              <c:idx val="0"/>
              <c:layout>
                <c:manualLayout>
                  <c:x val="-5.9454177602799647E-2"/>
                  <c:y val="-4.239685039370078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F31-4B6D-8D8D-E03B35BCB783}"/>
                </c:ext>
              </c:extLst>
            </c:dLbl>
            <c:dLbl>
              <c:idx val="1"/>
              <c:layout>
                <c:manualLayout>
                  <c:x val="2.1643372703412073E-2"/>
                  <c:y val="-8.288020997375328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F31-4B6D-8D8D-E03B35BCB783}"/>
                </c:ext>
              </c:extLst>
            </c:dLbl>
            <c:dLbl>
              <c:idx val="3"/>
              <c:layout>
                <c:manualLayout>
                  <c:x val="1.1006124234470793E-2"/>
                  <c:y val="-4.182467191601049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F31-4B6D-8D8D-E03B35BCB783}"/>
                </c:ext>
              </c:extLst>
            </c:dLbl>
            <c:dLbl>
              <c:idx val="4"/>
              <c:layout>
                <c:manualLayout>
                  <c:x val="0.11584087926509186"/>
                  <c:y val="-8.93639895013123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8F31-4B6D-8D8D-E03B35BCB783}"/>
                </c:ext>
              </c:extLst>
            </c:dLbl>
            <c:dLbl>
              <c:idx val="5"/>
              <c:layout>
                <c:manualLayout>
                  <c:x val="0.12227220034995626"/>
                  <c:y val="-2.153322834645659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8F31-4B6D-8D8D-E03B35BCB783}"/>
                </c:ext>
              </c:extLst>
            </c:dLbl>
            <c:dLbl>
              <c:idx val="7"/>
              <c:layout>
                <c:manualLayout>
                  <c:x val="-1.2506124234470692E-2"/>
                  <c:y val="-2.4113175853018372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8F31-4B6D-8D8D-E03B35BCB783}"/>
                </c:ext>
              </c:extLst>
            </c:dLbl>
            <c:dLbl>
              <c:idx val="8"/>
              <c:layout>
                <c:manualLayout>
                  <c:x val="-0.11757425634295714"/>
                  <c:y val="8.7812493438320205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8F31-4B6D-8D8D-E03B35BCB783}"/>
                </c:ext>
              </c:extLst>
            </c:dLbl>
            <c:dLbl>
              <c:idx val="9"/>
              <c:layout>
                <c:manualLayout>
                  <c:x val="-7.9615923009623793E-2"/>
                  <c:y val="-6.4312860892388208E-3"/>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8F31-4B6D-8D8D-E03B35BCB783}"/>
                </c:ext>
              </c:extLst>
            </c:dLbl>
            <c:dLbl>
              <c:idx val="10"/>
              <c:layout>
                <c:manualLayout>
                  <c:x val="1.987040682414698E-2"/>
                  <c:y val="-6.208860892388449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8F31-4B6D-8D8D-E03B35BCB783}"/>
                </c:ext>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'raport stefania'!$A$84:$A$94</c:f>
              <c:strCache>
                <c:ptCount val="11"/>
                <c:pt idx="0">
                  <c:v>Impozit pe profit                  </c:v>
                </c:pt>
                <c:pt idx="1">
                  <c:v>Impozit pe salarii si venit</c:v>
                </c:pt>
                <c:pt idx="2">
                  <c:v>Impozite si taxe pe proprietate              </c:v>
                </c:pt>
                <c:pt idx="3">
                  <c:v>TVA                                          </c:v>
                </c:pt>
                <c:pt idx="4">
                  <c:v> Accize  </c:v>
                </c:pt>
                <c:pt idx="5">
                  <c:v>Impozit pe comert exterior si tranzactiile internationale              </c:v>
                </c:pt>
                <c:pt idx="6">
                  <c:v>Alte venituri fiscale </c:v>
                </c:pt>
                <c:pt idx="7">
                  <c:v>Contributii asigurari sociale</c:v>
                </c:pt>
                <c:pt idx="8">
                  <c:v> Venituri nefiscale                      </c:v>
                </c:pt>
                <c:pt idx="9">
                  <c:v> Venituri din capital    </c:v>
                </c:pt>
                <c:pt idx="10">
                  <c:v>Sume primite de la UE</c:v>
                </c:pt>
              </c:strCache>
            </c:strRef>
          </c:cat>
          <c:val>
            <c:numRef>
              <c:f>'raport stefania'!$B$84:$B$94</c:f>
              <c:numCache>
                <c:formatCode>0.0</c:formatCode>
                <c:ptCount val="11"/>
                <c:pt idx="0">
                  <c:v>4.9572580474952987</c:v>
                </c:pt>
                <c:pt idx="1">
                  <c:v>7.5449504131985421</c:v>
                </c:pt>
                <c:pt idx="2">
                  <c:v>1.8404713327212374</c:v>
                </c:pt>
                <c:pt idx="3">
                  <c:v>18.856905015861109</c:v>
                </c:pt>
                <c:pt idx="4">
                  <c:v>9.5235755441132586</c:v>
                </c:pt>
                <c:pt idx="5">
                  <c:v>0.34713525618980912</c:v>
                </c:pt>
                <c:pt idx="6">
                  <c:v>3.8353606765690524</c:v>
                </c:pt>
                <c:pt idx="7">
                  <c:v>34.804461841340043</c:v>
                </c:pt>
                <c:pt idx="8">
                  <c:v>7.6445383970329708</c:v>
                </c:pt>
                <c:pt idx="9">
                  <c:v>0.24062030089530861</c:v>
                </c:pt>
                <c:pt idx="10">
                  <c:v>10.404723174583385</c:v>
                </c:pt>
              </c:numCache>
            </c:numRef>
          </c:val>
          <c:extLst>
            <c:ext xmlns:c16="http://schemas.microsoft.com/office/drawing/2014/chart" uri="{C3380CC4-5D6E-409C-BE32-E72D297353CC}">
              <c16:uniqueId val="{00000016-8F31-4B6D-8D8D-E03B35BCB783}"/>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Structura veniturilor bugetare in anul 2021</a:t>
            </a: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 in total venituri </a:t>
            </a:r>
          </a:p>
        </c:rich>
      </c:tx>
      <c:layout/>
      <c:overlay val="0"/>
      <c:spPr>
        <a:noFill/>
        <a:ln w="25400">
          <a:noFill/>
        </a:ln>
      </c:spPr>
    </c:title>
    <c:autoTitleDeleted val="0"/>
    <c:plotArea>
      <c:layout>
        <c:manualLayout>
          <c:layoutTarget val="inner"/>
          <c:xMode val="edge"/>
          <c:yMode val="edge"/>
          <c:x val="0.17357126336219467"/>
          <c:y val="0.29260239633166424"/>
          <c:w val="0.49449241258635773"/>
          <c:h val="0.6102246793618882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1B3-4933-9D45-A9713EAED55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1B3-4933-9D45-A9713EAED55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1B3-4933-9D45-A9713EAED55E}"/>
              </c:ext>
            </c:extLst>
          </c:dPt>
          <c:dPt>
            <c:idx val="3"/>
            <c:bubble3D val="0"/>
            <c:explosion val="12"/>
            <c:spPr>
              <a:solidFill>
                <a:schemeClr val="accent4"/>
              </a:solidFill>
              <a:ln w="19050">
                <a:solidFill>
                  <a:schemeClr val="lt1"/>
                </a:solidFill>
              </a:ln>
              <a:effectLst/>
            </c:spPr>
            <c:extLst>
              <c:ext xmlns:c16="http://schemas.microsoft.com/office/drawing/2014/chart" uri="{C3380CC4-5D6E-409C-BE32-E72D297353CC}">
                <c16:uniqueId val="{00000007-B1B3-4933-9D45-A9713EAED55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1B3-4933-9D45-A9713EAED55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1B3-4933-9D45-A9713EAED55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1B3-4933-9D45-A9713EAED55E}"/>
              </c:ext>
            </c:extLst>
          </c:dPt>
          <c:dPt>
            <c:idx val="7"/>
            <c:bubble3D val="0"/>
            <c:explosion val="10"/>
            <c:spPr>
              <a:solidFill>
                <a:schemeClr val="accent2">
                  <a:lumMod val="60000"/>
                </a:schemeClr>
              </a:solidFill>
              <a:ln w="19050">
                <a:solidFill>
                  <a:schemeClr val="lt1"/>
                </a:solidFill>
              </a:ln>
              <a:effectLst/>
            </c:spPr>
            <c:extLst>
              <c:ext xmlns:c16="http://schemas.microsoft.com/office/drawing/2014/chart" uri="{C3380CC4-5D6E-409C-BE32-E72D297353CC}">
                <c16:uniqueId val="{0000000F-B1B3-4933-9D45-A9713EAED55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B1B3-4933-9D45-A9713EAED55E}"/>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B1B3-4933-9D45-A9713EAED55E}"/>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B1B3-4933-9D45-A9713EAED55E}"/>
              </c:ext>
            </c:extLst>
          </c:dPt>
          <c:dLbls>
            <c:dLbl>
              <c:idx val="1"/>
              <c:layout>
                <c:manualLayout>
                  <c:x val="7.2616987515343859E-2"/>
                  <c:y val="-9.947345234327978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1B3-4933-9D45-A9713EAED55E}"/>
                </c:ext>
              </c:extLst>
            </c:dLbl>
            <c:dLbl>
              <c:idx val="2"/>
              <c:layout>
                <c:manualLayout>
                  <c:x val="3.8270934523989102E-2"/>
                  <c:y val="3.457369247283805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1B3-4933-9D45-A9713EAED55E}"/>
                </c:ext>
              </c:extLst>
            </c:dLbl>
            <c:dLbl>
              <c:idx val="3"/>
              <c:layout>
                <c:manualLayout>
                  <c:x val="1.8981908870586577E-2"/>
                  <c:y val="-6.0080787773868693E-3"/>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1B3-4933-9D45-A9713EAED55E}"/>
                </c:ext>
              </c:extLst>
            </c:dLbl>
            <c:dLbl>
              <c:idx val="4"/>
              <c:layout>
                <c:manualLayout>
                  <c:x val="0.19349664625255175"/>
                  <c:y val="-9.813443532324417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1B3-4933-9D45-A9713EAED55E}"/>
                </c:ext>
              </c:extLst>
            </c:dLbl>
            <c:dLbl>
              <c:idx val="5"/>
              <c:layout>
                <c:manualLayout>
                  <c:x val="0.1484317333896481"/>
                  <c:y val="-2.702903271842792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B1B3-4933-9D45-A9713EAED55E}"/>
                </c:ext>
              </c:extLst>
            </c:dLbl>
            <c:dLbl>
              <c:idx val="6"/>
              <c:layout>
                <c:manualLayout>
                  <c:x val="-0.10010971329733209"/>
                  <c:y val="1.2477553780954685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B1B3-4933-9D45-A9713EAED55E}"/>
                </c:ext>
              </c:extLst>
            </c:dLbl>
            <c:dLbl>
              <c:idx val="7"/>
              <c:layout>
                <c:manualLayout>
                  <c:x val="-2.3370843012439548E-2"/>
                  <c:y val="5.282924740790379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B1B3-4933-9D45-A9713EAED55E}"/>
                </c:ext>
              </c:extLst>
            </c:dLbl>
            <c:dLbl>
              <c:idx val="8"/>
              <c:layout>
                <c:manualLayout>
                  <c:x val="-5.1152743838054723E-2"/>
                  <c:y val="9.978617920986826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B1B3-4933-9D45-A9713EAED55E}"/>
                </c:ext>
              </c:extLst>
            </c:dLbl>
            <c:dLbl>
              <c:idx val="9"/>
              <c:layout>
                <c:manualLayout>
                  <c:x val="-8.1244456511901528E-2"/>
                  <c:y val="6.6444531313018494E-3"/>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B1B3-4933-9D45-A9713EAED55E}"/>
                </c:ext>
              </c:extLst>
            </c:dLbl>
            <c:dLbl>
              <c:idx val="10"/>
              <c:layout>
                <c:manualLayout>
                  <c:x val="3.0597487101184595E-2"/>
                  <c:y val="-2.708189845063693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B1B3-4933-9D45-A9713EAED55E}"/>
                </c:ext>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'raport stefania'!$A$84:$A$94</c:f>
              <c:strCache>
                <c:ptCount val="11"/>
                <c:pt idx="0">
                  <c:v>Impozit pe profit                  </c:v>
                </c:pt>
                <c:pt idx="1">
                  <c:v>Impozit pe salarii si venit</c:v>
                </c:pt>
                <c:pt idx="2">
                  <c:v>Impozite si taxe pe proprietate              </c:v>
                </c:pt>
                <c:pt idx="3">
                  <c:v>TVA                                          </c:v>
                </c:pt>
                <c:pt idx="4">
                  <c:v> Accize  </c:v>
                </c:pt>
                <c:pt idx="5">
                  <c:v>Impozit pe comert exterior si tranzactiile internationale              </c:v>
                </c:pt>
                <c:pt idx="6">
                  <c:v>Alte venituri fiscale </c:v>
                </c:pt>
                <c:pt idx="7">
                  <c:v>Contributii asigurari sociale</c:v>
                </c:pt>
                <c:pt idx="8">
                  <c:v> Venituri nefiscale                      </c:v>
                </c:pt>
                <c:pt idx="9">
                  <c:v> Venituri din capital    </c:v>
                </c:pt>
                <c:pt idx="10">
                  <c:v>Sume primite de la UE</c:v>
                </c:pt>
              </c:strCache>
            </c:strRef>
          </c:cat>
          <c:val>
            <c:numRef>
              <c:f>'raport stefania'!$D$84:$D$94</c:f>
              <c:numCache>
                <c:formatCode>0.0</c:formatCode>
                <c:ptCount val="11"/>
                <c:pt idx="0">
                  <c:v>4.7707390126977325</c:v>
                </c:pt>
                <c:pt idx="1">
                  <c:v>7.1922933439776475</c:v>
                </c:pt>
                <c:pt idx="2">
                  <c:v>1.6730559045035658</c:v>
                </c:pt>
                <c:pt idx="3">
                  <c:v>19.100325402536065</c:v>
                </c:pt>
                <c:pt idx="4">
                  <c:v>9.0695886215843622</c:v>
                </c:pt>
                <c:pt idx="5">
                  <c:v>0.31017646948416699</c:v>
                </c:pt>
                <c:pt idx="6">
                  <c:v>4.1693289766045183</c:v>
                </c:pt>
                <c:pt idx="7">
                  <c:v>33.111333458715016</c:v>
                </c:pt>
                <c:pt idx="8">
                  <c:v>7.3908323623168179</c:v>
                </c:pt>
                <c:pt idx="9">
                  <c:v>0.22496163290738591</c:v>
                </c:pt>
                <c:pt idx="10">
                  <c:v>12.987364814672715</c:v>
                </c:pt>
              </c:numCache>
            </c:numRef>
          </c:val>
          <c:extLst>
            <c:ext xmlns:c16="http://schemas.microsoft.com/office/drawing/2014/chart" uri="{C3380CC4-5D6E-409C-BE32-E72D297353CC}">
              <c16:uniqueId val="{00000016-B1B3-4933-9D45-A9713EAED55E}"/>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Structura cheltuielilor bugetare in anul 2020</a:t>
            </a: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 in total cheltuieli </a:t>
            </a:r>
          </a:p>
        </c:rich>
      </c:tx>
      <c:layout/>
      <c:overlay val="0"/>
      <c:spPr>
        <a:noFill/>
        <a:ln w="25400">
          <a:noFill/>
        </a:ln>
      </c:sp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97F-4D14-ADEF-CC80DB2A87F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97F-4D14-ADEF-CC80DB2A87F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97F-4D14-ADEF-CC80DB2A87F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97F-4D14-ADEF-CC80DB2A87FC}"/>
              </c:ext>
            </c:extLst>
          </c:dPt>
          <c:dPt>
            <c:idx val="4"/>
            <c:bubble3D val="0"/>
            <c:spPr>
              <a:solidFill>
                <a:srgbClr val="7030A0"/>
              </a:solidFill>
              <a:ln w="19050">
                <a:solidFill>
                  <a:srgbClr val="7030A0"/>
                </a:solidFill>
              </a:ln>
              <a:effectLst/>
            </c:spPr>
            <c:extLst>
              <c:ext xmlns:c16="http://schemas.microsoft.com/office/drawing/2014/chart" uri="{C3380CC4-5D6E-409C-BE32-E72D297353CC}">
                <c16:uniqueId val="{00000009-797F-4D14-ADEF-CC80DB2A87F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97F-4D14-ADEF-CC80DB2A87F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97F-4D14-ADEF-CC80DB2A87FC}"/>
              </c:ext>
            </c:extLst>
          </c:dPt>
          <c:dLbls>
            <c:dLbl>
              <c:idx val="0"/>
              <c:layout>
                <c:manualLayout>
                  <c:x val="0.18611111111111112"/>
                  <c:y val="-0.1102222222222222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97F-4D14-ADEF-CC80DB2A87FC}"/>
                </c:ext>
              </c:extLst>
            </c:dLbl>
            <c:dLbl>
              <c:idx val="1"/>
              <c:layout>
                <c:manualLayout>
                  <c:x val="0.21666666666666667"/>
                  <c:y val="1.0666666666666666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97F-4D14-ADEF-CC80DB2A87FC}"/>
                </c:ext>
              </c:extLst>
            </c:dLbl>
            <c:dLbl>
              <c:idx val="2"/>
              <c:layout>
                <c:manualLayout>
                  <c:x val="0.23333333333333334"/>
                  <c:y val="8.177777777777764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97F-4D14-ADEF-CC80DB2A87FC}"/>
                </c:ext>
              </c:extLst>
            </c:dLbl>
            <c:dLbl>
              <c:idx val="3"/>
              <c:layout>
                <c:manualLayout>
                  <c:x val="2.7777777777777776E-2"/>
                  <c:y val="0.13155555555555556"/>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97F-4D14-ADEF-CC80DB2A87FC}"/>
                </c:ext>
              </c:extLst>
            </c:dLbl>
            <c:dLbl>
              <c:idx val="4"/>
              <c:layout>
                <c:manualLayout>
                  <c:x val="-0.16666666666666666"/>
                  <c:y val="5.3333333333333205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97F-4D14-ADEF-CC80DB2A87FC}"/>
                </c:ext>
              </c:extLst>
            </c:dLbl>
            <c:dLbl>
              <c:idx val="5"/>
              <c:layout>
                <c:manualLayout>
                  <c:x val="-0.20000000000000004"/>
                  <c:y val="-3.2592216084531179E-17"/>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97F-4D14-ADEF-CC80DB2A87FC}"/>
                </c:ext>
              </c:extLst>
            </c:dLbl>
            <c:dLbl>
              <c:idx val="6"/>
              <c:layout>
                <c:manualLayout>
                  <c:x val="-0.13611111111111113"/>
                  <c:y val="-0.15288888888888888"/>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797F-4D14-ADEF-CC80DB2A87FC}"/>
                </c:ext>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showLeaderLines val="0"/>
            <c:extLst>
              <c:ext xmlns:c15="http://schemas.microsoft.com/office/drawing/2012/chart" uri="{CE6537A1-D6FC-4f65-9D91-7224C49458BB}"/>
            </c:extLst>
          </c:dLbls>
          <c:cat>
            <c:strRef>
              <c:f>'raport stefania'!$A$11:$A$17</c:f>
              <c:strCache>
                <c:ptCount val="7"/>
                <c:pt idx="0">
                  <c:v>Cheltuieli de personal   </c:v>
                </c:pt>
                <c:pt idx="1">
                  <c:v>Bunuri si servicii</c:v>
                </c:pt>
                <c:pt idx="2">
                  <c:v>Dobanzi </c:v>
                </c:pt>
                <c:pt idx="3">
                  <c:v>Subventii                                  </c:v>
                </c:pt>
                <c:pt idx="4">
                  <c:v>Asistenta sociala</c:v>
                </c:pt>
                <c:pt idx="5">
                  <c:v>Alte transferuri </c:v>
                </c:pt>
                <c:pt idx="6">
                  <c:v>Cheltuieli de investitii</c:v>
                </c:pt>
              </c:strCache>
            </c:strRef>
          </c:cat>
          <c:val>
            <c:numRef>
              <c:f>'raport stefania'!$B$11:$B$17</c:f>
              <c:numCache>
                <c:formatCode>0.0</c:formatCode>
                <c:ptCount val="7"/>
                <c:pt idx="0">
                  <c:v>25.911718642486164</c:v>
                </c:pt>
                <c:pt idx="1">
                  <c:v>13.440272067845813</c:v>
                </c:pt>
                <c:pt idx="2">
                  <c:v>3.4187283847282215</c:v>
                </c:pt>
                <c:pt idx="3">
                  <c:v>1.9178919466587712</c:v>
                </c:pt>
                <c:pt idx="4">
                  <c:v>32.644116445631376</c:v>
                </c:pt>
                <c:pt idx="5">
                  <c:v>10.161287806750956</c:v>
                </c:pt>
                <c:pt idx="6" formatCode="#,##0.0">
                  <c:v>12.50598470589869</c:v>
                </c:pt>
              </c:numCache>
            </c:numRef>
          </c:val>
          <c:extLst>
            <c:ext xmlns:c16="http://schemas.microsoft.com/office/drawing/2014/chart" uri="{C3380CC4-5D6E-409C-BE32-E72D297353CC}">
              <c16:uniqueId val="{0000000E-797F-4D14-ADEF-CC80DB2A87FC}"/>
            </c:ext>
          </c:extLst>
        </c:ser>
        <c:dLbls>
          <c:showLegendKey val="0"/>
          <c:showVal val="0"/>
          <c:showCatName val="0"/>
          <c:showSerName val="0"/>
          <c:showPercent val="0"/>
          <c:showBubbleSize val="0"/>
          <c:showLeaderLines val="0"/>
        </c:dLbls>
        <c:firstSliceAng val="0"/>
        <c:holeSize val="50"/>
      </c:doughnut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Structura cheltuielilor bugetare in anul 2021</a:t>
            </a: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 % in total cheltuieli </a:t>
            </a:r>
          </a:p>
        </c:rich>
      </c:tx>
      <c:layout/>
      <c:overlay val="0"/>
      <c:spPr>
        <a:noFill/>
        <a:ln w="25400">
          <a:noFill/>
        </a:ln>
      </c:sp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544-460B-9C4D-2060B28E833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544-460B-9C4D-2060B28E833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544-460B-9C4D-2060B28E833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544-460B-9C4D-2060B28E8337}"/>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1544-460B-9C4D-2060B28E833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544-460B-9C4D-2060B28E833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544-460B-9C4D-2060B28E8337}"/>
              </c:ext>
            </c:extLst>
          </c:dPt>
          <c:dLbls>
            <c:dLbl>
              <c:idx val="0"/>
              <c:layout>
                <c:manualLayout>
                  <c:x val="0.22271714922048999"/>
                  <c:y val="-0.1887179487179487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544-460B-9C4D-2060B28E8337}"/>
                </c:ext>
              </c:extLst>
            </c:dLbl>
            <c:dLbl>
              <c:idx val="1"/>
              <c:layout>
                <c:manualLayout>
                  <c:x val="0.21083890126206373"/>
                  <c:y val="9.8461538461538309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544-460B-9C4D-2060B28E8337}"/>
                </c:ext>
              </c:extLst>
            </c:dLbl>
            <c:dLbl>
              <c:idx val="2"/>
              <c:layout>
                <c:manualLayout>
                  <c:x val="0.19599109131403109"/>
                  <c:y val="0.12307692307692293"/>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544-460B-9C4D-2060B28E8337}"/>
                </c:ext>
              </c:extLst>
            </c:dLbl>
            <c:dLbl>
              <c:idx val="3"/>
              <c:layout>
                <c:manualLayout>
                  <c:x val="5.068595547612223E-2"/>
                  <c:y val="0.11973809124923214"/>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544-460B-9C4D-2060B28E8337}"/>
                </c:ext>
              </c:extLst>
            </c:dLbl>
            <c:dLbl>
              <c:idx val="4"/>
              <c:layout>
                <c:manualLayout>
                  <c:x val="-0.1692650334075724"/>
                  <c:y val="8.6153846153846081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544-460B-9C4D-2060B28E8337}"/>
                </c:ext>
              </c:extLst>
            </c:dLbl>
            <c:dLbl>
              <c:idx val="5"/>
              <c:layout>
                <c:manualLayout>
                  <c:x val="-0.22271714922049002"/>
                  <c:y val="2.461538461538457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1544-460B-9C4D-2060B28E8337}"/>
                </c:ext>
              </c:extLst>
            </c:dLbl>
            <c:dLbl>
              <c:idx val="6"/>
              <c:layout>
                <c:manualLayout>
                  <c:x val="-0.10690423162583519"/>
                  <c:y val="-0.14358974358974361"/>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1544-460B-9C4D-2060B28E8337}"/>
                </c:ext>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showLeaderLines val="0"/>
            <c:extLst>
              <c:ext xmlns:c15="http://schemas.microsoft.com/office/drawing/2012/chart" uri="{CE6537A1-D6FC-4f65-9D91-7224C49458BB}"/>
            </c:extLst>
          </c:dLbls>
          <c:cat>
            <c:strRef>
              <c:f>'raport stefania'!$A$11:$A$17</c:f>
              <c:strCache>
                <c:ptCount val="7"/>
                <c:pt idx="0">
                  <c:v>Cheltuieli de personal   </c:v>
                </c:pt>
                <c:pt idx="1">
                  <c:v>Bunuri si servicii</c:v>
                </c:pt>
                <c:pt idx="2">
                  <c:v>Dobanzi </c:v>
                </c:pt>
                <c:pt idx="3">
                  <c:v>Subventii                                  </c:v>
                </c:pt>
                <c:pt idx="4">
                  <c:v>Asistenta sociala</c:v>
                </c:pt>
                <c:pt idx="5">
                  <c:v>Alte transferuri </c:v>
                </c:pt>
                <c:pt idx="6">
                  <c:v>Cheltuieli de investitii</c:v>
                </c:pt>
              </c:strCache>
            </c:strRef>
          </c:cat>
          <c:val>
            <c:numRef>
              <c:f>'raport stefania'!$D$11:$D$17</c:f>
              <c:numCache>
                <c:formatCode>0.0</c:formatCode>
                <c:ptCount val="7"/>
                <c:pt idx="0">
                  <c:v>24.61442291109336</c:v>
                </c:pt>
                <c:pt idx="1">
                  <c:v>12.448031474064244</c:v>
                </c:pt>
                <c:pt idx="2">
                  <c:v>3.7905680884917881</c:v>
                </c:pt>
                <c:pt idx="3">
                  <c:v>1.5652385271204938</c:v>
                </c:pt>
                <c:pt idx="4">
                  <c:v>32.127924095283944</c:v>
                </c:pt>
                <c:pt idx="5">
                  <c:v>11.646696625119207</c:v>
                </c:pt>
                <c:pt idx="6">
                  <c:v>13.807118278826955</c:v>
                </c:pt>
              </c:numCache>
            </c:numRef>
          </c:val>
          <c:extLst>
            <c:ext xmlns:c16="http://schemas.microsoft.com/office/drawing/2014/chart" uri="{C3380CC4-5D6E-409C-BE32-E72D297353CC}">
              <c16:uniqueId val="{0000000E-1544-460B-9C4D-2060B28E8337}"/>
            </c:ext>
          </c:extLst>
        </c:ser>
        <c:dLbls>
          <c:showLegendKey val="0"/>
          <c:showVal val="0"/>
          <c:showCatName val="0"/>
          <c:showSerName val="0"/>
          <c:showPercent val="0"/>
          <c:showBubbleSize val="0"/>
          <c:showLeaderLines val="0"/>
        </c:dLbls>
        <c:firstSliceAng val="0"/>
        <c:holeSize val="50"/>
      </c:doughnut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1" i="0" u="none" strike="noStrike" kern="1200" baseline="0">
                <a:solidFill>
                  <a:schemeClr val="tx2"/>
                </a:solidFill>
                <a:latin typeface="+mn-lt"/>
                <a:ea typeface="+mn-ea"/>
                <a:cs typeface="+mn-cs"/>
              </a:defRPr>
            </a:pPr>
            <a:r>
              <a:rPr lang="ro-RO" sz="1000"/>
              <a:t>Distribuția procentuală a valorii actualizate a proiectelor de investiții </a:t>
            </a:r>
            <a:r>
              <a:rPr lang="en-US" sz="1000"/>
              <a:t>pe ordonatorii principali de credite</a:t>
            </a:r>
            <a:endParaRPr lang="ro-RO" sz="1000"/>
          </a:p>
          <a:p>
            <a:pPr algn="ctr">
              <a:defRPr sz="1400"/>
            </a:pPr>
            <a:endParaRPr lang="ro-RO" sz="1000"/>
          </a:p>
        </c:rich>
      </c:tx>
      <c:layout>
        <c:manualLayout>
          <c:xMode val="edge"/>
          <c:yMode val="edge"/>
          <c:x val="9.8606373983205889E-2"/>
          <c:y val="1.3468013468013467E-2"/>
        </c:manualLayout>
      </c:layout>
      <c:overlay val="0"/>
      <c:spPr>
        <a:noFill/>
        <a:ln>
          <a:noFill/>
        </a:ln>
        <a:effectLst/>
      </c:spPr>
      <c:txPr>
        <a:bodyPr rot="0" spcFirstLastPara="1" vertOverflow="ellipsis" vert="horz" wrap="square" anchor="ctr" anchorCtr="1"/>
        <a:lstStyle/>
        <a:p>
          <a:pPr algn="ctr">
            <a:defRPr sz="14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810354284116742E-2"/>
          <c:y val="0.25978058803255655"/>
          <c:w val="0.85564175882884519"/>
          <c:h val="0.61319674434635063"/>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5802-4663-B32A-FBBDD92CA13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5802-4663-B32A-FBBDD92CA13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5802-4663-B32A-FBBDD92CA13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5802-4663-B32A-FBBDD92CA13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5802-4663-B32A-FBBDD92CA131}"/>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5802-4663-B32A-FBBDD92CA131}"/>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5802-4663-B32A-FBBDD92CA131}"/>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5802-4663-B32A-FBBDD92CA131}"/>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1-5802-4663-B32A-FBBDD92CA131}"/>
              </c:ext>
            </c:extLst>
          </c:dPt>
          <c:dLbls>
            <c:dLbl>
              <c:idx val="0"/>
              <c:layout>
                <c:manualLayout>
                  <c:x val="-1.7778159146489312E-2"/>
                  <c:y val="-0.380785055806175"/>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802-4663-B32A-FBBDD92CA131}"/>
                </c:ext>
              </c:extLst>
            </c:dLbl>
            <c:dLbl>
              <c:idx val="1"/>
              <c:layout>
                <c:manualLayout>
                  <c:x val="-4.9122357889090119E-2"/>
                  <c:y val="-9.5918353077428173E-3"/>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802-4663-B32A-FBBDD92CA131}"/>
                </c:ext>
              </c:extLst>
            </c:dLbl>
            <c:dLbl>
              <c:idx val="2"/>
              <c:layout>
                <c:manualLayout>
                  <c:x val="-5.0189843008370254E-2"/>
                  <c:y val="-6.6054416450071707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802-4663-B32A-FBBDD92CA131}"/>
                </c:ext>
              </c:extLst>
            </c:dLbl>
            <c:dLbl>
              <c:idx val="3"/>
              <c:layout>
                <c:manualLayout>
                  <c:x val="1.6345706064548611E-2"/>
                  <c:y val="-8.6341561293141272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802-4663-B32A-FBBDD92CA131}"/>
                </c:ext>
              </c:extLst>
            </c:dLbl>
            <c:dLbl>
              <c:idx val="4"/>
              <c:layout>
                <c:manualLayout>
                  <c:x val="2.0574305289378821E-2"/>
                  <c:y val="-3.3490485183294741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802-4663-B32A-FBBDD92CA131}"/>
                </c:ext>
              </c:extLst>
            </c:dLbl>
            <c:dLbl>
              <c:idx val="5"/>
              <c:layout>
                <c:manualLayout>
                  <c:x val="1.5217132496866731E-2"/>
                  <c:y val="-8.7300956704527616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5802-4663-B32A-FBBDD92CA131}"/>
                </c:ext>
              </c:extLst>
            </c:dLbl>
            <c:dLbl>
              <c:idx val="6"/>
              <c:layout>
                <c:manualLayout>
                  <c:x val="7.1295191600366625E-2"/>
                  <c:y val="-7.6479154443803876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5802-4663-B32A-FBBDD92CA131}"/>
                </c:ext>
              </c:extLst>
            </c:dLbl>
            <c:dLbl>
              <c:idx val="7"/>
              <c:layout>
                <c:manualLayout>
                  <c:x val="0.12544044060966827"/>
                  <c:y val="-5.4870298342733416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5802-4663-B32A-FBBDD92CA131}"/>
                </c:ext>
              </c:extLst>
            </c:dLbl>
            <c:dLbl>
              <c:idx val="8"/>
              <c:layout>
                <c:manualLayout>
                  <c:x val="0.17571779637202808"/>
                  <c:y val="-2.1490202958319483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5802-4663-B32A-FBBDD92CA131}"/>
                </c:ext>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Foaie1!$H$3:$H$11</c:f>
              <c:strCache>
                <c:ptCount val="9"/>
                <c:pt idx="0">
                  <c:v>MTIC</c:v>
                </c:pt>
                <c:pt idx="1">
                  <c:v>MS</c:v>
                </c:pt>
                <c:pt idx="2">
                  <c:v>MJ</c:v>
                </c:pt>
                <c:pt idx="3">
                  <c:v>MLPDA</c:v>
                </c:pt>
                <c:pt idx="4">
                  <c:v>MMAP</c:v>
                </c:pt>
                <c:pt idx="5">
                  <c:v>MEEMA</c:v>
                </c:pt>
                <c:pt idx="6">
                  <c:v>MEC</c:v>
                </c:pt>
                <c:pt idx="7">
                  <c:v>SPP</c:v>
                </c:pt>
                <c:pt idx="8">
                  <c:v>MApN</c:v>
                </c:pt>
              </c:strCache>
            </c:strRef>
          </c:cat>
          <c:val>
            <c:numRef>
              <c:f>Foaie1!$I$3:$I$11</c:f>
              <c:numCache>
                <c:formatCode>0.00%</c:formatCode>
                <c:ptCount val="9"/>
                <c:pt idx="0">
                  <c:v>0.91131536790952972</c:v>
                </c:pt>
                <c:pt idx="1">
                  <c:v>4.0296680712342742E-2</c:v>
                </c:pt>
                <c:pt idx="2">
                  <c:v>1.0212398288772561E-3</c:v>
                </c:pt>
                <c:pt idx="3">
                  <c:v>6.4161693450112984E-3</c:v>
                </c:pt>
                <c:pt idx="4">
                  <c:v>3.0537896550521144E-2</c:v>
                </c:pt>
                <c:pt idx="5">
                  <c:v>6.5669594440306649E-4</c:v>
                </c:pt>
                <c:pt idx="6">
                  <c:v>8.0443611703829299E-3</c:v>
                </c:pt>
                <c:pt idx="7">
                  <c:v>1.0978070377841182E-3</c:v>
                </c:pt>
                <c:pt idx="8">
                  <c:v>6.1378150114776194E-4</c:v>
                </c:pt>
              </c:numCache>
            </c:numRef>
          </c:val>
          <c:extLst>
            <c:ext xmlns:c16="http://schemas.microsoft.com/office/drawing/2014/chart" uri="{C3380CC4-5D6E-409C-BE32-E72D297353CC}">
              <c16:uniqueId val="{00000012-5802-4663-B32A-FBBDD92CA131}"/>
            </c:ext>
          </c:extLst>
        </c:ser>
        <c:dLbls>
          <c:dLblPos val="ctr"/>
          <c:showLegendKey val="0"/>
          <c:showVal val="0"/>
          <c:showCatName val="0"/>
          <c:showSerName val="0"/>
          <c:showPercent val="1"/>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1" i="0" u="none" strike="noStrike" kern="1200" baseline="0">
                <a:solidFill>
                  <a:schemeClr val="tx2"/>
                </a:solidFill>
                <a:latin typeface="+mn-lt"/>
                <a:ea typeface="+mn-ea"/>
                <a:cs typeface="+mn-cs"/>
              </a:defRPr>
            </a:pPr>
            <a:r>
              <a:rPr lang="ro-RO" sz="1000"/>
              <a:t>Distribuția procentuală a restului de finanțat până la finalizarea proiectelor</a:t>
            </a:r>
            <a:r>
              <a:rPr lang="en-US" sz="1000"/>
              <a:t> pe ordonatori principali de credite</a:t>
            </a:r>
            <a:endParaRPr lang="ro-RO" sz="1000"/>
          </a:p>
        </c:rich>
      </c:tx>
      <c:layout>
        <c:manualLayout>
          <c:xMode val="edge"/>
          <c:yMode val="edge"/>
          <c:x val="0.1322197666468162"/>
          <c:y val="1.3467945996655665E-2"/>
        </c:manualLayout>
      </c:layout>
      <c:overlay val="0"/>
      <c:spPr>
        <a:noFill/>
        <a:ln>
          <a:noFill/>
        </a:ln>
        <a:effectLst/>
      </c:spPr>
      <c:txPr>
        <a:bodyPr rot="0" spcFirstLastPara="1" vertOverflow="ellipsis" vert="horz" wrap="square" anchor="ctr" anchorCtr="1"/>
        <a:lstStyle/>
        <a:p>
          <a:pPr algn="ctr">
            <a:defRPr sz="14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084867332759876"/>
          <c:y val="0.29574177927528111"/>
          <c:w val="0.82875105317717634"/>
          <c:h val="0.59383291269598726"/>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BFEE-4F2B-8B6E-A220C2C0F33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BFEE-4F2B-8B6E-A220C2C0F33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BFEE-4F2B-8B6E-A220C2C0F33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BFEE-4F2B-8B6E-A220C2C0F33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BFEE-4F2B-8B6E-A220C2C0F330}"/>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BFEE-4F2B-8B6E-A220C2C0F330}"/>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BFEE-4F2B-8B6E-A220C2C0F330}"/>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BFEE-4F2B-8B6E-A220C2C0F330}"/>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1-BFEE-4F2B-8B6E-A220C2C0F330}"/>
              </c:ext>
            </c:extLst>
          </c:dPt>
          <c:dLbls>
            <c:dLbl>
              <c:idx val="0"/>
              <c:layout>
                <c:manualLayout>
                  <c:x val="-1.7778159146489312E-2"/>
                  <c:y val="-0.380785055806175"/>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FEE-4F2B-8B6E-A220C2C0F330}"/>
                </c:ext>
              </c:extLst>
            </c:dLbl>
            <c:dLbl>
              <c:idx val="1"/>
              <c:layout>
                <c:manualLayout>
                  <c:x val="-4.9122357889090119E-2"/>
                  <c:y val="-9.5918353077428173E-3"/>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FEE-4F2B-8B6E-A220C2C0F330}"/>
                </c:ext>
              </c:extLst>
            </c:dLbl>
            <c:dLbl>
              <c:idx val="2"/>
              <c:layout>
                <c:manualLayout>
                  <c:x val="-5.0189843008370254E-2"/>
                  <c:y val="-6.6054416450071707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FEE-4F2B-8B6E-A220C2C0F330}"/>
                </c:ext>
              </c:extLst>
            </c:dLbl>
            <c:dLbl>
              <c:idx val="3"/>
              <c:layout>
                <c:manualLayout>
                  <c:x val="1.6345706064548611E-2"/>
                  <c:y val="-8.6341561293141272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FEE-4F2B-8B6E-A220C2C0F330}"/>
                </c:ext>
              </c:extLst>
            </c:dLbl>
            <c:dLbl>
              <c:idx val="4"/>
              <c:layout>
                <c:manualLayout>
                  <c:x val="2.0574305289378821E-2"/>
                  <c:y val="-3.3490485183294741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FEE-4F2B-8B6E-A220C2C0F330}"/>
                </c:ext>
              </c:extLst>
            </c:dLbl>
            <c:dLbl>
              <c:idx val="5"/>
              <c:layout>
                <c:manualLayout>
                  <c:x val="1.5217132496866731E-2"/>
                  <c:y val="-8.7300956704527616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BFEE-4F2B-8B6E-A220C2C0F330}"/>
                </c:ext>
              </c:extLst>
            </c:dLbl>
            <c:dLbl>
              <c:idx val="6"/>
              <c:layout>
                <c:manualLayout>
                  <c:x val="7.1295191600366625E-2"/>
                  <c:y val="-7.6479154443803876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BFEE-4F2B-8B6E-A220C2C0F330}"/>
                </c:ext>
              </c:extLst>
            </c:dLbl>
            <c:dLbl>
              <c:idx val="7"/>
              <c:layout>
                <c:manualLayout>
                  <c:x val="0.12544044060966827"/>
                  <c:y val="-5.4870298342733416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BFEE-4F2B-8B6E-A220C2C0F330}"/>
                </c:ext>
              </c:extLst>
            </c:dLbl>
            <c:dLbl>
              <c:idx val="8"/>
              <c:layout>
                <c:manualLayout>
                  <c:x val="0.17571779637202808"/>
                  <c:y val="-2.1490202958319483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BFEE-4F2B-8B6E-A220C2C0F330}"/>
                </c:ext>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Foaie1!$H$3:$H$11</c:f>
              <c:strCache>
                <c:ptCount val="9"/>
                <c:pt idx="0">
                  <c:v>MTIC</c:v>
                </c:pt>
                <c:pt idx="1">
                  <c:v>MS</c:v>
                </c:pt>
                <c:pt idx="2">
                  <c:v>MJ</c:v>
                </c:pt>
                <c:pt idx="3">
                  <c:v>MLPDA</c:v>
                </c:pt>
                <c:pt idx="4">
                  <c:v>MMAP</c:v>
                </c:pt>
                <c:pt idx="5">
                  <c:v>MEEMA</c:v>
                </c:pt>
                <c:pt idx="6">
                  <c:v>MEC</c:v>
                </c:pt>
                <c:pt idx="7">
                  <c:v>SPP</c:v>
                </c:pt>
                <c:pt idx="8">
                  <c:v>MApN</c:v>
                </c:pt>
              </c:strCache>
            </c:strRef>
          </c:cat>
          <c:val>
            <c:numRef>
              <c:f>Foaie1!$J$3:$J$11</c:f>
              <c:numCache>
                <c:formatCode>0.00%</c:formatCode>
                <c:ptCount val="9"/>
                <c:pt idx="0">
                  <c:v>0.89133004320752662</c:v>
                </c:pt>
                <c:pt idx="1">
                  <c:v>5.9294208627383452E-2</c:v>
                </c:pt>
                <c:pt idx="2">
                  <c:v>1.03828319255793E-3</c:v>
                </c:pt>
                <c:pt idx="3">
                  <c:v>6.5810301850031316E-3</c:v>
                </c:pt>
                <c:pt idx="4">
                  <c:v>3.6757732335084614E-2</c:v>
                </c:pt>
                <c:pt idx="5">
                  <c:v>6.4330221232590295E-4</c:v>
                </c:pt>
                <c:pt idx="6">
                  <c:v>2.158541128491774E-3</c:v>
                </c:pt>
                <c:pt idx="7">
                  <c:v>1.6112143301167043E-3</c:v>
                </c:pt>
                <c:pt idx="8">
                  <c:v>5.8564478150983186E-4</c:v>
                </c:pt>
              </c:numCache>
            </c:numRef>
          </c:val>
          <c:extLst>
            <c:ext xmlns:c16="http://schemas.microsoft.com/office/drawing/2014/chart" uri="{C3380CC4-5D6E-409C-BE32-E72D297353CC}">
              <c16:uniqueId val="{00000012-BFEE-4F2B-8B6E-A220C2C0F330}"/>
            </c:ext>
          </c:extLst>
        </c:ser>
        <c:dLbls>
          <c:dLblPos val="ctr"/>
          <c:showLegendKey val="0"/>
          <c:showVal val="0"/>
          <c:showCatName val="0"/>
          <c:showSerName val="0"/>
          <c:showPercent val="1"/>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1" i="0" u="none" strike="noStrike" kern="1200" baseline="0">
                <a:solidFill>
                  <a:schemeClr val="tx2"/>
                </a:solidFill>
                <a:latin typeface="+mn-lt"/>
                <a:ea typeface="+mn-ea"/>
                <a:cs typeface="+mn-cs"/>
              </a:defRPr>
            </a:pPr>
            <a:r>
              <a:rPr lang="ro-RO" sz="1000"/>
              <a:t>Distribuția proiectelor</a:t>
            </a:r>
            <a:r>
              <a:rPr lang="en-US" sz="1000"/>
              <a:t> de investi</a:t>
            </a:r>
            <a:r>
              <a:rPr lang="ro-RO" sz="1000"/>
              <a:t>ții</a:t>
            </a:r>
            <a:r>
              <a:rPr lang="ro-RO" sz="1000" baseline="0"/>
              <a:t> publice cu un stadiu fizic de 100%</a:t>
            </a:r>
            <a:r>
              <a:rPr lang="en-US" sz="1000"/>
              <a:t> pe ordonator</a:t>
            </a:r>
            <a:r>
              <a:rPr lang="ro-RO" sz="1000"/>
              <a:t>i</a:t>
            </a:r>
            <a:r>
              <a:rPr lang="en-US" sz="1000"/>
              <a:t>i principali de credite</a:t>
            </a:r>
            <a:endParaRPr lang="ro-RO" sz="1000"/>
          </a:p>
        </c:rich>
      </c:tx>
      <c:layout>
        <c:manualLayout>
          <c:xMode val="edge"/>
          <c:yMode val="edge"/>
          <c:x val="0.14118335208098987"/>
          <c:y val="7.0047214499396951E-2"/>
        </c:manualLayout>
      </c:layout>
      <c:overlay val="0"/>
      <c:spPr>
        <a:noFill/>
        <a:ln>
          <a:noFill/>
        </a:ln>
        <a:effectLst/>
      </c:spPr>
      <c:txPr>
        <a:bodyPr rot="0" spcFirstLastPara="1" vertOverflow="ellipsis" vert="horz" wrap="square" anchor="ctr" anchorCtr="1"/>
        <a:lstStyle/>
        <a:p>
          <a:pPr algn="ctr">
            <a:defRPr sz="14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89757634810706E-2"/>
          <c:y val="0.31334033245844267"/>
          <c:w val="0.8245951948314153"/>
          <c:h val="0.59047394075740534"/>
        </c:manualLayout>
      </c:layout>
      <c:pie3DChart>
        <c:varyColors val="1"/>
        <c:ser>
          <c:idx val="0"/>
          <c:order val="0"/>
          <c:explosion val="6"/>
          <c:dPt>
            <c:idx val="0"/>
            <c:bubble3D val="0"/>
            <c:explosion val="1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6D8D-4E90-90F4-1EA83FE0481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6D8D-4E90-90F4-1EA83FE0481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6D8D-4E90-90F4-1EA83FE0481F}"/>
              </c:ext>
            </c:extLst>
          </c:dPt>
          <c:dLbls>
            <c:dLbl>
              <c:idx val="0"/>
              <c:layout>
                <c:manualLayout>
                  <c:x val="-0.16567723152253028"/>
                  <c:y val="-0.29226501394343646"/>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D8D-4E90-90F4-1EA83FE0481F}"/>
                </c:ext>
              </c:extLst>
            </c:dLbl>
            <c:dLbl>
              <c:idx val="1"/>
              <c:layout>
                <c:manualLayout>
                  <c:x val="2.0574305289378821E-2"/>
                  <c:y val="-3.3490485183294741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D8D-4E90-90F4-1EA83FE0481F}"/>
                </c:ext>
              </c:extLst>
            </c:dLbl>
            <c:dLbl>
              <c:idx val="2"/>
              <c:delete val="1"/>
              <c:extLst>
                <c:ext xmlns:c15="http://schemas.microsoft.com/office/drawing/2012/chart" uri="{CE6537A1-D6FC-4f65-9D91-7224C49458BB}"/>
                <c:ext xmlns:c16="http://schemas.microsoft.com/office/drawing/2014/chart" uri="{C3380CC4-5D6E-409C-BE32-E72D297353CC}">
                  <c16:uniqueId val="{00000005-6D8D-4E90-90F4-1EA83FE0481F}"/>
                </c:ext>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grafice!$H$3:$H$11</c:f>
              <c:strCache>
                <c:ptCount val="3"/>
                <c:pt idx="0">
                  <c:v>MTIC</c:v>
                </c:pt>
                <c:pt idx="1">
                  <c:v>MMAP</c:v>
                </c:pt>
                <c:pt idx="2">
                  <c:v>MApN</c:v>
                </c:pt>
              </c:strCache>
              <c:extLst/>
            </c:strRef>
          </c:cat>
          <c:val>
            <c:numRef>
              <c:f>grafice!$L$3:$L$11</c:f>
              <c:numCache>
                <c:formatCode>0</c:formatCode>
                <c:ptCount val="3"/>
                <c:pt idx="0">
                  <c:v>46</c:v>
                </c:pt>
                <c:pt idx="1">
                  <c:v>1</c:v>
                </c:pt>
                <c:pt idx="2">
                  <c:v>0</c:v>
                </c:pt>
              </c:numCache>
              <c:extLst/>
            </c:numRef>
          </c:val>
          <c:extLst>
            <c:ext xmlns:c16="http://schemas.microsoft.com/office/drawing/2014/chart" uri="{C3380CC4-5D6E-409C-BE32-E72D297353CC}">
              <c16:uniqueId val="{00000006-6D8D-4E90-90F4-1EA83FE0481F}"/>
            </c:ext>
          </c:extLst>
        </c:ser>
        <c:dLbls>
          <c:dLblPos val="ctr"/>
          <c:showLegendKey val="0"/>
          <c:showVal val="0"/>
          <c:showCatName val="0"/>
          <c:showSerName val="0"/>
          <c:showPercent val="1"/>
          <c:showBubbleSize val="0"/>
          <c:showLeaderLines val="1"/>
        </c:dLbls>
      </c:pie3DChart>
      <c:spPr>
        <a:noFill/>
        <a:ln>
          <a:noFill/>
        </a:ln>
        <a:effectLst/>
      </c:spPr>
    </c:plotArea>
    <c:legend>
      <c:legendPos val="b"/>
      <c:legendEntry>
        <c:idx val="2"/>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0C080-9083-4148-AA42-97BA4E6D7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679</TotalTime>
  <Pages>188</Pages>
  <Words>67566</Words>
  <Characters>385132</Characters>
  <Application>Microsoft Office Word</Application>
  <DocSecurity>0</DocSecurity>
  <Lines>3209</Lines>
  <Paragraphs>903</Paragraphs>
  <ScaleCrop>false</ScaleCrop>
  <HeadingPairs>
    <vt:vector size="2" baseType="variant">
      <vt:variant>
        <vt:lpstr>Title</vt:lpstr>
      </vt:variant>
      <vt:variant>
        <vt:i4>1</vt:i4>
      </vt:variant>
    </vt:vector>
  </HeadingPairs>
  <TitlesOfParts>
    <vt:vector size="1" baseType="lpstr">
      <vt:lpstr/>
    </vt:vector>
  </TitlesOfParts>
  <Company>Ministerul Finantelor Publice</Company>
  <LinksUpToDate>false</LinksUpToDate>
  <CharactersWithSpaces>451795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CLAUDIA-MARIANA IACOB</dc:creator>
  <cp:keywords/>
  <dc:description/>
  <cp:lastModifiedBy>CLAUDIA-MARIANA IACOB</cp:lastModifiedBy>
  <cp:revision>162</cp:revision>
  <cp:lastPrinted>2021-02-11T16:41:00Z</cp:lastPrinted>
  <dcterms:created xsi:type="dcterms:W3CDTF">2021-02-08T21:32:00Z</dcterms:created>
  <dcterms:modified xsi:type="dcterms:W3CDTF">2021-02-11T18:50:00Z</dcterms:modified>
</cp:coreProperties>
</file>