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E00C79" w14:textId="3CC5CB63" w:rsidR="0008066C" w:rsidRDefault="0008066C" w:rsidP="0029331C">
      <w:pPr>
        <w:rPr>
          <w:b/>
          <w:caps/>
        </w:rPr>
      </w:pPr>
    </w:p>
    <w:p w14:paraId="6054688A" w14:textId="3B8E32BE" w:rsidR="0029331C" w:rsidRDefault="0029331C">
      <w:pPr>
        <w:jc w:val="center"/>
        <w:rPr>
          <w:b/>
          <w:caps/>
        </w:rPr>
      </w:pPr>
    </w:p>
    <w:p w14:paraId="5A4B3A7F" w14:textId="6F6DF146" w:rsidR="006144C1" w:rsidRDefault="00B34CF3">
      <w:pPr>
        <w:jc w:val="center"/>
        <w:rPr>
          <w:b/>
          <w:caps/>
        </w:rPr>
      </w:pPr>
      <w:r w:rsidRPr="00887D37">
        <w:rPr>
          <w:b/>
          <w:caps/>
        </w:rPr>
        <w:t>EXPUNERE DE MOTIVE</w:t>
      </w:r>
    </w:p>
    <w:p w14:paraId="1310115A" w14:textId="7E2DAE0B" w:rsidR="00726A5E" w:rsidRPr="00887D37" w:rsidRDefault="00726A5E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481"/>
        <w:gridCol w:w="1440"/>
        <w:gridCol w:w="914"/>
        <w:gridCol w:w="1174"/>
        <w:gridCol w:w="972"/>
        <w:gridCol w:w="1080"/>
        <w:gridCol w:w="862"/>
      </w:tblGrid>
      <w:tr w:rsidR="00726A5E" w:rsidRPr="00887D37" w14:paraId="64CEDEC6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5CCB" w14:textId="417B0B0E" w:rsidR="00726A5E" w:rsidRPr="00887D37" w:rsidRDefault="00B34CF3" w:rsidP="002E54DB">
            <w:pPr>
              <w:jc w:val="center"/>
              <w:rPr>
                <w:b/>
              </w:rPr>
            </w:pPr>
            <w:r w:rsidRPr="00887D37">
              <w:rPr>
                <w:b/>
              </w:rPr>
              <w:t>Sec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iunea 1</w:t>
            </w:r>
          </w:p>
          <w:p w14:paraId="59D2D34D" w14:textId="77777777" w:rsidR="00726A5E" w:rsidRPr="00887D37" w:rsidRDefault="00B34CF3" w:rsidP="002E54DB">
            <w:pPr>
              <w:jc w:val="center"/>
              <w:rPr>
                <w:b/>
              </w:rPr>
            </w:pPr>
            <w:r w:rsidRPr="00887D37">
              <w:rPr>
                <w:b/>
              </w:rPr>
              <w:t xml:space="preserve">Titlul actului normativ </w:t>
            </w:r>
          </w:p>
          <w:p w14:paraId="4D5945ED" w14:textId="77777777" w:rsidR="009956F5" w:rsidRDefault="009956F5" w:rsidP="005706C9">
            <w:pPr>
              <w:jc w:val="center"/>
              <w:rPr>
                <w:b/>
              </w:rPr>
            </w:pPr>
          </w:p>
          <w:p w14:paraId="08011EF9" w14:textId="2CE0F665" w:rsidR="005706C9" w:rsidRPr="005706C9" w:rsidRDefault="005706C9" w:rsidP="005706C9">
            <w:pPr>
              <w:jc w:val="center"/>
              <w:rPr>
                <w:b/>
              </w:rPr>
            </w:pPr>
            <w:r w:rsidRPr="005706C9">
              <w:rPr>
                <w:b/>
              </w:rPr>
              <w:t xml:space="preserve">Lege </w:t>
            </w:r>
          </w:p>
          <w:p w14:paraId="23F55689" w14:textId="77777777" w:rsidR="00726A5E" w:rsidRDefault="005706C9" w:rsidP="004F011E">
            <w:pPr>
              <w:jc w:val="center"/>
              <w:rPr>
                <w:b/>
              </w:rPr>
            </w:pPr>
            <w:r w:rsidRPr="005706C9">
              <w:rPr>
                <w:b/>
              </w:rPr>
              <w:t xml:space="preserve">pentru modificarea </w:t>
            </w:r>
            <w:r w:rsidR="00D311C9">
              <w:rPr>
                <w:b/>
              </w:rPr>
              <w:t>ș</w:t>
            </w:r>
            <w:r w:rsidRPr="005706C9">
              <w:rPr>
                <w:b/>
              </w:rPr>
              <w:t xml:space="preserve">i completarea Legii nr.312/2015 privind redresarea </w:t>
            </w:r>
            <w:r w:rsidR="00D311C9">
              <w:rPr>
                <w:b/>
              </w:rPr>
              <w:t>ș</w:t>
            </w:r>
            <w:r w:rsidRPr="005706C9">
              <w:rPr>
                <w:b/>
              </w:rPr>
              <w:t>i rezolu</w:t>
            </w:r>
            <w:r w:rsidR="00D311C9">
              <w:rPr>
                <w:b/>
              </w:rPr>
              <w:t>ț</w:t>
            </w:r>
            <w:r w:rsidRPr="005706C9">
              <w:rPr>
                <w:b/>
              </w:rPr>
              <w:t>ia institu</w:t>
            </w:r>
            <w:r w:rsidR="00D311C9">
              <w:rPr>
                <w:b/>
              </w:rPr>
              <w:t>ț</w:t>
            </w:r>
            <w:r w:rsidRPr="005706C9">
              <w:rPr>
                <w:b/>
              </w:rPr>
              <w:t xml:space="preserve">iilor de credit </w:t>
            </w:r>
            <w:r w:rsidR="00D311C9">
              <w:rPr>
                <w:b/>
              </w:rPr>
              <w:t>ș</w:t>
            </w:r>
            <w:r w:rsidRPr="005706C9">
              <w:rPr>
                <w:b/>
              </w:rPr>
              <w:t>i a firmelor de investi</w:t>
            </w:r>
            <w:r w:rsidR="00D311C9">
              <w:rPr>
                <w:b/>
              </w:rPr>
              <w:t>ț</w:t>
            </w:r>
            <w:r w:rsidRPr="005706C9">
              <w:rPr>
                <w:b/>
              </w:rPr>
              <w:t xml:space="preserve">ii, precum </w:t>
            </w:r>
            <w:r w:rsidR="00D311C9">
              <w:rPr>
                <w:b/>
              </w:rPr>
              <w:t>ș</w:t>
            </w:r>
            <w:r w:rsidRPr="005706C9">
              <w:rPr>
                <w:b/>
              </w:rPr>
              <w:t xml:space="preserve">i pentru modificarea </w:t>
            </w:r>
            <w:r w:rsidR="00D311C9">
              <w:rPr>
                <w:b/>
              </w:rPr>
              <w:t>ș</w:t>
            </w:r>
            <w:r w:rsidRPr="005706C9">
              <w:rPr>
                <w:b/>
              </w:rPr>
              <w:t xml:space="preserve">i completarea unor acte normative în domeniul financiar, precum </w:t>
            </w:r>
            <w:r w:rsidR="00D311C9">
              <w:rPr>
                <w:b/>
              </w:rPr>
              <w:t>ș</w:t>
            </w:r>
            <w:r w:rsidRPr="005706C9">
              <w:rPr>
                <w:b/>
              </w:rPr>
              <w:t xml:space="preserve">i pentru modificarea </w:t>
            </w:r>
            <w:r w:rsidR="00D311C9">
              <w:rPr>
                <w:b/>
              </w:rPr>
              <w:t>ș</w:t>
            </w:r>
            <w:r w:rsidRPr="005706C9">
              <w:rPr>
                <w:b/>
              </w:rPr>
              <w:t>i completarea unor acte normative în domeniul financiar</w:t>
            </w:r>
          </w:p>
          <w:p w14:paraId="2E0DDC72" w14:textId="5A204B4B" w:rsidR="0029331C" w:rsidRPr="00887D37" w:rsidRDefault="0029331C" w:rsidP="004F011E">
            <w:pPr>
              <w:jc w:val="center"/>
            </w:pPr>
          </w:p>
        </w:tc>
      </w:tr>
      <w:tr w:rsidR="00726A5E" w:rsidRPr="00887D37" w14:paraId="7F94001A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3D09" w14:textId="77777777" w:rsidR="009956F5" w:rsidRDefault="009956F5" w:rsidP="002E54DB">
            <w:pPr>
              <w:jc w:val="center"/>
              <w:rPr>
                <w:b/>
              </w:rPr>
            </w:pPr>
          </w:p>
          <w:p w14:paraId="6F453834" w14:textId="62429057" w:rsidR="00726A5E" w:rsidRPr="00887D37" w:rsidRDefault="00B34CF3" w:rsidP="002E54DB">
            <w:pPr>
              <w:jc w:val="center"/>
              <w:rPr>
                <w:b/>
              </w:rPr>
            </w:pPr>
            <w:r w:rsidRPr="00887D37">
              <w:rPr>
                <w:b/>
              </w:rPr>
              <w:t>Sec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iunea a 2-a</w:t>
            </w:r>
          </w:p>
          <w:p w14:paraId="4D8A20C5" w14:textId="77777777" w:rsidR="00726A5E" w:rsidRPr="00887D37" w:rsidRDefault="00B34CF3" w:rsidP="002E54DB">
            <w:pPr>
              <w:jc w:val="center"/>
              <w:rPr>
                <w:b/>
              </w:rPr>
            </w:pPr>
            <w:r w:rsidRPr="00887D37">
              <w:rPr>
                <w:b/>
              </w:rPr>
              <w:t>Motivul emiterii actului normativ</w:t>
            </w:r>
          </w:p>
          <w:p w14:paraId="47180566" w14:textId="363F8A9C" w:rsidR="00726A5E" w:rsidRPr="00887D37" w:rsidRDefault="00726A5E" w:rsidP="002E54DB">
            <w:pPr>
              <w:jc w:val="center"/>
              <w:rPr>
                <w:b/>
              </w:rPr>
            </w:pPr>
          </w:p>
        </w:tc>
      </w:tr>
      <w:tr w:rsidR="00726A5E" w:rsidRPr="00887D37" w14:paraId="31C070D4" w14:textId="77777777" w:rsidTr="002E54DB">
        <w:trPr>
          <w:trHeight w:val="7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F4C8" w14:textId="15FB167C" w:rsidR="00726A5E" w:rsidRPr="00887D37" w:rsidRDefault="00B34CF3" w:rsidP="002E54DB">
            <w:pPr>
              <w:jc w:val="both"/>
            </w:pPr>
            <w:r w:rsidRPr="00887D37">
              <w:rPr>
                <w:b/>
              </w:rPr>
              <w:t>1. Descrierea situa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iei actuale</w:t>
            </w:r>
          </w:p>
          <w:p w14:paraId="63BF88ED" w14:textId="689E6FC5" w:rsidR="00D718F4" w:rsidRDefault="003C7604" w:rsidP="00934989">
            <w:pPr>
              <w:pStyle w:val="Corptext31"/>
            </w:pPr>
            <w:r w:rsidRPr="00AF268D">
              <w:rPr>
                <w:b/>
                <w:sz w:val="24"/>
              </w:rPr>
              <w:t>a)</w:t>
            </w:r>
            <w:r w:rsidR="00235FD1">
              <w:rPr>
                <w:b/>
                <w:sz w:val="24"/>
              </w:rPr>
              <w:t xml:space="preserve"> </w:t>
            </w:r>
            <w:r w:rsidR="00B34CF3" w:rsidRPr="00887D37">
              <w:rPr>
                <w:sz w:val="24"/>
              </w:rPr>
              <w:t>În prezent</w:t>
            </w:r>
            <w:r w:rsidR="00332B16">
              <w:rPr>
                <w:sz w:val="24"/>
              </w:rPr>
              <w:t xml:space="preserve"> dispozi</w:t>
            </w:r>
            <w:r w:rsidR="00D311C9">
              <w:rPr>
                <w:sz w:val="24"/>
              </w:rPr>
              <w:t>ț</w:t>
            </w:r>
            <w:r w:rsidR="00332B16">
              <w:rPr>
                <w:sz w:val="24"/>
              </w:rPr>
              <w:t xml:space="preserve">iile referitoare </w:t>
            </w:r>
            <w:r w:rsidR="005517D9">
              <w:rPr>
                <w:sz w:val="24"/>
              </w:rPr>
              <w:t xml:space="preserve">la </w:t>
            </w:r>
            <w:r w:rsidR="00332B16">
              <w:rPr>
                <w:sz w:val="24"/>
              </w:rPr>
              <w:t xml:space="preserve">redresarea </w:t>
            </w:r>
            <w:r w:rsidR="00D311C9">
              <w:rPr>
                <w:sz w:val="24"/>
              </w:rPr>
              <w:t>ș</w:t>
            </w:r>
            <w:r w:rsidR="00332B16">
              <w:rPr>
                <w:sz w:val="24"/>
              </w:rPr>
              <w:t>i rezolu</w:t>
            </w:r>
            <w:r w:rsidR="00D311C9">
              <w:rPr>
                <w:sz w:val="24"/>
              </w:rPr>
              <w:t>ț</w:t>
            </w:r>
            <w:r w:rsidR="00332B16">
              <w:rPr>
                <w:sz w:val="24"/>
              </w:rPr>
              <w:t>ia institu</w:t>
            </w:r>
            <w:r w:rsidR="00D311C9">
              <w:rPr>
                <w:sz w:val="24"/>
              </w:rPr>
              <w:t>ț</w:t>
            </w:r>
            <w:r w:rsidR="00332B16">
              <w:rPr>
                <w:sz w:val="24"/>
              </w:rPr>
              <w:t>i</w:t>
            </w:r>
            <w:r w:rsidR="001379D4">
              <w:rPr>
                <w:sz w:val="24"/>
              </w:rPr>
              <w:t>i</w:t>
            </w:r>
            <w:r w:rsidR="00332B16">
              <w:rPr>
                <w:sz w:val="24"/>
              </w:rPr>
              <w:t xml:space="preserve">lor de credit </w:t>
            </w:r>
            <w:r w:rsidR="00A73E4E">
              <w:rPr>
                <w:sz w:val="24"/>
              </w:rPr>
              <w:t>se regăses</w:t>
            </w:r>
            <w:r w:rsidR="001379D4">
              <w:rPr>
                <w:sz w:val="24"/>
              </w:rPr>
              <w:t>c</w:t>
            </w:r>
            <w:r w:rsidR="00A73E4E">
              <w:rPr>
                <w:sz w:val="24"/>
              </w:rPr>
              <w:t xml:space="preserve"> în cadrul</w:t>
            </w:r>
            <w:r w:rsidR="00235FD1">
              <w:rPr>
                <w:sz w:val="24"/>
              </w:rPr>
              <w:t xml:space="preserve"> </w:t>
            </w:r>
            <w:r w:rsidR="00A73E4E" w:rsidRPr="00A73E4E">
              <w:rPr>
                <w:i/>
                <w:sz w:val="24"/>
              </w:rPr>
              <w:t xml:space="preserve">Legii nr.312/2015 privind redresarea </w:t>
            </w:r>
            <w:r w:rsidR="00D311C9">
              <w:rPr>
                <w:i/>
                <w:sz w:val="24"/>
              </w:rPr>
              <w:t>ș</w:t>
            </w:r>
            <w:r w:rsidR="00A73E4E" w:rsidRPr="00A73E4E">
              <w:rPr>
                <w:i/>
                <w:sz w:val="24"/>
              </w:rPr>
              <w:t>i rezolu</w:t>
            </w:r>
            <w:r w:rsidR="00D311C9">
              <w:rPr>
                <w:i/>
                <w:sz w:val="24"/>
              </w:rPr>
              <w:t>ț</w:t>
            </w:r>
            <w:r w:rsidR="00A73E4E" w:rsidRPr="00A73E4E">
              <w:rPr>
                <w:i/>
                <w:sz w:val="24"/>
              </w:rPr>
              <w:t>ia institu</w:t>
            </w:r>
            <w:r w:rsidR="00D311C9">
              <w:rPr>
                <w:i/>
                <w:sz w:val="24"/>
              </w:rPr>
              <w:t>ț</w:t>
            </w:r>
            <w:r w:rsidR="00A73E4E" w:rsidRPr="00A73E4E">
              <w:rPr>
                <w:i/>
                <w:sz w:val="24"/>
              </w:rPr>
              <w:t xml:space="preserve">iilor de credit </w:t>
            </w:r>
            <w:r w:rsidR="00D311C9">
              <w:rPr>
                <w:i/>
                <w:sz w:val="24"/>
              </w:rPr>
              <w:t>ș</w:t>
            </w:r>
            <w:r w:rsidR="00A73E4E" w:rsidRPr="00A73E4E">
              <w:rPr>
                <w:i/>
                <w:sz w:val="24"/>
              </w:rPr>
              <w:t>i a firmelor de investi</w:t>
            </w:r>
            <w:r w:rsidR="00D311C9">
              <w:rPr>
                <w:i/>
                <w:sz w:val="24"/>
              </w:rPr>
              <w:t>ț</w:t>
            </w:r>
            <w:r w:rsidR="00A73E4E" w:rsidRPr="00A73E4E">
              <w:rPr>
                <w:i/>
                <w:sz w:val="24"/>
              </w:rPr>
              <w:t xml:space="preserve">ii, precum </w:t>
            </w:r>
            <w:r w:rsidR="00D311C9">
              <w:rPr>
                <w:i/>
                <w:sz w:val="24"/>
              </w:rPr>
              <w:t>ș</w:t>
            </w:r>
            <w:r w:rsidR="00A73E4E" w:rsidRPr="00A73E4E">
              <w:rPr>
                <w:i/>
                <w:sz w:val="24"/>
              </w:rPr>
              <w:t xml:space="preserve">i pentru modificarea </w:t>
            </w:r>
            <w:r w:rsidR="00D311C9">
              <w:rPr>
                <w:i/>
                <w:sz w:val="24"/>
              </w:rPr>
              <w:t>ș</w:t>
            </w:r>
            <w:r w:rsidR="00A73E4E" w:rsidRPr="00A73E4E">
              <w:rPr>
                <w:i/>
                <w:sz w:val="24"/>
              </w:rPr>
              <w:t>i completarea unor acte normative în domeniul financiar</w:t>
            </w:r>
            <w:r w:rsidR="00235FD1">
              <w:rPr>
                <w:i/>
                <w:sz w:val="24"/>
              </w:rPr>
              <w:t xml:space="preserve"> (Legea nr.312/2015), act normativ prin care</w:t>
            </w:r>
            <w:r w:rsidR="00A73E4E">
              <w:rPr>
                <w:sz w:val="24"/>
              </w:rPr>
              <w:t xml:space="preserve"> a</w:t>
            </w:r>
            <w:r w:rsidR="00235FD1">
              <w:rPr>
                <w:sz w:val="24"/>
              </w:rPr>
              <w:t>u fost</w:t>
            </w:r>
            <w:r w:rsidR="00A73E4E">
              <w:rPr>
                <w:sz w:val="24"/>
              </w:rPr>
              <w:t xml:space="preserve"> trans</w:t>
            </w:r>
            <w:r w:rsidR="004F4799">
              <w:rPr>
                <w:sz w:val="24"/>
              </w:rPr>
              <w:t>p</w:t>
            </w:r>
            <w:r w:rsidR="00A73E4E">
              <w:rPr>
                <w:sz w:val="24"/>
              </w:rPr>
              <w:t>us</w:t>
            </w:r>
            <w:r w:rsidR="00235FD1">
              <w:rPr>
                <w:sz w:val="24"/>
              </w:rPr>
              <w:t>e</w:t>
            </w:r>
            <w:r w:rsidR="00A73E4E">
              <w:rPr>
                <w:sz w:val="24"/>
              </w:rPr>
              <w:t xml:space="preserve"> prevederile </w:t>
            </w:r>
            <w:r w:rsidR="00A73E4E" w:rsidRPr="00A73E4E">
              <w:rPr>
                <w:bCs/>
                <w:i/>
                <w:iCs/>
                <w:sz w:val="24"/>
              </w:rPr>
              <w:t>Directiv</w:t>
            </w:r>
            <w:r w:rsidR="00A73E4E">
              <w:rPr>
                <w:bCs/>
                <w:i/>
                <w:iCs/>
                <w:sz w:val="24"/>
              </w:rPr>
              <w:t>ei</w:t>
            </w:r>
            <w:r w:rsidR="00A73E4E" w:rsidRPr="00A73E4E">
              <w:rPr>
                <w:bCs/>
                <w:i/>
                <w:iCs/>
                <w:sz w:val="24"/>
              </w:rPr>
              <w:t xml:space="preserve"> 2014/59/UE a Parlamentului European </w:t>
            </w:r>
            <w:r w:rsidR="00D311C9">
              <w:rPr>
                <w:bCs/>
                <w:i/>
                <w:iCs/>
                <w:sz w:val="24"/>
              </w:rPr>
              <w:t>ș</w:t>
            </w:r>
            <w:r w:rsidR="00A73E4E" w:rsidRPr="00A73E4E">
              <w:rPr>
                <w:bCs/>
                <w:i/>
                <w:iCs/>
                <w:sz w:val="24"/>
              </w:rPr>
              <w:t xml:space="preserve">i a Consiliului de instituire a unui cadru pentru redresarea </w:t>
            </w:r>
            <w:r w:rsidR="00D311C9">
              <w:rPr>
                <w:bCs/>
                <w:i/>
                <w:iCs/>
                <w:sz w:val="24"/>
              </w:rPr>
              <w:t>ș</w:t>
            </w:r>
            <w:r w:rsidR="00A73E4E" w:rsidRPr="00A73E4E">
              <w:rPr>
                <w:bCs/>
                <w:i/>
                <w:iCs/>
                <w:sz w:val="24"/>
              </w:rPr>
              <w:t>i  rezolu</w:t>
            </w:r>
            <w:r w:rsidR="00D311C9">
              <w:rPr>
                <w:bCs/>
                <w:i/>
                <w:iCs/>
                <w:sz w:val="24"/>
              </w:rPr>
              <w:t>ț</w:t>
            </w:r>
            <w:r w:rsidR="00A73E4E" w:rsidRPr="00A73E4E">
              <w:rPr>
                <w:bCs/>
                <w:i/>
                <w:iCs/>
                <w:sz w:val="24"/>
              </w:rPr>
              <w:t>ia institu</w:t>
            </w:r>
            <w:r w:rsidR="00D311C9">
              <w:rPr>
                <w:bCs/>
                <w:i/>
                <w:iCs/>
                <w:sz w:val="24"/>
              </w:rPr>
              <w:t>ț</w:t>
            </w:r>
            <w:r w:rsidR="00A73E4E" w:rsidRPr="00A73E4E">
              <w:rPr>
                <w:bCs/>
                <w:i/>
                <w:iCs/>
                <w:sz w:val="24"/>
              </w:rPr>
              <w:t xml:space="preserve">iilor de credit </w:t>
            </w:r>
            <w:r w:rsidR="00D311C9">
              <w:rPr>
                <w:bCs/>
                <w:i/>
                <w:iCs/>
                <w:sz w:val="24"/>
              </w:rPr>
              <w:t>ș</w:t>
            </w:r>
            <w:r w:rsidR="00A73E4E" w:rsidRPr="00A73E4E">
              <w:rPr>
                <w:bCs/>
                <w:i/>
                <w:iCs/>
                <w:sz w:val="24"/>
              </w:rPr>
              <w:t>i a firmelor de investi</w:t>
            </w:r>
            <w:r w:rsidR="00D311C9">
              <w:rPr>
                <w:bCs/>
                <w:i/>
                <w:iCs/>
                <w:sz w:val="24"/>
              </w:rPr>
              <w:t>ț</w:t>
            </w:r>
            <w:r w:rsidR="00A73E4E" w:rsidRPr="00A73E4E">
              <w:rPr>
                <w:bCs/>
                <w:i/>
                <w:iCs/>
                <w:sz w:val="24"/>
              </w:rPr>
              <w:t xml:space="preserve">ii </w:t>
            </w:r>
            <w:r w:rsidR="00D311C9">
              <w:rPr>
                <w:bCs/>
                <w:i/>
                <w:iCs/>
                <w:sz w:val="24"/>
              </w:rPr>
              <w:t>ș</w:t>
            </w:r>
            <w:r w:rsidR="00A73E4E" w:rsidRPr="00A73E4E">
              <w:rPr>
                <w:bCs/>
                <w:i/>
                <w:iCs/>
                <w:sz w:val="24"/>
              </w:rPr>
              <w:t xml:space="preserve">i de modificare a Directivei 82/891/CE a Consiliului </w:t>
            </w:r>
            <w:r w:rsidR="00D311C9">
              <w:rPr>
                <w:bCs/>
                <w:i/>
                <w:iCs/>
                <w:sz w:val="24"/>
              </w:rPr>
              <w:t>ș</w:t>
            </w:r>
            <w:r w:rsidR="00A73E4E" w:rsidRPr="00A73E4E">
              <w:rPr>
                <w:bCs/>
                <w:i/>
                <w:iCs/>
                <w:sz w:val="24"/>
              </w:rPr>
              <w:t xml:space="preserve">i a Directivelor 2001/24/CE/, 2002/47/CE, 2004/25/CE, 2005/56/CE, 2007/36/CE,2011/35/UE, 2012/30/UE </w:t>
            </w:r>
            <w:r w:rsidR="00D311C9">
              <w:rPr>
                <w:bCs/>
                <w:i/>
                <w:iCs/>
                <w:sz w:val="24"/>
              </w:rPr>
              <w:t>ș</w:t>
            </w:r>
            <w:r w:rsidR="00A73E4E" w:rsidRPr="00A73E4E">
              <w:rPr>
                <w:bCs/>
                <w:i/>
                <w:iCs/>
                <w:sz w:val="24"/>
              </w:rPr>
              <w:t xml:space="preserve">i 2013/36/UE, precum </w:t>
            </w:r>
            <w:r w:rsidR="00D311C9">
              <w:rPr>
                <w:bCs/>
                <w:i/>
                <w:iCs/>
                <w:sz w:val="24"/>
              </w:rPr>
              <w:t>ș</w:t>
            </w:r>
            <w:r w:rsidR="00A73E4E" w:rsidRPr="00A73E4E">
              <w:rPr>
                <w:bCs/>
                <w:i/>
                <w:iCs/>
                <w:sz w:val="24"/>
              </w:rPr>
              <w:t xml:space="preserve">i a Regulamentelor (UE) nr. 1093/2010 </w:t>
            </w:r>
            <w:r w:rsidR="00D311C9">
              <w:rPr>
                <w:bCs/>
                <w:i/>
                <w:iCs/>
                <w:sz w:val="24"/>
              </w:rPr>
              <w:t>ș</w:t>
            </w:r>
            <w:r w:rsidR="00A73E4E" w:rsidRPr="00A73E4E">
              <w:rPr>
                <w:bCs/>
                <w:i/>
                <w:iCs/>
                <w:sz w:val="24"/>
              </w:rPr>
              <w:t>i (UE) nr. 648/2012, ale Parlamentu</w:t>
            </w:r>
            <w:r w:rsidR="00844491">
              <w:rPr>
                <w:bCs/>
                <w:i/>
                <w:iCs/>
                <w:sz w:val="24"/>
              </w:rPr>
              <w:t xml:space="preserve">lui European </w:t>
            </w:r>
            <w:r w:rsidR="00D311C9">
              <w:rPr>
                <w:bCs/>
                <w:i/>
                <w:iCs/>
                <w:sz w:val="24"/>
              </w:rPr>
              <w:t>ș</w:t>
            </w:r>
            <w:r w:rsidR="00844491">
              <w:rPr>
                <w:bCs/>
                <w:i/>
                <w:iCs/>
                <w:sz w:val="24"/>
              </w:rPr>
              <w:t>i ale Consiliului</w:t>
            </w:r>
            <w:r w:rsidR="00D070D2">
              <w:rPr>
                <w:bCs/>
                <w:i/>
                <w:iCs/>
                <w:sz w:val="24"/>
              </w:rPr>
              <w:t xml:space="preserve"> (</w:t>
            </w:r>
            <w:r w:rsidR="00D070D2" w:rsidRPr="00A73E4E">
              <w:rPr>
                <w:bCs/>
                <w:i/>
                <w:iCs/>
                <w:sz w:val="24"/>
              </w:rPr>
              <w:t xml:space="preserve"> Directiv</w:t>
            </w:r>
            <w:r w:rsidR="00D070D2">
              <w:rPr>
                <w:bCs/>
                <w:i/>
                <w:iCs/>
                <w:sz w:val="24"/>
              </w:rPr>
              <w:t>ei 2014/59/UE)</w:t>
            </w:r>
            <w:r w:rsidR="001C6DDA">
              <w:t>.</w:t>
            </w:r>
          </w:p>
          <w:p w14:paraId="4DD8688F" w14:textId="7A03C203" w:rsidR="00953D83" w:rsidRPr="00392C52" w:rsidRDefault="008941A9" w:rsidP="00953D8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o-RO"/>
              </w:rPr>
            </w:pPr>
            <w:r w:rsidRPr="009B78F0">
              <w:rPr>
                <w:lang w:eastAsia="ro-RO"/>
              </w:rPr>
              <w:t>Legea nr.312/2015 se aplică institu</w:t>
            </w:r>
            <w:r w:rsidR="00D311C9" w:rsidRPr="009B78F0">
              <w:rPr>
                <w:lang w:eastAsia="ro-RO"/>
              </w:rPr>
              <w:t>ț</w:t>
            </w:r>
            <w:r w:rsidRPr="009B78F0">
              <w:rPr>
                <w:lang w:eastAsia="ro-RO"/>
              </w:rPr>
              <w:t xml:space="preserve">iilor de credit </w:t>
            </w:r>
            <w:r w:rsidR="00D311C9" w:rsidRPr="009B78F0">
              <w:rPr>
                <w:lang w:eastAsia="ro-RO"/>
              </w:rPr>
              <w:t>ș</w:t>
            </w:r>
            <w:r w:rsidRPr="009B78F0">
              <w:rPr>
                <w:lang w:eastAsia="ro-RO"/>
              </w:rPr>
              <w:t>i firmelor de investi</w:t>
            </w:r>
            <w:r w:rsidR="00D311C9" w:rsidRPr="009B78F0">
              <w:rPr>
                <w:lang w:eastAsia="ro-RO"/>
              </w:rPr>
              <w:t>ț</w:t>
            </w:r>
            <w:r w:rsidRPr="009B78F0">
              <w:rPr>
                <w:lang w:eastAsia="ro-RO"/>
              </w:rPr>
              <w:t>ii, persoane juridice române, institu</w:t>
            </w:r>
            <w:r w:rsidR="00D311C9" w:rsidRPr="009B78F0">
              <w:rPr>
                <w:lang w:eastAsia="ro-RO"/>
              </w:rPr>
              <w:t>ț</w:t>
            </w:r>
            <w:r w:rsidRPr="009B78F0">
              <w:rPr>
                <w:lang w:eastAsia="ro-RO"/>
              </w:rPr>
              <w:t>iilor financiare, persoane juridice române, care</w:t>
            </w:r>
            <w:r w:rsidRPr="00887D37">
              <w:rPr>
                <w:lang w:eastAsia="ro-RO"/>
              </w:rPr>
              <w:t xml:space="preserve"> sunt acoperite de supravegherea la nivel consolidat a întreprinderii-mamă în conformitate cu prevederile </w:t>
            </w:r>
            <w:r w:rsidRPr="00887D37">
              <w:rPr>
                <w:i/>
                <w:lang w:eastAsia="ro-RO"/>
              </w:rPr>
              <w:t>Ordonan</w:t>
            </w:r>
            <w:r w:rsidR="00D311C9">
              <w:rPr>
                <w:i/>
                <w:lang w:eastAsia="ro-RO"/>
              </w:rPr>
              <w:t>ț</w:t>
            </w:r>
            <w:r w:rsidRPr="00887D37">
              <w:rPr>
                <w:i/>
                <w:lang w:eastAsia="ro-RO"/>
              </w:rPr>
              <w:t>ei de urgen</w:t>
            </w:r>
            <w:r w:rsidR="00D311C9">
              <w:rPr>
                <w:i/>
                <w:lang w:eastAsia="ro-RO"/>
              </w:rPr>
              <w:t>ț</w:t>
            </w:r>
            <w:r w:rsidRPr="00887D37">
              <w:rPr>
                <w:i/>
                <w:lang w:eastAsia="ro-RO"/>
              </w:rPr>
              <w:t>ă a Guvernului nr. 99/2006 privind institu</w:t>
            </w:r>
            <w:r w:rsidR="00D311C9">
              <w:rPr>
                <w:i/>
                <w:lang w:eastAsia="ro-RO"/>
              </w:rPr>
              <w:t>ț</w:t>
            </w:r>
            <w:r w:rsidRPr="00887D37">
              <w:rPr>
                <w:i/>
                <w:lang w:eastAsia="ro-RO"/>
              </w:rPr>
              <w:t xml:space="preserve">iile de credit </w:t>
            </w:r>
            <w:r w:rsidR="00D311C9">
              <w:rPr>
                <w:i/>
                <w:lang w:eastAsia="ro-RO"/>
              </w:rPr>
              <w:t>ș</w:t>
            </w:r>
            <w:r w:rsidRPr="00887D37">
              <w:rPr>
                <w:i/>
                <w:lang w:eastAsia="ro-RO"/>
              </w:rPr>
              <w:t xml:space="preserve">i adecvarea capitalului, </w:t>
            </w:r>
            <w:r w:rsidRPr="00887D37">
              <w:rPr>
                <w:lang w:eastAsia="ro-RO"/>
              </w:rPr>
              <w:t xml:space="preserve">aprobată cu modificări </w:t>
            </w:r>
            <w:r w:rsidR="00D311C9">
              <w:rPr>
                <w:lang w:eastAsia="ro-RO"/>
              </w:rPr>
              <w:t>ș</w:t>
            </w:r>
            <w:r w:rsidRPr="00887D37">
              <w:rPr>
                <w:lang w:eastAsia="ro-RO"/>
              </w:rPr>
              <w:t>i completări prin Legea nr.227/2007,</w:t>
            </w:r>
            <w:r w:rsidR="00235FD1">
              <w:rPr>
                <w:lang w:eastAsia="ro-RO"/>
              </w:rPr>
              <w:t xml:space="preserve"> </w:t>
            </w:r>
            <w:r w:rsidRPr="00887D37">
              <w:rPr>
                <w:lang w:eastAsia="ro-RO"/>
              </w:rPr>
              <w:t xml:space="preserve">cu modificările </w:t>
            </w:r>
            <w:r w:rsidR="00D311C9">
              <w:rPr>
                <w:lang w:eastAsia="ro-RO"/>
              </w:rPr>
              <w:t>ș</w:t>
            </w:r>
            <w:r w:rsidRPr="00887D37">
              <w:rPr>
                <w:lang w:eastAsia="ro-RO"/>
              </w:rPr>
              <w:t>i completările ulterioare (act normativ prin care s-a asigurat transpunere</w:t>
            </w:r>
            <w:r>
              <w:rPr>
                <w:lang w:eastAsia="ro-RO"/>
              </w:rPr>
              <w:t>a</w:t>
            </w:r>
            <w:r w:rsidRPr="00887D37">
              <w:rPr>
                <w:lang w:eastAsia="ro-RO"/>
              </w:rPr>
              <w:t xml:space="preserve"> Directivei 2013/36/UE), societă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>ilor financiare holding, societă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 xml:space="preserve">ilor financiare holding mixte </w:t>
            </w:r>
            <w:r w:rsidR="00D311C9">
              <w:rPr>
                <w:lang w:eastAsia="ro-RO"/>
              </w:rPr>
              <w:t>ș</w:t>
            </w:r>
            <w:r w:rsidRPr="00887D37">
              <w:rPr>
                <w:lang w:eastAsia="ro-RO"/>
              </w:rPr>
              <w:t>i societă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 xml:space="preserve">ilor holding cu activitate mixtă, persoane juridice române </w:t>
            </w:r>
            <w:r w:rsidR="00D311C9">
              <w:rPr>
                <w:lang w:eastAsia="ro-RO"/>
              </w:rPr>
              <w:t>ș</w:t>
            </w:r>
            <w:r w:rsidRPr="00887D37">
              <w:rPr>
                <w:lang w:eastAsia="ro-RO"/>
              </w:rPr>
              <w:t>i societă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>ilor financiare holding-mamă din România, societă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>ilor financiare holding-mamă din Uniunea Europeană, societă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>ilor financiare holding mixte-mamă din România, societă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>ilor financiare holding mixte-mamă din Uniunea Europeană, persoane juridice române, sucursalelor stabilite pe teritoriul României ale institu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 xml:space="preserve">iilor de credit </w:t>
            </w:r>
            <w:r w:rsidR="00D311C9">
              <w:rPr>
                <w:lang w:eastAsia="ro-RO"/>
              </w:rPr>
              <w:t>ș</w:t>
            </w:r>
            <w:r w:rsidRPr="00887D37">
              <w:rPr>
                <w:lang w:eastAsia="ro-RO"/>
              </w:rPr>
              <w:t>i firmelor de investi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>ii din state ter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 xml:space="preserve">e </w:t>
            </w:r>
            <w:r w:rsidR="00D311C9">
              <w:rPr>
                <w:lang w:eastAsia="ro-RO"/>
              </w:rPr>
              <w:t>ș</w:t>
            </w:r>
            <w:r w:rsidRPr="00887D37">
              <w:rPr>
                <w:lang w:eastAsia="ro-RO"/>
              </w:rPr>
              <w:t>i stabile</w:t>
            </w:r>
            <w:r w:rsidR="00D311C9">
              <w:rPr>
                <w:lang w:eastAsia="ro-RO"/>
              </w:rPr>
              <w:t>ș</w:t>
            </w:r>
            <w:r w:rsidRPr="00887D37">
              <w:rPr>
                <w:lang w:eastAsia="ro-RO"/>
              </w:rPr>
              <w:t xml:space="preserve">te mecanismele pentru redresarea </w:t>
            </w:r>
            <w:r w:rsidR="00D311C9">
              <w:rPr>
                <w:lang w:eastAsia="ro-RO"/>
              </w:rPr>
              <w:t>ș</w:t>
            </w:r>
            <w:r w:rsidRPr="00887D37">
              <w:rPr>
                <w:lang w:eastAsia="ro-RO"/>
              </w:rPr>
              <w:t>i rezolu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>ia institu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>iilor de credit</w:t>
            </w:r>
            <w:r>
              <w:rPr>
                <w:lang w:eastAsia="ro-RO"/>
              </w:rPr>
              <w:t xml:space="preserve"> </w:t>
            </w:r>
            <w:r w:rsidR="00D311C9">
              <w:rPr>
                <w:lang w:eastAsia="ro-RO"/>
              </w:rPr>
              <w:t>ș</w:t>
            </w:r>
            <w:r>
              <w:rPr>
                <w:lang w:eastAsia="ro-RO"/>
              </w:rPr>
              <w:t xml:space="preserve">i a firmelor de </w:t>
            </w:r>
            <w:r w:rsidRPr="009B78F0">
              <w:rPr>
                <w:lang w:eastAsia="ro-RO"/>
              </w:rPr>
              <w:t>investi</w:t>
            </w:r>
            <w:r w:rsidR="00D311C9" w:rsidRPr="009B78F0">
              <w:rPr>
                <w:lang w:eastAsia="ro-RO"/>
              </w:rPr>
              <w:t>ț</w:t>
            </w:r>
            <w:r w:rsidRPr="009B78F0">
              <w:rPr>
                <w:lang w:eastAsia="ro-RO"/>
              </w:rPr>
              <w:t>ii.</w:t>
            </w:r>
            <w:r w:rsidR="00953D83" w:rsidRPr="009B78F0">
              <w:rPr>
                <w:lang w:eastAsia="ro-RO"/>
              </w:rPr>
              <w:t xml:space="preserve"> În ceea ce privește aplicabilitatea prevederilor Legii nr. 312/2015 în cazul firmelor de investiții, în conformitate cu prevederile Directivei </w:t>
            </w:r>
            <w:r w:rsidR="00953D83" w:rsidRPr="009B78F0">
              <w:t xml:space="preserve">2014/59/UE, cadrul legal european privind redresarea și rezoluția este aplicabil unei anumite categorii de firme de investiții. </w:t>
            </w:r>
            <w:r w:rsidR="00953D83" w:rsidRPr="009B78F0">
              <w:rPr>
                <w:lang w:eastAsia="ro-RO"/>
              </w:rPr>
              <w:t>Astfel, conform art. 1 alin. (1) lit. a), coroborat cu art. 2 alin. (1) pct. 3 al Legii nr. 312/2015, fac obiectul prevederilor legii doar firmele de investiții având un nivel al capitalului inițial egal cu echivalentul în lei a 730 000 euro.</w:t>
            </w:r>
            <w:r w:rsidR="00953D83" w:rsidRPr="00392C52">
              <w:rPr>
                <w:bCs/>
                <w:lang w:eastAsia="ro-RO"/>
              </w:rPr>
              <w:t xml:space="preserve"> </w:t>
            </w:r>
          </w:p>
          <w:p w14:paraId="5D11FA90" w14:textId="77777777" w:rsidR="008941A9" w:rsidRDefault="008941A9" w:rsidP="00934989">
            <w:pPr>
              <w:pStyle w:val="Corptext31"/>
            </w:pPr>
          </w:p>
          <w:p w14:paraId="15C63FDB" w14:textId="6BA79C2E" w:rsidR="00F73612" w:rsidRDefault="00092B65" w:rsidP="00F73612">
            <w:pPr>
              <w:jc w:val="both"/>
              <w:rPr>
                <w:lang w:eastAsia="ro-RO"/>
              </w:rPr>
            </w:pPr>
            <w:r>
              <w:rPr>
                <w:lang w:eastAsia="ro-RO"/>
              </w:rPr>
              <w:t xml:space="preserve">Această lege </w:t>
            </w:r>
            <w:r w:rsidR="00F73612">
              <w:rPr>
                <w:lang w:eastAsia="ro-RO"/>
              </w:rPr>
              <w:t>cu</w:t>
            </w:r>
            <w:r w:rsidR="00F73612" w:rsidRPr="002E54DB">
              <w:rPr>
                <w:lang w:eastAsia="ro-RO"/>
              </w:rPr>
              <w:t xml:space="preserve">prinde prevederi care </w:t>
            </w:r>
            <w:r>
              <w:rPr>
                <w:lang w:eastAsia="ro-RO"/>
              </w:rPr>
              <w:t xml:space="preserve">conturează </w:t>
            </w:r>
            <w:r w:rsidR="00F73612" w:rsidRPr="002E54DB">
              <w:rPr>
                <w:lang w:eastAsia="ro-RO"/>
              </w:rPr>
              <w:t xml:space="preserve">trei etape distincte, respectiv </w:t>
            </w:r>
            <w:r w:rsidR="00F73612" w:rsidRPr="00EF1BF4">
              <w:rPr>
                <w:b/>
                <w:bCs/>
                <w:lang w:eastAsia="ro-RO"/>
              </w:rPr>
              <w:t>pregătirea, interven</w:t>
            </w:r>
            <w:r w:rsidR="00D311C9">
              <w:rPr>
                <w:b/>
                <w:bCs/>
                <w:lang w:eastAsia="ro-RO"/>
              </w:rPr>
              <w:t>ț</w:t>
            </w:r>
            <w:r w:rsidR="00F73612" w:rsidRPr="00EF1BF4">
              <w:rPr>
                <w:b/>
                <w:bCs/>
                <w:lang w:eastAsia="ro-RO"/>
              </w:rPr>
              <w:t xml:space="preserve">ia timpurie </w:t>
            </w:r>
            <w:r w:rsidR="00D311C9">
              <w:rPr>
                <w:b/>
                <w:bCs/>
                <w:lang w:eastAsia="ro-RO"/>
              </w:rPr>
              <w:t>ș</w:t>
            </w:r>
            <w:r w:rsidR="00F73612" w:rsidRPr="00EF1BF4">
              <w:rPr>
                <w:b/>
                <w:bCs/>
                <w:lang w:eastAsia="ro-RO"/>
              </w:rPr>
              <w:t>i rezolu</w:t>
            </w:r>
            <w:r w:rsidR="00D311C9">
              <w:rPr>
                <w:b/>
                <w:bCs/>
                <w:lang w:eastAsia="ro-RO"/>
              </w:rPr>
              <w:t>ț</w:t>
            </w:r>
            <w:r w:rsidR="00F73612" w:rsidRPr="00EF1BF4">
              <w:rPr>
                <w:b/>
                <w:bCs/>
                <w:lang w:eastAsia="ro-RO"/>
              </w:rPr>
              <w:t>ia bancară</w:t>
            </w:r>
            <w:r w:rsidR="00F73612" w:rsidRPr="00092B65">
              <w:rPr>
                <w:lang w:eastAsia="ro-RO"/>
              </w:rPr>
              <w:t>, pentru fiecare dintre aceste etape fiind prevăzute</w:t>
            </w:r>
            <w:r w:rsidR="008833E2">
              <w:rPr>
                <w:lang w:eastAsia="ro-RO"/>
              </w:rPr>
              <w:t xml:space="preserve">, după caz, </w:t>
            </w:r>
            <w:r w:rsidR="00F73612" w:rsidRPr="002E54DB">
              <w:rPr>
                <w:lang w:eastAsia="ro-RO"/>
              </w:rPr>
              <w:t>condi</w:t>
            </w:r>
            <w:r w:rsidR="00D311C9">
              <w:rPr>
                <w:lang w:eastAsia="ro-RO"/>
              </w:rPr>
              <w:t>ț</w:t>
            </w:r>
            <w:r w:rsidR="00F73612" w:rsidRPr="002E54DB">
              <w:rPr>
                <w:lang w:eastAsia="ro-RO"/>
              </w:rPr>
              <w:t>iile declan</w:t>
            </w:r>
            <w:r w:rsidR="00D311C9">
              <w:rPr>
                <w:lang w:eastAsia="ro-RO"/>
              </w:rPr>
              <w:t>ș</w:t>
            </w:r>
            <w:r w:rsidR="00F73612" w:rsidRPr="002E54DB">
              <w:rPr>
                <w:lang w:eastAsia="ro-RO"/>
              </w:rPr>
              <w:t xml:space="preserve">atoare, obiectivele </w:t>
            </w:r>
            <w:r w:rsidR="00D311C9">
              <w:rPr>
                <w:lang w:eastAsia="ro-RO"/>
              </w:rPr>
              <w:t>ș</w:t>
            </w:r>
            <w:r w:rsidR="00F73612" w:rsidRPr="002E54DB">
              <w:rPr>
                <w:lang w:eastAsia="ro-RO"/>
              </w:rPr>
              <w:t>i principiile care trebuie respectate, competen</w:t>
            </w:r>
            <w:r w:rsidR="00D311C9">
              <w:rPr>
                <w:lang w:eastAsia="ro-RO"/>
              </w:rPr>
              <w:t>ț</w:t>
            </w:r>
            <w:r w:rsidR="00F73612" w:rsidRPr="002E54DB">
              <w:rPr>
                <w:lang w:eastAsia="ro-RO"/>
              </w:rPr>
              <w:t xml:space="preserve">ele </w:t>
            </w:r>
            <w:r w:rsidR="00F73612" w:rsidRPr="00887D37">
              <w:rPr>
                <w:lang w:eastAsia="ro-RO"/>
              </w:rPr>
              <w:t>autorită</w:t>
            </w:r>
            <w:r w:rsidR="00D311C9">
              <w:rPr>
                <w:lang w:eastAsia="ro-RO"/>
              </w:rPr>
              <w:t>ț</w:t>
            </w:r>
            <w:r w:rsidR="00F73612" w:rsidRPr="00887D37">
              <w:rPr>
                <w:lang w:eastAsia="ro-RO"/>
              </w:rPr>
              <w:t>il</w:t>
            </w:r>
            <w:r w:rsidR="00F73612" w:rsidRPr="002E54DB">
              <w:rPr>
                <w:lang w:eastAsia="ro-RO"/>
              </w:rPr>
              <w:t>or</w:t>
            </w:r>
            <w:r w:rsidR="00F73612" w:rsidRPr="00887D37">
              <w:rPr>
                <w:lang w:eastAsia="ro-RO"/>
              </w:rPr>
              <w:t xml:space="preserve"> implicate, </w:t>
            </w:r>
            <w:r w:rsidR="008833E2">
              <w:rPr>
                <w:lang w:eastAsia="ro-RO"/>
              </w:rPr>
              <w:t xml:space="preserve">măsurile </w:t>
            </w:r>
            <w:r w:rsidR="00D311C9">
              <w:rPr>
                <w:lang w:eastAsia="ro-RO"/>
              </w:rPr>
              <w:t>ș</w:t>
            </w:r>
            <w:r w:rsidR="008833E2">
              <w:rPr>
                <w:lang w:eastAsia="ro-RO"/>
              </w:rPr>
              <w:t xml:space="preserve">i </w:t>
            </w:r>
            <w:r w:rsidR="00F73612" w:rsidRPr="00887D37">
              <w:rPr>
                <w:lang w:eastAsia="ro-RO"/>
              </w:rPr>
              <w:t xml:space="preserve">instrumentele ce pot fi aplicate, precum </w:t>
            </w:r>
            <w:r w:rsidR="00D311C9">
              <w:rPr>
                <w:lang w:eastAsia="ro-RO"/>
              </w:rPr>
              <w:t>ș</w:t>
            </w:r>
            <w:r w:rsidR="00F73612" w:rsidRPr="00887D37">
              <w:rPr>
                <w:lang w:eastAsia="ro-RO"/>
              </w:rPr>
              <w:t>i condi</w:t>
            </w:r>
            <w:r w:rsidR="00D311C9">
              <w:rPr>
                <w:lang w:eastAsia="ro-RO"/>
              </w:rPr>
              <w:t>ț</w:t>
            </w:r>
            <w:r w:rsidR="00F73612" w:rsidRPr="00887D37">
              <w:rPr>
                <w:lang w:eastAsia="ro-RO"/>
              </w:rPr>
              <w:t xml:space="preserve">iile, limitele </w:t>
            </w:r>
            <w:r w:rsidR="00D311C9">
              <w:rPr>
                <w:lang w:eastAsia="ro-RO"/>
              </w:rPr>
              <w:t>ș</w:t>
            </w:r>
            <w:r w:rsidR="00F73612" w:rsidRPr="00887D37">
              <w:rPr>
                <w:lang w:eastAsia="ro-RO"/>
              </w:rPr>
              <w:t xml:space="preserve">i modalitatea de implementare a acestora, </w:t>
            </w:r>
            <w:r w:rsidR="00F73612" w:rsidRPr="002E54DB">
              <w:rPr>
                <w:lang w:eastAsia="ro-RO"/>
              </w:rPr>
              <w:t>mecanismele de finan</w:t>
            </w:r>
            <w:r w:rsidR="00D311C9">
              <w:rPr>
                <w:lang w:eastAsia="ro-RO"/>
              </w:rPr>
              <w:t>ț</w:t>
            </w:r>
            <w:r w:rsidR="00F73612" w:rsidRPr="002E54DB">
              <w:rPr>
                <w:lang w:eastAsia="ro-RO"/>
              </w:rPr>
              <w:t>are a rezolu</w:t>
            </w:r>
            <w:r w:rsidR="00D311C9">
              <w:rPr>
                <w:lang w:eastAsia="ro-RO"/>
              </w:rPr>
              <w:t>ț</w:t>
            </w:r>
            <w:r w:rsidR="00F73612" w:rsidRPr="002E54DB">
              <w:rPr>
                <w:lang w:eastAsia="ro-RO"/>
              </w:rPr>
              <w:t xml:space="preserve">iei, derogările de la aplicarea altor acte normative, </w:t>
            </w:r>
            <w:r w:rsidR="00F73612" w:rsidRPr="00887D37">
              <w:rPr>
                <w:lang w:eastAsia="ro-RO"/>
              </w:rPr>
              <w:t>mecanismele de siguran</w:t>
            </w:r>
            <w:r w:rsidR="00D311C9">
              <w:rPr>
                <w:lang w:eastAsia="ro-RO"/>
              </w:rPr>
              <w:t>ț</w:t>
            </w:r>
            <w:r w:rsidR="00F73612" w:rsidRPr="00887D37">
              <w:rPr>
                <w:lang w:eastAsia="ro-RO"/>
              </w:rPr>
              <w:t>ă, căile de atac accesibile persoanelor care se consideră prejudiciate prin actele autorită</w:t>
            </w:r>
            <w:r w:rsidR="00D311C9">
              <w:rPr>
                <w:lang w:eastAsia="ro-RO"/>
              </w:rPr>
              <w:t>ț</w:t>
            </w:r>
            <w:r w:rsidR="00F73612" w:rsidRPr="00887D37">
              <w:rPr>
                <w:lang w:eastAsia="ro-RO"/>
              </w:rPr>
              <w:t>ilor desemnate să pună în aplicare dispozi</w:t>
            </w:r>
            <w:r w:rsidR="00D311C9">
              <w:rPr>
                <w:lang w:eastAsia="ro-RO"/>
              </w:rPr>
              <w:t>ț</w:t>
            </w:r>
            <w:r w:rsidR="00F73612" w:rsidRPr="00887D37">
              <w:rPr>
                <w:lang w:eastAsia="ro-RO"/>
              </w:rPr>
              <w:t>iile actului normativ</w:t>
            </w:r>
            <w:r w:rsidR="00F73612" w:rsidRPr="002E54DB">
              <w:rPr>
                <w:lang w:eastAsia="ro-RO"/>
              </w:rPr>
              <w:t>.</w:t>
            </w:r>
          </w:p>
          <w:p w14:paraId="718C6A5B" w14:textId="77777777" w:rsidR="001043F2" w:rsidRPr="00887D37" w:rsidRDefault="001043F2" w:rsidP="00F73612">
            <w:pPr>
              <w:jc w:val="both"/>
              <w:rPr>
                <w:b/>
                <w:lang w:eastAsia="ro-RO"/>
              </w:rPr>
            </w:pPr>
          </w:p>
          <w:p w14:paraId="32D90EEF" w14:textId="088CF45E" w:rsidR="00F73612" w:rsidRPr="00297A66" w:rsidRDefault="00F73612" w:rsidP="00F73612">
            <w:pPr>
              <w:autoSpaceDE w:val="0"/>
              <w:jc w:val="both"/>
              <w:rPr>
                <w:lang w:eastAsia="ro-RO"/>
              </w:rPr>
            </w:pPr>
            <w:r>
              <w:t xml:space="preserve">Legea nr.312/2015 asigură </w:t>
            </w:r>
            <w:r w:rsidRPr="00887D37">
              <w:rPr>
                <w:lang w:eastAsia="ro-RO"/>
              </w:rPr>
              <w:t xml:space="preserve">un set de instrumente credibile pentru a interveni într-un stadiu incipient </w:t>
            </w:r>
            <w:r w:rsidR="00D311C9">
              <w:rPr>
                <w:lang w:eastAsia="ro-RO"/>
              </w:rPr>
              <w:t>ș</w:t>
            </w:r>
            <w:r w:rsidRPr="00887D37">
              <w:rPr>
                <w:lang w:eastAsia="ro-RO"/>
              </w:rPr>
              <w:t>i cu promptitudine în cazul unei institu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 xml:space="preserve">ii neviabile sau în curs de a intra în dificultate, astfel încât să </w:t>
            </w:r>
            <w:r w:rsidR="003E6951">
              <w:rPr>
                <w:lang w:eastAsia="ro-RO"/>
              </w:rPr>
              <w:t>fie garantată</w:t>
            </w:r>
            <w:r w:rsidRPr="00887D37">
              <w:rPr>
                <w:lang w:eastAsia="ro-RO"/>
              </w:rPr>
              <w:t xml:space="preserve"> continuitatea func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 xml:space="preserve">iilor financiare </w:t>
            </w:r>
            <w:r w:rsidR="00D311C9">
              <w:rPr>
                <w:lang w:eastAsia="ro-RO"/>
              </w:rPr>
              <w:t>ș</w:t>
            </w:r>
            <w:r w:rsidRPr="00887D37">
              <w:rPr>
                <w:lang w:eastAsia="ro-RO"/>
              </w:rPr>
              <w:t>i economice critice ale acesteia, reducând în acela</w:t>
            </w:r>
            <w:r w:rsidR="00D311C9">
              <w:rPr>
                <w:lang w:eastAsia="ro-RO"/>
              </w:rPr>
              <w:t>ș</w:t>
            </w:r>
            <w:r w:rsidRPr="00887D37">
              <w:rPr>
                <w:lang w:eastAsia="ro-RO"/>
              </w:rPr>
              <w:t>i timp la minimum impactul situa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>iei de dificultate a institu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 xml:space="preserve">iei asupra economiei </w:t>
            </w:r>
            <w:r w:rsidR="00D311C9">
              <w:rPr>
                <w:lang w:eastAsia="ro-RO"/>
              </w:rPr>
              <w:t>ș</w:t>
            </w:r>
            <w:r w:rsidRPr="00887D37">
              <w:rPr>
                <w:lang w:eastAsia="ro-RO"/>
              </w:rPr>
              <w:t xml:space="preserve">i a sistemului </w:t>
            </w:r>
            <w:r w:rsidRPr="00297A66">
              <w:rPr>
                <w:lang w:eastAsia="ro-RO"/>
              </w:rPr>
              <w:t xml:space="preserve">financiar. </w:t>
            </w:r>
          </w:p>
          <w:p w14:paraId="4C1EB3A0" w14:textId="33CD17B7" w:rsidR="003E6951" w:rsidRPr="00297A66" w:rsidRDefault="003E6951" w:rsidP="008941A9">
            <w:pPr>
              <w:jc w:val="both"/>
              <w:rPr>
                <w:color w:val="000000"/>
              </w:rPr>
            </w:pPr>
            <w:r w:rsidRPr="00EF1BF4">
              <w:rPr>
                <w:b/>
                <w:color w:val="000000"/>
              </w:rPr>
              <w:t>Instrumentele de rezolu</w:t>
            </w:r>
            <w:r w:rsidR="00D311C9">
              <w:rPr>
                <w:b/>
                <w:color w:val="000000"/>
              </w:rPr>
              <w:t>ț</w:t>
            </w:r>
            <w:r w:rsidRPr="00EF1BF4">
              <w:rPr>
                <w:b/>
                <w:color w:val="000000"/>
              </w:rPr>
              <w:t xml:space="preserve">ie prevăzute de </w:t>
            </w:r>
            <w:r w:rsidR="00494111" w:rsidRPr="00EF1BF4">
              <w:rPr>
                <w:b/>
                <w:color w:val="000000"/>
              </w:rPr>
              <w:t>lege</w:t>
            </w:r>
            <w:r w:rsidR="008941A9">
              <w:rPr>
                <w:color w:val="000000"/>
              </w:rPr>
              <w:t xml:space="preserve"> (</w:t>
            </w:r>
            <w:r w:rsidR="008941A9" w:rsidRPr="008941A9">
              <w:rPr>
                <w:color w:val="000000"/>
              </w:rPr>
              <w:t>vânz</w:t>
            </w:r>
            <w:r w:rsidR="008941A9">
              <w:rPr>
                <w:color w:val="000000"/>
              </w:rPr>
              <w:t>area afacerii, institu</w:t>
            </w:r>
            <w:r w:rsidR="00D311C9">
              <w:rPr>
                <w:color w:val="000000"/>
              </w:rPr>
              <w:t>ț</w:t>
            </w:r>
            <w:r w:rsidR="008941A9">
              <w:rPr>
                <w:color w:val="000000"/>
              </w:rPr>
              <w:t xml:space="preserve">ia-punte, </w:t>
            </w:r>
            <w:r w:rsidR="008941A9" w:rsidRPr="008941A9">
              <w:rPr>
                <w:color w:val="000000"/>
              </w:rPr>
              <w:t>separarea activelor</w:t>
            </w:r>
            <w:r w:rsidR="008941A9">
              <w:rPr>
                <w:color w:val="000000"/>
              </w:rPr>
              <w:t xml:space="preserve">, recapitalizarea internă) </w:t>
            </w:r>
            <w:r w:rsidR="008323F8">
              <w:rPr>
                <w:color w:val="000000"/>
              </w:rPr>
              <w:t xml:space="preserve"> </w:t>
            </w:r>
            <w:r w:rsidR="00E90DFF">
              <w:rPr>
                <w:color w:val="000000"/>
              </w:rPr>
              <w:t>permit</w:t>
            </w:r>
            <w:r w:rsidRPr="00297A66">
              <w:rPr>
                <w:color w:val="000000"/>
              </w:rPr>
              <w:t xml:space="preserve"> autorită</w:t>
            </w:r>
            <w:r w:rsidR="00D311C9">
              <w:rPr>
                <w:color w:val="000000"/>
              </w:rPr>
              <w:t>ț</w:t>
            </w:r>
            <w:r w:rsidRPr="00297A66">
              <w:rPr>
                <w:color w:val="000000"/>
              </w:rPr>
              <w:t>il</w:t>
            </w:r>
            <w:r w:rsidR="00E90DFF">
              <w:rPr>
                <w:color w:val="000000"/>
              </w:rPr>
              <w:t>or</w:t>
            </w:r>
            <w:r w:rsidRPr="00297A66">
              <w:rPr>
                <w:color w:val="000000"/>
              </w:rPr>
              <w:t xml:space="preserve"> </w:t>
            </w:r>
            <w:r w:rsidR="00494111" w:rsidRPr="00297A66">
              <w:rPr>
                <w:color w:val="000000"/>
              </w:rPr>
              <w:t xml:space="preserve">implicate </w:t>
            </w:r>
            <w:r w:rsidRPr="00297A66">
              <w:rPr>
                <w:color w:val="000000"/>
              </w:rPr>
              <w:t>să poată face fa</w:t>
            </w:r>
            <w:r w:rsidR="00D311C9">
              <w:rPr>
                <w:color w:val="000000"/>
              </w:rPr>
              <w:t>ț</w:t>
            </w:r>
            <w:r w:rsidRPr="00297A66">
              <w:rPr>
                <w:color w:val="000000"/>
              </w:rPr>
              <w:t xml:space="preserve">ă unei game largi de scenarii în mare parte imprevizibile, </w:t>
            </w:r>
            <w:r w:rsidR="00D311C9">
              <w:rPr>
                <w:color w:val="000000"/>
              </w:rPr>
              <w:t>ț</w:t>
            </w:r>
            <w:r w:rsidRPr="00297A66">
              <w:rPr>
                <w:color w:val="000000"/>
              </w:rPr>
              <w:t>inând tot</w:t>
            </w:r>
            <w:r w:rsidR="005517D9">
              <w:rPr>
                <w:color w:val="000000"/>
              </w:rPr>
              <w:t>o</w:t>
            </w:r>
            <w:r w:rsidRPr="00297A66">
              <w:rPr>
                <w:color w:val="000000"/>
              </w:rPr>
              <w:t>dată seama de diferen</w:t>
            </w:r>
            <w:r w:rsidR="00D311C9">
              <w:rPr>
                <w:color w:val="000000"/>
              </w:rPr>
              <w:t>ț</w:t>
            </w:r>
            <w:r w:rsidRPr="00297A66">
              <w:rPr>
                <w:color w:val="000000"/>
              </w:rPr>
              <w:t xml:space="preserve">ele existente </w:t>
            </w:r>
            <w:r w:rsidR="00E90DFF">
              <w:rPr>
                <w:color w:val="000000"/>
              </w:rPr>
              <w:t>dintre</w:t>
            </w:r>
            <w:r w:rsidR="00E90DFF" w:rsidRPr="00297A66">
              <w:rPr>
                <w:color w:val="000000"/>
              </w:rPr>
              <w:t xml:space="preserve"> </w:t>
            </w:r>
            <w:r w:rsidRPr="00297A66">
              <w:rPr>
                <w:color w:val="000000"/>
              </w:rPr>
              <w:t>situa</w:t>
            </w:r>
            <w:r w:rsidR="00D311C9">
              <w:rPr>
                <w:color w:val="000000"/>
              </w:rPr>
              <w:t>ț</w:t>
            </w:r>
            <w:r w:rsidRPr="00297A66">
              <w:rPr>
                <w:color w:val="000000"/>
              </w:rPr>
              <w:t>ia unei singure institu</w:t>
            </w:r>
            <w:r w:rsidR="00D311C9">
              <w:rPr>
                <w:color w:val="000000"/>
              </w:rPr>
              <w:t>ț</w:t>
            </w:r>
            <w:r w:rsidRPr="00297A66">
              <w:rPr>
                <w:color w:val="000000"/>
              </w:rPr>
              <w:t xml:space="preserve">ii aflate în criză </w:t>
            </w:r>
            <w:r w:rsidR="00D311C9">
              <w:rPr>
                <w:color w:val="000000"/>
              </w:rPr>
              <w:t>ș</w:t>
            </w:r>
            <w:r w:rsidRPr="00297A66">
              <w:rPr>
                <w:color w:val="000000"/>
              </w:rPr>
              <w:t xml:space="preserve">i </w:t>
            </w:r>
            <w:r w:rsidR="00E90DFF">
              <w:rPr>
                <w:color w:val="000000"/>
              </w:rPr>
              <w:t>situa</w:t>
            </w:r>
            <w:r w:rsidR="00D311C9">
              <w:rPr>
                <w:color w:val="000000"/>
              </w:rPr>
              <w:t>ț</w:t>
            </w:r>
            <w:r w:rsidR="00E90DFF">
              <w:rPr>
                <w:color w:val="000000"/>
              </w:rPr>
              <w:t>ia unei</w:t>
            </w:r>
            <w:r w:rsidRPr="00297A66">
              <w:rPr>
                <w:color w:val="000000"/>
              </w:rPr>
              <w:t xml:space="preserve"> criz</w:t>
            </w:r>
            <w:r w:rsidR="00E90DFF">
              <w:rPr>
                <w:color w:val="000000"/>
              </w:rPr>
              <w:t>e</w:t>
            </w:r>
            <w:r w:rsidRPr="00297A66">
              <w:rPr>
                <w:color w:val="000000"/>
              </w:rPr>
              <w:t xml:space="preserve"> financiar</w:t>
            </w:r>
            <w:r w:rsidR="00730FFB">
              <w:rPr>
                <w:color w:val="000000"/>
              </w:rPr>
              <w:t>e</w:t>
            </w:r>
            <w:r w:rsidRPr="00297A66">
              <w:rPr>
                <w:color w:val="000000"/>
              </w:rPr>
              <w:t xml:space="preserve"> sistemic</w:t>
            </w:r>
            <w:r w:rsidR="00730FFB">
              <w:rPr>
                <w:color w:val="000000"/>
              </w:rPr>
              <w:t>e</w:t>
            </w:r>
            <w:r w:rsidRPr="00297A66">
              <w:rPr>
                <w:color w:val="000000"/>
              </w:rPr>
              <w:t xml:space="preserve">. </w:t>
            </w:r>
          </w:p>
          <w:p w14:paraId="50DDE1EF" w14:textId="31855F72" w:rsidR="003E6951" w:rsidRPr="00BE01FA" w:rsidRDefault="008941A9" w:rsidP="003E6951">
            <w:pPr>
              <w:jc w:val="both"/>
              <w:rPr>
                <w:color w:val="000000"/>
              </w:rPr>
            </w:pPr>
            <w:r w:rsidRPr="00BE01FA">
              <w:rPr>
                <w:color w:val="000000"/>
              </w:rPr>
              <w:t>În contextul instrumentului de recapitalizare internă</w:t>
            </w:r>
            <w:r w:rsidR="00E90DFF">
              <w:rPr>
                <w:color w:val="000000"/>
              </w:rPr>
              <w:t>,</w:t>
            </w:r>
            <w:r w:rsidRPr="00BE01FA">
              <w:rPr>
                <w:color w:val="000000"/>
              </w:rPr>
              <w:t xml:space="preserve"> legea con</w:t>
            </w:r>
            <w:r w:rsidR="00D311C9">
              <w:rPr>
                <w:color w:val="000000"/>
              </w:rPr>
              <w:t>ț</w:t>
            </w:r>
            <w:r w:rsidRPr="00BE01FA">
              <w:rPr>
                <w:color w:val="000000"/>
              </w:rPr>
              <w:t>ine prevederi care reglementează:</w:t>
            </w:r>
          </w:p>
          <w:p w14:paraId="6B315B5F" w14:textId="77777777" w:rsidR="00E30E72" w:rsidRPr="00BE01FA" w:rsidRDefault="00E30E72" w:rsidP="003E6951">
            <w:pPr>
              <w:jc w:val="both"/>
              <w:rPr>
                <w:color w:val="000000"/>
              </w:rPr>
            </w:pPr>
            <w:r w:rsidRPr="00BE01FA">
              <w:rPr>
                <w:color w:val="000000"/>
              </w:rPr>
              <w:t>- datoriile care intră în sfera de aplicare a instrumentului;</w:t>
            </w:r>
          </w:p>
          <w:p w14:paraId="5F8B4BA3" w14:textId="1F148741" w:rsidR="00E30E72" w:rsidRDefault="00E30E72" w:rsidP="00C52354">
            <w:pPr>
              <w:jc w:val="both"/>
              <w:rPr>
                <w:color w:val="000000"/>
              </w:rPr>
            </w:pPr>
            <w:r w:rsidRPr="00BE01FA">
              <w:rPr>
                <w:color w:val="000000"/>
              </w:rPr>
              <w:t xml:space="preserve">- </w:t>
            </w:r>
            <w:r w:rsidR="00BE01FA" w:rsidRPr="00BE01FA">
              <w:rPr>
                <w:color w:val="000000"/>
              </w:rPr>
              <w:t xml:space="preserve">determinarea </w:t>
            </w:r>
            <w:r w:rsidR="00BE01FA" w:rsidRPr="009956F5">
              <w:rPr>
                <w:i/>
                <w:color w:val="000000"/>
              </w:rPr>
              <w:t>cerin</w:t>
            </w:r>
            <w:r w:rsidR="00D311C9" w:rsidRPr="009956F5">
              <w:rPr>
                <w:i/>
                <w:color w:val="000000"/>
              </w:rPr>
              <w:t>ț</w:t>
            </w:r>
            <w:r w:rsidR="00BE01FA" w:rsidRPr="009956F5">
              <w:rPr>
                <w:i/>
                <w:color w:val="000000"/>
              </w:rPr>
              <w:t xml:space="preserve">ei minime de fonduri proprii </w:t>
            </w:r>
            <w:r w:rsidR="00D311C9" w:rsidRPr="009956F5">
              <w:rPr>
                <w:i/>
                <w:color w:val="000000"/>
              </w:rPr>
              <w:t>ș</w:t>
            </w:r>
            <w:r w:rsidR="00BE01FA" w:rsidRPr="009956F5">
              <w:rPr>
                <w:i/>
                <w:color w:val="000000"/>
              </w:rPr>
              <w:t>i datorii eligibile</w:t>
            </w:r>
            <w:r w:rsidR="00BE01FA" w:rsidRPr="00BE01FA">
              <w:rPr>
                <w:color w:val="000000"/>
              </w:rPr>
              <w:t xml:space="preserve"> atât la nivel individual cât </w:t>
            </w:r>
            <w:r w:rsidR="00D311C9">
              <w:rPr>
                <w:color w:val="000000"/>
              </w:rPr>
              <w:t>ș</w:t>
            </w:r>
            <w:r w:rsidR="00BE01FA" w:rsidRPr="00BE01FA">
              <w:rPr>
                <w:color w:val="000000"/>
              </w:rPr>
              <w:t>i în contextul grupurilor</w:t>
            </w:r>
            <w:r w:rsidR="00EF1BF4">
              <w:rPr>
                <w:color w:val="000000"/>
              </w:rPr>
              <w:t xml:space="preserve"> (MREL)</w:t>
            </w:r>
            <w:r w:rsidR="00BE01FA" w:rsidRPr="00BE01FA">
              <w:rPr>
                <w:color w:val="000000"/>
              </w:rPr>
              <w:t>;</w:t>
            </w:r>
          </w:p>
          <w:p w14:paraId="7DE19D6E" w14:textId="303D9015" w:rsidR="00BE01FA" w:rsidRDefault="00BE01FA" w:rsidP="00C523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o</w:t>
            </w:r>
            <w:r w:rsidRPr="00BE01FA">
              <w:rPr>
                <w:color w:val="000000"/>
              </w:rPr>
              <w:t xml:space="preserve">rdinea </w:t>
            </w:r>
            <w:r>
              <w:rPr>
                <w:color w:val="000000"/>
              </w:rPr>
              <w:t>în care se realizează reducerea</w:t>
            </w:r>
            <w:r w:rsidRPr="00BE01FA">
              <w:rPr>
                <w:color w:val="000000"/>
              </w:rPr>
              <w:t xml:space="preserve"> valorii </w:t>
            </w:r>
            <w:r w:rsidR="00D311C9">
              <w:rPr>
                <w:color w:val="000000"/>
              </w:rPr>
              <w:t>ș</w:t>
            </w:r>
            <w:r w:rsidRPr="00BE01FA">
              <w:rPr>
                <w:color w:val="000000"/>
              </w:rPr>
              <w:t>i conversi</w:t>
            </w:r>
            <w:r>
              <w:rPr>
                <w:color w:val="000000"/>
              </w:rPr>
              <w:t xml:space="preserve">a instrumentelor de fonduri proprii </w:t>
            </w:r>
            <w:r w:rsidR="00D311C9">
              <w:rPr>
                <w:color w:val="000000"/>
              </w:rPr>
              <w:t>ș</w:t>
            </w:r>
            <w:r>
              <w:rPr>
                <w:color w:val="000000"/>
              </w:rPr>
              <w:t>i a altor datorii;</w:t>
            </w:r>
          </w:p>
          <w:p w14:paraId="53617068" w14:textId="122A68F9" w:rsidR="00BE01FA" w:rsidRPr="00BE01FA" w:rsidRDefault="00BE01FA" w:rsidP="00C523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t</w:t>
            </w:r>
            <w:r w:rsidRPr="00BE01FA">
              <w:rPr>
                <w:color w:val="000000"/>
              </w:rPr>
              <w:t>ratamentul ac</w:t>
            </w:r>
            <w:r w:rsidR="00D311C9">
              <w:rPr>
                <w:color w:val="000000"/>
              </w:rPr>
              <w:t>ț</w:t>
            </w:r>
            <w:r w:rsidRPr="00BE01FA">
              <w:rPr>
                <w:color w:val="000000"/>
              </w:rPr>
              <w:t>ionarilor în cadrul recapitalizării interne sau</w:t>
            </w:r>
            <w:r>
              <w:rPr>
                <w:color w:val="000000"/>
              </w:rPr>
              <w:t xml:space="preserve"> al reducerii valorii </w:t>
            </w:r>
            <w:r w:rsidRPr="00BE01FA">
              <w:rPr>
                <w:color w:val="000000"/>
              </w:rPr>
              <w:t>conversiei instrumentelor de capital</w:t>
            </w:r>
            <w:r w:rsidR="00FF2C3F">
              <w:rPr>
                <w:color w:val="000000"/>
              </w:rPr>
              <w:t>;</w:t>
            </w:r>
          </w:p>
          <w:p w14:paraId="5C2231E7" w14:textId="16063D4A" w:rsidR="00BE01FA" w:rsidRPr="00EF1BF4" w:rsidRDefault="00132DC0" w:rsidP="00C52354">
            <w:pPr>
              <w:pStyle w:val="CM31"/>
              <w:rPr>
                <w:rFonts w:cs="EUAlbertina"/>
                <w:color w:val="000000"/>
              </w:rPr>
            </w:pPr>
            <w:r>
              <w:rPr>
                <w:rFonts w:cs="EUAlbertina"/>
                <w:color w:val="000000"/>
              </w:rPr>
              <w:t>-</w:t>
            </w:r>
            <w:r w:rsidR="00EF1BF4">
              <w:rPr>
                <w:rFonts w:ascii="Times New Roman" w:hAnsi="Times New Roman"/>
                <w:color w:val="000000"/>
                <w:lang w:eastAsia="zh-CN"/>
              </w:rPr>
              <w:t>m</w:t>
            </w:r>
            <w:r w:rsidRPr="00EF1BF4">
              <w:rPr>
                <w:rFonts w:ascii="Times New Roman" w:hAnsi="Times New Roman"/>
                <w:color w:val="000000"/>
                <w:lang w:eastAsia="zh-CN"/>
              </w:rPr>
              <w:t xml:space="preserve">ăsurile de redresare </w:t>
            </w:r>
            <w:r w:rsidR="00D311C9">
              <w:rPr>
                <w:rFonts w:ascii="Times New Roman" w:hAnsi="Times New Roman"/>
                <w:color w:val="000000"/>
                <w:lang w:eastAsia="zh-CN"/>
              </w:rPr>
              <w:t>ș</w:t>
            </w:r>
            <w:r w:rsidRPr="00EF1BF4">
              <w:rPr>
                <w:rFonts w:ascii="Times New Roman" w:hAnsi="Times New Roman"/>
                <w:color w:val="000000"/>
                <w:lang w:eastAsia="zh-CN"/>
              </w:rPr>
              <w:t>i de reorganizare care trebuie să înso</w:t>
            </w:r>
            <w:r w:rsidR="00D311C9">
              <w:rPr>
                <w:rFonts w:ascii="Times New Roman" w:hAnsi="Times New Roman"/>
                <w:color w:val="000000"/>
                <w:lang w:eastAsia="zh-CN"/>
              </w:rPr>
              <w:t>ț</w:t>
            </w:r>
            <w:r w:rsidRPr="00EF1BF4">
              <w:rPr>
                <w:rFonts w:ascii="Times New Roman" w:hAnsi="Times New Roman"/>
                <w:color w:val="000000"/>
                <w:lang w:eastAsia="zh-CN"/>
              </w:rPr>
              <w:t>ească recapitalizarea internă</w:t>
            </w:r>
            <w:r w:rsidR="00EF1BF4">
              <w:rPr>
                <w:rFonts w:ascii="Times New Roman" w:hAnsi="Times New Roman"/>
                <w:color w:val="000000"/>
                <w:lang w:eastAsia="zh-CN"/>
              </w:rPr>
              <w:t xml:space="preserve"> – planul de reorganizare</w:t>
            </w:r>
          </w:p>
          <w:p w14:paraId="26E148E1" w14:textId="151D55A1" w:rsidR="00EF1BF4" w:rsidRDefault="00EF1BF4" w:rsidP="00C52354">
            <w:pPr>
              <w:jc w:val="both"/>
              <w:rPr>
                <w:color w:val="000000"/>
              </w:rPr>
            </w:pPr>
            <w:r w:rsidRPr="00BE01FA">
              <w:rPr>
                <w:color w:val="000000"/>
              </w:rPr>
              <w:t>- recunoa</w:t>
            </w:r>
            <w:r w:rsidR="00D311C9">
              <w:rPr>
                <w:color w:val="000000"/>
              </w:rPr>
              <w:t>ș</w:t>
            </w:r>
            <w:r w:rsidRPr="00BE01FA">
              <w:rPr>
                <w:color w:val="000000"/>
              </w:rPr>
              <w:t>terea contractuală a recapitalizării interne</w:t>
            </w:r>
            <w:r>
              <w:rPr>
                <w:color w:val="000000"/>
              </w:rPr>
              <w:t xml:space="preserve"> în contextul instrumentelor de datorie guvernate de legisla</w:t>
            </w:r>
            <w:r w:rsidR="00D311C9">
              <w:rPr>
                <w:color w:val="000000"/>
              </w:rPr>
              <w:t>ț</w:t>
            </w:r>
            <w:r>
              <w:rPr>
                <w:color w:val="000000"/>
              </w:rPr>
              <w:t>ia unui stat ter</w:t>
            </w:r>
            <w:r w:rsidR="00D311C9">
              <w:rPr>
                <w:color w:val="000000"/>
              </w:rPr>
              <w:t>ț</w:t>
            </w:r>
            <w:r>
              <w:rPr>
                <w:color w:val="000000"/>
              </w:rPr>
              <w:t>.</w:t>
            </w:r>
          </w:p>
          <w:p w14:paraId="2BB5B109" w14:textId="77777777" w:rsidR="00BE01FA" w:rsidRPr="003E6951" w:rsidRDefault="00BE01FA" w:rsidP="003E6951">
            <w:pPr>
              <w:jc w:val="both"/>
              <w:rPr>
                <w:b/>
                <w:color w:val="000000"/>
              </w:rPr>
            </w:pPr>
          </w:p>
          <w:p w14:paraId="7455832E" w14:textId="4367E160" w:rsidR="00726A5E" w:rsidRDefault="003B3990" w:rsidP="005C79AD">
            <w:pPr>
              <w:jc w:val="both"/>
            </w:pPr>
            <w:r w:rsidRPr="0025104C">
              <w:t xml:space="preserve">Legea nr.312/2015 include </w:t>
            </w:r>
            <w:r w:rsidR="00D311C9">
              <w:t>ș</w:t>
            </w:r>
            <w:r w:rsidRPr="0025104C">
              <w:t>i prevederi ce</w:t>
            </w:r>
            <w:r w:rsidR="00427CB9">
              <w:t xml:space="preserve"> </w:t>
            </w:r>
            <w:r w:rsidRPr="0025104C">
              <w:t>stabilesc</w:t>
            </w:r>
            <w:r>
              <w:rPr>
                <w:b/>
              </w:rPr>
              <w:t xml:space="preserve"> c</w:t>
            </w:r>
            <w:r w:rsidR="005C79AD" w:rsidRPr="003B3990">
              <w:rPr>
                <w:b/>
              </w:rPr>
              <w:t>ompeten</w:t>
            </w:r>
            <w:r w:rsidR="00D311C9">
              <w:rPr>
                <w:b/>
              </w:rPr>
              <w:t>ț</w:t>
            </w:r>
            <w:r w:rsidR="005C79AD" w:rsidRPr="003B3990">
              <w:rPr>
                <w:b/>
              </w:rPr>
              <w:t>e</w:t>
            </w:r>
            <w:r w:rsidR="002E714C">
              <w:rPr>
                <w:b/>
              </w:rPr>
              <w:t>le</w:t>
            </w:r>
            <w:r w:rsidR="005C79AD" w:rsidRPr="003B3990">
              <w:rPr>
                <w:b/>
              </w:rPr>
              <w:t xml:space="preserve"> de rezolu</w:t>
            </w:r>
            <w:r w:rsidR="00D311C9">
              <w:rPr>
                <w:b/>
              </w:rPr>
              <w:t>ț</w:t>
            </w:r>
            <w:r w:rsidR="005C79AD" w:rsidRPr="003B3990">
              <w:rPr>
                <w:b/>
              </w:rPr>
              <w:t>ie</w:t>
            </w:r>
            <w:r w:rsidR="00427CB9">
              <w:rPr>
                <w:b/>
              </w:rPr>
              <w:t xml:space="preserve"> </w:t>
            </w:r>
            <w:r w:rsidR="0025104C" w:rsidRPr="0025104C">
              <w:t>de care dispune autoritatea de rezolu</w:t>
            </w:r>
            <w:r w:rsidR="00D311C9">
              <w:t>ț</w:t>
            </w:r>
            <w:r w:rsidR="0025104C" w:rsidRPr="0025104C">
              <w:t>ie</w:t>
            </w:r>
            <w:r w:rsidR="008323F8">
              <w:t>.,</w:t>
            </w:r>
            <w:r w:rsidR="005C79AD" w:rsidRPr="00887D37">
              <w:t xml:space="preserve"> care pot fi exercitate, în diferite combina</w:t>
            </w:r>
            <w:r w:rsidR="00D311C9">
              <w:t>ț</w:t>
            </w:r>
            <w:r w:rsidR="005C79AD" w:rsidRPr="00887D37">
              <w:t>ii, în legătură cu institu</w:t>
            </w:r>
            <w:r w:rsidR="00D311C9">
              <w:t>ț</w:t>
            </w:r>
            <w:r w:rsidR="005C79AD" w:rsidRPr="00887D37">
              <w:t>ia supusă rezolu</w:t>
            </w:r>
            <w:r w:rsidR="00D311C9">
              <w:t>ț</w:t>
            </w:r>
            <w:r w:rsidR="005C79AD" w:rsidRPr="00887D37">
              <w:t xml:space="preserve">iei </w:t>
            </w:r>
            <w:r w:rsidR="00D311C9">
              <w:t>ș</w:t>
            </w:r>
            <w:r w:rsidR="005C79AD" w:rsidRPr="00887D37">
              <w:t>i care se referă la: competen</w:t>
            </w:r>
            <w:r w:rsidR="00D311C9">
              <w:t>ț</w:t>
            </w:r>
            <w:r w:rsidR="005C79AD" w:rsidRPr="00887D37">
              <w:t>a de a transfera ac</w:t>
            </w:r>
            <w:r w:rsidR="00D311C9">
              <w:t>ț</w:t>
            </w:r>
            <w:r w:rsidR="005C79AD" w:rsidRPr="00887D37">
              <w:t>iuni sau active, drepturi sau obliga</w:t>
            </w:r>
            <w:r w:rsidR="00D311C9">
              <w:t>ț</w:t>
            </w:r>
            <w:r w:rsidR="005C79AD" w:rsidRPr="00887D37">
              <w:t>ii către o altă entitate, competen</w:t>
            </w:r>
            <w:r w:rsidR="00D311C9">
              <w:t>ț</w:t>
            </w:r>
            <w:r w:rsidR="005C79AD" w:rsidRPr="00887D37">
              <w:t xml:space="preserve">a de a reduce valoarea </w:t>
            </w:r>
            <w:r w:rsidR="005C79AD">
              <w:t>nominală</w:t>
            </w:r>
            <w:r w:rsidR="005C79AD" w:rsidRPr="00887D37">
              <w:t xml:space="preserve"> a ac</w:t>
            </w:r>
            <w:r w:rsidR="00D311C9">
              <w:t>ț</w:t>
            </w:r>
            <w:r w:rsidR="005C79AD" w:rsidRPr="00887D37">
              <w:t xml:space="preserve">iunilor sau de a le anula, ori de a reduce valoarea  </w:t>
            </w:r>
            <w:r w:rsidR="005C79AD">
              <w:t>datoriilor</w:t>
            </w:r>
            <w:r w:rsidR="005C79AD" w:rsidRPr="00887D37">
              <w:t xml:space="preserve"> sau </w:t>
            </w:r>
            <w:r w:rsidR="005C79AD">
              <w:t xml:space="preserve">de </w:t>
            </w:r>
            <w:r w:rsidR="005C79AD" w:rsidRPr="00887D37">
              <w:t>a le converti, competen</w:t>
            </w:r>
            <w:r w:rsidR="00D311C9">
              <w:t>ț</w:t>
            </w:r>
            <w:r w:rsidR="005C79AD" w:rsidRPr="00887D37">
              <w:t xml:space="preserve">a de a înlocui organele de conducere </w:t>
            </w:r>
            <w:r w:rsidR="00D311C9">
              <w:t>ș</w:t>
            </w:r>
            <w:r w:rsidR="005C79AD" w:rsidRPr="00887D37">
              <w:t>i competen</w:t>
            </w:r>
            <w:r w:rsidR="00D311C9">
              <w:t>ț</w:t>
            </w:r>
            <w:r w:rsidR="005C79AD" w:rsidRPr="00887D37">
              <w:t>a de a impune un moratoriu temporar privind plata obliga</w:t>
            </w:r>
            <w:r w:rsidR="00D311C9">
              <w:t>ț</w:t>
            </w:r>
            <w:r w:rsidR="005C79AD" w:rsidRPr="00887D37">
              <w:t>iilor. Sunt prevăzute, de asem</w:t>
            </w:r>
            <w:r w:rsidR="005C79AD">
              <w:t>e</w:t>
            </w:r>
            <w:r w:rsidR="005C79AD" w:rsidRPr="00887D37">
              <w:t>nea</w:t>
            </w:r>
            <w:r w:rsidR="005517D9">
              <w:t>,</w:t>
            </w:r>
            <w:r w:rsidR="005C79AD" w:rsidRPr="00887D37">
              <w:t xml:space="preserve"> </w:t>
            </w:r>
            <w:r w:rsidR="00D311C9">
              <w:t>ș</w:t>
            </w:r>
            <w:r w:rsidR="005C79AD" w:rsidRPr="00887D37">
              <w:t>i competen</w:t>
            </w:r>
            <w:r w:rsidR="00D311C9">
              <w:t>ț</w:t>
            </w:r>
            <w:r w:rsidR="005C79AD" w:rsidRPr="00887D37">
              <w:t>e suplimentare, inclusiv cea de a solicita institu</w:t>
            </w:r>
            <w:r w:rsidR="00D311C9">
              <w:t>ț</w:t>
            </w:r>
            <w:r w:rsidR="005C79AD" w:rsidRPr="00887D37">
              <w:t>iei supuse rezolu</w:t>
            </w:r>
            <w:r w:rsidR="00D311C9">
              <w:t>ț</w:t>
            </w:r>
            <w:r w:rsidR="005C79AD" w:rsidRPr="00887D37">
              <w:t xml:space="preserve">iei, precum </w:t>
            </w:r>
            <w:r w:rsidR="00D311C9">
              <w:t>ș</w:t>
            </w:r>
            <w:r w:rsidR="005C79AD" w:rsidRPr="00887D37">
              <w:t xml:space="preserve">i altor </w:t>
            </w:r>
            <w:r w:rsidR="005C79AD">
              <w:t>entită</w:t>
            </w:r>
            <w:r w:rsidR="00D311C9">
              <w:t>ț</w:t>
            </w:r>
            <w:r w:rsidR="005C79AD">
              <w:t xml:space="preserve">i </w:t>
            </w:r>
            <w:r w:rsidR="005C79AD" w:rsidRPr="00887D37">
              <w:t>din grupul acesteia</w:t>
            </w:r>
            <w:r w:rsidR="005C79AD">
              <w:t xml:space="preserve">, </w:t>
            </w:r>
            <w:r w:rsidR="005C79AD" w:rsidRPr="00887D37">
              <w:t>asigurarea continuită</w:t>
            </w:r>
            <w:r w:rsidR="00D311C9">
              <w:t>ț</w:t>
            </w:r>
            <w:r w:rsidR="005C79AD" w:rsidRPr="00887D37">
              <w:t>ii prestării de servicii necesare destinatarului tra</w:t>
            </w:r>
            <w:r w:rsidR="005C79AD">
              <w:t>n</w:t>
            </w:r>
            <w:r w:rsidR="005C79AD" w:rsidRPr="00887D37">
              <w:t>sferului de ac</w:t>
            </w:r>
            <w:r w:rsidR="00D311C9">
              <w:t>ț</w:t>
            </w:r>
            <w:r w:rsidR="005C79AD" w:rsidRPr="00887D37">
              <w:t>iuni sau de active, drepturi sau obliga</w:t>
            </w:r>
            <w:r w:rsidR="00D311C9">
              <w:t>ț</w:t>
            </w:r>
            <w:r w:rsidR="005C79AD" w:rsidRPr="00887D37">
              <w:t>ii pentru desfă</w:t>
            </w:r>
            <w:r w:rsidR="00D311C9">
              <w:t>ș</w:t>
            </w:r>
            <w:r w:rsidR="005C79AD" w:rsidRPr="00887D37">
              <w:t>urarea activită</w:t>
            </w:r>
            <w:r w:rsidR="00D311C9">
              <w:t>ț</w:t>
            </w:r>
            <w:r w:rsidR="005C79AD" w:rsidRPr="00887D37">
              <w:t>ilor preluate prin transfer</w:t>
            </w:r>
            <w:r w:rsidR="005C79AD">
              <w:t>.</w:t>
            </w:r>
          </w:p>
          <w:p w14:paraId="0F965E8B" w14:textId="77777777" w:rsidR="005C79AD" w:rsidRDefault="005C79AD" w:rsidP="005C79AD">
            <w:pPr>
              <w:jc w:val="both"/>
            </w:pPr>
          </w:p>
          <w:p w14:paraId="16B5C474" w14:textId="1219F290" w:rsidR="005C79AD" w:rsidRPr="00887D37" w:rsidRDefault="0025104C" w:rsidP="005C79AD">
            <w:pPr>
              <w:jc w:val="both"/>
            </w:pPr>
            <w:r w:rsidRPr="0025104C">
              <w:t>To</w:t>
            </w:r>
            <w:r w:rsidR="005517D9">
              <w:t>to</w:t>
            </w:r>
            <w:r w:rsidRPr="0025104C">
              <w:t>dată</w:t>
            </w:r>
            <w:r w:rsidR="005517D9">
              <w:t>,</w:t>
            </w:r>
            <w:r w:rsidRPr="0025104C">
              <w:t xml:space="preserve"> </w:t>
            </w:r>
            <w:r w:rsidR="00284AA0">
              <w:t>este</w:t>
            </w:r>
            <w:r w:rsidR="00284AA0" w:rsidRPr="0025104C">
              <w:t xml:space="preserve"> </w:t>
            </w:r>
            <w:r w:rsidRPr="0025104C">
              <w:t xml:space="preserve">prevăzut </w:t>
            </w:r>
            <w:r w:rsidR="00284AA0">
              <w:t>că</w:t>
            </w:r>
            <w:r w:rsidR="005C79AD" w:rsidRPr="00887D37">
              <w:t xml:space="preserve"> instrumentele de rezolu</w:t>
            </w:r>
            <w:r w:rsidR="00D311C9">
              <w:t>ț</w:t>
            </w:r>
            <w:r w:rsidR="005C79AD" w:rsidRPr="00887D37">
              <w:t xml:space="preserve">ie se pot aplica doar acelor </w:t>
            </w:r>
            <w:r w:rsidR="005C79AD" w:rsidRPr="0025104C">
              <w:t>institu</w:t>
            </w:r>
            <w:r w:rsidR="00D311C9">
              <w:t>ț</w:t>
            </w:r>
            <w:r w:rsidR="005C79AD" w:rsidRPr="0025104C">
              <w:t xml:space="preserve">ii care intră sau sunt susceptibile de a intra în dificultate, </w:t>
            </w:r>
            <w:r w:rsidR="00D311C9">
              <w:t>ș</w:t>
            </w:r>
            <w:r w:rsidR="005C79AD" w:rsidRPr="0025104C">
              <w:t>i numai atunci când acest lucru este necesar pentru</w:t>
            </w:r>
            <w:r w:rsidR="005C79AD" w:rsidRPr="00887D37">
              <w:t xml:space="preserve"> atingerea obiectivului de stabilitate financiară, </w:t>
            </w:r>
            <w:r w:rsidR="00CF4FF0" w:rsidRPr="00CF4FF0">
              <w:t>ac</w:t>
            </w:r>
            <w:r w:rsidR="00D311C9">
              <w:t>ț</w:t>
            </w:r>
            <w:r w:rsidR="00CF4FF0" w:rsidRPr="00CF4FF0">
              <w:t>iunea de rezolu</w:t>
            </w:r>
            <w:r w:rsidR="00D311C9">
              <w:t>ț</w:t>
            </w:r>
            <w:r w:rsidR="00CF4FF0" w:rsidRPr="00CF4FF0">
              <w:t>ie fiind de interes public</w:t>
            </w:r>
            <w:r w:rsidR="005C79AD" w:rsidRPr="00887D37">
              <w:t>. Mai exact, instrumentele de rezolu</w:t>
            </w:r>
            <w:r w:rsidR="00D311C9">
              <w:t>ț</w:t>
            </w:r>
            <w:r w:rsidR="005C79AD" w:rsidRPr="00887D37">
              <w:t xml:space="preserve">ie </w:t>
            </w:r>
            <w:r w:rsidR="00730FFB">
              <w:t>se aplică dacă sunt îndeplinite următoarele condi</w:t>
            </w:r>
            <w:r w:rsidR="00D311C9">
              <w:t>ț</w:t>
            </w:r>
            <w:r w:rsidR="00730FFB">
              <w:t xml:space="preserve">ii: (i) </w:t>
            </w:r>
            <w:r w:rsidR="005C79AD" w:rsidRPr="00887D37">
              <w:t>institu</w:t>
            </w:r>
            <w:r w:rsidR="00D311C9">
              <w:t>ț</w:t>
            </w:r>
            <w:r w:rsidR="005C79AD" w:rsidRPr="00887D37">
              <w:t>ia nu poate fi lichidată în conformitate cu procedura obi</w:t>
            </w:r>
            <w:r w:rsidR="00D311C9">
              <w:t>ș</w:t>
            </w:r>
            <w:r w:rsidR="005C79AD" w:rsidRPr="00887D37">
              <w:t>nuită de insolven</w:t>
            </w:r>
            <w:r w:rsidR="00D311C9">
              <w:t>ț</w:t>
            </w:r>
            <w:r w:rsidR="005C79AD" w:rsidRPr="00887D37">
              <w:t xml:space="preserve">ă, deoarece acest lucru ar putea destabiliza sistemul financiar, </w:t>
            </w:r>
            <w:r w:rsidR="003E2CEE">
              <w:t xml:space="preserve">(ii) </w:t>
            </w:r>
            <w:r w:rsidR="005C79AD" w:rsidRPr="00887D37">
              <w:t xml:space="preserve">aceste măsuri sunt necesare pentru a asigura transferul rapid </w:t>
            </w:r>
            <w:r w:rsidR="00D311C9">
              <w:t>ș</w:t>
            </w:r>
            <w:r w:rsidR="005C79AD" w:rsidRPr="00887D37">
              <w:t>i men</w:t>
            </w:r>
            <w:r w:rsidR="00D311C9">
              <w:t>ț</w:t>
            </w:r>
            <w:r w:rsidR="005C79AD" w:rsidRPr="00887D37">
              <w:t>inerea func</w:t>
            </w:r>
            <w:r w:rsidR="00D311C9">
              <w:t>ț</w:t>
            </w:r>
            <w:r w:rsidR="005C79AD" w:rsidRPr="00887D37">
              <w:t>iilor de importan</w:t>
            </w:r>
            <w:r w:rsidR="00D311C9">
              <w:t>ț</w:t>
            </w:r>
            <w:r w:rsidR="005C79AD" w:rsidRPr="00887D37">
              <w:t xml:space="preserve">ă sistemică </w:t>
            </w:r>
            <w:r w:rsidR="00D311C9">
              <w:t>ș</w:t>
            </w:r>
            <w:r w:rsidR="005C79AD" w:rsidRPr="00887D37">
              <w:t xml:space="preserve">i </w:t>
            </w:r>
            <w:r w:rsidR="003E2CEE">
              <w:t xml:space="preserve">(iii) </w:t>
            </w:r>
            <w:r w:rsidR="005C79AD" w:rsidRPr="00887D37">
              <w:t>nu există nicio perspectivă rezonabilă de găsire a unei solu</w:t>
            </w:r>
            <w:r w:rsidR="00D311C9">
              <w:t>ț</w:t>
            </w:r>
            <w:r w:rsidR="005C79AD" w:rsidRPr="00887D37">
              <w:t>ii alternative provenind din sectorul privat care să fie suficientă pentru redresarea deplină a institu</w:t>
            </w:r>
            <w:r w:rsidR="00D311C9">
              <w:t>ț</w:t>
            </w:r>
            <w:r w:rsidR="005C79AD" w:rsidRPr="00887D37">
              <w:t>iei, nici chiar majorarea capitalului de către ac</w:t>
            </w:r>
            <w:r w:rsidR="00D311C9">
              <w:t>ț</w:t>
            </w:r>
            <w:r w:rsidR="005C79AD" w:rsidRPr="00887D37">
              <w:t>ionarii existen</w:t>
            </w:r>
            <w:r w:rsidR="00D311C9">
              <w:t>ț</w:t>
            </w:r>
            <w:r w:rsidR="005C79AD" w:rsidRPr="00887D37">
              <w:t>i sau de către o ter</w:t>
            </w:r>
            <w:r w:rsidR="00D311C9">
              <w:t>ț</w:t>
            </w:r>
            <w:r w:rsidR="005C79AD" w:rsidRPr="00887D37">
              <w:t xml:space="preserve">ă parte. </w:t>
            </w:r>
            <w:r w:rsidR="006904E2">
              <w:t xml:space="preserve">De asemenea, sunt prevăzute </w:t>
            </w:r>
            <w:r w:rsidR="006904E2" w:rsidRPr="006904E2">
              <w:rPr>
                <w:b/>
              </w:rPr>
              <w:t>mecanisme de siguran</w:t>
            </w:r>
            <w:r w:rsidR="00D311C9">
              <w:rPr>
                <w:b/>
              </w:rPr>
              <w:t>ț</w:t>
            </w:r>
            <w:r w:rsidR="006904E2" w:rsidRPr="006904E2">
              <w:rPr>
                <w:b/>
              </w:rPr>
              <w:t>ă</w:t>
            </w:r>
            <w:r w:rsidR="006904E2">
              <w:t xml:space="preserve"> pentru tratamentul a</w:t>
            </w:r>
            <w:r w:rsidR="005C79AD" w:rsidRPr="00887D37">
              <w:t>c</w:t>
            </w:r>
            <w:r w:rsidR="00D311C9">
              <w:t>ț</w:t>
            </w:r>
            <w:r w:rsidR="005C79AD" w:rsidRPr="00887D37">
              <w:t>ionari</w:t>
            </w:r>
            <w:r w:rsidR="006904E2">
              <w:t>lor</w:t>
            </w:r>
            <w:r w:rsidR="005C79AD" w:rsidRPr="00887D37">
              <w:t xml:space="preserve"> </w:t>
            </w:r>
            <w:r w:rsidR="00D311C9">
              <w:t>ș</w:t>
            </w:r>
            <w:r w:rsidR="005C79AD" w:rsidRPr="00887D37">
              <w:t>i creditori</w:t>
            </w:r>
            <w:r w:rsidR="006904E2">
              <w:t>lor</w:t>
            </w:r>
            <w:r w:rsidR="005C79AD" w:rsidRPr="00887D37">
              <w:t xml:space="preserve"> afecta</w:t>
            </w:r>
            <w:r w:rsidR="00D311C9">
              <w:t>ț</w:t>
            </w:r>
            <w:r w:rsidR="005C79AD" w:rsidRPr="00887D37">
              <w:t xml:space="preserve">i </w:t>
            </w:r>
            <w:r w:rsidR="006904E2">
              <w:t>astfel încât ace</w:t>
            </w:r>
            <w:r w:rsidR="00D311C9">
              <w:t>ș</w:t>
            </w:r>
            <w:r w:rsidR="006904E2">
              <w:t xml:space="preserve">tia să </w:t>
            </w:r>
            <w:r w:rsidR="005C79AD" w:rsidRPr="00887D37">
              <w:t>nu suporte pierderi mai mari decât cele pe care le-ar fi suportat în cazul în care institu</w:t>
            </w:r>
            <w:r w:rsidR="00D311C9">
              <w:t>ț</w:t>
            </w:r>
            <w:r w:rsidR="005C79AD" w:rsidRPr="00887D37">
              <w:t>ia ar fi fost lichidată la momentul luării deciziei de declan</w:t>
            </w:r>
            <w:r w:rsidR="00D311C9">
              <w:t>ș</w:t>
            </w:r>
            <w:r w:rsidR="005C79AD" w:rsidRPr="00887D37">
              <w:t>are a procedurii de rezolu</w:t>
            </w:r>
            <w:r w:rsidR="00D311C9">
              <w:t>ț</w:t>
            </w:r>
            <w:r w:rsidR="005C79AD" w:rsidRPr="00887D37">
              <w:t xml:space="preserve">ie. </w:t>
            </w:r>
          </w:p>
          <w:p w14:paraId="563E5455" w14:textId="2A339582" w:rsidR="0056405F" w:rsidRDefault="0056405F" w:rsidP="0056405F">
            <w:pPr>
              <w:jc w:val="both"/>
              <w:rPr>
                <w:lang w:eastAsia="ro-RO"/>
              </w:rPr>
            </w:pPr>
            <w:r>
              <w:rPr>
                <w:lang w:eastAsia="ro-RO"/>
              </w:rPr>
              <w:t xml:space="preserve">Pentru a asigura fondurile necesare </w:t>
            </w:r>
            <w:r w:rsidRPr="0025104C">
              <w:rPr>
                <w:b/>
                <w:lang w:eastAsia="ro-RO"/>
              </w:rPr>
              <w:t>finan</w:t>
            </w:r>
            <w:r w:rsidR="00D311C9">
              <w:rPr>
                <w:b/>
                <w:lang w:eastAsia="ro-RO"/>
              </w:rPr>
              <w:t>ț</w:t>
            </w:r>
            <w:r w:rsidRPr="0025104C">
              <w:rPr>
                <w:b/>
                <w:lang w:eastAsia="ro-RO"/>
              </w:rPr>
              <w:t>ării măsurilor de rezolu</w:t>
            </w:r>
            <w:r w:rsidR="00D311C9">
              <w:rPr>
                <w:b/>
                <w:lang w:eastAsia="ro-RO"/>
              </w:rPr>
              <w:t>ț</w:t>
            </w:r>
            <w:r w:rsidRPr="0025104C">
              <w:rPr>
                <w:b/>
                <w:lang w:eastAsia="ro-RO"/>
              </w:rPr>
              <w:t>ie</w:t>
            </w:r>
            <w:r>
              <w:rPr>
                <w:lang w:eastAsia="ro-RO"/>
              </w:rPr>
              <w:t xml:space="preserve">, cu evitarea utilizării resurselor bugetare publice pentru astfel de scopuri, </w:t>
            </w:r>
            <w:r w:rsidR="0025104C">
              <w:rPr>
                <w:lang w:eastAsia="ro-RO"/>
              </w:rPr>
              <w:t xml:space="preserve">legea </w:t>
            </w:r>
            <w:r>
              <w:rPr>
                <w:lang w:eastAsia="ro-RO"/>
              </w:rPr>
              <w:t>prevede obligativitatea constituirii unui fond de rezolu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ie cu contribu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ii</w:t>
            </w:r>
            <w:r w:rsidR="006904E2">
              <w:rPr>
                <w:lang w:eastAsia="ro-RO"/>
              </w:rPr>
              <w:t xml:space="preserve"> </w:t>
            </w:r>
            <w:r>
              <w:rPr>
                <w:lang w:eastAsia="ro-RO"/>
              </w:rPr>
              <w:t xml:space="preserve">colectate din sectorul financiar, de principiu anterior </w:t>
            </w:r>
            <w:r w:rsidR="00D311C9">
              <w:rPr>
                <w:lang w:eastAsia="ro-RO"/>
              </w:rPr>
              <w:t>ș</w:t>
            </w:r>
            <w:r>
              <w:rPr>
                <w:lang w:eastAsia="ro-RO"/>
              </w:rPr>
              <w:t>i independent de orice opera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iuni de rezolu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ie (finan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are ex-ante, cu nivel minim impus cel pu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 xml:space="preserve">in până la atingerea unei mase critice a resurselor disponibile) </w:t>
            </w:r>
            <w:r w:rsidR="00D311C9">
              <w:rPr>
                <w:lang w:eastAsia="ro-RO"/>
              </w:rPr>
              <w:t>ș</w:t>
            </w:r>
            <w:r>
              <w:rPr>
                <w:lang w:eastAsia="ro-RO"/>
              </w:rPr>
              <w:t>i, dacă</w:t>
            </w:r>
            <w:r>
              <w:t xml:space="preserve"> aceast</w:t>
            </w:r>
            <w:r>
              <w:rPr>
                <w:lang w:eastAsia="ro-RO"/>
              </w:rPr>
              <w:t>ă</w:t>
            </w:r>
            <w:r w:rsidR="006904E2">
              <w:rPr>
                <w:lang w:eastAsia="ro-RO"/>
              </w:rPr>
              <w:t xml:space="preserve"> </w:t>
            </w:r>
            <w:r>
              <w:rPr>
                <w:lang w:eastAsia="ro-RO"/>
              </w:rPr>
              <w:t>finan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are prealabilă este insuficientă, prin contribu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 xml:space="preserve">ii ulterioare. </w:t>
            </w:r>
          </w:p>
          <w:p w14:paraId="30361194" w14:textId="77777777" w:rsidR="0056405F" w:rsidRDefault="0056405F" w:rsidP="001043F2">
            <w:pPr>
              <w:jc w:val="both"/>
            </w:pPr>
          </w:p>
          <w:p w14:paraId="254D264C" w14:textId="4F4107B9" w:rsidR="0056405F" w:rsidRPr="00887D37" w:rsidRDefault="0056405F" w:rsidP="0056405F">
            <w:pPr>
              <w:pStyle w:val="Corptext31"/>
              <w:rPr>
                <w:sz w:val="24"/>
              </w:rPr>
            </w:pPr>
            <w:r w:rsidRPr="00AF268D">
              <w:rPr>
                <w:b/>
                <w:sz w:val="24"/>
              </w:rPr>
              <w:lastRenderedPageBreak/>
              <w:t>b)</w:t>
            </w:r>
            <w:r w:rsidRPr="00887D37">
              <w:rPr>
                <w:sz w:val="24"/>
              </w:rPr>
              <w:t xml:space="preserve"> În Jurnalul Oficial a</w:t>
            </w:r>
            <w:r>
              <w:rPr>
                <w:sz w:val="24"/>
              </w:rPr>
              <w:t xml:space="preserve">l Uniunii Europene din data de 07 </w:t>
            </w:r>
            <w:r w:rsidRPr="00887D37">
              <w:rPr>
                <w:sz w:val="24"/>
              </w:rPr>
              <w:t>iunie 201</w:t>
            </w:r>
            <w:r>
              <w:rPr>
                <w:sz w:val="24"/>
              </w:rPr>
              <w:t>9</w:t>
            </w:r>
            <w:r w:rsidRPr="00887D37">
              <w:rPr>
                <w:sz w:val="24"/>
              </w:rPr>
              <w:t xml:space="preserve"> a fost publicată </w:t>
            </w:r>
            <w:r>
              <w:rPr>
                <w:bCs/>
                <w:i/>
                <w:iCs/>
                <w:sz w:val="24"/>
              </w:rPr>
              <w:t>Directiva 2019/879</w:t>
            </w:r>
            <w:r w:rsidRPr="00887D37">
              <w:rPr>
                <w:bCs/>
                <w:i/>
                <w:iCs/>
                <w:sz w:val="24"/>
              </w:rPr>
              <w:t xml:space="preserve">/UE </w:t>
            </w:r>
            <w:r>
              <w:rPr>
                <w:bCs/>
                <w:i/>
                <w:iCs/>
                <w:sz w:val="24"/>
              </w:rPr>
              <w:t xml:space="preserve">a Parlamentului European </w:t>
            </w:r>
            <w:r w:rsidR="00D311C9">
              <w:rPr>
                <w:bCs/>
                <w:i/>
                <w:iCs/>
                <w:sz w:val="24"/>
              </w:rPr>
              <w:t>ș</w:t>
            </w:r>
            <w:r>
              <w:rPr>
                <w:bCs/>
                <w:i/>
                <w:iCs/>
                <w:sz w:val="24"/>
              </w:rPr>
              <w:t>i a Consiliului din 20 mai 2019 de modificare a Directivei 2014/59/UE în ceea ce prive</w:t>
            </w:r>
            <w:r w:rsidR="00D311C9">
              <w:rPr>
                <w:bCs/>
                <w:i/>
                <w:iCs/>
                <w:sz w:val="24"/>
              </w:rPr>
              <w:t>ș</w:t>
            </w:r>
            <w:r>
              <w:rPr>
                <w:bCs/>
                <w:i/>
                <w:iCs/>
                <w:sz w:val="24"/>
              </w:rPr>
              <w:t>te capacitatea de abso</w:t>
            </w:r>
            <w:r w:rsidR="00DA023A">
              <w:rPr>
                <w:bCs/>
                <w:i/>
                <w:iCs/>
                <w:sz w:val="24"/>
              </w:rPr>
              <w:t>r</w:t>
            </w:r>
            <w:r>
              <w:rPr>
                <w:bCs/>
                <w:i/>
                <w:iCs/>
                <w:sz w:val="24"/>
              </w:rPr>
              <w:t>b</w:t>
            </w:r>
            <w:r w:rsidR="00D311C9">
              <w:rPr>
                <w:bCs/>
                <w:i/>
                <w:iCs/>
                <w:sz w:val="24"/>
              </w:rPr>
              <w:t>ț</w:t>
            </w:r>
            <w:r>
              <w:rPr>
                <w:bCs/>
                <w:i/>
                <w:iCs/>
                <w:sz w:val="24"/>
              </w:rPr>
              <w:t xml:space="preserve">ie a pierderilor </w:t>
            </w:r>
            <w:r w:rsidR="00D311C9">
              <w:rPr>
                <w:bCs/>
                <w:i/>
                <w:iCs/>
                <w:sz w:val="24"/>
              </w:rPr>
              <w:t>ș</w:t>
            </w:r>
            <w:r>
              <w:rPr>
                <w:bCs/>
                <w:i/>
                <w:iCs/>
                <w:sz w:val="24"/>
              </w:rPr>
              <w:t>i de recapitalizare a institu</w:t>
            </w:r>
            <w:r w:rsidR="00D311C9">
              <w:rPr>
                <w:bCs/>
                <w:i/>
                <w:iCs/>
                <w:sz w:val="24"/>
              </w:rPr>
              <w:t>ț</w:t>
            </w:r>
            <w:r>
              <w:rPr>
                <w:bCs/>
                <w:i/>
                <w:iCs/>
                <w:sz w:val="24"/>
              </w:rPr>
              <w:t xml:space="preserve">iilor de credit </w:t>
            </w:r>
            <w:r w:rsidR="00D311C9">
              <w:rPr>
                <w:bCs/>
                <w:i/>
                <w:iCs/>
                <w:sz w:val="24"/>
              </w:rPr>
              <w:t>ș</w:t>
            </w:r>
            <w:r>
              <w:rPr>
                <w:bCs/>
                <w:i/>
                <w:iCs/>
                <w:sz w:val="24"/>
              </w:rPr>
              <w:t>i a firmelor de investi</w:t>
            </w:r>
            <w:r w:rsidR="00D311C9">
              <w:rPr>
                <w:bCs/>
                <w:i/>
                <w:iCs/>
                <w:sz w:val="24"/>
              </w:rPr>
              <w:t>ț</w:t>
            </w:r>
            <w:r>
              <w:rPr>
                <w:bCs/>
                <w:i/>
                <w:iCs/>
                <w:sz w:val="24"/>
              </w:rPr>
              <w:t xml:space="preserve">ii </w:t>
            </w:r>
            <w:r w:rsidR="00D311C9">
              <w:rPr>
                <w:bCs/>
                <w:i/>
                <w:iCs/>
                <w:sz w:val="24"/>
              </w:rPr>
              <w:t>ș</w:t>
            </w:r>
            <w:r>
              <w:rPr>
                <w:bCs/>
                <w:i/>
                <w:iCs/>
                <w:sz w:val="24"/>
              </w:rPr>
              <w:t>i a Directivei 98/26/CE</w:t>
            </w:r>
            <w:r w:rsidRPr="00887D37">
              <w:rPr>
                <w:bCs/>
                <w:i/>
                <w:iCs/>
                <w:sz w:val="24"/>
              </w:rPr>
              <w:t xml:space="preserve">, </w:t>
            </w:r>
            <w:r w:rsidRPr="00887D37">
              <w:rPr>
                <w:sz w:val="24"/>
              </w:rPr>
              <w:t>a cărei transpunere în legisla</w:t>
            </w:r>
            <w:r w:rsidR="00D311C9">
              <w:rPr>
                <w:sz w:val="24"/>
              </w:rPr>
              <w:t>ț</w:t>
            </w:r>
            <w:r w:rsidRPr="00887D37">
              <w:rPr>
                <w:sz w:val="24"/>
              </w:rPr>
              <w:t>ia na</w:t>
            </w:r>
            <w:r w:rsidR="00D311C9">
              <w:rPr>
                <w:sz w:val="24"/>
              </w:rPr>
              <w:t>ț</w:t>
            </w:r>
            <w:r w:rsidRPr="00887D37">
              <w:rPr>
                <w:sz w:val="24"/>
              </w:rPr>
              <w:t>ională a statelor membre trebui</w:t>
            </w:r>
            <w:r w:rsidR="005517D9">
              <w:rPr>
                <w:sz w:val="24"/>
              </w:rPr>
              <w:t>e</w:t>
            </w:r>
            <w:r w:rsidRPr="00887D37">
              <w:rPr>
                <w:sz w:val="24"/>
              </w:rPr>
              <w:t xml:space="preserve"> realizată în</w:t>
            </w:r>
            <w:r w:rsidR="00821304">
              <w:rPr>
                <w:sz w:val="24"/>
              </w:rPr>
              <w:t xml:space="preserve"> </w:t>
            </w:r>
            <w:r w:rsidRPr="00887D37">
              <w:rPr>
                <w:sz w:val="24"/>
              </w:rPr>
              <w:t>termenul prevăzut de art</w:t>
            </w:r>
            <w:r w:rsidR="006904E2">
              <w:rPr>
                <w:sz w:val="24"/>
              </w:rPr>
              <w:t>.</w:t>
            </w:r>
            <w:r w:rsidRPr="00887D37">
              <w:rPr>
                <w:sz w:val="24"/>
              </w:rPr>
              <w:t xml:space="preserve"> 3 din directivă, respectiv până la </w:t>
            </w:r>
            <w:r>
              <w:rPr>
                <w:sz w:val="24"/>
              </w:rPr>
              <w:t xml:space="preserve">data de </w:t>
            </w:r>
            <w:r w:rsidRPr="00AC336A">
              <w:rPr>
                <w:b/>
                <w:sz w:val="24"/>
              </w:rPr>
              <w:t>28 decembrie 2020</w:t>
            </w:r>
            <w:r w:rsidRPr="00887D37">
              <w:rPr>
                <w:sz w:val="24"/>
              </w:rPr>
              <w:t>, iar aplicabilitatea trebui</w:t>
            </w:r>
            <w:r w:rsidR="006904E2">
              <w:rPr>
                <w:sz w:val="24"/>
              </w:rPr>
              <w:t>e</w:t>
            </w:r>
            <w:r w:rsidRPr="00887D37">
              <w:rPr>
                <w:sz w:val="24"/>
              </w:rPr>
              <w:t xml:space="preserve"> asig</w:t>
            </w:r>
            <w:r>
              <w:rPr>
                <w:sz w:val="24"/>
              </w:rPr>
              <w:t>urată începând cu aceea</w:t>
            </w:r>
            <w:r w:rsidR="00D311C9">
              <w:rPr>
                <w:sz w:val="24"/>
              </w:rPr>
              <w:t>ș</w:t>
            </w:r>
            <w:r>
              <w:rPr>
                <w:sz w:val="24"/>
              </w:rPr>
              <w:t>i dată</w:t>
            </w:r>
            <w:r w:rsidRPr="00887D37">
              <w:rPr>
                <w:sz w:val="24"/>
              </w:rPr>
              <w:t>.</w:t>
            </w:r>
          </w:p>
          <w:p w14:paraId="1BC2E8AF" w14:textId="77777777" w:rsidR="0056405F" w:rsidRDefault="0056405F" w:rsidP="0056405F">
            <w:pPr>
              <w:jc w:val="both"/>
            </w:pPr>
          </w:p>
          <w:p w14:paraId="1F654875" w14:textId="77777777" w:rsidR="008D576C" w:rsidRPr="008D576C" w:rsidRDefault="008D576C" w:rsidP="0056405F">
            <w:pPr>
              <w:jc w:val="both"/>
              <w:rPr>
                <w:b/>
              </w:rPr>
            </w:pPr>
            <w:r w:rsidRPr="008D576C">
              <w:rPr>
                <w:b/>
              </w:rPr>
              <w:t xml:space="preserve">b.1. Modificări aduse </w:t>
            </w:r>
            <w:r w:rsidRPr="008D576C">
              <w:rPr>
                <w:b/>
                <w:bCs/>
                <w:i/>
                <w:iCs/>
              </w:rPr>
              <w:t>Directivei 2014/59/UE</w:t>
            </w:r>
          </w:p>
          <w:p w14:paraId="0B9983E7" w14:textId="7857E770" w:rsidR="0082107D" w:rsidRPr="0082107D" w:rsidRDefault="0082107D" w:rsidP="0056405F">
            <w:pPr>
              <w:jc w:val="both"/>
              <w:rPr>
                <w:b/>
              </w:rPr>
            </w:pPr>
            <w:r w:rsidRPr="0082107D">
              <w:rPr>
                <w:b/>
              </w:rPr>
              <w:t>b.1.</w:t>
            </w:r>
            <w:r w:rsidR="008D576C">
              <w:rPr>
                <w:b/>
              </w:rPr>
              <w:t>1</w:t>
            </w:r>
            <w:r w:rsidRPr="0082107D">
              <w:rPr>
                <w:b/>
              </w:rPr>
              <w:t xml:space="preserve"> Implementarea standardului privind capacitatea totală de absorb</w:t>
            </w:r>
            <w:r w:rsidR="00D311C9">
              <w:rPr>
                <w:b/>
              </w:rPr>
              <w:t>ț</w:t>
            </w:r>
            <w:r w:rsidRPr="0082107D">
              <w:rPr>
                <w:b/>
              </w:rPr>
              <w:t xml:space="preserve">ie a pierderilor (standardul TLAC) </w:t>
            </w:r>
            <w:r w:rsidR="00D311C9">
              <w:rPr>
                <w:b/>
              </w:rPr>
              <w:t>ș</w:t>
            </w:r>
            <w:r w:rsidRPr="0082107D">
              <w:rPr>
                <w:b/>
              </w:rPr>
              <w:t>i revizuirea cerin</w:t>
            </w:r>
            <w:r w:rsidR="00D311C9">
              <w:rPr>
                <w:b/>
              </w:rPr>
              <w:t>ț</w:t>
            </w:r>
            <w:r w:rsidRPr="0082107D">
              <w:rPr>
                <w:b/>
              </w:rPr>
              <w:t xml:space="preserve">ei MREL </w:t>
            </w:r>
          </w:p>
          <w:p w14:paraId="0F26BDE2" w14:textId="026CC2CC" w:rsidR="002D1414" w:rsidRDefault="00844491" w:rsidP="0056405F">
            <w:pPr>
              <w:jc w:val="both"/>
            </w:pPr>
            <w:r w:rsidRPr="00844491">
              <w:t xml:space="preserve">Directiva 2019/879/UE </w:t>
            </w:r>
            <w:r w:rsidR="0056405F">
              <w:t xml:space="preserve">are ca </w:t>
            </w:r>
            <w:r w:rsidR="002D1414">
              <w:t xml:space="preserve">punct de plecare standardul privind </w:t>
            </w:r>
            <w:r w:rsidR="002D1414" w:rsidRPr="0056405F">
              <w:t>capacitatea totală de absorb</w:t>
            </w:r>
            <w:r w:rsidR="00D311C9">
              <w:t>ț</w:t>
            </w:r>
            <w:r w:rsidR="002D1414" w:rsidRPr="0056405F">
              <w:t>ie a pierderilor</w:t>
            </w:r>
            <w:r w:rsidR="002D1414">
              <w:t xml:space="preserve"> (standardul TLAC) publicat de Financial Stability Board la data de </w:t>
            </w:r>
            <w:r w:rsidR="0056405F" w:rsidRPr="0056405F">
              <w:t>9 noiembrie 2015</w:t>
            </w:r>
            <w:r w:rsidR="006631C2">
              <w:t xml:space="preserve">. </w:t>
            </w:r>
            <w:r w:rsidR="0056405F" w:rsidRPr="0056405F">
              <w:t xml:space="preserve">Obiectivul standardului TLAC este acela de a asigura că </w:t>
            </w:r>
            <w:r w:rsidR="00DE4371">
              <w:t>institu</w:t>
            </w:r>
            <w:r w:rsidR="00D311C9">
              <w:t>ț</w:t>
            </w:r>
            <w:r w:rsidR="00DE4371">
              <w:t xml:space="preserve">iile </w:t>
            </w:r>
            <w:r w:rsidR="0056405F" w:rsidRPr="0056405F">
              <w:t>de importan</w:t>
            </w:r>
            <w:r w:rsidR="00D311C9">
              <w:t>ț</w:t>
            </w:r>
            <w:r w:rsidR="0056405F" w:rsidRPr="0056405F">
              <w:t>ă sistemică globală</w:t>
            </w:r>
            <w:r w:rsidR="00C41C7E">
              <w:t xml:space="preserve"> (G-SII)</w:t>
            </w:r>
            <w:r w:rsidR="0056405F" w:rsidRPr="0056405F">
              <w:t xml:space="preserve"> dispun de capacitatea necesară de absorb</w:t>
            </w:r>
            <w:r w:rsidR="00D311C9">
              <w:t>ț</w:t>
            </w:r>
            <w:r w:rsidR="0056405F" w:rsidRPr="0056405F">
              <w:t xml:space="preserve">ie a pierderilor </w:t>
            </w:r>
            <w:r w:rsidR="00D311C9">
              <w:t>ș</w:t>
            </w:r>
            <w:r w:rsidR="0056405F" w:rsidRPr="0056405F">
              <w:t xml:space="preserve">i de recapitalizare pentru a contribui la garantarea faptului că, </w:t>
            </w:r>
            <w:r w:rsidR="00DE4371">
              <w:t>atât în r</w:t>
            </w:r>
            <w:r w:rsidR="0056405F" w:rsidRPr="0056405F">
              <w:t>ezolu</w:t>
            </w:r>
            <w:r w:rsidR="00D311C9">
              <w:t>ț</w:t>
            </w:r>
            <w:r w:rsidR="0056405F" w:rsidRPr="0056405F">
              <w:t>i</w:t>
            </w:r>
            <w:r w:rsidR="00DE4371">
              <w:t>e</w:t>
            </w:r>
            <w:r w:rsidR="006631C2">
              <w:t>,</w:t>
            </w:r>
            <w:r w:rsidR="00DE4371">
              <w:t xml:space="preserve"> cât</w:t>
            </w:r>
            <w:r w:rsidR="0056405F" w:rsidRPr="0056405F">
              <w:t xml:space="preserve"> </w:t>
            </w:r>
            <w:r w:rsidR="00D311C9">
              <w:t>ș</w:t>
            </w:r>
            <w:r w:rsidR="0056405F" w:rsidRPr="0056405F">
              <w:t>i în perioada imediat următoare, respectivele institu</w:t>
            </w:r>
            <w:r w:rsidR="00D311C9">
              <w:t>ț</w:t>
            </w:r>
            <w:r w:rsidR="0056405F" w:rsidRPr="0056405F">
              <w:t>ii pot continua să îndeplinească func</w:t>
            </w:r>
            <w:r w:rsidR="00D311C9">
              <w:t>ț</w:t>
            </w:r>
            <w:r w:rsidR="0056405F" w:rsidRPr="0056405F">
              <w:t xml:space="preserve">ii critice fără a pune </w:t>
            </w:r>
            <w:r w:rsidR="005517D9">
              <w:t xml:space="preserve">în pericol </w:t>
            </w:r>
            <w:r w:rsidR="0056405F" w:rsidRPr="0056405F">
              <w:t xml:space="preserve">fondurile contribuabililor,  sau stabilitatea financiară. </w:t>
            </w:r>
          </w:p>
          <w:p w14:paraId="5C4F4ECE" w14:textId="77777777" w:rsidR="00DE4371" w:rsidRDefault="00DE4371" w:rsidP="0056405F">
            <w:pPr>
              <w:jc w:val="both"/>
            </w:pPr>
          </w:p>
          <w:p w14:paraId="698F2E84" w14:textId="1F9D0CD1" w:rsidR="00DE4371" w:rsidRDefault="0056405F" w:rsidP="0056405F">
            <w:pPr>
              <w:jc w:val="both"/>
            </w:pPr>
            <w:r w:rsidRPr="0056405F">
              <w:t xml:space="preserve">Punerea în aplicare a standardului TLAC în dreptul Uniunii </w:t>
            </w:r>
            <w:r w:rsidR="00CB6F1E">
              <w:t xml:space="preserve">Europene </w:t>
            </w:r>
            <w:r w:rsidRPr="0056405F">
              <w:t xml:space="preserve">trebuie să </w:t>
            </w:r>
            <w:r w:rsidR="00D311C9">
              <w:t>ț</w:t>
            </w:r>
            <w:r w:rsidRPr="0056405F">
              <w:t>ină seama de cerin</w:t>
            </w:r>
            <w:r w:rsidR="00D311C9">
              <w:t>ț</w:t>
            </w:r>
            <w:r w:rsidRPr="0056405F">
              <w:t xml:space="preserve">a minimă de fonduri proprii </w:t>
            </w:r>
            <w:r w:rsidR="00D311C9">
              <w:t>ș</w:t>
            </w:r>
            <w:r w:rsidRPr="0056405F">
              <w:t>i datorii eligibile</w:t>
            </w:r>
            <w:r w:rsidR="00DE4371">
              <w:t>, specifică fiecărei institu</w:t>
            </w:r>
            <w:r w:rsidR="00D311C9">
              <w:t>ț</w:t>
            </w:r>
            <w:r w:rsidR="00DE4371">
              <w:t>ii</w:t>
            </w:r>
            <w:r w:rsidRPr="0056405F">
              <w:t xml:space="preserve"> („MREL”),</w:t>
            </w:r>
            <w:r w:rsidR="00DE4371">
              <w:t xml:space="preserve"> prevăzută de cadrul legal în vigoare </w:t>
            </w:r>
            <w:r w:rsidR="00D311C9">
              <w:t>ș</w:t>
            </w:r>
            <w:r w:rsidR="00DE4371">
              <w:t>i</w:t>
            </w:r>
            <w:r w:rsidRPr="0056405F">
              <w:t xml:space="preserve"> care se aplică tuturor institu</w:t>
            </w:r>
            <w:r w:rsidR="00D311C9">
              <w:t>ț</w:t>
            </w:r>
            <w:r w:rsidRPr="0056405F">
              <w:t xml:space="preserve">iilor de credit </w:t>
            </w:r>
            <w:r w:rsidR="00D311C9">
              <w:t>ș</w:t>
            </w:r>
            <w:r w:rsidRPr="0056405F">
              <w:t>i firmelor de investi</w:t>
            </w:r>
            <w:r w:rsidR="00D311C9">
              <w:t>ț</w:t>
            </w:r>
            <w:r w:rsidRPr="0056405F">
              <w:t>ii („institu</w:t>
            </w:r>
            <w:r w:rsidR="00D311C9">
              <w:t>ț</w:t>
            </w:r>
            <w:r w:rsidRPr="0056405F">
              <w:t>ii”) cu sediul în Uniune</w:t>
            </w:r>
            <w:r w:rsidR="002E5D13">
              <w:t>a</w:t>
            </w:r>
            <w:r w:rsidR="00AC36EF">
              <w:t xml:space="preserve"> Europeană</w:t>
            </w:r>
            <w:r w:rsidRPr="0056405F">
              <w:t xml:space="preserve">, precum </w:t>
            </w:r>
            <w:r w:rsidR="00D311C9">
              <w:t>ș</w:t>
            </w:r>
            <w:r w:rsidRPr="0056405F">
              <w:t>i oricărei alte entită</w:t>
            </w:r>
            <w:r w:rsidR="00D311C9">
              <w:t>ț</w:t>
            </w:r>
            <w:r w:rsidRPr="0056405F">
              <w:t xml:space="preserve">i astfel cum este prevăzut în Directiva 2014/59/UE a Parlamentului European </w:t>
            </w:r>
            <w:r w:rsidR="00D311C9">
              <w:t>ș</w:t>
            </w:r>
            <w:r w:rsidRPr="0056405F">
              <w:t>i a Consiliului  („entită</w:t>
            </w:r>
            <w:r w:rsidR="00D311C9">
              <w:t>ț</w:t>
            </w:r>
            <w:r w:rsidRPr="0056405F">
              <w:t>i”).</w:t>
            </w:r>
          </w:p>
          <w:p w14:paraId="34F87D8F" w14:textId="486F4B9A" w:rsidR="0056405F" w:rsidRDefault="0056405F" w:rsidP="0056405F">
            <w:pPr>
              <w:jc w:val="both"/>
            </w:pPr>
            <w:r w:rsidRPr="0056405F">
              <w:t xml:space="preserve">Având în vedere că standardul TLAC </w:t>
            </w:r>
            <w:r w:rsidR="00D311C9">
              <w:t>ș</w:t>
            </w:r>
            <w:r w:rsidRPr="0056405F">
              <w:t>i</w:t>
            </w:r>
            <w:r w:rsidR="00DE4371">
              <w:t xml:space="preserve"> cerin</w:t>
            </w:r>
            <w:r w:rsidR="00D311C9">
              <w:t>ț</w:t>
            </w:r>
            <w:r w:rsidR="00DE4371">
              <w:t>a</w:t>
            </w:r>
            <w:r w:rsidRPr="0056405F">
              <w:t xml:space="preserve"> MREL urmăresc acela</w:t>
            </w:r>
            <w:r w:rsidR="00D311C9">
              <w:t>ș</w:t>
            </w:r>
            <w:r w:rsidRPr="0056405F">
              <w:t xml:space="preserve">i obiectiv, </w:t>
            </w:r>
            <w:r w:rsidR="00D311C9">
              <w:t>ș</w:t>
            </w:r>
            <w:r w:rsidRPr="0056405F">
              <w:t>i anume garantarea faptului că institu</w:t>
            </w:r>
            <w:r w:rsidR="00D311C9">
              <w:t>ț</w:t>
            </w:r>
            <w:r w:rsidRPr="0056405F">
              <w:t xml:space="preserve">iile </w:t>
            </w:r>
            <w:r w:rsidR="00D311C9">
              <w:t>ș</w:t>
            </w:r>
            <w:r w:rsidRPr="0056405F">
              <w:t>i entită</w:t>
            </w:r>
            <w:r w:rsidR="00D311C9">
              <w:t>ț</w:t>
            </w:r>
            <w:r w:rsidRPr="0056405F">
              <w:t>ile cu sediul în Uniune</w:t>
            </w:r>
            <w:r w:rsidR="00CB6F1E">
              <w:t xml:space="preserve">a Europeană </w:t>
            </w:r>
            <w:r w:rsidRPr="0056405F">
              <w:t>au o capacitate suficientă de absorb</w:t>
            </w:r>
            <w:r w:rsidR="00D311C9">
              <w:t>ț</w:t>
            </w:r>
            <w:r w:rsidRPr="0056405F">
              <w:t xml:space="preserve">ie a pierderilor </w:t>
            </w:r>
            <w:r w:rsidR="00D311C9">
              <w:t>ș</w:t>
            </w:r>
            <w:r w:rsidRPr="0056405F">
              <w:t>i de recapitalizare, cele două cerin</w:t>
            </w:r>
            <w:r w:rsidR="00D311C9">
              <w:t>ț</w:t>
            </w:r>
            <w:r w:rsidRPr="0056405F">
              <w:t>e trebui</w:t>
            </w:r>
            <w:r w:rsidR="00C41C7E">
              <w:t>e</w:t>
            </w:r>
            <w:r w:rsidRPr="0056405F">
              <w:t xml:space="preserve"> să fie elemente complementare ale unui cadru comun.</w:t>
            </w:r>
          </w:p>
          <w:p w14:paraId="3BF5973D" w14:textId="77777777" w:rsidR="00DE4371" w:rsidRDefault="00DE4371" w:rsidP="0056405F">
            <w:pPr>
              <w:jc w:val="both"/>
            </w:pPr>
          </w:p>
          <w:p w14:paraId="57B7D327" w14:textId="74E7C57F" w:rsidR="0056405F" w:rsidRDefault="00DE4371" w:rsidP="00DE4371">
            <w:pPr>
              <w:jc w:val="both"/>
            </w:pPr>
            <w:r>
              <w:t>Din punct de vedere opera</w:t>
            </w:r>
            <w:r w:rsidR="00D311C9">
              <w:t>ț</w:t>
            </w:r>
            <w:r>
              <w:t xml:space="preserve">ional, nivelul minim armonizat </w:t>
            </w:r>
            <w:r w:rsidR="00C41C7E">
              <w:t>al cerin</w:t>
            </w:r>
            <w:r w:rsidR="00D311C9">
              <w:t>ț</w:t>
            </w:r>
            <w:r w:rsidR="00C41C7E">
              <w:t>ei, conform</w:t>
            </w:r>
            <w:r>
              <w:t xml:space="preserve"> standardului TLAC</w:t>
            </w:r>
            <w:r w:rsidR="00C41C7E">
              <w:t>,</w:t>
            </w:r>
            <w:r>
              <w:t xml:space="preserve"> pentru institu</w:t>
            </w:r>
            <w:r w:rsidR="00D311C9">
              <w:t>ț</w:t>
            </w:r>
            <w:r>
              <w:t>iile din categoria G-SII („cerin</w:t>
            </w:r>
            <w:r w:rsidR="00D311C9">
              <w:t>ț</w:t>
            </w:r>
            <w:r>
              <w:t xml:space="preserve">a minimă TLAC”) </w:t>
            </w:r>
            <w:r w:rsidR="000627AD">
              <w:t xml:space="preserve">este </w:t>
            </w:r>
            <w:r>
              <w:t>introdus în legisla</w:t>
            </w:r>
            <w:r w:rsidR="00D311C9">
              <w:t>ț</w:t>
            </w:r>
            <w:r>
              <w:t>ia Uniunii</w:t>
            </w:r>
            <w:r w:rsidR="000627AD">
              <w:t xml:space="preserve"> Europene</w:t>
            </w:r>
            <w:r>
              <w:t xml:space="preserve"> prin modificarea Regulamentului (UE) nr. 575/2013, în timp ce cerin</w:t>
            </w:r>
            <w:r w:rsidR="00D311C9">
              <w:t>ț</w:t>
            </w:r>
            <w:r>
              <w:t>a suplimentară specifică fiecărei institu</w:t>
            </w:r>
            <w:r w:rsidR="00D311C9">
              <w:t>ț</w:t>
            </w:r>
            <w:r>
              <w:t xml:space="preserve">ii din categoria G-SII </w:t>
            </w:r>
            <w:r w:rsidR="00D311C9">
              <w:t>ș</w:t>
            </w:r>
            <w:r>
              <w:t>i cerin</w:t>
            </w:r>
            <w:r w:rsidR="00D311C9">
              <w:t>ț</w:t>
            </w:r>
            <w:r>
              <w:t>a specifică institu</w:t>
            </w:r>
            <w:r w:rsidR="00D311C9">
              <w:t>ț</w:t>
            </w:r>
            <w:r>
              <w:t xml:space="preserve">iilor care nu intră în categoria G-SII, la care se face referire ca </w:t>
            </w:r>
            <w:r w:rsidR="00F0754F">
              <w:t>cerin</w:t>
            </w:r>
            <w:r w:rsidR="00D311C9">
              <w:t>ț</w:t>
            </w:r>
            <w:r w:rsidR="00F0754F">
              <w:t xml:space="preserve">ă </w:t>
            </w:r>
            <w:r>
              <w:t xml:space="preserve">MREL, </w:t>
            </w:r>
            <w:r w:rsidR="000627AD">
              <w:t xml:space="preserve">este </w:t>
            </w:r>
            <w:r>
              <w:t xml:space="preserve">abordată prin modificări specifice ale Directivei 2014/59/UE </w:t>
            </w:r>
            <w:r w:rsidR="00D311C9">
              <w:t>ș</w:t>
            </w:r>
            <w:r>
              <w:t xml:space="preserve">i ale </w:t>
            </w:r>
            <w:r w:rsidRPr="00F0754F">
              <w:rPr>
                <w:i/>
              </w:rPr>
              <w:t xml:space="preserve">Regulamentului (UE) nr. 806/2014 al Parlamentului European </w:t>
            </w:r>
            <w:r w:rsidR="00D311C9">
              <w:rPr>
                <w:i/>
              </w:rPr>
              <w:t>ș</w:t>
            </w:r>
            <w:r w:rsidRPr="00F0754F">
              <w:rPr>
                <w:i/>
              </w:rPr>
              <w:t xml:space="preserve">i al Consiliului din 15 iulie 2014 de stabilire a unor norme uniforme </w:t>
            </w:r>
            <w:r w:rsidR="00D311C9">
              <w:rPr>
                <w:i/>
              </w:rPr>
              <w:t>ș</w:t>
            </w:r>
            <w:r w:rsidRPr="00F0754F">
              <w:rPr>
                <w:i/>
              </w:rPr>
              <w:t>i a unei proceduri uniforme de rezolu</w:t>
            </w:r>
            <w:r w:rsidR="00D311C9">
              <w:rPr>
                <w:i/>
              </w:rPr>
              <w:t>ț</w:t>
            </w:r>
            <w:r w:rsidRPr="00F0754F">
              <w:rPr>
                <w:i/>
              </w:rPr>
              <w:t>ie a institu</w:t>
            </w:r>
            <w:r w:rsidR="00D311C9">
              <w:rPr>
                <w:i/>
              </w:rPr>
              <w:t>ț</w:t>
            </w:r>
            <w:r w:rsidRPr="00F0754F">
              <w:rPr>
                <w:i/>
              </w:rPr>
              <w:t xml:space="preserve">iilor de credit </w:t>
            </w:r>
            <w:r w:rsidR="00D311C9">
              <w:rPr>
                <w:i/>
              </w:rPr>
              <w:t>ș</w:t>
            </w:r>
            <w:r w:rsidRPr="00F0754F">
              <w:rPr>
                <w:i/>
              </w:rPr>
              <w:t>i a anumitor firme de investi</w:t>
            </w:r>
            <w:r w:rsidR="00D311C9">
              <w:rPr>
                <w:i/>
              </w:rPr>
              <w:t>ț</w:t>
            </w:r>
            <w:r w:rsidRPr="00F0754F">
              <w:rPr>
                <w:i/>
              </w:rPr>
              <w:t>ii în cadrul unui mecanism unic de rezolu</w:t>
            </w:r>
            <w:r w:rsidR="00D311C9">
              <w:rPr>
                <w:i/>
              </w:rPr>
              <w:t>ț</w:t>
            </w:r>
            <w:r w:rsidRPr="00F0754F">
              <w:rPr>
                <w:i/>
              </w:rPr>
              <w:t xml:space="preserve">ie </w:t>
            </w:r>
            <w:r w:rsidR="00D311C9">
              <w:rPr>
                <w:i/>
              </w:rPr>
              <w:t>ș</w:t>
            </w:r>
            <w:r w:rsidRPr="00F0754F">
              <w:rPr>
                <w:i/>
              </w:rPr>
              <w:t>i al unui fond unic de rezolu</w:t>
            </w:r>
            <w:r w:rsidR="00D311C9">
              <w:rPr>
                <w:i/>
              </w:rPr>
              <w:t>ț</w:t>
            </w:r>
            <w:r w:rsidRPr="00F0754F">
              <w:rPr>
                <w:i/>
              </w:rPr>
              <w:t xml:space="preserve">ie </w:t>
            </w:r>
            <w:r w:rsidR="00D311C9">
              <w:rPr>
                <w:i/>
              </w:rPr>
              <w:t>ș</w:t>
            </w:r>
            <w:r w:rsidRPr="00F0754F">
              <w:rPr>
                <w:i/>
              </w:rPr>
              <w:t>i de modificare a Re</w:t>
            </w:r>
            <w:r w:rsidR="00C41C7E" w:rsidRPr="00F0754F">
              <w:rPr>
                <w:i/>
              </w:rPr>
              <w:t>gulamentului (UE) nr. 1093/2010</w:t>
            </w:r>
            <w:r w:rsidR="00C41C7E">
              <w:t>.</w:t>
            </w:r>
          </w:p>
          <w:p w14:paraId="422C70C2" w14:textId="77777777" w:rsidR="00C41C7E" w:rsidRDefault="00C41C7E" w:rsidP="00DE4371">
            <w:pPr>
              <w:jc w:val="both"/>
            </w:pPr>
          </w:p>
          <w:p w14:paraId="3DEEAA67" w14:textId="58AB88F6" w:rsidR="000627AD" w:rsidRDefault="006631C2" w:rsidP="00DE4371">
            <w:pPr>
              <w:jc w:val="both"/>
            </w:pPr>
            <w:r>
              <w:t xml:space="preserve">Pentru aplicarea </w:t>
            </w:r>
            <w:r w:rsidR="00C41C7E" w:rsidRPr="00C41C7E">
              <w:t>standardul</w:t>
            </w:r>
            <w:r>
              <w:t>ui</w:t>
            </w:r>
            <w:r w:rsidR="00C41C7E" w:rsidRPr="00C41C7E">
              <w:t xml:space="preserve"> TLAC, Directiva 2014/59/UE </w:t>
            </w:r>
            <w:r w:rsidR="000627AD">
              <w:t>modificată prin</w:t>
            </w:r>
            <w:r>
              <w:t xml:space="preserve"> </w:t>
            </w:r>
            <w:r w:rsidR="00844491" w:rsidRPr="00844491">
              <w:t>Directiva 2019/879/UE</w:t>
            </w:r>
            <w:r w:rsidR="000627AD">
              <w:t xml:space="preserve">, </w:t>
            </w:r>
            <w:r>
              <w:t>stabile</w:t>
            </w:r>
            <w:r w:rsidR="00D311C9">
              <w:t>ș</w:t>
            </w:r>
            <w:r>
              <w:t xml:space="preserve">te prevederi referitoare la </w:t>
            </w:r>
            <w:r w:rsidR="00C41C7E" w:rsidRPr="00C41C7E">
              <w:t>strategia de rezolu</w:t>
            </w:r>
            <w:r w:rsidR="00D311C9">
              <w:t>ț</w:t>
            </w:r>
            <w:r w:rsidR="00C41C7E" w:rsidRPr="00C41C7E">
              <w:t>ie cu un singur punct de intrare</w:t>
            </w:r>
            <w:r w:rsidR="000627AD">
              <w:t xml:space="preserve"> (single point of entry - SPE)</w:t>
            </w:r>
            <w:r w:rsidR="00C41C7E" w:rsidRPr="00C41C7E">
              <w:t xml:space="preserve"> </w:t>
            </w:r>
            <w:r w:rsidR="00D311C9">
              <w:t>ș</w:t>
            </w:r>
            <w:r w:rsidR="00C41C7E" w:rsidRPr="00C41C7E">
              <w:t xml:space="preserve">i </w:t>
            </w:r>
            <w:r>
              <w:t xml:space="preserve">la </w:t>
            </w:r>
            <w:r w:rsidR="00C41C7E" w:rsidRPr="00C41C7E">
              <w:t>strategia de rezolu</w:t>
            </w:r>
            <w:r w:rsidR="00D311C9">
              <w:t>ț</w:t>
            </w:r>
            <w:r w:rsidR="00C41C7E" w:rsidRPr="00C41C7E">
              <w:t>ie cu mai multe puncte de intrare</w:t>
            </w:r>
            <w:r w:rsidR="000627AD">
              <w:t xml:space="preserve"> (multiple point of entry – MPE)</w:t>
            </w:r>
            <w:r w:rsidR="00C41C7E" w:rsidRPr="00C41C7E">
              <w:t xml:space="preserve">. </w:t>
            </w:r>
          </w:p>
          <w:p w14:paraId="080C08CA" w14:textId="741D584E" w:rsidR="000627AD" w:rsidRDefault="00C41C7E" w:rsidP="00DE4371">
            <w:pPr>
              <w:jc w:val="both"/>
            </w:pPr>
            <w:r w:rsidRPr="00C41C7E">
              <w:t>În strategia de rezolu</w:t>
            </w:r>
            <w:r w:rsidR="00D311C9">
              <w:t>ț</w:t>
            </w:r>
            <w:r w:rsidRPr="00C41C7E">
              <w:t>ie cu un singur punct de intrare, numai o entitate din grup, de obicei întreprinderea-mamă, face obiectul rezolu</w:t>
            </w:r>
            <w:r w:rsidR="00D311C9">
              <w:t>ț</w:t>
            </w:r>
            <w:r w:rsidRPr="00C41C7E">
              <w:t>iei, în timp ce celelalte entită</w:t>
            </w:r>
            <w:r w:rsidR="00D311C9">
              <w:t>ț</w:t>
            </w:r>
            <w:r w:rsidRPr="00C41C7E">
              <w:t>i din grup, de obicei filialele care desfă</w:t>
            </w:r>
            <w:r w:rsidR="00D311C9">
              <w:t>ș</w:t>
            </w:r>
            <w:r w:rsidRPr="00C41C7E">
              <w:t>oară activită</w:t>
            </w:r>
            <w:r w:rsidR="00D311C9">
              <w:t>ț</w:t>
            </w:r>
            <w:r w:rsidRPr="00C41C7E">
              <w:t>i economice, nu intră în rezolu</w:t>
            </w:r>
            <w:r w:rsidR="00D311C9">
              <w:t>ț</w:t>
            </w:r>
            <w:r w:rsidRPr="00C41C7E">
              <w:t xml:space="preserve">ie, ci transferă pierderile </w:t>
            </w:r>
            <w:r w:rsidR="00D311C9">
              <w:t>ș</w:t>
            </w:r>
            <w:r w:rsidRPr="00C41C7E">
              <w:t>i nevoile lor de recapitalizare entită</w:t>
            </w:r>
            <w:r w:rsidR="00D311C9">
              <w:t>ț</w:t>
            </w:r>
            <w:r w:rsidRPr="00C41C7E">
              <w:t>ii de rezolu</w:t>
            </w:r>
            <w:r w:rsidR="00D311C9">
              <w:t>ț</w:t>
            </w:r>
            <w:r w:rsidRPr="00C41C7E">
              <w:t xml:space="preserve">ie. </w:t>
            </w:r>
          </w:p>
          <w:p w14:paraId="50B9D8EA" w14:textId="471CA8A1" w:rsidR="000627AD" w:rsidRDefault="00C41C7E" w:rsidP="00DE4371">
            <w:pPr>
              <w:jc w:val="both"/>
            </w:pPr>
            <w:r w:rsidRPr="00C41C7E">
              <w:t>Pentru ca strategia de rezolu</w:t>
            </w:r>
            <w:r w:rsidR="00D311C9">
              <w:t>ț</w:t>
            </w:r>
            <w:r w:rsidRPr="00C41C7E">
              <w:t>ie dorită să fie aplicată în mod eficace, este important ca entită</w:t>
            </w:r>
            <w:r w:rsidR="00D311C9">
              <w:t>ț</w:t>
            </w:r>
            <w:r w:rsidRPr="00C41C7E">
              <w:t>ile care urmează să facă obiectul rezolu</w:t>
            </w:r>
            <w:r w:rsidR="00D311C9">
              <w:t>ț</w:t>
            </w:r>
            <w:r w:rsidRPr="00C41C7E">
              <w:t>iei („entită</w:t>
            </w:r>
            <w:r w:rsidR="00D311C9">
              <w:t>ț</w:t>
            </w:r>
            <w:r w:rsidRPr="00C41C7E">
              <w:t>i de rezolu</w:t>
            </w:r>
            <w:r w:rsidR="00D311C9">
              <w:t>ț</w:t>
            </w:r>
            <w:r w:rsidRPr="00C41C7E">
              <w:t>ie”), împreună cu filialele care apar</w:t>
            </w:r>
            <w:r w:rsidR="00D311C9">
              <w:t>ț</w:t>
            </w:r>
            <w:r w:rsidRPr="00C41C7E">
              <w:t>in acestor entită</w:t>
            </w:r>
            <w:r w:rsidR="00D311C9">
              <w:t>ț</w:t>
            </w:r>
            <w:r w:rsidRPr="00C41C7E">
              <w:t>i („grupuri de rezolu</w:t>
            </w:r>
            <w:r w:rsidR="00D311C9">
              <w:t>ț</w:t>
            </w:r>
            <w:r w:rsidRPr="00C41C7E">
              <w:t xml:space="preserve">ie”) să fie clar identificate. </w:t>
            </w:r>
            <w:r w:rsidR="000627AD">
              <w:t xml:space="preserve">Identificarea </w:t>
            </w:r>
            <w:r w:rsidRPr="00C41C7E">
              <w:t xml:space="preserve">este relevantă </w:t>
            </w:r>
            <w:r w:rsidR="00D311C9">
              <w:t>ș</w:t>
            </w:r>
            <w:r w:rsidR="000627AD">
              <w:t>i din perspectiva stabilirii cerin</w:t>
            </w:r>
            <w:r w:rsidR="00D311C9">
              <w:t>ț</w:t>
            </w:r>
            <w:r w:rsidR="000627AD">
              <w:t xml:space="preserve">ei ce urmează a fi îndeplinită astfel încât să fie asigurată o capacitate adecvată de </w:t>
            </w:r>
            <w:r w:rsidRPr="00C41C7E">
              <w:t>absorb</w:t>
            </w:r>
            <w:r w:rsidR="00D311C9">
              <w:t>ț</w:t>
            </w:r>
            <w:r w:rsidRPr="00C41C7E">
              <w:t xml:space="preserve">ie a pierderilor </w:t>
            </w:r>
            <w:r w:rsidR="00D311C9">
              <w:t>ș</w:t>
            </w:r>
            <w:r w:rsidRPr="00C41C7E">
              <w:t xml:space="preserve">i de recapitalizare. </w:t>
            </w:r>
          </w:p>
          <w:p w14:paraId="04C3774E" w14:textId="77777777" w:rsidR="000627AD" w:rsidRDefault="000627AD" w:rsidP="00DE4371">
            <w:pPr>
              <w:jc w:val="both"/>
            </w:pPr>
          </w:p>
          <w:p w14:paraId="59C4AD32" w14:textId="5C0AA02C" w:rsidR="000627AD" w:rsidRDefault="000627AD" w:rsidP="00DE4371">
            <w:pPr>
              <w:jc w:val="both"/>
            </w:pPr>
            <w:r>
              <w:lastRenderedPageBreak/>
              <w:t>Astfel</w:t>
            </w:r>
            <w:r w:rsidR="004D39E5">
              <w:t>,</w:t>
            </w:r>
            <w:r w:rsidR="00C5548E">
              <w:t xml:space="preserve"> </w:t>
            </w:r>
            <w:r w:rsidR="00C41C7E" w:rsidRPr="00C41C7E">
              <w:t>se introduc conceptele de „entitate de rezolu</w:t>
            </w:r>
            <w:r w:rsidR="00D311C9">
              <w:t>ț</w:t>
            </w:r>
            <w:r w:rsidR="00C41C7E" w:rsidRPr="00C41C7E">
              <w:t xml:space="preserve">ie” </w:t>
            </w:r>
            <w:r w:rsidR="00D311C9">
              <w:t>ș</w:t>
            </w:r>
            <w:r w:rsidR="00C41C7E" w:rsidRPr="00C41C7E">
              <w:t>i „grup de rezolu</w:t>
            </w:r>
            <w:r w:rsidR="00D311C9">
              <w:t>ț</w:t>
            </w:r>
            <w:r w:rsidR="00C41C7E" w:rsidRPr="00C41C7E">
              <w:t xml:space="preserve">ie” </w:t>
            </w:r>
            <w:r w:rsidR="00D311C9">
              <w:t>ș</w:t>
            </w:r>
            <w:r w:rsidR="00C41C7E" w:rsidRPr="00C41C7E">
              <w:t xml:space="preserve">i </w:t>
            </w:r>
            <w:r>
              <w:t xml:space="preserve">se modifică </w:t>
            </w:r>
            <w:r w:rsidR="00C41C7E" w:rsidRPr="00C41C7E">
              <w:t xml:space="preserve"> Directiva 2014/59/UE în ceea ce prive</w:t>
            </w:r>
            <w:r w:rsidR="00D311C9">
              <w:t>ș</w:t>
            </w:r>
            <w:r w:rsidR="00C41C7E" w:rsidRPr="00C41C7E">
              <w:t>te planificarea rezolu</w:t>
            </w:r>
            <w:r w:rsidR="00D311C9">
              <w:t>ț</w:t>
            </w:r>
            <w:r w:rsidR="00C41C7E" w:rsidRPr="00C41C7E">
              <w:t>iei grupului, astfel încât să se prevadă în mod explicit obliga</w:t>
            </w:r>
            <w:r w:rsidR="00D311C9">
              <w:t>ț</w:t>
            </w:r>
            <w:r w:rsidR="00C41C7E" w:rsidRPr="00C41C7E">
              <w:t>ia autorită</w:t>
            </w:r>
            <w:r w:rsidR="00D311C9">
              <w:t>ț</w:t>
            </w:r>
            <w:r w:rsidR="00C41C7E" w:rsidRPr="00C41C7E">
              <w:t>ilor de rezolu</w:t>
            </w:r>
            <w:r w:rsidR="00D311C9">
              <w:t>ț</w:t>
            </w:r>
            <w:r w:rsidR="00C41C7E" w:rsidRPr="00C41C7E">
              <w:t>ie de a identifica entită</w:t>
            </w:r>
            <w:r w:rsidR="00D311C9">
              <w:t>ț</w:t>
            </w:r>
            <w:r w:rsidR="00C41C7E" w:rsidRPr="00C41C7E">
              <w:t>ile de rezolu</w:t>
            </w:r>
            <w:r w:rsidR="00D311C9">
              <w:t>ț</w:t>
            </w:r>
            <w:r w:rsidR="00C41C7E" w:rsidRPr="00C41C7E">
              <w:t xml:space="preserve">ie </w:t>
            </w:r>
            <w:r w:rsidR="00D311C9">
              <w:t>ș</w:t>
            </w:r>
            <w:r w:rsidR="00C41C7E" w:rsidRPr="00C41C7E">
              <w:t>i grupurile de rezolu</w:t>
            </w:r>
            <w:r w:rsidR="00D311C9">
              <w:t>ț</w:t>
            </w:r>
            <w:r w:rsidR="00C41C7E" w:rsidRPr="00C41C7E">
              <w:t xml:space="preserve">ie din cadrul unui grup </w:t>
            </w:r>
            <w:r w:rsidR="00D311C9">
              <w:t>ș</w:t>
            </w:r>
            <w:r w:rsidR="00C41C7E" w:rsidRPr="00C41C7E">
              <w:t>i de a examina în mod adecvat consecin</w:t>
            </w:r>
            <w:r w:rsidR="00D311C9">
              <w:t>ț</w:t>
            </w:r>
            <w:r w:rsidR="00C41C7E" w:rsidRPr="00C41C7E">
              <w:t>ele oricărei măsuri planificate în cadrul grupului în vederea asigurării unei rezolu</w:t>
            </w:r>
            <w:r w:rsidR="00D311C9">
              <w:t>ț</w:t>
            </w:r>
            <w:r w:rsidR="00C41C7E" w:rsidRPr="00C41C7E">
              <w:t xml:space="preserve">ii eficace a grupului. </w:t>
            </w:r>
          </w:p>
          <w:p w14:paraId="69354A67" w14:textId="77777777" w:rsidR="000627AD" w:rsidRDefault="000627AD" w:rsidP="00DE4371">
            <w:pPr>
              <w:jc w:val="both"/>
            </w:pPr>
          </w:p>
          <w:p w14:paraId="3C743932" w14:textId="0F4D8F39" w:rsidR="000627AD" w:rsidRDefault="00C41C7E" w:rsidP="00DE4371">
            <w:pPr>
              <w:jc w:val="both"/>
            </w:pPr>
            <w:r w:rsidRPr="00C41C7E">
              <w:t>Statele membre trebui</w:t>
            </w:r>
            <w:r w:rsidR="000627AD">
              <w:t>e</w:t>
            </w:r>
            <w:r w:rsidRPr="00C41C7E">
              <w:t xml:space="preserve"> să se asigure că institu</w:t>
            </w:r>
            <w:r w:rsidR="00D311C9">
              <w:t>ț</w:t>
            </w:r>
            <w:r w:rsidRPr="00C41C7E">
              <w:t xml:space="preserve">iile </w:t>
            </w:r>
            <w:r w:rsidR="00D311C9">
              <w:t>ș</w:t>
            </w:r>
            <w:r w:rsidRPr="00C41C7E">
              <w:t>i entită</w:t>
            </w:r>
            <w:r w:rsidR="00D311C9">
              <w:t>ț</w:t>
            </w:r>
            <w:r w:rsidRPr="00C41C7E">
              <w:t>ile dispun de o capacitate de absorb</w:t>
            </w:r>
            <w:r w:rsidR="00D311C9">
              <w:t>ț</w:t>
            </w:r>
            <w:r w:rsidRPr="00C41C7E">
              <w:t xml:space="preserve">ie a pierderilor </w:t>
            </w:r>
            <w:r w:rsidR="00D311C9">
              <w:t>ș</w:t>
            </w:r>
            <w:r w:rsidRPr="00C41C7E">
              <w:t>i de recapitalizare suficientă pentru a garanta că absorb</w:t>
            </w:r>
            <w:r w:rsidR="00D311C9">
              <w:t>ț</w:t>
            </w:r>
            <w:r w:rsidRPr="00C41C7E">
              <w:t xml:space="preserve">ia pierderilor </w:t>
            </w:r>
            <w:r w:rsidR="00D311C9">
              <w:t>ș</w:t>
            </w:r>
            <w:r w:rsidRPr="00C41C7E">
              <w:t xml:space="preserve">i recapitalizarea se realizează rapid </w:t>
            </w:r>
            <w:r w:rsidR="00D311C9">
              <w:t>ș</w:t>
            </w:r>
            <w:r w:rsidRPr="00C41C7E">
              <w:t>i fără dificultă</w:t>
            </w:r>
            <w:r w:rsidR="00D311C9">
              <w:t>ț</w:t>
            </w:r>
            <w:r w:rsidRPr="00C41C7E">
              <w:t xml:space="preserve">i, cu un impact minim asupra contribuabililor </w:t>
            </w:r>
            <w:r w:rsidR="00D311C9">
              <w:t>ș</w:t>
            </w:r>
            <w:r w:rsidRPr="00C41C7E">
              <w:t>i stabilită</w:t>
            </w:r>
            <w:r w:rsidR="00D311C9">
              <w:t>ț</w:t>
            </w:r>
            <w:r w:rsidRPr="00C41C7E">
              <w:t xml:space="preserve">ii financiare. Acest lucru </w:t>
            </w:r>
            <w:r w:rsidR="00971DF8">
              <w:t xml:space="preserve">se poate </w:t>
            </w:r>
            <w:r w:rsidRPr="00C41C7E">
              <w:t>ob</w:t>
            </w:r>
            <w:r w:rsidR="00D311C9">
              <w:t>ț</w:t>
            </w:r>
            <w:r w:rsidRPr="00C41C7E">
              <w:t>in</w:t>
            </w:r>
            <w:r w:rsidR="00971DF8">
              <w:t>e</w:t>
            </w:r>
            <w:r w:rsidRPr="00C41C7E">
              <w:t xml:space="preserve"> prin respectarea de către institu</w:t>
            </w:r>
            <w:r w:rsidR="00D311C9">
              <w:t>ț</w:t>
            </w:r>
            <w:r w:rsidRPr="00C41C7E">
              <w:t xml:space="preserve">ii a unei </w:t>
            </w:r>
            <w:r w:rsidR="000627AD">
              <w:t>cerin</w:t>
            </w:r>
            <w:r w:rsidR="00D311C9">
              <w:t>ț</w:t>
            </w:r>
            <w:r w:rsidR="000627AD">
              <w:t xml:space="preserve">e </w:t>
            </w:r>
            <w:r w:rsidRPr="00C41C7E">
              <w:t>MREL specifice institu</w:t>
            </w:r>
            <w:r w:rsidR="00D311C9">
              <w:t>ț</w:t>
            </w:r>
            <w:r w:rsidRPr="00C41C7E">
              <w:t xml:space="preserve">iei, astfel cum se prevede în Directiva 2014/59/UE. </w:t>
            </w:r>
          </w:p>
          <w:p w14:paraId="51C2FC98" w14:textId="77777777" w:rsidR="000627AD" w:rsidRDefault="000627AD" w:rsidP="00DE4371">
            <w:pPr>
              <w:jc w:val="both"/>
            </w:pPr>
          </w:p>
          <w:p w14:paraId="40612D5C" w14:textId="16ADF7A6" w:rsidR="00C41C7E" w:rsidRDefault="004026BE" w:rsidP="00DE4371">
            <w:pPr>
              <w:jc w:val="both"/>
            </w:pPr>
            <w:r>
              <w:t xml:space="preserve">În linie cu prevederile </w:t>
            </w:r>
            <w:r w:rsidR="00C41C7E" w:rsidRPr="00C41C7E">
              <w:t>standardul</w:t>
            </w:r>
            <w:r w:rsidR="004D39E5">
              <w:t>ui</w:t>
            </w:r>
            <w:r w:rsidR="00C41C7E" w:rsidRPr="00C41C7E">
              <w:t xml:space="preserve"> TLAC, </w:t>
            </w:r>
            <w:r w:rsidR="000627AD">
              <w:t>cerin</w:t>
            </w:r>
            <w:r w:rsidR="00D311C9">
              <w:t>ț</w:t>
            </w:r>
            <w:r w:rsidR="000627AD">
              <w:t xml:space="preserve">a </w:t>
            </w:r>
            <w:r w:rsidR="00C41C7E" w:rsidRPr="00C41C7E">
              <w:t xml:space="preserve">MREL </w:t>
            </w:r>
            <w:r>
              <w:t xml:space="preserve">se exprimă </w:t>
            </w:r>
            <w:r w:rsidR="00C41C7E" w:rsidRPr="00C41C7E">
              <w:t xml:space="preserve">ca procent din cuantumul total al expunerii la risc </w:t>
            </w:r>
            <w:r w:rsidR="00D311C9">
              <w:t>ș</w:t>
            </w:r>
            <w:r w:rsidR="00C41C7E" w:rsidRPr="00C41C7E">
              <w:t>i din indicatorul de măsurare a expunerii totale ale institu</w:t>
            </w:r>
            <w:r w:rsidR="00D311C9">
              <w:t>ț</w:t>
            </w:r>
            <w:r w:rsidR="00C41C7E" w:rsidRPr="00C41C7E">
              <w:t>iei sau entită</w:t>
            </w:r>
            <w:r w:rsidR="00D311C9">
              <w:t>ț</w:t>
            </w:r>
            <w:r w:rsidR="00C41C7E" w:rsidRPr="00C41C7E">
              <w:t>ii relevante</w:t>
            </w:r>
            <w:r>
              <w:t>. I</w:t>
            </w:r>
            <w:r w:rsidR="00C41C7E" w:rsidRPr="00C41C7E">
              <w:t>nstitu</w:t>
            </w:r>
            <w:r w:rsidR="00D311C9">
              <w:t>ț</w:t>
            </w:r>
            <w:r w:rsidR="00C41C7E" w:rsidRPr="00C41C7E">
              <w:t>iile sau entită</w:t>
            </w:r>
            <w:r w:rsidR="00D311C9">
              <w:t>ț</w:t>
            </w:r>
            <w:r w:rsidR="00C41C7E" w:rsidRPr="00C41C7E">
              <w:t>ile trebui</w:t>
            </w:r>
            <w:r w:rsidR="000627AD">
              <w:t>e</w:t>
            </w:r>
            <w:r w:rsidR="00C41C7E" w:rsidRPr="00C41C7E">
              <w:t xml:space="preserve"> să respecte concomitent nivelurile care rezultă din cele două modalită</w:t>
            </w:r>
            <w:r w:rsidR="00D311C9">
              <w:t>ț</w:t>
            </w:r>
            <w:r w:rsidR="00C41C7E" w:rsidRPr="00C41C7E">
              <w:t>i de calcul.</w:t>
            </w:r>
          </w:p>
          <w:p w14:paraId="6B15E99A" w14:textId="77777777" w:rsidR="000627AD" w:rsidRDefault="000627AD" w:rsidP="00DE4371">
            <w:pPr>
              <w:jc w:val="both"/>
            </w:pPr>
          </w:p>
          <w:p w14:paraId="42AFA837" w14:textId="3BEE1F8C" w:rsidR="000627AD" w:rsidRDefault="009416AD" w:rsidP="00DE4371">
            <w:pPr>
              <w:jc w:val="both"/>
            </w:pPr>
            <w:r w:rsidRPr="009416AD">
              <w:t>Pentru a se asigura condi</w:t>
            </w:r>
            <w:r w:rsidR="00D311C9">
              <w:t>ț</w:t>
            </w:r>
            <w:r w:rsidRPr="009416AD">
              <w:t>ii de concuren</w:t>
            </w:r>
            <w:r w:rsidR="00D311C9">
              <w:t>ț</w:t>
            </w:r>
            <w:r w:rsidRPr="009416AD">
              <w:t>ă echitabile pentru institu</w:t>
            </w:r>
            <w:r w:rsidR="00D311C9">
              <w:t>ț</w:t>
            </w:r>
            <w:r w:rsidRPr="009416AD">
              <w:t xml:space="preserve">iile </w:t>
            </w:r>
            <w:r w:rsidR="00D311C9">
              <w:t>ș</w:t>
            </w:r>
            <w:r w:rsidRPr="009416AD">
              <w:t>i entită</w:t>
            </w:r>
            <w:r w:rsidR="00D311C9">
              <w:t>ț</w:t>
            </w:r>
            <w:r w:rsidRPr="009416AD">
              <w:t>ile stabilite în Uniune</w:t>
            </w:r>
            <w:r>
              <w:t>a Europeană</w:t>
            </w:r>
            <w:r w:rsidR="004D39E5">
              <w:t>,</w:t>
            </w:r>
            <w:r w:rsidRPr="009416AD">
              <w:t xml:space="preserve"> criteriile de eligibilitate a datoriilor care pot face obiectul recapitalizării interne </w:t>
            </w:r>
            <w:r w:rsidR="00D311C9">
              <w:t>ș</w:t>
            </w:r>
            <w:r w:rsidR="004026BE">
              <w:t xml:space="preserve">i care sunt luate </w:t>
            </w:r>
            <w:r w:rsidR="00E2151E">
              <w:t>în calculul cerin</w:t>
            </w:r>
            <w:r w:rsidR="00D311C9">
              <w:t>ț</w:t>
            </w:r>
            <w:r w:rsidR="00E2151E">
              <w:t xml:space="preserve">ei MREL </w:t>
            </w:r>
            <w:r w:rsidR="004026BE">
              <w:t xml:space="preserve">sunt aliniate </w:t>
            </w:r>
            <w:r w:rsidRPr="009416AD">
              <w:t>la cele prevăzute în Regulamentul (UE) nr. 575/2013 pentru cerin</w:t>
            </w:r>
            <w:r w:rsidR="00D311C9">
              <w:t>ț</w:t>
            </w:r>
            <w:r w:rsidRPr="009416AD">
              <w:t xml:space="preserve">a minimă TLAC, făcând totodată obiectul ajustărilor </w:t>
            </w:r>
            <w:r w:rsidR="00D311C9">
              <w:t>ș</w:t>
            </w:r>
            <w:r w:rsidRPr="009416AD">
              <w:t>i cerin</w:t>
            </w:r>
            <w:r w:rsidR="00D311C9">
              <w:t>ț</w:t>
            </w:r>
            <w:r w:rsidRPr="009416AD">
              <w:t xml:space="preserve">elor complementare introduse </w:t>
            </w:r>
            <w:r>
              <w:t xml:space="preserve">prin </w:t>
            </w:r>
            <w:r w:rsidR="00844491" w:rsidRPr="00844491">
              <w:t>Directiva 2019/879/UE</w:t>
            </w:r>
            <w:r>
              <w:t>.</w:t>
            </w:r>
          </w:p>
          <w:p w14:paraId="67D515C7" w14:textId="77777777" w:rsidR="00C41C7E" w:rsidRDefault="00C41C7E" w:rsidP="00DE4371">
            <w:pPr>
              <w:jc w:val="both"/>
            </w:pPr>
          </w:p>
          <w:p w14:paraId="74B15E4A" w14:textId="502AACC1" w:rsidR="004026BE" w:rsidRDefault="00142E64" w:rsidP="00DE4371">
            <w:pPr>
              <w:jc w:val="both"/>
            </w:pPr>
            <w:r>
              <w:t>Din</w:t>
            </w:r>
            <w:r w:rsidRPr="00E2151E">
              <w:t xml:space="preserve"> </w:t>
            </w:r>
            <w:r w:rsidR="00E2151E" w:rsidRPr="00E2151E">
              <w:t xml:space="preserve">categoria datoriilor utilizate pentru respectarea </w:t>
            </w:r>
            <w:r w:rsidR="00E2151E">
              <w:t>cerin</w:t>
            </w:r>
            <w:r w:rsidR="00D311C9">
              <w:t>ț</w:t>
            </w:r>
            <w:r w:rsidR="00E2151E">
              <w:t xml:space="preserve">ei </w:t>
            </w:r>
            <w:r w:rsidR="00E2151E" w:rsidRPr="00E2151E">
              <w:t>MREL</w:t>
            </w:r>
            <w:r w:rsidR="00D311C9">
              <w:t xml:space="preserve"> </w:t>
            </w:r>
            <w:r>
              <w:t>fac parte</w:t>
            </w:r>
            <w:r w:rsidR="00E2151E" w:rsidRPr="00E2151E">
              <w:t xml:space="preserve"> datoriile corespunzătoare crean</w:t>
            </w:r>
            <w:r w:rsidR="00D311C9">
              <w:t>ț</w:t>
            </w:r>
            <w:r w:rsidR="00E2151E" w:rsidRPr="00E2151E">
              <w:t>elor de</w:t>
            </w:r>
            <w:r w:rsidR="00D311C9">
              <w:t>ț</w:t>
            </w:r>
            <w:r w:rsidR="00E2151E" w:rsidRPr="00E2151E">
              <w:t>inute de creditori negaranta</w:t>
            </w:r>
            <w:r w:rsidR="00D311C9">
              <w:t>ț</w:t>
            </w:r>
            <w:r w:rsidR="00E2151E" w:rsidRPr="00E2151E">
              <w:t>i obi</w:t>
            </w:r>
            <w:r w:rsidR="00D311C9">
              <w:t>ș</w:t>
            </w:r>
            <w:r w:rsidR="00E2151E" w:rsidRPr="00E2151E">
              <w:t>nui</w:t>
            </w:r>
            <w:r w:rsidR="00D311C9">
              <w:t>ț</w:t>
            </w:r>
            <w:r w:rsidR="00E2151E" w:rsidRPr="00E2151E">
              <w:t>i (datorii nesubordonate), cu excep</w:t>
            </w:r>
            <w:r w:rsidR="00D311C9">
              <w:t>ț</w:t>
            </w:r>
            <w:r w:rsidR="00E2151E" w:rsidRPr="00E2151E">
              <w:t xml:space="preserve">ia cazului în care acestea nu întrunesc criteriile de eligibilitate specifice prevăzute </w:t>
            </w:r>
            <w:r w:rsidR="004026BE">
              <w:t>de directivă</w:t>
            </w:r>
            <w:r w:rsidR="00E2151E" w:rsidRPr="00E2151E">
              <w:t>. Pentru a consolida posibilitatea de solu</w:t>
            </w:r>
            <w:r w:rsidR="00D311C9">
              <w:t>ț</w:t>
            </w:r>
            <w:r w:rsidR="00E2151E" w:rsidRPr="00E2151E">
              <w:t>ionare a institu</w:t>
            </w:r>
            <w:r w:rsidR="00D311C9">
              <w:t>ț</w:t>
            </w:r>
            <w:r w:rsidR="00E2151E" w:rsidRPr="00E2151E">
              <w:t xml:space="preserve">iilor </w:t>
            </w:r>
            <w:r w:rsidR="00D311C9">
              <w:t>ș</w:t>
            </w:r>
            <w:r w:rsidR="00E2151E" w:rsidRPr="00E2151E">
              <w:t>i a entită</w:t>
            </w:r>
            <w:r w:rsidR="00D311C9">
              <w:t>ț</w:t>
            </w:r>
            <w:r w:rsidR="00E2151E" w:rsidRPr="00E2151E">
              <w:t>ilor prin utilizarea eficace a instrumentului de recapitalizare internă, autorită</w:t>
            </w:r>
            <w:r w:rsidR="00D311C9">
              <w:t>ț</w:t>
            </w:r>
            <w:r w:rsidR="00E2151E" w:rsidRPr="00E2151E">
              <w:t>ile de rezolu</w:t>
            </w:r>
            <w:r w:rsidR="00D311C9">
              <w:t>ț</w:t>
            </w:r>
            <w:r w:rsidR="00E2151E" w:rsidRPr="00E2151E">
              <w:t xml:space="preserve">ie </w:t>
            </w:r>
            <w:r w:rsidR="004026BE">
              <w:t>po</w:t>
            </w:r>
            <w:r w:rsidR="00E2151E" w:rsidRPr="00E2151E">
              <w:t>t</w:t>
            </w:r>
            <w:r w:rsidR="00793485">
              <w:t xml:space="preserve"> </w:t>
            </w:r>
            <w:r w:rsidR="00E2151E" w:rsidRPr="00E2151E">
              <w:t>impune obliga</w:t>
            </w:r>
            <w:r w:rsidR="00D311C9">
              <w:t>ț</w:t>
            </w:r>
            <w:r w:rsidR="00E2151E" w:rsidRPr="00E2151E">
              <w:t xml:space="preserve">ia ca </w:t>
            </w:r>
            <w:r w:rsidR="004026BE">
              <w:t>cerin</w:t>
            </w:r>
            <w:r w:rsidR="00D311C9">
              <w:t>ț</w:t>
            </w:r>
            <w:r w:rsidR="004026BE">
              <w:t xml:space="preserve">a </w:t>
            </w:r>
            <w:r w:rsidR="00E2151E" w:rsidRPr="00E2151E">
              <w:t xml:space="preserve">MREL să fie îndeplinită cu fonduri proprii </w:t>
            </w:r>
            <w:r w:rsidR="00D311C9">
              <w:t>ș</w:t>
            </w:r>
            <w:r w:rsidR="00E2151E" w:rsidRPr="00E2151E">
              <w:t>i alte datorii subordonate, în special atunci când există indicii clare că, în rezolu</w:t>
            </w:r>
            <w:r w:rsidR="00D311C9">
              <w:t>ț</w:t>
            </w:r>
            <w:r w:rsidR="00E2151E" w:rsidRPr="00E2151E">
              <w:t xml:space="preserve">ie, creditorii </w:t>
            </w:r>
            <w:r w:rsidR="00793485">
              <w:t>de</w:t>
            </w:r>
            <w:r w:rsidR="00D311C9">
              <w:t>ț</w:t>
            </w:r>
            <w:r w:rsidR="00793485">
              <w:t>inători ai crean</w:t>
            </w:r>
            <w:r w:rsidR="00D311C9">
              <w:t>ț</w:t>
            </w:r>
            <w:r w:rsidR="00793485">
              <w:t xml:space="preserve">elor </w:t>
            </w:r>
            <w:r w:rsidR="00E2151E" w:rsidRPr="00E2151E">
              <w:t>care fac obiectul recapitalizării interne riscă să suporte pierderi care ar depă</w:t>
            </w:r>
            <w:r w:rsidR="00D311C9">
              <w:t>ș</w:t>
            </w:r>
            <w:r w:rsidR="00E2151E" w:rsidRPr="00E2151E">
              <w:t>i pierderile pe care ace</w:t>
            </w:r>
            <w:r w:rsidR="00D311C9">
              <w:t>ș</w:t>
            </w:r>
            <w:r w:rsidR="00E2151E" w:rsidRPr="00E2151E">
              <w:t>tia le-ar suporta în procedura obi</w:t>
            </w:r>
            <w:r w:rsidR="00D311C9">
              <w:t>ș</w:t>
            </w:r>
            <w:r w:rsidR="00E2151E" w:rsidRPr="00E2151E">
              <w:t>nuită de insolven</w:t>
            </w:r>
            <w:r w:rsidR="00D311C9">
              <w:t>ț</w:t>
            </w:r>
            <w:r w:rsidR="00E2151E" w:rsidRPr="00E2151E">
              <w:t>ă.</w:t>
            </w:r>
          </w:p>
          <w:p w14:paraId="537B2568" w14:textId="1405CA81" w:rsidR="00C41C7E" w:rsidRDefault="00E2151E" w:rsidP="00DE4371">
            <w:pPr>
              <w:jc w:val="both"/>
            </w:pPr>
            <w:r w:rsidRPr="00E2151E">
              <w:t>Autorită</w:t>
            </w:r>
            <w:r w:rsidR="00D311C9">
              <w:t>ț</w:t>
            </w:r>
            <w:r w:rsidRPr="00E2151E">
              <w:t>ile de rezolu</w:t>
            </w:r>
            <w:r w:rsidR="00D311C9">
              <w:t>ț</w:t>
            </w:r>
            <w:r w:rsidRPr="00E2151E">
              <w:t xml:space="preserve">ie </w:t>
            </w:r>
            <w:r w:rsidR="004026BE">
              <w:t xml:space="preserve">trebuie </w:t>
            </w:r>
            <w:r w:rsidRPr="00E2151E">
              <w:t>să evalueze necesitatea de a impune institu</w:t>
            </w:r>
            <w:r w:rsidR="00D311C9">
              <w:t>ț</w:t>
            </w:r>
            <w:r w:rsidRPr="00E2151E">
              <w:t xml:space="preserve">iilor să îndeplinească MREL cu fonduri proprii </w:t>
            </w:r>
            <w:r w:rsidR="00D311C9">
              <w:t>ș</w:t>
            </w:r>
            <w:r w:rsidRPr="00E2151E">
              <w:t>i alte datorii subordonate, în cazul în care cuantumul datoriilor excluse din sfera de aplicare a instrumentului de recapitalizare internă atinge un anumit prag dintr-o categorie de datorii care include datorii eligibile pentru MREL. Institu</w:t>
            </w:r>
            <w:r w:rsidR="00D311C9">
              <w:t>ț</w:t>
            </w:r>
            <w:r w:rsidRPr="00E2151E">
              <w:t xml:space="preserve">iile </w:t>
            </w:r>
            <w:r w:rsidR="00D311C9">
              <w:t>ș</w:t>
            </w:r>
            <w:r w:rsidRPr="00E2151E">
              <w:t>i entită</w:t>
            </w:r>
            <w:r w:rsidR="00D311C9">
              <w:t>ț</w:t>
            </w:r>
            <w:r w:rsidRPr="00E2151E">
              <w:t>ile trebui</w:t>
            </w:r>
            <w:r w:rsidR="004026BE">
              <w:t>e</w:t>
            </w:r>
            <w:r w:rsidRPr="00E2151E">
              <w:t xml:space="preserve"> să îndeplinească </w:t>
            </w:r>
            <w:r w:rsidR="004026BE">
              <w:t>cerin</w:t>
            </w:r>
            <w:r w:rsidR="00D311C9">
              <w:t>ț</w:t>
            </w:r>
            <w:r w:rsidR="004026BE">
              <w:t xml:space="preserve">a </w:t>
            </w:r>
            <w:r w:rsidRPr="00E2151E">
              <w:t xml:space="preserve">MREL cu fonduri proprii </w:t>
            </w:r>
            <w:r w:rsidR="00D311C9">
              <w:t>ș</w:t>
            </w:r>
            <w:r w:rsidRPr="00E2151E">
              <w:t>i alte datorii subordonate în măsura în care este necesar pentru a preveni situa</w:t>
            </w:r>
            <w:r w:rsidR="00D311C9">
              <w:t>ț</w:t>
            </w:r>
            <w:r w:rsidRPr="00E2151E">
              <w:t>iile în care creditorii lor ar suferi pierderi mai mari decât pierderile pe care le-ar suporta în procedura obi</w:t>
            </w:r>
            <w:r w:rsidR="00D311C9">
              <w:t>ș</w:t>
            </w:r>
            <w:r w:rsidRPr="00E2151E">
              <w:t>nuită de insolven</w:t>
            </w:r>
            <w:r w:rsidR="00D311C9">
              <w:t>ț</w:t>
            </w:r>
            <w:r w:rsidRPr="00E2151E">
              <w:t>ă.</w:t>
            </w:r>
          </w:p>
          <w:p w14:paraId="3656EF9B" w14:textId="77777777" w:rsidR="00E2151E" w:rsidRDefault="00E2151E" w:rsidP="00DE4371">
            <w:pPr>
              <w:jc w:val="both"/>
            </w:pPr>
          </w:p>
          <w:p w14:paraId="4032EB92" w14:textId="4BDC4F65" w:rsidR="00E2151E" w:rsidRDefault="00E2151E" w:rsidP="00DE4371">
            <w:pPr>
              <w:jc w:val="both"/>
            </w:pPr>
            <w:r w:rsidRPr="00E2151E">
              <w:t>Pentru entită</w:t>
            </w:r>
            <w:r w:rsidR="00D311C9">
              <w:t>ț</w:t>
            </w:r>
            <w:r w:rsidRPr="00E2151E">
              <w:t>ile de rezolu</w:t>
            </w:r>
            <w:r w:rsidR="00D311C9">
              <w:t>ț</w:t>
            </w:r>
            <w:r w:rsidRPr="00E2151E">
              <w:t>ie din categoria G-SII, pentru entită</w:t>
            </w:r>
            <w:r w:rsidR="00D311C9">
              <w:t>ț</w:t>
            </w:r>
            <w:r w:rsidRPr="00E2151E">
              <w:t>ile de rezolu</w:t>
            </w:r>
            <w:r w:rsidR="00D311C9">
              <w:t>ț</w:t>
            </w:r>
            <w:r w:rsidRPr="00E2151E">
              <w:t>ie ale grupurilor de rezolu</w:t>
            </w:r>
            <w:r w:rsidR="00D311C9">
              <w:t>ț</w:t>
            </w:r>
            <w:r w:rsidRPr="00E2151E">
              <w:t xml:space="preserve">ie cu active de peste 100 de miliarde EUR (bănci de prim rang), precum </w:t>
            </w:r>
            <w:r w:rsidR="00D311C9">
              <w:t>ș</w:t>
            </w:r>
            <w:r w:rsidRPr="00E2151E">
              <w:t>i pentru entită</w:t>
            </w:r>
            <w:r w:rsidR="00D311C9">
              <w:t>ț</w:t>
            </w:r>
            <w:r w:rsidRPr="00E2151E">
              <w:t>ile de rezolu</w:t>
            </w:r>
            <w:r w:rsidR="00D311C9">
              <w:t>ț</w:t>
            </w:r>
            <w:r w:rsidRPr="00E2151E">
              <w:t>ie ale anumitor grupuri de rezolu</w:t>
            </w:r>
            <w:r w:rsidR="00D311C9">
              <w:t>ț</w:t>
            </w:r>
            <w:r w:rsidRPr="00E2151E">
              <w:t xml:space="preserve">ie mai mici care sunt considerate susceptibile de a prezenta un risc sistemic în caz de intrare în dificultate, </w:t>
            </w:r>
            <w:r w:rsidR="00D311C9">
              <w:t>ț</w:t>
            </w:r>
            <w:r w:rsidRPr="00E2151E">
              <w:t>inând seama de prevalen</w:t>
            </w:r>
            <w:r w:rsidR="00D311C9">
              <w:t>ț</w:t>
            </w:r>
            <w:r w:rsidRPr="00E2151E">
              <w:t xml:space="preserve">a depozitelor </w:t>
            </w:r>
            <w:r w:rsidR="00D311C9">
              <w:t>ș</w:t>
            </w:r>
            <w:r w:rsidRPr="00E2151E">
              <w:t>i de absen</w:t>
            </w:r>
            <w:r w:rsidR="00D311C9">
              <w:t>ț</w:t>
            </w:r>
            <w:r w:rsidRPr="00E2151E">
              <w:t>a instrumentelor de datorie în modelul de finan</w:t>
            </w:r>
            <w:r w:rsidR="00D311C9">
              <w:t>ț</w:t>
            </w:r>
            <w:r w:rsidRPr="00E2151E">
              <w:t>are, de accesul limitat la pie</w:t>
            </w:r>
            <w:r w:rsidR="00D311C9">
              <w:t>ț</w:t>
            </w:r>
            <w:r w:rsidRPr="00E2151E">
              <w:t xml:space="preserve">ele de capital pentru datoriile eligibile </w:t>
            </w:r>
            <w:r w:rsidR="00D311C9">
              <w:t>ș</w:t>
            </w:r>
            <w:r w:rsidRPr="00E2151E">
              <w:t xml:space="preserve">i de recurgerea la fonduri proprii de nivel 1 de bază pentru a îndeplini </w:t>
            </w:r>
            <w:r w:rsidR="004026BE">
              <w:t>cerin</w:t>
            </w:r>
            <w:r w:rsidR="00D311C9">
              <w:t>ț</w:t>
            </w:r>
            <w:r w:rsidR="004026BE">
              <w:t xml:space="preserve">a </w:t>
            </w:r>
            <w:r w:rsidRPr="00E2151E">
              <w:t>MREL, autorită</w:t>
            </w:r>
            <w:r w:rsidR="00D311C9">
              <w:t>ț</w:t>
            </w:r>
            <w:r w:rsidRPr="00E2151E">
              <w:t>ile de rezolu</w:t>
            </w:r>
            <w:r w:rsidR="00D311C9">
              <w:t>ț</w:t>
            </w:r>
            <w:r w:rsidRPr="00E2151E">
              <w:t xml:space="preserve">ie </w:t>
            </w:r>
            <w:r w:rsidR="004026BE">
              <w:t>po</w:t>
            </w:r>
            <w:r w:rsidRPr="00E2151E">
              <w:t>t impune ca o parte din</w:t>
            </w:r>
            <w:r>
              <w:t xml:space="preserve"> cerin</w:t>
            </w:r>
            <w:r w:rsidR="00D311C9">
              <w:t>ț</w:t>
            </w:r>
            <w:r>
              <w:t>a</w:t>
            </w:r>
            <w:r w:rsidRPr="00E2151E">
              <w:t xml:space="preserve"> MREL egală cu nivelul de absorb</w:t>
            </w:r>
            <w:r w:rsidR="00D311C9">
              <w:t>ț</w:t>
            </w:r>
            <w:r w:rsidRPr="00E2151E">
              <w:t xml:space="preserve">ie a pierderilor </w:t>
            </w:r>
            <w:r w:rsidR="00D311C9">
              <w:t>ș</w:t>
            </w:r>
            <w:r w:rsidRPr="00E2151E">
              <w:t>i de recapitalizare men</w:t>
            </w:r>
            <w:r w:rsidR="00D311C9">
              <w:t>ț</w:t>
            </w:r>
            <w:r w:rsidRPr="00E2151E">
              <w:t>ionat la articolul 37 alin</w:t>
            </w:r>
            <w:r>
              <w:t>.</w:t>
            </w:r>
            <w:r w:rsidRPr="00E2151E">
              <w:t xml:space="preserve">(10) </w:t>
            </w:r>
            <w:r w:rsidR="00D311C9">
              <w:t>ș</w:t>
            </w:r>
            <w:r w:rsidRPr="00E2151E">
              <w:t>i la art</w:t>
            </w:r>
            <w:r w:rsidR="002A3DBF">
              <w:t>.</w:t>
            </w:r>
            <w:r w:rsidRPr="00E2151E">
              <w:t xml:space="preserve"> 44 alin</w:t>
            </w:r>
            <w:r w:rsidR="002A3DBF">
              <w:t>.</w:t>
            </w:r>
            <w:r w:rsidRPr="00E2151E">
              <w:t>(5) din Directiva 2014/59/UE</w:t>
            </w:r>
            <w:r w:rsidR="004D39E5">
              <w:t>,</w:t>
            </w:r>
            <w:r w:rsidRPr="00E2151E">
              <w:t xml:space="preserve"> astfel cum a fost modificată prin </w:t>
            </w:r>
            <w:r w:rsidR="002A3DBF">
              <w:t xml:space="preserve">Directiva </w:t>
            </w:r>
            <w:r w:rsidR="00844491" w:rsidRPr="00844491">
              <w:t>2019/879/UE</w:t>
            </w:r>
            <w:r w:rsidR="001F47B1">
              <w:t xml:space="preserve"> (8% din totalul datoriilor, inclusiv fonduri proprii)</w:t>
            </w:r>
            <w:r w:rsidR="002A3DBF">
              <w:t xml:space="preserve">, </w:t>
            </w:r>
            <w:r w:rsidR="004026BE">
              <w:t xml:space="preserve">să </w:t>
            </w:r>
            <w:r w:rsidRPr="00E2151E">
              <w:t xml:space="preserve">fie îndeplinită cu fonduri proprii </w:t>
            </w:r>
            <w:r w:rsidR="00D311C9">
              <w:t>ș</w:t>
            </w:r>
            <w:r w:rsidRPr="00E2151E">
              <w:t>i alte datorii subordonate, inclusiv fondurile proprii utilizate pentru respectarea cerin</w:t>
            </w:r>
            <w:r w:rsidR="00D311C9">
              <w:t>ț</w:t>
            </w:r>
            <w:r w:rsidRPr="00E2151E">
              <w:t>ei amortizorului combinat prevăzută în Directiva 2013/36/UE.</w:t>
            </w:r>
          </w:p>
          <w:p w14:paraId="7C8406D8" w14:textId="77777777" w:rsidR="002A3DBF" w:rsidRDefault="002A3DBF" w:rsidP="00DE4371">
            <w:pPr>
              <w:jc w:val="both"/>
            </w:pPr>
          </w:p>
          <w:p w14:paraId="70077F42" w14:textId="27CF4F32" w:rsidR="001F47B1" w:rsidRDefault="001F47B1" w:rsidP="00DE4371">
            <w:pPr>
              <w:jc w:val="both"/>
            </w:pPr>
            <w:r w:rsidRPr="001F47B1">
              <w:lastRenderedPageBreak/>
              <w:t xml:space="preserve">Pentru anumite bănci de prim </w:t>
            </w:r>
            <w:r>
              <w:t>rang, autorită</w:t>
            </w:r>
            <w:r w:rsidR="00D311C9">
              <w:t>ț</w:t>
            </w:r>
            <w:r>
              <w:t>ile de rezolu</w:t>
            </w:r>
            <w:r w:rsidR="00D311C9">
              <w:t>ț</w:t>
            </w:r>
            <w:r>
              <w:t>ie limitează</w:t>
            </w:r>
            <w:r w:rsidRPr="001F47B1">
              <w:t xml:space="preserve">, sub rezerva </w:t>
            </w:r>
            <w:r>
              <w:t xml:space="preserve">îndeplinirii </w:t>
            </w:r>
            <w:r w:rsidRPr="001F47B1">
              <w:t>unor condi</w:t>
            </w:r>
            <w:r w:rsidR="00D311C9">
              <w:t>ț</w:t>
            </w:r>
            <w:r w:rsidRPr="001F47B1">
              <w:t xml:space="preserve">ii care urmează să fie evaluate de </w:t>
            </w:r>
            <w:r>
              <w:t>acestea</w:t>
            </w:r>
            <w:r w:rsidRPr="001F47B1">
              <w:t>, nivelul cerin</w:t>
            </w:r>
            <w:r w:rsidR="00D311C9">
              <w:t>ț</w:t>
            </w:r>
            <w:r w:rsidRPr="001F47B1">
              <w:t xml:space="preserve">ei minime de subordonare la un anumit prag, </w:t>
            </w:r>
            <w:r w:rsidR="00D311C9">
              <w:t>ț</w:t>
            </w:r>
            <w:r w:rsidRPr="001F47B1">
              <w:t xml:space="preserve">inând seama </w:t>
            </w:r>
            <w:r w:rsidR="00D311C9">
              <w:t>ș</w:t>
            </w:r>
            <w:r w:rsidRPr="001F47B1">
              <w:t>i de poten</w:t>
            </w:r>
            <w:r w:rsidR="00D311C9">
              <w:t>ț</w:t>
            </w:r>
            <w:r w:rsidRPr="001F47B1">
              <w:t>ialul risc de impact dispropor</w:t>
            </w:r>
            <w:r w:rsidR="00D311C9">
              <w:t>ț</w:t>
            </w:r>
            <w:r w:rsidRPr="001F47B1">
              <w:t>ionat asupra modelului de afaceri al institu</w:t>
            </w:r>
            <w:r w:rsidR="00D311C9">
              <w:t>ț</w:t>
            </w:r>
            <w:r w:rsidRPr="001F47B1">
              <w:t xml:space="preserve">iilor respective. </w:t>
            </w:r>
          </w:p>
          <w:p w14:paraId="6AA9EB4E" w14:textId="77777777" w:rsidR="001F47B1" w:rsidRDefault="001F47B1" w:rsidP="00DE4371">
            <w:pPr>
              <w:jc w:val="both"/>
            </w:pPr>
          </w:p>
          <w:p w14:paraId="13B4F192" w14:textId="660131F8" w:rsidR="00CB587F" w:rsidRDefault="00CB587F" w:rsidP="002A3DBF">
            <w:pPr>
              <w:jc w:val="both"/>
            </w:pPr>
            <w:r>
              <w:t>Cerin</w:t>
            </w:r>
            <w:r w:rsidR="00D311C9">
              <w:t>ț</w:t>
            </w:r>
            <w:r>
              <w:t xml:space="preserve">a </w:t>
            </w:r>
            <w:r w:rsidRPr="00CB587F">
              <w:t>MREL trebui</w:t>
            </w:r>
            <w:r>
              <w:t>e să p</w:t>
            </w:r>
            <w:r w:rsidRPr="00CB587F">
              <w:t>ermită institu</w:t>
            </w:r>
            <w:r w:rsidR="00D311C9">
              <w:t>ț</w:t>
            </w:r>
            <w:r w:rsidRPr="00CB587F">
              <w:t xml:space="preserve">iilor </w:t>
            </w:r>
            <w:r w:rsidR="00D311C9">
              <w:t>ș</w:t>
            </w:r>
            <w:r w:rsidRPr="00CB587F">
              <w:t>i entită</w:t>
            </w:r>
            <w:r w:rsidR="00D311C9">
              <w:t>ț</w:t>
            </w:r>
            <w:r w:rsidRPr="00CB587F">
              <w:t>ilor să absoarbă pierderile a</w:t>
            </w:r>
            <w:r w:rsidR="00D311C9">
              <w:t>ș</w:t>
            </w:r>
            <w:r w:rsidRPr="00CB587F">
              <w:t>teptate în rezolu</w:t>
            </w:r>
            <w:r w:rsidR="00D311C9">
              <w:t>ț</w:t>
            </w:r>
            <w:r w:rsidRPr="00CB587F">
              <w:t xml:space="preserve">ie sau la atingerea punctului de neviabilitate, după caz, </w:t>
            </w:r>
            <w:r w:rsidR="00D311C9">
              <w:t>ș</w:t>
            </w:r>
            <w:r w:rsidRPr="00CB587F">
              <w:t>i să fie recapitalizate după punerea în aplicare a măsurilor prevăzute în planul de rezolu</w:t>
            </w:r>
            <w:r w:rsidR="00D311C9">
              <w:t>ț</w:t>
            </w:r>
            <w:r w:rsidRPr="00CB587F">
              <w:t>ie sau după rezolu</w:t>
            </w:r>
            <w:r w:rsidR="00D311C9">
              <w:t>ț</w:t>
            </w:r>
            <w:r w:rsidRPr="00CB587F">
              <w:t>ia grupului de rezolu</w:t>
            </w:r>
            <w:r w:rsidR="00D311C9">
              <w:t>ț</w:t>
            </w:r>
            <w:r w:rsidRPr="00CB587F">
              <w:t>ie.</w:t>
            </w:r>
          </w:p>
          <w:p w14:paraId="1FA4268A" w14:textId="1807B1E0" w:rsidR="002A3DBF" w:rsidRPr="00C0548A" w:rsidRDefault="002A3DBF" w:rsidP="002A3DBF">
            <w:pPr>
              <w:jc w:val="both"/>
            </w:pPr>
            <w:r>
              <w:t>Pe baza strategiei de rezolu</w:t>
            </w:r>
            <w:r w:rsidR="00D311C9">
              <w:t>ț</w:t>
            </w:r>
            <w:r>
              <w:t>ie pentru care au optat, autorită</w:t>
            </w:r>
            <w:r w:rsidR="00D311C9">
              <w:t>ț</w:t>
            </w:r>
            <w:r>
              <w:t>ile de rezolu</w:t>
            </w:r>
            <w:r w:rsidR="00D311C9">
              <w:t>ț</w:t>
            </w:r>
            <w:r>
              <w:t>ie trebuie să justifice în mod corespunzător nivelul impus pentru cerin</w:t>
            </w:r>
            <w:r w:rsidR="00D311C9">
              <w:t>ț</w:t>
            </w:r>
            <w:r>
              <w:t xml:space="preserve">a MREL </w:t>
            </w:r>
            <w:r w:rsidR="00D311C9">
              <w:t>ș</w:t>
            </w:r>
            <w:r>
              <w:t xml:space="preserve">i să </w:t>
            </w:r>
            <w:r w:rsidR="00FC3F4D">
              <w:t xml:space="preserve">îl </w:t>
            </w:r>
            <w:r>
              <w:t>revizuiască fără întârzieri nejustificate pentru a reflecta orice modificare survenită în ceea ce prive</w:t>
            </w:r>
            <w:r w:rsidR="00D311C9">
              <w:t>ș</w:t>
            </w:r>
            <w:r>
              <w:t>te nivelul cerin</w:t>
            </w:r>
            <w:r w:rsidR="00D311C9">
              <w:t>ț</w:t>
            </w:r>
            <w:r>
              <w:t>ei prevăzute la articolul 104a din Directiva 2013/36/UE (Pilonul 2). Ca atare, nivelul impus pentru cerin</w:t>
            </w:r>
            <w:r w:rsidR="00D311C9">
              <w:t>ț</w:t>
            </w:r>
            <w:r>
              <w:t>a MREL trebuie să reprezinte suma dintre cuantumul pierderilor a</w:t>
            </w:r>
            <w:r w:rsidR="00D311C9">
              <w:t>ș</w:t>
            </w:r>
            <w:r>
              <w:t>teptate în rezolu</w:t>
            </w:r>
            <w:r w:rsidR="00D311C9">
              <w:t>ț</w:t>
            </w:r>
            <w:r>
              <w:t>ie care corespunde cerin</w:t>
            </w:r>
            <w:r w:rsidR="00D311C9">
              <w:t>ț</w:t>
            </w:r>
            <w:r>
              <w:t>elor de fonduri proprii ale institu</w:t>
            </w:r>
            <w:r w:rsidR="00D311C9">
              <w:t>ț</w:t>
            </w:r>
            <w:r>
              <w:t>iei sau ale entită</w:t>
            </w:r>
            <w:r w:rsidR="00D311C9">
              <w:t>ț</w:t>
            </w:r>
            <w:r>
              <w:t xml:space="preserve">ii </w:t>
            </w:r>
            <w:r w:rsidR="00D311C9">
              <w:t>ș</w:t>
            </w:r>
            <w:r>
              <w:t>i cuantumul recapitalizării care îi permite institu</w:t>
            </w:r>
            <w:r w:rsidR="00D311C9">
              <w:t>ț</w:t>
            </w:r>
            <w:r>
              <w:t>iei sau entită</w:t>
            </w:r>
            <w:r w:rsidR="00D311C9">
              <w:t>ț</w:t>
            </w:r>
            <w:r>
              <w:t>ii ca, după încheierea rezolu</w:t>
            </w:r>
            <w:r w:rsidR="00D311C9">
              <w:t>ț</w:t>
            </w:r>
            <w:r>
              <w:t>iei ori după exercitarea competen</w:t>
            </w:r>
            <w:r w:rsidR="00D311C9">
              <w:t>ț</w:t>
            </w:r>
            <w:r>
              <w:t xml:space="preserve">elor de reducere a valorii sau de </w:t>
            </w:r>
            <w:r w:rsidRPr="00C0548A">
              <w:t>conversie, să îndeplinească cerin</w:t>
            </w:r>
            <w:r w:rsidR="00D311C9">
              <w:t>ț</w:t>
            </w:r>
            <w:r w:rsidRPr="00C0548A">
              <w:t>ele de fonduri proprii necesare pentru a fi autorizată să î</w:t>
            </w:r>
            <w:r w:rsidR="00D311C9">
              <w:t>ș</w:t>
            </w:r>
            <w:r w:rsidRPr="00C0548A">
              <w:t>i continue activită</w:t>
            </w:r>
            <w:r w:rsidR="00D311C9">
              <w:t>ț</w:t>
            </w:r>
            <w:r w:rsidRPr="00C0548A">
              <w:t>ile conform strategiei de rezolu</w:t>
            </w:r>
            <w:r w:rsidR="00D311C9">
              <w:t>ț</w:t>
            </w:r>
            <w:r w:rsidRPr="00C0548A">
              <w:t>ie alese. Autoritatea de rezolu</w:t>
            </w:r>
            <w:r w:rsidR="00D311C9">
              <w:t>ț</w:t>
            </w:r>
            <w:r w:rsidRPr="00C0548A">
              <w:t>ie trebuie să ajusteze, în sensul cre</w:t>
            </w:r>
            <w:r w:rsidR="00D311C9">
              <w:t>ș</w:t>
            </w:r>
            <w:r w:rsidRPr="00C0548A">
              <w:t>terii sau scăderii, cuantumurile de recapitalizare pentru orice modificare rezultată în urma măsurilor stabilite în planul de rezolu</w:t>
            </w:r>
            <w:r w:rsidR="00D311C9">
              <w:t>ț</w:t>
            </w:r>
            <w:r w:rsidRPr="00C0548A">
              <w:t>ie.</w:t>
            </w:r>
          </w:p>
          <w:p w14:paraId="77672DF5" w14:textId="77777777" w:rsidR="006535BE" w:rsidRPr="00C0548A" w:rsidRDefault="006535BE" w:rsidP="002A3DBF">
            <w:pPr>
              <w:jc w:val="both"/>
            </w:pPr>
          </w:p>
          <w:p w14:paraId="4C5B0830" w14:textId="1C95FDFA" w:rsidR="0082107D" w:rsidRDefault="006535BE" w:rsidP="002A3DBF">
            <w:pPr>
              <w:jc w:val="both"/>
            </w:pPr>
            <w:r w:rsidRPr="00C0548A">
              <w:t>Autoritatea de rezolu</w:t>
            </w:r>
            <w:r w:rsidR="00D311C9">
              <w:t>ț</w:t>
            </w:r>
            <w:r w:rsidRPr="00C0548A">
              <w:t>ie trebuie să fie în măsură să crească cuantumul recapitalizării pentru a asigura un nivel suficient de încredere a pie</w:t>
            </w:r>
            <w:r w:rsidR="00D311C9">
              <w:t>ț</w:t>
            </w:r>
            <w:r w:rsidRPr="00C0548A">
              <w:t>ei în institu</w:t>
            </w:r>
            <w:r w:rsidR="00D311C9">
              <w:t>ț</w:t>
            </w:r>
            <w:r w:rsidRPr="00C0548A">
              <w:t>ie sau în entitate după punerea în aplicare a măsurilor stabilite în planul de rezolu</w:t>
            </w:r>
            <w:r w:rsidR="00D311C9">
              <w:t>ț</w:t>
            </w:r>
            <w:r w:rsidRPr="00C0548A">
              <w:t>ie. Nivelul solicitat al amortizorului privind încrederea pie</w:t>
            </w:r>
            <w:r w:rsidR="00D311C9">
              <w:t>ț</w:t>
            </w:r>
            <w:r w:rsidRPr="00C0548A">
              <w:t>ei trebui</w:t>
            </w:r>
            <w:r w:rsidR="00534C6A" w:rsidRPr="00C0548A">
              <w:t>e</w:t>
            </w:r>
            <w:r w:rsidRPr="00C0548A">
              <w:t xml:space="preserve"> să permită institu</w:t>
            </w:r>
            <w:r w:rsidR="00D311C9">
              <w:t>ț</w:t>
            </w:r>
            <w:r w:rsidRPr="00C0548A">
              <w:t>iei sau entită</w:t>
            </w:r>
            <w:r w:rsidR="00D311C9">
              <w:t>ț</w:t>
            </w:r>
            <w:r w:rsidRPr="00C0548A">
              <w:t>ii să îndeplinească în continuare condi</w:t>
            </w:r>
            <w:r w:rsidR="00D311C9">
              <w:t>ț</w:t>
            </w:r>
            <w:r w:rsidRPr="00C0548A">
              <w:t>iile de autorizare pentru o perioadă corespunzătoare, inclusiv să acopere costurile legate de restructurarea activită</w:t>
            </w:r>
            <w:r w:rsidR="00D311C9">
              <w:t>ț</w:t>
            </w:r>
            <w:r w:rsidRPr="00C0548A">
              <w:t>ilor institu</w:t>
            </w:r>
            <w:r w:rsidR="00D311C9">
              <w:t>ț</w:t>
            </w:r>
            <w:r w:rsidRPr="00C0548A">
              <w:t>iei sau entită</w:t>
            </w:r>
            <w:r w:rsidR="00D311C9">
              <w:t>ț</w:t>
            </w:r>
            <w:r w:rsidRPr="00C0548A">
              <w:t>ii în urma rezolu</w:t>
            </w:r>
            <w:r w:rsidR="00D311C9">
              <w:t>ț</w:t>
            </w:r>
            <w:r w:rsidRPr="00C0548A">
              <w:t xml:space="preserve">iei, </w:t>
            </w:r>
            <w:r w:rsidR="00D311C9">
              <w:t>ș</w:t>
            </w:r>
            <w:r w:rsidRPr="00C0548A">
              <w:t>i să men</w:t>
            </w:r>
            <w:r w:rsidR="00D311C9">
              <w:t>ț</w:t>
            </w:r>
            <w:r w:rsidRPr="00C0548A">
              <w:t>ină un nivel suficient de încredere a pie</w:t>
            </w:r>
            <w:r w:rsidR="00D311C9">
              <w:t>ț</w:t>
            </w:r>
            <w:r w:rsidRPr="00C0548A">
              <w:t>ei. Amortizorul privind încrederea pie</w:t>
            </w:r>
            <w:r w:rsidR="00D311C9">
              <w:t>ț</w:t>
            </w:r>
            <w:r w:rsidRPr="00C0548A">
              <w:t>ei trebui</w:t>
            </w:r>
            <w:r w:rsidR="00534C6A" w:rsidRPr="00C0548A">
              <w:t>e</w:t>
            </w:r>
            <w:r w:rsidRPr="00C0548A">
              <w:t xml:space="preserve"> stabilit în func</w:t>
            </w:r>
            <w:r w:rsidR="00D311C9">
              <w:t>ț</w:t>
            </w:r>
            <w:r w:rsidRPr="00C0548A">
              <w:t>ie de o parte din cerin</w:t>
            </w:r>
            <w:r w:rsidR="00D311C9">
              <w:t>ț</w:t>
            </w:r>
            <w:r w:rsidRPr="00C0548A">
              <w:t>a amortizorului combinat prevăzută de Directiva 2013/36/UE. Autorită</w:t>
            </w:r>
            <w:r w:rsidR="00D311C9">
              <w:t>ț</w:t>
            </w:r>
            <w:r w:rsidRPr="00C0548A">
              <w:t>ile de rezolu</w:t>
            </w:r>
            <w:r w:rsidR="00D311C9">
              <w:t>ț</w:t>
            </w:r>
            <w:r w:rsidRPr="00C0548A">
              <w:t>ie trebui</w:t>
            </w:r>
            <w:r w:rsidR="00534C6A" w:rsidRPr="00C0548A">
              <w:t>e</w:t>
            </w:r>
            <w:r w:rsidRPr="00C0548A">
              <w:t xml:space="preserve"> să ajusteze, în sensul scăderii, nivelul amortizorului privind încrederea pie</w:t>
            </w:r>
            <w:r w:rsidR="00D311C9">
              <w:t>ț</w:t>
            </w:r>
            <w:r w:rsidRPr="00C0548A">
              <w:t>ei, dacă un nivel mai scăzut este suficient pentru a asigura o încredere suficientă a pie</w:t>
            </w:r>
            <w:r w:rsidR="00D311C9">
              <w:t>ț</w:t>
            </w:r>
            <w:r w:rsidRPr="00C0548A">
              <w:t>ei</w:t>
            </w:r>
            <w:r w:rsidR="00CB587F" w:rsidRPr="00C0548A">
              <w:t>.</w:t>
            </w:r>
          </w:p>
          <w:p w14:paraId="5B5600C3" w14:textId="77777777" w:rsidR="00CB587F" w:rsidRDefault="00CB587F" w:rsidP="002A3DBF">
            <w:pPr>
              <w:jc w:val="both"/>
            </w:pPr>
          </w:p>
          <w:p w14:paraId="0D682531" w14:textId="581E2F41" w:rsidR="0082107D" w:rsidRDefault="0082107D" w:rsidP="002A3DBF">
            <w:pPr>
              <w:jc w:val="both"/>
            </w:pPr>
            <w:r w:rsidRPr="0082107D">
              <w:t>În conformitate cu Regulamentul (UE) nr. 575/2013, institu</w:t>
            </w:r>
            <w:r w:rsidR="00D311C9">
              <w:t>ț</w:t>
            </w:r>
            <w:r w:rsidRPr="0082107D">
              <w:t>iile sau entită</w:t>
            </w:r>
            <w:r w:rsidR="00D311C9">
              <w:t>ț</w:t>
            </w:r>
            <w:r w:rsidRPr="0082107D">
              <w:t>ile care sunt identificate drept entită</w:t>
            </w:r>
            <w:r w:rsidR="00D311C9">
              <w:t>ț</w:t>
            </w:r>
            <w:r w:rsidRPr="0082107D">
              <w:t>i de rezolu</w:t>
            </w:r>
            <w:r w:rsidR="00D311C9">
              <w:t>ț</w:t>
            </w:r>
            <w:r w:rsidRPr="0082107D">
              <w:t xml:space="preserve">ie ar trebui să facă obiectul </w:t>
            </w:r>
            <w:r>
              <w:t>cerin</w:t>
            </w:r>
            <w:r w:rsidR="00D311C9">
              <w:t>ț</w:t>
            </w:r>
            <w:r>
              <w:t xml:space="preserve">ei </w:t>
            </w:r>
            <w:r w:rsidRPr="0082107D">
              <w:t>MREL doar la nivelul consolidat al grupului de rezolu</w:t>
            </w:r>
            <w:r w:rsidR="00D311C9">
              <w:t>ț</w:t>
            </w:r>
            <w:r w:rsidRPr="0082107D">
              <w:t>ie. Aceasta înseamnă că entită</w:t>
            </w:r>
            <w:r w:rsidR="00D311C9">
              <w:t>ț</w:t>
            </w:r>
            <w:r w:rsidRPr="0082107D">
              <w:t>ile de rezolu</w:t>
            </w:r>
            <w:r w:rsidR="00D311C9">
              <w:t>ț</w:t>
            </w:r>
            <w:r w:rsidRPr="0082107D">
              <w:t>ie trebui</w:t>
            </w:r>
            <w:r>
              <w:t>e ca</w:t>
            </w:r>
            <w:r w:rsidRPr="0082107D">
              <w:t xml:space="preserve">, pentru îndeplinirea </w:t>
            </w:r>
            <w:r>
              <w:t>cerin</w:t>
            </w:r>
            <w:r w:rsidR="00D311C9">
              <w:t>ț</w:t>
            </w:r>
            <w:r>
              <w:t xml:space="preserve">ei </w:t>
            </w:r>
            <w:r w:rsidRPr="0082107D">
              <w:t>MREL, să aibă obliga</w:t>
            </w:r>
            <w:r w:rsidR="00D311C9">
              <w:t>ț</w:t>
            </w:r>
            <w:r w:rsidRPr="0082107D">
              <w:t xml:space="preserve">ia de a emite instrumente </w:t>
            </w:r>
            <w:r w:rsidR="00CB587F">
              <w:t xml:space="preserve">de datorie </w:t>
            </w:r>
            <w:r w:rsidRPr="0082107D">
              <w:t>eligibile creditorilor ter</w:t>
            </w:r>
            <w:r w:rsidR="00D311C9">
              <w:t>ț</w:t>
            </w:r>
            <w:r w:rsidRPr="0082107D">
              <w:t>i externi care ar urma să facă obiectul recapitalizării interne în cazul în care entitatea de rezolu</w:t>
            </w:r>
            <w:r w:rsidR="00D311C9">
              <w:t>ț</w:t>
            </w:r>
            <w:r w:rsidRPr="0082107D">
              <w:t>ie intră în rezolu</w:t>
            </w:r>
            <w:r w:rsidR="00D311C9">
              <w:t>ț</w:t>
            </w:r>
            <w:r w:rsidRPr="0082107D">
              <w:t xml:space="preserve">ie. </w:t>
            </w:r>
          </w:p>
          <w:p w14:paraId="6F676EF0" w14:textId="30F749A2" w:rsidR="0082107D" w:rsidRDefault="0082107D" w:rsidP="002A3DBF">
            <w:pPr>
              <w:jc w:val="both"/>
            </w:pPr>
            <w:r w:rsidRPr="0082107D">
              <w:t>Institu</w:t>
            </w:r>
            <w:r w:rsidR="00D311C9">
              <w:t>ț</w:t>
            </w:r>
            <w:r w:rsidRPr="0082107D">
              <w:t>iile sau entită</w:t>
            </w:r>
            <w:r w:rsidR="00D311C9">
              <w:t>ț</w:t>
            </w:r>
            <w:r w:rsidRPr="0082107D">
              <w:t>ile care nu sunt entită</w:t>
            </w:r>
            <w:r w:rsidR="00D311C9">
              <w:t>ț</w:t>
            </w:r>
            <w:r w:rsidRPr="0082107D">
              <w:t>i de rezolu</w:t>
            </w:r>
            <w:r w:rsidR="00D311C9">
              <w:t>ț</w:t>
            </w:r>
            <w:r w:rsidRPr="0082107D">
              <w:t>ie trebui</w:t>
            </w:r>
            <w:r>
              <w:t>e</w:t>
            </w:r>
            <w:r w:rsidRPr="0082107D">
              <w:t xml:space="preserve"> să respecte </w:t>
            </w:r>
            <w:r>
              <w:t>cerin</w:t>
            </w:r>
            <w:r w:rsidR="00D311C9">
              <w:t>ț</w:t>
            </w:r>
            <w:r>
              <w:t xml:space="preserve">a </w:t>
            </w:r>
            <w:r w:rsidRPr="0082107D">
              <w:t>MREL la nivel individual. Nevoile de absorb</w:t>
            </w:r>
            <w:r w:rsidR="00D311C9">
              <w:t>ț</w:t>
            </w:r>
            <w:r w:rsidRPr="0082107D">
              <w:t xml:space="preserve">ie a pierderilor </w:t>
            </w:r>
            <w:r w:rsidR="00D311C9">
              <w:t>ș</w:t>
            </w:r>
            <w:r w:rsidRPr="0082107D">
              <w:t>i de recapitalizare ale acestor institu</w:t>
            </w:r>
            <w:r w:rsidR="00D311C9">
              <w:t>ț</w:t>
            </w:r>
            <w:r w:rsidRPr="0082107D">
              <w:t>ii sau entită</w:t>
            </w:r>
            <w:r w:rsidR="00D311C9">
              <w:t>ț</w:t>
            </w:r>
            <w:r w:rsidRPr="0082107D">
              <w:t>i trebui</w:t>
            </w:r>
            <w:r>
              <w:t>e</w:t>
            </w:r>
            <w:r w:rsidRPr="0082107D">
              <w:t xml:space="preserve"> asigurate, în general, de entită</w:t>
            </w:r>
            <w:r w:rsidR="00D311C9">
              <w:t>ț</w:t>
            </w:r>
            <w:r w:rsidRPr="0082107D">
              <w:t>ile de rezolu</w:t>
            </w:r>
            <w:r w:rsidR="00D311C9">
              <w:t>ț</w:t>
            </w:r>
            <w:r w:rsidRPr="0082107D">
              <w:t>ie ale grupului de rezolu</w:t>
            </w:r>
            <w:r w:rsidR="00D311C9">
              <w:t>ț</w:t>
            </w:r>
            <w:r w:rsidRPr="0082107D">
              <w:t>ie din care acestea fac parte prin achizi</w:t>
            </w:r>
            <w:r w:rsidR="00D311C9">
              <w:t>ț</w:t>
            </w:r>
            <w:r w:rsidRPr="0082107D">
              <w:t>ionarea directă sau indirectă de către respectivele entită</w:t>
            </w:r>
            <w:r w:rsidR="00D311C9">
              <w:t>ț</w:t>
            </w:r>
            <w:r w:rsidRPr="0082107D">
              <w:t>i de rezolu</w:t>
            </w:r>
            <w:r w:rsidR="00D311C9">
              <w:t>ț</w:t>
            </w:r>
            <w:r w:rsidRPr="0082107D">
              <w:t xml:space="preserve">ie a instrumentelor de fonduri proprii </w:t>
            </w:r>
            <w:r w:rsidR="00D311C9">
              <w:t>ș</w:t>
            </w:r>
            <w:r w:rsidRPr="0082107D">
              <w:t>i a instrumentelor de datorie eligibile pe care le-au emis aceste institu</w:t>
            </w:r>
            <w:r w:rsidR="00D311C9">
              <w:t>ț</w:t>
            </w:r>
            <w:r w:rsidRPr="0082107D">
              <w:t>ii sau entită</w:t>
            </w:r>
            <w:r w:rsidR="00D311C9">
              <w:t>ț</w:t>
            </w:r>
            <w:r w:rsidRPr="0082107D">
              <w:t xml:space="preserve">i </w:t>
            </w:r>
            <w:r w:rsidR="00D311C9">
              <w:t>ș</w:t>
            </w:r>
            <w:r w:rsidRPr="0082107D">
              <w:t xml:space="preserve">i prin reducerea valorii sau </w:t>
            </w:r>
            <w:r w:rsidR="00CB587F">
              <w:t>conversia a</w:t>
            </w:r>
            <w:r w:rsidRPr="0082107D">
              <w:t>cestora în instrumente de proprietate la atingerea punctului în care respectivele institu</w:t>
            </w:r>
            <w:r w:rsidR="00D311C9">
              <w:t>ț</w:t>
            </w:r>
            <w:r w:rsidRPr="0082107D">
              <w:t>ii sau entită</w:t>
            </w:r>
            <w:r w:rsidR="00D311C9">
              <w:t>ț</w:t>
            </w:r>
            <w:r w:rsidRPr="0082107D">
              <w:t xml:space="preserve">i nu mai sunt viabile. </w:t>
            </w:r>
          </w:p>
          <w:p w14:paraId="6E17D87B" w14:textId="5EF43A07" w:rsidR="0082107D" w:rsidRDefault="0082107D" w:rsidP="002A3DBF">
            <w:pPr>
              <w:jc w:val="both"/>
            </w:pPr>
            <w:r w:rsidRPr="0082107D">
              <w:t xml:space="preserve">Aplicarea </w:t>
            </w:r>
            <w:r>
              <w:t>cerin</w:t>
            </w:r>
            <w:r w:rsidR="00D311C9">
              <w:t>ț</w:t>
            </w:r>
            <w:r>
              <w:t xml:space="preserve">ei </w:t>
            </w:r>
            <w:r w:rsidRPr="0082107D">
              <w:t>MREL în cazul institu</w:t>
            </w:r>
            <w:r w:rsidR="00D311C9">
              <w:t>ț</w:t>
            </w:r>
            <w:r w:rsidRPr="0082107D">
              <w:t>iilor sau entită</w:t>
            </w:r>
            <w:r w:rsidR="00D311C9">
              <w:t>ț</w:t>
            </w:r>
            <w:r w:rsidRPr="0082107D">
              <w:t>ilor care nu sunt entită</w:t>
            </w:r>
            <w:r w:rsidR="00D311C9">
              <w:t>ț</w:t>
            </w:r>
            <w:r w:rsidRPr="0082107D">
              <w:t>i de rezolu</w:t>
            </w:r>
            <w:r w:rsidR="00D311C9">
              <w:t>ț</w:t>
            </w:r>
            <w:r w:rsidRPr="0082107D">
              <w:t>ie trebui</w:t>
            </w:r>
            <w:r>
              <w:t>e</w:t>
            </w:r>
            <w:r w:rsidRPr="0082107D">
              <w:t xml:space="preserve"> să respecte strategia de rezolu</w:t>
            </w:r>
            <w:r w:rsidR="00D311C9">
              <w:t>ț</w:t>
            </w:r>
            <w:r w:rsidRPr="0082107D">
              <w:t xml:space="preserve">ie aleasă </w:t>
            </w:r>
            <w:r w:rsidR="00D311C9">
              <w:t>ș</w:t>
            </w:r>
            <w:r w:rsidRPr="0082107D">
              <w:t>i, în special, nu trebui</w:t>
            </w:r>
            <w:r>
              <w:t>e</w:t>
            </w:r>
            <w:r w:rsidRPr="0082107D">
              <w:t xml:space="preserve"> să modifice rela</w:t>
            </w:r>
            <w:r w:rsidR="00D311C9">
              <w:t>ț</w:t>
            </w:r>
            <w:r w:rsidRPr="0082107D">
              <w:t>ia de apartenen</w:t>
            </w:r>
            <w:r w:rsidR="00D311C9">
              <w:t>ț</w:t>
            </w:r>
            <w:r w:rsidRPr="0082107D">
              <w:t>ă dintre institu</w:t>
            </w:r>
            <w:r w:rsidR="00D311C9">
              <w:t>ț</w:t>
            </w:r>
            <w:r w:rsidRPr="0082107D">
              <w:t>ii sau entită</w:t>
            </w:r>
            <w:r w:rsidR="00D311C9">
              <w:t>ț</w:t>
            </w:r>
            <w:r w:rsidRPr="0082107D">
              <w:t xml:space="preserve">i </w:t>
            </w:r>
            <w:r w:rsidR="00D311C9">
              <w:t>ș</w:t>
            </w:r>
            <w:r w:rsidRPr="0082107D">
              <w:t>i grupul de rezolu</w:t>
            </w:r>
            <w:r w:rsidR="00D311C9">
              <w:t>ț</w:t>
            </w:r>
            <w:r w:rsidRPr="0082107D">
              <w:t>ie, din care fac parte, după recapitalizarea ac</w:t>
            </w:r>
            <w:r w:rsidR="00A64C2A">
              <w:t>estor institu</w:t>
            </w:r>
            <w:r w:rsidR="00D311C9">
              <w:t>ț</w:t>
            </w:r>
            <w:r w:rsidR="00A64C2A">
              <w:t>ii sau entită</w:t>
            </w:r>
            <w:r w:rsidR="00D311C9">
              <w:t>ț</w:t>
            </w:r>
            <w:r w:rsidR="00A64C2A">
              <w:t xml:space="preserve">i. </w:t>
            </w:r>
          </w:p>
          <w:p w14:paraId="23D8EB15" w14:textId="77777777" w:rsidR="0082107D" w:rsidRDefault="0082107D" w:rsidP="002A3DBF">
            <w:pPr>
              <w:jc w:val="both"/>
            </w:pPr>
          </w:p>
          <w:p w14:paraId="53BF5CF8" w14:textId="5F0D56E0" w:rsidR="00CB587F" w:rsidRDefault="00CB587F" w:rsidP="00CB587F">
            <w:pPr>
              <w:jc w:val="both"/>
            </w:pPr>
            <w:r>
              <w:t>Pentru a consolida posibilitatea de solu</w:t>
            </w:r>
            <w:r w:rsidR="00D311C9">
              <w:t>ț</w:t>
            </w:r>
            <w:r>
              <w:t>ionare a unei institu</w:t>
            </w:r>
            <w:r w:rsidR="00D311C9">
              <w:t>ț</w:t>
            </w:r>
            <w:r>
              <w:t>ii din categoria G-SII, autorită</w:t>
            </w:r>
            <w:r w:rsidR="00D311C9">
              <w:t>ț</w:t>
            </w:r>
            <w:r>
              <w:t>ile de rezolu</w:t>
            </w:r>
            <w:r w:rsidR="00D311C9">
              <w:t>ț</w:t>
            </w:r>
            <w:r>
              <w:t>ie trebuie să le poată impune o cerin</w:t>
            </w:r>
            <w:r w:rsidR="00D311C9">
              <w:t>ț</w:t>
            </w:r>
            <w:r>
              <w:t>ă MREL specifică institu</w:t>
            </w:r>
            <w:r w:rsidR="00D311C9">
              <w:t>ț</w:t>
            </w:r>
            <w:r>
              <w:t>iei, pe lângă cerin</w:t>
            </w:r>
            <w:r w:rsidR="00D311C9">
              <w:t>ț</w:t>
            </w:r>
            <w:r>
              <w:t xml:space="preserve">a minimă TLAC prevăzută în Regulamentul (UE) nr. 575/2013. </w:t>
            </w:r>
          </w:p>
          <w:p w14:paraId="6F5E75D9" w14:textId="59B399EC" w:rsidR="00CB587F" w:rsidRDefault="00CB587F" w:rsidP="00CB587F">
            <w:pPr>
              <w:jc w:val="both"/>
            </w:pPr>
            <w:r>
              <w:lastRenderedPageBreak/>
              <w:t xml:space="preserve">Această </w:t>
            </w:r>
            <w:r w:rsidR="00732237">
              <w:t>cerin</w:t>
            </w:r>
            <w:r w:rsidR="00D311C9">
              <w:t>ț</w:t>
            </w:r>
            <w:r w:rsidR="00732237">
              <w:t xml:space="preserve">ă </w:t>
            </w:r>
            <w:r>
              <w:t>MREL specifică institu</w:t>
            </w:r>
            <w:r w:rsidR="00D311C9">
              <w:t>ț</w:t>
            </w:r>
            <w:r>
              <w:t>iei ar trebui impusă dacă cerin</w:t>
            </w:r>
            <w:r w:rsidR="00D311C9">
              <w:t>ț</w:t>
            </w:r>
            <w:r>
              <w:t xml:space="preserve">a minimă TLAC nu este suficientă pentru a absorbi pierderile </w:t>
            </w:r>
            <w:r w:rsidR="00D311C9">
              <w:t>ș</w:t>
            </w:r>
            <w:r>
              <w:t>i a recapitaliza o institu</w:t>
            </w:r>
            <w:r w:rsidR="00D311C9">
              <w:t>ț</w:t>
            </w:r>
            <w:r>
              <w:t>ie din categoria G-SII conform strategiei de rezolu</w:t>
            </w:r>
            <w:r w:rsidR="00D311C9">
              <w:t>ț</w:t>
            </w:r>
            <w:r>
              <w:t>ie alese.</w:t>
            </w:r>
          </w:p>
          <w:p w14:paraId="15DC0B48" w14:textId="77777777" w:rsidR="00CB587F" w:rsidRDefault="00CB587F" w:rsidP="00CB587F">
            <w:pPr>
              <w:jc w:val="both"/>
            </w:pPr>
          </w:p>
          <w:p w14:paraId="35A98FF7" w14:textId="6147D084" w:rsidR="00CB587F" w:rsidRDefault="00CB587F" w:rsidP="00CB587F">
            <w:pPr>
              <w:jc w:val="both"/>
            </w:pPr>
            <w:r>
              <w:t>Atunci când stabilesc nivelul cerin</w:t>
            </w:r>
            <w:r w:rsidR="00D311C9">
              <w:t>ț</w:t>
            </w:r>
            <w:r>
              <w:t>ei MREL, autorită</w:t>
            </w:r>
            <w:r w:rsidR="00D311C9">
              <w:t>ț</w:t>
            </w:r>
            <w:r>
              <w:t>ile de rezolu</w:t>
            </w:r>
            <w:r w:rsidR="00D311C9">
              <w:t>ț</w:t>
            </w:r>
            <w:r>
              <w:t xml:space="preserve">ie ar trebui să </w:t>
            </w:r>
            <w:r w:rsidR="00D311C9">
              <w:t>ț</w:t>
            </w:r>
            <w:r>
              <w:t>ină seama de gradul de relevan</w:t>
            </w:r>
            <w:r w:rsidR="00D311C9">
              <w:t>ț</w:t>
            </w:r>
            <w:r>
              <w:t>ă sistemică al unei institu</w:t>
            </w:r>
            <w:r w:rsidR="00D311C9">
              <w:t>ț</w:t>
            </w:r>
            <w:r>
              <w:t>ii sau entită</w:t>
            </w:r>
            <w:r w:rsidR="00D311C9">
              <w:t>ț</w:t>
            </w:r>
            <w:r>
              <w:t xml:space="preserve">i </w:t>
            </w:r>
            <w:r w:rsidR="00D311C9">
              <w:t>ș</w:t>
            </w:r>
            <w:r>
              <w:t>i de impactul negativ pe care intrarea în dificultate a acesteia l-ar putea avea asupra stabilită</w:t>
            </w:r>
            <w:r w:rsidR="00D311C9">
              <w:t>ț</w:t>
            </w:r>
            <w:r>
              <w:t xml:space="preserve">ii financiare. </w:t>
            </w:r>
          </w:p>
          <w:p w14:paraId="4504C328" w14:textId="43B2DFD6" w:rsidR="00CB587F" w:rsidRDefault="00CB587F" w:rsidP="00CB587F">
            <w:pPr>
              <w:jc w:val="both"/>
            </w:pPr>
            <w:r>
              <w:t>Autorită</w:t>
            </w:r>
            <w:r w:rsidR="00D311C9">
              <w:t>ț</w:t>
            </w:r>
            <w:r>
              <w:t>ile de rezolu</w:t>
            </w:r>
            <w:r w:rsidR="00D311C9">
              <w:t>ț</w:t>
            </w:r>
            <w:r>
              <w:t>ie ar trebui să aibă în vedere necesitatea asigurării unor condi</w:t>
            </w:r>
            <w:r w:rsidR="00D311C9">
              <w:t>ț</w:t>
            </w:r>
            <w:r>
              <w:t>ii de concuren</w:t>
            </w:r>
            <w:r w:rsidR="00D311C9">
              <w:t>ț</w:t>
            </w:r>
            <w:r>
              <w:t>ă echitabile între institu</w:t>
            </w:r>
            <w:r w:rsidR="00D311C9">
              <w:t>ț</w:t>
            </w:r>
            <w:r>
              <w:t xml:space="preserve">iile din categoria G-SII </w:t>
            </w:r>
            <w:r w:rsidR="00D311C9">
              <w:t>ș</w:t>
            </w:r>
            <w:r>
              <w:t>i alte institu</w:t>
            </w:r>
            <w:r w:rsidR="00D311C9">
              <w:t>ț</w:t>
            </w:r>
            <w:r>
              <w:t>ii sau entită</w:t>
            </w:r>
            <w:r w:rsidR="00D311C9">
              <w:t>ț</w:t>
            </w:r>
            <w:r>
              <w:t>i comparabile, relevante din punct de vedere sistemic în cadrul Uniunii Europene. Prin urmare, cerin</w:t>
            </w:r>
            <w:r w:rsidR="00D311C9">
              <w:t>ț</w:t>
            </w:r>
            <w:r>
              <w:t>a MREL aferentă  institu</w:t>
            </w:r>
            <w:r w:rsidR="00D311C9">
              <w:t>ț</w:t>
            </w:r>
            <w:r>
              <w:t>iilor sau a entită</w:t>
            </w:r>
            <w:r w:rsidR="00D311C9">
              <w:t>ț</w:t>
            </w:r>
            <w:r>
              <w:t>ilor care nu intră în categoria G-SII, dar a căror importan</w:t>
            </w:r>
            <w:r w:rsidR="00D311C9">
              <w:t>ț</w:t>
            </w:r>
            <w:r>
              <w:t>ă sistemică poate fi comparată cu importan</w:t>
            </w:r>
            <w:r w:rsidR="00D311C9">
              <w:t>ț</w:t>
            </w:r>
            <w:r>
              <w:t>a sistemică a institu</w:t>
            </w:r>
            <w:r w:rsidR="00D311C9">
              <w:t>ț</w:t>
            </w:r>
            <w:r>
              <w:t>iilor din categoria G-SII</w:t>
            </w:r>
            <w:r w:rsidR="00732237">
              <w:t>,</w:t>
            </w:r>
            <w:r>
              <w:t xml:space="preserve"> nu ar trebui să devieze în mod dispropor</w:t>
            </w:r>
            <w:r w:rsidR="00D311C9">
              <w:t>ț</w:t>
            </w:r>
            <w:r>
              <w:t xml:space="preserve">ionat de la nivelul </w:t>
            </w:r>
            <w:r w:rsidR="00D311C9">
              <w:t>ș</w:t>
            </w:r>
            <w:r>
              <w:t>i componen</w:t>
            </w:r>
            <w:r w:rsidR="00D311C9">
              <w:t>ț</w:t>
            </w:r>
            <w:r>
              <w:t>a cerin</w:t>
            </w:r>
            <w:r w:rsidR="00D311C9">
              <w:t>ț</w:t>
            </w:r>
            <w:r>
              <w:t>ei MREL stabilită în general pentru institu</w:t>
            </w:r>
            <w:r w:rsidR="00D311C9">
              <w:t>ț</w:t>
            </w:r>
            <w:r>
              <w:t>iile din categoria G-SII.</w:t>
            </w:r>
          </w:p>
          <w:p w14:paraId="62BFB9DC" w14:textId="77777777" w:rsidR="00C52354" w:rsidRDefault="00C52354" w:rsidP="00CB587F">
            <w:pPr>
              <w:jc w:val="both"/>
            </w:pPr>
          </w:p>
          <w:p w14:paraId="704A0F13" w14:textId="3D4511F9" w:rsidR="00A64C2A" w:rsidRPr="00A64C2A" w:rsidRDefault="00A64C2A" w:rsidP="002A3DBF">
            <w:pPr>
              <w:jc w:val="both"/>
              <w:rPr>
                <w:b/>
              </w:rPr>
            </w:pPr>
            <w:r w:rsidRPr="00A64C2A">
              <w:rPr>
                <w:b/>
              </w:rPr>
              <w:t>Derogări de la îndeplinirea cerin</w:t>
            </w:r>
            <w:r w:rsidR="00D311C9">
              <w:rPr>
                <w:b/>
              </w:rPr>
              <w:t>ț</w:t>
            </w:r>
            <w:r w:rsidRPr="00A64C2A">
              <w:rPr>
                <w:b/>
              </w:rPr>
              <w:t xml:space="preserve">ei MREL </w:t>
            </w:r>
          </w:p>
          <w:p w14:paraId="64314A28" w14:textId="3572E9F0" w:rsidR="00A64C2A" w:rsidRPr="00A64C2A" w:rsidRDefault="00A64C2A" w:rsidP="002A3DBF">
            <w:pPr>
              <w:jc w:val="both"/>
            </w:pPr>
            <w:r w:rsidRPr="00A64C2A">
              <w:t>Dacă atât entitatea de rezolu</w:t>
            </w:r>
            <w:r w:rsidR="00D311C9">
              <w:t>ț</w:t>
            </w:r>
            <w:r w:rsidRPr="00A64C2A">
              <w:t xml:space="preserve">ie sau întreprinderea-mamă, cât </w:t>
            </w:r>
            <w:r w:rsidR="00D311C9">
              <w:t>ș</w:t>
            </w:r>
            <w:r w:rsidRPr="00A64C2A">
              <w:t>i filialele sale sunt stabilite în acela</w:t>
            </w:r>
            <w:r w:rsidR="00D311C9">
              <w:t>ș</w:t>
            </w:r>
            <w:r w:rsidRPr="00A64C2A">
              <w:t xml:space="preserve">i stat membru </w:t>
            </w:r>
            <w:r w:rsidR="00D311C9">
              <w:t>ș</w:t>
            </w:r>
            <w:r w:rsidRPr="00A64C2A">
              <w:t>i fac parte din acela</w:t>
            </w:r>
            <w:r w:rsidR="00D311C9">
              <w:t>ș</w:t>
            </w:r>
            <w:r w:rsidRPr="00A64C2A">
              <w:t>i grup de rezolu</w:t>
            </w:r>
            <w:r w:rsidR="00D311C9">
              <w:t>ț</w:t>
            </w:r>
            <w:r w:rsidRPr="00A64C2A">
              <w:t>ie, autoritatea de rezolu</w:t>
            </w:r>
            <w:r w:rsidR="00D311C9">
              <w:t>ț</w:t>
            </w:r>
            <w:r w:rsidRPr="00A64C2A">
              <w:t>ie poat</w:t>
            </w:r>
            <w:r>
              <w:t>e</w:t>
            </w:r>
            <w:r w:rsidRPr="00A64C2A">
              <w:t xml:space="preserve"> acorda o derogare de la </w:t>
            </w:r>
            <w:r>
              <w:t>îndeplinirea cerin</w:t>
            </w:r>
            <w:r w:rsidR="00D311C9">
              <w:t>ț</w:t>
            </w:r>
            <w:r>
              <w:t xml:space="preserve">ei </w:t>
            </w:r>
            <w:r w:rsidRPr="00A64C2A">
              <w:t>MREL care se aplică acestor filiale care nu sunt entită</w:t>
            </w:r>
            <w:r w:rsidR="00D311C9">
              <w:t>ț</w:t>
            </w:r>
            <w:r w:rsidRPr="00A64C2A">
              <w:t>i de rezolu</w:t>
            </w:r>
            <w:r w:rsidR="00D311C9">
              <w:t>ț</w:t>
            </w:r>
            <w:r w:rsidRPr="00A64C2A">
              <w:t xml:space="preserve">ie sau </w:t>
            </w:r>
            <w:r>
              <w:t xml:space="preserve">poate </w:t>
            </w:r>
            <w:r w:rsidRPr="00A64C2A">
              <w:t>permit</w:t>
            </w:r>
            <w:r>
              <w:t>e</w:t>
            </w:r>
            <w:r w:rsidRPr="00A64C2A">
              <w:t xml:space="preserve"> acestora să îndeplinească </w:t>
            </w:r>
            <w:r w:rsidR="00BD1B96">
              <w:t>cerin</w:t>
            </w:r>
            <w:r w:rsidR="00D311C9">
              <w:t>ț</w:t>
            </w:r>
            <w:r w:rsidR="00BD1B96">
              <w:t xml:space="preserve">a </w:t>
            </w:r>
            <w:r w:rsidRPr="00A64C2A">
              <w:t>MREL cu garan</w:t>
            </w:r>
            <w:r w:rsidR="00D311C9">
              <w:t>ț</w:t>
            </w:r>
            <w:r w:rsidRPr="00A64C2A">
              <w:t xml:space="preserve">ii acoperite cu colateral între întreprinderea-mamă </w:t>
            </w:r>
            <w:r w:rsidR="00D311C9">
              <w:t>ș</w:t>
            </w:r>
            <w:r w:rsidRPr="00A64C2A">
              <w:t>i filialele sale, garan</w:t>
            </w:r>
            <w:r w:rsidR="00D311C9">
              <w:t>ț</w:t>
            </w:r>
            <w:r w:rsidRPr="00A64C2A">
              <w:t>ii care pot fi activate în condi</w:t>
            </w:r>
            <w:r w:rsidR="00D311C9">
              <w:t>ț</w:t>
            </w:r>
            <w:r w:rsidRPr="00A64C2A">
              <w:t>ii temporale echivalente celor care permit reducerea valorii datoriilor eligibile sau conversia acestora. Colateralul care acoperă garan</w:t>
            </w:r>
            <w:r w:rsidR="00D311C9">
              <w:t>ț</w:t>
            </w:r>
            <w:r w:rsidRPr="00A64C2A">
              <w:t>ia trebui</w:t>
            </w:r>
            <w:r w:rsidR="00BD1B96">
              <w:t>e</w:t>
            </w:r>
            <w:r w:rsidRPr="00A64C2A">
              <w:t xml:space="preserve"> să </w:t>
            </w:r>
            <w:r w:rsidR="0053535F">
              <w:t>respecte</w:t>
            </w:r>
            <w:r w:rsidR="007063C7">
              <w:t xml:space="preserve"> cerin</w:t>
            </w:r>
            <w:r w:rsidR="00D311C9">
              <w:t>ț</w:t>
            </w:r>
            <w:r w:rsidR="007063C7">
              <w:t>ele de eligibilitate</w:t>
            </w:r>
            <w:r w:rsidR="0053535F">
              <w:t xml:space="preserve"> aferente garan</w:t>
            </w:r>
            <w:r w:rsidR="00D311C9">
              <w:t>ț</w:t>
            </w:r>
            <w:r w:rsidR="0053535F">
              <w:t>iilor reale,</w:t>
            </w:r>
            <w:r w:rsidR="007063C7">
              <w:t xml:space="preserve"> prevăzute de Regulamentul </w:t>
            </w:r>
            <w:r w:rsidR="006E4007">
              <w:t xml:space="preserve">(UE) </w:t>
            </w:r>
            <w:r w:rsidR="007063C7">
              <w:t>nr.575</w:t>
            </w:r>
            <w:r w:rsidR="006E4007">
              <w:t xml:space="preserve">/2013 </w:t>
            </w:r>
            <w:r w:rsidR="00D311C9">
              <w:t>ș</w:t>
            </w:r>
            <w:r w:rsidRPr="00A64C2A">
              <w:t>i să prezinte un risc de pia</w:t>
            </w:r>
            <w:r w:rsidR="00D311C9">
              <w:t>ț</w:t>
            </w:r>
            <w:r w:rsidRPr="00A64C2A">
              <w:t xml:space="preserve">ă </w:t>
            </w:r>
            <w:r w:rsidR="00D311C9">
              <w:t>ș</w:t>
            </w:r>
            <w:r w:rsidRPr="00A64C2A">
              <w:t>i de credit minim</w:t>
            </w:r>
            <w:r w:rsidR="00732237">
              <w:t>.</w:t>
            </w:r>
          </w:p>
          <w:p w14:paraId="51F6BCEB" w14:textId="77777777" w:rsidR="00A64C2A" w:rsidRDefault="00A64C2A" w:rsidP="002A3DBF">
            <w:pPr>
              <w:jc w:val="both"/>
            </w:pPr>
          </w:p>
          <w:p w14:paraId="01BA5BCA" w14:textId="0E4D4348" w:rsidR="00A64C2A" w:rsidRDefault="00A64C2A" w:rsidP="002A3DBF">
            <w:pPr>
              <w:jc w:val="both"/>
            </w:pPr>
            <w:r>
              <w:t xml:space="preserve">Întrucât </w:t>
            </w:r>
            <w:r w:rsidRPr="00A64C2A">
              <w:t>Regulamentul (UE) nr. 575/2013 prevede că autorită</w:t>
            </w:r>
            <w:r w:rsidR="00D311C9">
              <w:t>ț</w:t>
            </w:r>
            <w:r w:rsidRPr="00A64C2A">
              <w:t>ile competente pot acorda o derogare de la aplicarea anumitor cerin</w:t>
            </w:r>
            <w:r w:rsidR="00D311C9">
              <w:t>ț</w:t>
            </w:r>
            <w:r w:rsidRPr="00A64C2A">
              <w:t xml:space="preserve">e privind solvabilitatea </w:t>
            </w:r>
            <w:r w:rsidR="00D311C9">
              <w:t>ș</w:t>
            </w:r>
            <w:r w:rsidRPr="00A64C2A">
              <w:t xml:space="preserve">i lichiditatea pentru </w:t>
            </w:r>
            <w:r>
              <w:t>cooperativele de credit</w:t>
            </w:r>
            <w:r w:rsidR="00732237">
              <w:t>,</w:t>
            </w:r>
            <w:r w:rsidR="006E4007">
              <w:t xml:space="preserve"> </w:t>
            </w:r>
            <w:r w:rsidRPr="00A64C2A">
              <w:t>autorită</w:t>
            </w:r>
            <w:r w:rsidR="00D311C9">
              <w:t>ț</w:t>
            </w:r>
            <w:r w:rsidRPr="00A64C2A">
              <w:t>ile de rezolu</w:t>
            </w:r>
            <w:r w:rsidR="00D311C9">
              <w:t>ț</w:t>
            </w:r>
            <w:r w:rsidRPr="00A64C2A">
              <w:t xml:space="preserve">ie </w:t>
            </w:r>
            <w:r>
              <w:t xml:space="preserve">pot, </w:t>
            </w:r>
            <w:r w:rsidRPr="00A64C2A">
              <w:t xml:space="preserve">de asemenea, să </w:t>
            </w:r>
            <w:r w:rsidR="00CA0F0C">
              <w:t>acorde</w:t>
            </w:r>
            <w:r w:rsidRPr="00A64C2A">
              <w:t xml:space="preserve"> o derogare de la aplicarea</w:t>
            </w:r>
            <w:r>
              <w:t xml:space="preserve"> cerin</w:t>
            </w:r>
            <w:r w:rsidR="00D311C9">
              <w:t>ț</w:t>
            </w:r>
            <w:r>
              <w:t>ei</w:t>
            </w:r>
            <w:r w:rsidRPr="00A64C2A">
              <w:t xml:space="preserve"> MREL pentru astfel de institu</w:t>
            </w:r>
            <w:r w:rsidR="00D311C9">
              <w:t>ț</w:t>
            </w:r>
            <w:r w:rsidRPr="00A64C2A">
              <w:t xml:space="preserve">ii de credit </w:t>
            </w:r>
            <w:r w:rsidR="00D311C9">
              <w:t>ș</w:t>
            </w:r>
            <w:r w:rsidRPr="00A64C2A">
              <w:t xml:space="preserve">i </w:t>
            </w:r>
            <w:r>
              <w:t>casa centrală</w:t>
            </w:r>
            <w:r w:rsidRPr="00A64C2A">
              <w:t>, în condi</w:t>
            </w:r>
            <w:r w:rsidR="00D311C9">
              <w:t>ț</w:t>
            </w:r>
            <w:r w:rsidRPr="00A64C2A">
              <w:t>ii similare celor prevăzute în Regulamentul (UE) nr. 575/2013, în cazul în care institu</w:t>
            </w:r>
            <w:r w:rsidR="00D311C9">
              <w:t>ț</w:t>
            </w:r>
            <w:r w:rsidRPr="00A64C2A">
              <w:t xml:space="preserve">iile de credit </w:t>
            </w:r>
            <w:r w:rsidR="00D311C9">
              <w:t>ș</w:t>
            </w:r>
            <w:r w:rsidRPr="00A64C2A">
              <w:t>i organismul central sunt stabilite în acela</w:t>
            </w:r>
            <w:r w:rsidR="00D311C9">
              <w:t>ș</w:t>
            </w:r>
            <w:r w:rsidRPr="00A64C2A">
              <w:t xml:space="preserve">i stat membru. </w:t>
            </w:r>
          </w:p>
          <w:p w14:paraId="656014BF" w14:textId="2971C00D" w:rsidR="00A64C2A" w:rsidRDefault="00A64C2A" w:rsidP="002A3DBF">
            <w:pPr>
              <w:jc w:val="both"/>
            </w:pPr>
            <w:r w:rsidRPr="00A64C2A">
              <w:t>De asemenea, autorită</w:t>
            </w:r>
            <w:r w:rsidR="00D311C9">
              <w:t>ț</w:t>
            </w:r>
            <w:r w:rsidRPr="00A64C2A">
              <w:t>ile de rezolu</w:t>
            </w:r>
            <w:r w:rsidR="00D311C9">
              <w:t>ț</w:t>
            </w:r>
            <w:r w:rsidRPr="00A64C2A">
              <w:t xml:space="preserve">ie </w:t>
            </w:r>
            <w:r>
              <w:t>pot s</w:t>
            </w:r>
            <w:r w:rsidRPr="00A64C2A">
              <w:t xml:space="preserve">ă trateze </w:t>
            </w:r>
            <w:r>
              <w:t>cooperativele</w:t>
            </w:r>
            <w:r w:rsidRPr="00A64C2A">
              <w:t xml:space="preserve"> de credit </w:t>
            </w:r>
            <w:r w:rsidR="00D311C9">
              <w:t>ș</w:t>
            </w:r>
            <w:r w:rsidRPr="00A64C2A">
              <w:t xml:space="preserve">i </w:t>
            </w:r>
            <w:r>
              <w:t xml:space="preserve">casa centrală </w:t>
            </w:r>
            <w:r w:rsidRPr="00A64C2A">
              <w:t>în ansamblu atunci când evaluează condi</w:t>
            </w:r>
            <w:r w:rsidR="00D311C9">
              <w:t>ț</w:t>
            </w:r>
            <w:r w:rsidRPr="00A64C2A">
              <w:t>iile de declan</w:t>
            </w:r>
            <w:r w:rsidR="00D311C9">
              <w:t>ș</w:t>
            </w:r>
            <w:r w:rsidRPr="00A64C2A">
              <w:t>are a rezolu</w:t>
            </w:r>
            <w:r w:rsidR="00D311C9">
              <w:t>ț</w:t>
            </w:r>
            <w:r w:rsidRPr="00A64C2A">
              <w:t>iei în func</w:t>
            </w:r>
            <w:r w:rsidR="00D311C9">
              <w:t>ț</w:t>
            </w:r>
            <w:r w:rsidRPr="00A64C2A">
              <w:t xml:space="preserve">ie de caracteristicile mecanismului de solidaritate. </w:t>
            </w:r>
          </w:p>
          <w:p w14:paraId="3208BE5A" w14:textId="32BA4609" w:rsidR="00A64C2A" w:rsidRDefault="00A64C2A" w:rsidP="002A3DBF">
            <w:pPr>
              <w:jc w:val="both"/>
            </w:pPr>
            <w:r w:rsidRPr="00A64C2A">
              <w:t>Autorită</w:t>
            </w:r>
            <w:r w:rsidR="00D311C9">
              <w:t>ț</w:t>
            </w:r>
            <w:r w:rsidRPr="00A64C2A">
              <w:t>ile de rezolu</w:t>
            </w:r>
            <w:r w:rsidR="00D311C9">
              <w:t>ț</w:t>
            </w:r>
            <w:r w:rsidRPr="00A64C2A">
              <w:t>ie trebui</w:t>
            </w:r>
            <w:r w:rsidR="00CA0F0C">
              <w:t>e</w:t>
            </w:r>
            <w:r w:rsidRPr="00A64C2A">
              <w:t xml:space="preserve"> să poată asigura respectarea cerin</w:t>
            </w:r>
            <w:r w:rsidR="00D311C9">
              <w:t>ț</w:t>
            </w:r>
            <w:r w:rsidRPr="00A64C2A">
              <w:t>ei externe MREL a grupului de rezolu</w:t>
            </w:r>
            <w:r w:rsidR="00D311C9">
              <w:t>ț</w:t>
            </w:r>
            <w:r w:rsidRPr="00A64C2A">
              <w:t>ie în ansamblu, în diferite moduri</w:t>
            </w:r>
            <w:r w:rsidR="00CA0F0C">
              <w:t>,</w:t>
            </w:r>
            <w:r w:rsidRPr="00A64C2A">
              <w:t xml:space="preserve"> în func</w:t>
            </w:r>
            <w:r w:rsidR="00D311C9">
              <w:t>ț</w:t>
            </w:r>
            <w:r w:rsidRPr="00A64C2A">
              <w:t>ie de caracteristicile mecanismului de solidaritate, luând în considerare datoriile eligibile ale entită</w:t>
            </w:r>
            <w:r w:rsidR="00D311C9">
              <w:t>ț</w:t>
            </w:r>
            <w:r w:rsidRPr="00A64C2A">
              <w:t>ilor cărora, în conformitate cu planul de rezolu</w:t>
            </w:r>
            <w:r w:rsidR="00D311C9">
              <w:t>ț</w:t>
            </w:r>
            <w:r w:rsidRPr="00A64C2A">
              <w:t>ie, autorită</w:t>
            </w:r>
            <w:r w:rsidR="00D311C9">
              <w:t>ț</w:t>
            </w:r>
            <w:r w:rsidRPr="00A64C2A">
              <w:t>ile de rezolu</w:t>
            </w:r>
            <w:r w:rsidR="00D311C9">
              <w:t>ț</w:t>
            </w:r>
            <w:r w:rsidRPr="00A64C2A">
              <w:t>ie le impun să emită instrumente eligibile pentru MREL în afara grupului de rezolu</w:t>
            </w:r>
            <w:r w:rsidR="00D311C9">
              <w:t>ț</w:t>
            </w:r>
            <w:r w:rsidRPr="00A64C2A">
              <w:t>ie.</w:t>
            </w:r>
          </w:p>
          <w:p w14:paraId="147B60CF" w14:textId="77777777" w:rsidR="00C5459C" w:rsidRDefault="00C5459C" w:rsidP="002A3DBF">
            <w:pPr>
              <w:jc w:val="both"/>
            </w:pPr>
          </w:p>
          <w:p w14:paraId="5C3D9E12" w14:textId="02D823E3" w:rsidR="00C5459C" w:rsidRDefault="00C5459C" w:rsidP="002A3DBF">
            <w:pPr>
              <w:jc w:val="both"/>
              <w:rPr>
                <w:b/>
              </w:rPr>
            </w:pPr>
            <w:r>
              <w:rPr>
                <w:b/>
              </w:rPr>
              <w:t>Autorită</w:t>
            </w:r>
            <w:r w:rsidR="00D311C9">
              <w:rPr>
                <w:b/>
              </w:rPr>
              <w:t>ț</w:t>
            </w:r>
            <w:r>
              <w:rPr>
                <w:b/>
              </w:rPr>
              <w:t>ile de rezolu</w:t>
            </w:r>
            <w:r w:rsidR="00D311C9">
              <w:rPr>
                <w:b/>
              </w:rPr>
              <w:t>ț</w:t>
            </w:r>
            <w:r>
              <w:rPr>
                <w:b/>
              </w:rPr>
              <w:t>ie implicate în s</w:t>
            </w:r>
            <w:r w:rsidRPr="00C5459C">
              <w:rPr>
                <w:b/>
              </w:rPr>
              <w:t>tabilirea cerin</w:t>
            </w:r>
            <w:r w:rsidR="00D311C9">
              <w:rPr>
                <w:b/>
              </w:rPr>
              <w:t>ț</w:t>
            </w:r>
            <w:r w:rsidRPr="00C5459C">
              <w:rPr>
                <w:b/>
              </w:rPr>
              <w:t xml:space="preserve">ei MREL </w:t>
            </w:r>
          </w:p>
          <w:p w14:paraId="42E5ED35" w14:textId="323D5346" w:rsidR="00C5459C" w:rsidRDefault="00C5459C" w:rsidP="002A3DBF">
            <w:pPr>
              <w:jc w:val="both"/>
            </w:pPr>
            <w:r w:rsidRPr="00C5459C">
              <w:t xml:space="preserve">Pentru a se asigura un nivel adecvat al </w:t>
            </w:r>
            <w:r>
              <w:t>cerin</w:t>
            </w:r>
            <w:r w:rsidR="00D311C9">
              <w:t>ț</w:t>
            </w:r>
            <w:r>
              <w:t xml:space="preserve">ei </w:t>
            </w:r>
            <w:r w:rsidRPr="00C5459C">
              <w:t>MREL pentru scopurile rezolu</w:t>
            </w:r>
            <w:r w:rsidR="00D311C9">
              <w:t>ț</w:t>
            </w:r>
            <w:r w:rsidRPr="00C5459C">
              <w:t>iei, autorită</w:t>
            </w:r>
            <w:r w:rsidR="00D311C9">
              <w:t>ț</w:t>
            </w:r>
            <w:r w:rsidRPr="00C5459C">
              <w:t xml:space="preserve">ile responsabile cu stabilirea nivelului </w:t>
            </w:r>
            <w:r>
              <w:t xml:space="preserve">acesteia sunt </w:t>
            </w:r>
            <w:r w:rsidRPr="00C5459C">
              <w:t>autoritatea de rezolu</w:t>
            </w:r>
            <w:r w:rsidR="00D311C9">
              <w:t>ț</w:t>
            </w:r>
            <w:r w:rsidRPr="00C5459C">
              <w:t>ie a entită</w:t>
            </w:r>
            <w:r w:rsidR="00D311C9">
              <w:t>ț</w:t>
            </w:r>
            <w:r w:rsidRPr="00C5459C">
              <w:t>ii de rezolu</w:t>
            </w:r>
            <w:r w:rsidR="00D311C9">
              <w:t>ț</w:t>
            </w:r>
            <w:r w:rsidRPr="00C5459C">
              <w:t>ie, autoritatea de rezolu</w:t>
            </w:r>
            <w:r w:rsidR="00D311C9">
              <w:t>ț</w:t>
            </w:r>
            <w:r w:rsidRPr="00C5459C">
              <w:t>ie a grupului, care este autoritatea de rezolu</w:t>
            </w:r>
            <w:r w:rsidR="00D311C9">
              <w:t>ț</w:t>
            </w:r>
            <w:r w:rsidRPr="00C5459C">
              <w:t xml:space="preserve">ie a întreprinderii-mamă de cel mai înalt rang, </w:t>
            </w:r>
            <w:r w:rsidR="00D311C9">
              <w:t>ș</w:t>
            </w:r>
            <w:r w:rsidRPr="00C5459C">
              <w:t>i autorită</w:t>
            </w:r>
            <w:r w:rsidR="00D311C9">
              <w:t>ț</w:t>
            </w:r>
            <w:r w:rsidRPr="00C5459C">
              <w:t>ile de rezolu</w:t>
            </w:r>
            <w:r w:rsidR="00D311C9">
              <w:t>ț</w:t>
            </w:r>
            <w:r w:rsidRPr="00C5459C">
              <w:t>ie ale altor entită</w:t>
            </w:r>
            <w:r w:rsidR="00D311C9">
              <w:t>ț</w:t>
            </w:r>
            <w:r w:rsidRPr="00C5459C">
              <w:t>i din cadrul grupului de rezolu</w:t>
            </w:r>
            <w:r w:rsidR="00D311C9">
              <w:t>ț</w:t>
            </w:r>
            <w:r w:rsidRPr="00C5459C">
              <w:t>ie.</w:t>
            </w:r>
          </w:p>
          <w:p w14:paraId="09C9EDD6" w14:textId="4F373A41" w:rsidR="00C5459C" w:rsidRDefault="00C5459C" w:rsidP="002A3DBF">
            <w:pPr>
              <w:jc w:val="both"/>
            </w:pPr>
            <w:r w:rsidRPr="00C5459C">
              <w:t>Orice dezacord între autorită</w:t>
            </w:r>
            <w:r w:rsidR="00D311C9">
              <w:t>ț</w:t>
            </w:r>
            <w:r w:rsidRPr="00C5459C">
              <w:t xml:space="preserve">i </w:t>
            </w:r>
            <w:r>
              <w:t>face</w:t>
            </w:r>
            <w:r w:rsidRPr="00C5459C">
              <w:t xml:space="preserve"> obiectul competen</w:t>
            </w:r>
            <w:r w:rsidR="00D311C9">
              <w:t>ț</w:t>
            </w:r>
            <w:r w:rsidRPr="00C5459C">
              <w:t>elor A</w:t>
            </w:r>
            <w:r w:rsidR="006E4007">
              <w:t>utorită</w:t>
            </w:r>
            <w:r w:rsidR="00D311C9">
              <w:t>ț</w:t>
            </w:r>
            <w:r w:rsidR="006E4007">
              <w:t xml:space="preserve">ii </w:t>
            </w:r>
            <w:r>
              <w:t>B</w:t>
            </w:r>
            <w:r w:rsidR="006E4007">
              <w:t xml:space="preserve">ancare </w:t>
            </w:r>
            <w:r>
              <w:t>E</w:t>
            </w:r>
            <w:r w:rsidR="006E4007">
              <w:t>uropene</w:t>
            </w:r>
            <w:r w:rsidR="00221E09">
              <w:t xml:space="preserve"> (ABE)  de solu</w:t>
            </w:r>
            <w:r w:rsidR="00D311C9">
              <w:t>ț</w:t>
            </w:r>
            <w:r w:rsidR="00221E09">
              <w:t>ionare a dezacordurilor</w:t>
            </w:r>
            <w:r w:rsidRPr="00C5459C">
              <w:t>, în conformitate cu Regulamentul (UE) nr. 1093/2010 al Parlament</w:t>
            </w:r>
            <w:r>
              <w:t xml:space="preserve">ului European </w:t>
            </w:r>
            <w:r w:rsidR="00D311C9">
              <w:t>ș</w:t>
            </w:r>
            <w:r>
              <w:t>i al Consiliului.</w:t>
            </w:r>
          </w:p>
          <w:p w14:paraId="22B5ED95" w14:textId="77777777" w:rsidR="00C5459C" w:rsidRDefault="00C5459C" w:rsidP="002A3DBF">
            <w:pPr>
              <w:jc w:val="both"/>
            </w:pPr>
          </w:p>
          <w:p w14:paraId="38682181" w14:textId="0CF9A126" w:rsidR="00C5459C" w:rsidRPr="00C5459C" w:rsidRDefault="00C5459C" w:rsidP="002A3DBF">
            <w:pPr>
              <w:jc w:val="both"/>
              <w:rPr>
                <w:b/>
              </w:rPr>
            </w:pPr>
            <w:r w:rsidRPr="00C5459C">
              <w:rPr>
                <w:b/>
              </w:rPr>
              <w:t>Încălcarea cerin</w:t>
            </w:r>
            <w:r w:rsidR="00D311C9">
              <w:rPr>
                <w:b/>
              </w:rPr>
              <w:t>ț</w:t>
            </w:r>
            <w:r w:rsidRPr="00C5459C">
              <w:rPr>
                <w:b/>
              </w:rPr>
              <w:t>ei MREL</w:t>
            </w:r>
          </w:p>
          <w:p w14:paraId="0DDA2A6F" w14:textId="19783584" w:rsidR="00C5459C" w:rsidRDefault="00C5459C" w:rsidP="002A3DBF">
            <w:pPr>
              <w:jc w:val="both"/>
            </w:pPr>
            <w:r w:rsidRPr="00C5459C">
              <w:lastRenderedPageBreak/>
              <w:t>Autorită</w:t>
            </w:r>
            <w:r w:rsidR="00D311C9">
              <w:t>ț</w:t>
            </w:r>
            <w:r w:rsidRPr="00C5459C">
              <w:t xml:space="preserve">ile competente </w:t>
            </w:r>
            <w:r w:rsidR="00D311C9">
              <w:t>ș</w:t>
            </w:r>
            <w:r w:rsidRPr="00C5459C">
              <w:t>i autorită</w:t>
            </w:r>
            <w:r w:rsidR="00D311C9">
              <w:t>ț</w:t>
            </w:r>
            <w:r w:rsidRPr="00C5459C">
              <w:t>ile de rezolu</w:t>
            </w:r>
            <w:r w:rsidR="00D311C9">
              <w:t>ț</w:t>
            </w:r>
            <w:r w:rsidRPr="00C5459C">
              <w:t>ie trebui</w:t>
            </w:r>
            <w:r>
              <w:t>e</w:t>
            </w:r>
            <w:r w:rsidRPr="00C5459C">
              <w:t xml:space="preserve"> să abordeze </w:t>
            </w:r>
            <w:r w:rsidR="00D311C9">
              <w:t>ș</w:t>
            </w:r>
            <w:r w:rsidRPr="00C5459C">
              <w:t>i să remedieze în mod adecvat orice încălcări ale cerin</w:t>
            </w:r>
            <w:r w:rsidR="00D311C9">
              <w:t>ț</w:t>
            </w:r>
            <w:r w:rsidRPr="00C5459C">
              <w:t xml:space="preserve">ei minime TLAC </w:t>
            </w:r>
            <w:r w:rsidR="00D311C9">
              <w:t>ș</w:t>
            </w:r>
            <w:r w:rsidRPr="00C5459C">
              <w:t>i MREL</w:t>
            </w:r>
            <w:r w:rsidR="002D0CE2" w:rsidRPr="00E06BA9">
              <w:t xml:space="preserve">, care </w:t>
            </w:r>
            <w:r w:rsidRPr="00E06BA9">
              <w:t>ar putea constitui un obstacol în calea posibilită</w:t>
            </w:r>
            <w:r w:rsidR="00D311C9">
              <w:t>ț</w:t>
            </w:r>
            <w:r w:rsidRPr="00E06BA9">
              <w:t>ii de solu</w:t>
            </w:r>
            <w:r w:rsidR="00D311C9">
              <w:t>ț</w:t>
            </w:r>
            <w:r w:rsidRPr="00E06BA9">
              <w:t>ionare a institu</w:t>
            </w:r>
            <w:r w:rsidR="00D311C9">
              <w:t>ț</w:t>
            </w:r>
            <w:r w:rsidRPr="00E06BA9">
              <w:t>iei de credit sau a grupului</w:t>
            </w:r>
            <w:r w:rsidR="006134D8" w:rsidRPr="00E06BA9">
              <w:t xml:space="preserve">. </w:t>
            </w:r>
          </w:p>
          <w:p w14:paraId="059A8C44" w14:textId="359BE16B" w:rsidR="004658FF" w:rsidRDefault="00DE17B5" w:rsidP="002A3DBF">
            <w:pPr>
              <w:jc w:val="both"/>
            </w:pPr>
            <w:r>
              <w:t xml:space="preserve">În acest sens, </w:t>
            </w:r>
            <w:r w:rsidR="00C5459C" w:rsidRPr="00C5459C">
              <w:t xml:space="preserve"> autorită</w:t>
            </w:r>
            <w:r w:rsidR="00D311C9">
              <w:t>ț</w:t>
            </w:r>
            <w:r w:rsidR="00C5459C" w:rsidRPr="00C5459C">
              <w:t>ile de rezolu</w:t>
            </w:r>
            <w:r w:rsidR="00D311C9">
              <w:t>ț</w:t>
            </w:r>
            <w:r w:rsidR="00C5459C" w:rsidRPr="00C5459C">
              <w:t xml:space="preserve">ie </w:t>
            </w:r>
            <w:r w:rsidR="00C5459C" w:rsidRPr="00276FAD">
              <w:t xml:space="preserve">pot </w:t>
            </w:r>
            <w:r>
              <w:t>exercita competen</w:t>
            </w:r>
            <w:r w:rsidR="00D311C9">
              <w:t>ț</w:t>
            </w:r>
            <w:r>
              <w:t>e specifice pentru solu</w:t>
            </w:r>
            <w:r w:rsidR="00D311C9">
              <w:t>ț</w:t>
            </w:r>
            <w:r>
              <w:t>ionarea sau înlăturarea obstacolelor din calea posibilită</w:t>
            </w:r>
            <w:r w:rsidR="00D311C9">
              <w:t>ț</w:t>
            </w:r>
            <w:r>
              <w:t>ii de solu</w:t>
            </w:r>
            <w:r w:rsidR="00D311C9">
              <w:t>ț</w:t>
            </w:r>
            <w:r>
              <w:t xml:space="preserve">ionare, cum ar fi adresarea </w:t>
            </w:r>
            <w:r w:rsidR="00C5459C" w:rsidRPr="00276FAD">
              <w:t>solicit</w:t>
            </w:r>
            <w:r>
              <w:t>ării</w:t>
            </w:r>
            <w:r w:rsidR="00C5459C" w:rsidRPr="00276FAD">
              <w:t xml:space="preserve"> institu</w:t>
            </w:r>
            <w:r w:rsidR="00D311C9">
              <w:t>ț</w:t>
            </w:r>
            <w:r w:rsidR="00C5459C" w:rsidRPr="00276FAD">
              <w:t>iilor sau entită</w:t>
            </w:r>
            <w:r w:rsidR="00D311C9">
              <w:t>ț</w:t>
            </w:r>
            <w:r w:rsidR="00C5459C" w:rsidRPr="00276FAD">
              <w:t xml:space="preserve">ilor </w:t>
            </w:r>
            <w:r>
              <w:t xml:space="preserve">de a </w:t>
            </w:r>
            <w:r w:rsidR="00C5459C" w:rsidRPr="00276FAD">
              <w:t>modific</w:t>
            </w:r>
            <w:r>
              <w:t>a</w:t>
            </w:r>
            <w:r w:rsidR="00C5459C" w:rsidRPr="00276FAD">
              <w:t xml:space="preserve"> profilurile de scaden</w:t>
            </w:r>
            <w:r w:rsidR="00D311C9">
              <w:t>ț</w:t>
            </w:r>
            <w:r w:rsidR="00C5459C" w:rsidRPr="00276FAD">
              <w:t>ă ale instrumentelor de datorie eligibile</w:t>
            </w:r>
            <w:r w:rsidR="00C5459C" w:rsidRPr="00C5459C">
              <w:t xml:space="preserve"> </w:t>
            </w:r>
            <w:r>
              <w:t xml:space="preserve">sau de a </w:t>
            </w:r>
            <w:r w:rsidR="00C5459C" w:rsidRPr="00C5459C">
              <w:t>pregăt</w:t>
            </w:r>
            <w:r>
              <w:t>i</w:t>
            </w:r>
            <w:r w:rsidR="00C5459C" w:rsidRPr="00C5459C">
              <w:t xml:space="preserve"> </w:t>
            </w:r>
            <w:r w:rsidR="00D311C9">
              <w:t>ș</w:t>
            </w:r>
            <w:r w:rsidR="00C5459C" w:rsidRPr="00C5459C">
              <w:t xml:space="preserve">i </w:t>
            </w:r>
            <w:r>
              <w:t>a</w:t>
            </w:r>
            <w:r w:rsidR="00C5459C" w:rsidRPr="00C5459C">
              <w:t xml:space="preserve"> pun</w:t>
            </w:r>
            <w:r>
              <w:t>e</w:t>
            </w:r>
            <w:r w:rsidR="00C5459C" w:rsidRPr="00C5459C">
              <w:t xml:space="preserve"> în aplicare planuri pentru a restabili nivelul cerin</w:t>
            </w:r>
            <w:r w:rsidR="00D311C9">
              <w:t>ț</w:t>
            </w:r>
            <w:r w:rsidR="00C5459C" w:rsidRPr="00C5459C">
              <w:t xml:space="preserve">elor respective. </w:t>
            </w:r>
          </w:p>
          <w:p w14:paraId="1503B910" w14:textId="02131CAA" w:rsidR="00C5459C" w:rsidRDefault="00C5459C" w:rsidP="002A3DBF">
            <w:pPr>
              <w:jc w:val="both"/>
            </w:pPr>
            <w:r w:rsidRPr="00C5459C">
              <w:t>Autorită</w:t>
            </w:r>
            <w:r w:rsidR="00D311C9">
              <w:t>ț</w:t>
            </w:r>
            <w:r w:rsidRPr="00C5459C">
              <w:t>ile de rezolu</w:t>
            </w:r>
            <w:r w:rsidR="00D311C9">
              <w:t>ț</w:t>
            </w:r>
            <w:r w:rsidRPr="00C5459C">
              <w:t xml:space="preserve">ie </w:t>
            </w:r>
            <w:r w:rsidR="004658FF">
              <w:t>pot,</w:t>
            </w:r>
            <w:r w:rsidRPr="00C5459C">
              <w:t xml:space="preserve"> de asemenea, să interzică anumite distribuiri în cazul în care apreciază că o institu</w:t>
            </w:r>
            <w:r w:rsidR="00D311C9">
              <w:t>ț</w:t>
            </w:r>
            <w:r w:rsidRPr="00C5459C">
              <w:t>ie sau o entitate nu îndepline</w:t>
            </w:r>
            <w:r w:rsidR="00D311C9">
              <w:t>ș</w:t>
            </w:r>
            <w:r w:rsidRPr="00C5459C">
              <w:t>te cerin</w:t>
            </w:r>
            <w:r w:rsidR="00D311C9">
              <w:t>ț</w:t>
            </w:r>
            <w:r w:rsidRPr="00C5459C">
              <w:t>ele amortizorului combinat în temeiul Directivei 2013/36/UE atunci când acestea sunt luate în considerare în plus fa</w:t>
            </w:r>
            <w:r w:rsidR="00D311C9">
              <w:t>ț</w:t>
            </w:r>
            <w:r w:rsidRPr="00C5459C">
              <w:t xml:space="preserve">ă de </w:t>
            </w:r>
            <w:r w:rsidR="00CA0F0C">
              <w:t>cerin</w:t>
            </w:r>
            <w:r w:rsidR="00D311C9">
              <w:t>ț</w:t>
            </w:r>
            <w:r w:rsidR="00CA0F0C">
              <w:t xml:space="preserve">a </w:t>
            </w:r>
            <w:r w:rsidRPr="00C5459C">
              <w:t>MREL.</w:t>
            </w:r>
          </w:p>
          <w:p w14:paraId="4ADF62AB" w14:textId="77777777" w:rsidR="004658FF" w:rsidRDefault="004658FF" w:rsidP="002A3DBF">
            <w:pPr>
              <w:jc w:val="both"/>
            </w:pPr>
          </w:p>
          <w:p w14:paraId="76D91B60" w14:textId="45C79F04" w:rsidR="004658FF" w:rsidRPr="004658FF" w:rsidRDefault="004658FF" w:rsidP="002A3DBF">
            <w:pPr>
              <w:jc w:val="both"/>
              <w:rPr>
                <w:b/>
              </w:rPr>
            </w:pPr>
            <w:r w:rsidRPr="004658FF">
              <w:rPr>
                <w:b/>
              </w:rPr>
              <w:t>Cerin</w:t>
            </w:r>
            <w:r w:rsidR="00D311C9">
              <w:rPr>
                <w:b/>
              </w:rPr>
              <w:t>ț</w:t>
            </w:r>
            <w:r w:rsidRPr="004658FF">
              <w:rPr>
                <w:b/>
              </w:rPr>
              <w:t>e de ra</w:t>
            </w:r>
            <w:r w:rsidR="00C52354">
              <w:rPr>
                <w:b/>
              </w:rPr>
              <w:t>p</w:t>
            </w:r>
            <w:r w:rsidRPr="004658FF">
              <w:rPr>
                <w:b/>
              </w:rPr>
              <w:t xml:space="preserve">ortare </w:t>
            </w:r>
            <w:r w:rsidR="00D311C9">
              <w:rPr>
                <w:b/>
              </w:rPr>
              <w:t>ș</w:t>
            </w:r>
            <w:r w:rsidRPr="004658FF">
              <w:rPr>
                <w:b/>
              </w:rPr>
              <w:t>i de publicare</w:t>
            </w:r>
          </w:p>
          <w:p w14:paraId="41C6CA46" w14:textId="1E456093" w:rsidR="00C5459C" w:rsidRDefault="004658FF" w:rsidP="002A3DBF">
            <w:pPr>
              <w:jc w:val="both"/>
            </w:pPr>
            <w:r w:rsidRPr="004658FF">
              <w:t>Pentru a asigura aplicarea transparentă a</w:t>
            </w:r>
            <w:r>
              <w:t xml:space="preserve"> cerin</w:t>
            </w:r>
            <w:r w:rsidR="00D311C9">
              <w:t>ț</w:t>
            </w:r>
            <w:r>
              <w:t xml:space="preserve">ei </w:t>
            </w:r>
            <w:r w:rsidRPr="004658FF">
              <w:t>MREL, institu</w:t>
            </w:r>
            <w:r w:rsidR="00D311C9">
              <w:t>ț</w:t>
            </w:r>
            <w:r w:rsidRPr="004658FF">
              <w:t xml:space="preserve">iile </w:t>
            </w:r>
            <w:r w:rsidR="00D311C9">
              <w:t>ș</w:t>
            </w:r>
            <w:r w:rsidRPr="004658FF">
              <w:t>i entită</w:t>
            </w:r>
            <w:r w:rsidR="00D311C9">
              <w:t>ț</w:t>
            </w:r>
            <w:r w:rsidRPr="004658FF">
              <w:t>ile trebui</w:t>
            </w:r>
            <w:r>
              <w:t>e</w:t>
            </w:r>
            <w:r w:rsidRPr="004658FF">
              <w:t xml:space="preserve"> să raporteze autorită</w:t>
            </w:r>
            <w:r w:rsidR="00D311C9">
              <w:t>ț</w:t>
            </w:r>
            <w:r w:rsidRPr="004658FF">
              <w:t xml:space="preserve">ilor lor competente </w:t>
            </w:r>
            <w:r w:rsidR="00D311C9">
              <w:t>ș</w:t>
            </w:r>
            <w:r w:rsidRPr="004658FF">
              <w:t>i autorită</w:t>
            </w:r>
            <w:r w:rsidR="00D311C9">
              <w:t>ț</w:t>
            </w:r>
            <w:r w:rsidRPr="004658FF">
              <w:t>ilor de rezolu</w:t>
            </w:r>
            <w:r w:rsidR="00D311C9">
              <w:t>ț</w:t>
            </w:r>
            <w:r w:rsidRPr="004658FF">
              <w:t xml:space="preserve">ie </w:t>
            </w:r>
            <w:r w:rsidR="00D311C9">
              <w:t>ș</w:t>
            </w:r>
            <w:r w:rsidRPr="004658FF">
              <w:t>i să publice în mod regulat informa</w:t>
            </w:r>
            <w:r w:rsidR="00D311C9">
              <w:t>ț</w:t>
            </w:r>
            <w:r w:rsidRPr="004658FF">
              <w:t xml:space="preserve">ii privind </w:t>
            </w:r>
            <w:r>
              <w:t>cerin</w:t>
            </w:r>
            <w:r w:rsidR="00D311C9">
              <w:t>ț</w:t>
            </w:r>
            <w:r>
              <w:t xml:space="preserve">a </w:t>
            </w:r>
            <w:r w:rsidRPr="004658FF">
              <w:t xml:space="preserve">MREL care li se aplică, nivelurile </w:t>
            </w:r>
            <w:r w:rsidR="00CA0F0C">
              <w:t xml:space="preserve">aferente </w:t>
            </w:r>
            <w:r w:rsidRPr="004658FF">
              <w:t>datorii</w:t>
            </w:r>
            <w:r w:rsidR="00CA0F0C">
              <w:t>lor</w:t>
            </w:r>
            <w:r w:rsidRPr="004658FF">
              <w:t xml:space="preserve"> eligibile </w:t>
            </w:r>
            <w:r w:rsidR="00CA0F0C">
              <w:t>pentru calculul MREL</w:t>
            </w:r>
            <w:r w:rsidR="00E2263F">
              <w:t>,</w:t>
            </w:r>
            <w:r w:rsidR="00CA0F0C">
              <w:t xml:space="preserve"> precum </w:t>
            </w:r>
            <w:r w:rsidR="00D311C9">
              <w:t>ș</w:t>
            </w:r>
            <w:r w:rsidR="00CA0F0C">
              <w:t xml:space="preserve">i altor </w:t>
            </w:r>
            <w:r w:rsidRPr="004658FF">
              <w:t xml:space="preserve">datorii care pot face obiectul recapitalizării interne </w:t>
            </w:r>
            <w:r w:rsidR="00D311C9">
              <w:t>ș</w:t>
            </w:r>
            <w:r w:rsidRPr="004658FF">
              <w:t>i componen</w:t>
            </w:r>
            <w:r w:rsidR="00D311C9">
              <w:t>ț</w:t>
            </w:r>
            <w:r w:rsidRPr="004658FF">
              <w:t>a a</w:t>
            </w:r>
            <w:r>
              <w:t>cestor datorii</w:t>
            </w:r>
            <w:r w:rsidRPr="004658FF">
              <w:t xml:space="preserve">, inclusiv </w:t>
            </w:r>
            <w:r>
              <w:t xml:space="preserve">din perspectiva </w:t>
            </w:r>
            <w:r w:rsidRPr="004658FF">
              <w:t>profilul</w:t>
            </w:r>
            <w:r>
              <w:t>ui</w:t>
            </w:r>
            <w:r w:rsidRPr="004658FF">
              <w:t xml:space="preserve"> de scaden</w:t>
            </w:r>
            <w:r w:rsidR="00D311C9">
              <w:t>ț</w:t>
            </w:r>
            <w:r w:rsidRPr="004658FF">
              <w:t xml:space="preserve">ă </w:t>
            </w:r>
            <w:r w:rsidR="00D311C9">
              <w:t>ș</w:t>
            </w:r>
            <w:r w:rsidRPr="004658FF">
              <w:t xml:space="preserve">i </w:t>
            </w:r>
            <w:r>
              <w:t xml:space="preserve">a </w:t>
            </w:r>
            <w:r w:rsidRPr="004658FF">
              <w:t>rangul</w:t>
            </w:r>
            <w:r w:rsidR="00E2263F">
              <w:t>ui</w:t>
            </w:r>
            <w:r w:rsidRPr="004658FF">
              <w:t xml:space="preserve"> acordat acestora în cadrul procedurilor obi</w:t>
            </w:r>
            <w:r w:rsidR="00D311C9">
              <w:t>ș</w:t>
            </w:r>
            <w:r w:rsidRPr="004658FF">
              <w:t>nuite de insolven</w:t>
            </w:r>
            <w:r w:rsidR="00D311C9">
              <w:t>ț</w:t>
            </w:r>
            <w:r w:rsidRPr="004658FF">
              <w:t xml:space="preserve">ă. </w:t>
            </w:r>
          </w:p>
          <w:p w14:paraId="024AB35B" w14:textId="555D5A00" w:rsidR="00D01721" w:rsidRDefault="00D01721" w:rsidP="002A3DBF">
            <w:pPr>
              <w:jc w:val="both"/>
              <w:rPr>
                <w:b/>
              </w:rPr>
            </w:pPr>
            <w:r>
              <w:rPr>
                <w:b/>
              </w:rPr>
              <w:t>b.</w:t>
            </w:r>
            <w:r w:rsidR="008D576C">
              <w:rPr>
                <w:b/>
              </w:rPr>
              <w:t>1.</w:t>
            </w:r>
            <w:r>
              <w:rPr>
                <w:b/>
              </w:rPr>
              <w:t>2</w:t>
            </w:r>
            <w:r w:rsidR="0082107D" w:rsidRPr="00D950EA">
              <w:rPr>
                <w:b/>
              </w:rPr>
              <w:t xml:space="preserve">. </w:t>
            </w:r>
            <w:r w:rsidR="00D950EA">
              <w:rPr>
                <w:b/>
              </w:rPr>
              <w:t>Vâ</w:t>
            </w:r>
            <w:r>
              <w:rPr>
                <w:b/>
              </w:rPr>
              <w:t>nzarea de instrumente de datorie</w:t>
            </w:r>
            <w:r w:rsidR="00D950EA">
              <w:rPr>
                <w:b/>
              </w:rPr>
              <w:t xml:space="preserve"> eligibile către clien</w:t>
            </w:r>
            <w:r w:rsidR="00D311C9">
              <w:rPr>
                <w:b/>
              </w:rPr>
              <w:t>ț</w:t>
            </w:r>
            <w:r w:rsidR="00D950EA">
              <w:rPr>
                <w:b/>
              </w:rPr>
              <w:t xml:space="preserve">i retail </w:t>
            </w:r>
          </w:p>
          <w:p w14:paraId="06CF5EF6" w14:textId="39C89900" w:rsidR="00D01721" w:rsidRDefault="00D01721" w:rsidP="002A3DBF">
            <w:pPr>
              <w:jc w:val="both"/>
            </w:pPr>
            <w:r w:rsidRPr="00D01721">
              <w:t>În cazul în care o parte</w:t>
            </w:r>
            <w:r w:rsidR="00221E09">
              <w:t xml:space="preserve"> </w:t>
            </w:r>
            <w:r w:rsidR="00D950EA" w:rsidRPr="00D950EA">
              <w:t xml:space="preserve">semnificativă a instrumentelor </w:t>
            </w:r>
            <w:r w:rsidR="00CA0F0C">
              <w:t>eligibile pentru calculul cerin</w:t>
            </w:r>
            <w:r w:rsidR="00D311C9">
              <w:t>ț</w:t>
            </w:r>
            <w:r w:rsidR="00CA0F0C">
              <w:t xml:space="preserve">ei </w:t>
            </w:r>
            <w:r w:rsidR="00D950EA" w:rsidRPr="00D950EA">
              <w:t>MREL ale unei institu</w:t>
            </w:r>
            <w:r w:rsidR="00D311C9">
              <w:t>ț</w:t>
            </w:r>
            <w:r w:rsidR="00D950EA" w:rsidRPr="00D950EA">
              <w:t>ii sau entită</w:t>
            </w:r>
            <w:r w:rsidR="00D311C9">
              <w:t>ț</w:t>
            </w:r>
            <w:r w:rsidR="00D950EA" w:rsidRPr="00D950EA">
              <w:t>i este de</w:t>
            </w:r>
            <w:r w:rsidR="00D311C9">
              <w:t>ț</w:t>
            </w:r>
            <w:r w:rsidR="00D950EA" w:rsidRPr="00D950EA">
              <w:t xml:space="preserve">inută de investitori de </w:t>
            </w:r>
            <w:r>
              <w:t xml:space="preserve">tip </w:t>
            </w:r>
            <w:r w:rsidR="00D950EA" w:rsidRPr="00D950EA">
              <w:t xml:space="preserve">retail care </w:t>
            </w:r>
            <w:r w:rsidR="00CA0F0C">
              <w:t>nu au primit inf</w:t>
            </w:r>
            <w:r>
              <w:t>o</w:t>
            </w:r>
            <w:r w:rsidR="00CA0F0C">
              <w:t>r</w:t>
            </w:r>
            <w:r>
              <w:t>ma</w:t>
            </w:r>
            <w:r w:rsidR="00D311C9">
              <w:t>ț</w:t>
            </w:r>
            <w:r>
              <w:t xml:space="preserve">ii </w:t>
            </w:r>
            <w:r w:rsidR="00D950EA" w:rsidRPr="00D950EA">
              <w:t xml:space="preserve">corespunzătoare referitoare la riscurile </w:t>
            </w:r>
            <w:r>
              <w:t>induse de respectiva investi</w:t>
            </w:r>
            <w:r w:rsidR="00D311C9">
              <w:t>ț</w:t>
            </w:r>
            <w:r>
              <w:t>ie</w:t>
            </w:r>
            <w:r w:rsidR="00D950EA" w:rsidRPr="00D950EA">
              <w:t>, acest lucru ar putea constitui un obstacol în calea posibilită</w:t>
            </w:r>
            <w:r w:rsidR="00D311C9">
              <w:t>ț</w:t>
            </w:r>
            <w:r w:rsidR="00D950EA" w:rsidRPr="00D950EA">
              <w:t>ii de solu</w:t>
            </w:r>
            <w:r w:rsidR="00D311C9">
              <w:t>ț</w:t>
            </w:r>
            <w:r w:rsidR="00D950EA" w:rsidRPr="00D950EA">
              <w:t>ionare.</w:t>
            </w:r>
          </w:p>
          <w:p w14:paraId="5C7ABFFC" w14:textId="4CB0C3E0" w:rsidR="00D01721" w:rsidRDefault="00D01721" w:rsidP="002A3DBF">
            <w:pPr>
              <w:jc w:val="both"/>
            </w:pPr>
            <w:r>
              <w:t xml:space="preserve">Dacă </w:t>
            </w:r>
            <w:r w:rsidR="00D950EA" w:rsidRPr="00D950EA">
              <w:t>autoritate</w:t>
            </w:r>
            <w:r>
              <w:t>a</w:t>
            </w:r>
            <w:r w:rsidR="00D950EA" w:rsidRPr="00D950EA">
              <w:t xml:space="preserve"> de rezolu</w:t>
            </w:r>
            <w:r w:rsidR="00D311C9">
              <w:t>ț</w:t>
            </w:r>
            <w:r w:rsidR="00D950EA" w:rsidRPr="00D950EA">
              <w:t>ie constată un obstacol în calea posibilită</w:t>
            </w:r>
            <w:r w:rsidR="00D311C9">
              <w:t>ț</w:t>
            </w:r>
            <w:r w:rsidR="00D950EA" w:rsidRPr="00D950EA">
              <w:t>ii de solu</w:t>
            </w:r>
            <w:r w:rsidR="00D311C9">
              <w:t>ț</w:t>
            </w:r>
            <w:r w:rsidR="00D950EA" w:rsidRPr="00D950EA">
              <w:t xml:space="preserve">ionare care rezultă din dimensiunea </w:t>
            </w:r>
            <w:r w:rsidR="00D311C9">
              <w:t>ș</w:t>
            </w:r>
            <w:r w:rsidR="00D950EA" w:rsidRPr="00D950EA">
              <w:t>i caracteristicile unei anumit</w:t>
            </w:r>
            <w:r w:rsidR="00CA0F0C">
              <w:t xml:space="preserve">e baze de investitori, aceasta </w:t>
            </w:r>
            <w:r w:rsidR="00D950EA" w:rsidRPr="00D950EA">
              <w:t>trebui</w:t>
            </w:r>
            <w:r w:rsidR="00CA0F0C">
              <w:t>e</w:t>
            </w:r>
            <w:r w:rsidR="00D950EA" w:rsidRPr="00D950EA">
              <w:t xml:space="preserve"> să poată recomanda unei institu</w:t>
            </w:r>
            <w:r w:rsidR="00D311C9">
              <w:t>ț</w:t>
            </w:r>
            <w:r w:rsidR="00D950EA" w:rsidRPr="00D950EA">
              <w:t>ii sau entită</w:t>
            </w:r>
            <w:r w:rsidR="00D311C9">
              <w:t>ț</w:t>
            </w:r>
            <w:r w:rsidR="00D950EA" w:rsidRPr="00D950EA">
              <w:t xml:space="preserve">i să abordeze respectivul obstacol. </w:t>
            </w:r>
          </w:p>
          <w:p w14:paraId="6C24155B" w14:textId="40A98294" w:rsidR="00D01721" w:rsidRDefault="00D950EA" w:rsidP="002A3DBF">
            <w:pPr>
              <w:jc w:val="both"/>
            </w:pPr>
            <w:r w:rsidRPr="00D950EA">
              <w:t xml:space="preserve">Pentru ca investitorii de </w:t>
            </w:r>
            <w:r w:rsidR="00303643">
              <w:t xml:space="preserve">tip </w:t>
            </w:r>
            <w:r w:rsidRPr="00D950EA">
              <w:t xml:space="preserve">retail să nu investească în mod excesiv în anumite instrumente de datorie care sunt eligibile pentru </w:t>
            </w:r>
            <w:r w:rsidR="00CA0F0C">
              <w:t>calculul cerin</w:t>
            </w:r>
            <w:r w:rsidR="00D311C9">
              <w:t>ț</w:t>
            </w:r>
            <w:r w:rsidR="00CA0F0C">
              <w:t xml:space="preserve">ei </w:t>
            </w:r>
            <w:r w:rsidRPr="00D950EA">
              <w:t>MREL, statele membre trebui</w:t>
            </w:r>
            <w:r w:rsidR="00D01721">
              <w:t>e</w:t>
            </w:r>
            <w:r w:rsidRPr="00D950EA">
              <w:t xml:space="preserve"> să se asigure că valoarea nominală minimă a unor astfel de instrumente este relativ ridicată sau că investi</w:t>
            </w:r>
            <w:r w:rsidR="00D311C9">
              <w:t>ț</w:t>
            </w:r>
            <w:r w:rsidRPr="00D950EA">
              <w:t>ia în astfel de instrumente nu reprezintă o propor</w:t>
            </w:r>
            <w:r w:rsidR="00D311C9">
              <w:t>ț</w:t>
            </w:r>
            <w:r w:rsidRPr="00D950EA">
              <w:t xml:space="preserve">ie excesivă din portofoliul investitorului. </w:t>
            </w:r>
          </w:p>
          <w:p w14:paraId="1A78E1F4" w14:textId="5BCA4190" w:rsidR="002A3DBF" w:rsidRPr="0029331C" w:rsidRDefault="00D950EA" w:rsidP="00DE4371">
            <w:pPr>
              <w:jc w:val="both"/>
            </w:pPr>
            <w:r w:rsidRPr="00D950EA">
              <w:t>Având în vedere că această cerin</w:t>
            </w:r>
            <w:r w:rsidR="00D311C9">
              <w:t>ț</w:t>
            </w:r>
            <w:r w:rsidRPr="00D950EA">
              <w:t xml:space="preserve">ă nu este acoperită suficient în Directiva 2014/65/UE, </w:t>
            </w:r>
            <w:r w:rsidR="00E2263F">
              <w:t>aceasta</w:t>
            </w:r>
            <w:r w:rsidRPr="00D950EA">
              <w:t xml:space="preserve"> trebui</w:t>
            </w:r>
            <w:r w:rsidR="00D01721">
              <w:t>e</w:t>
            </w:r>
            <w:r w:rsidRPr="00D950EA">
              <w:t xml:space="preserve"> să fie aplicabilă în temeiul Directivei 2014/59/UE </w:t>
            </w:r>
            <w:r w:rsidR="00D311C9">
              <w:t>ș</w:t>
            </w:r>
            <w:r w:rsidRPr="00D950EA">
              <w:t>i nu trebui</w:t>
            </w:r>
            <w:r w:rsidR="00D01721">
              <w:t>e</w:t>
            </w:r>
            <w:r w:rsidRPr="00D950EA">
              <w:t xml:space="preserve"> să aducă atingere normelor de protec</w:t>
            </w:r>
            <w:r w:rsidR="00D311C9">
              <w:t>ț</w:t>
            </w:r>
            <w:r w:rsidRPr="00D950EA">
              <w:t xml:space="preserve">ie a investitorilor prevăzute în Directiva 2014/65/UE. </w:t>
            </w:r>
          </w:p>
          <w:p w14:paraId="2A811C51" w14:textId="054A9572" w:rsidR="002C5E41" w:rsidRDefault="002C5E41" w:rsidP="00DE4371">
            <w:pPr>
              <w:jc w:val="both"/>
              <w:rPr>
                <w:b/>
              </w:rPr>
            </w:pPr>
            <w:r>
              <w:rPr>
                <w:b/>
              </w:rPr>
              <w:t>b.</w:t>
            </w:r>
            <w:r w:rsidR="008D576C">
              <w:rPr>
                <w:b/>
              </w:rPr>
              <w:t>1.</w:t>
            </w:r>
            <w:r>
              <w:rPr>
                <w:b/>
              </w:rPr>
              <w:t>3 Recunoa</w:t>
            </w:r>
            <w:r w:rsidR="00D311C9">
              <w:rPr>
                <w:b/>
              </w:rPr>
              <w:t>ș</w:t>
            </w:r>
            <w:r>
              <w:rPr>
                <w:b/>
              </w:rPr>
              <w:t xml:space="preserve">terea contractuală a recapitalizării interne </w:t>
            </w:r>
          </w:p>
          <w:p w14:paraId="36281EA0" w14:textId="06E86141" w:rsidR="002C5E41" w:rsidRPr="00B00540" w:rsidRDefault="002C5E41" w:rsidP="00DE4371">
            <w:pPr>
              <w:jc w:val="both"/>
            </w:pPr>
            <w:r w:rsidRPr="00B00540">
              <w:t>Cerin</w:t>
            </w:r>
            <w:r w:rsidR="00D311C9">
              <w:t>ț</w:t>
            </w:r>
            <w:r w:rsidRPr="00B00540">
              <w:t>a de a include recunoa</w:t>
            </w:r>
            <w:r w:rsidR="00D311C9">
              <w:t>ș</w:t>
            </w:r>
            <w:r w:rsidRPr="00B00540">
              <w:t>terea contractuală a efectelor instrumentului de recapitalizare internă</w:t>
            </w:r>
            <w:r w:rsidR="00E3705F" w:rsidRPr="00B00540">
              <w:t xml:space="preserve"> în acorduri care guvernează </w:t>
            </w:r>
            <w:r w:rsidRPr="00B00540">
              <w:t xml:space="preserve">instrumente </w:t>
            </w:r>
            <w:r w:rsidR="00E3705F" w:rsidRPr="00B00540">
              <w:t xml:space="preserve">de datorie </w:t>
            </w:r>
            <w:r w:rsidRPr="00B00540">
              <w:t>reglementate de legisla</w:t>
            </w:r>
            <w:r w:rsidR="00D311C9">
              <w:t>ț</w:t>
            </w:r>
            <w:r w:rsidRPr="00B00540">
              <w:t xml:space="preserve">ia </w:t>
            </w:r>
            <w:r w:rsidR="00E3705F" w:rsidRPr="00B00540">
              <w:t>statelor</w:t>
            </w:r>
            <w:r w:rsidRPr="00B00540">
              <w:t xml:space="preserve"> ter</w:t>
            </w:r>
            <w:r w:rsidR="00D311C9">
              <w:t>ț</w:t>
            </w:r>
            <w:r w:rsidRPr="00B00540">
              <w:t xml:space="preserve">e are ca scop să faciliteze </w:t>
            </w:r>
            <w:r w:rsidR="00C0154A" w:rsidRPr="00B00540">
              <w:t xml:space="preserve">aplicarea instrumentului de </w:t>
            </w:r>
            <w:r w:rsidRPr="00B00540">
              <w:t xml:space="preserve"> recapitalizare internă în caz de rezolu</w:t>
            </w:r>
            <w:r w:rsidR="00D311C9">
              <w:t>ț</w:t>
            </w:r>
            <w:r w:rsidRPr="00B00540">
              <w:t xml:space="preserve">ie. </w:t>
            </w:r>
          </w:p>
          <w:p w14:paraId="3C2BB9BD" w14:textId="26BB5B06" w:rsidR="002C5E41" w:rsidRPr="00B00540" w:rsidRDefault="00C0154A" w:rsidP="00DE4371">
            <w:pPr>
              <w:jc w:val="both"/>
            </w:pPr>
            <w:r w:rsidRPr="00B00540">
              <w:t>D</w:t>
            </w:r>
            <w:r w:rsidR="002C5E41" w:rsidRPr="00B00540">
              <w:t>ispozi</w:t>
            </w:r>
            <w:r w:rsidR="00D311C9">
              <w:t>ț</w:t>
            </w:r>
            <w:r w:rsidR="002C5E41" w:rsidRPr="00B00540">
              <w:t xml:space="preserve">iile </w:t>
            </w:r>
            <w:r w:rsidRPr="00B00540">
              <w:t>privind r</w:t>
            </w:r>
            <w:r w:rsidR="002C5E41" w:rsidRPr="00B00540">
              <w:t>ecunoa</w:t>
            </w:r>
            <w:r w:rsidR="00D311C9">
              <w:t>ș</w:t>
            </w:r>
            <w:r w:rsidR="002C5E41" w:rsidRPr="00B00540">
              <w:t>tere</w:t>
            </w:r>
            <w:r w:rsidR="00E2263F">
              <w:t>a</w:t>
            </w:r>
            <w:r w:rsidR="002C5E41" w:rsidRPr="00B00540">
              <w:t xml:space="preserve"> contractuală </w:t>
            </w:r>
            <w:r w:rsidRPr="00B00540">
              <w:t xml:space="preserve">a recapitalizării interne </w:t>
            </w:r>
            <w:r w:rsidR="002C5E41" w:rsidRPr="00B00540">
              <w:t>contribuie la con</w:t>
            </w:r>
            <w:r w:rsidR="00D311C9">
              <w:t>ș</w:t>
            </w:r>
            <w:r w:rsidR="002C5E41" w:rsidRPr="00B00540">
              <w:t xml:space="preserve">tientizarea de către creditorii care </w:t>
            </w:r>
            <w:r w:rsidR="00866E79">
              <w:t>sunt păr</w:t>
            </w:r>
            <w:r w:rsidR="00D311C9">
              <w:t>ț</w:t>
            </w:r>
            <w:r w:rsidR="00866E79">
              <w:t xml:space="preserve">i în cadrul </w:t>
            </w:r>
            <w:r w:rsidR="002C5E41" w:rsidRPr="00B00540">
              <w:t>unor  contract</w:t>
            </w:r>
            <w:r w:rsidR="00866E79">
              <w:t>e</w:t>
            </w:r>
            <w:r w:rsidR="00E2263F">
              <w:t>,</w:t>
            </w:r>
            <w:r w:rsidR="002C5E41" w:rsidRPr="00B00540">
              <w:t xml:space="preserve"> care sunt reglementate de dreptul unui stat </w:t>
            </w:r>
            <w:r w:rsidRPr="00B00540">
              <w:t>ter</w:t>
            </w:r>
            <w:r w:rsidR="00D311C9">
              <w:t>ț</w:t>
            </w:r>
            <w:r w:rsidR="00E2263F">
              <w:t>,</w:t>
            </w:r>
            <w:r w:rsidR="002C5E41" w:rsidRPr="00B00540">
              <w:t xml:space="preserve"> a eventualelor măsuri de rezolu</w:t>
            </w:r>
            <w:r w:rsidR="00D311C9">
              <w:t>ț</w:t>
            </w:r>
            <w:r w:rsidR="002C5E41" w:rsidRPr="00B00540">
              <w:t>ie cu privire la institu</w:t>
            </w:r>
            <w:r w:rsidR="00D311C9">
              <w:t>ț</w:t>
            </w:r>
            <w:r w:rsidR="002C5E41" w:rsidRPr="00B00540">
              <w:t>iile sau entită</w:t>
            </w:r>
            <w:r w:rsidR="00D311C9">
              <w:t>ț</w:t>
            </w:r>
            <w:r w:rsidR="002C5E41" w:rsidRPr="00B00540">
              <w:t>ile care sunt r</w:t>
            </w:r>
            <w:r w:rsidRPr="00B00540">
              <w:t>eglementate de dreptul Uniunii Europene</w:t>
            </w:r>
            <w:r w:rsidR="00E2263F">
              <w:t>.</w:t>
            </w:r>
          </w:p>
          <w:p w14:paraId="74816ACA" w14:textId="3746906D" w:rsidR="00C04ADC" w:rsidRPr="00B00540" w:rsidRDefault="00C0154A" w:rsidP="00DE4371">
            <w:pPr>
              <w:jc w:val="both"/>
            </w:pPr>
            <w:r w:rsidRPr="00B00540">
              <w:t xml:space="preserve">Pot </w:t>
            </w:r>
            <w:r w:rsidR="002C5E41" w:rsidRPr="00B00540">
              <w:t xml:space="preserve">exista </w:t>
            </w:r>
            <w:r w:rsidRPr="00B00540">
              <w:t xml:space="preserve">însă </w:t>
            </w:r>
            <w:r w:rsidR="002C5E41" w:rsidRPr="00B00540">
              <w:t>cazuri în care este impracticabil ca institu</w:t>
            </w:r>
            <w:r w:rsidR="00D311C9">
              <w:t>ț</w:t>
            </w:r>
            <w:r w:rsidR="002C5E41" w:rsidRPr="00B00540">
              <w:t>iile sau entită</w:t>
            </w:r>
            <w:r w:rsidR="00D311C9">
              <w:t>ț</w:t>
            </w:r>
            <w:r w:rsidR="002C5E41" w:rsidRPr="00B00540">
              <w:t>ile să includă r</w:t>
            </w:r>
            <w:r w:rsidRPr="00B00540">
              <w:t xml:space="preserve">espectivele clauze </w:t>
            </w:r>
            <w:r w:rsidR="006134D8">
              <w:t xml:space="preserve">în </w:t>
            </w:r>
            <w:r w:rsidRPr="00B00540">
              <w:t>contracte. Astfel de cazuri ar fi</w:t>
            </w:r>
            <w:r w:rsidR="00221E09">
              <w:t>,</w:t>
            </w:r>
            <w:r w:rsidRPr="00B00540">
              <w:t xml:space="preserve"> de exemplu, cele în care: </w:t>
            </w:r>
            <w:r w:rsidR="002C5E41" w:rsidRPr="00B00540">
              <w:t>în temeiul legisla</w:t>
            </w:r>
            <w:r w:rsidR="00D311C9">
              <w:t>ț</w:t>
            </w:r>
            <w:r w:rsidR="002C5E41" w:rsidRPr="00B00540">
              <w:t xml:space="preserve">iei </w:t>
            </w:r>
            <w:r w:rsidR="00D311C9">
              <w:t>ț</w:t>
            </w:r>
            <w:r w:rsidR="002C5E41" w:rsidRPr="00B00540">
              <w:t>ării ter</w:t>
            </w:r>
            <w:r w:rsidR="00D311C9">
              <w:t>ț</w:t>
            </w:r>
            <w:r w:rsidR="002C5E41" w:rsidRPr="00B00540">
              <w:t xml:space="preserve">e respective este </w:t>
            </w:r>
            <w:r w:rsidR="00221E09">
              <w:t xml:space="preserve">interzis </w:t>
            </w:r>
            <w:r w:rsidR="002C5E41" w:rsidRPr="00B00540">
              <w:t>ca o institu</w:t>
            </w:r>
            <w:r w:rsidR="00D311C9">
              <w:t>ț</w:t>
            </w:r>
            <w:r w:rsidR="002C5E41" w:rsidRPr="00B00540">
              <w:t>ie sau o entitate să includă astfel de clauze</w:t>
            </w:r>
            <w:r w:rsidRPr="00B00540">
              <w:t xml:space="preserve">; </w:t>
            </w:r>
            <w:r w:rsidR="002C5E41" w:rsidRPr="00B00540">
              <w:t>institu</w:t>
            </w:r>
            <w:r w:rsidR="00D311C9">
              <w:t>ț</w:t>
            </w:r>
            <w:r w:rsidR="002C5E41" w:rsidRPr="00B00540">
              <w:t>i</w:t>
            </w:r>
            <w:r w:rsidRPr="00B00540">
              <w:t xml:space="preserve">a sau </w:t>
            </w:r>
            <w:r w:rsidR="002C5E41" w:rsidRPr="00B00540">
              <w:t>entitate</w:t>
            </w:r>
            <w:r w:rsidRPr="00B00540">
              <w:t>a</w:t>
            </w:r>
            <w:r w:rsidR="002C5E41" w:rsidRPr="00B00540">
              <w:t xml:space="preserve"> nu are nicio competen</w:t>
            </w:r>
            <w:r w:rsidR="00D311C9">
              <w:t>ț</w:t>
            </w:r>
            <w:r w:rsidR="002C5E41" w:rsidRPr="00B00540">
              <w:t>ă la nivel individual să</w:t>
            </w:r>
            <w:r w:rsidR="00F67E32">
              <w:t xml:space="preserve"> modifice clauzele contractuale</w:t>
            </w:r>
            <w:r w:rsidR="00E2263F">
              <w:t>,</w:t>
            </w:r>
            <w:r w:rsidR="002C5E41" w:rsidRPr="00B00540">
              <w:t xml:space="preserve"> întrucât acestea sunt impuse de protocoale interna</w:t>
            </w:r>
            <w:r w:rsidR="00D311C9">
              <w:t>ț</w:t>
            </w:r>
            <w:r w:rsidR="002C5E41" w:rsidRPr="00B00540">
              <w:t>ionale sau se întemeiază pe condi</w:t>
            </w:r>
            <w:r w:rsidR="00D311C9">
              <w:t>ț</w:t>
            </w:r>
            <w:r w:rsidR="002C5E41" w:rsidRPr="00B00540">
              <w:t>ii standard convenite la nivel interna</w:t>
            </w:r>
            <w:r w:rsidR="00D311C9">
              <w:t>ț</w:t>
            </w:r>
            <w:r w:rsidRPr="00B00540">
              <w:t>ional</w:t>
            </w:r>
            <w:r w:rsidR="00F67E32">
              <w:t>;</w:t>
            </w:r>
            <w:r w:rsidR="002C5E41" w:rsidRPr="00B00540">
              <w:t xml:space="preserve"> datoria care </w:t>
            </w:r>
            <w:r w:rsidR="00C04ADC" w:rsidRPr="00B00540">
              <w:t xml:space="preserve">ar </w:t>
            </w:r>
            <w:r w:rsidR="002C5E41" w:rsidRPr="00B00540">
              <w:t>face obiectul cerin</w:t>
            </w:r>
            <w:r w:rsidR="00D311C9">
              <w:t>ț</w:t>
            </w:r>
            <w:r w:rsidR="002C5E41" w:rsidRPr="00B00540">
              <w:t>ei de recunoa</w:t>
            </w:r>
            <w:r w:rsidR="00D311C9">
              <w:t>ș</w:t>
            </w:r>
            <w:r w:rsidR="002C5E41" w:rsidRPr="00B00540">
              <w:t>tere contractuală este condi</w:t>
            </w:r>
            <w:r w:rsidR="00D311C9">
              <w:t>ț</w:t>
            </w:r>
            <w:r w:rsidR="002C5E41" w:rsidRPr="00B00540">
              <w:t>ionată de o încălcare a contractului sau rezultă din garan</w:t>
            </w:r>
            <w:r w:rsidR="00D311C9">
              <w:t>ț</w:t>
            </w:r>
            <w:r w:rsidR="002C5E41" w:rsidRPr="00B00540">
              <w:t>ii, contragaran</w:t>
            </w:r>
            <w:r w:rsidR="00D311C9">
              <w:t>ț</w:t>
            </w:r>
            <w:r w:rsidR="002C5E41" w:rsidRPr="00B00540">
              <w:t>ii sau alte instrumente utilizate în contextul unor opera</w:t>
            </w:r>
            <w:r w:rsidR="00D311C9">
              <w:t>ț</w:t>
            </w:r>
            <w:r w:rsidR="002C5E41" w:rsidRPr="00B00540">
              <w:t>iuni de finan</w:t>
            </w:r>
            <w:r w:rsidR="00D311C9">
              <w:t>ț</w:t>
            </w:r>
            <w:r w:rsidR="002C5E41" w:rsidRPr="00B00540">
              <w:t>are a comer</w:t>
            </w:r>
            <w:r w:rsidR="00D311C9">
              <w:t>ț</w:t>
            </w:r>
            <w:r w:rsidR="002C5E41" w:rsidRPr="00B00540">
              <w:t xml:space="preserve">ului. </w:t>
            </w:r>
          </w:p>
          <w:p w14:paraId="23EAAD23" w14:textId="32B6FAA4" w:rsidR="00C04ADC" w:rsidRPr="00B00540" w:rsidRDefault="00C04ADC" w:rsidP="00DE4371">
            <w:pPr>
              <w:jc w:val="both"/>
            </w:pPr>
            <w:r w:rsidRPr="00B00540">
              <w:t>Pentru a identifica mai precis cazurile de impracticabilitate</w:t>
            </w:r>
            <w:r w:rsidR="00E2263F">
              <w:t>,</w:t>
            </w:r>
            <w:r w:rsidR="00221E09">
              <w:t xml:space="preserve"> </w:t>
            </w:r>
            <w:r w:rsidR="002C5E41" w:rsidRPr="00B00540">
              <w:t xml:space="preserve">ABE </w:t>
            </w:r>
            <w:r w:rsidRPr="00B00540">
              <w:t xml:space="preserve">va elabora </w:t>
            </w:r>
            <w:r w:rsidR="002C5E41" w:rsidRPr="00B00540">
              <w:t>proiecte de standarde tehnice de reglementare</w:t>
            </w:r>
            <w:r w:rsidR="006134D8">
              <w:t xml:space="preserve">, pe baza cărora </w:t>
            </w:r>
          </w:p>
          <w:p w14:paraId="7D00E4F6" w14:textId="600D413F" w:rsidR="00C04ADC" w:rsidRPr="00B00540" w:rsidRDefault="00D311C9" w:rsidP="00DE4371">
            <w:pPr>
              <w:jc w:val="both"/>
            </w:pPr>
            <w:r>
              <w:lastRenderedPageBreak/>
              <w:t>ș</w:t>
            </w:r>
            <w:r w:rsidR="002C5E41" w:rsidRPr="00B00540">
              <w:t>i luând în considerare particularită</w:t>
            </w:r>
            <w:r>
              <w:t>ț</w:t>
            </w:r>
            <w:r w:rsidR="002C5E41" w:rsidRPr="00B00540">
              <w:t>ile pie</w:t>
            </w:r>
            <w:r>
              <w:t>ț</w:t>
            </w:r>
            <w:r w:rsidR="002C5E41" w:rsidRPr="00B00540">
              <w:t>ei, autoritatea de rezolu</w:t>
            </w:r>
            <w:r>
              <w:t>ț</w:t>
            </w:r>
            <w:r w:rsidR="002C5E41" w:rsidRPr="00B00540">
              <w:t>ie stabile</w:t>
            </w:r>
            <w:r>
              <w:t>ș</w:t>
            </w:r>
            <w:r w:rsidR="00C04ADC" w:rsidRPr="00B00540">
              <w:t>te</w:t>
            </w:r>
            <w:r w:rsidR="002C5E41" w:rsidRPr="00B00540">
              <w:t>, în măsura în care consideră necesar, categorii de datorii în cazul cărora ar putea exista motive de impracticabilitate.</w:t>
            </w:r>
          </w:p>
          <w:p w14:paraId="4EA48DE2" w14:textId="0050AFA8" w:rsidR="00F67E32" w:rsidRDefault="00C04ADC" w:rsidP="00DE4371">
            <w:pPr>
              <w:jc w:val="both"/>
            </w:pPr>
            <w:r w:rsidRPr="00B00540">
              <w:t>I</w:t>
            </w:r>
            <w:r w:rsidR="002C5E41" w:rsidRPr="00B00540">
              <w:t>nstitu</w:t>
            </w:r>
            <w:r w:rsidR="00D311C9">
              <w:t>ț</w:t>
            </w:r>
            <w:r w:rsidRPr="00B00540">
              <w:t xml:space="preserve">ia de credit sau </w:t>
            </w:r>
            <w:r w:rsidR="002C5E41" w:rsidRPr="00B00540">
              <w:t>entitate</w:t>
            </w:r>
            <w:r w:rsidRPr="00B00540">
              <w:t xml:space="preserve">a în cauză </w:t>
            </w:r>
            <w:r w:rsidR="00AC2A13">
              <w:t>evaluează</w:t>
            </w:r>
            <w:r w:rsidR="00AC2A13" w:rsidRPr="00B00540">
              <w:t xml:space="preserve"> </w:t>
            </w:r>
            <w:r w:rsidR="002C5E41" w:rsidRPr="00B00540">
              <w:t>dacă este impracticabilă introducerea într-un contract sau într-o categorie de contracte a unei clauze de recunoa</w:t>
            </w:r>
            <w:r w:rsidR="00D311C9">
              <w:t>ș</w:t>
            </w:r>
            <w:r w:rsidR="002C5E41" w:rsidRPr="00B00540">
              <w:t>tere în materie de recapitalizare internă</w:t>
            </w:r>
            <w:r w:rsidR="00AC2A13">
              <w:t xml:space="preserve"> </w:t>
            </w:r>
            <w:r w:rsidR="00D311C9">
              <w:t>ș</w:t>
            </w:r>
            <w:r w:rsidR="00AC2A13">
              <w:t>i motivează evaluarea făcută</w:t>
            </w:r>
            <w:r w:rsidR="002C5E41" w:rsidRPr="00B00540">
              <w:t>.</w:t>
            </w:r>
            <w:r w:rsidRPr="00B00540">
              <w:t xml:space="preserve"> Acestea furnizează</w:t>
            </w:r>
            <w:r w:rsidR="002C5E41" w:rsidRPr="00B00540">
              <w:t xml:space="preserve"> în mod regulat informa</w:t>
            </w:r>
            <w:r w:rsidR="00D311C9">
              <w:t>ț</w:t>
            </w:r>
            <w:r w:rsidR="002C5E41" w:rsidRPr="00B00540">
              <w:t>ii actualizate autorită</w:t>
            </w:r>
            <w:r w:rsidR="00D311C9">
              <w:t>ț</w:t>
            </w:r>
            <w:r w:rsidRPr="00B00540">
              <w:t>ilor</w:t>
            </w:r>
            <w:r w:rsidR="002C5E41" w:rsidRPr="00B00540">
              <w:t xml:space="preserve"> de rezolu</w:t>
            </w:r>
            <w:r w:rsidR="00D311C9">
              <w:t>ț</w:t>
            </w:r>
            <w:r w:rsidR="002C5E41" w:rsidRPr="00B00540">
              <w:t xml:space="preserve">ie, pentru a le </w:t>
            </w:r>
            <w:r w:rsidR="00D311C9">
              <w:t>ț</w:t>
            </w:r>
            <w:r w:rsidR="002C5E41" w:rsidRPr="00B00540">
              <w:t>ine la curent în legătură cu progresele înregistrate în ceea ce prive</w:t>
            </w:r>
            <w:r w:rsidR="00D311C9">
              <w:t>ș</w:t>
            </w:r>
            <w:r w:rsidR="002C5E41" w:rsidRPr="00B00540">
              <w:t>te punerea în aplicare a condi</w:t>
            </w:r>
            <w:r w:rsidR="00D311C9">
              <w:t>ț</w:t>
            </w:r>
            <w:r w:rsidR="002C5E41" w:rsidRPr="00B00540">
              <w:t>iilor de recunoa</w:t>
            </w:r>
            <w:r w:rsidR="00D311C9">
              <w:t>ș</w:t>
            </w:r>
            <w:r w:rsidR="002C5E41" w:rsidRPr="00B00540">
              <w:t>tere contractuală</w:t>
            </w:r>
            <w:r w:rsidRPr="00B00540">
              <w:t xml:space="preserve">. </w:t>
            </w:r>
          </w:p>
          <w:p w14:paraId="19E4010E" w14:textId="5AB99EC9" w:rsidR="00F67E32" w:rsidRDefault="002C5E41" w:rsidP="00DE4371">
            <w:pPr>
              <w:jc w:val="both"/>
            </w:pPr>
            <w:r w:rsidRPr="00B00540">
              <w:t>Autorită</w:t>
            </w:r>
            <w:r w:rsidR="00D311C9">
              <w:t>ț</w:t>
            </w:r>
            <w:r w:rsidRPr="00B00540">
              <w:t>ile de rezolu</w:t>
            </w:r>
            <w:r w:rsidR="00D311C9">
              <w:t>ț</w:t>
            </w:r>
            <w:r w:rsidRPr="00B00540">
              <w:t xml:space="preserve">ie </w:t>
            </w:r>
            <w:r w:rsidR="00C04ADC" w:rsidRPr="00B00540">
              <w:t>evaluează,</w:t>
            </w:r>
            <w:r w:rsidRPr="00B00540">
              <w:t xml:space="preserve"> într-un interval de timp rezonabil, </w:t>
            </w:r>
            <w:r w:rsidR="00C04ADC" w:rsidRPr="00B00540">
              <w:t xml:space="preserve">opinia </w:t>
            </w:r>
            <w:r w:rsidRPr="00B00540">
              <w:t>institu</w:t>
            </w:r>
            <w:r w:rsidR="00D311C9">
              <w:t>ț</w:t>
            </w:r>
            <w:r w:rsidR="00C04ADC" w:rsidRPr="00B00540">
              <w:t>iei/entită</w:t>
            </w:r>
            <w:r w:rsidR="00D311C9">
              <w:t>ț</w:t>
            </w:r>
            <w:r w:rsidR="00C04ADC" w:rsidRPr="00B00540">
              <w:t xml:space="preserve">ii </w:t>
            </w:r>
            <w:r w:rsidRPr="00B00540">
              <w:t>conform căreia este impracticabilă includerea unei clauze de recunoa</w:t>
            </w:r>
            <w:r w:rsidR="00D311C9">
              <w:t>ș</w:t>
            </w:r>
            <w:r w:rsidRPr="00B00540">
              <w:t>tere contractuală în acorduri de finan</w:t>
            </w:r>
            <w:r w:rsidR="00D311C9">
              <w:t>ț</w:t>
            </w:r>
            <w:r w:rsidRPr="00B00540">
              <w:t xml:space="preserve">are </w:t>
            </w:r>
            <w:r w:rsidR="00D311C9">
              <w:t>ș</w:t>
            </w:r>
            <w:r w:rsidRPr="00B00540">
              <w:t xml:space="preserve">i ia măsuri pentru a aborda orice evaluări eronate </w:t>
            </w:r>
            <w:r w:rsidR="00D311C9">
              <w:t>ș</w:t>
            </w:r>
            <w:r w:rsidRPr="00B00540">
              <w:t>i obstacole din calea posibilită</w:t>
            </w:r>
            <w:r w:rsidR="00D311C9">
              <w:t>ț</w:t>
            </w:r>
            <w:r w:rsidRPr="00B00540">
              <w:t>ii de solu</w:t>
            </w:r>
            <w:r w:rsidR="00D311C9">
              <w:t>ț</w:t>
            </w:r>
            <w:r w:rsidRPr="00B00540">
              <w:t>ionare, survenite ca rezultat al neincluderii unor clauze de recunoa</w:t>
            </w:r>
            <w:r w:rsidR="00D311C9">
              <w:t>ș</w:t>
            </w:r>
            <w:r w:rsidRPr="00B00540">
              <w:t xml:space="preserve">tere contractuală. </w:t>
            </w:r>
          </w:p>
          <w:p w14:paraId="5B09236B" w14:textId="625A52E5" w:rsidR="00F67E32" w:rsidRDefault="002C5E41" w:rsidP="00DE4371">
            <w:pPr>
              <w:jc w:val="both"/>
            </w:pPr>
            <w:r w:rsidRPr="00B00540">
              <w:t>Institu</w:t>
            </w:r>
            <w:r w:rsidR="00D311C9">
              <w:t>ț</w:t>
            </w:r>
            <w:r w:rsidRPr="00B00540">
              <w:t xml:space="preserve">iile </w:t>
            </w:r>
            <w:r w:rsidR="00D311C9">
              <w:t>ș</w:t>
            </w:r>
            <w:r w:rsidRPr="00B00540">
              <w:t>i entită</w:t>
            </w:r>
            <w:r w:rsidR="00D311C9">
              <w:t>ț</w:t>
            </w:r>
            <w:r w:rsidRPr="00B00540">
              <w:t xml:space="preserve">ile </w:t>
            </w:r>
            <w:r w:rsidR="00C04ADC" w:rsidRPr="00B00540">
              <w:t xml:space="preserve">trebuie </w:t>
            </w:r>
            <w:r w:rsidRPr="00B00540">
              <w:t>să î</w:t>
            </w:r>
            <w:r w:rsidR="00D311C9">
              <w:t>ș</w:t>
            </w:r>
            <w:r w:rsidRPr="00B00540">
              <w:t>i justifice opinia, dacă acest lucru este solicitat de autoritatea de rezolu</w:t>
            </w:r>
            <w:r w:rsidR="00D311C9">
              <w:t>ț</w:t>
            </w:r>
            <w:r w:rsidRPr="00B00540">
              <w:t xml:space="preserve">ie. </w:t>
            </w:r>
          </w:p>
          <w:p w14:paraId="139793E8" w14:textId="15910951" w:rsidR="002C5E41" w:rsidRPr="00B00540" w:rsidRDefault="002C5E41" w:rsidP="00DE4371">
            <w:pPr>
              <w:jc w:val="both"/>
              <w:rPr>
                <w:b/>
              </w:rPr>
            </w:pPr>
            <w:r w:rsidRPr="00B00540">
              <w:t>În plus, pentru a se asigura că nu este afectată posibilitatea de solu</w:t>
            </w:r>
            <w:r w:rsidR="00D311C9">
              <w:t>ț</w:t>
            </w:r>
            <w:r w:rsidRPr="00B00540">
              <w:t>ionare a institu</w:t>
            </w:r>
            <w:r w:rsidR="00D311C9">
              <w:t>ț</w:t>
            </w:r>
            <w:r w:rsidRPr="00B00540">
              <w:t>iilor sau entită</w:t>
            </w:r>
            <w:r w:rsidR="00D311C9">
              <w:t>ț</w:t>
            </w:r>
            <w:r w:rsidRPr="00B00540">
              <w:t>ilor, datoriile în cazul cărora nu sunt incluse dispozi</w:t>
            </w:r>
            <w:r w:rsidR="00D311C9">
              <w:t>ț</w:t>
            </w:r>
            <w:r w:rsidRPr="00B00540">
              <w:t xml:space="preserve">ii contractuale relevante nu </w:t>
            </w:r>
            <w:r w:rsidR="00C04ADC" w:rsidRPr="00B00540">
              <w:t>sunt</w:t>
            </w:r>
            <w:r w:rsidRPr="00B00540">
              <w:t xml:space="preserve"> eligibile pentru </w:t>
            </w:r>
            <w:r w:rsidR="00C04ADC" w:rsidRPr="00B00540">
              <w:t>calculul cerin</w:t>
            </w:r>
            <w:r w:rsidR="00D311C9">
              <w:t>ț</w:t>
            </w:r>
            <w:r w:rsidR="00C04ADC" w:rsidRPr="00B00540">
              <w:t xml:space="preserve">ei </w:t>
            </w:r>
            <w:r w:rsidRPr="00B00540">
              <w:t>MREL.</w:t>
            </w:r>
          </w:p>
          <w:p w14:paraId="3911DAC9" w14:textId="0C2D0DDB" w:rsidR="00B00540" w:rsidRPr="00717606" w:rsidRDefault="00B00540" w:rsidP="00DE4371">
            <w:pPr>
              <w:jc w:val="both"/>
              <w:rPr>
                <w:b/>
              </w:rPr>
            </w:pPr>
            <w:r w:rsidRPr="00717606">
              <w:rPr>
                <w:b/>
              </w:rPr>
              <w:t>b.</w:t>
            </w:r>
            <w:r w:rsidR="008D576C">
              <w:rPr>
                <w:b/>
              </w:rPr>
              <w:t>1.</w:t>
            </w:r>
            <w:r w:rsidRPr="00717606">
              <w:rPr>
                <w:b/>
              </w:rPr>
              <w:t xml:space="preserve">4 </w:t>
            </w:r>
            <w:r w:rsidR="00717606" w:rsidRPr="00717606">
              <w:rPr>
                <w:b/>
              </w:rPr>
              <w:t xml:space="preserve">Ordinea reducerii valorii </w:t>
            </w:r>
            <w:r w:rsidR="00D311C9">
              <w:rPr>
                <w:b/>
              </w:rPr>
              <w:t>ș</w:t>
            </w:r>
            <w:r w:rsidR="00717606" w:rsidRPr="00717606">
              <w:rPr>
                <w:b/>
              </w:rPr>
              <w:t>i a conversiei</w:t>
            </w:r>
          </w:p>
          <w:p w14:paraId="7E7BC0FC" w14:textId="5545F8DC" w:rsidR="00B00540" w:rsidRDefault="00B00540" w:rsidP="00DE4371">
            <w:pPr>
              <w:jc w:val="both"/>
              <w:rPr>
                <w:b/>
              </w:rPr>
            </w:pPr>
            <w:r w:rsidRPr="00B00540">
              <w:t>Pentru a permite aplicarea efectivă a competen</w:t>
            </w:r>
            <w:r w:rsidR="00D311C9">
              <w:t>ț</w:t>
            </w:r>
            <w:r w:rsidRPr="00B00540">
              <w:t xml:space="preserve">elor </w:t>
            </w:r>
            <w:r w:rsidR="00460030">
              <w:t xml:space="preserve">de </w:t>
            </w:r>
            <w:r w:rsidRPr="00B00540">
              <w:t>reduce</w:t>
            </w:r>
            <w:r w:rsidR="00717606">
              <w:t>re a</w:t>
            </w:r>
            <w:r w:rsidRPr="00B00540">
              <w:t xml:space="preserve"> valo</w:t>
            </w:r>
            <w:r w:rsidR="00717606">
              <w:t>rii</w:t>
            </w:r>
            <w:r w:rsidRPr="00B00540">
              <w:t xml:space="preserve"> sau de conver</w:t>
            </w:r>
            <w:r w:rsidR="00717606">
              <w:t>sie</w:t>
            </w:r>
            <w:r w:rsidR="007436D8">
              <w:t xml:space="preserve"> </w:t>
            </w:r>
            <w:r w:rsidR="00A87A8D">
              <w:t xml:space="preserve">pentru </w:t>
            </w:r>
            <w:r w:rsidRPr="00B00540">
              <w:t>elemente</w:t>
            </w:r>
            <w:r w:rsidR="00A87A8D">
              <w:t>le de fonduri</w:t>
            </w:r>
            <w:r w:rsidRPr="00B00540">
              <w:t xml:space="preserve"> proprii fără a încălca garan</w:t>
            </w:r>
            <w:r w:rsidR="00D311C9">
              <w:t>ț</w:t>
            </w:r>
            <w:r w:rsidRPr="00B00540">
              <w:t>iile creditorilor prevăzute de directivă, statele membre trebui</w:t>
            </w:r>
            <w:r w:rsidR="00A87A8D">
              <w:t>e</w:t>
            </w:r>
            <w:r w:rsidRPr="00B00540">
              <w:t xml:space="preserve"> să se asigure că</w:t>
            </w:r>
            <w:r w:rsidR="00A87A8D">
              <w:t>,</w:t>
            </w:r>
            <w:r w:rsidR="00460030">
              <w:t xml:space="preserve"> î</w:t>
            </w:r>
            <w:r w:rsidR="00460030" w:rsidRPr="00B00540">
              <w:t>n procedura obi</w:t>
            </w:r>
            <w:r w:rsidR="00D311C9">
              <w:t>ș</w:t>
            </w:r>
            <w:r w:rsidR="00460030" w:rsidRPr="00B00540">
              <w:t>nuită de insolven</w:t>
            </w:r>
            <w:r w:rsidR="00D311C9">
              <w:t>ț</w:t>
            </w:r>
            <w:r w:rsidR="00460030" w:rsidRPr="00B00540">
              <w:t>ă</w:t>
            </w:r>
            <w:r w:rsidR="00460030">
              <w:t>,</w:t>
            </w:r>
            <w:r w:rsidR="007436D8">
              <w:t xml:space="preserve"> </w:t>
            </w:r>
            <w:r w:rsidRPr="00B00540">
              <w:t>crean</w:t>
            </w:r>
            <w:r w:rsidR="00D311C9">
              <w:t>ț</w:t>
            </w:r>
            <w:r w:rsidRPr="00B00540">
              <w:t xml:space="preserve">ele care rezultă din elemente ale fondurilor proprii </w:t>
            </w:r>
            <w:r w:rsidR="00A87A8D">
              <w:t xml:space="preserve">au </w:t>
            </w:r>
            <w:r w:rsidRPr="00B00540">
              <w:t>un rang</w:t>
            </w:r>
            <w:r w:rsidR="00A87A8D">
              <w:t xml:space="preserve"> de prioritate</w:t>
            </w:r>
            <w:r w:rsidRPr="00B00540">
              <w:t xml:space="preserve"> inferior </w:t>
            </w:r>
            <w:r w:rsidR="00A87A8D">
              <w:t>celui</w:t>
            </w:r>
            <w:r w:rsidRPr="00B00540">
              <w:t xml:space="preserve"> acordat oricărei alte crean</w:t>
            </w:r>
            <w:r w:rsidR="00D311C9">
              <w:t>ț</w:t>
            </w:r>
            <w:r w:rsidRPr="00B00540">
              <w:t>e subordonate. Instrumentele care sunt doar par</w:t>
            </w:r>
            <w:r w:rsidR="00D311C9">
              <w:t>ț</w:t>
            </w:r>
            <w:r w:rsidRPr="00B00540">
              <w:t xml:space="preserve">ial recunoscute </w:t>
            </w:r>
            <w:r w:rsidR="00A87A8D">
              <w:t>în categoria</w:t>
            </w:r>
            <w:r w:rsidRPr="00B00540">
              <w:t xml:space="preserve"> fonduri</w:t>
            </w:r>
            <w:r w:rsidR="00A87A8D">
              <w:t>lor</w:t>
            </w:r>
            <w:r w:rsidRPr="00B00540">
              <w:t xml:space="preserve"> proprii trebui</w:t>
            </w:r>
            <w:r w:rsidR="00A87A8D">
              <w:t>e</w:t>
            </w:r>
            <w:r w:rsidRPr="00B00540">
              <w:t xml:space="preserve"> să fie tratate drept crean</w:t>
            </w:r>
            <w:r w:rsidR="00D311C9">
              <w:t>ț</w:t>
            </w:r>
            <w:r w:rsidRPr="00B00540">
              <w:t>e rezultate din fondurile proprii pentru valoarea lor integrală. Recunoa</w:t>
            </w:r>
            <w:r w:rsidR="00D311C9">
              <w:t>ș</w:t>
            </w:r>
            <w:r w:rsidRPr="00B00540">
              <w:t>terea par</w:t>
            </w:r>
            <w:r w:rsidR="00D311C9">
              <w:t>ț</w:t>
            </w:r>
            <w:r w:rsidRPr="00B00540">
              <w:t>ială</w:t>
            </w:r>
            <w:r w:rsidR="00A87A8D">
              <w:t xml:space="preserve"> în fondurile proprii ar putea decurge</w:t>
            </w:r>
            <w:r w:rsidR="00E2263F">
              <w:t>,</w:t>
            </w:r>
            <w:r w:rsidR="00A87A8D">
              <w:t xml:space="preserve"> de exemplu</w:t>
            </w:r>
            <w:r w:rsidR="00E2263F">
              <w:t>,</w:t>
            </w:r>
            <w:r w:rsidR="00A87A8D">
              <w:t xml:space="preserve"> din </w:t>
            </w:r>
            <w:r w:rsidRPr="00B00540">
              <w:t>aplic</w:t>
            </w:r>
            <w:r w:rsidR="00A87A8D">
              <w:t xml:space="preserve">area tratamentului tranzitoriu </w:t>
            </w:r>
            <w:r w:rsidRPr="00B00540">
              <w:t>care are drept efect de</w:t>
            </w:r>
            <w:r w:rsidR="007436D8">
              <w:t xml:space="preserve"> </w:t>
            </w:r>
            <w:r w:rsidRPr="00B00540">
              <w:t>recunoa</w:t>
            </w:r>
            <w:r w:rsidR="00D311C9">
              <w:t>ș</w:t>
            </w:r>
            <w:r w:rsidRPr="00B00540">
              <w:t>terea par</w:t>
            </w:r>
            <w:r w:rsidR="00D311C9">
              <w:t>ț</w:t>
            </w:r>
            <w:r w:rsidRPr="00B00540">
              <w:t xml:space="preserve">ială a unui instrument sau </w:t>
            </w:r>
            <w:r w:rsidR="00A87A8D">
              <w:t xml:space="preserve">din </w:t>
            </w:r>
            <w:r w:rsidRPr="00B00540">
              <w:t>aplic</w:t>
            </w:r>
            <w:r w:rsidR="00A87A8D">
              <w:t xml:space="preserve">area </w:t>
            </w:r>
            <w:r w:rsidRPr="00B00540">
              <w:t>calendarului de amortizare prevăzut în Regulamentul (UE) nr. 575/2013 pentru instrumentele de fonduri proprii de nivel 2.</w:t>
            </w:r>
          </w:p>
          <w:p w14:paraId="6CA78AA4" w14:textId="7A21CE80" w:rsidR="00B00540" w:rsidRDefault="00B00540" w:rsidP="00DE4371">
            <w:pPr>
              <w:jc w:val="both"/>
              <w:rPr>
                <w:b/>
              </w:rPr>
            </w:pPr>
            <w:r w:rsidRPr="006B4508">
              <w:rPr>
                <w:b/>
              </w:rPr>
              <w:t>b.</w:t>
            </w:r>
            <w:r w:rsidR="008D576C" w:rsidRPr="006B4508">
              <w:rPr>
                <w:b/>
              </w:rPr>
              <w:t>1.</w:t>
            </w:r>
            <w:r w:rsidRPr="006B4508">
              <w:rPr>
                <w:b/>
              </w:rPr>
              <w:t>5</w:t>
            </w:r>
            <w:r w:rsidR="007436D8">
              <w:rPr>
                <w:b/>
              </w:rPr>
              <w:t xml:space="preserve"> </w:t>
            </w:r>
            <w:r w:rsidR="00AC5500">
              <w:rPr>
                <w:b/>
              </w:rPr>
              <w:t>Competen</w:t>
            </w:r>
            <w:r w:rsidR="00D311C9">
              <w:rPr>
                <w:b/>
              </w:rPr>
              <w:t>ț</w:t>
            </w:r>
            <w:r w:rsidR="00AC5500">
              <w:rPr>
                <w:b/>
              </w:rPr>
              <w:t>e de suspendare a anumitor obliga</w:t>
            </w:r>
            <w:r w:rsidR="00D311C9">
              <w:rPr>
                <w:b/>
              </w:rPr>
              <w:t>ț</w:t>
            </w:r>
            <w:r w:rsidR="00AC5500">
              <w:rPr>
                <w:b/>
              </w:rPr>
              <w:t xml:space="preserve">ii </w:t>
            </w:r>
            <w:r w:rsidR="003424FA">
              <w:rPr>
                <w:b/>
              </w:rPr>
              <w:t xml:space="preserve"> - Instrumente de moratoriu</w:t>
            </w:r>
          </w:p>
          <w:p w14:paraId="727EA299" w14:textId="11346B25" w:rsidR="008A3EFB" w:rsidRPr="003424FA" w:rsidRDefault="006B4508" w:rsidP="00DE4371">
            <w:pPr>
              <w:jc w:val="both"/>
            </w:pPr>
            <w:r w:rsidRPr="003424FA">
              <w:t>Competen</w:t>
            </w:r>
            <w:r w:rsidR="00D311C9">
              <w:t>ț</w:t>
            </w:r>
            <w:r w:rsidRPr="003424FA">
              <w:t>a autorită</w:t>
            </w:r>
            <w:r w:rsidR="00D311C9">
              <w:t>ț</w:t>
            </w:r>
            <w:r w:rsidRPr="003424FA">
              <w:t>ilor de rezolu</w:t>
            </w:r>
            <w:r w:rsidR="00D311C9">
              <w:t>ț</w:t>
            </w:r>
            <w:r w:rsidRPr="003424FA">
              <w:t>ie de a suspenda,</w:t>
            </w:r>
            <w:r w:rsidR="00E06BA9">
              <w:t xml:space="preserve"> pentru maximum d</w:t>
            </w:r>
            <w:r w:rsidR="003D2BF5">
              <w:t>ouă zile lucrătoare,</w:t>
            </w:r>
            <w:r w:rsidRPr="003424FA">
              <w:t xml:space="preserve"> , obliga</w:t>
            </w:r>
            <w:r w:rsidR="00D311C9">
              <w:t>ț</w:t>
            </w:r>
            <w:r w:rsidRPr="003424FA">
              <w:t>ii</w:t>
            </w:r>
            <w:r w:rsidR="00F05F08">
              <w:t xml:space="preserve"> </w:t>
            </w:r>
            <w:r w:rsidRPr="003424FA">
              <w:t>contractuale</w:t>
            </w:r>
            <w:r w:rsidR="00F05F08">
              <w:t xml:space="preserve"> de plată sau de livrare</w:t>
            </w:r>
            <w:r w:rsidR="00F05F08" w:rsidRPr="003424FA">
              <w:t xml:space="preserve"> </w:t>
            </w:r>
            <w:r w:rsidRPr="003424FA">
              <w:t>ale institu</w:t>
            </w:r>
            <w:r w:rsidR="00D311C9">
              <w:t>ț</w:t>
            </w:r>
            <w:r w:rsidRPr="003424FA">
              <w:t xml:space="preserve">iilor </w:t>
            </w:r>
            <w:r w:rsidR="00D311C9">
              <w:t>ș</w:t>
            </w:r>
            <w:r w:rsidRPr="003424FA">
              <w:t>i ale entită</w:t>
            </w:r>
            <w:r w:rsidR="00D311C9">
              <w:t>ț</w:t>
            </w:r>
            <w:r w:rsidRPr="003424FA">
              <w:t>ilor este adaptată astfel încât să poată fi exercitată înainte ca o institu</w:t>
            </w:r>
            <w:r w:rsidR="00D311C9">
              <w:t>ț</w:t>
            </w:r>
            <w:r w:rsidRPr="003424FA">
              <w:t>ie sau o entitate să intre în rezolu</w:t>
            </w:r>
            <w:r w:rsidR="00D311C9">
              <w:t>ț</w:t>
            </w:r>
            <w:r w:rsidRPr="003424FA">
              <w:t xml:space="preserve">ie, începând </w:t>
            </w:r>
            <w:r w:rsidR="008A3EFB" w:rsidRPr="003424FA">
              <w:t xml:space="preserve">chiar </w:t>
            </w:r>
            <w:r w:rsidRPr="003424FA">
              <w:t>din momentul în care s-a stabilit că institu</w:t>
            </w:r>
            <w:r w:rsidR="00D311C9">
              <w:t>ț</w:t>
            </w:r>
            <w:r w:rsidRPr="003424FA">
              <w:t xml:space="preserve">ia sau entitatea este în curs de a intra în dificultate sau susceptibilă să intre în dificultate </w:t>
            </w:r>
            <w:r w:rsidR="00D311C9">
              <w:t>ș</w:t>
            </w:r>
            <w:r w:rsidRPr="003424FA">
              <w:t xml:space="preserve">i </w:t>
            </w:r>
            <w:r w:rsidR="008A3EFB" w:rsidRPr="003424FA">
              <w:t>în condi</w:t>
            </w:r>
            <w:r w:rsidR="00D311C9">
              <w:t>ț</w:t>
            </w:r>
            <w:r w:rsidR="008A3EFB" w:rsidRPr="003424FA">
              <w:t xml:space="preserve">iile în care </w:t>
            </w:r>
            <w:r w:rsidRPr="003424FA">
              <w:t>nu este imediat disponibilă o măsură din sectorul privat care ar împiedica, în opinia autorită</w:t>
            </w:r>
            <w:r w:rsidR="00D311C9">
              <w:t>ț</w:t>
            </w:r>
            <w:r w:rsidRPr="003424FA">
              <w:t>ii de rezolu</w:t>
            </w:r>
            <w:r w:rsidR="00D311C9">
              <w:t>ț</w:t>
            </w:r>
            <w:r w:rsidRPr="003424FA">
              <w:t>ie, intrarea în dificultate a institu</w:t>
            </w:r>
            <w:r w:rsidR="00D311C9">
              <w:t>ț</w:t>
            </w:r>
            <w:r w:rsidRPr="003424FA">
              <w:t>iei sau a entită</w:t>
            </w:r>
            <w:r w:rsidR="00D311C9">
              <w:t>ț</w:t>
            </w:r>
            <w:r w:rsidRPr="003424FA">
              <w:t>ii într-un interval de timp rezonabil</w:t>
            </w:r>
            <w:r w:rsidR="00E2263F">
              <w:t>,</w:t>
            </w:r>
            <w:r w:rsidRPr="003424FA">
              <w:t xml:space="preserve"> iar exercitarea respectivei competen</w:t>
            </w:r>
            <w:r w:rsidR="00D311C9">
              <w:t>ț</w:t>
            </w:r>
            <w:r w:rsidRPr="003424FA">
              <w:t xml:space="preserve">e este considerată necesară pentru a se evita o </w:t>
            </w:r>
            <w:r w:rsidR="00D311C9">
              <w:t>ș</w:t>
            </w:r>
            <w:r w:rsidRPr="003424FA">
              <w:t>i mai mare deteriorare a condi</w:t>
            </w:r>
            <w:r w:rsidR="00D311C9">
              <w:t>ț</w:t>
            </w:r>
            <w:r w:rsidRPr="003424FA">
              <w:t>iilor financiare ale institu</w:t>
            </w:r>
            <w:r w:rsidR="00D311C9">
              <w:t>ț</w:t>
            </w:r>
            <w:r w:rsidRPr="003424FA">
              <w:t>iei sau entită</w:t>
            </w:r>
            <w:r w:rsidR="00D311C9">
              <w:t>ț</w:t>
            </w:r>
            <w:r w:rsidRPr="003424FA">
              <w:t>ii.</w:t>
            </w:r>
            <w:r w:rsidR="007436D8">
              <w:t xml:space="preserve"> </w:t>
            </w:r>
          </w:p>
          <w:p w14:paraId="7F30AC82" w14:textId="1F657012" w:rsidR="00005158" w:rsidRPr="00AC5500" w:rsidRDefault="00E2263F" w:rsidP="00DE4371">
            <w:pPr>
              <w:jc w:val="both"/>
            </w:pPr>
            <w:r>
              <w:t>Î</w:t>
            </w:r>
            <w:r w:rsidR="00005158" w:rsidRPr="00AC5500">
              <w:t xml:space="preserve">n exercitarea </w:t>
            </w:r>
            <w:r w:rsidR="007436D8">
              <w:t xml:space="preserve">acestei </w:t>
            </w:r>
            <w:r w:rsidR="006B4508" w:rsidRPr="00AC5500">
              <w:t>competen</w:t>
            </w:r>
            <w:r w:rsidR="00D311C9">
              <w:t>ț</w:t>
            </w:r>
            <w:r w:rsidR="00005158" w:rsidRPr="00AC5500">
              <w:t>e</w:t>
            </w:r>
            <w:r w:rsidR="006B4508" w:rsidRPr="00AC5500">
              <w:t>, autorită</w:t>
            </w:r>
            <w:r w:rsidR="00D311C9">
              <w:t>ț</w:t>
            </w:r>
            <w:r w:rsidR="006B4508" w:rsidRPr="00AC5500">
              <w:t>ile de rezolu</w:t>
            </w:r>
            <w:r w:rsidR="00D311C9">
              <w:t>ț</w:t>
            </w:r>
            <w:r w:rsidR="006B4508" w:rsidRPr="00AC5500">
              <w:t>ie trebui</w:t>
            </w:r>
            <w:r w:rsidR="00005158" w:rsidRPr="00AC5500">
              <w:t>e</w:t>
            </w:r>
            <w:r w:rsidR="006B4508" w:rsidRPr="00AC5500">
              <w:t xml:space="preserve"> să aibă posibilitatea de a lua în considerare circumstan</w:t>
            </w:r>
            <w:r w:rsidR="00D311C9">
              <w:t>ț</w:t>
            </w:r>
            <w:r w:rsidR="006B4508" w:rsidRPr="00AC5500">
              <w:t xml:space="preserve">ele fiecărui caz în parte </w:t>
            </w:r>
            <w:r w:rsidR="00D311C9">
              <w:t>ș</w:t>
            </w:r>
            <w:r w:rsidR="006B4508" w:rsidRPr="00AC5500">
              <w:t>i de a stabili domeniul de aplicare al suspendării în consecin</w:t>
            </w:r>
            <w:r w:rsidR="00D311C9">
              <w:t>ț</w:t>
            </w:r>
            <w:r w:rsidR="006B4508" w:rsidRPr="00AC5500">
              <w:t>ă. În plus, acestea trebui</w:t>
            </w:r>
            <w:r w:rsidR="00005158" w:rsidRPr="00AC5500">
              <w:t>e</w:t>
            </w:r>
            <w:r w:rsidR="006B4508" w:rsidRPr="00AC5500">
              <w:t xml:space="preserve"> să aibă posibilitatea de a autoriza, de la caz la caz, anumite plă</w:t>
            </w:r>
            <w:r w:rsidR="00D311C9">
              <w:t>ț</w:t>
            </w:r>
            <w:r w:rsidR="006B4508" w:rsidRPr="00AC5500">
              <w:t>i, în special, dar fără a se limita la cheltuieli administrative ale institu</w:t>
            </w:r>
            <w:r w:rsidR="00D311C9">
              <w:t>ț</w:t>
            </w:r>
            <w:r w:rsidR="006B4508" w:rsidRPr="00AC5500">
              <w:t>iei sau ale entită</w:t>
            </w:r>
            <w:r w:rsidR="00D311C9">
              <w:t>ț</w:t>
            </w:r>
            <w:r w:rsidR="006B4508" w:rsidRPr="00AC5500">
              <w:t xml:space="preserve">ii în cauză. </w:t>
            </w:r>
          </w:p>
          <w:p w14:paraId="0956EAD8" w14:textId="7077BA30" w:rsidR="00005158" w:rsidRPr="00AC5500" w:rsidRDefault="00005158" w:rsidP="00DE4371">
            <w:pPr>
              <w:jc w:val="both"/>
            </w:pPr>
            <w:r w:rsidRPr="00AC5500">
              <w:t>Trebuie</w:t>
            </w:r>
            <w:r w:rsidR="006B4508" w:rsidRPr="00AC5500">
              <w:t>, de asemenea, să fie posibil să se aplice competen</w:t>
            </w:r>
            <w:r w:rsidR="00D311C9">
              <w:t>ț</w:t>
            </w:r>
            <w:r w:rsidR="006B4508" w:rsidRPr="00AC5500">
              <w:t>a de suspendare în ceea ce prive</w:t>
            </w:r>
            <w:r w:rsidR="00D311C9">
              <w:t>ș</w:t>
            </w:r>
            <w:r w:rsidR="006B4508" w:rsidRPr="00AC5500">
              <w:t xml:space="preserve">te depozitele eligibile. </w:t>
            </w:r>
            <w:r w:rsidRPr="00AC5500">
              <w:t>În acest caz</w:t>
            </w:r>
            <w:r w:rsidR="006B4508" w:rsidRPr="00AC5500">
              <w:t>, autorită</w:t>
            </w:r>
            <w:r w:rsidR="00D311C9">
              <w:t>ț</w:t>
            </w:r>
            <w:r w:rsidR="006B4508" w:rsidRPr="00AC5500">
              <w:t>ile de rezolu</w:t>
            </w:r>
            <w:r w:rsidR="00D311C9">
              <w:t>ț</w:t>
            </w:r>
            <w:r w:rsidR="006B4508" w:rsidRPr="00AC5500">
              <w:t xml:space="preserve">ie </w:t>
            </w:r>
            <w:r w:rsidRPr="00AC5500">
              <w:t>t</w:t>
            </w:r>
            <w:r w:rsidR="006B4508" w:rsidRPr="00AC5500">
              <w:t>rebui</w:t>
            </w:r>
            <w:r w:rsidRPr="00AC5500">
              <w:t>e</w:t>
            </w:r>
            <w:r w:rsidR="006B4508" w:rsidRPr="00AC5500">
              <w:t xml:space="preserve"> să evalueze cu aten</w:t>
            </w:r>
            <w:r w:rsidR="00D311C9">
              <w:t>ț</w:t>
            </w:r>
            <w:r w:rsidR="006B4508" w:rsidRPr="00AC5500">
              <w:t>ie dacă este adecvată aplicarea respectivei competen</w:t>
            </w:r>
            <w:r w:rsidR="00D311C9">
              <w:t>ț</w:t>
            </w:r>
            <w:r w:rsidR="006B4508" w:rsidRPr="00AC5500">
              <w:t>e de suspendare în cazul anumitor depozite eligibile, în special în ceea ce prive</w:t>
            </w:r>
            <w:r w:rsidR="00D311C9">
              <w:t>ș</w:t>
            </w:r>
            <w:r w:rsidR="006B4508" w:rsidRPr="00AC5500">
              <w:t>te depozitele garantate de</w:t>
            </w:r>
            <w:r w:rsidR="00D311C9">
              <w:t>ț</w:t>
            </w:r>
            <w:r w:rsidR="006B4508" w:rsidRPr="00AC5500">
              <w:t xml:space="preserve">inute de persoane fizice </w:t>
            </w:r>
            <w:r w:rsidR="00D311C9">
              <w:t>ș</w:t>
            </w:r>
            <w:r w:rsidR="006B4508" w:rsidRPr="00AC5500">
              <w:t xml:space="preserve">i de microîntreprinderi </w:t>
            </w:r>
            <w:r w:rsidR="00D311C9">
              <w:t>ș</w:t>
            </w:r>
            <w:r w:rsidR="006B4508" w:rsidRPr="00AC5500">
              <w:t xml:space="preserve">i întreprinderi mici </w:t>
            </w:r>
            <w:r w:rsidR="00D311C9">
              <w:t>ș</w:t>
            </w:r>
            <w:r w:rsidR="006B4508" w:rsidRPr="00AC5500">
              <w:t xml:space="preserve">i mijlocii, </w:t>
            </w:r>
            <w:r w:rsidR="00D311C9">
              <w:t>ș</w:t>
            </w:r>
            <w:r w:rsidR="006B4508" w:rsidRPr="00AC5500">
              <w:t xml:space="preserve">i </w:t>
            </w:r>
            <w:r w:rsidRPr="00AC5500">
              <w:t>trebuie</w:t>
            </w:r>
            <w:r w:rsidR="006B4508" w:rsidRPr="00AC5500">
              <w:t xml:space="preserve"> să evalueze riscul ca aplicarea suspendării cu privire la aceste depozite să perturbe grav func</w:t>
            </w:r>
            <w:r w:rsidR="00D311C9">
              <w:t>ț</w:t>
            </w:r>
            <w:r w:rsidR="006B4508" w:rsidRPr="00AC5500">
              <w:t>ionarea pie</w:t>
            </w:r>
            <w:r w:rsidR="00D311C9">
              <w:t>ț</w:t>
            </w:r>
            <w:r w:rsidR="006B4508" w:rsidRPr="00AC5500">
              <w:t>elor financiare.</w:t>
            </w:r>
          </w:p>
          <w:p w14:paraId="667C1E6F" w14:textId="4C3DC6A0" w:rsidR="00005158" w:rsidRPr="00AC5500" w:rsidRDefault="006B4508" w:rsidP="00DE4371">
            <w:pPr>
              <w:jc w:val="both"/>
            </w:pPr>
            <w:r w:rsidRPr="00AC5500">
              <w:t>În cazul în care competen</w:t>
            </w:r>
            <w:r w:rsidR="00D311C9">
              <w:t>ț</w:t>
            </w:r>
            <w:r w:rsidRPr="00AC5500">
              <w:t>a de a suspenda anumite obliga</w:t>
            </w:r>
            <w:r w:rsidR="00D311C9">
              <w:t>ț</w:t>
            </w:r>
            <w:r w:rsidRPr="00AC5500">
              <w:t>ii contractuale este exercitată în ceea ce prive</w:t>
            </w:r>
            <w:r w:rsidR="00D311C9">
              <w:t>ș</w:t>
            </w:r>
            <w:r w:rsidRPr="00AC5500">
              <w:t>te depozitele garantate, aceste depozite nu trebui</w:t>
            </w:r>
            <w:r w:rsidR="00005158" w:rsidRPr="00AC5500">
              <w:t>e</w:t>
            </w:r>
            <w:r w:rsidRPr="00AC5500">
              <w:t xml:space="preserve"> să fie considerate indisponibile în sensul Directivei 2014/49/UE a Parlamentului European </w:t>
            </w:r>
            <w:r w:rsidR="00D311C9">
              <w:t>ș</w:t>
            </w:r>
            <w:r w:rsidR="00005158" w:rsidRPr="00AC5500">
              <w:t>i a Consiliului</w:t>
            </w:r>
            <w:r w:rsidRPr="00AC5500">
              <w:t xml:space="preserve">. </w:t>
            </w:r>
          </w:p>
          <w:p w14:paraId="42A86A7B" w14:textId="546BFE7E" w:rsidR="00005158" w:rsidRPr="00AC5500" w:rsidRDefault="006B4508" w:rsidP="00DE4371">
            <w:pPr>
              <w:jc w:val="both"/>
            </w:pPr>
            <w:r w:rsidRPr="00AC5500">
              <w:t>Pentru a se asigura că, în perioada de suspendare, deponen</w:t>
            </w:r>
            <w:r w:rsidR="00D311C9">
              <w:t>ț</w:t>
            </w:r>
            <w:r w:rsidRPr="00AC5500">
              <w:t>ii nu întâmpină dificultă</w:t>
            </w:r>
            <w:r w:rsidR="00D311C9">
              <w:t>ț</w:t>
            </w:r>
            <w:r w:rsidRPr="00AC5500">
              <w:t xml:space="preserve">i financiare, statele membre </w:t>
            </w:r>
            <w:r w:rsidR="00005158" w:rsidRPr="00AC5500">
              <w:t xml:space="preserve">pot să </w:t>
            </w:r>
            <w:r w:rsidRPr="00AC5500">
              <w:t>prev</w:t>
            </w:r>
            <w:r w:rsidR="00005158" w:rsidRPr="00AC5500">
              <w:t xml:space="preserve">adă </w:t>
            </w:r>
            <w:r w:rsidRPr="00AC5500">
              <w:t>că ace</w:t>
            </w:r>
            <w:r w:rsidR="00D311C9">
              <w:t>ș</w:t>
            </w:r>
            <w:r w:rsidRPr="00AC5500">
              <w:t xml:space="preserve">tia au dreptul să efectueze retrageri în limita unui anumit cuantum zilnic. </w:t>
            </w:r>
          </w:p>
          <w:p w14:paraId="5209C893" w14:textId="1913D641" w:rsidR="00005158" w:rsidRPr="00AC5500" w:rsidRDefault="006B4508" w:rsidP="00DE4371">
            <w:pPr>
              <w:jc w:val="both"/>
            </w:pPr>
            <w:r w:rsidRPr="00AC5500">
              <w:lastRenderedPageBreak/>
              <w:t>Competen</w:t>
            </w:r>
            <w:r w:rsidR="00D311C9">
              <w:t>ț</w:t>
            </w:r>
            <w:r w:rsidRPr="00AC5500">
              <w:t>a de a suspenda obliga</w:t>
            </w:r>
            <w:r w:rsidR="00D311C9">
              <w:t>ț</w:t>
            </w:r>
            <w:r w:rsidRPr="00AC5500">
              <w:t xml:space="preserve">iile de plată sau de livrare nu </w:t>
            </w:r>
            <w:r w:rsidR="00005158" w:rsidRPr="00AC5500">
              <w:t>se aplică</w:t>
            </w:r>
            <w:r w:rsidRPr="00AC5500">
              <w:t xml:space="preserve"> obliga</w:t>
            </w:r>
            <w:r w:rsidR="00D311C9">
              <w:t>ț</w:t>
            </w:r>
            <w:r w:rsidRPr="00AC5500">
              <w:t>iilor datorate sistemelor sau operatorilor de sisteme desemna</w:t>
            </w:r>
            <w:r w:rsidR="00D311C9">
              <w:t>ț</w:t>
            </w:r>
            <w:r w:rsidRPr="00AC5500">
              <w:t>i în conformitate cu Directiva 98/26/CE, băncilor centrale, contrapăr</w:t>
            </w:r>
            <w:r w:rsidR="00D311C9">
              <w:t>ț</w:t>
            </w:r>
            <w:r w:rsidRPr="00AC5500">
              <w:t>ilor centrale</w:t>
            </w:r>
            <w:r w:rsidR="00D331CE">
              <w:t xml:space="preserve"> (CPC)</w:t>
            </w:r>
            <w:r w:rsidRPr="00AC5500">
              <w:t xml:space="preserve"> autorizate ori contrapăr</w:t>
            </w:r>
            <w:r w:rsidR="00D311C9">
              <w:t>ț</w:t>
            </w:r>
            <w:r w:rsidRPr="00AC5500">
              <w:t xml:space="preserve">ilor centrale din </w:t>
            </w:r>
            <w:r w:rsidR="00D311C9">
              <w:t>ț</w:t>
            </w:r>
            <w:r w:rsidRPr="00AC5500">
              <w:t>ări ter</w:t>
            </w:r>
            <w:r w:rsidR="00D311C9">
              <w:t>ț</w:t>
            </w:r>
            <w:r w:rsidRPr="00AC5500">
              <w:t xml:space="preserve">e recunoscute de Autoritatea europeană de supraveghere (Autoritatea Europeană pentru valori mobiliare </w:t>
            </w:r>
            <w:r w:rsidR="00D311C9">
              <w:t>ș</w:t>
            </w:r>
            <w:r w:rsidRPr="00AC5500">
              <w:t>i pie</w:t>
            </w:r>
            <w:r w:rsidR="00D311C9">
              <w:t>ț</w:t>
            </w:r>
            <w:r w:rsidRPr="00AC5500">
              <w:t xml:space="preserve">e) (ESMA). </w:t>
            </w:r>
          </w:p>
          <w:p w14:paraId="7EDCBCED" w14:textId="64F2CFD3" w:rsidR="006B4508" w:rsidRPr="0029331C" w:rsidRDefault="006B4508" w:rsidP="00DE4371">
            <w:pPr>
              <w:jc w:val="both"/>
              <w:rPr>
                <w:b/>
              </w:rPr>
            </w:pPr>
            <w:r w:rsidRPr="00AC5500">
              <w:t>Excluderea anumitor pasive ale unor institu</w:t>
            </w:r>
            <w:r w:rsidR="00D311C9">
              <w:t>ț</w:t>
            </w:r>
            <w:r w:rsidRPr="00AC5500">
              <w:t>ii sau entită</w:t>
            </w:r>
            <w:r w:rsidR="00D311C9">
              <w:t>ț</w:t>
            </w:r>
            <w:r w:rsidRPr="00AC5500">
              <w:t>i de la aplicarea instrumentului de recapitalizare internă sau de la competen</w:t>
            </w:r>
            <w:r w:rsidR="00D311C9">
              <w:t>ț</w:t>
            </w:r>
            <w:r w:rsidRPr="00AC5500">
              <w:t>a de a suspenda anumite obliga</w:t>
            </w:r>
            <w:r w:rsidR="00D311C9">
              <w:t>ț</w:t>
            </w:r>
            <w:r w:rsidRPr="00AC5500">
              <w:t>ii de plată sau de livrare, de la competen</w:t>
            </w:r>
            <w:r w:rsidR="00D311C9">
              <w:t>ț</w:t>
            </w:r>
            <w:r w:rsidRPr="00AC5500">
              <w:t>a de a limita executarea garan</w:t>
            </w:r>
            <w:r w:rsidR="00D311C9">
              <w:t>ț</w:t>
            </w:r>
            <w:r w:rsidRPr="00AC5500">
              <w:t>iilor sau de la competen</w:t>
            </w:r>
            <w:r w:rsidR="00D311C9">
              <w:t>ț</w:t>
            </w:r>
            <w:r w:rsidRPr="00AC5500">
              <w:t xml:space="preserve">a de suspendare temporară a drepturilor de </w:t>
            </w:r>
            <w:r w:rsidR="0009511B">
              <w:t>încetare,</w:t>
            </w:r>
            <w:r w:rsidRPr="00AC5500">
              <w:t xml:space="preserve"> astfel cum sunt prevăzute în Directiva 2014/59/UE, acoper</w:t>
            </w:r>
            <w:r w:rsidR="004C2584">
              <w:t>ă</w:t>
            </w:r>
            <w:r w:rsidR="00ED737D">
              <w:t xml:space="preserve"> </w:t>
            </w:r>
            <w:r w:rsidR="004C2584">
              <w:t>datoriile</w:t>
            </w:r>
            <w:r w:rsidR="00ED737D">
              <w:t xml:space="preserve"> </w:t>
            </w:r>
            <w:r w:rsidRPr="00AC5500">
              <w:t xml:space="preserve">aferente </w:t>
            </w:r>
            <w:r w:rsidR="00ED737D">
              <w:t>contrapăr</w:t>
            </w:r>
            <w:r w:rsidR="00D311C9">
              <w:t>ț</w:t>
            </w:r>
            <w:r w:rsidR="00ED737D">
              <w:t>ilor centrale (</w:t>
            </w:r>
            <w:r w:rsidRPr="00AC5500">
              <w:t>CPC</w:t>
            </w:r>
            <w:r w:rsidR="00ED737D">
              <w:t>)</w:t>
            </w:r>
            <w:r w:rsidRPr="00AC5500">
              <w:t xml:space="preserve"> stabilite în Uniune </w:t>
            </w:r>
            <w:r w:rsidR="00D311C9">
              <w:t>ș</w:t>
            </w:r>
            <w:r w:rsidRPr="00AC5500">
              <w:t xml:space="preserve">i CPC-urilor din </w:t>
            </w:r>
            <w:r w:rsidR="00D311C9">
              <w:t>ț</w:t>
            </w:r>
            <w:r w:rsidRPr="00AC5500">
              <w:t>ări ter</w:t>
            </w:r>
            <w:r w:rsidR="00D311C9">
              <w:t>ț</w:t>
            </w:r>
            <w:r w:rsidRPr="00AC5500">
              <w:t>e recunoscute de ESMA.</w:t>
            </w:r>
          </w:p>
          <w:p w14:paraId="7548BAF1" w14:textId="185592E8" w:rsidR="006B4508" w:rsidRDefault="00AC5500" w:rsidP="00DE4371">
            <w:pPr>
              <w:jc w:val="both"/>
              <w:rPr>
                <w:b/>
              </w:rPr>
            </w:pPr>
            <w:r>
              <w:rPr>
                <w:b/>
              </w:rPr>
              <w:t>b.1.6 Recunoa</w:t>
            </w:r>
            <w:r w:rsidR="00D311C9">
              <w:rPr>
                <w:b/>
              </w:rPr>
              <w:t>ș</w:t>
            </w:r>
            <w:r w:rsidR="009600B9">
              <w:rPr>
                <w:b/>
              </w:rPr>
              <w:t>terea contractuală a competen</w:t>
            </w:r>
            <w:r w:rsidR="00D311C9">
              <w:rPr>
                <w:b/>
              </w:rPr>
              <w:t>ț</w:t>
            </w:r>
            <w:r w:rsidR="009600B9">
              <w:rPr>
                <w:b/>
              </w:rPr>
              <w:t>el</w:t>
            </w:r>
            <w:r>
              <w:rPr>
                <w:b/>
              </w:rPr>
              <w:t xml:space="preserve">or de suspendare </w:t>
            </w:r>
            <w:r w:rsidR="009600B9">
              <w:rPr>
                <w:b/>
              </w:rPr>
              <w:t>a obliga</w:t>
            </w:r>
            <w:r w:rsidR="00D311C9">
              <w:rPr>
                <w:b/>
              </w:rPr>
              <w:t>ț</w:t>
            </w:r>
            <w:r w:rsidR="009600B9">
              <w:rPr>
                <w:b/>
              </w:rPr>
              <w:t>iilor în caz de rezolu</w:t>
            </w:r>
            <w:r w:rsidR="00D311C9">
              <w:rPr>
                <w:b/>
              </w:rPr>
              <w:t>ț</w:t>
            </w:r>
            <w:r w:rsidR="009600B9">
              <w:rPr>
                <w:b/>
              </w:rPr>
              <w:t>ie</w:t>
            </w:r>
          </w:p>
          <w:p w14:paraId="0238B0A8" w14:textId="684FE99D" w:rsidR="007961B5" w:rsidRDefault="009600B9" w:rsidP="00DE4371">
            <w:pPr>
              <w:jc w:val="both"/>
            </w:pPr>
            <w:r>
              <w:t>Pentru asi</w:t>
            </w:r>
            <w:r w:rsidR="00591272">
              <w:t>gurarea unei rezolu</w:t>
            </w:r>
            <w:r w:rsidR="00D311C9">
              <w:t>ț</w:t>
            </w:r>
            <w:r w:rsidR="00591272">
              <w:t xml:space="preserve">ii eficace, </w:t>
            </w:r>
            <w:r>
              <w:t>este esen</w:t>
            </w:r>
            <w:r w:rsidR="00D311C9">
              <w:t>ț</w:t>
            </w:r>
            <w:r>
              <w:t xml:space="preserve">ial să se asigure faptul că, </w:t>
            </w:r>
            <w:r w:rsidRPr="009600B9">
              <w:t>odată ce</w:t>
            </w:r>
            <w:r>
              <w:t xml:space="preserve"> o institu</w:t>
            </w:r>
            <w:r w:rsidR="00D311C9">
              <w:t>ț</w:t>
            </w:r>
            <w:r>
              <w:t>ie</w:t>
            </w:r>
            <w:r w:rsidRPr="009600B9">
              <w:t xml:space="preserve"> sau </w:t>
            </w:r>
            <w:r>
              <w:t xml:space="preserve">o </w:t>
            </w:r>
            <w:r w:rsidRPr="009600B9">
              <w:t>entit</w:t>
            </w:r>
            <w:r>
              <w:t>ate men</w:t>
            </w:r>
            <w:r w:rsidR="00D311C9">
              <w:t>ț</w:t>
            </w:r>
            <w:r>
              <w:t>ionată la art.1 alin.</w:t>
            </w:r>
            <w:r w:rsidRPr="009600B9">
              <w:t>(1) lit</w:t>
            </w:r>
            <w:r>
              <w:t>.</w:t>
            </w:r>
            <w:r w:rsidRPr="009600B9">
              <w:t xml:space="preserve"> (b), (c) sau (d) din Directiva 2014/59/UE intră în rezolu</w:t>
            </w:r>
            <w:r w:rsidR="00D311C9">
              <w:t>ț</w:t>
            </w:r>
            <w:r w:rsidRPr="009600B9">
              <w:t>ie, contrapăr</w:t>
            </w:r>
            <w:r w:rsidR="00D311C9">
              <w:t>ț</w:t>
            </w:r>
            <w:r w:rsidRPr="009600B9">
              <w:t xml:space="preserve">ile </w:t>
            </w:r>
            <w:r>
              <w:t>acesteia</w:t>
            </w:r>
            <w:r w:rsidRPr="009600B9">
              <w:t xml:space="preserve"> în contracte financiare nu î</w:t>
            </w:r>
            <w:r w:rsidR="00D311C9">
              <w:t>ș</w:t>
            </w:r>
            <w:r w:rsidRPr="009600B9">
              <w:t>i pot încheia pozi</w:t>
            </w:r>
            <w:r w:rsidR="00D311C9">
              <w:t>ț</w:t>
            </w:r>
            <w:r w:rsidRPr="009600B9">
              <w:t>iile exclusiv ca rezultat al intrării în rezolu</w:t>
            </w:r>
            <w:r w:rsidR="00D311C9">
              <w:t>ț</w:t>
            </w:r>
            <w:r w:rsidRPr="009600B9">
              <w:t>ie a respective</w:t>
            </w:r>
            <w:r>
              <w:t xml:space="preserve">i </w:t>
            </w:r>
            <w:r w:rsidRPr="009600B9">
              <w:t>institu</w:t>
            </w:r>
            <w:r w:rsidR="00D311C9">
              <w:t>ț</w:t>
            </w:r>
            <w:r w:rsidRPr="009600B9">
              <w:t>ii sau entită</w:t>
            </w:r>
            <w:r w:rsidR="00D311C9">
              <w:t>ț</w:t>
            </w:r>
            <w:r w:rsidRPr="009600B9">
              <w:t>i. În plus, autorită</w:t>
            </w:r>
            <w:r w:rsidR="00D311C9">
              <w:t>ț</w:t>
            </w:r>
            <w:r w:rsidRPr="009600B9">
              <w:t>ile de rezolu</w:t>
            </w:r>
            <w:r w:rsidR="00D311C9">
              <w:t>ț</w:t>
            </w:r>
            <w:r w:rsidRPr="009600B9">
              <w:t>ie trebui</w:t>
            </w:r>
            <w:r w:rsidR="007961B5">
              <w:t>e</w:t>
            </w:r>
            <w:r w:rsidRPr="009600B9">
              <w:t xml:space="preserve"> să fie împuternicite să suspende obliga</w:t>
            </w:r>
            <w:r w:rsidR="00D311C9">
              <w:t>ț</w:t>
            </w:r>
            <w:r w:rsidRPr="009600B9">
              <w:t xml:space="preserve">iile de plată sau de livrare </w:t>
            </w:r>
            <w:r w:rsidR="009E12E0">
              <w:t xml:space="preserve">care rezultă din orice </w:t>
            </w:r>
            <w:r w:rsidRPr="009600B9">
              <w:t xml:space="preserve">contract </w:t>
            </w:r>
            <w:r w:rsidR="009E12E0">
              <w:t xml:space="preserve">financiar la care o </w:t>
            </w:r>
            <w:r w:rsidRPr="009600B9">
              <w:t>institu</w:t>
            </w:r>
            <w:r w:rsidR="00D311C9">
              <w:t>ț</w:t>
            </w:r>
            <w:r w:rsidRPr="009600B9">
              <w:t>ie aflată în rezolu</w:t>
            </w:r>
            <w:r w:rsidR="00D311C9">
              <w:t>ț</w:t>
            </w:r>
            <w:r w:rsidRPr="009600B9">
              <w:t xml:space="preserve">ie </w:t>
            </w:r>
            <w:r w:rsidR="009E12E0">
              <w:t xml:space="preserve">este parte </w:t>
            </w:r>
            <w:r w:rsidR="00D311C9">
              <w:t>ș</w:t>
            </w:r>
            <w:r w:rsidRPr="009600B9">
              <w:t>i să aibă competen</w:t>
            </w:r>
            <w:r w:rsidR="00D311C9">
              <w:t>ț</w:t>
            </w:r>
            <w:r w:rsidRPr="009600B9">
              <w:t>a de a impune</w:t>
            </w:r>
            <w:r w:rsidR="0009511B">
              <w:t xml:space="preserve"> restric</w:t>
            </w:r>
            <w:r w:rsidR="00D311C9">
              <w:t>ț</w:t>
            </w:r>
            <w:r w:rsidR="0009511B">
              <w:t>ii</w:t>
            </w:r>
            <w:r w:rsidRPr="009600B9">
              <w:t>, pe o perioadă limitată, drepturilor contrapăr</w:t>
            </w:r>
            <w:r w:rsidR="00D311C9">
              <w:t>ț</w:t>
            </w:r>
            <w:r w:rsidRPr="009600B9">
              <w:t xml:space="preserve">ilor de a stinge, accelera sau </w:t>
            </w:r>
            <w:r w:rsidR="009E12E0">
              <w:t>înceta</w:t>
            </w:r>
            <w:r w:rsidRPr="009600B9">
              <w:t xml:space="preserve"> în alt mod contractele financiare. </w:t>
            </w:r>
          </w:p>
          <w:p w14:paraId="7F66DEF7" w14:textId="7FD97118" w:rsidR="009600B9" w:rsidRPr="0029331C" w:rsidRDefault="009600B9" w:rsidP="00DE4371">
            <w:pPr>
              <w:jc w:val="both"/>
            </w:pPr>
            <w:r w:rsidRPr="009600B9">
              <w:t>În absen</w:t>
            </w:r>
            <w:r w:rsidR="00D311C9">
              <w:t>ț</w:t>
            </w:r>
            <w:r w:rsidRPr="009600B9">
              <w:t>a unui cadru legal pentru recunoa</w:t>
            </w:r>
            <w:r w:rsidR="00D311C9">
              <w:t>ș</w:t>
            </w:r>
            <w:r w:rsidRPr="009600B9">
              <w:t>terea t</w:t>
            </w:r>
            <w:r w:rsidR="00591272">
              <w:t>ransfrontalieră, statele membre</w:t>
            </w:r>
            <w:r w:rsidRPr="009600B9">
              <w:t xml:space="preserve"> trebui</w:t>
            </w:r>
            <w:r w:rsidR="00591272">
              <w:t>e</w:t>
            </w:r>
            <w:r w:rsidRPr="009600B9">
              <w:t xml:space="preserve"> să impună institu</w:t>
            </w:r>
            <w:r w:rsidR="00D311C9">
              <w:t>ț</w:t>
            </w:r>
            <w:r w:rsidRPr="009600B9">
              <w:t xml:space="preserve">iilor </w:t>
            </w:r>
            <w:r w:rsidR="00D311C9">
              <w:t>ș</w:t>
            </w:r>
            <w:r w:rsidRPr="009600B9">
              <w:t>i entită</w:t>
            </w:r>
            <w:r w:rsidR="00D311C9">
              <w:t>ț</w:t>
            </w:r>
            <w:r w:rsidRPr="009600B9">
              <w:t>ilor men</w:t>
            </w:r>
            <w:r w:rsidR="00D311C9">
              <w:t>ț</w:t>
            </w:r>
            <w:r w:rsidRPr="009600B9">
              <w:t>ionate la art</w:t>
            </w:r>
            <w:r w:rsidR="00591272">
              <w:t>.</w:t>
            </w:r>
            <w:r w:rsidRPr="009600B9">
              <w:t>1 alin</w:t>
            </w:r>
            <w:r w:rsidR="00591272">
              <w:t>.</w:t>
            </w:r>
            <w:r w:rsidRPr="009600B9">
              <w:t>(1) lit</w:t>
            </w:r>
            <w:r w:rsidR="00591272">
              <w:t>.</w:t>
            </w:r>
            <w:r w:rsidRPr="009600B9">
              <w:t xml:space="preserve">(b), (c) </w:t>
            </w:r>
            <w:r w:rsidR="00D311C9">
              <w:t>ș</w:t>
            </w:r>
            <w:r w:rsidRPr="009600B9">
              <w:t>i (d) din Directiva 2014/59/UE includerea unei clauze contractuale în contractele financiare relevante, prin care se recunoa</w:t>
            </w:r>
            <w:r w:rsidR="00D311C9">
              <w:t>ș</w:t>
            </w:r>
            <w:r w:rsidRPr="009600B9">
              <w:t xml:space="preserve">te că </w:t>
            </w:r>
            <w:r w:rsidR="00591272">
              <w:t xml:space="preserve">acel </w:t>
            </w:r>
            <w:r w:rsidRPr="009600B9">
              <w:t>contract poate face obiectul exercitării de către autorită</w:t>
            </w:r>
            <w:r w:rsidR="00D311C9">
              <w:t>ț</w:t>
            </w:r>
            <w:r w:rsidRPr="009600B9">
              <w:t>ile de rezolu</w:t>
            </w:r>
            <w:r w:rsidR="00D311C9">
              <w:t>ț</w:t>
            </w:r>
            <w:r w:rsidRPr="009600B9">
              <w:t>ie a competen</w:t>
            </w:r>
            <w:r w:rsidR="00D311C9">
              <w:t>ț</w:t>
            </w:r>
            <w:r w:rsidRPr="009600B9">
              <w:t>elor de a suspenda anumite obliga</w:t>
            </w:r>
            <w:r w:rsidR="00D311C9">
              <w:t>ț</w:t>
            </w:r>
            <w:r w:rsidRPr="009600B9">
              <w:t>ii de plată sau de livrare, de a limita executarea garan</w:t>
            </w:r>
            <w:r w:rsidR="00D311C9">
              <w:t>ț</w:t>
            </w:r>
            <w:r w:rsidRPr="009600B9">
              <w:t xml:space="preserve">iilor sau de a suspenda temporar drepturile de </w:t>
            </w:r>
            <w:r w:rsidR="009E12E0">
              <w:t>încetare</w:t>
            </w:r>
            <w:r w:rsidRPr="009600B9">
              <w:t>. O astfel de obliga</w:t>
            </w:r>
            <w:r w:rsidR="00D311C9">
              <w:t>ț</w:t>
            </w:r>
            <w:r w:rsidRPr="009600B9">
              <w:t>ie trebui</w:t>
            </w:r>
            <w:r w:rsidR="003A3146">
              <w:t>e</w:t>
            </w:r>
            <w:r w:rsidRPr="009600B9">
              <w:t xml:space="preserve"> prevăzută în măsura în care contractul intră în domeniul de aplicare al dispozi</w:t>
            </w:r>
            <w:r w:rsidR="00D311C9">
              <w:t>ț</w:t>
            </w:r>
            <w:r w:rsidRPr="009600B9">
              <w:t xml:space="preserve">iilor respective. </w:t>
            </w:r>
            <w:r w:rsidR="003A3146">
              <w:t xml:space="preserve">Ca atare, </w:t>
            </w:r>
            <w:r w:rsidRPr="009600B9">
              <w:t>obliga</w:t>
            </w:r>
            <w:r w:rsidR="00D311C9">
              <w:t>ț</w:t>
            </w:r>
            <w:r w:rsidRPr="009600B9">
              <w:t>ia de a introduce clauza contractuală nu se aplică, de exemplu, contractel</w:t>
            </w:r>
            <w:r w:rsidR="006A3D78">
              <w:t>or</w:t>
            </w:r>
            <w:r w:rsidRPr="009600B9">
              <w:t xml:space="preserve"> încheiate cu contrapăr</w:t>
            </w:r>
            <w:r w:rsidR="00D311C9">
              <w:t>ț</w:t>
            </w:r>
            <w:r w:rsidRPr="009600B9">
              <w:t>i centrale sau operatori de sisteme desemna</w:t>
            </w:r>
            <w:r w:rsidR="00D311C9">
              <w:t>ț</w:t>
            </w:r>
            <w:r w:rsidRPr="009600B9">
              <w:t xml:space="preserve">i în sensul Directivei 98/26/CE, întrucât, pentru aceste contracte, chiar </w:t>
            </w:r>
            <w:r w:rsidR="00D311C9">
              <w:t>ș</w:t>
            </w:r>
            <w:r w:rsidRPr="009600B9">
              <w:t>i atunci când ele sunt reglementate de legisla</w:t>
            </w:r>
            <w:r w:rsidR="00D311C9">
              <w:t>ț</w:t>
            </w:r>
            <w:r w:rsidRPr="009600B9">
              <w:t xml:space="preserve">ia </w:t>
            </w:r>
            <w:r w:rsidR="003A3146">
              <w:t>unui stat</w:t>
            </w:r>
            <w:r w:rsidRPr="009600B9">
              <w:t xml:space="preserve"> membru, autorită</w:t>
            </w:r>
            <w:r w:rsidR="00D311C9">
              <w:t>ț</w:t>
            </w:r>
            <w:r w:rsidRPr="009600B9">
              <w:t>ile de rezolu</w:t>
            </w:r>
            <w:r w:rsidR="00D311C9">
              <w:t>ț</w:t>
            </w:r>
            <w:r w:rsidRPr="009600B9">
              <w:t xml:space="preserve">ie nu dispun de </w:t>
            </w:r>
            <w:r w:rsidR="003A3146">
              <w:t xml:space="preserve">astfel de </w:t>
            </w:r>
            <w:r w:rsidRPr="009600B9">
              <w:t>competen</w:t>
            </w:r>
            <w:r w:rsidR="00D311C9">
              <w:t>ț</w:t>
            </w:r>
            <w:r w:rsidRPr="009600B9">
              <w:t>e.</w:t>
            </w:r>
          </w:p>
          <w:p w14:paraId="2884B5B3" w14:textId="531A0927" w:rsidR="002C5E41" w:rsidRDefault="008D576C" w:rsidP="00DE4371">
            <w:pPr>
              <w:jc w:val="both"/>
              <w:rPr>
                <w:b/>
              </w:rPr>
            </w:pPr>
            <w:r>
              <w:rPr>
                <w:b/>
              </w:rPr>
              <w:t xml:space="preserve">b.2 Modificări aduse Directivei </w:t>
            </w:r>
            <w:r w:rsidR="009363F2">
              <w:rPr>
                <w:b/>
              </w:rPr>
              <w:t xml:space="preserve">98/26/CE </w:t>
            </w:r>
            <w:r w:rsidR="009363F2" w:rsidRPr="009363F2">
              <w:rPr>
                <w:b/>
              </w:rPr>
              <w:t>privind caracterul definitiv al decontării în sistemele de plă</w:t>
            </w:r>
            <w:r w:rsidR="00D311C9">
              <w:rPr>
                <w:b/>
              </w:rPr>
              <w:t>ț</w:t>
            </w:r>
            <w:r w:rsidR="009363F2" w:rsidRPr="009363F2">
              <w:rPr>
                <w:b/>
              </w:rPr>
              <w:t xml:space="preserve">i </w:t>
            </w:r>
            <w:r w:rsidR="00D311C9">
              <w:rPr>
                <w:b/>
              </w:rPr>
              <w:t>ș</w:t>
            </w:r>
            <w:r w:rsidR="009363F2" w:rsidRPr="009363F2">
              <w:rPr>
                <w:b/>
              </w:rPr>
              <w:t>i de decontare a titlurilor de valoare</w:t>
            </w:r>
          </w:p>
          <w:p w14:paraId="063B5332" w14:textId="330E119C" w:rsidR="007C6D68" w:rsidRDefault="00EA46D9" w:rsidP="00DE4371">
            <w:pPr>
              <w:jc w:val="both"/>
            </w:pPr>
            <w:r w:rsidRPr="00EA46D9">
              <w:t>Pentru a se asigura o în</w:t>
            </w:r>
            <w:r w:rsidR="00D311C9">
              <w:t>ț</w:t>
            </w:r>
            <w:r w:rsidRPr="00EA46D9">
              <w:t>elegere comună a termenilor utiliza</w:t>
            </w:r>
            <w:r w:rsidR="00D311C9">
              <w:t>ț</w:t>
            </w:r>
            <w:r w:rsidRPr="00EA46D9">
              <w:t xml:space="preserve">i în diferitele </w:t>
            </w:r>
            <w:r>
              <w:t>reglementări europene, au fost incluse î</w:t>
            </w:r>
            <w:r w:rsidRPr="00EA46D9">
              <w:t>n Directiva 98/26/CE defini</w:t>
            </w:r>
            <w:r w:rsidR="00D311C9">
              <w:t>ț</w:t>
            </w:r>
            <w:r w:rsidRPr="00EA46D9">
              <w:t xml:space="preserve">iile </w:t>
            </w:r>
            <w:r w:rsidR="00D311C9">
              <w:t>ș</w:t>
            </w:r>
            <w:r w:rsidRPr="00EA46D9">
              <w:t xml:space="preserve">i conceptele introduse de </w:t>
            </w:r>
            <w:r w:rsidRPr="00EF1579">
              <w:rPr>
                <w:i/>
              </w:rPr>
              <w:t>Regulamentul (UE) nr. 648/2012</w:t>
            </w:r>
            <w:r w:rsidR="00EF1579" w:rsidRPr="00EF1579">
              <w:rPr>
                <w:i/>
              </w:rPr>
              <w:t xml:space="preserve"> privind instrumentele financiare derivate extrabursiere, contrapăr</w:t>
            </w:r>
            <w:r w:rsidR="00D311C9">
              <w:rPr>
                <w:i/>
              </w:rPr>
              <w:t>ț</w:t>
            </w:r>
            <w:r w:rsidR="00EF1579" w:rsidRPr="00EF1579">
              <w:rPr>
                <w:i/>
              </w:rPr>
              <w:t xml:space="preserve">ile centrale </w:t>
            </w:r>
            <w:r w:rsidR="00D311C9">
              <w:rPr>
                <w:i/>
              </w:rPr>
              <w:t>ș</w:t>
            </w:r>
            <w:r w:rsidR="00EF1579" w:rsidRPr="00EF1579">
              <w:rPr>
                <w:i/>
              </w:rPr>
              <w:t>i registrele centrale de tranzac</w:t>
            </w:r>
            <w:r w:rsidR="00D311C9">
              <w:rPr>
                <w:i/>
              </w:rPr>
              <w:t>ț</w:t>
            </w:r>
            <w:r w:rsidR="00EF1579" w:rsidRPr="00EF1579">
              <w:rPr>
                <w:i/>
              </w:rPr>
              <w:t xml:space="preserve">ii </w:t>
            </w:r>
            <w:r w:rsidRPr="00EA46D9">
              <w:t xml:space="preserve"> referitoare la „contraparte centrală” </w:t>
            </w:r>
            <w:r w:rsidR="00D311C9">
              <w:t>ș</w:t>
            </w:r>
            <w:r w:rsidRPr="00EA46D9">
              <w:t xml:space="preserve">i la „participant”. </w:t>
            </w:r>
          </w:p>
          <w:p w14:paraId="2CF35D5D" w14:textId="48C8D1D9" w:rsidR="00EF1579" w:rsidRDefault="00EA46D9" w:rsidP="00DE4371">
            <w:pPr>
              <w:jc w:val="both"/>
            </w:pPr>
            <w:r w:rsidRPr="00EA46D9">
              <w:t>Directiva 98/26/CE reduce riscul ce decurge din participarea institu</w:t>
            </w:r>
            <w:r w:rsidR="00D311C9">
              <w:t>ț</w:t>
            </w:r>
            <w:r w:rsidRPr="00EA46D9">
              <w:t xml:space="preserve">iilor </w:t>
            </w:r>
            <w:r w:rsidR="00D311C9">
              <w:t>ș</w:t>
            </w:r>
            <w:r w:rsidRPr="00EA46D9">
              <w:t>i a altor entită</w:t>
            </w:r>
            <w:r w:rsidR="00D311C9">
              <w:t>ț</w:t>
            </w:r>
            <w:r w:rsidRPr="00EA46D9">
              <w:t>i la sistemele de plă</w:t>
            </w:r>
            <w:r w:rsidR="00D311C9">
              <w:t>ț</w:t>
            </w:r>
            <w:r w:rsidRPr="00EA46D9">
              <w:t xml:space="preserve">i </w:t>
            </w:r>
            <w:r w:rsidR="00D311C9">
              <w:t>ș</w:t>
            </w:r>
            <w:r w:rsidRPr="00EA46D9">
              <w:t>i de decontare a titlurilor de valoare, în special prin reducerea perturbărilor în cazul insolven</w:t>
            </w:r>
            <w:r w:rsidR="00D311C9">
              <w:t>ț</w:t>
            </w:r>
            <w:r w:rsidRPr="00EA46D9">
              <w:t xml:space="preserve">ei unui participant la un astfel de sistem. </w:t>
            </w:r>
          </w:p>
          <w:p w14:paraId="430648C0" w14:textId="4E70F6BE" w:rsidR="00D50CFF" w:rsidRDefault="00ED737D" w:rsidP="0056405F">
            <w:pPr>
              <w:jc w:val="both"/>
              <w:rPr>
                <w:b/>
              </w:rPr>
            </w:pPr>
            <w:r>
              <w:t xml:space="preserve">Considerentul </w:t>
            </w:r>
            <w:r w:rsidR="00EA46D9" w:rsidRPr="00EA46D9">
              <w:t>7 din directiva respectivă clarifică faptul că statele membre au posibilitatea de a aplica dispozi</w:t>
            </w:r>
            <w:r w:rsidR="00D311C9">
              <w:t>ț</w:t>
            </w:r>
            <w:r w:rsidR="00EA46D9" w:rsidRPr="00EA46D9">
              <w:t>iile directivei atât propriilor institu</w:t>
            </w:r>
            <w:r w:rsidR="00D311C9">
              <w:t>ț</w:t>
            </w:r>
            <w:r w:rsidR="00EA46D9" w:rsidRPr="00EA46D9">
              <w:t>ii care participă în mod direct la sisteme reglementate de legisla</w:t>
            </w:r>
            <w:r w:rsidR="00D311C9">
              <w:t>ț</w:t>
            </w:r>
            <w:r w:rsidR="00EA46D9" w:rsidRPr="00EA46D9">
              <w:t xml:space="preserve">ia unei </w:t>
            </w:r>
            <w:r w:rsidR="00D311C9">
              <w:t>ț</w:t>
            </w:r>
            <w:r w:rsidR="00EA46D9" w:rsidRPr="00EA46D9">
              <w:t>ări ter</w:t>
            </w:r>
            <w:r w:rsidR="00D311C9">
              <w:t>ț</w:t>
            </w:r>
            <w:r w:rsidR="00EA46D9" w:rsidRPr="00EA46D9">
              <w:t xml:space="preserve">e, cât </w:t>
            </w:r>
            <w:r w:rsidR="00D311C9">
              <w:t>ș</w:t>
            </w:r>
            <w:r w:rsidR="00EA46D9" w:rsidRPr="00EA46D9">
              <w:t xml:space="preserve">i colateralului constituit în legătură cu participarea la aceste sisteme. Având în vedere dimensiunea mondială </w:t>
            </w:r>
            <w:r w:rsidR="00D311C9">
              <w:t>ș</w:t>
            </w:r>
            <w:r w:rsidR="00EA46D9" w:rsidRPr="00EA46D9">
              <w:t>i activită</w:t>
            </w:r>
            <w:r w:rsidR="00D311C9">
              <w:t>ț</w:t>
            </w:r>
            <w:r w:rsidR="00EA46D9" w:rsidRPr="00EA46D9">
              <w:t>ile anumitor sisteme reglementate de legisla</w:t>
            </w:r>
            <w:r w:rsidR="00D311C9">
              <w:t>ț</w:t>
            </w:r>
            <w:r w:rsidR="00EA46D9" w:rsidRPr="00EA46D9">
              <w:t xml:space="preserve">ia unei </w:t>
            </w:r>
            <w:r w:rsidR="00D311C9">
              <w:t>ț</w:t>
            </w:r>
            <w:r w:rsidR="00EA46D9" w:rsidRPr="00EA46D9">
              <w:t>ări ter</w:t>
            </w:r>
            <w:r w:rsidR="00D311C9">
              <w:t>ț</w:t>
            </w:r>
            <w:r w:rsidR="00EA46D9" w:rsidRPr="00EA46D9">
              <w:t xml:space="preserve">e, precum </w:t>
            </w:r>
            <w:r w:rsidR="00D311C9">
              <w:t>ș</w:t>
            </w:r>
            <w:r w:rsidR="00EA46D9" w:rsidRPr="00EA46D9">
              <w:t>i participarea sporită a entită</w:t>
            </w:r>
            <w:r w:rsidR="00D311C9">
              <w:t>ț</w:t>
            </w:r>
            <w:r w:rsidR="00EA46D9" w:rsidRPr="00EA46D9">
              <w:t>ilor stabilite în Uniune</w:t>
            </w:r>
            <w:r w:rsidR="00B83BB4">
              <w:t>a Europe</w:t>
            </w:r>
            <w:r w:rsidR="000E1A41">
              <w:t>a</w:t>
            </w:r>
            <w:r w:rsidR="00B83BB4">
              <w:t xml:space="preserve">nă </w:t>
            </w:r>
            <w:r w:rsidR="00EA46D9" w:rsidRPr="00EA46D9">
              <w:t xml:space="preserve"> la astfel de sisteme, Comisia trebui</w:t>
            </w:r>
            <w:r w:rsidR="00EF1579">
              <w:t>e</w:t>
            </w:r>
            <w:r w:rsidR="00EA46D9" w:rsidRPr="00EA46D9">
              <w:t xml:space="preserve"> să analizeze modul în care statele membre aplică op</w:t>
            </w:r>
            <w:r w:rsidR="00D311C9">
              <w:t>ț</w:t>
            </w:r>
            <w:r w:rsidR="00EA46D9" w:rsidRPr="00EA46D9">
              <w:t>iunea prezentată</w:t>
            </w:r>
            <w:r w:rsidR="00EF1579">
              <w:t xml:space="preserve"> în cadrul </w:t>
            </w:r>
            <w:r>
              <w:t xml:space="preserve">considerentului </w:t>
            </w:r>
            <w:r w:rsidR="00EF1579">
              <w:t>7</w:t>
            </w:r>
            <w:r w:rsidR="00EA46D9" w:rsidRPr="00EA46D9">
              <w:t xml:space="preserve"> din directiva respectivă </w:t>
            </w:r>
            <w:r w:rsidR="00D311C9">
              <w:t>ș</w:t>
            </w:r>
            <w:r w:rsidR="00EA46D9" w:rsidRPr="00EA46D9">
              <w:t>i să evalueze necesitatea introducerii unor modificări suplimentare la directiva în cauză cu privire la astfel de sisteme.</w:t>
            </w:r>
          </w:p>
          <w:p w14:paraId="6321D393" w14:textId="777BFBB7" w:rsidR="0056405F" w:rsidRPr="00887D37" w:rsidRDefault="0056405F" w:rsidP="0056405F">
            <w:pPr>
              <w:jc w:val="both"/>
              <w:rPr>
                <w:lang w:eastAsia="ro-RO"/>
              </w:rPr>
            </w:pPr>
            <w:r w:rsidRPr="002E54DB">
              <w:rPr>
                <w:b/>
                <w:lang w:eastAsia="ro-RO"/>
              </w:rPr>
              <w:t>Acte de</w:t>
            </w:r>
            <w:r w:rsidRPr="00887D37">
              <w:rPr>
                <w:b/>
                <w:lang w:eastAsia="ro-RO"/>
              </w:rPr>
              <w:t xml:space="preserve"> aplicare a dispozi</w:t>
            </w:r>
            <w:r w:rsidR="00D311C9">
              <w:rPr>
                <w:b/>
                <w:lang w:eastAsia="ro-RO"/>
              </w:rPr>
              <w:t>ț</w:t>
            </w:r>
            <w:r w:rsidRPr="00887D37">
              <w:rPr>
                <w:b/>
                <w:lang w:eastAsia="ro-RO"/>
              </w:rPr>
              <w:t>iilor directivei</w:t>
            </w:r>
          </w:p>
          <w:p w14:paraId="645FEBF0" w14:textId="02A22A24" w:rsidR="0056405F" w:rsidRPr="00887D37" w:rsidRDefault="0056405F" w:rsidP="0056405F">
            <w:pPr>
              <w:jc w:val="both"/>
              <w:rPr>
                <w:lang w:eastAsia="ro-RO"/>
              </w:rPr>
            </w:pPr>
            <w:r w:rsidRPr="00887D37">
              <w:rPr>
                <w:lang w:eastAsia="ro-RO"/>
              </w:rPr>
              <w:t>Pentru detalierea sau, după caz, pentru punerea în aplicare a unora dintre dispozi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>iile directivei, Comisia Europeană este abilitată să emită standarde tehnice obligatorii, elaborate de Autoritatea Bancară Europeană</w:t>
            </w:r>
            <w:r w:rsidR="00A45349">
              <w:rPr>
                <w:lang w:eastAsia="ro-RO"/>
              </w:rPr>
              <w:t xml:space="preserve"> (ABE)</w:t>
            </w:r>
            <w:r w:rsidRPr="00887D37">
              <w:rPr>
                <w:lang w:eastAsia="ro-RO"/>
              </w:rPr>
              <w:t>.</w:t>
            </w:r>
          </w:p>
          <w:p w14:paraId="311C9D04" w14:textId="1F9EF39F" w:rsidR="0056405F" w:rsidRPr="00887D37" w:rsidRDefault="0056405F" w:rsidP="001043F2">
            <w:pPr>
              <w:jc w:val="both"/>
              <w:rPr>
                <w:lang w:eastAsia="ro-RO"/>
              </w:rPr>
            </w:pPr>
            <w:r w:rsidRPr="00AF268D">
              <w:rPr>
                <w:b/>
                <w:lang w:eastAsia="ro-RO"/>
              </w:rPr>
              <w:t>c)</w:t>
            </w:r>
            <w:r w:rsidR="00ED737D">
              <w:rPr>
                <w:b/>
                <w:lang w:eastAsia="ro-RO"/>
              </w:rPr>
              <w:t xml:space="preserve"> </w:t>
            </w:r>
            <w:r w:rsidR="00DD50BB" w:rsidRPr="00737216">
              <w:rPr>
                <w:color w:val="000000"/>
                <w:shd w:val="clear" w:color="auto" w:fill="FFFFFF"/>
              </w:rPr>
              <w:t>În mod similar transpunerii la nivel na</w:t>
            </w:r>
            <w:r w:rsidR="00D311C9">
              <w:rPr>
                <w:color w:val="000000"/>
                <w:shd w:val="clear" w:color="auto" w:fill="FFFFFF"/>
              </w:rPr>
              <w:t>ț</w:t>
            </w:r>
            <w:r w:rsidR="00DD50BB" w:rsidRPr="00737216">
              <w:rPr>
                <w:color w:val="000000"/>
                <w:shd w:val="clear" w:color="auto" w:fill="FFFFFF"/>
              </w:rPr>
              <w:t xml:space="preserve">ional a prevederilor Directivei </w:t>
            </w:r>
            <w:r w:rsidR="00DD50BB">
              <w:rPr>
                <w:color w:val="000000"/>
                <w:shd w:val="clear" w:color="auto" w:fill="FFFFFF"/>
              </w:rPr>
              <w:t>2014/59/UE,</w:t>
            </w:r>
            <w:r w:rsidR="00ED737D">
              <w:rPr>
                <w:color w:val="000000"/>
                <w:shd w:val="clear" w:color="auto" w:fill="FFFFFF"/>
              </w:rPr>
              <w:t xml:space="preserve"> </w:t>
            </w:r>
            <w:r w:rsidRPr="0008488E">
              <w:t>prevederil</w:t>
            </w:r>
            <w:r w:rsidR="00DD50BB">
              <w:t>e</w:t>
            </w:r>
            <w:r w:rsidR="00ED737D">
              <w:t xml:space="preserve"> </w:t>
            </w:r>
            <w:r w:rsidRPr="0008488E">
              <w:rPr>
                <w:lang w:eastAsia="ro-RO"/>
              </w:rPr>
              <w:t>Directivei 201</w:t>
            </w:r>
            <w:r w:rsidR="00D50CFF">
              <w:rPr>
                <w:lang w:eastAsia="ro-RO"/>
              </w:rPr>
              <w:t>9/879/</w:t>
            </w:r>
            <w:r w:rsidRPr="0008488E">
              <w:rPr>
                <w:lang w:eastAsia="ro-RO"/>
              </w:rPr>
              <w:t>UE</w:t>
            </w:r>
            <w:r w:rsidR="00DD50BB" w:rsidRPr="00737216">
              <w:rPr>
                <w:color w:val="000000"/>
                <w:shd w:val="clear" w:color="auto" w:fill="FFFFFF"/>
              </w:rPr>
              <w:t xml:space="preserve"> vor fi transpuse la nivel na</w:t>
            </w:r>
            <w:r w:rsidR="00D311C9">
              <w:rPr>
                <w:color w:val="000000"/>
                <w:shd w:val="clear" w:color="auto" w:fill="FFFFFF"/>
              </w:rPr>
              <w:t>ț</w:t>
            </w:r>
            <w:r w:rsidR="00DD50BB" w:rsidRPr="00737216">
              <w:rPr>
                <w:color w:val="000000"/>
                <w:shd w:val="clear" w:color="auto" w:fill="FFFFFF"/>
              </w:rPr>
              <w:t xml:space="preserve">ional </w:t>
            </w:r>
            <w:r w:rsidR="00DD50BB">
              <w:rPr>
                <w:color w:val="000000"/>
                <w:shd w:val="clear" w:color="auto" w:fill="FFFFFF"/>
              </w:rPr>
              <w:t xml:space="preserve">prin lege. În acest context, </w:t>
            </w:r>
            <w:r w:rsidR="00DD50BB">
              <w:rPr>
                <w:lang w:eastAsia="ro-RO"/>
              </w:rPr>
              <w:t xml:space="preserve">pentru a asigura </w:t>
            </w:r>
            <w:r w:rsidR="00DD50BB">
              <w:rPr>
                <w:lang w:eastAsia="ro-RO"/>
              </w:rPr>
              <w:lastRenderedPageBreak/>
              <w:t xml:space="preserve">transpunerea integrală a prevederilor </w:t>
            </w:r>
            <w:r w:rsidR="00DD50BB" w:rsidRPr="0008488E">
              <w:rPr>
                <w:lang w:eastAsia="ro-RO"/>
              </w:rPr>
              <w:t>Directivei 201</w:t>
            </w:r>
            <w:r w:rsidR="00DD50BB">
              <w:rPr>
                <w:lang w:eastAsia="ro-RO"/>
              </w:rPr>
              <w:t>9/879/</w:t>
            </w:r>
            <w:r w:rsidR="00DD50BB" w:rsidRPr="0008488E">
              <w:rPr>
                <w:lang w:eastAsia="ro-RO"/>
              </w:rPr>
              <w:t>UE</w:t>
            </w:r>
            <w:r w:rsidR="00ED737D">
              <w:rPr>
                <w:lang w:eastAsia="ro-RO"/>
              </w:rPr>
              <w:t xml:space="preserve"> </w:t>
            </w:r>
            <w:r w:rsidR="00DD50BB">
              <w:rPr>
                <w:color w:val="000000"/>
                <w:shd w:val="clear" w:color="auto" w:fill="FFFFFF"/>
              </w:rPr>
              <w:t xml:space="preserve">este necesară </w:t>
            </w:r>
            <w:r w:rsidR="00DD50BB" w:rsidRPr="00737216">
              <w:rPr>
                <w:color w:val="000000"/>
                <w:shd w:val="clear" w:color="auto" w:fill="FFFFFF"/>
              </w:rPr>
              <w:t>amendarea cadrului legislativ primar</w:t>
            </w:r>
            <w:r w:rsidR="00DD50BB">
              <w:t xml:space="preserve"> re</w:t>
            </w:r>
            <w:r w:rsidR="000E1A41">
              <w:t>prezentat de</w:t>
            </w:r>
            <w:r w:rsidR="00D311C9">
              <w:t xml:space="preserve"> </w:t>
            </w:r>
            <w:r w:rsidR="000E1A41" w:rsidRPr="004F4799">
              <w:rPr>
                <w:i/>
                <w:color w:val="000000"/>
              </w:rPr>
              <w:t>Leg</w:t>
            </w:r>
            <w:r w:rsidR="000E1A41">
              <w:rPr>
                <w:i/>
                <w:color w:val="000000"/>
              </w:rPr>
              <w:t>ea</w:t>
            </w:r>
            <w:r w:rsidR="000E1A41" w:rsidRPr="004F4799">
              <w:rPr>
                <w:i/>
                <w:color w:val="000000"/>
              </w:rPr>
              <w:t xml:space="preserve"> nr.312/2015 privind redresarea </w:t>
            </w:r>
            <w:r w:rsidR="00D311C9">
              <w:rPr>
                <w:i/>
                <w:color w:val="000000"/>
              </w:rPr>
              <w:t>ș</w:t>
            </w:r>
            <w:r w:rsidR="000E1A41" w:rsidRPr="004F4799">
              <w:rPr>
                <w:i/>
                <w:color w:val="000000"/>
              </w:rPr>
              <w:t>i rezolu</w:t>
            </w:r>
            <w:r w:rsidR="00D311C9">
              <w:rPr>
                <w:i/>
                <w:color w:val="000000"/>
              </w:rPr>
              <w:t>ț</w:t>
            </w:r>
            <w:r w:rsidR="000E1A41" w:rsidRPr="004F4799">
              <w:rPr>
                <w:i/>
                <w:color w:val="000000"/>
              </w:rPr>
              <w:t>ia institu</w:t>
            </w:r>
            <w:r w:rsidR="00D311C9">
              <w:rPr>
                <w:i/>
                <w:color w:val="000000"/>
              </w:rPr>
              <w:t>ț</w:t>
            </w:r>
            <w:r w:rsidR="000E1A41" w:rsidRPr="004F4799">
              <w:rPr>
                <w:i/>
                <w:color w:val="000000"/>
              </w:rPr>
              <w:t xml:space="preserve">iilor de credit </w:t>
            </w:r>
            <w:r w:rsidR="00D311C9">
              <w:rPr>
                <w:i/>
                <w:color w:val="000000"/>
              </w:rPr>
              <w:t>ș</w:t>
            </w:r>
            <w:r w:rsidR="000E1A41" w:rsidRPr="004F4799">
              <w:rPr>
                <w:i/>
                <w:color w:val="000000"/>
              </w:rPr>
              <w:t>i a firmelor de investi</w:t>
            </w:r>
            <w:r w:rsidR="00D311C9">
              <w:rPr>
                <w:i/>
                <w:color w:val="000000"/>
              </w:rPr>
              <w:t>ț</w:t>
            </w:r>
            <w:r w:rsidR="000E1A41" w:rsidRPr="004F4799">
              <w:rPr>
                <w:i/>
                <w:color w:val="000000"/>
              </w:rPr>
              <w:t xml:space="preserve">ii, precum </w:t>
            </w:r>
            <w:r w:rsidR="00D311C9">
              <w:rPr>
                <w:i/>
                <w:color w:val="000000"/>
              </w:rPr>
              <w:t>ș</w:t>
            </w:r>
            <w:r w:rsidR="000E1A41" w:rsidRPr="004F4799">
              <w:rPr>
                <w:i/>
                <w:color w:val="000000"/>
              </w:rPr>
              <w:t xml:space="preserve">i pentru modificarea </w:t>
            </w:r>
            <w:r w:rsidR="00D311C9">
              <w:rPr>
                <w:i/>
                <w:color w:val="000000"/>
              </w:rPr>
              <w:t>ș</w:t>
            </w:r>
            <w:r w:rsidR="000E1A41" w:rsidRPr="004F4799">
              <w:rPr>
                <w:i/>
                <w:color w:val="000000"/>
              </w:rPr>
              <w:t>i completarea unor acte normative în domeniul financiar</w:t>
            </w:r>
            <w:r w:rsidR="00DD50BB">
              <w:rPr>
                <w:i/>
                <w:color w:val="000000"/>
              </w:rPr>
              <w:t>, Legea nr.</w:t>
            </w:r>
            <w:r w:rsidR="000E1A41" w:rsidRPr="00887D37">
              <w:rPr>
                <w:i/>
              </w:rPr>
              <w:t xml:space="preserve"> 85/2014 privind procedurile de prevenire a insolven</w:t>
            </w:r>
            <w:r w:rsidR="00D311C9">
              <w:rPr>
                <w:i/>
              </w:rPr>
              <w:t>ț</w:t>
            </w:r>
            <w:r w:rsidR="000E1A41" w:rsidRPr="00887D37">
              <w:rPr>
                <w:i/>
              </w:rPr>
              <w:t xml:space="preserve">ei </w:t>
            </w:r>
            <w:r w:rsidR="00D311C9">
              <w:rPr>
                <w:i/>
              </w:rPr>
              <w:t>ș</w:t>
            </w:r>
            <w:r w:rsidR="000E1A41" w:rsidRPr="00887D37">
              <w:rPr>
                <w:i/>
              </w:rPr>
              <w:t>i de insolven</w:t>
            </w:r>
            <w:r w:rsidR="00D311C9">
              <w:rPr>
                <w:i/>
              </w:rPr>
              <w:t>ț</w:t>
            </w:r>
            <w:r w:rsidR="000E1A41" w:rsidRPr="00887D37">
              <w:rPr>
                <w:i/>
              </w:rPr>
              <w:t>ă</w:t>
            </w:r>
            <w:r w:rsidR="00DD50BB">
              <w:t xml:space="preserve"> </w:t>
            </w:r>
            <w:r w:rsidR="00D311C9">
              <w:t>ș</w:t>
            </w:r>
            <w:r w:rsidR="00DD50BB">
              <w:t xml:space="preserve">i </w:t>
            </w:r>
            <w:r w:rsidR="000E1A41" w:rsidRPr="0055544A">
              <w:rPr>
                <w:i/>
              </w:rPr>
              <w:t>Legea nr. 253/2004 privind caracterul definitiv al decontării în sistemele de plă</w:t>
            </w:r>
            <w:r w:rsidR="00D311C9">
              <w:rPr>
                <w:i/>
              </w:rPr>
              <w:t>ț</w:t>
            </w:r>
            <w:r w:rsidR="000E1A41" w:rsidRPr="0055544A">
              <w:rPr>
                <w:i/>
              </w:rPr>
              <w:t xml:space="preserve">i </w:t>
            </w:r>
            <w:r w:rsidR="00D311C9">
              <w:rPr>
                <w:i/>
              </w:rPr>
              <w:t>ș</w:t>
            </w:r>
            <w:r w:rsidR="000E1A41" w:rsidRPr="0055544A">
              <w:rPr>
                <w:i/>
              </w:rPr>
              <w:t>i în sistemele de decontare a opera</w:t>
            </w:r>
            <w:r w:rsidR="00D311C9">
              <w:rPr>
                <w:i/>
              </w:rPr>
              <w:t>ț</w:t>
            </w:r>
            <w:r w:rsidR="000E1A41" w:rsidRPr="0055544A">
              <w:rPr>
                <w:i/>
              </w:rPr>
              <w:t>iunilor cu instrumente financiare</w:t>
            </w:r>
            <w:r w:rsidR="000E1A41">
              <w:rPr>
                <w:i/>
                <w:color w:val="000000"/>
              </w:rPr>
              <w:t>.</w:t>
            </w:r>
          </w:p>
        </w:tc>
      </w:tr>
      <w:tr w:rsidR="00726A5E" w:rsidRPr="00887D37" w14:paraId="1F5F07AD" w14:textId="77777777" w:rsidTr="002E54DB">
        <w:trPr>
          <w:trHeight w:val="44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4EB5" w14:textId="77777777" w:rsidR="00726A5E" w:rsidRPr="00887D37" w:rsidRDefault="00B34CF3" w:rsidP="002E54DB">
            <w:pPr>
              <w:jc w:val="both"/>
              <w:rPr>
                <w:rFonts w:eastAsia="Calibri"/>
                <w:b/>
              </w:rPr>
            </w:pPr>
            <w:r w:rsidRPr="00887D37">
              <w:rPr>
                <w:b/>
              </w:rPr>
              <w:lastRenderedPageBreak/>
              <w:t>2. Schimbări preconizate</w:t>
            </w:r>
          </w:p>
          <w:p w14:paraId="4C99397D" w14:textId="2AB3359D" w:rsidR="00EB7D6A" w:rsidRDefault="00B34CF3" w:rsidP="00EB7D6A">
            <w:pPr>
              <w:autoSpaceDE w:val="0"/>
              <w:jc w:val="both"/>
              <w:rPr>
                <w:b/>
                <w:bCs/>
                <w:i/>
                <w:iCs/>
              </w:rPr>
            </w:pPr>
            <w:r w:rsidRPr="00887D37">
              <w:rPr>
                <w:rFonts w:eastAsia="Calibri"/>
                <w:b/>
              </w:rPr>
              <w:t>2. A.</w:t>
            </w:r>
            <w:r w:rsidR="00441EF0">
              <w:rPr>
                <w:rFonts w:eastAsia="Calibri"/>
                <w:b/>
              </w:rPr>
              <w:t>1.</w:t>
            </w:r>
            <w:r w:rsidRPr="00887D37">
              <w:rPr>
                <w:rFonts w:eastAsia="Calibri"/>
                <w:b/>
              </w:rPr>
              <w:t xml:space="preserve"> Asigurarea transpunerii prevederilor cuprinse în </w:t>
            </w:r>
            <w:r w:rsidR="00EB7D6A" w:rsidRPr="00EB7D6A">
              <w:rPr>
                <w:b/>
                <w:bCs/>
                <w:i/>
                <w:iCs/>
              </w:rPr>
              <w:t>D</w:t>
            </w:r>
            <w:r w:rsidR="00EB7D6A">
              <w:rPr>
                <w:b/>
                <w:bCs/>
                <w:i/>
                <w:iCs/>
              </w:rPr>
              <w:t xml:space="preserve">irectiva </w:t>
            </w:r>
            <w:r w:rsidR="00EB7D6A" w:rsidRPr="00EB7D6A">
              <w:rPr>
                <w:b/>
                <w:bCs/>
                <w:i/>
                <w:iCs/>
              </w:rPr>
              <w:t xml:space="preserve">(UE) 2019/879 </w:t>
            </w:r>
            <w:r w:rsidR="00EB7D6A">
              <w:rPr>
                <w:b/>
                <w:bCs/>
                <w:i/>
                <w:iCs/>
              </w:rPr>
              <w:t xml:space="preserve">a Parlamentului </w:t>
            </w:r>
            <w:r w:rsidR="00EB7D6A" w:rsidRPr="00EB7D6A">
              <w:rPr>
                <w:b/>
                <w:bCs/>
                <w:i/>
                <w:iCs/>
              </w:rPr>
              <w:t>E</w:t>
            </w:r>
            <w:r w:rsidR="00EB7D6A">
              <w:rPr>
                <w:b/>
                <w:bCs/>
                <w:i/>
                <w:iCs/>
              </w:rPr>
              <w:t>urope</w:t>
            </w:r>
            <w:r w:rsidR="00232E5E">
              <w:rPr>
                <w:b/>
                <w:bCs/>
                <w:i/>
                <w:iCs/>
              </w:rPr>
              <w:t>a</w:t>
            </w:r>
            <w:r w:rsidR="00EB7D6A">
              <w:rPr>
                <w:b/>
                <w:bCs/>
                <w:i/>
                <w:iCs/>
              </w:rPr>
              <w:t xml:space="preserve">n </w:t>
            </w:r>
            <w:r w:rsidR="00D311C9">
              <w:rPr>
                <w:b/>
                <w:bCs/>
                <w:i/>
                <w:iCs/>
              </w:rPr>
              <w:t>ș</w:t>
            </w:r>
            <w:r w:rsidR="00EB7D6A">
              <w:rPr>
                <w:b/>
                <w:bCs/>
                <w:i/>
                <w:iCs/>
              </w:rPr>
              <w:t xml:space="preserve">i a Consiliului </w:t>
            </w:r>
            <w:r w:rsidR="00EB7D6A" w:rsidRPr="00EB7D6A">
              <w:rPr>
                <w:b/>
                <w:bCs/>
                <w:i/>
                <w:iCs/>
              </w:rPr>
              <w:t>din 20 mai 2019 de modificare a Directivei 2014/59/UE în ceea ce prive</w:t>
            </w:r>
            <w:r w:rsidR="00D311C9">
              <w:rPr>
                <w:b/>
                <w:bCs/>
                <w:i/>
                <w:iCs/>
              </w:rPr>
              <w:t>ș</w:t>
            </w:r>
            <w:r w:rsidR="00EB7D6A" w:rsidRPr="00EB7D6A">
              <w:rPr>
                <w:b/>
                <w:bCs/>
                <w:i/>
                <w:iCs/>
              </w:rPr>
              <w:t>te capacitatea de absorb</w:t>
            </w:r>
            <w:r w:rsidR="00D311C9">
              <w:rPr>
                <w:b/>
                <w:bCs/>
                <w:i/>
                <w:iCs/>
              </w:rPr>
              <w:t>ț</w:t>
            </w:r>
            <w:r w:rsidR="00EB7D6A" w:rsidRPr="00EB7D6A">
              <w:rPr>
                <w:b/>
                <w:bCs/>
                <w:i/>
                <w:iCs/>
              </w:rPr>
              <w:t xml:space="preserve">ie a pierderilor </w:t>
            </w:r>
            <w:r w:rsidR="00D311C9">
              <w:rPr>
                <w:b/>
                <w:bCs/>
                <w:i/>
                <w:iCs/>
              </w:rPr>
              <w:t>ș</w:t>
            </w:r>
            <w:r w:rsidR="00EB7D6A" w:rsidRPr="00EB7D6A">
              <w:rPr>
                <w:b/>
                <w:bCs/>
                <w:i/>
                <w:iCs/>
              </w:rPr>
              <w:t>i de recapitalizare a institu</w:t>
            </w:r>
            <w:r w:rsidR="00D311C9">
              <w:rPr>
                <w:b/>
                <w:bCs/>
                <w:i/>
                <w:iCs/>
              </w:rPr>
              <w:t>ț</w:t>
            </w:r>
            <w:r w:rsidR="00EB7D6A" w:rsidRPr="00EB7D6A">
              <w:rPr>
                <w:b/>
                <w:bCs/>
                <w:i/>
                <w:iCs/>
              </w:rPr>
              <w:t xml:space="preserve">iilor de credit </w:t>
            </w:r>
            <w:r w:rsidR="00D311C9">
              <w:rPr>
                <w:b/>
                <w:bCs/>
                <w:i/>
                <w:iCs/>
              </w:rPr>
              <w:t>ș</w:t>
            </w:r>
            <w:r w:rsidR="00EB7D6A" w:rsidRPr="00EB7D6A">
              <w:rPr>
                <w:b/>
                <w:bCs/>
                <w:i/>
                <w:iCs/>
              </w:rPr>
              <w:t>i a firmelor de investi</w:t>
            </w:r>
            <w:r w:rsidR="00D311C9">
              <w:rPr>
                <w:b/>
                <w:bCs/>
                <w:i/>
                <w:iCs/>
              </w:rPr>
              <w:t>ț</w:t>
            </w:r>
            <w:r w:rsidR="00EB7D6A" w:rsidRPr="00EB7D6A">
              <w:rPr>
                <w:b/>
                <w:bCs/>
                <w:i/>
                <w:iCs/>
              </w:rPr>
              <w:t xml:space="preserve">ii </w:t>
            </w:r>
            <w:r w:rsidR="00D311C9">
              <w:rPr>
                <w:b/>
                <w:bCs/>
                <w:i/>
                <w:iCs/>
              </w:rPr>
              <w:t>ș</w:t>
            </w:r>
            <w:r w:rsidR="00EB7D6A" w:rsidRPr="00EB7D6A">
              <w:rPr>
                <w:b/>
                <w:bCs/>
                <w:i/>
                <w:iCs/>
              </w:rPr>
              <w:t xml:space="preserve">i a Directivei 98/26/CE </w:t>
            </w:r>
          </w:p>
          <w:p w14:paraId="2D3F520B" w14:textId="5E6EA7DE" w:rsidR="00A30CEA" w:rsidRDefault="00B34CF3" w:rsidP="007B52AE">
            <w:pPr>
              <w:autoSpaceDE w:val="0"/>
              <w:jc w:val="both"/>
            </w:pPr>
            <w:r w:rsidRPr="00671977">
              <w:rPr>
                <w:b/>
              </w:rPr>
              <w:t xml:space="preserve">Propunerile </w:t>
            </w:r>
            <w:r w:rsidRPr="00887D37">
              <w:t>cuprinse în proiectul de act normativ asigură transpunerea</w:t>
            </w:r>
            <w:r w:rsidR="00671977">
              <w:t xml:space="preserve"> fidelă</w:t>
            </w:r>
            <w:r w:rsidRPr="00887D37">
              <w:t>, la nivel de legisla</w:t>
            </w:r>
            <w:r w:rsidR="00D311C9">
              <w:t>ț</w:t>
            </w:r>
            <w:r w:rsidRPr="00887D37">
              <w:t xml:space="preserve">ie primară, a prevederilor </w:t>
            </w:r>
            <w:r w:rsidRPr="00B906F1">
              <w:rPr>
                <w:i/>
              </w:rPr>
              <w:t xml:space="preserve">Directivei </w:t>
            </w:r>
            <w:r w:rsidR="00B906F1" w:rsidRPr="00B906F1">
              <w:rPr>
                <w:i/>
              </w:rPr>
              <w:t xml:space="preserve">(UE) </w:t>
            </w:r>
            <w:r w:rsidR="00B906F1" w:rsidRPr="00B906F1">
              <w:rPr>
                <w:bCs/>
                <w:i/>
                <w:iCs/>
              </w:rPr>
              <w:t>2019/879</w:t>
            </w:r>
            <w:r w:rsidR="007B52AE">
              <w:rPr>
                <w:bCs/>
                <w:iCs/>
              </w:rPr>
              <w:t>,</w:t>
            </w:r>
            <w:r w:rsidR="003F14D0">
              <w:rPr>
                <w:bCs/>
                <w:iCs/>
              </w:rPr>
              <w:t xml:space="preserve"> </w:t>
            </w:r>
            <w:r w:rsidR="007B52AE" w:rsidRPr="007B52AE">
              <w:rPr>
                <w:bCs/>
                <w:iCs/>
              </w:rPr>
              <w:t>inclusiv a clarificărilor furnizate de Comisia Europeană în cadrul întâlnirilor organizate de către aceasta pentru a asigura o implementare uniformă a directivelor europene la nivel național de către statele membre și publicate de Comisi</w:t>
            </w:r>
            <w:r w:rsidR="007B52AE">
              <w:rPr>
                <w:bCs/>
                <w:iCs/>
              </w:rPr>
              <w:t xml:space="preserve">e în data de 29 septembrie 2020 </w:t>
            </w:r>
            <w:r w:rsidR="00D311C9">
              <w:t>ș</w:t>
            </w:r>
            <w:r w:rsidR="00A30CEA">
              <w:t xml:space="preserve">i </w:t>
            </w:r>
            <w:r w:rsidR="00A30CEA" w:rsidRPr="00671977">
              <w:rPr>
                <w:b/>
                <w:lang w:eastAsia="ro-RO"/>
              </w:rPr>
              <w:t>vizează, în principal, următoarele</w:t>
            </w:r>
            <w:r w:rsidR="00A30CEA">
              <w:rPr>
                <w:lang w:eastAsia="ro-RO"/>
              </w:rPr>
              <w:t>:</w:t>
            </w:r>
          </w:p>
          <w:p w14:paraId="713B3D78" w14:textId="3572AB15" w:rsidR="00A30CEA" w:rsidRDefault="00A30CEA" w:rsidP="00BB5436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ind w:left="0" w:firstLine="0"/>
              <w:jc w:val="both"/>
              <w:rPr>
                <w:lang w:eastAsia="ro-RO"/>
              </w:rPr>
            </w:pPr>
            <w:r>
              <w:rPr>
                <w:lang w:eastAsia="ro-RO"/>
              </w:rPr>
              <w:t xml:space="preserve">definirea unor </w:t>
            </w:r>
            <w:r w:rsidRPr="00BB5436">
              <w:rPr>
                <w:b/>
                <w:lang w:eastAsia="ro-RO"/>
              </w:rPr>
              <w:t>concepte noi în domeniul rezolu</w:t>
            </w:r>
            <w:r w:rsidR="00D311C9">
              <w:rPr>
                <w:b/>
                <w:lang w:eastAsia="ro-RO"/>
              </w:rPr>
              <w:t>ț</w:t>
            </w:r>
            <w:r w:rsidRPr="00BB5436">
              <w:rPr>
                <w:b/>
                <w:lang w:eastAsia="ro-RO"/>
              </w:rPr>
              <w:t>iei precum ”entitate de rezolu</w:t>
            </w:r>
            <w:r w:rsidR="00D311C9">
              <w:rPr>
                <w:b/>
                <w:lang w:eastAsia="ro-RO"/>
              </w:rPr>
              <w:t>ț</w:t>
            </w:r>
            <w:r w:rsidRPr="00BB5436">
              <w:rPr>
                <w:b/>
                <w:lang w:eastAsia="ro-RO"/>
              </w:rPr>
              <w:t xml:space="preserve">ie” </w:t>
            </w:r>
            <w:r w:rsidR="00D311C9">
              <w:rPr>
                <w:b/>
                <w:lang w:eastAsia="ro-RO"/>
              </w:rPr>
              <w:t>ș</w:t>
            </w:r>
            <w:r w:rsidRPr="00BB5436">
              <w:rPr>
                <w:b/>
                <w:lang w:eastAsia="ro-RO"/>
              </w:rPr>
              <w:t>i ”grup de rezolu</w:t>
            </w:r>
            <w:r w:rsidR="00D311C9">
              <w:rPr>
                <w:b/>
                <w:lang w:eastAsia="ro-RO"/>
              </w:rPr>
              <w:t>ț</w:t>
            </w:r>
            <w:r w:rsidRPr="00BB5436">
              <w:rPr>
                <w:b/>
                <w:lang w:eastAsia="ro-RO"/>
              </w:rPr>
              <w:t>ie”</w:t>
            </w:r>
            <w:r w:rsidR="00ED737D">
              <w:rPr>
                <w:b/>
                <w:lang w:eastAsia="ro-RO"/>
              </w:rPr>
              <w:t xml:space="preserve"> </w:t>
            </w:r>
            <w:r w:rsidR="00D311C9">
              <w:rPr>
                <w:lang w:eastAsia="ro-RO"/>
              </w:rPr>
              <w:t>ș</w:t>
            </w:r>
            <w:r>
              <w:rPr>
                <w:lang w:eastAsia="ro-RO"/>
              </w:rPr>
              <w:t>i, în strânsă legătură cu acestea, introducerea cerin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ei MREL pentru entitatea de rezolu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ie („</w:t>
            </w:r>
            <w:r w:rsidRPr="00BB5436">
              <w:rPr>
                <w:b/>
                <w:lang w:eastAsia="ro-RO"/>
              </w:rPr>
              <w:t>cerin</w:t>
            </w:r>
            <w:r w:rsidR="00D311C9">
              <w:rPr>
                <w:b/>
                <w:lang w:eastAsia="ro-RO"/>
              </w:rPr>
              <w:t>ț</w:t>
            </w:r>
            <w:r w:rsidRPr="00BB5436">
              <w:rPr>
                <w:b/>
                <w:lang w:eastAsia="ro-RO"/>
              </w:rPr>
              <w:t>ă MREL externă</w:t>
            </w:r>
            <w:r>
              <w:rPr>
                <w:lang w:eastAsia="ro-RO"/>
              </w:rPr>
              <w:t>”), respectiv a cerin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ei MREL pentru entitatea care nu este entitate de rezolu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ie („</w:t>
            </w:r>
            <w:r w:rsidRPr="00BB5436">
              <w:rPr>
                <w:b/>
                <w:lang w:eastAsia="ro-RO"/>
              </w:rPr>
              <w:t>cerin</w:t>
            </w:r>
            <w:r w:rsidR="00D311C9">
              <w:rPr>
                <w:b/>
                <w:lang w:eastAsia="ro-RO"/>
              </w:rPr>
              <w:t>ț</w:t>
            </w:r>
            <w:r w:rsidRPr="00BB5436">
              <w:rPr>
                <w:b/>
                <w:lang w:eastAsia="ro-RO"/>
              </w:rPr>
              <w:t>ă MREL internă</w:t>
            </w:r>
            <w:r>
              <w:rPr>
                <w:lang w:eastAsia="ro-RO"/>
              </w:rPr>
              <w:t>”), ca o consecin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 xml:space="preserve">ă a selectării, în cazul planificării la nivelul grupurilor, între </w:t>
            </w:r>
            <w:r w:rsidR="00BB5436">
              <w:rPr>
                <w:lang w:eastAsia="ro-RO"/>
              </w:rPr>
              <w:t xml:space="preserve">cele </w:t>
            </w:r>
            <w:r>
              <w:rPr>
                <w:lang w:eastAsia="ro-RO"/>
              </w:rPr>
              <w:t>două tipuri de strategii de rezolu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 xml:space="preserve">ie: strategia cu un singur punct de intrare (single point of entry – SPE) </w:t>
            </w:r>
            <w:r w:rsidR="00D311C9">
              <w:rPr>
                <w:lang w:eastAsia="ro-RO"/>
              </w:rPr>
              <w:t>ș</w:t>
            </w:r>
            <w:r>
              <w:rPr>
                <w:lang w:eastAsia="ro-RO"/>
              </w:rPr>
              <w:t>i, respectiv, strategia cu mai multe puncte de intrare (multiple point of entry – MPE);</w:t>
            </w:r>
          </w:p>
          <w:p w14:paraId="08B21DC2" w14:textId="4A883A93" w:rsidR="00BB5436" w:rsidRDefault="00BB5436" w:rsidP="00BB5436">
            <w:pPr>
              <w:tabs>
                <w:tab w:val="left" w:pos="284"/>
              </w:tabs>
              <w:autoSpaceDE w:val="0"/>
              <w:jc w:val="both"/>
              <w:rPr>
                <w:lang w:eastAsia="ro-RO"/>
              </w:rPr>
            </w:pPr>
            <w:r>
              <w:rPr>
                <w:lang w:eastAsia="ro-RO"/>
              </w:rPr>
              <w:t>Astfel, proiectul de lege stabile</w:t>
            </w:r>
            <w:r w:rsidR="00D311C9">
              <w:rPr>
                <w:lang w:eastAsia="ro-RO"/>
              </w:rPr>
              <w:t>ș</w:t>
            </w:r>
            <w:r>
              <w:rPr>
                <w:lang w:eastAsia="ro-RO"/>
              </w:rPr>
              <w:t>te reguli de determinare a cerin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 xml:space="preserve">ei MREL atât pentru </w:t>
            </w:r>
            <w:r w:rsidR="002B5D5B">
              <w:rPr>
                <w:lang w:eastAsia="ro-RO"/>
              </w:rPr>
              <w:t>entită</w:t>
            </w:r>
            <w:r w:rsidR="00D311C9">
              <w:rPr>
                <w:lang w:eastAsia="ro-RO"/>
              </w:rPr>
              <w:t>ț</w:t>
            </w:r>
            <w:r w:rsidR="002B5D5B">
              <w:rPr>
                <w:lang w:eastAsia="ro-RO"/>
              </w:rPr>
              <w:t>ile de rezolu</w:t>
            </w:r>
            <w:r w:rsidR="00D311C9">
              <w:rPr>
                <w:lang w:eastAsia="ro-RO"/>
              </w:rPr>
              <w:t>ț</w:t>
            </w:r>
            <w:r w:rsidR="002B5D5B">
              <w:rPr>
                <w:lang w:eastAsia="ro-RO"/>
              </w:rPr>
              <w:t xml:space="preserve">ie </w:t>
            </w:r>
            <w:r>
              <w:rPr>
                <w:lang w:eastAsia="ro-RO"/>
              </w:rPr>
              <w:t xml:space="preserve">din grup </w:t>
            </w:r>
            <w:r w:rsidR="002B5D5B">
              <w:rPr>
                <w:lang w:eastAsia="ro-RO"/>
              </w:rPr>
              <w:t>care vor face obiectul rezolu</w:t>
            </w:r>
            <w:r w:rsidR="00D311C9">
              <w:rPr>
                <w:lang w:eastAsia="ro-RO"/>
              </w:rPr>
              <w:t>ț</w:t>
            </w:r>
            <w:r w:rsidR="002B5D5B">
              <w:rPr>
                <w:lang w:eastAsia="ro-RO"/>
              </w:rPr>
              <w:t>iei (cerin</w:t>
            </w:r>
            <w:r w:rsidR="00D311C9">
              <w:rPr>
                <w:lang w:eastAsia="ro-RO"/>
              </w:rPr>
              <w:t>ț</w:t>
            </w:r>
            <w:r w:rsidR="002B5D5B">
              <w:rPr>
                <w:lang w:eastAsia="ro-RO"/>
              </w:rPr>
              <w:t xml:space="preserve">a MREL externă) cât </w:t>
            </w:r>
            <w:r w:rsidR="00D311C9">
              <w:rPr>
                <w:lang w:eastAsia="ro-RO"/>
              </w:rPr>
              <w:t>ș</w:t>
            </w:r>
            <w:r w:rsidR="002B5D5B">
              <w:rPr>
                <w:lang w:eastAsia="ro-RO"/>
              </w:rPr>
              <w:t>i pentru filialele acestora care</w:t>
            </w:r>
            <w:r>
              <w:rPr>
                <w:lang w:eastAsia="ro-RO"/>
              </w:rPr>
              <w:t xml:space="preserve"> nu intră în rezolu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 xml:space="preserve">ie, ci transferă pierderile </w:t>
            </w:r>
            <w:r w:rsidR="00D311C9">
              <w:rPr>
                <w:lang w:eastAsia="ro-RO"/>
              </w:rPr>
              <w:t>ș</w:t>
            </w:r>
            <w:r>
              <w:rPr>
                <w:lang w:eastAsia="ro-RO"/>
              </w:rPr>
              <w:t>i nevoile lor de recapit</w:t>
            </w:r>
            <w:r w:rsidR="00C83B06">
              <w:rPr>
                <w:lang w:eastAsia="ro-RO"/>
              </w:rPr>
              <w:t xml:space="preserve">alizare </w:t>
            </w:r>
            <w:r w:rsidR="002B5D5B">
              <w:rPr>
                <w:lang w:eastAsia="ro-RO"/>
              </w:rPr>
              <w:t xml:space="preserve">către </w:t>
            </w:r>
            <w:r>
              <w:rPr>
                <w:lang w:eastAsia="ro-RO"/>
              </w:rPr>
              <w:t>entit</w:t>
            </w:r>
            <w:r w:rsidR="002B5D5B">
              <w:rPr>
                <w:lang w:eastAsia="ro-RO"/>
              </w:rPr>
              <w:t xml:space="preserve">atea de </w:t>
            </w:r>
            <w:r>
              <w:rPr>
                <w:lang w:eastAsia="ro-RO"/>
              </w:rPr>
              <w:t>rezolu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</w:t>
            </w:r>
            <w:r w:rsidR="002B5D5B">
              <w:rPr>
                <w:lang w:eastAsia="ro-RO"/>
              </w:rPr>
              <w:t>e (cerin</w:t>
            </w:r>
            <w:r w:rsidR="00D311C9">
              <w:rPr>
                <w:lang w:eastAsia="ro-RO"/>
              </w:rPr>
              <w:t>ț</w:t>
            </w:r>
            <w:r w:rsidR="002B5D5B">
              <w:rPr>
                <w:lang w:eastAsia="ro-RO"/>
              </w:rPr>
              <w:t>a MREL internă)</w:t>
            </w:r>
            <w:r w:rsidR="00ED737D">
              <w:rPr>
                <w:lang w:eastAsia="ro-RO"/>
              </w:rPr>
              <w:t>.</w:t>
            </w:r>
            <w:r w:rsidR="002B5D5B">
              <w:rPr>
                <w:lang w:eastAsia="ro-RO"/>
              </w:rPr>
              <w:t xml:space="preserve"> </w:t>
            </w:r>
          </w:p>
          <w:p w14:paraId="342C4404" w14:textId="7E1DBDBA" w:rsidR="00BB5436" w:rsidRDefault="00C83B06" w:rsidP="00BB5436">
            <w:pPr>
              <w:pStyle w:val="ListParagraph"/>
              <w:tabs>
                <w:tab w:val="left" w:pos="284"/>
              </w:tabs>
              <w:autoSpaceDE w:val="0"/>
              <w:ind w:left="0"/>
              <w:jc w:val="both"/>
              <w:rPr>
                <w:lang w:eastAsia="ro-RO"/>
              </w:rPr>
            </w:pPr>
            <w:r>
              <w:rPr>
                <w:lang w:eastAsia="ro-RO"/>
              </w:rPr>
              <w:t>În linie cu introducerea noilor concep</w:t>
            </w:r>
            <w:r w:rsidR="00834B79">
              <w:rPr>
                <w:lang w:eastAsia="ro-RO"/>
              </w:rPr>
              <w:t>t</w:t>
            </w:r>
            <w:r>
              <w:rPr>
                <w:lang w:eastAsia="ro-RO"/>
              </w:rPr>
              <w:t>e de ”entitate de rezolu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 xml:space="preserve">ie” </w:t>
            </w:r>
            <w:r w:rsidR="00D311C9">
              <w:rPr>
                <w:lang w:eastAsia="ro-RO"/>
              </w:rPr>
              <w:t>ș</w:t>
            </w:r>
            <w:r>
              <w:rPr>
                <w:lang w:eastAsia="ro-RO"/>
              </w:rPr>
              <w:t>i ”grup de rezolu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ie”</w:t>
            </w:r>
            <w:r w:rsidR="00834B79">
              <w:rPr>
                <w:lang w:eastAsia="ro-RO"/>
              </w:rPr>
              <w:t>,</w:t>
            </w:r>
            <w:r>
              <w:rPr>
                <w:lang w:eastAsia="ro-RO"/>
              </w:rPr>
              <w:t xml:space="preserve"> proiectul de lege aduce modificări </w:t>
            </w:r>
            <w:r w:rsidR="00D311C9">
              <w:rPr>
                <w:lang w:eastAsia="ro-RO"/>
              </w:rPr>
              <w:t>ș</w:t>
            </w:r>
            <w:r>
              <w:rPr>
                <w:lang w:eastAsia="ro-RO"/>
              </w:rPr>
              <w:t>i în cadrul dispozi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iilor care reglementează planificarea rezolu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iei, atât din perspectiva identificării acestor entită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i/grupu</w:t>
            </w:r>
            <w:r w:rsidR="00715BE7">
              <w:rPr>
                <w:lang w:eastAsia="ro-RO"/>
              </w:rPr>
              <w:t>r</w:t>
            </w:r>
            <w:r>
              <w:rPr>
                <w:lang w:eastAsia="ro-RO"/>
              </w:rPr>
              <w:t>i de rezolu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 xml:space="preserve">ie cât </w:t>
            </w:r>
            <w:r w:rsidR="00D311C9">
              <w:rPr>
                <w:lang w:eastAsia="ro-RO"/>
              </w:rPr>
              <w:t>ș</w:t>
            </w:r>
            <w:r>
              <w:rPr>
                <w:lang w:eastAsia="ro-RO"/>
              </w:rPr>
              <w:t xml:space="preserve">i, ulterior, al stabilirii unei </w:t>
            </w:r>
            <w:r w:rsidR="00BB5436">
              <w:rPr>
                <w:lang w:eastAsia="ro-RO"/>
              </w:rPr>
              <w:t>cerin</w:t>
            </w:r>
            <w:r w:rsidR="00D311C9">
              <w:rPr>
                <w:lang w:eastAsia="ro-RO"/>
              </w:rPr>
              <w:t>ț</w:t>
            </w:r>
            <w:r w:rsidR="00BB5436">
              <w:rPr>
                <w:lang w:eastAsia="ro-RO"/>
              </w:rPr>
              <w:t xml:space="preserve">e </w:t>
            </w:r>
            <w:r>
              <w:rPr>
                <w:lang w:eastAsia="ro-RO"/>
              </w:rPr>
              <w:t>MREL adecvate pentru asigurarea unei capacită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 satisfăc</w:t>
            </w:r>
            <w:r w:rsidR="00232E5E">
              <w:rPr>
                <w:lang w:eastAsia="ro-RO"/>
              </w:rPr>
              <w:t>ă</w:t>
            </w:r>
            <w:r>
              <w:rPr>
                <w:lang w:eastAsia="ro-RO"/>
              </w:rPr>
              <w:t>toare de</w:t>
            </w:r>
            <w:r w:rsidR="00BB5436">
              <w:rPr>
                <w:lang w:eastAsia="ro-RO"/>
              </w:rPr>
              <w:t xml:space="preserve"> absorb</w:t>
            </w:r>
            <w:r w:rsidR="00D311C9">
              <w:rPr>
                <w:lang w:eastAsia="ro-RO"/>
              </w:rPr>
              <w:t>ț</w:t>
            </w:r>
            <w:r w:rsidR="00BB5436">
              <w:rPr>
                <w:lang w:eastAsia="ro-RO"/>
              </w:rPr>
              <w:t xml:space="preserve">ie a pierderilor </w:t>
            </w:r>
            <w:r w:rsidR="00D311C9">
              <w:rPr>
                <w:lang w:eastAsia="ro-RO"/>
              </w:rPr>
              <w:t>ș</w:t>
            </w:r>
            <w:r w:rsidR="00BB5436">
              <w:rPr>
                <w:lang w:eastAsia="ro-RO"/>
              </w:rPr>
              <w:t>i de recapitalizare.</w:t>
            </w:r>
          </w:p>
          <w:p w14:paraId="213A0B32" w14:textId="4809D3A1" w:rsidR="00A30CEA" w:rsidRDefault="00D76252" w:rsidP="00D76252">
            <w:pPr>
              <w:autoSpaceDE w:val="0"/>
              <w:jc w:val="both"/>
              <w:rPr>
                <w:lang w:eastAsia="ro-RO"/>
              </w:rPr>
            </w:pPr>
            <w:r w:rsidRPr="000C6D32">
              <w:rPr>
                <w:b/>
                <w:lang w:eastAsia="ro-RO"/>
              </w:rPr>
              <w:t>b.</w:t>
            </w:r>
            <w:r w:rsidR="00ED737D">
              <w:rPr>
                <w:b/>
                <w:lang w:eastAsia="ro-RO"/>
              </w:rPr>
              <w:t xml:space="preserve"> </w:t>
            </w:r>
            <w:r w:rsidR="00A30CEA">
              <w:rPr>
                <w:lang w:eastAsia="ro-RO"/>
              </w:rPr>
              <w:t xml:space="preserve">introducerea de prevederi care asigură o </w:t>
            </w:r>
            <w:r w:rsidR="00A30CEA" w:rsidRPr="00D76252">
              <w:rPr>
                <w:b/>
                <w:lang w:eastAsia="ro-RO"/>
              </w:rPr>
              <w:t>cerin</w:t>
            </w:r>
            <w:r w:rsidR="00D311C9">
              <w:rPr>
                <w:b/>
                <w:lang w:eastAsia="ro-RO"/>
              </w:rPr>
              <w:t>ț</w:t>
            </w:r>
            <w:r w:rsidR="00A30CEA" w:rsidRPr="00D76252">
              <w:rPr>
                <w:b/>
                <w:lang w:eastAsia="ro-RO"/>
              </w:rPr>
              <w:t>ă MREL îmbunătă</w:t>
            </w:r>
            <w:r w:rsidR="00D311C9">
              <w:rPr>
                <w:b/>
                <w:lang w:eastAsia="ro-RO"/>
              </w:rPr>
              <w:t>ț</w:t>
            </w:r>
            <w:r w:rsidR="00A30CEA" w:rsidRPr="00D76252">
              <w:rPr>
                <w:b/>
                <w:lang w:eastAsia="ro-RO"/>
              </w:rPr>
              <w:t>ită pentru institu</w:t>
            </w:r>
            <w:r w:rsidR="00D311C9">
              <w:rPr>
                <w:b/>
                <w:lang w:eastAsia="ro-RO"/>
              </w:rPr>
              <w:t>ț</w:t>
            </w:r>
            <w:r w:rsidR="00A30CEA" w:rsidRPr="00D76252">
              <w:rPr>
                <w:b/>
                <w:lang w:eastAsia="ro-RO"/>
              </w:rPr>
              <w:t>iile de tip G-SII</w:t>
            </w:r>
            <w:r w:rsidR="00A30CEA">
              <w:rPr>
                <w:lang w:eastAsia="ro-RO"/>
              </w:rPr>
              <w:t xml:space="preserve"> dar </w:t>
            </w:r>
            <w:r w:rsidR="00D311C9">
              <w:rPr>
                <w:b/>
                <w:lang w:eastAsia="ro-RO"/>
              </w:rPr>
              <w:t>ș</w:t>
            </w:r>
            <w:r w:rsidR="00A30CEA" w:rsidRPr="00D76252">
              <w:rPr>
                <w:b/>
                <w:lang w:eastAsia="ro-RO"/>
              </w:rPr>
              <w:t>i pentru alte institu</w:t>
            </w:r>
            <w:r w:rsidR="00D311C9">
              <w:rPr>
                <w:b/>
                <w:lang w:eastAsia="ro-RO"/>
              </w:rPr>
              <w:t>ț</w:t>
            </w:r>
            <w:r w:rsidR="00A30CEA" w:rsidRPr="00D76252">
              <w:rPr>
                <w:b/>
                <w:lang w:eastAsia="ro-RO"/>
              </w:rPr>
              <w:t>ii de credit</w:t>
            </w:r>
            <w:r w:rsidR="00A30CEA">
              <w:rPr>
                <w:lang w:eastAsia="ro-RO"/>
              </w:rPr>
              <w:t xml:space="preserve"> care reprezintă un grad ridicat de semnifica</w:t>
            </w:r>
            <w:r w:rsidR="00D311C9">
              <w:rPr>
                <w:lang w:eastAsia="ro-RO"/>
              </w:rPr>
              <w:t>ț</w:t>
            </w:r>
            <w:r w:rsidR="00A30CEA">
              <w:rPr>
                <w:lang w:eastAsia="ro-RO"/>
              </w:rPr>
              <w:t>ie pe plan na</w:t>
            </w:r>
            <w:r w:rsidR="00D311C9">
              <w:rPr>
                <w:lang w:eastAsia="ro-RO"/>
              </w:rPr>
              <w:t>ț</w:t>
            </w:r>
            <w:r w:rsidR="00A30CEA">
              <w:rPr>
                <w:lang w:eastAsia="ro-RO"/>
              </w:rPr>
              <w:t>ional, prin alinierea la standardul TLAC, atât în ceea ce prive</w:t>
            </w:r>
            <w:r w:rsidR="00D311C9">
              <w:rPr>
                <w:lang w:eastAsia="ro-RO"/>
              </w:rPr>
              <w:t>ș</w:t>
            </w:r>
            <w:r w:rsidR="00A30CEA">
              <w:rPr>
                <w:lang w:eastAsia="ro-RO"/>
              </w:rPr>
              <w:t>te nivelul cerin</w:t>
            </w:r>
            <w:r w:rsidR="00D311C9">
              <w:rPr>
                <w:lang w:eastAsia="ro-RO"/>
              </w:rPr>
              <w:t>ț</w:t>
            </w:r>
            <w:r w:rsidR="00A30CEA">
              <w:rPr>
                <w:lang w:eastAsia="ro-RO"/>
              </w:rPr>
              <w:t xml:space="preserve">ei cât </w:t>
            </w:r>
            <w:r w:rsidR="00D311C9">
              <w:rPr>
                <w:lang w:eastAsia="ro-RO"/>
              </w:rPr>
              <w:t>ș</w:t>
            </w:r>
            <w:r w:rsidR="00A30CEA">
              <w:rPr>
                <w:lang w:eastAsia="ro-RO"/>
              </w:rPr>
              <w:t>i criteriile de eligibilitate care trebuie să fie îndeplinite de instrumentele de datorie luate în calcul la determinarea cerin</w:t>
            </w:r>
            <w:r w:rsidR="00D311C9">
              <w:rPr>
                <w:lang w:eastAsia="ro-RO"/>
              </w:rPr>
              <w:t>ț</w:t>
            </w:r>
            <w:r w:rsidR="00A30CEA">
              <w:rPr>
                <w:lang w:eastAsia="ro-RO"/>
              </w:rPr>
              <w:t>ei;</w:t>
            </w:r>
          </w:p>
          <w:p w14:paraId="4ACC4A6A" w14:textId="1A57B26E" w:rsidR="00D76252" w:rsidRDefault="00D76252" w:rsidP="005F6A75">
            <w:pPr>
              <w:jc w:val="both"/>
              <w:rPr>
                <w:lang w:eastAsia="ro-RO"/>
              </w:rPr>
            </w:pPr>
            <w:r w:rsidRPr="000C6D32">
              <w:rPr>
                <w:b/>
                <w:lang w:eastAsia="ro-RO"/>
              </w:rPr>
              <w:t>c.</w:t>
            </w:r>
            <w:r>
              <w:rPr>
                <w:lang w:eastAsia="ro-RO"/>
              </w:rPr>
              <w:t xml:space="preserve"> introducerea de prevederi privind </w:t>
            </w:r>
            <w:r w:rsidRPr="00D76252">
              <w:rPr>
                <w:b/>
                <w:lang w:eastAsia="ro-RO"/>
              </w:rPr>
              <w:t>aplicarea cerin</w:t>
            </w:r>
            <w:r w:rsidR="00D311C9">
              <w:rPr>
                <w:b/>
                <w:lang w:eastAsia="ro-RO"/>
              </w:rPr>
              <w:t>ț</w:t>
            </w:r>
            <w:r w:rsidRPr="00D76252">
              <w:rPr>
                <w:b/>
                <w:lang w:eastAsia="ro-RO"/>
              </w:rPr>
              <w:t>ei MREL în cazul re</w:t>
            </w:r>
            <w:r w:rsidR="00D311C9">
              <w:rPr>
                <w:b/>
                <w:lang w:eastAsia="ro-RO"/>
              </w:rPr>
              <w:t>ț</w:t>
            </w:r>
            <w:r w:rsidRPr="00D76252">
              <w:rPr>
                <w:b/>
                <w:lang w:eastAsia="ro-RO"/>
              </w:rPr>
              <w:t>elelor cooperatiste</w:t>
            </w:r>
            <w:r>
              <w:rPr>
                <w:lang w:eastAsia="ro-RO"/>
              </w:rPr>
              <w:t xml:space="preserve"> precum </w:t>
            </w:r>
            <w:r w:rsidR="00D311C9">
              <w:rPr>
                <w:lang w:eastAsia="ro-RO"/>
              </w:rPr>
              <w:t>ș</w:t>
            </w:r>
            <w:r>
              <w:rPr>
                <w:lang w:eastAsia="ro-RO"/>
              </w:rPr>
              <w:t>i de dispozi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ii privind derogările ce pot fi acordate de la îndeplinirea cerin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 xml:space="preserve">ei MREL în cazul casei centrale </w:t>
            </w:r>
            <w:r w:rsidR="00D311C9">
              <w:rPr>
                <w:lang w:eastAsia="ro-RO"/>
              </w:rPr>
              <w:t>ș</w:t>
            </w:r>
            <w:r w:rsidRPr="00D76252">
              <w:rPr>
                <w:lang w:eastAsia="ro-RO"/>
              </w:rPr>
              <w:t xml:space="preserve">i </w:t>
            </w:r>
            <w:r>
              <w:rPr>
                <w:lang w:eastAsia="ro-RO"/>
              </w:rPr>
              <w:t>a cooperativelor</w:t>
            </w:r>
            <w:r w:rsidRPr="00D76252">
              <w:rPr>
                <w:lang w:eastAsia="ro-RO"/>
              </w:rPr>
              <w:t xml:space="preserve"> de credit afiliate la aceasta</w:t>
            </w:r>
            <w:r>
              <w:rPr>
                <w:lang w:eastAsia="ro-RO"/>
              </w:rPr>
              <w:t>;</w:t>
            </w:r>
          </w:p>
          <w:p w14:paraId="1A4FA8C4" w14:textId="33E1FBA6" w:rsidR="00A30CEA" w:rsidRDefault="00D76252" w:rsidP="00A30CEA">
            <w:pPr>
              <w:autoSpaceDE w:val="0"/>
              <w:jc w:val="both"/>
              <w:rPr>
                <w:lang w:eastAsia="ro-RO"/>
              </w:rPr>
            </w:pPr>
            <w:r w:rsidRPr="000C6D32">
              <w:rPr>
                <w:b/>
                <w:lang w:eastAsia="ro-RO"/>
              </w:rPr>
              <w:t>d</w:t>
            </w:r>
            <w:r w:rsidR="00A30CEA" w:rsidRPr="000C6D32">
              <w:rPr>
                <w:b/>
                <w:lang w:eastAsia="ro-RO"/>
              </w:rPr>
              <w:t>.</w:t>
            </w:r>
            <w:r w:rsidR="00A30CEA">
              <w:rPr>
                <w:lang w:eastAsia="ro-RO"/>
              </w:rPr>
              <w:t xml:space="preserve"> introducerea de prevederi care asigură descrierea </w:t>
            </w:r>
            <w:r w:rsidR="00A30CEA" w:rsidRPr="00671977">
              <w:rPr>
                <w:b/>
                <w:lang w:eastAsia="ro-RO"/>
              </w:rPr>
              <w:t>procesului de luarea a deciziilor cu privire la cerin</w:t>
            </w:r>
            <w:r w:rsidR="00D311C9">
              <w:rPr>
                <w:b/>
                <w:lang w:eastAsia="ro-RO"/>
              </w:rPr>
              <w:t>ț</w:t>
            </w:r>
            <w:r w:rsidR="00A30CEA" w:rsidRPr="00671977">
              <w:rPr>
                <w:b/>
                <w:lang w:eastAsia="ro-RO"/>
              </w:rPr>
              <w:t xml:space="preserve">a MREL internă </w:t>
            </w:r>
            <w:r w:rsidR="00D311C9">
              <w:rPr>
                <w:b/>
                <w:lang w:eastAsia="ro-RO"/>
              </w:rPr>
              <w:t>ș</w:t>
            </w:r>
            <w:r w:rsidR="00A30CEA" w:rsidRPr="00671977">
              <w:rPr>
                <w:b/>
                <w:lang w:eastAsia="ro-RO"/>
              </w:rPr>
              <w:t>i cerin</w:t>
            </w:r>
            <w:r w:rsidR="00D311C9">
              <w:rPr>
                <w:b/>
                <w:lang w:eastAsia="ro-RO"/>
              </w:rPr>
              <w:t>ț</w:t>
            </w:r>
            <w:r w:rsidR="00A30CEA" w:rsidRPr="00671977">
              <w:rPr>
                <w:b/>
                <w:lang w:eastAsia="ro-RO"/>
              </w:rPr>
              <w:t>a MREL externă</w:t>
            </w:r>
            <w:r w:rsidR="00A30CEA">
              <w:rPr>
                <w:lang w:eastAsia="ro-RO"/>
              </w:rPr>
              <w:t>, în cadrul colegiilor de rezolu</w:t>
            </w:r>
            <w:r w:rsidR="00D311C9">
              <w:rPr>
                <w:lang w:eastAsia="ro-RO"/>
              </w:rPr>
              <w:t>ț</w:t>
            </w:r>
            <w:r w:rsidR="00A30CEA">
              <w:rPr>
                <w:lang w:eastAsia="ro-RO"/>
              </w:rPr>
              <w:t>ie;</w:t>
            </w:r>
          </w:p>
          <w:p w14:paraId="7D0A1C06" w14:textId="14FC2833" w:rsidR="00534220" w:rsidRDefault="00534220" w:rsidP="00534220">
            <w:pPr>
              <w:autoSpaceDE w:val="0"/>
              <w:jc w:val="both"/>
              <w:rPr>
                <w:lang w:eastAsia="ro-RO"/>
              </w:rPr>
            </w:pPr>
            <w:r>
              <w:rPr>
                <w:b/>
                <w:lang w:eastAsia="ro-RO"/>
              </w:rPr>
              <w:t>e</w:t>
            </w:r>
            <w:r w:rsidRPr="00FF667B">
              <w:rPr>
                <w:b/>
                <w:lang w:eastAsia="ro-RO"/>
              </w:rPr>
              <w:t>.</w:t>
            </w:r>
            <w:r>
              <w:rPr>
                <w:lang w:eastAsia="ro-RO"/>
              </w:rPr>
              <w:t xml:space="preserve"> introducerea, în sarcina institu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 xml:space="preserve">iilor de credit, a unor </w:t>
            </w:r>
            <w:r w:rsidRPr="00671977">
              <w:rPr>
                <w:b/>
                <w:lang w:eastAsia="ro-RO"/>
              </w:rPr>
              <w:t>obliga</w:t>
            </w:r>
            <w:r w:rsidR="00D311C9">
              <w:rPr>
                <w:b/>
                <w:lang w:eastAsia="ro-RO"/>
              </w:rPr>
              <w:t>ț</w:t>
            </w:r>
            <w:r w:rsidRPr="00671977">
              <w:rPr>
                <w:b/>
                <w:lang w:eastAsia="ro-RO"/>
              </w:rPr>
              <w:t>ii de raportare</w:t>
            </w:r>
            <w:r>
              <w:rPr>
                <w:lang w:eastAsia="ro-RO"/>
              </w:rPr>
              <w:t xml:space="preserve"> către autorită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ile de rezolu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 xml:space="preserve">ie </w:t>
            </w:r>
            <w:r w:rsidR="00D311C9">
              <w:rPr>
                <w:lang w:eastAsia="ro-RO"/>
              </w:rPr>
              <w:t>ș</w:t>
            </w:r>
            <w:r>
              <w:rPr>
                <w:lang w:eastAsia="ro-RO"/>
              </w:rPr>
              <w:t>i autorită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 xml:space="preserve">ile competente, precum </w:t>
            </w:r>
            <w:r w:rsidR="00D311C9">
              <w:rPr>
                <w:lang w:eastAsia="ro-RO"/>
              </w:rPr>
              <w:t>ș</w:t>
            </w:r>
            <w:r>
              <w:rPr>
                <w:lang w:eastAsia="ro-RO"/>
              </w:rPr>
              <w:t xml:space="preserve">i a unor </w:t>
            </w:r>
            <w:r w:rsidRPr="00671977">
              <w:rPr>
                <w:b/>
                <w:lang w:eastAsia="ro-RO"/>
              </w:rPr>
              <w:t>obliga</w:t>
            </w:r>
            <w:r w:rsidR="00D311C9">
              <w:rPr>
                <w:b/>
                <w:lang w:eastAsia="ro-RO"/>
              </w:rPr>
              <w:t>ț</w:t>
            </w:r>
            <w:r w:rsidRPr="00671977">
              <w:rPr>
                <w:b/>
                <w:lang w:eastAsia="ro-RO"/>
              </w:rPr>
              <w:t>ii de publicare</w:t>
            </w:r>
            <w:r>
              <w:rPr>
                <w:lang w:eastAsia="ro-RO"/>
              </w:rPr>
              <w:t xml:space="preserve"> în legătură cu aspecte privind nivelul </w:t>
            </w:r>
            <w:r w:rsidR="00D311C9">
              <w:rPr>
                <w:lang w:eastAsia="ro-RO"/>
              </w:rPr>
              <w:t>ș</w:t>
            </w:r>
            <w:r>
              <w:rPr>
                <w:lang w:eastAsia="ro-RO"/>
              </w:rPr>
              <w:t>i componen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a cerin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ei MREL;</w:t>
            </w:r>
          </w:p>
          <w:p w14:paraId="07E2148F" w14:textId="71059655" w:rsidR="003309DA" w:rsidRDefault="00534220" w:rsidP="00A30CEA">
            <w:pPr>
              <w:autoSpaceDE w:val="0"/>
              <w:jc w:val="both"/>
              <w:rPr>
                <w:lang w:eastAsia="ro-RO"/>
              </w:rPr>
            </w:pPr>
            <w:r>
              <w:rPr>
                <w:b/>
                <w:lang w:eastAsia="ro-RO"/>
              </w:rPr>
              <w:t>f</w:t>
            </w:r>
            <w:r w:rsidR="00A30CEA" w:rsidRPr="000C6D32">
              <w:rPr>
                <w:b/>
                <w:lang w:eastAsia="ro-RO"/>
              </w:rPr>
              <w:t>.</w:t>
            </w:r>
            <w:r w:rsidR="00A30CEA">
              <w:rPr>
                <w:lang w:eastAsia="ro-RO"/>
              </w:rPr>
              <w:t xml:space="preserve"> introducerea de </w:t>
            </w:r>
            <w:r w:rsidR="00834B79">
              <w:rPr>
                <w:lang w:eastAsia="ro-RO"/>
              </w:rPr>
              <w:t xml:space="preserve">prevederi referitoare la </w:t>
            </w:r>
            <w:r w:rsidR="00A30CEA" w:rsidRPr="00671977">
              <w:rPr>
                <w:b/>
                <w:lang w:eastAsia="ro-RO"/>
              </w:rPr>
              <w:t>condi</w:t>
            </w:r>
            <w:r w:rsidR="00D311C9">
              <w:rPr>
                <w:b/>
                <w:lang w:eastAsia="ro-RO"/>
              </w:rPr>
              <w:t>ț</w:t>
            </w:r>
            <w:r w:rsidR="00A30CEA" w:rsidRPr="00671977">
              <w:rPr>
                <w:b/>
                <w:lang w:eastAsia="ro-RO"/>
              </w:rPr>
              <w:t>ii de conduită cu scopul de a preveni vânzarea excesivă</w:t>
            </w:r>
            <w:r w:rsidR="00A30CEA">
              <w:rPr>
                <w:lang w:eastAsia="ro-RO"/>
              </w:rPr>
              <w:t xml:space="preserve"> a instrumentelor de datorie eligibile pentru calculul cerin</w:t>
            </w:r>
            <w:r w:rsidR="00D311C9">
              <w:rPr>
                <w:lang w:eastAsia="ro-RO"/>
              </w:rPr>
              <w:t>ț</w:t>
            </w:r>
            <w:r w:rsidR="00A30CEA">
              <w:rPr>
                <w:lang w:eastAsia="ro-RO"/>
              </w:rPr>
              <w:t xml:space="preserve">ei MREL </w:t>
            </w:r>
            <w:r w:rsidR="00A30CEA" w:rsidRPr="00671977">
              <w:rPr>
                <w:b/>
                <w:lang w:eastAsia="ro-RO"/>
              </w:rPr>
              <w:t>către clien</w:t>
            </w:r>
            <w:r w:rsidR="00D311C9">
              <w:rPr>
                <w:b/>
                <w:lang w:eastAsia="ro-RO"/>
              </w:rPr>
              <w:t>ț</w:t>
            </w:r>
            <w:r w:rsidR="00A30CEA" w:rsidRPr="00671977">
              <w:rPr>
                <w:b/>
                <w:lang w:eastAsia="ro-RO"/>
              </w:rPr>
              <w:t>ii retail</w:t>
            </w:r>
            <w:r w:rsidR="00A30CEA">
              <w:rPr>
                <w:lang w:eastAsia="ro-RO"/>
              </w:rPr>
              <w:t xml:space="preserve"> care nu au o în</w:t>
            </w:r>
            <w:r w:rsidR="00D311C9">
              <w:rPr>
                <w:lang w:eastAsia="ro-RO"/>
              </w:rPr>
              <w:t>ț</w:t>
            </w:r>
            <w:r w:rsidR="00A30CEA">
              <w:rPr>
                <w:lang w:eastAsia="ro-RO"/>
              </w:rPr>
              <w:t>elegere corespunzătoare a riscurilor aferente de</w:t>
            </w:r>
            <w:r w:rsidR="00D311C9">
              <w:rPr>
                <w:lang w:eastAsia="ro-RO"/>
              </w:rPr>
              <w:t>ț</w:t>
            </w:r>
            <w:r w:rsidR="00A30CEA">
              <w:rPr>
                <w:lang w:eastAsia="ro-RO"/>
              </w:rPr>
              <w:t xml:space="preserve">inerii instrumentelor respective. </w:t>
            </w:r>
            <w:r w:rsidR="003309DA">
              <w:rPr>
                <w:lang w:eastAsia="ro-RO"/>
              </w:rPr>
              <w:t xml:space="preserve">Textul proiectului de lege reflectă modul de exercitare a </w:t>
            </w:r>
            <w:r w:rsidR="00C00B48">
              <w:rPr>
                <w:lang w:eastAsia="ro-RO"/>
              </w:rPr>
              <w:t xml:space="preserve">unei </w:t>
            </w:r>
            <w:r w:rsidR="003309DA">
              <w:rPr>
                <w:lang w:eastAsia="ro-RO"/>
              </w:rPr>
              <w:t>seri</w:t>
            </w:r>
            <w:r w:rsidR="00C00B48">
              <w:rPr>
                <w:lang w:eastAsia="ro-RO"/>
              </w:rPr>
              <w:t>i</w:t>
            </w:r>
            <w:r w:rsidR="003309DA">
              <w:rPr>
                <w:lang w:eastAsia="ro-RO"/>
              </w:rPr>
              <w:t xml:space="preserve"> de op</w:t>
            </w:r>
            <w:r w:rsidR="00D311C9">
              <w:rPr>
                <w:lang w:eastAsia="ro-RO"/>
              </w:rPr>
              <w:t>ț</w:t>
            </w:r>
            <w:r w:rsidR="003309DA">
              <w:rPr>
                <w:lang w:eastAsia="ro-RO"/>
              </w:rPr>
              <w:t>iuni na</w:t>
            </w:r>
            <w:r w:rsidR="00D311C9">
              <w:rPr>
                <w:lang w:eastAsia="ro-RO"/>
              </w:rPr>
              <w:t>ț</w:t>
            </w:r>
            <w:r w:rsidR="003309DA">
              <w:rPr>
                <w:lang w:eastAsia="ro-RO"/>
              </w:rPr>
              <w:t>ionale prevăzute de directivă, decis în urma consultării A</w:t>
            </w:r>
            <w:r w:rsidR="00A30CEA">
              <w:rPr>
                <w:lang w:eastAsia="ro-RO"/>
              </w:rPr>
              <w:t>utorită</w:t>
            </w:r>
            <w:r w:rsidR="00D311C9">
              <w:rPr>
                <w:lang w:eastAsia="ro-RO"/>
              </w:rPr>
              <w:t>ț</w:t>
            </w:r>
            <w:r w:rsidR="00A30CEA">
              <w:rPr>
                <w:lang w:eastAsia="ro-RO"/>
              </w:rPr>
              <w:t>ii d</w:t>
            </w:r>
            <w:r w:rsidR="003309DA">
              <w:rPr>
                <w:lang w:eastAsia="ro-RO"/>
              </w:rPr>
              <w:t>e Supraveghere Financiară (ASF), autoritatea cu competen</w:t>
            </w:r>
            <w:r w:rsidR="00D311C9">
              <w:rPr>
                <w:lang w:eastAsia="ro-RO"/>
              </w:rPr>
              <w:t>ț</w:t>
            </w:r>
            <w:r w:rsidR="003309DA">
              <w:rPr>
                <w:lang w:eastAsia="ro-RO"/>
              </w:rPr>
              <w:t xml:space="preserve">e </w:t>
            </w:r>
            <w:r w:rsidR="00A30CEA">
              <w:rPr>
                <w:lang w:eastAsia="ro-RO"/>
              </w:rPr>
              <w:t>în domeniul protec</w:t>
            </w:r>
            <w:r w:rsidR="00D311C9">
              <w:rPr>
                <w:lang w:eastAsia="ro-RO"/>
              </w:rPr>
              <w:t>ț</w:t>
            </w:r>
            <w:r w:rsidR="00A30CEA">
              <w:rPr>
                <w:lang w:eastAsia="ro-RO"/>
              </w:rPr>
              <w:t>iei consumatorilor/investitorilor potrivit D</w:t>
            </w:r>
            <w:r w:rsidR="003309DA">
              <w:rPr>
                <w:lang w:eastAsia="ro-RO"/>
              </w:rPr>
              <w:t>irectivei 2014/65/UE (MIFID II). Astfel, potrivit proiectului de lege</w:t>
            </w:r>
            <w:r w:rsidR="00834B79">
              <w:rPr>
                <w:lang w:eastAsia="ro-RO"/>
              </w:rPr>
              <w:t>,</w:t>
            </w:r>
            <w:r w:rsidR="00FF70E8">
              <w:rPr>
                <w:lang w:eastAsia="ro-RO"/>
              </w:rPr>
              <w:t xml:space="preserve"> </w:t>
            </w:r>
            <w:r w:rsidR="003309DA" w:rsidRPr="003309DA">
              <w:rPr>
                <w:lang w:eastAsia="ro-RO"/>
              </w:rPr>
              <w:t>cuantumul ini</w:t>
            </w:r>
            <w:r w:rsidR="00D311C9">
              <w:rPr>
                <w:lang w:eastAsia="ro-RO"/>
              </w:rPr>
              <w:t>țial investit î</w:t>
            </w:r>
            <w:r w:rsidR="003309DA" w:rsidRPr="003309DA">
              <w:rPr>
                <w:lang w:eastAsia="ro-RO"/>
              </w:rPr>
              <w:t xml:space="preserve">ntr-unul sau mai multe instrumente de datorie </w:t>
            </w:r>
            <w:r w:rsidR="003309DA">
              <w:rPr>
                <w:lang w:eastAsia="ro-RO"/>
              </w:rPr>
              <w:lastRenderedPageBreak/>
              <w:t>eligibile trebuie să fie</w:t>
            </w:r>
            <w:r w:rsidR="003309DA" w:rsidRPr="003309DA">
              <w:rPr>
                <w:lang w:eastAsia="ro-RO"/>
              </w:rPr>
              <w:t xml:space="preserve"> de cel pu</w:t>
            </w:r>
            <w:r w:rsidR="00D311C9">
              <w:rPr>
                <w:lang w:eastAsia="ro-RO"/>
              </w:rPr>
              <w:t>ț</w:t>
            </w:r>
            <w:r w:rsidR="003309DA" w:rsidRPr="003309DA">
              <w:rPr>
                <w:lang w:eastAsia="ro-RO"/>
              </w:rPr>
              <w:t xml:space="preserve">in 50 000 EUR </w:t>
            </w:r>
            <w:r w:rsidR="00D311C9">
              <w:t>ș</w:t>
            </w:r>
            <w:r w:rsidR="003309DA">
              <w:t>i totodată, să fie îndeplinite cerin</w:t>
            </w:r>
            <w:r w:rsidR="00D311C9">
              <w:t>ț</w:t>
            </w:r>
            <w:r w:rsidR="003309DA">
              <w:t>ele prevăzute de</w:t>
            </w:r>
            <w:r w:rsidR="003309DA" w:rsidRPr="003A2644">
              <w:t xml:space="preserve"> art.87 alin. (3) </w:t>
            </w:r>
            <w:r w:rsidR="00D311C9">
              <w:t>ș</w:t>
            </w:r>
            <w:r w:rsidR="003309DA" w:rsidRPr="003A2644">
              <w:t>i (4) din Legea</w:t>
            </w:r>
            <w:r w:rsidR="00C00B48">
              <w:t xml:space="preserve"> nr.</w:t>
            </w:r>
            <w:r w:rsidR="003309DA" w:rsidRPr="003A2644">
              <w:t>126/2018 privind pie</w:t>
            </w:r>
            <w:r w:rsidR="00D311C9">
              <w:t>ț</w:t>
            </w:r>
            <w:r w:rsidR="003309DA" w:rsidRPr="003A2644">
              <w:t>ele de instrumente financiare</w:t>
            </w:r>
            <w:r w:rsidR="003309DA">
              <w:t>.</w:t>
            </w:r>
          </w:p>
          <w:p w14:paraId="073B6787" w14:textId="573B24DA" w:rsidR="00A30CEA" w:rsidRDefault="00534220" w:rsidP="00A30CEA">
            <w:pPr>
              <w:autoSpaceDE w:val="0"/>
              <w:jc w:val="both"/>
              <w:rPr>
                <w:lang w:eastAsia="ro-RO"/>
              </w:rPr>
            </w:pPr>
            <w:r>
              <w:rPr>
                <w:b/>
                <w:lang w:eastAsia="ro-RO"/>
              </w:rPr>
              <w:t>g</w:t>
            </w:r>
            <w:r w:rsidR="00A30CEA" w:rsidRPr="000C6D32">
              <w:rPr>
                <w:b/>
                <w:lang w:eastAsia="ro-RO"/>
              </w:rPr>
              <w:t>.</w:t>
            </w:r>
            <w:r w:rsidR="00FF70E8">
              <w:rPr>
                <w:b/>
                <w:lang w:eastAsia="ro-RO"/>
              </w:rPr>
              <w:t xml:space="preserve"> </w:t>
            </w:r>
            <w:r w:rsidR="00A30CEA" w:rsidRPr="00671977">
              <w:rPr>
                <w:b/>
                <w:lang w:eastAsia="ro-RO"/>
              </w:rPr>
              <w:t>extinderea aplicabilită</w:t>
            </w:r>
            <w:r w:rsidR="00D311C9">
              <w:rPr>
                <w:b/>
                <w:lang w:eastAsia="ro-RO"/>
              </w:rPr>
              <w:t>ț</w:t>
            </w:r>
            <w:r w:rsidR="00A30CEA" w:rsidRPr="00671977">
              <w:rPr>
                <w:b/>
                <w:lang w:eastAsia="ro-RO"/>
              </w:rPr>
              <w:t xml:space="preserve">ii prevederilor care vizează conversia </w:t>
            </w:r>
            <w:r w:rsidR="00D311C9">
              <w:rPr>
                <w:b/>
                <w:lang w:eastAsia="ro-RO"/>
              </w:rPr>
              <w:t>ș</w:t>
            </w:r>
            <w:r w:rsidR="00A30CEA" w:rsidRPr="00671977">
              <w:rPr>
                <w:b/>
                <w:lang w:eastAsia="ro-RO"/>
              </w:rPr>
              <w:t xml:space="preserve">i reducerea valorii </w:t>
            </w:r>
            <w:r w:rsidR="00D311C9">
              <w:rPr>
                <w:b/>
                <w:lang w:eastAsia="ro-RO"/>
              </w:rPr>
              <w:t>ș</w:t>
            </w:r>
            <w:r w:rsidR="00A30CEA" w:rsidRPr="00671977">
              <w:rPr>
                <w:b/>
                <w:lang w:eastAsia="ro-RO"/>
              </w:rPr>
              <w:t>i în cazul instrumentelor de datorie eligibile pentru calculul cerin</w:t>
            </w:r>
            <w:r w:rsidR="00D311C9">
              <w:rPr>
                <w:b/>
                <w:lang w:eastAsia="ro-RO"/>
              </w:rPr>
              <w:t>ț</w:t>
            </w:r>
            <w:r w:rsidR="00A30CEA" w:rsidRPr="00671977">
              <w:rPr>
                <w:b/>
                <w:lang w:eastAsia="ro-RO"/>
              </w:rPr>
              <w:t>ei MREL</w:t>
            </w:r>
            <w:r w:rsidR="00A30CEA">
              <w:rPr>
                <w:lang w:eastAsia="ro-RO"/>
              </w:rPr>
              <w:t xml:space="preserve">, nu numai în cazul instrumentelor de fonduri proprii (de nivel 1 suplimentar </w:t>
            </w:r>
            <w:r w:rsidR="00D311C9">
              <w:rPr>
                <w:lang w:eastAsia="ro-RO"/>
              </w:rPr>
              <w:t>ș</w:t>
            </w:r>
            <w:r w:rsidR="00A30CEA">
              <w:rPr>
                <w:lang w:eastAsia="ro-RO"/>
              </w:rPr>
              <w:t>i de nivel 2), atunci când institu</w:t>
            </w:r>
            <w:r w:rsidR="00D311C9">
              <w:rPr>
                <w:lang w:eastAsia="ro-RO"/>
              </w:rPr>
              <w:t>ț</w:t>
            </w:r>
            <w:r w:rsidR="00A30CEA">
              <w:rPr>
                <w:lang w:eastAsia="ro-RO"/>
              </w:rPr>
              <w:t>ia de credit atinge punctul de neviabilitate;</w:t>
            </w:r>
          </w:p>
          <w:p w14:paraId="0CFF54A7" w14:textId="67C5ECDB" w:rsidR="00A30CEA" w:rsidRDefault="00534220" w:rsidP="00A30CEA">
            <w:pPr>
              <w:autoSpaceDE w:val="0"/>
              <w:jc w:val="both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h</w:t>
            </w:r>
            <w:r w:rsidR="00A30CEA" w:rsidRPr="000C6D32">
              <w:rPr>
                <w:b/>
                <w:lang w:eastAsia="ro-RO"/>
              </w:rPr>
              <w:t>.</w:t>
            </w:r>
            <w:r w:rsidR="00A30CEA">
              <w:rPr>
                <w:lang w:eastAsia="ro-RO"/>
              </w:rPr>
              <w:t xml:space="preserve"> modificări în ceea ce prive</w:t>
            </w:r>
            <w:r w:rsidR="00D311C9">
              <w:rPr>
                <w:lang w:eastAsia="ro-RO"/>
              </w:rPr>
              <w:t>ș</w:t>
            </w:r>
            <w:r w:rsidR="00A30CEA">
              <w:rPr>
                <w:lang w:eastAsia="ro-RO"/>
              </w:rPr>
              <w:t xml:space="preserve">te </w:t>
            </w:r>
            <w:r w:rsidR="00A30CEA" w:rsidRPr="00671977">
              <w:rPr>
                <w:b/>
                <w:lang w:eastAsia="ro-RO"/>
              </w:rPr>
              <w:t>func</w:t>
            </w:r>
            <w:r w:rsidR="00D311C9">
              <w:rPr>
                <w:b/>
                <w:lang w:eastAsia="ro-RO"/>
              </w:rPr>
              <w:t>ț</w:t>
            </w:r>
            <w:r w:rsidR="00A30CEA" w:rsidRPr="00671977">
              <w:rPr>
                <w:b/>
                <w:lang w:eastAsia="ro-RO"/>
              </w:rPr>
              <w:t>ionarea colegiilor europene de rezolu</w:t>
            </w:r>
            <w:r w:rsidR="00D311C9">
              <w:rPr>
                <w:b/>
                <w:lang w:eastAsia="ro-RO"/>
              </w:rPr>
              <w:t>ț</w:t>
            </w:r>
            <w:r w:rsidR="00A30CEA" w:rsidRPr="00671977">
              <w:rPr>
                <w:b/>
                <w:lang w:eastAsia="ro-RO"/>
              </w:rPr>
              <w:t>ie</w:t>
            </w:r>
            <w:r w:rsidR="00A30CEA">
              <w:rPr>
                <w:lang w:eastAsia="ro-RO"/>
              </w:rPr>
              <w:t xml:space="preserve"> în cazul grupurilor care au </w:t>
            </w:r>
            <w:r w:rsidR="00A30CEA" w:rsidRPr="00671977">
              <w:rPr>
                <w:b/>
                <w:lang w:eastAsia="ro-RO"/>
              </w:rPr>
              <w:t>întreprinderea-mamă într-un stat ter</w:t>
            </w:r>
            <w:r w:rsidR="00D311C9">
              <w:rPr>
                <w:b/>
                <w:lang w:eastAsia="ro-RO"/>
              </w:rPr>
              <w:t>ț</w:t>
            </w:r>
            <w:r w:rsidR="00A30CEA" w:rsidRPr="00671977">
              <w:rPr>
                <w:b/>
                <w:lang w:eastAsia="ro-RO"/>
              </w:rPr>
              <w:t>;</w:t>
            </w:r>
          </w:p>
          <w:p w14:paraId="3A5F3D65" w14:textId="39B3D27B" w:rsidR="00735CDF" w:rsidRDefault="00534220" w:rsidP="00735CDF">
            <w:pPr>
              <w:autoSpaceDE w:val="0"/>
              <w:jc w:val="both"/>
              <w:rPr>
                <w:lang w:eastAsia="ro-RO"/>
              </w:rPr>
            </w:pPr>
            <w:r>
              <w:rPr>
                <w:b/>
                <w:lang w:eastAsia="ro-RO"/>
              </w:rPr>
              <w:t>i</w:t>
            </w:r>
            <w:r w:rsidR="00735CDF" w:rsidRPr="000C6D32">
              <w:rPr>
                <w:b/>
                <w:lang w:eastAsia="ro-RO"/>
              </w:rPr>
              <w:t>.</w:t>
            </w:r>
            <w:r w:rsidR="00735CDF">
              <w:t xml:space="preserve"> modificări în ceea ce prive</w:t>
            </w:r>
            <w:r w:rsidR="00D311C9">
              <w:t>ș</w:t>
            </w:r>
            <w:r w:rsidR="00735CDF">
              <w:t>te c</w:t>
            </w:r>
            <w:r w:rsidR="00735CDF">
              <w:rPr>
                <w:lang w:eastAsia="ro-RO"/>
              </w:rPr>
              <w:t>erin</w:t>
            </w:r>
            <w:r w:rsidR="00D311C9">
              <w:rPr>
                <w:lang w:eastAsia="ro-RO"/>
              </w:rPr>
              <w:t>ț</w:t>
            </w:r>
            <w:r w:rsidR="00735CDF">
              <w:rPr>
                <w:lang w:eastAsia="ro-RO"/>
              </w:rPr>
              <w:t xml:space="preserve">a de a include </w:t>
            </w:r>
            <w:r w:rsidR="00735CDF" w:rsidRPr="00735CDF">
              <w:rPr>
                <w:b/>
                <w:lang w:eastAsia="ro-RO"/>
              </w:rPr>
              <w:t>recunoa</w:t>
            </w:r>
            <w:r w:rsidR="00D311C9">
              <w:rPr>
                <w:b/>
                <w:lang w:eastAsia="ro-RO"/>
              </w:rPr>
              <w:t>ș</w:t>
            </w:r>
            <w:r w:rsidR="00735CDF" w:rsidRPr="00735CDF">
              <w:rPr>
                <w:b/>
                <w:lang w:eastAsia="ro-RO"/>
              </w:rPr>
              <w:t>terea contractuală a efectelor instrumentului de recapitalizare internă</w:t>
            </w:r>
            <w:r w:rsidR="00735CDF">
              <w:rPr>
                <w:lang w:eastAsia="ro-RO"/>
              </w:rPr>
              <w:t xml:space="preserve"> în acorduri care guvernează instrumente de datorie reglementate de legisla</w:t>
            </w:r>
            <w:r w:rsidR="00D311C9">
              <w:rPr>
                <w:lang w:eastAsia="ro-RO"/>
              </w:rPr>
              <w:t>ț</w:t>
            </w:r>
            <w:r w:rsidR="00735CDF">
              <w:rPr>
                <w:lang w:eastAsia="ro-RO"/>
              </w:rPr>
              <w:t>ia statelor ter</w:t>
            </w:r>
            <w:r w:rsidR="00D311C9">
              <w:rPr>
                <w:lang w:eastAsia="ro-RO"/>
              </w:rPr>
              <w:t>ț</w:t>
            </w:r>
            <w:r w:rsidR="00735CDF">
              <w:rPr>
                <w:lang w:eastAsia="ro-RO"/>
              </w:rPr>
              <w:t>e.</w:t>
            </w:r>
          </w:p>
          <w:p w14:paraId="72C32467" w14:textId="10FBC7BF" w:rsidR="000C1CAC" w:rsidRDefault="000C1CAC" w:rsidP="00735CDF">
            <w:pPr>
              <w:autoSpaceDE w:val="0"/>
              <w:jc w:val="both"/>
            </w:pPr>
            <w:r>
              <w:rPr>
                <w:lang w:eastAsia="ro-RO"/>
              </w:rPr>
              <w:t xml:space="preserve">Proiectul de lege </w:t>
            </w:r>
            <w:r w:rsidR="00FF70E8">
              <w:rPr>
                <w:lang w:eastAsia="ro-RO"/>
              </w:rPr>
              <w:t>con</w:t>
            </w:r>
            <w:r w:rsidR="00D311C9">
              <w:rPr>
                <w:lang w:eastAsia="ro-RO"/>
              </w:rPr>
              <w:t>ț</w:t>
            </w:r>
            <w:r w:rsidR="00FF70E8">
              <w:rPr>
                <w:lang w:eastAsia="ro-RO"/>
              </w:rPr>
              <w:t xml:space="preserve">ine </w:t>
            </w:r>
            <w:r>
              <w:rPr>
                <w:lang w:eastAsia="ro-RO"/>
              </w:rPr>
              <w:t>prevede</w:t>
            </w:r>
            <w:r w:rsidR="00FF70E8">
              <w:rPr>
                <w:lang w:eastAsia="ro-RO"/>
              </w:rPr>
              <w:t xml:space="preserve">ri referitoare la </w:t>
            </w:r>
            <w:r>
              <w:rPr>
                <w:lang w:eastAsia="ro-RO"/>
              </w:rPr>
              <w:t>situa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</w:t>
            </w:r>
            <w:r w:rsidR="00FF70E8">
              <w:rPr>
                <w:lang w:eastAsia="ro-RO"/>
              </w:rPr>
              <w:t>a</w:t>
            </w:r>
            <w:r>
              <w:rPr>
                <w:lang w:eastAsia="ro-RO"/>
              </w:rPr>
              <w:t xml:space="preserve"> în care este impracticabilă includerea </w:t>
            </w:r>
            <w:r w:rsidRPr="003A2644">
              <w:t>în dispozi</w:t>
            </w:r>
            <w:r w:rsidR="00D311C9">
              <w:t>ț</w:t>
            </w:r>
            <w:r w:rsidRPr="003A2644">
              <w:t xml:space="preserve">iile contractuale </w:t>
            </w:r>
            <w:r>
              <w:t>a unei clauze</w:t>
            </w:r>
            <w:r w:rsidRPr="003A2644">
              <w:t xml:space="preserve"> în virtutea căreia creditorul sau partea la acordul sau la instrumentul care creează datoria acceptă că datoria respectivă poate face obiectul exercitării competen</w:t>
            </w:r>
            <w:r w:rsidR="00D311C9">
              <w:t>ț</w:t>
            </w:r>
            <w:r w:rsidRPr="003A2644">
              <w:t xml:space="preserve">elor de reducere a valorii </w:t>
            </w:r>
            <w:r w:rsidR="00D311C9">
              <w:t>ș</w:t>
            </w:r>
            <w:r w:rsidRPr="003A2644">
              <w:t xml:space="preserve">i de conversie </w:t>
            </w:r>
            <w:r w:rsidR="00D311C9">
              <w:t>ș</w:t>
            </w:r>
            <w:r w:rsidRPr="003A2644">
              <w:t>i este de acord să respecte orice măsură de reducere a valorii principalului sau a sumei de plată datorate, de conversie sau de anulare, ce poate fi impusă de către autoritate</w:t>
            </w:r>
            <w:r>
              <w:t>a</w:t>
            </w:r>
            <w:r w:rsidRPr="003A2644">
              <w:t xml:space="preserve"> de rezolu</w:t>
            </w:r>
            <w:r w:rsidR="00D311C9">
              <w:t>ț</w:t>
            </w:r>
            <w:r w:rsidRPr="003A2644">
              <w:t>ie</w:t>
            </w:r>
            <w:r>
              <w:t>.</w:t>
            </w:r>
          </w:p>
          <w:p w14:paraId="26F16416" w14:textId="493974B3" w:rsidR="00735CDF" w:rsidRPr="00735CDF" w:rsidRDefault="00735CDF" w:rsidP="00735CDF">
            <w:pPr>
              <w:autoSpaceDE w:val="0"/>
              <w:jc w:val="both"/>
              <w:rPr>
                <w:lang w:eastAsia="ro-RO"/>
              </w:rPr>
            </w:pPr>
          </w:p>
          <w:p w14:paraId="15997616" w14:textId="0961144B" w:rsidR="00FF667B" w:rsidRPr="00FF667B" w:rsidRDefault="00534220" w:rsidP="00FF667B">
            <w:pPr>
              <w:autoSpaceDE w:val="0"/>
              <w:jc w:val="both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j</w:t>
            </w:r>
            <w:r w:rsidR="00A30CEA" w:rsidRPr="000C6D32">
              <w:rPr>
                <w:b/>
                <w:lang w:eastAsia="ro-RO"/>
              </w:rPr>
              <w:t>.</w:t>
            </w:r>
            <w:r w:rsidR="00FF667B">
              <w:t xml:space="preserve"> introducerea de prevederi referitoare la </w:t>
            </w:r>
            <w:r w:rsidR="00FF667B" w:rsidRPr="00FF667B">
              <w:rPr>
                <w:b/>
              </w:rPr>
              <w:t>r</w:t>
            </w:r>
            <w:r w:rsidR="00FF667B" w:rsidRPr="00FF667B">
              <w:rPr>
                <w:b/>
                <w:lang w:eastAsia="ro-RO"/>
              </w:rPr>
              <w:t>ecunoa</w:t>
            </w:r>
            <w:r w:rsidR="00D311C9">
              <w:rPr>
                <w:b/>
                <w:lang w:eastAsia="ro-RO"/>
              </w:rPr>
              <w:t>ș</w:t>
            </w:r>
            <w:r w:rsidR="00FF667B" w:rsidRPr="00FF667B">
              <w:rPr>
                <w:b/>
                <w:lang w:eastAsia="ro-RO"/>
              </w:rPr>
              <w:t>terea contractuală a competen</w:t>
            </w:r>
            <w:r w:rsidR="00D311C9">
              <w:rPr>
                <w:b/>
                <w:lang w:eastAsia="ro-RO"/>
              </w:rPr>
              <w:t>ț</w:t>
            </w:r>
            <w:r w:rsidR="00FF667B" w:rsidRPr="00FF667B">
              <w:rPr>
                <w:b/>
                <w:lang w:eastAsia="ro-RO"/>
              </w:rPr>
              <w:t>elor de suspendare a obliga</w:t>
            </w:r>
            <w:r w:rsidR="00D311C9">
              <w:rPr>
                <w:b/>
                <w:lang w:eastAsia="ro-RO"/>
              </w:rPr>
              <w:t>ț</w:t>
            </w:r>
            <w:r w:rsidR="00FF667B" w:rsidRPr="00FF667B">
              <w:rPr>
                <w:b/>
                <w:lang w:eastAsia="ro-RO"/>
              </w:rPr>
              <w:t>iilor în caz de rezolu</w:t>
            </w:r>
            <w:r w:rsidR="00D311C9">
              <w:rPr>
                <w:b/>
                <w:lang w:eastAsia="ro-RO"/>
              </w:rPr>
              <w:t>ț</w:t>
            </w:r>
            <w:r w:rsidR="00FF667B" w:rsidRPr="00FF667B">
              <w:rPr>
                <w:b/>
                <w:lang w:eastAsia="ro-RO"/>
              </w:rPr>
              <w:t>ie</w:t>
            </w:r>
            <w:r w:rsidR="00834B79">
              <w:rPr>
                <w:b/>
                <w:lang w:eastAsia="ro-RO"/>
              </w:rPr>
              <w:t>;</w:t>
            </w:r>
          </w:p>
          <w:p w14:paraId="3B53F885" w14:textId="5C2CCD56" w:rsidR="00FF667B" w:rsidRDefault="00FF667B" w:rsidP="00FF667B">
            <w:pPr>
              <w:autoSpaceDE w:val="0"/>
              <w:jc w:val="both"/>
            </w:pPr>
            <w:r>
              <w:rPr>
                <w:lang w:eastAsia="ro-RO"/>
              </w:rPr>
              <w:t>Proiectul de lege prevede faptul că i</w:t>
            </w:r>
            <w:r w:rsidRPr="003A2644">
              <w:t>nstitu</w:t>
            </w:r>
            <w:r w:rsidR="00D311C9">
              <w:t>ț</w:t>
            </w:r>
            <w:r w:rsidRPr="003A2644">
              <w:t xml:space="preserve">iile de credit </w:t>
            </w:r>
            <w:r w:rsidR="00D311C9">
              <w:t>ș</w:t>
            </w:r>
            <w:r w:rsidRPr="003A2644">
              <w:t>i entită</w:t>
            </w:r>
            <w:r w:rsidR="00D311C9">
              <w:t>ț</w:t>
            </w:r>
            <w:r w:rsidRPr="003A2644">
              <w:t xml:space="preserve">ile </w:t>
            </w:r>
            <w:r>
              <w:t>cărora li se aplică legea t</w:t>
            </w:r>
            <w:r w:rsidRPr="003A2644">
              <w:t xml:space="preserve">rebuie să includă în orice contract financiar la care </w:t>
            </w:r>
            <w:r w:rsidR="00834B79">
              <w:t xml:space="preserve">acestea </w:t>
            </w:r>
            <w:r w:rsidRPr="003A2644">
              <w:t xml:space="preserve">sunt parte, </w:t>
            </w:r>
            <w:r w:rsidR="00D311C9">
              <w:t>ș</w:t>
            </w:r>
            <w:r w:rsidRPr="003A2644">
              <w:t>i care este reglementat de legisla</w:t>
            </w:r>
            <w:r w:rsidR="00D311C9">
              <w:t>ț</w:t>
            </w:r>
            <w:r w:rsidRPr="003A2644">
              <w:t>ia unui stat ter</w:t>
            </w:r>
            <w:r w:rsidR="00D311C9">
              <w:t>ț</w:t>
            </w:r>
            <w:r w:rsidRPr="003A2644">
              <w:t>, clauze prin care păr</w:t>
            </w:r>
            <w:r w:rsidR="00D311C9">
              <w:t>ț</w:t>
            </w:r>
            <w:r w:rsidRPr="003A2644">
              <w:t>ile prevăd că respectivul contract financiar poate face obiectul exercitării de către autoritate</w:t>
            </w:r>
            <w:r>
              <w:t>a</w:t>
            </w:r>
            <w:r w:rsidRPr="003A2644">
              <w:t xml:space="preserve"> de rezolu</w:t>
            </w:r>
            <w:r w:rsidR="00D311C9">
              <w:t>ț</w:t>
            </w:r>
            <w:r w:rsidRPr="003A2644">
              <w:t>ie, a competen</w:t>
            </w:r>
            <w:r w:rsidR="00D311C9">
              <w:t>ț</w:t>
            </w:r>
            <w:r w:rsidRPr="003A2644">
              <w:t xml:space="preserve">elor de suspendare sau de limitare a unor drepturi </w:t>
            </w:r>
            <w:r w:rsidR="00D311C9">
              <w:t>ș</w:t>
            </w:r>
            <w:r w:rsidRPr="003A2644">
              <w:t>i obliga</w:t>
            </w:r>
            <w:r w:rsidR="00D311C9">
              <w:t>ț</w:t>
            </w:r>
            <w:r w:rsidRPr="003A2644">
              <w:t>ii</w:t>
            </w:r>
            <w:r>
              <w:t>.</w:t>
            </w:r>
          </w:p>
          <w:p w14:paraId="3DCE5361" w14:textId="77777777" w:rsidR="009956F5" w:rsidRDefault="009956F5" w:rsidP="00FF667B">
            <w:pPr>
              <w:autoSpaceDE w:val="0"/>
              <w:jc w:val="both"/>
            </w:pPr>
          </w:p>
          <w:p w14:paraId="1F71C795" w14:textId="76EC37AB" w:rsidR="00B51674" w:rsidRPr="003A2644" w:rsidRDefault="00B51674" w:rsidP="00B51674">
            <w:pPr>
              <w:jc w:val="both"/>
              <w:rPr>
                <w:vertAlign w:val="superscript"/>
              </w:rPr>
            </w:pPr>
            <w:r w:rsidRPr="00B51674">
              <w:rPr>
                <w:lang w:eastAsia="ro-RO"/>
              </w:rPr>
              <w:t>Totodată, ca urmare a exercitării unei op</w:t>
            </w:r>
            <w:r w:rsidR="00D311C9">
              <w:rPr>
                <w:lang w:eastAsia="ro-RO"/>
              </w:rPr>
              <w:t>ț</w:t>
            </w:r>
            <w:r w:rsidRPr="00B51674">
              <w:rPr>
                <w:lang w:eastAsia="ro-RO"/>
              </w:rPr>
              <w:t>iuni na</w:t>
            </w:r>
            <w:r w:rsidR="00D311C9">
              <w:rPr>
                <w:lang w:eastAsia="ro-RO"/>
              </w:rPr>
              <w:t>ț</w:t>
            </w:r>
            <w:r w:rsidRPr="00B51674">
              <w:rPr>
                <w:lang w:eastAsia="ro-RO"/>
              </w:rPr>
              <w:t>ionale prevăzut</w:t>
            </w:r>
            <w:r w:rsidR="00834B79">
              <w:rPr>
                <w:lang w:eastAsia="ro-RO"/>
              </w:rPr>
              <w:t>e</w:t>
            </w:r>
            <w:r w:rsidRPr="00B51674">
              <w:rPr>
                <w:lang w:eastAsia="ro-RO"/>
              </w:rPr>
              <w:t xml:space="preserve"> de directivă</w:t>
            </w:r>
            <w:r w:rsidR="00834B79">
              <w:rPr>
                <w:lang w:eastAsia="ro-RO"/>
              </w:rPr>
              <w:t>,</w:t>
            </w:r>
            <w:r w:rsidR="00FF70E8">
              <w:rPr>
                <w:lang w:eastAsia="ro-RO"/>
              </w:rPr>
              <w:t xml:space="preserve"> </w:t>
            </w:r>
            <w:r>
              <w:t xml:space="preserve">proiectul de lege prevede </w:t>
            </w:r>
            <w:r w:rsidR="00D311C9">
              <w:t>ș</w:t>
            </w:r>
            <w:r>
              <w:t>i faptul că î</w:t>
            </w:r>
            <w:r w:rsidRPr="003A2644">
              <w:t>ntreprinderile-mamă din Uniunea Europeană, persoane juridice române, trebuie să se asigure că filialele lor din state ter</w:t>
            </w:r>
            <w:r w:rsidR="00D311C9">
              <w:t>ț</w:t>
            </w:r>
            <w:r w:rsidRPr="003A2644">
              <w:t>e prevăd, în contractele financiare</w:t>
            </w:r>
            <w:r>
              <w:t xml:space="preserve"> care intră în domeniul de aplicare a acestor prevederi</w:t>
            </w:r>
            <w:r w:rsidRPr="003A2644">
              <w:t>, clauze care să excludă posibilitatea ca exercitarea competen</w:t>
            </w:r>
            <w:r w:rsidR="00D311C9">
              <w:t>ț</w:t>
            </w:r>
            <w:r w:rsidRPr="003A2644">
              <w:t xml:space="preserve">ei </w:t>
            </w:r>
            <w:r>
              <w:t>autorită</w:t>
            </w:r>
            <w:r w:rsidR="00D311C9">
              <w:t>ț</w:t>
            </w:r>
            <w:r>
              <w:t xml:space="preserve">ii </w:t>
            </w:r>
            <w:r w:rsidRPr="003A2644">
              <w:t>de rezolu</w:t>
            </w:r>
            <w:r w:rsidR="00D311C9">
              <w:t>ț</w:t>
            </w:r>
            <w:r w:rsidRPr="003A2644">
              <w:t xml:space="preserve">ie de a suspenda sau a limita drepturile </w:t>
            </w:r>
            <w:r w:rsidR="00D311C9">
              <w:t>ș</w:t>
            </w:r>
            <w:r w:rsidRPr="003A2644">
              <w:t>i obliga</w:t>
            </w:r>
            <w:r w:rsidR="00D311C9">
              <w:t>ț</w:t>
            </w:r>
            <w:r w:rsidRPr="003A2644">
              <w:t>iile întreprinderii-mamă din Uniunea Europeană să constituie un  motiv întemeiat pentru încetarea anticipată, suspendarea, modificarea, exercitarea drepturilor de a stinge sau de a compensa drepturi sau obliga</w:t>
            </w:r>
            <w:r w:rsidR="00D311C9">
              <w:t>ț</w:t>
            </w:r>
            <w:r w:rsidRPr="003A2644">
              <w:t>ii, sau de a executa garan</w:t>
            </w:r>
            <w:r w:rsidR="00D311C9">
              <w:t>ț</w:t>
            </w:r>
            <w:r w:rsidRPr="003A2644">
              <w:t xml:space="preserve">iile reale, în cazul  respectivelor contracte. </w:t>
            </w:r>
          </w:p>
          <w:p w14:paraId="6B025A9F" w14:textId="278738D6" w:rsidR="00A30CEA" w:rsidRDefault="00FF667B" w:rsidP="00A30CEA">
            <w:pPr>
              <w:autoSpaceDE w:val="0"/>
              <w:jc w:val="both"/>
              <w:rPr>
                <w:lang w:eastAsia="ro-RO"/>
              </w:rPr>
            </w:pPr>
            <w:r>
              <w:rPr>
                <w:b/>
                <w:lang w:eastAsia="ro-RO"/>
              </w:rPr>
              <w:t>k</w:t>
            </w:r>
            <w:r w:rsidR="00A30CEA" w:rsidRPr="000C6D32">
              <w:rPr>
                <w:b/>
                <w:lang w:eastAsia="ro-RO"/>
              </w:rPr>
              <w:t>.</w:t>
            </w:r>
            <w:r w:rsidR="00A30CEA">
              <w:rPr>
                <w:lang w:eastAsia="ro-RO"/>
              </w:rPr>
              <w:t xml:space="preserve"> introducerea de prevederi care vizează </w:t>
            </w:r>
            <w:r w:rsidR="00A30CEA" w:rsidRPr="00671977">
              <w:rPr>
                <w:b/>
                <w:lang w:eastAsia="ro-RO"/>
              </w:rPr>
              <w:t>noi competen</w:t>
            </w:r>
            <w:r w:rsidR="00D311C9">
              <w:rPr>
                <w:b/>
                <w:lang w:eastAsia="ro-RO"/>
              </w:rPr>
              <w:t>ț</w:t>
            </w:r>
            <w:r w:rsidR="00A30CEA" w:rsidRPr="00671977">
              <w:rPr>
                <w:b/>
                <w:lang w:eastAsia="ro-RO"/>
              </w:rPr>
              <w:t>e pentru autoritatea de rezolu</w:t>
            </w:r>
            <w:r w:rsidR="00D311C9">
              <w:rPr>
                <w:b/>
                <w:lang w:eastAsia="ro-RO"/>
              </w:rPr>
              <w:t>ț</w:t>
            </w:r>
            <w:r w:rsidR="00A30CEA" w:rsidRPr="00671977">
              <w:rPr>
                <w:b/>
                <w:lang w:eastAsia="ro-RO"/>
              </w:rPr>
              <w:t>ie</w:t>
            </w:r>
            <w:r w:rsidR="00A30CEA">
              <w:rPr>
                <w:lang w:eastAsia="ro-RO"/>
              </w:rPr>
              <w:t>:</w:t>
            </w:r>
          </w:p>
          <w:p w14:paraId="545B6824" w14:textId="0C372A52" w:rsidR="00A30CEA" w:rsidRDefault="00A30CEA" w:rsidP="00A30CEA">
            <w:pPr>
              <w:autoSpaceDE w:val="0"/>
              <w:jc w:val="both"/>
              <w:rPr>
                <w:lang w:eastAsia="ro-RO"/>
              </w:rPr>
            </w:pPr>
            <w:r>
              <w:rPr>
                <w:lang w:eastAsia="ro-RO"/>
              </w:rPr>
              <w:t>•</w:t>
            </w:r>
            <w:r>
              <w:rPr>
                <w:lang w:eastAsia="ro-RO"/>
              </w:rPr>
              <w:tab/>
              <w:t>competen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a autorită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ii de rezolu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ie de a interzice efectuarea de distribuiri de către institu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iile de credit atunci când nu este îndeplinită cerin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a amortizorului combinat, luată în considerare suplimentar fa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ă de cerin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a MREL determinată în func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 xml:space="preserve">ie de valoarea totală a expunerii la risc; </w:t>
            </w:r>
          </w:p>
          <w:p w14:paraId="51B719F3" w14:textId="39511D44" w:rsidR="00A30CEA" w:rsidRDefault="00A30CEA" w:rsidP="00A30CEA">
            <w:pPr>
              <w:autoSpaceDE w:val="0"/>
              <w:jc w:val="both"/>
              <w:rPr>
                <w:lang w:eastAsia="ro-RO"/>
              </w:rPr>
            </w:pPr>
            <w:r>
              <w:rPr>
                <w:lang w:eastAsia="ro-RO"/>
              </w:rPr>
              <w:t>•</w:t>
            </w:r>
            <w:r>
              <w:rPr>
                <w:lang w:eastAsia="ro-RO"/>
              </w:rPr>
              <w:tab/>
              <w:t>competen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e în vederea solu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ionării încălcărilor cerin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ei MREL;</w:t>
            </w:r>
          </w:p>
          <w:p w14:paraId="786B5631" w14:textId="252D72CC" w:rsidR="00A30CEA" w:rsidRDefault="00A30CEA" w:rsidP="00A30CEA">
            <w:pPr>
              <w:autoSpaceDE w:val="0"/>
              <w:jc w:val="both"/>
              <w:rPr>
                <w:lang w:eastAsia="ro-RO"/>
              </w:rPr>
            </w:pPr>
            <w:r>
              <w:rPr>
                <w:lang w:eastAsia="ro-RO"/>
              </w:rPr>
              <w:t>•</w:t>
            </w:r>
            <w:r>
              <w:rPr>
                <w:lang w:eastAsia="ro-RO"/>
              </w:rPr>
              <w:tab/>
              <w:t>competen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a de a suspenda obliga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iile de plată ale unei institu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ii de credit, anterior rezolu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iei (cunoscută sub denumirea de ”instrument de moratoriu”);</w:t>
            </w:r>
          </w:p>
          <w:p w14:paraId="48D68A9D" w14:textId="3DF5455F" w:rsidR="00A9548E" w:rsidRDefault="00A30CEA" w:rsidP="00A30CEA">
            <w:pPr>
              <w:autoSpaceDE w:val="0"/>
              <w:jc w:val="both"/>
              <w:rPr>
                <w:lang w:eastAsia="ro-RO"/>
              </w:rPr>
            </w:pPr>
            <w:r>
              <w:rPr>
                <w:lang w:eastAsia="ro-RO"/>
              </w:rPr>
              <w:t>•</w:t>
            </w:r>
            <w:r>
              <w:rPr>
                <w:lang w:eastAsia="ro-RO"/>
              </w:rPr>
              <w:tab/>
              <w:t>competen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e specifice autori</w:t>
            </w:r>
            <w:r w:rsidR="00932026">
              <w:rPr>
                <w:lang w:eastAsia="ro-RO"/>
              </w:rPr>
              <w:t>tă</w:t>
            </w:r>
            <w:r w:rsidR="00D311C9">
              <w:rPr>
                <w:lang w:eastAsia="ro-RO"/>
              </w:rPr>
              <w:t>ț</w:t>
            </w:r>
            <w:r w:rsidR="00932026">
              <w:rPr>
                <w:lang w:eastAsia="ro-RO"/>
              </w:rPr>
              <w:t xml:space="preserve">ii </w:t>
            </w:r>
            <w:r>
              <w:rPr>
                <w:lang w:eastAsia="ro-RO"/>
              </w:rPr>
              <w:t>de rezolu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ie pentru a se asigura că, în perioada de suspendare, deponen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ii nu întâmpină dificultă</w:t>
            </w:r>
            <w:r w:rsidR="00D311C9">
              <w:rPr>
                <w:lang w:eastAsia="ro-RO"/>
              </w:rPr>
              <w:t>ț</w:t>
            </w:r>
            <w:r>
              <w:rPr>
                <w:lang w:eastAsia="ro-RO"/>
              </w:rPr>
              <w:t>i financiare</w:t>
            </w:r>
            <w:r w:rsidR="00C00B48">
              <w:rPr>
                <w:lang w:eastAsia="ro-RO"/>
              </w:rPr>
              <w:t>;</w:t>
            </w:r>
          </w:p>
          <w:p w14:paraId="699089C4" w14:textId="045F289A" w:rsidR="00A30CEA" w:rsidRDefault="00A30CEA" w:rsidP="002E54DB">
            <w:pPr>
              <w:autoSpaceDE w:val="0"/>
              <w:jc w:val="both"/>
              <w:rPr>
                <w:lang w:eastAsia="ro-RO"/>
              </w:rPr>
            </w:pPr>
            <w:r>
              <w:rPr>
                <w:lang w:eastAsia="ro-RO"/>
              </w:rPr>
              <w:t>•</w:t>
            </w:r>
            <w:r>
              <w:rPr>
                <w:lang w:eastAsia="ro-RO"/>
              </w:rPr>
              <w:tab/>
              <w:t>competen</w:t>
            </w:r>
            <w:r w:rsidR="00D311C9">
              <w:rPr>
                <w:lang w:eastAsia="ro-RO"/>
              </w:rPr>
              <w:t>ț</w:t>
            </w:r>
            <w:r w:rsidR="00C00B48">
              <w:rPr>
                <w:lang w:eastAsia="ro-RO"/>
              </w:rPr>
              <w:t>a</w:t>
            </w:r>
            <w:r>
              <w:rPr>
                <w:lang w:eastAsia="ro-RO"/>
              </w:rPr>
              <w:t xml:space="preserve"> de a limi</w:t>
            </w:r>
            <w:r w:rsidR="00932026">
              <w:rPr>
                <w:lang w:eastAsia="ro-RO"/>
              </w:rPr>
              <w:t>ta executarea garan</w:t>
            </w:r>
            <w:r w:rsidR="00D311C9">
              <w:rPr>
                <w:lang w:eastAsia="ro-RO"/>
              </w:rPr>
              <w:t>ț</w:t>
            </w:r>
            <w:r w:rsidR="00932026">
              <w:rPr>
                <w:lang w:eastAsia="ro-RO"/>
              </w:rPr>
              <w:t>iilor reale.</w:t>
            </w:r>
          </w:p>
          <w:p w14:paraId="69021126" w14:textId="381DF8F1" w:rsidR="003424FA" w:rsidRDefault="003424FA" w:rsidP="003424FA">
            <w:pPr>
              <w:jc w:val="both"/>
            </w:pPr>
            <w:r>
              <w:t>În ceea ce prive</w:t>
            </w:r>
            <w:r w:rsidR="00D311C9">
              <w:t>ș</w:t>
            </w:r>
            <w:r>
              <w:t>te noile competen</w:t>
            </w:r>
            <w:r w:rsidR="00D311C9">
              <w:t>ț</w:t>
            </w:r>
            <w:r>
              <w:t>e pentru autoritatea de rezolu</w:t>
            </w:r>
            <w:r w:rsidR="00D311C9">
              <w:t>ț</w:t>
            </w:r>
            <w:r>
              <w:t>ie</w:t>
            </w:r>
            <w:r w:rsidR="00FF70E8">
              <w:t xml:space="preserve">, referitor la </w:t>
            </w:r>
            <w:r w:rsidR="00FF70E8" w:rsidRPr="00AC5500">
              <w:t>competen</w:t>
            </w:r>
            <w:r w:rsidR="00D311C9">
              <w:t>ț</w:t>
            </w:r>
            <w:r w:rsidR="00FF70E8" w:rsidRPr="00AC5500">
              <w:t xml:space="preserve">a de suspendare </w:t>
            </w:r>
            <w:r w:rsidR="00FF70E8">
              <w:t>a obliga</w:t>
            </w:r>
            <w:r w:rsidR="00D311C9">
              <w:t>ț</w:t>
            </w:r>
            <w:r w:rsidR="00FF70E8">
              <w:t xml:space="preserve">iilor de plată inclusiv </w:t>
            </w:r>
            <w:r w:rsidR="00FF70E8" w:rsidRPr="00AC5500">
              <w:t>în ceea ce</w:t>
            </w:r>
            <w:r w:rsidR="00FF70E8">
              <w:t xml:space="preserve"> prive</w:t>
            </w:r>
            <w:r w:rsidR="00D311C9">
              <w:t>ș</w:t>
            </w:r>
            <w:r w:rsidR="00FF70E8">
              <w:t>te depozitele eligibile</w:t>
            </w:r>
            <w:r w:rsidR="001C6784">
              <w:t>, proiectul de lege</w:t>
            </w:r>
            <w:r w:rsidR="00FF70E8">
              <w:t xml:space="preserve"> </w:t>
            </w:r>
            <w:r w:rsidR="001C6784">
              <w:t xml:space="preserve"> stabile</w:t>
            </w:r>
            <w:r w:rsidR="00D311C9">
              <w:t>ș</w:t>
            </w:r>
            <w:r w:rsidR="001C6784">
              <w:t>te că</w:t>
            </w:r>
            <w:r>
              <w:t xml:space="preserve"> </w:t>
            </w:r>
            <w:r w:rsidR="001C6784">
              <w:t xml:space="preserve">exercitarea </w:t>
            </w:r>
            <w:r>
              <w:t>acestei competen</w:t>
            </w:r>
            <w:r w:rsidR="00D311C9">
              <w:t>ț</w:t>
            </w:r>
            <w:r>
              <w:t>e este însă posibilă în condi</w:t>
            </w:r>
            <w:r w:rsidR="00D311C9">
              <w:t>ț</w:t>
            </w:r>
            <w:r>
              <w:t>iile în care autoritatea de rezolu</w:t>
            </w:r>
            <w:r w:rsidR="00D311C9">
              <w:t>ț</w:t>
            </w:r>
            <w:r>
              <w:t>ie evaluează cu aten</w:t>
            </w:r>
            <w:r w:rsidR="00D311C9">
              <w:t>ț</w:t>
            </w:r>
            <w:r>
              <w:t xml:space="preserve">ie </w:t>
            </w:r>
            <w:r w:rsidRPr="003424FA">
              <w:t>impactul pe care l-ar putea avea exercitarea respectivei competen</w:t>
            </w:r>
            <w:r w:rsidR="00D311C9">
              <w:t>ț</w:t>
            </w:r>
            <w:r w:rsidRPr="003424FA">
              <w:t>e asupra bunei func</w:t>
            </w:r>
            <w:r w:rsidR="00D311C9">
              <w:t>ț</w:t>
            </w:r>
            <w:r w:rsidRPr="003424FA">
              <w:t>ionări a pie</w:t>
            </w:r>
            <w:r w:rsidR="00D311C9">
              <w:t>ț</w:t>
            </w:r>
            <w:r w:rsidRPr="003424FA">
              <w:t xml:space="preserve">elor financiare </w:t>
            </w:r>
            <w:r w:rsidR="00D311C9">
              <w:t>ș</w:t>
            </w:r>
            <w:r w:rsidRPr="003424FA">
              <w:t>i ia în considerare legisla</w:t>
            </w:r>
            <w:r w:rsidR="00D311C9">
              <w:t>ț</w:t>
            </w:r>
            <w:r w:rsidRPr="003424FA">
              <w:t>ia na</w:t>
            </w:r>
            <w:r w:rsidR="00D311C9">
              <w:t>ț</w:t>
            </w:r>
            <w:r w:rsidRPr="003424FA">
              <w:t xml:space="preserve">ională care protejează drepturile creditorilor </w:t>
            </w:r>
            <w:r w:rsidR="00D311C9">
              <w:t>ș</w:t>
            </w:r>
            <w:r w:rsidRPr="003424FA">
              <w:t>i egalitatea de tratament a creditorilor în procedura de insolven</w:t>
            </w:r>
            <w:r w:rsidR="00D311C9">
              <w:t>ț</w:t>
            </w:r>
            <w:r w:rsidRPr="003424FA">
              <w:t>ă.</w:t>
            </w:r>
          </w:p>
          <w:p w14:paraId="0F58BCB1" w14:textId="0FD993C3" w:rsidR="003424FA" w:rsidRPr="003A2644" w:rsidRDefault="003424FA" w:rsidP="00E519E7">
            <w:pPr>
              <w:jc w:val="both"/>
            </w:pPr>
            <w:r>
              <w:t xml:space="preserve">În cazul în care </w:t>
            </w:r>
            <w:r w:rsidRPr="003A2644">
              <w:t>autoritate</w:t>
            </w:r>
            <w:r w:rsidR="00E519E7">
              <w:t>a</w:t>
            </w:r>
            <w:r w:rsidRPr="003A2644">
              <w:t xml:space="preserve"> de rezolu</w:t>
            </w:r>
            <w:r w:rsidR="00D311C9">
              <w:t>ț</w:t>
            </w:r>
            <w:r w:rsidRPr="003A2644">
              <w:t>ie exercită competen</w:t>
            </w:r>
            <w:r w:rsidR="00D311C9">
              <w:t>ț</w:t>
            </w:r>
            <w:r w:rsidRPr="003A2644">
              <w:t xml:space="preserve">a </w:t>
            </w:r>
            <w:r w:rsidRPr="001E03BD">
              <w:t>de suspendarea</w:t>
            </w:r>
            <w:r w:rsidR="001C6784">
              <w:t xml:space="preserve"> </w:t>
            </w:r>
            <w:r w:rsidRPr="001E03BD">
              <w:t>obliga</w:t>
            </w:r>
            <w:r w:rsidR="00D311C9">
              <w:t>ț</w:t>
            </w:r>
            <w:r w:rsidRPr="001E03BD">
              <w:t>iilor de plată</w:t>
            </w:r>
            <w:r w:rsidRPr="003A2644">
              <w:t xml:space="preserve"> sau de livrare în ceea ce prive</w:t>
            </w:r>
            <w:r w:rsidR="00D311C9">
              <w:t>ș</w:t>
            </w:r>
            <w:r w:rsidRPr="003A2644">
              <w:t xml:space="preserve">te depozitele garantate, </w:t>
            </w:r>
            <w:r w:rsidR="001C6784">
              <w:t>proiectul de lege stabile</w:t>
            </w:r>
            <w:r w:rsidR="00D311C9">
              <w:t>ș</w:t>
            </w:r>
            <w:r w:rsidR="001C6784">
              <w:t xml:space="preserve">te că </w:t>
            </w:r>
            <w:r w:rsidRPr="003A2644">
              <w:t xml:space="preserve">acele depozite nu sunt </w:t>
            </w:r>
            <w:r w:rsidRPr="003A2644">
              <w:lastRenderedPageBreak/>
              <w:t xml:space="preserve">considerate indisponibile în sensul Legii nr. 311/2015 privind schemele de garantare a depozitelor </w:t>
            </w:r>
            <w:r w:rsidR="00D311C9">
              <w:t>ș</w:t>
            </w:r>
            <w:r w:rsidRPr="003A2644">
              <w:t>i Fondul de garantare a depozitelor bancare.</w:t>
            </w:r>
          </w:p>
          <w:p w14:paraId="1141A9C6" w14:textId="3729895C" w:rsidR="003424FA" w:rsidRDefault="00E519E7" w:rsidP="0029331C">
            <w:pPr>
              <w:jc w:val="both"/>
            </w:pPr>
            <w:r w:rsidRPr="00E519E7">
              <w:t>Totodată, î</w:t>
            </w:r>
            <w:r w:rsidR="003424FA" w:rsidRPr="00E519E7">
              <w:t>n cazul exercitării competen</w:t>
            </w:r>
            <w:r w:rsidR="00D311C9">
              <w:t>ț</w:t>
            </w:r>
            <w:r w:rsidR="003424FA" w:rsidRPr="00E519E7">
              <w:t>ei de suspendare a obliga</w:t>
            </w:r>
            <w:r w:rsidR="00D311C9">
              <w:t>ț</w:t>
            </w:r>
            <w:r w:rsidR="003424FA" w:rsidRPr="00E519E7">
              <w:t>iilor de plată sau de livrare în ceea ce prive</w:t>
            </w:r>
            <w:r w:rsidR="00D311C9">
              <w:t>ș</w:t>
            </w:r>
            <w:r w:rsidR="003424FA" w:rsidRPr="00E519E7">
              <w:t>te depozitele eligibile, autoritate</w:t>
            </w:r>
            <w:r>
              <w:t>a</w:t>
            </w:r>
            <w:r w:rsidR="003424FA" w:rsidRPr="00E519E7">
              <w:t xml:space="preserve"> de rezolu</w:t>
            </w:r>
            <w:r w:rsidR="00D311C9">
              <w:t>ț</w:t>
            </w:r>
            <w:r w:rsidR="003424FA" w:rsidRPr="00E519E7">
              <w:t>ie se asigură că deponen</w:t>
            </w:r>
            <w:r w:rsidR="00D311C9">
              <w:t>ț</w:t>
            </w:r>
            <w:r w:rsidR="003424FA" w:rsidRPr="00E519E7">
              <w:t>ii au acces la un cuantum zilnic adecvat din depozitele respective</w:t>
            </w:r>
            <w:r w:rsidR="001C6784">
              <w:t xml:space="preserve">, </w:t>
            </w:r>
            <w:r w:rsidR="003424FA" w:rsidRPr="003A2644">
              <w:t>determin</w:t>
            </w:r>
            <w:r w:rsidR="001C6784">
              <w:t>at</w:t>
            </w:r>
            <w:r w:rsidR="001D1FC7">
              <w:t xml:space="preserve"> </w:t>
            </w:r>
            <w:r w:rsidR="003424FA" w:rsidRPr="003A2644">
              <w:t xml:space="preserve">ca raport dintre valoarea cheltuielilor totale medii lunare pe o gospodărie </w:t>
            </w:r>
            <w:r w:rsidR="00D311C9">
              <w:t>ș</w:t>
            </w:r>
            <w:r w:rsidR="003424FA" w:rsidRPr="003A2644">
              <w:t>i numărul mediu de zile din trimestrul imediat anterior datei de referin</w:t>
            </w:r>
            <w:r w:rsidR="00D311C9">
              <w:t>ț</w:t>
            </w:r>
            <w:r w:rsidR="003424FA" w:rsidRPr="003A2644">
              <w:t>ă, pe baza datelor publicate de Institutul Na</w:t>
            </w:r>
            <w:r w:rsidR="00D311C9">
              <w:t>ț</w:t>
            </w:r>
            <w:r w:rsidR="003424FA" w:rsidRPr="003A2644">
              <w:t>ional de Statistică</w:t>
            </w:r>
            <w:r w:rsidR="001C6784">
              <w:t xml:space="preserve">. </w:t>
            </w:r>
          </w:p>
          <w:p w14:paraId="1F1ADE55" w14:textId="50D7B5BE" w:rsidR="00726A5E" w:rsidRDefault="00B34CF3" w:rsidP="002E54DB">
            <w:pPr>
              <w:autoSpaceDE w:val="0"/>
              <w:jc w:val="both"/>
              <w:rPr>
                <w:lang w:eastAsia="ro-RO"/>
              </w:rPr>
            </w:pPr>
            <w:r w:rsidRPr="00887D37">
              <w:rPr>
                <w:lang w:eastAsia="ro-RO"/>
              </w:rPr>
              <w:t>În ceea ce prive</w:t>
            </w:r>
            <w:r w:rsidR="00D311C9">
              <w:rPr>
                <w:lang w:eastAsia="ro-RO"/>
              </w:rPr>
              <w:t>ș</w:t>
            </w:r>
            <w:r w:rsidRPr="00887D37">
              <w:rPr>
                <w:lang w:eastAsia="ro-RO"/>
              </w:rPr>
              <w:t xml:space="preserve">te </w:t>
            </w:r>
            <w:r w:rsidRPr="00887D37">
              <w:rPr>
                <w:b/>
                <w:lang w:eastAsia="ro-RO"/>
              </w:rPr>
              <w:t>domeniul de aplicare</w:t>
            </w:r>
            <w:r w:rsidRPr="00887D37">
              <w:rPr>
                <w:lang w:eastAsia="ro-RO"/>
              </w:rPr>
              <w:t>, proiectul legislativ</w:t>
            </w:r>
            <w:r w:rsidR="002913D0">
              <w:rPr>
                <w:lang w:eastAsia="ro-RO"/>
              </w:rPr>
              <w:t xml:space="preserve"> men</w:t>
            </w:r>
            <w:r w:rsidR="00D311C9">
              <w:rPr>
                <w:lang w:eastAsia="ro-RO"/>
              </w:rPr>
              <w:t>ț</w:t>
            </w:r>
            <w:r w:rsidR="002913D0">
              <w:rPr>
                <w:lang w:eastAsia="ro-RO"/>
              </w:rPr>
              <w:t>ine sfera de aplicare existentă în Legea nr.312/2015, respectiv: i</w:t>
            </w:r>
            <w:r w:rsidRPr="00887D37">
              <w:rPr>
                <w:lang w:eastAsia="ro-RO"/>
              </w:rPr>
              <w:t>nstitu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>i</w:t>
            </w:r>
            <w:r w:rsidR="002913D0">
              <w:rPr>
                <w:lang w:eastAsia="ro-RO"/>
              </w:rPr>
              <w:t xml:space="preserve">i de credit </w:t>
            </w:r>
            <w:r w:rsidR="00D311C9">
              <w:rPr>
                <w:lang w:eastAsia="ro-RO"/>
              </w:rPr>
              <w:t>ș</w:t>
            </w:r>
            <w:r w:rsidR="002913D0">
              <w:rPr>
                <w:lang w:eastAsia="ro-RO"/>
              </w:rPr>
              <w:t>i firme</w:t>
            </w:r>
            <w:r w:rsidRPr="00887D37">
              <w:rPr>
                <w:lang w:eastAsia="ro-RO"/>
              </w:rPr>
              <w:t xml:space="preserve"> de investi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>ii, persoane juridice române, institu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 xml:space="preserve">ii financiare, persoane juridice române, care sunt acoperite de supravegherea la nivel consolidat a întreprinderii-mamă în conformitate cu prevederile </w:t>
            </w:r>
            <w:r w:rsidRPr="00887D37">
              <w:rPr>
                <w:i/>
                <w:lang w:eastAsia="ro-RO"/>
              </w:rPr>
              <w:t>Ordonan</w:t>
            </w:r>
            <w:r w:rsidR="00D311C9">
              <w:rPr>
                <w:i/>
                <w:lang w:eastAsia="ro-RO"/>
              </w:rPr>
              <w:t>ț</w:t>
            </w:r>
            <w:r w:rsidRPr="00887D37">
              <w:rPr>
                <w:i/>
                <w:lang w:eastAsia="ro-RO"/>
              </w:rPr>
              <w:t>ei de urgen</w:t>
            </w:r>
            <w:r w:rsidR="00D311C9">
              <w:rPr>
                <w:i/>
                <w:lang w:eastAsia="ro-RO"/>
              </w:rPr>
              <w:t>ț</w:t>
            </w:r>
            <w:r w:rsidRPr="00887D37">
              <w:rPr>
                <w:i/>
                <w:lang w:eastAsia="ro-RO"/>
              </w:rPr>
              <w:t>ă a Guvernului nr. 99/2006 privind institu</w:t>
            </w:r>
            <w:r w:rsidR="00D311C9">
              <w:rPr>
                <w:i/>
                <w:lang w:eastAsia="ro-RO"/>
              </w:rPr>
              <w:t>ț</w:t>
            </w:r>
            <w:r w:rsidRPr="00887D37">
              <w:rPr>
                <w:i/>
                <w:lang w:eastAsia="ro-RO"/>
              </w:rPr>
              <w:t xml:space="preserve">iile de credit </w:t>
            </w:r>
            <w:r w:rsidR="00D311C9">
              <w:rPr>
                <w:i/>
                <w:lang w:eastAsia="ro-RO"/>
              </w:rPr>
              <w:t>ș</w:t>
            </w:r>
            <w:r w:rsidRPr="00887D37">
              <w:rPr>
                <w:i/>
                <w:lang w:eastAsia="ro-RO"/>
              </w:rPr>
              <w:t xml:space="preserve">i adecvarea capitalului, </w:t>
            </w:r>
            <w:r w:rsidRPr="00887D37">
              <w:rPr>
                <w:lang w:eastAsia="ro-RO"/>
              </w:rPr>
              <w:t xml:space="preserve">aprobată cu modificări </w:t>
            </w:r>
            <w:r w:rsidR="00D311C9">
              <w:rPr>
                <w:lang w:eastAsia="ro-RO"/>
              </w:rPr>
              <w:t>ș</w:t>
            </w:r>
            <w:r w:rsidRPr="00887D37">
              <w:rPr>
                <w:lang w:eastAsia="ro-RO"/>
              </w:rPr>
              <w:t>i completări prin Legea nr.227/2007,</w:t>
            </w:r>
            <w:r w:rsidR="001C6784">
              <w:rPr>
                <w:lang w:eastAsia="ro-RO"/>
              </w:rPr>
              <w:t xml:space="preserve"> </w:t>
            </w:r>
            <w:r w:rsidRPr="00887D37">
              <w:rPr>
                <w:lang w:eastAsia="ro-RO"/>
              </w:rPr>
              <w:t xml:space="preserve">cu modificările </w:t>
            </w:r>
            <w:r w:rsidR="00D311C9">
              <w:rPr>
                <w:lang w:eastAsia="ro-RO"/>
              </w:rPr>
              <w:t>ș</w:t>
            </w:r>
            <w:r w:rsidRPr="00887D37">
              <w:rPr>
                <w:lang w:eastAsia="ro-RO"/>
              </w:rPr>
              <w:t>i completările ulterioare</w:t>
            </w:r>
            <w:r w:rsidR="0041376E">
              <w:rPr>
                <w:lang w:eastAsia="ro-RO"/>
              </w:rPr>
              <w:t xml:space="preserve"> (</w:t>
            </w:r>
            <w:r w:rsidR="0041376E" w:rsidRPr="00441EF0">
              <w:rPr>
                <w:rFonts w:eastAsia="Calibri"/>
              </w:rPr>
              <w:t xml:space="preserve"> O.U.G. nr. 99/2006</w:t>
            </w:r>
            <w:r w:rsidR="0041376E">
              <w:rPr>
                <w:rFonts w:eastAsia="Calibri"/>
              </w:rPr>
              <w:t>)</w:t>
            </w:r>
            <w:r w:rsidRPr="00887D37">
              <w:rPr>
                <w:lang w:eastAsia="ro-RO"/>
              </w:rPr>
              <w:t>, societă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>il</w:t>
            </w:r>
            <w:r w:rsidR="002913D0">
              <w:rPr>
                <w:lang w:eastAsia="ro-RO"/>
              </w:rPr>
              <w:t>e</w:t>
            </w:r>
            <w:r w:rsidRPr="00887D37">
              <w:rPr>
                <w:lang w:eastAsia="ro-RO"/>
              </w:rPr>
              <w:t xml:space="preserve"> financiare holding, societă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>il</w:t>
            </w:r>
            <w:r w:rsidR="002913D0">
              <w:rPr>
                <w:lang w:eastAsia="ro-RO"/>
              </w:rPr>
              <w:t>e</w:t>
            </w:r>
            <w:r w:rsidRPr="00887D37">
              <w:rPr>
                <w:lang w:eastAsia="ro-RO"/>
              </w:rPr>
              <w:t xml:space="preserve"> financ</w:t>
            </w:r>
            <w:r w:rsidR="002913D0">
              <w:rPr>
                <w:lang w:eastAsia="ro-RO"/>
              </w:rPr>
              <w:t xml:space="preserve">iare holding mixte </w:t>
            </w:r>
            <w:r w:rsidR="00D311C9">
              <w:rPr>
                <w:lang w:eastAsia="ro-RO"/>
              </w:rPr>
              <w:t>ș</w:t>
            </w:r>
            <w:r w:rsidR="002913D0">
              <w:rPr>
                <w:lang w:eastAsia="ro-RO"/>
              </w:rPr>
              <w:t>i societă</w:t>
            </w:r>
            <w:r w:rsidR="00D311C9">
              <w:rPr>
                <w:lang w:eastAsia="ro-RO"/>
              </w:rPr>
              <w:t>ț</w:t>
            </w:r>
            <w:r w:rsidR="002913D0">
              <w:rPr>
                <w:lang w:eastAsia="ro-RO"/>
              </w:rPr>
              <w:t>ile</w:t>
            </w:r>
            <w:r w:rsidRPr="00887D37">
              <w:rPr>
                <w:lang w:eastAsia="ro-RO"/>
              </w:rPr>
              <w:t xml:space="preserve"> financiare holding cu activitate mixtă, persoane juridice române </w:t>
            </w:r>
            <w:r w:rsidR="00D311C9">
              <w:rPr>
                <w:lang w:eastAsia="ro-RO"/>
              </w:rPr>
              <w:t>ș</w:t>
            </w:r>
            <w:r w:rsidRPr="00887D37">
              <w:rPr>
                <w:lang w:eastAsia="ro-RO"/>
              </w:rPr>
              <w:t>i societă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>il</w:t>
            </w:r>
            <w:r w:rsidR="002913D0">
              <w:rPr>
                <w:lang w:eastAsia="ro-RO"/>
              </w:rPr>
              <w:t xml:space="preserve">e </w:t>
            </w:r>
            <w:r w:rsidRPr="00887D37">
              <w:rPr>
                <w:lang w:eastAsia="ro-RO"/>
              </w:rPr>
              <w:t>financiare holding-mamă din România, societă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>il</w:t>
            </w:r>
            <w:r w:rsidR="002913D0">
              <w:rPr>
                <w:lang w:eastAsia="ro-RO"/>
              </w:rPr>
              <w:t xml:space="preserve">e </w:t>
            </w:r>
            <w:r w:rsidRPr="00887D37">
              <w:rPr>
                <w:lang w:eastAsia="ro-RO"/>
              </w:rPr>
              <w:t>financiare holding-mamă din Uniunea Europeană, societă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>il</w:t>
            </w:r>
            <w:r w:rsidR="002913D0">
              <w:rPr>
                <w:lang w:eastAsia="ro-RO"/>
              </w:rPr>
              <w:t xml:space="preserve">e </w:t>
            </w:r>
            <w:r w:rsidRPr="00887D37">
              <w:rPr>
                <w:lang w:eastAsia="ro-RO"/>
              </w:rPr>
              <w:t>financiare holding mixte-mamă din România, societă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>il</w:t>
            </w:r>
            <w:r w:rsidR="002913D0">
              <w:rPr>
                <w:lang w:eastAsia="ro-RO"/>
              </w:rPr>
              <w:t>e</w:t>
            </w:r>
            <w:r w:rsidRPr="00887D37">
              <w:rPr>
                <w:lang w:eastAsia="ro-RO"/>
              </w:rPr>
              <w:t xml:space="preserve"> financiare holding mixte-mamă din Uniunea Europeană, persoane juridice române, sucursalel</w:t>
            </w:r>
            <w:r w:rsidR="002913D0">
              <w:rPr>
                <w:lang w:eastAsia="ro-RO"/>
              </w:rPr>
              <w:t>e</w:t>
            </w:r>
            <w:r w:rsidRPr="00887D37">
              <w:rPr>
                <w:lang w:eastAsia="ro-RO"/>
              </w:rPr>
              <w:t xml:space="preserve"> stabilite pe teritoriul României ale institu</w:t>
            </w:r>
            <w:r w:rsidR="00D311C9">
              <w:rPr>
                <w:lang w:eastAsia="ro-RO"/>
              </w:rPr>
              <w:t>ț</w:t>
            </w:r>
            <w:r w:rsidRPr="00887D37">
              <w:rPr>
                <w:lang w:eastAsia="ro-RO"/>
              </w:rPr>
              <w:t xml:space="preserve">iilor de credit </w:t>
            </w:r>
            <w:r w:rsidR="00D311C9">
              <w:rPr>
                <w:lang w:eastAsia="ro-RO"/>
              </w:rPr>
              <w:t>ș</w:t>
            </w:r>
            <w:r w:rsidRPr="00887D37">
              <w:rPr>
                <w:lang w:eastAsia="ro-RO"/>
              </w:rPr>
              <w:t>i firmelo</w:t>
            </w:r>
            <w:r w:rsidR="002913D0">
              <w:rPr>
                <w:lang w:eastAsia="ro-RO"/>
              </w:rPr>
              <w:t>r de investi</w:t>
            </w:r>
            <w:r w:rsidR="00D311C9">
              <w:rPr>
                <w:lang w:eastAsia="ro-RO"/>
              </w:rPr>
              <w:t>ț</w:t>
            </w:r>
            <w:r w:rsidR="002913D0">
              <w:rPr>
                <w:lang w:eastAsia="ro-RO"/>
              </w:rPr>
              <w:t>ii din state ter</w:t>
            </w:r>
            <w:r w:rsidR="00D311C9">
              <w:rPr>
                <w:lang w:eastAsia="ro-RO"/>
              </w:rPr>
              <w:t>ț</w:t>
            </w:r>
            <w:r w:rsidR="002913D0">
              <w:rPr>
                <w:lang w:eastAsia="ro-RO"/>
              </w:rPr>
              <w:t>e</w:t>
            </w:r>
            <w:r w:rsidRPr="00887D37">
              <w:rPr>
                <w:lang w:eastAsia="ro-RO"/>
              </w:rPr>
              <w:t>.</w:t>
            </w:r>
          </w:p>
          <w:p w14:paraId="64D02EB4" w14:textId="77777777" w:rsidR="005F576E" w:rsidRDefault="005F576E" w:rsidP="002E54DB">
            <w:pPr>
              <w:jc w:val="both"/>
              <w:rPr>
                <w:lang w:eastAsia="ro-RO"/>
              </w:rPr>
            </w:pPr>
          </w:p>
          <w:p w14:paraId="219CA8B4" w14:textId="2CBA4681" w:rsidR="00441EF0" w:rsidRPr="00441EF0" w:rsidRDefault="00441EF0" w:rsidP="00441EF0">
            <w:pPr>
              <w:autoSpaceDE w:val="0"/>
              <w:jc w:val="both"/>
              <w:rPr>
                <w:rFonts w:eastAsia="Calibri"/>
                <w:b/>
              </w:rPr>
            </w:pPr>
            <w:r w:rsidRPr="00441EF0">
              <w:rPr>
                <w:rFonts w:eastAsia="Calibri"/>
                <w:b/>
              </w:rPr>
              <w:t>2. A.2</w:t>
            </w:r>
            <w:r>
              <w:rPr>
                <w:rFonts w:eastAsia="Calibri"/>
                <w:b/>
              </w:rPr>
              <w:t>.</w:t>
            </w:r>
            <w:r w:rsidR="00A45349">
              <w:rPr>
                <w:rFonts w:eastAsia="Calibri"/>
                <w:b/>
              </w:rPr>
              <w:t>A</w:t>
            </w:r>
            <w:r w:rsidRPr="00441EF0">
              <w:rPr>
                <w:rFonts w:eastAsia="Calibri"/>
                <w:b/>
              </w:rPr>
              <w:t xml:space="preserve">lte modificări </w:t>
            </w:r>
            <w:r w:rsidR="00D311C9">
              <w:rPr>
                <w:rFonts w:eastAsia="Calibri"/>
                <w:b/>
              </w:rPr>
              <w:t>ș</w:t>
            </w:r>
            <w:r w:rsidRPr="00441EF0">
              <w:rPr>
                <w:rFonts w:eastAsia="Calibri"/>
                <w:b/>
              </w:rPr>
              <w:t>i completări a</w:t>
            </w:r>
            <w:r w:rsidR="00A45349">
              <w:rPr>
                <w:rFonts w:eastAsia="Calibri"/>
                <w:b/>
              </w:rPr>
              <w:t>duse</w:t>
            </w:r>
            <w:r w:rsidRPr="00441EF0">
              <w:rPr>
                <w:rFonts w:eastAsia="Calibri"/>
                <w:b/>
              </w:rPr>
              <w:t xml:space="preserve"> Legii nr. 312/2015, cu scopul de a îmbunătă</w:t>
            </w:r>
            <w:r w:rsidR="00D311C9">
              <w:rPr>
                <w:rFonts w:eastAsia="Calibri"/>
                <w:b/>
              </w:rPr>
              <w:t>ț</w:t>
            </w:r>
            <w:r w:rsidRPr="00441EF0">
              <w:rPr>
                <w:rFonts w:eastAsia="Calibri"/>
                <w:b/>
              </w:rPr>
              <w:t>i reglementarea</w:t>
            </w:r>
          </w:p>
          <w:p w14:paraId="1200B7CB" w14:textId="77777777" w:rsidR="00441EF0" w:rsidRPr="00441EF0" w:rsidRDefault="00441EF0" w:rsidP="00441EF0">
            <w:pPr>
              <w:autoSpaceDE w:val="0"/>
              <w:jc w:val="both"/>
              <w:rPr>
                <w:rFonts w:eastAsia="Calibri"/>
              </w:rPr>
            </w:pPr>
            <w:r w:rsidRPr="00441EF0">
              <w:rPr>
                <w:rFonts w:eastAsia="Calibri"/>
              </w:rPr>
              <w:t xml:space="preserve">Distinct de modificările aduse Legii nr. 312/2015 în vederea asigurării transpunerii Directivei </w:t>
            </w:r>
            <w:r w:rsidR="00844491" w:rsidRPr="00844491">
              <w:rPr>
                <w:rFonts w:eastAsia="Calibri"/>
              </w:rPr>
              <w:t xml:space="preserve">2019/879/UE </w:t>
            </w:r>
            <w:r w:rsidRPr="00441EF0">
              <w:rPr>
                <w:rFonts w:eastAsia="Calibri"/>
              </w:rPr>
              <w:t>, proiectul de lege vizează o serie de alte modificări privind:</w:t>
            </w:r>
          </w:p>
          <w:p w14:paraId="40979547" w14:textId="6728006F" w:rsidR="00441EF0" w:rsidRPr="00441EF0" w:rsidRDefault="00441EF0" w:rsidP="00441EF0">
            <w:pPr>
              <w:autoSpaceDE w:val="0"/>
              <w:jc w:val="both"/>
              <w:rPr>
                <w:rFonts w:eastAsia="Calibri"/>
              </w:rPr>
            </w:pPr>
            <w:r w:rsidRPr="00441EF0">
              <w:rPr>
                <w:rFonts w:eastAsia="Calibri"/>
              </w:rPr>
              <w:t>- realizarea de corec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ii</w:t>
            </w:r>
            <w:r w:rsidR="001C6784">
              <w:rPr>
                <w:rFonts w:eastAsia="Calibri"/>
              </w:rPr>
              <w:t xml:space="preserve"> de natură formală</w:t>
            </w:r>
            <w:r w:rsidRPr="00441EF0">
              <w:rPr>
                <w:rFonts w:eastAsia="Calibri"/>
              </w:rPr>
              <w:t xml:space="preserve"> asupra textului ini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ial al legii;</w:t>
            </w:r>
          </w:p>
          <w:p w14:paraId="124696EB" w14:textId="1E799EAE" w:rsidR="00441EF0" w:rsidRPr="00441EF0" w:rsidRDefault="00441EF0" w:rsidP="00441EF0">
            <w:pPr>
              <w:autoSpaceDE w:val="0"/>
              <w:jc w:val="both"/>
              <w:rPr>
                <w:rFonts w:eastAsia="Calibri"/>
              </w:rPr>
            </w:pPr>
            <w:r w:rsidRPr="00441EF0">
              <w:rPr>
                <w:rFonts w:eastAsia="Calibri"/>
              </w:rPr>
              <w:t>-</w:t>
            </w:r>
            <w:r w:rsidR="001C6784">
              <w:rPr>
                <w:rFonts w:eastAsia="Calibri"/>
              </w:rPr>
              <w:t xml:space="preserve"> </w:t>
            </w:r>
            <w:r w:rsidRPr="00441EF0">
              <w:rPr>
                <w:rFonts w:eastAsia="Calibri"/>
              </w:rPr>
              <w:t>clarificarea anumitor prevederi pentru a facilita în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elegerea textului, ca urmare a coresponden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ei derulate cu institu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 xml:space="preserve">iile de credit de la momentul intrării în vigoare a Legii nr.312/2015, precum </w:t>
            </w:r>
            <w:r w:rsidR="00D311C9">
              <w:rPr>
                <w:rFonts w:eastAsia="Calibri"/>
              </w:rPr>
              <w:t>ș</w:t>
            </w:r>
            <w:r w:rsidRPr="00441EF0">
              <w:rPr>
                <w:rFonts w:eastAsia="Calibri"/>
              </w:rPr>
              <w:t xml:space="preserve">i clarificarea anumitor prevederi ca urmare a </w:t>
            </w:r>
            <w:r w:rsidR="0041376E">
              <w:rPr>
                <w:rFonts w:eastAsia="Calibri"/>
              </w:rPr>
              <w:t xml:space="preserve">identificării </w:t>
            </w:r>
            <w:r w:rsidRPr="00441EF0">
              <w:rPr>
                <w:rFonts w:eastAsia="Calibri"/>
              </w:rPr>
              <w:t xml:space="preserve">de </w:t>
            </w:r>
            <w:r w:rsidR="00FA07B6">
              <w:rPr>
                <w:rFonts w:eastAsia="Calibri"/>
              </w:rPr>
              <w:t xml:space="preserve">către </w:t>
            </w:r>
            <w:r>
              <w:rPr>
                <w:rFonts w:eastAsia="Calibri"/>
              </w:rPr>
              <w:t>Banca</w:t>
            </w:r>
            <w:r w:rsidRPr="00441EF0">
              <w:rPr>
                <w:rFonts w:eastAsia="Calibri"/>
              </w:rPr>
              <w:t xml:space="preserve"> Na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ional</w:t>
            </w:r>
            <w:r>
              <w:rPr>
                <w:rFonts w:eastAsia="Calibri"/>
              </w:rPr>
              <w:t>ă</w:t>
            </w:r>
            <w:r w:rsidRPr="00441EF0">
              <w:rPr>
                <w:rFonts w:eastAsia="Calibri"/>
              </w:rPr>
              <w:t xml:space="preserve"> a României</w:t>
            </w:r>
            <w:r>
              <w:rPr>
                <w:rFonts w:eastAsia="Calibri"/>
              </w:rPr>
              <w:t>, în calitate de autoritate de rezolu</w:t>
            </w:r>
            <w:r w:rsidR="00D311C9">
              <w:rPr>
                <w:rFonts w:eastAsia="Calibri"/>
              </w:rPr>
              <w:t>ț</w:t>
            </w:r>
            <w:r>
              <w:rPr>
                <w:rFonts w:eastAsia="Calibri"/>
              </w:rPr>
              <w:t>ie</w:t>
            </w:r>
            <w:r w:rsidR="00A45349">
              <w:rPr>
                <w:rFonts w:eastAsia="Calibri"/>
              </w:rPr>
              <w:t>,</w:t>
            </w:r>
            <w:r w:rsidR="001C6784">
              <w:rPr>
                <w:rFonts w:eastAsia="Calibri"/>
              </w:rPr>
              <w:t xml:space="preserve"> </w:t>
            </w:r>
            <w:r w:rsidR="0041376E">
              <w:rPr>
                <w:rFonts w:eastAsia="Calibri"/>
              </w:rPr>
              <w:t xml:space="preserve"> unor inconsisten</w:t>
            </w:r>
            <w:r w:rsidR="00D311C9">
              <w:rPr>
                <w:rFonts w:eastAsia="Calibri"/>
              </w:rPr>
              <w:t>ț</w:t>
            </w:r>
            <w:r w:rsidR="0041376E">
              <w:rPr>
                <w:rFonts w:eastAsia="Calibri"/>
              </w:rPr>
              <w:t>e ale textului legal sau a lipsei de reglementare a unor aspecte, care au determinat dificultă</w:t>
            </w:r>
            <w:r w:rsidR="00D311C9">
              <w:rPr>
                <w:rFonts w:eastAsia="Calibri"/>
              </w:rPr>
              <w:t>ț</w:t>
            </w:r>
            <w:r w:rsidR="0041376E">
              <w:rPr>
                <w:rFonts w:eastAsia="Calibri"/>
              </w:rPr>
              <w:t>i</w:t>
            </w:r>
            <w:r w:rsidR="0041376E" w:rsidRPr="00441EF0">
              <w:rPr>
                <w:rFonts w:eastAsia="Calibri"/>
              </w:rPr>
              <w:t xml:space="preserve"> </w:t>
            </w:r>
            <w:r w:rsidRPr="00441EF0">
              <w:rPr>
                <w:rFonts w:eastAsia="Calibri"/>
              </w:rPr>
              <w:t>în aplicarea prevederilor legii.</w:t>
            </w:r>
          </w:p>
          <w:p w14:paraId="39186BD8" w14:textId="2E829D71" w:rsidR="00441EF0" w:rsidRDefault="00441EF0" w:rsidP="00441EF0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În acest context </w:t>
            </w:r>
            <w:r w:rsidR="00FA07B6">
              <w:rPr>
                <w:rFonts w:eastAsia="Calibri"/>
              </w:rPr>
              <w:t>sunt propuse</w:t>
            </w:r>
            <w:r w:rsidRPr="00441EF0">
              <w:rPr>
                <w:rFonts w:eastAsia="Calibri"/>
              </w:rPr>
              <w:t xml:space="preserve"> o serie de modificări ale prevederilor Legii nr. 312/2015, prin care se reglementează </w:t>
            </w:r>
            <w:r w:rsidR="00FA07B6">
              <w:rPr>
                <w:rFonts w:eastAsia="Calibri"/>
              </w:rPr>
              <w:t xml:space="preserve">aspecte referitoare la </w:t>
            </w:r>
            <w:r w:rsidRPr="00441EF0">
              <w:rPr>
                <w:rFonts w:eastAsia="Calibri"/>
              </w:rPr>
              <w:t>guvernan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a proceselor opera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 xml:space="preserve">ionale </w:t>
            </w:r>
            <w:r w:rsidR="00D311C9">
              <w:rPr>
                <w:rFonts w:eastAsia="Calibri"/>
              </w:rPr>
              <w:t>ș</w:t>
            </w:r>
            <w:r w:rsidRPr="00441EF0">
              <w:rPr>
                <w:rFonts w:eastAsia="Calibri"/>
              </w:rPr>
              <w:t xml:space="preserve">i decizionale. </w:t>
            </w:r>
          </w:p>
          <w:p w14:paraId="63DEBBDC" w14:textId="22EA0ED8" w:rsidR="001C3317" w:rsidRDefault="001C3317" w:rsidP="001C3317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revizuirea unor prevederi privind administratorul temporar (</w:t>
            </w:r>
            <w:r w:rsidRPr="001C3317">
              <w:rPr>
                <w:rFonts w:eastAsia="Calibri"/>
              </w:rPr>
              <w:t>introducerea ipotezei în care funcționarea organului de conducere al instituției de credit este împiedicată din motive precum vacantarea simultană a tuturor posturilor existente în cadrul organului de conducere ori imposibilitatea membrilor organului de conducere de a exercita responsabilitățile încredințate</w:t>
            </w:r>
            <w:r>
              <w:rPr>
                <w:rFonts w:eastAsia="Calibri"/>
              </w:rPr>
              <w:t xml:space="preserve">; </w:t>
            </w:r>
            <w:r w:rsidRPr="001C3317">
              <w:rPr>
                <w:rFonts w:eastAsia="Calibri"/>
              </w:rPr>
              <w:t xml:space="preserve">inserarea competenței administratorului temporar de a efectua, în ipoteza </w:t>
            </w:r>
            <w:r>
              <w:rPr>
                <w:rFonts w:eastAsia="Calibri"/>
              </w:rPr>
              <w:t>anterior menționată</w:t>
            </w:r>
            <w:r w:rsidRPr="001C3317">
              <w:rPr>
                <w:rFonts w:eastAsia="Calibri"/>
              </w:rPr>
              <w:t>, evaluarea conducătorilor unei instituții de credit</w:t>
            </w:r>
            <w:r>
              <w:rPr>
                <w:rFonts w:eastAsia="Calibri"/>
              </w:rPr>
              <w:t>,</w:t>
            </w:r>
            <w:r w:rsidRPr="001C3317">
              <w:rPr>
                <w:rFonts w:eastAsia="Calibri"/>
              </w:rPr>
              <w:t xml:space="preserve"> potrivit prevederilor în materie cuprinse în O</w:t>
            </w:r>
            <w:r>
              <w:rPr>
                <w:rFonts w:eastAsia="Calibri"/>
              </w:rPr>
              <w:t>.</w:t>
            </w:r>
            <w:r w:rsidRPr="001C3317">
              <w:rPr>
                <w:rFonts w:eastAsia="Calibri"/>
              </w:rPr>
              <w:t>U</w:t>
            </w:r>
            <w:r>
              <w:rPr>
                <w:rFonts w:eastAsia="Calibri"/>
              </w:rPr>
              <w:t>.</w:t>
            </w:r>
            <w:r w:rsidRPr="001C3317">
              <w:rPr>
                <w:rFonts w:eastAsia="Calibri"/>
              </w:rPr>
              <w:t>G</w:t>
            </w:r>
            <w:r>
              <w:rPr>
                <w:rFonts w:eastAsia="Calibri"/>
              </w:rPr>
              <w:t>.</w:t>
            </w:r>
            <w:r w:rsidRPr="001C3317">
              <w:rPr>
                <w:rFonts w:eastAsia="Calibri"/>
              </w:rPr>
              <w:t xml:space="preserve"> nr. 99/2006</w:t>
            </w:r>
            <w:r>
              <w:rPr>
                <w:rFonts w:eastAsia="Calibri"/>
              </w:rPr>
              <w:t>);</w:t>
            </w:r>
          </w:p>
          <w:p w14:paraId="78EE1954" w14:textId="455B7567" w:rsidR="00441EF0" w:rsidRPr="00441EF0" w:rsidRDefault="00441EF0" w:rsidP="00441EF0">
            <w:pPr>
              <w:autoSpaceDE w:val="0"/>
              <w:jc w:val="both"/>
              <w:rPr>
                <w:rFonts w:eastAsia="Calibri"/>
              </w:rPr>
            </w:pPr>
            <w:r w:rsidRPr="00441EF0">
              <w:rPr>
                <w:rFonts w:eastAsia="Calibri"/>
              </w:rPr>
              <w:t xml:space="preserve">- </w:t>
            </w:r>
            <w:r w:rsidRPr="00E06BA9">
              <w:rPr>
                <w:rFonts w:eastAsia="Calibri"/>
              </w:rPr>
              <w:t>introducerea de prevederi referitoare la crearea unui mecanism flexibil de guvernan</w:t>
            </w:r>
            <w:r w:rsidR="00D311C9">
              <w:rPr>
                <w:rFonts w:eastAsia="Calibri"/>
              </w:rPr>
              <w:t>ț</w:t>
            </w:r>
            <w:r w:rsidRPr="00E06BA9">
              <w:rPr>
                <w:rFonts w:eastAsia="Calibri"/>
              </w:rPr>
              <w:t xml:space="preserve">ă a proceselor </w:t>
            </w:r>
            <w:r w:rsidR="00D311C9">
              <w:rPr>
                <w:rFonts w:eastAsia="Calibri"/>
              </w:rPr>
              <w:t>ș</w:t>
            </w:r>
            <w:r w:rsidRPr="00E06BA9">
              <w:rPr>
                <w:rFonts w:eastAsia="Calibri"/>
              </w:rPr>
              <w:t>i de formalizare a deciziilor Băncii Na</w:t>
            </w:r>
            <w:r w:rsidR="00D311C9">
              <w:rPr>
                <w:rFonts w:eastAsia="Calibri"/>
              </w:rPr>
              <w:t>ț</w:t>
            </w:r>
            <w:r w:rsidRPr="00E06BA9">
              <w:rPr>
                <w:rFonts w:eastAsia="Calibri"/>
              </w:rPr>
              <w:t>ionale a României, în calitate de autoritate de rezolu</w:t>
            </w:r>
            <w:r w:rsidR="00D311C9">
              <w:rPr>
                <w:rFonts w:eastAsia="Calibri"/>
              </w:rPr>
              <w:t>ț</w:t>
            </w:r>
            <w:r w:rsidRPr="00E06BA9">
              <w:rPr>
                <w:rFonts w:eastAsia="Calibri"/>
              </w:rPr>
              <w:t xml:space="preserve">ie, </w:t>
            </w:r>
          </w:p>
          <w:p w14:paraId="614E9FE1" w14:textId="786CA832" w:rsidR="00441EF0" w:rsidRPr="00441EF0" w:rsidRDefault="00441EF0" w:rsidP="00441EF0">
            <w:pPr>
              <w:autoSpaceDE w:val="0"/>
              <w:jc w:val="both"/>
              <w:rPr>
                <w:rFonts w:eastAsia="Calibri"/>
              </w:rPr>
            </w:pPr>
            <w:r w:rsidRPr="00441EF0">
              <w:rPr>
                <w:rFonts w:eastAsia="Calibri"/>
              </w:rPr>
              <w:t>- revizuirea prevederilor referitoare la institu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ia-punte în vederea clarificării cerin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elor aplicabile institu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 xml:space="preserve">iei de credit-punte </w:t>
            </w:r>
            <w:r w:rsidR="00D311C9">
              <w:rPr>
                <w:rFonts w:eastAsia="Calibri"/>
              </w:rPr>
              <w:t>ș</w:t>
            </w:r>
            <w:r w:rsidRPr="00441EF0">
              <w:rPr>
                <w:rFonts w:eastAsia="Calibri"/>
              </w:rPr>
              <w:t>i institu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iei-punte, alta decât o institu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ie de credit-punte, inclusiv din perspectiva corelării cu prevederile O.U.G. nr. 99/2006;</w:t>
            </w:r>
          </w:p>
          <w:p w14:paraId="20585807" w14:textId="27F08869" w:rsidR="00441EF0" w:rsidRPr="00441EF0" w:rsidRDefault="00441EF0" w:rsidP="00441EF0">
            <w:pPr>
              <w:autoSpaceDE w:val="0"/>
              <w:jc w:val="both"/>
              <w:rPr>
                <w:rFonts w:eastAsia="Calibri"/>
              </w:rPr>
            </w:pPr>
            <w:r w:rsidRPr="00441EF0">
              <w:rPr>
                <w:rFonts w:eastAsia="Calibri"/>
              </w:rPr>
              <w:t>- introducerea de prevederi referitoare la competen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a generală a Băncii Na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ionale a României, în calitate de autoritate de rezolu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ie, de a colecta informa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 xml:space="preserve">ii </w:t>
            </w:r>
            <w:r w:rsidR="00D311C9">
              <w:rPr>
                <w:rFonts w:eastAsia="Calibri"/>
              </w:rPr>
              <w:t>ș</w:t>
            </w:r>
            <w:r w:rsidRPr="00441EF0">
              <w:rPr>
                <w:rFonts w:eastAsia="Calibri"/>
              </w:rPr>
              <w:t>i de a efectua inspec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 xml:space="preserve">ii, atât în etapa de planificare, cât </w:t>
            </w:r>
            <w:r w:rsidR="00D311C9">
              <w:rPr>
                <w:rFonts w:eastAsia="Calibri"/>
              </w:rPr>
              <w:t>ș</w:t>
            </w:r>
            <w:r w:rsidRPr="00441EF0">
              <w:rPr>
                <w:rFonts w:eastAsia="Calibri"/>
              </w:rPr>
              <w:t>i în etapa de rezolu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ie;</w:t>
            </w:r>
          </w:p>
          <w:p w14:paraId="7835BD7C" w14:textId="173544D7" w:rsidR="00441EF0" w:rsidRPr="00441EF0" w:rsidRDefault="00441EF0" w:rsidP="00441EF0">
            <w:pPr>
              <w:autoSpaceDE w:val="0"/>
              <w:jc w:val="both"/>
              <w:rPr>
                <w:rFonts w:eastAsia="Calibri"/>
              </w:rPr>
            </w:pPr>
            <w:r w:rsidRPr="00441EF0">
              <w:rPr>
                <w:rFonts w:eastAsia="Calibri"/>
              </w:rPr>
              <w:t>- introducerea de prevederi referitoare la competen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a Băncii Na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ionale a României de a dispune măsuri, separat de aplicarea de măsuri sanc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 xml:space="preserve">ionatoare </w:t>
            </w:r>
            <w:r w:rsidR="00D311C9">
              <w:rPr>
                <w:rFonts w:eastAsia="Calibri"/>
              </w:rPr>
              <w:t>ș</w:t>
            </w:r>
            <w:r w:rsidRPr="00441EF0">
              <w:rPr>
                <w:rFonts w:eastAsia="Calibri"/>
              </w:rPr>
              <w:t>i sanc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iuni administrative (similar O</w:t>
            </w:r>
            <w:r w:rsidR="00A45349">
              <w:rPr>
                <w:rFonts w:eastAsia="Calibri"/>
              </w:rPr>
              <w:t>.</w:t>
            </w:r>
            <w:r w:rsidRPr="00441EF0">
              <w:rPr>
                <w:rFonts w:eastAsia="Calibri"/>
              </w:rPr>
              <w:t>U</w:t>
            </w:r>
            <w:r w:rsidR="00A45349">
              <w:rPr>
                <w:rFonts w:eastAsia="Calibri"/>
              </w:rPr>
              <w:t>.</w:t>
            </w:r>
            <w:r w:rsidRPr="00441EF0">
              <w:rPr>
                <w:rFonts w:eastAsia="Calibri"/>
              </w:rPr>
              <w:t>G</w:t>
            </w:r>
            <w:r w:rsidR="00A45349">
              <w:rPr>
                <w:rFonts w:eastAsia="Calibri"/>
              </w:rPr>
              <w:t>.</w:t>
            </w:r>
            <w:r w:rsidR="00FA07B6">
              <w:rPr>
                <w:rFonts w:eastAsia="Calibri"/>
              </w:rPr>
              <w:t xml:space="preserve"> </w:t>
            </w:r>
            <w:r w:rsidR="00A45349">
              <w:rPr>
                <w:rFonts w:eastAsia="Calibri"/>
              </w:rPr>
              <w:t xml:space="preserve">nr. </w:t>
            </w:r>
            <w:r w:rsidRPr="00441EF0">
              <w:rPr>
                <w:rFonts w:eastAsia="Calibri"/>
              </w:rPr>
              <w:t xml:space="preserve">99/2006), precum </w:t>
            </w:r>
            <w:r w:rsidR="00D311C9">
              <w:rPr>
                <w:rFonts w:eastAsia="Calibri"/>
              </w:rPr>
              <w:t>ș</w:t>
            </w:r>
            <w:r w:rsidRPr="00441EF0">
              <w:rPr>
                <w:rFonts w:eastAsia="Calibri"/>
              </w:rPr>
              <w:t>i circumstan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ierea situa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iilor în care pot fi aplicate acestea;</w:t>
            </w:r>
          </w:p>
          <w:p w14:paraId="40B3400C" w14:textId="073DE997" w:rsidR="00441EF0" w:rsidRPr="00441EF0" w:rsidRDefault="00441EF0" w:rsidP="00441EF0">
            <w:pPr>
              <w:autoSpaceDE w:val="0"/>
              <w:jc w:val="both"/>
              <w:rPr>
                <w:rFonts w:eastAsia="Calibri"/>
              </w:rPr>
            </w:pPr>
            <w:r w:rsidRPr="00441EF0">
              <w:rPr>
                <w:rFonts w:eastAsia="Calibri"/>
              </w:rPr>
              <w:t>- consolidarea cadrului legal privind regimul aplicării sanc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 xml:space="preserve">iunilor administrative </w:t>
            </w:r>
            <w:r w:rsidR="00D311C9">
              <w:rPr>
                <w:rFonts w:eastAsia="Calibri"/>
              </w:rPr>
              <w:t>ș</w:t>
            </w:r>
            <w:r w:rsidRPr="00441EF0">
              <w:rPr>
                <w:rFonts w:eastAsia="Calibri"/>
              </w:rPr>
              <w:t>i a măsurilor sanc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ionatoare;</w:t>
            </w:r>
          </w:p>
          <w:p w14:paraId="7FE27A5E" w14:textId="7A059BB2" w:rsidR="00441EF0" w:rsidRPr="00441EF0" w:rsidRDefault="00441EF0" w:rsidP="00441EF0">
            <w:pPr>
              <w:autoSpaceDE w:val="0"/>
              <w:jc w:val="both"/>
              <w:rPr>
                <w:rFonts w:eastAsia="Calibri"/>
              </w:rPr>
            </w:pPr>
            <w:r w:rsidRPr="00441EF0">
              <w:rPr>
                <w:rFonts w:eastAsia="Calibri"/>
              </w:rPr>
              <w:lastRenderedPageBreak/>
              <w:t>- introducerea de prevederi privind competen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a B</w:t>
            </w:r>
            <w:r w:rsidR="00A45349">
              <w:rPr>
                <w:rFonts w:eastAsia="Calibri"/>
              </w:rPr>
              <w:t xml:space="preserve">ăncii </w:t>
            </w:r>
            <w:r w:rsidRPr="00441EF0">
              <w:rPr>
                <w:rFonts w:eastAsia="Calibri"/>
              </w:rPr>
              <w:t>N</w:t>
            </w:r>
            <w:r w:rsidR="00A45349">
              <w:rPr>
                <w:rFonts w:eastAsia="Calibri"/>
              </w:rPr>
              <w:t>a</w:t>
            </w:r>
            <w:r w:rsidR="00D311C9">
              <w:rPr>
                <w:rFonts w:eastAsia="Calibri"/>
              </w:rPr>
              <w:t>ț</w:t>
            </w:r>
            <w:r w:rsidR="00A45349">
              <w:rPr>
                <w:rFonts w:eastAsia="Calibri"/>
              </w:rPr>
              <w:t xml:space="preserve">ionale a </w:t>
            </w:r>
            <w:r w:rsidRPr="00441EF0">
              <w:rPr>
                <w:rFonts w:eastAsia="Calibri"/>
              </w:rPr>
              <w:t>R</w:t>
            </w:r>
            <w:r w:rsidR="00A45349">
              <w:rPr>
                <w:rFonts w:eastAsia="Calibri"/>
              </w:rPr>
              <w:t>omâniei</w:t>
            </w:r>
            <w:r w:rsidRPr="00441EF0">
              <w:rPr>
                <w:rFonts w:eastAsia="Calibri"/>
              </w:rPr>
              <w:t xml:space="preserve"> de a emite reglementări secundare în aplicarea legii </w:t>
            </w:r>
            <w:r w:rsidR="00D311C9">
              <w:rPr>
                <w:rFonts w:eastAsia="Calibri"/>
              </w:rPr>
              <w:t>ș</w:t>
            </w:r>
            <w:r w:rsidRPr="00441EF0">
              <w:rPr>
                <w:rFonts w:eastAsia="Calibri"/>
              </w:rPr>
              <w:t>i a actelor europene</w:t>
            </w:r>
            <w:r w:rsidR="0041376E">
              <w:rPr>
                <w:rFonts w:eastAsia="Calibri"/>
              </w:rPr>
              <w:t xml:space="preserve">, precum </w:t>
            </w:r>
            <w:r w:rsidR="00D311C9">
              <w:rPr>
                <w:rFonts w:eastAsia="Calibri"/>
              </w:rPr>
              <w:t>ș</w:t>
            </w:r>
            <w:r w:rsidR="0041376E">
              <w:rPr>
                <w:rFonts w:eastAsia="Calibri"/>
              </w:rPr>
              <w:t xml:space="preserve">i </w:t>
            </w:r>
            <w:r w:rsidRPr="00441EF0">
              <w:rPr>
                <w:rFonts w:eastAsia="Calibri"/>
              </w:rPr>
              <w:t xml:space="preserve"> de a emite instruc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 xml:space="preserve">iuni </w:t>
            </w:r>
            <w:r w:rsidR="00D311C9">
              <w:rPr>
                <w:rFonts w:eastAsia="Calibri"/>
              </w:rPr>
              <w:t>ș</w:t>
            </w:r>
            <w:r w:rsidRPr="00441EF0">
              <w:rPr>
                <w:rFonts w:eastAsia="Calibri"/>
              </w:rPr>
              <w:t>i precizări prin care să se asigure transpunerea legisla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 xml:space="preserve">iei relevante adoptate la nivelul Uniunii Europene </w:t>
            </w:r>
            <w:r w:rsidR="00D311C9">
              <w:rPr>
                <w:rFonts w:eastAsia="Calibri"/>
              </w:rPr>
              <w:t>ș</w:t>
            </w:r>
            <w:r w:rsidRPr="00441EF0">
              <w:rPr>
                <w:rFonts w:eastAsia="Calibri"/>
              </w:rPr>
              <w:t>i prin care să se urmărească implementarea celor mai bune practici interna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 xml:space="preserve">ionale în domeniul redresării </w:t>
            </w:r>
            <w:r w:rsidR="00D311C9">
              <w:rPr>
                <w:rFonts w:eastAsia="Calibri"/>
              </w:rPr>
              <w:t>ș</w:t>
            </w:r>
            <w:r w:rsidRPr="00441EF0">
              <w:rPr>
                <w:rFonts w:eastAsia="Calibri"/>
              </w:rPr>
              <w:t>i rezolu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iei;</w:t>
            </w:r>
          </w:p>
          <w:p w14:paraId="2E7D619C" w14:textId="1F1A632D" w:rsidR="00A30CEA" w:rsidRDefault="00441EF0" w:rsidP="00441EF0">
            <w:pPr>
              <w:autoSpaceDE w:val="0"/>
              <w:jc w:val="both"/>
              <w:rPr>
                <w:rFonts w:eastAsia="Calibri"/>
              </w:rPr>
            </w:pPr>
            <w:r w:rsidRPr="00441EF0">
              <w:rPr>
                <w:rFonts w:eastAsia="Calibri"/>
              </w:rPr>
              <w:t>- introducerea de prevederi cu privire la conformare</w:t>
            </w:r>
            <w:r w:rsidR="0041376E">
              <w:rPr>
                <w:rFonts w:eastAsia="Calibri"/>
              </w:rPr>
              <w:t>a</w:t>
            </w:r>
            <w:r w:rsidRPr="00441EF0">
              <w:rPr>
                <w:rFonts w:eastAsia="Calibri"/>
              </w:rPr>
              <w:t xml:space="preserve"> institu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iil</w:t>
            </w:r>
            <w:r w:rsidR="0041376E">
              <w:rPr>
                <w:rFonts w:eastAsia="Calibri"/>
              </w:rPr>
              <w:t>or</w:t>
            </w:r>
            <w:r w:rsidRPr="00441EF0">
              <w:rPr>
                <w:rFonts w:eastAsia="Calibri"/>
              </w:rPr>
              <w:t xml:space="preserve"> de credit </w:t>
            </w:r>
            <w:r w:rsidR="00D311C9">
              <w:rPr>
                <w:rFonts w:eastAsia="Calibri"/>
              </w:rPr>
              <w:t>ș</w:t>
            </w:r>
            <w:r w:rsidRPr="00441EF0">
              <w:rPr>
                <w:rFonts w:eastAsia="Calibri"/>
              </w:rPr>
              <w:t>i entită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il</w:t>
            </w:r>
            <w:r w:rsidR="0041376E">
              <w:rPr>
                <w:rFonts w:eastAsia="Calibri"/>
              </w:rPr>
              <w:t>or</w:t>
            </w:r>
            <w:r w:rsidRPr="00441EF0">
              <w:rPr>
                <w:rFonts w:eastAsia="Calibri"/>
              </w:rPr>
              <w:t xml:space="preserve"> prevăzute la art. 1 alin. (1) lit. b), c) sau d) din lege cu ghidurile </w:t>
            </w:r>
            <w:r w:rsidR="00D311C9">
              <w:rPr>
                <w:rFonts w:eastAsia="Calibri"/>
              </w:rPr>
              <w:t>ș</w:t>
            </w:r>
            <w:r w:rsidRPr="00441EF0">
              <w:rPr>
                <w:rFonts w:eastAsia="Calibri"/>
              </w:rPr>
              <w:t>i recomandările emise de ABE, potrivit instruc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 xml:space="preserve">iunilor/precizărilor emise de </w:t>
            </w:r>
            <w:r>
              <w:rPr>
                <w:rFonts w:eastAsia="Calibri"/>
              </w:rPr>
              <w:t>Banca Na</w:t>
            </w:r>
            <w:r w:rsidR="00D311C9">
              <w:rPr>
                <w:rFonts w:eastAsia="Calibri"/>
              </w:rPr>
              <w:t>ț</w:t>
            </w:r>
            <w:r>
              <w:rPr>
                <w:rFonts w:eastAsia="Calibri"/>
              </w:rPr>
              <w:t>ional</w:t>
            </w:r>
            <w:r w:rsidR="00A45349">
              <w:rPr>
                <w:rFonts w:eastAsia="Calibri"/>
              </w:rPr>
              <w:t>ă</w:t>
            </w:r>
            <w:r w:rsidRPr="00441EF0">
              <w:rPr>
                <w:rFonts w:eastAsia="Calibri"/>
              </w:rPr>
              <w:t xml:space="preserve"> a României </w:t>
            </w:r>
            <w:r w:rsidR="00D311C9">
              <w:rPr>
                <w:rFonts w:eastAsia="Calibri"/>
              </w:rPr>
              <w:t>ș</w:t>
            </w:r>
            <w:r w:rsidRPr="00441EF0">
              <w:rPr>
                <w:rFonts w:eastAsia="Calibri"/>
              </w:rPr>
              <w:t>i cu privire la competen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a  Băncii Na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ionale a României de a interveni în caz de neconformare. În acest sens, s-a prevăzut posibilitatea ca B</w:t>
            </w:r>
            <w:r>
              <w:rPr>
                <w:rFonts w:eastAsia="Calibri"/>
              </w:rPr>
              <w:t>anca Na</w:t>
            </w:r>
            <w:r w:rsidR="00D311C9">
              <w:rPr>
                <w:rFonts w:eastAsia="Calibri"/>
              </w:rPr>
              <w:t>ț</w:t>
            </w:r>
            <w:r>
              <w:rPr>
                <w:rFonts w:eastAsia="Calibri"/>
              </w:rPr>
              <w:t>ională</w:t>
            </w:r>
            <w:r w:rsidRPr="00441EF0">
              <w:rPr>
                <w:rFonts w:eastAsia="Calibri"/>
              </w:rPr>
              <w:t xml:space="preserve"> a României să facă recomandări institu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 xml:space="preserve">iilor de credit </w:t>
            </w:r>
            <w:r w:rsidR="00D311C9">
              <w:rPr>
                <w:rFonts w:eastAsia="Calibri"/>
              </w:rPr>
              <w:t>ș</w:t>
            </w:r>
            <w:r w:rsidRPr="00441EF0">
              <w:rPr>
                <w:rFonts w:eastAsia="Calibri"/>
              </w:rPr>
              <w:t>i entită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 xml:space="preserve">ilor prevăzute la art. 1 alin. (1) lit. b), c) sau d) </w:t>
            </w:r>
            <w:r w:rsidR="00D311C9">
              <w:rPr>
                <w:rFonts w:eastAsia="Calibri"/>
              </w:rPr>
              <w:t>ș</w:t>
            </w:r>
            <w:r w:rsidRPr="00441EF0">
              <w:rPr>
                <w:rFonts w:eastAsia="Calibri"/>
              </w:rPr>
              <w:t>i /sau să poată dispune măsuri în situa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ia în care acestea nu asigură implementarea corespunzătoare a instruc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iunilor/precizărilor emise de B</w:t>
            </w:r>
            <w:r>
              <w:rPr>
                <w:rFonts w:eastAsia="Calibri"/>
              </w:rPr>
              <w:t xml:space="preserve">anca </w:t>
            </w:r>
            <w:r w:rsidR="0087704B">
              <w:rPr>
                <w:rFonts w:eastAsia="Calibri"/>
              </w:rPr>
              <w:t>N</w:t>
            </w:r>
            <w:r w:rsidRPr="00441EF0">
              <w:rPr>
                <w:rFonts w:eastAsia="Calibri"/>
              </w:rPr>
              <w:t>a</w:t>
            </w:r>
            <w:r w:rsidR="00D311C9">
              <w:rPr>
                <w:rFonts w:eastAsia="Calibri"/>
              </w:rPr>
              <w:t>ț</w:t>
            </w:r>
            <w:r w:rsidRPr="00441EF0">
              <w:rPr>
                <w:rFonts w:eastAsia="Calibri"/>
              </w:rPr>
              <w:t>ional</w:t>
            </w:r>
            <w:r w:rsidR="0087704B">
              <w:rPr>
                <w:rFonts w:eastAsia="Calibri"/>
              </w:rPr>
              <w:t>ă</w:t>
            </w:r>
            <w:r w:rsidRPr="00441EF0">
              <w:rPr>
                <w:rFonts w:eastAsia="Calibri"/>
              </w:rPr>
              <w:t xml:space="preserve"> a României cu privire la ghidurile </w:t>
            </w:r>
            <w:r w:rsidR="00D311C9">
              <w:rPr>
                <w:rFonts w:eastAsia="Calibri"/>
              </w:rPr>
              <w:t>ș</w:t>
            </w:r>
            <w:r w:rsidRPr="00441EF0">
              <w:rPr>
                <w:rFonts w:eastAsia="Calibri"/>
              </w:rPr>
              <w:t>i recomandările emise de ABE.</w:t>
            </w:r>
          </w:p>
          <w:p w14:paraId="1B166216" w14:textId="77777777" w:rsidR="00297A66" w:rsidRPr="00887D37" w:rsidRDefault="00297A66" w:rsidP="00441EF0">
            <w:pPr>
              <w:autoSpaceDE w:val="0"/>
              <w:jc w:val="both"/>
              <w:rPr>
                <w:rFonts w:eastAsia="Calibri"/>
              </w:rPr>
            </w:pPr>
          </w:p>
          <w:p w14:paraId="44BD9340" w14:textId="77777777" w:rsidR="00726A5E" w:rsidRPr="00887D37" w:rsidRDefault="00B34CF3" w:rsidP="002E54DB">
            <w:pPr>
              <w:autoSpaceDE w:val="0"/>
              <w:jc w:val="both"/>
              <w:rPr>
                <w:b/>
              </w:rPr>
            </w:pPr>
            <w:r w:rsidRPr="00887D37">
              <w:rPr>
                <w:rFonts w:eastAsia="Calibri"/>
                <w:b/>
              </w:rPr>
              <w:t xml:space="preserve">2. B. Propuneri de amendamente aduse altor acte normative </w:t>
            </w:r>
          </w:p>
          <w:p w14:paraId="37C6CD00" w14:textId="77777777" w:rsidR="00A9548E" w:rsidRDefault="00A9548E" w:rsidP="002E54DB">
            <w:pPr>
              <w:jc w:val="both"/>
              <w:rPr>
                <w:b/>
                <w:color w:val="000000"/>
                <w:lang w:eastAsia="ro-RO"/>
              </w:rPr>
            </w:pPr>
          </w:p>
          <w:p w14:paraId="60B34F2A" w14:textId="144FE57A" w:rsidR="00726A5E" w:rsidRPr="00A9548E" w:rsidRDefault="00B34CF3" w:rsidP="002E54DB">
            <w:pPr>
              <w:jc w:val="both"/>
              <w:rPr>
                <w:b/>
                <w:color w:val="000000"/>
                <w:lang w:eastAsia="ro-RO"/>
              </w:rPr>
            </w:pPr>
            <w:r w:rsidRPr="00887D37">
              <w:rPr>
                <w:b/>
                <w:color w:val="000000"/>
                <w:lang w:eastAsia="ro-RO"/>
              </w:rPr>
              <w:t xml:space="preserve">Amendamente cu privire la </w:t>
            </w:r>
            <w:r w:rsidR="00A9548E" w:rsidRPr="00A9548E">
              <w:rPr>
                <w:b/>
              </w:rPr>
              <w:t>Legea nr. 85/2014 privind procedurile de prevenire a insolven</w:t>
            </w:r>
            <w:r w:rsidR="00D311C9">
              <w:rPr>
                <w:b/>
              </w:rPr>
              <w:t>ț</w:t>
            </w:r>
            <w:r w:rsidR="00A9548E" w:rsidRPr="00A9548E">
              <w:rPr>
                <w:b/>
              </w:rPr>
              <w:t xml:space="preserve">ei </w:t>
            </w:r>
            <w:r w:rsidR="00D311C9">
              <w:rPr>
                <w:b/>
              </w:rPr>
              <w:t>ș</w:t>
            </w:r>
            <w:r w:rsidR="00A9548E" w:rsidRPr="00A9548E">
              <w:rPr>
                <w:b/>
              </w:rPr>
              <w:t>i de insolven</w:t>
            </w:r>
            <w:r w:rsidR="00D311C9">
              <w:rPr>
                <w:b/>
              </w:rPr>
              <w:t>ț</w:t>
            </w:r>
            <w:r w:rsidR="00A9548E" w:rsidRPr="00A9548E">
              <w:rPr>
                <w:b/>
              </w:rPr>
              <w:t>ă</w:t>
            </w:r>
            <w:r w:rsidR="009E6D5B">
              <w:rPr>
                <w:b/>
              </w:rPr>
              <w:t>:</w:t>
            </w:r>
          </w:p>
          <w:p w14:paraId="59F0FA1D" w14:textId="74A98F3E" w:rsidR="00A9548E" w:rsidRDefault="00A9548E" w:rsidP="00A9548E">
            <w:pPr>
              <w:jc w:val="both"/>
            </w:pPr>
            <w:r>
              <w:t>- introducerea de prevederi care să asigure faptul că, în procedura obi</w:t>
            </w:r>
            <w:r w:rsidR="00D311C9">
              <w:t>ș</w:t>
            </w:r>
            <w:r>
              <w:t>nuită de insolven</w:t>
            </w:r>
            <w:r w:rsidR="00D311C9">
              <w:t>ț</w:t>
            </w:r>
            <w:r>
              <w:t xml:space="preserve">ă, </w:t>
            </w:r>
            <w:r w:rsidRPr="00B00540">
              <w:t>crean</w:t>
            </w:r>
            <w:r w:rsidR="00D311C9">
              <w:t>ț</w:t>
            </w:r>
            <w:r w:rsidRPr="00B00540">
              <w:t xml:space="preserve">ele care rezultă din elemente ale fondurilor proprii </w:t>
            </w:r>
            <w:r>
              <w:t xml:space="preserve">au </w:t>
            </w:r>
            <w:r w:rsidRPr="00B00540">
              <w:t>un rang</w:t>
            </w:r>
            <w:r>
              <w:t xml:space="preserve"> de prioritate</w:t>
            </w:r>
            <w:r w:rsidRPr="00B00540">
              <w:t xml:space="preserve"> inferior </w:t>
            </w:r>
            <w:r>
              <w:t>celui</w:t>
            </w:r>
            <w:r w:rsidRPr="00B00540">
              <w:t xml:space="preserve"> acordat oricărei alte crean</w:t>
            </w:r>
            <w:r w:rsidR="00D311C9">
              <w:t>ț</w:t>
            </w:r>
            <w:r w:rsidRPr="00B00540">
              <w:t>e subordonate</w:t>
            </w:r>
            <w:r w:rsidR="009E6D5B">
              <w:t>;</w:t>
            </w:r>
          </w:p>
          <w:p w14:paraId="0CB80E0B" w14:textId="65F91B7C" w:rsidR="00A9548E" w:rsidRPr="00B00540" w:rsidRDefault="00A9548E" w:rsidP="00A9548E">
            <w:pPr>
              <w:jc w:val="both"/>
              <w:rPr>
                <w:b/>
              </w:rPr>
            </w:pPr>
            <w:r>
              <w:t xml:space="preserve">- </w:t>
            </w:r>
            <w:r w:rsidR="00D72F6C">
              <w:t xml:space="preserve">introducerea de prevederi potrivit cărora </w:t>
            </w:r>
            <w:r>
              <w:t>i</w:t>
            </w:r>
            <w:r w:rsidRPr="00B00540">
              <w:t>nstrumentele care sunt doar par</w:t>
            </w:r>
            <w:r w:rsidR="00D311C9">
              <w:t>ț</w:t>
            </w:r>
            <w:r w:rsidRPr="00B00540">
              <w:t xml:space="preserve">ial recunoscute </w:t>
            </w:r>
            <w:r>
              <w:t>în categoria</w:t>
            </w:r>
            <w:r w:rsidRPr="00B00540">
              <w:t xml:space="preserve"> fonduri</w:t>
            </w:r>
            <w:r>
              <w:t>lor</w:t>
            </w:r>
            <w:r w:rsidRPr="00B00540">
              <w:t xml:space="preserve"> proprii trebui</w:t>
            </w:r>
            <w:r>
              <w:t>e</w:t>
            </w:r>
            <w:r w:rsidRPr="00B00540">
              <w:t xml:space="preserve"> să fie tratate drept crean</w:t>
            </w:r>
            <w:r w:rsidR="00D311C9">
              <w:t>ț</w:t>
            </w:r>
            <w:r w:rsidRPr="00B00540">
              <w:t>e rezultate din fondurile proprii pentru valoarea lor integrală.</w:t>
            </w:r>
          </w:p>
          <w:p w14:paraId="0BFF77DE" w14:textId="77777777" w:rsidR="00726A5E" w:rsidRPr="00887D37" w:rsidRDefault="00726A5E" w:rsidP="002E54DB">
            <w:pPr>
              <w:jc w:val="both"/>
              <w:rPr>
                <w:b/>
              </w:rPr>
            </w:pPr>
          </w:p>
          <w:p w14:paraId="62A63825" w14:textId="4F6A57B5" w:rsidR="006144C1" w:rsidRPr="00887D37" w:rsidRDefault="00A9548E" w:rsidP="00FA07B6">
            <w:pPr>
              <w:jc w:val="both"/>
              <w:rPr>
                <w:b/>
              </w:rPr>
            </w:pPr>
            <w:r>
              <w:rPr>
                <w:b/>
              </w:rPr>
              <w:t xml:space="preserve">Amendamente cu privire la </w:t>
            </w:r>
            <w:r w:rsidRPr="00A9548E">
              <w:rPr>
                <w:b/>
              </w:rPr>
              <w:t>Legea nr. 253/2004 privind caracterul definitiv al decontării în sistemele de plă</w:t>
            </w:r>
            <w:r w:rsidR="00D311C9">
              <w:rPr>
                <w:b/>
              </w:rPr>
              <w:t>ț</w:t>
            </w:r>
            <w:r w:rsidRPr="00A9548E">
              <w:rPr>
                <w:b/>
              </w:rPr>
              <w:t xml:space="preserve">i </w:t>
            </w:r>
            <w:r w:rsidR="00D311C9">
              <w:rPr>
                <w:b/>
              </w:rPr>
              <w:t>ș</w:t>
            </w:r>
            <w:r w:rsidRPr="00A9548E">
              <w:rPr>
                <w:b/>
              </w:rPr>
              <w:t>i în sistemele de decontare a opera</w:t>
            </w:r>
            <w:r w:rsidR="00D311C9">
              <w:rPr>
                <w:b/>
              </w:rPr>
              <w:t>ț</w:t>
            </w:r>
            <w:r w:rsidRPr="00A9548E">
              <w:rPr>
                <w:b/>
              </w:rPr>
              <w:t>iunilor cu instrumente financiare</w:t>
            </w:r>
            <w:r w:rsidR="009E6D5B">
              <w:rPr>
                <w:b/>
              </w:rPr>
              <w:t>:</w:t>
            </w:r>
          </w:p>
          <w:p w14:paraId="1DC4BBA2" w14:textId="3A6E86B3" w:rsidR="00726A5E" w:rsidRPr="00887D37" w:rsidRDefault="00A9548E" w:rsidP="002B3A0A">
            <w:pPr>
              <w:ind w:hanging="142"/>
              <w:jc w:val="both"/>
            </w:pPr>
            <w:r>
              <w:rPr>
                <w:b/>
              </w:rPr>
              <w:t xml:space="preserve">- </w:t>
            </w:r>
            <w:r w:rsidR="00FA07B6" w:rsidRPr="00D311C9">
              <w:t>introducerea unor dispozi</w:t>
            </w:r>
            <w:r w:rsidR="00D311C9">
              <w:t>ț</w:t>
            </w:r>
            <w:r w:rsidR="00FA07B6" w:rsidRPr="00D311C9">
              <w:t>ii pentru</w:t>
            </w:r>
            <w:r w:rsidR="00FA07B6">
              <w:rPr>
                <w:b/>
              </w:rPr>
              <w:t xml:space="preserve"> </w:t>
            </w:r>
            <w:r w:rsidRPr="0082145D">
              <w:t>preluarea unor concepte i</w:t>
            </w:r>
            <w:r w:rsidRPr="00971AC0">
              <w:t xml:space="preserve">ntroduse de </w:t>
            </w:r>
            <w:r w:rsidRPr="002B3A0A">
              <w:rPr>
                <w:i/>
              </w:rPr>
              <w:t>Regulamentul (UE) nr. 648/2012</w:t>
            </w:r>
            <w:r w:rsidR="002B3A0A" w:rsidRPr="002B3A0A">
              <w:rPr>
                <w:i/>
              </w:rPr>
              <w:t xml:space="preserve"> privind instrumentele financiare derivate extrabursiere, contrapăr</w:t>
            </w:r>
            <w:r w:rsidR="00D311C9">
              <w:rPr>
                <w:i/>
              </w:rPr>
              <w:t>ț</w:t>
            </w:r>
            <w:r w:rsidR="002B3A0A" w:rsidRPr="002B3A0A">
              <w:rPr>
                <w:i/>
              </w:rPr>
              <w:t xml:space="preserve">ile centrale </w:t>
            </w:r>
            <w:r w:rsidR="00D311C9">
              <w:rPr>
                <w:i/>
              </w:rPr>
              <w:t>ș</w:t>
            </w:r>
            <w:r w:rsidR="002B3A0A" w:rsidRPr="002B3A0A">
              <w:rPr>
                <w:i/>
              </w:rPr>
              <w:t>i registrele centrale de tranzac</w:t>
            </w:r>
            <w:r w:rsidR="00D311C9">
              <w:rPr>
                <w:i/>
              </w:rPr>
              <w:t>ț</w:t>
            </w:r>
            <w:r w:rsidR="002B3A0A" w:rsidRPr="002B3A0A">
              <w:rPr>
                <w:i/>
              </w:rPr>
              <w:t>ii</w:t>
            </w:r>
            <w:r w:rsidRPr="00971AC0">
              <w:t xml:space="preserve"> referitoare la „contraparte centrală” sau „CPC” </w:t>
            </w:r>
            <w:r w:rsidR="00D311C9">
              <w:t>ș</w:t>
            </w:r>
            <w:r w:rsidRPr="00971AC0">
              <w:t>i la „participant</w:t>
            </w:r>
            <w:r>
              <w:t>” pentru a se asigura o în</w:t>
            </w:r>
            <w:r w:rsidR="00D311C9">
              <w:t>ț</w:t>
            </w:r>
            <w:r>
              <w:t xml:space="preserve">elegere </w:t>
            </w:r>
            <w:r w:rsidRPr="00971AC0">
              <w:t>comun</w:t>
            </w:r>
            <w:r>
              <w:t>ă</w:t>
            </w:r>
            <w:r w:rsidRPr="00971AC0">
              <w:t xml:space="preserve"> a termenilor utiliza</w:t>
            </w:r>
            <w:r w:rsidR="00D311C9">
              <w:t>ț</w:t>
            </w:r>
            <w:r w:rsidRPr="00971AC0">
              <w:t>i în diferitele instrumente juridice.</w:t>
            </w:r>
          </w:p>
        </w:tc>
      </w:tr>
      <w:tr w:rsidR="00726A5E" w:rsidRPr="00887D37" w14:paraId="11484C5D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38D0" w14:textId="4DC99FDB" w:rsidR="00726A5E" w:rsidRPr="00887D37" w:rsidRDefault="00B34CF3" w:rsidP="002E54DB">
            <w:pPr>
              <w:jc w:val="both"/>
            </w:pPr>
            <w:r w:rsidRPr="00887D37">
              <w:rPr>
                <w:b/>
              </w:rPr>
              <w:lastRenderedPageBreak/>
              <w:t>3. Alte informa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ii</w:t>
            </w:r>
          </w:p>
          <w:p w14:paraId="38AE498C" w14:textId="77777777" w:rsidR="00726A5E" w:rsidRPr="00887D37" w:rsidRDefault="00726A5E" w:rsidP="002E54DB">
            <w:pPr>
              <w:ind w:firstLine="612"/>
              <w:jc w:val="both"/>
            </w:pPr>
          </w:p>
        </w:tc>
      </w:tr>
      <w:tr w:rsidR="00726A5E" w:rsidRPr="00887D37" w14:paraId="1486CF28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50B9" w14:textId="53DF6D08" w:rsidR="00726A5E" w:rsidRPr="00887D37" w:rsidRDefault="00B34CF3" w:rsidP="002E54DB">
            <w:pPr>
              <w:jc w:val="center"/>
              <w:rPr>
                <w:b/>
              </w:rPr>
            </w:pPr>
            <w:r w:rsidRPr="00887D37">
              <w:rPr>
                <w:b/>
              </w:rPr>
              <w:t>Sec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iunea a 3-a</w:t>
            </w:r>
          </w:p>
          <w:p w14:paraId="3A241001" w14:textId="5BCD69FB" w:rsidR="00726A5E" w:rsidRPr="00887D37" w:rsidRDefault="00B34CF3" w:rsidP="0029331C">
            <w:pPr>
              <w:jc w:val="center"/>
              <w:rPr>
                <w:b/>
              </w:rPr>
            </w:pPr>
            <w:r w:rsidRPr="00887D37">
              <w:rPr>
                <w:b/>
              </w:rPr>
              <w:t>Impactul socio-economic al proiectului de act normativ</w:t>
            </w:r>
          </w:p>
        </w:tc>
      </w:tr>
      <w:tr w:rsidR="00726A5E" w:rsidRPr="00887D37" w14:paraId="6C2789C6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5EE60" w14:textId="77777777" w:rsidR="00726A5E" w:rsidRPr="00887D37" w:rsidRDefault="00B34CF3" w:rsidP="002E54DB">
            <w:pPr>
              <w:jc w:val="both"/>
            </w:pPr>
            <w:r w:rsidRPr="00887D37">
              <w:rPr>
                <w:b/>
                <w:bCs/>
              </w:rPr>
              <w:t>1. Impact macro-economic</w:t>
            </w:r>
          </w:p>
          <w:p w14:paraId="4E569F3B" w14:textId="77777777" w:rsidR="00726A5E" w:rsidRPr="00887D37" w:rsidRDefault="00B34CF3" w:rsidP="002E54DB">
            <w:pPr>
              <w:jc w:val="both"/>
            </w:pPr>
            <w:r w:rsidRPr="00887D37">
              <w:t>Nu este cazul</w:t>
            </w:r>
          </w:p>
        </w:tc>
      </w:tr>
      <w:tr w:rsidR="00726A5E" w:rsidRPr="00887D37" w14:paraId="160BFB09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6DFC" w14:textId="27E58B8F" w:rsidR="00726A5E" w:rsidRPr="00887D37" w:rsidRDefault="00B34CF3" w:rsidP="002E54DB">
            <w:pPr>
              <w:jc w:val="both"/>
              <w:rPr>
                <w:bCs/>
              </w:rPr>
            </w:pPr>
            <w:r w:rsidRPr="00887D37">
              <w:rPr>
                <w:b/>
                <w:bCs/>
              </w:rPr>
              <w:t>1</w:t>
            </w:r>
            <w:r w:rsidRPr="00887D37">
              <w:rPr>
                <w:b/>
                <w:bCs/>
                <w:vertAlign w:val="superscript"/>
              </w:rPr>
              <w:t xml:space="preserve">1 </w:t>
            </w:r>
            <w:r w:rsidRPr="00887D37">
              <w:rPr>
                <w:b/>
              </w:rPr>
              <w:t>Impactul asupra mediului concuren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 xml:space="preserve">ial </w:t>
            </w:r>
            <w:r w:rsidR="00D311C9">
              <w:rPr>
                <w:b/>
              </w:rPr>
              <w:t>ș</w:t>
            </w:r>
            <w:r w:rsidRPr="00887D37">
              <w:rPr>
                <w:b/>
              </w:rPr>
              <w:t>i domeniul ajutoarelor de stat</w:t>
            </w:r>
          </w:p>
          <w:p w14:paraId="20D13C88" w14:textId="0E1686D0" w:rsidR="00726A5E" w:rsidRPr="00887D37" w:rsidRDefault="00B34CF3" w:rsidP="0086401E">
            <w:pPr>
              <w:jc w:val="both"/>
            </w:pPr>
            <w:r w:rsidRPr="00887D37">
              <w:rPr>
                <w:bCs/>
              </w:rPr>
              <w:t>Se apreciază că proiectul de act normativ va avea impact în domeniul</w:t>
            </w:r>
            <w:r w:rsidR="0086401E">
              <w:rPr>
                <w:bCs/>
              </w:rPr>
              <w:t xml:space="preserve"> determinării cerin</w:t>
            </w:r>
            <w:r w:rsidR="00D311C9">
              <w:rPr>
                <w:bCs/>
              </w:rPr>
              <w:t>ț</w:t>
            </w:r>
            <w:r w:rsidR="0086401E">
              <w:rPr>
                <w:bCs/>
              </w:rPr>
              <w:t>ei MREL atât pentru institu</w:t>
            </w:r>
            <w:r w:rsidR="00D311C9">
              <w:rPr>
                <w:bCs/>
              </w:rPr>
              <w:t>ț</w:t>
            </w:r>
            <w:r w:rsidR="0086401E">
              <w:rPr>
                <w:bCs/>
              </w:rPr>
              <w:t>iile care prezintă importan</w:t>
            </w:r>
            <w:r w:rsidR="00D311C9">
              <w:rPr>
                <w:bCs/>
              </w:rPr>
              <w:t>ț</w:t>
            </w:r>
            <w:r w:rsidR="0086401E">
              <w:rPr>
                <w:bCs/>
              </w:rPr>
              <w:t xml:space="preserve">ă sistemică pe plan local cât </w:t>
            </w:r>
            <w:r w:rsidR="00D311C9">
              <w:rPr>
                <w:bCs/>
              </w:rPr>
              <w:t>și pentru celelal</w:t>
            </w:r>
            <w:r w:rsidR="0086401E">
              <w:rPr>
                <w:bCs/>
              </w:rPr>
              <w:t>te categorii de institu</w:t>
            </w:r>
            <w:r w:rsidR="00D311C9">
              <w:rPr>
                <w:bCs/>
              </w:rPr>
              <w:t>ț</w:t>
            </w:r>
            <w:r w:rsidR="0086401E">
              <w:rPr>
                <w:bCs/>
              </w:rPr>
              <w:t>ii de credit.</w:t>
            </w:r>
          </w:p>
        </w:tc>
      </w:tr>
      <w:tr w:rsidR="00726A5E" w:rsidRPr="00887D37" w14:paraId="20B0DDFC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A42A3" w14:textId="77777777" w:rsidR="00726A5E" w:rsidRPr="00887D37" w:rsidRDefault="00B34CF3" w:rsidP="002E54DB">
            <w:pPr>
              <w:jc w:val="both"/>
            </w:pPr>
            <w:r w:rsidRPr="00887D37">
              <w:rPr>
                <w:b/>
                <w:bCs/>
              </w:rPr>
              <w:t>2. Impact asupra mediului de afaceri</w:t>
            </w:r>
          </w:p>
          <w:p w14:paraId="72CB5428" w14:textId="602D5A4C" w:rsidR="0086401E" w:rsidRDefault="00B34CF3" w:rsidP="002E54DB">
            <w:pPr>
              <w:jc w:val="both"/>
            </w:pPr>
            <w:r w:rsidRPr="00887D37">
              <w:t>Se apreciază că proiectul de act normativ va avea implica</w:t>
            </w:r>
            <w:r w:rsidR="00D311C9">
              <w:t>ț</w:t>
            </w:r>
            <w:r w:rsidRPr="00887D37">
              <w:t xml:space="preserve">ii asupra mediului de afaceri, prin beneficiile aduse </w:t>
            </w:r>
            <w:r w:rsidR="001D2DED">
              <w:t>în</w:t>
            </w:r>
            <w:r w:rsidR="0041376E">
              <w:t xml:space="preserve"> </w:t>
            </w:r>
            <w:r w:rsidRPr="00887D37">
              <w:t>men</w:t>
            </w:r>
            <w:r w:rsidR="00D311C9">
              <w:t>ț</w:t>
            </w:r>
            <w:r w:rsidRPr="00887D37">
              <w:t>inerea stabilită</w:t>
            </w:r>
            <w:r w:rsidR="00D311C9">
              <w:t>ț</w:t>
            </w:r>
            <w:r w:rsidRPr="00887D37">
              <w:t>ii financiare,</w:t>
            </w:r>
            <w:r w:rsidR="0086401E">
              <w:t xml:space="preserve"> ca obiectiv de interes general, prin:</w:t>
            </w:r>
          </w:p>
          <w:p w14:paraId="7D6886C7" w14:textId="730DB8D8" w:rsidR="0086401E" w:rsidRDefault="0086401E" w:rsidP="002E54DB">
            <w:pPr>
              <w:jc w:val="both"/>
            </w:pPr>
            <w:r>
              <w:t>- solicitarea îndeplinirii de către institu</w:t>
            </w:r>
            <w:r w:rsidR="00D311C9">
              <w:t>ț</w:t>
            </w:r>
            <w:r>
              <w:t>iile de credit a unei cerin</w:t>
            </w:r>
            <w:r w:rsidR="00D311C9">
              <w:t>ț</w:t>
            </w:r>
            <w:r>
              <w:t>e minime MREL</w:t>
            </w:r>
            <w:r w:rsidR="000433DA">
              <w:t>, aliniată la standardul TLAC,</w:t>
            </w:r>
            <w:r>
              <w:t xml:space="preserve"> care să asigure o capacitate adecvată de acoperire a pierderilor </w:t>
            </w:r>
            <w:r w:rsidR="00D311C9">
              <w:t>ș</w:t>
            </w:r>
            <w:r>
              <w:t>i de recapitalizare;</w:t>
            </w:r>
          </w:p>
          <w:p w14:paraId="2E077110" w14:textId="01FDE605" w:rsidR="0086401E" w:rsidRDefault="0086401E" w:rsidP="002E54DB">
            <w:pPr>
              <w:jc w:val="both"/>
            </w:pPr>
            <w:r>
              <w:t>- impunerea de cerin</w:t>
            </w:r>
            <w:r w:rsidR="00D311C9">
              <w:t>ț</w:t>
            </w:r>
            <w:r>
              <w:t>e de raportare</w:t>
            </w:r>
            <w:r w:rsidR="00D72F6C">
              <w:t xml:space="preserve"> către autoritatea de rezolu</w:t>
            </w:r>
            <w:r w:rsidR="00D311C9">
              <w:t>ț</w:t>
            </w:r>
            <w:r w:rsidR="00D72F6C">
              <w:t xml:space="preserve">ie </w:t>
            </w:r>
            <w:r w:rsidR="00D311C9">
              <w:t>ș</w:t>
            </w:r>
            <w:r w:rsidR="00D72F6C">
              <w:t>i autoritatea competentă</w:t>
            </w:r>
            <w:r>
              <w:t xml:space="preserve"> </w:t>
            </w:r>
            <w:r w:rsidR="00D311C9">
              <w:t>ș</w:t>
            </w:r>
            <w:r>
              <w:t xml:space="preserve">i </w:t>
            </w:r>
            <w:r w:rsidR="00D72F6C">
              <w:t>a unor cerin</w:t>
            </w:r>
            <w:r w:rsidR="00D311C9">
              <w:t>ț</w:t>
            </w:r>
            <w:r w:rsidR="00D72F6C">
              <w:t xml:space="preserve">e </w:t>
            </w:r>
            <w:r>
              <w:t>de transparen</w:t>
            </w:r>
            <w:r w:rsidR="00D311C9">
              <w:t>ț</w:t>
            </w:r>
            <w:r>
              <w:t>ă către pia</w:t>
            </w:r>
            <w:r w:rsidR="00D311C9">
              <w:t>ț</w:t>
            </w:r>
            <w:r>
              <w:t xml:space="preserve">ă în legătură cu nivelul </w:t>
            </w:r>
            <w:r w:rsidR="00D311C9">
              <w:t>ș</w:t>
            </w:r>
            <w:r>
              <w:t>i componen</w:t>
            </w:r>
            <w:r w:rsidR="00D311C9">
              <w:t>ț</w:t>
            </w:r>
            <w:r>
              <w:t>a cerin</w:t>
            </w:r>
            <w:r w:rsidR="00D311C9">
              <w:t>ț</w:t>
            </w:r>
            <w:r>
              <w:t>ei MREL;</w:t>
            </w:r>
          </w:p>
          <w:p w14:paraId="6E893486" w14:textId="589A5B6D" w:rsidR="00726A5E" w:rsidRPr="00887D37" w:rsidRDefault="0086401E" w:rsidP="0090117A">
            <w:pPr>
              <w:jc w:val="both"/>
            </w:pPr>
            <w:r>
              <w:t>- impunerea unor cerin</w:t>
            </w:r>
            <w:r w:rsidR="00D311C9">
              <w:t>ț</w:t>
            </w:r>
            <w:r>
              <w:t>e</w:t>
            </w:r>
            <w:r w:rsidR="0041376E">
              <w:t xml:space="preserve"> </w:t>
            </w:r>
            <w:r w:rsidR="00D311C9">
              <w:t>de conduită cu privire la vâ</w:t>
            </w:r>
            <w:r>
              <w:t>nzarea de instrumente de datorie</w:t>
            </w:r>
            <w:r w:rsidR="0090117A">
              <w:t xml:space="preserve"> eligibile către clien</w:t>
            </w:r>
            <w:r w:rsidR="00D311C9">
              <w:t>ț</w:t>
            </w:r>
            <w:r w:rsidR="0090117A">
              <w:t>i retail.</w:t>
            </w:r>
          </w:p>
        </w:tc>
      </w:tr>
      <w:tr w:rsidR="00726A5E" w:rsidRPr="00887D37" w14:paraId="56542F38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0D634" w14:textId="77777777" w:rsidR="00726A5E" w:rsidRPr="00887D37" w:rsidRDefault="00B34CF3" w:rsidP="002E54DB">
            <w:pPr>
              <w:jc w:val="both"/>
            </w:pPr>
            <w:r w:rsidRPr="00887D37">
              <w:rPr>
                <w:b/>
                <w:bCs/>
              </w:rPr>
              <w:t>3. Impact social</w:t>
            </w:r>
          </w:p>
          <w:p w14:paraId="1E665193" w14:textId="02547BFC" w:rsidR="00726A5E" w:rsidRPr="004F4799" w:rsidRDefault="000433DA" w:rsidP="002E54DB">
            <w:pPr>
              <w:jc w:val="both"/>
              <w:rPr>
                <w:b/>
                <w:bCs/>
              </w:rPr>
            </w:pPr>
            <w:r>
              <w:lastRenderedPageBreak/>
              <w:t>S</w:t>
            </w:r>
            <w:r w:rsidR="004F4799">
              <w:t>uplime</w:t>
            </w:r>
            <w:r w:rsidR="00D72F6C">
              <w:t>n</w:t>
            </w:r>
            <w:r w:rsidR="004F4799">
              <w:t>tarea competen</w:t>
            </w:r>
            <w:r w:rsidR="00D311C9">
              <w:t>ț</w:t>
            </w:r>
            <w:r w:rsidR="004F4799">
              <w:t>elor a</w:t>
            </w:r>
            <w:r w:rsidR="00B34CF3" w:rsidRPr="00887D37">
              <w:t>utorit</w:t>
            </w:r>
            <w:r w:rsidR="004F4799">
              <w:t>ă</w:t>
            </w:r>
            <w:r w:rsidR="00D311C9">
              <w:t>ț</w:t>
            </w:r>
            <w:r w:rsidR="004F4799">
              <w:t>ii</w:t>
            </w:r>
            <w:r w:rsidR="00B34CF3" w:rsidRPr="00887D37">
              <w:t xml:space="preserve"> de rezolu</w:t>
            </w:r>
            <w:r w:rsidR="00D311C9">
              <w:t>ț</w:t>
            </w:r>
            <w:r w:rsidR="00B34CF3" w:rsidRPr="00887D37">
              <w:t>ie contribuie la men</w:t>
            </w:r>
            <w:r w:rsidR="00D311C9">
              <w:t>ț</w:t>
            </w:r>
            <w:r w:rsidR="00B34CF3" w:rsidRPr="00887D37">
              <w:t>inerea stabilită</w:t>
            </w:r>
            <w:r w:rsidR="00D311C9">
              <w:t>ț</w:t>
            </w:r>
            <w:r w:rsidR="00B34CF3" w:rsidRPr="00887D37">
              <w:t xml:space="preserve">ii financiare prin asigurarea </w:t>
            </w:r>
            <w:r w:rsidR="00B34CF3" w:rsidRPr="00A867E2">
              <w:t>accesului neîntrerupt</w:t>
            </w:r>
            <w:r w:rsidR="00B34CF3" w:rsidRPr="00887D37">
              <w:t xml:space="preserve"> al deponen</w:t>
            </w:r>
            <w:r w:rsidR="00D311C9">
              <w:t>ț</w:t>
            </w:r>
            <w:r w:rsidR="00B34CF3" w:rsidRPr="00887D37">
              <w:t xml:space="preserve">ilor la depozite </w:t>
            </w:r>
            <w:r w:rsidR="00D311C9">
              <w:t>ș</w:t>
            </w:r>
            <w:r w:rsidR="00B34CF3" w:rsidRPr="00887D37">
              <w:t>i continuarea prestării către clien</w:t>
            </w:r>
            <w:r w:rsidR="00D311C9">
              <w:t>ț</w:t>
            </w:r>
            <w:r w:rsidR="00B34CF3" w:rsidRPr="00887D37">
              <w:t>i a serviciilor financiare în cazul institu</w:t>
            </w:r>
            <w:r w:rsidR="00D311C9">
              <w:t>ț</w:t>
            </w:r>
            <w:r w:rsidR="00B34CF3" w:rsidRPr="00887D37">
              <w:t>iilor de credit aflate în dificultate.</w:t>
            </w:r>
          </w:p>
        </w:tc>
      </w:tr>
      <w:tr w:rsidR="00726A5E" w:rsidRPr="00887D37" w14:paraId="72A37EF0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67BC" w14:textId="77777777" w:rsidR="00726A5E" w:rsidRPr="00887D37" w:rsidRDefault="00B34CF3" w:rsidP="002E54DB">
            <w:pPr>
              <w:jc w:val="both"/>
              <w:rPr>
                <w:bCs/>
              </w:rPr>
            </w:pPr>
            <w:r w:rsidRPr="00887D37">
              <w:rPr>
                <w:b/>
              </w:rPr>
              <w:lastRenderedPageBreak/>
              <w:t>4. Impact asupra mediului</w:t>
            </w:r>
          </w:p>
          <w:p w14:paraId="1C2C82D2" w14:textId="77777777" w:rsidR="00726A5E" w:rsidRPr="00887D37" w:rsidRDefault="00B34CF3" w:rsidP="002E54DB">
            <w:pPr>
              <w:autoSpaceDE w:val="0"/>
              <w:jc w:val="both"/>
            </w:pPr>
            <w:r w:rsidRPr="00887D37">
              <w:rPr>
                <w:bCs/>
              </w:rPr>
              <w:t>Nu este cazul</w:t>
            </w:r>
          </w:p>
        </w:tc>
      </w:tr>
      <w:tr w:rsidR="00726A5E" w:rsidRPr="00887D37" w14:paraId="77E8232D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B66D" w14:textId="718F8D18" w:rsidR="00726A5E" w:rsidRPr="00887D37" w:rsidRDefault="00B34CF3" w:rsidP="002E54DB">
            <w:pPr>
              <w:jc w:val="both"/>
            </w:pPr>
            <w:r w:rsidRPr="00887D37">
              <w:rPr>
                <w:b/>
                <w:bCs/>
              </w:rPr>
              <w:t>5. Alte informa</w:t>
            </w:r>
            <w:r w:rsidR="00D311C9">
              <w:rPr>
                <w:b/>
                <w:bCs/>
              </w:rPr>
              <w:t>ț</w:t>
            </w:r>
            <w:r w:rsidRPr="00887D37">
              <w:rPr>
                <w:b/>
                <w:bCs/>
              </w:rPr>
              <w:t>ii</w:t>
            </w:r>
          </w:p>
        </w:tc>
      </w:tr>
      <w:tr w:rsidR="00726A5E" w:rsidRPr="00887D37" w14:paraId="5BB7A375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5C4D" w14:textId="6D476665" w:rsidR="00726A5E" w:rsidRPr="00887D37" w:rsidRDefault="00B34CF3" w:rsidP="002E54DB">
            <w:pPr>
              <w:jc w:val="center"/>
              <w:rPr>
                <w:b/>
              </w:rPr>
            </w:pPr>
            <w:r w:rsidRPr="00887D37">
              <w:rPr>
                <w:b/>
              </w:rPr>
              <w:t>Sec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iunea a 4-a</w:t>
            </w:r>
          </w:p>
          <w:p w14:paraId="7FD3BFA0" w14:textId="77777777" w:rsidR="00726A5E" w:rsidRPr="00887D37" w:rsidRDefault="00B34CF3" w:rsidP="002E54DB">
            <w:pPr>
              <w:jc w:val="center"/>
              <w:rPr>
                <w:b/>
              </w:rPr>
            </w:pPr>
            <w:r w:rsidRPr="00887D37">
              <w:rPr>
                <w:b/>
              </w:rPr>
              <w:t>Impactul financiar asupra bugetului general consolidat,</w:t>
            </w:r>
          </w:p>
          <w:p w14:paraId="796B4C2A" w14:textId="2829EEB9" w:rsidR="00726A5E" w:rsidRPr="00887D37" w:rsidRDefault="00B34CF3" w:rsidP="002E54DB">
            <w:pPr>
              <w:jc w:val="center"/>
              <w:rPr>
                <w:b/>
              </w:rPr>
            </w:pPr>
            <w:r w:rsidRPr="00887D37">
              <w:rPr>
                <w:b/>
              </w:rPr>
              <w:t xml:space="preserve">atât pe termen scurt, pentru anul curent, cât </w:t>
            </w:r>
            <w:r w:rsidR="00D311C9">
              <w:rPr>
                <w:b/>
              </w:rPr>
              <w:t>ș</w:t>
            </w:r>
            <w:r w:rsidRPr="00887D37">
              <w:rPr>
                <w:b/>
              </w:rPr>
              <w:t xml:space="preserve">i pe termen lung </w:t>
            </w:r>
          </w:p>
          <w:p w14:paraId="0FBCDEAF" w14:textId="0264579D" w:rsidR="00726A5E" w:rsidRPr="00887D37" w:rsidRDefault="00B34CF3" w:rsidP="0029331C">
            <w:pPr>
              <w:jc w:val="center"/>
              <w:rPr>
                <w:b/>
                <w:shd w:val="clear" w:color="auto" w:fill="FFFF00"/>
              </w:rPr>
            </w:pPr>
            <w:r w:rsidRPr="00887D37">
              <w:rPr>
                <w:b/>
              </w:rPr>
              <w:t>(pe 5 ani)</w:t>
            </w:r>
          </w:p>
        </w:tc>
      </w:tr>
      <w:tr w:rsidR="00726A5E" w:rsidRPr="00887D37" w14:paraId="2E773123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AF13" w14:textId="77777777" w:rsidR="00726A5E" w:rsidRPr="00887D37" w:rsidRDefault="00B34CF3" w:rsidP="002E54DB">
            <w:pPr>
              <w:jc w:val="right"/>
            </w:pPr>
            <w:r w:rsidRPr="00887D37">
              <w:t>- în mii lei (RON) -</w:t>
            </w:r>
          </w:p>
        </w:tc>
      </w:tr>
      <w:tr w:rsidR="00726A5E" w:rsidRPr="00887D37" w14:paraId="58492EA1" w14:textId="77777777" w:rsidTr="002E54DB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4DF43" w14:textId="77777777" w:rsidR="00726A5E" w:rsidRPr="00887D37" w:rsidRDefault="00B34CF3" w:rsidP="002E54DB">
            <w:pPr>
              <w:jc w:val="center"/>
            </w:pPr>
            <w:r w:rsidRPr="00887D37">
              <w:t>Indicatori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D51F" w14:textId="77777777" w:rsidR="00726A5E" w:rsidRPr="00887D37" w:rsidRDefault="00B34CF3" w:rsidP="002E54DB">
            <w:pPr>
              <w:jc w:val="center"/>
            </w:pPr>
            <w:r w:rsidRPr="00887D37">
              <w:t>Anul curent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E08D" w14:textId="77777777" w:rsidR="00726A5E" w:rsidRPr="00887D37" w:rsidRDefault="00B34CF3" w:rsidP="002E54DB">
            <w:pPr>
              <w:jc w:val="center"/>
            </w:pPr>
            <w:r w:rsidRPr="00887D37">
              <w:t>Următorii patru ani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5657" w14:textId="77777777" w:rsidR="00726A5E" w:rsidRPr="00887D37" w:rsidRDefault="00B34CF3" w:rsidP="002E54DB">
            <w:pPr>
              <w:jc w:val="center"/>
            </w:pPr>
            <w:r w:rsidRPr="00887D37">
              <w:t xml:space="preserve">Media pe patru ani </w:t>
            </w:r>
          </w:p>
        </w:tc>
      </w:tr>
      <w:tr w:rsidR="00726A5E" w:rsidRPr="00887D37" w14:paraId="56C0F989" w14:textId="77777777" w:rsidTr="002E54DB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ECD54" w14:textId="77777777" w:rsidR="00726A5E" w:rsidRPr="00887D37" w:rsidRDefault="00B34CF3" w:rsidP="002E54DB">
            <w:pPr>
              <w:jc w:val="center"/>
            </w:pPr>
            <w:r w:rsidRPr="00887D37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C624" w14:textId="77777777" w:rsidR="00726A5E" w:rsidRPr="00887D37" w:rsidRDefault="00B34CF3" w:rsidP="002E54DB">
            <w:pPr>
              <w:jc w:val="center"/>
            </w:pPr>
            <w:r w:rsidRPr="00887D37"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1683" w14:textId="77777777" w:rsidR="00726A5E" w:rsidRPr="00887D37" w:rsidRDefault="00B34CF3" w:rsidP="002E54DB">
            <w:pPr>
              <w:jc w:val="center"/>
            </w:pPr>
            <w:r w:rsidRPr="00887D37"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18BB6" w14:textId="77777777" w:rsidR="00726A5E" w:rsidRPr="00887D37" w:rsidRDefault="00B34CF3" w:rsidP="002E54DB">
            <w:pPr>
              <w:jc w:val="center"/>
            </w:pPr>
            <w:r w:rsidRPr="00887D37"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9A314" w14:textId="77777777" w:rsidR="00726A5E" w:rsidRPr="00887D37" w:rsidRDefault="00B34CF3" w:rsidP="002E54DB">
            <w:pPr>
              <w:jc w:val="center"/>
            </w:pPr>
            <w:r w:rsidRPr="00887D37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0791" w14:textId="77777777" w:rsidR="00726A5E" w:rsidRPr="00887D37" w:rsidRDefault="00B34CF3" w:rsidP="002E54DB">
            <w:pPr>
              <w:jc w:val="center"/>
            </w:pPr>
            <w:r w:rsidRPr="00887D37"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FC39" w14:textId="77777777" w:rsidR="00726A5E" w:rsidRPr="00887D37" w:rsidRDefault="00B34CF3" w:rsidP="002E54DB">
            <w:pPr>
              <w:jc w:val="center"/>
            </w:pPr>
            <w:r w:rsidRPr="00887D37">
              <w:t>7</w:t>
            </w:r>
          </w:p>
        </w:tc>
      </w:tr>
      <w:tr w:rsidR="00726A5E" w:rsidRPr="00887D37" w14:paraId="464A4569" w14:textId="77777777" w:rsidTr="002E54DB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1ED03" w14:textId="77777777" w:rsidR="00726A5E" w:rsidRPr="00887D37" w:rsidRDefault="00B34CF3" w:rsidP="002E54DB">
            <w:pPr>
              <w:jc w:val="both"/>
            </w:pPr>
            <w:r w:rsidRPr="00887D37">
              <w:t>1. Modificări ale veniturilor bugetare, în plus/minus, din care:</w:t>
            </w:r>
          </w:p>
          <w:p w14:paraId="4A5E69AD" w14:textId="77777777" w:rsidR="00726A5E" w:rsidRPr="00887D37" w:rsidRDefault="00B34CF3" w:rsidP="002E54DB">
            <w:pPr>
              <w:jc w:val="both"/>
            </w:pPr>
            <w:r w:rsidRPr="00887D37">
              <w:t>a) buget de stat, din acesta:</w:t>
            </w:r>
          </w:p>
          <w:p w14:paraId="2308E6AB" w14:textId="77777777" w:rsidR="00726A5E" w:rsidRPr="00887D37" w:rsidRDefault="00B34CF3" w:rsidP="002E54DB">
            <w:pPr>
              <w:numPr>
                <w:ilvl w:val="0"/>
                <w:numId w:val="5"/>
              </w:numPr>
              <w:ind w:left="0"/>
              <w:jc w:val="both"/>
            </w:pPr>
            <w:r w:rsidRPr="00887D37">
              <w:t>impozit pe profit</w:t>
            </w:r>
          </w:p>
          <w:p w14:paraId="2785F947" w14:textId="77777777" w:rsidR="00726A5E" w:rsidRPr="00887D37" w:rsidRDefault="00B34CF3" w:rsidP="002E54DB">
            <w:pPr>
              <w:numPr>
                <w:ilvl w:val="0"/>
                <w:numId w:val="5"/>
              </w:numPr>
              <w:ind w:left="0"/>
              <w:jc w:val="both"/>
            </w:pPr>
            <w:r w:rsidRPr="00887D37">
              <w:t>impozit pe venit</w:t>
            </w:r>
          </w:p>
          <w:p w14:paraId="59B8D363" w14:textId="77777777" w:rsidR="00726A5E" w:rsidRPr="00887D37" w:rsidRDefault="00B34CF3" w:rsidP="002E54DB">
            <w:pPr>
              <w:numPr>
                <w:ilvl w:val="0"/>
                <w:numId w:val="5"/>
              </w:numPr>
              <w:ind w:left="0"/>
              <w:jc w:val="both"/>
            </w:pPr>
            <w:r w:rsidRPr="00887D37">
              <w:t>TVA</w:t>
            </w:r>
          </w:p>
          <w:p w14:paraId="22925874" w14:textId="77777777" w:rsidR="00726A5E" w:rsidRPr="00887D37" w:rsidRDefault="00B34CF3" w:rsidP="002E54DB">
            <w:pPr>
              <w:jc w:val="both"/>
            </w:pPr>
            <w:r w:rsidRPr="00887D37">
              <w:t>b) bugete locale</w:t>
            </w:r>
          </w:p>
          <w:p w14:paraId="63582BA9" w14:textId="77777777" w:rsidR="00726A5E" w:rsidRPr="00887D37" w:rsidRDefault="00B34CF3" w:rsidP="002E54DB">
            <w:pPr>
              <w:numPr>
                <w:ilvl w:val="0"/>
                <w:numId w:val="6"/>
              </w:numPr>
              <w:ind w:left="0"/>
              <w:jc w:val="both"/>
            </w:pPr>
            <w:r w:rsidRPr="00887D37">
              <w:t>impozit pe profit</w:t>
            </w:r>
          </w:p>
          <w:p w14:paraId="5332C215" w14:textId="36D6F31B" w:rsidR="00726A5E" w:rsidRPr="00887D37" w:rsidRDefault="00B34CF3" w:rsidP="0029331C">
            <w:pPr>
              <w:jc w:val="both"/>
            </w:pPr>
            <w:r w:rsidRPr="00887D37">
              <w:t>c) bugetul asigurărilor sociale de stat:contribu</w:t>
            </w:r>
            <w:r w:rsidR="00D311C9">
              <w:t>ț</w:t>
            </w:r>
            <w:r w:rsidRPr="00887D37">
              <w:t>ii de asigurări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C90FE" w14:textId="77777777" w:rsidR="00726A5E" w:rsidRPr="00887D37" w:rsidRDefault="00726A5E" w:rsidP="002E54DB">
            <w:pPr>
              <w:snapToGrid w:val="0"/>
            </w:pPr>
          </w:p>
          <w:p w14:paraId="5D6359A8" w14:textId="77777777" w:rsidR="00726A5E" w:rsidRPr="00887D37" w:rsidRDefault="00726A5E" w:rsidP="002E54DB"/>
          <w:p w14:paraId="477365C3" w14:textId="77777777" w:rsidR="00726A5E" w:rsidRPr="00887D37" w:rsidRDefault="00726A5E" w:rsidP="002E54DB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BA9D" w14:textId="77777777" w:rsidR="00726A5E" w:rsidRPr="00887D37" w:rsidRDefault="00726A5E" w:rsidP="002E54DB">
            <w:pPr>
              <w:pStyle w:val="Header"/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AEB88" w14:textId="77777777" w:rsidR="00726A5E" w:rsidRPr="00887D37" w:rsidRDefault="00726A5E" w:rsidP="002E54DB">
            <w:pPr>
              <w:snapToGrid w:val="0"/>
              <w:jc w:val="righ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A99B9" w14:textId="77777777" w:rsidR="00726A5E" w:rsidRPr="00887D37" w:rsidRDefault="00726A5E" w:rsidP="002E54DB">
            <w:pPr>
              <w:snapToGrid w:val="0"/>
              <w:jc w:val="righ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81577" w14:textId="77777777" w:rsidR="00726A5E" w:rsidRPr="00887D37" w:rsidRDefault="00726A5E" w:rsidP="002E54DB">
            <w:pPr>
              <w:snapToGrid w:val="0"/>
              <w:jc w:val="righ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461B" w14:textId="77777777" w:rsidR="00726A5E" w:rsidRPr="00887D37" w:rsidRDefault="00726A5E" w:rsidP="002E54DB">
            <w:pPr>
              <w:snapToGrid w:val="0"/>
              <w:jc w:val="right"/>
            </w:pPr>
          </w:p>
        </w:tc>
      </w:tr>
      <w:tr w:rsidR="00726A5E" w:rsidRPr="00887D37" w14:paraId="717262AE" w14:textId="77777777" w:rsidTr="002E54DB">
        <w:trPr>
          <w:trHeight w:val="344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B18D" w14:textId="77777777" w:rsidR="00726A5E" w:rsidRPr="00887D37" w:rsidRDefault="00B34CF3" w:rsidP="002E54DB">
            <w:pPr>
              <w:jc w:val="both"/>
            </w:pPr>
            <w:r w:rsidRPr="00887D37">
              <w:rPr>
                <w:bCs/>
              </w:rPr>
              <w:t xml:space="preserve">2. </w:t>
            </w:r>
            <w:r w:rsidRPr="00887D37">
              <w:t>Modificări ale cheltuielilor bugetare, în plus, din care:</w:t>
            </w:r>
          </w:p>
          <w:p w14:paraId="348930FC" w14:textId="77777777" w:rsidR="00726A5E" w:rsidRPr="00887D37" w:rsidRDefault="00B34CF3" w:rsidP="002E54DB">
            <w:pPr>
              <w:jc w:val="both"/>
            </w:pPr>
            <w:r w:rsidRPr="00887D37">
              <w:t>a) buget de stat, din acesta:</w:t>
            </w:r>
          </w:p>
          <w:p w14:paraId="0E290752" w14:textId="77777777" w:rsidR="00726A5E" w:rsidRPr="00887D37" w:rsidRDefault="00B34CF3" w:rsidP="002E54DB">
            <w:pPr>
              <w:numPr>
                <w:ilvl w:val="0"/>
                <w:numId w:val="2"/>
              </w:numPr>
              <w:ind w:left="0"/>
              <w:jc w:val="both"/>
            </w:pPr>
            <w:r w:rsidRPr="00887D37">
              <w:t>cheltuieli de personal</w:t>
            </w:r>
          </w:p>
          <w:p w14:paraId="570A8B1C" w14:textId="0D234FD7" w:rsidR="00726A5E" w:rsidRPr="00887D37" w:rsidRDefault="00B34CF3" w:rsidP="002E54DB">
            <w:pPr>
              <w:numPr>
                <w:ilvl w:val="0"/>
                <w:numId w:val="2"/>
              </w:numPr>
              <w:ind w:left="0"/>
              <w:jc w:val="both"/>
            </w:pPr>
            <w:r w:rsidRPr="00887D37">
              <w:t xml:space="preserve">bunuri </w:t>
            </w:r>
            <w:r w:rsidR="00D311C9">
              <w:t>ș</w:t>
            </w:r>
            <w:r w:rsidRPr="00887D37">
              <w:t>i servicii</w:t>
            </w:r>
          </w:p>
          <w:p w14:paraId="4A87A576" w14:textId="58F3A8C1" w:rsidR="00726A5E" w:rsidRPr="00887D37" w:rsidRDefault="00B34CF3" w:rsidP="002E54DB">
            <w:pPr>
              <w:numPr>
                <w:ilvl w:val="0"/>
                <w:numId w:val="2"/>
              </w:numPr>
              <w:ind w:left="0"/>
              <w:jc w:val="both"/>
            </w:pPr>
            <w:r w:rsidRPr="00887D37">
              <w:t>asisten</w:t>
            </w:r>
            <w:r w:rsidR="00D311C9">
              <w:t>ț</w:t>
            </w:r>
            <w:r w:rsidRPr="00887D37">
              <w:t>ă socială</w:t>
            </w:r>
          </w:p>
          <w:p w14:paraId="50E3761C" w14:textId="77777777" w:rsidR="00726A5E" w:rsidRPr="00887D37" w:rsidRDefault="00B34CF3" w:rsidP="002E54DB">
            <w:pPr>
              <w:jc w:val="both"/>
            </w:pPr>
            <w:r w:rsidRPr="00887D37">
              <w:t>b) bugete locale:</w:t>
            </w:r>
          </w:p>
          <w:p w14:paraId="4136ECA2" w14:textId="77777777" w:rsidR="00726A5E" w:rsidRPr="00887D37" w:rsidRDefault="00B34CF3" w:rsidP="002E54DB">
            <w:pPr>
              <w:numPr>
                <w:ilvl w:val="0"/>
                <w:numId w:val="8"/>
              </w:numPr>
              <w:ind w:left="0"/>
              <w:jc w:val="both"/>
            </w:pPr>
            <w:r w:rsidRPr="00887D37">
              <w:t>cheltuieli de personal</w:t>
            </w:r>
          </w:p>
          <w:p w14:paraId="7320E23C" w14:textId="763AA4A1" w:rsidR="00726A5E" w:rsidRPr="00887D37" w:rsidRDefault="00B34CF3" w:rsidP="002E54DB">
            <w:pPr>
              <w:numPr>
                <w:ilvl w:val="0"/>
                <w:numId w:val="8"/>
              </w:numPr>
              <w:ind w:left="0"/>
              <w:jc w:val="both"/>
            </w:pPr>
            <w:r w:rsidRPr="00887D37">
              <w:t xml:space="preserve">bunuri </w:t>
            </w:r>
            <w:r w:rsidR="00D311C9">
              <w:t>ș</w:t>
            </w:r>
            <w:r w:rsidRPr="00887D37">
              <w:t>i servicii</w:t>
            </w:r>
          </w:p>
          <w:p w14:paraId="4F93FA67" w14:textId="43738774" w:rsidR="00726A5E" w:rsidRPr="00887D37" w:rsidRDefault="00B34CF3" w:rsidP="002E54DB">
            <w:pPr>
              <w:numPr>
                <w:ilvl w:val="0"/>
                <w:numId w:val="8"/>
              </w:numPr>
              <w:ind w:left="0"/>
              <w:jc w:val="both"/>
            </w:pPr>
            <w:r w:rsidRPr="00887D37">
              <w:t>asisten</w:t>
            </w:r>
            <w:r w:rsidR="00D311C9">
              <w:t>ț</w:t>
            </w:r>
            <w:r w:rsidRPr="00887D37">
              <w:t>ă socială</w:t>
            </w:r>
          </w:p>
          <w:p w14:paraId="682E020F" w14:textId="3C7FD7F5" w:rsidR="00726A5E" w:rsidRPr="00887D37" w:rsidRDefault="00B34CF3" w:rsidP="0029331C">
            <w:pPr>
              <w:jc w:val="both"/>
            </w:pPr>
            <w:r w:rsidRPr="00887D37">
              <w:t>c) bugetul asigurărilor sociale de stat:cheltuieli de personal</w:t>
            </w:r>
          </w:p>
          <w:p w14:paraId="4811F3A8" w14:textId="734995A7" w:rsidR="00726A5E" w:rsidRPr="00887D37" w:rsidRDefault="00B34CF3" w:rsidP="002E54DB">
            <w:pPr>
              <w:numPr>
                <w:ilvl w:val="0"/>
                <w:numId w:val="7"/>
              </w:numPr>
              <w:ind w:left="0"/>
              <w:jc w:val="both"/>
              <w:rPr>
                <w:bCs/>
              </w:rPr>
            </w:pPr>
            <w:r w:rsidRPr="00887D37">
              <w:t xml:space="preserve">bunuri </w:t>
            </w:r>
            <w:r w:rsidR="00D311C9">
              <w:t>ș</w:t>
            </w:r>
            <w:r w:rsidRPr="00887D37">
              <w:t>i servicii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D57AF" w14:textId="77777777" w:rsidR="00726A5E" w:rsidRPr="00887D37" w:rsidRDefault="00726A5E" w:rsidP="002E54DB">
            <w:pPr>
              <w:snapToGrid w:val="0"/>
            </w:pPr>
          </w:p>
          <w:p w14:paraId="41D9C4BE" w14:textId="77777777" w:rsidR="00726A5E" w:rsidRPr="00887D37" w:rsidRDefault="00726A5E" w:rsidP="002E54DB"/>
          <w:p w14:paraId="5A5D83B7" w14:textId="77777777" w:rsidR="00726A5E" w:rsidRPr="00887D37" w:rsidRDefault="00726A5E" w:rsidP="002E54DB"/>
          <w:p w14:paraId="5092E363" w14:textId="77777777" w:rsidR="00726A5E" w:rsidRPr="00887D37" w:rsidRDefault="00726A5E" w:rsidP="002E54DB"/>
          <w:p w14:paraId="2E2A39FD" w14:textId="77777777" w:rsidR="00726A5E" w:rsidRPr="00887D37" w:rsidRDefault="00726A5E" w:rsidP="002E54DB"/>
          <w:p w14:paraId="24FF5D67" w14:textId="77777777" w:rsidR="00726A5E" w:rsidRPr="00887D37" w:rsidRDefault="00726A5E" w:rsidP="002E54DB"/>
          <w:p w14:paraId="73AEFE9F" w14:textId="77777777" w:rsidR="00726A5E" w:rsidRPr="00887D37" w:rsidRDefault="00726A5E" w:rsidP="002E54DB">
            <w:pPr>
              <w:rPr>
                <w:b/>
              </w:rPr>
            </w:pPr>
          </w:p>
          <w:p w14:paraId="1B6B2189" w14:textId="77777777" w:rsidR="00726A5E" w:rsidRPr="00887D37" w:rsidRDefault="00726A5E" w:rsidP="002E54DB">
            <w:pPr>
              <w:rPr>
                <w:b/>
              </w:rPr>
            </w:pPr>
          </w:p>
          <w:p w14:paraId="77F23D56" w14:textId="77777777" w:rsidR="00726A5E" w:rsidRPr="00887D37" w:rsidRDefault="00726A5E" w:rsidP="002E54DB">
            <w:pPr>
              <w:rPr>
                <w:b/>
              </w:rPr>
            </w:pPr>
          </w:p>
          <w:p w14:paraId="232811C4" w14:textId="77777777" w:rsidR="00726A5E" w:rsidRPr="00887D37" w:rsidRDefault="00726A5E" w:rsidP="002E54DB">
            <w:pPr>
              <w:rPr>
                <w:b/>
              </w:rPr>
            </w:pPr>
          </w:p>
          <w:p w14:paraId="533E5A0E" w14:textId="77777777" w:rsidR="00726A5E" w:rsidRPr="00887D37" w:rsidRDefault="00726A5E" w:rsidP="002E54DB">
            <w:pPr>
              <w:rPr>
                <w:b/>
              </w:rPr>
            </w:pPr>
          </w:p>
          <w:p w14:paraId="1A119A5D" w14:textId="77777777" w:rsidR="00726A5E" w:rsidRPr="00887D37" w:rsidRDefault="00726A5E" w:rsidP="002E54DB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B9C01" w14:textId="77777777" w:rsidR="00726A5E" w:rsidRPr="00887D37" w:rsidRDefault="00726A5E" w:rsidP="002E54DB">
            <w:pPr>
              <w:pStyle w:val="Header"/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57CB15F" w14:textId="77777777" w:rsidR="00726A5E" w:rsidRPr="00887D37" w:rsidRDefault="00726A5E" w:rsidP="002E54DB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BAD6FA3" w14:textId="77777777" w:rsidR="00726A5E" w:rsidRPr="00887D37" w:rsidRDefault="00726A5E" w:rsidP="002E54DB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A0B029" w14:textId="77777777" w:rsidR="00726A5E" w:rsidRPr="00887D37" w:rsidRDefault="00726A5E" w:rsidP="002E54DB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A92D69B" w14:textId="77777777" w:rsidR="00726A5E" w:rsidRPr="00887D37" w:rsidRDefault="00726A5E" w:rsidP="002E54DB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E3FDD9C" w14:textId="77777777" w:rsidR="00726A5E" w:rsidRPr="00887D37" w:rsidRDefault="00726A5E" w:rsidP="002E54DB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32599B2" w14:textId="77777777" w:rsidR="00726A5E" w:rsidRPr="00887D37" w:rsidRDefault="00726A5E" w:rsidP="002E54DB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85E3FB" w14:textId="77777777" w:rsidR="00726A5E" w:rsidRPr="00887D37" w:rsidRDefault="00726A5E" w:rsidP="002E54DB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F87F55F" w14:textId="77777777" w:rsidR="00726A5E" w:rsidRPr="00887D37" w:rsidRDefault="00726A5E" w:rsidP="002E54DB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DDCF82F" w14:textId="77777777" w:rsidR="00726A5E" w:rsidRPr="00887D37" w:rsidRDefault="00726A5E" w:rsidP="002E54DB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129DF2A" w14:textId="77777777" w:rsidR="00726A5E" w:rsidRPr="00887D37" w:rsidRDefault="00726A5E" w:rsidP="002E54DB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E634205" w14:textId="77777777" w:rsidR="00726A5E" w:rsidRPr="00887D37" w:rsidRDefault="00726A5E" w:rsidP="002E54DB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0E8AC14" w14:textId="77777777" w:rsidR="00726A5E" w:rsidRPr="00887D37" w:rsidRDefault="00726A5E" w:rsidP="002E54DB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7B9F" w14:textId="77777777" w:rsidR="00726A5E" w:rsidRPr="00887D37" w:rsidRDefault="00726A5E" w:rsidP="002E54DB">
            <w:pPr>
              <w:snapToGrid w:val="0"/>
              <w:jc w:val="righ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93C16" w14:textId="77777777" w:rsidR="00726A5E" w:rsidRPr="00887D37" w:rsidRDefault="00726A5E" w:rsidP="002E54DB">
            <w:pPr>
              <w:snapToGrid w:val="0"/>
              <w:jc w:val="righ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C9BE" w14:textId="77777777" w:rsidR="00726A5E" w:rsidRPr="00887D37" w:rsidRDefault="00726A5E" w:rsidP="002E54DB">
            <w:pPr>
              <w:snapToGrid w:val="0"/>
              <w:jc w:val="righ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6F3D" w14:textId="77777777" w:rsidR="00726A5E" w:rsidRPr="00887D37" w:rsidRDefault="00726A5E" w:rsidP="002E54DB">
            <w:pPr>
              <w:snapToGrid w:val="0"/>
              <w:jc w:val="right"/>
            </w:pPr>
          </w:p>
        </w:tc>
      </w:tr>
      <w:tr w:rsidR="00726A5E" w:rsidRPr="00887D37" w14:paraId="2FC55A87" w14:textId="77777777" w:rsidTr="002E54DB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0A027" w14:textId="77777777" w:rsidR="00726A5E" w:rsidRPr="00887D37" w:rsidRDefault="00B34CF3" w:rsidP="002E54DB">
            <w:pPr>
              <w:jc w:val="both"/>
            </w:pPr>
            <w:r w:rsidRPr="00887D37">
              <w:rPr>
                <w:bCs/>
              </w:rPr>
              <w:t xml:space="preserve">3. </w:t>
            </w:r>
            <w:r w:rsidRPr="00887D37">
              <w:t>Impact financiar, plus/minus, din care:</w:t>
            </w:r>
          </w:p>
          <w:p w14:paraId="664CC438" w14:textId="77777777" w:rsidR="00726A5E" w:rsidRPr="00887D37" w:rsidRDefault="00B34CF3" w:rsidP="002E54DB">
            <w:pPr>
              <w:jc w:val="both"/>
            </w:pPr>
            <w:r w:rsidRPr="00887D37">
              <w:t>a)buget de stat</w:t>
            </w:r>
          </w:p>
          <w:p w14:paraId="2A108032" w14:textId="77777777" w:rsidR="00726A5E" w:rsidRPr="00887D37" w:rsidRDefault="00B34CF3" w:rsidP="002E54DB">
            <w:r w:rsidRPr="00887D37">
              <w:t>b) bugete locale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CE90" w14:textId="77777777" w:rsidR="00726A5E" w:rsidRPr="00887D37" w:rsidRDefault="00726A5E" w:rsidP="002E54DB">
            <w:pPr>
              <w:snapToGrid w:val="0"/>
            </w:pPr>
          </w:p>
          <w:p w14:paraId="2A8B4055" w14:textId="77777777" w:rsidR="00726A5E" w:rsidRPr="00887D37" w:rsidRDefault="00726A5E" w:rsidP="002E54DB"/>
          <w:p w14:paraId="3B2FC470" w14:textId="77777777" w:rsidR="00726A5E" w:rsidRPr="00887D37" w:rsidRDefault="00726A5E" w:rsidP="002E54DB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C212" w14:textId="77777777" w:rsidR="00726A5E" w:rsidRPr="00887D37" w:rsidRDefault="00726A5E" w:rsidP="002E54DB">
            <w:pPr>
              <w:pStyle w:val="Header"/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50E05" w14:textId="77777777" w:rsidR="00726A5E" w:rsidRPr="00887D37" w:rsidRDefault="00726A5E" w:rsidP="002E54DB">
            <w:pPr>
              <w:snapToGrid w:val="0"/>
              <w:jc w:val="righ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BBB8" w14:textId="77777777" w:rsidR="00726A5E" w:rsidRPr="00887D37" w:rsidRDefault="00726A5E" w:rsidP="002E54DB">
            <w:pPr>
              <w:snapToGrid w:val="0"/>
              <w:jc w:val="righ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95CE1" w14:textId="77777777" w:rsidR="00726A5E" w:rsidRPr="00887D37" w:rsidRDefault="00726A5E" w:rsidP="002E54DB">
            <w:pPr>
              <w:snapToGrid w:val="0"/>
              <w:jc w:val="right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182D" w14:textId="77777777" w:rsidR="00726A5E" w:rsidRPr="00887D37" w:rsidRDefault="00726A5E" w:rsidP="002E54DB">
            <w:pPr>
              <w:snapToGrid w:val="0"/>
              <w:jc w:val="right"/>
            </w:pPr>
          </w:p>
        </w:tc>
      </w:tr>
      <w:tr w:rsidR="00726A5E" w:rsidRPr="00887D37" w14:paraId="1936E00B" w14:textId="77777777" w:rsidTr="002E54DB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EC156" w14:textId="1C706CCD" w:rsidR="00726A5E" w:rsidRPr="00887D37" w:rsidRDefault="00B34CF3" w:rsidP="002E54DB">
            <w:r w:rsidRPr="00887D37">
              <w:rPr>
                <w:bCs/>
              </w:rPr>
              <w:t>4.</w:t>
            </w:r>
            <w:r w:rsidRPr="00887D37">
              <w:t xml:space="preserve"> Propuneri pentru acoperirea cre</w:t>
            </w:r>
            <w:r w:rsidR="00D311C9">
              <w:t>ș</w:t>
            </w:r>
            <w:r w:rsidRPr="00887D37">
              <w:t>terii cheltuielilor bugetare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BE758" w14:textId="77777777" w:rsidR="00726A5E" w:rsidRPr="00887D37" w:rsidRDefault="00726A5E" w:rsidP="002E54DB">
            <w:pPr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6F268" w14:textId="77777777" w:rsidR="00726A5E" w:rsidRPr="00887D37" w:rsidRDefault="00726A5E" w:rsidP="002E54DB">
            <w:pPr>
              <w:snapToGrid w:val="0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7F03" w14:textId="77777777" w:rsidR="00726A5E" w:rsidRPr="00887D37" w:rsidRDefault="00726A5E" w:rsidP="002E54DB">
            <w:pPr>
              <w:snapToGrid w:val="0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B5A0D" w14:textId="77777777" w:rsidR="00726A5E" w:rsidRPr="00887D37" w:rsidRDefault="00726A5E" w:rsidP="002E54DB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A74E6" w14:textId="77777777" w:rsidR="00726A5E" w:rsidRPr="00887D37" w:rsidRDefault="00726A5E" w:rsidP="002E54DB">
            <w:pPr>
              <w:snapToGrid w:val="0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5CAB" w14:textId="77777777" w:rsidR="00726A5E" w:rsidRPr="00887D37" w:rsidRDefault="00726A5E" w:rsidP="002E54DB">
            <w:pPr>
              <w:snapToGrid w:val="0"/>
            </w:pPr>
          </w:p>
        </w:tc>
      </w:tr>
      <w:tr w:rsidR="00726A5E" w:rsidRPr="00887D37" w14:paraId="47FB183A" w14:textId="77777777" w:rsidTr="002E54DB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DCA41" w14:textId="77777777" w:rsidR="00726A5E" w:rsidRPr="00887D37" w:rsidRDefault="00B34CF3" w:rsidP="002E54DB">
            <w:pPr>
              <w:jc w:val="both"/>
            </w:pPr>
            <w:r w:rsidRPr="00887D37">
              <w:t>5. Propuneri pentru a compensa reducerea veniturilor bugetare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50BAA" w14:textId="77777777" w:rsidR="00726A5E" w:rsidRPr="00887D37" w:rsidRDefault="00726A5E" w:rsidP="002E54DB">
            <w:pPr>
              <w:snapToGrid w:val="0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D2963" w14:textId="77777777" w:rsidR="00726A5E" w:rsidRPr="00887D37" w:rsidRDefault="00726A5E" w:rsidP="002E54DB">
            <w:pPr>
              <w:snapToGrid w:val="0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9064" w14:textId="77777777" w:rsidR="00726A5E" w:rsidRPr="00887D37" w:rsidRDefault="00726A5E" w:rsidP="002E54DB">
            <w:pPr>
              <w:snapToGrid w:val="0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4F323" w14:textId="77777777" w:rsidR="00726A5E" w:rsidRPr="00887D37" w:rsidRDefault="00726A5E" w:rsidP="002E54DB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0895D" w14:textId="77777777" w:rsidR="00726A5E" w:rsidRPr="00887D37" w:rsidRDefault="00726A5E" w:rsidP="002E54DB">
            <w:pPr>
              <w:snapToGrid w:val="0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2942B" w14:textId="77777777" w:rsidR="00726A5E" w:rsidRPr="00887D37" w:rsidRDefault="00726A5E" w:rsidP="002E54DB">
            <w:pPr>
              <w:snapToGrid w:val="0"/>
            </w:pPr>
          </w:p>
        </w:tc>
      </w:tr>
      <w:tr w:rsidR="00726A5E" w:rsidRPr="00887D37" w14:paraId="2A4B60A1" w14:textId="77777777" w:rsidTr="002E54DB">
        <w:trPr>
          <w:trHeight w:val="558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D4469" w14:textId="588E50C3" w:rsidR="00726A5E" w:rsidRPr="00887D37" w:rsidRDefault="00B34CF3" w:rsidP="002E54DB">
            <w:r w:rsidRPr="00887D37">
              <w:t xml:space="preserve">6. Calcule detaliate privind fundamentarea modificărilor veniturilor </w:t>
            </w:r>
            <w:r w:rsidR="00D311C9">
              <w:t>ș</w:t>
            </w:r>
            <w:r w:rsidRPr="00887D37">
              <w:t>i/sau cheltuielilor bugetare</w:t>
            </w:r>
          </w:p>
        </w:tc>
        <w:tc>
          <w:tcPr>
            <w:tcW w:w="6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33BA" w14:textId="77777777" w:rsidR="00726A5E" w:rsidRPr="00887D37" w:rsidRDefault="00726A5E" w:rsidP="002E54DB">
            <w:pPr>
              <w:snapToGrid w:val="0"/>
              <w:jc w:val="both"/>
            </w:pPr>
          </w:p>
        </w:tc>
      </w:tr>
      <w:tr w:rsidR="00726A5E" w:rsidRPr="00887D37" w14:paraId="6F17612B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D648" w14:textId="6ACE82AC" w:rsidR="00726A5E" w:rsidRPr="00887D37" w:rsidRDefault="00B34CF3" w:rsidP="002E54DB">
            <w:pPr>
              <w:jc w:val="both"/>
            </w:pPr>
            <w:r w:rsidRPr="00887D37">
              <w:rPr>
                <w:b/>
              </w:rPr>
              <w:t>Alte informa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ii</w:t>
            </w:r>
          </w:p>
        </w:tc>
      </w:tr>
      <w:tr w:rsidR="00726A5E" w:rsidRPr="00887D37" w14:paraId="5B19CB4B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7A6BB" w14:textId="08B99D62" w:rsidR="00726A5E" w:rsidRPr="00887D37" w:rsidRDefault="00B34CF3" w:rsidP="002E54DB">
            <w:pPr>
              <w:jc w:val="center"/>
              <w:rPr>
                <w:b/>
              </w:rPr>
            </w:pPr>
            <w:r w:rsidRPr="00887D37">
              <w:rPr>
                <w:b/>
              </w:rPr>
              <w:lastRenderedPageBreak/>
              <w:t>Sec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iunea a 5-a</w:t>
            </w:r>
          </w:p>
          <w:p w14:paraId="2DC4345E" w14:textId="08FE3C97" w:rsidR="00726A5E" w:rsidRPr="00887D37" w:rsidRDefault="00B34CF3" w:rsidP="002E54DB">
            <w:pPr>
              <w:jc w:val="center"/>
            </w:pPr>
            <w:r w:rsidRPr="00887D37">
              <w:rPr>
                <w:b/>
              </w:rPr>
              <w:t>Efectele proiectului de act normativ asupra legisla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iei în vigoare</w:t>
            </w:r>
          </w:p>
        </w:tc>
      </w:tr>
      <w:tr w:rsidR="00726A5E" w:rsidRPr="00887D37" w14:paraId="19F39473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F196" w14:textId="77777777" w:rsidR="00726A5E" w:rsidRPr="00887D37" w:rsidRDefault="00B34CF3" w:rsidP="002E54DB">
            <w:pPr>
              <w:pStyle w:val="PreformatatHTML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D3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Măsuri normative necesare pentru aplicarea prevederilor proiectului de act normativ:</w:t>
            </w:r>
          </w:p>
          <w:p w14:paraId="1178CC34" w14:textId="77777777" w:rsidR="00726A5E" w:rsidRPr="002E54DB" w:rsidRDefault="002C37BF" w:rsidP="002E54DB">
            <w:pPr>
              <w:pStyle w:val="PreformatatHTML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="00B34CF3" w:rsidRPr="00887D3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cte normative în vigoare ce vor fi modificate sau abrogate, ca urmare a intrării în vigoare a proiectului de act normativ:</w:t>
            </w:r>
          </w:p>
          <w:p w14:paraId="623EB005" w14:textId="16B2809A" w:rsidR="00485450" w:rsidRPr="002C37BF" w:rsidRDefault="00B34CF3" w:rsidP="002C37BF">
            <w:pPr>
              <w:ind w:hanging="6"/>
              <w:jc w:val="both"/>
              <w:rPr>
                <w:i/>
              </w:rPr>
            </w:pPr>
            <w:r w:rsidRPr="00887D37">
              <w:t xml:space="preserve">Proiectul de act normativ modifică, completează </w:t>
            </w:r>
            <w:r w:rsidR="00D311C9">
              <w:t>ș</w:t>
            </w:r>
            <w:r w:rsidRPr="00887D37">
              <w:t xml:space="preserve">i abrogă unele </w:t>
            </w:r>
            <w:r w:rsidRPr="00887D37">
              <w:rPr>
                <w:color w:val="000000"/>
              </w:rPr>
              <w:t>prevederi din legisla</w:t>
            </w:r>
            <w:r w:rsidR="00D311C9">
              <w:rPr>
                <w:color w:val="000000"/>
              </w:rPr>
              <w:t>ț</w:t>
            </w:r>
            <w:r w:rsidRPr="00887D37">
              <w:rPr>
                <w:color w:val="000000"/>
              </w:rPr>
              <w:t>ia primară în materia</w:t>
            </w:r>
            <w:r w:rsidR="004F4799">
              <w:rPr>
                <w:color w:val="000000"/>
              </w:rPr>
              <w:t xml:space="preserve"> redresării </w:t>
            </w:r>
            <w:r w:rsidR="00D311C9">
              <w:rPr>
                <w:color w:val="000000"/>
              </w:rPr>
              <w:t>ș</w:t>
            </w:r>
            <w:r w:rsidR="004F4799">
              <w:rPr>
                <w:color w:val="000000"/>
              </w:rPr>
              <w:t>i rezolu</w:t>
            </w:r>
            <w:r w:rsidR="00D311C9">
              <w:rPr>
                <w:color w:val="000000"/>
              </w:rPr>
              <w:t>ț</w:t>
            </w:r>
            <w:r w:rsidR="004F4799">
              <w:rPr>
                <w:color w:val="000000"/>
              </w:rPr>
              <w:t>iei</w:t>
            </w:r>
            <w:r w:rsidRPr="00887D37">
              <w:rPr>
                <w:color w:val="000000"/>
              </w:rPr>
              <w:t xml:space="preserve"> institu</w:t>
            </w:r>
            <w:r w:rsidR="00D311C9">
              <w:rPr>
                <w:color w:val="000000"/>
              </w:rPr>
              <w:t>ț</w:t>
            </w:r>
            <w:r w:rsidRPr="00887D37">
              <w:rPr>
                <w:color w:val="000000"/>
              </w:rPr>
              <w:t>iilor de credit,</w:t>
            </w:r>
            <w:r w:rsidR="00196739">
              <w:rPr>
                <w:color w:val="000000"/>
              </w:rPr>
              <w:t xml:space="preserve"> respectiv </w:t>
            </w:r>
            <w:r w:rsidR="004F4799" w:rsidRPr="004F4799">
              <w:rPr>
                <w:i/>
                <w:color w:val="000000"/>
              </w:rPr>
              <w:t>Leg</w:t>
            </w:r>
            <w:r w:rsidR="00196739">
              <w:rPr>
                <w:i/>
                <w:color w:val="000000"/>
              </w:rPr>
              <w:t>ea</w:t>
            </w:r>
            <w:r w:rsidR="004F4799" w:rsidRPr="004F4799">
              <w:rPr>
                <w:i/>
                <w:color w:val="000000"/>
              </w:rPr>
              <w:t xml:space="preserve"> nr.312/2015 privind redresarea </w:t>
            </w:r>
            <w:r w:rsidR="00D311C9">
              <w:rPr>
                <w:i/>
                <w:color w:val="000000"/>
              </w:rPr>
              <w:t>ș</w:t>
            </w:r>
            <w:r w:rsidR="004F4799" w:rsidRPr="004F4799">
              <w:rPr>
                <w:i/>
                <w:color w:val="000000"/>
              </w:rPr>
              <w:t>i rezolu</w:t>
            </w:r>
            <w:r w:rsidR="00D311C9">
              <w:rPr>
                <w:i/>
                <w:color w:val="000000"/>
              </w:rPr>
              <w:t>ț</w:t>
            </w:r>
            <w:r w:rsidR="004F4799" w:rsidRPr="004F4799">
              <w:rPr>
                <w:i/>
                <w:color w:val="000000"/>
              </w:rPr>
              <w:t>ia institu</w:t>
            </w:r>
            <w:r w:rsidR="00D311C9">
              <w:rPr>
                <w:i/>
                <w:color w:val="000000"/>
              </w:rPr>
              <w:t>ț</w:t>
            </w:r>
            <w:r w:rsidR="004F4799" w:rsidRPr="004F4799">
              <w:rPr>
                <w:i/>
                <w:color w:val="000000"/>
              </w:rPr>
              <w:t xml:space="preserve">iilor de credit </w:t>
            </w:r>
            <w:r w:rsidR="00D311C9">
              <w:rPr>
                <w:i/>
                <w:color w:val="000000"/>
              </w:rPr>
              <w:t>ș</w:t>
            </w:r>
            <w:r w:rsidR="004F4799" w:rsidRPr="004F4799">
              <w:rPr>
                <w:i/>
                <w:color w:val="000000"/>
              </w:rPr>
              <w:t>i a firmelor de investi</w:t>
            </w:r>
            <w:r w:rsidR="00D311C9">
              <w:rPr>
                <w:i/>
                <w:color w:val="000000"/>
              </w:rPr>
              <w:t>ț</w:t>
            </w:r>
            <w:r w:rsidR="004F4799" w:rsidRPr="004F4799">
              <w:rPr>
                <w:i/>
                <w:color w:val="000000"/>
              </w:rPr>
              <w:t xml:space="preserve">ii, precum </w:t>
            </w:r>
            <w:r w:rsidR="00D311C9">
              <w:rPr>
                <w:i/>
                <w:color w:val="000000"/>
              </w:rPr>
              <w:t>ș</w:t>
            </w:r>
            <w:r w:rsidR="004F4799" w:rsidRPr="004F4799">
              <w:rPr>
                <w:i/>
                <w:color w:val="000000"/>
              </w:rPr>
              <w:t xml:space="preserve">i pentru modificarea </w:t>
            </w:r>
            <w:r w:rsidR="00D311C9">
              <w:rPr>
                <w:i/>
                <w:color w:val="000000"/>
              </w:rPr>
              <w:t>ș</w:t>
            </w:r>
            <w:r w:rsidR="004F4799" w:rsidRPr="004F4799">
              <w:rPr>
                <w:i/>
                <w:color w:val="000000"/>
              </w:rPr>
              <w:t>i completarea unor acte normative în domeniul financiar</w:t>
            </w:r>
            <w:r w:rsidR="0055544A">
              <w:rPr>
                <w:i/>
                <w:color w:val="000000"/>
              </w:rPr>
              <w:t>.</w:t>
            </w:r>
            <w:r w:rsidR="00D311C9">
              <w:rPr>
                <w:i/>
                <w:color w:val="000000"/>
              </w:rPr>
              <w:t xml:space="preserve"> </w:t>
            </w:r>
            <w:r w:rsidRPr="00887D37">
              <w:rPr>
                <w:color w:val="000000"/>
              </w:rPr>
              <w:t xml:space="preserve">De asemenea, proiectul de act normativ modifică </w:t>
            </w:r>
            <w:r w:rsidR="00D311C9">
              <w:rPr>
                <w:color w:val="000000"/>
              </w:rPr>
              <w:t>ș</w:t>
            </w:r>
            <w:r w:rsidRPr="00887D37">
              <w:rPr>
                <w:color w:val="000000"/>
              </w:rPr>
              <w:t xml:space="preserve">i completează unele prevederi speciale aplicabile în domeniul financiar </w:t>
            </w:r>
            <w:r w:rsidR="00D311C9">
              <w:rPr>
                <w:color w:val="000000"/>
              </w:rPr>
              <w:t>ș</w:t>
            </w:r>
            <w:r w:rsidRPr="00887D37">
              <w:rPr>
                <w:color w:val="000000"/>
              </w:rPr>
              <w:t xml:space="preserve">i anume: </w:t>
            </w:r>
            <w:r w:rsidRPr="00887D37">
              <w:rPr>
                <w:i/>
              </w:rPr>
              <w:t>Legea nr. 85/2014 privind procedurile de prevenire a insolven</w:t>
            </w:r>
            <w:r w:rsidR="00D311C9">
              <w:rPr>
                <w:i/>
              </w:rPr>
              <w:t>ț</w:t>
            </w:r>
            <w:r w:rsidRPr="00887D37">
              <w:rPr>
                <w:i/>
              </w:rPr>
              <w:t xml:space="preserve">ei </w:t>
            </w:r>
            <w:r w:rsidR="00D311C9">
              <w:rPr>
                <w:i/>
              </w:rPr>
              <w:t>ș</w:t>
            </w:r>
            <w:r w:rsidRPr="00887D37">
              <w:rPr>
                <w:i/>
              </w:rPr>
              <w:t>i de insolven</w:t>
            </w:r>
            <w:r w:rsidR="00D311C9">
              <w:rPr>
                <w:i/>
              </w:rPr>
              <w:t>ț</w:t>
            </w:r>
            <w:r w:rsidRPr="00887D37">
              <w:rPr>
                <w:i/>
              </w:rPr>
              <w:t>ă</w:t>
            </w:r>
            <w:r w:rsidRPr="00887D37">
              <w:t xml:space="preserve">, </w:t>
            </w:r>
            <w:r w:rsidR="0055544A" w:rsidRPr="0055544A">
              <w:rPr>
                <w:i/>
              </w:rPr>
              <w:t>Legea nr. 253/2004 privind caracterul definitiv al decontării în sistemele de plă</w:t>
            </w:r>
            <w:r w:rsidR="00D311C9">
              <w:rPr>
                <w:i/>
              </w:rPr>
              <w:t>ț</w:t>
            </w:r>
            <w:r w:rsidR="0055544A" w:rsidRPr="0055544A">
              <w:rPr>
                <w:i/>
              </w:rPr>
              <w:t xml:space="preserve">i </w:t>
            </w:r>
            <w:r w:rsidR="00D311C9">
              <w:rPr>
                <w:i/>
              </w:rPr>
              <w:t>ș</w:t>
            </w:r>
            <w:r w:rsidR="0055544A" w:rsidRPr="0055544A">
              <w:rPr>
                <w:i/>
              </w:rPr>
              <w:t>i în sistemele de decontare a opera</w:t>
            </w:r>
            <w:r w:rsidR="00D311C9">
              <w:rPr>
                <w:i/>
              </w:rPr>
              <w:t>ț</w:t>
            </w:r>
            <w:r w:rsidR="0055544A" w:rsidRPr="0055544A">
              <w:rPr>
                <w:i/>
              </w:rPr>
              <w:t>iunilor cu instrumente financiare</w:t>
            </w:r>
            <w:r w:rsidR="0055544A">
              <w:rPr>
                <w:i/>
                <w:color w:val="000000"/>
              </w:rPr>
              <w:t>.</w:t>
            </w:r>
          </w:p>
        </w:tc>
      </w:tr>
      <w:tr w:rsidR="00726A5E" w:rsidRPr="00887D37" w14:paraId="50036DFD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2B115" w14:textId="26AD5CD5" w:rsidR="00726A5E" w:rsidRPr="00887D37" w:rsidRDefault="00B34CF3" w:rsidP="002E54DB">
            <w:pPr>
              <w:jc w:val="both"/>
              <w:rPr>
                <w:b/>
              </w:rPr>
            </w:pPr>
            <w:r w:rsidRPr="00887D37">
              <w:rPr>
                <w:b/>
              </w:rPr>
              <w:t>2. Conformitatea proiectului de act normativ</w:t>
            </w:r>
            <w:r w:rsidR="00D311C9">
              <w:rPr>
                <w:b/>
              </w:rPr>
              <w:t xml:space="preserve"> </w:t>
            </w:r>
            <w:r w:rsidRPr="00887D37">
              <w:rPr>
                <w:b/>
              </w:rPr>
              <w:t>cu legisla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 xml:space="preserve">ia comunitară în materie în cazul proiectelor ce transpun prevederi comunitare </w:t>
            </w:r>
          </w:p>
          <w:p w14:paraId="06A03A0A" w14:textId="2B20210B" w:rsidR="00726A5E" w:rsidRPr="00887D37" w:rsidRDefault="00B34CF3" w:rsidP="002E54DB">
            <w:pPr>
              <w:jc w:val="both"/>
            </w:pPr>
            <w:r w:rsidRPr="00887D37">
              <w:rPr>
                <w:b/>
              </w:rPr>
              <w:t>Proiectul de act normativ asigură transpunerea</w:t>
            </w:r>
            <w:r w:rsidRPr="00887D37">
              <w:t>, la nivel de legisla</w:t>
            </w:r>
            <w:r w:rsidR="00D311C9">
              <w:t>ț</w:t>
            </w:r>
            <w:r w:rsidRPr="00887D37">
              <w:t xml:space="preserve">ie primară, a prevederilor </w:t>
            </w:r>
            <w:r w:rsidRPr="002C37BF">
              <w:rPr>
                <w:bCs/>
                <w:i/>
                <w:iCs/>
              </w:rPr>
              <w:t xml:space="preserve">Directivei </w:t>
            </w:r>
            <w:r w:rsidR="002C37BF" w:rsidRPr="002C37BF">
              <w:rPr>
                <w:bCs/>
                <w:i/>
                <w:iCs/>
              </w:rPr>
              <w:t xml:space="preserve">2019/879/UE a Parlamentului European </w:t>
            </w:r>
            <w:r w:rsidR="00D311C9">
              <w:rPr>
                <w:bCs/>
                <w:i/>
                <w:iCs/>
              </w:rPr>
              <w:t>ș</w:t>
            </w:r>
            <w:r w:rsidR="002C37BF" w:rsidRPr="002C37BF">
              <w:rPr>
                <w:bCs/>
                <w:i/>
                <w:iCs/>
              </w:rPr>
              <w:t>i a Consiliului din 20 mai 2019 de modificare a Directivei 2014/59/UE în ceea ce prive</w:t>
            </w:r>
            <w:r w:rsidR="00D311C9">
              <w:rPr>
                <w:bCs/>
                <w:i/>
                <w:iCs/>
              </w:rPr>
              <w:t>ș</w:t>
            </w:r>
            <w:r w:rsidR="002C37BF" w:rsidRPr="002C37BF">
              <w:rPr>
                <w:bCs/>
                <w:i/>
                <w:iCs/>
              </w:rPr>
              <w:t>te capacitatea de abso</w:t>
            </w:r>
            <w:r w:rsidR="00D311C9">
              <w:rPr>
                <w:bCs/>
                <w:i/>
                <w:iCs/>
              </w:rPr>
              <w:t>r</w:t>
            </w:r>
            <w:r w:rsidR="002C37BF" w:rsidRPr="002C37BF">
              <w:rPr>
                <w:bCs/>
                <w:i/>
                <w:iCs/>
              </w:rPr>
              <w:t>b</w:t>
            </w:r>
            <w:r w:rsidR="00D311C9">
              <w:rPr>
                <w:bCs/>
                <w:i/>
                <w:iCs/>
              </w:rPr>
              <w:t>ț</w:t>
            </w:r>
            <w:r w:rsidR="002C37BF" w:rsidRPr="002C37BF">
              <w:rPr>
                <w:bCs/>
                <w:i/>
                <w:iCs/>
              </w:rPr>
              <w:t xml:space="preserve">ie a pierderilor </w:t>
            </w:r>
            <w:r w:rsidR="00D311C9">
              <w:rPr>
                <w:bCs/>
                <w:i/>
                <w:iCs/>
              </w:rPr>
              <w:t>ș</w:t>
            </w:r>
            <w:r w:rsidR="002C37BF" w:rsidRPr="002C37BF">
              <w:rPr>
                <w:bCs/>
                <w:i/>
                <w:iCs/>
              </w:rPr>
              <w:t>i de recapitalizare a institu</w:t>
            </w:r>
            <w:r w:rsidR="00D311C9">
              <w:rPr>
                <w:bCs/>
                <w:i/>
                <w:iCs/>
              </w:rPr>
              <w:t>ț</w:t>
            </w:r>
            <w:r w:rsidR="002C37BF" w:rsidRPr="002C37BF">
              <w:rPr>
                <w:bCs/>
                <w:i/>
                <w:iCs/>
              </w:rPr>
              <w:t xml:space="preserve">iilor de credit </w:t>
            </w:r>
            <w:r w:rsidR="00D311C9">
              <w:rPr>
                <w:bCs/>
                <w:i/>
                <w:iCs/>
              </w:rPr>
              <w:t>ș</w:t>
            </w:r>
            <w:r w:rsidR="002C37BF" w:rsidRPr="002C37BF">
              <w:rPr>
                <w:bCs/>
                <w:i/>
                <w:iCs/>
              </w:rPr>
              <w:t>i a firmelor de investi</w:t>
            </w:r>
            <w:r w:rsidR="00D311C9">
              <w:rPr>
                <w:bCs/>
                <w:i/>
                <w:iCs/>
              </w:rPr>
              <w:t>ț</w:t>
            </w:r>
            <w:r w:rsidR="002C37BF" w:rsidRPr="002C37BF">
              <w:rPr>
                <w:bCs/>
                <w:i/>
                <w:iCs/>
              </w:rPr>
              <w:t xml:space="preserve">ii </w:t>
            </w:r>
            <w:r w:rsidR="00D311C9">
              <w:rPr>
                <w:bCs/>
                <w:i/>
                <w:iCs/>
              </w:rPr>
              <w:t>ș</w:t>
            </w:r>
            <w:r w:rsidR="002C37BF" w:rsidRPr="002C37BF">
              <w:rPr>
                <w:bCs/>
                <w:i/>
                <w:iCs/>
              </w:rPr>
              <w:t>i a Directivei 98/26/CE</w:t>
            </w:r>
            <w:r w:rsidR="00B063CC">
              <w:rPr>
                <w:bCs/>
                <w:iCs/>
              </w:rPr>
              <w:t>.</w:t>
            </w:r>
          </w:p>
          <w:p w14:paraId="4BDF4914" w14:textId="34B8004D" w:rsidR="00726A5E" w:rsidRPr="00887D37" w:rsidRDefault="00B34CF3" w:rsidP="002E54DB">
            <w:pPr>
              <w:jc w:val="both"/>
            </w:pPr>
            <w:r w:rsidRPr="00887D37">
              <w:t>Modificările propuse care nu au un corespondent în legisla</w:t>
            </w:r>
            <w:r w:rsidR="00D311C9">
              <w:t>ț</w:t>
            </w:r>
            <w:r w:rsidRPr="00887D37">
              <w:t xml:space="preserve">ia Uniunii Europene </w:t>
            </w:r>
            <w:r w:rsidR="00D311C9">
              <w:t>ș</w:t>
            </w:r>
            <w:r w:rsidRPr="00887D37">
              <w:t>i care vizează îmbunătă</w:t>
            </w:r>
            <w:r w:rsidR="00D311C9">
              <w:t>ț</w:t>
            </w:r>
            <w:r w:rsidRPr="00887D37">
              <w:t>irea reglementării existente, nu ridică probleme din perspectiva compatibilită</w:t>
            </w:r>
            <w:r w:rsidR="00D311C9">
              <w:t>ț</w:t>
            </w:r>
            <w:r w:rsidRPr="00887D37">
              <w:t xml:space="preserve">ii cu </w:t>
            </w:r>
            <w:r w:rsidRPr="00887D37">
              <w:rPr>
                <w:i/>
              </w:rPr>
              <w:t>acquis</w:t>
            </w:r>
            <w:r w:rsidRPr="00887D37">
              <w:t xml:space="preserve">-ul Uniunii Europene.  </w:t>
            </w:r>
          </w:p>
        </w:tc>
      </w:tr>
      <w:tr w:rsidR="00726A5E" w:rsidRPr="00887D37" w14:paraId="1736951E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6811" w14:textId="77777777" w:rsidR="00726A5E" w:rsidRPr="00887D37" w:rsidRDefault="00B34CF3" w:rsidP="002E54DB">
            <w:pPr>
              <w:jc w:val="both"/>
            </w:pPr>
            <w:r w:rsidRPr="00887D37">
              <w:rPr>
                <w:b/>
              </w:rPr>
              <w:t>3. Măsuri normative necesare aplicării directe a actelor normative comunitare</w:t>
            </w:r>
            <w:r w:rsidRPr="00887D37">
              <w:t>.</w:t>
            </w:r>
          </w:p>
          <w:p w14:paraId="34680FE5" w14:textId="192142B5" w:rsidR="00726A5E" w:rsidRPr="00887D37" w:rsidRDefault="00B34CF3" w:rsidP="002E54DB">
            <w:pPr>
              <w:jc w:val="both"/>
            </w:pPr>
            <w:r w:rsidRPr="00887D37">
              <w:t>P</w:t>
            </w:r>
            <w:r w:rsidR="006144C1" w:rsidRPr="00887D37">
              <w:t>rin p</w:t>
            </w:r>
            <w:r w:rsidRPr="00887D37">
              <w:t xml:space="preserve">roiectul de act normativ </w:t>
            </w:r>
            <w:r w:rsidR="006144C1" w:rsidRPr="00887D37">
              <w:t>se stabilesc competen</w:t>
            </w:r>
            <w:r w:rsidR="00D311C9">
              <w:t>ț</w:t>
            </w:r>
            <w:r w:rsidR="006144C1" w:rsidRPr="00887D37">
              <w:t>e în sarcina autorită</w:t>
            </w:r>
            <w:r w:rsidR="00D311C9">
              <w:t>ț</w:t>
            </w:r>
            <w:r w:rsidR="006144C1" w:rsidRPr="00887D37">
              <w:t xml:space="preserve">ilor de </w:t>
            </w:r>
            <w:r w:rsidR="00527D8A">
              <w:t>supraveghere sau a autorită</w:t>
            </w:r>
            <w:r w:rsidR="00D311C9">
              <w:t>ț</w:t>
            </w:r>
            <w:r w:rsidR="00527D8A">
              <w:t xml:space="preserve">ilor de </w:t>
            </w:r>
            <w:r w:rsidR="006144C1" w:rsidRPr="00887D37">
              <w:t>rezolu</w:t>
            </w:r>
            <w:r w:rsidR="00D311C9">
              <w:t>ț</w:t>
            </w:r>
            <w:r w:rsidR="006144C1" w:rsidRPr="00887D37">
              <w:t xml:space="preserve">ie pentru urmărirea </w:t>
            </w:r>
            <w:r w:rsidR="00EC0657" w:rsidRPr="00887D37">
              <w:t xml:space="preserve">respectării inclusiv a standardelor tehnice obligatorii (acte delegate </w:t>
            </w:r>
            <w:r w:rsidR="00D311C9">
              <w:t>ș</w:t>
            </w:r>
            <w:r w:rsidR="00EC0657" w:rsidRPr="00887D37">
              <w:t xml:space="preserve">i de punere în aplicare), emise de Comisia Europeană în aplicarea </w:t>
            </w:r>
            <w:r w:rsidR="002C37BF" w:rsidRPr="002C37BF">
              <w:rPr>
                <w:bCs/>
                <w:i/>
                <w:iCs/>
              </w:rPr>
              <w:t xml:space="preserve"> Directivei 2019/879/UE</w:t>
            </w:r>
            <w:r w:rsidR="00D311C9">
              <w:rPr>
                <w:bCs/>
                <w:i/>
                <w:iCs/>
              </w:rPr>
              <w:t xml:space="preserve"> </w:t>
            </w:r>
            <w:r w:rsidR="00D311C9">
              <w:t>ș</w:t>
            </w:r>
            <w:r w:rsidR="006144C1" w:rsidRPr="00887D37">
              <w:t>i aplicarea de sanc</w:t>
            </w:r>
            <w:r w:rsidR="00D311C9">
              <w:t>ț</w:t>
            </w:r>
            <w:r w:rsidR="006144C1" w:rsidRPr="00887D37">
              <w:t xml:space="preserve">iuni în cazul nerespectării </w:t>
            </w:r>
            <w:r w:rsidR="00EC0657" w:rsidRPr="00887D37">
              <w:t>acestor standarde</w:t>
            </w:r>
            <w:r w:rsidRPr="00887D37">
              <w:t>.</w:t>
            </w:r>
          </w:p>
        </w:tc>
      </w:tr>
      <w:tr w:rsidR="00726A5E" w:rsidRPr="00887D37" w14:paraId="7DBC6E51" w14:textId="77777777" w:rsidTr="002E54DB">
        <w:trPr>
          <w:cantSplit/>
          <w:trHeight w:val="1134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59F8" w14:textId="024CCA58" w:rsidR="006144C1" w:rsidRPr="00887D37" w:rsidRDefault="00B34CF3" w:rsidP="002E54DB">
            <w:pPr>
              <w:jc w:val="both"/>
            </w:pPr>
            <w:r w:rsidRPr="00887D37">
              <w:rPr>
                <w:b/>
              </w:rPr>
              <w:t>4. Hotărâri ale Cur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ii de Justi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ie a Uniunii  Europene</w:t>
            </w:r>
          </w:p>
          <w:p w14:paraId="0DD349A1" w14:textId="7F883427" w:rsidR="00DA2E83" w:rsidRPr="002E54DB" w:rsidRDefault="00DA2E83" w:rsidP="000C795B">
            <w:pPr>
              <w:pStyle w:val="c01pointnumerotealtn"/>
              <w:spacing w:before="0" w:beforeAutospacing="0" w:after="0"/>
              <w:ind w:left="0" w:firstLine="0"/>
              <w:rPr>
                <w:u w:val="single"/>
              </w:rPr>
            </w:pPr>
          </w:p>
        </w:tc>
      </w:tr>
      <w:tr w:rsidR="00726A5E" w:rsidRPr="00887D37" w14:paraId="03E91A16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088B" w14:textId="7FB282F3" w:rsidR="00726A5E" w:rsidRPr="00887D37" w:rsidRDefault="00B34CF3" w:rsidP="002E54DB">
            <w:pPr>
              <w:jc w:val="both"/>
            </w:pPr>
            <w:r w:rsidRPr="00887D37">
              <w:rPr>
                <w:b/>
              </w:rPr>
              <w:t>5.</w:t>
            </w:r>
            <w:r w:rsidRPr="00887D37">
              <w:rPr>
                <w:b/>
                <w:bCs/>
              </w:rPr>
              <w:t xml:space="preserve"> Alte acte normative </w:t>
            </w:r>
            <w:r w:rsidR="00D311C9">
              <w:rPr>
                <w:b/>
                <w:bCs/>
              </w:rPr>
              <w:t>ș</w:t>
            </w:r>
            <w:r w:rsidRPr="00887D37">
              <w:rPr>
                <w:b/>
                <w:bCs/>
              </w:rPr>
              <w:t>i sau documente interna</w:t>
            </w:r>
            <w:r w:rsidR="00D311C9">
              <w:rPr>
                <w:b/>
                <w:bCs/>
              </w:rPr>
              <w:t>ț</w:t>
            </w:r>
            <w:r w:rsidRPr="00887D37">
              <w:rPr>
                <w:b/>
                <w:bCs/>
              </w:rPr>
              <w:t>ionale din care decurg angajamente</w:t>
            </w:r>
          </w:p>
          <w:p w14:paraId="1411A4B9" w14:textId="30551F13" w:rsidR="00726A5E" w:rsidRPr="00887D37" w:rsidRDefault="00726A5E" w:rsidP="002D3BE7">
            <w:pPr>
              <w:jc w:val="both"/>
            </w:pPr>
          </w:p>
        </w:tc>
      </w:tr>
      <w:tr w:rsidR="00726A5E" w:rsidRPr="00887D37" w14:paraId="148E2BC2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7F68" w14:textId="5AB4CE17" w:rsidR="00726A5E" w:rsidRPr="00887D37" w:rsidRDefault="00B34CF3" w:rsidP="002E54DB">
            <w:pPr>
              <w:jc w:val="both"/>
              <w:rPr>
                <w:b/>
              </w:rPr>
            </w:pPr>
            <w:r w:rsidRPr="00887D37">
              <w:rPr>
                <w:b/>
              </w:rPr>
              <w:t>6. Alte informa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ii</w:t>
            </w:r>
          </w:p>
          <w:p w14:paraId="62168236" w14:textId="538477B4" w:rsidR="00062EED" w:rsidRPr="00887D37" w:rsidRDefault="00062EED" w:rsidP="002D3BE7">
            <w:pPr>
              <w:jc w:val="both"/>
            </w:pPr>
            <w:r w:rsidRPr="002E54DB">
              <w:t xml:space="preserve">Prezentul proiect </w:t>
            </w:r>
            <w:r w:rsidRPr="00887D37">
              <w:t xml:space="preserve">legislativ, prin care se asigură transpunerea </w:t>
            </w:r>
            <w:r w:rsidR="00D86AA8" w:rsidRPr="00D86AA8">
              <w:rPr>
                <w:bCs/>
                <w:i/>
                <w:iCs/>
              </w:rPr>
              <w:t xml:space="preserve"> Directivei 2019/879/UE</w:t>
            </w:r>
            <w:r w:rsidR="00611129">
              <w:rPr>
                <w:bCs/>
                <w:i/>
                <w:iCs/>
              </w:rPr>
              <w:t xml:space="preserve"> </w:t>
            </w:r>
            <w:r w:rsidRPr="00887D37">
              <w:t>se încadrează în categoria actelor normative</w:t>
            </w:r>
            <w:r w:rsidR="002D5198" w:rsidRPr="00887D37">
              <w:t xml:space="preserve"> prin care se asigură aplicarea pe </w:t>
            </w:r>
            <w:r w:rsidR="002D5198" w:rsidRPr="00714B98">
              <w:t>teritoriul României a unor acte de drept al Uniuni</w:t>
            </w:r>
            <w:r w:rsidR="002D3BE7">
              <w:t>i</w:t>
            </w:r>
            <w:r w:rsidR="002D5198" w:rsidRPr="00714B98">
              <w:t xml:space="preserve"> Europene</w:t>
            </w:r>
            <w:r w:rsidR="00EB268E" w:rsidRPr="00714B98">
              <w:t>, potrivit dispozi</w:t>
            </w:r>
            <w:r w:rsidR="00D311C9">
              <w:t>ț</w:t>
            </w:r>
            <w:r w:rsidR="00EB268E" w:rsidRPr="00714B98">
              <w:t>iilor art. 148 din Constitu</w:t>
            </w:r>
            <w:r w:rsidR="00D311C9">
              <w:t>ț</w:t>
            </w:r>
            <w:r w:rsidR="00EB268E" w:rsidRPr="00714B98">
              <w:t>ia României,</w:t>
            </w:r>
            <w:r w:rsidR="002D5198" w:rsidRPr="00714B98">
              <w:t xml:space="preserve"> asigur</w:t>
            </w:r>
            <w:r w:rsidR="00EB268E" w:rsidRPr="00714B98">
              <w:t>ând</w:t>
            </w:r>
            <w:r w:rsidR="002D5198" w:rsidRPr="00714B98">
              <w:t xml:space="preserve"> respectarea</w:t>
            </w:r>
            <w:r w:rsidR="002D5198" w:rsidRPr="00887D37">
              <w:t xml:space="preserve"> Carte</w:t>
            </w:r>
            <w:r w:rsidR="00EB268E" w:rsidRPr="00887D37">
              <w:t>i</w:t>
            </w:r>
            <w:r w:rsidR="002D5198" w:rsidRPr="00887D37">
              <w:t xml:space="preserve"> drepturilor fundamentale </w:t>
            </w:r>
            <w:r w:rsidR="00EB268E" w:rsidRPr="00887D37">
              <w:t xml:space="preserve">a Uniunii Europene </w:t>
            </w:r>
            <w:r w:rsidR="002D5198" w:rsidRPr="00887D37">
              <w:t xml:space="preserve">corespunzător </w:t>
            </w:r>
            <w:r w:rsidR="00EB268E" w:rsidRPr="00887D37">
              <w:t>gradului de conformare la aceasta a dispozi</w:t>
            </w:r>
            <w:r w:rsidR="00D311C9">
              <w:t>ț</w:t>
            </w:r>
            <w:r w:rsidR="00EB268E" w:rsidRPr="00887D37">
              <w:t>iilor pe care le transpune</w:t>
            </w:r>
            <w:r w:rsidRPr="00887D37">
              <w:rPr>
                <w:rStyle w:val="FootnoteReference"/>
              </w:rPr>
              <w:footnoteReference w:id="1"/>
            </w:r>
            <w:r w:rsidR="00EB268E" w:rsidRPr="00887D37">
              <w:t>.</w:t>
            </w:r>
          </w:p>
        </w:tc>
      </w:tr>
      <w:tr w:rsidR="00726A5E" w:rsidRPr="00887D37" w14:paraId="2987BDB3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E1D80" w14:textId="77777777" w:rsidR="009956F5" w:rsidRDefault="009956F5" w:rsidP="002E54DB">
            <w:pPr>
              <w:jc w:val="center"/>
              <w:rPr>
                <w:b/>
              </w:rPr>
            </w:pPr>
          </w:p>
          <w:p w14:paraId="2D3178A9" w14:textId="4BF62C4B" w:rsidR="00726A5E" w:rsidRPr="00887D37" w:rsidRDefault="00B34CF3" w:rsidP="002E54DB">
            <w:pPr>
              <w:jc w:val="center"/>
              <w:rPr>
                <w:b/>
              </w:rPr>
            </w:pPr>
            <w:r w:rsidRPr="00887D37">
              <w:rPr>
                <w:b/>
              </w:rPr>
              <w:t>Sec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iunea a 6-a</w:t>
            </w:r>
          </w:p>
          <w:p w14:paraId="5DEEB44C" w14:textId="27678130" w:rsidR="009956F5" w:rsidRPr="00887D37" w:rsidRDefault="00B34CF3" w:rsidP="00551FEB">
            <w:pPr>
              <w:jc w:val="center"/>
            </w:pPr>
            <w:r w:rsidRPr="00887D37">
              <w:rPr>
                <w:b/>
              </w:rPr>
              <w:t>Consultările efectuate în vederea elaborării proiectului de act normativ</w:t>
            </w:r>
          </w:p>
        </w:tc>
      </w:tr>
      <w:tr w:rsidR="00726A5E" w:rsidRPr="00887D37" w14:paraId="0CC18CB3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39B1" w14:textId="0360123A" w:rsidR="00726A5E" w:rsidRPr="00887D37" w:rsidRDefault="00B34CF3" w:rsidP="002E54DB">
            <w:pPr>
              <w:jc w:val="both"/>
            </w:pPr>
            <w:r w:rsidRPr="00887D37">
              <w:rPr>
                <w:b/>
              </w:rPr>
              <w:lastRenderedPageBreak/>
              <w:t>1. Informa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ii privind procesul de consultare cu organiza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 xml:space="preserve">iile neguvernamentale, institute de cercetare </w:t>
            </w:r>
            <w:r w:rsidR="00D311C9">
              <w:rPr>
                <w:b/>
              </w:rPr>
              <w:t>ș</w:t>
            </w:r>
            <w:r w:rsidRPr="00887D37">
              <w:rPr>
                <w:b/>
              </w:rPr>
              <w:t>i alte organisme implicate</w:t>
            </w:r>
          </w:p>
          <w:p w14:paraId="2D0327F3" w14:textId="77777777" w:rsidR="00D86AA8" w:rsidRDefault="00B34CF3" w:rsidP="00D86AA8">
            <w:pPr>
              <w:jc w:val="both"/>
            </w:pPr>
            <w:r w:rsidRPr="00887D37">
              <w:t xml:space="preserve">În plan extern </w:t>
            </w:r>
            <w:r w:rsidR="00D86AA8">
              <w:t>nu au fost necesare consultări.</w:t>
            </w:r>
          </w:p>
          <w:p w14:paraId="52E51E08" w14:textId="77777777" w:rsidR="00726A5E" w:rsidRDefault="00B34CF3" w:rsidP="00D86AA8">
            <w:pPr>
              <w:jc w:val="both"/>
            </w:pPr>
            <w:r w:rsidRPr="00887D37">
              <w:t>În plan intern au fost consultate Banca Na</w:t>
            </w:r>
            <w:r w:rsidR="00D311C9">
              <w:t>ț</w:t>
            </w:r>
            <w:r w:rsidRPr="00887D37">
              <w:t>ională a României, Autoritat</w:t>
            </w:r>
            <w:r w:rsidR="000C795B">
              <w:t>ea de Supraveghere Financiară.</w:t>
            </w:r>
          </w:p>
          <w:p w14:paraId="6D205749" w14:textId="7CB22059" w:rsidR="000C795B" w:rsidRPr="00887D37" w:rsidRDefault="000C795B" w:rsidP="00D86AA8">
            <w:pPr>
              <w:jc w:val="both"/>
            </w:pPr>
          </w:p>
        </w:tc>
      </w:tr>
      <w:tr w:rsidR="00B93C6C" w:rsidRPr="00887D37" w14:paraId="338D36B5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2211" w14:textId="3C7E27F7" w:rsidR="00B93C6C" w:rsidRDefault="00B93C6C" w:rsidP="00B93C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4156A7">
              <w:rPr>
                <w:b/>
                <w:bCs/>
              </w:rPr>
              <w:t>Fundamentarea alegerii organiza</w:t>
            </w:r>
            <w:r w:rsidR="00D311C9">
              <w:rPr>
                <w:b/>
                <w:bCs/>
              </w:rPr>
              <w:t>ț</w:t>
            </w:r>
            <w:r w:rsidRPr="004156A7">
              <w:rPr>
                <w:b/>
                <w:bCs/>
              </w:rPr>
              <w:t xml:space="preserve">iilor cu care a avut loc consultarea precum </w:t>
            </w:r>
            <w:r w:rsidR="00D311C9">
              <w:rPr>
                <w:b/>
                <w:bCs/>
              </w:rPr>
              <w:t>ș</w:t>
            </w:r>
            <w:r w:rsidRPr="004156A7">
              <w:rPr>
                <w:b/>
                <w:bCs/>
              </w:rPr>
              <w:t>i a modului în care activitatea acestor organiza</w:t>
            </w:r>
            <w:r w:rsidR="00D311C9">
              <w:rPr>
                <w:b/>
                <w:bCs/>
              </w:rPr>
              <w:t>ț</w:t>
            </w:r>
            <w:r w:rsidRPr="004156A7">
              <w:rPr>
                <w:b/>
                <w:bCs/>
              </w:rPr>
              <w:t>ii este leg</w:t>
            </w:r>
            <w:r>
              <w:rPr>
                <w:b/>
                <w:bCs/>
              </w:rPr>
              <w:t xml:space="preserve">ată de obiectul proiectului de </w:t>
            </w:r>
            <w:r w:rsidRPr="004156A7">
              <w:rPr>
                <w:b/>
                <w:bCs/>
              </w:rPr>
              <w:t>act normativ</w:t>
            </w:r>
          </w:p>
          <w:p w14:paraId="3F383FEE" w14:textId="58ADE4E3" w:rsidR="00B93C6C" w:rsidRDefault="00B93C6C" w:rsidP="00B93C6C">
            <w:pPr>
              <w:jc w:val="both"/>
              <w:rPr>
                <w:bCs/>
              </w:rPr>
            </w:pPr>
            <w:r w:rsidRPr="004156A7">
              <w:rPr>
                <w:bCs/>
              </w:rPr>
              <w:t>Banca Na</w:t>
            </w:r>
            <w:r w:rsidR="00D311C9">
              <w:rPr>
                <w:bCs/>
              </w:rPr>
              <w:t>ț</w:t>
            </w:r>
            <w:r w:rsidRPr="004156A7">
              <w:rPr>
                <w:bCs/>
              </w:rPr>
              <w:t xml:space="preserve">ională a României este autoritatea </w:t>
            </w:r>
            <w:r>
              <w:rPr>
                <w:bCs/>
              </w:rPr>
              <w:t xml:space="preserve">responsabilă cu redresarea </w:t>
            </w:r>
            <w:r w:rsidR="00D311C9">
              <w:rPr>
                <w:bCs/>
              </w:rPr>
              <w:t>ș</w:t>
            </w:r>
            <w:r>
              <w:rPr>
                <w:bCs/>
              </w:rPr>
              <w:t>i rezolu</w:t>
            </w:r>
            <w:r w:rsidR="00D311C9">
              <w:rPr>
                <w:bCs/>
              </w:rPr>
              <w:t>ț</w:t>
            </w:r>
            <w:r>
              <w:rPr>
                <w:bCs/>
              </w:rPr>
              <w:t>ia institu</w:t>
            </w:r>
            <w:r w:rsidR="00D311C9">
              <w:rPr>
                <w:bCs/>
              </w:rPr>
              <w:t>ț</w:t>
            </w:r>
            <w:r>
              <w:rPr>
                <w:bCs/>
              </w:rPr>
              <w:t>iilor de credit.</w:t>
            </w:r>
          </w:p>
          <w:p w14:paraId="7FD4E6AB" w14:textId="68229964" w:rsidR="00B93C6C" w:rsidRDefault="00B93C6C" w:rsidP="00B93C6C">
            <w:pPr>
              <w:jc w:val="both"/>
              <w:rPr>
                <w:bCs/>
              </w:rPr>
            </w:pPr>
            <w:r w:rsidRPr="004156A7">
              <w:rPr>
                <w:bCs/>
              </w:rPr>
              <w:t xml:space="preserve">Autoritatea de Supraveghere Financiară este autoritatea </w:t>
            </w:r>
            <w:r>
              <w:rPr>
                <w:bCs/>
              </w:rPr>
              <w:t xml:space="preserve">responsabilă cu redresarea </w:t>
            </w:r>
            <w:r w:rsidR="00D311C9">
              <w:rPr>
                <w:bCs/>
              </w:rPr>
              <w:t>ș</w:t>
            </w:r>
            <w:r>
              <w:rPr>
                <w:bCs/>
              </w:rPr>
              <w:t>i rezolu</w:t>
            </w:r>
            <w:r w:rsidR="00D311C9">
              <w:rPr>
                <w:bCs/>
              </w:rPr>
              <w:t>ț</w:t>
            </w:r>
            <w:r>
              <w:rPr>
                <w:bCs/>
              </w:rPr>
              <w:t>ia</w:t>
            </w:r>
            <w:r w:rsidRPr="004156A7">
              <w:rPr>
                <w:bCs/>
              </w:rPr>
              <w:t xml:space="preserve"> </w:t>
            </w:r>
            <w:r>
              <w:rPr>
                <w:bCs/>
              </w:rPr>
              <w:t>firmelor de investi</w:t>
            </w:r>
            <w:r w:rsidR="00D311C9">
              <w:rPr>
                <w:bCs/>
              </w:rPr>
              <w:t>ț</w:t>
            </w:r>
            <w:r>
              <w:rPr>
                <w:bCs/>
              </w:rPr>
              <w:t>ii</w:t>
            </w:r>
            <w:r w:rsidRPr="004156A7">
              <w:rPr>
                <w:bCs/>
              </w:rPr>
              <w:t>.</w:t>
            </w:r>
          </w:p>
          <w:p w14:paraId="783F6832" w14:textId="73D36F1A" w:rsidR="00B93C6C" w:rsidRPr="00887D37" w:rsidRDefault="00B93C6C" w:rsidP="00B93C6C">
            <w:pPr>
              <w:jc w:val="both"/>
              <w:rPr>
                <w:b/>
                <w:bCs/>
              </w:rPr>
            </w:pPr>
            <w:r w:rsidRPr="004156A7">
              <w:rPr>
                <w:bCs/>
              </w:rPr>
              <w:t>Asocia</w:t>
            </w:r>
            <w:r w:rsidR="00D311C9">
              <w:rPr>
                <w:bCs/>
              </w:rPr>
              <w:t>ț</w:t>
            </w:r>
            <w:r w:rsidRPr="004156A7">
              <w:rPr>
                <w:bCs/>
              </w:rPr>
              <w:t>ia Română a Băncilor este constituită în scopul promovării principiilor politicii bancare în domeniile de interes general ale institu</w:t>
            </w:r>
            <w:r w:rsidR="00D311C9">
              <w:rPr>
                <w:bCs/>
              </w:rPr>
              <w:t>ț</w:t>
            </w:r>
            <w:r w:rsidRPr="004156A7">
              <w:rPr>
                <w:bCs/>
              </w:rPr>
              <w:t xml:space="preserve">iilor de credit membre, precum </w:t>
            </w:r>
            <w:r w:rsidR="00D311C9">
              <w:rPr>
                <w:bCs/>
              </w:rPr>
              <w:t>ș</w:t>
            </w:r>
            <w:r w:rsidRPr="004156A7">
              <w:rPr>
                <w:bCs/>
              </w:rPr>
              <w:t>i în scopul cooperării dintre institu</w:t>
            </w:r>
            <w:r w:rsidR="00D311C9">
              <w:rPr>
                <w:bCs/>
              </w:rPr>
              <w:t>ț</w:t>
            </w:r>
            <w:r w:rsidRPr="004156A7">
              <w:rPr>
                <w:bCs/>
              </w:rPr>
              <w:t>iile de credit, alte institu</w:t>
            </w:r>
            <w:r w:rsidR="00D311C9">
              <w:rPr>
                <w:bCs/>
              </w:rPr>
              <w:t>ț</w:t>
            </w:r>
            <w:r w:rsidRPr="004156A7">
              <w:rPr>
                <w:bCs/>
              </w:rPr>
              <w:t>ii na</w:t>
            </w:r>
            <w:r w:rsidR="00D311C9">
              <w:rPr>
                <w:bCs/>
              </w:rPr>
              <w:t>ț</w:t>
            </w:r>
            <w:r w:rsidRPr="004156A7">
              <w:rPr>
                <w:bCs/>
              </w:rPr>
              <w:t xml:space="preserve">ionale </w:t>
            </w:r>
            <w:r w:rsidR="00D311C9">
              <w:rPr>
                <w:bCs/>
              </w:rPr>
              <w:t>ș</w:t>
            </w:r>
            <w:r w:rsidRPr="004156A7">
              <w:rPr>
                <w:bCs/>
              </w:rPr>
              <w:t>i interna</w:t>
            </w:r>
            <w:r w:rsidR="00D311C9">
              <w:rPr>
                <w:bCs/>
              </w:rPr>
              <w:t>ț</w:t>
            </w:r>
            <w:r w:rsidRPr="004156A7">
              <w:rPr>
                <w:bCs/>
              </w:rPr>
              <w:t xml:space="preserve">ionale </w:t>
            </w:r>
            <w:r w:rsidR="00D311C9">
              <w:rPr>
                <w:bCs/>
              </w:rPr>
              <w:t>ș</w:t>
            </w:r>
            <w:r w:rsidRPr="004156A7">
              <w:rPr>
                <w:bCs/>
              </w:rPr>
              <w:t>i asocia</w:t>
            </w:r>
            <w:r w:rsidR="00D311C9">
              <w:rPr>
                <w:bCs/>
              </w:rPr>
              <w:t>ț</w:t>
            </w:r>
            <w:r w:rsidRPr="004156A7">
              <w:rPr>
                <w:bCs/>
              </w:rPr>
              <w:t xml:space="preserve">ii bancare din alte </w:t>
            </w:r>
            <w:r w:rsidR="00D311C9">
              <w:rPr>
                <w:bCs/>
              </w:rPr>
              <w:t>ț</w:t>
            </w:r>
            <w:r w:rsidRPr="004156A7">
              <w:rPr>
                <w:bCs/>
              </w:rPr>
              <w:t>ări.</w:t>
            </w:r>
          </w:p>
        </w:tc>
      </w:tr>
      <w:tr w:rsidR="00B93C6C" w:rsidRPr="00887D37" w14:paraId="49A264D7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89100" w14:textId="66827391" w:rsidR="00B93C6C" w:rsidRPr="00887D37" w:rsidRDefault="00B93C6C" w:rsidP="00B93C6C">
            <w:pPr>
              <w:jc w:val="both"/>
              <w:rPr>
                <w:b/>
                <w:bCs/>
              </w:rPr>
            </w:pPr>
            <w:r w:rsidRPr="00887D37">
              <w:rPr>
                <w:b/>
              </w:rPr>
              <w:t>3. Consultările organizate cu autorită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 xml:space="preserve">ile </w:t>
            </w:r>
            <w:r w:rsidRPr="00887D37">
              <w:rPr>
                <w:b/>
                <w:bCs/>
              </w:rPr>
              <w:t>administra</w:t>
            </w:r>
            <w:r w:rsidR="00D311C9">
              <w:rPr>
                <w:b/>
                <w:bCs/>
              </w:rPr>
              <w:t>ț</w:t>
            </w:r>
            <w:r w:rsidRPr="00887D37">
              <w:rPr>
                <w:b/>
                <w:bCs/>
              </w:rPr>
              <w:t xml:space="preserve">iei </w:t>
            </w:r>
            <w:r w:rsidRPr="00887D37">
              <w:rPr>
                <w:b/>
              </w:rPr>
              <w:t>publice locale, în situa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ia în care proiectul de act normativ are ca obiect activită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 ale acestor autorită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i, în condi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 xml:space="preserve">iile Hotărârii Guvernului nr.521/2005 </w:t>
            </w:r>
            <w:r w:rsidRPr="00887D37">
              <w:rPr>
                <w:b/>
                <w:bCs/>
              </w:rPr>
              <w:t>privind procedura de consultare a structurilor asociative ale autorită</w:t>
            </w:r>
            <w:r w:rsidR="00D311C9">
              <w:rPr>
                <w:b/>
                <w:bCs/>
              </w:rPr>
              <w:t>ț</w:t>
            </w:r>
            <w:r w:rsidRPr="00887D37">
              <w:rPr>
                <w:b/>
                <w:bCs/>
              </w:rPr>
              <w:t>ilor administra</w:t>
            </w:r>
            <w:r w:rsidR="00D311C9">
              <w:rPr>
                <w:b/>
                <w:bCs/>
              </w:rPr>
              <w:t>ț</w:t>
            </w:r>
            <w:r w:rsidRPr="00887D37">
              <w:rPr>
                <w:b/>
                <w:bCs/>
              </w:rPr>
              <w:t>iei publice locale la elaborarea proiectelor de acte normative.</w:t>
            </w:r>
          </w:p>
          <w:p w14:paraId="6B5F7F45" w14:textId="77777777" w:rsidR="00B93C6C" w:rsidRPr="00887D37" w:rsidRDefault="00B93C6C" w:rsidP="00B93C6C">
            <w:pPr>
              <w:jc w:val="both"/>
              <w:rPr>
                <w:b/>
                <w:bCs/>
              </w:rPr>
            </w:pPr>
          </w:p>
        </w:tc>
      </w:tr>
      <w:tr w:rsidR="00B93C6C" w:rsidRPr="00887D37" w14:paraId="7A7F1130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5FCC" w14:textId="756C4464" w:rsidR="00B93C6C" w:rsidRPr="00887D37" w:rsidRDefault="00B93C6C" w:rsidP="00B93C6C">
            <w:pPr>
              <w:jc w:val="both"/>
            </w:pPr>
            <w:r w:rsidRPr="00887D37">
              <w:rPr>
                <w:b/>
              </w:rPr>
              <w:t>4. Consultările desfă</w:t>
            </w:r>
            <w:r w:rsidR="00D311C9">
              <w:rPr>
                <w:b/>
              </w:rPr>
              <w:t>ș</w:t>
            </w:r>
            <w:r w:rsidRPr="00887D37">
              <w:rPr>
                <w:b/>
              </w:rPr>
              <w:t>urate în cadrul consiliilor interministeriale în conformitate cu prevederile Hotărârii Guvernului nr. 750/2005 privind constituirea consiliilor interministeriale permanente</w:t>
            </w:r>
          </w:p>
        </w:tc>
      </w:tr>
      <w:tr w:rsidR="00B93C6C" w:rsidRPr="00887D37" w14:paraId="52484FEB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56D8" w14:textId="348ADFA1" w:rsidR="00B93C6C" w:rsidRPr="00887D37" w:rsidRDefault="00B93C6C" w:rsidP="00B93C6C">
            <w:pPr>
              <w:autoSpaceDE w:val="0"/>
              <w:jc w:val="both"/>
              <w:rPr>
                <w:b/>
              </w:rPr>
            </w:pPr>
            <w:r w:rsidRPr="00887D37">
              <w:rPr>
                <w:b/>
              </w:rPr>
              <w:t>5.</w:t>
            </w:r>
            <w:r w:rsidRPr="00887D37">
              <w:rPr>
                <w:b/>
                <w:bCs/>
              </w:rPr>
              <w:t xml:space="preserve"> Informa</w:t>
            </w:r>
            <w:r w:rsidR="00D311C9">
              <w:rPr>
                <w:b/>
                <w:bCs/>
              </w:rPr>
              <w:t>ț</w:t>
            </w:r>
            <w:r w:rsidRPr="00887D37">
              <w:rPr>
                <w:b/>
                <w:bCs/>
              </w:rPr>
              <w:t>ii privind avizarea de către</w:t>
            </w:r>
            <w:r w:rsidRPr="00887D37">
              <w:rPr>
                <w:b/>
              </w:rPr>
              <w:t>:</w:t>
            </w:r>
          </w:p>
          <w:p w14:paraId="1BE798C7" w14:textId="77777777" w:rsidR="00B93C6C" w:rsidRPr="00887D37" w:rsidRDefault="00B93C6C" w:rsidP="00B93C6C">
            <w:pPr>
              <w:tabs>
                <w:tab w:val="left" w:pos="6195"/>
              </w:tabs>
              <w:autoSpaceDE w:val="0"/>
              <w:jc w:val="both"/>
              <w:rPr>
                <w:b/>
              </w:rPr>
            </w:pPr>
            <w:r w:rsidRPr="00887D37">
              <w:rPr>
                <w:b/>
              </w:rPr>
              <w:t>a) Consiliul Legislativ</w:t>
            </w:r>
          </w:p>
          <w:p w14:paraId="1EDCCAF5" w14:textId="1CF17575" w:rsidR="00B93C6C" w:rsidRPr="00887D37" w:rsidRDefault="00B93C6C" w:rsidP="00B93C6C">
            <w:pPr>
              <w:autoSpaceDE w:val="0"/>
              <w:jc w:val="both"/>
              <w:rPr>
                <w:b/>
              </w:rPr>
            </w:pPr>
            <w:r w:rsidRPr="00887D37">
              <w:rPr>
                <w:b/>
              </w:rPr>
              <w:t xml:space="preserve">b) Consiliul Suprem de Apărare a 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ării</w:t>
            </w:r>
          </w:p>
          <w:p w14:paraId="1762E97B" w14:textId="74F2454B" w:rsidR="00B93C6C" w:rsidRPr="00887D37" w:rsidRDefault="00B93C6C" w:rsidP="00B93C6C">
            <w:pPr>
              <w:autoSpaceDE w:val="0"/>
              <w:jc w:val="both"/>
              <w:rPr>
                <w:b/>
              </w:rPr>
            </w:pPr>
            <w:r w:rsidRPr="00887D37">
              <w:rPr>
                <w:b/>
              </w:rPr>
              <w:t xml:space="preserve">c) Consiliul Economic </w:t>
            </w:r>
            <w:r w:rsidR="00D311C9">
              <w:rPr>
                <w:b/>
              </w:rPr>
              <w:t>ș</w:t>
            </w:r>
            <w:r w:rsidRPr="00887D37">
              <w:rPr>
                <w:b/>
              </w:rPr>
              <w:t>i Social</w:t>
            </w:r>
          </w:p>
          <w:p w14:paraId="48A3CA4E" w14:textId="3CF6778D" w:rsidR="00B93C6C" w:rsidRPr="00887D37" w:rsidRDefault="00B93C6C" w:rsidP="00B93C6C">
            <w:pPr>
              <w:autoSpaceDE w:val="0"/>
              <w:jc w:val="both"/>
              <w:rPr>
                <w:b/>
              </w:rPr>
            </w:pPr>
            <w:r w:rsidRPr="00887D37">
              <w:rPr>
                <w:b/>
              </w:rPr>
              <w:t>d) Consiliul Concuren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 xml:space="preserve">ei </w:t>
            </w:r>
          </w:p>
          <w:p w14:paraId="4E94FC22" w14:textId="77777777" w:rsidR="00B93C6C" w:rsidRPr="00887D37" w:rsidRDefault="00B93C6C" w:rsidP="00B93C6C">
            <w:pPr>
              <w:jc w:val="both"/>
              <w:rPr>
                <w:shd w:val="clear" w:color="auto" w:fill="FFFFFF"/>
              </w:rPr>
            </w:pPr>
            <w:r w:rsidRPr="00887D37">
              <w:rPr>
                <w:b/>
              </w:rPr>
              <w:t>e) Curtea de Conturi</w:t>
            </w:r>
          </w:p>
          <w:p w14:paraId="44999079" w14:textId="6F3810AE" w:rsidR="00B93C6C" w:rsidRPr="00887D37" w:rsidRDefault="00B93C6C" w:rsidP="00B93C6C">
            <w:pPr>
              <w:jc w:val="both"/>
            </w:pPr>
            <w:r w:rsidRPr="00887D37">
              <w:rPr>
                <w:shd w:val="clear" w:color="auto" w:fill="FFFFFF"/>
              </w:rPr>
              <w:t xml:space="preserve">Proiectul este supus avizării </w:t>
            </w:r>
            <w:r w:rsidR="004F011E" w:rsidRPr="004F011E">
              <w:rPr>
                <w:shd w:val="clear" w:color="auto" w:fill="FFFFFF"/>
              </w:rPr>
              <w:t xml:space="preserve">Consiliul Economic și Social </w:t>
            </w:r>
            <w:r w:rsidR="004F011E">
              <w:rPr>
                <w:shd w:val="clear" w:color="auto" w:fill="FFFFFF"/>
              </w:rPr>
              <w:t xml:space="preserve">și </w:t>
            </w:r>
            <w:r w:rsidRPr="00887D37">
              <w:rPr>
                <w:shd w:val="clear" w:color="auto" w:fill="FFFFFF"/>
              </w:rPr>
              <w:t>Consiliului Legislativ</w:t>
            </w:r>
            <w:r w:rsidRPr="00887D37">
              <w:t xml:space="preserve">. </w:t>
            </w:r>
          </w:p>
        </w:tc>
      </w:tr>
      <w:tr w:rsidR="00B93C6C" w:rsidRPr="00887D37" w14:paraId="0AE26C09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EBBAB" w14:textId="1C196BBB" w:rsidR="00B93C6C" w:rsidRPr="00887D37" w:rsidRDefault="00B93C6C" w:rsidP="00B93C6C">
            <w:pPr>
              <w:jc w:val="both"/>
            </w:pPr>
            <w:r w:rsidRPr="00887D37">
              <w:rPr>
                <w:b/>
              </w:rPr>
              <w:t>6. Alte informa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ii</w:t>
            </w:r>
          </w:p>
        </w:tc>
      </w:tr>
      <w:tr w:rsidR="00B93C6C" w:rsidRPr="00887D37" w14:paraId="54E977A9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F624" w14:textId="77777777" w:rsidR="009956F5" w:rsidRDefault="009956F5" w:rsidP="00B93C6C">
            <w:pPr>
              <w:jc w:val="center"/>
              <w:rPr>
                <w:b/>
              </w:rPr>
            </w:pPr>
          </w:p>
          <w:p w14:paraId="2B5751BD" w14:textId="79136E14" w:rsidR="00B93C6C" w:rsidRPr="00887D37" w:rsidRDefault="00B93C6C" w:rsidP="00B93C6C">
            <w:pPr>
              <w:jc w:val="center"/>
              <w:rPr>
                <w:b/>
              </w:rPr>
            </w:pPr>
            <w:r w:rsidRPr="00887D37">
              <w:rPr>
                <w:b/>
              </w:rPr>
              <w:t>Sec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iunea a 7-a</w:t>
            </w:r>
          </w:p>
          <w:p w14:paraId="4FE7898A" w14:textId="081DCDEA" w:rsidR="00B93C6C" w:rsidRPr="00887D37" w:rsidRDefault="00B93C6C" w:rsidP="00B93C6C">
            <w:pPr>
              <w:jc w:val="center"/>
              <w:rPr>
                <w:b/>
              </w:rPr>
            </w:pPr>
            <w:r w:rsidRPr="00887D37">
              <w:rPr>
                <w:b/>
              </w:rPr>
              <w:t>Activită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 xml:space="preserve">i de informare publică privind elaborarea </w:t>
            </w:r>
          </w:p>
          <w:p w14:paraId="633902C3" w14:textId="77777777" w:rsidR="00B93C6C" w:rsidRDefault="00D311C9" w:rsidP="00B93C6C">
            <w:pPr>
              <w:jc w:val="center"/>
              <w:rPr>
                <w:b/>
              </w:rPr>
            </w:pPr>
            <w:r>
              <w:rPr>
                <w:b/>
              </w:rPr>
              <w:t>ș</w:t>
            </w:r>
            <w:r w:rsidR="00B93C6C" w:rsidRPr="00887D37">
              <w:rPr>
                <w:b/>
              </w:rPr>
              <w:t>i implementarea proiectului de act normativ</w:t>
            </w:r>
          </w:p>
          <w:p w14:paraId="009450B9" w14:textId="55B03047" w:rsidR="009956F5" w:rsidRPr="00887D37" w:rsidRDefault="009956F5" w:rsidP="00B93C6C">
            <w:pPr>
              <w:jc w:val="center"/>
            </w:pPr>
          </w:p>
        </w:tc>
      </w:tr>
      <w:tr w:rsidR="00B93C6C" w:rsidRPr="00887D37" w14:paraId="657A6E44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7FEA" w14:textId="64145DF1" w:rsidR="00B93C6C" w:rsidRPr="00887D37" w:rsidRDefault="00B93C6C" w:rsidP="00B93C6C">
            <w:pPr>
              <w:jc w:val="both"/>
              <w:rPr>
                <w:shd w:val="clear" w:color="auto" w:fill="FFFFFF"/>
              </w:rPr>
            </w:pPr>
            <w:r w:rsidRPr="00887D37">
              <w:rPr>
                <w:b/>
              </w:rPr>
              <w:t>1. Informarea societă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ii civile cu privire la necesitatea elaborării proiectului de act normativ</w:t>
            </w:r>
          </w:p>
          <w:p w14:paraId="052131A6" w14:textId="7FDE964D" w:rsidR="00B93C6C" w:rsidRPr="000C795B" w:rsidRDefault="000C795B" w:rsidP="00EA2BFF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 fost respectate prevederile Regulamentului privind procedurile, la nivelul Guvernului, pentru elaborarea, avizarea și prezentarea proiectelor de documente de politici publice, a proiectelor de acte normative, precum și a altor documente, în vederea adoptării/aprobării, aprobat prin Hotărârea Guvernului nr. 561/2009. Proiectul de act normativ a fost postat la data de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 pe web</w:t>
            </w:r>
            <w:r w:rsidR="00EA2BFF">
              <w:rPr>
                <w:rFonts w:ascii="Times New Roman" w:hAnsi="Times New Roman" w:cs="Times New Roman"/>
                <w:sz w:val="24"/>
                <w:szCs w:val="24"/>
              </w:rPr>
              <w:t>site-ul Ministerului Finanțelor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Au fost respectate dispozițiile art. 7 din Legea nr. 52/2003 privind transparența decizională în administrația publică.</w:t>
            </w:r>
          </w:p>
        </w:tc>
      </w:tr>
      <w:tr w:rsidR="00B93C6C" w:rsidRPr="00887D37" w14:paraId="63ADC401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130D" w14:textId="5172404F" w:rsidR="00B93C6C" w:rsidRPr="00887D37" w:rsidRDefault="00B93C6C" w:rsidP="00B93C6C">
            <w:pPr>
              <w:jc w:val="both"/>
            </w:pPr>
            <w:r w:rsidRPr="00887D37">
              <w:rPr>
                <w:b/>
              </w:rPr>
              <w:t>2. Informarea societă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 xml:space="preserve">ii civile cu privire la eventualul impact asupra mediului în urma implementării proiectului de act normativ, precum </w:t>
            </w:r>
            <w:r w:rsidR="00D311C9">
              <w:rPr>
                <w:b/>
              </w:rPr>
              <w:t>ș</w:t>
            </w:r>
            <w:r w:rsidRPr="00887D37">
              <w:rPr>
                <w:b/>
              </w:rPr>
              <w:t>i efectele asupra sănătă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 xml:space="preserve">ii </w:t>
            </w:r>
            <w:r w:rsidR="00D311C9">
              <w:rPr>
                <w:b/>
              </w:rPr>
              <w:t>ș</w:t>
            </w:r>
            <w:r w:rsidRPr="00887D37">
              <w:rPr>
                <w:b/>
              </w:rPr>
              <w:t>i securită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ii cetă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enilor sau diversită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 xml:space="preserve">ii biologice </w:t>
            </w:r>
          </w:p>
          <w:p w14:paraId="0318A63A" w14:textId="77777777" w:rsidR="00B93C6C" w:rsidRPr="00887D37" w:rsidRDefault="00B93C6C" w:rsidP="00B93C6C">
            <w:pPr>
              <w:jc w:val="both"/>
            </w:pPr>
            <w:r w:rsidRPr="00887D37">
              <w:t>Proiectul de act normativ nu se referă la acest subiect.</w:t>
            </w:r>
          </w:p>
        </w:tc>
      </w:tr>
      <w:tr w:rsidR="00B93C6C" w:rsidRPr="00887D37" w14:paraId="26919053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53867" w14:textId="2858F960" w:rsidR="00B93C6C" w:rsidRPr="00887D37" w:rsidRDefault="00B93C6C" w:rsidP="00B93C6C">
            <w:pPr>
              <w:jc w:val="both"/>
            </w:pPr>
            <w:r w:rsidRPr="00887D37">
              <w:rPr>
                <w:b/>
              </w:rPr>
              <w:t>3. Alte informa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ii</w:t>
            </w:r>
          </w:p>
        </w:tc>
      </w:tr>
      <w:tr w:rsidR="00B93C6C" w:rsidRPr="000C795B" w14:paraId="75082410" w14:textId="77777777" w:rsidTr="000C795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F2F75" w14:textId="77777777" w:rsidR="009956F5" w:rsidRDefault="009956F5" w:rsidP="00B93C6C">
            <w:pPr>
              <w:jc w:val="center"/>
              <w:rPr>
                <w:b/>
              </w:rPr>
            </w:pPr>
          </w:p>
          <w:p w14:paraId="395A8FE0" w14:textId="1F11B37B" w:rsidR="00B93C6C" w:rsidRPr="000C795B" w:rsidRDefault="00B93C6C" w:rsidP="00B93C6C">
            <w:pPr>
              <w:jc w:val="center"/>
              <w:rPr>
                <w:b/>
              </w:rPr>
            </w:pPr>
            <w:r w:rsidRPr="000C795B">
              <w:rPr>
                <w:b/>
              </w:rPr>
              <w:t>Sec</w:t>
            </w:r>
            <w:r w:rsidR="00D311C9" w:rsidRPr="000C795B">
              <w:rPr>
                <w:b/>
              </w:rPr>
              <w:t>ț</w:t>
            </w:r>
            <w:r w:rsidRPr="000C795B">
              <w:rPr>
                <w:b/>
              </w:rPr>
              <w:t>iunea a 8-a</w:t>
            </w:r>
          </w:p>
          <w:p w14:paraId="1C3ECB36" w14:textId="77777777" w:rsidR="00B93C6C" w:rsidRDefault="00B93C6C" w:rsidP="00B93C6C">
            <w:pPr>
              <w:jc w:val="center"/>
              <w:rPr>
                <w:b/>
              </w:rPr>
            </w:pPr>
            <w:r w:rsidRPr="000C795B">
              <w:rPr>
                <w:b/>
              </w:rPr>
              <w:t>Măsuri de implementare</w:t>
            </w:r>
          </w:p>
          <w:p w14:paraId="624E6867" w14:textId="14EE7D04" w:rsidR="009956F5" w:rsidRPr="000C795B" w:rsidRDefault="009956F5" w:rsidP="00B93C6C">
            <w:pPr>
              <w:jc w:val="center"/>
              <w:rPr>
                <w:b/>
              </w:rPr>
            </w:pPr>
          </w:p>
        </w:tc>
      </w:tr>
      <w:tr w:rsidR="00B93C6C" w:rsidRPr="00887D37" w14:paraId="7A0CA4A7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6230" w14:textId="383C16AD" w:rsidR="00B93C6C" w:rsidRPr="00887D37" w:rsidRDefault="00B93C6C" w:rsidP="00B93C6C">
            <w:pPr>
              <w:jc w:val="both"/>
            </w:pPr>
            <w:r w:rsidRPr="00887D37">
              <w:rPr>
                <w:b/>
              </w:rPr>
              <w:lastRenderedPageBreak/>
              <w:t>1. Măsurile de punere în aplicare a proiectului de act normativ de către autorită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ile administra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 xml:space="preserve">iei publice centrale </w:t>
            </w:r>
            <w:r w:rsidR="00D311C9">
              <w:rPr>
                <w:b/>
              </w:rPr>
              <w:t>ș</w:t>
            </w:r>
            <w:r w:rsidRPr="00887D37">
              <w:rPr>
                <w:b/>
              </w:rPr>
              <w:t>i/sau locale - înfiin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area unor noi organisme sau  extinderea competen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elor institu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iilor existente</w:t>
            </w:r>
          </w:p>
          <w:p w14:paraId="772FA653" w14:textId="4BECE1BB" w:rsidR="00B93C6C" w:rsidRPr="00887D37" w:rsidRDefault="00B93C6C" w:rsidP="00B93C6C">
            <w:pPr>
              <w:jc w:val="both"/>
            </w:pPr>
            <w:r w:rsidRPr="00887D37">
              <w:t>Prin proiectul de act normativ sunt reglementate noi competen</w:t>
            </w:r>
            <w:r w:rsidR="00D311C9">
              <w:t>ț</w:t>
            </w:r>
            <w:r w:rsidRPr="00887D37">
              <w:t xml:space="preserve">e ale </w:t>
            </w:r>
            <w:r>
              <w:t>autorită</w:t>
            </w:r>
            <w:r w:rsidR="00D311C9">
              <w:t>ț</w:t>
            </w:r>
            <w:r>
              <w:t>ii de rezolu</w:t>
            </w:r>
            <w:r w:rsidR="00D311C9">
              <w:t>ț</w:t>
            </w:r>
            <w:r>
              <w:t>ie.</w:t>
            </w:r>
          </w:p>
        </w:tc>
      </w:tr>
      <w:tr w:rsidR="00B93C6C" w:rsidRPr="00887D37" w14:paraId="6AE875B2" w14:textId="77777777" w:rsidTr="002E54DB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8717" w14:textId="670F16EC" w:rsidR="00B93C6C" w:rsidRPr="00887D37" w:rsidRDefault="00B93C6C" w:rsidP="00B93C6C">
            <w:pPr>
              <w:jc w:val="both"/>
            </w:pPr>
            <w:r w:rsidRPr="00887D37">
              <w:rPr>
                <w:b/>
              </w:rPr>
              <w:t>2. Alte informa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ii</w:t>
            </w:r>
          </w:p>
          <w:p w14:paraId="1EEC50E7" w14:textId="75429E29" w:rsidR="00B93C6C" w:rsidRPr="00887D37" w:rsidRDefault="00B93C6C" w:rsidP="00B93C6C">
            <w:pPr>
              <w:jc w:val="both"/>
            </w:pPr>
            <w:r w:rsidRPr="00887D37">
              <w:t>Intrarea în vigoare a actului normativ ce asigură transpunerea Directivei 2014/59/UE în legisla</w:t>
            </w:r>
            <w:r w:rsidR="00D311C9">
              <w:t>ț</w:t>
            </w:r>
            <w:r w:rsidRPr="00887D37">
              <w:t>ia na</w:t>
            </w:r>
            <w:r w:rsidR="00D311C9">
              <w:t>ț</w:t>
            </w:r>
            <w:r w:rsidRPr="00887D37">
              <w:t>ională urmează să aibă loc la 3 zile de la data publicării actului normativ în Monitorul Oficial al României, Partea I, cu excep</w:t>
            </w:r>
            <w:r w:rsidR="00D311C9">
              <w:t>ț</w:t>
            </w:r>
            <w:r w:rsidRPr="00887D37">
              <w:t xml:space="preserve">ia </w:t>
            </w:r>
            <w:r>
              <w:t>dispozi</w:t>
            </w:r>
            <w:r w:rsidR="00D311C9">
              <w:t>ț</w:t>
            </w:r>
            <w:r>
              <w:t>iilor privind cerin</w:t>
            </w:r>
            <w:r w:rsidR="00D311C9">
              <w:t>ț</w:t>
            </w:r>
            <w:r>
              <w:t>ele de publicare aferente cerin</w:t>
            </w:r>
            <w:r w:rsidR="00D311C9">
              <w:t>ț</w:t>
            </w:r>
            <w:r>
              <w:t xml:space="preserve">ei MREL </w:t>
            </w:r>
            <w:r w:rsidRPr="00887D37">
              <w:t xml:space="preserve">care vor intra în vigoare la </w:t>
            </w:r>
            <w:r>
              <w:t>data de 01.01.2024.</w:t>
            </w:r>
          </w:p>
        </w:tc>
      </w:tr>
    </w:tbl>
    <w:p w14:paraId="72F82E50" w14:textId="30610360" w:rsidR="00726A5E" w:rsidRDefault="00726A5E">
      <w:pPr>
        <w:jc w:val="both"/>
      </w:pPr>
    </w:p>
    <w:p w14:paraId="14CB5285" w14:textId="77777777" w:rsidR="009956F5" w:rsidRPr="00887D37" w:rsidRDefault="009956F5">
      <w:pPr>
        <w:jc w:val="both"/>
      </w:pPr>
    </w:p>
    <w:p w14:paraId="3615AE9F" w14:textId="5115E5B8" w:rsidR="00726A5E" w:rsidRPr="002E54DB" w:rsidRDefault="00B34CF3" w:rsidP="002E54DB">
      <w:pPr>
        <w:pStyle w:val="Heading2"/>
        <w:ind w:left="0" w:firstLine="900"/>
        <w:jc w:val="both"/>
        <w:rPr>
          <w:sz w:val="24"/>
        </w:rPr>
      </w:pPr>
      <w:r w:rsidRPr="00887D37">
        <w:rPr>
          <w:sz w:val="24"/>
        </w:rPr>
        <w:t>Fa</w:t>
      </w:r>
      <w:r w:rsidR="00D311C9">
        <w:rPr>
          <w:sz w:val="24"/>
        </w:rPr>
        <w:t>ț</w:t>
      </w:r>
      <w:r w:rsidRPr="00887D37">
        <w:rPr>
          <w:sz w:val="24"/>
        </w:rPr>
        <w:t xml:space="preserve">ă de cele prezentate, a fost elaborat </w:t>
      </w:r>
      <w:r w:rsidRPr="00D86AA8">
        <w:rPr>
          <w:b/>
          <w:i/>
          <w:sz w:val="24"/>
        </w:rPr>
        <w:t>proiectul de</w:t>
      </w:r>
      <w:r w:rsidR="00D86AA8" w:rsidRPr="00D86AA8">
        <w:rPr>
          <w:b/>
          <w:i/>
          <w:sz w:val="24"/>
        </w:rPr>
        <w:t xml:space="preserve"> lege pentru modificarea </w:t>
      </w:r>
      <w:r w:rsidR="00D311C9">
        <w:rPr>
          <w:b/>
          <w:i/>
          <w:sz w:val="24"/>
        </w:rPr>
        <w:t>ș</w:t>
      </w:r>
      <w:r w:rsidR="00D86AA8" w:rsidRPr="00D86AA8">
        <w:rPr>
          <w:b/>
          <w:i/>
          <w:sz w:val="24"/>
        </w:rPr>
        <w:t xml:space="preserve">i completarea Legii nr.312/2015 privind redresarea </w:t>
      </w:r>
      <w:r w:rsidR="00D311C9">
        <w:rPr>
          <w:b/>
          <w:i/>
          <w:sz w:val="24"/>
        </w:rPr>
        <w:t>ș</w:t>
      </w:r>
      <w:r w:rsidR="00D86AA8" w:rsidRPr="00D86AA8">
        <w:rPr>
          <w:b/>
          <w:i/>
          <w:sz w:val="24"/>
        </w:rPr>
        <w:t>i rezolu</w:t>
      </w:r>
      <w:r w:rsidR="00D311C9">
        <w:rPr>
          <w:b/>
          <w:i/>
          <w:sz w:val="24"/>
        </w:rPr>
        <w:t>ț</w:t>
      </w:r>
      <w:r w:rsidR="00D86AA8" w:rsidRPr="00D86AA8">
        <w:rPr>
          <w:b/>
          <w:i/>
          <w:sz w:val="24"/>
        </w:rPr>
        <w:t>ia institu</w:t>
      </w:r>
      <w:r w:rsidR="00D311C9">
        <w:rPr>
          <w:b/>
          <w:i/>
          <w:sz w:val="24"/>
        </w:rPr>
        <w:t>ț</w:t>
      </w:r>
      <w:r w:rsidR="00D86AA8" w:rsidRPr="00D86AA8">
        <w:rPr>
          <w:b/>
          <w:i/>
          <w:sz w:val="24"/>
        </w:rPr>
        <w:t xml:space="preserve">iilor de credit </w:t>
      </w:r>
      <w:r w:rsidR="00D311C9">
        <w:rPr>
          <w:b/>
          <w:i/>
          <w:sz w:val="24"/>
        </w:rPr>
        <w:t>ș</w:t>
      </w:r>
      <w:r w:rsidR="00D86AA8" w:rsidRPr="00D86AA8">
        <w:rPr>
          <w:b/>
          <w:i/>
          <w:sz w:val="24"/>
        </w:rPr>
        <w:t>i a firmelor de investi</w:t>
      </w:r>
      <w:r w:rsidR="00D311C9">
        <w:rPr>
          <w:b/>
          <w:i/>
          <w:sz w:val="24"/>
        </w:rPr>
        <w:t>ț</w:t>
      </w:r>
      <w:r w:rsidR="00D86AA8" w:rsidRPr="00D86AA8">
        <w:rPr>
          <w:b/>
          <w:i/>
          <w:sz w:val="24"/>
        </w:rPr>
        <w:t xml:space="preserve">ii, precum </w:t>
      </w:r>
      <w:r w:rsidR="00D311C9">
        <w:rPr>
          <w:b/>
          <w:i/>
          <w:sz w:val="24"/>
        </w:rPr>
        <w:t>ș</w:t>
      </w:r>
      <w:r w:rsidR="00D86AA8" w:rsidRPr="00D86AA8">
        <w:rPr>
          <w:b/>
          <w:i/>
          <w:sz w:val="24"/>
        </w:rPr>
        <w:t xml:space="preserve">i pentru modificarea </w:t>
      </w:r>
      <w:r w:rsidR="00D311C9">
        <w:rPr>
          <w:b/>
          <w:i/>
          <w:sz w:val="24"/>
        </w:rPr>
        <w:t>ș</w:t>
      </w:r>
      <w:r w:rsidR="00D86AA8" w:rsidRPr="00D86AA8">
        <w:rPr>
          <w:b/>
          <w:i/>
          <w:sz w:val="24"/>
        </w:rPr>
        <w:t xml:space="preserve">i completarea unor acte normative în domeniul financiar, precum </w:t>
      </w:r>
      <w:r w:rsidR="00D311C9">
        <w:rPr>
          <w:b/>
          <w:i/>
          <w:sz w:val="24"/>
        </w:rPr>
        <w:t>ș</w:t>
      </w:r>
      <w:r w:rsidR="00D86AA8" w:rsidRPr="00D86AA8">
        <w:rPr>
          <w:b/>
          <w:i/>
          <w:sz w:val="24"/>
        </w:rPr>
        <w:t xml:space="preserve">i pentru modificarea </w:t>
      </w:r>
      <w:r w:rsidR="00D311C9">
        <w:rPr>
          <w:b/>
          <w:i/>
          <w:sz w:val="24"/>
        </w:rPr>
        <w:t>ș</w:t>
      </w:r>
      <w:r w:rsidR="00D86AA8" w:rsidRPr="00D86AA8">
        <w:rPr>
          <w:b/>
          <w:i/>
          <w:sz w:val="24"/>
        </w:rPr>
        <w:t>i completarea unor acte normative în domeniul financiar</w:t>
      </w:r>
      <w:r w:rsidRPr="00887D37">
        <w:rPr>
          <w:b/>
          <w:sz w:val="24"/>
        </w:rPr>
        <w:t>.</w:t>
      </w:r>
    </w:p>
    <w:p w14:paraId="78D8D177" w14:textId="77777777" w:rsidR="00726A5E" w:rsidRPr="00887D37" w:rsidRDefault="00726A5E"/>
    <w:p w14:paraId="30E8BBEA" w14:textId="77777777" w:rsidR="00726A5E" w:rsidRPr="00887D37" w:rsidRDefault="00726A5E">
      <w:pPr>
        <w:jc w:val="center"/>
        <w:rPr>
          <w:b/>
          <w:bCs/>
          <w:u w:val="single"/>
        </w:rPr>
      </w:pPr>
    </w:p>
    <w:p w14:paraId="6B7DD93F" w14:textId="09F14748" w:rsidR="00726A5E" w:rsidRPr="00887D37" w:rsidRDefault="00B34CF3">
      <w:pPr>
        <w:jc w:val="center"/>
        <w:rPr>
          <w:b/>
          <w:bCs/>
        </w:rPr>
      </w:pPr>
      <w:r w:rsidRPr="00887D37">
        <w:rPr>
          <w:b/>
          <w:bCs/>
        </w:rPr>
        <w:t>MINISTRUL FINAN</w:t>
      </w:r>
      <w:r w:rsidR="00D311C9">
        <w:rPr>
          <w:b/>
          <w:bCs/>
        </w:rPr>
        <w:t>Ț</w:t>
      </w:r>
      <w:r w:rsidRPr="00887D37">
        <w:rPr>
          <w:b/>
          <w:bCs/>
        </w:rPr>
        <w:t xml:space="preserve">ELOR </w:t>
      </w:r>
    </w:p>
    <w:p w14:paraId="56042C8A" w14:textId="77777777" w:rsidR="00726A5E" w:rsidRPr="00887D37" w:rsidRDefault="00726A5E">
      <w:pPr>
        <w:jc w:val="center"/>
        <w:rPr>
          <w:b/>
          <w:bCs/>
        </w:rPr>
      </w:pPr>
    </w:p>
    <w:p w14:paraId="13EA2C48" w14:textId="23DABB1E" w:rsidR="00E07DE4" w:rsidRPr="00A62DCE" w:rsidRDefault="000C795B" w:rsidP="00E07DE4">
      <w:pPr>
        <w:jc w:val="center"/>
        <w:rPr>
          <w:b/>
          <w:bCs/>
          <w:u w:val="single"/>
        </w:rPr>
      </w:pPr>
      <w:r>
        <w:rPr>
          <w:b/>
          <w:bCs/>
        </w:rPr>
        <w:t>Alexandru NAZARE</w:t>
      </w:r>
    </w:p>
    <w:p w14:paraId="792D7E46" w14:textId="33A78BC6" w:rsidR="00726A5E" w:rsidRPr="00887D37" w:rsidRDefault="00726A5E">
      <w:pPr>
        <w:jc w:val="center"/>
        <w:rPr>
          <w:b/>
          <w:bCs/>
          <w:u w:val="single"/>
        </w:rPr>
      </w:pPr>
    </w:p>
    <w:p w14:paraId="615242F5" w14:textId="77777777" w:rsidR="00726A5E" w:rsidRPr="00887D37" w:rsidRDefault="00726A5E">
      <w:pPr>
        <w:jc w:val="center"/>
        <w:rPr>
          <w:b/>
          <w:bCs/>
          <w:u w:val="single"/>
        </w:rPr>
      </w:pPr>
    </w:p>
    <w:p w14:paraId="3AC447CC" w14:textId="77777777" w:rsidR="00726A5E" w:rsidRPr="00887D37" w:rsidRDefault="00726A5E">
      <w:pPr>
        <w:jc w:val="center"/>
        <w:rPr>
          <w:b/>
          <w:bCs/>
          <w:u w:val="single"/>
        </w:rPr>
      </w:pPr>
    </w:p>
    <w:p w14:paraId="17031FB9" w14:textId="77777777" w:rsidR="00726A5E" w:rsidRPr="00887D37" w:rsidRDefault="00B34CF3">
      <w:pPr>
        <w:jc w:val="center"/>
        <w:rPr>
          <w:b/>
          <w:bCs/>
          <w:u w:val="single"/>
        </w:rPr>
      </w:pPr>
      <w:r w:rsidRPr="00887D37">
        <w:rPr>
          <w:b/>
          <w:bCs/>
          <w:u w:val="single"/>
        </w:rPr>
        <w:t>AVIZĂM  FAVORABIL</w:t>
      </w:r>
    </w:p>
    <w:p w14:paraId="6DE4C20A" w14:textId="77777777" w:rsidR="00726A5E" w:rsidRPr="00887D37" w:rsidRDefault="00726A5E">
      <w:pPr>
        <w:jc w:val="center"/>
        <w:rPr>
          <w:b/>
          <w:bCs/>
          <w:u w:val="single"/>
        </w:rPr>
      </w:pPr>
    </w:p>
    <w:p w14:paraId="7BF4DE8F" w14:textId="2C6C9397" w:rsidR="00726A5E" w:rsidRPr="00887D37" w:rsidRDefault="00B34CF3">
      <w:pPr>
        <w:jc w:val="center"/>
        <w:rPr>
          <w:b/>
          <w:bCs/>
        </w:rPr>
      </w:pPr>
      <w:r w:rsidRPr="00887D37">
        <w:rPr>
          <w:b/>
          <w:bCs/>
        </w:rPr>
        <w:t>BANCA NA</w:t>
      </w:r>
      <w:r w:rsidR="00D311C9">
        <w:rPr>
          <w:b/>
          <w:bCs/>
        </w:rPr>
        <w:t>Ț</w:t>
      </w:r>
      <w:r w:rsidRPr="00887D37">
        <w:rPr>
          <w:b/>
          <w:bCs/>
        </w:rPr>
        <w:t>IONALĂ A ROMÂNIEI</w:t>
      </w:r>
    </w:p>
    <w:p w14:paraId="7C0B078F" w14:textId="77777777" w:rsidR="00726A5E" w:rsidRPr="00887D37" w:rsidRDefault="00726A5E">
      <w:pPr>
        <w:jc w:val="center"/>
        <w:rPr>
          <w:b/>
          <w:bCs/>
        </w:rPr>
      </w:pPr>
    </w:p>
    <w:p w14:paraId="4E2E03A4" w14:textId="77777777" w:rsidR="00726A5E" w:rsidRPr="00887D37" w:rsidRDefault="00B34CF3">
      <w:pPr>
        <w:jc w:val="center"/>
        <w:rPr>
          <w:b/>
          <w:bCs/>
        </w:rPr>
      </w:pPr>
      <w:r w:rsidRPr="00887D37">
        <w:rPr>
          <w:b/>
          <w:bCs/>
        </w:rPr>
        <w:t>Guvernator</w:t>
      </w:r>
    </w:p>
    <w:p w14:paraId="564E8CCF" w14:textId="77777777" w:rsidR="00726A5E" w:rsidRPr="00887D37" w:rsidRDefault="00B34CF3">
      <w:pPr>
        <w:jc w:val="center"/>
        <w:rPr>
          <w:b/>
          <w:bCs/>
        </w:rPr>
      </w:pPr>
      <w:r w:rsidRPr="00887D37">
        <w:rPr>
          <w:b/>
          <w:bCs/>
        </w:rPr>
        <w:t>Mugur Constantin ISĂRESCU</w:t>
      </w:r>
    </w:p>
    <w:p w14:paraId="1E7CC010" w14:textId="61764EBD" w:rsidR="00726A5E" w:rsidRDefault="00726A5E">
      <w:pPr>
        <w:jc w:val="center"/>
        <w:rPr>
          <w:b/>
          <w:bCs/>
        </w:rPr>
      </w:pPr>
    </w:p>
    <w:p w14:paraId="12B7978F" w14:textId="77777777" w:rsidR="00946C39" w:rsidRPr="00887D37" w:rsidRDefault="00946C39">
      <w:pPr>
        <w:jc w:val="center"/>
        <w:rPr>
          <w:b/>
          <w:bCs/>
        </w:rPr>
      </w:pPr>
    </w:p>
    <w:p w14:paraId="32E0D7A4" w14:textId="77777777" w:rsidR="00726A5E" w:rsidRPr="00887D37" w:rsidRDefault="00B34CF3">
      <w:pPr>
        <w:jc w:val="center"/>
        <w:rPr>
          <w:b/>
          <w:bCs/>
        </w:rPr>
      </w:pPr>
      <w:r w:rsidRPr="00887D37">
        <w:rPr>
          <w:b/>
          <w:bCs/>
        </w:rPr>
        <w:t xml:space="preserve">AUTORITATEA DE SUPRAVEGHERE FINANCIARĂ </w:t>
      </w:r>
    </w:p>
    <w:p w14:paraId="76BD8066" w14:textId="77777777" w:rsidR="00726A5E" w:rsidRPr="00887D37" w:rsidRDefault="00726A5E">
      <w:pPr>
        <w:jc w:val="center"/>
        <w:rPr>
          <w:b/>
          <w:bCs/>
        </w:rPr>
      </w:pPr>
    </w:p>
    <w:p w14:paraId="5EF3B061" w14:textId="661D046D" w:rsidR="00726A5E" w:rsidRPr="00887D37" w:rsidRDefault="00B34CF3">
      <w:pPr>
        <w:jc w:val="center"/>
        <w:rPr>
          <w:b/>
          <w:bCs/>
        </w:rPr>
      </w:pPr>
      <w:r w:rsidRPr="00887D37">
        <w:rPr>
          <w:b/>
          <w:bCs/>
        </w:rPr>
        <w:t>Pre</w:t>
      </w:r>
      <w:r w:rsidR="00D311C9">
        <w:rPr>
          <w:b/>
          <w:bCs/>
        </w:rPr>
        <w:t>ș</w:t>
      </w:r>
      <w:r w:rsidRPr="00887D37">
        <w:rPr>
          <w:b/>
          <w:bCs/>
        </w:rPr>
        <w:t>edinte</w:t>
      </w:r>
    </w:p>
    <w:p w14:paraId="45C265A9" w14:textId="77777777" w:rsidR="00726A5E" w:rsidRPr="00887D37" w:rsidRDefault="008F4626">
      <w:pPr>
        <w:jc w:val="center"/>
      </w:pPr>
      <w:r>
        <w:rPr>
          <w:b/>
          <w:bCs/>
        </w:rPr>
        <w:t>Nicu MARCU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9"/>
        <w:gridCol w:w="4899"/>
      </w:tblGrid>
      <w:tr w:rsidR="00726A5E" w:rsidRPr="00887D37" w14:paraId="1F4A2D47" w14:textId="77777777" w:rsidTr="008F4626">
        <w:trPr>
          <w:trHeight w:val="1435"/>
        </w:trPr>
        <w:tc>
          <w:tcPr>
            <w:tcW w:w="4899" w:type="dxa"/>
            <w:shd w:val="clear" w:color="auto" w:fill="auto"/>
          </w:tcPr>
          <w:p w14:paraId="4DC2D7DD" w14:textId="77777777" w:rsidR="00726A5E" w:rsidRPr="00887D37" w:rsidRDefault="00726A5E" w:rsidP="002E54DB">
            <w:pPr>
              <w:snapToGrid w:val="0"/>
              <w:jc w:val="center"/>
            </w:pPr>
          </w:p>
        </w:tc>
        <w:tc>
          <w:tcPr>
            <w:tcW w:w="4899" w:type="dxa"/>
            <w:shd w:val="clear" w:color="auto" w:fill="auto"/>
          </w:tcPr>
          <w:p w14:paraId="46E02076" w14:textId="77777777" w:rsidR="00726A5E" w:rsidRPr="00887D37" w:rsidRDefault="00726A5E">
            <w:pPr>
              <w:snapToGrid w:val="0"/>
              <w:jc w:val="both"/>
            </w:pPr>
          </w:p>
        </w:tc>
      </w:tr>
      <w:tr w:rsidR="00726A5E" w:rsidRPr="00887D37" w14:paraId="0D29C7A1" w14:textId="77777777" w:rsidTr="008F4626">
        <w:trPr>
          <w:trHeight w:val="1016"/>
        </w:trPr>
        <w:tc>
          <w:tcPr>
            <w:tcW w:w="4899" w:type="dxa"/>
            <w:shd w:val="clear" w:color="auto" w:fill="auto"/>
          </w:tcPr>
          <w:p w14:paraId="7BB7D189" w14:textId="77777777" w:rsidR="00726A5E" w:rsidRDefault="00B34CF3" w:rsidP="002E54DB">
            <w:pPr>
              <w:jc w:val="center"/>
              <w:rPr>
                <w:b/>
              </w:rPr>
            </w:pPr>
            <w:r w:rsidRPr="00887D37">
              <w:rPr>
                <w:b/>
              </w:rPr>
              <w:t>MINISTRUL AFACERILOR EXTERNE</w:t>
            </w:r>
          </w:p>
          <w:p w14:paraId="55EE5F51" w14:textId="77777777" w:rsidR="008F4626" w:rsidRPr="00887D37" w:rsidRDefault="008F4626" w:rsidP="002E54DB">
            <w:pPr>
              <w:jc w:val="center"/>
              <w:rPr>
                <w:b/>
              </w:rPr>
            </w:pPr>
          </w:p>
          <w:p w14:paraId="34CB8BA8" w14:textId="2AE222D3" w:rsidR="00726A5E" w:rsidRPr="00887D37" w:rsidRDefault="00E07DE4" w:rsidP="00714B98">
            <w:pPr>
              <w:jc w:val="center"/>
              <w:rPr>
                <w:b/>
              </w:rPr>
            </w:pPr>
            <w:r w:rsidRPr="00E07DE4">
              <w:rPr>
                <w:b/>
              </w:rPr>
              <w:t>Bogdan Lucian AURESCU</w:t>
            </w:r>
          </w:p>
        </w:tc>
        <w:tc>
          <w:tcPr>
            <w:tcW w:w="4899" w:type="dxa"/>
            <w:shd w:val="clear" w:color="auto" w:fill="auto"/>
          </w:tcPr>
          <w:p w14:paraId="7FB96EB7" w14:textId="6F43F9FC" w:rsidR="00726A5E" w:rsidRDefault="00B34CF3" w:rsidP="002E54DB">
            <w:pPr>
              <w:jc w:val="center"/>
              <w:rPr>
                <w:b/>
              </w:rPr>
            </w:pPr>
            <w:r w:rsidRPr="00887D37">
              <w:rPr>
                <w:b/>
              </w:rPr>
              <w:t>MINISTRUL JUSTI</w:t>
            </w:r>
            <w:r w:rsidR="00D311C9">
              <w:rPr>
                <w:b/>
              </w:rPr>
              <w:t>Ț</w:t>
            </w:r>
            <w:r w:rsidRPr="00887D37">
              <w:rPr>
                <w:b/>
              </w:rPr>
              <w:t>IEI</w:t>
            </w:r>
          </w:p>
          <w:p w14:paraId="07D955A6" w14:textId="77777777" w:rsidR="008F4626" w:rsidRPr="00887D37" w:rsidRDefault="008F4626" w:rsidP="002E54DB">
            <w:pPr>
              <w:jc w:val="center"/>
              <w:rPr>
                <w:b/>
              </w:rPr>
            </w:pPr>
          </w:p>
          <w:p w14:paraId="37B77BD3" w14:textId="433727A6" w:rsidR="00726A5E" w:rsidRPr="00887D37" w:rsidRDefault="000C795B" w:rsidP="002E54DB">
            <w:pPr>
              <w:jc w:val="center"/>
              <w:rPr>
                <w:b/>
              </w:rPr>
            </w:pPr>
            <w:r>
              <w:rPr>
                <w:b/>
              </w:rPr>
              <w:t>Stelian-Cristian ION</w:t>
            </w:r>
          </w:p>
          <w:p w14:paraId="1516222D" w14:textId="77777777" w:rsidR="00726A5E" w:rsidRPr="00887D37" w:rsidRDefault="00726A5E" w:rsidP="002E54DB">
            <w:pPr>
              <w:jc w:val="center"/>
              <w:rPr>
                <w:b/>
              </w:rPr>
            </w:pPr>
          </w:p>
        </w:tc>
      </w:tr>
    </w:tbl>
    <w:p w14:paraId="16DC3692" w14:textId="478AFFE2" w:rsidR="00B34CF3" w:rsidRDefault="00B34CF3"/>
    <w:p w14:paraId="3A874D01" w14:textId="56FE545B" w:rsidR="0067689E" w:rsidRDefault="0067689E"/>
    <w:p w14:paraId="75F713B4" w14:textId="3E7BE71F" w:rsidR="0067689E" w:rsidRDefault="0067689E"/>
    <w:p w14:paraId="325E75B7" w14:textId="7B36B142" w:rsidR="0067689E" w:rsidRDefault="0067689E"/>
    <w:p w14:paraId="7C3B38F8" w14:textId="350B0197" w:rsidR="0067689E" w:rsidRDefault="0067689E"/>
    <w:p w14:paraId="0248C591" w14:textId="6C027AF5" w:rsidR="0067689E" w:rsidRDefault="0067689E"/>
    <w:p w14:paraId="3633F4C0" w14:textId="497F2E2E" w:rsidR="0067689E" w:rsidRDefault="0067689E"/>
    <w:p w14:paraId="2F1B7EBE" w14:textId="77777777" w:rsidR="0067689E" w:rsidRPr="00887D37" w:rsidRDefault="0067689E"/>
    <w:sectPr w:rsidR="0067689E" w:rsidRPr="00887D37" w:rsidSect="00080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" w:right="566" w:bottom="762" w:left="1253" w:header="70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11B95" w14:textId="77777777" w:rsidR="00CC7F49" w:rsidRDefault="00CC7F49">
      <w:r>
        <w:separator/>
      </w:r>
    </w:p>
  </w:endnote>
  <w:endnote w:type="continuationSeparator" w:id="0">
    <w:p w14:paraId="18F43513" w14:textId="77777777" w:rsidR="00CC7F49" w:rsidRDefault="00CC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im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2C3B" w14:textId="77777777" w:rsidR="000046DD" w:rsidRDefault="00004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192399"/>
      <w:docPartObj>
        <w:docPartGallery w:val="Page Numbers (Bottom of Page)"/>
        <w:docPartUnique/>
      </w:docPartObj>
    </w:sdtPr>
    <w:sdtEndPr/>
    <w:sdtContent>
      <w:p w14:paraId="279582B6" w14:textId="655D9315" w:rsidR="000046DD" w:rsidRDefault="000046DD" w:rsidP="00E051EB">
        <w:pPr>
          <w:pStyle w:val="Footer"/>
          <w:ind w:right="360"/>
          <w:jc w:val="center"/>
        </w:pPr>
        <w:r w:rsidRPr="003561DA">
          <w:fldChar w:fldCharType="begin"/>
        </w:r>
        <w:r w:rsidRPr="003561DA">
          <w:instrText xml:space="preserve"> PAGE </w:instrText>
        </w:r>
        <w:r w:rsidRPr="003561DA">
          <w:fldChar w:fldCharType="separate"/>
        </w:r>
        <w:r w:rsidR="00EA2BFF">
          <w:rPr>
            <w:noProof/>
          </w:rPr>
          <w:t>17</w:t>
        </w:r>
        <w:r w:rsidRPr="003561DA">
          <w:fldChar w:fldCharType="end"/>
        </w:r>
        <w:r>
          <w:t>/</w:t>
        </w:r>
        <w:r w:rsidR="00CC7F49">
          <w:fldChar w:fldCharType="begin"/>
        </w:r>
        <w:r w:rsidR="00CC7F49">
          <w:instrText xml:space="preserve"> NUMPAGES </w:instrText>
        </w:r>
        <w:r w:rsidR="00CC7F49">
          <w:fldChar w:fldCharType="separate"/>
        </w:r>
        <w:r w:rsidR="00EA2BFF">
          <w:rPr>
            <w:noProof/>
          </w:rPr>
          <w:t>17</w:t>
        </w:r>
        <w:r w:rsidR="00CC7F49">
          <w:rPr>
            <w:noProof/>
          </w:rPr>
          <w:fldChar w:fldCharType="end"/>
        </w:r>
      </w:p>
    </w:sdtContent>
  </w:sdt>
  <w:p w14:paraId="39C01AB6" w14:textId="794001E4" w:rsidR="00ED737D" w:rsidRDefault="00ED737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FF18A" w14:textId="77777777" w:rsidR="000046DD" w:rsidRDefault="00004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E9195" w14:textId="77777777" w:rsidR="00CC7F49" w:rsidRDefault="00CC7F49">
      <w:r>
        <w:separator/>
      </w:r>
    </w:p>
  </w:footnote>
  <w:footnote w:type="continuationSeparator" w:id="0">
    <w:p w14:paraId="4B789DBB" w14:textId="77777777" w:rsidR="00CC7F49" w:rsidRDefault="00CC7F49">
      <w:r>
        <w:continuationSeparator/>
      </w:r>
    </w:p>
  </w:footnote>
  <w:footnote w:id="1">
    <w:p w14:paraId="5534AAA8" w14:textId="36D19CAA" w:rsidR="00ED737D" w:rsidRPr="00714B98" w:rsidRDefault="00ED737D" w:rsidP="002E54DB">
      <w:pPr>
        <w:jc w:val="both"/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311C9">
        <w:t xml:space="preserve">În </w:t>
      </w:r>
      <w:r w:rsidRPr="00D311C9">
        <w:rPr>
          <w:bCs/>
          <w:sz w:val="20"/>
          <w:szCs w:val="20"/>
        </w:rPr>
        <w:t>Decizia</w:t>
      </w:r>
      <w:r w:rsidR="00D311C9" w:rsidRPr="00D311C9">
        <w:rPr>
          <w:bCs/>
          <w:sz w:val="20"/>
          <w:szCs w:val="20"/>
        </w:rPr>
        <w:t xml:space="preserve"> Curții Constituționale</w:t>
      </w:r>
      <w:r w:rsidRPr="00D311C9">
        <w:rPr>
          <w:bCs/>
          <w:sz w:val="20"/>
          <w:szCs w:val="20"/>
        </w:rPr>
        <w:t xml:space="preserve"> a Rom</w:t>
      </w:r>
      <w:r w:rsidRPr="00D311C9">
        <w:rPr>
          <w:sz w:val="20"/>
          <w:szCs w:val="20"/>
        </w:rPr>
        <w:t>âniei</w:t>
      </w:r>
      <w:r w:rsidR="00D311C9">
        <w:rPr>
          <w:sz w:val="20"/>
          <w:szCs w:val="20"/>
        </w:rPr>
        <w:t xml:space="preserve"> </w:t>
      </w:r>
      <w:r w:rsidRPr="00D311C9">
        <w:rPr>
          <w:bCs/>
          <w:sz w:val="20"/>
          <w:szCs w:val="20"/>
        </w:rPr>
        <w:t>nr. 206 din 06/03/2012, p</w:t>
      </w:r>
      <w:r w:rsidRPr="00D311C9">
        <w:rPr>
          <w:iCs/>
          <w:sz w:val="20"/>
          <w:szCs w:val="20"/>
        </w:rPr>
        <w:t>ublicată</w:t>
      </w:r>
      <w:r w:rsidR="00D311C9">
        <w:rPr>
          <w:iCs/>
          <w:sz w:val="20"/>
          <w:szCs w:val="20"/>
        </w:rPr>
        <w:t xml:space="preserve"> </w:t>
      </w:r>
      <w:r w:rsidRPr="00D311C9">
        <w:rPr>
          <w:iCs/>
          <w:sz w:val="20"/>
          <w:szCs w:val="20"/>
        </w:rPr>
        <w:t>în</w:t>
      </w:r>
      <w:r w:rsidR="00D311C9">
        <w:rPr>
          <w:iCs/>
          <w:sz w:val="20"/>
          <w:szCs w:val="20"/>
        </w:rPr>
        <w:t xml:space="preserve"> </w:t>
      </w:r>
      <w:r w:rsidRPr="00D311C9">
        <w:rPr>
          <w:iCs/>
          <w:sz w:val="20"/>
          <w:szCs w:val="20"/>
        </w:rPr>
        <w:t>Monitorul</w:t>
      </w:r>
      <w:r w:rsidR="00D311C9">
        <w:rPr>
          <w:iCs/>
          <w:sz w:val="20"/>
          <w:szCs w:val="20"/>
        </w:rPr>
        <w:t xml:space="preserve"> </w:t>
      </w:r>
      <w:r w:rsidRPr="00D311C9">
        <w:rPr>
          <w:iCs/>
          <w:sz w:val="20"/>
          <w:szCs w:val="20"/>
        </w:rPr>
        <w:t>Oficial, Partea I nr</w:t>
      </w:r>
      <w:r w:rsidR="00D311C9">
        <w:rPr>
          <w:iCs/>
          <w:sz w:val="20"/>
          <w:szCs w:val="20"/>
        </w:rPr>
        <w:t>. 254 din 17/04/2012, se rețin ur</w:t>
      </w:r>
      <w:r w:rsidRPr="00D311C9">
        <w:rPr>
          <w:iCs/>
          <w:sz w:val="20"/>
          <w:szCs w:val="20"/>
        </w:rPr>
        <w:t xml:space="preserve">mătoarele: </w:t>
      </w:r>
      <w:r w:rsidRPr="00D311C9">
        <w:rPr>
          <w:i/>
          <w:sz w:val="20"/>
          <w:szCs w:val="20"/>
        </w:rPr>
        <w:t>Din examinarea</w:t>
      </w:r>
      <w:r w:rsidR="00D311C9">
        <w:rPr>
          <w:i/>
          <w:sz w:val="20"/>
          <w:szCs w:val="20"/>
        </w:rPr>
        <w:t xml:space="preserve"> </w:t>
      </w:r>
      <w:r w:rsidR="00D311C9" w:rsidRPr="00D311C9">
        <w:rPr>
          <w:i/>
          <w:sz w:val="20"/>
          <w:szCs w:val="20"/>
        </w:rPr>
        <w:t>excepției</w:t>
      </w:r>
      <w:r w:rsidRPr="00D311C9">
        <w:rPr>
          <w:i/>
          <w:sz w:val="20"/>
          <w:szCs w:val="20"/>
        </w:rPr>
        <w:t xml:space="preserve"> de </w:t>
      </w:r>
      <w:r w:rsidR="00D311C9" w:rsidRPr="00D311C9">
        <w:rPr>
          <w:i/>
          <w:sz w:val="20"/>
          <w:szCs w:val="20"/>
        </w:rPr>
        <w:t>neconstituționalitate</w:t>
      </w:r>
      <w:r w:rsidRPr="00D311C9">
        <w:rPr>
          <w:i/>
          <w:sz w:val="20"/>
          <w:szCs w:val="20"/>
        </w:rPr>
        <w:t xml:space="preserve"> invocate, Curtea</w:t>
      </w:r>
      <w:r w:rsidR="00D311C9">
        <w:rPr>
          <w:i/>
          <w:sz w:val="20"/>
          <w:szCs w:val="20"/>
        </w:rPr>
        <w:t xml:space="preserve"> </w:t>
      </w:r>
      <w:r w:rsidR="00D311C9" w:rsidRPr="00D311C9">
        <w:rPr>
          <w:i/>
          <w:sz w:val="20"/>
          <w:szCs w:val="20"/>
        </w:rPr>
        <w:t>Constituțională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constată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că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invocarea art. 1 din Carta drepturilor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fundamentale a Uniunii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Europene, prin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 xml:space="preserve">raportare la art. 20 din </w:t>
      </w:r>
      <w:r w:rsidR="00D311C9" w:rsidRPr="00D311C9">
        <w:rPr>
          <w:i/>
          <w:sz w:val="20"/>
          <w:szCs w:val="20"/>
        </w:rPr>
        <w:t>Constituția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României, este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incorectă. Carta, potrivit art.6 alin.1 din Versiunea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 xml:space="preserve">consolidată a </w:t>
      </w:r>
      <w:hyperlink r:id="rId1" w:history="1">
        <w:r w:rsidRPr="00D311C9">
          <w:rPr>
            <w:i/>
            <w:color w:val="000066"/>
            <w:sz w:val="20"/>
            <w:szCs w:val="20"/>
          </w:rPr>
          <w:t>Tratatului</w:t>
        </w:r>
      </w:hyperlink>
      <w:r w:rsidR="00D311C9">
        <w:rPr>
          <w:i/>
          <w:color w:val="000066"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privind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Uniunea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 xml:space="preserve">Europeană, […], are </w:t>
      </w:r>
      <w:r w:rsidR="00D311C9" w:rsidRPr="00D311C9">
        <w:rPr>
          <w:i/>
          <w:sz w:val="20"/>
          <w:szCs w:val="20"/>
        </w:rPr>
        <w:t>aceeași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valoare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juridică cu cea a Tratatului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privind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Uniunea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Europeană</w:t>
      </w:r>
      <w:r w:rsidR="00D311C9">
        <w:rPr>
          <w:i/>
          <w:sz w:val="20"/>
          <w:szCs w:val="20"/>
        </w:rPr>
        <w:t xml:space="preserve"> </w:t>
      </w:r>
      <w:r w:rsidR="00D311C9" w:rsidRPr="00D311C9">
        <w:rPr>
          <w:i/>
          <w:sz w:val="20"/>
          <w:szCs w:val="20"/>
        </w:rPr>
        <w:t>și</w:t>
      </w:r>
      <w:r w:rsidRPr="00D311C9">
        <w:rPr>
          <w:i/>
          <w:sz w:val="20"/>
          <w:szCs w:val="20"/>
        </w:rPr>
        <w:t xml:space="preserve"> a Tratatului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privind</w:t>
      </w:r>
      <w:r w:rsidR="00D311C9">
        <w:rPr>
          <w:i/>
          <w:sz w:val="20"/>
          <w:szCs w:val="20"/>
        </w:rPr>
        <w:t xml:space="preserve"> </w:t>
      </w:r>
      <w:r w:rsidR="00D311C9" w:rsidRPr="00D311C9">
        <w:rPr>
          <w:i/>
          <w:sz w:val="20"/>
          <w:szCs w:val="20"/>
        </w:rPr>
        <w:t>funcționarea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Uniunii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Europene, care, în</w:t>
      </w:r>
      <w:r w:rsidR="00D311C9">
        <w:rPr>
          <w:i/>
          <w:sz w:val="20"/>
          <w:szCs w:val="20"/>
        </w:rPr>
        <w:t xml:space="preserve"> </w:t>
      </w:r>
      <w:r w:rsidR="00D311C9" w:rsidRPr="00D311C9">
        <w:rPr>
          <w:i/>
          <w:sz w:val="20"/>
          <w:szCs w:val="20"/>
        </w:rPr>
        <w:t>înțelesul</w:t>
      </w:r>
      <w:r w:rsidRPr="00D311C9">
        <w:rPr>
          <w:i/>
          <w:sz w:val="20"/>
          <w:szCs w:val="20"/>
        </w:rPr>
        <w:t xml:space="preserve"> art. 148 din </w:t>
      </w:r>
      <w:r w:rsidR="00D311C9" w:rsidRPr="00D311C9">
        <w:rPr>
          <w:i/>
          <w:sz w:val="20"/>
          <w:szCs w:val="20"/>
        </w:rPr>
        <w:t>Constituția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României, reprezintă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tratatele constitutive ale Uniunii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 xml:space="preserve">Europene. </w:t>
      </w:r>
      <w:r w:rsidR="00D311C9" w:rsidRPr="00D311C9">
        <w:rPr>
          <w:i/>
          <w:sz w:val="20"/>
          <w:szCs w:val="20"/>
        </w:rPr>
        <w:t>Așadar</w:t>
      </w:r>
      <w:r w:rsidRPr="00D311C9">
        <w:rPr>
          <w:i/>
          <w:sz w:val="20"/>
          <w:szCs w:val="20"/>
        </w:rPr>
        <w:t>, în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sistemul</w:t>
      </w:r>
      <w:r w:rsidR="00D311C9">
        <w:rPr>
          <w:i/>
          <w:sz w:val="20"/>
          <w:szCs w:val="20"/>
        </w:rPr>
        <w:t xml:space="preserve"> </w:t>
      </w:r>
      <w:r w:rsidR="00D311C9" w:rsidRPr="00D311C9">
        <w:rPr>
          <w:i/>
          <w:sz w:val="20"/>
          <w:szCs w:val="20"/>
        </w:rPr>
        <w:t>constituțional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românesc, Carta drepturilor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fundamentale a Uniunii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 xml:space="preserve">Europene nu intră sub </w:t>
      </w:r>
      <w:r w:rsidR="00D311C9" w:rsidRPr="00D311C9">
        <w:rPr>
          <w:i/>
          <w:sz w:val="20"/>
          <w:szCs w:val="20"/>
        </w:rPr>
        <w:t>incidența</w:t>
      </w:r>
      <w:r w:rsidRPr="00D311C9">
        <w:rPr>
          <w:i/>
          <w:sz w:val="20"/>
          <w:szCs w:val="20"/>
        </w:rPr>
        <w:t xml:space="preserve"> art. 20 din </w:t>
      </w:r>
      <w:r w:rsidR="00D311C9" w:rsidRPr="00D311C9">
        <w:rPr>
          <w:i/>
          <w:sz w:val="20"/>
          <w:szCs w:val="20"/>
        </w:rPr>
        <w:t>Constituție</w:t>
      </w:r>
      <w:r w:rsidRPr="00D311C9">
        <w:rPr>
          <w:i/>
          <w:sz w:val="20"/>
          <w:szCs w:val="20"/>
        </w:rPr>
        <w:t>, care se referă la tratatele</w:t>
      </w:r>
      <w:r w:rsidR="00D311C9">
        <w:rPr>
          <w:i/>
          <w:sz w:val="20"/>
          <w:szCs w:val="20"/>
        </w:rPr>
        <w:t xml:space="preserve"> </w:t>
      </w:r>
      <w:r w:rsidR="00D311C9" w:rsidRPr="00D311C9">
        <w:rPr>
          <w:i/>
          <w:sz w:val="20"/>
          <w:szCs w:val="20"/>
        </w:rPr>
        <w:t>internaționale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privind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drepturile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omului, astfel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încât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autorul</w:t>
      </w:r>
      <w:r w:rsidR="00D311C9">
        <w:rPr>
          <w:i/>
          <w:sz w:val="20"/>
          <w:szCs w:val="20"/>
        </w:rPr>
        <w:t xml:space="preserve"> </w:t>
      </w:r>
      <w:r w:rsidR="00D311C9" w:rsidRPr="00D311C9">
        <w:rPr>
          <w:i/>
          <w:sz w:val="20"/>
          <w:szCs w:val="20"/>
        </w:rPr>
        <w:t>excepției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ar fi trebuit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să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invoce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normele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cuprinse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în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Cartă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prin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raportare la art. 148 din Legea</w:t>
      </w:r>
      <w:r w:rsidR="00D311C9">
        <w:rPr>
          <w:i/>
          <w:sz w:val="20"/>
          <w:szCs w:val="20"/>
        </w:rPr>
        <w:t xml:space="preserve"> </w:t>
      </w:r>
      <w:r w:rsidRPr="00D311C9">
        <w:rPr>
          <w:i/>
          <w:sz w:val="20"/>
          <w:szCs w:val="20"/>
        </w:rPr>
        <w:t>fundamentală</w:t>
      </w:r>
      <w:r w:rsidRPr="00714B98">
        <w:rPr>
          <w:i/>
          <w:sz w:val="20"/>
          <w:szCs w:val="20"/>
          <w:lang w:val="en-US"/>
        </w:rPr>
        <w:t>.</w:t>
      </w:r>
    </w:p>
    <w:p w14:paraId="6083C3EC" w14:textId="77777777" w:rsidR="00ED737D" w:rsidRPr="002E54DB" w:rsidRDefault="00ED737D" w:rsidP="002E54DB">
      <w:pPr>
        <w:pStyle w:val="FootnoteText"/>
        <w:jc w:val="both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330F7" w14:textId="77777777" w:rsidR="000046DD" w:rsidRDefault="00004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3155" w14:textId="3091A49F" w:rsidR="00ED737D" w:rsidRDefault="000D60E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8CEA1A3" wp14:editId="7CED242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2" name="MSIPCMe7a84ce3b63c262de09370d9" descr="{&quot;HashCode&quot;:577904551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39A2E" w14:textId="54D7D775" w:rsidR="00ED737D" w:rsidRPr="00DA023A" w:rsidRDefault="00ED737D" w:rsidP="00DA023A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EA1A3" id="_x0000_t202" coordsize="21600,21600" o:spt="202" path="m,l,21600r21600,l21600,xe">
              <v:stroke joinstyle="miter"/>
              <v:path gradientshapeok="t" o:connecttype="rect"/>
            </v:shapetype>
            <v:shape id="MSIPCMe7a84ce3b63c262de09370d9" o:spid="_x0000_s1026" type="#_x0000_t202" alt="{&quot;HashCode&quot;:57790455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" o:allowincell="f" filled="f" stroked="f">
              <v:textbox inset=",0,20pt,0">
                <w:txbxContent>
                  <w:p w14:paraId="33D39A2E" w14:textId="54D7D775" w:rsidR="00ED737D" w:rsidRPr="00DA023A" w:rsidRDefault="00ED737D" w:rsidP="00DA023A">
                    <w:pPr>
                      <w:jc w:val="right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F8EA5" w14:textId="77777777" w:rsidR="000046DD" w:rsidRDefault="00004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color w:val="000000"/>
        <w:lang w:eastAsia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5554F19"/>
    <w:multiLevelType w:val="hybridMultilevel"/>
    <w:tmpl w:val="A066E88E"/>
    <w:lvl w:ilvl="0" w:tplc="3A28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A14DFE"/>
    <w:multiLevelType w:val="hybridMultilevel"/>
    <w:tmpl w:val="EA3A60AA"/>
    <w:lvl w:ilvl="0" w:tplc="5B7C2C1E">
      <w:start w:val="1"/>
      <w:numFmt w:val="lowerRoman"/>
      <w:lvlText w:val="(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F0821"/>
    <w:multiLevelType w:val="hybridMultilevel"/>
    <w:tmpl w:val="B364944C"/>
    <w:lvl w:ilvl="0" w:tplc="F01AC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465FF"/>
    <w:multiLevelType w:val="hybridMultilevel"/>
    <w:tmpl w:val="D50A7B10"/>
    <w:lvl w:ilvl="0" w:tplc="900A5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36DB3"/>
    <w:multiLevelType w:val="hybridMultilevel"/>
    <w:tmpl w:val="EC66ABD2"/>
    <w:lvl w:ilvl="0" w:tplc="18B0682E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675ADF"/>
    <w:multiLevelType w:val="hybridMultilevel"/>
    <w:tmpl w:val="5A4EE586"/>
    <w:lvl w:ilvl="0" w:tplc="63A4FF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3388C"/>
    <w:multiLevelType w:val="hybridMultilevel"/>
    <w:tmpl w:val="643CD300"/>
    <w:lvl w:ilvl="0" w:tplc="66E86B5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C9A558A"/>
    <w:multiLevelType w:val="multilevel"/>
    <w:tmpl w:val="FF82DAAA"/>
    <w:lvl w:ilvl="0">
      <w:start w:val="1"/>
      <w:numFmt w:val="upperRoman"/>
      <w:suff w:val="space"/>
      <w:lvlText w:val="PARTEA %1"/>
      <w:lvlJc w:val="left"/>
      <w:pPr>
        <w:ind w:left="360" w:hanging="360"/>
      </w:pPr>
      <w:rPr>
        <w:rFonts w:cs="Times New Roman Bold" w:hint="default"/>
        <w:b/>
        <w:i w:val="0"/>
        <w:caps/>
      </w:rPr>
    </w:lvl>
    <w:lvl w:ilvl="1">
      <w:start w:val="1"/>
      <w:numFmt w:val="upperRoman"/>
      <w:suff w:val="space"/>
      <w:lvlText w:val="TITLUL %2"/>
      <w:lvlJc w:val="left"/>
      <w:pPr>
        <w:ind w:left="720" w:hanging="360"/>
      </w:pPr>
      <w:rPr>
        <w:rFonts w:cs="Times New Roman Bold" w:hint="default"/>
      </w:rPr>
    </w:lvl>
    <w:lvl w:ilvl="2">
      <w:start w:val="1"/>
      <w:numFmt w:val="upperRoman"/>
      <w:suff w:val="space"/>
      <w:lvlText w:val="CAPITOLUL %3"/>
      <w:lvlJc w:val="left"/>
      <w:pPr>
        <w:ind w:left="1080" w:hanging="360"/>
      </w:pPr>
      <w:rPr>
        <w:rFonts w:cs="Times New Roman Bold" w:hint="default"/>
        <w:b/>
      </w:rPr>
    </w:lvl>
    <w:lvl w:ilvl="3">
      <w:start w:val="1"/>
      <w:numFmt w:val="decimal"/>
      <w:suff w:val="space"/>
      <w:lvlText w:val="Secțiunea %4."/>
      <w:lvlJc w:val="left"/>
      <w:pPr>
        <w:ind w:left="1440" w:hanging="360"/>
      </w:pPr>
      <w:rPr>
        <w:rFonts w:cs="Times New Roman Bold" w:hint="default"/>
      </w:rPr>
    </w:lvl>
    <w:lvl w:ilvl="4">
      <w:start w:val="1"/>
      <w:numFmt w:val="decimal"/>
      <w:suff w:val="space"/>
      <w:lvlText w:val="%4.%5."/>
      <w:lvlJc w:val="left"/>
      <w:pPr>
        <w:ind w:left="1800" w:hanging="360"/>
      </w:pPr>
      <w:rPr>
        <w:rFonts w:cs="Times New Roman Bold" w:hint="default"/>
      </w:rPr>
    </w:lvl>
    <w:lvl w:ilvl="5">
      <w:start w:val="1"/>
      <w:numFmt w:val="decimal"/>
      <w:lvlRestart w:val="0"/>
      <w:suff w:val="space"/>
      <w:lvlText w:val="Art. %6. -"/>
      <w:lvlJc w:val="left"/>
      <w:pPr>
        <w:ind w:left="710" w:firstLine="0"/>
      </w:pPr>
      <w:rPr>
        <w:rFonts w:cs="Times New Roman Bold" w:hint="default"/>
        <w:b/>
      </w:rPr>
    </w:lvl>
    <w:lvl w:ilvl="6">
      <w:start w:val="2"/>
      <w:numFmt w:val="decimal"/>
      <w:pStyle w:val="Alin"/>
      <w:suff w:val="space"/>
      <w:lvlText w:val="(%7)"/>
      <w:lvlJc w:val="left"/>
      <w:pPr>
        <w:ind w:left="0" w:firstLine="630"/>
      </w:pPr>
      <w:rPr>
        <w:rFonts w:cs="Times New Roman Bold" w:hint="default"/>
        <w:b w:val="0"/>
      </w:rPr>
    </w:lvl>
    <w:lvl w:ilvl="7">
      <w:start w:val="1"/>
      <w:numFmt w:val="lowerLetter"/>
      <w:pStyle w:val="Enumerare"/>
      <w:suff w:val="space"/>
      <w:lvlText w:val="%8)"/>
      <w:lvlJc w:val="left"/>
      <w:pPr>
        <w:ind w:left="1247" w:hanging="226"/>
      </w:pPr>
      <w:rPr>
        <w:rFonts w:cs="Times New Roman Bold" w:hint="default"/>
        <w:b/>
      </w:rPr>
    </w:lvl>
    <w:lvl w:ilvl="8">
      <w:start w:val="1"/>
      <w:numFmt w:val="lowerRoman"/>
      <w:pStyle w:val="EnumerareLvl2"/>
      <w:lvlText w:val="(%9)"/>
      <w:lvlJc w:val="left"/>
      <w:pPr>
        <w:tabs>
          <w:tab w:val="num" w:pos="0"/>
        </w:tabs>
        <w:ind w:left="1644" w:hanging="340"/>
      </w:pPr>
      <w:rPr>
        <w:rFonts w:cs="Times New Roman Bold" w:hint="default"/>
      </w:rPr>
    </w:lvl>
  </w:abstractNum>
  <w:abstractNum w:abstractNumId="16" w15:restartNumberingAfterBreak="0">
    <w:nsid w:val="67D94C43"/>
    <w:multiLevelType w:val="hybridMultilevel"/>
    <w:tmpl w:val="99D85D1C"/>
    <w:lvl w:ilvl="0" w:tplc="32402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32C17"/>
    <w:multiLevelType w:val="hybridMultilevel"/>
    <w:tmpl w:val="5C64D78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3"/>
  </w:num>
  <w:num w:numId="13">
    <w:abstractNumId w:val="8"/>
  </w:num>
  <w:num w:numId="14">
    <w:abstractNumId w:val="9"/>
  </w:num>
  <w:num w:numId="15">
    <w:abstractNumId w:val="14"/>
  </w:num>
  <w:num w:numId="16">
    <w:abstractNumId w:val="11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1E"/>
    <w:rsid w:val="00003B43"/>
    <w:rsid w:val="000046DD"/>
    <w:rsid w:val="00005158"/>
    <w:rsid w:val="00032A93"/>
    <w:rsid w:val="000403D7"/>
    <w:rsid w:val="000433DA"/>
    <w:rsid w:val="0004466B"/>
    <w:rsid w:val="00047BE3"/>
    <w:rsid w:val="000519A3"/>
    <w:rsid w:val="000627AD"/>
    <w:rsid w:val="00062EED"/>
    <w:rsid w:val="00063371"/>
    <w:rsid w:val="00065EC9"/>
    <w:rsid w:val="00073C9A"/>
    <w:rsid w:val="00075DA6"/>
    <w:rsid w:val="0007737C"/>
    <w:rsid w:val="00077CE9"/>
    <w:rsid w:val="0008066C"/>
    <w:rsid w:val="00082C1C"/>
    <w:rsid w:val="0008488E"/>
    <w:rsid w:val="000920B0"/>
    <w:rsid w:val="00092B65"/>
    <w:rsid w:val="00092E23"/>
    <w:rsid w:val="0009511B"/>
    <w:rsid w:val="000B23F2"/>
    <w:rsid w:val="000B3E29"/>
    <w:rsid w:val="000B4074"/>
    <w:rsid w:val="000B407C"/>
    <w:rsid w:val="000C1CAC"/>
    <w:rsid w:val="000C458F"/>
    <w:rsid w:val="000C6D32"/>
    <w:rsid w:val="000C795B"/>
    <w:rsid w:val="000D1B17"/>
    <w:rsid w:val="000D4C61"/>
    <w:rsid w:val="000D4ECA"/>
    <w:rsid w:val="000D60E5"/>
    <w:rsid w:val="000E108C"/>
    <w:rsid w:val="000E1A41"/>
    <w:rsid w:val="000E4EA3"/>
    <w:rsid w:val="000F1F53"/>
    <w:rsid w:val="000F7D73"/>
    <w:rsid w:val="00102480"/>
    <w:rsid w:val="001043F2"/>
    <w:rsid w:val="0010498A"/>
    <w:rsid w:val="00121F87"/>
    <w:rsid w:val="00124816"/>
    <w:rsid w:val="00125895"/>
    <w:rsid w:val="00130F6E"/>
    <w:rsid w:val="001313D4"/>
    <w:rsid w:val="00132DC0"/>
    <w:rsid w:val="001341E6"/>
    <w:rsid w:val="001379D4"/>
    <w:rsid w:val="00142884"/>
    <w:rsid w:val="00142E64"/>
    <w:rsid w:val="001469EF"/>
    <w:rsid w:val="001534B0"/>
    <w:rsid w:val="00154549"/>
    <w:rsid w:val="001673FF"/>
    <w:rsid w:val="001733CF"/>
    <w:rsid w:val="0018661C"/>
    <w:rsid w:val="00192D60"/>
    <w:rsid w:val="00193C34"/>
    <w:rsid w:val="00196739"/>
    <w:rsid w:val="001969E4"/>
    <w:rsid w:val="001A3EA7"/>
    <w:rsid w:val="001B7C70"/>
    <w:rsid w:val="001C3317"/>
    <w:rsid w:val="001C6784"/>
    <w:rsid w:val="001C6DDA"/>
    <w:rsid w:val="001D1258"/>
    <w:rsid w:val="001D1881"/>
    <w:rsid w:val="001D1FC7"/>
    <w:rsid w:val="001D2DED"/>
    <w:rsid w:val="001F47B1"/>
    <w:rsid w:val="002051C6"/>
    <w:rsid w:val="00215C22"/>
    <w:rsid w:val="00221E09"/>
    <w:rsid w:val="002225FC"/>
    <w:rsid w:val="00232E5E"/>
    <w:rsid w:val="00235FD1"/>
    <w:rsid w:val="00236150"/>
    <w:rsid w:val="0025104C"/>
    <w:rsid w:val="00263ADB"/>
    <w:rsid w:val="00263DA8"/>
    <w:rsid w:val="002672AB"/>
    <w:rsid w:val="002738E7"/>
    <w:rsid w:val="002751E3"/>
    <w:rsid w:val="00276FAD"/>
    <w:rsid w:val="002812EF"/>
    <w:rsid w:val="002817F2"/>
    <w:rsid w:val="00284AA0"/>
    <w:rsid w:val="002913D0"/>
    <w:rsid w:val="0029331C"/>
    <w:rsid w:val="00297A66"/>
    <w:rsid w:val="002A3DBF"/>
    <w:rsid w:val="002A4850"/>
    <w:rsid w:val="002B01C5"/>
    <w:rsid w:val="002B161C"/>
    <w:rsid w:val="002B3A0A"/>
    <w:rsid w:val="002B5D5B"/>
    <w:rsid w:val="002B78EB"/>
    <w:rsid w:val="002C37BF"/>
    <w:rsid w:val="002C5E41"/>
    <w:rsid w:val="002C7199"/>
    <w:rsid w:val="002C7B1E"/>
    <w:rsid w:val="002D0CE2"/>
    <w:rsid w:val="002D1120"/>
    <w:rsid w:val="002D1414"/>
    <w:rsid w:val="002D1697"/>
    <w:rsid w:val="002D3BE7"/>
    <w:rsid w:val="002D5198"/>
    <w:rsid w:val="002E01FE"/>
    <w:rsid w:val="002E25B8"/>
    <w:rsid w:val="002E54DB"/>
    <w:rsid w:val="002E5D13"/>
    <w:rsid w:val="002E714C"/>
    <w:rsid w:val="002E7906"/>
    <w:rsid w:val="00303643"/>
    <w:rsid w:val="00310B5B"/>
    <w:rsid w:val="00312E9E"/>
    <w:rsid w:val="003309DA"/>
    <w:rsid w:val="003311F1"/>
    <w:rsid w:val="0033227A"/>
    <w:rsid w:val="00332B16"/>
    <w:rsid w:val="00335D55"/>
    <w:rsid w:val="003424FA"/>
    <w:rsid w:val="00351149"/>
    <w:rsid w:val="003547E8"/>
    <w:rsid w:val="00360B48"/>
    <w:rsid w:val="00364CFF"/>
    <w:rsid w:val="00371C11"/>
    <w:rsid w:val="00373389"/>
    <w:rsid w:val="0038333E"/>
    <w:rsid w:val="00390BB9"/>
    <w:rsid w:val="00393834"/>
    <w:rsid w:val="003A3146"/>
    <w:rsid w:val="003A64A0"/>
    <w:rsid w:val="003A7C1F"/>
    <w:rsid w:val="003B3990"/>
    <w:rsid w:val="003B582B"/>
    <w:rsid w:val="003C7604"/>
    <w:rsid w:val="003D0C53"/>
    <w:rsid w:val="003D1C5A"/>
    <w:rsid w:val="003D1C94"/>
    <w:rsid w:val="003D2BF5"/>
    <w:rsid w:val="003E2CEE"/>
    <w:rsid w:val="003E64A2"/>
    <w:rsid w:val="003E6951"/>
    <w:rsid w:val="003F14D0"/>
    <w:rsid w:val="003F2048"/>
    <w:rsid w:val="003F5B35"/>
    <w:rsid w:val="004026BE"/>
    <w:rsid w:val="004066C4"/>
    <w:rsid w:val="0041376E"/>
    <w:rsid w:val="004160B3"/>
    <w:rsid w:val="00427CB9"/>
    <w:rsid w:val="004372A0"/>
    <w:rsid w:val="00441EF0"/>
    <w:rsid w:val="004458CC"/>
    <w:rsid w:val="00452FAE"/>
    <w:rsid w:val="00453EC3"/>
    <w:rsid w:val="004559C1"/>
    <w:rsid w:val="00460030"/>
    <w:rsid w:val="00460649"/>
    <w:rsid w:val="00462FF5"/>
    <w:rsid w:val="004658FF"/>
    <w:rsid w:val="004663C3"/>
    <w:rsid w:val="004728E2"/>
    <w:rsid w:val="0047556E"/>
    <w:rsid w:val="0047761E"/>
    <w:rsid w:val="004808B6"/>
    <w:rsid w:val="00484BBF"/>
    <w:rsid w:val="00485450"/>
    <w:rsid w:val="00494111"/>
    <w:rsid w:val="00495B56"/>
    <w:rsid w:val="004A1EA2"/>
    <w:rsid w:val="004A32E6"/>
    <w:rsid w:val="004C2584"/>
    <w:rsid w:val="004C2E83"/>
    <w:rsid w:val="004C3F1A"/>
    <w:rsid w:val="004C7FC4"/>
    <w:rsid w:val="004D39E5"/>
    <w:rsid w:val="004F011E"/>
    <w:rsid w:val="004F4799"/>
    <w:rsid w:val="00501207"/>
    <w:rsid w:val="00502FF4"/>
    <w:rsid w:val="005054D9"/>
    <w:rsid w:val="00511006"/>
    <w:rsid w:val="00511B96"/>
    <w:rsid w:val="00512BF4"/>
    <w:rsid w:val="00527B2F"/>
    <w:rsid w:val="00527D8A"/>
    <w:rsid w:val="00534220"/>
    <w:rsid w:val="00534C6A"/>
    <w:rsid w:val="0053535F"/>
    <w:rsid w:val="005406E8"/>
    <w:rsid w:val="005517D9"/>
    <w:rsid w:val="00551E5A"/>
    <w:rsid w:val="00551FEB"/>
    <w:rsid w:val="0055544A"/>
    <w:rsid w:val="0056405F"/>
    <w:rsid w:val="005706C9"/>
    <w:rsid w:val="005802E3"/>
    <w:rsid w:val="00584EB4"/>
    <w:rsid w:val="00591272"/>
    <w:rsid w:val="00591978"/>
    <w:rsid w:val="00591BEB"/>
    <w:rsid w:val="005A0E77"/>
    <w:rsid w:val="005A6396"/>
    <w:rsid w:val="005B7F6C"/>
    <w:rsid w:val="005C1829"/>
    <w:rsid w:val="005C79AD"/>
    <w:rsid w:val="005D7333"/>
    <w:rsid w:val="005E49C5"/>
    <w:rsid w:val="005F576E"/>
    <w:rsid w:val="005F6A75"/>
    <w:rsid w:val="00601F7C"/>
    <w:rsid w:val="00611129"/>
    <w:rsid w:val="006111BC"/>
    <w:rsid w:val="006134D8"/>
    <w:rsid w:val="006144C1"/>
    <w:rsid w:val="00624744"/>
    <w:rsid w:val="00632350"/>
    <w:rsid w:val="00634FE1"/>
    <w:rsid w:val="006459EA"/>
    <w:rsid w:val="006471B1"/>
    <w:rsid w:val="006535BE"/>
    <w:rsid w:val="00654EC5"/>
    <w:rsid w:val="006631C2"/>
    <w:rsid w:val="00671977"/>
    <w:rsid w:val="00672FBC"/>
    <w:rsid w:val="0067689E"/>
    <w:rsid w:val="006771CF"/>
    <w:rsid w:val="00684774"/>
    <w:rsid w:val="00686CA7"/>
    <w:rsid w:val="006904E2"/>
    <w:rsid w:val="006960A9"/>
    <w:rsid w:val="00696B13"/>
    <w:rsid w:val="006A346B"/>
    <w:rsid w:val="006A3D78"/>
    <w:rsid w:val="006A471F"/>
    <w:rsid w:val="006B2079"/>
    <w:rsid w:val="006B4508"/>
    <w:rsid w:val="006B47FB"/>
    <w:rsid w:val="006C0DFE"/>
    <w:rsid w:val="006C7451"/>
    <w:rsid w:val="006D3E57"/>
    <w:rsid w:val="006D7A19"/>
    <w:rsid w:val="006E074D"/>
    <w:rsid w:val="006E13CE"/>
    <w:rsid w:val="006E4007"/>
    <w:rsid w:val="006E7DB6"/>
    <w:rsid w:val="006F3C09"/>
    <w:rsid w:val="007063C7"/>
    <w:rsid w:val="00714B98"/>
    <w:rsid w:val="00715BE7"/>
    <w:rsid w:val="00717606"/>
    <w:rsid w:val="00720A30"/>
    <w:rsid w:val="00726A5E"/>
    <w:rsid w:val="00730AD7"/>
    <w:rsid w:val="00730FFB"/>
    <w:rsid w:val="00732237"/>
    <w:rsid w:val="00735CDF"/>
    <w:rsid w:val="00743024"/>
    <w:rsid w:val="007436D8"/>
    <w:rsid w:val="00747988"/>
    <w:rsid w:val="00750038"/>
    <w:rsid w:val="0076031A"/>
    <w:rsid w:val="007620CA"/>
    <w:rsid w:val="00763C99"/>
    <w:rsid w:val="007671B1"/>
    <w:rsid w:val="00791C85"/>
    <w:rsid w:val="00793485"/>
    <w:rsid w:val="00793DBC"/>
    <w:rsid w:val="007961B5"/>
    <w:rsid w:val="007A0AFD"/>
    <w:rsid w:val="007A4CCD"/>
    <w:rsid w:val="007A6745"/>
    <w:rsid w:val="007A7888"/>
    <w:rsid w:val="007B52AE"/>
    <w:rsid w:val="007C47D8"/>
    <w:rsid w:val="007C6D68"/>
    <w:rsid w:val="007C7AEC"/>
    <w:rsid w:val="007D0F1B"/>
    <w:rsid w:val="007D34D7"/>
    <w:rsid w:val="00802D87"/>
    <w:rsid w:val="00817BFB"/>
    <w:rsid w:val="00820B98"/>
    <w:rsid w:val="0082107D"/>
    <w:rsid w:val="00821274"/>
    <w:rsid w:val="00821304"/>
    <w:rsid w:val="008323F8"/>
    <w:rsid w:val="00834B79"/>
    <w:rsid w:val="00844491"/>
    <w:rsid w:val="0086401E"/>
    <w:rsid w:val="00866E79"/>
    <w:rsid w:val="00870F24"/>
    <w:rsid w:val="0087704B"/>
    <w:rsid w:val="008801BC"/>
    <w:rsid w:val="00880DEA"/>
    <w:rsid w:val="008833E2"/>
    <w:rsid w:val="00886FB6"/>
    <w:rsid w:val="00887D37"/>
    <w:rsid w:val="00892018"/>
    <w:rsid w:val="008941A9"/>
    <w:rsid w:val="008A1AD4"/>
    <w:rsid w:val="008A3EFB"/>
    <w:rsid w:val="008D0653"/>
    <w:rsid w:val="008D13AF"/>
    <w:rsid w:val="008D576C"/>
    <w:rsid w:val="008E70E2"/>
    <w:rsid w:val="008F042A"/>
    <w:rsid w:val="008F458D"/>
    <w:rsid w:val="008F4626"/>
    <w:rsid w:val="008F612D"/>
    <w:rsid w:val="0090117A"/>
    <w:rsid w:val="0090749F"/>
    <w:rsid w:val="00912116"/>
    <w:rsid w:val="00913578"/>
    <w:rsid w:val="009170C1"/>
    <w:rsid w:val="00917208"/>
    <w:rsid w:val="00932026"/>
    <w:rsid w:val="00932309"/>
    <w:rsid w:val="00934989"/>
    <w:rsid w:val="00935838"/>
    <w:rsid w:val="009363F2"/>
    <w:rsid w:val="009374C5"/>
    <w:rsid w:val="00940566"/>
    <w:rsid w:val="009416AD"/>
    <w:rsid w:val="00944EBC"/>
    <w:rsid w:val="00946C39"/>
    <w:rsid w:val="00953D83"/>
    <w:rsid w:val="009553C1"/>
    <w:rsid w:val="009600B9"/>
    <w:rsid w:val="009642CA"/>
    <w:rsid w:val="009665AC"/>
    <w:rsid w:val="00971DF8"/>
    <w:rsid w:val="009721FC"/>
    <w:rsid w:val="00972667"/>
    <w:rsid w:val="009827FD"/>
    <w:rsid w:val="009956F5"/>
    <w:rsid w:val="00996011"/>
    <w:rsid w:val="009A014E"/>
    <w:rsid w:val="009A180D"/>
    <w:rsid w:val="009A5C89"/>
    <w:rsid w:val="009B1C7A"/>
    <w:rsid w:val="009B23A2"/>
    <w:rsid w:val="009B40D1"/>
    <w:rsid w:val="009B4793"/>
    <w:rsid w:val="009B78F0"/>
    <w:rsid w:val="009C4F45"/>
    <w:rsid w:val="009C6FB0"/>
    <w:rsid w:val="009D236D"/>
    <w:rsid w:val="009D74C5"/>
    <w:rsid w:val="009E12E0"/>
    <w:rsid w:val="009E6D5B"/>
    <w:rsid w:val="00A04C15"/>
    <w:rsid w:val="00A21437"/>
    <w:rsid w:val="00A30CEA"/>
    <w:rsid w:val="00A30F98"/>
    <w:rsid w:val="00A31691"/>
    <w:rsid w:val="00A32786"/>
    <w:rsid w:val="00A35721"/>
    <w:rsid w:val="00A40366"/>
    <w:rsid w:val="00A43571"/>
    <w:rsid w:val="00A45349"/>
    <w:rsid w:val="00A46985"/>
    <w:rsid w:val="00A4768B"/>
    <w:rsid w:val="00A52A6C"/>
    <w:rsid w:val="00A6259C"/>
    <w:rsid w:val="00A64545"/>
    <w:rsid w:val="00A64C2A"/>
    <w:rsid w:val="00A721AF"/>
    <w:rsid w:val="00A73E4E"/>
    <w:rsid w:val="00A77624"/>
    <w:rsid w:val="00A867E2"/>
    <w:rsid w:val="00A87A8D"/>
    <w:rsid w:val="00A9548E"/>
    <w:rsid w:val="00AA4334"/>
    <w:rsid w:val="00AB6494"/>
    <w:rsid w:val="00AC1846"/>
    <w:rsid w:val="00AC2A13"/>
    <w:rsid w:val="00AC336A"/>
    <w:rsid w:val="00AC36EF"/>
    <w:rsid w:val="00AC3AC8"/>
    <w:rsid w:val="00AC5500"/>
    <w:rsid w:val="00AD1424"/>
    <w:rsid w:val="00AE65EB"/>
    <w:rsid w:val="00AF268D"/>
    <w:rsid w:val="00AF4D73"/>
    <w:rsid w:val="00B00540"/>
    <w:rsid w:val="00B04F42"/>
    <w:rsid w:val="00B063CC"/>
    <w:rsid w:val="00B144C7"/>
    <w:rsid w:val="00B145DA"/>
    <w:rsid w:val="00B17555"/>
    <w:rsid w:val="00B31433"/>
    <w:rsid w:val="00B34CF3"/>
    <w:rsid w:val="00B51674"/>
    <w:rsid w:val="00B61DF4"/>
    <w:rsid w:val="00B76856"/>
    <w:rsid w:val="00B76F2B"/>
    <w:rsid w:val="00B83BB4"/>
    <w:rsid w:val="00B906F1"/>
    <w:rsid w:val="00B93C6C"/>
    <w:rsid w:val="00BB43DD"/>
    <w:rsid w:val="00BB5436"/>
    <w:rsid w:val="00BC314D"/>
    <w:rsid w:val="00BC5F9A"/>
    <w:rsid w:val="00BD0067"/>
    <w:rsid w:val="00BD1B96"/>
    <w:rsid w:val="00BD7C26"/>
    <w:rsid w:val="00BE01FA"/>
    <w:rsid w:val="00BE07EE"/>
    <w:rsid w:val="00BF7EE2"/>
    <w:rsid w:val="00C00B48"/>
    <w:rsid w:val="00C0154A"/>
    <w:rsid w:val="00C04ADC"/>
    <w:rsid w:val="00C0548A"/>
    <w:rsid w:val="00C06E24"/>
    <w:rsid w:val="00C31085"/>
    <w:rsid w:val="00C3316B"/>
    <w:rsid w:val="00C41C7E"/>
    <w:rsid w:val="00C45B12"/>
    <w:rsid w:val="00C52354"/>
    <w:rsid w:val="00C5459C"/>
    <w:rsid w:val="00C5548E"/>
    <w:rsid w:val="00C6465F"/>
    <w:rsid w:val="00C67619"/>
    <w:rsid w:val="00C74915"/>
    <w:rsid w:val="00C805C0"/>
    <w:rsid w:val="00C83B06"/>
    <w:rsid w:val="00C84014"/>
    <w:rsid w:val="00C845AC"/>
    <w:rsid w:val="00C84DA5"/>
    <w:rsid w:val="00C86467"/>
    <w:rsid w:val="00C97F90"/>
    <w:rsid w:val="00CA0F0C"/>
    <w:rsid w:val="00CA16AE"/>
    <w:rsid w:val="00CB10FA"/>
    <w:rsid w:val="00CB587F"/>
    <w:rsid w:val="00CB6F1E"/>
    <w:rsid w:val="00CC4748"/>
    <w:rsid w:val="00CC7F49"/>
    <w:rsid w:val="00CE0A1D"/>
    <w:rsid w:val="00CF2EBF"/>
    <w:rsid w:val="00CF4FF0"/>
    <w:rsid w:val="00CF5C0E"/>
    <w:rsid w:val="00D01721"/>
    <w:rsid w:val="00D030E8"/>
    <w:rsid w:val="00D070D2"/>
    <w:rsid w:val="00D117DE"/>
    <w:rsid w:val="00D13AF3"/>
    <w:rsid w:val="00D15A34"/>
    <w:rsid w:val="00D16BA2"/>
    <w:rsid w:val="00D21E9C"/>
    <w:rsid w:val="00D241CE"/>
    <w:rsid w:val="00D25B05"/>
    <w:rsid w:val="00D2723B"/>
    <w:rsid w:val="00D311C9"/>
    <w:rsid w:val="00D331CE"/>
    <w:rsid w:val="00D3601F"/>
    <w:rsid w:val="00D4340C"/>
    <w:rsid w:val="00D43EA5"/>
    <w:rsid w:val="00D46844"/>
    <w:rsid w:val="00D50CFF"/>
    <w:rsid w:val="00D524F5"/>
    <w:rsid w:val="00D53BEA"/>
    <w:rsid w:val="00D54580"/>
    <w:rsid w:val="00D60F4F"/>
    <w:rsid w:val="00D64E42"/>
    <w:rsid w:val="00D7092C"/>
    <w:rsid w:val="00D7133E"/>
    <w:rsid w:val="00D718F4"/>
    <w:rsid w:val="00D72F6C"/>
    <w:rsid w:val="00D76252"/>
    <w:rsid w:val="00D86AA8"/>
    <w:rsid w:val="00D86C02"/>
    <w:rsid w:val="00D90234"/>
    <w:rsid w:val="00D9504B"/>
    <w:rsid w:val="00D950EA"/>
    <w:rsid w:val="00DA023A"/>
    <w:rsid w:val="00DA2E83"/>
    <w:rsid w:val="00DA4837"/>
    <w:rsid w:val="00DA51D8"/>
    <w:rsid w:val="00DA60CC"/>
    <w:rsid w:val="00DC0ABC"/>
    <w:rsid w:val="00DC7E55"/>
    <w:rsid w:val="00DD454D"/>
    <w:rsid w:val="00DD50BB"/>
    <w:rsid w:val="00DE030D"/>
    <w:rsid w:val="00DE17B5"/>
    <w:rsid w:val="00DE4371"/>
    <w:rsid w:val="00DF0F2C"/>
    <w:rsid w:val="00E06BA9"/>
    <w:rsid w:val="00E07DE4"/>
    <w:rsid w:val="00E07EC3"/>
    <w:rsid w:val="00E14832"/>
    <w:rsid w:val="00E2151E"/>
    <w:rsid w:val="00E2263F"/>
    <w:rsid w:val="00E270BD"/>
    <w:rsid w:val="00E30E72"/>
    <w:rsid w:val="00E33A78"/>
    <w:rsid w:val="00E3705F"/>
    <w:rsid w:val="00E4063D"/>
    <w:rsid w:val="00E519E7"/>
    <w:rsid w:val="00E55ED0"/>
    <w:rsid w:val="00E62BEE"/>
    <w:rsid w:val="00E64181"/>
    <w:rsid w:val="00E82CF7"/>
    <w:rsid w:val="00E90DFF"/>
    <w:rsid w:val="00E956FB"/>
    <w:rsid w:val="00E95C8F"/>
    <w:rsid w:val="00E96112"/>
    <w:rsid w:val="00E976D5"/>
    <w:rsid w:val="00EA27C4"/>
    <w:rsid w:val="00EA2BFF"/>
    <w:rsid w:val="00EA46D9"/>
    <w:rsid w:val="00EA7BC3"/>
    <w:rsid w:val="00EB268E"/>
    <w:rsid w:val="00EB7D6A"/>
    <w:rsid w:val="00EC0657"/>
    <w:rsid w:val="00EC103D"/>
    <w:rsid w:val="00EC1F34"/>
    <w:rsid w:val="00EC72B9"/>
    <w:rsid w:val="00ED0303"/>
    <w:rsid w:val="00ED708D"/>
    <w:rsid w:val="00ED737D"/>
    <w:rsid w:val="00EE4AF3"/>
    <w:rsid w:val="00EF1579"/>
    <w:rsid w:val="00EF1BF4"/>
    <w:rsid w:val="00EF39BC"/>
    <w:rsid w:val="00F05729"/>
    <w:rsid w:val="00F05F08"/>
    <w:rsid w:val="00F06025"/>
    <w:rsid w:val="00F0754F"/>
    <w:rsid w:val="00F10D76"/>
    <w:rsid w:val="00F24759"/>
    <w:rsid w:val="00F278A6"/>
    <w:rsid w:val="00F30F50"/>
    <w:rsid w:val="00F45660"/>
    <w:rsid w:val="00F64AE0"/>
    <w:rsid w:val="00F66C50"/>
    <w:rsid w:val="00F67E32"/>
    <w:rsid w:val="00F7314C"/>
    <w:rsid w:val="00F73612"/>
    <w:rsid w:val="00F82997"/>
    <w:rsid w:val="00F929F4"/>
    <w:rsid w:val="00F94A0E"/>
    <w:rsid w:val="00FA07B6"/>
    <w:rsid w:val="00FA1727"/>
    <w:rsid w:val="00FB21C5"/>
    <w:rsid w:val="00FB2D77"/>
    <w:rsid w:val="00FC0736"/>
    <w:rsid w:val="00FC07AF"/>
    <w:rsid w:val="00FC3F4D"/>
    <w:rsid w:val="00FC4C59"/>
    <w:rsid w:val="00FC6145"/>
    <w:rsid w:val="00FD5B45"/>
    <w:rsid w:val="00FF05ED"/>
    <w:rsid w:val="00FF2C3F"/>
    <w:rsid w:val="00FF3D95"/>
    <w:rsid w:val="00FF590C"/>
    <w:rsid w:val="00FF667B"/>
    <w:rsid w:val="00FF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5B4F62"/>
  <w15:docId w15:val="{62E43728-1B2D-4B88-A1A3-67528A41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A5E"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726A5E"/>
    <w:pPr>
      <w:keepNext/>
      <w:numPr>
        <w:ilvl w:val="1"/>
        <w:numId w:val="1"/>
      </w:numPr>
      <w:jc w:val="center"/>
      <w:outlineLvl w:val="1"/>
    </w:pPr>
    <w:rPr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26A5E"/>
    <w:rPr>
      <w:rFonts w:ascii="Times New Roman" w:hAnsi="Times New Roman" w:cs="Times New Roman"/>
    </w:rPr>
  </w:style>
  <w:style w:type="character" w:customStyle="1" w:styleId="WW8Num2z0">
    <w:name w:val="WW8Num2z0"/>
    <w:rsid w:val="00726A5E"/>
    <w:rPr>
      <w:rFonts w:cs="Times New Roman"/>
    </w:rPr>
  </w:style>
  <w:style w:type="character" w:customStyle="1" w:styleId="WW8Num3z0">
    <w:name w:val="WW8Num3z0"/>
    <w:rsid w:val="00726A5E"/>
  </w:style>
  <w:style w:type="character" w:customStyle="1" w:styleId="WW8Num3z1">
    <w:name w:val="WW8Num3z1"/>
    <w:rsid w:val="00726A5E"/>
    <w:rPr>
      <w:rFonts w:ascii="Symbol" w:hAnsi="Symbol" w:cs="Symbol"/>
    </w:rPr>
  </w:style>
  <w:style w:type="character" w:customStyle="1" w:styleId="WW8Num3z2">
    <w:name w:val="WW8Num3z2"/>
    <w:rsid w:val="00726A5E"/>
  </w:style>
  <w:style w:type="character" w:customStyle="1" w:styleId="WW8Num3z3">
    <w:name w:val="WW8Num3z3"/>
    <w:rsid w:val="00726A5E"/>
  </w:style>
  <w:style w:type="character" w:customStyle="1" w:styleId="WW8Num3z4">
    <w:name w:val="WW8Num3z4"/>
    <w:rsid w:val="00726A5E"/>
  </w:style>
  <w:style w:type="character" w:customStyle="1" w:styleId="WW8Num3z5">
    <w:name w:val="WW8Num3z5"/>
    <w:rsid w:val="00726A5E"/>
  </w:style>
  <w:style w:type="character" w:customStyle="1" w:styleId="WW8Num3z6">
    <w:name w:val="WW8Num3z6"/>
    <w:rsid w:val="00726A5E"/>
  </w:style>
  <w:style w:type="character" w:customStyle="1" w:styleId="WW8Num3z7">
    <w:name w:val="WW8Num3z7"/>
    <w:rsid w:val="00726A5E"/>
  </w:style>
  <w:style w:type="character" w:customStyle="1" w:styleId="WW8Num3z8">
    <w:name w:val="WW8Num3z8"/>
    <w:rsid w:val="00726A5E"/>
  </w:style>
  <w:style w:type="character" w:customStyle="1" w:styleId="WW8Num4z0">
    <w:name w:val="WW8Num4z0"/>
    <w:rsid w:val="00726A5E"/>
  </w:style>
  <w:style w:type="character" w:customStyle="1" w:styleId="WW8Num4z1">
    <w:name w:val="WW8Num4z1"/>
    <w:rsid w:val="00726A5E"/>
  </w:style>
  <w:style w:type="character" w:customStyle="1" w:styleId="WW8Num4z2">
    <w:name w:val="WW8Num4z2"/>
    <w:rsid w:val="00726A5E"/>
  </w:style>
  <w:style w:type="character" w:customStyle="1" w:styleId="WW8Num4z3">
    <w:name w:val="WW8Num4z3"/>
    <w:rsid w:val="00726A5E"/>
  </w:style>
  <w:style w:type="character" w:customStyle="1" w:styleId="WW8Num4z4">
    <w:name w:val="WW8Num4z4"/>
    <w:rsid w:val="00726A5E"/>
  </w:style>
  <w:style w:type="character" w:customStyle="1" w:styleId="WW8Num4z5">
    <w:name w:val="WW8Num4z5"/>
    <w:rsid w:val="00726A5E"/>
  </w:style>
  <w:style w:type="character" w:customStyle="1" w:styleId="WW8Num4z6">
    <w:name w:val="WW8Num4z6"/>
    <w:rsid w:val="00726A5E"/>
  </w:style>
  <w:style w:type="character" w:customStyle="1" w:styleId="WW8Num4z7">
    <w:name w:val="WW8Num4z7"/>
    <w:rsid w:val="00726A5E"/>
  </w:style>
  <w:style w:type="character" w:customStyle="1" w:styleId="WW8Num4z8">
    <w:name w:val="WW8Num4z8"/>
    <w:rsid w:val="00726A5E"/>
  </w:style>
  <w:style w:type="character" w:customStyle="1" w:styleId="WW8Num5z0">
    <w:name w:val="WW8Num5z0"/>
    <w:rsid w:val="00726A5E"/>
    <w:rPr>
      <w:rFonts w:ascii="Times New Roman" w:eastAsia="SimSun" w:hAnsi="Times New Roman" w:cs="Times New Roman"/>
      <w:color w:val="000000"/>
      <w:lang w:eastAsia="ro-RO"/>
    </w:rPr>
  </w:style>
  <w:style w:type="character" w:customStyle="1" w:styleId="WW8Num5z1">
    <w:name w:val="WW8Num5z1"/>
    <w:rsid w:val="00726A5E"/>
    <w:rPr>
      <w:rFonts w:ascii="Courier New" w:hAnsi="Courier New" w:cs="Courier New"/>
    </w:rPr>
  </w:style>
  <w:style w:type="character" w:customStyle="1" w:styleId="WW8Num5z2">
    <w:name w:val="WW8Num5z2"/>
    <w:rsid w:val="00726A5E"/>
    <w:rPr>
      <w:rFonts w:ascii="Wingdings" w:hAnsi="Wingdings" w:cs="Wingdings"/>
    </w:rPr>
  </w:style>
  <w:style w:type="character" w:customStyle="1" w:styleId="WW8Num5z3">
    <w:name w:val="WW8Num5z3"/>
    <w:rsid w:val="00726A5E"/>
    <w:rPr>
      <w:rFonts w:ascii="Symbol" w:hAnsi="Symbol" w:cs="Symbol"/>
    </w:rPr>
  </w:style>
  <w:style w:type="character" w:customStyle="1" w:styleId="WW8Num6z0">
    <w:name w:val="WW8Num6z0"/>
    <w:rsid w:val="00726A5E"/>
  </w:style>
  <w:style w:type="character" w:customStyle="1" w:styleId="WW8Num6z1">
    <w:name w:val="WW8Num6z1"/>
    <w:rsid w:val="00726A5E"/>
    <w:rPr>
      <w:rFonts w:ascii="Symbol" w:hAnsi="Symbol" w:cs="Symbol"/>
    </w:rPr>
  </w:style>
  <w:style w:type="character" w:customStyle="1" w:styleId="WW8Num6z2">
    <w:name w:val="WW8Num6z2"/>
    <w:rsid w:val="00726A5E"/>
  </w:style>
  <w:style w:type="character" w:customStyle="1" w:styleId="WW8Num6z3">
    <w:name w:val="WW8Num6z3"/>
    <w:rsid w:val="00726A5E"/>
  </w:style>
  <w:style w:type="character" w:customStyle="1" w:styleId="WW8Num6z4">
    <w:name w:val="WW8Num6z4"/>
    <w:rsid w:val="00726A5E"/>
  </w:style>
  <w:style w:type="character" w:customStyle="1" w:styleId="WW8Num6z5">
    <w:name w:val="WW8Num6z5"/>
    <w:rsid w:val="00726A5E"/>
  </w:style>
  <w:style w:type="character" w:customStyle="1" w:styleId="WW8Num6z6">
    <w:name w:val="WW8Num6z6"/>
    <w:rsid w:val="00726A5E"/>
  </w:style>
  <w:style w:type="character" w:customStyle="1" w:styleId="WW8Num6z7">
    <w:name w:val="WW8Num6z7"/>
    <w:rsid w:val="00726A5E"/>
  </w:style>
  <w:style w:type="character" w:customStyle="1" w:styleId="WW8Num6z8">
    <w:name w:val="WW8Num6z8"/>
    <w:rsid w:val="00726A5E"/>
  </w:style>
  <w:style w:type="character" w:customStyle="1" w:styleId="WW8Num7z0">
    <w:name w:val="WW8Num7z0"/>
    <w:rsid w:val="00726A5E"/>
  </w:style>
  <w:style w:type="character" w:customStyle="1" w:styleId="WW8Num7z1">
    <w:name w:val="WW8Num7z1"/>
    <w:rsid w:val="00726A5E"/>
    <w:rPr>
      <w:rFonts w:ascii="Symbol" w:hAnsi="Symbol" w:cs="Symbol"/>
    </w:rPr>
  </w:style>
  <w:style w:type="character" w:customStyle="1" w:styleId="WW8Num7z2">
    <w:name w:val="WW8Num7z2"/>
    <w:rsid w:val="00726A5E"/>
  </w:style>
  <w:style w:type="character" w:customStyle="1" w:styleId="WW8Num7z3">
    <w:name w:val="WW8Num7z3"/>
    <w:rsid w:val="00726A5E"/>
  </w:style>
  <w:style w:type="character" w:customStyle="1" w:styleId="WW8Num7z4">
    <w:name w:val="WW8Num7z4"/>
    <w:rsid w:val="00726A5E"/>
  </w:style>
  <w:style w:type="character" w:customStyle="1" w:styleId="WW8Num7z5">
    <w:name w:val="WW8Num7z5"/>
    <w:rsid w:val="00726A5E"/>
  </w:style>
  <w:style w:type="character" w:customStyle="1" w:styleId="WW8Num7z6">
    <w:name w:val="WW8Num7z6"/>
    <w:rsid w:val="00726A5E"/>
  </w:style>
  <w:style w:type="character" w:customStyle="1" w:styleId="WW8Num7z7">
    <w:name w:val="WW8Num7z7"/>
    <w:rsid w:val="00726A5E"/>
  </w:style>
  <w:style w:type="character" w:customStyle="1" w:styleId="WW8Num7z8">
    <w:name w:val="WW8Num7z8"/>
    <w:rsid w:val="00726A5E"/>
  </w:style>
  <w:style w:type="character" w:customStyle="1" w:styleId="WW8Num8z0">
    <w:name w:val="WW8Num8z0"/>
    <w:rsid w:val="00726A5E"/>
  </w:style>
  <w:style w:type="character" w:customStyle="1" w:styleId="WW8Num8z1">
    <w:name w:val="WW8Num8z1"/>
    <w:rsid w:val="00726A5E"/>
  </w:style>
  <w:style w:type="character" w:customStyle="1" w:styleId="WW8Num8z2">
    <w:name w:val="WW8Num8z2"/>
    <w:rsid w:val="00726A5E"/>
  </w:style>
  <w:style w:type="character" w:customStyle="1" w:styleId="WW8Num8z3">
    <w:name w:val="WW8Num8z3"/>
    <w:rsid w:val="00726A5E"/>
  </w:style>
  <w:style w:type="character" w:customStyle="1" w:styleId="WW8Num8z4">
    <w:name w:val="WW8Num8z4"/>
    <w:rsid w:val="00726A5E"/>
  </w:style>
  <w:style w:type="character" w:customStyle="1" w:styleId="WW8Num8z5">
    <w:name w:val="WW8Num8z5"/>
    <w:rsid w:val="00726A5E"/>
  </w:style>
  <w:style w:type="character" w:customStyle="1" w:styleId="WW8Num8z6">
    <w:name w:val="WW8Num8z6"/>
    <w:rsid w:val="00726A5E"/>
  </w:style>
  <w:style w:type="character" w:customStyle="1" w:styleId="WW8Num8z7">
    <w:name w:val="WW8Num8z7"/>
    <w:rsid w:val="00726A5E"/>
  </w:style>
  <w:style w:type="character" w:customStyle="1" w:styleId="WW8Num8z8">
    <w:name w:val="WW8Num8z8"/>
    <w:rsid w:val="00726A5E"/>
  </w:style>
  <w:style w:type="character" w:customStyle="1" w:styleId="WW8Num9z0">
    <w:name w:val="WW8Num9z0"/>
    <w:rsid w:val="00726A5E"/>
  </w:style>
  <w:style w:type="character" w:customStyle="1" w:styleId="WW8Num9z1">
    <w:name w:val="WW8Num9z1"/>
    <w:rsid w:val="00726A5E"/>
    <w:rPr>
      <w:sz w:val="28"/>
      <w:szCs w:val="28"/>
    </w:rPr>
  </w:style>
  <w:style w:type="character" w:customStyle="1" w:styleId="WW8Num9z2">
    <w:name w:val="WW8Num9z2"/>
    <w:rsid w:val="00726A5E"/>
  </w:style>
  <w:style w:type="character" w:customStyle="1" w:styleId="WW8Num9z3">
    <w:name w:val="WW8Num9z3"/>
    <w:rsid w:val="00726A5E"/>
  </w:style>
  <w:style w:type="character" w:customStyle="1" w:styleId="WW8Num9z4">
    <w:name w:val="WW8Num9z4"/>
    <w:rsid w:val="00726A5E"/>
  </w:style>
  <w:style w:type="character" w:customStyle="1" w:styleId="WW8Num9z5">
    <w:name w:val="WW8Num9z5"/>
    <w:rsid w:val="00726A5E"/>
  </w:style>
  <w:style w:type="character" w:customStyle="1" w:styleId="WW8Num9z6">
    <w:name w:val="WW8Num9z6"/>
    <w:rsid w:val="00726A5E"/>
  </w:style>
  <w:style w:type="character" w:customStyle="1" w:styleId="WW8Num9z7">
    <w:name w:val="WW8Num9z7"/>
    <w:rsid w:val="00726A5E"/>
  </w:style>
  <w:style w:type="character" w:customStyle="1" w:styleId="WW8Num9z8">
    <w:name w:val="WW8Num9z8"/>
    <w:rsid w:val="00726A5E"/>
  </w:style>
  <w:style w:type="character" w:customStyle="1" w:styleId="WW8Num10z0">
    <w:name w:val="WW8Num10z0"/>
    <w:rsid w:val="00726A5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26A5E"/>
    <w:rPr>
      <w:rFonts w:ascii="Courier New" w:hAnsi="Courier New" w:cs="Courier New"/>
    </w:rPr>
  </w:style>
  <w:style w:type="character" w:customStyle="1" w:styleId="WW8Num10z2">
    <w:name w:val="WW8Num10z2"/>
    <w:rsid w:val="00726A5E"/>
    <w:rPr>
      <w:rFonts w:ascii="Wingdings" w:hAnsi="Wingdings" w:cs="Wingdings"/>
    </w:rPr>
  </w:style>
  <w:style w:type="character" w:customStyle="1" w:styleId="WW8Num10z3">
    <w:name w:val="WW8Num10z3"/>
    <w:rsid w:val="00726A5E"/>
    <w:rPr>
      <w:rFonts w:ascii="Symbol" w:hAnsi="Symbol" w:cs="Symbol"/>
    </w:rPr>
  </w:style>
  <w:style w:type="character" w:customStyle="1" w:styleId="Fontdeparagrafimplicit1">
    <w:name w:val="Font de paragraf implicit1"/>
    <w:rsid w:val="00726A5E"/>
  </w:style>
  <w:style w:type="character" w:customStyle="1" w:styleId="arial12negru1">
    <w:name w:val="arial12negru1"/>
    <w:rsid w:val="00726A5E"/>
    <w:rPr>
      <w:rFonts w:ascii="Arial" w:hAnsi="Arial" w:cs="Arial"/>
      <w:b w:val="0"/>
      <w:bCs w:val="0"/>
      <w:strike w:val="0"/>
      <w:dstrike w:val="0"/>
      <w:color w:val="000000"/>
      <w:sz w:val="19"/>
      <w:szCs w:val="19"/>
      <w:u w:val="none"/>
    </w:rPr>
  </w:style>
  <w:style w:type="character" w:customStyle="1" w:styleId="style61">
    <w:name w:val="style61"/>
    <w:rsid w:val="00726A5E"/>
    <w:rPr>
      <w:color w:val="336699"/>
    </w:rPr>
  </w:style>
  <w:style w:type="character" w:styleId="Hyperlink">
    <w:name w:val="Hyperlink"/>
    <w:rsid w:val="00726A5E"/>
    <w:rPr>
      <w:color w:val="0000FF"/>
      <w:u w:val="single"/>
    </w:rPr>
  </w:style>
  <w:style w:type="character" w:styleId="Emphasis">
    <w:name w:val="Emphasis"/>
    <w:qFormat/>
    <w:rsid w:val="00726A5E"/>
    <w:rPr>
      <w:i/>
      <w:iCs/>
    </w:rPr>
  </w:style>
  <w:style w:type="character" w:customStyle="1" w:styleId="HTMLPreformattedChar">
    <w:name w:val="HTML Preformatted Char"/>
    <w:rsid w:val="00726A5E"/>
    <w:rPr>
      <w:rFonts w:ascii="Courier New" w:hAnsi="Courier New" w:cs="Courier New"/>
      <w:lang w:val="en-US"/>
    </w:rPr>
  </w:style>
  <w:style w:type="character" w:customStyle="1" w:styleId="CommentReference1">
    <w:name w:val="Comment Reference1"/>
    <w:rsid w:val="00726A5E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rsid w:val="00726A5E"/>
  </w:style>
  <w:style w:type="character" w:customStyle="1" w:styleId="BodyTextIndentChar">
    <w:name w:val="Body Text Indent Char"/>
    <w:rsid w:val="00726A5E"/>
    <w:rPr>
      <w:sz w:val="24"/>
      <w:szCs w:val="24"/>
    </w:rPr>
  </w:style>
  <w:style w:type="character" w:customStyle="1" w:styleId="Heading2Char">
    <w:name w:val="Heading 2 Char"/>
    <w:rsid w:val="00726A5E"/>
    <w:rPr>
      <w:bCs/>
      <w:iCs/>
      <w:sz w:val="28"/>
      <w:szCs w:val="24"/>
    </w:rPr>
  </w:style>
  <w:style w:type="character" w:customStyle="1" w:styleId="BodyTextChar">
    <w:name w:val="Body Text Char"/>
    <w:rsid w:val="00726A5E"/>
    <w:rPr>
      <w:sz w:val="24"/>
      <w:szCs w:val="24"/>
    </w:rPr>
  </w:style>
  <w:style w:type="character" w:customStyle="1" w:styleId="FootnoteTextChar">
    <w:name w:val="Footnote Text Char"/>
    <w:rsid w:val="00726A5E"/>
    <w:rPr>
      <w:lang w:val="en-US"/>
    </w:rPr>
  </w:style>
  <w:style w:type="character" w:customStyle="1" w:styleId="FootnoteCharacters">
    <w:name w:val="Footnote Characters"/>
    <w:rsid w:val="00726A5E"/>
    <w:rPr>
      <w:vertAlign w:val="superscript"/>
    </w:rPr>
  </w:style>
  <w:style w:type="character" w:customStyle="1" w:styleId="articol1">
    <w:name w:val="articol1"/>
    <w:rsid w:val="00726A5E"/>
    <w:rPr>
      <w:b/>
      <w:bCs/>
      <w:color w:val="009500"/>
    </w:rPr>
  </w:style>
  <w:style w:type="character" w:customStyle="1" w:styleId="litera1">
    <w:name w:val="litera1"/>
    <w:rsid w:val="00726A5E"/>
    <w:rPr>
      <w:b/>
      <w:bCs/>
      <w:color w:val="000000"/>
    </w:rPr>
  </w:style>
  <w:style w:type="character" w:styleId="PageNumber">
    <w:name w:val="page number"/>
    <w:basedOn w:val="Fontdeparagrafimplicit1"/>
    <w:rsid w:val="00726A5E"/>
  </w:style>
  <w:style w:type="character" w:customStyle="1" w:styleId="ln2tpreambul1">
    <w:name w:val="ln2tpreambul1"/>
    <w:rsid w:val="00726A5E"/>
    <w:rPr>
      <w:i/>
      <w:iCs/>
    </w:rPr>
  </w:style>
  <w:style w:type="character" w:customStyle="1" w:styleId="preambul1">
    <w:name w:val="preambul1"/>
    <w:rsid w:val="00726A5E"/>
    <w:rPr>
      <w:rFonts w:cs="Times New Roman"/>
      <w:i/>
      <w:iCs/>
      <w:color w:val="000000"/>
    </w:rPr>
  </w:style>
  <w:style w:type="character" w:customStyle="1" w:styleId="ln2talineat">
    <w:name w:val="ln2talineat"/>
    <w:rsid w:val="00726A5E"/>
  </w:style>
  <w:style w:type="character" w:customStyle="1" w:styleId="CharAttribute3">
    <w:name w:val="CharAttribute3"/>
    <w:rsid w:val="00726A5E"/>
    <w:rPr>
      <w:rFonts w:ascii="Times New Roman" w:eastAsia="Times New Roman" w:hAnsi="Times New Roman" w:cs="Times New Roman"/>
      <w:sz w:val="24"/>
    </w:rPr>
  </w:style>
  <w:style w:type="character" w:customStyle="1" w:styleId="at31">
    <w:name w:val="a__t31"/>
    <w:rsid w:val="00726A5E"/>
    <w:rPr>
      <w:b/>
      <w:u w:val="single"/>
    </w:rPr>
  </w:style>
  <w:style w:type="character" w:customStyle="1" w:styleId="ln2alineat1">
    <w:name w:val="ln2alineat1"/>
    <w:rsid w:val="00726A5E"/>
    <w:rPr>
      <w:b/>
      <w:color w:val="74929F"/>
    </w:rPr>
  </w:style>
  <w:style w:type="paragraph" w:customStyle="1" w:styleId="Heading">
    <w:name w:val="Heading"/>
    <w:basedOn w:val="Normal"/>
    <w:next w:val="BodyText"/>
    <w:rsid w:val="00726A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726A5E"/>
    <w:pPr>
      <w:spacing w:after="120"/>
    </w:pPr>
  </w:style>
  <w:style w:type="paragraph" w:styleId="List">
    <w:name w:val="List"/>
    <w:basedOn w:val="BodyText"/>
    <w:rsid w:val="00726A5E"/>
    <w:rPr>
      <w:rFonts w:cs="Mangal"/>
    </w:rPr>
  </w:style>
  <w:style w:type="paragraph" w:styleId="Caption">
    <w:name w:val="caption"/>
    <w:basedOn w:val="Normal"/>
    <w:qFormat/>
    <w:rsid w:val="00726A5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26A5E"/>
    <w:pPr>
      <w:suppressLineNumbers/>
    </w:pPr>
    <w:rPr>
      <w:rFonts w:cs="Mangal"/>
    </w:rPr>
  </w:style>
  <w:style w:type="paragraph" w:customStyle="1" w:styleId="Corptext31">
    <w:name w:val="Corp text 31"/>
    <w:basedOn w:val="Normal"/>
    <w:rsid w:val="00726A5E"/>
    <w:pPr>
      <w:autoSpaceDE w:val="0"/>
      <w:jc w:val="both"/>
    </w:pPr>
    <w:rPr>
      <w:sz w:val="20"/>
    </w:rPr>
  </w:style>
  <w:style w:type="paragraph" w:styleId="Header">
    <w:name w:val="header"/>
    <w:basedOn w:val="Normal"/>
    <w:rsid w:val="00726A5E"/>
    <w:pPr>
      <w:tabs>
        <w:tab w:val="center" w:pos="4153"/>
        <w:tab w:val="right" w:pos="8306"/>
      </w:tabs>
    </w:pPr>
    <w:rPr>
      <w:rFonts w:ascii="RimTimes" w:hAnsi="RimTimes" w:cs="RimTimes"/>
      <w:sz w:val="28"/>
      <w:szCs w:val="20"/>
      <w:lang w:val="lv-LV"/>
    </w:rPr>
  </w:style>
  <w:style w:type="paragraph" w:styleId="NormalWeb">
    <w:name w:val="Normal (Web)"/>
    <w:basedOn w:val="Normal"/>
    <w:rsid w:val="00726A5E"/>
    <w:pPr>
      <w:spacing w:before="280" w:after="280"/>
    </w:pPr>
    <w:rPr>
      <w:lang w:val="en-US"/>
    </w:rPr>
  </w:style>
  <w:style w:type="paragraph" w:customStyle="1" w:styleId="CaracterCaracterCharCharCaracterCaracter">
    <w:name w:val="Caracter Caracter Char Char Caracter Caracter"/>
    <w:basedOn w:val="Normal"/>
    <w:rsid w:val="00726A5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TextnBalon1">
    <w:name w:val="Text în Balon1"/>
    <w:basedOn w:val="Normal"/>
    <w:rsid w:val="00726A5E"/>
    <w:rPr>
      <w:rFonts w:ascii="Tahoma" w:hAnsi="Tahoma" w:cs="Tahoma"/>
      <w:sz w:val="16"/>
      <w:szCs w:val="16"/>
    </w:rPr>
  </w:style>
  <w:style w:type="paragraph" w:customStyle="1" w:styleId="Char2">
    <w:name w:val="Char2"/>
    <w:basedOn w:val="Normal"/>
    <w:rsid w:val="00726A5E"/>
    <w:rPr>
      <w:lang w:val="pl-PL"/>
    </w:rPr>
  </w:style>
  <w:style w:type="paragraph" w:customStyle="1" w:styleId="CaracterCaracter">
    <w:name w:val="Caracter Caracter"/>
    <w:basedOn w:val="Normal"/>
    <w:rsid w:val="00726A5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PreformatatHTML1">
    <w:name w:val="Preformatat HTML1"/>
    <w:basedOn w:val="Normal"/>
    <w:rsid w:val="00726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726A5E"/>
    <w:pPr>
      <w:suppressAutoHyphens/>
      <w:autoSpaceDE w:val="0"/>
    </w:pPr>
    <w:rPr>
      <w:color w:val="000000"/>
      <w:sz w:val="24"/>
      <w:szCs w:val="24"/>
      <w:lang w:val="en-US" w:eastAsia="zh-CN"/>
    </w:rPr>
  </w:style>
  <w:style w:type="paragraph" w:customStyle="1" w:styleId="CommentText1">
    <w:name w:val="Comment Text1"/>
    <w:basedOn w:val="Normal"/>
    <w:rsid w:val="00726A5E"/>
    <w:rPr>
      <w:sz w:val="20"/>
      <w:szCs w:val="20"/>
    </w:rPr>
  </w:style>
  <w:style w:type="paragraph" w:styleId="BodyTextIndent">
    <w:name w:val="Body Text Indent"/>
    <w:basedOn w:val="Normal"/>
    <w:rsid w:val="00726A5E"/>
    <w:pPr>
      <w:spacing w:after="120"/>
      <w:ind w:left="283"/>
    </w:pPr>
  </w:style>
  <w:style w:type="paragraph" w:styleId="FootnoteText">
    <w:name w:val="footnote text"/>
    <w:basedOn w:val="Normal"/>
    <w:rsid w:val="00726A5E"/>
    <w:rPr>
      <w:sz w:val="20"/>
      <w:szCs w:val="20"/>
      <w:lang w:val="en-US"/>
    </w:rPr>
  </w:style>
  <w:style w:type="paragraph" w:styleId="Footer">
    <w:name w:val="footer"/>
    <w:basedOn w:val="Normal"/>
    <w:link w:val="FooterChar"/>
    <w:rsid w:val="00726A5E"/>
    <w:pPr>
      <w:tabs>
        <w:tab w:val="center" w:pos="4320"/>
        <w:tab w:val="right" w:pos="8640"/>
      </w:tabs>
    </w:pPr>
  </w:style>
  <w:style w:type="paragraph" w:customStyle="1" w:styleId="CommentSubject1">
    <w:name w:val="Comment Subject1"/>
    <w:basedOn w:val="CommentText1"/>
    <w:next w:val="CommentText1"/>
    <w:rsid w:val="00726A5E"/>
    <w:rPr>
      <w:b/>
      <w:bCs/>
    </w:rPr>
  </w:style>
  <w:style w:type="paragraph" w:customStyle="1" w:styleId="CM1">
    <w:name w:val="CM1"/>
    <w:basedOn w:val="Default"/>
    <w:next w:val="Default"/>
    <w:uiPriority w:val="99"/>
    <w:rsid w:val="00726A5E"/>
    <w:rPr>
      <w:rFonts w:ascii="EUAlbertina" w:hAnsi="EUAlbertina" w:cs="EUAlbertina"/>
      <w:color w:val="auto"/>
    </w:rPr>
  </w:style>
  <w:style w:type="paragraph" w:customStyle="1" w:styleId="CM3">
    <w:name w:val="CM3"/>
    <w:basedOn w:val="Default"/>
    <w:next w:val="Default"/>
    <w:uiPriority w:val="99"/>
    <w:rsid w:val="00726A5E"/>
    <w:rPr>
      <w:rFonts w:ascii="EUAlbertina" w:hAnsi="EUAlbertina" w:cs="EUAlbertina"/>
      <w:color w:val="auto"/>
    </w:rPr>
  </w:style>
  <w:style w:type="paragraph" w:customStyle="1" w:styleId="DefaultParagraphFontParaChar">
    <w:name w:val="Default Paragraph Font Para Char"/>
    <w:basedOn w:val="Normal"/>
    <w:rsid w:val="00726A5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ManualConsidrant">
    <w:name w:val="Manual Considérant"/>
    <w:basedOn w:val="Normal"/>
    <w:rsid w:val="00726A5E"/>
    <w:pPr>
      <w:spacing w:before="120" w:after="120" w:line="360" w:lineRule="auto"/>
      <w:ind w:left="850" w:hanging="850"/>
    </w:pPr>
  </w:style>
  <w:style w:type="paragraph" w:customStyle="1" w:styleId="TableContents">
    <w:name w:val="Table Contents"/>
    <w:basedOn w:val="Normal"/>
    <w:rsid w:val="00726A5E"/>
    <w:pPr>
      <w:suppressLineNumbers/>
    </w:pPr>
  </w:style>
  <w:style w:type="paragraph" w:customStyle="1" w:styleId="TableHeading">
    <w:name w:val="Table Heading"/>
    <w:basedOn w:val="TableContents"/>
    <w:rsid w:val="00726A5E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726A5E"/>
  </w:style>
  <w:style w:type="paragraph" w:styleId="BalloonText">
    <w:name w:val="Balloon Text"/>
    <w:basedOn w:val="Normal"/>
    <w:link w:val="BalloonTextChar"/>
    <w:uiPriority w:val="99"/>
    <w:semiHidden/>
    <w:unhideWhenUsed/>
    <w:rsid w:val="00E95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FB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F5B35"/>
    <w:pPr>
      <w:ind w:left="720"/>
      <w:contextualSpacing/>
    </w:pPr>
  </w:style>
  <w:style w:type="character" w:customStyle="1" w:styleId="ln2articol1">
    <w:name w:val="ln2articol1"/>
    <w:basedOn w:val="DefaultParagraphFont"/>
    <w:rsid w:val="00F94A0E"/>
    <w:rPr>
      <w:b/>
      <w:bCs/>
      <w:color w:val="0000AF"/>
    </w:rPr>
  </w:style>
  <w:style w:type="paragraph" w:customStyle="1" w:styleId="Normal1">
    <w:name w:val="Normal1"/>
    <w:basedOn w:val="Normal"/>
    <w:rsid w:val="00C84014"/>
    <w:pPr>
      <w:suppressAutoHyphens w:val="0"/>
      <w:spacing w:before="120"/>
      <w:jc w:val="both"/>
    </w:pPr>
    <w:rPr>
      <w:lang w:val="en-US" w:eastAsia="en-US"/>
    </w:rPr>
  </w:style>
  <w:style w:type="character" w:customStyle="1" w:styleId="italic">
    <w:name w:val="italic"/>
    <w:basedOn w:val="DefaultParagraphFont"/>
    <w:rsid w:val="00C84014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D718F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718F4"/>
    <w:pPr>
      <w:suppressAutoHyphens w:val="0"/>
    </w:pPr>
    <w:rPr>
      <w:sz w:val="20"/>
      <w:szCs w:val="20"/>
      <w:lang w:eastAsia="ro-RO"/>
    </w:rPr>
  </w:style>
  <w:style w:type="character" w:customStyle="1" w:styleId="CommentTextChar1">
    <w:name w:val="Comment Text Char1"/>
    <w:basedOn w:val="DefaultParagraphFont"/>
    <w:uiPriority w:val="99"/>
    <w:semiHidden/>
    <w:rsid w:val="00D718F4"/>
    <w:rPr>
      <w:lang w:eastAsia="zh-CN"/>
    </w:rPr>
  </w:style>
  <w:style w:type="paragraph" w:customStyle="1" w:styleId="Art">
    <w:name w:val="Art"/>
    <w:basedOn w:val="Normal"/>
    <w:autoRedefine/>
    <w:qFormat/>
    <w:rsid w:val="002812EF"/>
    <w:pPr>
      <w:shd w:val="clear" w:color="000000" w:fill="auto"/>
      <w:suppressAutoHyphens w:val="0"/>
      <w:spacing w:before="120" w:after="120"/>
      <w:ind w:firstLine="720"/>
      <w:jc w:val="both"/>
    </w:pPr>
    <w:rPr>
      <w:rFonts w:eastAsia="SimSun"/>
      <w:iCs/>
      <w:lang w:eastAsia="en-US"/>
    </w:rPr>
  </w:style>
  <w:style w:type="paragraph" w:customStyle="1" w:styleId="Alin">
    <w:name w:val="Alin"/>
    <w:basedOn w:val="Normal"/>
    <w:qFormat/>
    <w:rsid w:val="00C3316B"/>
    <w:pPr>
      <w:numPr>
        <w:ilvl w:val="6"/>
        <w:numId w:val="10"/>
      </w:numPr>
      <w:suppressAutoHyphens w:val="0"/>
      <w:spacing w:before="120" w:after="120" w:line="360" w:lineRule="auto"/>
      <w:jc w:val="both"/>
    </w:pPr>
    <w:rPr>
      <w:rFonts w:eastAsia="SimSun"/>
      <w:bCs/>
    </w:rPr>
  </w:style>
  <w:style w:type="paragraph" w:customStyle="1" w:styleId="Enumerare">
    <w:name w:val="Enumerare"/>
    <w:basedOn w:val="Normal"/>
    <w:autoRedefine/>
    <w:qFormat/>
    <w:rsid w:val="00C3316B"/>
    <w:pPr>
      <w:numPr>
        <w:ilvl w:val="7"/>
        <w:numId w:val="10"/>
      </w:numPr>
      <w:suppressAutoHyphens w:val="0"/>
      <w:spacing w:before="120" w:after="120" w:line="360" w:lineRule="auto"/>
      <w:jc w:val="both"/>
    </w:pPr>
    <w:rPr>
      <w:rFonts w:eastAsia="SimSun"/>
      <w:bCs/>
      <w:lang w:val="en-US"/>
    </w:rPr>
  </w:style>
  <w:style w:type="paragraph" w:customStyle="1" w:styleId="EnumerareLvl2">
    <w:name w:val="EnumerareLvl2"/>
    <w:basedOn w:val="Enumerare"/>
    <w:autoRedefine/>
    <w:qFormat/>
    <w:rsid w:val="00C3316B"/>
    <w:pPr>
      <w:numPr>
        <w:ilvl w:val="8"/>
      </w:numPr>
    </w:pPr>
  </w:style>
  <w:style w:type="paragraph" w:customStyle="1" w:styleId="c01pointnumerotealtn">
    <w:name w:val="c01pointnumerotealtn"/>
    <w:basedOn w:val="Normal"/>
    <w:rsid w:val="00892018"/>
    <w:pPr>
      <w:suppressAutoHyphens w:val="0"/>
      <w:spacing w:before="100" w:beforeAutospacing="1" w:after="240"/>
      <w:ind w:left="567" w:hanging="539"/>
      <w:jc w:val="both"/>
    </w:pPr>
    <w:rPr>
      <w:lang w:val="en-US" w:eastAsia="en-US"/>
    </w:rPr>
  </w:style>
  <w:style w:type="paragraph" w:customStyle="1" w:styleId="c02alineaalta">
    <w:name w:val="c02alineaalta"/>
    <w:basedOn w:val="Normal"/>
    <w:rsid w:val="004A32E6"/>
    <w:pPr>
      <w:suppressAutoHyphens w:val="0"/>
      <w:spacing w:after="240"/>
      <w:ind w:left="567"/>
      <w:jc w:val="both"/>
    </w:pPr>
    <w:rPr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390BB9"/>
    <w:rPr>
      <w:vertAlign w:val="superscript"/>
    </w:rPr>
  </w:style>
  <w:style w:type="paragraph" w:customStyle="1" w:styleId="CM4">
    <w:name w:val="CM4"/>
    <w:basedOn w:val="Default"/>
    <w:next w:val="Default"/>
    <w:uiPriority w:val="99"/>
    <w:rsid w:val="00C805C0"/>
    <w:pPr>
      <w:suppressAutoHyphens w:val="0"/>
      <w:autoSpaceDN w:val="0"/>
      <w:adjustRightInd w:val="0"/>
    </w:pPr>
    <w:rPr>
      <w:rFonts w:ascii="EUAlbertina" w:hAnsi="EUAlbertina"/>
      <w:color w:val="auto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FB6"/>
    <w:pPr>
      <w:suppressAutoHyphens/>
    </w:pPr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FB6"/>
    <w:rPr>
      <w:b/>
      <w:bCs/>
      <w:lang w:eastAsia="zh-CN"/>
    </w:rPr>
  </w:style>
  <w:style w:type="paragraph" w:customStyle="1" w:styleId="CM11">
    <w:name w:val="CM1+1"/>
    <w:basedOn w:val="Default"/>
    <w:next w:val="Default"/>
    <w:uiPriority w:val="99"/>
    <w:rsid w:val="00132DC0"/>
    <w:pPr>
      <w:suppressAutoHyphens w:val="0"/>
      <w:autoSpaceDN w:val="0"/>
      <w:adjustRightInd w:val="0"/>
    </w:pPr>
    <w:rPr>
      <w:rFonts w:ascii="EUAlbertina" w:hAnsi="EUAlbertina"/>
      <w:color w:val="auto"/>
      <w:lang w:val="ro-RO" w:eastAsia="ro-RO"/>
    </w:rPr>
  </w:style>
  <w:style w:type="paragraph" w:customStyle="1" w:styleId="CM31">
    <w:name w:val="CM3+1"/>
    <w:basedOn w:val="Default"/>
    <w:next w:val="Default"/>
    <w:uiPriority w:val="99"/>
    <w:rsid w:val="00132DC0"/>
    <w:pPr>
      <w:suppressAutoHyphens w:val="0"/>
      <w:autoSpaceDN w:val="0"/>
      <w:adjustRightInd w:val="0"/>
    </w:pPr>
    <w:rPr>
      <w:rFonts w:ascii="EUAlbertina" w:hAnsi="EUAlbertina"/>
      <w:color w:val="auto"/>
      <w:lang w:val="ro-RO" w:eastAsia="ro-RO"/>
    </w:rPr>
  </w:style>
  <w:style w:type="paragraph" w:styleId="Revision">
    <w:name w:val="Revision"/>
    <w:hidden/>
    <w:uiPriority w:val="99"/>
    <w:semiHidden/>
    <w:rsid w:val="00913578"/>
    <w:rPr>
      <w:sz w:val="24"/>
      <w:szCs w:val="24"/>
      <w:lang w:eastAsia="zh-CN"/>
    </w:rPr>
  </w:style>
  <w:style w:type="paragraph" w:styleId="PlainText">
    <w:name w:val="Plain Text"/>
    <w:basedOn w:val="Normal"/>
    <w:link w:val="PlainTextChar"/>
    <w:qFormat/>
    <w:rsid w:val="004F011E"/>
    <w:pPr>
      <w:suppressAutoHyphens w:val="0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qFormat/>
    <w:rsid w:val="004F011E"/>
    <w:rPr>
      <w:rFonts w:ascii="Consolas" w:hAnsi="Consolas" w:cs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rsid w:val="000046D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3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4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JavaScript:ln2Go2lnkX('MTUyNjUwOA==','art1000000');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E934-CD60-42FE-81C2-3341963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9692</Words>
  <Characters>55246</Characters>
  <Application>Microsoft Office Word</Application>
  <DocSecurity>0</DocSecurity>
  <Lines>460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nota_fundamentare_OUG_de_modif_OUG_93_2012_ASF</vt:lpstr>
      <vt:lpstr>nota_fundamentare_OUG_de_modif_OUG_93_2012_ASF</vt:lpstr>
    </vt:vector>
  </TitlesOfParts>
  <Company>Comisia Nationala A Valorilor Mobiliare</Company>
  <LinksUpToDate>false</LinksUpToDate>
  <CharactersWithSpaces>64809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nota_fundamentare_OUG_de_modif_OUG_93_2012_ASF</dc:title>
  <dc:subject>nota_fundamentare_OUG_de_modif_OUG_93_2012_ASF</dc:subject>
  <dc:creator>user17</dc:creator>
  <cp:keywords>nota_fundamentare_OUG_de_modif_OUG_93_2012_ASF</cp:keywords>
  <cp:lastModifiedBy>MFP</cp:lastModifiedBy>
  <cp:revision>2</cp:revision>
  <cp:lastPrinted>2015-03-25T09:58:00Z</cp:lastPrinted>
  <dcterms:created xsi:type="dcterms:W3CDTF">2021-01-18T14:10:00Z</dcterms:created>
  <dcterms:modified xsi:type="dcterms:W3CDTF">2021-01-18T14:10:00Z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854e4d-cbd9-4add-afce-3efecf8cc4fb_Enabled">
    <vt:lpwstr>True</vt:lpwstr>
  </property>
  <property fmtid="{D5CDD505-2E9C-101B-9397-08002B2CF9AE}" pid="3" name="MSIP_Label_d4854e4d-cbd9-4add-afce-3efecf8cc4fb_SiteId">
    <vt:lpwstr>c4f8f904-47e9-4e03-8a3a-90619d4a24a0</vt:lpwstr>
  </property>
  <property fmtid="{D5CDD505-2E9C-101B-9397-08002B2CF9AE}" pid="4" name="MSIP_Label_d4854e4d-cbd9-4add-afce-3efecf8cc4fb_Owner">
    <vt:lpwstr>Petruta.Istrate@bnr.ro</vt:lpwstr>
  </property>
  <property fmtid="{D5CDD505-2E9C-101B-9397-08002B2CF9AE}" pid="5" name="MSIP_Label_d4854e4d-cbd9-4add-afce-3efecf8cc4fb_SetDate">
    <vt:lpwstr>2020-09-01T13:11:47.5440331Z</vt:lpwstr>
  </property>
  <property fmtid="{D5CDD505-2E9C-101B-9397-08002B2CF9AE}" pid="6" name="MSIP_Label_d4854e4d-cbd9-4add-afce-3efecf8cc4fb_Name">
    <vt:lpwstr>Extern</vt:lpwstr>
  </property>
  <property fmtid="{D5CDD505-2E9C-101B-9397-08002B2CF9AE}" pid="7" name="MSIP_Label_d4854e4d-cbd9-4add-afce-3efecf8cc4fb_Application">
    <vt:lpwstr>Microsoft Azure Information Protection</vt:lpwstr>
  </property>
  <property fmtid="{D5CDD505-2E9C-101B-9397-08002B2CF9AE}" pid="8" name="MSIP_Label_d4854e4d-cbd9-4add-afce-3efecf8cc4fb_ActionId">
    <vt:lpwstr>06c67d75-e657-48a6-9bdc-cd86b1b215f9</vt:lpwstr>
  </property>
  <property fmtid="{D5CDD505-2E9C-101B-9397-08002B2CF9AE}" pid="9" name="MSIP_Label_d4854e4d-cbd9-4add-afce-3efecf8cc4fb_Extended_MSFT_Method">
    <vt:lpwstr>Manual</vt:lpwstr>
  </property>
  <property fmtid="{D5CDD505-2E9C-101B-9397-08002B2CF9AE}" pid="10" name="Sensitivity">
    <vt:lpwstr>Extern</vt:lpwstr>
  </property>
</Properties>
</file>