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AE29B5" w14:textId="77777777" w:rsidR="00726A5E" w:rsidRPr="00963293" w:rsidRDefault="00726A5E">
      <w:pPr>
        <w:jc w:val="center"/>
        <w:rPr>
          <w:b/>
          <w:caps/>
          <w:lang w:val="en-US"/>
        </w:rPr>
      </w:pPr>
    </w:p>
    <w:p w14:paraId="7382EAE1" w14:textId="77777777" w:rsidR="00726A5E" w:rsidRPr="00A62DCE" w:rsidRDefault="00726A5E">
      <w:pPr>
        <w:jc w:val="center"/>
        <w:rPr>
          <w:b/>
          <w:caps/>
        </w:rPr>
      </w:pPr>
    </w:p>
    <w:p w14:paraId="0079A9AF" w14:textId="77777777" w:rsidR="00726A5E" w:rsidRPr="00A62DCE" w:rsidRDefault="00726A5E">
      <w:pPr>
        <w:jc w:val="center"/>
        <w:rPr>
          <w:b/>
          <w:caps/>
        </w:rPr>
      </w:pPr>
    </w:p>
    <w:p w14:paraId="566F606F" w14:textId="77777777" w:rsidR="006144C1" w:rsidRPr="00A62DCE" w:rsidRDefault="00B34CF3">
      <w:pPr>
        <w:jc w:val="center"/>
        <w:rPr>
          <w:b/>
        </w:rPr>
      </w:pPr>
      <w:r w:rsidRPr="00A62DCE">
        <w:rPr>
          <w:b/>
          <w:caps/>
        </w:rPr>
        <w:t>EXPUNERE DE MOTIVE</w:t>
      </w:r>
    </w:p>
    <w:p w14:paraId="09D37592" w14:textId="77777777" w:rsidR="00726A5E" w:rsidRPr="00A62DCE" w:rsidRDefault="00726A5E">
      <w:pPr>
        <w:rPr>
          <w:b/>
        </w:rPr>
      </w:pPr>
    </w:p>
    <w:tbl>
      <w:tblPr>
        <w:tblpPr w:leftFromText="180" w:rightFromText="180" w:vertAnchor="text" w:tblpY="1"/>
        <w:tblOverlap w:val="never"/>
        <w:tblW w:w="0" w:type="auto"/>
        <w:tblLayout w:type="fixed"/>
        <w:tblLook w:val="0000" w:firstRow="0" w:lastRow="0" w:firstColumn="0" w:lastColumn="0" w:noHBand="0" w:noVBand="0"/>
      </w:tblPr>
      <w:tblGrid>
        <w:gridCol w:w="3481"/>
        <w:gridCol w:w="1440"/>
        <w:gridCol w:w="914"/>
        <w:gridCol w:w="1174"/>
        <w:gridCol w:w="972"/>
        <w:gridCol w:w="1080"/>
        <w:gridCol w:w="862"/>
      </w:tblGrid>
      <w:tr w:rsidR="00726A5E" w:rsidRPr="00A62DCE" w14:paraId="79D09419"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1052088E" w14:textId="77777777" w:rsidR="00726A5E" w:rsidRPr="00A62DCE" w:rsidRDefault="006E46D0" w:rsidP="002E54DB">
            <w:pPr>
              <w:jc w:val="center"/>
              <w:rPr>
                <w:b/>
              </w:rPr>
            </w:pPr>
            <w:r w:rsidRPr="00A62DCE">
              <w:rPr>
                <w:b/>
              </w:rPr>
              <w:t>Secțiunea</w:t>
            </w:r>
            <w:r w:rsidR="00B34CF3" w:rsidRPr="00A62DCE">
              <w:rPr>
                <w:b/>
              </w:rPr>
              <w:t xml:space="preserve"> 1</w:t>
            </w:r>
          </w:p>
          <w:p w14:paraId="361EF100" w14:textId="77777777" w:rsidR="00726A5E" w:rsidRPr="00A62DCE" w:rsidRDefault="00B34CF3" w:rsidP="002E54DB">
            <w:pPr>
              <w:jc w:val="center"/>
              <w:rPr>
                <w:b/>
              </w:rPr>
            </w:pPr>
            <w:r w:rsidRPr="00A62DCE">
              <w:rPr>
                <w:b/>
              </w:rPr>
              <w:t xml:space="preserve">Titlul actului normativ </w:t>
            </w:r>
          </w:p>
          <w:p w14:paraId="1C414728" w14:textId="77777777" w:rsidR="00726A5E" w:rsidRDefault="006E46D0" w:rsidP="002E54DB">
            <w:pPr>
              <w:jc w:val="center"/>
              <w:rPr>
                <w:b/>
              </w:rPr>
            </w:pPr>
            <w:r w:rsidRPr="00A62DCE">
              <w:rPr>
                <w:b/>
              </w:rPr>
              <w:t>Lege pentru modificarea şi completarea Ordonanței de urgență a Guvernului nr. 99/2006 privind instituțiile de credit şi adecvarea capitalului</w:t>
            </w:r>
          </w:p>
          <w:p w14:paraId="5C10566E" w14:textId="1AF3F66C" w:rsidR="00FF6A5F" w:rsidRPr="00A62DCE" w:rsidRDefault="00FF6A5F" w:rsidP="002E54DB">
            <w:pPr>
              <w:jc w:val="center"/>
              <w:rPr>
                <w:b/>
              </w:rPr>
            </w:pPr>
          </w:p>
        </w:tc>
      </w:tr>
      <w:tr w:rsidR="00726A5E" w:rsidRPr="00A62DCE" w14:paraId="25E64729"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51CE70A0" w14:textId="77777777" w:rsidR="00726A5E" w:rsidRPr="00A62DCE" w:rsidRDefault="006E46D0" w:rsidP="002E54DB">
            <w:pPr>
              <w:jc w:val="center"/>
              <w:rPr>
                <w:b/>
              </w:rPr>
            </w:pPr>
            <w:r w:rsidRPr="00A62DCE">
              <w:rPr>
                <w:b/>
              </w:rPr>
              <w:t>Secțiunea</w:t>
            </w:r>
            <w:r w:rsidR="00B34CF3" w:rsidRPr="00A62DCE">
              <w:rPr>
                <w:b/>
              </w:rPr>
              <w:t xml:space="preserve"> a 2-a</w:t>
            </w:r>
          </w:p>
          <w:p w14:paraId="77C3998A" w14:textId="77777777" w:rsidR="00726A5E" w:rsidRPr="00A62DCE" w:rsidRDefault="00B34CF3" w:rsidP="008F6A1B">
            <w:pPr>
              <w:rPr>
                <w:b/>
              </w:rPr>
            </w:pPr>
            <w:r w:rsidRPr="00A62DCE">
              <w:rPr>
                <w:b/>
              </w:rPr>
              <w:t>Motivul emiterii actului normativ</w:t>
            </w:r>
            <w:r w:rsidR="008F6A1B" w:rsidRPr="00A62DCE">
              <w:rPr>
                <w:b/>
              </w:rPr>
              <w:t xml:space="preserve"> </w:t>
            </w:r>
          </w:p>
        </w:tc>
      </w:tr>
      <w:tr w:rsidR="00726A5E" w:rsidRPr="00A62DCE" w14:paraId="628B834D" w14:textId="77777777" w:rsidTr="002E54DB">
        <w:trPr>
          <w:trHeight w:val="70"/>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0E44A579" w14:textId="77777777" w:rsidR="006E46D0" w:rsidRPr="00A62DCE" w:rsidRDefault="00B34CF3" w:rsidP="007B2DD6">
            <w:pPr>
              <w:jc w:val="both"/>
              <w:rPr>
                <w:b/>
              </w:rPr>
            </w:pPr>
            <w:r w:rsidRPr="00A62DCE">
              <w:rPr>
                <w:b/>
              </w:rPr>
              <w:t>1. Descrierea situaţiei actuale</w:t>
            </w:r>
          </w:p>
          <w:p w14:paraId="7A8CC18F" w14:textId="77777777" w:rsidR="00323D78" w:rsidRPr="00A62DCE" w:rsidRDefault="00323D78" w:rsidP="007B2DD6">
            <w:pPr>
              <w:jc w:val="both"/>
            </w:pPr>
            <w:r w:rsidRPr="00A62DCE">
              <w:t>În România cadrul legislativ primar care reglementează accesul la activitate și activitatea instituțiilor de credit, precum și supravegherea prudențială a acestora de către Banca Națională a României este reprezentat de Ordonanța de urgență a Guvernului nr. 99/2006 privind instituțiile de credit și adecvarea capitalului, aprobată cu modificări și completări de Legea nr. 227/2007, cu modificările şi completările ulterioare (O.U.G. nr. 99/2006). O.U.G. nr. 99/2006 asigură transpunerea în dreptul intern a prevederilor Directivei</w:t>
            </w:r>
            <w:r w:rsidR="004521A1" w:rsidRPr="00A62DCE">
              <w:t xml:space="preserve"> nr. </w:t>
            </w:r>
            <w:r w:rsidRPr="00A62DCE">
              <w:t>2013/36/UE a Parlamentului European și a Consiliului din 26 iunie 2013 cu privire la accesul la activitatea instituțiilor de credit și supravegherea prudențială a instituțiilor de credit și a firmelor de investiții, de modificare a Directivei 2002/87/CE și de abrogare a Directivelor 2006/48/CE și 2006/49/CE</w:t>
            </w:r>
            <w:r w:rsidR="004521A1" w:rsidRPr="00A62DCE">
              <w:t>.</w:t>
            </w:r>
          </w:p>
          <w:p w14:paraId="04EA8A68" w14:textId="77777777" w:rsidR="00EC363C" w:rsidRPr="00A62DCE" w:rsidRDefault="00EC363C" w:rsidP="007B2DD6">
            <w:pPr>
              <w:jc w:val="both"/>
            </w:pPr>
            <w:r w:rsidRPr="00A62DCE">
              <w:t>Ca răspuns la criza financiară din 2007-2008, Uniunea European</w:t>
            </w:r>
            <w:r w:rsidR="00447A95" w:rsidRPr="00A62DCE">
              <w:t>ă</w:t>
            </w:r>
            <w:r w:rsidRPr="00A62DCE">
              <w:t xml:space="preserve"> a pus în aplicare o reformă substanțială a cadrului de reglementa</w:t>
            </w:r>
            <w:r w:rsidR="005A47C4" w:rsidRPr="00A62DCE">
              <w:t>re a serviciilor financiare. Printre numeroase alt</w:t>
            </w:r>
            <w:r w:rsidR="00D42D4A" w:rsidRPr="00A62DCE">
              <w:t>e măsuri, pachetul de reformă</w:t>
            </w:r>
            <w:r w:rsidR="005A47C4" w:rsidRPr="00A62DCE">
              <w:t xml:space="preserve"> a inclus adoptarea </w:t>
            </w:r>
            <w:r w:rsidRPr="00A62DCE">
              <w:t>Directivei</w:t>
            </w:r>
            <w:r w:rsidR="00447A95" w:rsidRPr="00A62DCE">
              <w:t xml:space="preserve"> </w:t>
            </w:r>
            <w:r w:rsidR="004521A1" w:rsidRPr="00A62DCE">
              <w:t xml:space="preserve">nr. </w:t>
            </w:r>
            <w:r w:rsidR="00713E4F" w:rsidRPr="00A62DCE">
              <w:t xml:space="preserve">2013/36/UE și </w:t>
            </w:r>
            <w:r w:rsidRPr="00A62DCE">
              <w:t xml:space="preserve">a </w:t>
            </w:r>
            <w:r w:rsidR="00713E4F" w:rsidRPr="00A62DCE">
              <w:t>Regulamentul</w:t>
            </w:r>
            <w:r w:rsidRPr="00A62DCE">
              <w:t>ui</w:t>
            </w:r>
            <w:r w:rsidR="00713E4F" w:rsidRPr="00A62DCE">
              <w:t xml:space="preserve"> (UE) nr. 575/2013 al Parlamentul</w:t>
            </w:r>
            <w:r w:rsidR="00323D78" w:rsidRPr="00A62DCE">
              <w:t>ui European și al Consiliului privind cerințele prudențiale pentru instituțiile de credit și societățile de investiții și de modificare a Regulamentului (UE) nr. 648/2012</w:t>
            </w:r>
            <w:r w:rsidR="005A47C4" w:rsidRPr="00A62DCE">
              <w:t>, care au consolidat cerințele prudențiale pentru instituțiile de credit și firmele de investiții (instituțiile)</w:t>
            </w:r>
            <w:r w:rsidR="00D42D4A" w:rsidRPr="00A62DCE">
              <w:t>.</w:t>
            </w:r>
          </w:p>
          <w:p w14:paraId="34CC6A36" w14:textId="77777777" w:rsidR="005A47C4" w:rsidRPr="00A62DCE" w:rsidRDefault="005A47C4" w:rsidP="007B2DD6">
            <w:pPr>
              <w:jc w:val="both"/>
            </w:pPr>
            <w:r w:rsidRPr="00A62DCE">
              <w:t>Această reformă s-a bazat în mare măsură pe standardele de la nivel internațional convenite în 2010 de Comitetul de la Basel pentru supraveghere bancară (BCBS), cunoscute sub denumirea de cadrul Basel III.</w:t>
            </w:r>
          </w:p>
          <w:p w14:paraId="21135676" w14:textId="77777777" w:rsidR="00EC363C" w:rsidRPr="00A62DCE" w:rsidRDefault="00EC363C" w:rsidP="007B2DD6">
            <w:pPr>
              <w:jc w:val="both"/>
            </w:pPr>
            <w:r w:rsidRPr="00A62DCE">
              <w:t>Reforma a consolidat stabilitatea sistemului financiar</w:t>
            </w:r>
            <w:r w:rsidR="00D42D4A" w:rsidRPr="00A62DCE">
              <w:t xml:space="preserve"> conferind instituțiilor</w:t>
            </w:r>
            <w:r w:rsidR="005A47C4" w:rsidRPr="00A62DCE">
              <w:t xml:space="preserve"> o mai mare reziliență la șocurile și crizele care ar putea apărea în viito</w:t>
            </w:r>
            <w:r w:rsidR="00D42D4A" w:rsidRPr="00A62DCE">
              <w:t>r. Cu toate acestea</w:t>
            </w:r>
            <w:r w:rsidR="00447A95" w:rsidRPr="00A62DCE">
              <w:t>,</w:t>
            </w:r>
            <w:r w:rsidR="00D42D4A" w:rsidRPr="00A62DCE">
              <w:t xml:space="preserve"> pachetul de reformă</w:t>
            </w:r>
            <w:r w:rsidRPr="00A62DCE">
              <w:t xml:space="preserve"> nu a abordat toate problemele identificate</w:t>
            </w:r>
            <w:r w:rsidR="00D42D4A" w:rsidRPr="00A62DCE">
              <w:t xml:space="preserve"> în legătură cu activitatea instituțiilor</w:t>
            </w:r>
            <w:r w:rsidR="001378B5" w:rsidRPr="00A62DCE">
              <w:t>.</w:t>
            </w:r>
          </w:p>
          <w:p w14:paraId="7DE8B339" w14:textId="77777777" w:rsidR="002E6B92" w:rsidRPr="00A62DCE" w:rsidRDefault="001378B5" w:rsidP="007B2DD6">
            <w:pPr>
              <w:jc w:val="both"/>
            </w:pPr>
            <w:r w:rsidRPr="00A62DCE">
              <w:t>Î</w:t>
            </w:r>
            <w:r w:rsidR="005A47C4" w:rsidRPr="00A62DCE">
              <w:t xml:space="preserve">n </w:t>
            </w:r>
            <w:r w:rsidRPr="00A62DCE">
              <w:t>vedere</w:t>
            </w:r>
            <w:r w:rsidR="00447A95" w:rsidRPr="00A62DCE">
              <w:t>a</w:t>
            </w:r>
            <w:r w:rsidRPr="00A62DCE">
              <w:t xml:space="preserve"> abo</w:t>
            </w:r>
            <w:r w:rsidR="00D42D4A" w:rsidRPr="00A62DCE">
              <w:t>rdării problemelor identificate și</w:t>
            </w:r>
            <w:r w:rsidR="00447A95" w:rsidRPr="00A62DCE">
              <w:t xml:space="preserve"> </w:t>
            </w:r>
            <w:r w:rsidRPr="00A62DCE">
              <w:t>pentru a consolida reziliența sistemului bancar european și încrede</w:t>
            </w:r>
            <w:r w:rsidR="00D42D4A" w:rsidRPr="00A62DCE">
              <w:t xml:space="preserve">rea piețelor în acest sistem, cât și </w:t>
            </w:r>
            <w:r w:rsidRPr="00A62DCE">
              <w:t>pentru a continua progresele înregistra</w:t>
            </w:r>
            <w:r w:rsidR="00447A95" w:rsidRPr="00A62DCE">
              <w:t>t</w:t>
            </w:r>
            <w:r w:rsidRPr="00A62DCE">
              <w:t xml:space="preserve">e în vederea finalizării Uniunii Bancare, </w:t>
            </w:r>
            <w:r w:rsidR="005A47C4" w:rsidRPr="00A62DCE">
              <w:t>Consiliul și Parlamentul European au adoptat și publicat î</w:t>
            </w:r>
            <w:r w:rsidR="004521A1" w:rsidRPr="00A62DCE">
              <w:t>n Jurnalul Oficial al Uniunii Europene din data de 7 iunie 2019 Directiva (UE) 2019</w:t>
            </w:r>
            <w:r w:rsidR="00F94B45" w:rsidRPr="00A62DCE">
              <w:t>/878</w:t>
            </w:r>
            <w:r w:rsidR="00447A95" w:rsidRPr="00A62DCE">
              <w:t xml:space="preserve"> </w:t>
            </w:r>
            <w:r w:rsidR="004521A1" w:rsidRPr="00A62DCE">
              <w:t>a Parlamentului European și a Consiliului din 20 mai 2019 de modificare a Directivei 2013/</w:t>
            </w:r>
            <w:r w:rsidR="00BB67F4" w:rsidRPr="00A62DCE">
              <w:t>36/</w:t>
            </w:r>
            <w:r w:rsidR="004521A1" w:rsidRPr="00A62DCE">
              <w:t>UE în ceea ce privește entitățile exceptate, societățile financiare holding, societățile financiare holding mixte, remunerarea, măsurile și competențele de supraveghere și măsuri</w:t>
            </w:r>
            <w:r w:rsidR="00313711" w:rsidRPr="00A62DCE">
              <w:t>le de conservare a capitalului</w:t>
            </w:r>
            <w:r w:rsidR="002E6B92" w:rsidRPr="00A62DCE">
              <w:t xml:space="preserve"> (CRD V) </w:t>
            </w:r>
            <w:r w:rsidR="00313711" w:rsidRPr="00A62DCE">
              <w:t>și</w:t>
            </w:r>
            <w:r w:rsidR="00447A95" w:rsidRPr="00A62DCE">
              <w:t xml:space="preserve"> </w:t>
            </w:r>
            <w:r w:rsidR="004521A1" w:rsidRPr="00A62DCE">
              <w:t>Regulamentul (UE) 2019</w:t>
            </w:r>
            <w:r w:rsidR="003713F4" w:rsidRPr="00A62DCE">
              <w:t>/876</w:t>
            </w:r>
            <w:r w:rsidR="004521A1" w:rsidRPr="00A62DCE">
              <w:t xml:space="preserve"> al Parlamentului European și al Consiliului din 20 mai 2019 de modificare a Regulamentului (UE) nr. 575/2013 în ceea ce privește indicatorul efectului de levier, indicatorul de finanțare stabilă netă, cerințele privind fondurile proprii și pasivele eligibile, riscul de credit al contrapărții, riscul de piață, expunerile față de contrapărți centrale, expunerile față de organisme de plasament colectiv, expunerile mari și cerințele referitoare la raportare și la publicarea informațiilor, și a Regulamentului (UE) nr. 648/2012</w:t>
            </w:r>
            <w:r w:rsidR="002E6B92" w:rsidRPr="00A62DCE">
              <w:t xml:space="preserve"> (CRR II)</w:t>
            </w:r>
            <w:r w:rsidR="00447A95" w:rsidRPr="00A62DCE">
              <w:t>,</w:t>
            </w:r>
            <w:r w:rsidR="002E6B92" w:rsidRPr="00A62DCE">
              <w:t xml:space="preserve"> care fac parte din pachetul legislativ RRM (risk reduction measures).</w:t>
            </w:r>
          </w:p>
          <w:p w14:paraId="6330810C" w14:textId="77777777" w:rsidR="004521A1" w:rsidRPr="00A62DCE" w:rsidRDefault="002E6B92" w:rsidP="007B2DD6">
            <w:pPr>
              <w:jc w:val="both"/>
            </w:pPr>
            <w:r w:rsidRPr="00A62DCE">
              <w:t xml:space="preserve">În ceea ce privește Directiva (UE) nr. 878/2019, statele membre au obligația de a adopta și publica actele normative necesare transpunerii </w:t>
            </w:r>
            <w:r w:rsidR="00D42D4A" w:rsidRPr="00A62DCE">
              <w:t>în legislația internă a acesteia</w:t>
            </w:r>
            <w:r w:rsidRPr="00A62DCE">
              <w:t xml:space="preserve"> până la data de </w:t>
            </w:r>
            <w:r w:rsidRPr="00A62DCE">
              <w:rPr>
                <w:b/>
              </w:rPr>
              <w:t>28 decembrie 2020</w:t>
            </w:r>
            <w:r w:rsidRPr="00A62DCE">
              <w:t xml:space="preserve">, </w:t>
            </w:r>
            <w:r w:rsidR="00BB67F4" w:rsidRPr="00A62DCE">
              <w:t xml:space="preserve">precum şi de a aplica actele respective începând </w:t>
            </w:r>
            <w:r w:rsidRPr="00A62DCE">
              <w:t>cu 29</w:t>
            </w:r>
            <w:r w:rsidR="000C50DB" w:rsidRPr="00A62DCE">
              <w:t xml:space="preserve"> decembrie 2020, în timp ce Regulamentul </w:t>
            </w:r>
            <w:r w:rsidR="000C50DB" w:rsidRPr="00A62DCE">
              <w:lastRenderedPageBreak/>
              <w:t>(UE) 2019</w:t>
            </w:r>
            <w:r w:rsidR="003713F4" w:rsidRPr="00A62DCE">
              <w:t>/876</w:t>
            </w:r>
            <w:r w:rsidR="000C50DB" w:rsidRPr="00A62DCE">
              <w:t xml:space="preserve"> este de directă aplicare începând cu data de </w:t>
            </w:r>
            <w:r w:rsidR="00BB67F4" w:rsidRPr="00A62DCE">
              <w:t xml:space="preserve">28 </w:t>
            </w:r>
            <w:r w:rsidR="000C50DB" w:rsidRPr="00A62DCE">
              <w:t>iunie 2021</w:t>
            </w:r>
            <w:r w:rsidR="00BB67F4" w:rsidRPr="00A62DCE">
              <w:t xml:space="preserve"> </w:t>
            </w:r>
            <w:r w:rsidR="002774E6" w:rsidRPr="00A62DCE">
              <w:t>(cu o serie de excepții prevăzute prin regulament).</w:t>
            </w:r>
          </w:p>
          <w:p w14:paraId="56D3A690" w14:textId="77777777" w:rsidR="004521A1" w:rsidRPr="00A62DCE" w:rsidRDefault="002774E6" w:rsidP="007B2DD6">
            <w:pPr>
              <w:jc w:val="both"/>
            </w:pPr>
            <w:r w:rsidRPr="00A62DCE">
              <w:t>Directiva (UE) nr. 878/2019 a fost adoptată cu scopul de a aborda anumite probleme ridicate cu privire la dispozițiile Directivei 36/2013/UE care s-au dovedit a nu fi suficient de clare și, ca atare, au făcut obiectul unor interpretări divergente la nivelul statelor membre, precum și pentru stabilirea unor dispoziții mai puțin împovărătoare pentru anumite categorii de instituții. Totodată, directiva conț</w:t>
            </w:r>
            <w:r w:rsidR="00C9071D" w:rsidRPr="00A62DCE">
              <w:t>ine o serie de modificări aduse</w:t>
            </w:r>
            <w:r w:rsidRPr="00A62DCE">
              <w:t xml:space="preserve"> Directivei 2013/</w:t>
            </w:r>
            <w:r w:rsidR="00F6688D" w:rsidRPr="00A62DCE">
              <w:t>36/</w:t>
            </w:r>
            <w:r w:rsidRPr="00A62DCE">
              <w:t xml:space="preserve">UE datorate adoptării altor acte juridice relevante ale Uniunii, </w:t>
            </w:r>
            <w:r w:rsidR="00447A95" w:rsidRPr="00A62DCE">
              <w:t>precum și</w:t>
            </w:r>
            <w:r w:rsidRPr="00A62DCE">
              <w:t xml:space="preserve"> </w:t>
            </w:r>
            <w:r w:rsidR="00737216" w:rsidRPr="00A62DCE">
              <w:t xml:space="preserve">ca urmare </w:t>
            </w:r>
            <w:r w:rsidRPr="00A62DCE">
              <w:t>a modificărilor propuse în paralel prin Regulamentul (UE) 2019</w:t>
            </w:r>
            <w:r w:rsidR="003713F4" w:rsidRPr="00A62DCE">
              <w:t>/876</w:t>
            </w:r>
            <w:r w:rsidRPr="00A62DCE">
              <w:t>, care modifică Regulamentului (UE) nr. 575/2013, cu privire la o serie de prevederi cu caracter tehnic în ceea ce privește indicatorul efectului de levier, indicatorul de finanțare stabilă netă, cerințele privind fondurile proprii și pasivele eligibile, riscul de credit al contrapărții, riscul de piață, expunerile față de contrapărți centrale, expunerile față de organisme de plasament colectiv, expunerile mari și cerințele referitoare la raportare și la publicarea informațiilor.</w:t>
            </w:r>
          </w:p>
          <w:p w14:paraId="10A9D029" w14:textId="77777777" w:rsidR="00737216" w:rsidRPr="00A62DCE" w:rsidRDefault="00737216" w:rsidP="007B2DD6">
            <w:pPr>
              <w:jc w:val="both"/>
            </w:pPr>
            <w:r w:rsidRPr="00A62DCE">
              <w:rPr>
                <w:color w:val="000000"/>
                <w:shd w:val="clear" w:color="auto" w:fill="FFFFFF"/>
              </w:rPr>
              <w:t>În mod similar transpunerii la nivel național a prevederilor Directivei 2013/</w:t>
            </w:r>
            <w:r w:rsidR="00F6688D" w:rsidRPr="00A62DCE">
              <w:rPr>
                <w:color w:val="000000"/>
                <w:shd w:val="clear" w:color="auto" w:fill="FFFFFF"/>
              </w:rPr>
              <w:t>36/</w:t>
            </w:r>
            <w:r w:rsidRPr="00A62DCE">
              <w:rPr>
                <w:color w:val="000000"/>
                <w:shd w:val="clear" w:color="auto" w:fill="FFFFFF"/>
              </w:rPr>
              <w:t>UE, prevederile</w:t>
            </w:r>
            <w:r w:rsidRPr="00A62DCE">
              <w:rPr>
                <w:bCs/>
                <w:iCs/>
              </w:rPr>
              <w:t xml:space="preserve"> Directivei (UE) nr. 878/2019 </w:t>
            </w:r>
            <w:r w:rsidRPr="00A62DCE">
              <w:rPr>
                <w:color w:val="000000"/>
                <w:shd w:val="clear" w:color="auto" w:fill="FFFFFF"/>
              </w:rPr>
              <w:t>vor fi transpuse la nivel național atât prin amendarea cadrului legislativ primar, pentru transpunerea acelor prevederi din directivă pentru care este necesară reglementarea subiectelor tratate la nivel de legislație primară, cât și a celui secundar, pentru prevederile cu caracter tehnic. </w:t>
            </w:r>
          </w:p>
          <w:p w14:paraId="5DA3734F" w14:textId="77777777" w:rsidR="00726A5E" w:rsidRPr="00A62DCE" w:rsidRDefault="002774E6" w:rsidP="007B2DD6">
            <w:pPr>
              <w:jc w:val="both"/>
            </w:pPr>
            <w:r w:rsidRPr="00A62DCE">
              <w:rPr>
                <w:lang w:eastAsia="ro-RO"/>
              </w:rPr>
              <w:t xml:space="preserve">În acest context, pentru a asigura transpunerea prevederilor Directivei </w:t>
            </w:r>
            <w:r w:rsidRPr="00A62DCE">
              <w:t>(UE) nr. 878/2019 la nivel de legislație primară</w:t>
            </w:r>
            <w:r w:rsidR="00EC363C" w:rsidRPr="00A62DCE">
              <w:t xml:space="preserve"> este necesară amendarea cadrului legal existent, reprezentat de O.U.G. nr. 99/2006.</w:t>
            </w:r>
          </w:p>
        </w:tc>
      </w:tr>
      <w:tr w:rsidR="00726A5E" w:rsidRPr="00A62DCE" w14:paraId="7C71E6A0" w14:textId="77777777" w:rsidTr="002E54DB">
        <w:trPr>
          <w:trHeight w:val="440"/>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1D390681" w14:textId="77777777" w:rsidR="00726A5E" w:rsidRPr="00A62DCE" w:rsidRDefault="00B34CF3" w:rsidP="007B2DD6">
            <w:pPr>
              <w:jc w:val="both"/>
              <w:rPr>
                <w:rFonts w:eastAsia="Calibri"/>
                <w:b/>
              </w:rPr>
            </w:pPr>
            <w:r w:rsidRPr="00A62DCE">
              <w:rPr>
                <w:b/>
              </w:rPr>
              <w:lastRenderedPageBreak/>
              <w:t>2. Schimbări preconizate</w:t>
            </w:r>
          </w:p>
          <w:p w14:paraId="2FBB3B10" w14:textId="77777777" w:rsidR="00A03A3C" w:rsidRPr="004B7493" w:rsidRDefault="00B34CF3" w:rsidP="007B2DD6">
            <w:pPr>
              <w:autoSpaceDE w:val="0"/>
              <w:jc w:val="both"/>
              <w:rPr>
                <w:b/>
                <w:bCs/>
                <w:iCs/>
              </w:rPr>
            </w:pPr>
            <w:r w:rsidRPr="004B7493">
              <w:rPr>
                <w:rFonts w:eastAsia="Calibri"/>
                <w:b/>
              </w:rPr>
              <w:t>A. Asigurarea transpunerii prevederi</w:t>
            </w:r>
            <w:r w:rsidR="00EA6C3F" w:rsidRPr="004B7493">
              <w:rPr>
                <w:rFonts w:eastAsia="Calibri"/>
                <w:b/>
              </w:rPr>
              <w:t>lor</w:t>
            </w:r>
            <w:r w:rsidRPr="004B7493">
              <w:rPr>
                <w:rFonts w:eastAsia="Calibri"/>
                <w:b/>
              </w:rPr>
              <w:t xml:space="preserve"> cuprinse în </w:t>
            </w:r>
            <w:r w:rsidRPr="004B7493">
              <w:rPr>
                <w:b/>
                <w:bCs/>
                <w:iCs/>
              </w:rPr>
              <w:t xml:space="preserve">Directiva </w:t>
            </w:r>
            <w:r w:rsidR="00A03A3C" w:rsidRPr="004B7493">
              <w:rPr>
                <w:b/>
                <w:bCs/>
                <w:iCs/>
              </w:rPr>
              <w:t>(UE) nr. 878/2019 a Parlamentului European și a Consiliului din 20 mai 2019 de modificare a Directivei 2013/</w:t>
            </w:r>
            <w:r w:rsidR="00F6688D" w:rsidRPr="004B7493">
              <w:rPr>
                <w:b/>
                <w:bCs/>
                <w:iCs/>
              </w:rPr>
              <w:t>36/</w:t>
            </w:r>
            <w:r w:rsidR="00A03A3C" w:rsidRPr="004B7493">
              <w:rPr>
                <w:b/>
                <w:bCs/>
                <w:iCs/>
              </w:rPr>
              <w:t>UE în ceea ce privește entitățile exceptate, societățile financiare holding, societățile financiare holding mixte, remunerarea, măsurile și competențele de supraveghere și măsur</w:t>
            </w:r>
            <w:r w:rsidR="001F5F15" w:rsidRPr="004B7493">
              <w:rPr>
                <w:b/>
                <w:bCs/>
                <w:iCs/>
              </w:rPr>
              <w:t>ile de conservare a capitalului, care vizează regimul aplicabil instituțiilor de credit și firmelor de investiții</w:t>
            </w:r>
          </w:p>
          <w:p w14:paraId="3CD59121" w14:textId="77777777" w:rsidR="00A03A3C" w:rsidRPr="00A62DCE" w:rsidRDefault="00A03A3C" w:rsidP="007B2DD6">
            <w:pPr>
              <w:autoSpaceDE w:val="0"/>
              <w:jc w:val="both"/>
              <w:rPr>
                <w:b/>
                <w:bCs/>
                <w:i/>
                <w:iCs/>
              </w:rPr>
            </w:pPr>
          </w:p>
          <w:p w14:paraId="682D814B" w14:textId="77777777" w:rsidR="00A03A3C" w:rsidRPr="00A62DCE" w:rsidRDefault="00B34CF3" w:rsidP="007B2DD6">
            <w:pPr>
              <w:autoSpaceDE w:val="0"/>
              <w:jc w:val="both"/>
            </w:pPr>
            <w:r w:rsidRPr="00A62DCE">
              <w:t xml:space="preserve">Propunerile cuprinse în proiectul de act normativ asigură transpunerea, la nivel de </w:t>
            </w:r>
            <w:r w:rsidR="00A03A3C" w:rsidRPr="00A62DCE">
              <w:t>legislație</w:t>
            </w:r>
            <w:r w:rsidRPr="00A62DCE">
              <w:t xml:space="preserve"> primară, a prevederilor Directivei </w:t>
            </w:r>
            <w:r w:rsidR="00A03A3C" w:rsidRPr="00A62DCE">
              <w:t>(UE) nr. 878/2019</w:t>
            </w:r>
            <w:r w:rsidRPr="00A62DCE">
              <w:t xml:space="preserve">, care urmăresc, cu prioritate, </w:t>
            </w:r>
            <w:r w:rsidR="001F5F15" w:rsidRPr="00A62DCE">
              <w:t>consolidarea cadrului legislativ aplicabil instituțiilor de credit</w:t>
            </w:r>
            <w:r w:rsidR="009776FA" w:rsidRPr="00A62DCE">
              <w:t xml:space="preserve"> în domenii privind</w:t>
            </w:r>
            <w:r w:rsidR="007F225B" w:rsidRPr="00A62DCE">
              <w:t xml:space="preserve"> cadrul de administrare a activității instituțiilor de credit, regimul societăților financiare holding și a societăților financiare holding mixte, în calitate de întreprinderi-mamă ale unor grupuri bancare, măsuri de conservare a capitalului și </w:t>
            </w:r>
            <w:r w:rsidR="000C4EE6" w:rsidRPr="00A62DCE">
              <w:t>măsuri și competențe de supraveghere ale Băncii Naționale a României</w:t>
            </w:r>
            <w:r w:rsidR="007F225B" w:rsidRPr="00A62DCE">
              <w:t>.</w:t>
            </w:r>
          </w:p>
          <w:p w14:paraId="34C60013" w14:textId="77777777" w:rsidR="001F5F15" w:rsidRPr="00A62DCE" w:rsidRDefault="001F5F15" w:rsidP="007B2DD6">
            <w:pPr>
              <w:autoSpaceDE w:val="0"/>
              <w:jc w:val="both"/>
            </w:pPr>
            <w:r w:rsidRPr="00A62DCE">
              <w:t>În acest sens</w:t>
            </w:r>
            <w:r w:rsidR="00737216" w:rsidRPr="00A62DCE">
              <w:t>,</w:t>
            </w:r>
            <w:r w:rsidRPr="00A62DCE">
              <w:t xml:space="preserve"> cele mai importante modificări aduse O.U.G. nr. 99/2006 ca urmare a elementelor de noutate introduse de Directiva (UE) nr. 878/2019 vizează următoarele</w:t>
            </w:r>
            <w:r w:rsidR="009776FA" w:rsidRPr="00A62DCE">
              <w:t>:</w:t>
            </w:r>
          </w:p>
          <w:p w14:paraId="2AFDACF9" w14:textId="77777777" w:rsidR="007F225B" w:rsidRPr="00A62DCE" w:rsidRDefault="007F225B" w:rsidP="007B2DD6">
            <w:pPr>
              <w:jc w:val="both"/>
            </w:pPr>
            <w:r w:rsidRPr="00A62DCE">
              <w:t>1. Introducerea unor prevederi privind condițiile în care Banca Națională a României</w:t>
            </w:r>
            <w:r w:rsidR="000C4EE6" w:rsidRPr="00A62DCE">
              <w:t>, în calitate de autoritate competentă,</w:t>
            </w:r>
            <w:r w:rsidRPr="00A62DCE">
              <w:t xml:space="preserve"> poate impune instituțiilor de credit cerințe de a dispune de fonduri proprii suplimentare. Cerințele de fonduri proprii suplimentare pot fi impuse pentru a aborda riscurile sau elementele de risc care sunt excluse în mod explicit sau nu sunt acoperite în mod explicit de cerințele de fonduri proprii prevăzute în Regulamentul (UE) nr. 575/2013, numai în măsura în care acest lucru este considerat necesar prin prisma situației specifice a unei instituții de credit. În ierarhia relevantă a cerințelor de fonduri proprii, aceste cerințe ar trebui să se situeze deasupra cerințelor minime relevante de fonduri proprii și sub cerința amortizorului combinat sau cerința amortizorului pentru indicatorul efectului de levier, după caz.</w:t>
            </w:r>
          </w:p>
          <w:p w14:paraId="60E19EA7" w14:textId="77777777" w:rsidR="007F225B" w:rsidRPr="00A62DCE" w:rsidRDefault="007F225B" w:rsidP="007B2DD6">
            <w:pPr>
              <w:jc w:val="both"/>
            </w:pPr>
            <w:r w:rsidRPr="00A62DCE">
              <w:rPr>
                <w:bCs/>
              </w:rPr>
              <w:t>2.</w:t>
            </w:r>
            <w:r w:rsidRPr="00A62DCE">
              <w:t xml:space="preserve"> Introducerea unor prevederi privind comunicarea de către Banca Națională a României a orientărilor privind fondurile proprii suplimentare, calculate ca excedentul de fonduri proprii față de cuantumul relevant al fondurilor proprii, conform cerințelor minime de fonduri proprii și cerințelor de fonduri proprii suplimentare, după caz, excedent care este necesar pentru a se ajunge la nivelul global al fondurilor proprii considerat adecvat de Banca Națională a României. În ierarhia relevantă a cerințelor de fonduri proprii, orientările privind fondurile proprii suplimentare ar trebui să se situeze deasupra </w:t>
            </w:r>
            <w:r w:rsidRPr="00A62DCE">
              <w:lastRenderedPageBreak/>
              <w:t>cerințelor minime relevante de fonduri proprii, a cerințelor de fonduri proprii suplimentare și a cerinței amortizorului combinat sau cerința amortizorului pentru indicatorul efectului de levier, după caz.</w:t>
            </w:r>
          </w:p>
          <w:p w14:paraId="4A905079" w14:textId="77777777" w:rsidR="007F225B" w:rsidRPr="00A62DCE" w:rsidRDefault="007F225B" w:rsidP="007B2DD6">
            <w:pPr>
              <w:jc w:val="both"/>
            </w:pPr>
            <w:r w:rsidRPr="00A62DCE">
              <w:t>3. Introducerea unei proceduri specifice de aprobare, precum și competențe directe de supraveghere</w:t>
            </w:r>
            <w:r w:rsidR="00B822EF" w:rsidRPr="00A62DCE">
              <w:t xml:space="preserve"> atribuite Băncii Naționale a României, în calitate de supraveghetor consolidant,</w:t>
            </w:r>
            <w:r w:rsidRPr="00A62DCE">
              <w:t xml:space="preserve"> a anumitor societăți financiare holding și societăți financiare holding mixte, care pot fi întreprinderi-mamă ale unor grupuri bancare și care trebuie să asigure conformitatea cu cerințele prudențiale pe bază consolidată în întregul grup.</w:t>
            </w:r>
          </w:p>
          <w:p w14:paraId="1D6C09B3" w14:textId="77777777" w:rsidR="007F225B" w:rsidRPr="00A62DCE" w:rsidRDefault="007F225B" w:rsidP="007B2DD6">
            <w:pPr>
              <w:jc w:val="both"/>
            </w:pPr>
            <w:r w:rsidRPr="00A62DCE">
              <w:t xml:space="preserve">Respectivele societăți sunt </w:t>
            </w:r>
            <w:r w:rsidR="00737216" w:rsidRPr="00A62DCE">
              <w:t>î</w:t>
            </w:r>
            <w:r w:rsidRPr="00A62DCE">
              <w:t xml:space="preserve">nvestite în mod direct cu răspunderea de a asigura conformitatea cu cerințele prudențiale consolidate, fără a li se institui cerințe prudențiale suplimentare la nivel individual. </w:t>
            </w:r>
          </w:p>
          <w:p w14:paraId="54BCE667" w14:textId="77777777" w:rsidR="007F225B" w:rsidRPr="00A62DCE" w:rsidRDefault="007F225B" w:rsidP="007B2DD6">
            <w:pPr>
              <w:jc w:val="both"/>
            </w:pPr>
            <w:r w:rsidRPr="00A62DCE">
              <w:t>4. Modificarea prevederilor care vizează elemente de guvernanță corporativă a societăților financiare holding și a societ</w:t>
            </w:r>
            <w:r w:rsidR="00AE1D9A" w:rsidRPr="00A62DCE">
              <w:t>ăților financiare holding mixte, în sensul în care</w:t>
            </w:r>
            <w:r w:rsidRPr="00A62DCE">
              <w:t xml:space="preserve"> cerințele de adecvare aplicabile membrilor organului de conducere al unei instituții de credit, se aplică, în mod similar, și membrilor organului de conducere al acestor societăți.</w:t>
            </w:r>
          </w:p>
          <w:p w14:paraId="6DDFD71B" w14:textId="77777777" w:rsidR="007F225B" w:rsidRPr="00A62DCE" w:rsidRDefault="007F225B" w:rsidP="007B2DD6">
            <w:pPr>
              <w:jc w:val="both"/>
            </w:pPr>
            <w:r w:rsidRPr="00A62DCE">
              <w:t>5. Introducerea unor prevederi privind cadrul de administrare a activității instituției de credit care vizează stabilirea unei politici de remunerare neutră din punct de vedere al genului.</w:t>
            </w:r>
          </w:p>
          <w:p w14:paraId="3F4C10E8" w14:textId="55AA3C17" w:rsidR="007F225B" w:rsidRPr="00A62DCE" w:rsidRDefault="007F225B" w:rsidP="007B2DD6">
            <w:pPr>
              <w:jc w:val="both"/>
              <w:rPr>
                <w:color w:val="000000"/>
              </w:rPr>
            </w:pPr>
            <w:r w:rsidRPr="00A62DCE">
              <w:t xml:space="preserve">6. Introducerea unor prevederi </w:t>
            </w:r>
            <w:r w:rsidR="00EA6C3F" w:rsidRPr="00A62DCE">
              <w:t xml:space="preserve">referitoare la </w:t>
            </w:r>
            <w:r w:rsidRPr="00A62DCE">
              <w:t xml:space="preserve">restricțiile privind distribuirile în cazul nerespectării cerinței </w:t>
            </w:r>
            <w:r w:rsidRPr="00A62DCE">
              <w:rPr>
                <w:color w:val="000000"/>
              </w:rPr>
              <w:t xml:space="preserve">indicatorului efectului de levier, </w:t>
            </w:r>
            <w:r w:rsidRPr="00A62DCE">
              <w:rPr>
                <w:bCs/>
                <w:color w:val="000000"/>
              </w:rPr>
              <w:t xml:space="preserve">stabilită în cadrul </w:t>
            </w:r>
            <w:r w:rsidR="000C4EE6" w:rsidRPr="00A62DCE">
              <w:t>Regulamentului (UE) 2019</w:t>
            </w:r>
            <w:r w:rsidR="003713F4" w:rsidRPr="00A62DCE">
              <w:t>/876</w:t>
            </w:r>
            <w:r w:rsidRPr="00A62DCE">
              <w:rPr>
                <w:color w:val="000000"/>
              </w:rPr>
              <w:t>.</w:t>
            </w:r>
          </w:p>
          <w:p w14:paraId="643175E9" w14:textId="77777777" w:rsidR="007F225B" w:rsidRPr="00A62DCE" w:rsidRDefault="000C4EE6" w:rsidP="007B2DD6">
            <w:pPr>
              <w:jc w:val="both"/>
            </w:pPr>
            <w:r w:rsidRPr="00A62DCE">
              <w:rPr>
                <w:color w:val="000000"/>
              </w:rPr>
              <w:t>7</w:t>
            </w:r>
            <w:r w:rsidR="007F225B" w:rsidRPr="00A62DCE">
              <w:rPr>
                <w:color w:val="000000"/>
              </w:rPr>
              <w:t xml:space="preserve">. </w:t>
            </w:r>
            <w:r w:rsidR="007F225B" w:rsidRPr="00A62DCE">
              <w:t xml:space="preserve">Introducerea unor prevederi referitoare la evaluarea riscurilor realizată de </w:t>
            </w:r>
            <w:r w:rsidRPr="00A62DCE">
              <w:t>Banca Națională a Românei</w:t>
            </w:r>
            <w:r w:rsidR="007F225B" w:rsidRPr="00A62DCE">
              <w:t xml:space="preserve"> în cadrul procesului de supraveghere, prin care se instituie competența BNR de a ajusta metodologia utilizată, astfel încât procesul de analiză și evaluare să surprindă caracteristicile și riscurile comune ale instituțiilor de credit cu același profil de risc.</w:t>
            </w:r>
          </w:p>
          <w:p w14:paraId="58855F7C" w14:textId="77777777" w:rsidR="007F225B" w:rsidRPr="00A62DCE" w:rsidRDefault="000C4EE6" w:rsidP="007B2DD6">
            <w:pPr>
              <w:jc w:val="both"/>
            </w:pPr>
            <w:r w:rsidRPr="00A62DCE">
              <w:t>8</w:t>
            </w:r>
            <w:r w:rsidR="007F225B" w:rsidRPr="00A62DCE">
              <w:t>.</w:t>
            </w:r>
            <w:r w:rsidR="00064C98" w:rsidRPr="00A62DCE">
              <w:t xml:space="preserve"> Introducerea unor prevederi</w:t>
            </w:r>
            <w:r w:rsidR="007F225B" w:rsidRPr="00A62DCE">
              <w:t xml:space="preserve"> privind schimbul de informații pe care </w:t>
            </w:r>
            <w:r w:rsidRPr="00A62DCE">
              <w:t>Banca Națională a României</w:t>
            </w:r>
            <w:r w:rsidR="00B822EF" w:rsidRPr="00A62DCE">
              <w:t>, în calitate de autoritate competentă pentru instituțiile de credit,</w:t>
            </w:r>
            <w:r w:rsidR="007F225B" w:rsidRPr="00A62DCE">
              <w:t xml:space="preserve"> îl poate desfășura cu alte autorități competente și instituții/organisme naționale și internaționale, inclusiv cu autoritățile și organismele responsabile de asigurarea conformității cu legislația în domeniul privind combaterea spălării banilor și a finanțării terorismului.</w:t>
            </w:r>
          </w:p>
          <w:p w14:paraId="0FACEAD9" w14:textId="77777777" w:rsidR="007F225B" w:rsidRPr="00A62DCE" w:rsidRDefault="000C4EE6" w:rsidP="007B2DD6">
            <w:pPr>
              <w:jc w:val="both"/>
            </w:pPr>
            <w:r w:rsidRPr="00A62DCE">
              <w:t>9</w:t>
            </w:r>
            <w:r w:rsidR="007F225B" w:rsidRPr="00A62DCE">
              <w:t>. Introducerea unor prevederi privind întreprinderea-mamă din Uniunea Europeană - întreprindere – intermediară în scopul asigurării unei supravegheri consolidate eficiente la nivelul Uniunii Europene pentru acele grupuri care au întreprinderea-mamă situată într-un stat terț.</w:t>
            </w:r>
          </w:p>
          <w:p w14:paraId="77BA2F4A" w14:textId="77777777" w:rsidR="007F225B" w:rsidRPr="00A62DCE" w:rsidRDefault="000C4EE6" w:rsidP="007B2DD6">
            <w:pPr>
              <w:jc w:val="both"/>
            </w:pPr>
            <w:r w:rsidRPr="00A62DCE">
              <w:t>10</w:t>
            </w:r>
            <w:r w:rsidR="007F225B" w:rsidRPr="00A62DCE">
              <w:t xml:space="preserve">. Consolidarea cadrului legal privind regimul măsurilor care pot fi dispuse de </w:t>
            </w:r>
            <w:r w:rsidRPr="00A62DCE">
              <w:t>Banca Națională a României</w:t>
            </w:r>
            <w:r w:rsidR="00B822EF" w:rsidRPr="00A62DCE">
              <w:t>,</w:t>
            </w:r>
            <w:r w:rsidR="007F225B" w:rsidRPr="00A62DCE">
              <w:t xml:space="preserve"> în calitate de autoritate competentă, prin stabilirea elementelor din conținutul actului prin care BNR dispune aceste măsuri.</w:t>
            </w:r>
          </w:p>
          <w:p w14:paraId="0D9ADA0D" w14:textId="0604323C" w:rsidR="0037391B" w:rsidRPr="00E3060B" w:rsidRDefault="0037391B" w:rsidP="007B2DD6">
            <w:pPr>
              <w:jc w:val="both"/>
              <w:rPr>
                <w:bCs/>
              </w:rPr>
            </w:pPr>
          </w:p>
          <w:p w14:paraId="08ABE936" w14:textId="4854968B" w:rsidR="009240DC" w:rsidRPr="00E3060B" w:rsidRDefault="008D0722" w:rsidP="007B2DD6">
            <w:pPr>
              <w:jc w:val="both"/>
              <w:rPr>
                <w:bCs/>
                <w:iCs/>
              </w:rPr>
            </w:pPr>
            <w:r w:rsidRPr="00E3060B">
              <w:rPr>
                <w:bCs/>
              </w:rPr>
              <w:t>În ceea ce privește regimul aplicabil firmelor de investiții</w:t>
            </w:r>
            <w:r w:rsidR="00DC527C" w:rsidRPr="00E3060B">
              <w:rPr>
                <w:bCs/>
              </w:rPr>
              <w:t xml:space="preserve"> (regăsite în legislația națională sub denumirea de S</w:t>
            </w:r>
            <w:r w:rsidR="00A62DCE" w:rsidRPr="00E3060B">
              <w:rPr>
                <w:bCs/>
              </w:rPr>
              <w:t>.</w:t>
            </w:r>
            <w:r w:rsidR="00DC527C" w:rsidRPr="00E3060B">
              <w:rPr>
                <w:bCs/>
              </w:rPr>
              <w:t>S</w:t>
            </w:r>
            <w:r w:rsidR="00A62DCE" w:rsidRPr="00E3060B">
              <w:rPr>
                <w:bCs/>
              </w:rPr>
              <w:t>.</w:t>
            </w:r>
            <w:r w:rsidR="00DC527C" w:rsidRPr="00E3060B">
              <w:rPr>
                <w:bCs/>
              </w:rPr>
              <w:t>I</w:t>
            </w:r>
            <w:r w:rsidR="00A62DCE" w:rsidRPr="00E3060B">
              <w:rPr>
                <w:bCs/>
              </w:rPr>
              <w:t>.</w:t>
            </w:r>
            <w:r w:rsidR="00DC527C" w:rsidRPr="00E3060B">
              <w:rPr>
                <w:bCs/>
              </w:rPr>
              <w:t>F</w:t>
            </w:r>
            <w:r w:rsidR="00A62DCE" w:rsidRPr="00E3060B">
              <w:rPr>
                <w:bCs/>
              </w:rPr>
              <w:t>.</w:t>
            </w:r>
            <w:r w:rsidR="00DC527C" w:rsidRPr="00E3060B">
              <w:rPr>
                <w:bCs/>
              </w:rPr>
              <w:t xml:space="preserve"> conform prevederilor art.</w:t>
            </w:r>
            <w:r w:rsidR="00A62DCE" w:rsidRPr="00E3060B">
              <w:rPr>
                <w:bCs/>
              </w:rPr>
              <w:t xml:space="preserve"> 3 alin. (1) pct. 74</w:t>
            </w:r>
            <w:r w:rsidR="00DC527C" w:rsidRPr="00E3060B">
              <w:rPr>
                <w:bCs/>
              </w:rPr>
              <w:t xml:space="preserve"> din </w:t>
            </w:r>
            <w:r w:rsidR="00A62DCE" w:rsidRPr="00E3060B">
              <w:rPr>
                <w:bCs/>
              </w:rPr>
              <w:t>L</w:t>
            </w:r>
            <w:r w:rsidR="00DC527C" w:rsidRPr="00E3060B">
              <w:rPr>
                <w:bCs/>
              </w:rPr>
              <w:t>egea 126/2018 privind piețele de instrumente financiare</w:t>
            </w:r>
            <w:r w:rsidRPr="00E3060B">
              <w:rPr>
                <w:bCs/>
              </w:rPr>
              <w:t>), p</w:t>
            </w:r>
            <w:r w:rsidR="0037391B" w:rsidRPr="00E3060B">
              <w:rPr>
                <w:bCs/>
                <w:iCs/>
              </w:rPr>
              <w:t>rincipalele modificări ale cadrului legislativ</w:t>
            </w:r>
            <w:r w:rsidR="00DC527C" w:rsidRPr="00E3060B">
              <w:rPr>
                <w:bCs/>
                <w:iCs/>
              </w:rPr>
              <w:t xml:space="preserve"> aplicabil acestor entități conform legislației naționale</w:t>
            </w:r>
            <w:r w:rsidR="004714B7" w:rsidRPr="00E3060B">
              <w:rPr>
                <w:bCs/>
                <w:iCs/>
              </w:rPr>
              <w:t>,</w:t>
            </w:r>
            <w:r w:rsidR="00DC527C" w:rsidRPr="00E3060B">
              <w:rPr>
                <w:bCs/>
                <w:iCs/>
              </w:rPr>
              <w:t xml:space="preserve"> </w:t>
            </w:r>
            <w:r w:rsidR="00976DFB" w:rsidRPr="00E3060B">
              <w:rPr>
                <w:bCs/>
                <w:iCs/>
              </w:rPr>
              <w:t>propuse prin proiectul de act normativ au în vedere</w:t>
            </w:r>
            <w:r w:rsidR="0037391B" w:rsidRPr="00E3060B">
              <w:rPr>
                <w:bCs/>
                <w:iCs/>
              </w:rPr>
              <w:t>:</w:t>
            </w:r>
            <w:r w:rsidR="00275307" w:rsidRPr="00E3060B">
              <w:rPr>
                <w:bCs/>
                <w:iCs/>
              </w:rPr>
              <w:t xml:space="preserve"> </w:t>
            </w:r>
          </w:p>
          <w:p w14:paraId="461E70D8" w14:textId="2808EADB" w:rsidR="0037391B" w:rsidRPr="00E3060B" w:rsidRDefault="0037391B" w:rsidP="0037391B">
            <w:pPr>
              <w:jc w:val="both"/>
              <w:rPr>
                <w:bCs/>
              </w:rPr>
            </w:pPr>
            <w:r w:rsidRPr="00E3060B">
              <w:rPr>
                <w:bCs/>
              </w:rPr>
              <w:t>1. I</w:t>
            </w:r>
            <w:r w:rsidR="00B80FEB" w:rsidRPr="00E3060B">
              <w:rPr>
                <w:bCs/>
              </w:rPr>
              <w:t xml:space="preserve">ntroducerea condițiilor în care </w:t>
            </w:r>
            <w:r w:rsidRPr="00E3060B">
              <w:rPr>
                <w:bCs/>
              </w:rPr>
              <w:t>Autoritatea de Supraveghere Financiară</w:t>
            </w:r>
            <w:r w:rsidR="00DC527C" w:rsidRPr="00E3060B">
              <w:rPr>
                <w:bCs/>
              </w:rPr>
              <w:t xml:space="preserve">, în calitate </w:t>
            </w:r>
            <w:r w:rsidR="00B80FEB" w:rsidRPr="00E3060B">
              <w:rPr>
                <w:bCs/>
              </w:rPr>
              <w:t xml:space="preserve"> </w:t>
            </w:r>
            <w:r w:rsidR="00DC527C" w:rsidRPr="00E3060B">
              <w:rPr>
                <w:bCs/>
              </w:rPr>
              <w:t>de autoritate competentă privind firmele de investiții</w:t>
            </w:r>
            <w:r w:rsidR="00A62DCE" w:rsidRPr="00E3060B">
              <w:rPr>
                <w:bCs/>
              </w:rPr>
              <w:t>,</w:t>
            </w:r>
            <w:r w:rsidR="00DC527C" w:rsidRPr="00E3060B">
              <w:rPr>
                <w:bCs/>
              </w:rPr>
              <w:t xml:space="preserve"> </w:t>
            </w:r>
            <w:r w:rsidR="00B80FEB" w:rsidRPr="00E3060B">
              <w:rPr>
                <w:bCs/>
              </w:rPr>
              <w:t xml:space="preserve">poate impune </w:t>
            </w:r>
            <w:r w:rsidR="00DC527C" w:rsidRPr="00E3060B">
              <w:rPr>
                <w:bCs/>
              </w:rPr>
              <w:t xml:space="preserve">acestora </w:t>
            </w:r>
            <w:r w:rsidR="00B80FEB" w:rsidRPr="00E3060B">
              <w:rPr>
                <w:bCs/>
              </w:rPr>
              <w:t>cerința de fonduri proprii suplimentare</w:t>
            </w:r>
            <w:r w:rsidRPr="00E3060B">
              <w:rPr>
                <w:bCs/>
              </w:rPr>
              <w:t xml:space="preserve"> la un nivel mai mare decât cerințele de fonduri proprii prevăzute în Regulamentul (UE) nr. 575/2013.</w:t>
            </w:r>
          </w:p>
          <w:p w14:paraId="18DBD91A" w14:textId="1EFDFDA6" w:rsidR="00B80FEB" w:rsidRPr="00E3060B" w:rsidRDefault="0037391B" w:rsidP="008D0722">
            <w:pPr>
              <w:pStyle w:val="Default"/>
              <w:jc w:val="both"/>
              <w:rPr>
                <w:bCs/>
                <w:color w:val="auto"/>
                <w:lang w:val="ro-RO"/>
              </w:rPr>
            </w:pPr>
            <w:r w:rsidRPr="00E3060B">
              <w:rPr>
                <w:bCs/>
                <w:lang w:val="ro-RO"/>
              </w:rPr>
              <w:t>2. M</w:t>
            </w:r>
            <w:r w:rsidR="00B80FEB" w:rsidRPr="00E3060B">
              <w:rPr>
                <w:rFonts w:eastAsiaTheme="minorHAnsi"/>
                <w:bCs/>
                <w:lang w:val="ro-RO"/>
              </w:rPr>
              <w:t xml:space="preserve">odificarea prevederilor privind remunerarea în cadrul </w:t>
            </w:r>
            <w:r w:rsidR="004714B7" w:rsidRPr="00E3060B">
              <w:rPr>
                <w:rFonts w:eastAsiaTheme="minorHAnsi"/>
                <w:bCs/>
                <w:lang w:val="ro-RO"/>
              </w:rPr>
              <w:t xml:space="preserve"> </w:t>
            </w:r>
            <w:r w:rsidR="00DC527C" w:rsidRPr="00E3060B">
              <w:rPr>
                <w:rFonts w:eastAsiaTheme="minorHAnsi"/>
                <w:bCs/>
                <w:lang w:val="ro-RO"/>
              </w:rPr>
              <w:t xml:space="preserve">firmelor de investiții </w:t>
            </w:r>
            <w:r w:rsidRPr="00E3060B">
              <w:rPr>
                <w:rFonts w:eastAsiaTheme="minorHAnsi"/>
                <w:bCs/>
                <w:lang w:val="ro-RO"/>
              </w:rPr>
              <w:t xml:space="preserve">prin impunerea </w:t>
            </w:r>
            <w:r w:rsidRPr="00E3060B">
              <w:rPr>
                <w:bCs/>
                <w:lang w:val="ro-RO"/>
              </w:rPr>
              <w:t>unei politici de remunerare neutre din punct de vedere al genului.</w:t>
            </w:r>
            <w:r w:rsidRPr="00E3060B">
              <w:rPr>
                <w:bCs/>
                <w:color w:val="auto"/>
                <w:lang w:val="ro-RO"/>
              </w:rPr>
              <w:t xml:space="preserve"> </w:t>
            </w:r>
          </w:p>
          <w:p w14:paraId="45246AA0" w14:textId="76E00F18" w:rsidR="008D0722" w:rsidRPr="00E3060B" w:rsidRDefault="008D0722" w:rsidP="008D0722">
            <w:pPr>
              <w:pStyle w:val="Default"/>
              <w:jc w:val="both"/>
              <w:rPr>
                <w:bCs/>
                <w:color w:val="auto"/>
                <w:lang w:val="ro-RO"/>
              </w:rPr>
            </w:pPr>
            <w:r w:rsidRPr="00E3060B">
              <w:rPr>
                <w:bCs/>
                <w:color w:val="auto"/>
                <w:lang w:val="ro-RO"/>
              </w:rPr>
              <w:t>3.</w:t>
            </w:r>
            <w:r w:rsidR="00976DFB" w:rsidRPr="00E3060B">
              <w:rPr>
                <w:bCs/>
                <w:lang w:val="ro-RO"/>
              </w:rPr>
              <w:t xml:space="preserve"> Introducerea unor prevederi referitoare la evaluarea riscurilor realizată de Autoritatea de Supraveghere Financiară în cadrul procesului de </w:t>
            </w:r>
            <w:r w:rsidR="00A62DCE" w:rsidRPr="00E3060B">
              <w:rPr>
                <w:bCs/>
                <w:lang w:val="ro-RO"/>
              </w:rPr>
              <w:t>s</w:t>
            </w:r>
            <w:r w:rsidR="00DC527C" w:rsidRPr="00E3060B">
              <w:rPr>
                <w:bCs/>
                <w:lang w:val="ro-RO"/>
              </w:rPr>
              <w:t>upraveghere al acestor entități</w:t>
            </w:r>
            <w:r w:rsidR="00976DFB" w:rsidRPr="00E3060B">
              <w:rPr>
                <w:bCs/>
                <w:lang w:val="ro-RO"/>
              </w:rPr>
              <w:t xml:space="preserve">, </w:t>
            </w:r>
            <w:r w:rsidR="00DC527C" w:rsidRPr="00E3060B">
              <w:rPr>
                <w:bCs/>
                <w:lang w:val="ro-RO"/>
              </w:rPr>
              <w:t xml:space="preserve">ce vizează </w:t>
            </w:r>
            <w:r w:rsidR="00976DFB" w:rsidRPr="00E3060B">
              <w:rPr>
                <w:bCs/>
                <w:lang w:val="ro-RO"/>
              </w:rPr>
              <w:t>institui</w:t>
            </w:r>
            <w:r w:rsidR="00DC527C" w:rsidRPr="00E3060B">
              <w:rPr>
                <w:bCs/>
                <w:lang w:val="ro-RO"/>
              </w:rPr>
              <w:t>rea</w:t>
            </w:r>
            <w:r w:rsidR="00976DFB" w:rsidRPr="00E3060B">
              <w:rPr>
                <w:bCs/>
                <w:lang w:val="ro-RO"/>
              </w:rPr>
              <w:t xml:space="preserve"> competen</w:t>
            </w:r>
            <w:r w:rsidR="00DC527C" w:rsidRPr="00E3060B">
              <w:rPr>
                <w:bCs/>
                <w:lang w:val="ro-RO"/>
              </w:rPr>
              <w:t>ței</w:t>
            </w:r>
            <w:r w:rsidR="00976DFB" w:rsidRPr="00E3060B">
              <w:rPr>
                <w:bCs/>
                <w:lang w:val="ro-RO"/>
              </w:rPr>
              <w:t xml:space="preserve"> de a ajusta metodologia utilizată</w:t>
            </w:r>
            <w:r w:rsidR="00DC527C" w:rsidRPr="00E3060B">
              <w:rPr>
                <w:bCs/>
                <w:lang w:val="ro-RO"/>
              </w:rPr>
              <w:t xml:space="preserve"> pentru această evaluare</w:t>
            </w:r>
            <w:r w:rsidR="00976DFB" w:rsidRPr="00E3060B">
              <w:rPr>
                <w:bCs/>
                <w:lang w:val="ro-RO"/>
              </w:rPr>
              <w:t xml:space="preserve">, astfel încât procesul de analiză și evaluare să surprindă caracteristicile și riscurile comune ale </w:t>
            </w:r>
            <w:r w:rsidR="00DC527C" w:rsidRPr="00E3060B">
              <w:rPr>
                <w:bCs/>
                <w:lang w:val="ro-RO"/>
              </w:rPr>
              <w:t xml:space="preserve">firmelor de inestitii </w:t>
            </w:r>
            <w:r w:rsidR="00976DFB" w:rsidRPr="00E3060B">
              <w:rPr>
                <w:bCs/>
                <w:lang w:val="ro-RO"/>
              </w:rPr>
              <w:t>cu același profil de risc.</w:t>
            </w:r>
          </w:p>
          <w:p w14:paraId="211B4E19" w14:textId="79269CFC" w:rsidR="00B80FEB" w:rsidRPr="00E3060B" w:rsidRDefault="008D0722" w:rsidP="008D0722">
            <w:pPr>
              <w:pStyle w:val="Default"/>
              <w:jc w:val="both"/>
              <w:rPr>
                <w:bCs/>
                <w:lang w:val="ro-RO"/>
              </w:rPr>
            </w:pPr>
            <w:r w:rsidRPr="00E3060B">
              <w:rPr>
                <w:bCs/>
                <w:color w:val="auto"/>
                <w:lang w:val="ro-RO"/>
              </w:rPr>
              <w:t>4. I</w:t>
            </w:r>
            <w:r w:rsidR="00B80FEB" w:rsidRPr="00E3060B">
              <w:rPr>
                <w:bCs/>
                <w:lang w:val="ro-RO"/>
              </w:rPr>
              <w:t xml:space="preserve">nstituirea obligației </w:t>
            </w:r>
            <w:r w:rsidRPr="00E3060B">
              <w:rPr>
                <w:bCs/>
                <w:lang w:val="ro-RO"/>
              </w:rPr>
              <w:t>Autorității de Supraveghere Financiară</w:t>
            </w:r>
            <w:r w:rsidR="00DC527C" w:rsidRPr="00E3060B">
              <w:rPr>
                <w:bCs/>
                <w:lang w:val="ro-RO"/>
              </w:rPr>
              <w:t>, în calitate de autoritate competentă pentru firmele de inve</w:t>
            </w:r>
            <w:r w:rsidR="00E3060B">
              <w:rPr>
                <w:bCs/>
                <w:lang w:val="ro-RO"/>
              </w:rPr>
              <w:t>s</w:t>
            </w:r>
            <w:r w:rsidR="00DC527C" w:rsidRPr="00E3060B">
              <w:rPr>
                <w:bCs/>
                <w:lang w:val="ro-RO"/>
              </w:rPr>
              <w:t>tiții</w:t>
            </w:r>
            <w:r w:rsidR="004714B7" w:rsidRPr="00E3060B">
              <w:rPr>
                <w:bCs/>
                <w:lang w:val="ro-RO"/>
              </w:rPr>
              <w:t>,</w:t>
            </w:r>
            <w:r w:rsidR="00DC527C" w:rsidRPr="00E3060B">
              <w:rPr>
                <w:bCs/>
                <w:lang w:val="ro-RO"/>
              </w:rPr>
              <w:t xml:space="preserve"> </w:t>
            </w:r>
            <w:r w:rsidR="00B80FEB" w:rsidRPr="00E3060B">
              <w:rPr>
                <w:bCs/>
                <w:lang w:val="ro-RO"/>
              </w:rPr>
              <w:t>de a coopera cu autoritățile responsabile cu asigurarea conformității cu normele de combatere a spălării banilor în temeiul Directivei (UE) 2015/849</w:t>
            </w:r>
            <w:r w:rsidRPr="00E3060B">
              <w:rPr>
                <w:bCs/>
                <w:lang w:val="ro-RO"/>
              </w:rPr>
              <w:t>.</w:t>
            </w:r>
          </w:p>
          <w:p w14:paraId="2F8FE3FC" w14:textId="77777777" w:rsidR="00584EB4" w:rsidRPr="00A62DCE" w:rsidRDefault="00584EB4" w:rsidP="007B2DD6">
            <w:pPr>
              <w:jc w:val="both"/>
              <w:rPr>
                <w:rFonts w:eastAsia="Calibri"/>
              </w:rPr>
            </w:pPr>
          </w:p>
          <w:p w14:paraId="3E29F84A" w14:textId="77777777" w:rsidR="00726A5E" w:rsidRPr="00A62DCE" w:rsidRDefault="00B34CF3" w:rsidP="007B2DD6">
            <w:pPr>
              <w:autoSpaceDE w:val="0"/>
              <w:jc w:val="both"/>
              <w:rPr>
                <w:b/>
              </w:rPr>
            </w:pPr>
            <w:r w:rsidRPr="00A62DCE">
              <w:rPr>
                <w:rFonts w:eastAsia="Calibri"/>
                <w:b/>
              </w:rPr>
              <w:lastRenderedPageBreak/>
              <w:t xml:space="preserve">B. </w:t>
            </w:r>
            <w:r w:rsidR="00B822EF" w:rsidRPr="00A62DCE">
              <w:rPr>
                <w:rFonts w:eastAsia="Calibri"/>
                <w:b/>
              </w:rPr>
              <w:t>Alte modificări ale O.U.G. nr. 99/2006, având ca scop îmbunătățirea reglementării</w:t>
            </w:r>
          </w:p>
          <w:p w14:paraId="712C58C4" w14:textId="67E269F6" w:rsidR="00F070CC" w:rsidRDefault="00FD3444" w:rsidP="007B2DD6">
            <w:pPr>
              <w:jc w:val="both"/>
              <w:rPr>
                <w:color w:val="000000"/>
                <w:lang w:eastAsia="ro-RO"/>
              </w:rPr>
            </w:pPr>
            <w:r w:rsidRPr="00A62DCE">
              <w:rPr>
                <w:color w:val="000000"/>
                <w:lang w:eastAsia="ro-RO"/>
              </w:rPr>
              <w:t>1</w:t>
            </w:r>
            <w:r w:rsidR="00064C98" w:rsidRPr="00A62DCE">
              <w:rPr>
                <w:color w:val="000000"/>
                <w:lang w:eastAsia="ro-RO"/>
              </w:rPr>
              <w:t xml:space="preserve">. </w:t>
            </w:r>
            <w:r w:rsidR="00F070CC" w:rsidRPr="00F070CC">
              <w:rPr>
                <w:bCs/>
                <w:lang w:eastAsia="en-US"/>
              </w:rPr>
              <w:t xml:space="preserve"> </w:t>
            </w:r>
            <w:r w:rsidR="00F070CC">
              <w:rPr>
                <w:bCs/>
                <w:lang w:eastAsia="en-US"/>
              </w:rPr>
              <w:t>I</w:t>
            </w:r>
            <w:r w:rsidR="00F070CC" w:rsidRPr="00F070CC">
              <w:rPr>
                <w:bCs/>
                <w:color w:val="000000"/>
                <w:lang w:eastAsia="ro-RO"/>
              </w:rPr>
              <w:t>ntroducerea de temei legal pentru ca B</w:t>
            </w:r>
            <w:r w:rsidR="00F070CC">
              <w:rPr>
                <w:bCs/>
                <w:color w:val="000000"/>
                <w:lang w:eastAsia="ro-RO"/>
              </w:rPr>
              <w:t xml:space="preserve">anca </w:t>
            </w:r>
            <w:r w:rsidR="00F070CC" w:rsidRPr="00F070CC">
              <w:rPr>
                <w:bCs/>
                <w:color w:val="000000"/>
                <w:lang w:eastAsia="ro-RO"/>
              </w:rPr>
              <w:t>N</w:t>
            </w:r>
            <w:r w:rsidR="00F070CC">
              <w:rPr>
                <w:bCs/>
                <w:color w:val="000000"/>
                <w:lang w:eastAsia="ro-RO"/>
              </w:rPr>
              <w:t xml:space="preserve">ațională a </w:t>
            </w:r>
            <w:r w:rsidR="00F070CC" w:rsidRPr="00F070CC">
              <w:rPr>
                <w:bCs/>
                <w:color w:val="000000"/>
                <w:lang w:eastAsia="ro-RO"/>
              </w:rPr>
              <w:t>R</w:t>
            </w:r>
            <w:r w:rsidR="00F070CC">
              <w:rPr>
                <w:bCs/>
                <w:color w:val="000000"/>
                <w:lang w:eastAsia="ro-RO"/>
              </w:rPr>
              <w:t>omâniei</w:t>
            </w:r>
            <w:r w:rsidR="00F070CC" w:rsidRPr="00F070CC">
              <w:rPr>
                <w:bCs/>
                <w:color w:val="000000"/>
                <w:lang w:eastAsia="ro-RO"/>
              </w:rPr>
              <w:t xml:space="preserve"> să poată exercita prin reglementări</w:t>
            </w:r>
            <w:r w:rsidR="00F070CC">
              <w:rPr>
                <w:bCs/>
                <w:color w:val="000000"/>
                <w:lang w:eastAsia="ro-RO"/>
              </w:rPr>
              <w:t>le</w:t>
            </w:r>
            <w:r w:rsidR="00F070CC" w:rsidRPr="00F070CC">
              <w:rPr>
                <w:bCs/>
                <w:color w:val="000000"/>
                <w:lang w:eastAsia="ro-RO"/>
              </w:rPr>
              <w:t xml:space="preserve"> </w:t>
            </w:r>
            <w:r w:rsidR="00F070CC">
              <w:rPr>
                <w:bCs/>
                <w:color w:val="000000"/>
                <w:lang w:eastAsia="ro-RO"/>
              </w:rPr>
              <w:t>emise de aceasta</w:t>
            </w:r>
            <w:r w:rsidR="00F070CC" w:rsidRPr="00F070CC">
              <w:rPr>
                <w:bCs/>
                <w:color w:val="000000"/>
                <w:lang w:eastAsia="ro-RO"/>
              </w:rPr>
              <w:t xml:space="preserve">, în ceea ce privește instituțiile de credit, opțiunea de a reduce pragul prevăzut la art. 4 alin. (1) pct. 145 lit. b) din </w:t>
            </w:r>
            <w:r w:rsidR="00F070CC" w:rsidRPr="00F070CC">
              <w:rPr>
                <w:bCs/>
                <w:iCs/>
                <w:color w:val="000000"/>
                <w:lang w:eastAsia="ro-RO"/>
              </w:rPr>
              <w:t>Regulamentul (UE) nr. 575/2013, cu modificările ulterioare.</w:t>
            </w:r>
          </w:p>
          <w:p w14:paraId="0A4FF157" w14:textId="2701DA53" w:rsidR="00F070CC" w:rsidRPr="00F070CC" w:rsidRDefault="00F070CC" w:rsidP="007F68AD">
            <w:pPr>
              <w:jc w:val="both"/>
              <w:rPr>
                <w:bCs/>
                <w:color w:val="000000"/>
                <w:lang w:eastAsia="ro-RO"/>
              </w:rPr>
            </w:pPr>
            <w:r>
              <w:rPr>
                <w:color w:val="000000"/>
                <w:lang w:eastAsia="ro-RO"/>
              </w:rPr>
              <w:t xml:space="preserve">2. </w:t>
            </w:r>
            <w:r w:rsidRPr="00F070CC">
              <w:rPr>
                <w:bCs/>
                <w:lang w:eastAsia="en-US"/>
              </w:rPr>
              <w:t xml:space="preserve"> </w:t>
            </w:r>
            <w:r>
              <w:rPr>
                <w:bCs/>
                <w:lang w:eastAsia="en-US"/>
              </w:rPr>
              <w:t>Revizuirea unor prevederi în domeniul fuziunii/divizării instituțiilor de credit, respectiv</w:t>
            </w:r>
            <w:r w:rsidR="007F68AD" w:rsidRPr="007F68AD">
              <w:rPr>
                <w:bCs/>
                <w:lang w:eastAsia="en-US"/>
              </w:rPr>
              <w:t xml:space="preserve"> statuarea </w:t>
            </w:r>
            <w:r w:rsidR="007F68AD" w:rsidRPr="007F68AD">
              <w:rPr>
                <w:bCs/>
                <w:color w:val="000000"/>
                <w:lang w:eastAsia="ro-RO"/>
              </w:rPr>
              <w:t xml:space="preserve"> </w:t>
            </w:r>
            <w:r w:rsidR="007F68AD" w:rsidRPr="007F68AD">
              <w:rPr>
                <w:bCs/>
                <w:lang w:eastAsia="en-US"/>
              </w:rPr>
              <w:t>la nivel primar  a competenței B</w:t>
            </w:r>
            <w:r w:rsidR="007F68AD">
              <w:rPr>
                <w:bCs/>
                <w:lang w:eastAsia="en-US"/>
              </w:rPr>
              <w:t xml:space="preserve">ăncii </w:t>
            </w:r>
            <w:r w:rsidR="007F68AD" w:rsidRPr="007F68AD">
              <w:rPr>
                <w:bCs/>
                <w:lang w:eastAsia="en-US"/>
              </w:rPr>
              <w:t>N</w:t>
            </w:r>
            <w:r w:rsidR="007F68AD">
              <w:rPr>
                <w:bCs/>
                <w:lang w:eastAsia="en-US"/>
              </w:rPr>
              <w:t xml:space="preserve">aționale a </w:t>
            </w:r>
            <w:r w:rsidR="007F68AD" w:rsidRPr="007F68AD">
              <w:rPr>
                <w:bCs/>
                <w:lang w:eastAsia="en-US"/>
              </w:rPr>
              <w:t>R</w:t>
            </w:r>
            <w:r w:rsidR="007F68AD">
              <w:rPr>
                <w:bCs/>
                <w:lang w:eastAsia="en-US"/>
              </w:rPr>
              <w:t>omâniei</w:t>
            </w:r>
            <w:r w:rsidR="007F68AD" w:rsidRPr="007F68AD">
              <w:rPr>
                <w:bCs/>
                <w:lang w:eastAsia="en-US"/>
              </w:rPr>
              <w:t xml:space="preserve"> de a revoca hotărârea privind aprobarea prealabilă a fuziunii sau a divizării </w:t>
            </w:r>
            <w:r w:rsidRPr="00F070CC">
              <w:rPr>
                <w:bCs/>
                <w:color w:val="000000"/>
                <w:lang w:eastAsia="ro-RO"/>
              </w:rPr>
              <w:t xml:space="preserve">în cazul în care, din analiza documentelor și informațiilor prezentate ulterior emiterii hotărârii aprobării prealabile în condițiile stabilite prin reglementările secundare, aceasta constată că nu mai sunt îndeplinite cerinţele prezentei ordonanțe de urgență, ale Regulamentului (UE) nr. 575/2013, cu modificările ulterioare, şi ale reglementărilor emise în aplicarea acestora, care au stat la baza acordării aprobării prealabile. </w:t>
            </w:r>
          </w:p>
          <w:p w14:paraId="6B26FC22" w14:textId="62EF2230" w:rsidR="00FD3444" w:rsidRPr="00A62DCE" w:rsidRDefault="007F68AD" w:rsidP="007B2DD6">
            <w:pPr>
              <w:jc w:val="both"/>
              <w:rPr>
                <w:color w:val="000000"/>
                <w:lang w:eastAsia="ro-RO"/>
              </w:rPr>
            </w:pPr>
            <w:r>
              <w:rPr>
                <w:color w:val="000000"/>
                <w:lang w:eastAsia="ro-RO"/>
              </w:rPr>
              <w:t xml:space="preserve">3. </w:t>
            </w:r>
            <w:r w:rsidR="00064C98" w:rsidRPr="00A62DCE">
              <w:rPr>
                <w:color w:val="000000"/>
                <w:lang w:eastAsia="ro-RO"/>
              </w:rPr>
              <w:t>I</w:t>
            </w:r>
            <w:r w:rsidR="00FD3444" w:rsidRPr="00A62DCE">
              <w:rPr>
                <w:color w:val="000000"/>
                <w:lang w:eastAsia="ro-RO"/>
              </w:rPr>
              <w:t xml:space="preserve">ntroducerea de prevederi cu privire la mecanismul de conformare de către instituțiile de credit cu ghidurile și recomandările emise de </w:t>
            </w:r>
            <w:r w:rsidR="000B1288" w:rsidRPr="00A62DCE">
              <w:rPr>
                <w:color w:val="000000"/>
                <w:lang w:eastAsia="ro-RO"/>
              </w:rPr>
              <w:t>Autoritatea Bancară Europeană (ABE)</w:t>
            </w:r>
            <w:r w:rsidR="00FD3444" w:rsidRPr="00A62DCE">
              <w:rPr>
                <w:color w:val="000000"/>
                <w:lang w:eastAsia="ro-RO"/>
              </w:rPr>
              <w:t xml:space="preserve">, potrivit instrucțiunilor/precizărilor emise de </w:t>
            </w:r>
            <w:r w:rsidR="000B1288" w:rsidRPr="00A62DCE">
              <w:rPr>
                <w:color w:val="000000"/>
                <w:lang w:eastAsia="ro-RO"/>
              </w:rPr>
              <w:t>Banca Națională a României</w:t>
            </w:r>
            <w:r w:rsidR="00FD3444" w:rsidRPr="00A62DCE">
              <w:rPr>
                <w:color w:val="000000"/>
                <w:lang w:eastAsia="ro-RO"/>
              </w:rPr>
              <w:t xml:space="preserve"> și cu privire la competența </w:t>
            </w:r>
            <w:r w:rsidR="000B1288" w:rsidRPr="00A62DCE">
              <w:rPr>
                <w:color w:val="000000"/>
                <w:lang w:eastAsia="ro-RO"/>
              </w:rPr>
              <w:t>Băncii Naționale a României</w:t>
            </w:r>
            <w:r w:rsidR="00FD3444" w:rsidRPr="00A62DCE">
              <w:rPr>
                <w:color w:val="000000"/>
                <w:lang w:eastAsia="ro-RO"/>
              </w:rPr>
              <w:t xml:space="preserve"> de a interveni în caz de neconformare. În acest sens, s-a prevăzut posibilitatea ca </w:t>
            </w:r>
            <w:r w:rsidR="000B1288" w:rsidRPr="00A62DCE">
              <w:rPr>
                <w:color w:val="000000"/>
                <w:lang w:eastAsia="ro-RO"/>
              </w:rPr>
              <w:t>Banca Națională a României</w:t>
            </w:r>
            <w:r w:rsidR="00FD3444" w:rsidRPr="00A62DCE">
              <w:rPr>
                <w:color w:val="000000"/>
                <w:lang w:eastAsia="ro-RO"/>
              </w:rPr>
              <w:t xml:space="preserve"> să facă recomandări instituțiilor de credit și /sau să poată dispune măsuri, în situația în care instituțiile de credit nu asigură implementarea corespunzătoare a instrucțiunilor/precizărilor emise de </w:t>
            </w:r>
            <w:r w:rsidR="000B1288" w:rsidRPr="00A62DCE">
              <w:rPr>
                <w:color w:val="000000"/>
                <w:lang w:eastAsia="ro-RO"/>
              </w:rPr>
              <w:t>Banca Națională a României</w:t>
            </w:r>
            <w:r w:rsidR="00FD3444" w:rsidRPr="00A62DCE">
              <w:rPr>
                <w:color w:val="000000"/>
                <w:lang w:eastAsia="ro-RO"/>
              </w:rPr>
              <w:t xml:space="preserve"> cu privire la ghidurile și recomandările </w:t>
            </w:r>
            <w:r w:rsidR="000B1288" w:rsidRPr="00A62DCE">
              <w:rPr>
                <w:color w:val="000000"/>
                <w:lang w:eastAsia="ro-RO"/>
              </w:rPr>
              <w:t>A</w:t>
            </w:r>
            <w:r w:rsidR="00A41EC5" w:rsidRPr="00A62DCE">
              <w:rPr>
                <w:color w:val="000000"/>
                <w:lang w:eastAsia="ro-RO"/>
              </w:rPr>
              <w:t>BE</w:t>
            </w:r>
            <w:r w:rsidR="00FD3444" w:rsidRPr="00A62DCE">
              <w:rPr>
                <w:color w:val="000000"/>
                <w:lang w:eastAsia="ro-RO"/>
              </w:rPr>
              <w:t>.</w:t>
            </w:r>
          </w:p>
          <w:p w14:paraId="51A3889B" w14:textId="53E98AA5" w:rsidR="00FD3444" w:rsidRPr="00A62DCE" w:rsidRDefault="007F68AD" w:rsidP="007B2DD6">
            <w:pPr>
              <w:jc w:val="both"/>
              <w:rPr>
                <w:color w:val="000000"/>
                <w:lang w:eastAsia="ro-RO"/>
              </w:rPr>
            </w:pPr>
            <w:r>
              <w:rPr>
                <w:color w:val="000000"/>
                <w:lang w:eastAsia="ro-RO"/>
              </w:rPr>
              <w:t>4</w:t>
            </w:r>
            <w:r w:rsidR="00064C98" w:rsidRPr="00A62DCE">
              <w:rPr>
                <w:color w:val="000000"/>
                <w:lang w:eastAsia="ro-RO"/>
              </w:rPr>
              <w:t>. I</w:t>
            </w:r>
            <w:r w:rsidR="00FD3444" w:rsidRPr="00A62DCE">
              <w:rPr>
                <w:color w:val="000000"/>
                <w:lang w:eastAsia="ro-RO"/>
              </w:rPr>
              <w:t>ntroducerea de prevederi referitoare la guvernanța corporativă a instituțiilor de credit, astfel:</w:t>
            </w:r>
          </w:p>
          <w:p w14:paraId="09BC7DA6" w14:textId="4F47B469" w:rsidR="00FD3444" w:rsidRDefault="00FD3444" w:rsidP="007B2DD6">
            <w:pPr>
              <w:jc w:val="both"/>
              <w:rPr>
                <w:color w:val="000000"/>
                <w:lang w:eastAsia="ro-RO"/>
              </w:rPr>
            </w:pPr>
            <w:r w:rsidRPr="00A62DCE">
              <w:rPr>
                <w:color w:val="000000"/>
                <w:lang w:eastAsia="ro-RO"/>
              </w:rPr>
              <w:t xml:space="preserve">- </w:t>
            </w:r>
            <w:r w:rsidR="00DD751A">
              <w:rPr>
                <w:color w:val="000000"/>
                <w:lang w:eastAsia="ro-RO"/>
              </w:rPr>
              <w:t xml:space="preserve">pentru </w:t>
            </w:r>
            <w:r w:rsidRPr="00A62DCE">
              <w:rPr>
                <w:color w:val="000000"/>
                <w:lang w:eastAsia="ro-RO"/>
              </w:rPr>
              <w:t xml:space="preserve">anumite dispoziții prevăzute în </w:t>
            </w:r>
            <w:r w:rsidR="000B1288" w:rsidRPr="00A62DCE">
              <w:t>Directiv</w:t>
            </w:r>
            <w:r w:rsidR="00A41EC5" w:rsidRPr="00A62DCE">
              <w:t>a</w:t>
            </w:r>
            <w:r w:rsidR="000B1288" w:rsidRPr="00A62DCE">
              <w:t xml:space="preserve"> nr. </w:t>
            </w:r>
            <w:r w:rsidR="00064C98" w:rsidRPr="00A62DCE">
              <w:t>2013/</w:t>
            </w:r>
            <w:r w:rsidR="00F6688D" w:rsidRPr="00A62DCE">
              <w:t>36/</w:t>
            </w:r>
            <w:r w:rsidR="000B1288" w:rsidRPr="00A62DCE">
              <w:t>UE</w:t>
            </w:r>
            <w:r w:rsidRPr="00A62DCE">
              <w:rPr>
                <w:color w:val="000000"/>
                <w:lang w:eastAsia="ro-RO"/>
              </w:rPr>
              <w:t>, care au fost transpuse la nivel de reglementare secundară (prin Regulamentul</w:t>
            </w:r>
            <w:r w:rsidR="000B1288" w:rsidRPr="00A62DCE">
              <w:rPr>
                <w:color w:val="000000"/>
                <w:lang w:eastAsia="ro-RO"/>
              </w:rPr>
              <w:t xml:space="preserve"> BNR </w:t>
            </w:r>
            <w:r w:rsidRPr="00A62DCE">
              <w:rPr>
                <w:color w:val="000000"/>
                <w:lang w:eastAsia="ro-RO"/>
              </w:rPr>
              <w:t>nr. 5/2013</w:t>
            </w:r>
            <w:r w:rsidR="000B1288" w:rsidRPr="00A62DCE">
              <w:rPr>
                <w:color w:val="000000"/>
                <w:lang w:eastAsia="ro-RO"/>
              </w:rPr>
              <w:t xml:space="preserve"> privind cerințe prudențiale pentru instituțiile de credit</w:t>
            </w:r>
            <w:r w:rsidR="003B7528" w:rsidRPr="00A62DCE">
              <w:rPr>
                <w:color w:val="000000"/>
                <w:lang w:eastAsia="ro-RO"/>
              </w:rPr>
              <w:t>, cu modificările și completările ulterioare</w:t>
            </w:r>
            <w:r w:rsidRPr="00A62DCE">
              <w:rPr>
                <w:color w:val="000000"/>
                <w:lang w:eastAsia="ro-RO"/>
              </w:rPr>
              <w:t>) s-a considerat oportun</w:t>
            </w:r>
            <w:r w:rsidR="00E572BA" w:rsidRPr="00A62DCE">
              <w:rPr>
                <w:color w:val="000000"/>
                <w:lang w:eastAsia="ro-RO"/>
              </w:rPr>
              <w:t>, la acest moment,</w:t>
            </w:r>
            <w:r w:rsidRPr="00A62DCE">
              <w:rPr>
                <w:color w:val="000000"/>
                <w:lang w:eastAsia="ro-RO"/>
              </w:rPr>
              <w:t xml:space="preserve"> a fi reglementate la nivel primar. În acest sens, au fost introduse prevederi privind </w:t>
            </w:r>
            <w:r w:rsidR="00DD751A">
              <w:rPr>
                <w:bCs/>
                <w:lang w:eastAsia="en-US"/>
              </w:rPr>
              <w:t xml:space="preserve">(i) statuarea principiului de guvernanță potrivit căruia organul de supraveghere </w:t>
            </w:r>
            <w:r w:rsidR="00DD751A" w:rsidRPr="00DD751A">
              <w:rPr>
                <w:bCs/>
                <w:lang w:eastAsia="en-US"/>
              </w:rPr>
              <w:t>este responsabil pentru asigurarea unei supra</w:t>
            </w:r>
            <w:r w:rsidR="00DD751A">
              <w:rPr>
                <w:bCs/>
                <w:lang w:eastAsia="en-US"/>
              </w:rPr>
              <w:t xml:space="preserve">vegheri eficiente a activității directorilor/membrilor directoratului, (ii) </w:t>
            </w:r>
            <w:r w:rsidRPr="00A62DCE">
              <w:rPr>
                <w:color w:val="000000"/>
                <w:lang w:eastAsia="ro-RO"/>
              </w:rPr>
              <w:t xml:space="preserve">obligația instituțiilor de credit semnificative de a înființa comitetele de administrare a riscurilor, remunerare și nominalizare și cerințe privind componența acestor comitete, precum și prevederi referitoare la </w:t>
            </w:r>
            <w:r w:rsidR="00E572BA" w:rsidRPr="00A62DCE">
              <w:rPr>
                <w:color w:val="000000"/>
                <w:lang w:eastAsia="ro-RO"/>
              </w:rPr>
              <w:t xml:space="preserve"> </w:t>
            </w:r>
            <w:r w:rsidR="00002AD2">
              <w:rPr>
                <w:color w:val="000000"/>
                <w:lang w:eastAsia="ro-RO"/>
              </w:rPr>
              <w:t xml:space="preserve">(iii) </w:t>
            </w:r>
            <w:r w:rsidR="00E572BA" w:rsidRPr="00A62DCE">
              <w:rPr>
                <w:color w:val="000000"/>
                <w:lang w:eastAsia="ro-RO"/>
              </w:rPr>
              <w:t xml:space="preserve">evaluarea adecvării, </w:t>
            </w:r>
            <w:r w:rsidRPr="00A62DCE">
              <w:rPr>
                <w:color w:val="000000"/>
                <w:lang w:eastAsia="ro-RO"/>
              </w:rPr>
              <w:t xml:space="preserve">inițierea și pregătirea membrilor consiliului de </w:t>
            </w:r>
            <w:r w:rsidR="000B1288" w:rsidRPr="00A62DCE">
              <w:rPr>
                <w:color w:val="000000"/>
                <w:lang w:eastAsia="ro-RO"/>
              </w:rPr>
              <w:t>administrație</w:t>
            </w:r>
            <w:r w:rsidRPr="00A62DCE">
              <w:rPr>
                <w:color w:val="000000"/>
                <w:lang w:eastAsia="ro-RO"/>
              </w:rPr>
              <w:t>, directorilor, membrilor consiliului de supraveghere şi ai directoratului, la nivel individual și colectiv.</w:t>
            </w:r>
          </w:p>
          <w:p w14:paraId="465A5AD0" w14:textId="1D93A8DB" w:rsidR="004D7968" w:rsidRPr="00A62DCE" w:rsidRDefault="004D7968" w:rsidP="007B2DD6">
            <w:pPr>
              <w:jc w:val="both"/>
              <w:rPr>
                <w:color w:val="000000"/>
                <w:lang w:eastAsia="ro-RO"/>
              </w:rPr>
            </w:pPr>
            <w:r>
              <w:rPr>
                <w:color w:val="000000"/>
                <w:lang w:eastAsia="ro-RO"/>
              </w:rPr>
              <w:t xml:space="preserve">- s-a revizuit prevederea referitoare la interdicția </w:t>
            </w:r>
            <w:r w:rsidR="007E1A43">
              <w:rPr>
                <w:bCs/>
                <w:lang w:eastAsia="en-US"/>
              </w:rPr>
              <w:t>exercitării concomitente (î</w:t>
            </w:r>
            <w:r w:rsidR="007E1A43" w:rsidRPr="007E1A43">
              <w:rPr>
                <w:bCs/>
                <w:color w:val="000000"/>
                <w:lang w:eastAsia="ro-RO"/>
              </w:rPr>
              <w:t>n cazul unei instituţii de credit</w:t>
            </w:r>
            <w:r w:rsidR="007E1A43">
              <w:rPr>
                <w:bCs/>
                <w:color w:val="000000"/>
                <w:lang w:eastAsia="ro-RO"/>
              </w:rPr>
              <w:t xml:space="preserve"> administrate în sistem unitar) de către </w:t>
            </w:r>
            <w:r w:rsidR="007E1A43" w:rsidRPr="007E1A43">
              <w:rPr>
                <w:bCs/>
                <w:color w:val="000000"/>
                <w:lang w:eastAsia="ro-RO"/>
              </w:rPr>
              <w:t>preşedintele consiliului de administraţie</w:t>
            </w:r>
            <w:r w:rsidR="007E1A43">
              <w:rPr>
                <w:bCs/>
                <w:color w:val="000000"/>
                <w:lang w:eastAsia="ro-RO"/>
              </w:rPr>
              <w:t>,</w:t>
            </w:r>
            <w:r w:rsidR="007E1A43" w:rsidRPr="007E1A43">
              <w:rPr>
                <w:bCs/>
                <w:color w:val="000000"/>
                <w:lang w:eastAsia="ro-RO"/>
              </w:rPr>
              <w:t xml:space="preserve"> </w:t>
            </w:r>
            <w:r w:rsidR="007E1A43">
              <w:rPr>
                <w:bCs/>
                <w:color w:val="000000"/>
                <w:lang w:eastAsia="ro-RO"/>
              </w:rPr>
              <w:t xml:space="preserve">a </w:t>
            </w:r>
            <w:r w:rsidR="007E1A43" w:rsidRPr="007E1A43">
              <w:rPr>
                <w:bCs/>
                <w:color w:val="000000"/>
                <w:lang w:eastAsia="ro-RO"/>
              </w:rPr>
              <w:t>funcţi</w:t>
            </w:r>
            <w:r w:rsidR="007E1A43">
              <w:rPr>
                <w:bCs/>
                <w:color w:val="000000"/>
                <w:lang w:eastAsia="ro-RO"/>
              </w:rPr>
              <w:t>ei</w:t>
            </w:r>
            <w:r w:rsidR="007E1A43" w:rsidRPr="007E1A43">
              <w:rPr>
                <w:bCs/>
                <w:color w:val="000000"/>
                <w:lang w:eastAsia="ro-RO"/>
              </w:rPr>
              <w:t xml:space="preserve"> de director general în cadrul aceleiaşi instituţii de credit</w:t>
            </w:r>
            <w:r w:rsidR="007E1A43">
              <w:rPr>
                <w:bCs/>
                <w:color w:val="000000"/>
                <w:lang w:eastAsia="ro-RO"/>
              </w:rPr>
              <w:t xml:space="preserve">, prin extinderea interdicției la exercitarea concomitentă a oricărei funcții executive, </w:t>
            </w:r>
            <w:r w:rsidR="007E1A43">
              <w:rPr>
                <w:color w:val="000000"/>
                <w:lang w:eastAsia="ro-RO"/>
              </w:rPr>
              <w:t xml:space="preserve">menținându-se excepția exercitării funcției </w:t>
            </w:r>
            <w:r w:rsidR="007E1A43" w:rsidRPr="004D7968">
              <w:rPr>
                <w:color w:val="000000"/>
                <w:lang w:eastAsia="ro-RO"/>
              </w:rPr>
              <w:t xml:space="preserve">de director general </w:t>
            </w:r>
            <w:r w:rsidR="007E1A43">
              <w:rPr>
                <w:color w:val="000000"/>
                <w:lang w:eastAsia="ro-RO"/>
              </w:rPr>
              <w:t xml:space="preserve">doar </w:t>
            </w:r>
            <w:r w:rsidR="007E1A43" w:rsidRPr="004D7968">
              <w:rPr>
                <w:color w:val="000000"/>
                <w:lang w:eastAsia="ro-RO"/>
              </w:rPr>
              <w:t>în cazuri bine justificate de instituția de credit</w:t>
            </w:r>
            <w:r w:rsidR="007E1A43">
              <w:rPr>
                <w:color w:val="000000"/>
                <w:lang w:eastAsia="ro-RO"/>
              </w:rPr>
              <w:t xml:space="preserve"> și </w:t>
            </w:r>
            <w:r w:rsidR="007E1A43" w:rsidRPr="004D7968">
              <w:rPr>
                <w:color w:val="000000"/>
                <w:lang w:eastAsia="ro-RO"/>
              </w:rPr>
              <w:t>cu aprobarea Băncii Naționale a României.</w:t>
            </w:r>
            <w:r w:rsidR="007E1A43">
              <w:rPr>
                <w:color w:val="000000"/>
                <w:lang w:eastAsia="ro-RO"/>
              </w:rPr>
              <w:t xml:space="preserve"> </w:t>
            </w:r>
            <w:r w:rsidR="00DC2DFF">
              <w:rPr>
                <w:color w:val="000000"/>
                <w:lang w:eastAsia="ro-RO"/>
              </w:rPr>
              <w:t xml:space="preserve">Modificarea propusă are în vedere </w:t>
            </w:r>
            <w:r>
              <w:rPr>
                <w:color w:val="000000"/>
                <w:lang w:eastAsia="ro-RO"/>
              </w:rPr>
              <w:t>statuarea principi</w:t>
            </w:r>
            <w:r w:rsidR="007F68AD">
              <w:rPr>
                <w:color w:val="000000"/>
                <w:lang w:eastAsia="ro-RO"/>
              </w:rPr>
              <w:t>i</w:t>
            </w:r>
            <w:r>
              <w:rPr>
                <w:color w:val="000000"/>
                <w:lang w:eastAsia="ro-RO"/>
              </w:rPr>
              <w:t>l</w:t>
            </w:r>
            <w:r w:rsidR="007F68AD">
              <w:rPr>
                <w:color w:val="000000"/>
                <w:lang w:eastAsia="ro-RO"/>
              </w:rPr>
              <w:t>or</w:t>
            </w:r>
            <w:r>
              <w:rPr>
                <w:color w:val="000000"/>
                <w:lang w:eastAsia="ro-RO"/>
              </w:rPr>
              <w:t xml:space="preserve"> de guvernanță </w:t>
            </w:r>
            <w:r w:rsidR="007F68AD" w:rsidRPr="004D7968">
              <w:rPr>
                <w:color w:val="000000"/>
                <w:lang w:eastAsia="ro-RO"/>
              </w:rPr>
              <w:t>(a</w:t>
            </w:r>
            <w:r w:rsidR="007F68AD">
              <w:rPr>
                <w:color w:val="000000"/>
                <w:lang w:eastAsia="ro-RO"/>
              </w:rPr>
              <w:t xml:space="preserve">stfel </w:t>
            </w:r>
            <w:r w:rsidR="007F68AD" w:rsidRPr="004D7968">
              <w:rPr>
                <w:color w:val="000000"/>
                <w:lang w:eastAsia="ro-RO"/>
              </w:rPr>
              <w:t xml:space="preserve">cum </w:t>
            </w:r>
            <w:r w:rsidR="00C023F2">
              <w:rPr>
                <w:color w:val="000000"/>
                <w:lang w:eastAsia="ro-RO"/>
              </w:rPr>
              <w:t xml:space="preserve">sunt prevăzute în </w:t>
            </w:r>
            <w:r w:rsidR="007F68AD" w:rsidRPr="004D7968">
              <w:rPr>
                <w:color w:val="000000"/>
                <w:lang w:eastAsia="ro-RO"/>
              </w:rPr>
              <w:t xml:space="preserve">standardele </w:t>
            </w:r>
            <w:r w:rsidR="007F68AD">
              <w:rPr>
                <w:color w:val="000000"/>
                <w:lang w:eastAsia="ro-RO"/>
              </w:rPr>
              <w:t xml:space="preserve">europene și internaționale </w:t>
            </w:r>
            <w:r w:rsidR="007F68AD" w:rsidRPr="004D7968">
              <w:rPr>
                <w:color w:val="000000"/>
                <w:lang w:eastAsia="ro-RO"/>
              </w:rPr>
              <w:t xml:space="preserve">în </w:t>
            </w:r>
            <w:r w:rsidR="007F68AD">
              <w:rPr>
                <w:color w:val="000000"/>
                <w:lang w:eastAsia="ro-RO"/>
              </w:rPr>
              <w:t>domeniu</w:t>
            </w:r>
            <w:r w:rsidR="007F68AD" w:rsidRPr="004D7968">
              <w:rPr>
                <w:color w:val="000000"/>
                <w:lang w:eastAsia="ro-RO"/>
              </w:rPr>
              <w:t>)</w:t>
            </w:r>
            <w:r w:rsidR="007F68AD">
              <w:rPr>
                <w:color w:val="000000"/>
                <w:lang w:eastAsia="ro-RO"/>
              </w:rPr>
              <w:t xml:space="preserve">, </w:t>
            </w:r>
            <w:r>
              <w:rPr>
                <w:color w:val="000000"/>
                <w:lang w:eastAsia="ro-RO"/>
              </w:rPr>
              <w:t>potrivit căr</w:t>
            </w:r>
            <w:r w:rsidR="007F68AD">
              <w:rPr>
                <w:color w:val="000000"/>
                <w:lang w:eastAsia="ro-RO"/>
              </w:rPr>
              <w:t>ora</w:t>
            </w:r>
            <w:r>
              <w:rPr>
                <w:color w:val="000000"/>
                <w:lang w:eastAsia="ro-RO"/>
              </w:rPr>
              <w:t xml:space="preserve"> </w:t>
            </w:r>
            <w:r w:rsidR="007F68AD" w:rsidRPr="007F68AD">
              <w:rPr>
                <w:color w:val="000000"/>
                <w:lang w:eastAsia="ro-RO"/>
              </w:rPr>
              <w:t xml:space="preserve">funcția de supraveghere exercită supravegherea activității </w:t>
            </w:r>
            <w:r w:rsidR="009B5840">
              <w:rPr>
                <w:color w:val="000000"/>
                <w:lang w:eastAsia="ro-RO"/>
              </w:rPr>
              <w:t xml:space="preserve">conducerii </w:t>
            </w:r>
            <w:r w:rsidR="007F68AD" w:rsidRPr="007F68AD">
              <w:rPr>
                <w:color w:val="000000"/>
                <w:lang w:eastAsia="ro-RO"/>
              </w:rPr>
              <w:t>executiv</w:t>
            </w:r>
            <w:r w:rsidR="009B5840">
              <w:rPr>
                <w:color w:val="000000"/>
                <w:lang w:eastAsia="ro-RO"/>
              </w:rPr>
              <w:t>e</w:t>
            </w:r>
            <w:r w:rsidR="007F68AD" w:rsidRPr="007F68AD">
              <w:rPr>
                <w:color w:val="000000"/>
                <w:lang w:eastAsia="ro-RO"/>
              </w:rPr>
              <w:t xml:space="preserve"> (directori</w:t>
            </w:r>
            <w:r w:rsidR="009B5840">
              <w:rPr>
                <w:color w:val="000000"/>
                <w:lang w:eastAsia="ro-RO"/>
              </w:rPr>
              <w:t>/membrii directoratului</w:t>
            </w:r>
            <w:r w:rsidR="007F68AD" w:rsidRPr="007F68AD">
              <w:rPr>
                <w:color w:val="000000"/>
                <w:lang w:eastAsia="ro-RO"/>
              </w:rPr>
              <w:t>)</w:t>
            </w:r>
            <w:r w:rsidR="00C023F2">
              <w:rPr>
                <w:color w:val="000000"/>
                <w:lang w:eastAsia="ro-RO"/>
              </w:rPr>
              <w:t xml:space="preserve"> iar </w:t>
            </w:r>
            <w:r w:rsidRPr="004D7968">
              <w:rPr>
                <w:color w:val="000000"/>
                <w:lang w:eastAsia="ro-RO"/>
              </w:rPr>
              <w:t>președintele organului de conducere în funcția sa de supraveghere treb</w:t>
            </w:r>
            <w:r w:rsidR="00C023F2">
              <w:rPr>
                <w:color w:val="000000"/>
                <w:lang w:eastAsia="ro-RO"/>
              </w:rPr>
              <w:t>uie să fie un membru neexecutiv</w:t>
            </w:r>
            <w:r w:rsidR="00DC2DFF">
              <w:rPr>
                <w:color w:val="000000"/>
                <w:lang w:eastAsia="ro-RO"/>
              </w:rPr>
              <w:t xml:space="preserve">, fiind astfel eliminată </w:t>
            </w:r>
            <w:r w:rsidRPr="004D7968">
              <w:rPr>
                <w:color w:val="000000"/>
                <w:lang w:eastAsia="ro-RO"/>
              </w:rPr>
              <w:t xml:space="preserve">orice potențială interpretare cum ar fi aceea că </w:t>
            </w:r>
            <w:r w:rsidR="00DC2DFF">
              <w:rPr>
                <w:color w:val="000000"/>
                <w:lang w:eastAsia="ro-RO"/>
              </w:rPr>
              <w:t>prevederea a</w:t>
            </w:r>
            <w:r w:rsidRPr="004D7968">
              <w:rPr>
                <w:color w:val="000000"/>
                <w:lang w:eastAsia="ro-RO"/>
              </w:rPr>
              <w:t>ctual</w:t>
            </w:r>
            <w:r w:rsidR="00DC2DFF">
              <w:rPr>
                <w:color w:val="000000"/>
                <w:lang w:eastAsia="ro-RO"/>
              </w:rPr>
              <w:t>ă</w:t>
            </w:r>
            <w:r w:rsidRPr="004D7968">
              <w:rPr>
                <w:color w:val="000000"/>
                <w:lang w:eastAsia="ro-RO"/>
              </w:rPr>
              <w:t xml:space="preserve"> ar putea permite ca președintele </w:t>
            </w:r>
            <w:r w:rsidR="00DC2DFF">
              <w:rPr>
                <w:color w:val="000000"/>
                <w:lang w:eastAsia="ro-RO"/>
              </w:rPr>
              <w:t xml:space="preserve">consiliului de administrație </w:t>
            </w:r>
            <w:r w:rsidRPr="004D7968">
              <w:rPr>
                <w:color w:val="000000"/>
                <w:lang w:eastAsia="ro-RO"/>
              </w:rPr>
              <w:t xml:space="preserve">să dețină alte atribuții executive în afara celor aferente funcției de director general (spre exemplu, director general adjunct sau director). </w:t>
            </w:r>
          </w:p>
          <w:p w14:paraId="1F2D0CE4" w14:textId="5E680425" w:rsidR="00FD3444" w:rsidRDefault="00FD3444" w:rsidP="007B2DD6">
            <w:pPr>
              <w:jc w:val="both"/>
              <w:rPr>
                <w:color w:val="000000"/>
                <w:lang w:eastAsia="ro-RO"/>
              </w:rPr>
            </w:pPr>
            <w:r w:rsidRPr="00A62DCE">
              <w:rPr>
                <w:color w:val="000000"/>
                <w:lang w:eastAsia="ro-RO"/>
              </w:rPr>
              <w:t>- s-au introdus prevederi referitoare la obligația tuturor instituțiilor de credit de a avea membri independenți în componența consiliului de administrație și a consiliului de supraveghere, ca urmare a recomandărilor formulate</w:t>
            </w:r>
            <w:r w:rsidR="00A41EC5" w:rsidRPr="00A62DCE">
              <w:rPr>
                <w:color w:val="000000"/>
                <w:lang w:eastAsia="ro-RO"/>
              </w:rPr>
              <w:t xml:space="preserve"> </w:t>
            </w:r>
            <w:r w:rsidR="000B1288" w:rsidRPr="00A62DCE">
              <w:t>cu ocazia misiunii de evaluare a sectorului financiar din România, realizată în perioada 2017 -2018 de Fondul Monetar Internațional și Banca Mondială (misiunea FSAP)</w:t>
            </w:r>
            <w:r w:rsidR="003B7528" w:rsidRPr="00A62DCE">
              <w:t xml:space="preserve"> </w:t>
            </w:r>
            <w:r w:rsidRPr="00A62DCE">
              <w:rPr>
                <w:color w:val="000000"/>
                <w:lang w:eastAsia="ro-RO"/>
              </w:rPr>
              <w:t>și a orientărilor în materie emise de A</w:t>
            </w:r>
            <w:r w:rsidR="00A41EC5" w:rsidRPr="00A62DCE">
              <w:rPr>
                <w:color w:val="000000"/>
                <w:lang w:eastAsia="ro-RO"/>
              </w:rPr>
              <w:t>BE</w:t>
            </w:r>
            <w:r w:rsidRPr="00A62DCE">
              <w:rPr>
                <w:color w:val="000000"/>
                <w:lang w:eastAsia="ro-RO"/>
              </w:rPr>
              <w:t>.</w:t>
            </w:r>
          </w:p>
          <w:p w14:paraId="5773E32B" w14:textId="2B245713" w:rsidR="004D7968" w:rsidRPr="00A62DCE" w:rsidRDefault="004D7968" w:rsidP="007B2DD6">
            <w:pPr>
              <w:jc w:val="both"/>
              <w:rPr>
                <w:color w:val="000000"/>
                <w:lang w:eastAsia="ro-RO"/>
              </w:rPr>
            </w:pPr>
            <w:r>
              <w:rPr>
                <w:color w:val="000000"/>
                <w:lang w:eastAsia="ro-RO"/>
              </w:rPr>
              <w:t xml:space="preserve">- </w:t>
            </w:r>
            <w:r w:rsidRPr="004D7968">
              <w:rPr>
                <w:color w:val="000000"/>
                <w:lang w:eastAsia="en-US"/>
              </w:rPr>
              <w:t xml:space="preserve"> </w:t>
            </w:r>
            <w:r>
              <w:rPr>
                <w:color w:val="000000"/>
                <w:lang w:eastAsia="en-US"/>
              </w:rPr>
              <w:t>s-au i</w:t>
            </w:r>
            <w:r w:rsidRPr="004D7968">
              <w:rPr>
                <w:color w:val="000000"/>
                <w:lang w:eastAsia="ro-RO"/>
              </w:rPr>
              <w:t>ntrodu</w:t>
            </w:r>
            <w:r>
              <w:rPr>
                <w:color w:val="000000"/>
                <w:lang w:eastAsia="ro-RO"/>
              </w:rPr>
              <w:t>s</w:t>
            </w:r>
            <w:r w:rsidRPr="004D7968">
              <w:rPr>
                <w:color w:val="000000"/>
                <w:lang w:eastAsia="ro-RO"/>
              </w:rPr>
              <w:t xml:space="preserve"> prevederi care statuează principiu</w:t>
            </w:r>
            <w:r>
              <w:rPr>
                <w:color w:val="000000"/>
                <w:lang w:eastAsia="ro-RO"/>
              </w:rPr>
              <w:t>l</w:t>
            </w:r>
            <w:r w:rsidRPr="004D7968">
              <w:rPr>
                <w:color w:val="000000"/>
                <w:lang w:eastAsia="ro-RO"/>
              </w:rPr>
              <w:t xml:space="preserve"> potrivit căruia AGA (care exercită dreptul de a numi conform Legii </w:t>
            </w:r>
            <w:r>
              <w:rPr>
                <w:color w:val="000000"/>
                <w:lang w:eastAsia="ro-RO"/>
              </w:rPr>
              <w:t xml:space="preserve">societăților </w:t>
            </w:r>
            <w:r w:rsidRPr="004D7968">
              <w:rPr>
                <w:color w:val="000000"/>
                <w:lang w:eastAsia="ro-RO"/>
              </w:rPr>
              <w:t>nr. 31/1990</w:t>
            </w:r>
            <w:r>
              <w:rPr>
                <w:color w:val="000000"/>
                <w:lang w:eastAsia="ro-RO"/>
              </w:rPr>
              <w:t>, republicată, cu modificările și completările ulterioare</w:t>
            </w:r>
            <w:r w:rsidRPr="004D7968">
              <w:rPr>
                <w:color w:val="000000"/>
                <w:lang w:eastAsia="ro-RO"/>
              </w:rPr>
              <w:t>) să aibă în vedere, atunci când face numirea membrilor consiliului de administrație sau a membrilor consiliului de supraveghere</w:t>
            </w:r>
            <w:r w:rsidR="007E1A43">
              <w:rPr>
                <w:color w:val="000000"/>
                <w:lang w:eastAsia="ro-RO"/>
              </w:rPr>
              <w:t>,</w:t>
            </w:r>
            <w:r w:rsidRPr="004D7968">
              <w:rPr>
                <w:color w:val="000000"/>
                <w:lang w:eastAsia="ro-RO"/>
              </w:rPr>
              <w:t xml:space="preserve"> respectarea cerințelor de adecvare prevăzute de OUG nr. 99/2006 și de </w:t>
            </w:r>
            <w:r w:rsidRPr="004D7968">
              <w:rPr>
                <w:color w:val="000000"/>
                <w:lang w:eastAsia="ro-RO"/>
              </w:rPr>
              <w:lastRenderedPageBreak/>
              <w:t xml:space="preserve">reglementările secundare în domeniu (aceleași cerințe ca cele aplicabile în cazul numirii de către </w:t>
            </w:r>
            <w:r>
              <w:rPr>
                <w:color w:val="000000"/>
                <w:lang w:eastAsia="ro-RO"/>
              </w:rPr>
              <w:t xml:space="preserve">organul de supraveghere </w:t>
            </w:r>
            <w:r w:rsidRPr="004D7968">
              <w:rPr>
                <w:color w:val="000000"/>
                <w:lang w:eastAsia="ro-RO"/>
              </w:rPr>
              <w:t xml:space="preserve">a membrilor conducerii </w:t>
            </w:r>
            <w:r w:rsidR="00C023F2">
              <w:rPr>
                <w:color w:val="000000"/>
                <w:lang w:eastAsia="ro-RO"/>
              </w:rPr>
              <w:t>executive)</w:t>
            </w:r>
            <w:r w:rsidRPr="004D7968">
              <w:rPr>
                <w:color w:val="000000"/>
                <w:lang w:eastAsia="ro-RO"/>
              </w:rPr>
              <w:t>.</w:t>
            </w:r>
          </w:p>
          <w:p w14:paraId="1E545A87" w14:textId="0CE10D2B" w:rsidR="00FD3444" w:rsidRPr="00A62DCE" w:rsidRDefault="007F68AD" w:rsidP="007B2DD6">
            <w:pPr>
              <w:jc w:val="both"/>
              <w:rPr>
                <w:color w:val="000000"/>
                <w:lang w:eastAsia="ro-RO"/>
              </w:rPr>
            </w:pPr>
            <w:r>
              <w:rPr>
                <w:color w:val="000000"/>
                <w:lang w:eastAsia="ro-RO"/>
              </w:rPr>
              <w:t>5</w:t>
            </w:r>
            <w:r w:rsidR="00FD3444" w:rsidRPr="00A62DCE">
              <w:rPr>
                <w:color w:val="000000"/>
                <w:lang w:eastAsia="ro-RO"/>
              </w:rPr>
              <w:t>. Introducerea unor prevederi privind tratamentul informațiilor primite de la autorități din state terțe, ca ur</w:t>
            </w:r>
            <w:r w:rsidR="000B1288" w:rsidRPr="00A62DCE">
              <w:rPr>
                <w:color w:val="000000"/>
                <w:lang w:eastAsia="ro-RO"/>
              </w:rPr>
              <w:t>mare a recomandărilor formulate</w:t>
            </w:r>
            <w:r w:rsidR="000B1288" w:rsidRPr="00A62DCE">
              <w:t xml:space="preserve"> cu ocazia misiunii FSAP</w:t>
            </w:r>
            <w:r w:rsidR="00FD3444" w:rsidRPr="00A62DCE">
              <w:rPr>
                <w:color w:val="000000"/>
                <w:lang w:eastAsia="ro-RO"/>
              </w:rPr>
              <w:t>.</w:t>
            </w:r>
          </w:p>
          <w:p w14:paraId="25219C66" w14:textId="30C2E91D" w:rsidR="00FD3444" w:rsidRPr="00A62DCE" w:rsidRDefault="007F68AD" w:rsidP="007B2DD6">
            <w:pPr>
              <w:jc w:val="both"/>
              <w:rPr>
                <w:color w:val="000000"/>
                <w:lang w:eastAsia="ro-RO"/>
              </w:rPr>
            </w:pPr>
            <w:r>
              <w:rPr>
                <w:color w:val="000000"/>
                <w:lang w:eastAsia="ro-RO"/>
              </w:rPr>
              <w:t>6</w:t>
            </w:r>
            <w:r w:rsidR="00FD3444" w:rsidRPr="00A62DCE">
              <w:rPr>
                <w:color w:val="000000"/>
                <w:lang w:eastAsia="ro-RO"/>
              </w:rPr>
              <w:t>. Modificarea prevederilor referitoare la instituția prescripției cu privire la aplicarea sancțiunilor și/sau a măsuril</w:t>
            </w:r>
            <w:r w:rsidR="000B1288" w:rsidRPr="00A62DCE">
              <w:rPr>
                <w:color w:val="000000"/>
                <w:lang w:eastAsia="ro-RO"/>
              </w:rPr>
              <w:t>or sancționatoare dispuse de Banca Națională a Românei instituțiilor de credit</w:t>
            </w:r>
            <w:r w:rsidR="00FD3444" w:rsidRPr="00A62DCE">
              <w:rPr>
                <w:color w:val="000000"/>
                <w:lang w:eastAsia="ro-RO"/>
              </w:rPr>
              <w:t xml:space="preserve">, în vederea armonizării cu prevederile din materia prevenirii și combaterii spălării banilor și finanțării terorismului. În acest sens, termenul </w:t>
            </w:r>
            <w:r w:rsidR="000B1288" w:rsidRPr="00A62DCE">
              <w:rPr>
                <w:color w:val="000000"/>
                <w:lang w:eastAsia="ro-RO"/>
              </w:rPr>
              <w:t>introdus</w:t>
            </w:r>
            <w:r w:rsidR="00FD3444" w:rsidRPr="00A62DCE">
              <w:rPr>
                <w:color w:val="000000"/>
                <w:lang w:eastAsia="ro-RO"/>
              </w:rPr>
              <w:t xml:space="preserve"> pentru prescripția aplicării sancțiunilor și măsurilor sancționatoare este de 5 ani de la data săvârșirii faptei (în prezent </w:t>
            </w:r>
            <w:r w:rsidR="000B1288" w:rsidRPr="00A62DCE">
              <w:rPr>
                <w:color w:val="000000"/>
                <w:lang w:eastAsia="ro-RO"/>
              </w:rPr>
              <w:t>prescripția</w:t>
            </w:r>
            <w:r w:rsidR="00FD3444" w:rsidRPr="00A62DCE">
              <w:rPr>
                <w:color w:val="000000"/>
                <w:lang w:eastAsia="ro-RO"/>
              </w:rPr>
              <w:t xml:space="preserve"> operează în termen de un an de la data constatării faptei, dar nu mai mult de 3 ani de la data săvârșirii faptei).</w:t>
            </w:r>
          </w:p>
          <w:p w14:paraId="1579C71B" w14:textId="4075C3BE" w:rsidR="00FD3444" w:rsidRDefault="007F68AD" w:rsidP="007B2DD6">
            <w:pPr>
              <w:jc w:val="both"/>
              <w:rPr>
                <w:color w:val="000000"/>
                <w:lang w:eastAsia="ro-RO"/>
              </w:rPr>
            </w:pPr>
            <w:r>
              <w:rPr>
                <w:color w:val="000000"/>
                <w:lang w:eastAsia="ro-RO"/>
              </w:rPr>
              <w:t>7</w:t>
            </w:r>
            <w:r w:rsidR="00FD3444" w:rsidRPr="00A62DCE">
              <w:rPr>
                <w:color w:val="000000"/>
                <w:lang w:eastAsia="ro-RO"/>
              </w:rPr>
              <w:t>. Modificări în vederea revizuirii trimiterilor la actele juridice care au suferit modificări de la ultima amendare a O.U.G. nr.99/2006, precum și modificări care au drept scop corectarea anumitor deficiențe ale textului legislativ.</w:t>
            </w:r>
          </w:p>
          <w:p w14:paraId="38AC35A3" w14:textId="6CC1F82A" w:rsidR="004B7493" w:rsidRPr="00A62DCE" w:rsidRDefault="004B7493" w:rsidP="004B7493">
            <w:pPr>
              <w:jc w:val="both"/>
              <w:rPr>
                <w:color w:val="000000"/>
              </w:rPr>
            </w:pPr>
            <w:r>
              <w:rPr>
                <w:color w:val="000000"/>
                <w:lang w:eastAsia="ro-RO"/>
              </w:rPr>
              <w:t xml:space="preserve">8. </w:t>
            </w:r>
            <w:r w:rsidRPr="00A62DCE">
              <w:t>Introducerea unor prevederi referitoare la restricțiile privind distribuirile în cazul nerespectării cerințe</w:t>
            </w:r>
            <w:r>
              <w:t>lor privind amortizoarele de capital.</w:t>
            </w:r>
          </w:p>
          <w:p w14:paraId="7BD8064F" w14:textId="26EC27E6" w:rsidR="00FD3444" w:rsidRPr="00A62DCE" w:rsidRDefault="004B7493" w:rsidP="007B2DD6">
            <w:pPr>
              <w:jc w:val="both"/>
              <w:rPr>
                <w:color w:val="000000"/>
                <w:lang w:eastAsia="ro-RO"/>
              </w:rPr>
            </w:pPr>
            <w:r>
              <w:rPr>
                <w:color w:val="000000"/>
                <w:lang w:eastAsia="ro-RO"/>
              </w:rPr>
              <w:t>9</w:t>
            </w:r>
            <w:r w:rsidR="00FD3444" w:rsidRPr="00A62DCE">
              <w:rPr>
                <w:color w:val="000000"/>
                <w:lang w:eastAsia="ro-RO"/>
              </w:rPr>
              <w:t xml:space="preserve">. </w:t>
            </w:r>
            <w:r w:rsidR="00064C98" w:rsidRPr="00A62DCE">
              <w:rPr>
                <w:color w:val="000000"/>
                <w:lang w:eastAsia="ro-RO"/>
              </w:rPr>
              <w:t xml:space="preserve">Introducerea unor prevederi care vizează </w:t>
            </w:r>
            <w:r w:rsidR="00FD3444" w:rsidRPr="00A62DCE">
              <w:rPr>
                <w:color w:val="000000"/>
                <w:lang w:eastAsia="ro-RO"/>
              </w:rPr>
              <w:t xml:space="preserve">punerea în aplicare a două sarcini naționale prevăzute de </w:t>
            </w:r>
            <w:r w:rsidR="00B101BD" w:rsidRPr="00A62DCE">
              <w:t>Regulamentul (UE) 2019</w:t>
            </w:r>
            <w:r w:rsidR="00EA6C3F" w:rsidRPr="00A62DCE">
              <w:t>/876</w:t>
            </w:r>
            <w:r w:rsidR="00064C98" w:rsidRPr="00A62DCE">
              <w:rPr>
                <w:color w:val="000000"/>
                <w:lang w:eastAsia="ro-RO"/>
              </w:rPr>
              <w:t>, în sensul desemnării</w:t>
            </w:r>
            <w:r w:rsidR="00AD4D84" w:rsidRPr="00A62DCE">
              <w:rPr>
                <w:color w:val="000000"/>
                <w:lang w:eastAsia="ro-RO"/>
              </w:rPr>
              <w:t xml:space="preserve"> </w:t>
            </w:r>
            <w:r w:rsidR="00B101BD" w:rsidRPr="00A62DCE">
              <w:rPr>
                <w:color w:val="000000"/>
                <w:lang w:eastAsia="ro-RO"/>
              </w:rPr>
              <w:t>Băncii Naționale a României în calitate de autoritate competentă</w:t>
            </w:r>
            <w:r w:rsidR="001A23BE" w:rsidRPr="00A62DCE">
              <w:rPr>
                <w:color w:val="000000"/>
                <w:lang w:eastAsia="ro-RO"/>
              </w:rPr>
              <w:t xml:space="preserve"> pentru instituțiile de credit</w:t>
            </w:r>
            <w:r w:rsidR="00B101BD" w:rsidRPr="00A62DCE">
              <w:rPr>
                <w:color w:val="000000"/>
                <w:lang w:eastAsia="ro-RO"/>
              </w:rPr>
              <w:t xml:space="preserve"> pentru aplicarea </w:t>
            </w:r>
            <w:r w:rsidR="00FD3444" w:rsidRPr="00A62DCE">
              <w:rPr>
                <w:color w:val="000000"/>
                <w:lang w:eastAsia="ro-RO"/>
              </w:rPr>
              <w:t>măsurilor prevăzute de art. 124 și</w:t>
            </w:r>
            <w:r w:rsidR="00064C98" w:rsidRPr="00A62DCE">
              <w:rPr>
                <w:color w:val="000000"/>
                <w:lang w:eastAsia="ro-RO"/>
              </w:rPr>
              <w:t xml:space="preserve"> 164 din Regulamentul</w:t>
            </w:r>
            <w:r w:rsidR="00B101BD" w:rsidRPr="00A62DCE">
              <w:rPr>
                <w:color w:val="000000"/>
                <w:lang w:eastAsia="ro-RO"/>
              </w:rPr>
              <w:t xml:space="preserve"> (UE) nr. 575/2013</w:t>
            </w:r>
            <w:r w:rsidR="00FD3444" w:rsidRPr="00A62DCE">
              <w:rPr>
                <w:color w:val="000000"/>
                <w:lang w:eastAsia="ro-RO"/>
              </w:rPr>
              <w:t>.</w:t>
            </w:r>
          </w:p>
          <w:p w14:paraId="29770B0C" w14:textId="77777777" w:rsidR="00FD3444" w:rsidRPr="00A62DCE" w:rsidRDefault="00FD3444" w:rsidP="007B2DD6">
            <w:pPr>
              <w:jc w:val="both"/>
              <w:rPr>
                <w:color w:val="000000"/>
                <w:lang w:eastAsia="ro-RO"/>
              </w:rPr>
            </w:pPr>
            <w:r w:rsidRPr="00A62DCE">
              <w:rPr>
                <w:color w:val="000000"/>
                <w:lang w:eastAsia="ro-RO"/>
              </w:rPr>
              <w:t xml:space="preserve">Prevederile art. </w:t>
            </w:r>
            <w:r w:rsidR="00064C98" w:rsidRPr="00A62DCE">
              <w:rPr>
                <w:color w:val="000000"/>
                <w:lang w:eastAsia="ro-RO"/>
              </w:rPr>
              <w:t xml:space="preserve">124, respectiv </w:t>
            </w:r>
            <w:r w:rsidR="00AD4D84" w:rsidRPr="00A62DCE">
              <w:rPr>
                <w:color w:val="000000"/>
                <w:lang w:eastAsia="ro-RO"/>
              </w:rPr>
              <w:t xml:space="preserve">ale </w:t>
            </w:r>
            <w:r w:rsidR="00064C98" w:rsidRPr="00A62DCE">
              <w:rPr>
                <w:color w:val="000000"/>
                <w:lang w:eastAsia="ro-RO"/>
              </w:rPr>
              <w:t>art. 164 din Regulamentul</w:t>
            </w:r>
            <w:r w:rsidRPr="00A62DCE">
              <w:rPr>
                <w:color w:val="000000"/>
                <w:lang w:eastAsia="ro-RO"/>
              </w:rPr>
              <w:t xml:space="preserve"> (UE) nr. 575/2013 </w:t>
            </w:r>
            <w:r w:rsidR="00AD4D84" w:rsidRPr="00A62DCE">
              <w:rPr>
                <w:color w:val="000000"/>
                <w:lang w:eastAsia="ro-RO"/>
              </w:rPr>
              <w:t>stabilesc</w:t>
            </w:r>
            <w:r w:rsidRPr="00A62DCE">
              <w:rPr>
                <w:color w:val="000000"/>
                <w:lang w:eastAsia="ro-RO"/>
              </w:rPr>
              <w:t xml:space="preserve"> realizarea unor evaluări periodice ale ponderilor de risc (art. 124), respectiv ale valorilor minime ale pierderilor în caz de nerambursare (art. 164) pentru expunerile garantate cu ipoteci asupra bunurilor imobile locative sau comerciale, în vederea identificării gradului de adecvare a acestora.</w:t>
            </w:r>
          </w:p>
          <w:p w14:paraId="6E446FA0" w14:textId="64973502" w:rsidR="004B7493" w:rsidRPr="00A62DCE" w:rsidRDefault="00FD3444" w:rsidP="007B2DD6">
            <w:pPr>
              <w:jc w:val="both"/>
              <w:rPr>
                <w:color w:val="000000"/>
                <w:lang w:eastAsia="ro-RO"/>
              </w:rPr>
            </w:pPr>
            <w:r w:rsidRPr="00A62DCE">
              <w:rPr>
                <w:color w:val="000000"/>
                <w:lang w:eastAsia="ro-RO"/>
              </w:rPr>
              <w:t>În cazul în care evaluările demonstrează că ponderile de risc/valorile minime ale pierderilor în caz de nerambursare nu reflectă riscurile reale legate de unul sau mai multe segmente imobiliare ale acestor expuneri, articolele prevăd posibilitatea stabilirii unei ponderi de risc mai mari, respectiv a unei valori minime mai mari pentru pierderea în caz de nerambursare, acolo unde este cazul, din considerente de stabilitate financiară.</w:t>
            </w:r>
          </w:p>
          <w:p w14:paraId="40CFBC26" w14:textId="77777777" w:rsidR="00726A5E" w:rsidRPr="00A62DCE" w:rsidRDefault="00726A5E" w:rsidP="007B2DD6">
            <w:pPr>
              <w:jc w:val="both"/>
              <w:rPr>
                <w:color w:val="000000"/>
                <w:lang w:eastAsia="ro-RO"/>
              </w:rPr>
            </w:pPr>
          </w:p>
        </w:tc>
      </w:tr>
      <w:tr w:rsidR="00726A5E" w:rsidRPr="00A62DCE" w14:paraId="4182C21E"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38A98CC0" w14:textId="77777777" w:rsidR="00726A5E" w:rsidRPr="00A62DCE" w:rsidRDefault="00B34CF3" w:rsidP="002E54DB">
            <w:pPr>
              <w:jc w:val="both"/>
            </w:pPr>
            <w:r w:rsidRPr="00A62DCE">
              <w:rPr>
                <w:b/>
              </w:rPr>
              <w:lastRenderedPageBreak/>
              <w:t>3. Alte informaţii</w:t>
            </w:r>
          </w:p>
          <w:p w14:paraId="5B8968B5" w14:textId="77777777" w:rsidR="00726A5E" w:rsidRPr="00A62DCE" w:rsidRDefault="00726A5E" w:rsidP="002E54DB">
            <w:pPr>
              <w:ind w:firstLine="612"/>
              <w:jc w:val="both"/>
            </w:pPr>
          </w:p>
        </w:tc>
      </w:tr>
      <w:tr w:rsidR="00726A5E" w:rsidRPr="00A62DCE" w14:paraId="255E6760"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505DD4FC" w14:textId="77777777" w:rsidR="00726A5E" w:rsidRPr="00A62DCE" w:rsidRDefault="00B34CF3" w:rsidP="002E54DB">
            <w:pPr>
              <w:jc w:val="center"/>
              <w:rPr>
                <w:b/>
              </w:rPr>
            </w:pPr>
            <w:r w:rsidRPr="00A62DCE">
              <w:rPr>
                <w:b/>
              </w:rPr>
              <w:t>Secţiunea a 3-a</w:t>
            </w:r>
          </w:p>
          <w:p w14:paraId="3AC0AA74" w14:textId="77777777" w:rsidR="00726A5E" w:rsidRPr="00A62DCE" w:rsidRDefault="00B34CF3" w:rsidP="002E54DB">
            <w:pPr>
              <w:jc w:val="center"/>
              <w:rPr>
                <w:b/>
              </w:rPr>
            </w:pPr>
            <w:r w:rsidRPr="00A62DCE">
              <w:rPr>
                <w:b/>
              </w:rPr>
              <w:t>Impactul socio-economic al proiectului de act normativ</w:t>
            </w:r>
          </w:p>
          <w:p w14:paraId="0C57F4FE" w14:textId="77777777" w:rsidR="00726A5E" w:rsidRPr="00A62DCE" w:rsidRDefault="00726A5E" w:rsidP="002E54DB">
            <w:pPr>
              <w:jc w:val="center"/>
              <w:rPr>
                <w:b/>
              </w:rPr>
            </w:pPr>
          </w:p>
        </w:tc>
      </w:tr>
      <w:tr w:rsidR="00726A5E" w:rsidRPr="00A62DCE" w14:paraId="44D5B156"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31B0A312" w14:textId="77777777" w:rsidR="00726A5E" w:rsidRPr="00A62DCE" w:rsidRDefault="00B34CF3" w:rsidP="002E54DB">
            <w:pPr>
              <w:jc w:val="both"/>
            </w:pPr>
            <w:r w:rsidRPr="00A62DCE">
              <w:rPr>
                <w:b/>
                <w:bCs/>
              </w:rPr>
              <w:t>1. Impact macro-economic</w:t>
            </w:r>
          </w:p>
          <w:p w14:paraId="606CB12B" w14:textId="77777777" w:rsidR="00726A5E" w:rsidRPr="00A62DCE" w:rsidRDefault="00B34CF3" w:rsidP="002E54DB">
            <w:pPr>
              <w:jc w:val="both"/>
            </w:pPr>
            <w:r w:rsidRPr="00A62DCE">
              <w:t>Nu este cazul</w:t>
            </w:r>
          </w:p>
        </w:tc>
      </w:tr>
      <w:tr w:rsidR="00726A5E" w:rsidRPr="00A62DCE" w14:paraId="05AF693A"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55010D9A" w14:textId="77777777" w:rsidR="00726A5E" w:rsidRPr="00A62DCE" w:rsidRDefault="00B34CF3" w:rsidP="002E54DB">
            <w:pPr>
              <w:jc w:val="both"/>
              <w:rPr>
                <w:bCs/>
              </w:rPr>
            </w:pPr>
            <w:r w:rsidRPr="00A62DCE">
              <w:rPr>
                <w:b/>
                <w:bCs/>
              </w:rPr>
              <w:t>1</w:t>
            </w:r>
            <w:r w:rsidRPr="00A62DCE">
              <w:rPr>
                <w:b/>
                <w:bCs/>
                <w:vertAlign w:val="superscript"/>
              </w:rPr>
              <w:t xml:space="preserve">1 </w:t>
            </w:r>
            <w:r w:rsidRPr="00A62DCE">
              <w:rPr>
                <w:b/>
              </w:rPr>
              <w:t>Impactul asupra mediului concurenţial şi domeniul ajutoarelor de stat</w:t>
            </w:r>
          </w:p>
          <w:p w14:paraId="2473B339" w14:textId="77777777" w:rsidR="00726A5E" w:rsidRPr="00A62DCE" w:rsidRDefault="00747CDB" w:rsidP="00886FB6">
            <w:pPr>
              <w:jc w:val="both"/>
            </w:pPr>
            <w:r w:rsidRPr="00A62DCE">
              <w:t>Nu este cazul</w:t>
            </w:r>
          </w:p>
        </w:tc>
      </w:tr>
      <w:tr w:rsidR="00726A5E" w:rsidRPr="00A62DCE" w14:paraId="6F288B1B"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35648F8B" w14:textId="77777777" w:rsidR="00726A5E" w:rsidRPr="00A62DCE" w:rsidRDefault="00B34CF3" w:rsidP="002E54DB">
            <w:pPr>
              <w:jc w:val="both"/>
            </w:pPr>
            <w:r w:rsidRPr="00A62DCE">
              <w:rPr>
                <w:b/>
                <w:bCs/>
              </w:rPr>
              <w:t>2. Impact asupra mediului de afaceri</w:t>
            </w:r>
          </w:p>
          <w:p w14:paraId="6DE3872F" w14:textId="77777777" w:rsidR="00726A5E" w:rsidRPr="00A62DCE" w:rsidRDefault="00B34CF3" w:rsidP="00747CDB">
            <w:pPr>
              <w:jc w:val="both"/>
            </w:pPr>
            <w:r w:rsidRPr="00A62DCE">
              <w:t>Se apreciază că</w:t>
            </w:r>
            <w:r w:rsidR="00DB660E" w:rsidRPr="00A62DCE">
              <w:t xml:space="preserve"> prin</w:t>
            </w:r>
            <w:r w:rsidRPr="00A62DCE">
              <w:t xml:space="preserve"> proiectul de act normativ </w:t>
            </w:r>
            <w:r w:rsidR="00DB660E" w:rsidRPr="00A62DCE">
              <w:t>se contribuie la consolidarea rezilienței sistemului bancar românesc și a încrede</w:t>
            </w:r>
            <w:r w:rsidR="004B18A7" w:rsidRPr="00A62DCE">
              <w:t>rii pieței în acest sistem. P</w:t>
            </w:r>
            <w:r w:rsidR="00DB660E" w:rsidRPr="00A62DCE">
              <w:t xml:space="preserve">roiectul de act normativ </w:t>
            </w:r>
            <w:r w:rsidR="00747CDB" w:rsidRPr="00A62DCE">
              <w:t>furnizează mediului de afaceri un grad sporit de claritate, predictibilitate și</w:t>
            </w:r>
            <w:r w:rsidR="00DB660E" w:rsidRPr="00A62DCE">
              <w:t xml:space="preserve"> certitudine juridică având în vedere următoarele:</w:t>
            </w:r>
          </w:p>
          <w:p w14:paraId="4CC5FF0C" w14:textId="77777777" w:rsidR="00DB660E" w:rsidRPr="00A62DCE" w:rsidRDefault="004B18A7" w:rsidP="00DB660E">
            <w:pPr>
              <w:pStyle w:val="ListParagraph"/>
              <w:numPr>
                <w:ilvl w:val="0"/>
                <w:numId w:val="4"/>
              </w:numPr>
              <w:jc w:val="both"/>
            </w:pPr>
            <w:r w:rsidRPr="00A62DCE">
              <w:t>a</w:t>
            </w:r>
            <w:r w:rsidR="00DB660E" w:rsidRPr="00A62DCE">
              <w:t xml:space="preserve">sigură, conform obiectivelor directivei europene pe care o transpune, o serie de măsuri care permit o mai bună conservare a capitalului instituțiilor de credit și permit Băncii Naționale a României, în calitate de autoritate competentă, să dispună o serie de măsuri, dacă este </w:t>
            </w:r>
            <w:r w:rsidRPr="00A62DCE">
              <w:t>cazul</w:t>
            </w:r>
            <w:r w:rsidR="00DB660E" w:rsidRPr="00A62DCE">
              <w:t>, pentru conservarea acestuia</w:t>
            </w:r>
            <w:r w:rsidRPr="00A62DCE">
              <w:t>;</w:t>
            </w:r>
          </w:p>
          <w:p w14:paraId="62D65BA1" w14:textId="77777777" w:rsidR="00C7551D" w:rsidRPr="00A62DCE" w:rsidRDefault="004B18A7" w:rsidP="00DB660E">
            <w:pPr>
              <w:pStyle w:val="ListParagraph"/>
              <w:numPr>
                <w:ilvl w:val="0"/>
                <w:numId w:val="4"/>
              </w:numPr>
              <w:jc w:val="both"/>
            </w:pPr>
            <w:r w:rsidRPr="00A62DCE">
              <w:t>s</w:t>
            </w:r>
            <w:r w:rsidR="00C7551D" w:rsidRPr="00A62DCE">
              <w:t>unt introduse o serie de prevederi care vizează îmbunătățirea sistemului de guvernanță corporativă în cadrul instituțiilor de credit</w:t>
            </w:r>
            <w:r w:rsidR="007375B3" w:rsidRPr="00A62DCE">
              <w:t>, menite</w:t>
            </w:r>
            <w:r w:rsidR="00C7551D" w:rsidRPr="00A62DCE">
              <w:t xml:space="preserve"> să contribuie la evitarea de riscuri excesive și să permită Băncii Naționale a României monitorizarea gradului de adecvare al mecanismelor privind cadrul de administrare a activității instituțiilor de credit</w:t>
            </w:r>
            <w:r w:rsidRPr="00A62DCE">
              <w:t>;</w:t>
            </w:r>
          </w:p>
          <w:p w14:paraId="54861B62" w14:textId="77777777" w:rsidR="007375B3" w:rsidRPr="00A62DCE" w:rsidRDefault="008F6D3C" w:rsidP="00DB660E">
            <w:pPr>
              <w:pStyle w:val="ListParagraph"/>
              <w:numPr>
                <w:ilvl w:val="0"/>
                <w:numId w:val="4"/>
              </w:numPr>
              <w:jc w:val="both"/>
            </w:pPr>
            <w:r w:rsidRPr="00A62DCE">
              <w:lastRenderedPageBreak/>
              <w:t xml:space="preserve">sunt incluse </w:t>
            </w:r>
            <w:r w:rsidR="00611BE9" w:rsidRPr="00A62DCE">
              <w:t xml:space="preserve"> anumit</w:t>
            </w:r>
            <w:r w:rsidRPr="00A62DCE">
              <w:t>e</w:t>
            </w:r>
            <w:r w:rsidR="004B18A7" w:rsidRPr="00A62DCE">
              <w:t xml:space="preserve"> societăți financiare holding și societăți financiare holding mixte care pot fi întreprinderi-mamă ale unor grupuri bancare</w:t>
            </w:r>
            <w:r w:rsidR="00AD4D84" w:rsidRPr="00A62DCE">
              <w:t xml:space="preserve"> </w:t>
            </w:r>
            <w:r w:rsidR="004B18A7" w:rsidRPr="00A62DCE">
              <w:t>în domeniul de aplicare direct al competențelor de supraveghere</w:t>
            </w:r>
            <w:r w:rsidR="00611BE9" w:rsidRPr="00A62DCE">
              <w:t>,</w:t>
            </w:r>
            <w:r w:rsidR="004B18A7" w:rsidRPr="00A62DCE">
              <w:t xml:space="preserve"> pentru a asigura conformitatea pe bază consolidată cu cerințele prudențiale în întregul grup;</w:t>
            </w:r>
          </w:p>
          <w:p w14:paraId="37D56E05" w14:textId="77777777" w:rsidR="007375B3" w:rsidRPr="00A62DCE" w:rsidRDefault="004B18A7" w:rsidP="004B18A7">
            <w:pPr>
              <w:pStyle w:val="ListParagraph"/>
              <w:numPr>
                <w:ilvl w:val="0"/>
                <w:numId w:val="4"/>
              </w:numPr>
              <w:jc w:val="both"/>
            </w:pPr>
            <w:r w:rsidRPr="00A62DCE">
              <w:t>s</w:t>
            </w:r>
            <w:r w:rsidR="007375B3" w:rsidRPr="00A62DCE">
              <w:t>unt clarificate alte aspecte de natură prudențială</w:t>
            </w:r>
            <w:r w:rsidR="003C0497" w:rsidRPr="00A62DCE">
              <w:t>.</w:t>
            </w:r>
          </w:p>
          <w:p w14:paraId="11EA937B" w14:textId="27C0D75D" w:rsidR="00A62DCE" w:rsidRPr="00E3060B" w:rsidRDefault="006943B5" w:rsidP="0085255D">
            <w:pPr>
              <w:jc w:val="both"/>
              <w:rPr>
                <w:bCs/>
              </w:rPr>
            </w:pPr>
            <w:r w:rsidRPr="00E3060B">
              <w:rPr>
                <w:bCs/>
              </w:rPr>
              <w:t>În egală măsură, proiectul de act normativ contribuie la consolidarea cadrului prudențial aplicabil firmelor de investiții și a încrederii investitorilor în piața de capital, prin îmbunătățirea metodelor de conservare a capitalului firmelor de investiții.</w:t>
            </w:r>
          </w:p>
        </w:tc>
      </w:tr>
      <w:tr w:rsidR="00726A5E" w:rsidRPr="00A62DCE" w14:paraId="6D91B33A"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016D7835" w14:textId="77777777" w:rsidR="00726A5E" w:rsidRPr="00A62DCE" w:rsidRDefault="00B34CF3" w:rsidP="002E54DB">
            <w:pPr>
              <w:jc w:val="both"/>
            </w:pPr>
            <w:r w:rsidRPr="00A62DCE">
              <w:rPr>
                <w:b/>
                <w:bCs/>
              </w:rPr>
              <w:lastRenderedPageBreak/>
              <w:t>3. Impact social</w:t>
            </w:r>
          </w:p>
          <w:p w14:paraId="5FA94439" w14:textId="77777777" w:rsidR="005A6396" w:rsidRPr="00A62DCE" w:rsidRDefault="0085255D" w:rsidP="002E54DB">
            <w:pPr>
              <w:jc w:val="both"/>
              <w:rPr>
                <w:b/>
                <w:bCs/>
              </w:rPr>
            </w:pPr>
            <w:r w:rsidRPr="00A62DCE">
              <w:t xml:space="preserve">Consolidarea încrederii în sistemul bancar românesc. </w:t>
            </w:r>
          </w:p>
          <w:p w14:paraId="7BAB16AC" w14:textId="2C12DEC8" w:rsidR="00A62DCE" w:rsidRPr="00E3060B" w:rsidRDefault="00976DFB" w:rsidP="002E54DB">
            <w:pPr>
              <w:jc w:val="both"/>
              <w:rPr>
                <w:bCs/>
              </w:rPr>
            </w:pPr>
            <w:r w:rsidRPr="00E3060B">
              <w:rPr>
                <w:bCs/>
              </w:rPr>
              <w:t>Consolidarea încrederii investitorilor în piața de capital.</w:t>
            </w:r>
          </w:p>
        </w:tc>
      </w:tr>
      <w:tr w:rsidR="00726A5E" w:rsidRPr="00A62DCE" w14:paraId="14DA4773"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0995A3E5" w14:textId="77777777" w:rsidR="00726A5E" w:rsidRPr="00A62DCE" w:rsidRDefault="00B34CF3" w:rsidP="002E54DB">
            <w:pPr>
              <w:jc w:val="both"/>
              <w:rPr>
                <w:bCs/>
              </w:rPr>
            </w:pPr>
            <w:r w:rsidRPr="00A62DCE">
              <w:rPr>
                <w:b/>
              </w:rPr>
              <w:t>4. Impact asupra mediului</w:t>
            </w:r>
          </w:p>
          <w:p w14:paraId="4CBD4A5A" w14:textId="77777777" w:rsidR="00726A5E" w:rsidRPr="00A62DCE" w:rsidRDefault="00B34CF3" w:rsidP="002E54DB">
            <w:pPr>
              <w:autoSpaceDE w:val="0"/>
              <w:jc w:val="both"/>
            </w:pPr>
            <w:r w:rsidRPr="00A62DCE">
              <w:rPr>
                <w:bCs/>
              </w:rPr>
              <w:t>Nu este cazul</w:t>
            </w:r>
          </w:p>
        </w:tc>
      </w:tr>
      <w:tr w:rsidR="00726A5E" w:rsidRPr="00A62DCE" w14:paraId="64DB65AE"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14F3B7B5" w14:textId="77777777" w:rsidR="00726A5E" w:rsidRPr="00A62DCE" w:rsidRDefault="00B34CF3" w:rsidP="002E54DB">
            <w:pPr>
              <w:jc w:val="both"/>
            </w:pPr>
            <w:r w:rsidRPr="00A62DCE">
              <w:rPr>
                <w:b/>
                <w:bCs/>
              </w:rPr>
              <w:t xml:space="preserve">5. Alte </w:t>
            </w:r>
            <w:r w:rsidR="0010469E" w:rsidRPr="00A62DCE">
              <w:rPr>
                <w:b/>
                <w:bCs/>
              </w:rPr>
              <w:t>informații</w:t>
            </w:r>
          </w:p>
        </w:tc>
      </w:tr>
      <w:tr w:rsidR="00726A5E" w:rsidRPr="00A62DCE" w14:paraId="59D38C5A"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5E1E2D70" w14:textId="77777777" w:rsidR="00FF6A5F" w:rsidRDefault="00FF6A5F" w:rsidP="002E54DB">
            <w:pPr>
              <w:jc w:val="center"/>
              <w:rPr>
                <w:b/>
              </w:rPr>
            </w:pPr>
          </w:p>
          <w:p w14:paraId="4FD8B6A0" w14:textId="6F8BB7FC" w:rsidR="00726A5E" w:rsidRPr="00A62DCE" w:rsidRDefault="0010469E" w:rsidP="002E54DB">
            <w:pPr>
              <w:jc w:val="center"/>
              <w:rPr>
                <w:b/>
              </w:rPr>
            </w:pPr>
            <w:r w:rsidRPr="00A62DCE">
              <w:rPr>
                <w:b/>
              </w:rPr>
              <w:t>Secțiunea</w:t>
            </w:r>
            <w:r w:rsidR="00B34CF3" w:rsidRPr="00A62DCE">
              <w:rPr>
                <w:b/>
              </w:rPr>
              <w:t xml:space="preserve"> a 4-a</w:t>
            </w:r>
          </w:p>
          <w:p w14:paraId="47E2FFFA" w14:textId="77777777" w:rsidR="00726A5E" w:rsidRPr="00A62DCE" w:rsidRDefault="00B34CF3" w:rsidP="002E54DB">
            <w:pPr>
              <w:jc w:val="center"/>
              <w:rPr>
                <w:b/>
              </w:rPr>
            </w:pPr>
            <w:r w:rsidRPr="00A62DCE">
              <w:rPr>
                <w:b/>
              </w:rPr>
              <w:t>Impactul financiar asupra bugetului general consolidat,</w:t>
            </w:r>
          </w:p>
          <w:p w14:paraId="6A82EA37" w14:textId="77777777" w:rsidR="00726A5E" w:rsidRPr="00A62DCE" w:rsidRDefault="00B34CF3" w:rsidP="002E54DB">
            <w:pPr>
              <w:jc w:val="center"/>
              <w:rPr>
                <w:b/>
              </w:rPr>
            </w:pPr>
            <w:r w:rsidRPr="00A62DCE">
              <w:rPr>
                <w:b/>
              </w:rPr>
              <w:t xml:space="preserve">atât pe termen scurt, pentru anul curent, cât şi pe termen lung </w:t>
            </w:r>
          </w:p>
          <w:p w14:paraId="3B603C5D" w14:textId="77777777" w:rsidR="00726A5E" w:rsidRPr="00A62DCE" w:rsidRDefault="00B34CF3" w:rsidP="002E54DB">
            <w:pPr>
              <w:jc w:val="center"/>
              <w:rPr>
                <w:b/>
                <w:shd w:val="clear" w:color="auto" w:fill="FFFF00"/>
              </w:rPr>
            </w:pPr>
            <w:r w:rsidRPr="00A62DCE">
              <w:rPr>
                <w:b/>
              </w:rPr>
              <w:t>(pe 5 ani)</w:t>
            </w:r>
          </w:p>
          <w:p w14:paraId="75F88357" w14:textId="77777777" w:rsidR="00726A5E" w:rsidRPr="00A62DCE" w:rsidRDefault="00726A5E" w:rsidP="002E54DB">
            <w:pPr>
              <w:rPr>
                <w:b/>
                <w:shd w:val="clear" w:color="auto" w:fill="FFFF00"/>
              </w:rPr>
            </w:pPr>
          </w:p>
        </w:tc>
      </w:tr>
      <w:tr w:rsidR="00726A5E" w:rsidRPr="00A62DCE" w14:paraId="071675FF"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23BC3A54" w14:textId="77777777" w:rsidR="00726A5E" w:rsidRPr="00A62DCE" w:rsidRDefault="00B34CF3" w:rsidP="002E54DB">
            <w:pPr>
              <w:jc w:val="right"/>
            </w:pPr>
            <w:r w:rsidRPr="00A62DCE">
              <w:t>- în mii lei (RON) -</w:t>
            </w:r>
          </w:p>
        </w:tc>
      </w:tr>
      <w:tr w:rsidR="00726A5E" w:rsidRPr="00A62DCE" w14:paraId="7FE1378E" w14:textId="77777777" w:rsidTr="002E54DB">
        <w:tc>
          <w:tcPr>
            <w:tcW w:w="3481" w:type="dxa"/>
            <w:tcBorders>
              <w:top w:val="single" w:sz="4" w:space="0" w:color="000000"/>
              <w:left w:val="single" w:sz="4" w:space="0" w:color="000000"/>
              <w:bottom w:val="single" w:sz="4" w:space="0" w:color="000000"/>
            </w:tcBorders>
            <w:shd w:val="clear" w:color="auto" w:fill="auto"/>
          </w:tcPr>
          <w:p w14:paraId="03B96413" w14:textId="77777777" w:rsidR="00726A5E" w:rsidRPr="00A62DCE" w:rsidRDefault="00B34CF3" w:rsidP="002E54DB">
            <w:pPr>
              <w:jc w:val="center"/>
            </w:pPr>
            <w:r w:rsidRPr="00A62DCE">
              <w:t>Indicatori</w:t>
            </w:r>
          </w:p>
        </w:tc>
        <w:tc>
          <w:tcPr>
            <w:tcW w:w="1440" w:type="dxa"/>
            <w:tcBorders>
              <w:top w:val="single" w:sz="4" w:space="0" w:color="000000"/>
              <w:left w:val="single" w:sz="4" w:space="0" w:color="000000"/>
              <w:bottom w:val="single" w:sz="4" w:space="0" w:color="000000"/>
            </w:tcBorders>
            <w:shd w:val="clear" w:color="auto" w:fill="auto"/>
          </w:tcPr>
          <w:p w14:paraId="7A40D55C" w14:textId="77777777" w:rsidR="00726A5E" w:rsidRPr="00A62DCE" w:rsidRDefault="00B34CF3" w:rsidP="002E54DB">
            <w:pPr>
              <w:jc w:val="center"/>
            </w:pPr>
            <w:r w:rsidRPr="00A62DCE">
              <w:t>Anul curent</w:t>
            </w:r>
          </w:p>
        </w:tc>
        <w:tc>
          <w:tcPr>
            <w:tcW w:w="4140" w:type="dxa"/>
            <w:gridSpan w:val="4"/>
            <w:tcBorders>
              <w:top w:val="single" w:sz="4" w:space="0" w:color="000000"/>
              <w:left w:val="single" w:sz="4" w:space="0" w:color="000000"/>
              <w:bottom w:val="single" w:sz="4" w:space="0" w:color="000000"/>
            </w:tcBorders>
            <w:shd w:val="clear" w:color="auto" w:fill="auto"/>
          </w:tcPr>
          <w:p w14:paraId="24462DEC" w14:textId="77777777" w:rsidR="00726A5E" w:rsidRPr="00A62DCE" w:rsidRDefault="00B34CF3" w:rsidP="002E54DB">
            <w:pPr>
              <w:jc w:val="center"/>
            </w:pPr>
            <w:r w:rsidRPr="00A62DCE">
              <w:t>Următorii patru ani</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335C882F" w14:textId="77777777" w:rsidR="00726A5E" w:rsidRPr="00A62DCE" w:rsidRDefault="00B34CF3" w:rsidP="002E54DB">
            <w:pPr>
              <w:jc w:val="center"/>
            </w:pPr>
            <w:r w:rsidRPr="00A62DCE">
              <w:t xml:space="preserve">Media pe patru ani </w:t>
            </w:r>
          </w:p>
        </w:tc>
      </w:tr>
      <w:tr w:rsidR="00726A5E" w:rsidRPr="00A62DCE" w14:paraId="2B0AC245" w14:textId="77777777" w:rsidTr="002E54DB">
        <w:tc>
          <w:tcPr>
            <w:tcW w:w="3481" w:type="dxa"/>
            <w:tcBorders>
              <w:top w:val="single" w:sz="4" w:space="0" w:color="000000"/>
              <w:left w:val="single" w:sz="4" w:space="0" w:color="000000"/>
              <w:bottom w:val="single" w:sz="4" w:space="0" w:color="000000"/>
            </w:tcBorders>
            <w:shd w:val="clear" w:color="auto" w:fill="auto"/>
          </w:tcPr>
          <w:p w14:paraId="7E1D4389" w14:textId="77777777" w:rsidR="00726A5E" w:rsidRPr="00A62DCE" w:rsidRDefault="00B34CF3" w:rsidP="002E54DB">
            <w:pPr>
              <w:jc w:val="center"/>
            </w:pPr>
            <w:r w:rsidRPr="00A62DCE">
              <w:t>1</w:t>
            </w:r>
          </w:p>
        </w:tc>
        <w:tc>
          <w:tcPr>
            <w:tcW w:w="1440" w:type="dxa"/>
            <w:tcBorders>
              <w:top w:val="single" w:sz="4" w:space="0" w:color="000000"/>
              <w:left w:val="single" w:sz="4" w:space="0" w:color="000000"/>
              <w:bottom w:val="single" w:sz="4" w:space="0" w:color="000000"/>
            </w:tcBorders>
            <w:shd w:val="clear" w:color="auto" w:fill="auto"/>
          </w:tcPr>
          <w:p w14:paraId="43B4CFD6" w14:textId="77777777" w:rsidR="00726A5E" w:rsidRPr="00A62DCE" w:rsidRDefault="00B34CF3" w:rsidP="002E54DB">
            <w:pPr>
              <w:jc w:val="center"/>
            </w:pPr>
            <w:r w:rsidRPr="00A62DCE">
              <w:t>2</w:t>
            </w:r>
            <w:r w:rsidR="00265864" w:rsidRPr="00A62DCE">
              <w:t>020</w:t>
            </w:r>
          </w:p>
        </w:tc>
        <w:tc>
          <w:tcPr>
            <w:tcW w:w="914" w:type="dxa"/>
            <w:tcBorders>
              <w:top w:val="single" w:sz="4" w:space="0" w:color="000000"/>
              <w:left w:val="single" w:sz="4" w:space="0" w:color="000000"/>
              <w:bottom w:val="single" w:sz="4" w:space="0" w:color="000000"/>
            </w:tcBorders>
            <w:shd w:val="clear" w:color="auto" w:fill="auto"/>
          </w:tcPr>
          <w:p w14:paraId="0A962255" w14:textId="77777777" w:rsidR="00726A5E" w:rsidRPr="00A62DCE" w:rsidRDefault="00265864" w:rsidP="002E54DB">
            <w:pPr>
              <w:jc w:val="center"/>
            </w:pPr>
            <w:r w:rsidRPr="00A62DCE">
              <w:t>2021</w:t>
            </w:r>
          </w:p>
        </w:tc>
        <w:tc>
          <w:tcPr>
            <w:tcW w:w="1174" w:type="dxa"/>
            <w:tcBorders>
              <w:top w:val="single" w:sz="4" w:space="0" w:color="000000"/>
              <w:left w:val="single" w:sz="4" w:space="0" w:color="000000"/>
              <w:bottom w:val="single" w:sz="4" w:space="0" w:color="000000"/>
            </w:tcBorders>
            <w:shd w:val="clear" w:color="auto" w:fill="auto"/>
          </w:tcPr>
          <w:p w14:paraId="3CAFC556" w14:textId="77777777" w:rsidR="00726A5E" w:rsidRPr="00A62DCE" w:rsidRDefault="00265864" w:rsidP="00265864">
            <w:pPr>
              <w:jc w:val="center"/>
            </w:pPr>
            <w:r w:rsidRPr="00A62DCE">
              <w:t>2022</w:t>
            </w:r>
          </w:p>
        </w:tc>
        <w:tc>
          <w:tcPr>
            <w:tcW w:w="972" w:type="dxa"/>
            <w:tcBorders>
              <w:top w:val="single" w:sz="4" w:space="0" w:color="000000"/>
              <w:left w:val="single" w:sz="4" w:space="0" w:color="000000"/>
              <w:bottom w:val="single" w:sz="4" w:space="0" w:color="000000"/>
            </w:tcBorders>
            <w:shd w:val="clear" w:color="auto" w:fill="auto"/>
          </w:tcPr>
          <w:p w14:paraId="3E323F65" w14:textId="77777777" w:rsidR="00726A5E" w:rsidRPr="00A62DCE" w:rsidRDefault="00265864" w:rsidP="002E54DB">
            <w:pPr>
              <w:jc w:val="center"/>
            </w:pPr>
            <w:r w:rsidRPr="00A62DCE">
              <w:t>2023</w:t>
            </w:r>
          </w:p>
        </w:tc>
        <w:tc>
          <w:tcPr>
            <w:tcW w:w="1080" w:type="dxa"/>
            <w:tcBorders>
              <w:top w:val="single" w:sz="4" w:space="0" w:color="000000"/>
              <w:left w:val="single" w:sz="4" w:space="0" w:color="000000"/>
              <w:bottom w:val="single" w:sz="4" w:space="0" w:color="000000"/>
            </w:tcBorders>
            <w:shd w:val="clear" w:color="auto" w:fill="auto"/>
          </w:tcPr>
          <w:p w14:paraId="28B6E6A6" w14:textId="77777777" w:rsidR="00726A5E" w:rsidRPr="00A62DCE" w:rsidRDefault="00265864" w:rsidP="002E54DB">
            <w:pPr>
              <w:jc w:val="center"/>
            </w:pPr>
            <w:r w:rsidRPr="00A62DCE">
              <w:t>2024</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0BBB49CC" w14:textId="77777777" w:rsidR="00726A5E" w:rsidRPr="00A62DCE" w:rsidRDefault="00B34CF3" w:rsidP="002E54DB">
            <w:pPr>
              <w:jc w:val="center"/>
            </w:pPr>
            <w:r w:rsidRPr="00A62DCE">
              <w:t>7</w:t>
            </w:r>
          </w:p>
        </w:tc>
      </w:tr>
      <w:tr w:rsidR="00726A5E" w:rsidRPr="00A62DCE" w14:paraId="2CC3A31B" w14:textId="77777777" w:rsidTr="002E54DB">
        <w:tc>
          <w:tcPr>
            <w:tcW w:w="3481" w:type="dxa"/>
            <w:tcBorders>
              <w:top w:val="single" w:sz="4" w:space="0" w:color="000000"/>
              <w:left w:val="single" w:sz="4" w:space="0" w:color="000000"/>
              <w:bottom w:val="single" w:sz="4" w:space="0" w:color="000000"/>
            </w:tcBorders>
            <w:shd w:val="clear" w:color="auto" w:fill="auto"/>
          </w:tcPr>
          <w:p w14:paraId="56CB9C85" w14:textId="77777777" w:rsidR="00726A5E" w:rsidRPr="00A62DCE" w:rsidRDefault="00B34CF3" w:rsidP="002E54DB">
            <w:pPr>
              <w:jc w:val="both"/>
            </w:pPr>
            <w:r w:rsidRPr="00A62DCE">
              <w:t>1. Modificări ale veniturilor bugetare, în plus/minus, din care:</w:t>
            </w:r>
          </w:p>
          <w:p w14:paraId="5C4070C8" w14:textId="77777777" w:rsidR="00726A5E" w:rsidRPr="00A62DCE" w:rsidRDefault="00B34CF3" w:rsidP="002E54DB">
            <w:pPr>
              <w:jc w:val="both"/>
            </w:pPr>
            <w:r w:rsidRPr="00A62DCE">
              <w:t>a) buget de stat, din acesta:</w:t>
            </w:r>
          </w:p>
          <w:p w14:paraId="2F339A06" w14:textId="77777777" w:rsidR="00726A5E" w:rsidRPr="00A62DCE" w:rsidRDefault="00B34CF3" w:rsidP="002E54DB">
            <w:pPr>
              <w:numPr>
                <w:ilvl w:val="0"/>
                <w:numId w:val="5"/>
              </w:numPr>
              <w:ind w:left="0"/>
              <w:jc w:val="both"/>
            </w:pPr>
            <w:r w:rsidRPr="00A62DCE">
              <w:t>impozit pe profit</w:t>
            </w:r>
          </w:p>
          <w:p w14:paraId="69A8AB33" w14:textId="77777777" w:rsidR="00726A5E" w:rsidRPr="00A62DCE" w:rsidRDefault="00B34CF3" w:rsidP="002E54DB">
            <w:pPr>
              <w:numPr>
                <w:ilvl w:val="0"/>
                <w:numId w:val="5"/>
              </w:numPr>
              <w:ind w:left="0"/>
              <w:jc w:val="both"/>
            </w:pPr>
            <w:r w:rsidRPr="00A62DCE">
              <w:t>impozit pe venit</w:t>
            </w:r>
          </w:p>
          <w:p w14:paraId="06BCA743" w14:textId="77777777" w:rsidR="00726A5E" w:rsidRPr="00A62DCE" w:rsidRDefault="00B34CF3" w:rsidP="002E54DB">
            <w:pPr>
              <w:numPr>
                <w:ilvl w:val="0"/>
                <w:numId w:val="5"/>
              </w:numPr>
              <w:ind w:left="0"/>
              <w:jc w:val="both"/>
            </w:pPr>
            <w:r w:rsidRPr="00A62DCE">
              <w:t>TVA</w:t>
            </w:r>
          </w:p>
          <w:p w14:paraId="0E695FC1" w14:textId="77777777" w:rsidR="00726A5E" w:rsidRPr="00A62DCE" w:rsidRDefault="00B34CF3" w:rsidP="002E54DB">
            <w:pPr>
              <w:jc w:val="both"/>
            </w:pPr>
            <w:r w:rsidRPr="00A62DCE">
              <w:t>b) bugete locale</w:t>
            </w:r>
          </w:p>
          <w:p w14:paraId="7B8B1B3E" w14:textId="77777777" w:rsidR="00726A5E" w:rsidRPr="00A62DCE" w:rsidRDefault="00B34CF3" w:rsidP="002E54DB">
            <w:pPr>
              <w:numPr>
                <w:ilvl w:val="0"/>
                <w:numId w:val="6"/>
              </w:numPr>
              <w:ind w:left="0"/>
              <w:jc w:val="both"/>
            </w:pPr>
            <w:r w:rsidRPr="00A62DCE">
              <w:t>impozit pe profit</w:t>
            </w:r>
          </w:p>
          <w:p w14:paraId="22A11934" w14:textId="77777777" w:rsidR="00726A5E" w:rsidRPr="00A62DCE" w:rsidRDefault="00B34CF3" w:rsidP="002E54DB">
            <w:pPr>
              <w:jc w:val="both"/>
            </w:pPr>
            <w:r w:rsidRPr="00A62DCE">
              <w:t>c) bugetul asigurărilor sociale de stat:</w:t>
            </w:r>
          </w:p>
          <w:p w14:paraId="1950A726" w14:textId="77777777" w:rsidR="00726A5E" w:rsidRPr="00A62DCE" w:rsidRDefault="00B34CF3" w:rsidP="002E54DB">
            <w:pPr>
              <w:numPr>
                <w:ilvl w:val="0"/>
                <w:numId w:val="3"/>
              </w:numPr>
              <w:ind w:left="0"/>
              <w:jc w:val="both"/>
            </w:pPr>
            <w:r w:rsidRPr="00A62DCE">
              <w:t>contribuţii de asigurări</w:t>
            </w:r>
          </w:p>
        </w:tc>
        <w:tc>
          <w:tcPr>
            <w:tcW w:w="1440" w:type="dxa"/>
            <w:tcBorders>
              <w:top w:val="single" w:sz="4" w:space="0" w:color="000000"/>
              <w:left w:val="single" w:sz="4" w:space="0" w:color="000000"/>
              <w:bottom w:val="single" w:sz="4" w:space="0" w:color="000000"/>
            </w:tcBorders>
            <w:shd w:val="clear" w:color="auto" w:fill="auto"/>
          </w:tcPr>
          <w:p w14:paraId="46292CAE" w14:textId="77777777" w:rsidR="00726A5E" w:rsidRPr="00A62DCE" w:rsidRDefault="00726A5E" w:rsidP="002E54DB">
            <w:pPr>
              <w:snapToGrid w:val="0"/>
            </w:pPr>
          </w:p>
          <w:p w14:paraId="34A3DAD1" w14:textId="77777777" w:rsidR="00726A5E" w:rsidRPr="00A62DCE" w:rsidRDefault="00726A5E" w:rsidP="002E54DB"/>
          <w:p w14:paraId="0D0E41F8" w14:textId="77777777" w:rsidR="00726A5E" w:rsidRPr="00A62DCE" w:rsidRDefault="00726A5E" w:rsidP="002E54DB"/>
        </w:tc>
        <w:tc>
          <w:tcPr>
            <w:tcW w:w="914" w:type="dxa"/>
            <w:tcBorders>
              <w:top w:val="single" w:sz="4" w:space="0" w:color="000000"/>
              <w:left w:val="single" w:sz="4" w:space="0" w:color="000000"/>
              <w:bottom w:val="single" w:sz="4" w:space="0" w:color="000000"/>
            </w:tcBorders>
            <w:shd w:val="clear" w:color="auto" w:fill="auto"/>
          </w:tcPr>
          <w:p w14:paraId="770589DA" w14:textId="77777777" w:rsidR="00726A5E" w:rsidRPr="00A62DCE" w:rsidRDefault="00726A5E" w:rsidP="002E54DB">
            <w:pPr>
              <w:pStyle w:val="Header"/>
              <w:tabs>
                <w:tab w:val="left" w:pos="720"/>
              </w:tabs>
              <w:snapToGrid w:val="0"/>
              <w:jc w:val="center"/>
              <w:rPr>
                <w:rFonts w:ascii="Times New Roman" w:hAnsi="Times New Roman" w:cs="Times New Roman"/>
                <w:sz w:val="24"/>
                <w:szCs w:val="24"/>
                <w:lang w:val="ro-RO"/>
              </w:rPr>
            </w:pPr>
          </w:p>
        </w:tc>
        <w:tc>
          <w:tcPr>
            <w:tcW w:w="1174" w:type="dxa"/>
            <w:tcBorders>
              <w:top w:val="single" w:sz="4" w:space="0" w:color="000000"/>
              <w:left w:val="single" w:sz="4" w:space="0" w:color="000000"/>
              <w:bottom w:val="single" w:sz="4" w:space="0" w:color="000000"/>
            </w:tcBorders>
            <w:shd w:val="clear" w:color="auto" w:fill="auto"/>
          </w:tcPr>
          <w:p w14:paraId="2A866A54" w14:textId="77777777" w:rsidR="00726A5E" w:rsidRPr="00A62DCE" w:rsidRDefault="00726A5E" w:rsidP="002E54DB">
            <w:pPr>
              <w:snapToGrid w:val="0"/>
              <w:jc w:val="right"/>
            </w:pPr>
          </w:p>
        </w:tc>
        <w:tc>
          <w:tcPr>
            <w:tcW w:w="972" w:type="dxa"/>
            <w:tcBorders>
              <w:top w:val="single" w:sz="4" w:space="0" w:color="000000"/>
              <w:left w:val="single" w:sz="4" w:space="0" w:color="000000"/>
              <w:bottom w:val="single" w:sz="4" w:space="0" w:color="000000"/>
            </w:tcBorders>
            <w:shd w:val="clear" w:color="auto" w:fill="auto"/>
          </w:tcPr>
          <w:p w14:paraId="01A9F55B" w14:textId="77777777" w:rsidR="00726A5E" w:rsidRPr="00A62DCE" w:rsidRDefault="00726A5E" w:rsidP="002E54DB">
            <w:pPr>
              <w:snapToGrid w:val="0"/>
              <w:jc w:val="right"/>
            </w:pPr>
          </w:p>
        </w:tc>
        <w:tc>
          <w:tcPr>
            <w:tcW w:w="1080" w:type="dxa"/>
            <w:tcBorders>
              <w:top w:val="single" w:sz="4" w:space="0" w:color="000000"/>
              <w:left w:val="single" w:sz="4" w:space="0" w:color="000000"/>
              <w:bottom w:val="single" w:sz="4" w:space="0" w:color="000000"/>
            </w:tcBorders>
            <w:shd w:val="clear" w:color="auto" w:fill="auto"/>
          </w:tcPr>
          <w:p w14:paraId="7036598E" w14:textId="77777777" w:rsidR="00726A5E" w:rsidRPr="00A62DCE" w:rsidRDefault="00726A5E" w:rsidP="002E54DB">
            <w:pPr>
              <w:snapToGrid w:val="0"/>
              <w:jc w:val="right"/>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701690F3" w14:textId="77777777" w:rsidR="00726A5E" w:rsidRPr="00A62DCE" w:rsidRDefault="00726A5E" w:rsidP="002E54DB">
            <w:pPr>
              <w:snapToGrid w:val="0"/>
              <w:jc w:val="right"/>
            </w:pPr>
          </w:p>
        </w:tc>
      </w:tr>
      <w:tr w:rsidR="00726A5E" w:rsidRPr="00A62DCE" w14:paraId="28083B62" w14:textId="77777777" w:rsidTr="002E54DB">
        <w:trPr>
          <w:trHeight w:val="344"/>
        </w:trPr>
        <w:tc>
          <w:tcPr>
            <w:tcW w:w="3481" w:type="dxa"/>
            <w:tcBorders>
              <w:top w:val="single" w:sz="4" w:space="0" w:color="000000"/>
              <w:left w:val="single" w:sz="4" w:space="0" w:color="000000"/>
              <w:bottom w:val="single" w:sz="4" w:space="0" w:color="000000"/>
            </w:tcBorders>
            <w:shd w:val="clear" w:color="auto" w:fill="auto"/>
          </w:tcPr>
          <w:p w14:paraId="6854FAC7" w14:textId="77777777" w:rsidR="00726A5E" w:rsidRPr="00A62DCE" w:rsidRDefault="00B34CF3" w:rsidP="002E54DB">
            <w:pPr>
              <w:jc w:val="both"/>
            </w:pPr>
            <w:r w:rsidRPr="00A62DCE">
              <w:rPr>
                <w:bCs/>
              </w:rPr>
              <w:t xml:space="preserve">2. </w:t>
            </w:r>
            <w:r w:rsidRPr="00A62DCE">
              <w:t>Modificări ale cheltuielilor bugetare, în plus, din care:</w:t>
            </w:r>
          </w:p>
          <w:p w14:paraId="1F25986F" w14:textId="77777777" w:rsidR="00726A5E" w:rsidRPr="00A62DCE" w:rsidRDefault="00B34CF3" w:rsidP="002E54DB">
            <w:pPr>
              <w:jc w:val="both"/>
            </w:pPr>
            <w:r w:rsidRPr="00A62DCE">
              <w:t>a) buget de stat, din acesta:</w:t>
            </w:r>
          </w:p>
          <w:p w14:paraId="0055A2A2" w14:textId="77777777" w:rsidR="00726A5E" w:rsidRPr="00A62DCE" w:rsidRDefault="00B34CF3" w:rsidP="002E54DB">
            <w:pPr>
              <w:numPr>
                <w:ilvl w:val="0"/>
                <w:numId w:val="2"/>
              </w:numPr>
              <w:ind w:left="0"/>
              <w:jc w:val="both"/>
            </w:pPr>
            <w:r w:rsidRPr="00A62DCE">
              <w:t>cheltuieli de personal</w:t>
            </w:r>
          </w:p>
          <w:p w14:paraId="704CDF30" w14:textId="77777777" w:rsidR="00726A5E" w:rsidRPr="00A62DCE" w:rsidRDefault="00B34CF3" w:rsidP="002E54DB">
            <w:pPr>
              <w:numPr>
                <w:ilvl w:val="0"/>
                <w:numId w:val="2"/>
              </w:numPr>
              <w:ind w:left="0"/>
              <w:jc w:val="both"/>
            </w:pPr>
            <w:r w:rsidRPr="00A62DCE">
              <w:t>bunuri şi servicii</w:t>
            </w:r>
          </w:p>
          <w:p w14:paraId="501B3970" w14:textId="77777777" w:rsidR="00726A5E" w:rsidRPr="00A62DCE" w:rsidRDefault="00B34CF3" w:rsidP="002E54DB">
            <w:pPr>
              <w:numPr>
                <w:ilvl w:val="0"/>
                <w:numId w:val="2"/>
              </w:numPr>
              <w:ind w:left="0"/>
              <w:jc w:val="both"/>
            </w:pPr>
            <w:r w:rsidRPr="00A62DCE">
              <w:t>asistenţă socială</w:t>
            </w:r>
          </w:p>
          <w:p w14:paraId="3F774F6F" w14:textId="77777777" w:rsidR="00726A5E" w:rsidRPr="00A62DCE" w:rsidRDefault="00B34CF3" w:rsidP="002E54DB">
            <w:pPr>
              <w:jc w:val="both"/>
            </w:pPr>
            <w:r w:rsidRPr="00A62DCE">
              <w:t>b) bugete locale:</w:t>
            </w:r>
          </w:p>
          <w:p w14:paraId="5F2F35AE" w14:textId="77777777" w:rsidR="00726A5E" w:rsidRPr="00A62DCE" w:rsidRDefault="00B34CF3" w:rsidP="002E54DB">
            <w:pPr>
              <w:numPr>
                <w:ilvl w:val="0"/>
                <w:numId w:val="8"/>
              </w:numPr>
              <w:ind w:left="0"/>
              <w:jc w:val="both"/>
            </w:pPr>
            <w:r w:rsidRPr="00A62DCE">
              <w:t>cheltuieli de personal</w:t>
            </w:r>
          </w:p>
          <w:p w14:paraId="312B44AE" w14:textId="77777777" w:rsidR="00726A5E" w:rsidRPr="00A62DCE" w:rsidRDefault="00B34CF3" w:rsidP="002E54DB">
            <w:pPr>
              <w:numPr>
                <w:ilvl w:val="0"/>
                <w:numId w:val="8"/>
              </w:numPr>
              <w:ind w:left="0"/>
              <w:jc w:val="both"/>
            </w:pPr>
            <w:r w:rsidRPr="00A62DCE">
              <w:t>bunuri şi servicii</w:t>
            </w:r>
          </w:p>
          <w:p w14:paraId="63F69356" w14:textId="77777777" w:rsidR="00726A5E" w:rsidRPr="00A62DCE" w:rsidRDefault="00B34CF3" w:rsidP="002E54DB">
            <w:pPr>
              <w:numPr>
                <w:ilvl w:val="0"/>
                <w:numId w:val="8"/>
              </w:numPr>
              <w:ind w:left="0"/>
              <w:jc w:val="both"/>
            </w:pPr>
            <w:r w:rsidRPr="00A62DCE">
              <w:t>asistenţă socială</w:t>
            </w:r>
          </w:p>
          <w:p w14:paraId="057F3911" w14:textId="77777777" w:rsidR="00726A5E" w:rsidRPr="00A62DCE" w:rsidRDefault="00B34CF3" w:rsidP="002E54DB">
            <w:pPr>
              <w:jc w:val="both"/>
            </w:pPr>
            <w:r w:rsidRPr="00A62DCE">
              <w:t>c) bugetul asigurărilor sociale de stat:</w:t>
            </w:r>
          </w:p>
          <w:p w14:paraId="7CBCE716" w14:textId="77777777" w:rsidR="00726A5E" w:rsidRPr="00A62DCE" w:rsidRDefault="00B34CF3" w:rsidP="002E54DB">
            <w:pPr>
              <w:numPr>
                <w:ilvl w:val="0"/>
                <w:numId w:val="7"/>
              </w:numPr>
              <w:ind w:left="0"/>
              <w:jc w:val="both"/>
            </w:pPr>
            <w:r w:rsidRPr="00A62DCE">
              <w:t>cheltuieli de personal</w:t>
            </w:r>
          </w:p>
          <w:p w14:paraId="75FA33BF" w14:textId="77777777" w:rsidR="00726A5E" w:rsidRPr="00A62DCE" w:rsidRDefault="00B34CF3" w:rsidP="002E54DB">
            <w:pPr>
              <w:numPr>
                <w:ilvl w:val="0"/>
                <w:numId w:val="7"/>
              </w:numPr>
              <w:ind w:left="0"/>
              <w:jc w:val="both"/>
              <w:rPr>
                <w:bCs/>
              </w:rPr>
            </w:pPr>
            <w:r w:rsidRPr="00A62DCE">
              <w:t>bunuri şi servicii</w:t>
            </w:r>
          </w:p>
        </w:tc>
        <w:tc>
          <w:tcPr>
            <w:tcW w:w="1440" w:type="dxa"/>
            <w:tcBorders>
              <w:top w:val="single" w:sz="4" w:space="0" w:color="000000"/>
              <w:left w:val="single" w:sz="4" w:space="0" w:color="000000"/>
              <w:bottom w:val="single" w:sz="4" w:space="0" w:color="000000"/>
            </w:tcBorders>
            <w:shd w:val="clear" w:color="auto" w:fill="auto"/>
          </w:tcPr>
          <w:p w14:paraId="1AA010DD" w14:textId="77777777" w:rsidR="00726A5E" w:rsidRPr="00A62DCE" w:rsidRDefault="00726A5E" w:rsidP="002E54DB">
            <w:pPr>
              <w:snapToGrid w:val="0"/>
            </w:pPr>
          </w:p>
          <w:p w14:paraId="09B3A61C" w14:textId="77777777" w:rsidR="00726A5E" w:rsidRPr="00A62DCE" w:rsidRDefault="00726A5E" w:rsidP="002E54DB"/>
          <w:p w14:paraId="4BF84003" w14:textId="77777777" w:rsidR="00726A5E" w:rsidRPr="00A62DCE" w:rsidRDefault="00726A5E" w:rsidP="002E54DB"/>
          <w:p w14:paraId="0DBC83A4" w14:textId="77777777" w:rsidR="00726A5E" w:rsidRPr="00A62DCE" w:rsidRDefault="00726A5E" w:rsidP="002E54DB"/>
          <w:p w14:paraId="1412E82C" w14:textId="77777777" w:rsidR="00726A5E" w:rsidRPr="00A62DCE" w:rsidRDefault="00726A5E" w:rsidP="002E54DB"/>
          <w:p w14:paraId="34619F4D" w14:textId="77777777" w:rsidR="00726A5E" w:rsidRPr="00A62DCE" w:rsidRDefault="00726A5E" w:rsidP="002E54DB"/>
          <w:p w14:paraId="2029131C" w14:textId="77777777" w:rsidR="00726A5E" w:rsidRPr="00A62DCE" w:rsidRDefault="00726A5E" w:rsidP="002E54DB">
            <w:pPr>
              <w:rPr>
                <w:b/>
              </w:rPr>
            </w:pPr>
          </w:p>
          <w:p w14:paraId="62CECD3F" w14:textId="77777777" w:rsidR="00726A5E" w:rsidRPr="00A62DCE" w:rsidRDefault="00726A5E" w:rsidP="002E54DB">
            <w:pPr>
              <w:rPr>
                <w:b/>
              </w:rPr>
            </w:pPr>
          </w:p>
          <w:p w14:paraId="32A4CCF1" w14:textId="77777777" w:rsidR="00726A5E" w:rsidRPr="00A62DCE" w:rsidRDefault="00726A5E" w:rsidP="002E54DB">
            <w:pPr>
              <w:rPr>
                <w:b/>
              </w:rPr>
            </w:pPr>
          </w:p>
          <w:p w14:paraId="77571855" w14:textId="77777777" w:rsidR="00726A5E" w:rsidRPr="00A62DCE" w:rsidRDefault="00726A5E" w:rsidP="002E54DB">
            <w:pPr>
              <w:rPr>
                <w:b/>
              </w:rPr>
            </w:pPr>
          </w:p>
          <w:p w14:paraId="634D6C76" w14:textId="77777777" w:rsidR="00726A5E" w:rsidRPr="00A62DCE" w:rsidRDefault="00726A5E" w:rsidP="002E54DB">
            <w:pPr>
              <w:rPr>
                <w:b/>
              </w:rPr>
            </w:pPr>
          </w:p>
          <w:p w14:paraId="2C46E72D" w14:textId="77777777" w:rsidR="00726A5E" w:rsidRPr="00A62DCE" w:rsidRDefault="00726A5E" w:rsidP="002E54DB">
            <w:pPr>
              <w:rPr>
                <w:b/>
              </w:rPr>
            </w:pPr>
          </w:p>
        </w:tc>
        <w:tc>
          <w:tcPr>
            <w:tcW w:w="914" w:type="dxa"/>
            <w:tcBorders>
              <w:top w:val="single" w:sz="4" w:space="0" w:color="000000"/>
              <w:left w:val="single" w:sz="4" w:space="0" w:color="000000"/>
              <w:bottom w:val="single" w:sz="4" w:space="0" w:color="000000"/>
            </w:tcBorders>
            <w:shd w:val="clear" w:color="auto" w:fill="auto"/>
          </w:tcPr>
          <w:p w14:paraId="371F69F0" w14:textId="77777777" w:rsidR="00726A5E" w:rsidRPr="00A62DCE" w:rsidRDefault="00726A5E" w:rsidP="002E54DB">
            <w:pPr>
              <w:pStyle w:val="Header"/>
              <w:tabs>
                <w:tab w:val="left" w:pos="720"/>
              </w:tabs>
              <w:snapToGrid w:val="0"/>
              <w:jc w:val="center"/>
              <w:rPr>
                <w:rFonts w:ascii="Times New Roman" w:hAnsi="Times New Roman" w:cs="Times New Roman"/>
                <w:sz w:val="24"/>
                <w:szCs w:val="24"/>
                <w:lang w:val="ro-RO"/>
              </w:rPr>
            </w:pPr>
          </w:p>
          <w:p w14:paraId="4B2FE5B1" w14:textId="77777777" w:rsidR="00726A5E" w:rsidRPr="00A62DCE" w:rsidRDefault="00726A5E" w:rsidP="002E54DB">
            <w:pPr>
              <w:pStyle w:val="Header"/>
              <w:tabs>
                <w:tab w:val="left" w:pos="720"/>
              </w:tabs>
              <w:jc w:val="center"/>
              <w:rPr>
                <w:rFonts w:ascii="Times New Roman" w:hAnsi="Times New Roman" w:cs="Times New Roman"/>
                <w:sz w:val="24"/>
                <w:szCs w:val="24"/>
                <w:lang w:val="ro-RO"/>
              </w:rPr>
            </w:pPr>
          </w:p>
          <w:p w14:paraId="078B9869" w14:textId="77777777" w:rsidR="00726A5E" w:rsidRPr="00A62DCE" w:rsidRDefault="00726A5E" w:rsidP="002E54DB">
            <w:pPr>
              <w:pStyle w:val="Header"/>
              <w:tabs>
                <w:tab w:val="left" w:pos="720"/>
              </w:tabs>
              <w:jc w:val="center"/>
              <w:rPr>
                <w:rFonts w:ascii="Times New Roman" w:hAnsi="Times New Roman" w:cs="Times New Roman"/>
                <w:sz w:val="24"/>
                <w:szCs w:val="24"/>
                <w:lang w:val="ro-RO"/>
              </w:rPr>
            </w:pPr>
          </w:p>
          <w:p w14:paraId="1162B735" w14:textId="77777777" w:rsidR="00726A5E" w:rsidRPr="00A62DCE" w:rsidRDefault="00726A5E" w:rsidP="002E54DB">
            <w:pPr>
              <w:pStyle w:val="Header"/>
              <w:tabs>
                <w:tab w:val="left" w:pos="720"/>
              </w:tabs>
              <w:jc w:val="center"/>
              <w:rPr>
                <w:rFonts w:ascii="Times New Roman" w:hAnsi="Times New Roman" w:cs="Times New Roman"/>
                <w:sz w:val="24"/>
                <w:szCs w:val="24"/>
                <w:lang w:val="ro-RO"/>
              </w:rPr>
            </w:pPr>
          </w:p>
          <w:p w14:paraId="131B3589" w14:textId="77777777" w:rsidR="00726A5E" w:rsidRPr="00A62DCE" w:rsidRDefault="00726A5E" w:rsidP="002E54DB">
            <w:pPr>
              <w:pStyle w:val="Header"/>
              <w:tabs>
                <w:tab w:val="left" w:pos="720"/>
              </w:tabs>
              <w:jc w:val="center"/>
              <w:rPr>
                <w:rFonts w:ascii="Times New Roman" w:hAnsi="Times New Roman" w:cs="Times New Roman"/>
                <w:sz w:val="24"/>
                <w:szCs w:val="24"/>
                <w:lang w:val="ro-RO"/>
              </w:rPr>
            </w:pPr>
          </w:p>
          <w:p w14:paraId="15E194F9" w14:textId="77777777" w:rsidR="00726A5E" w:rsidRPr="00A62DCE" w:rsidRDefault="00726A5E" w:rsidP="002E54DB">
            <w:pPr>
              <w:pStyle w:val="Header"/>
              <w:tabs>
                <w:tab w:val="left" w:pos="720"/>
              </w:tabs>
              <w:jc w:val="center"/>
              <w:rPr>
                <w:rFonts w:ascii="Times New Roman" w:hAnsi="Times New Roman" w:cs="Times New Roman"/>
                <w:sz w:val="24"/>
                <w:szCs w:val="24"/>
                <w:lang w:val="ro-RO"/>
              </w:rPr>
            </w:pPr>
          </w:p>
          <w:p w14:paraId="0A1CE3E2" w14:textId="77777777" w:rsidR="00726A5E" w:rsidRPr="00A62DCE" w:rsidRDefault="00726A5E" w:rsidP="002E54DB">
            <w:pPr>
              <w:pStyle w:val="Header"/>
              <w:tabs>
                <w:tab w:val="left" w:pos="720"/>
              </w:tabs>
              <w:jc w:val="center"/>
              <w:rPr>
                <w:rFonts w:ascii="Times New Roman" w:hAnsi="Times New Roman" w:cs="Times New Roman"/>
                <w:sz w:val="24"/>
                <w:szCs w:val="24"/>
                <w:lang w:val="ro-RO"/>
              </w:rPr>
            </w:pPr>
          </w:p>
          <w:p w14:paraId="115F1D43" w14:textId="77777777" w:rsidR="00726A5E" w:rsidRPr="00A62DCE" w:rsidRDefault="00726A5E" w:rsidP="002E54DB">
            <w:pPr>
              <w:pStyle w:val="Header"/>
              <w:tabs>
                <w:tab w:val="left" w:pos="720"/>
              </w:tabs>
              <w:jc w:val="center"/>
              <w:rPr>
                <w:rFonts w:ascii="Times New Roman" w:hAnsi="Times New Roman" w:cs="Times New Roman"/>
                <w:sz w:val="24"/>
                <w:szCs w:val="24"/>
                <w:lang w:val="ro-RO"/>
              </w:rPr>
            </w:pPr>
          </w:p>
          <w:p w14:paraId="08F243BF" w14:textId="77777777" w:rsidR="00726A5E" w:rsidRPr="00A62DCE" w:rsidRDefault="00726A5E" w:rsidP="002E54DB">
            <w:pPr>
              <w:pStyle w:val="Header"/>
              <w:tabs>
                <w:tab w:val="left" w:pos="720"/>
              </w:tabs>
              <w:jc w:val="center"/>
              <w:rPr>
                <w:rFonts w:ascii="Times New Roman" w:hAnsi="Times New Roman" w:cs="Times New Roman"/>
                <w:b/>
                <w:sz w:val="24"/>
                <w:szCs w:val="24"/>
                <w:lang w:val="ro-RO"/>
              </w:rPr>
            </w:pPr>
          </w:p>
          <w:p w14:paraId="511DB6E6" w14:textId="77777777" w:rsidR="00726A5E" w:rsidRPr="00A62DCE" w:rsidRDefault="00726A5E" w:rsidP="002E54DB">
            <w:pPr>
              <w:pStyle w:val="Header"/>
              <w:tabs>
                <w:tab w:val="left" w:pos="720"/>
              </w:tabs>
              <w:jc w:val="center"/>
              <w:rPr>
                <w:rFonts w:ascii="Times New Roman" w:hAnsi="Times New Roman" w:cs="Times New Roman"/>
                <w:b/>
                <w:sz w:val="24"/>
                <w:szCs w:val="24"/>
                <w:lang w:val="ro-RO"/>
              </w:rPr>
            </w:pPr>
          </w:p>
          <w:p w14:paraId="7BFE7E73" w14:textId="77777777" w:rsidR="00726A5E" w:rsidRPr="00A62DCE" w:rsidRDefault="00726A5E" w:rsidP="002E54DB">
            <w:pPr>
              <w:pStyle w:val="Header"/>
              <w:tabs>
                <w:tab w:val="left" w:pos="720"/>
              </w:tabs>
              <w:jc w:val="center"/>
              <w:rPr>
                <w:rFonts w:ascii="Times New Roman" w:hAnsi="Times New Roman" w:cs="Times New Roman"/>
                <w:b/>
                <w:sz w:val="24"/>
                <w:szCs w:val="24"/>
                <w:lang w:val="ro-RO"/>
              </w:rPr>
            </w:pPr>
          </w:p>
          <w:p w14:paraId="6D460D5E" w14:textId="77777777" w:rsidR="00726A5E" w:rsidRPr="00A62DCE" w:rsidRDefault="00726A5E" w:rsidP="002E54DB">
            <w:pPr>
              <w:pStyle w:val="Header"/>
              <w:tabs>
                <w:tab w:val="left" w:pos="720"/>
              </w:tabs>
              <w:jc w:val="center"/>
              <w:rPr>
                <w:rFonts w:ascii="Times New Roman" w:hAnsi="Times New Roman" w:cs="Times New Roman"/>
                <w:b/>
                <w:sz w:val="24"/>
                <w:szCs w:val="24"/>
                <w:lang w:val="ro-RO"/>
              </w:rPr>
            </w:pPr>
          </w:p>
          <w:p w14:paraId="337BB846" w14:textId="77777777" w:rsidR="00726A5E" w:rsidRPr="00A62DCE" w:rsidRDefault="00726A5E" w:rsidP="002E54DB">
            <w:pPr>
              <w:pStyle w:val="Header"/>
              <w:tabs>
                <w:tab w:val="left" w:pos="720"/>
              </w:tabs>
              <w:jc w:val="center"/>
              <w:rPr>
                <w:rFonts w:ascii="Times New Roman" w:hAnsi="Times New Roman" w:cs="Times New Roman"/>
                <w:sz w:val="24"/>
                <w:szCs w:val="24"/>
                <w:lang w:val="ro-RO"/>
              </w:rPr>
            </w:pPr>
          </w:p>
        </w:tc>
        <w:tc>
          <w:tcPr>
            <w:tcW w:w="1174" w:type="dxa"/>
            <w:tcBorders>
              <w:top w:val="single" w:sz="4" w:space="0" w:color="000000"/>
              <w:left w:val="single" w:sz="4" w:space="0" w:color="000000"/>
              <w:bottom w:val="single" w:sz="4" w:space="0" w:color="000000"/>
            </w:tcBorders>
            <w:shd w:val="clear" w:color="auto" w:fill="auto"/>
          </w:tcPr>
          <w:p w14:paraId="2C592947" w14:textId="77777777" w:rsidR="00726A5E" w:rsidRPr="00A62DCE" w:rsidRDefault="00726A5E" w:rsidP="002E54DB">
            <w:pPr>
              <w:snapToGrid w:val="0"/>
              <w:jc w:val="right"/>
            </w:pPr>
          </w:p>
        </w:tc>
        <w:tc>
          <w:tcPr>
            <w:tcW w:w="972" w:type="dxa"/>
            <w:tcBorders>
              <w:top w:val="single" w:sz="4" w:space="0" w:color="000000"/>
              <w:left w:val="single" w:sz="4" w:space="0" w:color="000000"/>
              <w:bottom w:val="single" w:sz="4" w:space="0" w:color="000000"/>
            </w:tcBorders>
            <w:shd w:val="clear" w:color="auto" w:fill="auto"/>
          </w:tcPr>
          <w:p w14:paraId="73914615" w14:textId="77777777" w:rsidR="00726A5E" w:rsidRPr="00A62DCE" w:rsidRDefault="00726A5E" w:rsidP="002E54DB">
            <w:pPr>
              <w:snapToGrid w:val="0"/>
              <w:jc w:val="right"/>
            </w:pPr>
          </w:p>
        </w:tc>
        <w:tc>
          <w:tcPr>
            <w:tcW w:w="1080" w:type="dxa"/>
            <w:tcBorders>
              <w:top w:val="single" w:sz="4" w:space="0" w:color="000000"/>
              <w:left w:val="single" w:sz="4" w:space="0" w:color="000000"/>
              <w:bottom w:val="single" w:sz="4" w:space="0" w:color="000000"/>
            </w:tcBorders>
            <w:shd w:val="clear" w:color="auto" w:fill="auto"/>
          </w:tcPr>
          <w:p w14:paraId="273A83CC" w14:textId="77777777" w:rsidR="00726A5E" w:rsidRPr="00A62DCE" w:rsidRDefault="00726A5E" w:rsidP="002E54DB">
            <w:pPr>
              <w:snapToGrid w:val="0"/>
              <w:jc w:val="right"/>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0ADEFFCE" w14:textId="77777777" w:rsidR="00726A5E" w:rsidRPr="00A62DCE" w:rsidRDefault="00726A5E" w:rsidP="002E54DB">
            <w:pPr>
              <w:snapToGrid w:val="0"/>
              <w:jc w:val="right"/>
            </w:pPr>
          </w:p>
        </w:tc>
      </w:tr>
      <w:tr w:rsidR="00726A5E" w:rsidRPr="00A62DCE" w14:paraId="1B51275B" w14:textId="77777777" w:rsidTr="002E54DB">
        <w:tc>
          <w:tcPr>
            <w:tcW w:w="3481" w:type="dxa"/>
            <w:tcBorders>
              <w:top w:val="single" w:sz="4" w:space="0" w:color="000000"/>
              <w:left w:val="single" w:sz="4" w:space="0" w:color="000000"/>
              <w:bottom w:val="single" w:sz="4" w:space="0" w:color="000000"/>
            </w:tcBorders>
            <w:shd w:val="clear" w:color="auto" w:fill="auto"/>
          </w:tcPr>
          <w:p w14:paraId="5EDAE542" w14:textId="77777777" w:rsidR="00726A5E" w:rsidRPr="00A62DCE" w:rsidRDefault="00B34CF3" w:rsidP="002E54DB">
            <w:pPr>
              <w:jc w:val="both"/>
            </w:pPr>
            <w:r w:rsidRPr="00A62DCE">
              <w:rPr>
                <w:bCs/>
              </w:rPr>
              <w:lastRenderedPageBreak/>
              <w:t xml:space="preserve">3. </w:t>
            </w:r>
            <w:r w:rsidRPr="00A62DCE">
              <w:t>Impact financiar, plus/minus, din care:</w:t>
            </w:r>
          </w:p>
          <w:p w14:paraId="0E99F9D5" w14:textId="77777777" w:rsidR="00726A5E" w:rsidRPr="00A62DCE" w:rsidRDefault="00B34CF3" w:rsidP="002E54DB">
            <w:pPr>
              <w:jc w:val="both"/>
            </w:pPr>
            <w:r w:rsidRPr="00A62DCE">
              <w:t>a)buget de stat</w:t>
            </w:r>
          </w:p>
          <w:p w14:paraId="44122696" w14:textId="77777777" w:rsidR="00726A5E" w:rsidRPr="00A62DCE" w:rsidRDefault="00B34CF3" w:rsidP="002E54DB">
            <w:r w:rsidRPr="00A62DCE">
              <w:t>b) bugete locale</w:t>
            </w:r>
          </w:p>
        </w:tc>
        <w:tc>
          <w:tcPr>
            <w:tcW w:w="1440" w:type="dxa"/>
            <w:tcBorders>
              <w:top w:val="single" w:sz="4" w:space="0" w:color="000000"/>
              <w:left w:val="single" w:sz="4" w:space="0" w:color="000000"/>
              <w:bottom w:val="single" w:sz="4" w:space="0" w:color="000000"/>
            </w:tcBorders>
            <w:shd w:val="clear" w:color="auto" w:fill="auto"/>
          </w:tcPr>
          <w:p w14:paraId="075F29E7" w14:textId="77777777" w:rsidR="00726A5E" w:rsidRPr="00A62DCE" w:rsidRDefault="00726A5E" w:rsidP="002E54DB">
            <w:pPr>
              <w:snapToGrid w:val="0"/>
            </w:pPr>
          </w:p>
          <w:p w14:paraId="68D73B7D" w14:textId="77777777" w:rsidR="00726A5E" w:rsidRPr="00A62DCE" w:rsidRDefault="00726A5E" w:rsidP="002E54DB"/>
          <w:p w14:paraId="24120992" w14:textId="77777777" w:rsidR="00726A5E" w:rsidRPr="00A62DCE" w:rsidRDefault="00726A5E" w:rsidP="002E54DB"/>
        </w:tc>
        <w:tc>
          <w:tcPr>
            <w:tcW w:w="914" w:type="dxa"/>
            <w:tcBorders>
              <w:top w:val="single" w:sz="4" w:space="0" w:color="000000"/>
              <w:left w:val="single" w:sz="4" w:space="0" w:color="000000"/>
              <w:bottom w:val="single" w:sz="4" w:space="0" w:color="000000"/>
            </w:tcBorders>
            <w:shd w:val="clear" w:color="auto" w:fill="auto"/>
          </w:tcPr>
          <w:p w14:paraId="6305F3BD" w14:textId="77777777" w:rsidR="00726A5E" w:rsidRPr="00A62DCE" w:rsidRDefault="00726A5E" w:rsidP="002E54DB">
            <w:pPr>
              <w:pStyle w:val="Header"/>
              <w:tabs>
                <w:tab w:val="left" w:pos="720"/>
              </w:tabs>
              <w:snapToGrid w:val="0"/>
              <w:jc w:val="center"/>
              <w:rPr>
                <w:rFonts w:ascii="Times New Roman" w:hAnsi="Times New Roman" w:cs="Times New Roman"/>
                <w:sz w:val="24"/>
                <w:szCs w:val="24"/>
                <w:lang w:val="ro-RO"/>
              </w:rPr>
            </w:pPr>
          </w:p>
        </w:tc>
        <w:tc>
          <w:tcPr>
            <w:tcW w:w="1174" w:type="dxa"/>
            <w:tcBorders>
              <w:top w:val="single" w:sz="4" w:space="0" w:color="000000"/>
              <w:left w:val="single" w:sz="4" w:space="0" w:color="000000"/>
              <w:bottom w:val="single" w:sz="4" w:space="0" w:color="000000"/>
            </w:tcBorders>
            <w:shd w:val="clear" w:color="auto" w:fill="auto"/>
          </w:tcPr>
          <w:p w14:paraId="7664815C" w14:textId="77777777" w:rsidR="00726A5E" w:rsidRPr="00A62DCE" w:rsidRDefault="00726A5E" w:rsidP="002E54DB">
            <w:pPr>
              <w:snapToGrid w:val="0"/>
              <w:jc w:val="right"/>
            </w:pPr>
          </w:p>
        </w:tc>
        <w:tc>
          <w:tcPr>
            <w:tcW w:w="972" w:type="dxa"/>
            <w:tcBorders>
              <w:top w:val="single" w:sz="4" w:space="0" w:color="000000"/>
              <w:left w:val="single" w:sz="4" w:space="0" w:color="000000"/>
              <w:bottom w:val="single" w:sz="4" w:space="0" w:color="000000"/>
            </w:tcBorders>
            <w:shd w:val="clear" w:color="auto" w:fill="auto"/>
          </w:tcPr>
          <w:p w14:paraId="08C38F40" w14:textId="77777777" w:rsidR="00726A5E" w:rsidRPr="00A62DCE" w:rsidRDefault="00726A5E" w:rsidP="002E54DB">
            <w:pPr>
              <w:snapToGrid w:val="0"/>
              <w:jc w:val="right"/>
            </w:pPr>
          </w:p>
        </w:tc>
        <w:tc>
          <w:tcPr>
            <w:tcW w:w="1080" w:type="dxa"/>
            <w:tcBorders>
              <w:top w:val="single" w:sz="4" w:space="0" w:color="000000"/>
              <w:left w:val="single" w:sz="4" w:space="0" w:color="000000"/>
              <w:bottom w:val="single" w:sz="4" w:space="0" w:color="000000"/>
            </w:tcBorders>
            <w:shd w:val="clear" w:color="auto" w:fill="auto"/>
          </w:tcPr>
          <w:p w14:paraId="515B4239" w14:textId="77777777" w:rsidR="00726A5E" w:rsidRPr="00A62DCE" w:rsidRDefault="00726A5E" w:rsidP="002E54DB">
            <w:pPr>
              <w:snapToGrid w:val="0"/>
              <w:jc w:val="right"/>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3508527C" w14:textId="77777777" w:rsidR="00726A5E" w:rsidRPr="00A62DCE" w:rsidRDefault="00726A5E" w:rsidP="002E54DB">
            <w:pPr>
              <w:snapToGrid w:val="0"/>
              <w:jc w:val="right"/>
            </w:pPr>
          </w:p>
        </w:tc>
      </w:tr>
      <w:tr w:rsidR="00726A5E" w:rsidRPr="00A62DCE" w14:paraId="2322E65E" w14:textId="77777777" w:rsidTr="002E54DB">
        <w:tc>
          <w:tcPr>
            <w:tcW w:w="3481" w:type="dxa"/>
            <w:tcBorders>
              <w:top w:val="single" w:sz="4" w:space="0" w:color="000000"/>
              <w:left w:val="single" w:sz="4" w:space="0" w:color="000000"/>
              <w:bottom w:val="single" w:sz="4" w:space="0" w:color="000000"/>
            </w:tcBorders>
            <w:shd w:val="clear" w:color="auto" w:fill="auto"/>
          </w:tcPr>
          <w:p w14:paraId="135F8C67" w14:textId="77777777" w:rsidR="00726A5E" w:rsidRPr="00A62DCE" w:rsidRDefault="00B34CF3" w:rsidP="002E54DB">
            <w:r w:rsidRPr="00A62DCE">
              <w:rPr>
                <w:bCs/>
              </w:rPr>
              <w:t>4.</w:t>
            </w:r>
            <w:r w:rsidRPr="00A62DCE">
              <w:t xml:space="preserve"> Propuneri pentru acoperirea creşterii cheltuielilor bugetare</w:t>
            </w:r>
          </w:p>
        </w:tc>
        <w:tc>
          <w:tcPr>
            <w:tcW w:w="1440" w:type="dxa"/>
            <w:tcBorders>
              <w:top w:val="single" w:sz="4" w:space="0" w:color="000000"/>
              <w:left w:val="single" w:sz="4" w:space="0" w:color="000000"/>
              <w:bottom w:val="single" w:sz="4" w:space="0" w:color="000000"/>
            </w:tcBorders>
            <w:shd w:val="clear" w:color="auto" w:fill="auto"/>
          </w:tcPr>
          <w:p w14:paraId="539A03B0" w14:textId="77777777" w:rsidR="00726A5E" w:rsidRPr="00A62DCE" w:rsidRDefault="00726A5E" w:rsidP="002E54DB">
            <w:pPr>
              <w:snapToGrid w:val="0"/>
            </w:pPr>
          </w:p>
        </w:tc>
        <w:tc>
          <w:tcPr>
            <w:tcW w:w="914" w:type="dxa"/>
            <w:tcBorders>
              <w:top w:val="single" w:sz="4" w:space="0" w:color="000000"/>
              <w:left w:val="single" w:sz="4" w:space="0" w:color="000000"/>
              <w:bottom w:val="single" w:sz="4" w:space="0" w:color="000000"/>
            </w:tcBorders>
            <w:shd w:val="clear" w:color="auto" w:fill="auto"/>
          </w:tcPr>
          <w:p w14:paraId="568C6096" w14:textId="77777777" w:rsidR="00726A5E" w:rsidRPr="00A62DCE" w:rsidRDefault="00726A5E" w:rsidP="002E54DB">
            <w:pPr>
              <w:snapToGrid w:val="0"/>
            </w:pPr>
          </w:p>
        </w:tc>
        <w:tc>
          <w:tcPr>
            <w:tcW w:w="1174" w:type="dxa"/>
            <w:tcBorders>
              <w:top w:val="single" w:sz="4" w:space="0" w:color="000000"/>
              <w:left w:val="single" w:sz="4" w:space="0" w:color="000000"/>
              <w:bottom w:val="single" w:sz="4" w:space="0" w:color="000000"/>
            </w:tcBorders>
            <w:shd w:val="clear" w:color="auto" w:fill="auto"/>
          </w:tcPr>
          <w:p w14:paraId="626238AD" w14:textId="77777777" w:rsidR="00726A5E" w:rsidRPr="00A62DCE" w:rsidRDefault="00726A5E" w:rsidP="002E54DB">
            <w:pPr>
              <w:snapToGrid w:val="0"/>
            </w:pPr>
          </w:p>
        </w:tc>
        <w:tc>
          <w:tcPr>
            <w:tcW w:w="972" w:type="dxa"/>
            <w:tcBorders>
              <w:top w:val="single" w:sz="4" w:space="0" w:color="000000"/>
              <w:left w:val="single" w:sz="4" w:space="0" w:color="000000"/>
              <w:bottom w:val="single" w:sz="4" w:space="0" w:color="000000"/>
            </w:tcBorders>
            <w:shd w:val="clear" w:color="auto" w:fill="auto"/>
          </w:tcPr>
          <w:p w14:paraId="6D252B0C" w14:textId="77777777" w:rsidR="00726A5E" w:rsidRPr="00A62DCE" w:rsidRDefault="00726A5E" w:rsidP="002E54DB">
            <w:pPr>
              <w:snapToGrid w:val="0"/>
            </w:pPr>
          </w:p>
        </w:tc>
        <w:tc>
          <w:tcPr>
            <w:tcW w:w="1080" w:type="dxa"/>
            <w:tcBorders>
              <w:top w:val="single" w:sz="4" w:space="0" w:color="000000"/>
              <w:left w:val="single" w:sz="4" w:space="0" w:color="000000"/>
              <w:bottom w:val="single" w:sz="4" w:space="0" w:color="000000"/>
            </w:tcBorders>
            <w:shd w:val="clear" w:color="auto" w:fill="auto"/>
          </w:tcPr>
          <w:p w14:paraId="45F16245" w14:textId="77777777" w:rsidR="00726A5E" w:rsidRPr="00A62DCE" w:rsidRDefault="00726A5E" w:rsidP="002E54DB">
            <w:pPr>
              <w:snapToGrid w:val="0"/>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5853D518" w14:textId="77777777" w:rsidR="00726A5E" w:rsidRPr="00A62DCE" w:rsidRDefault="00726A5E" w:rsidP="002E54DB">
            <w:pPr>
              <w:snapToGrid w:val="0"/>
            </w:pPr>
          </w:p>
        </w:tc>
      </w:tr>
      <w:tr w:rsidR="00726A5E" w:rsidRPr="00A62DCE" w14:paraId="18853282" w14:textId="77777777" w:rsidTr="002E54DB">
        <w:tc>
          <w:tcPr>
            <w:tcW w:w="3481" w:type="dxa"/>
            <w:tcBorders>
              <w:top w:val="single" w:sz="4" w:space="0" w:color="000000"/>
              <w:left w:val="single" w:sz="4" w:space="0" w:color="000000"/>
              <w:bottom w:val="single" w:sz="4" w:space="0" w:color="000000"/>
            </w:tcBorders>
            <w:shd w:val="clear" w:color="auto" w:fill="auto"/>
          </w:tcPr>
          <w:p w14:paraId="0CEC662A" w14:textId="77777777" w:rsidR="00726A5E" w:rsidRPr="00A62DCE" w:rsidRDefault="00B34CF3" w:rsidP="002E54DB">
            <w:pPr>
              <w:jc w:val="both"/>
            </w:pPr>
            <w:r w:rsidRPr="00A62DCE">
              <w:t>5. Propuneri pentru a compensa reducerea veniturilor bugetare</w:t>
            </w:r>
          </w:p>
        </w:tc>
        <w:tc>
          <w:tcPr>
            <w:tcW w:w="1440" w:type="dxa"/>
            <w:tcBorders>
              <w:top w:val="single" w:sz="4" w:space="0" w:color="000000"/>
              <w:left w:val="single" w:sz="4" w:space="0" w:color="000000"/>
              <w:bottom w:val="single" w:sz="4" w:space="0" w:color="000000"/>
            </w:tcBorders>
            <w:shd w:val="clear" w:color="auto" w:fill="auto"/>
          </w:tcPr>
          <w:p w14:paraId="64180DB5" w14:textId="77777777" w:rsidR="00726A5E" w:rsidRPr="00A62DCE" w:rsidRDefault="00726A5E" w:rsidP="002E54DB">
            <w:pPr>
              <w:snapToGrid w:val="0"/>
            </w:pPr>
          </w:p>
        </w:tc>
        <w:tc>
          <w:tcPr>
            <w:tcW w:w="914" w:type="dxa"/>
            <w:tcBorders>
              <w:top w:val="single" w:sz="4" w:space="0" w:color="000000"/>
              <w:left w:val="single" w:sz="4" w:space="0" w:color="000000"/>
              <w:bottom w:val="single" w:sz="4" w:space="0" w:color="000000"/>
            </w:tcBorders>
            <w:shd w:val="clear" w:color="auto" w:fill="auto"/>
          </w:tcPr>
          <w:p w14:paraId="09D2B84B" w14:textId="77777777" w:rsidR="00726A5E" w:rsidRPr="00A62DCE" w:rsidRDefault="00726A5E" w:rsidP="002E54DB">
            <w:pPr>
              <w:snapToGrid w:val="0"/>
            </w:pPr>
          </w:p>
        </w:tc>
        <w:tc>
          <w:tcPr>
            <w:tcW w:w="1174" w:type="dxa"/>
            <w:tcBorders>
              <w:top w:val="single" w:sz="4" w:space="0" w:color="000000"/>
              <w:left w:val="single" w:sz="4" w:space="0" w:color="000000"/>
              <w:bottom w:val="single" w:sz="4" w:space="0" w:color="000000"/>
            </w:tcBorders>
            <w:shd w:val="clear" w:color="auto" w:fill="auto"/>
          </w:tcPr>
          <w:p w14:paraId="73F4B90F" w14:textId="77777777" w:rsidR="00726A5E" w:rsidRPr="00A62DCE" w:rsidRDefault="00726A5E" w:rsidP="002E54DB">
            <w:pPr>
              <w:snapToGrid w:val="0"/>
            </w:pPr>
          </w:p>
        </w:tc>
        <w:tc>
          <w:tcPr>
            <w:tcW w:w="972" w:type="dxa"/>
            <w:tcBorders>
              <w:top w:val="single" w:sz="4" w:space="0" w:color="000000"/>
              <w:left w:val="single" w:sz="4" w:space="0" w:color="000000"/>
              <w:bottom w:val="single" w:sz="4" w:space="0" w:color="000000"/>
            </w:tcBorders>
            <w:shd w:val="clear" w:color="auto" w:fill="auto"/>
          </w:tcPr>
          <w:p w14:paraId="0E6C6DE9" w14:textId="77777777" w:rsidR="00726A5E" w:rsidRPr="00A62DCE" w:rsidRDefault="00726A5E" w:rsidP="002E54DB">
            <w:pPr>
              <w:snapToGrid w:val="0"/>
            </w:pPr>
          </w:p>
        </w:tc>
        <w:tc>
          <w:tcPr>
            <w:tcW w:w="1080" w:type="dxa"/>
            <w:tcBorders>
              <w:top w:val="single" w:sz="4" w:space="0" w:color="000000"/>
              <w:left w:val="single" w:sz="4" w:space="0" w:color="000000"/>
              <w:bottom w:val="single" w:sz="4" w:space="0" w:color="000000"/>
            </w:tcBorders>
            <w:shd w:val="clear" w:color="auto" w:fill="auto"/>
          </w:tcPr>
          <w:p w14:paraId="70C1480D" w14:textId="77777777" w:rsidR="00726A5E" w:rsidRPr="00A62DCE" w:rsidRDefault="00726A5E" w:rsidP="002E54DB">
            <w:pPr>
              <w:snapToGrid w:val="0"/>
            </w:pP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41F614B5" w14:textId="77777777" w:rsidR="00726A5E" w:rsidRPr="00A62DCE" w:rsidRDefault="00726A5E" w:rsidP="002E54DB">
            <w:pPr>
              <w:snapToGrid w:val="0"/>
            </w:pPr>
          </w:p>
        </w:tc>
      </w:tr>
      <w:tr w:rsidR="00726A5E" w:rsidRPr="00A62DCE" w14:paraId="650FD18F" w14:textId="77777777" w:rsidTr="002E54DB">
        <w:trPr>
          <w:trHeight w:val="558"/>
        </w:trPr>
        <w:tc>
          <w:tcPr>
            <w:tcW w:w="3481" w:type="dxa"/>
            <w:tcBorders>
              <w:top w:val="single" w:sz="4" w:space="0" w:color="000000"/>
              <w:left w:val="single" w:sz="4" w:space="0" w:color="000000"/>
              <w:bottom w:val="single" w:sz="4" w:space="0" w:color="000000"/>
            </w:tcBorders>
            <w:shd w:val="clear" w:color="auto" w:fill="auto"/>
          </w:tcPr>
          <w:p w14:paraId="48EF5508" w14:textId="77777777" w:rsidR="00726A5E" w:rsidRPr="00A62DCE" w:rsidRDefault="00B34CF3" w:rsidP="002E54DB">
            <w:r w:rsidRPr="00A62DCE">
              <w:t>6. Calcule detaliate privind fundamentarea modificărilor veniturilor şi/sau cheltuielilor bugetare</w:t>
            </w:r>
          </w:p>
        </w:tc>
        <w:tc>
          <w:tcPr>
            <w:tcW w:w="6442" w:type="dxa"/>
            <w:gridSpan w:val="6"/>
            <w:tcBorders>
              <w:top w:val="single" w:sz="4" w:space="0" w:color="000000"/>
              <w:left w:val="single" w:sz="4" w:space="0" w:color="000000"/>
              <w:bottom w:val="single" w:sz="4" w:space="0" w:color="000000"/>
              <w:right w:val="single" w:sz="4" w:space="0" w:color="000000"/>
            </w:tcBorders>
            <w:shd w:val="clear" w:color="auto" w:fill="auto"/>
          </w:tcPr>
          <w:p w14:paraId="209DE967" w14:textId="77777777" w:rsidR="00726A5E" w:rsidRPr="00A62DCE" w:rsidRDefault="00726A5E" w:rsidP="002E54DB">
            <w:pPr>
              <w:snapToGrid w:val="0"/>
              <w:jc w:val="both"/>
            </w:pPr>
          </w:p>
        </w:tc>
      </w:tr>
      <w:tr w:rsidR="00726A5E" w:rsidRPr="00A62DCE" w14:paraId="0422EC93"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2AE73D2F" w14:textId="77777777" w:rsidR="00726A5E" w:rsidRPr="00A62DCE" w:rsidRDefault="00B34CF3" w:rsidP="002E54DB">
            <w:pPr>
              <w:jc w:val="both"/>
            </w:pPr>
            <w:r w:rsidRPr="00A62DCE">
              <w:rPr>
                <w:b/>
              </w:rPr>
              <w:t>Alte informaţii</w:t>
            </w:r>
          </w:p>
        </w:tc>
      </w:tr>
      <w:tr w:rsidR="00726A5E" w:rsidRPr="00A62DCE" w14:paraId="01F1E6F2"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7F4E3FB9" w14:textId="77777777" w:rsidR="00FF6A5F" w:rsidRDefault="00FF6A5F" w:rsidP="002E54DB">
            <w:pPr>
              <w:jc w:val="center"/>
              <w:rPr>
                <w:b/>
              </w:rPr>
            </w:pPr>
          </w:p>
          <w:p w14:paraId="4ADA753B" w14:textId="65D3897C" w:rsidR="00726A5E" w:rsidRPr="00A62DCE" w:rsidRDefault="00B34CF3" w:rsidP="002E54DB">
            <w:pPr>
              <w:jc w:val="center"/>
              <w:rPr>
                <w:b/>
              </w:rPr>
            </w:pPr>
            <w:r w:rsidRPr="00A62DCE">
              <w:rPr>
                <w:b/>
              </w:rPr>
              <w:t>Secţiunea a 5-a</w:t>
            </w:r>
          </w:p>
          <w:p w14:paraId="39D02A42" w14:textId="77777777" w:rsidR="00726A5E" w:rsidRPr="00A62DCE" w:rsidRDefault="00B34CF3" w:rsidP="002E54DB">
            <w:pPr>
              <w:jc w:val="center"/>
            </w:pPr>
            <w:r w:rsidRPr="00A62DCE">
              <w:rPr>
                <w:b/>
              </w:rPr>
              <w:t>Efectele proiectului de act normativ asupra legislaţiei în vigoare</w:t>
            </w:r>
          </w:p>
        </w:tc>
      </w:tr>
      <w:tr w:rsidR="00726A5E" w:rsidRPr="00A62DCE" w14:paraId="3313E16A"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38357189" w14:textId="77777777" w:rsidR="00726A5E" w:rsidRPr="00A62DCE" w:rsidRDefault="00B34CF3" w:rsidP="002E54DB">
            <w:pPr>
              <w:pStyle w:val="PreformatatHTML1"/>
              <w:jc w:val="both"/>
              <w:rPr>
                <w:rFonts w:ascii="Times New Roman" w:hAnsi="Times New Roman" w:cs="Times New Roman"/>
                <w:b/>
                <w:sz w:val="24"/>
                <w:szCs w:val="24"/>
                <w:lang w:val="ro-RO"/>
              </w:rPr>
            </w:pPr>
            <w:r w:rsidRPr="00A62DCE">
              <w:rPr>
                <w:rFonts w:ascii="Times New Roman" w:hAnsi="Times New Roman" w:cs="Times New Roman"/>
                <w:b/>
                <w:sz w:val="24"/>
                <w:szCs w:val="24"/>
                <w:lang w:val="ro-RO"/>
              </w:rPr>
              <w:t>1. Măsuri normative necesare pentru aplicarea prevederilor proiectului de act normativ:</w:t>
            </w:r>
          </w:p>
          <w:p w14:paraId="75516145" w14:textId="77777777" w:rsidR="00726A5E" w:rsidRPr="00A62DCE" w:rsidRDefault="00B34CF3" w:rsidP="002E54DB">
            <w:pPr>
              <w:pStyle w:val="PreformatatHTML1"/>
              <w:jc w:val="both"/>
              <w:rPr>
                <w:rFonts w:ascii="Times New Roman" w:hAnsi="Times New Roman" w:cs="Times New Roman"/>
                <w:sz w:val="24"/>
                <w:szCs w:val="24"/>
                <w:lang w:val="ro-RO"/>
              </w:rPr>
            </w:pPr>
            <w:r w:rsidRPr="00A62DCE">
              <w:rPr>
                <w:rFonts w:ascii="Times New Roman" w:hAnsi="Times New Roman" w:cs="Times New Roman"/>
                <w:b/>
                <w:sz w:val="24"/>
                <w:szCs w:val="24"/>
                <w:lang w:val="ro-RO"/>
              </w:rPr>
              <w:t>a) acte normative în vigoare ce vor fi modificate sau abrogate, ca urmare a intrării în vigoare a proiectului de act normativ:</w:t>
            </w:r>
          </w:p>
          <w:p w14:paraId="4E0D965E" w14:textId="77777777" w:rsidR="00726A5E" w:rsidRPr="00A62DCE" w:rsidRDefault="00B34CF3" w:rsidP="002E54DB">
            <w:pPr>
              <w:jc w:val="both"/>
              <w:rPr>
                <w:color w:val="000000"/>
              </w:rPr>
            </w:pPr>
            <w:r w:rsidRPr="00A62DCE">
              <w:t xml:space="preserve">Proiectul de act normativ modifică, completează și abrogă unele </w:t>
            </w:r>
            <w:r w:rsidRPr="00A62DCE">
              <w:rPr>
                <w:color w:val="000000"/>
              </w:rPr>
              <w:t xml:space="preserve">prevederi din legislația primară în </w:t>
            </w:r>
            <w:r w:rsidR="00C74C93" w:rsidRPr="00A62DCE">
              <w:rPr>
                <w:color w:val="000000"/>
              </w:rPr>
              <w:t>domeniul</w:t>
            </w:r>
            <w:r w:rsidRPr="00A62DCE">
              <w:rPr>
                <w:color w:val="000000"/>
              </w:rPr>
              <w:t xml:space="preserve"> instituțiilor de credit, respectiv Ordonanţa de urgenţă a Guvernului nr. 99/2006 privind instituțiile de credit și adecvarea capitalului. </w:t>
            </w:r>
          </w:p>
          <w:p w14:paraId="7A4E6930" w14:textId="77777777" w:rsidR="00726A5E" w:rsidRPr="00A62DCE" w:rsidRDefault="00B34CF3" w:rsidP="002E54DB">
            <w:pPr>
              <w:pStyle w:val="PreformatatHTML1"/>
              <w:jc w:val="both"/>
              <w:rPr>
                <w:rFonts w:ascii="Times New Roman" w:hAnsi="Times New Roman" w:cs="Times New Roman"/>
                <w:sz w:val="24"/>
                <w:szCs w:val="24"/>
                <w:lang w:val="ro-RO"/>
              </w:rPr>
            </w:pPr>
            <w:r w:rsidRPr="00A62DCE">
              <w:rPr>
                <w:rFonts w:ascii="Times New Roman" w:hAnsi="Times New Roman" w:cs="Times New Roman"/>
                <w:b/>
                <w:sz w:val="24"/>
                <w:szCs w:val="24"/>
                <w:lang w:val="ro-RO"/>
              </w:rPr>
              <w:t>b) acte normative ce urmează a fi elaborate în vederea implementării noilor dispoziţii:</w:t>
            </w:r>
          </w:p>
          <w:p w14:paraId="2D265CDC" w14:textId="77777777" w:rsidR="00726A5E" w:rsidRPr="00A62DCE" w:rsidRDefault="007B2DD6" w:rsidP="002E54DB">
            <w:pPr>
              <w:pStyle w:val="PreformatatHTML1"/>
              <w:jc w:val="both"/>
              <w:rPr>
                <w:rFonts w:ascii="Times New Roman" w:hAnsi="Times New Roman" w:cs="Times New Roman"/>
                <w:sz w:val="24"/>
                <w:szCs w:val="24"/>
                <w:lang w:val="ro-RO"/>
              </w:rPr>
            </w:pPr>
            <w:r w:rsidRPr="00A62DCE">
              <w:rPr>
                <w:rFonts w:ascii="Times New Roman" w:hAnsi="Times New Roman" w:cs="Times New Roman"/>
                <w:sz w:val="24"/>
                <w:szCs w:val="24"/>
                <w:lang w:val="ro-RO"/>
              </w:rPr>
              <w:t>Proiectul de act normativ</w:t>
            </w:r>
            <w:r w:rsidR="00265864" w:rsidRPr="00A62DCE">
              <w:rPr>
                <w:rFonts w:ascii="Times New Roman" w:hAnsi="Times New Roman" w:cs="Times New Roman"/>
                <w:sz w:val="24"/>
                <w:szCs w:val="24"/>
                <w:lang w:val="ro-RO"/>
              </w:rPr>
              <w:t xml:space="preserve"> pentru modificarea și completarea O.U</w:t>
            </w:r>
            <w:r w:rsidR="0097264C" w:rsidRPr="00A62DCE">
              <w:rPr>
                <w:rFonts w:ascii="Times New Roman" w:hAnsi="Times New Roman" w:cs="Times New Roman"/>
                <w:sz w:val="24"/>
                <w:szCs w:val="24"/>
                <w:lang w:val="ro-RO"/>
              </w:rPr>
              <w:t>.</w:t>
            </w:r>
            <w:r w:rsidR="00265864" w:rsidRPr="00A62DCE">
              <w:rPr>
                <w:rFonts w:ascii="Times New Roman" w:hAnsi="Times New Roman" w:cs="Times New Roman"/>
                <w:sz w:val="24"/>
                <w:szCs w:val="24"/>
                <w:lang w:val="ro-RO"/>
              </w:rPr>
              <w:t>G nr. 99/2006 nu necesită operarea altor modificări legislative, Banca Națională a României urmând să emită</w:t>
            </w:r>
            <w:r w:rsidR="00B1764B" w:rsidRPr="00A62DCE">
              <w:rPr>
                <w:rFonts w:ascii="Times New Roman" w:hAnsi="Times New Roman" w:cs="Times New Roman"/>
                <w:sz w:val="24"/>
                <w:szCs w:val="24"/>
                <w:lang w:val="ro-RO"/>
              </w:rPr>
              <w:t xml:space="preserve"> reglementări pentru modificarea și completarea</w:t>
            </w:r>
            <w:r w:rsidR="00265864" w:rsidRPr="00A62DCE">
              <w:rPr>
                <w:rFonts w:ascii="Times New Roman" w:hAnsi="Times New Roman" w:cs="Times New Roman"/>
                <w:sz w:val="24"/>
                <w:szCs w:val="24"/>
                <w:lang w:val="ro-RO"/>
              </w:rPr>
              <w:t xml:space="preserve"> cadrul</w:t>
            </w:r>
            <w:r w:rsidR="00B1764B" w:rsidRPr="00A62DCE">
              <w:rPr>
                <w:rFonts w:ascii="Times New Roman" w:hAnsi="Times New Roman" w:cs="Times New Roman"/>
                <w:sz w:val="24"/>
                <w:szCs w:val="24"/>
                <w:lang w:val="ro-RO"/>
              </w:rPr>
              <w:t>ui</w:t>
            </w:r>
            <w:r w:rsidR="00265864" w:rsidRPr="00A62DCE">
              <w:rPr>
                <w:rFonts w:ascii="Times New Roman" w:hAnsi="Times New Roman" w:cs="Times New Roman"/>
                <w:sz w:val="24"/>
                <w:szCs w:val="24"/>
                <w:lang w:val="ro-RO"/>
              </w:rPr>
              <w:t xml:space="preserve"> legislativ secundar </w:t>
            </w:r>
            <w:r w:rsidR="0097264C" w:rsidRPr="00A62DCE">
              <w:rPr>
                <w:rFonts w:ascii="Times New Roman" w:hAnsi="Times New Roman" w:cs="Times New Roman"/>
                <w:sz w:val="24"/>
                <w:szCs w:val="24"/>
                <w:lang w:val="ro-RO"/>
              </w:rPr>
              <w:t>aplicabil instituțiilor de credit</w:t>
            </w:r>
            <w:r w:rsidR="00265864" w:rsidRPr="00A62DCE">
              <w:rPr>
                <w:rFonts w:ascii="Times New Roman" w:hAnsi="Times New Roman" w:cs="Times New Roman"/>
                <w:sz w:val="24"/>
                <w:szCs w:val="24"/>
                <w:lang w:val="ro-RO"/>
              </w:rPr>
              <w:t>.</w:t>
            </w:r>
          </w:p>
          <w:p w14:paraId="301BBC4F" w14:textId="4C32920F" w:rsidR="00485450" w:rsidRPr="00E3060B" w:rsidRDefault="00D9240C" w:rsidP="002E54DB">
            <w:pPr>
              <w:pStyle w:val="PreformatatHTML1"/>
              <w:jc w:val="both"/>
              <w:rPr>
                <w:rFonts w:ascii="Times New Roman" w:hAnsi="Times New Roman" w:cs="Times New Roman"/>
                <w:sz w:val="24"/>
                <w:szCs w:val="24"/>
                <w:lang w:val="ro-RO"/>
              </w:rPr>
            </w:pPr>
            <w:r w:rsidRPr="00E3060B">
              <w:rPr>
                <w:rFonts w:ascii="Times New Roman" w:hAnsi="Times New Roman" w:cs="Times New Roman"/>
                <w:sz w:val="24"/>
                <w:szCs w:val="24"/>
                <w:lang w:val="ro-RO"/>
              </w:rPr>
              <w:t>Autoritatea de Supraveghere Financiară urmează să emită reglementări pentru modificarea și completarea cadrului legislativ secundar aplicabil firmelor de investiții.</w:t>
            </w:r>
          </w:p>
        </w:tc>
      </w:tr>
      <w:tr w:rsidR="00726A5E" w:rsidRPr="00A62DCE" w14:paraId="451075C9"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1CBB7AA0" w14:textId="77777777" w:rsidR="00726A5E" w:rsidRPr="00A62DCE" w:rsidRDefault="00B34CF3" w:rsidP="002E54DB">
            <w:pPr>
              <w:jc w:val="both"/>
              <w:rPr>
                <w:b/>
              </w:rPr>
            </w:pPr>
            <w:r w:rsidRPr="00A62DCE">
              <w:rPr>
                <w:b/>
              </w:rPr>
              <w:t>2. Conformitatea proiectului de act normativ</w:t>
            </w:r>
            <w:r w:rsidR="0097264C" w:rsidRPr="00A62DCE">
              <w:rPr>
                <w:b/>
              </w:rPr>
              <w:t xml:space="preserve"> </w:t>
            </w:r>
            <w:r w:rsidRPr="00A62DCE">
              <w:rPr>
                <w:b/>
              </w:rPr>
              <w:t xml:space="preserve">cu </w:t>
            </w:r>
            <w:r w:rsidR="007B2DD6" w:rsidRPr="00A62DCE">
              <w:rPr>
                <w:b/>
              </w:rPr>
              <w:t>legislația</w:t>
            </w:r>
            <w:r w:rsidRPr="00A62DCE">
              <w:rPr>
                <w:b/>
              </w:rPr>
              <w:t xml:space="preserve"> comunitară în materie în cazul proiectelor ce transpun prevederi comunitare </w:t>
            </w:r>
          </w:p>
          <w:p w14:paraId="5F5BFACE" w14:textId="77777777" w:rsidR="00726A5E" w:rsidRPr="00A62DCE" w:rsidRDefault="00B34CF3" w:rsidP="002E54DB">
            <w:pPr>
              <w:jc w:val="both"/>
            </w:pPr>
            <w:r w:rsidRPr="00A62DCE">
              <w:t xml:space="preserve">Proiectul de act normativ asigură transpunerea, la nivel de </w:t>
            </w:r>
            <w:r w:rsidR="007B2DD6" w:rsidRPr="00A62DCE">
              <w:t>legislație</w:t>
            </w:r>
            <w:r w:rsidRPr="00A62DCE">
              <w:t xml:space="preserve"> primară, a prevederilor </w:t>
            </w:r>
            <w:r w:rsidR="0097264C" w:rsidRPr="00A62DCE">
              <w:t xml:space="preserve">cuprinse în </w:t>
            </w:r>
            <w:r w:rsidR="007B2DD6" w:rsidRPr="00A62DCE">
              <w:rPr>
                <w:bCs/>
                <w:iCs/>
              </w:rPr>
              <w:t>Directiv</w:t>
            </w:r>
            <w:r w:rsidR="0097264C" w:rsidRPr="00A62DCE">
              <w:rPr>
                <w:bCs/>
                <w:iCs/>
              </w:rPr>
              <w:t>a</w:t>
            </w:r>
            <w:r w:rsidR="007B2DD6" w:rsidRPr="00A62DCE">
              <w:rPr>
                <w:bCs/>
                <w:iCs/>
              </w:rPr>
              <w:t xml:space="preserve"> (UE) 2019</w:t>
            </w:r>
            <w:r w:rsidR="005A4956" w:rsidRPr="00A62DCE">
              <w:rPr>
                <w:bCs/>
                <w:iCs/>
              </w:rPr>
              <w:t>/878</w:t>
            </w:r>
            <w:r w:rsidR="007B2DD6" w:rsidRPr="00A62DCE">
              <w:rPr>
                <w:bCs/>
                <w:iCs/>
              </w:rPr>
              <w:t xml:space="preserve"> a Parlamentului European și a Consiliului din 20 mai 2019 de modificare a Directivei 2013/</w:t>
            </w:r>
            <w:r w:rsidR="00BB67F4" w:rsidRPr="00A62DCE">
              <w:rPr>
                <w:bCs/>
                <w:iCs/>
              </w:rPr>
              <w:t>36/</w:t>
            </w:r>
            <w:r w:rsidR="007B2DD6" w:rsidRPr="00A62DCE">
              <w:rPr>
                <w:bCs/>
                <w:iCs/>
              </w:rPr>
              <w:t>UE în ceea ce privește entitățile exceptate, societățile financiare holding, societățile financiare holding mixte, remunerarea, măsurile și competențele de supraveghere și măsurile de conservare a capitalului</w:t>
            </w:r>
            <w:r w:rsidR="0097264C" w:rsidRPr="00A62DCE">
              <w:rPr>
                <w:bCs/>
                <w:iCs/>
              </w:rPr>
              <w:t>.</w:t>
            </w:r>
          </w:p>
          <w:p w14:paraId="66B190E4" w14:textId="77777777" w:rsidR="00726A5E" w:rsidRPr="00A62DCE" w:rsidRDefault="00B34CF3" w:rsidP="0099215C">
            <w:pPr>
              <w:jc w:val="both"/>
            </w:pPr>
            <w:r w:rsidRPr="00A62DCE">
              <w:t xml:space="preserve">Modificările propuse care nu au un corespondent în legislaţia Uniunii Europene şi care vizează </w:t>
            </w:r>
            <w:r w:rsidR="00DA0647" w:rsidRPr="00A62DCE">
              <w:t>îmbunătățirea</w:t>
            </w:r>
            <w:r w:rsidRPr="00A62DCE">
              <w:t xml:space="preserve"> reglementării existente nu ridică probleme din perspectiva </w:t>
            </w:r>
            <w:r w:rsidR="007B2DD6" w:rsidRPr="00A62DCE">
              <w:t>compatibilității</w:t>
            </w:r>
            <w:r w:rsidRPr="00A62DCE">
              <w:t xml:space="preserve"> cu </w:t>
            </w:r>
            <w:r w:rsidRPr="00A62DCE">
              <w:rPr>
                <w:i/>
              </w:rPr>
              <w:t>acquis</w:t>
            </w:r>
            <w:r w:rsidRPr="00A62DCE">
              <w:t xml:space="preserve">-ul Uniunii Europene.  </w:t>
            </w:r>
          </w:p>
        </w:tc>
      </w:tr>
      <w:tr w:rsidR="00726A5E" w:rsidRPr="00A62DCE" w14:paraId="7057F48F"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23837CA2" w14:textId="77777777" w:rsidR="00726A5E" w:rsidRPr="00A62DCE" w:rsidRDefault="00B34CF3" w:rsidP="002E54DB">
            <w:pPr>
              <w:jc w:val="both"/>
            </w:pPr>
            <w:r w:rsidRPr="00A62DCE">
              <w:rPr>
                <w:b/>
              </w:rPr>
              <w:t>3. Măsuri normative necesare aplicării directe a actelor normative comunitare</w:t>
            </w:r>
            <w:r w:rsidRPr="00A62DCE">
              <w:t>.</w:t>
            </w:r>
          </w:p>
          <w:p w14:paraId="065119D0" w14:textId="77777777" w:rsidR="00726A5E" w:rsidRPr="00A62DCE" w:rsidRDefault="007B2DD6" w:rsidP="002E54DB">
            <w:pPr>
              <w:jc w:val="both"/>
            </w:pPr>
            <w:r w:rsidRPr="00A62DCE">
              <w:t>Nu este cazul.</w:t>
            </w:r>
          </w:p>
        </w:tc>
      </w:tr>
      <w:tr w:rsidR="00726A5E" w:rsidRPr="00A62DCE" w14:paraId="71E3E128" w14:textId="77777777" w:rsidTr="007B2DD6">
        <w:trPr>
          <w:cantSplit/>
          <w:trHeight w:val="651"/>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794E1465" w14:textId="77777777" w:rsidR="006144C1" w:rsidRPr="00A62DCE" w:rsidRDefault="00B34CF3" w:rsidP="002E54DB">
            <w:pPr>
              <w:jc w:val="both"/>
            </w:pPr>
            <w:r w:rsidRPr="00A62DCE">
              <w:rPr>
                <w:b/>
              </w:rPr>
              <w:t>4. Hotărâri ale Curţii de Justiţie a Uniunii Europene</w:t>
            </w:r>
          </w:p>
          <w:p w14:paraId="43717009" w14:textId="77777777" w:rsidR="00DA2E83" w:rsidRPr="00A62DCE" w:rsidRDefault="007B2DD6" w:rsidP="002E54DB">
            <w:pPr>
              <w:pStyle w:val="c01pointnumerotealtn"/>
              <w:spacing w:before="0" w:beforeAutospacing="0" w:after="0"/>
              <w:ind w:left="539"/>
              <w:rPr>
                <w:u w:val="single"/>
                <w:lang w:val="ro-RO"/>
              </w:rPr>
            </w:pPr>
            <w:r w:rsidRPr="00A62DCE">
              <w:rPr>
                <w:lang w:val="ro-RO"/>
              </w:rPr>
              <w:t>Nu este cazul.</w:t>
            </w:r>
          </w:p>
        </w:tc>
      </w:tr>
      <w:tr w:rsidR="00726A5E" w:rsidRPr="00A62DCE" w14:paraId="436265E0"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4E41BE35" w14:textId="77777777" w:rsidR="00726A5E" w:rsidRPr="00A62DCE" w:rsidRDefault="00B34CF3" w:rsidP="002E54DB">
            <w:pPr>
              <w:jc w:val="both"/>
            </w:pPr>
            <w:r w:rsidRPr="00A62DCE">
              <w:rPr>
                <w:b/>
              </w:rPr>
              <w:t>5.</w:t>
            </w:r>
            <w:r w:rsidRPr="00A62DCE">
              <w:rPr>
                <w:b/>
                <w:bCs/>
              </w:rPr>
              <w:t xml:space="preserve"> Alte acte normative şi sau documente internaţionale din care decurg angajamente</w:t>
            </w:r>
          </w:p>
          <w:p w14:paraId="4B2AC8B3" w14:textId="77777777" w:rsidR="00726A5E" w:rsidRPr="00A62DCE" w:rsidRDefault="007B2DD6" w:rsidP="002D3BE7">
            <w:pPr>
              <w:jc w:val="both"/>
            </w:pPr>
            <w:r w:rsidRPr="00A62DCE">
              <w:t>Nu este cazul.</w:t>
            </w:r>
          </w:p>
        </w:tc>
      </w:tr>
      <w:tr w:rsidR="00726A5E" w:rsidRPr="00A62DCE" w14:paraId="410B71F7"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30EB1CF7" w14:textId="77777777" w:rsidR="00726A5E" w:rsidRPr="00A62DCE" w:rsidRDefault="00B34CF3" w:rsidP="002E54DB">
            <w:pPr>
              <w:jc w:val="both"/>
              <w:rPr>
                <w:b/>
              </w:rPr>
            </w:pPr>
            <w:r w:rsidRPr="00A62DCE">
              <w:rPr>
                <w:b/>
              </w:rPr>
              <w:t>6. Alte informaţii</w:t>
            </w:r>
          </w:p>
          <w:p w14:paraId="46C2FA5C" w14:textId="77777777" w:rsidR="00062EED" w:rsidRPr="00A62DCE" w:rsidRDefault="00502A7A" w:rsidP="002D3BE7">
            <w:pPr>
              <w:jc w:val="both"/>
            </w:pPr>
            <w:r w:rsidRPr="00A62DCE">
              <w:t>Nu este cazul.</w:t>
            </w:r>
          </w:p>
        </w:tc>
      </w:tr>
      <w:tr w:rsidR="00726A5E" w:rsidRPr="00A62DCE" w14:paraId="481E1510"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2F894BA1" w14:textId="77777777" w:rsidR="00FF6A5F" w:rsidRDefault="00FF6A5F" w:rsidP="002E54DB">
            <w:pPr>
              <w:jc w:val="center"/>
              <w:rPr>
                <w:b/>
              </w:rPr>
            </w:pPr>
          </w:p>
          <w:p w14:paraId="6F1FE2B3" w14:textId="4542D244" w:rsidR="00726A5E" w:rsidRPr="00A62DCE" w:rsidRDefault="00B34CF3" w:rsidP="002E54DB">
            <w:pPr>
              <w:jc w:val="center"/>
              <w:rPr>
                <w:b/>
              </w:rPr>
            </w:pPr>
            <w:r w:rsidRPr="00A62DCE">
              <w:rPr>
                <w:b/>
              </w:rPr>
              <w:t>Secţiunea a 6-a</w:t>
            </w:r>
          </w:p>
          <w:p w14:paraId="3548E24B" w14:textId="77777777" w:rsidR="00726A5E" w:rsidRPr="00A62DCE" w:rsidRDefault="00B34CF3" w:rsidP="002E54DB">
            <w:pPr>
              <w:jc w:val="center"/>
            </w:pPr>
            <w:r w:rsidRPr="00A62DCE">
              <w:rPr>
                <w:b/>
              </w:rPr>
              <w:t>Consultările efectuate în vederea elaborării proiectului de act normativ</w:t>
            </w:r>
          </w:p>
        </w:tc>
      </w:tr>
      <w:tr w:rsidR="00726A5E" w:rsidRPr="00A62DCE" w14:paraId="00C23533"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451ADB08" w14:textId="77777777" w:rsidR="00726A5E" w:rsidRPr="00A62DCE" w:rsidRDefault="00B34CF3" w:rsidP="002E54DB">
            <w:pPr>
              <w:jc w:val="both"/>
            </w:pPr>
            <w:r w:rsidRPr="00A62DCE">
              <w:rPr>
                <w:b/>
              </w:rPr>
              <w:t xml:space="preserve">1. Informaţii privind procesul de consultare cu </w:t>
            </w:r>
            <w:r w:rsidR="007C1DD2" w:rsidRPr="00A62DCE">
              <w:rPr>
                <w:b/>
              </w:rPr>
              <w:t>organizațiile</w:t>
            </w:r>
            <w:r w:rsidRPr="00A62DCE">
              <w:rPr>
                <w:b/>
              </w:rPr>
              <w:t xml:space="preserve"> neguvernamentale, institute de cercetare şi alte organisme implicate</w:t>
            </w:r>
          </w:p>
          <w:p w14:paraId="3251A20A" w14:textId="77777777" w:rsidR="00726A5E" w:rsidRPr="00A62DCE" w:rsidRDefault="0097264C" w:rsidP="00684914">
            <w:pPr>
              <w:jc w:val="both"/>
            </w:pPr>
            <w:r w:rsidRPr="00A62DCE">
              <w:lastRenderedPageBreak/>
              <w:t>Au</w:t>
            </w:r>
            <w:r w:rsidR="00B34CF3" w:rsidRPr="00A62DCE">
              <w:t xml:space="preserve"> </w:t>
            </w:r>
            <w:r w:rsidR="00684914" w:rsidRPr="00A62DCE">
              <w:t xml:space="preserve">avut loc </w:t>
            </w:r>
            <w:r w:rsidR="00B34CF3" w:rsidRPr="00A62DCE">
              <w:t>consult</w:t>
            </w:r>
            <w:r w:rsidR="00684914" w:rsidRPr="00A62DCE">
              <w:t xml:space="preserve">ări cu </w:t>
            </w:r>
            <w:r w:rsidR="00B34CF3" w:rsidRPr="00A62DCE">
              <w:t xml:space="preserve">Banca </w:t>
            </w:r>
            <w:r w:rsidR="007C1DD2" w:rsidRPr="00A62DCE">
              <w:t>Națională</w:t>
            </w:r>
            <w:r w:rsidR="00B34CF3" w:rsidRPr="00A62DCE">
              <w:t xml:space="preserve"> a României, Autorit</w:t>
            </w:r>
            <w:r w:rsidR="0071461F" w:rsidRPr="00A62DCE">
              <w:t>atea de Supraveghere Financiară și</w:t>
            </w:r>
            <w:r w:rsidR="00684914" w:rsidRPr="00A62DCE">
              <w:t xml:space="preserve"> </w:t>
            </w:r>
            <w:r w:rsidR="00502A7A" w:rsidRPr="00A62DCE">
              <w:t>Asociația Română a Băncilor</w:t>
            </w:r>
            <w:r w:rsidR="00B34CF3" w:rsidRPr="00A62DCE">
              <w:t xml:space="preserve">. </w:t>
            </w:r>
          </w:p>
        </w:tc>
      </w:tr>
      <w:tr w:rsidR="00726A5E" w:rsidRPr="00A62DCE" w14:paraId="4D75C438"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357F97A8" w14:textId="77777777" w:rsidR="00726A5E" w:rsidRPr="00A62DCE" w:rsidRDefault="00502A7A" w:rsidP="004156A7">
            <w:pPr>
              <w:jc w:val="both"/>
              <w:rPr>
                <w:b/>
                <w:bCs/>
              </w:rPr>
            </w:pPr>
            <w:r w:rsidRPr="00A62DCE">
              <w:rPr>
                <w:b/>
                <w:bCs/>
              </w:rPr>
              <w:lastRenderedPageBreak/>
              <w:t xml:space="preserve">2. </w:t>
            </w:r>
            <w:r w:rsidR="004156A7" w:rsidRPr="00A62DCE">
              <w:rPr>
                <w:b/>
                <w:bCs/>
              </w:rPr>
              <w:t>Fundamentarea alegerii organizațiilor cu care a avut loc consultarea precum şi a modului în care activitatea acestor organizații este legată de obiectul proiectului de act normativ</w:t>
            </w:r>
          </w:p>
          <w:p w14:paraId="7AE9CF5C" w14:textId="77777777" w:rsidR="004156A7" w:rsidRPr="00A62DCE" w:rsidRDefault="004156A7" w:rsidP="004156A7">
            <w:pPr>
              <w:jc w:val="both"/>
              <w:rPr>
                <w:bCs/>
              </w:rPr>
            </w:pPr>
            <w:r w:rsidRPr="00A62DCE">
              <w:rPr>
                <w:bCs/>
              </w:rPr>
              <w:t>Banca Națională a României este autoritatea competentă cu privire la reglementarea, autorizarea și supravegherea prudențială a instituțiilor de credit vizate prin proiectul de act normativ.</w:t>
            </w:r>
          </w:p>
          <w:p w14:paraId="76C50517" w14:textId="77777777" w:rsidR="004156A7" w:rsidRPr="00A62DCE" w:rsidRDefault="004156A7" w:rsidP="004156A7">
            <w:pPr>
              <w:jc w:val="both"/>
              <w:rPr>
                <w:bCs/>
              </w:rPr>
            </w:pPr>
            <w:r w:rsidRPr="00A62DCE">
              <w:rPr>
                <w:bCs/>
              </w:rPr>
              <w:t>Autoritatea de Supraveghere Financiară este autoritatea competentă cu privire la reglementarea și supravegherea prudențială a societăților de servicii de investiții financiare vizate prin proiectul de act normativ.</w:t>
            </w:r>
          </w:p>
          <w:p w14:paraId="7F61292E" w14:textId="77777777" w:rsidR="004156A7" w:rsidRPr="00A62DCE" w:rsidRDefault="004156A7" w:rsidP="004156A7">
            <w:pPr>
              <w:jc w:val="both"/>
              <w:rPr>
                <w:bCs/>
              </w:rPr>
            </w:pPr>
            <w:r w:rsidRPr="00A62DCE">
              <w:rPr>
                <w:bCs/>
              </w:rPr>
              <w:t>Asociația Română a Băncilor este constituită în scopul promovării principiilor politicii bancare în domeniile de interes general ale instituțiilor de credit membre, precum și în scopul cooperării dintre instituțiile de credit, alte instituții naționale și internaționale și asociații bancare din alte țări.</w:t>
            </w:r>
          </w:p>
        </w:tc>
      </w:tr>
      <w:tr w:rsidR="00726A5E" w:rsidRPr="00A62DCE" w14:paraId="36B597A7"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39F57196" w14:textId="77777777" w:rsidR="00726A5E" w:rsidRPr="00A62DCE" w:rsidRDefault="00B34CF3" w:rsidP="002E54DB">
            <w:pPr>
              <w:jc w:val="both"/>
              <w:rPr>
                <w:b/>
                <w:bCs/>
              </w:rPr>
            </w:pPr>
            <w:r w:rsidRPr="00A62DCE">
              <w:rPr>
                <w:b/>
              </w:rPr>
              <w:t xml:space="preserve">3. Consultările organizate cu autorităţile </w:t>
            </w:r>
            <w:r w:rsidRPr="00A62DCE">
              <w:rPr>
                <w:b/>
                <w:bCs/>
              </w:rPr>
              <w:t xml:space="preserve">administraţiei </w:t>
            </w:r>
            <w:r w:rsidRPr="00A62DCE">
              <w:rPr>
                <w:b/>
              </w:rPr>
              <w:t xml:space="preserve">publice locale, în situaţia în care proiectul de act normativ are ca obiect activităţi ale acestor autorităţi, în condiţiile Hotărârii Guvernului nr.521/2005 </w:t>
            </w:r>
            <w:r w:rsidRPr="00A62DCE">
              <w:rPr>
                <w:b/>
                <w:bCs/>
              </w:rPr>
              <w:t>privind procedura de consultare a structurilor asociative ale autorităţilor administraţiei publice locale la elaborarea proiectelor de acte normative.</w:t>
            </w:r>
          </w:p>
          <w:p w14:paraId="181347C9" w14:textId="77777777" w:rsidR="00726A5E" w:rsidRPr="00A62DCE" w:rsidRDefault="00726A5E" w:rsidP="002E54DB">
            <w:pPr>
              <w:jc w:val="both"/>
              <w:rPr>
                <w:b/>
                <w:bCs/>
              </w:rPr>
            </w:pPr>
          </w:p>
        </w:tc>
      </w:tr>
      <w:tr w:rsidR="00726A5E" w:rsidRPr="00A62DCE" w14:paraId="4300B51E"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6F87ACE5" w14:textId="77777777" w:rsidR="00726A5E" w:rsidRPr="00A62DCE" w:rsidRDefault="00B34CF3" w:rsidP="002E54DB">
            <w:pPr>
              <w:jc w:val="both"/>
            </w:pPr>
            <w:r w:rsidRPr="00A62DCE">
              <w:rPr>
                <w:b/>
              </w:rPr>
              <w:t>4. Consultările desfăşurate în cadrul consiliilor interministeriale în conformitate cu prevederile Hotărârii Guvernului nr. 750/2005 privind constituirea consiliilor interministeriale permanente</w:t>
            </w:r>
          </w:p>
        </w:tc>
      </w:tr>
      <w:tr w:rsidR="00726A5E" w:rsidRPr="00A62DCE" w14:paraId="5772FF5F"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0D311758" w14:textId="77777777" w:rsidR="00726A5E" w:rsidRPr="00A62DCE" w:rsidRDefault="00B34CF3" w:rsidP="002E54DB">
            <w:pPr>
              <w:autoSpaceDE w:val="0"/>
              <w:jc w:val="both"/>
              <w:rPr>
                <w:b/>
              </w:rPr>
            </w:pPr>
            <w:r w:rsidRPr="00A62DCE">
              <w:rPr>
                <w:b/>
              </w:rPr>
              <w:t>5.</w:t>
            </w:r>
            <w:r w:rsidRPr="00A62DCE">
              <w:rPr>
                <w:b/>
                <w:bCs/>
              </w:rPr>
              <w:t xml:space="preserve"> Informaţii privind avizarea de către</w:t>
            </w:r>
            <w:r w:rsidRPr="00A62DCE">
              <w:rPr>
                <w:b/>
              </w:rPr>
              <w:t>:</w:t>
            </w:r>
          </w:p>
          <w:p w14:paraId="2F593D79" w14:textId="77777777" w:rsidR="00726A5E" w:rsidRPr="00A62DCE" w:rsidRDefault="00B34CF3" w:rsidP="002E54DB">
            <w:pPr>
              <w:tabs>
                <w:tab w:val="left" w:pos="6195"/>
              </w:tabs>
              <w:autoSpaceDE w:val="0"/>
              <w:jc w:val="both"/>
              <w:rPr>
                <w:b/>
              </w:rPr>
            </w:pPr>
            <w:r w:rsidRPr="00A62DCE">
              <w:rPr>
                <w:b/>
              </w:rPr>
              <w:t>a) Consiliul Legislativ</w:t>
            </w:r>
          </w:p>
          <w:p w14:paraId="0D980EC5" w14:textId="77777777" w:rsidR="00726A5E" w:rsidRPr="00A62DCE" w:rsidRDefault="00B34CF3" w:rsidP="002E54DB">
            <w:pPr>
              <w:autoSpaceDE w:val="0"/>
              <w:jc w:val="both"/>
              <w:rPr>
                <w:b/>
              </w:rPr>
            </w:pPr>
            <w:r w:rsidRPr="00A62DCE">
              <w:rPr>
                <w:b/>
              </w:rPr>
              <w:t>b) Consiliul Suprem de Apărare a Ţării</w:t>
            </w:r>
          </w:p>
          <w:p w14:paraId="1D7B5DCE" w14:textId="77777777" w:rsidR="00726A5E" w:rsidRPr="00A62DCE" w:rsidRDefault="00B34CF3" w:rsidP="002E54DB">
            <w:pPr>
              <w:autoSpaceDE w:val="0"/>
              <w:jc w:val="both"/>
              <w:rPr>
                <w:b/>
              </w:rPr>
            </w:pPr>
            <w:r w:rsidRPr="00A62DCE">
              <w:rPr>
                <w:b/>
              </w:rPr>
              <w:t>c) Consiliul Economic şi Social</w:t>
            </w:r>
          </w:p>
          <w:p w14:paraId="20CA7131" w14:textId="77777777" w:rsidR="00726A5E" w:rsidRPr="00A62DCE" w:rsidRDefault="00B34CF3" w:rsidP="002E54DB">
            <w:pPr>
              <w:autoSpaceDE w:val="0"/>
              <w:jc w:val="both"/>
              <w:rPr>
                <w:b/>
              </w:rPr>
            </w:pPr>
            <w:r w:rsidRPr="00A62DCE">
              <w:rPr>
                <w:b/>
              </w:rPr>
              <w:t xml:space="preserve">d) Consiliul Concurenţei </w:t>
            </w:r>
          </w:p>
          <w:p w14:paraId="116537F9" w14:textId="77777777" w:rsidR="00726A5E" w:rsidRPr="00A62DCE" w:rsidRDefault="00B34CF3" w:rsidP="002E54DB">
            <w:pPr>
              <w:jc w:val="both"/>
              <w:rPr>
                <w:shd w:val="clear" w:color="auto" w:fill="FFFFFF"/>
              </w:rPr>
            </w:pPr>
            <w:r w:rsidRPr="00A62DCE">
              <w:rPr>
                <w:b/>
              </w:rPr>
              <w:t>e) Curtea de Conturi</w:t>
            </w:r>
          </w:p>
          <w:p w14:paraId="732116C2" w14:textId="431A3C63" w:rsidR="00726A5E" w:rsidRPr="00A62DCE" w:rsidRDefault="00B34CF3" w:rsidP="00FD7BF2">
            <w:pPr>
              <w:jc w:val="both"/>
            </w:pPr>
            <w:r w:rsidRPr="00A62DCE">
              <w:rPr>
                <w:shd w:val="clear" w:color="auto" w:fill="FFFFFF"/>
              </w:rPr>
              <w:t>Proiectul este supus avizării</w:t>
            </w:r>
            <w:r w:rsidR="00FD7BF2">
              <w:rPr>
                <w:shd w:val="clear" w:color="auto" w:fill="FFFFFF"/>
              </w:rPr>
              <w:t xml:space="preserve"> </w:t>
            </w:r>
            <w:r w:rsidR="00FD7BF2" w:rsidRPr="00FF6A5F">
              <w:t>Consiliul Economic și Social</w:t>
            </w:r>
            <w:r w:rsidR="00FD7BF2" w:rsidRPr="00A62DCE">
              <w:rPr>
                <w:shd w:val="clear" w:color="auto" w:fill="FFFFFF"/>
              </w:rPr>
              <w:t xml:space="preserve"> </w:t>
            </w:r>
            <w:r w:rsidR="00FD7BF2">
              <w:rPr>
                <w:shd w:val="clear" w:color="auto" w:fill="FFFFFF"/>
              </w:rPr>
              <w:t xml:space="preserve">și </w:t>
            </w:r>
            <w:r w:rsidRPr="00A62DCE">
              <w:rPr>
                <w:shd w:val="clear" w:color="auto" w:fill="FFFFFF"/>
              </w:rPr>
              <w:t>Consiliului Legislativ</w:t>
            </w:r>
            <w:r w:rsidRPr="00A62DCE">
              <w:t xml:space="preserve">. </w:t>
            </w:r>
          </w:p>
        </w:tc>
      </w:tr>
      <w:tr w:rsidR="00726A5E" w:rsidRPr="00A62DCE" w14:paraId="48C58EBF"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71BBB2C1" w14:textId="77777777" w:rsidR="00726A5E" w:rsidRPr="00A62DCE" w:rsidRDefault="00B34CF3" w:rsidP="002E54DB">
            <w:pPr>
              <w:jc w:val="both"/>
            </w:pPr>
            <w:r w:rsidRPr="00A62DCE">
              <w:rPr>
                <w:b/>
              </w:rPr>
              <w:t>6. Alte informaţii</w:t>
            </w:r>
          </w:p>
        </w:tc>
      </w:tr>
      <w:tr w:rsidR="00726A5E" w:rsidRPr="00A62DCE" w14:paraId="7CE245F6"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2554723E" w14:textId="77777777" w:rsidR="00FF6A5F" w:rsidRDefault="00FF6A5F" w:rsidP="002E54DB">
            <w:pPr>
              <w:jc w:val="center"/>
              <w:rPr>
                <w:b/>
              </w:rPr>
            </w:pPr>
          </w:p>
          <w:p w14:paraId="5E02204F" w14:textId="08183FCE" w:rsidR="00726A5E" w:rsidRPr="00A62DCE" w:rsidRDefault="00B34CF3" w:rsidP="002E54DB">
            <w:pPr>
              <w:jc w:val="center"/>
              <w:rPr>
                <w:b/>
              </w:rPr>
            </w:pPr>
            <w:r w:rsidRPr="00A62DCE">
              <w:rPr>
                <w:b/>
              </w:rPr>
              <w:t>Secţiunea a 7-a</w:t>
            </w:r>
          </w:p>
          <w:p w14:paraId="129E5842" w14:textId="77777777" w:rsidR="00726A5E" w:rsidRPr="00A62DCE" w:rsidRDefault="00B34CF3" w:rsidP="002E54DB">
            <w:pPr>
              <w:jc w:val="center"/>
              <w:rPr>
                <w:b/>
              </w:rPr>
            </w:pPr>
            <w:r w:rsidRPr="00A62DCE">
              <w:rPr>
                <w:b/>
              </w:rPr>
              <w:t xml:space="preserve">Activităţi de informare publică privind elaborarea </w:t>
            </w:r>
          </w:p>
          <w:p w14:paraId="5FACA27C" w14:textId="77777777" w:rsidR="00726A5E" w:rsidRPr="00A62DCE" w:rsidRDefault="00B34CF3" w:rsidP="002E54DB">
            <w:pPr>
              <w:jc w:val="center"/>
            </w:pPr>
            <w:r w:rsidRPr="00A62DCE">
              <w:rPr>
                <w:b/>
              </w:rPr>
              <w:t>şi implementarea proiectului de act normativ</w:t>
            </w:r>
          </w:p>
        </w:tc>
      </w:tr>
      <w:tr w:rsidR="00726A5E" w:rsidRPr="00A62DCE" w14:paraId="4605A7FF"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0FA2E32F" w14:textId="77777777" w:rsidR="00726A5E" w:rsidRPr="00A62DCE" w:rsidRDefault="00B34CF3" w:rsidP="002E54DB">
            <w:pPr>
              <w:jc w:val="both"/>
              <w:rPr>
                <w:shd w:val="clear" w:color="auto" w:fill="FFFFFF"/>
              </w:rPr>
            </w:pPr>
            <w:r w:rsidRPr="00A62DCE">
              <w:rPr>
                <w:b/>
              </w:rPr>
              <w:t>1. Informarea societăţii civile cu privire la necesitatea elaborării proiectului de act normativ</w:t>
            </w:r>
          </w:p>
          <w:p w14:paraId="76F23C71" w14:textId="4FE0FF03" w:rsidR="00726A5E" w:rsidRPr="00A62DCE" w:rsidRDefault="00743CCB" w:rsidP="00743CCB">
            <w:pPr>
              <w:jc w:val="both"/>
              <w:rPr>
                <w:shd w:val="clear" w:color="auto" w:fill="FFFF00"/>
              </w:rPr>
            </w:pPr>
            <w:r w:rsidRPr="00743CCB">
              <w:rPr>
                <w:shd w:val="clear" w:color="auto" w:fill="FFFFFF"/>
              </w:rPr>
              <w:t xml:space="preserve">Au fost respectate prevederile Regulamentului privind procedurile, la nivelul Guvernului, pentru elaborarea, avizarea și prezentarea proiectelor de documente de politici publice, a proiectelor de acte normative, precum și a altor documente, în vederea adoptării/aprobării, aprobat prin Hotărârea Guvernului nr. 561/2009. Proiectul de act normativ a fost postat la data de  </w:t>
            </w:r>
            <w:r>
              <w:rPr>
                <w:shd w:val="clear" w:color="auto" w:fill="FFFFFF"/>
              </w:rPr>
              <w:t xml:space="preserve">............   </w:t>
            </w:r>
            <w:r w:rsidRPr="00743CCB">
              <w:rPr>
                <w:shd w:val="clear" w:color="auto" w:fill="FFFFFF"/>
              </w:rPr>
              <w:t xml:space="preserve"> pe website-ul</w:t>
            </w:r>
            <w:r w:rsidR="006F656D">
              <w:rPr>
                <w:shd w:val="clear" w:color="auto" w:fill="FFFFFF"/>
              </w:rPr>
              <w:t xml:space="preserve"> Ministerului Finanțelor</w:t>
            </w:r>
            <w:r w:rsidRPr="00743CCB">
              <w:rPr>
                <w:shd w:val="clear" w:color="auto" w:fill="FFFFFF"/>
              </w:rPr>
              <w:t>. Au fost respectate dispozițiile art. 7 din Legea nr. 52/2003 privind transparența decizională în administrația publică.</w:t>
            </w:r>
            <w:bookmarkStart w:id="0" w:name="_GoBack"/>
            <w:bookmarkEnd w:id="0"/>
          </w:p>
        </w:tc>
      </w:tr>
      <w:tr w:rsidR="00726A5E" w:rsidRPr="00A62DCE" w14:paraId="1E17FB8B"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620ABFAC" w14:textId="77777777" w:rsidR="00726A5E" w:rsidRPr="00A62DCE" w:rsidRDefault="00B34CF3" w:rsidP="002E54DB">
            <w:pPr>
              <w:jc w:val="both"/>
            </w:pPr>
            <w:r w:rsidRPr="00A62DCE">
              <w:rPr>
                <w:b/>
              </w:rPr>
              <w:t xml:space="preserve">2. Informarea societăţii civile cu privire la eventualul impact asupra mediului în urma implementării proiectului de act normativ, precum şi efectele asupra sănătăţii şi securităţii cetăţenilor sau diversităţii biologice </w:t>
            </w:r>
          </w:p>
          <w:p w14:paraId="516801C0" w14:textId="77777777" w:rsidR="00726A5E" w:rsidRPr="00A62DCE" w:rsidRDefault="00B34CF3" w:rsidP="002E54DB">
            <w:pPr>
              <w:jc w:val="both"/>
            </w:pPr>
            <w:r w:rsidRPr="00A62DCE">
              <w:t>Proiectul de act normativ nu se referă la acest subiect.</w:t>
            </w:r>
          </w:p>
        </w:tc>
      </w:tr>
      <w:tr w:rsidR="00726A5E" w:rsidRPr="00A62DCE" w14:paraId="0BF48FF7"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1919C057" w14:textId="77777777" w:rsidR="00726A5E" w:rsidRPr="00A62DCE" w:rsidRDefault="00B34CF3" w:rsidP="002E54DB">
            <w:pPr>
              <w:jc w:val="both"/>
            </w:pPr>
            <w:r w:rsidRPr="00A62DCE">
              <w:rPr>
                <w:b/>
              </w:rPr>
              <w:t>3. Alte informaţii</w:t>
            </w:r>
          </w:p>
        </w:tc>
      </w:tr>
      <w:tr w:rsidR="00726A5E" w:rsidRPr="00A62DCE" w14:paraId="671A081B" w14:textId="77777777" w:rsidTr="00FF6A5F">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51331182" w14:textId="77777777" w:rsidR="00FF6A5F" w:rsidRDefault="00FF6A5F" w:rsidP="002E54DB">
            <w:pPr>
              <w:jc w:val="center"/>
              <w:rPr>
                <w:b/>
              </w:rPr>
            </w:pPr>
          </w:p>
          <w:p w14:paraId="4043BFB6" w14:textId="1AF20192" w:rsidR="00726A5E" w:rsidRPr="00A62DCE" w:rsidRDefault="00B34CF3" w:rsidP="002E54DB">
            <w:pPr>
              <w:jc w:val="center"/>
              <w:rPr>
                <w:b/>
                <w:bCs/>
              </w:rPr>
            </w:pPr>
            <w:r w:rsidRPr="00A62DCE">
              <w:rPr>
                <w:b/>
              </w:rPr>
              <w:t>Secţiunea a 8-a</w:t>
            </w:r>
          </w:p>
          <w:p w14:paraId="09DD7709" w14:textId="77777777" w:rsidR="00726A5E" w:rsidRDefault="00B34CF3" w:rsidP="002E54DB">
            <w:pPr>
              <w:jc w:val="center"/>
              <w:rPr>
                <w:b/>
                <w:bCs/>
              </w:rPr>
            </w:pPr>
            <w:r w:rsidRPr="00A62DCE">
              <w:rPr>
                <w:b/>
                <w:bCs/>
              </w:rPr>
              <w:t>Măsuri de implementare</w:t>
            </w:r>
          </w:p>
          <w:p w14:paraId="021E7FD0" w14:textId="75639F26" w:rsidR="00FF6A5F" w:rsidRPr="00A62DCE" w:rsidRDefault="00FF6A5F" w:rsidP="002E54DB">
            <w:pPr>
              <w:jc w:val="center"/>
            </w:pPr>
          </w:p>
        </w:tc>
      </w:tr>
      <w:tr w:rsidR="00726A5E" w:rsidRPr="00A62DCE" w14:paraId="601CEE97"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6CB5E0D4" w14:textId="77777777" w:rsidR="00726A5E" w:rsidRPr="00A62DCE" w:rsidRDefault="00B34CF3" w:rsidP="002E54DB">
            <w:pPr>
              <w:jc w:val="both"/>
            </w:pPr>
            <w:r w:rsidRPr="00A62DCE">
              <w:rPr>
                <w:b/>
              </w:rPr>
              <w:t>1. Măsurile de punere în aplicare a proiectului de act normativ de către autorităţile administraţiei publice centrale şi/sau locale - înfi</w:t>
            </w:r>
            <w:r w:rsidR="006F7E2C" w:rsidRPr="00A62DCE">
              <w:rPr>
                <w:b/>
              </w:rPr>
              <w:t xml:space="preserve">inţarea unor noi organisme sau </w:t>
            </w:r>
            <w:r w:rsidRPr="00A62DCE">
              <w:rPr>
                <w:b/>
              </w:rPr>
              <w:t>extinderea competenţelor instituţiilor existente</w:t>
            </w:r>
          </w:p>
          <w:p w14:paraId="187F20E0" w14:textId="77777777" w:rsidR="006F7E2C" w:rsidRPr="00A62DCE" w:rsidRDefault="006F7E2C" w:rsidP="006F7E2C">
            <w:pPr>
              <w:jc w:val="both"/>
            </w:pPr>
          </w:p>
        </w:tc>
      </w:tr>
      <w:tr w:rsidR="00726A5E" w:rsidRPr="00A62DCE" w14:paraId="4DF6BE38" w14:textId="77777777" w:rsidTr="002E54DB">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Pr>
          <w:p w14:paraId="50FA000E" w14:textId="77777777" w:rsidR="00726A5E" w:rsidRPr="00A62DCE" w:rsidRDefault="00B34CF3" w:rsidP="002E54DB">
            <w:pPr>
              <w:jc w:val="both"/>
            </w:pPr>
            <w:r w:rsidRPr="00A62DCE">
              <w:rPr>
                <w:b/>
              </w:rPr>
              <w:t>2. Alte informaţii</w:t>
            </w:r>
          </w:p>
          <w:p w14:paraId="21E0F3D4" w14:textId="77777777" w:rsidR="006F7E2C" w:rsidRPr="00A62DCE" w:rsidRDefault="006F7E2C" w:rsidP="005A4956">
            <w:pPr>
              <w:jc w:val="both"/>
            </w:pPr>
            <w:r w:rsidRPr="00A62DCE">
              <w:lastRenderedPageBreak/>
              <w:t xml:space="preserve">Data până la care trebuie adoptat și publicat proiectul de act normativ care asigură transpunerea prevederilor </w:t>
            </w:r>
            <w:r w:rsidR="00611BE9" w:rsidRPr="00A62DCE">
              <w:t xml:space="preserve">Directivei </w:t>
            </w:r>
            <w:r w:rsidR="00611BE9" w:rsidRPr="00A62DCE">
              <w:rPr>
                <w:bCs/>
                <w:iCs/>
              </w:rPr>
              <w:t>(UE) 2019</w:t>
            </w:r>
            <w:r w:rsidR="005A4956" w:rsidRPr="00A62DCE">
              <w:rPr>
                <w:bCs/>
                <w:iCs/>
              </w:rPr>
              <w:t>/878</w:t>
            </w:r>
            <w:r w:rsidR="00F032A0" w:rsidRPr="00A62DCE">
              <w:rPr>
                <w:bCs/>
                <w:iCs/>
              </w:rPr>
              <w:t xml:space="preserve"> </w:t>
            </w:r>
            <w:r w:rsidR="00611BE9" w:rsidRPr="00A62DCE">
              <w:rPr>
                <w:bCs/>
                <w:iCs/>
              </w:rPr>
              <w:t xml:space="preserve">la nivel de legislație primară este prima decadă a lunii decembrie 2020, </w:t>
            </w:r>
            <w:r w:rsidR="00E52F67" w:rsidRPr="00A62DCE">
              <w:rPr>
                <w:bCs/>
                <w:iCs/>
              </w:rPr>
              <w:t xml:space="preserve">astfel încât </w:t>
            </w:r>
            <w:r w:rsidR="00684914" w:rsidRPr="00A62DCE">
              <w:rPr>
                <w:bCs/>
                <w:iCs/>
              </w:rPr>
              <w:t xml:space="preserve">emiterea </w:t>
            </w:r>
            <w:r w:rsidR="00611BE9" w:rsidRPr="00A62DCE">
              <w:rPr>
                <w:bCs/>
                <w:iCs/>
              </w:rPr>
              <w:t>reglement</w:t>
            </w:r>
            <w:r w:rsidR="00684914" w:rsidRPr="00A62DCE">
              <w:rPr>
                <w:bCs/>
                <w:iCs/>
              </w:rPr>
              <w:t>ărilor</w:t>
            </w:r>
            <w:r w:rsidR="00611BE9" w:rsidRPr="00A62DCE">
              <w:rPr>
                <w:bCs/>
                <w:iCs/>
              </w:rPr>
              <w:t xml:space="preserve"> secundar</w:t>
            </w:r>
            <w:r w:rsidR="00684914" w:rsidRPr="00A62DCE">
              <w:rPr>
                <w:bCs/>
                <w:iCs/>
              </w:rPr>
              <w:t>e</w:t>
            </w:r>
            <w:r w:rsidR="00611BE9" w:rsidRPr="00A62DCE">
              <w:rPr>
                <w:bCs/>
                <w:iCs/>
              </w:rPr>
              <w:t xml:space="preserve"> </w:t>
            </w:r>
            <w:r w:rsidR="00684914" w:rsidRPr="00A62DCE">
              <w:rPr>
                <w:bCs/>
                <w:iCs/>
              </w:rPr>
              <w:t xml:space="preserve">pentru transpunerea </w:t>
            </w:r>
            <w:r w:rsidR="00611BE9" w:rsidRPr="00A62DCE">
              <w:rPr>
                <w:bCs/>
                <w:iCs/>
              </w:rPr>
              <w:t xml:space="preserve">prevederilor </w:t>
            </w:r>
            <w:r w:rsidR="00684914" w:rsidRPr="00A62DCE">
              <w:rPr>
                <w:bCs/>
                <w:iCs/>
              </w:rPr>
              <w:t xml:space="preserve">cu caracter tehnic din cuprinsul </w:t>
            </w:r>
            <w:r w:rsidR="00611BE9" w:rsidRPr="00A62DCE">
              <w:t xml:space="preserve">Directivei </w:t>
            </w:r>
            <w:r w:rsidR="00611BE9" w:rsidRPr="00A62DCE">
              <w:rPr>
                <w:bCs/>
                <w:iCs/>
              </w:rPr>
              <w:t>(UE) 2019</w:t>
            </w:r>
            <w:r w:rsidR="005A4956" w:rsidRPr="00A62DCE">
              <w:rPr>
                <w:bCs/>
                <w:iCs/>
              </w:rPr>
              <w:t>/878</w:t>
            </w:r>
            <w:r w:rsidR="00684914" w:rsidRPr="00A62DCE">
              <w:rPr>
                <w:bCs/>
                <w:iCs/>
              </w:rPr>
              <w:t xml:space="preserve"> </w:t>
            </w:r>
            <w:r w:rsidR="00E52F67" w:rsidRPr="00A62DCE">
              <w:rPr>
                <w:bCs/>
                <w:iCs/>
              </w:rPr>
              <w:t xml:space="preserve">să se realizeze </w:t>
            </w:r>
            <w:r w:rsidR="00611BE9" w:rsidRPr="00A62DCE">
              <w:rPr>
                <w:bCs/>
                <w:iCs/>
              </w:rPr>
              <w:t>până la data de 28 decembrie 2020.</w:t>
            </w:r>
          </w:p>
        </w:tc>
      </w:tr>
    </w:tbl>
    <w:p w14:paraId="0DEC38A6" w14:textId="77777777" w:rsidR="00726A5E" w:rsidRPr="00A62DCE" w:rsidRDefault="002E54DB">
      <w:pPr>
        <w:jc w:val="both"/>
      </w:pPr>
      <w:r w:rsidRPr="00A62DCE">
        <w:lastRenderedPageBreak/>
        <w:br w:type="textWrapping" w:clear="all"/>
      </w:r>
    </w:p>
    <w:p w14:paraId="3A45E4AA" w14:textId="33B3E35D" w:rsidR="00726A5E" w:rsidRPr="00A62DCE" w:rsidRDefault="00F44EE0" w:rsidP="00F968D1">
      <w:pPr>
        <w:pStyle w:val="Heading2"/>
        <w:tabs>
          <w:tab w:val="clear" w:pos="576"/>
          <w:tab w:val="num" w:pos="0"/>
        </w:tabs>
        <w:ind w:left="0" w:firstLine="0"/>
        <w:jc w:val="left"/>
        <w:rPr>
          <w:sz w:val="24"/>
        </w:rPr>
      </w:pPr>
      <w:r w:rsidRPr="00A62DCE">
        <w:rPr>
          <w:sz w:val="24"/>
        </w:rPr>
        <w:t>Față</w:t>
      </w:r>
      <w:r w:rsidR="00B34CF3" w:rsidRPr="00A62DCE">
        <w:rPr>
          <w:sz w:val="24"/>
        </w:rPr>
        <w:t xml:space="preserve"> de cele prezentate, a fost </w:t>
      </w:r>
      <w:r w:rsidR="00E52F67" w:rsidRPr="00A62DCE">
        <w:rPr>
          <w:sz w:val="24"/>
        </w:rPr>
        <w:t>promovată prezenta</w:t>
      </w:r>
      <w:r w:rsidR="00B34CF3" w:rsidRPr="00A62DCE">
        <w:rPr>
          <w:sz w:val="24"/>
        </w:rPr>
        <w:t xml:space="preserve"> Lege </w:t>
      </w:r>
      <w:r w:rsidR="004156A7" w:rsidRPr="00A62DCE">
        <w:rPr>
          <w:sz w:val="24"/>
        </w:rPr>
        <w:t>pentru modifi</w:t>
      </w:r>
      <w:r w:rsidR="00F968D1">
        <w:rPr>
          <w:sz w:val="24"/>
        </w:rPr>
        <w:t xml:space="preserve">carea şi completarea Ordonanței </w:t>
      </w:r>
      <w:r w:rsidR="004156A7" w:rsidRPr="00A62DCE">
        <w:rPr>
          <w:sz w:val="24"/>
        </w:rPr>
        <w:t>de urgență a Guvernului nr. 99/2006 privind instituțiile de credit şi adecvarea capitalului</w:t>
      </w:r>
      <w:r w:rsidR="00B34CF3" w:rsidRPr="00A62DCE">
        <w:rPr>
          <w:b/>
          <w:sz w:val="24"/>
        </w:rPr>
        <w:t>.</w:t>
      </w:r>
    </w:p>
    <w:p w14:paraId="2662159E" w14:textId="77777777" w:rsidR="00726A5E" w:rsidRPr="00A62DCE" w:rsidRDefault="00726A5E">
      <w:pPr>
        <w:jc w:val="center"/>
        <w:rPr>
          <w:b/>
          <w:bCs/>
          <w:u w:val="single"/>
        </w:rPr>
      </w:pPr>
    </w:p>
    <w:p w14:paraId="1BE4094B" w14:textId="536C15E9" w:rsidR="00726A5E" w:rsidRPr="00A62DCE" w:rsidRDefault="00B34CF3">
      <w:pPr>
        <w:jc w:val="center"/>
        <w:rPr>
          <w:b/>
          <w:bCs/>
        </w:rPr>
      </w:pPr>
      <w:r w:rsidRPr="00A62DCE">
        <w:rPr>
          <w:b/>
          <w:bCs/>
        </w:rPr>
        <w:t xml:space="preserve">MINISTRUL FINANȚELOR </w:t>
      </w:r>
    </w:p>
    <w:p w14:paraId="1645533F" w14:textId="77777777" w:rsidR="00726A5E" w:rsidRPr="00A62DCE" w:rsidRDefault="00726A5E">
      <w:pPr>
        <w:jc w:val="center"/>
        <w:rPr>
          <w:b/>
          <w:bCs/>
        </w:rPr>
      </w:pPr>
    </w:p>
    <w:p w14:paraId="553B490C" w14:textId="1A961A8D" w:rsidR="00726A5E" w:rsidRPr="00A62DCE" w:rsidRDefault="00FF6A5F">
      <w:pPr>
        <w:jc w:val="center"/>
        <w:rPr>
          <w:b/>
          <w:bCs/>
          <w:u w:val="single"/>
        </w:rPr>
      </w:pPr>
      <w:r>
        <w:rPr>
          <w:b/>
          <w:bCs/>
        </w:rPr>
        <w:t>Alexandru NAZARE</w:t>
      </w:r>
    </w:p>
    <w:p w14:paraId="5E6E402D" w14:textId="77777777" w:rsidR="00726A5E" w:rsidRPr="00A62DCE" w:rsidRDefault="00726A5E">
      <w:pPr>
        <w:jc w:val="center"/>
        <w:rPr>
          <w:b/>
          <w:bCs/>
          <w:u w:val="single"/>
        </w:rPr>
      </w:pPr>
    </w:p>
    <w:p w14:paraId="46A0F0FD" w14:textId="77777777" w:rsidR="00726A5E" w:rsidRPr="00A62DCE" w:rsidRDefault="00726A5E">
      <w:pPr>
        <w:jc w:val="center"/>
        <w:rPr>
          <w:b/>
          <w:bCs/>
          <w:u w:val="single"/>
        </w:rPr>
      </w:pPr>
    </w:p>
    <w:p w14:paraId="2749F04E" w14:textId="77777777" w:rsidR="00726A5E" w:rsidRPr="00A62DCE" w:rsidRDefault="00B34CF3">
      <w:pPr>
        <w:jc w:val="center"/>
        <w:rPr>
          <w:b/>
          <w:bCs/>
          <w:u w:val="single"/>
        </w:rPr>
      </w:pPr>
      <w:r w:rsidRPr="00A62DCE">
        <w:rPr>
          <w:b/>
          <w:bCs/>
          <w:u w:val="single"/>
        </w:rPr>
        <w:t>AVIZĂM FAVORABIL</w:t>
      </w:r>
    </w:p>
    <w:p w14:paraId="5A94A45F" w14:textId="77777777" w:rsidR="00726A5E" w:rsidRPr="00A62DCE" w:rsidRDefault="00726A5E">
      <w:pPr>
        <w:jc w:val="center"/>
        <w:rPr>
          <w:b/>
          <w:bCs/>
          <w:u w:val="single"/>
        </w:rPr>
      </w:pPr>
    </w:p>
    <w:p w14:paraId="1372A7A8" w14:textId="77777777" w:rsidR="00726A5E" w:rsidRPr="00A62DCE" w:rsidRDefault="00B34CF3">
      <w:pPr>
        <w:jc w:val="center"/>
        <w:rPr>
          <w:b/>
          <w:bCs/>
        </w:rPr>
      </w:pPr>
      <w:r w:rsidRPr="00A62DCE">
        <w:rPr>
          <w:b/>
          <w:bCs/>
        </w:rPr>
        <w:t>BANCA NAȚIONALĂ A ROMÂNIEI</w:t>
      </w:r>
    </w:p>
    <w:p w14:paraId="30969506" w14:textId="77777777" w:rsidR="00726A5E" w:rsidRPr="00A62DCE" w:rsidRDefault="00726A5E">
      <w:pPr>
        <w:jc w:val="center"/>
        <w:rPr>
          <w:b/>
          <w:bCs/>
        </w:rPr>
      </w:pPr>
    </w:p>
    <w:p w14:paraId="1BDFDB7A" w14:textId="77777777" w:rsidR="00726A5E" w:rsidRPr="00A62DCE" w:rsidRDefault="00B34CF3">
      <w:pPr>
        <w:jc w:val="center"/>
        <w:rPr>
          <w:b/>
          <w:bCs/>
        </w:rPr>
      </w:pPr>
      <w:r w:rsidRPr="00A62DCE">
        <w:rPr>
          <w:b/>
          <w:bCs/>
        </w:rPr>
        <w:t>Guvernator</w:t>
      </w:r>
    </w:p>
    <w:p w14:paraId="75F3980E" w14:textId="77777777" w:rsidR="00726A5E" w:rsidRPr="00A62DCE" w:rsidRDefault="00B34CF3">
      <w:pPr>
        <w:jc w:val="center"/>
        <w:rPr>
          <w:b/>
          <w:bCs/>
        </w:rPr>
      </w:pPr>
      <w:r w:rsidRPr="00A62DCE">
        <w:rPr>
          <w:b/>
          <w:bCs/>
        </w:rPr>
        <w:t>Mugur Constantin ISĂRESCU</w:t>
      </w:r>
    </w:p>
    <w:p w14:paraId="1D1D4EE5" w14:textId="2369E97F" w:rsidR="00726A5E" w:rsidRDefault="00726A5E">
      <w:pPr>
        <w:jc w:val="center"/>
        <w:rPr>
          <w:b/>
          <w:bCs/>
        </w:rPr>
      </w:pPr>
    </w:p>
    <w:p w14:paraId="312F6556" w14:textId="77777777" w:rsidR="00FD7BF2" w:rsidRPr="00A62DCE" w:rsidRDefault="00FD7BF2">
      <w:pPr>
        <w:jc w:val="center"/>
        <w:rPr>
          <w:b/>
          <w:bCs/>
        </w:rPr>
      </w:pPr>
    </w:p>
    <w:p w14:paraId="086859C6" w14:textId="77777777" w:rsidR="00726A5E" w:rsidRPr="00A62DCE" w:rsidRDefault="00B34CF3">
      <w:pPr>
        <w:jc w:val="center"/>
        <w:rPr>
          <w:b/>
          <w:bCs/>
        </w:rPr>
      </w:pPr>
      <w:r w:rsidRPr="00A62DCE">
        <w:rPr>
          <w:b/>
          <w:bCs/>
        </w:rPr>
        <w:t xml:space="preserve">AUTORITATEA DE SUPRAVEGHERE FINANCIARĂ </w:t>
      </w:r>
    </w:p>
    <w:p w14:paraId="2648A559" w14:textId="77777777" w:rsidR="00726A5E" w:rsidRPr="00A62DCE" w:rsidRDefault="00726A5E">
      <w:pPr>
        <w:jc w:val="center"/>
        <w:rPr>
          <w:b/>
          <w:bCs/>
        </w:rPr>
      </w:pPr>
    </w:p>
    <w:p w14:paraId="4BFC0572" w14:textId="77777777" w:rsidR="00726A5E" w:rsidRPr="00A62DCE" w:rsidRDefault="00B34CF3">
      <w:pPr>
        <w:jc w:val="center"/>
        <w:rPr>
          <w:b/>
          <w:bCs/>
        </w:rPr>
      </w:pPr>
      <w:r w:rsidRPr="00A62DCE">
        <w:rPr>
          <w:b/>
          <w:bCs/>
        </w:rPr>
        <w:t>Preşedinte</w:t>
      </w:r>
    </w:p>
    <w:p w14:paraId="1E69D682" w14:textId="77777777" w:rsidR="00726A5E" w:rsidRPr="004714B7" w:rsidRDefault="00D9240C">
      <w:pPr>
        <w:jc w:val="center"/>
        <w:rPr>
          <w:b/>
          <w:bCs/>
        </w:rPr>
      </w:pPr>
      <w:r w:rsidRPr="004714B7">
        <w:rPr>
          <w:b/>
          <w:bCs/>
        </w:rPr>
        <w:t>Nicu MARCU</w:t>
      </w:r>
    </w:p>
    <w:tbl>
      <w:tblPr>
        <w:tblW w:w="0" w:type="auto"/>
        <w:tblLayout w:type="fixed"/>
        <w:tblLook w:val="0000" w:firstRow="0" w:lastRow="0" w:firstColumn="0" w:lastColumn="0" w:noHBand="0" w:noVBand="0"/>
      </w:tblPr>
      <w:tblGrid>
        <w:gridCol w:w="4899"/>
        <w:gridCol w:w="4899"/>
      </w:tblGrid>
      <w:tr w:rsidR="00726A5E" w:rsidRPr="00A62DCE" w14:paraId="618CD117" w14:textId="77777777">
        <w:trPr>
          <w:trHeight w:val="1435"/>
        </w:trPr>
        <w:tc>
          <w:tcPr>
            <w:tcW w:w="4899" w:type="dxa"/>
            <w:shd w:val="clear" w:color="auto" w:fill="auto"/>
          </w:tcPr>
          <w:p w14:paraId="5D5708E0" w14:textId="77777777" w:rsidR="00726A5E" w:rsidRPr="00A62DCE" w:rsidRDefault="00726A5E" w:rsidP="002E54DB">
            <w:pPr>
              <w:snapToGrid w:val="0"/>
              <w:jc w:val="center"/>
            </w:pPr>
          </w:p>
        </w:tc>
        <w:tc>
          <w:tcPr>
            <w:tcW w:w="4899" w:type="dxa"/>
            <w:shd w:val="clear" w:color="auto" w:fill="auto"/>
          </w:tcPr>
          <w:p w14:paraId="6EFC566F" w14:textId="77777777" w:rsidR="00726A5E" w:rsidRPr="00A62DCE" w:rsidRDefault="00726A5E">
            <w:pPr>
              <w:snapToGrid w:val="0"/>
              <w:jc w:val="both"/>
            </w:pPr>
          </w:p>
        </w:tc>
      </w:tr>
      <w:tr w:rsidR="00726A5E" w:rsidRPr="00A62DCE" w14:paraId="20DF0843" w14:textId="77777777">
        <w:trPr>
          <w:trHeight w:val="1016"/>
        </w:trPr>
        <w:tc>
          <w:tcPr>
            <w:tcW w:w="4899" w:type="dxa"/>
            <w:shd w:val="clear" w:color="auto" w:fill="auto"/>
          </w:tcPr>
          <w:p w14:paraId="723E476E" w14:textId="77777777" w:rsidR="00726A5E" w:rsidRPr="00A62DCE" w:rsidRDefault="00B34CF3" w:rsidP="002E54DB">
            <w:pPr>
              <w:jc w:val="center"/>
              <w:rPr>
                <w:b/>
              </w:rPr>
            </w:pPr>
            <w:r w:rsidRPr="00A62DCE">
              <w:rPr>
                <w:b/>
              </w:rPr>
              <w:t>MINISTRUL AFACERILOR EXTERNE</w:t>
            </w:r>
          </w:p>
          <w:p w14:paraId="10AF6F98" w14:textId="77777777" w:rsidR="00726A5E" w:rsidRDefault="00726A5E" w:rsidP="00714B98">
            <w:pPr>
              <w:jc w:val="center"/>
              <w:rPr>
                <w:b/>
              </w:rPr>
            </w:pPr>
          </w:p>
          <w:p w14:paraId="5A472C43" w14:textId="44635015" w:rsidR="00F968D1" w:rsidRPr="00A62DCE" w:rsidRDefault="00F968D1" w:rsidP="00714B98">
            <w:pPr>
              <w:jc w:val="center"/>
              <w:rPr>
                <w:b/>
              </w:rPr>
            </w:pPr>
            <w:r>
              <w:rPr>
                <w:b/>
              </w:rPr>
              <w:t>B</w:t>
            </w:r>
            <w:r w:rsidRPr="00F968D1">
              <w:rPr>
                <w:b/>
              </w:rPr>
              <w:t>ogdan Lucian AURESCU</w:t>
            </w:r>
          </w:p>
        </w:tc>
        <w:tc>
          <w:tcPr>
            <w:tcW w:w="4899" w:type="dxa"/>
            <w:shd w:val="clear" w:color="auto" w:fill="auto"/>
          </w:tcPr>
          <w:p w14:paraId="7779F65B" w14:textId="77777777" w:rsidR="00726A5E" w:rsidRPr="00A62DCE" w:rsidRDefault="00B34CF3" w:rsidP="002E54DB">
            <w:pPr>
              <w:jc w:val="center"/>
              <w:rPr>
                <w:b/>
              </w:rPr>
            </w:pPr>
            <w:r w:rsidRPr="00A62DCE">
              <w:rPr>
                <w:b/>
              </w:rPr>
              <w:t>MINISTRUL JUSTIȚIEI</w:t>
            </w:r>
          </w:p>
          <w:p w14:paraId="1CECF01B" w14:textId="77777777" w:rsidR="00726A5E" w:rsidRPr="00A62DCE" w:rsidRDefault="00726A5E" w:rsidP="002E54DB">
            <w:pPr>
              <w:jc w:val="center"/>
              <w:rPr>
                <w:b/>
              </w:rPr>
            </w:pPr>
          </w:p>
          <w:p w14:paraId="48C3F6C7" w14:textId="36AEF68F" w:rsidR="00726A5E" w:rsidRPr="00A62DCE" w:rsidRDefault="00FF6A5F" w:rsidP="002E54DB">
            <w:pPr>
              <w:jc w:val="center"/>
              <w:rPr>
                <w:b/>
              </w:rPr>
            </w:pPr>
            <w:r>
              <w:rPr>
                <w:b/>
              </w:rPr>
              <w:t>Stelian-Cristian ION</w:t>
            </w:r>
          </w:p>
        </w:tc>
      </w:tr>
    </w:tbl>
    <w:p w14:paraId="274CAF42" w14:textId="05CC4ACA" w:rsidR="00FF6A5F" w:rsidRDefault="00FF6A5F"/>
    <w:p w14:paraId="30A4F97D" w14:textId="77777777" w:rsidR="00FF6A5F" w:rsidRPr="00FF6A5F" w:rsidRDefault="00FF6A5F" w:rsidP="00FF6A5F"/>
    <w:p w14:paraId="65B47CD7" w14:textId="77777777" w:rsidR="00FF6A5F" w:rsidRPr="00FF6A5F" w:rsidRDefault="00FF6A5F" w:rsidP="00FF6A5F"/>
    <w:p w14:paraId="4BF28095" w14:textId="77777777" w:rsidR="00FF6A5F" w:rsidRPr="00FF6A5F" w:rsidRDefault="00FF6A5F" w:rsidP="00FF6A5F"/>
    <w:p w14:paraId="59EF905E" w14:textId="77777777" w:rsidR="00FF6A5F" w:rsidRPr="00FF6A5F" w:rsidRDefault="00FF6A5F" w:rsidP="00FF6A5F"/>
    <w:p w14:paraId="5FCC0856" w14:textId="77777777" w:rsidR="00FF6A5F" w:rsidRPr="00FF6A5F" w:rsidRDefault="00FF6A5F" w:rsidP="00FF6A5F"/>
    <w:p w14:paraId="1983066C" w14:textId="77777777" w:rsidR="00FF6A5F" w:rsidRPr="00FF6A5F" w:rsidRDefault="00FF6A5F" w:rsidP="00FF6A5F"/>
    <w:p w14:paraId="095DDF0F" w14:textId="6A4E2155" w:rsidR="00FF6A5F" w:rsidRDefault="00FF6A5F" w:rsidP="00FF6A5F"/>
    <w:p w14:paraId="5261AA92" w14:textId="2B3F6999" w:rsidR="00FF6A5F" w:rsidRDefault="00FF6A5F" w:rsidP="00FF6A5F"/>
    <w:p w14:paraId="3AC2EC59" w14:textId="40CE660C" w:rsidR="00B34CF3" w:rsidRDefault="00B34CF3" w:rsidP="00FF6A5F">
      <w:pPr>
        <w:ind w:firstLine="708"/>
      </w:pPr>
    </w:p>
    <w:p w14:paraId="492DBACB" w14:textId="0C145DAA" w:rsidR="00FF6A5F" w:rsidRDefault="00FF6A5F" w:rsidP="00FF6A5F">
      <w:pPr>
        <w:ind w:firstLine="708"/>
      </w:pPr>
    </w:p>
    <w:p w14:paraId="045A09DE" w14:textId="467B70A4" w:rsidR="00FF6A5F" w:rsidRDefault="00FF6A5F" w:rsidP="00FF6A5F">
      <w:pPr>
        <w:ind w:firstLine="708"/>
      </w:pPr>
    </w:p>
    <w:p w14:paraId="089D304E" w14:textId="703D2022" w:rsidR="00FF6A5F" w:rsidRDefault="00FF6A5F" w:rsidP="00FF6A5F">
      <w:pPr>
        <w:ind w:firstLine="708"/>
      </w:pPr>
    </w:p>
    <w:p w14:paraId="7406BBB3" w14:textId="0F10EC34" w:rsidR="00FF6A5F" w:rsidRDefault="00FF6A5F" w:rsidP="00FF6A5F">
      <w:pPr>
        <w:ind w:firstLine="708"/>
      </w:pPr>
    </w:p>
    <w:p w14:paraId="17424FC3" w14:textId="26CA2A80" w:rsidR="00FF6A5F" w:rsidRDefault="00FF6A5F" w:rsidP="00FF6A5F">
      <w:pPr>
        <w:ind w:firstLine="708"/>
      </w:pPr>
    </w:p>
    <w:p w14:paraId="0A40A92A" w14:textId="5CCA4980" w:rsidR="00FF6A5F" w:rsidRPr="00FF6A5F" w:rsidRDefault="00FF6A5F" w:rsidP="00FF6A5F"/>
    <w:sectPr w:rsidR="00FF6A5F" w:rsidRPr="00FF6A5F" w:rsidSect="00726A5E">
      <w:headerReference w:type="even" r:id="rId8"/>
      <w:headerReference w:type="default" r:id="rId9"/>
      <w:footerReference w:type="even" r:id="rId10"/>
      <w:footerReference w:type="default" r:id="rId11"/>
      <w:headerReference w:type="first" r:id="rId12"/>
      <w:footerReference w:type="first" r:id="rId13"/>
      <w:pgSz w:w="11906" w:h="16838"/>
      <w:pgMar w:top="540" w:right="566" w:bottom="762" w:left="1253" w:header="708"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0123E" w14:textId="77777777" w:rsidR="00E076F2" w:rsidRDefault="00E076F2">
      <w:r>
        <w:separator/>
      </w:r>
    </w:p>
  </w:endnote>
  <w:endnote w:type="continuationSeparator" w:id="0">
    <w:p w14:paraId="1F888676" w14:textId="77777777" w:rsidR="00E076F2" w:rsidRDefault="00E0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Rim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E4C0" w14:textId="77777777" w:rsidR="00C056D0" w:rsidRDefault="00C056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336697"/>
      <w:docPartObj>
        <w:docPartGallery w:val="Page Numbers (Bottom of Page)"/>
        <w:docPartUnique/>
      </w:docPartObj>
    </w:sdtPr>
    <w:sdtEndPr/>
    <w:sdtContent>
      <w:p w14:paraId="6D0DC5C3" w14:textId="62255BA0" w:rsidR="00C056D0" w:rsidRDefault="00C056D0" w:rsidP="00E051EB">
        <w:pPr>
          <w:pStyle w:val="Footer"/>
          <w:ind w:right="360"/>
          <w:jc w:val="center"/>
        </w:pPr>
        <w:r w:rsidRPr="003561DA">
          <w:fldChar w:fldCharType="begin"/>
        </w:r>
        <w:r w:rsidRPr="003561DA">
          <w:instrText xml:space="preserve"> PAGE </w:instrText>
        </w:r>
        <w:r w:rsidRPr="003561DA">
          <w:fldChar w:fldCharType="separate"/>
        </w:r>
        <w:r w:rsidR="006F656D">
          <w:rPr>
            <w:noProof/>
          </w:rPr>
          <w:t>9</w:t>
        </w:r>
        <w:r w:rsidRPr="003561DA">
          <w:fldChar w:fldCharType="end"/>
        </w:r>
        <w:r>
          <w:t>/</w:t>
        </w:r>
        <w:fldSimple w:instr=" NUMPAGES ">
          <w:r w:rsidR="006F656D">
            <w:rPr>
              <w:noProof/>
            </w:rPr>
            <w:t>9</w:t>
          </w:r>
        </w:fldSimple>
      </w:p>
    </w:sdtContent>
  </w:sdt>
  <w:p w14:paraId="60809AE7" w14:textId="612BEC1C" w:rsidR="008E70E2" w:rsidRDefault="008E70E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4DB6" w14:textId="77777777" w:rsidR="00C056D0" w:rsidRDefault="00C056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5DCA6" w14:textId="77777777" w:rsidR="00E076F2" w:rsidRDefault="00E076F2">
      <w:r>
        <w:separator/>
      </w:r>
    </w:p>
  </w:footnote>
  <w:footnote w:type="continuationSeparator" w:id="0">
    <w:p w14:paraId="2C3B3E71" w14:textId="77777777" w:rsidR="00E076F2" w:rsidRDefault="00E07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B1B80" w14:textId="77777777" w:rsidR="00C056D0" w:rsidRDefault="00C056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7184" w14:textId="77777777" w:rsidR="00E71ECD" w:rsidRDefault="004F6C27">
    <w:pPr>
      <w:pStyle w:val="Header"/>
    </w:pPr>
    <w:r>
      <w:rPr>
        <w:noProof/>
        <w:lang w:val="en-US" w:eastAsia="en-US"/>
      </w:rPr>
      <mc:AlternateContent>
        <mc:Choice Requires="wps">
          <w:drawing>
            <wp:anchor distT="0" distB="0" distL="114300" distR="114300" simplePos="0" relativeHeight="251658752" behindDoc="0" locked="0" layoutInCell="0" allowOverlap="1" wp14:anchorId="0E6853AF" wp14:editId="535F110D">
              <wp:simplePos x="0" y="0"/>
              <wp:positionH relativeFrom="page">
                <wp:posOffset>0</wp:posOffset>
              </wp:positionH>
              <wp:positionV relativeFrom="page">
                <wp:posOffset>190500</wp:posOffset>
              </wp:positionV>
              <wp:extent cx="7560310" cy="266700"/>
              <wp:effectExtent l="0" t="0" r="0" b="0"/>
              <wp:wrapNone/>
              <wp:docPr id="2" name="MSIPCMa26940a1a584adda4aac6d90" descr="{&quot;HashCode&quot;:57790455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3FBE" w14:textId="77777777" w:rsidR="00E71ECD" w:rsidRPr="00E71ECD" w:rsidRDefault="00E71ECD" w:rsidP="00E71ECD">
                          <w:pPr>
                            <w:jc w:val="right"/>
                            <w:rPr>
                              <w:color w:val="000000"/>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853AF" id="_x0000_t202" coordsize="21600,21600" o:spt="202" path="m,l,21600r21600,l21600,xe">
              <v:stroke joinstyle="miter"/>
              <v:path gradientshapeok="t" o:connecttype="rect"/>
            </v:shapetype>
            <v:shape id="MSIPCMa26940a1a584adda4aac6d90" o:spid="_x0000_s1026" type="#_x0000_t202" alt="{&quot;HashCode&quot;:577904551,&quot;Height&quot;:841.0,&quot;Width&quot;:595.0,&quot;Placement&quot;:&quot;Header&quot;,&quot;Index&quot;:&quot;Primary&quot;,&quot;Section&quot;:1,&quot;Top&quot;:0.0,&quot;Left&quot;:0.0}" style="position:absolute;margin-left:0;margin-top:15pt;width:595.3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" o:allowincell="f" filled="f" stroked="f">
              <v:textbox inset=",0,20pt,0">
                <w:txbxContent>
                  <w:p w14:paraId="5D7D3FBE" w14:textId="77777777" w:rsidR="00E71ECD" w:rsidRPr="00E71ECD" w:rsidRDefault="00E71ECD" w:rsidP="00E71ECD">
                    <w:pPr>
                      <w:jc w:val="right"/>
                      <w:rPr>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65F6" w14:textId="77777777" w:rsidR="00C056D0" w:rsidRDefault="00C056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lowerRoman"/>
      <w:lvlText w:val="%1."/>
      <w:lvlJc w:val="right"/>
      <w:pPr>
        <w:tabs>
          <w:tab w:val="num" w:pos="720"/>
        </w:tabs>
        <w:ind w:left="720" w:hanging="360"/>
      </w:pPr>
    </w:lvl>
  </w:abstractNum>
  <w:abstractNum w:abstractNumId="2" w15:restartNumberingAfterBreak="0">
    <w:nsid w:val="00000003"/>
    <w:multiLevelType w:val="singleLevel"/>
    <w:tmpl w:val="00000003"/>
    <w:name w:val="WW8Num4"/>
    <w:lvl w:ilvl="0">
      <w:start w:val="1"/>
      <w:numFmt w:val="lowerRoman"/>
      <w:lvlText w:val="%1."/>
      <w:lvlJc w:val="right"/>
      <w:pPr>
        <w:tabs>
          <w:tab w:val="num" w:pos="720"/>
        </w:tabs>
        <w:ind w:left="72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0"/>
        </w:tabs>
        <w:ind w:left="502" w:hanging="360"/>
      </w:pPr>
      <w:rPr>
        <w:rFonts w:ascii="Times New Roman" w:hAnsi="Times New Roman" w:cs="Times New Roman"/>
        <w:color w:val="000000"/>
        <w:lang w:eastAsia="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singleLevel"/>
    <w:tmpl w:val="00000005"/>
    <w:name w:val="WW8Num6"/>
    <w:lvl w:ilvl="0">
      <w:start w:val="1"/>
      <w:numFmt w:val="lowerRoman"/>
      <w:lvlText w:val="%1."/>
      <w:lvlJc w:val="right"/>
      <w:pPr>
        <w:tabs>
          <w:tab w:val="num" w:pos="720"/>
        </w:tabs>
        <w:ind w:left="720" w:hanging="360"/>
      </w:pPr>
    </w:lvl>
  </w:abstractNum>
  <w:abstractNum w:abstractNumId="5" w15:restartNumberingAfterBreak="0">
    <w:nsid w:val="00000006"/>
    <w:multiLevelType w:val="singleLevel"/>
    <w:tmpl w:val="00000006"/>
    <w:name w:val="WW8Num7"/>
    <w:lvl w:ilvl="0">
      <w:start w:val="1"/>
      <w:numFmt w:val="lowerRoman"/>
      <w:lvlText w:val="%1."/>
      <w:lvlJc w:val="right"/>
      <w:pPr>
        <w:tabs>
          <w:tab w:val="num" w:pos="720"/>
        </w:tabs>
        <w:ind w:left="720" w:hanging="360"/>
      </w:pPr>
    </w:lvl>
  </w:abstractNum>
  <w:abstractNum w:abstractNumId="6" w15:restartNumberingAfterBreak="0">
    <w:nsid w:val="00000007"/>
    <w:multiLevelType w:val="singleLevel"/>
    <w:tmpl w:val="00000007"/>
    <w:name w:val="WW8Num8"/>
    <w:lvl w:ilvl="0">
      <w:start w:val="1"/>
      <w:numFmt w:val="lowerRoman"/>
      <w:lvlText w:val="%1."/>
      <w:lvlJc w:val="right"/>
      <w:pPr>
        <w:tabs>
          <w:tab w:val="num" w:pos="720"/>
        </w:tabs>
        <w:ind w:left="720" w:hanging="360"/>
      </w:pPr>
    </w:lvl>
  </w:abstractNum>
  <w:abstractNum w:abstractNumId="7" w15:restartNumberingAfterBreak="0">
    <w:nsid w:val="00000008"/>
    <w:multiLevelType w:val="singleLevel"/>
    <w:tmpl w:val="00000008"/>
    <w:name w:val="WW8Num9"/>
    <w:lvl w:ilvl="0">
      <w:start w:val="1"/>
      <w:numFmt w:val="lowerRoman"/>
      <w:lvlText w:val="%1."/>
      <w:lvlJc w:val="right"/>
      <w:pPr>
        <w:tabs>
          <w:tab w:val="num" w:pos="720"/>
        </w:tabs>
        <w:ind w:left="720" w:hanging="360"/>
      </w:pPr>
    </w:lvl>
  </w:abstractNum>
  <w:abstractNum w:abstractNumId="8" w15:restartNumberingAfterBreak="0">
    <w:nsid w:val="05554F19"/>
    <w:multiLevelType w:val="hybridMultilevel"/>
    <w:tmpl w:val="A066E88E"/>
    <w:lvl w:ilvl="0" w:tplc="3A285B1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A14DFE"/>
    <w:multiLevelType w:val="hybridMultilevel"/>
    <w:tmpl w:val="EA3A60AA"/>
    <w:lvl w:ilvl="0" w:tplc="5B7C2C1E">
      <w:start w:val="1"/>
      <w:numFmt w:val="lowerRoman"/>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FF0821"/>
    <w:multiLevelType w:val="hybridMultilevel"/>
    <w:tmpl w:val="B364944C"/>
    <w:lvl w:ilvl="0" w:tplc="F01AC4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F675D"/>
    <w:multiLevelType w:val="hybridMultilevel"/>
    <w:tmpl w:val="4CBE62AE"/>
    <w:lvl w:ilvl="0" w:tplc="F0267A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465FF"/>
    <w:multiLevelType w:val="hybridMultilevel"/>
    <w:tmpl w:val="D50A7B10"/>
    <w:lvl w:ilvl="0" w:tplc="900A54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75ADF"/>
    <w:multiLevelType w:val="hybridMultilevel"/>
    <w:tmpl w:val="5A4EE586"/>
    <w:lvl w:ilvl="0" w:tplc="63A4FF30">
      <w:start w:val="14"/>
      <w:numFmt w:val="bullet"/>
      <w:lvlText w:val="-"/>
      <w:lvlJc w:val="left"/>
      <w:pPr>
        <w:tabs>
          <w:tab w:val="num" w:pos="1440"/>
        </w:tabs>
        <w:ind w:left="1440" w:hanging="360"/>
      </w:pPr>
      <w:rPr>
        <w:rFonts w:ascii="Times New Roman" w:eastAsia="SimSu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2F3388C"/>
    <w:multiLevelType w:val="hybridMultilevel"/>
    <w:tmpl w:val="643CD300"/>
    <w:lvl w:ilvl="0" w:tplc="66E86B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A558A"/>
    <w:multiLevelType w:val="multilevel"/>
    <w:tmpl w:val="FF82DAAA"/>
    <w:lvl w:ilvl="0">
      <w:start w:val="1"/>
      <w:numFmt w:val="upperRoman"/>
      <w:suff w:val="space"/>
      <w:lvlText w:val="PARTEA %1"/>
      <w:lvlJc w:val="left"/>
      <w:pPr>
        <w:ind w:left="360" w:hanging="360"/>
      </w:pPr>
      <w:rPr>
        <w:rFonts w:cs="Times New Roman Bold" w:hint="default"/>
        <w:b/>
        <w:i w:val="0"/>
        <w:caps/>
      </w:rPr>
    </w:lvl>
    <w:lvl w:ilvl="1">
      <w:start w:val="1"/>
      <w:numFmt w:val="upperRoman"/>
      <w:suff w:val="space"/>
      <w:lvlText w:val="TITLUL %2"/>
      <w:lvlJc w:val="left"/>
      <w:pPr>
        <w:ind w:left="720" w:hanging="360"/>
      </w:pPr>
      <w:rPr>
        <w:rFonts w:cs="Times New Roman Bold" w:hint="default"/>
      </w:rPr>
    </w:lvl>
    <w:lvl w:ilvl="2">
      <w:start w:val="1"/>
      <w:numFmt w:val="upperRoman"/>
      <w:suff w:val="space"/>
      <w:lvlText w:val="CAPITOLUL %3"/>
      <w:lvlJc w:val="left"/>
      <w:pPr>
        <w:ind w:left="1080" w:hanging="360"/>
      </w:pPr>
      <w:rPr>
        <w:rFonts w:cs="Times New Roman Bold" w:hint="default"/>
        <w:b/>
      </w:rPr>
    </w:lvl>
    <w:lvl w:ilvl="3">
      <w:start w:val="1"/>
      <w:numFmt w:val="decimal"/>
      <w:suff w:val="space"/>
      <w:lvlText w:val="Secțiunea %4."/>
      <w:lvlJc w:val="left"/>
      <w:pPr>
        <w:ind w:left="1440" w:hanging="360"/>
      </w:pPr>
      <w:rPr>
        <w:rFonts w:cs="Times New Roman Bold" w:hint="default"/>
      </w:rPr>
    </w:lvl>
    <w:lvl w:ilvl="4">
      <w:start w:val="1"/>
      <w:numFmt w:val="decimal"/>
      <w:suff w:val="space"/>
      <w:lvlText w:val="%4.%5."/>
      <w:lvlJc w:val="left"/>
      <w:pPr>
        <w:ind w:left="1800" w:hanging="360"/>
      </w:pPr>
      <w:rPr>
        <w:rFonts w:cs="Times New Roman Bold" w:hint="default"/>
      </w:rPr>
    </w:lvl>
    <w:lvl w:ilvl="5">
      <w:start w:val="1"/>
      <w:numFmt w:val="decimal"/>
      <w:lvlRestart w:val="0"/>
      <w:suff w:val="space"/>
      <w:lvlText w:val="Art. %6. -"/>
      <w:lvlJc w:val="left"/>
      <w:pPr>
        <w:ind w:left="710" w:firstLine="0"/>
      </w:pPr>
      <w:rPr>
        <w:rFonts w:cs="Times New Roman Bold" w:hint="default"/>
        <w:b/>
      </w:rPr>
    </w:lvl>
    <w:lvl w:ilvl="6">
      <w:start w:val="2"/>
      <w:numFmt w:val="decimal"/>
      <w:pStyle w:val="Alin"/>
      <w:suff w:val="space"/>
      <w:lvlText w:val="(%7)"/>
      <w:lvlJc w:val="left"/>
      <w:pPr>
        <w:ind w:left="0" w:firstLine="630"/>
      </w:pPr>
      <w:rPr>
        <w:rFonts w:cs="Times New Roman Bold" w:hint="default"/>
        <w:b w:val="0"/>
      </w:rPr>
    </w:lvl>
    <w:lvl w:ilvl="7">
      <w:start w:val="1"/>
      <w:numFmt w:val="lowerLetter"/>
      <w:pStyle w:val="Enumerare"/>
      <w:suff w:val="space"/>
      <w:lvlText w:val="%8)"/>
      <w:lvlJc w:val="left"/>
      <w:pPr>
        <w:ind w:left="1247" w:hanging="226"/>
      </w:pPr>
      <w:rPr>
        <w:rFonts w:cs="Times New Roman Bold" w:hint="default"/>
        <w:b/>
      </w:rPr>
    </w:lvl>
    <w:lvl w:ilvl="8">
      <w:start w:val="1"/>
      <w:numFmt w:val="lowerRoman"/>
      <w:pStyle w:val="EnumerareLvl2"/>
      <w:lvlText w:val="(%9)"/>
      <w:lvlJc w:val="left"/>
      <w:pPr>
        <w:tabs>
          <w:tab w:val="num" w:pos="0"/>
        </w:tabs>
        <w:ind w:left="1644" w:hanging="340"/>
      </w:pPr>
      <w:rPr>
        <w:rFonts w:cs="Times New Roman Bold" w:hint="default"/>
      </w:rPr>
    </w:lvl>
  </w:abstractNum>
  <w:abstractNum w:abstractNumId="16" w15:restartNumberingAfterBreak="0">
    <w:nsid w:val="62A522FD"/>
    <w:multiLevelType w:val="hybridMultilevel"/>
    <w:tmpl w:val="95E297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D94C43"/>
    <w:multiLevelType w:val="hybridMultilevel"/>
    <w:tmpl w:val="99D85D1C"/>
    <w:lvl w:ilvl="0" w:tplc="32402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A0A6E"/>
    <w:multiLevelType w:val="hybridMultilevel"/>
    <w:tmpl w:val="940C35F0"/>
    <w:lvl w:ilvl="0" w:tplc="F72E526C">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5"/>
  </w:num>
  <w:num w:numId="11">
    <w:abstractNumId w:val="10"/>
  </w:num>
  <w:num w:numId="12">
    <w:abstractNumId w:val="13"/>
  </w:num>
  <w:num w:numId="13">
    <w:abstractNumId w:val="8"/>
  </w:num>
  <w:num w:numId="14">
    <w:abstractNumId w:val="9"/>
  </w:num>
  <w:num w:numId="15">
    <w:abstractNumId w:val="14"/>
  </w:num>
  <w:num w:numId="16">
    <w:abstractNumId w:val="12"/>
  </w:num>
  <w:num w:numId="17">
    <w:abstractNumId w:val="18"/>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1E"/>
    <w:rsid w:val="00002702"/>
    <w:rsid w:val="00002AD2"/>
    <w:rsid w:val="00003B43"/>
    <w:rsid w:val="00010DEC"/>
    <w:rsid w:val="00017B89"/>
    <w:rsid w:val="00030984"/>
    <w:rsid w:val="00032A93"/>
    <w:rsid w:val="000403D7"/>
    <w:rsid w:val="0004466B"/>
    <w:rsid w:val="00047BE3"/>
    <w:rsid w:val="00050BC5"/>
    <w:rsid w:val="000519A3"/>
    <w:rsid w:val="00057225"/>
    <w:rsid w:val="00060491"/>
    <w:rsid w:val="00062EED"/>
    <w:rsid w:val="00063371"/>
    <w:rsid w:val="00064C98"/>
    <w:rsid w:val="00070935"/>
    <w:rsid w:val="00071956"/>
    <w:rsid w:val="00075DA6"/>
    <w:rsid w:val="0007737C"/>
    <w:rsid w:val="00077CE9"/>
    <w:rsid w:val="0008488E"/>
    <w:rsid w:val="000B1288"/>
    <w:rsid w:val="000B407C"/>
    <w:rsid w:val="000C458F"/>
    <w:rsid w:val="000C4EE6"/>
    <w:rsid w:val="000C50DB"/>
    <w:rsid w:val="000D4ECA"/>
    <w:rsid w:val="000E108C"/>
    <w:rsid w:val="000E4EA3"/>
    <w:rsid w:val="000F1A3F"/>
    <w:rsid w:val="000F1AA5"/>
    <w:rsid w:val="000F7D73"/>
    <w:rsid w:val="001023AB"/>
    <w:rsid w:val="00102480"/>
    <w:rsid w:val="0010469E"/>
    <w:rsid w:val="0010498A"/>
    <w:rsid w:val="00121F87"/>
    <w:rsid w:val="00124816"/>
    <w:rsid w:val="00125895"/>
    <w:rsid w:val="001313D4"/>
    <w:rsid w:val="001341E6"/>
    <w:rsid w:val="001378B5"/>
    <w:rsid w:val="00142884"/>
    <w:rsid w:val="001469EF"/>
    <w:rsid w:val="00147F0A"/>
    <w:rsid w:val="00154549"/>
    <w:rsid w:val="001673FF"/>
    <w:rsid w:val="001733CF"/>
    <w:rsid w:val="001772E5"/>
    <w:rsid w:val="0018661C"/>
    <w:rsid w:val="0019266D"/>
    <w:rsid w:val="00192D60"/>
    <w:rsid w:val="00193C34"/>
    <w:rsid w:val="001969E4"/>
    <w:rsid w:val="001A23BE"/>
    <w:rsid w:val="001A3EA7"/>
    <w:rsid w:val="001B7C70"/>
    <w:rsid w:val="001C6DDA"/>
    <w:rsid w:val="001D1881"/>
    <w:rsid w:val="001D2DED"/>
    <w:rsid w:val="001E4CF8"/>
    <w:rsid w:val="001F5F15"/>
    <w:rsid w:val="00200835"/>
    <w:rsid w:val="002051C6"/>
    <w:rsid w:val="00215C22"/>
    <w:rsid w:val="002225FC"/>
    <w:rsid w:val="0024734D"/>
    <w:rsid w:val="00263ADB"/>
    <w:rsid w:val="00263DA8"/>
    <w:rsid w:val="00265864"/>
    <w:rsid w:val="002672AB"/>
    <w:rsid w:val="00275307"/>
    <w:rsid w:val="002774E6"/>
    <w:rsid w:val="002812EF"/>
    <w:rsid w:val="002817F2"/>
    <w:rsid w:val="002B01C5"/>
    <w:rsid w:val="002B2474"/>
    <w:rsid w:val="002B7830"/>
    <w:rsid w:val="002B78EB"/>
    <w:rsid w:val="002C0FD2"/>
    <w:rsid w:val="002C7199"/>
    <w:rsid w:val="002C7B1E"/>
    <w:rsid w:val="002D1120"/>
    <w:rsid w:val="002D3BE7"/>
    <w:rsid w:val="002D5198"/>
    <w:rsid w:val="002E01FE"/>
    <w:rsid w:val="002E25B8"/>
    <w:rsid w:val="002E54DB"/>
    <w:rsid w:val="002E6B92"/>
    <w:rsid w:val="002E7906"/>
    <w:rsid w:val="00310B5B"/>
    <w:rsid w:val="00313711"/>
    <w:rsid w:val="00323D78"/>
    <w:rsid w:val="003311F1"/>
    <w:rsid w:val="0033227A"/>
    <w:rsid w:val="00335D55"/>
    <w:rsid w:val="00360B48"/>
    <w:rsid w:val="00364CFF"/>
    <w:rsid w:val="003713F4"/>
    <w:rsid w:val="00373389"/>
    <w:rsid w:val="0037391B"/>
    <w:rsid w:val="0038333E"/>
    <w:rsid w:val="003840EC"/>
    <w:rsid w:val="00385163"/>
    <w:rsid w:val="00386BEA"/>
    <w:rsid w:val="00390BB9"/>
    <w:rsid w:val="003A64A0"/>
    <w:rsid w:val="003A7931"/>
    <w:rsid w:val="003A7C1F"/>
    <w:rsid w:val="003B582B"/>
    <w:rsid w:val="003B7528"/>
    <w:rsid w:val="003C0497"/>
    <w:rsid w:val="003C7604"/>
    <w:rsid w:val="003D0C53"/>
    <w:rsid w:val="003D1C5A"/>
    <w:rsid w:val="003D2142"/>
    <w:rsid w:val="003F2048"/>
    <w:rsid w:val="003F5B35"/>
    <w:rsid w:val="004066C4"/>
    <w:rsid w:val="00413B63"/>
    <w:rsid w:val="004156A7"/>
    <w:rsid w:val="004160B3"/>
    <w:rsid w:val="00447A95"/>
    <w:rsid w:val="004521A1"/>
    <w:rsid w:val="004559C1"/>
    <w:rsid w:val="00460649"/>
    <w:rsid w:val="00462FF5"/>
    <w:rsid w:val="004714B7"/>
    <w:rsid w:val="004728E2"/>
    <w:rsid w:val="0047556E"/>
    <w:rsid w:val="0047761E"/>
    <w:rsid w:val="004808B6"/>
    <w:rsid w:val="00484BBF"/>
    <w:rsid w:val="00485450"/>
    <w:rsid w:val="00495B56"/>
    <w:rsid w:val="004A32E6"/>
    <w:rsid w:val="004A4E98"/>
    <w:rsid w:val="004B18A7"/>
    <w:rsid w:val="004B7493"/>
    <w:rsid w:val="004C3F1A"/>
    <w:rsid w:val="004D7968"/>
    <w:rsid w:val="004F6C27"/>
    <w:rsid w:val="00501207"/>
    <w:rsid w:val="00502A7A"/>
    <w:rsid w:val="00511006"/>
    <w:rsid w:val="00512BF4"/>
    <w:rsid w:val="00527B2F"/>
    <w:rsid w:val="00527D8A"/>
    <w:rsid w:val="005406E8"/>
    <w:rsid w:val="00550BE8"/>
    <w:rsid w:val="00551E5A"/>
    <w:rsid w:val="005802E3"/>
    <w:rsid w:val="00580880"/>
    <w:rsid w:val="00584EB4"/>
    <w:rsid w:val="00591978"/>
    <w:rsid w:val="00591BEB"/>
    <w:rsid w:val="00593AD7"/>
    <w:rsid w:val="005A0E77"/>
    <w:rsid w:val="005A47C4"/>
    <w:rsid w:val="005A4956"/>
    <w:rsid w:val="005A6396"/>
    <w:rsid w:val="005C1829"/>
    <w:rsid w:val="005D0457"/>
    <w:rsid w:val="005D218D"/>
    <w:rsid w:val="005D7333"/>
    <w:rsid w:val="005E49C5"/>
    <w:rsid w:val="005F576E"/>
    <w:rsid w:val="006111BC"/>
    <w:rsid w:val="00611BE9"/>
    <w:rsid w:val="006133AB"/>
    <w:rsid w:val="006144C1"/>
    <w:rsid w:val="00624744"/>
    <w:rsid w:val="00632350"/>
    <w:rsid w:val="006471B1"/>
    <w:rsid w:val="00650ABB"/>
    <w:rsid w:val="00660D95"/>
    <w:rsid w:val="00672FBC"/>
    <w:rsid w:val="00684914"/>
    <w:rsid w:val="00686CA7"/>
    <w:rsid w:val="0069009D"/>
    <w:rsid w:val="006943B5"/>
    <w:rsid w:val="006960A9"/>
    <w:rsid w:val="00696B13"/>
    <w:rsid w:val="006A346B"/>
    <w:rsid w:val="006A471F"/>
    <w:rsid w:val="006B2079"/>
    <w:rsid w:val="006B47FB"/>
    <w:rsid w:val="006B6309"/>
    <w:rsid w:val="006C0DFE"/>
    <w:rsid w:val="006C5E34"/>
    <w:rsid w:val="006C7451"/>
    <w:rsid w:val="006D7A19"/>
    <w:rsid w:val="006E13CE"/>
    <w:rsid w:val="006E46D0"/>
    <w:rsid w:val="006E7DB6"/>
    <w:rsid w:val="006F3C09"/>
    <w:rsid w:val="006F656D"/>
    <w:rsid w:val="006F7E2C"/>
    <w:rsid w:val="00706A39"/>
    <w:rsid w:val="00713E4F"/>
    <w:rsid w:val="0071461F"/>
    <w:rsid w:val="00714B98"/>
    <w:rsid w:val="007159B8"/>
    <w:rsid w:val="00726A5E"/>
    <w:rsid w:val="00730AD7"/>
    <w:rsid w:val="00737216"/>
    <w:rsid w:val="007375B3"/>
    <w:rsid w:val="00741D02"/>
    <w:rsid w:val="00743CCB"/>
    <w:rsid w:val="00747988"/>
    <w:rsid w:val="00747CDB"/>
    <w:rsid w:val="00750038"/>
    <w:rsid w:val="0076031A"/>
    <w:rsid w:val="007620CA"/>
    <w:rsid w:val="00763C99"/>
    <w:rsid w:val="007671B1"/>
    <w:rsid w:val="00773311"/>
    <w:rsid w:val="00782673"/>
    <w:rsid w:val="00791C85"/>
    <w:rsid w:val="007A0AFD"/>
    <w:rsid w:val="007A4CCD"/>
    <w:rsid w:val="007A6745"/>
    <w:rsid w:val="007B2DD6"/>
    <w:rsid w:val="007C1DD2"/>
    <w:rsid w:val="007C7AEC"/>
    <w:rsid w:val="007D0F1B"/>
    <w:rsid w:val="007D34D7"/>
    <w:rsid w:val="007E1A43"/>
    <w:rsid w:val="007F225B"/>
    <w:rsid w:val="007F68AD"/>
    <w:rsid w:val="00802CC1"/>
    <w:rsid w:val="00802D87"/>
    <w:rsid w:val="00817BFB"/>
    <w:rsid w:val="00820B98"/>
    <w:rsid w:val="00821274"/>
    <w:rsid w:val="0085255D"/>
    <w:rsid w:val="00854951"/>
    <w:rsid w:val="00856AF8"/>
    <w:rsid w:val="00864153"/>
    <w:rsid w:val="00870595"/>
    <w:rsid w:val="00870F24"/>
    <w:rsid w:val="00886FB6"/>
    <w:rsid w:val="00887D37"/>
    <w:rsid w:val="00892018"/>
    <w:rsid w:val="00894ABF"/>
    <w:rsid w:val="008D0722"/>
    <w:rsid w:val="008D13AF"/>
    <w:rsid w:val="008E70E2"/>
    <w:rsid w:val="008F458D"/>
    <w:rsid w:val="008F4D15"/>
    <w:rsid w:val="008F612D"/>
    <w:rsid w:val="008F6A1B"/>
    <w:rsid w:val="008F6D3C"/>
    <w:rsid w:val="00913429"/>
    <w:rsid w:val="009170C1"/>
    <w:rsid w:val="009240DC"/>
    <w:rsid w:val="00935838"/>
    <w:rsid w:val="00944EBC"/>
    <w:rsid w:val="009553C1"/>
    <w:rsid w:val="00963293"/>
    <w:rsid w:val="009642CA"/>
    <w:rsid w:val="009665AC"/>
    <w:rsid w:val="0097264C"/>
    <w:rsid w:val="00976DFB"/>
    <w:rsid w:val="009776FA"/>
    <w:rsid w:val="0099215C"/>
    <w:rsid w:val="00996011"/>
    <w:rsid w:val="009A180D"/>
    <w:rsid w:val="009A6B72"/>
    <w:rsid w:val="009B23A2"/>
    <w:rsid w:val="009B4793"/>
    <w:rsid w:val="009B5840"/>
    <w:rsid w:val="009C4F45"/>
    <w:rsid w:val="009C6FB0"/>
    <w:rsid w:val="009C7E46"/>
    <w:rsid w:val="009E2F0E"/>
    <w:rsid w:val="009E470E"/>
    <w:rsid w:val="009E4F54"/>
    <w:rsid w:val="00A03A3C"/>
    <w:rsid w:val="00A15271"/>
    <w:rsid w:val="00A17FFE"/>
    <w:rsid w:val="00A21437"/>
    <w:rsid w:val="00A30F98"/>
    <w:rsid w:val="00A35721"/>
    <w:rsid w:val="00A40366"/>
    <w:rsid w:val="00A41EC5"/>
    <w:rsid w:val="00A46985"/>
    <w:rsid w:val="00A4768B"/>
    <w:rsid w:val="00A515C7"/>
    <w:rsid w:val="00A52A6C"/>
    <w:rsid w:val="00A6259C"/>
    <w:rsid w:val="00A62DCE"/>
    <w:rsid w:val="00A721AF"/>
    <w:rsid w:val="00A77624"/>
    <w:rsid w:val="00AA4334"/>
    <w:rsid w:val="00AB6494"/>
    <w:rsid w:val="00AC1001"/>
    <w:rsid w:val="00AC1846"/>
    <w:rsid w:val="00AC3AC8"/>
    <w:rsid w:val="00AD1424"/>
    <w:rsid w:val="00AD4D84"/>
    <w:rsid w:val="00AE1416"/>
    <w:rsid w:val="00AE1D9A"/>
    <w:rsid w:val="00AE65EB"/>
    <w:rsid w:val="00AF268D"/>
    <w:rsid w:val="00AF4D73"/>
    <w:rsid w:val="00B034B7"/>
    <w:rsid w:val="00B101BD"/>
    <w:rsid w:val="00B13CC8"/>
    <w:rsid w:val="00B1764B"/>
    <w:rsid w:val="00B31433"/>
    <w:rsid w:val="00B33622"/>
    <w:rsid w:val="00B34CF3"/>
    <w:rsid w:val="00B364DC"/>
    <w:rsid w:val="00B61DF4"/>
    <w:rsid w:val="00B76856"/>
    <w:rsid w:val="00B76F2B"/>
    <w:rsid w:val="00B80FEB"/>
    <w:rsid w:val="00B822EF"/>
    <w:rsid w:val="00B85DBE"/>
    <w:rsid w:val="00B92E96"/>
    <w:rsid w:val="00BB1AA1"/>
    <w:rsid w:val="00BB43DD"/>
    <w:rsid w:val="00BB67F4"/>
    <w:rsid w:val="00BC314D"/>
    <w:rsid w:val="00BC5F9A"/>
    <w:rsid w:val="00BD0067"/>
    <w:rsid w:val="00BD20DF"/>
    <w:rsid w:val="00BD7C26"/>
    <w:rsid w:val="00BF7EE2"/>
    <w:rsid w:val="00C023F2"/>
    <w:rsid w:val="00C056D0"/>
    <w:rsid w:val="00C06E24"/>
    <w:rsid w:val="00C31085"/>
    <w:rsid w:val="00C3316B"/>
    <w:rsid w:val="00C45B12"/>
    <w:rsid w:val="00C46844"/>
    <w:rsid w:val="00C6465F"/>
    <w:rsid w:val="00C74C93"/>
    <w:rsid w:val="00C7551D"/>
    <w:rsid w:val="00C805C0"/>
    <w:rsid w:val="00C84014"/>
    <w:rsid w:val="00C845AC"/>
    <w:rsid w:val="00C84DA5"/>
    <w:rsid w:val="00C86467"/>
    <w:rsid w:val="00C9071D"/>
    <w:rsid w:val="00C97F90"/>
    <w:rsid w:val="00CA16AE"/>
    <w:rsid w:val="00CA2B4E"/>
    <w:rsid w:val="00CA593E"/>
    <w:rsid w:val="00CB10FA"/>
    <w:rsid w:val="00CC4748"/>
    <w:rsid w:val="00CC4E46"/>
    <w:rsid w:val="00CE0A1D"/>
    <w:rsid w:val="00CE132E"/>
    <w:rsid w:val="00CF2EBF"/>
    <w:rsid w:val="00CF5C0E"/>
    <w:rsid w:val="00D030E8"/>
    <w:rsid w:val="00D117DE"/>
    <w:rsid w:val="00D13AF3"/>
    <w:rsid w:val="00D15A34"/>
    <w:rsid w:val="00D25B05"/>
    <w:rsid w:val="00D2723B"/>
    <w:rsid w:val="00D3601F"/>
    <w:rsid w:val="00D42D4A"/>
    <w:rsid w:val="00D4340C"/>
    <w:rsid w:val="00D43EA5"/>
    <w:rsid w:val="00D60F4F"/>
    <w:rsid w:val="00D64E42"/>
    <w:rsid w:val="00D7133E"/>
    <w:rsid w:val="00D718F4"/>
    <w:rsid w:val="00D86C02"/>
    <w:rsid w:val="00D90234"/>
    <w:rsid w:val="00D9240C"/>
    <w:rsid w:val="00DA0647"/>
    <w:rsid w:val="00DA2E83"/>
    <w:rsid w:val="00DA51D8"/>
    <w:rsid w:val="00DA60CC"/>
    <w:rsid w:val="00DB660E"/>
    <w:rsid w:val="00DC0ABC"/>
    <w:rsid w:val="00DC2DFF"/>
    <w:rsid w:val="00DC527C"/>
    <w:rsid w:val="00DC7E55"/>
    <w:rsid w:val="00DD751A"/>
    <w:rsid w:val="00DE030D"/>
    <w:rsid w:val="00E03683"/>
    <w:rsid w:val="00E076F2"/>
    <w:rsid w:val="00E07EC3"/>
    <w:rsid w:val="00E12C32"/>
    <w:rsid w:val="00E14832"/>
    <w:rsid w:val="00E270BD"/>
    <w:rsid w:val="00E3060B"/>
    <w:rsid w:val="00E33A78"/>
    <w:rsid w:val="00E4063D"/>
    <w:rsid w:val="00E46C4F"/>
    <w:rsid w:val="00E52F67"/>
    <w:rsid w:val="00E55ED0"/>
    <w:rsid w:val="00E572BA"/>
    <w:rsid w:val="00E62BEE"/>
    <w:rsid w:val="00E64181"/>
    <w:rsid w:val="00E71ECD"/>
    <w:rsid w:val="00E82CF7"/>
    <w:rsid w:val="00E956FB"/>
    <w:rsid w:val="00E976D5"/>
    <w:rsid w:val="00EA27C4"/>
    <w:rsid w:val="00EA6C3F"/>
    <w:rsid w:val="00EB02A5"/>
    <w:rsid w:val="00EB268E"/>
    <w:rsid w:val="00EC0657"/>
    <w:rsid w:val="00EC1F34"/>
    <w:rsid w:val="00EC363C"/>
    <w:rsid w:val="00EC72B9"/>
    <w:rsid w:val="00ED0303"/>
    <w:rsid w:val="00ED6C75"/>
    <w:rsid w:val="00ED708D"/>
    <w:rsid w:val="00EE4AF3"/>
    <w:rsid w:val="00EE5D97"/>
    <w:rsid w:val="00F032A0"/>
    <w:rsid w:val="00F05729"/>
    <w:rsid w:val="00F06025"/>
    <w:rsid w:val="00F070CC"/>
    <w:rsid w:val="00F108F5"/>
    <w:rsid w:val="00F10D76"/>
    <w:rsid w:val="00F24759"/>
    <w:rsid w:val="00F278A6"/>
    <w:rsid w:val="00F27997"/>
    <w:rsid w:val="00F36CF6"/>
    <w:rsid w:val="00F44EE0"/>
    <w:rsid w:val="00F6688D"/>
    <w:rsid w:val="00F7314C"/>
    <w:rsid w:val="00F81AB3"/>
    <w:rsid w:val="00F82997"/>
    <w:rsid w:val="00F85EA6"/>
    <w:rsid w:val="00F929F4"/>
    <w:rsid w:val="00F94A0E"/>
    <w:rsid w:val="00F94B45"/>
    <w:rsid w:val="00F968D1"/>
    <w:rsid w:val="00FB21C5"/>
    <w:rsid w:val="00FC07AF"/>
    <w:rsid w:val="00FC4C59"/>
    <w:rsid w:val="00FD19D1"/>
    <w:rsid w:val="00FD3444"/>
    <w:rsid w:val="00FD5B45"/>
    <w:rsid w:val="00FD7BF2"/>
    <w:rsid w:val="00FE6929"/>
    <w:rsid w:val="00FF05ED"/>
    <w:rsid w:val="00FF6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376D5D"/>
  <w15:docId w15:val="{3A86C330-A3E9-443C-9F43-C89DEFE7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5E"/>
    <w:pPr>
      <w:suppressAutoHyphens/>
    </w:pPr>
    <w:rPr>
      <w:sz w:val="24"/>
      <w:szCs w:val="24"/>
      <w:lang w:eastAsia="zh-CN"/>
    </w:rPr>
  </w:style>
  <w:style w:type="paragraph" w:styleId="Heading2">
    <w:name w:val="heading 2"/>
    <w:basedOn w:val="Normal"/>
    <w:next w:val="Normal"/>
    <w:qFormat/>
    <w:rsid w:val="00726A5E"/>
    <w:pPr>
      <w:keepNext/>
      <w:numPr>
        <w:ilvl w:val="1"/>
        <w:numId w:val="1"/>
      </w:numPr>
      <w:jc w:val="center"/>
      <w:outlineLvl w:val="1"/>
    </w:pPr>
    <w:rPr>
      <w:bCs/>
      <w:iCs/>
      <w:sz w:val="28"/>
    </w:rPr>
  </w:style>
  <w:style w:type="paragraph" w:styleId="Heading3">
    <w:name w:val="heading 3"/>
    <w:basedOn w:val="Normal"/>
    <w:next w:val="Normal"/>
    <w:link w:val="Heading3Char"/>
    <w:uiPriority w:val="9"/>
    <w:semiHidden/>
    <w:unhideWhenUsed/>
    <w:qFormat/>
    <w:rsid w:val="00F968D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26A5E"/>
    <w:rPr>
      <w:rFonts w:ascii="Times New Roman" w:hAnsi="Times New Roman" w:cs="Times New Roman"/>
    </w:rPr>
  </w:style>
  <w:style w:type="character" w:customStyle="1" w:styleId="WW8Num2z0">
    <w:name w:val="WW8Num2z0"/>
    <w:rsid w:val="00726A5E"/>
    <w:rPr>
      <w:rFonts w:cs="Times New Roman"/>
    </w:rPr>
  </w:style>
  <w:style w:type="character" w:customStyle="1" w:styleId="WW8Num3z0">
    <w:name w:val="WW8Num3z0"/>
    <w:rsid w:val="00726A5E"/>
  </w:style>
  <w:style w:type="character" w:customStyle="1" w:styleId="WW8Num3z1">
    <w:name w:val="WW8Num3z1"/>
    <w:rsid w:val="00726A5E"/>
    <w:rPr>
      <w:rFonts w:ascii="Symbol" w:hAnsi="Symbol" w:cs="Symbol"/>
    </w:rPr>
  </w:style>
  <w:style w:type="character" w:customStyle="1" w:styleId="WW8Num3z2">
    <w:name w:val="WW8Num3z2"/>
    <w:rsid w:val="00726A5E"/>
  </w:style>
  <w:style w:type="character" w:customStyle="1" w:styleId="WW8Num3z3">
    <w:name w:val="WW8Num3z3"/>
    <w:rsid w:val="00726A5E"/>
  </w:style>
  <w:style w:type="character" w:customStyle="1" w:styleId="WW8Num3z4">
    <w:name w:val="WW8Num3z4"/>
    <w:rsid w:val="00726A5E"/>
  </w:style>
  <w:style w:type="character" w:customStyle="1" w:styleId="WW8Num3z5">
    <w:name w:val="WW8Num3z5"/>
    <w:rsid w:val="00726A5E"/>
  </w:style>
  <w:style w:type="character" w:customStyle="1" w:styleId="WW8Num3z6">
    <w:name w:val="WW8Num3z6"/>
    <w:rsid w:val="00726A5E"/>
  </w:style>
  <w:style w:type="character" w:customStyle="1" w:styleId="WW8Num3z7">
    <w:name w:val="WW8Num3z7"/>
    <w:rsid w:val="00726A5E"/>
  </w:style>
  <w:style w:type="character" w:customStyle="1" w:styleId="WW8Num3z8">
    <w:name w:val="WW8Num3z8"/>
    <w:rsid w:val="00726A5E"/>
  </w:style>
  <w:style w:type="character" w:customStyle="1" w:styleId="WW8Num4z0">
    <w:name w:val="WW8Num4z0"/>
    <w:rsid w:val="00726A5E"/>
  </w:style>
  <w:style w:type="character" w:customStyle="1" w:styleId="WW8Num4z1">
    <w:name w:val="WW8Num4z1"/>
    <w:rsid w:val="00726A5E"/>
  </w:style>
  <w:style w:type="character" w:customStyle="1" w:styleId="WW8Num4z2">
    <w:name w:val="WW8Num4z2"/>
    <w:rsid w:val="00726A5E"/>
  </w:style>
  <w:style w:type="character" w:customStyle="1" w:styleId="WW8Num4z3">
    <w:name w:val="WW8Num4z3"/>
    <w:rsid w:val="00726A5E"/>
  </w:style>
  <w:style w:type="character" w:customStyle="1" w:styleId="WW8Num4z4">
    <w:name w:val="WW8Num4z4"/>
    <w:rsid w:val="00726A5E"/>
  </w:style>
  <w:style w:type="character" w:customStyle="1" w:styleId="WW8Num4z5">
    <w:name w:val="WW8Num4z5"/>
    <w:rsid w:val="00726A5E"/>
  </w:style>
  <w:style w:type="character" w:customStyle="1" w:styleId="WW8Num4z6">
    <w:name w:val="WW8Num4z6"/>
    <w:rsid w:val="00726A5E"/>
  </w:style>
  <w:style w:type="character" w:customStyle="1" w:styleId="WW8Num4z7">
    <w:name w:val="WW8Num4z7"/>
    <w:rsid w:val="00726A5E"/>
  </w:style>
  <w:style w:type="character" w:customStyle="1" w:styleId="WW8Num4z8">
    <w:name w:val="WW8Num4z8"/>
    <w:rsid w:val="00726A5E"/>
  </w:style>
  <w:style w:type="character" w:customStyle="1" w:styleId="WW8Num5z0">
    <w:name w:val="WW8Num5z0"/>
    <w:rsid w:val="00726A5E"/>
    <w:rPr>
      <w:rFonts w:ascii="Times New Roman" w:eastAsia="SimSun" w:hAnsi="Times New Roman" w:cs="Times New Roman"/>
      <w:color w:val="000000"/>
      <w:lang w:eastAsia="ro-RO"/>
    </w:rPr>
  </w:style>
  <w:style w:type="character" w:customStyle="1" w:styleId="WW8Num5z1">
    <w:name w:val="WW8Num5z1"/>
    <w:rsid w:val="00726A5E"/>
    <w:rPr>
      <w:rFonts w:ascii="Courier New" w:hAnsi="Courier New" w:cs="Courier New"/>
    </w:rPr>
  </w:style>
  <w:style w:type="character" w:customStyle="1" w:styleId="WW8Num5z2">
    <w:name w:val="WW8Num5z2"/>
    <w:rsid w:val="00726A5E"/>
    <w:rPr>
      <w:rFonts w:ascii="Wingdings" w:hAnsi="Wingdings" w:cs="Wingdings"/>
    </w:rPr>
  </w:style>
  <w:style w:type="character" w:customStyle="1" w:styleId="WW8Num5z3">
    <w:name w:val="WW8Num5z3"/>
    <w:rsid w:val="00726A5E"/>
    <w:rPr>
      <w:rFonts w:ascii="Symbol" w:hAnsi="Symbol" w:cs="Symbol"/>
    </w:rPr>
  </w:style>
  <w:style w:type="character" w:customStyle="1" w:styleId="WW8Num6z0">
    <w:name w:val="WW8Num6z0"/>
    <w:rsid w:val="00726A5E"/>
  </w:style>
  <w:style w:type="character" w:customStyle="1" w:styleId="WW8Num6z1">
    <w:name w:val="WW8Num6z1"/>
    <w:rsid w:val="00726A5E"/>
    <w:rPr>
      <w:rFonts w:ascii="Symbol" w:hAnsi="Symbol" w:cs="Symbol"/>
    </w:rPr>
  </w:style>
  <w:style w:type="character" w:customStyle="1" w:styleId="WW8Num6z2">
    <w:name w:val="WW8Num6z2"/>
    <w:rsid w:val="00726A5E"/>
  </w:style>
  <w:style w:type="character" w:customStyle="1" w:styleId="WW8Num6z3">
    <w:name w:val="WW8Num6z3"/>
    <w:rsid w:val="00726A5E"/>
  </w:style>
  <w:style w:type="character" w:customStyle="1" w:styleId="WW8Num6z4">
    <w:name w:val="WW8Num6z4"/>
    <w:rsid w:val="00726A5E"/>
  </w:style>
  <w:style w:type="character" w:customStyle="1" w:styleId="WW8Num6z5">
    <w:name w:val="WW8Num6z5"/>
    <w:rsid w:val="00726A5E"/>
  </w:style>
  <w:style w:type="character" w:customStyle="1" w:styleId="WW8Num6z6">
    <w:name w:val="WW8Num6z6"/>
    <w:rsid w:val="00726A5E"/>
  </w:style>
  <w:style w:type="character" w:customStyle="1" w:styleId="WW8Num6z7">
    <w:name w:val="WW8Num6z7"/>
    <w:rsid w:val="00726A5E"/>
  </w:style>
  <w:style w:type="character" w:customStyle="1" w:styleId="WW8Num6z8">
    <w:name w:val="WW8Num6z8"/>
    <w:rsid w:val="00726A5E"/>
  </w:style>
  <w:style w:type="character" w:customStyle="1" w:styleId="WW8Num7z0">
    <w:name w:val="WW8Num7z0"/>
    <w:rsid w:val="00726A5E"/>
  </w:style>
  <w:style w:type="character" w:customStyle="1" w:styleId="WW8Num7z1">
    <w:name w:val="WW8Num7z1"/>
    <w:rsid w:val="00726A5E"/>
    <w:rPr>
      <w:rFonts w:ascii="Symbol" w:hAnsi="Symbol" w:cs="Symbol"/>
    </w:rPr>
  </w:style>
  <w:style w:type="character" w:customStyle="1" w:styleId="WW8Num7z2">
    <w:name w:val="WW8Num7z2"/>
    <w:rsid w:val="00726A5E"/>
  </w:style>
  <w:style w:type="character" w:customStyle="1" w:styleId="WW8Num7z3">
    <w:name w:val="WW8Num7z3"/>
    <w:rsid w:val="00726A5E"/>
  </w:style>
  <w:style w:type="character" w:customStyle="1" w:styleId="WW8Num7z4">
    <w:name w:val="WW8Num7z4"/>
    <w:rsid w:val="00726A5E"/>
  </w:style>
  <w:style w:type="character" w:customStyle="1" w:styleId="WW8Num7z5">
    <w:name w:val="WW8Num7z5"/>
    <w:rsid w:val="00726A5E"/>
  </w:style>
  <w:style w:type="character" w:customStyle="1" w:styleId="WW8Num7z6">
    <w:name w:val="WW8Num7z6"/>
    <w:rsid w:val="00726A5E"/>
  </w:style>
  <w:style w:type="character" w:customStyle="1" w:styleId="WW8Num7z7">
    <w:name w:val="WW8Num7z7"/>
    <w:rsid w:val="00726A5E"/>
  </w:style>
  <w:style w:type="character" w:customStyle="1" w:styleId="WW8Num7z8">
    <w:name w:val="WW8Num7z8"/>
    <w:rsid w:val="00726A5E"/>
  </w:style>
  <w:style w:type="character" w:customStyle="1" w:styleId="WW8Num8z0">
    <w:name w:val="WW8Num8z0"/>
    <w:rsid w:val="00726A5E"/>
  </w:style>
  <w:style w:type="character" w:customStyle="1" w:styleId="WW8Num8z1">
    <w:name w:val="WW8Num8z1"/>
    <w:rsid w:val="00726A5E"/>
  </w:style>
  <w:style w:type="character" w:customStyle="1" w:styleId="WW8Num8z2">
    <w:name w:val="WW8Num8z2"/>
    <w:rsid w:val="00726A5E"/>
  </w:style>
  <w:style w:type="character" w:customStyle="1" w:styleId="WW8Num8z3">
    <w:name w:val="WW8Num8z3"/>
    <w:rsid w:val="00726A5E"/>
  </w:style>
  <w:style w:type="character" w:customStyle="1" w:styleId="WW8Num8z4">
    <w:name w:val="WW8Num8z4"/>
    <w:rsid w:val="00726A5E"/>
  </w:style>
  <w:style w:type="character" w:customStyle="1" w:styleId="WW8Num8z5">
    <w:name w:val="WW8Num8z5"/>
    <w:rsid w:val="00726A5E"/>
  </w:style>
  <w:style w:type="character" w:customStyle="1" w:styleId="WW8Num8z6">
    <w:name w:val="WW8Num8z6"/>
    <w:rsid w:val="00726A5E"/>
  </w:style>
  <w:style w:type="character" w:customStyle="1" w:styleId="WW8Num8z7">
    <w:name w:val="WW8Num8z7"/>
    <w:rsid w:val="00726A5E"/>
  </w:style>
  <w:style w:type="character" w:customStyle="1" w:styleId="WW8Num8z8">
    <w:name w:val="WW8Num8z8"/>
    <w:rsid w:val="00726A5E"/>
  </w:style>
  <w:style w:type="character" w:customStyle="1" w:styleId="WW8Num9z0">
    <w:name w:val="WW8Num9z0"/>
    <w:rsid w:val="00726A5E"/>
  </w:style>
  <w:style w:type="character" w:customStyle="1" w:styleId="WW8Num9z1">
    <w:name w:val="WW8Num9z1"/>
    <w:rsid w:val="00726A5E"/>
    <w:rPr>
      <w:sz w:val="28"/>
      <w:szCs w:val="28"/>
    </w:rPr>
  </w:style>
  <w:style w:type="character" w:customStyle="1" w:styleId="WW8Num9z2">
    <w:name w:val="WW8Num9z2"/>
    <w:rsid w:val="00726A5E"/>
  </w:style>
  <w:style w:type="character" w:customStyle="1" w:styleId="WW8Num9z3">
    <w:name w:val="WW8Num9z3"/>
    <w:rsid w:val="00726A5E"/>
  </w:style>
  <w:style w:type="character" w:customStyle="1" w:styleId="WW8Num9z4">
    <w:name w:val="WW8Num9z4"/>
    <w:rsid w:val="00726A5E"/>
  </w:style>
  <w:style w:type="character" w:customStyle="1" w:styleId="WW8Num9z5">
    <w:name w:val="WW8Num9z5"/>
    <w:rsid w:val="00726A5E"/>
  </w:style>
  <w:style w:type="character" w:customStyle="1" w:styleId="WW8Num9z6">
    <w:name w:val="WW8Num9z6"/>
    <w:rsid w:val="00726A5E"/>
  </w:style>
  <w:style w:type="character" w:customStyle="1" w:styleId="WW8Num9z7">
    <w:name w:val="WW8Num9z7"/>
    <w:rsid w:val="00726A5E"/>
  </w:style>
  <w:style w:type="character" w:customStyle="1" w:styleId="WW8Num9z8">
    <w:name w:val="WW8Num9z8"/>
    <w:rsid w:val="00726A5E"/>
  </w:style>
  <w:style w:type="character" w:customStyle="1" w:styleId="WW8Num10z0">
    <w:name w:val="WW8Num10z0"/>
    <w:rsid w:val="00726A5E"/>
    <w:rPr>
      <w:rFonts w:ascii="Times New Roman" w:eastAsia="Times New Roman" w:hAnsi="Times New Roman" w:cs="Times New Roman"/>
    </w:rPr>
  </w:style>
  <w:style w:type="character" w:customStyle="1" w:styleId="WW8Num10z1">
    <w:name w:val="WW8Num10z1"/>
    <w:rsid w:val="00726A5E"/>
    <w:rPr>
      <w:rFonts w:ascii="Courier New" w:hAnsi="Courier New" w:cs="Courier New"/>
    </w:rPr>
  </w:style>
  <w:style w:type="character" w:customStyle="1" w:styleId="WW8Num10z2">
    <w:name w:val="WW8Num10z2"/>
    <w:rsid w:val="00726A5E"/>
    <w:rPr>
      <w:rFonts w:ascii="Wingdings" w:hAnsi="Wingdings" w:cs="Wingdings"/>
    </w:rPr>
  </w:style>
  <w:style w:type="character" w:customStyle="1" w:styleId="WW8Num10z3">
    <w:name w:val="WW8Num10z3"/>
    <w:rsid w:val="00726A5E"/>
    <w:rPr>
      <w:rFonts w:ascii="Symbol" w:hAnsi="Symbol" w:cs="Symbol"/>
    </w:rPr>
  </w:style>
  <w:style w:type="character" w:customStyle="1" w:styleId="Fontdeparagrafimplicit1">
    <w:name w:val="Font de paragraf implicit1"/>
    <w:rsid w:val="00726A5E"/>
  </w:style>
  <w:style w:type="character" w:customStyle="1" w:styleId="arial12negru1">
    <w:name w:val="arial12negru1"/>
    <w:rsid w:val="00726A5E"/>
    <w:rPr>
      <w:rFonts w:ascii="Arial" w:hAnsi="Arial" w:cs="Arial"/>
      <w:b w:val="0"/>
      <w:bCs w:val="0"/>
      <w:strike w:val="0"/>
      <w:dstrike w:val="0"/>
      <w:color w:val="000000"/>
      <w:sz w:val="19"/>
      <w:szCs w:val="19"/>
      <w:u w:val="none"/>
    </w:rPr>
  </w:style>
  <w:style w:type="character" w:customStyle="1" w:styleId="style61">
    <w:name w:val="style61"/>
    <w:rsid w:val="00726A5E"/>
    <w:rPr>
      <w:color w:val="336699"/>
    </w:rPr>
  </w:style>
  <w:style w:type="character" w:styleId="Hyperlink">
    <w:name w:val="Hyperlink"/>
    <w:rsid w:val="00726A5E"/>
    <w:rPr>
      <w:color w:val="0000FF"/>
      <w:u w:val="single"/>
    </w:rPr>
  </w:style>
  <w:style w:type="character" w:styleId="Emphasis">
    <w:name w:val="Emphasis"/>
    <w:qFormat/>
    <w:rsid w:val="00726A5E"/>
    <w:rPr>
      <w:i/>
      <w:iCs/>
    </w:rPr>
  </w:style>
  <w:style w:type="character" w:customStyle="1" w:styleId="HTMLPreformattedChar">
    <w:name w:val="HTML Preformatted Char"/>
    <w:rsid w:val="00726A5E"/>
    <w:rPr>
      <w:rFonts w:ascii="Courier New" w:hAnsi="Courier New" w:cs="Courier New"/>
      <w:lang w:val="en-US"/>
    </w:rPr>
  </w:style>
  <w:style w:type="character" w:customStyle="1" w:styleId="CommentReference1">
    <w:name w:val="Comment Reference1"/>
    <w:rsid w:val="00726A5E"/>
    <w:rPr>
      <w:sz w:val="16"/>
      <w:szCs w:val="16"/>
    </w:rPr>
  </w:style>
  <w:style w:type="character" w:customStyle="1" w:styleId="CommentTextChar">
    <w:name w:val="Comment Text Char"/>
    <w:link w:val="CommentText"/>
    <w:uiPriority w:val="99"/>
    <w:rsid w:val="00726A5E"/>
  </w:style>
  <w:style w:type="character" w:customStyle="1" w:styleId="BodyTextIndentChar">
    <w:name w:val="Body Text Indent Char"/>
    <w:rsid w:val="00726A5E"/>
    <w:rPr>
      <w:sz w:val="24"/>
      <w:szCs w:val="24"/>
    </w:rPr>
  </w:style>
  <w:style w:type="character" w:customStyle="1" w:styleId="Heading2Char">
    <w:name w:val="Heading 2 Char"/>
    <w:rsid w:val="00726A5E"/>
    <w:rPr>
      <w:bCs/>
      <w:iCs/>
      <w:sz w:val="28"/>
      <w:szCs w:val="24"/>
    </w:rPr>
  </w:style>
  <w:style w:type="character" w:customStyle="1" w:styleId="BodyTextChar">
    <w:name w:val="Body Text Char"/>
    <w:rsid w:val="00726A5E"/>
    <w:rPr>
      <w:sz w:val="24"/>
      <w:szCs w:val="24"/>
    </w:rPr>
  </w:style>
  <w:style w:type="character" w:customStyle="1" w:styleId="FootnoteTextChar">
    <w:name w:val="Footnote Text Char"/>
    <w:rsid w:val="00726A5E"/>
    <w:rPr>
      <w:lang w:val="en-US"/>
    </w:rPr>
  </w:style>
  <w:style w:type="character" w:customStyle="1" w:styleId="FootnoteCharacters">
    <w:name w:val="Footnote Characters"/>
    <w:rsid w:val="00726A5E"/>
    <w:rPr>
      <w:vertAlign w:val="superscript"/>
    </w:rPr>
  </w:style>
  <w:style w:type="character" w:customStyle="1" w:styleId="articol1">
    <w:name w:val="articol1"/>
    <w:rsid w:val="00726A5E"/>
    <w:rPr>
      <w:b/>
      <w:bCs/>
      <w:color w:val="009500"/>
    </w:rPr>
  </w:style>
  <w:style w:type="character" w:customStyle="1" w:styleId="litera1">
    <w:name w:val="litera1"/>
    <w:rsid w:val="00726A5E"/>
    <w:rPr>
      <w:b/>
      <w:bCs/>
      <w:color w:val="000000"/>
    </w:rPr>
  </w:style>
  <w:style w:type="character" w:styleId="PageNumber">
    <w:name w:val="page number"/>
    <w:basedOn w:val="Fontdeparagrafimplicit1"/>
    <w:rsid w:val="00726A5E"/>
  </w:style>
  <w:style w:type="character" w:customStyle="1" w:styleId="ln2tpreambul1">
    <w:name w:val="ln2tpreambul1"/>
    <w:rsid w:val="00726A5E"/>
    <w:rPr>
      <w:i/>
      <w:iCs/>
    </w:rPr>
  </w:style>
  <w:style w:type="character" w:customStyle="1" w:styleId="preambul1">
    <w:name w:val="preambul1"/>
    <w:rsid w:val="00726A5E"/>
    <w:rPr>
      <w:rFonts w:cs="Times New Roman"/>
      <w:i/>
      <w:iCs/>
      <w:color w:val="000000"/>
    </w:rPr>
  </w:style>
  <w:style w:type="character" w:customStyle="1" w:styleId="ln2talineat">
    <w:name w:val="ln2talineat"/>
    <w:rsid w:val="00726A5E"/>
  </w:style>
  <w:style w:type="character" w:customStyle="1" w:styleId="CharAttribute3">
    <w:name w:val="CharAttribute3"/>
    <w:rsid w:val="00726A5E"/>
    <w:rPr>
      <w:rFonts w:ascii="Times New Roman" w:eastAsia="Times New Roman" w:hAnsi="Times New Roman" w:cs="Times New Roman"/>
      <w:sz w:val="24"/>
    </w:rPr>
  </w:style>
  <w:style w:type="character" w:customStyle="1" w:styleId="at31">
    <w:name w:val="a__t31"/>
    <w:rsid w:val="00726A5E"/>
    <w:rPr>
      <w:b/>
      <w:u w:val="single"/>
    </w:rPr>
  </w:style>
  <w:style w:type="character" w:customStyle="1" w:styleId="ln2alineat1">
    <w:name w:val="ln2alineat1"/>
    <w:rsid w:val="00726A5E"/>
    <w:rPr>
      <w:b/>
      <w:color w:val="74929F"/>
    </w:rPr>
  </w:style>
  <w:style w:type="paragraph" w:customStyle="1" w:styleId="Heading">
    <w:name w:val="Heading"/>
    <w:basedOn w:val="Normal"/>
    <w:next w:val="BodyText"/>
    <w:rsid w:val="00726A5E"/>
    <w:pPr>
      <w:keepNext/>
      <w:spacing w:before="240" w:after="120"/>
    </w:pPr>
    <w:rPr>
      <w:rFonts w:ascii="Liberation Sans" w:eastAsia="Microsoft YaHei" w:hAnsi="Liberation Sans" w:cs="Mangal"/>
      <w:sz w:val="28"/>
      <w:szCs w:val="28"/>
    </w:rPr>
  </w:style>
  <w:style w:type="paragraph" w:styleId="BodyText">
    <w:name w:val="Body Text"/>
    <w:basedOn w:val="Normal"/>
    <w:rsid w:val="00726A5E"/>
    <w:pPr>
      <w:spacing w:after="120"/>
    </w:pPr>
  </w:style>
  <w:style w:type="paragraph" w:styleId="List">
    <w:name w:val="List"/>
    <w:basedOn w:val="BodyText"/>
    <w:rsid w:val="00726A5E"/>
    <w:rPr>
      <w:rFonts w:cs="Mangal"/>
    </w:rPr>
  </w:style>
  <w:style w:type="paragraph" w:styleId="Caption">
    <w:name w:val="caption"/>
    <w:basedOn w:val="Normal"/>
    <w:qFormat/>
    <w:rsid w:val="00726A5E"/>
    <w:pPr>
      <w:suppressLineNumbers/>
      <w:spacing w:before="120" w:after="120"/>
    </w:pPr>
    <w:rPr>
      <w:rFonts w:cs="Mangal"/>
      <w:i/>
      <w:iCs/>
    </w:rPr>
  </w:style>
  <w:style w:type="paragraph" w:customStyle="1" w:styleId="Index">
    <w:name w:val="Index"/>
    <w:basedOn w:val="Normal"/>
    <w:rsid w:val="00726A5E"/>
    <w:pPr>
      <w:suppressLineNumbers/>
    </w:pPr>
    <w:rPr>
      <w:rFonts w:cs="Mangal"/>
    </w:rPr>
  </w:style>
  <w:style w:type="paragraph" w:customStyle="1" w:styleId="Corptext31">
    <w:name w:val="Corp text 31"/>
    <w:basedOn w:val="Normal"/>
    <w:rsid w:val="00726A5E"/>
    <w:pPr>
      <w:autoSpaceDE w:val="0"/>
      <w:jc w:val="both"/>
    </w:pPr>
    <w:rPr>
      <w:sz w:val="20"/>
    </w:rPr>
  </w:style>
  <w:style w:type="paragraph" w:styleId="Header">
    <w:name w:val="header"/>
    <w:basedOn w:val="Normal"/>
    <w:rsid w:val="00726A5E"/>
    <w:pPr>
      <w:tabs>
        <w:tab w:val="center" w:pos="4153"/>
        <w:tab w:val="right" w:pos="8306"/>
      </w:tabs>
    </w:pPr>
    <w:rPr>
      <w:rFonts w:ascii="RimTimes" w:hAnsi="RimTimes" w:cs="RimTimes"/>
      <w:sz w:val="28"/>
      <w:szCs w:val="20"/>
      <w:lang w:val="lv-LV"/>
    </w:rPr>
  </w:style>
  <w:style w:type="paragraph" w:styleId="NormalWeb">
    <w:name w:val="Normal (Web)"/>
    <w:basedOn w:val="Normal"/>
    <w:rsid w:val="00726A5E"/>
    <w:pPr>
      <w:spacing w:before="280" w:after="280"/>
    </w:pPr>
    <w:rPr>
      <w:lang w:val="en-US"/>
    </w:rPr>
  </w:style>
  <w:style w:type="paragraph" w:customStyle="1" w:styleId="CaracterCaracterCharCharCaracterCaracter">
    <w:name w:val="Caracter Caracter Char Char Caracter Caracter"/>
    <w:basedOn w:val="Normal"/>
    <w:rsid w:val="00726A5E"/>
    <w:pPr>
      <w:spacing w:after="160" w:line="240" w:lineRule="exact"/>
    </w:pPr>
    <w:rPr>
      <w:rFonts w:ascii="Tahoma" w:hAnsi="Tahoma" w:cs="Tahoma"/>
      <w:sz w:val="20"/>
      <w:szCs w:val="20"/>
      <w:lang w:val="en-US"/>
    </w:rPr>
  </w:style>
  <w:style w:type="paragraph" w:customStyle="1" w:styleId="TextnBalon1">
    <w:name w:val="Text în Balon1"/>
    <w:basedOn w:val="Normal"/>
    <w:rsid w:val="00726A5E"/>
    <w:rPr>
      <w:rFonts w:ascii="Tahoma" w:hAnsi="Tahoma" w:cs="Tahoma"/>
      <w:sz w:val="16"/>
      <w:szCs w:val="16"/>
    </w:rPr>
  </w:style>
  <w:style w:type="paragraph" w:customStyle="1" w:styleId="Char2">
    <w:name w:val="Char2"/>
    <w:basedOn w:val="Normal"/>
    <w:rsid w:val="00726A5E"/>
    <w:rPr>
      <w:lang w:val="pl-PL"/>
    </w:rPr>
  </w:style>
  <w:style w:type="paragraph" w:customStyle="1" w:styleId="CaracterCaracter">
    <w:name w:val="Caracter Caracter"/>
    <w:basedOn w:val="Normal"/>
    <w:rsid w:val="00726A5E"/>
    <w:pPr>
      <w:spacing w:after="160" w:line="240" w:lineRule="exact"/>
    </w:pPr>
    <w:rPr>
      <w:rFonts w:ascii="Tahoma" w:hAnsi="Tahoma" w:cs="Tahoma"/>
      <w:sz w:val="20"/>
      <w:szCs w:val="20"/>
      <w:lang w:val="en-US"/>
    </w:rPr>
  </w:style>
  <w:style w:type="paragraph" w:customStyle="1" w:styleId="PreformatatHTML1">
    <w:name w:val="Preformatat HTML1"/>
    <w:basedOn w:val="Normal"/>
    <w:rsid w:val="0072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efault">
    <w:name w:val="Default"/>
    <w:rsid w:val="00726A5E"/>
    <w:pPr>
      <w:suppressAutoHyphens/>
      <w:autoSpaceDE w:val="0"/>
    </w:pPr>
    <w:rPr>
      <w:color w:val="000000"/>
      <w:sz w:val="24"/>
      <w:szCs w:val="24"/>
      <w:lang w:val="en-US" w:eastAsia="zh-CN"/>
    </w:rPr>
  </w:style>
  <w:style w:type="paragraph" w:customStyle="1" w:styleId="CommentText1">
    <w:name w:val="Comment Text1"/>
    <w:basedOn w:val="Normal"/>
    <w:rsid w:val="00726A5E"/>
    <w:rPr>
      <w:sz w:val="20"/>
      <w:szCs w:val="20"/>
    </w:rPr>
  </w:style>
  <w:style w:type="paragraph" w:styleId="BodyTextIndent">
    <w:name w:val="Body Text Indent"/>
    <w:basedOn w:val="Normal"/>
    <w:rsid w:val="00726A5E"/>
    <w:pPr>
      <w:spacing w:after="120"/>
      <w:ind w:left="283"/>
    </w:pPr>
  </w:style>
  <w:style w:type="paragraph" w:styleId="FootnoteText">
    <w:name w:val="footnote text"/>
    <w:basedOn w:val="Normal"/>
    <w:rsid w:val="00726A5E"/>
    <w:rPr>
      <w:sz w:val="20"/>
      <w:szCs w:val="20"/>
      <w:lang w:val="en-US"/>
    </w:rPr>
  </w:style>
  <w:style w:type="paragraph" w:styleId="Footer">
    <w:name w:val="footer"/>
    <w:basedOn w:val="Normal"/>
    <w:link w:val="FooterChar"/>
    <w:rsid w:val="00726A5E"/>
    <w:pPr>
      <w:tabs>
        <w:tab w:val="center" w:pos="4320"/>
        <w:tab w:val="right" w:pos="8640"/>
      </w:tabs>
    </w:pPr>
  </w:style>
  <w:style w:type="paragraph" w:customStyle="1" w:styleId="CommentSubject1">
    <w:name w:val="Comment Subject1"/>
    <w:basedOn w:val="CommentText1"/>
    <w:next w:val="CommentText1"/>
    <w:rsid w:val="00726A5E"/>
    <w:rPr>
      <w:b/>
      <w:bCs/>
    </w:rPr>
  </w:style>
  <w:style w:type="paragraph" w:customStyle="1" w:styleId="CM1">
    <w:name w:val="CM1"/>
    <w:basedOn w:val="Default"/>
    <w:next w:val="Default"/>
    <w:uiPriority w:val="99"/>
    <w:rsid w:val="00726A5E"/>
    <w:rPr>
      <w:rFonts w:ascii="EUAlbertina" w:hAnsi="EUAlbertina" w:cs="EUAlbertina"/>
      <w:color w:val="auto"/>
    </w:rPr>
  </w:style>
  <w:style w:type="paragraph" w:customStyle="1" w:styleId="CM3">
    <w:name w:val="CM3"/>
    <w:basedOn w:val="Default"/>
    <w:next w:val="Default"/>
    <w:uiPriority w:val="99"/>
    <w:rsid w:val="00726A5E"/>
    <w:rPr>
      <w:rFonts w:ascii="EUAlbertina" w:hAnsi="EUAlbertina" w:cs="EUAlbertina"/>
      <w:color w:val="auto"/>
    </w:rPr>
  </w:style>
  <w:style w:type="paragraph" w:customStyle="1" w:styleId="DefaultParagraphFontParaChar">
    <w:name w:val="Default Paragraph Font Para Char"/>
    <w:basedOn w:val="Normal"/>
    <w:rsid w:val="00726A5E"/>
    <w:pPr>
      <w:spacing w:after="160" w:line="240" w:lineRule="exact"/>
    </w:pPr>
    <w:rPr>
      <w:rFonts w:ascii="Verdana" w:hAnsi="Verdana" w:cs="Verdana"/>
      <w:sz w:val="20"/>
      <w:szCs w:val="20"/>
    </w:rPr>
  </w:style>
  <w:style w:type="paragraph" w:customStyle="1" w:styleId="ManualConsidrant">
    <w:name w:val="Manual Considérant"/>
    <w:basedOn w:val="Normal"/>
    <w:rsid w:val="00726A5E"/>
    <w:pPr>
      <w:spacing w:before="120" w:after="120" w:line="360" w:lineRule="auto"/>
      <w:ind w:left="850" w:hanging="850"/>
    </w:pPr>
  </w:style>
  <w:style w:type="paragraph" w:customStyle="1" w:styleId="TableContents">
    <w:name w:val="Table Contents"/>
    <w:basedOn w:val="Normal"/>
    <w:rsid w:val="00726A5E"/>
    <w:pPr>
      <w:suppressLineNumbers/>
    </w:pPr>
  </w:style>
  <w:style w:type="paragraph" w:customStyle="1" w:styleId="TableHeading">
    <w:name w:val="Table Heading"/>
    <w:basedOn w:val="TableContents"/>
    <w:rsid w:val="00726A5E"/>
    <w:pPr>
      <w:jc w:val="center"/>
    </w:pPr>
    <w:rPr>
      <w:b/>
      <w:bCs/>
    </w:rPr>
  </w:style>
  <w:style w:type="paragraph" w:customStyle="1" w:styleId="FrameContents">
    <w:name w:val="Frame Contents"/>
    <w:basedOn w:val="Normal"/>
    <w:rsid w:val="00726A5E"/>
  </w:style>
  <w:style w:type="paragraph" w:styleId="BalloonText">
    <w:name w:val="Balloon Text"/>
    <w:basedOn w:val="Normal"/>
    <w:link w:val="BalloonTextChar"/>
    <w:uiPriority w:val="99"/>
    <w:semiHidden/>
    <w:unhideWhenUsed/>
    <w:rsid w:val="00E956FB"/>
    <w:rPr>
      <w:rFonts w:ascii="Tahoma" w:hAnsi="Tahoma" w:cs="Tahoma"/>
      <w:sz w:val="16"/>
      <w:szCs w:val="16"/>
    </w:rPr>
  </w:style>
  <w:style w:type="character" w:customStyle="1" w:styleId="BalloonTextChar">
    <w:name w:val="Balloon Text Char"/>
    <w:basedOn w:val="DefaultParagraphFont"/>
    <w:link w:val="BalloonText"/>
    <w:uiPriority w:val="99"/>
    <w:semiHidden/>
    <w:rsid w:val="00E956FB"/>
    <w:rPr>
      <w:rFonts w:ascii="Tahoma" w:hAnsi="Tahoma" w:cs="Tahoma"/>
      <w:sz w:val="16"/>
      <w:szCs w:val="16"/>
      <w:lang w:eastAsia="zh-CN"/>
    </w:rPr>
  </w:style>
  <w:style w:type="paragraph" w:styleId="ListParagraph">
    <w:name w:val="List Paragraph"/>
    <w:aliases w:val="Paragraphe EI,Paragraphe de liste1,EC,Paragraphe de liste"/>
    <w:basedOn w:val="Normal"/>
    <w:link w:val="ListParagraphChar"/>
    <w:uiPriority w:val="34"/>
    <w:qFormat/>
    <w:rsid w:val="003F5B35"/>
    <w:pPr>
      <w:ind w:left="720"/>
      <w:contextualSpacing/>
    </w:pPr>
  </w:style>
  <w:style w:type="character" w:customStyle="1" w:styleId="ln2articol1">
    <w:name w:val="ln2articol1"/>
    <w:basedOn w:val="DefaultParagraphFont"/>
    <w:rsid w:val="00F94A0E"/>
    <w:rPr>
      <w:b/>
      <w:bCs/>
      <w:color w:val="0000AF"/>
    </w:rPr>
  </w:style>
  <w:style w:type="paragraph" w:customStyle="1" w:styleId="Normal1">
    <w:name w:val="Normal1"/>
    <w:basedOn w:val="Normal"/>
    <w:rsid w:val="00C84014"/>
    <w:pPr>
      <w:suppressAutoHyphens w:val="0"/>
      <w:spacing w:before="120"/>
      <w:jc w:val="both"/>
    </w:pPr>
    <w:rPr>
      <w:lang w:val="en-US" w:eastAsia="en-US"/>
    </w:rPr>
  </w:style>
  <w:style w:type="character" w:customStyle="1" w:styleId="italic">
    <w:name w:val="italic"/>
    <w:basedOn w:val="DefaultParagraphFont"/>
    <w:rsid w:val="00C84014"/>
    <w:rPr>
      <w:i/>
      <w:iCs/>
    </w:rPr>
  </w:style>
  <w:style w:type="character" w:styleId="CommentReference">
    <w:name w:val="annotation reference"/>
    <w:basedOn w:val="DefaultParagraphFont"/>
    <w:uiPriority w:val="99"/>
    <w:semiHidden/>
    <w:rsid w:val="00D718F4"/>
    <w:rPr>
      <w:rFonts w:cs="Times New Roman"/>
      <w:sz w:val="16"/>
    </w:rPr>
  </w:style>
  <w:style w:type="paragraph" w:styleId="CommentText">
    <w:name w:val="annotation text"/>
    <w:basedOn w:val="Normal"/>
    <w:link w:val="CommentTextChar"/>
    <w:uiPriority w:val="99"/>
    <w:rsid w:val="00D718F4"/>
    <w:pPr>
      <w:suppressAutoHyphens w:val="0"/>
    </w:pPr>
    <w:rPr>
      <w:sz w:val="20"/>
      <w:szCs w:val="20"/>
      <w:lang w:eastAsia="ro-RO"/>
    </w:rPr>
  </w:style>
  <w:style w:type="character" w:customStyle="1" w:styleId="CommentTextChar1">
    <w:name w:val="Comment Text Char1"/>
    <w:basedOn w:val="DefaultParagraphFont"/>
    <w:uiPriority w:val="99"/>
    <w:semiHidden/>
    <w:rsid w:val="00D718F4"/>
    <w:rPr>
      <w:lang w:eastAsia="zh-CN"/>
    </w:rPr>
  </w:style>
  <w:style w:type="paragraph" w:customStyle="1" w:styleId="Art">
    <w:name w:val="Art"/>
    <w:basedOn w:val="Normal"/>
    <w:autoRedefine/>
    <w:qFormat/>
    <w:rsid w:val="002812EF"/>
    <w:pPr>
      <w:shd w:val="clear" w:color="000000" w:fill="auto"/>
      <w:suppressAutoHyphens w:val="0"/>
      <w:spacing w:before="120" w:after="120"/>
      <w:ind w:firstLine="720"/>
      <w:jc w:val="both"/>
    </w:pPr>
    <w:rPr>
      <w:rFonts w:eastAsia="SimSun"/>
      <w:iCs/>
      <w:lang w:eastAsia="en-US"/>
    </w:rPr>
  </w:style>
  <w:style w:type="paragraph" w:customStyle="1" w:styleId="Alin">
    <w:name w:val="Alin"/>
    <w:basedOn w:val="Normal"/>
    <w:qFormat/>
    <w:rsid w:val="00C3316B"/>
    <w:pPr>
      <w:numPr>
        <w:ilvl w:val="6"/>
        <w:numId w:val="10"/>
      </w:numPr>
      <w:suppressAutoHyphens w:val="0"/>
      <w:spacing w:before="120" w:after="120" w:line="360" w:lineRule="auto"/>
      <w:jc w:val="both"/>
    </w:pPr>
    <w:rPr>
      <w:rFonts w:eastAsia="SimSun"/>
      <w:bCs/>
    </w:rPr>
  </w:style>
  <w:style w:type="paragraph" w:customStyle="1" w:styleId="Enumerare">
    <w:name w:val="Enumerare"/>
    <w:basedOn w:val="Normal"/>
    <w:autoRedefine/>
    <w:qFormat/>
    <w:rsid w:val="00C3316B"/>
    <w:pPr>
      <w:numPr>
        <w:ilvl w:val="7"/>
        <w:numId w:val="10"/>
      </w:numPr>
      <w:suppressAutoHyphens w:val="0"/>
      <w:spacing w:before="120" w:after="120" w:line="360" w:lineRule="auto"/>
      <w:jc w:val="both"/>
    </w:pPr>
    <w:rPr>
      <w:rFonts w:eastAsia="SimSun"/>
      <w:bCs/>
      <w:lang w:val="en-US"/>
    </w:rPr>
  </w:style>
  <w:style w:type="paragraph" w:customStyle="1" w:styleId="EnumerareLvl2">
    <w:name w:val="EnumerareLvl2"/>
    <w:basedOn w:val="Enumerare"/>
    <w:autoRedefine/>
    <w:qFormat/>
    <w:rsid w:val="00C3316B"/>
    <w:pPr>
      <w:numPr>
        <w:ilvl w:val="8"/>
      </w:numPr>
    </w:pPr>
  </w:style>
  <w:style w:type="paragraph" w:customStyle="1" w:styleId="c01pointnumerotealtn">
    <w:name w:val="c01pointnumerotealtn"/>
    <w:basedOn w:val="Normal"/>
    <w:rsid w:val="00892018"/>
    <w:pPr>
      <w:suppressAutoHyphens w:val="0"/>
      <w:spacing w:before="100" w:beforeAutospacing="1" w:after="240"/>
      <w:ind w:left="567" w:hanging="539"/>
      <w:jc w:val="both"/>
    </w:pPr>
    <w:rPr>
      <w:lang w:val="en-US" w:eastAsia="en-US"/>
    </w:rPr>
  </w:style>
  <w:style w:type="paragraph" w:customStyle="1" w:styleId="c02alineaalta">
    <w:name w:val="c02alineaalta"/>
    <w:basedOn w:val="Normal"/>
    <w:rsid w:val="004A32E6"/>
    <w:pPr>
      <w:suppressAutoHyphens w:val="0"/>
      <w:spacing w:after="240"/>
      <w:ind w:left="567"/>
      <w:jc w:val="both"/>
    </w:pPr>
    <w:rPr>
      <w:lang w:val="en-US" w:eastAsia="en-US"/>
    </w:rPr>
  </w:style>
  <w:style w:type="character" w:styleId="FootnoteReference">
    <w:name w:val="footnote reference"/>
    <w:basedOn w:val="DefaultParagraphFont"/>
    <w:uiPriority w:val="99"/>
    <w:semiHidden/>
    <w:unhideWhenUsed/>
    <w:rsid w:val="00390BB9"/>
    <w:rPr>
      <w:vertAlign w:val="superscript"/>
    </w:rPr>
  </w:style>
  <w:style w:type="paragraph" w:customStyle="1" w:styleId="CM4">
    <w:name w:val="CM4"/>
    <w:basedOn w:val="Default"/>
    <w:next w:val="Default"/>
    <w:uiPriority w:val="99"/>
    <w:rsid w:val="00C805C0"/>
    <w:pPr>
      <w:suppressAutoHyphens w:val="0"/>
      <w:autoSpaceDN w:val="0"/>
      <w:adjustRightInd w:val="0"/>
    </w:pPr>
    <w:rPr>
      <w:rFonts w:ascii="EUAlbertina" w:hAnsi="EUAlbertina"/>
      <w:color w:val="auto"/>
      <w:lang w:eastAsia="ro-RO"/>
    </w:rPr>
  </w:style>
  <w:style w:type="paragraph" w:styleId="CommentSubject">
    <w:name w:val="annotation subject"/>
    <w:basedOn w:val="CommentText"/>
    <w:next w:val="CommentText"/>
    <w:link w:val="CommentSubjectChar"/>
    <w:uiPriority w:val="99"/>
    <w:semiHidden/>
    <w:unhideWhenUsed/>
    <w:rsid w:val="00886FB6"/>
    <w:pPr>
      <w:suppressAutoHyphens/>
    </w:pPr>
    <w:rPr>
      <w:b/>
      <w:bCs/>
      <w:lang w:eastAsia="zh-CN"/>
    </w:rPr>
  </w:style>
  <w:style w:type="character" w:customStyle="1" w:styleId="CommentSubjectChar">
    <w:name w:val="Comment Subject Char"/>
    <w:basedOn w:val="CommentTextChar"/>
    <w:link w:val="CommentSubject"/>
    <w:uiPriority w:val="99"/>
    <w:semiHidden/>
    <w:rsid w:val="00886FB6"/>
    <w:rPr>
      <w:b/>
      <w:bCs/>
      <w:lang w:eastAsia="zh-CN"/>
    </w:rPr>
  </w:style>
  <w:style w:type="paragraph" w:styleId="BodyText3">
    <w:name w:val="Body Text 3"/>
    <w:basedOn w:val="Normal"/>
    <w:link w:val="BodyText3Char"/>
    <w:uiPriority w:val="99"/>
    <w:semiHidden/>
    <w:unhideWhenUsed/>
    <w:rsid w:val="002E6B92"/>
    <w:pPr>
      <w:spacing w:after="120"/>
    </w:pPr>
    <w:rPr>
      <w:sz w:val="16"/>
      <w:szCs w:val="16"/>
    </w:rPr>
  </w:style>
  <w:style w:type="character" w:customStyle="1" w:styleId="BodyText3Char">
    <w:name w:val="Body Text 3 Char"/>
    <w:basedOn w:val="DefaultParagraphFont"/>
    <w:link w:val="BodyText3"/>
    <w:uiPriority w:val="99"/>
    <w:semiHidden/>
    <w:rsid w:val="002E6B92"/>
    <w:rPr>
      <w:sz w:val="16"/>
      <w:szCs w:val="16"/>
      <w:lang w:eastAsia="zh-CN"/>
    </w:rPr>
  </w:style>
  <w:style w:type="character" w:customStyle="1" w:styleId="FooterChar">
    <w:name w:val="Footer Char"/>
    <w:basedOn w:val="DefaultParagraphFont"/>
    <w:link w:val="Footer"/>
    <w:rsid w:val="00EC363C"/>
    <w:rPr>
      <w:sz w:val="24"/>
      <w:szCs w:val="24"/>
      <w:lang w:eastAsia="zh-CN"/>
    </w:rPr>
  </w:style>
  <w:style w:type="character" w:customStyle="1" w:styleId="ListParagraphChar">
    <w:name w:val="List Paragraph Char"/>
    <w:aliases w:val="Paragraphe EI Char,Paragraphe de liste1 Char,EC Char,Paragraphe de liste Char"/>
    <w:link w:val="ListParagraph"/>
    <w:uiPriority w:val="34"/>
    <w:rsid w:val="00B80FEB"/>
    <w:rPr>
      <w:sz w:val="24"/>
      <w:szCs w:val="24"/>
      <w:lang w:eastAsia="zh-CN"/>
    </w:rPr>
  </w:style>
  <w:style w:type="character" w:customStyle="1" w:styleId="Heading3Char">
    <w:name w:val="Heading 3 Char"/>
    <w:basedOn w:val="DefaultParagraphFont"/>
    <w:link w:val="Heading3"/>
    <w:uiPriority w:val="9"/>
    <w:semiHidden/>
    <w:rsid w:val="00F968D1"/>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23253">
      <w:bodyDiv w:val="1"/>
      <w:marLeft w:val="390"/>
      <w:marRight w:val="390"/>
      <w:marTop w:val="0"/>
      <w:marBottom w:val="0"/>
      <w:divBdr>
        <w:top w:val="none" w:sz="0" w:space="0" w:color="auto"/>
        <w:left w:val="none" w:sz="0" w:space="0" w:color="auto"/>
        <w:bottom w:val="none" w:sz="0" w:space="0" w:color="auto"/>
        <w:right w:val="none" w:sz="0" w:space="0" w:color="auto"/>
      </w:divBdr>
    </w:div>
    <w:div w:id="1202548406">
      <w:bodyDiv w:val="1"/>
      <w:marLeft w:val="390"/>
      <w:marRight w:val="390"/>
      <w:marTop w:val="0"/>
      <w:marBottom w:val="0"/>
      <w:divBdr>
        <w:top w:val="none" w:sz="0" w:space="0" w:color="auto"/>
        <w:left w:val="none" w:sz="0" w:space="0" w:color="auto"/>
        <w:bottom w:val="none" w:sz="0" w:space="0" w:color="auto"/>
        <w:right w:val="none" w:sz="0" w:space="0" w:color="auto"/>
      </w:divBdr>
    </w:div>
    <w:div w:id="19879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EE32-D5A9-4562-8401-87C80FBB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4477</Words>
  <Characters>25519</Characters>
  <Application>Microsoft Office Word</Application>
  <DocSecurity>0</DocSecurity>
  <Lines>212</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nota_fundamentare_OUG_de_modif_OUG_93_2012_ASF</vt:lpstr>
      <vt:lpstr>nota_fundamentare_OUG_de_modif_OUG_93_2012_ASF</vt:lpstr>
    </vt:vector>
  </TitlesOfParts>
  <Company>Comisia Nationala A Valorilor Mobiliare</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nota_fundamentare_OUG_de_modif_OUG_93_2012_ASF</dc:title>
  <dc:subject>nota_fundamentare_OUG_de_modif_OUG_93_2012_ASF</dc:subject>
  <dc:creator>user17</dc:creator>
  <cp:keywords>nota_fundamentare_OUG_de_modif_OUG_93_2012_ASF</cp:keywords>
  <cp:lastModifiedBy>MFP</cp:lastModifiedBy>
  <cp:revision>2</cp:revision>
  <cp:lastPrinted>2015-03-25T09:58:00Z</cp:lastPrinted>
  <dcterms:created xsi:type="dcterms:W3CDTF">2021-01-18T14:11:00Z</dcterms:created>
  <dcterms:modified xsi:type="dcterms:W3CDTF">2021-01-18T14:11:00Z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854e4d-cbd9-4add-afce-3efecf8cc4fb_Enabled">
    <vt:lpwstr>True</vt:lpwstr>
  </property>
  <property fmtid="{D5CDD505-2E9C-101B-9397-08002B2CF9AE}" pid="3" name="MSIP_Label_d4854e4d-cbd9-4add-afce-3efecf8cc4fb_SiteId">
    <vt:lpwstr>c4f8f904-47e9-4e03-8a3a-90619d4a24a0</vt:lpwstr>
  </property>
  <property fmtid="{D5CDD505-2E9C-101B-9397-08002B2CF9AE}" pid="4" name="MSIP_Label_d4854e4d-cbd9-4add-afce-3efecf8cc4fb_Owner">
    <vt:lpwstr>Petruta.Istrate@bnr.ro</vt:lpwstr>
  </property>
  <property fmtid="{D5CDD505-2E9C-101B-9397-08002B2CF9AE}" pid="5" name="MSIP_Label_d4854e4d-cbd9-4add-afce-3efecf8cc4fb_SetDate">
    <vt:lpwstr>2020-09-01T13:11:31.8466110Z</vt:lpwstr>
  </property>
  <property fmtid="{D5CDD505-2E9C-101B-9397-08002B2CF9AE}" pid="6" name="MSIP_Label_d4854e4d-cbd9-4add-afce-3efecf8cc4fb_Name">
    <vt:lpwstr>Extern</vt:lpwstr>
  </property>
  <property fmtid="{D5CDD505-2E9C-101B-9397-08002B2CF9AE}" pid="7" name="MSIP_Label_d4854e4d-cbd9-4add-afce-3efecf8cc4fb_Application">
    <vt:lpwstr>Microsoft Azure Information Protection</vt:lpwstr>
  </property>
  <property fmtid="{D5CDD505-2E9C-101B-9397-08002B2CF9AE}" pid="8" name="MSIP_Label_d4854e4d-cbd9-4add-afce-3efecf8cc4fb_ActionId">
    <vt:lpwstr>70625c85-03f8-4843-b797-fe7cdace8fd0</vt:lpwstr>
  </property>
  <property fmtid="{D5CDD505-2E9C-101B-9397-08002B2CF9AE}" pid="9" name="MSIP_Label_d4854e4d-cbd9-4add-afce-3efecf8cc4fb_Extended_MSFT_Method">
    <vt:lpwstr>Manual</vt:lpwstr>
  </property>
  <property fmtid="{D5CDD505-2E9C-101B-9397-08002B2CF9AE}" pid="10" name="Sensitivity">
    <vt:lpwstr>Extern</vt:lpwstr>
  </property>
</Properties>
</file>