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2E" w:rsidRPr="00F148AC" w:rsidRDefault="00366B2E" w:rsidP="000E0B79">
      <w:pPr>
        <w:spacing w:line="240" w:lineRule="auto"/>
        <w:ind w:firstLine="0"/>
        <w:rPr>
          <w:b/>
          <w:caps/>
          <w:szCs w:val="24"/>
          <w:lang w:val="ro-RO"/>
        </w:rPr>
      </w:pPr>
      <w:bookmarkStart w:id="0" w:name="_GoBack"/>
      <w:bookmarkEnd w:id="0"/>
    </w:p>
    <w:p w:rsidR="00A638C2" w:rsidRPr="00F148AC" w:rsidRDefault="00A638C2" w:rsidP="00F87670">
      <w:pPr>
        <w:spacing w:line="240" w:lineRule="auto"/>
        <w:ind w:firstLine="0"/>
        <w:rPr>
          <w:b/>
          <w:caps/>
          <w:szCs w:val="24"/>
          <w:lang w:val="ro-RO"/>
        </w:rPr>
      </w:pPr>
    </w:p>
    <w:p w:rsidR="00014564" w:rsidRDefault="00A638C2" w:rsidP="000E0B79">
      <w:pPr>
        <w:spacing w:line="240" w:lineRule="auto"/>
        <w:jc w:val="center"/>
        <w:rPr>
          <w:b/>
          <w:caps/>
          <w:szCs w:val="24"/>
          <w:lang w:val="ro-RO"/>
        </w:rPr>
      </w:pPr>
      <w:r w:rsidRPr="00F148AC">
        <w:rPr>
          <w:b/>
          <w:caps/>
          <w:szCs w:val="24"/>
          <w:lang w:val="ro-RO"/>
        </w:rPr>
        <w:t>EXPUNERE DE MOTIVE</w:t>
      </w:r>
    </w:p>
    <w:p w:rsidR="00A638C2" w:rsidRPr="00014564" w:rsidRDefault="00A638C2" w:rsidP="00014564">
      <w:pPr>
        <w:ind w:firstLine="0"/>
        <w:rPr>
          <w:szCs w:val="24"/>
          <w:lang w:val="ro-RO"/>
        </w:rPr>
      </w:pPr>
    </w:p>
    <w:tbl>
      <w:tblPr>
        <w:tblpPr w:leftFromText="180" w:rightFromText="180" w:vertAnchor="text" w:tblpX="-431" w:tblpY="1"/>
        <w:tblOverlap w:val="never"/>
        <w:tblW w:w="10485" w:type="dxa"/>
        <w:tblLayout w:type="fixed"/>
        <w:tblLook w:val="0000"/>
      </w:tblPr>
      <w:tblGrid>
        <w:gridCol w:w="3912"/>
        <w:gridCol w:w="1328"/>
        <w:gridCol w:w="1026"/>
        <w:gridCol w:w="1174"/>
        <w:gridCol w:w="972"/>
        <w:gridCol w:w="1080"/>
        <w:gridCol w:w="993"/>
      </w:tblGrid>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b/>
                <w:szCs w:val="24"/>
                <w:lang w:val="ro-RO"/>
              </w:rPr>
            </w:pPr>
            <w:r w:rsidRPr="00F148AC">
              <w:rPr>
                <w:b/>
                <w:szCs w:val="24"/>
                <w:lang w:val="ro-RO"/>
              </w:rPr>
              <w:t>Secțiunea 1</w:t>
            </w:r>
          </w:p>
          <w:p w:rsidR="00A638C2" w:rsidRPr="00F148AC" w:rsidRDefault="00A638C2" w:rsidP="00F87670">
            <w:pPr>
              <w:spacing w:line="240" w:lineRule="auto"/>
              <w:jc w:val="center"/>
              <w:rPr>
                <w:b/>
                <w:szCs w:val="24"/>
                <w:lang w:val="ro-RO"/>
              </w:rPr>
            </w:pPr>
            <w:r w:rsidRPr="00F148AC">
              <w:rPr>
                <w:b/>
                <w:szCs w:val="24"/>
                <w:lang w:val="ro-RO"/>
              </w:rPr>
              <w:t xml:space="preserve">Titlul actului normativ </w:t>
            </w:r>
          </w:p>
          <w:p w:rsidR="00366B2E" w:rsidRDefault="00DA71CB" w:rsidP="000E0B79">
            <w:pPr>
              <w:spacing w:line="240" w:lineRule="auto"/>
              <w:jc w:val="center"/>
              <w:rPr>
                <w:rFonts w:eastAsia="Times New Roman"/>
                <w:b/>
                <w:szCs w:val="24"/>
                <w:lang w:val="ro-RO" w:eastAsia="ro-RO"/>
              </w:rPr>
            </w:pPr>
            <w:r w:rsidRPr="00F148AC">
              <w:rPr>
                <w:b/>
                <w:szCs w:val="24"/>
                <w:lang w:val="ro-RO"/>
              </w:rPr>
              <w:t xml:space="preserve">Lege </w:t>
            </w:r>
            <w:r w:rsidR="00395D75">
              <w:rPr>
                <w:b/>
                <w:szCs w:val="24"/>
                <w:lang w:val="ro-RO"/>
              </w:rPr>
              <w:t>pentru</w:t>
            </w:r>
            <w:r w:rsidR="00C62AB0" w:rsidRPr="00F148AC">
              <w:rPr>
                <w:rFonts w:eastAsia="Times New Roman"/>
                <w:b/>
                <w:szCs w:val="24"/>
                <w:lang w:val="ro-RO" w:eastAsia="ro-RO"/>
              </w:rPr>
              <w:t>modificarea și completarea Legii nr. 126/</w:t>
            </w:r>
            <w:r w:rsidR="004C01F3" w:rsidRPr="00F148AC">
              <w:rPr>
                <w:rFonts w:eastAsia="Times New Roman"/>
                <w:b/>
                <w:szCs w:val="24"/>
                <w:lang w:val="ro-RO" w:eastAsia="ro-RO"/>
              </w:rPr>
              <w:t>2018</w:t>
            </w:r>
            <w:r w:rsidR="00C62AB0" w:rsidRPr="00F148AC">
              <w:rPr>
                <w:rFonts w:eastAsia="Times New Roman"/>
                <w:b/>
                <w:szCs w:val="24"/>
                <w:lang w:val="ro-RO" w:eastAsia="ro-RO"/>
              </w:rPr>
              <w:t xml:space="preserve"> privind piețele de instrumente financiare</w:t>
            </w:r>
          </w:p>
          <w:p w:rsidR="00014564" w:rsidRPr="000E0B79" w:rsidRDefault="00014564" w:rsidP="000E0B79">
            <w:pPr>
              <w:spacing w:line="240" w:lineRule="auto"/>
              <w:jc w:val="center"/>
              <w:rPr>
                <w:rFonts w:eastAsia="Times New Roman"/>
                <w:b/>
                <w:szCs w:val="24"/>
                <w:lang w:val="ro-RO" w:eastAsia="ro-RO"/>
              </w:rPr>
            </w:pP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b/>
                <w:szCs w:val="24"/>
                <w:lang w:val="ro-RO"/>
              </w:rPr>
            </w:pPr>
            <w:r w:rsidRPr="00F148AC">
              <w:rPr>
                <w:b/>
                <w:szCs w:val="24"/>
                <w:lang w:val="ro-RO"/>
              </w:rPr>
              <w:t>Secțiunea a 2-a</w:t>
            </w:r>
          </w:p>
          <w:p w:rsidR="00A638C2" w:rsidRPr="00F148AC" w:rsidRDefault="00A638C2" w:rsidP="00F87670">
            <w:pPr>
              <w:spacing w:line="240" w:lineRule="auto"/>
              <w:rPr>
                <w:b/>
                <w:szCs w:val="24"/>
                <w:lang w:val="ro-RO"/>
              </w:rPr>
            </w:pPr>
            <w:r w:rsidRPr="00F148AC">
              <w:rPr>
                <w:b/>
                <w:szCs w:val="24"/>
                <w:lang w:val="ro-RO"/>
              </w:rPr>
              <w:t xml:space="preserve">Motivul emiterii actului normativ </w:t>
            </w:r>
          </w:p>
        </w:tc>
      </w:tr>
      <w:tr w:rsidR="004B5FE2" w:rsidRPr="00B879F1" w:rsidTr="00E5418E">
        <w:trPr>
          <w:trHeight w:val="70"/>
        </w:trPr>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b/>
                <w:szCs w:val="24"/>
                <w:lang w:val="ro-RO"/>
              </w:rPr>
            </w:pPr>
            <w:r w:rsidRPr="00F148AC">
              <w:rPr>
                <w:b/>
                <w:szCs w:val="24"/>
                <w:lang w:val="ro-RO"/>
              </w:rPr>
              <w:t xml:space="preserve">1. Descrierea </w:t>
            </w:r>
            <w:r w:rsidR="00F148AC" w:rsidRPr="00F148AC">
              <w:rPr>
                <w:b/>
                <w:szCs w:val="24"/>
                <w:lang w:val="ro-RO"/>
              </w:rPr>
              <w:t>situației</w:t>
            </w:r>
            <w:r w:rsidRPr="00F148AC">
              <w:rPr>
                <w:b/>
                <w:szCs w:val="24"/>
                <w:lang w:val="ro-RO"/>
              </w:rPr>
              <w:t xml:space="preserve"> actuale</w:t>
            </w:r>
          </w:p>
          <w:p w:rsidR="00DA3A65" w:rsidRPr="00F148AC" w:rsidRDefault="002D36E2" w:rsidP="00F87670">
            <w:pPr>
              <w:spacing w:line="240" w:lineRule="auto"/>
              <w:ind w:firstLine="0"/>
              <w:rPr>
                <w:lang w:val="ro-RO"/>
              </w:rPr>
            </w:pPr>
            <w:r w:rsidRPr="00F148AC">
              <w:rPr>
                <w:szCs w:val="24"/>
                <w:lang w:val="ro-RO"/>
              </w:rPr>
              <w:t>Directiva</w:t>
            </w:r>
            <w:r w:rsidRPr="00F148AC">
              <w:rPr>
                <w:lang w:val="ro-RO"/>
              </w:rPr>
              <w:t xml:space="preserve"> 2014/65/UE</w:t>
            </w:r>
            <w:r w:rsidRPr="00F148AC">
              <w:rPr>
                <w:bCs/>
                <w:lang w:val="ro-RO"/>
              </w:rPr>
              <w:t xml:space="preserve"> a Parlamentului European și a Consiliului din 15 mai 2014 privind piețele instrumentelor financiare și de modificare a Directivei 2002/92/CE și a Directivei 2011/61/UE</w:t>
            </w:r>
            <w:r w:rsidRPr="00F148AC">
              <w:rPr>
                <w:lang w:val="ro-RO"/>
              </w:rPr>
              <w:t xml:space="preserve">(MiFID II) a fost transpusă în legislația națională prin Legea nr. 126/2018 </w:t>
            </w:r>
            <w:r w:rsidR="00F148AC" w:rsidRPr="00F148AC">
              <w:rPr>
                <w:lang w:val="ro-RO"/>
              </w:rPr>
              <w:t xml:space="preserve">privind piețele </w:t>
            </w:r>
            <w:r w:rsidRPr="00F148AC">
              <w:rPr>
                <w:lang w:val="ro-RO"/>
              </w:rPr>
              <w:t>de instrumente financiare.</w:t>
            </w:r>
          </w:p>
          <w:p w:rsidR="002D36E2" w:rsidRPr="00F148AC" w:rsidRDefault="002D36E2" w:rsidP="00F87670">
            <w:pPr>
              <w:spacing w:line="240" w:lineRule="auto"/>
              <w:ind w:firstLine="0"/>
              <w:rPr>
                <w:lang w:val="ro-RO"/>
              </w:rPr>
            </w:pPr>
            <w:r w:rsidRPr="00F148AC">
              <w:rPr>
                <w:lang w:val="ro-RO"/>
              </w:rPr>
              <w:t xml:space="preserve">În Jurnalul Oficial al Uniunii Europene au fost publicate două directive de modificare a MiFID II care trebuie transpuse în legislația națională, respectiv: </w:t>
            </w:r>
          </w:p>
          <w:p w:rsidR="00417FBD" w:rsidRPr="00F148AC" w:rsidRDefault="004C01F3" w:rsidP="00F87670">
            <w:pPr>
              <w:spacing w:beforeAutospacing="1" w:after="160" w:afterAutospacing="1" w:line="240" w:lineRule="auto"/>
              <w:ind w:firstLine="0"/>
              <w:rPr>
                <w:rFonts w:eastAsia="Times New Roman"/>
                <w:b/>
                <w:bCs/>
                <w:szCs w:val="24"/>
                <w:lang w:val="ro-RO"/>
              </w:rPr>
            </w:pPr>
            <w:r w:rsidRPr="00F148AC">
              <w:rPr>
                <w:b/>
                <w:szCs w:val="24"/>
                <w:lang w:val="ro-RO"/>
              </w:rPr>
              <w:t>A</w:t>
            </w:r>
            <w:r w:rsidR="0082252F" w:rsidRPr="00F148AC">
              <w:rPr>
                <w:b/>
                <w:szCs w:val="24"/>
                <w:lang w:val="ro-RO"/>
              </w:rPr>
              <w:t>.</w:t>
            </w:r>
            <w:r w:rsidR="00417FBD" w:rsidRPr="00F148AC">
              <w:rPr>
                <w:rFonts w:eastAsia="Times New Roman"/>
                <w:bCs/>
                <w:szCs w:val="24"/>
                <w:lang w:val="ro-RO"/>
              </w:rPr>
              <w:t xml:space="preserve">În </w:t>
            </w:r>
            <w:r w:rsidR="00417FBD" w:rsidRPr="00F148AC">
              <w:rPr>
                <w:szCs w:val="24"/>
                <w:lang w:val="ro-RO"/>
              </w:rPr>
              <w:t xml:space="preserve"> Jurnalul Oficial al Uniunii Europene</w:t>
            </w:r>
            <w:r w:rsidR="00C60E84" w:rsidRPr="00F148AC">
              <w:rPr>
                <w:szCs w:val="24"/>
                <w:lang w:val="ro-RO"/>
              </w:rPr>
              <w:t>, seria L, nr. 334</w:t>
            </w:r>
            <w:r w:rsidR="00417FBD" w:rsidRPr="00F148AC">
              <w:rPr>
                <w:szCs w:val="24"/>
                <w:lang w:val="ro-RO"/>
              </w:rPr>
              <w:t xml:space="preserve"> din 27.12.2019a fost publicată</w:t>
            </w:r>
            <w:r w:rsidR="00417FBD" w:rsidRPr="00F148AC">
              <w:rPr>
                <w:b/>
                <w:szCs w:val="24"/>
                <w:lang w:val="ro-RO"/>
              </w:rPr>
              <w:t xml:space="preserve"> Directiva (UE) 2019/2177 a Parlamentului European și a Consiliului din 18 decembrie 2019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banilor sau finanțării terorismului</w:t>
            </w:r>
            <w:r w:rsidR="00F35E08" w:rsidRPr="00F148AC">
              <w:rPr>
                <w:b/>
                <w:szCs w:val="24"/>
                <w:lang w:val="ro-RO"/>
              </w:rPr>
              <w:t>.</w:t>
            </w:r>
          </w:p>
          <w:p w:rsidR="007B39AA" w:rsidRPr="00F148AC" w:rsidRDefault="007B39AA" w:rsidP="00F87670">
            <w:pPr>
              <w:pStyle w:val="doc-ti"/>
              <w:shd w:val="clear" w:color="auto" w:fill="FFFFFF"/>
              <w:spacing w:before="240" w:beforeAutospacing="0" w:after="120" w:afterAutospacing="0"/>
              <w:jc w:val="both"/>
              <w:rPr>
                <w:b/>
                <w:bCs/>
              </w:rPr>
            </w:pPr>
            <w:r w:rsidRPr="00F148AC">
              <w:t xml:space="preserve">Prin MiFID II a fost instituit cadrul normativ pentru furnizorii de servicii de raportare a datelor, cadru ce impune ca un furnizor de servicii de raportare a datelor post-tranzacționare să fie autorizat ca un mecanism de publicare aprobat (APA). În plus, un furnizor de sisteme centralizate de raportare (CTP) are obligația de a oferi date consolidate referitoare la toate tranzacțiile cu instrumente de capital și cu instrumente de alt tip efectuate în întreaga Uniune, în conformitate cu </w:t>
            </w:r>
            <w:r w:rsidR="00F148AC" w:rsidRPr="00F148AC">
              <w:t xml:space="preserve"> MiFID II</w:t>
            </w:r>
            <w:r w:rsidRPr="00F148AC">
              <w:t xml:space="preserve">. De asemenea, </w:t>
            </w:r>
            <w:r w:rsidR="00F148AC" w:rsidRPr="00F148AC">
              <w:t xml:space="preserve"> MiFID II </w:t>
            </w:r>
            <w:r w:rsidRPr="00F148AC">
              <w:t>oficializează canalele de raportare a tranzacțiilor către autoritățile competente prin impunerea obligației ca o parte terță care raportează în numele firmelor de investiții să fie autorizată ca un mecanism de raportare aprobat (ARM).</w:t>
            </w:r>
          </w:p>
          <w:p w:rsidR="00A91C39" w:rsidRPr="00F148AC" w:rsidRDefault="00417FBD" w:rsidP="00F87670">
            <w:pPr>
              <w:spacing w:beforeAutospacing="1" w:afterAutospacing="1" w:line="240" w:lineRule="auto"/>
              <w:ind w:firstLine="0"/>
              <w:rPr>
                <w:szCs w:val="24"/>
                <w:lang w:val="ro-RO"/>
              </w:rPr>
            </w:pPr>
            <w:r w:rsidRPr="00F148AC">
              <w:rPr>
                <w:b/>
                <w:szCs w:val="24"/>
                <w:lang w:val="ro-RO"/>
              </w:rPr>
              <w:t xml:space="preserve">Directiva </w:t>
            </w:r>
            <w:r w:rsidR="007B39AA" w:rsidRPr="00F148AC">
              <w:rPr>
                <w:b/>
                <w:szCs w:val="24"/>
                <w:lang w:val="ro-RO"/>
              </w:rPr>
              <w:t xml:space="preserve">(UE) 2019/2177 </w:t>
            </w:r>
            <w:r w:rsidR="007401C7" w:rsidRPr="00F148AC">
              <w:rPr>
                <w:szCs w:val="24"/>
                <w:lang w:val="ro-RO"/>
              </w:rPr>
              <w:t>prevede</w:t>
            </w:r>
            <w:r w:rsidR="007F4105" w:rsidRPr="00F148AC">
              <w:rPr>
                <w:szCs w:val="24"/>
                <w:lang w:val="ro-RO"/>
              </w:rPr>
              <w:t>, la articolul 1,</w:t>
            </w:r>
            <w:r w:rsidR="007401C7" w:rsidRPr="00F148AC">
              <w:rPr>
                <w:szCs w:val="24"/>
                <w:lang w:val="ro-RO"/>
              </w:rPr>
              <w:t xml:space="preserve">abrogarea dispozițiilor vizândfurnizorii </w:t>
            </w:r>
            <w:r w:rsidRPr="00F148AC">
              <w:rPr>
                <w:szCs w:val="24"/>
                <w:lang w:val="ro-RO"/>
              </w:rPr>
              <w:t xml:space="preserve">de servicii de raportare a datelor </w:t>
            </w:r>
            <w:r w:rsidR="007401C7" w:rsidRPr="00F148AC">
              <w:rPr>
                <w:szCs w:val="24"/>
                <w:lang w:val="ro-RO"/>
              </w:rPr>
              <w:t>din</w:t>
            </w:r>
            <w:r w:rsidR="00F148AC" w:rsidRPr="00F148AC">
              <w:rPr>
                <w:lang w:val="ro-RO"/>
              </w:rPr>
              <w:t xml:space="preserve"> MiFID II</w:t>
            </w:r>
            <w:r w:rsidRPr="00F148AC">
              <w:rPr>
                <w:szCs w:val="24"/>
                <w:lang w:val="ro-RO"/>
              </w:rPr>
              <w:t xml:space="preserve">, </w:t>
            </w:r>
            <w:r w:rsidR="007401C7" w:rsidRPr="00F148AC">
              <w:rPr>
                <w:szCs w:val="24"/>
                <w:lang w:val="ro-RO"/>
              </w:rPr>
              <w:t>ca urmare a preluării competențelor de autorizare</w:t>
            </w:r>
            <w:r w:rsidR="00A91C39" w:rsidRPr="00F148AC">
              <w:rPr>
                <w:szCs w:val="24"/>
                <w:lang w:val="ro-RO"/>
              </w:rPr>
              <w:t>,</w:t>
            </w:r>
            <w:r w:rsidR="007401C7" w:rsidRPr="00F148AC">
              <w:rPr>
                <w:szCs w:val="24"/>
                <w:lang w:val="ro-RO"/>
              </w:rPr>
              <w:t xml:space="preserve"> supraveghere și </w:t>
            </w:r>
            <w:r w:rsidRPr="00F148AC">
              <w:rPr>
                <w:szCs w:val="24"/>
                <w:lang w:val="ro-RO"/>
              </w:rPr>
              <w:t xml:space="preserve">de colectare a datelor, de la autoritățile competente la Autoritatea </w:t>
            </w:r>
            <w:r w:rsidR="00F35E08" w:rsidRPr="00F148AC">
              <w:rPr>
                <w:szCs w:val="24"/>
                <w:lang w:val="ro-RO"/>
              </w:rPr>
              <w:t>Europeană pentru Valori Mobiliare și P</w:t>
            </w:r>
            <w:r w:rsidRPr="00F148AC">
              <w:rPr>
                <w:szCs w:val="24"/>
                <w:lang w:val="ro-RO"/>
              </w:rPr>
              <w:t xml:space="preserve">iețe </w:t>
            </w:r>
            <w:r w:rsidR="007B39AA" w:rsidRPr="00F148AC">
              <w:rPr>
                <w:szCs w:val="24"/>
                <w:lang w:val="ro-RO"/>
              </w:rPr>
              <w:t>(AEVMP)</w:t>
            </w:r>
            <w:r w:rsidR="00A91C39" w:rsidRPr="00F148AC">
              <w:rPr>
                <w:szCs w:val="24"/>
                <w:lang w:val="ro-RO"/>
              </w:rPr>
              <w:t>, conform  Regulamentului (UE) nr. 600/2014 privind piețele instrumentelor financiare, așa cum a fost modificat prin Regulamentul (UE) 2019/2175 al Parlamentului European și al Consiliului din 18 decembrie 2019 de modificare a Regulamentului (UE) nr. 1093/2010 de instituire a Autorității europene de supraveghere (Autoritatea bancară europeană), a Regulamentului (UE) nr. 1094/2010 de instituire a Autorității europene de supraveghere (Autoritatea europeană de asigurări și pensii ocupaționale), a Regulamentului (UE) nr. 1095/2010 de instituire a Autorității europene de supraveghere (Autoritatea europeană pentru valori mobiliare și piețe), a Regulamentului (UE) nr. 600/2014 privind piețele instrumentelor financiare, a Regulamentului (UE) 2016/1011 privind indicii utilizați ca indici de referință în cadrul instrumentelor financiare și al contractelor financiare sau pentru a măsura performanțele fondurilor de investiții și a Regulamentului (UE) 2015/847 privind informațiile care însoțesc transferurile de fonduri</w:t>
            </w:r>
            <w:r w:rsidR="007B39AA" w:rsidRPr="00F148AC">
              <w:rPr>
                <w:szCs w:val="24"/>
                <w:lang w:val="ro-RO"/>
              </w:rPr>
              <w:t>.</w:t>
            </w:r>
          </w:p>
          <w:p w:rsidR="000C4FE5" w:rsidRPr="00F148AC" w:rsidRDefault="000C4FE5" w:rsidP="00F87670">
            <w:pPr>
              <w:spacing w:beforeAutospacing="1" w:afterAutospacing="1" w:line="240" w:lineRule="auto"/>
              <w:ind w:firstLine="0"/>
              <w:rPr>
                <w:rFonts w:eastAsia="Times New Roman"/>
                <w:szCs w:val="24"/>
                <w:lang w:val="ro-RO"/>
              </w:rPr>
            </w:pPr>
            <w:r w:rsidRPr="00F148AC">
              <w:rPr>
                <w:rFonts w:eastAsia="Times New Roman"/>
                <w:bCs/>
                <w:szCs w:val="24"/>
                <w:lang w:val="ro-RO"/>
              </w:rPr>
              <w:t>Termenul de transpunere</w:t>
            </w:r>
            <w:r w:rsidR="007B39AA" w:rsidRPr="00F148AC">
              <w:rPr>
                <w:rFonts w:eastAsia="Times New Roman"/>
                <w:szCs w:val="24"/>
                <w:lang w:val="ro-RO"/>
              </w:rPr>
              <w:t xml:space="preserve">al </w:t>
            </w:r>
            <w:r w:rsidR="007B39AA" w:rsidRPr="00F148AC">
              <w:rPr>
                <w:szCs w:val="24"/>
                <w:lang w:val="ro-RO"/>
              </w:rPr>
              <w:t>Directivei (UE) 2019/2177e</w:t>
            </w:r>
            <w:r w:rsidRPr="00F148AC">
              <w:rPr>
                <w:rFonts w:eastAsia="Times New Roman"/>
                <w:szCs w:val="24"/>
                <w:lang w:val="ro-RO"/>
              </w:rPr>
              <w:t xml:space="preserve">ste </w:t>
            </w:r>
            <w:r w:rsidRPr="00F148AC">
              <w:rPr>
                <w:rFonts w:eastAsia="Times New Roman"/>
                <w:b/>
                <w:bCs/>
                <w:szCs w:val="24"/>
                <w:lang w:val="ro-RO"/>
              </w:rPr>
              <w:t>30.06.2021</w:t>
            </w:r>
            <w:r w:rsidRPr="00F148AC">
              <w:rPr>
                <w:rFonts w:eastAsia="Times New Roman"/>
                <w:szCs w:val="24"/>
                <w:lang w:val="ro-RO"/>
              </w:rPr>
              <w:t xml:space="preserve">, urmând </w:t>
            </w:r>
            <w:r w:rsidR="007B39AA" w:rsidRPr="00F148AC">
              <w:rPr>
                <w:rFonts w:eastAsia="Times New Roman"/>
                <w:szCs w:val="24"/>
                <w:lang w:val="ro-RO"/>
              </w:rPr>
              <w:t xml:space="preserve">ca prevederile naţionale să </w:t>
            </w:r>
            <w:r w:rsidR="007B39AA" w:rsidRPr="00F148AC">
              <w:rPr>
                <w:rFonts w:eastAsia="Times New Roman"/>
                <w:szCs w:val="24"/>
                <w:lang w:val="ro-RO"/>
              </w:rPr>
              <w:lastRenderedPageBreak/>
              <w:t>se aplice</w:t>
            </w:r>
            <w:r w:rsidRPr="00F148AC">
              <w:rPr>
                <w:rFonts w:eastAsia="Times New Roman"/>
                <w:szCs w:val="24"/>
                <w:lang w:val="ro-RO"/>
              </w:rPr>
              <w:t xml:space="preserve"> de la </w:t>
            </w:r>
            <w:r w:rsidRPr="00F148AC">
              <w:rPr>
                <w:rFonts w:eastAsia="Times New Roman"/>
                <w:b/>
                <w:szCs w:val="24"/>
                <w:lang w:val="ro-RO"/>
              </w:rPr>
              <w:t>01.01.2022.</w:t>
            </w:r>
            <w:r w:rsidRPr="00F148AC">
              <w:rPr>
                <w:rFonts w:eastAsia="Times New Roman"/>
                <w:b/>
                <w:bCs/>
                <w:szCs w:val="24"/>
                <w:lang w:val="ro-RO"/>
              </w:rPr>
              <w:t> </w:t>
            </w:r>
          </w:p>
          <w:p w:rsidR="000C4FE5" w:rsidRPr="000E0B79" w:rsidRDefault="00F35E08" w:rsidP="00F87670">
            <w:pPr>
              <w:spacing w:line="240" w:lineRule="auto"/>
              <w:ind w:firstLine="0"/>
              <w:rPr>
                <w:szCs w:val="24"/>
                <w:lang w:val="ro-RO"/>
              </w:rPr>
            </w:pPr>
            <w:r w:rsidRPr="00F148AC">
              <w:rPr>
                <w:szCs w:val="24"/>
                <w:lang w:val="ro-RO" w:eastAsia="ro-RO"/>
              </w:rPr>
              <w:t xml:space="preserve">Pentru a asigura transpunerea art. 1 al </w:t>
            </w:r>
            <w:r w:rsidRPr="00F148AC">
              <w:rPr>
                <w:szCs w:val="24"/>
                <w:lang w:val="ro-RO"/>
              </w:rPr>
              <w:t xml:space="preserve">Directivei (UE) 2019/2177, </w:t>
            </w:r>
            <w:r w:rsidR="004C01F3" w:rsidRPr="00F148AC">
              <w:rPr>
                <w:szCs w:val="24"/>
                <w:lang w:val="ro-RO"/>
              </w:rPr>
              <w:t xml:space="preserve">este necesară modificarea Legii nr. 126/2018 </w:t>
            </w:r>
            <w:r w:rsidR="00395D75">
              <w:rPr>
                <w:szCs w:val="24"/>
                <w:lang w:val="ro-RO"/>
              </w:rPr>
              <w:t>pentru</w:t>
            </w:r>
            <w:r w:rsidR="00F148AC" w:rsidRPr="00F148AC">
              <w:rPr>
                <w:szCs w:val="24"/>
                <w:lang w:val="ro-RO"/>
              </w:rPr>
              <w:t>piețele</w:t>
            </w:r>
            <w:r w:rsidR="004C01F3" w:rsidRPr="00F148AC">
              <w:rPr>
                <w:szCs w:val="24"/>
                <w:lang w:val="ro-RO"/>
              </w:rPr>
              <w:t xml:space="preserve"> de instrumente financiare, </w:t>
            </w:r>
            <w:r w:rsidR="002D36E2" w:rsidRPr="00F148AC">
              <w:rPr>
                <w:szCs w:val="24"/>
                <w:lang w:val="ro-RO"/>
              </w:rPr>
              <w:t>cu modificările și completările ulterioare,</w:t>
            </w:r>
            <w:r w:rsidR="00557A8A" w:rsidRPr="00F148AC">
              <w:rPr>
                <w:szCs w:val="24"/>
                <w:lang w:val="ro-RO"/>
              </w:rPr>
              <w:t>act normativ care</w:t>
            </w:r>
            <w:r w:rsidR="002D36E2" w:rsidRPr="00F148AC">
              <w:rPr>
                <w:szCs w:val="24"/>
                <w:lang w:val="ro-RO"/>
              </w:rPr>
              <w:t>, așa cum am precizat anterior,</w:t>
            </w:r>
            <w:r w:rsidR="00557A8A" w:rsidRPr="00F148AC">
              <w:rPr>
                <w:szCs w:val="24"/>
                <w:lang w:val="ro-RO"/>
              </w:rPr>
              <w:t xml:space="preserve"> asigură</w:t>
            </w:r>
            <w:r w:rsidR="00B10C99" w:rsidRPr="00F148AC">
              <w:rPr>
                <w:szCs w:val="24"/>
                <w:lang w:val="ro-RO"/>
              </w:rPr>
              <w:t xml:space="preserve"> la nivel </w:t>
            </w:r>
            <w:r w:rsidR="00F148AC" w:rsidRPr="00F148AC">
              <w:rPr>
                <w:szCs w:val="24"/>
                <w:lang w:val="ro-RO"/>
              </w:rPr>
              <w:t>național</w:t>
            </w:r>
            <w:r w:rsidR="00557A8A" w:rsidRPr="00F148AC">
              <w:rPr>
                <w:szCs w:val="24"/>
                <w:lang w:val="ro-RO"/>
              </w:rPr>
              <w:t xml:space="preserve"> transpunerea prevederilor MiFID II. </w:t>
            </w:r>
          </w:p>
          <w:p w:rsidR="00F35E08" w:rsidRPr="00F148AC" w:rsidRDefault="004C01F3" w:rsidP="00F87670">
            <w:pPr>
              <w:spacing w:line="240" w:lineRule="auto"/>
              <w:ind w:firstLine="0"/>
              <w:rPr>
                <w:b/>
                <w:szCs w:val="24"/>
                <w:lang w:val="ro-RO"/>
              </w:rPr>
            </w:pPr>
            <w:r w:rsidRPr="00F148AC">
              <w:rPr>
                <w:b/>
                <w:szCs w:val="24"/>
                <w:lang w:val="ro-RO"/>
              </w:rPr>
              <w:t>B</w:t>
            </w:r>
            <w:r w:rsidR="0082252F" w:rsidRPr="00F148AC">
              <w:rPr>
                <w:b/>
                <w:szCs w:val="24"/>
                <w:lang w:val="ro-RO"/>
              </w:rPr>
              <w:t>.</w:t>
            </w:r>
            <w:r w:rsidR="00F35E08" w:rsidRPr="00F148AC">
              <w:rPr>
                <w:rFonts w:eastAsia="Times New Roman"/>
                <w:bCs/>
                <w:szCs w:val="24"/>
                <w:lang w:val="ro-RO"/>
              </w:rPr>
              <w:t xml:space="preserve"> În </w:t>
            </w:r>
            <w:r w:rsidR="00F35E08" w:rsidRPr="00F148AC">
              <w:rPr>
                <w:szCs w:val="24"/>
                <w:lang w:val="ro-RO"/>
              </w:rPr>
              <w:t xml:space="preserve"> Jurnalul Oficial al Uniunii Europene</w:t>
            </w:r>
            <w:r w:rsidR="00C60E84" w:rsidRPr="00F148AC">
              <w:rPr>
                <w:szCs w:val="24"/>
                <w:lang w:val="ro-RO"/>
              </w:rPr>
              <w:t xml:space="preserve">, seria L, nr. 347 </w:t>
            </w:r>
            <w:r w:rsidR="00F35E08" w:rsidRPr="00F148AC">
              <w:rPr>
                <w:szCs w:val="24"/>
                <w:lang w:val="ro-RO"/>
              </w:rPr>
              <w:t xml:space="preserve"> din </w:t>
            </w:r>
            <w:r w:rsidR="00C60E84" w:rsidRPr="00F148AC">
              <w:rPr>
                <w:szCs w:val="24"/>
                <w:lang w:val="ro-RO"/>
              </w:rPr>
              <w:t>20.10.2020</w:t>
            </w:r>
            <w:r w:rsidR="00F35E08" w:rsidRPr="00F148AC">
              <w:rPr>
                <w:szCs w:val="24"/>
                <w:lang w:val="ro-RO"/>
              </w:rPr>
              <w:t>a fost publicată</w:t>
            </w:r>
            <w:r w:rsidR="00F35E08" w:rsidRPr="00F148AC">
              <w:rPr>
                <w:b/>
                <w:szCs w:val="24"/>
                <w:lang w:val="ro-RO"/>
              </w:rPr>
              <w:t xml:space="preserve"> Directiva (UE) 2020/1504 a Parlamentului European și a Consiliului din 7 octombrie 2020 de modificare a Directivei 2014/65/UE privind piețele instrumentelor financiare.</w:t>
            </w:r>
          </w:p>
          <w:p w:rsidR="00F35E08" w:rsidRPr="00F148AC" w:rsidRDefault="00F35E08" w:rsidP="00F87670">
            <w:pPr>
              <w:spacing w:line="240" w:lineRule="auto"/>
              <w:ind w:firstLine="0"/>
              <w:rPr>
                <w:b/>
                <w:szCs w:val="24"/>
                <w:lang w:val="ro-RO"/>
              </w:rPr>
            </w:pPr>
          </w:p>
          <w:p w:rsidR="00F35E08" w:rsidRPr="00F148AC" w:rsidRDefault="00F35E08" w:rsidP="00F87670">
            <w:pPr>
              <w:widowControl w:val="0"/>
              <w:autoSpaceDE w:val="0"/>
              <w:autoSpaceDN w:val="0"/>
              <w:adjustRightInd w:val="0"/>
              <w:spacing w:line="240" w:lineRule="auto"/>
              <w:ind w:firstLine="0"/>
              <w:rPr>
                <w:rFonts w:eastAsia="Times New Roman"/>
                <w:szCs w:val="24"/>
                <w:lang w:val="ro-RO" w:eastAsia="ro-RO"/>
              </w:rPr>
            </w:pPr>
            <w:r w:rsidRPr="00F148AC">
              <w:rPr>
                <w:rFonts w:eastAsia="Times New Roman"/>
                <w:szCs w:val="24"/>
                <w:lang w:val="ro-RO" w:eastAsia="ro-RO"/>
              </w:rPr>
              <w:t xml:space="preserve">Directiva (UE) 2020/1504 modifică MiFID II prin includerea în categoria entităţilor exceptate a furnizorilor de servicii de finanțare participativă. </w:t>
            </w:r>
          </w:p>
          <w:p w:rsidR="0082252F" w:rsidRPr="00F148AC" w:rsidRDefault="00F35E08" w:rsidP="00F87670">
            <w:pPr>
              <w:widowControl w:val="0"/>
              <w:autoSpaceDE w:val="0"/>
              <w:autoSpaceDN w:val="0"/>
              <w:adjustRightInd w:val="0"/>
              <w:spacing w:after="240" w:line="240" w:lineRule="auto"/>
              <w:ind w:firstLine="0"/>
              <w:rPr>
                <w:rFonts w:eastAsia="Times New Roman"/>
                <w:b/>
                <w:szCs w:val="24"/>
                <w:u w:val="single"/>
                <w:lang w:val="ro-RO" w:eastAsia="ro-RO"/>
              </w:rPr>
            </w:pPr>
            <w:r w:rsidRPr="00F148AC">
              <w:rPr>
                <w:rFonts w:eastAsia="Times New Roman"/>
                <w:szCs w:val="24"/>
                <w:lang w:val="ro-RO" w:eastAsia="ro-RO"/>
              </w:rPr>
              <w:t xml:space="preserve">Această modificare a fost realizată cu scopul de a oferi securitate juridică în ceea ce privește persoanele și activitățile care intră sub incidența </w:t>
            </w:r>
            <w:r w:rsidRPr="00F148AC">
              <w:rPr>
                <w:rFonts w:eastAsia="Times New Roman"/>
                <w:i/>
                <w:szCs w:val="24"/>
                <w:lang w:val="ro-RO" w:eastAsia="ro-RO"/>
              </w:rPr>
              <w:t>Regulamentului (UE) 2020/1503 al Parlamentului European și al Consiliului din 7 octombrie 2020 privind furnizorii europeni de servicii de finanțare participativă pentru afaceri și de modificare a Regulamentului (UE) 2017/1129 și a Directivei (UE) 2019/1937</w:t>
            </w:r>
            <w:r w:rsidRPr="00F148AC">
              <w:rPr>
                <w:rFonts w:eastAsia="Times New Roman"/>
                <w:szCs w:val="24"/>
                <w:lang w:val="ro-RO" w:eastAsia="ro-RO"/>
              </w:rPr>
              <w:t xml:space="preserve"> și, respectiv, a MiFID II și pentru a evita situația în care aceeași activitate este condiționată de obținerea mai multor autorizații în UE. </w:t>
            </w:r>
          </w:p>
          <w:p w:rsidR="0082252F" w:rsidRPr="00F148AC" w:rsidRDefault="0082252F" w:rsidP="00F87670">
            <w:pPr>
              <w:shd w:val="clear" w:color="auto" w:fill="FFFFFF"/>
              <w:suppressAutoHyphens/>
              <w:spacing w:after="160" w:line="240" w:lineRule="auto"/>
              <w:ind w:firstLine="0"/>
              <w:rPr>
                <w:bCs/>
                <w:szCs w:val="24"/>
                <w:lang w:val="ro-RO" w:eastAsia="zh-CN"/>
              </w:rPr>
            </w:pPr>
            <w:r w:rsidRPr="00F148AC">
              <w:rPr>
                <w:szCs w:val="24"/>
                <w:lang w:val="ro-RO" w:eastAsia="zh-CN"/>
              </w:rPr>
              <w:t xml:space="preserve">Termenul de transpunere al Directivei (UE) 2020/1504 este </w:t>
            </w:r>
            <w:r w:rsidRPr="00F148AC">
              <w:rPr>
                <w:b/>
                <w:bCs/>
                <w:szCs w:val="24"/>
                <w:lang w:val="ro-RO" w:eastAsia="zh-CN"/>
              </w:rPr>
              <w:t>10 mai 2021</w:t>
            </w:r>
            <w:r w:rsidRPr="00F148AC">
              <w:rPr>
                <w:bCs/>
                <w:szCs w:val="24"/>
                <w:lang w:val="ro-RO" w:eastAsia="zh-CN"/>
              </w:rPr>
              <w:t xml:space="preserve">, iar </w:t>
            </w:r>
            <w:r w:rsidRPr="00F148AC">
              <w:rPr>
                <w:szCs w:val="24"/>
                <w:lang w:val="ro-RO" w:eastAsia="zh-CN"/>
              </w:rPr>
              <w:t>aplicarea prevederilor naționale de transpunere se impune începând cu</w:t>
            </w:r>
            <w:r w:rsidRPr="00F148AC">
              <w:rPr>
                <w:b/>
                <w:bCs/>
                <w:szCs w:val="24"/>
                <w:lang w:val="ro-RO" w:eastAsia="zh-CN"/>
              </w:rPr>
              <w:t>10 noiembrie 2021</w:t>
            </w:r>
            <w:r w:rsidRPr="00F148AC">
              <w:rPr>
                <w:bCs/>
                <w:szCs w:val="24"/>
                <w:lang w:val="ro-RO" w:eastAsia="zh-CN"/>
              </w:rPr>
              <w:t xml:space="preserve">. </w:t>
            </w:r>
          </w:p>
          <w:p w:rsidR="00F33FF6" w:rsidRPr="00F148AC" w:rsidRDefault="0087278B" w:rsidP="00F87670">
            <w:pPr>
              <w:shd w:val="clear" w:color="auto" w:fill="FFFFFF"/>
              <w:suppressAutoHyphens/>
              <w:spacing w:after="160" w:line="240" w:lineRule="auto"/>
              <w:ind w:firstLine="0"/>
              <w:rPr>
                <w:bCs/>
                <w:szCs w:val="24"/>
                <w:lang w:val="ro-RO" w:eastAsia="zh-CN"/>
              </w:rPr>
            </w:pPr>
            <w:r w:rsidRPr="00F148AC">
              <w:rPr>
                <w:bCs/>
                <w:szCs w:val="24"/>
                <w:lang w:val="ro-RO" w:eastAsia="zh-CN"/>
              </w:rPr>
              <w:t>În scopul asigurării transpunerii acestei directive europene, este</w:t>
            </w:r>
            <w:r w:rsidR="004C01F3" w:rsidRPr="00F148AC">
              <w:rPr>
                <w:bCs/>
                <w:szCs w:val="24"/>
                <w:lang w:val="ro-RO" w:eastAsia="zh-CN"/>
              </w:rPr>
              <w:t>, de asemenea,</w:t>
            </w:r>
            <w:r w:rsidRPr="00F148AC">
              <w:rPr>
                <w:bCs/>
                <w:szCs w:val="24"/>
                <w:lang w:val="ro-RO" w:eastAsia="zh-CN"/>
              </w:rPr>
              <w:t xml:space="preserve"> necesară modificarea Legii nr. 126/2018</w:t>
            </w:r>
            <w:r w:rsidR="004C01F3" w:rsidRPr="00F148AC">
              <w:rPr>
                <w:bCs/>
                <w:szCs w:val="24"/>
                <w:lang w:val="ro-RO" w:eastAsia="zh-CN"/>
              </w:rPr>
              <w:t>, cu modificările și completările ulterioare.</w:t>
            </w:r>
          </w:p>
          <w:p w:rsidR="00CE38AA" w:rsidRPr="00F148AC" w:rsidRDefault="004C01F3" w:rsidP="00F87670">
            <w:pPr>
              <w:shd w:val="clear" w:color="auto" w:fill="FFFFFF"/>
              <w:suppressAutoHyphens/>
              <w:spacing w:after="160" w:line="240" w:lineRule="auto"/>
              <w:ind w:firstLine="0"/>
              <w:rPr>
                <w:b/>
                <w:bCs/>
                <w:szCs w:val="24"/>
                <w:lang w:val="ro-RO" w:eastAsia="zh-CN"/>
              </w:rPr>
            </w:pPr>
            <w:r w:rsidRPr="00F148AC">
              <w:rPr>
                <w:b/>
                <w:bCs/>
                <w:szCs w:val="24"/>
                <w:lang w:val="ro-RO" w:eastAsia="zh-CN"/>
              </w:rPr>
              <w:t>C</w:t>
            </w:r>
            <w:r w:rsidR="00CE38AA" w:rsidRPr="00F148AC">
              <w:rPr>
                <w:b/>
                <w:bCs/>
                <w:szCs w:val="24"/>
                <w:lang w:val="ro-RO" w:eastAsia="zh-CN"/>
              </w:rPr>
              <w:t xml:space="preserve">. </w:t>
            </w:r>
            <w:r w:rsidR="00C60E84" w:rsidRPr="00F148AC">
              <w:rPr>
                <w:b/>
                <w:bCs/>
                <w:szCs w:val="24"/>
                <w:lang w:val="ro-RO" w:eastAsia="zh-CN"/>
              </w:rPr>
              <w:t xml:space="preserve">Alte propuneri de modificare a Legii nr. </w:t>
            </w:r>
            <w:r w:rsidR="00CE38AA" w:rsidRPr="00F148AC">
              <w:rPr>
                <w:b/>
                <w:bCs/>
                <w:szCs w:val="24"/>
                <w:lang w:val="ro-RO" w:eastAsia="zh-CN"/>
              </w:rPr>
              <w:t>126</w:t>
            </w:r>
            <w:r w:rsidR="00C60E84" w:rsidRPr="00F148AC">
              <w:rPr>
                <w:b/>
                <w:bCs/>
                <w:szCs w:val="24"/>
                <w:lang w:val="ro-RO" w:eastAsia="zh-CN"/>
              </w:rPr>
              <w:t>/2018</w:t>
            </w:r>
            <w:r w:rsidRPr="00336CE1">
              <w:rPr>
                <w:bCs/>
                <w:szCs w:val="24"/>
                <w:lang w:val="ro-RO" w:eastAsia="zh-CN"/>
              </w:rPr>
              <w:t>, cu modificările și completările ulterioare</w:t>
            </w:r>
          </w:p>
          <w:p w:rsidR="007E2F3C" w:rsidRPr="00F148AC" w:rsidRDefault="00C60E84" w:rsidP="00F87670">
            <w:pPr>
              <w:shd w:val="clear" w:color="auto" w:fill="FFFFFF"/>
              <w:suppressAutoHyphens/>
              <w:spacing w:after="160" w:line="240" w:lineRule="auto"/>
              <w:ind w:firstLine="0"/>
              <w:rPr>
                <w:bCs/>
                <w:szCs w:val="24"/>
                <w:lang w:val="ro-RO" w:eastAsia="zh-CN"/>
              </w:rPr>
            </w:pPr>
            <w:r w:rsidRPr="00F148AC">
              <w:rPr>
                <w:bCs/>
                <w:szCs w:val="24"/>
                <w:lang w:val="ro-RO" w:eastAsia="zh-CN"/>
              </w:rPr>
              <w:t xml:space="preserve">În vederea soluţionării unor aspecte identificate în activitatea curentă de autorizare şi </w:t>
            </w:r>
            <w:r w:rsidR="00336CE1">
              <w:rPr>
                <w:bCs/>
                <w:szCs w:val="24"/>
                <w:lang w:val="ro-RO" w:eastAsia="zh-CN"/>
              </w:rPr>
              <w:t xml:space="preserve">de </w:t>
            </w:r>
            <w:r w:rsidRPr="00F148AC">
              <w:rPr>
                <w:bCs/>
                <w:szCs w:val="24"/>
                <w:lang w:val="ro-RO" w:eastAsia="zh-CN"/>
              </w:rPr>
              <w:t xml:space="preserve">supraveghere a </w:t>
            </w:r>
            <w:r w:rsidR="004C01F3" w:rsidRPr="00F148AC">
              <w:rPr>
                <w:bCs/>
                <w:szCs w:val="24"/>
                <w:lang w:val="ro-RO" w:eastAsia="zh-CN"/>
              </w:rPr>
              <w:t>societăților de servicii de investiții financiare (</w:t>
            </w:r>
            <w:r w:rsidRPr="00F148AC">
              <w:rPr>
                <w:bCs/>
                <w:szCs w:val="24"/>
                <w:lang w:val="ro-RO" w:eastAsia="zh-CN"/>
              </w:rPr>
              <w:t>S.S.I.F.</w:t>
            </w:r>
            <w:r w:rsidR="004C01F3" w:rsidRPr="00F148AC">
              <w:rPr>
                <w:bCs/>
                <w:szCs w:val="24"/>
                <w:lang w:val="ro-RO" w:eastAsia="zh-CN"/>
              </w:rPr>
              <w:t>)</w:t>
            </w:r>
            <w:r w:rsidRPr="00F148AC">
              <w:rPr>
                <w:bCs/>
                <w:szCs w:val="24"/>
                <w:lang w:val="ro-RO" w:eastAsia="zh-CN"/>
              </w:rPr>
              <w:t>, prin același proiect legislativ se propun și alte modificări ale Legii nr. 126/2018</w:t>
            </w:r>
            <w:r w:rsidR="004C01F3" w:rsidRPr="00F148AC">
              <w:rPr>
                <w:bCs/>
                <w:szCs w:val="24"/>
                <w:lang w:val="ro-RO" w:eastAsia="zh-CN"/>
              </w:rPr>
              <w:t>,  cu modificările și completările ulterioare</w:t>
            </w:r>
            <w:r w:rsidR="007E2F3C" w:rsidRPr="00F148AC">
              <w:rPr>
                <w:bCs/>
                <w:szCs w:val="24"/>
                <w:lang w:val="ro-RO" w:eastAsia="zh-CN"/>
              </w:rPr>
              <w:t>.</w:t>
            </w:r>
          </w:p>
          <w:p w:rsidR="00C60E84" w:rsidRPr="00F148AC" w:rsidRDefault="00C60E84" w:rsidP="00F87670">
            <w:pPr>
              <w:shd w:val="clear" w:color="auto" w:fill="FFFFFF"/>
              <w:suppressAutoHyphens/>
              <w:spacing w:after="160" w:line="240" w:lineRule="auto"/>
              <w:ind w:firstLine="0"/>
              <w:rPr>
                <w:bCs/>
                <w:szCs w:val="24"/>
                <w:lang w:val="ro-RO" w:eastAsia="zh-CN"/>
              </w:rPr>
            </w:pPr>
            <w:r w:rsidRPr="00F148AC">
              <w:rPr>
                <w:bCs/>
                <w:i/>
                <w:szCs w:val="24"/>
                <w:lang w:val="ro-RO" w:eastAsia="zh-CN"/>
              </w:rPr>
              <w:t>Regulamentul (UE) nr. 852/2020 din 18 iunie 2020 privind instituirea unui cadru care să faciliteze investițiile durabile și de modificare a Regulamentului (UE) 2019/2088</w:t>
            </w:r>
            <w:r w:rsidRPr="00F148AC">
              <w:rPr>
                <w:bCs/>
                <w:szCs w:val="24"/>
                <w:lang w:val="ro-RO" w:eastAsia="zh-CN"/>
              </w:rPr>
              <w:t xml:space="preserve">stabilește obligația statelor membre de a emite norme naționale în aplicarea art. 22 din acest regulament, </w:t>
            </w:r>
            <w:r w:rsidR="007E2F3C" w:rsidRPr="00F148AC">
              <w:rPr>
                <w:bCs/>
                <w:szCs w:val="24"/>
                <w:lang w:val="ro-RO" w:eastAsia="zh-CN"/>
              </w:rPr>
              <w:t>acestea fiind cuprinse în acest proiect legislativ</w:t>
            </w:r>
            <w:r w:rsidRPr="00F148AC">
              <w:rPr>
                <w:bCs/>
                <w:szCs w:val="24"/>
                <w:lang w:val="ro-RO" w:eastAsia="zh-CN"/>
              </w:rPr>
              <w:t>.</w:t>
            </w:r>
          </w:p>
        </w:tc>
      </w:tr>
      <w:tr w:rsidR="004B5FE2" w:rsidRPr="00B879F1" w:rsidTr="00E5418E">
        <w:trPr>
          <w:trHeight w:val="440"/>
        </w:trPr>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61032A" w:rsidRPr="00336CE1" w:rsidRDefault="00A638C2" w:rsidP="00F87670">
            <w:pPr>
              <w:spacing w:line="240" w:lineRule="auto"/>
              <w:rPr>
                <w:b/>
                <w:szCs w:val="24"/>
                <w:lang w:val="ro-RO"/>
              </w:rPr>
            </w:pPr>
            <w:r w:rsidRPr="00F148AC">
              <w:rPr>
                <w:b/>
                <w:szCs w:val="24"/>
                <w:lang w:val="ro-RO"/>
              </w:rPr>
              <w:lastRenderedPageBreak/>
              <w:t>2. Schimbări preconizate</w:t>
            </w:r>
          </w:p>
          <w:p w:rsidR="008C7D86" w:rsidRPr="00F148AC" w:rsidRDefault="008C7D86" w:rsidP="00F87670">
            <w:pPr>
              <w:spacing w:line="240" w:lineRule="auto"/>
              <w:rPr>
                <w:b/>
                <w:bCs/>
                <w:szCs w:val="24"/>
                <w:lang w:val="ro-RO"/>
              </w:rPr>
            </w:pPr>
          </w:p>
          <w:p w:rsidR="009319FC" w:rsidRPr="00F148AC" w:rsidRDefault="004C01F3" w:rsidP="000E0B79">
            <w:pPr>
              <w:spacing w:line="240" w:lineRule="auto"/>
              <w:ind w:firstLine="0"/>
              <w:rPr>
                <w:b/>
                <w:szCs w:val="24"/>
                <w:lang w:val="ro-RO"/>
              </w:rPr>
            </w:pPr>
            <w:r w:rsidRPr="00F148AC">
              <w:rPr>
                <w:b/>
                <w:bCs/>
                <w:szCs w:val="24"/>
                <w:lang w:val="ro-RO"/>
              </w:rPr>
              <w:t>A</w:t>
            </w:r>
            <w:r w:rsidR="0061032A" w:rsidRPr="00F148AC">
              <w:rPr>
                <w:b/>
                <w:bCs/>
                <w:szCs w:val="24"/>
                <w:lang w:val="ro-RO"/>
              </w:rPr>
              <w:t xml:space="preserve">. </w:t>
            </w:r>
            <w:r w:rsidR="009319FC" w:rsidRPr="00F148AC">
              <w:rPr>
                <w:rFonts w:eastAsia="Calibri"/>
                <w:b/>
                <w:szCs w:val="24"/>
                <w:lang w:val="ro-RO"/>
              </w:rPr>
              <w:t xml:space="preserve"> Asigurarea transpunerii prevederilor</w:t>
            </w:r>
            <w:r w:rsidR="009319FC" w:rsidRPr="00F148AC">
              <w:rPr>
                <w:b/>
                <w:szCs w:val="24"/>
                <w:lang w:val="ro-RO"/>
              </w:rPr>
              <w:t xml:space="preserve"> Directivei (UE) 2019/2177 a Parlamentului European și a Consiliului din 18 decembrie 2019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banilor sau finanțării terorismului</w:t>
            </w:r>
          </w:p>
          <w:p w:rsidR="0061032A" w:rsidRPr="00F148AC" w:rsidRDefault="00F33FF6" w:rsidP="00F87670">
            <w:pPr>
              <w:spacing w:after="240" w:line="240" w:lineRule="auto"/>
              <w:ind w:firstLine="0"/>
              <w:rPr>
                <w:szCs w:val="24"/>
                <w:lang w:val="ro-RO"/>
              </w:rPr>
            </w:pPr>
            <w:r w:rsidRPr="00F148AC">
              <w:rPr>
                <w:szCs w:val="24"/>
                <w:lang w:val="ro-RO"/>
              </w:rPr>
              <w:t>În vederea transpunerii art. 1 al Directivei (UE) 2019/2177</w:t>
            </w:r>
            <w:r w:rsidR="009319FC" w:rsidRPr="00F148AC">
              <w:rPr>
                <w:szCs w:val="24"/>
                <w:lang w:val="ro-RO"/>
              </w:rPr>
              <w:t xml:space="preserve">, proiectul de lege prevede eliminarea </w:t>
            </w:r>
            <w:r w:rsidR="00126382">
              <w:rPr>
                <w:szCs w:val="24"/>
                <w:lang w:val="ro-RO"/>
              </w:rPr>
              <w:t xml:space="preserve">cerințelor operaționale </w:t>
            </w:r>
            <w:r w:rsidR="009319FC" w:rsidRPr="00F148AC">
              <w:rPr>
                <w:szCs w:val="24"/>
                <w:lang w:val="ro-RO"/>
              </w:rPr>
              <w:t>refer</w:t>
            </w:r>
            <w:r w:rsidR="00126382">
              <w:rPr>
                <w:szCs w:val="24"/>
                <w:lang w:val="ro-RO"/>
              </w:rPr>
              <w:t>itoare</w:t>
            </w:r>
            <w:r w:rsidR="009319FC" w:rsidRPr="00F148AC">
              <w:rPr>
                <w:szCs w:val="24"/>
                <w:lang w:val="ro-RO"/>
              </w:rPr>
              <w:t xml:space="preserve"> la </w:t>
            </w:r>
            <w:r w:rsidRPr="00F148AC">
              <w:rPr>
                <w:szCs w:val="24"/>
                <w:lang w:val="ro-RO"/>
              </w:rPr>
              <w:t xml:space="preserve">furnizorii de servicii de raportare a datelor, furnizorii de sisteme centralizate de raportare (CTP), mecanismele de raportare aprobate (ARM) și mecanismele de publicare aprobate (APA) </w:t>
            </w:r>
            <w:r w:rsidR="009319FC" w:rsidRPr="00F148AC">
              <w:rPr>
                <w:szCs w:val="24"/>
                <w:lang w:val="ro-RO"/>
              </w:rPr>
              <w:t>din</w:t>
            </w:r>
            <w:r w:rsidR="00637B72" w:rsidRPr="00F148AC">
              <w:rPr>
                <w:szCs w:val="24"/>
                <w:lang w:val="ro-RO"/>
              </w:rPr>
              <w:t xml:space="preserve"> cuprinsul Legii</w:t>
            </w:r>
            <w:r w:rsidR="009319FC" w:rsidRPr="00F148AC">
              <w:rPr>
                <w:szCs w:val="24"/>
                <w:lang w:val="ro-RO"/>
              </w:rPr>
              <w:t xml:space="preserve"> nr. 126/2018</w:t>
            </w:r>
            <w:r w:rsidR="004C01F3" w:rsidRPr="00F148AC">
              <w:rPr>
                <w:szCs w:val="24"/>
                <w:lang w:val="ro-RO"/>
              </w:rPr>
              <w:t>, cu modificările și completările ulterioare</w:t>
            </w:r>
            <w:r w:rsidR="009319FC" w:rsidRPr="00F148AC">
              <w:rPr>
                <w:szCs w:val="24"/>
                <w:lang w:val="ro-RO"/>
              </w:rPr>
              <w:t xml:space="preserve">. </w:t>
            </w:r>
          </w:p>
          <w:p w:rsidR="009319FC" w:rsidRPr="000E0B79" w:rsidRDefault="004C01F3" w:rsidP="000E0B79">
            <w:pPr>
              <w:spacing w:line="240" w:lineRule="auto"/>
              <w:ind w:firstLine="0"/>
              <w:rPr>
                <w:b/>
                <w:szCs w:val="24"/>
                <w:lang w:val="ro-RO"/>
              </w:rPr>
            </w:pPr>
            <w:r w:rsidRPr="00F148AC">
              <w:rPr>
                <w:b/>
                <w:bCs/>
                <w:szCs w:val="24"/>
                <w:lang w:val="ro-RO"/>
              </w:rPr>
              <w:t>B</w:t>
            </w:r>
            <w:r w:rsidR="0061032A" w:rsidRPr="00F148AC">
              <w:rPr>
                <w:b/>
                <w:bCs/>
                <w:szCs w:val="24"/>
                <w:lang w:val="ro-RO"/>
              </w:rPr>
              <w:t xml:space="preserve">. </w:t>
            </w:r>
            <w:r w:rsidR="009319FC" w:rsidRPr="00F148AC">
              <w:rPr>
                <w:rFonts w:eastAsia="Calibri"/>
                <w:b/>
                <w:szCs w:val="24"/>
                <w:lang w:val="ro-RO"/>
              </w:rPr>
              <w:t xml:space="preserve"> Asigurarea transpunerii prevederilor</w:t>
            </w:r>
            <w:r w:rsidR="009319FC" w:rsidRPr="00F148AC">
              <w:rPr>
                <w:b/>
                <w:szCs w:val="24"/>
                <w:lang w:val="ro-RO"/>
              </w:rPr>
              <w:t xml:space="preserve"> Directivei (UE) 2020/1504 a Parlamentului European și a Consiliului din 7 octombrie 2020 de modificare a Directivei 2014/65/UE privind piețele instrumentelor financiare</w:t>
            </w:r>
          </w:p>
          <w:p w:rsidR="00A638C2" w:rsidRPr="00F148AC" w:rsidRDefault="009319FC" w:rsidP="00F87670">
            <w:pPr>
              <w:widowControl w:val="0"/>
              <w:autoSpaceDE w:val="0"/>
              <w:autoSpaceDN w:val="0"/>
              <w:adjustRightInd w:val="0"/>
              <w:spacing w:line="240" w:lineRule="auto"/>
              <w:ind w:firstLine="0"/>
              <w:rPr>
                <w:szCs w:val="24"/>
                <w:lang w:val="ro-RO"/>
              </w:rPr>
            </w:pPr>
            <w:r w:rsidRPr="00F148AC">
              <w:rPr>
                <w:rFonts w:eastAsia="Times New Roman"/>
                <w:szCs w:val="24"/>
                <w:lang w:val="ro-RO" w:eastAsia="ro-RO"/>
              </w:rPr>
              <w:t xml:space="preserve">Directiva (UE) 2020/1504 modifică MiFID II prin includerea în categoria entităţilor exceptate a furnizorilor de servicii de finanțare participativă. </w:t>
            </w:r>
            <w:r w:rsidR="00F33FF6" w:rsidRPr="00F148AC">
              <w:rPr>
                <w:szCs w:val="24"/>
                <w:lang w:val="ro-RO"/>
              </w:rPr>
              <w:t xml:space="preserve">În concordanţă cu prevederile acestei directive, </w:t>
            </w:r>
            <w:r w:rsidRPr="00F148AC">
              <w:rPr>
                <w:szCs w:val="24"/>
                <w:lang w:val="ro-RO"/>
              </w:rPr>
              <w:t>prin proiectul de lege este completat art. 6 alin. (1) al Legii nr. 126/2018</w:t>
            </w:r>
            <w:r w:rsidR="004C01F3" w:rsidRPr="00F148AC">
              <w:rPr>
                <w:szCs w:val="24"/>
                <w:lang w:val="ro-RO"/>
              </w:rPr>
              <w:t xml:space="preserve">, cu modificările și completările </w:t>
            </w:r>
            <w:r w:rsidR="004C01F3" w:rsidRPr="00F148AC">
              <w:rPr>
                <w:szCs w:val="24"/>
                <w:lang w:val="ro-RO"/>
              </w:rPr>
              <w:lastRenderedPageBreak/>
              <w:t xml:space="preserve">ulterioare, </w:t>
            </w:r>
            <w:r w:rsidRPr="00F148AC">
              <w:rPr>
                <w:szCs w:val="24"/>
                <w:lang w:val="ro-RO"/>
              </w:rPr>
              <w:t xml:space="preserve">pentru a include furnizorii de servicii de finanțare participativă, definiţi la art. 2 alin. (1) lit. (e) din Regulamentul (UE) 2020/1503, în categoria entităţilor exceptate de la aplicarea prevederilor </w:t>
            </w:r>
            <w:r w:rsidR="00946C9F" w:rsidRPr="00F148AC">
              <w:rPr>
                <w:szCs w:val="24"/>
                <w:lang w:val="ro-RO"/>
              </w:rPr>
              <w:t>Legii nr. 126/2018</w:t>
            </w:r>
            <w:r w:rsidR="004C01F3" w:rsidRPr="00F148AC">
              <w:rPr>
                <w:szCs w:val="24"/>
                <w:lang w:val="ro-RO"/>
              </w:rPr>
              <w:t>,  cu modificările și completările ulterioare</w:t>
            </w:r>
            <w:r w:rsidRPr="00F148AC">
              <w:rPr>
                <w:szCs w:val="24"/>
                <w:lang w:val="ro-RO"/>
              </w:rPr>
              <w:t>.</w:t>
            </w:r>
          </w:p>
          <w:p w:rsidR="00F33FF6" w:rsidRPr="00F148AC" w:rsidRDefault="00F33FF6" w:rsidP="00F87670">
            <w:pPr>
              <w:widowControl w:val="0"/>
              <w:autoSpaceDE w:val="0"/>
              <w:autoSpaceDN w:val="0"/>
              <w:adjustRightInd w:val="0"/>
              <w:spacing w:line="240" w:lineRule="auto"/>
              <w:ind w:firstLine="0"/>
              <w:rPr>
                <w:rFonts w:eastAsia="Times New Roman"/>
                <w:szCs w:val="24"/>
                <w:lang w:val="ro-RO" w:eastAsia="ro-RO"/>
              </w:rPr>
            </w:pPr>
          </w:p>
          <w:p w:rsidR="00336CE1" w:rsidRPr="000E0B79" w:rsidRDefault="004C01F3" w:rsidP="00F87670">
            <w:pPr>
              <w:autoSpaceDE w:val="0"/>
              <w:spacing w:line="240" w:lineRule="auto"/>
              <w:ind w:firstLine="0"/>
              <w:rPr>
                <w:rFonts w:eastAsia="Calibri"/>
                <w:b/>
                <w:szCs w:val="24"/>
                <w:lang w:val="ro-RO"/>
              </w:rPr>
            </w:pPr>
            <w:r w:rsidRPr="00F148AC">
              <w:rPr>
                <w:rFonts w:eastAsia="Calibri"/>
                <w:b/>
                <w:szCs w:val="24"/>
                <w:lang w:val="ro-RO"/>
              </w:rPr>
              <w:t>C</w:t>
            </w:r>
            <w:r w:rsidR="00A638C2" w:rsidRPr="00F148AC">
              <w:rPr>
                <w:rFonts w:eastAsia="Calibri"/>
                <w:b/>
                <w:szCs w:val="24"/>
                <w:lang w:val="ro-RO"/>
              </w:rPr>
              <w:t xml:space="preserve">. Alte modificări ale </w:t>
            </w:r>
            <w:r w:rsidR="000C4FE5" w:rsidRPr="00F148AC">
              <w:rPr>
                <w:rFonts w:eastAsia="Calibri"/>
                <w:b/>
                <w:szCs w:val="24"/>
                <w:lang w:val="ro-RO"/>
              </w:rPr>
              <w:t>Legii nr. 126/2018</w:t>
            </w:r>
            <w:r w:rsidR="00EB4121" w:rsidRPr="00F148AC">
              <w:rPr>
                <w:rFonts w:eastAsia="Calibri"/>
                <w:b/>
                <w:szCs w:val="24"/>
                <w:lang w:val="ro-RO"/>
              </w:rPr>
              <w:t xml:space="preserve">, </w:t>
            </w:r>
            <w:r w:rsidR="00EB4121" w:rsidRPr="00336CE1">
              <w:rPr>
                <w:b/>
                <w:szCs w:val="24"/>
                <w:lang w:val="ro-RO"/>
              </w:rPr>
              <w:t>cu modificările și completările ulterioare,</w:t>
            </w:r>
            <w:r w:rsidR="00A638C2" w:rsidRPr="00F148AC">
              <w:rPr>
                <w:rFonts w:eastAsia="Calibri"/>
                <w:b/>
                <w:szCs w:val="24"/>
                <w:lang w:val="ro-RO"/>
              </w:rPr>
              <w:t xml:space="preserve"> având ca scop îmbunătățirea reglementării</w:t>
            </w:r>
          </w:p>
          <w:p w:rsidR="007E2F3C" w:rsidRPr="00F148AC" w:rsidRDefault="007E2F3C" w:rsidP="00F87670">
            <w:pPr>
              <w:shd w:val="clear" w:color="auto" w:fill="FFFFFF"/>
              <w:suppressAutoHyphens/>
              <w:spacing w:after="160" w:line="240" w:lineRule="auto"/>
              <w:ind w:firstLine="0"/>
              <w:rPr>
                <w:bCs/>
                <w:szCs w:val="24"/>
                <w:lang w:val="ro-RO" w:eastAsia="zh-CN"/>
              </w:rPr>
            </w:pPr>
            <w:r w:rsidRPr="00F148AC">
              <w:rPr>
                <w:bCs/>
                <w:szCs w:val="24"/>
                <w:lang w:val="ro-RO" w:eastAsia="zh-CN"/>
              </w:rPr>
              <w:t xml:space="preserve">În vederea soluţionării unor aspecte identificate în activitatea curentă de autorizare şi supraveghere a S.S.I.F., prin același proiect legislativ se propun și alte modificări ale Legii nr. 126/2018, </w:t>
            </w:r>
            <w:r w:rsidR="00F43907" w:rsidRPr="00F148AC">
              <w:rPr>
                <w:szCs w:val="24"/>
                <w:lang w:val="ro-RO"/>
              </w:rPr>
              <w:t xml:space="preserve"> cu modificările și completările ulterioare,</w:t>
            </w:r>
            <w:r w:rsidRPr="00F148AC">
              <w:rPr>
                <w:bCs/>
                <w:szCs w:val="24"/>
                <w:lang w:val="ro-RO" w:eastAsia="zh-CN"/>
              </w:rPr>
              <w:t>în principal:</w:t>
            </w:r>
          </w:p>
          <w:p w:rsidR="007E2F3C" w:rsidRPr="00F148AC" w:rsidRDefault="007E2F3C" w:rsidP="00F87670">
            <w:pPr>
              <w:numPr>
                <w:ilvl w:val="0"/>
                <w:numId w:val="19"/>
              </w:numPr>
              <w:shd w:val="clear" w:color="auto" w:fill="FFFFFF"/>
              <w:suppressAutoHyphens/>
              <w:spacing w:after="160" w:line="240" w:lineRule="auto"/>
              <w:rPr>
                <w:bCs/>
                <w:szCs w:val="24"/>
                <w:lang w:val="ro-RO" w:eastAsia="zh-CN"/>
              </w:rPr>
            </w:pPr>
            <w:r w:rsidRPr="00F148AC">
              <w:rPr>
                <w:bCs/>
                <w:szCs w:val="24"/>
                <w:lang w:val="ro-RO" w:eastAsia="zh-CN"/>
              </w:rPr>
              <w:t>introducerea de prevederi aplicabile entităților cărora li s-a retras autorizația de funcționare ca S.S.I.F. prin care să se permită accesul A.S.F. la înregistrările prevăzute la art. 54 din lege;</w:t>
            </w:r>
          </w:p>
          <w:p w:rsidR="007E2F3C" w:rsidRPr="00F148AC" w:rsidRDefault="007E2F3C" w:rsidP="00126382">
            <w:pPr>
              <w:numPr>
                <w:ilvl w:val="0"/>
                <w:numId w:val="19"/>
              </w:numPr>
              <w:shd w:val="clear" w:color="auto" w:fill="FFFFFF"/>
              <w:suppressAutoHyphens/>
              <w:spacing w:after="160" w:line="240" w:lineRule="auto"/>
              <w:rPr>
                <w:bCs/>
                <w:szCs w:val="24"/>
                <w:lang w:val="ro-RO" w:eastAsia="zh-CN"/>
              </w:rPr>
            </w:pPr>
            <w:r w:rsidRPr="00F148AC">
              <w:rPr>
                <w:bCs/>
                <w:szCs w:val="24"/>
                <w:lang w:val="ro-RO" w:eastAsia="zh-CN"/>
              </w:rPr>
              <w:t>abrogarea prevederii referitoare la echivalarea automată de către A.S.F. a diplomelor, atestatelor şi certificatelor emise</w:t>
            </w:r>
            <w:r w:rsidR="006E462A">
              <w:rPr>
                <w:bCs/>
                <w:szCs w:val="24"/>
                <w:lang w:val="ro-RO" w:eastAsia="zh-CN"/>
              </w:rPr>
              <w:t xml:space="preserve"> de organismele internaţionale</w:t>
            </w:r>
            <w:r w:rsidR="00126382" w:rsidRPr="00126382">
              <w:rPr>
                <w:bCs/>
                <w:szCs w:val="24"/>
                <w:lang w:val="ro-RO" w:eastAsia="zh-CN"/>
              </w:rPr>
              <w:t>, întrucât A.S.F. poate recunoște anumite diplome/ atestate/ certificate internaționale în funcție de conținul curriculei și de cerințele ce</w:t>
            </w:r>
            <w:r w:rsidR="00126382">
              <w:rPr>
                <w:bCs/>
                <w:szCs w:val="24"/>
                <w:lang w:val="ro-RO" w:eastAsia="zh-CN"/>
              </w:rPr>
              <w:t xml:space="preserve"> provin din reglemenările A.S.F</w:t>
            </w:r>
            <w:r w:rsidR="006E462A">
              <w:rPr>
                <w:bCs/>
                <w:szCs w:val="24"/>
                <w:lang w:val="ro-RO" w:eastAsia="zh-CN"/>
              </w:rPr>
              <w:t>.</w:t>
            </w:r>
          </w:p>
          <w:p w:rsidR="007E2F3C" w:rsidRPr="00AC0A02" w:rsidRDefault="007E2F3C" w:rsidP="00F87670">
            <w:pPr>
              <w:shd w:val="clear" w:color="auto" w:fill="FFFFFF"/>
              <w:suppressAutoHyphens/>
              <w:spacing w:after="160" w:line="240" w:lineRule="auto"/>
              <w:ind w:firstLine="0"/>
              <w:rPr>
                <w:bCs/>
                <w:szCs w:val="24"/>
                <w:lang w:val="ro-RO" w:eastAsia="zh-CN"/>
              </w:rPr>
            </w:pPr>
            <w:r w:rsidRPr="00F148AC">
              <w:rPr>
                <w:bCs/>
                <w:szCs w:val="24"/>
                <w:lang w:val="ro-RO" w:eastAsia="zh-CN"/>
              </w:rPr>
              <w:t xml:space="preserve">De asemenea, întrucât prin </w:t>
            </w:r>
            <w:r w:rsidRPr="00F148AC">
              <w:rPr>
                <w:bCs/>
                <w:i/>
                <w:szCs w:val="24"/>
                <w:lang w:val="ro-RO" w:eastAsia="zh-CN"/>
              </w:rPr>
              <w:t>Regulamentul (UE) nr. 852/2020 din 18 iunie 2020 privind instituirea unui cadru care să faciliteze investițiile durabile și de modificare a Regulamentului (UE) 2019/2088</w:t>
            </w:r>
            <w:r w:rsidRPr="00F148AC">
              <w:rPr>
                <w:bCs/>
                <w:szCs w:val="24"/>
                <w:lang w:val="ro-RO" w:eastAsia="zh-CN"/>
              </w:rPr>
              <w:t xml:space="preserve">  se stabilește obligația statelor membre de a emite norme naționale în aplicarea art. 22 din acest regulament, prin acest proiect legislativ se stabilește regimul sancționatoriu național conform cerințelor acestuia.</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126382">
            <w:pPr>
              <w:spacing w:line="240" w:lineRule="auto"/>
              <w:rPr>
                <w:szCs w:val="24"/>
                <w:lang w:val="ro-RO"/>
              </w:rPr>
            </w:pPr>
            <w:r w:rsidRPr="00F148AC">
              <w:rPr>
                <w:b/>
                <w:szCs w:val="24"/>
                <w:lang w:val="ro-RO"/>
              </w:rPr>
              <w:lastRenderedPageBreak/>
              <w:t>3. Alte informaţii</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b/>
                <w:szCs w:val="24"/>
                <w:lang w:val="ro-RO"/>
              </w:rPr>
            </w:pPr>
            <w:r w:rsidRPr="00F148AC">
              <w:rPr>
                <w:b/>
                <w:szCs w:val="24"/>
                <w:lang w:val="ro-RO"/>
              </w:rPr>
              <w:t>Secţiunea a 3-a</w:t>
            </w:r>
          </w:p>
          <w:p w:rsidR="00A638C2" w:rsidRPr="00F148AC" w:rsidRDefault="00A638C2" w:rsidP="000E0B79">
            <w:pPr>
              <w:spacing w:line="240" w:lineRule="auto"/>
              <w:jc w:val="center"/>
              <w:rPr>
                <w:b/>
                <w:szCs w:val="24"/>
                <w:lang w:val="ro-RO"/>
              </w:rPr>
            </w:pPr>
            <w:r w:rsidRPr="00F148AC">
              <w:rPr>
                <w:b/>
                <w:szCs w:val="24"/>
                <w:lang w:val="ro-RO"/>
              </w:rPr>
              <w:t>Impactul socio-economic al proiectului de act normativ</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bCs/>
                <w:szCs w:val="24"/>
                <w:lang w:val="ro-RO"/>
              </w:rPr>
              <w:t>1. Impact macro-economic</w:t>
            </w:r>
          </w:p>
          <w:p w:rsidR="00A638C2" w:rsidRPr="00F148AC" w:rsidRDefault="00A638C2" w:rsidP="00F87670">
            <w:pPr>
              <w:spacing w:line="240" w:lineRule="auto"/>
              <w:rPr>
                <w:szCs w:val="24"/>
                <w:lang w:val="ro-RO"/>
              </w:rPr>
            </w:pPr>
            <w:r w:rsidRPr="00F148AC">
              <w:rPr>
                <w:szCs w:val="24"/>
                <w:lang w:val="ro-RO"/>
              </w:rPr>
              <w:t>Nu este cazul</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bCs/>
                <w:szCs w:val="24"/>
                <w:lang w:val="ro-RO"/>
              </w:rPr>
            </w:pPr>
            <w:r w:rsidRPr="00F148AC">
              <w:rPr>
                <w:b/>
                <w:bCs/>
                <w:szCs w:val="24"/>
                <w:lang w:val="ro-RO"/>
              </w:rPr>
              <w:t>1</w:t>
            </w:r>
            <w:r w:rsidRPr="00F148AC">
              <w:rPr>
                <w:b/>
                <w:bCs/>
                <w:szCs w:val="24"/>
                <w:vertAlign w:val="superscript"/>
                <w:lang w:val="ro-RO"/>
              </w:rPr>
              <w:t xml:space="preserve">1 </w:t>
            </w:r>
            <w:r w:rsidRPr="00F148AC">
              <w:rPr>
                <w:b/>
                <w:szCs w:val="24"/>
                <w:lang w:val="ro-RO"/>
              </w:rPr>
              <w:t>Impactul asupra mediului concurenţial şi domeniul ajutoarelor de stat</w:t>
            </w:r>
          </w:p>
          <w:p w:rsidR="00A638C2" w:rsidRPr="00F148AC" w:rsidRDefault="00A638C2" w:rsidP="00F87670">
            <w:pPr>
              <w:spacing w:line="240" w:lineRule="auto"/>
              <w:rPr>
                <w:szCs w:val="24"/>
                <w:lang w:val="ro-RO"/>
              </w:rPr>
            </w:pPr>
            <w:r w:rsidRPr="00F148AC">
              <w:rPr>
                <w:szCs w:val="24"/>
                <w:lang w:val="ro-RO"/>
              </w:rPr>
              <w:t>Nu este cazul</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bCs/>
                <w:szCs w:val="24"/>
                <w:lang w:val="ro-RO"/>
              </w:rPr>
              <w:t>2. Impact asupra mediului de afaceri</w:t>
            </w:r>
          </w:p>
          <w:p w:rsidR="00CF2B8D" w:rsidRPr="00F148AC" w:rsidRDefault="00A97DB7" w:rsidP="00F87670">
            <w:pPr>
              <w:spacing w:line="240" w:lineRule="auto"/>
              <w:rPr>
                <w:szCs w:val="24"/>
                <w:lang w:val="ro-RO"/>
              </w:rPr>
            </w:pPr>
            <w:r w:rsidRPr="00F148AC">
              <w:rPr>
                <w:szCs w:val="24"/>
                <w:lang w:val="ro-RO"/>
              </w:rPr>
              <w:t>Cu privire la modificările ce implică transferul autorizării și supravegherii furnizorilor de servicii de raportare a datelor, precum și transferul competențelor de colectare a datelor, de la autoritățile competente la Autoritatea Europeană pentru Valori Mobiliare și Piețe (AEVMP), acestea contribuie la realizarea obiectivului principal al Regulamentului (UE) nr. 600/2014 al Parlamentului European ș</w:t>
            </w:r>
            <w:r w:rsidR="004B5FE2" w:rsidRPr="00F148AC">
              <w:rPr>
                <w:szCs w:val="24"/>
                <w:lang w:val="ro-RO"/>
              </w:rPr>
              <w:t>i</w:t>
            </w:r>
            <w:r w:rsidRPr="00F148AC">
              <w:rPr>
                <w:szCs w:val="24"/>
                <w:lang w:val="ro-RO"/>
              </w:rPr>
              <w:t xml:space="preserve"> al Consiliului, și anume sporirea transparenței piețelor financiare, prin calitatea datelor de tranzacționare și a prelucrării și furnizării datelor respective, inclusiv a prelucrării și furnizării datelor la nivel transfrontalier. Astfel, existența unor date precise de tranzacționare oferă utilizatorilor o imagine de ansamblu a activităților de tranzacționare de pe toate piețele financiare din Uniune, iar autorităților competente informații precise și complete cu privire la tranzacțiile relevante.</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bCs/>
                <w:szCs w:val="24"/>
                <w:lang w:val="ro-RO"/>
              </w:rPr>
              <w:t>3. Impact social</w:t>
            </w:r>
          </w:p>
          <w:p w:rsidR="00A638C2" w:rsidRPr="00F148AC" w:rsidRDefault="00A638C2" w:rsidP="00F87670">
            <w:pPr>
              <w:spacing w:line="240" w:lineRule="auto"/>
              <w:rPr>
                <w:bCs/>
                <w:szCs w:val="24"/>
                <w:lang w:val="ro-RO"/>
              </w:rPr>
            </w:pPr>
            <w:r w:rsidRPr="00F148AC">
              <w:rPr>
                <w:bCs/>
                <w:szCs w:val="24"/>
                <w:lang w:val="ro-RO"/>
              </w:rPr>
              <w:t>Consolidarea încrederii investitorilor în piața de capital.</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bCs/>
                <w:szCs w:val="24"/>
                <w:lang w:val="ro-RO"/>
              </w:rPr>
            </w:pPr>
            <w:r w:rsidRPr="00F148AC">
              <w:rPr>
                <w:b/>
                <w:szCs w:val="24"/>
                <w:lang w:val="ro-RO"/>
              </w:rPr>
              <w:t>4. Impact asupra mediului</w:t>
            </w:r>
          </w:p>
          <w:p w:rsidR="00A638C2" w:rsidRPr="00F148AC" w:rsidRDefault="00A638C2" w:rsidP="00F87670">
            <w:pPr>
              <w:autoSpaceDE w:val="0"/>
              <w:spacing w:line="240" w:lineRule="auto"/>
              <w:rPr>
                <w:szCs w:val="24"/>
                <w:lang w:val="ro-RO"/>
              </w:rPr>
            </w:pPr>
            <w:r w:rsidRPr="00F148AC">
              <w:rPr>
                <w:bCs/>
                <w:szCs w:val="24"/>
                <w:lang w:val="ro-RO"/>
              </w:rPr>
              <w:t>Nu este cazul</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bCs/>
                <w:szCs w:val="24"/>
                <w:lang w:val="ro-RO"/>
              </w:rPr>
              <w:t>5. Alte informații</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b/>
                <w:szCs w:val="24"/>
                <w:lang w:val="ro-RO"/>
              </w:rPr>
            </w:pPr>
            <w:r w:rsidRPr="00F148AC">
              <w:rPr>
                <w:b/>
                <w:szCs w:val="24"/>
                <w:lang w:val="ro-RO"/>
              </w:rPr>
              <w:t>Secțiunea a 4-a</w:t>
            </w:r>
          </w:p>
          <w:p w:rsidR="00A638C2" w:rsidRPr="00F148AC" w:rsidRDefault="00A638C2" w:rsidP="00F87670">
            <w:pPr>
              <w:spacing w:line="240" w:lineRule="auto"/>
              <w:jc w:val="center"/>
              <w:rPr>
                <w:b/>
                <w:szCs w:val="24"/>
                <w:lang w:val="ro-RO"/>
              </w:rPr>
            </w:pPr>
            <w:r w:rsidRPr="00F148AC">
              <w:rPr>
                <w:b/>
                <w:szCs w:val="24"/>
                <w:lang w:val="ro-RO"/>
              </w:rPr>
              <w:t>Impactul financiar asupra bugetului general consolidat,</w:t>
            </w:r>
          </w:p>
          <w:p w:rsidR="00A638C2" w:rsidRPr="00F148AC" w:rsidRDefault="00A638C2" w:rsidP="00F87670">
            <w:pPr>
              <w:spacing w:line="240" w:lineRule="auto"/>
              <w:jc w:val="center"/>
              <w:rPr>
                <w:b/>
                <w:szCs w:val="24"/>
                <w:lang w:val="ro-RO"/>
              </w:rPr>
            </w:pPr>
            <w:r w:rsidRPr="00F148AC">
              <w:rPr>
                <w:b/>
                <w:szCs w:val="24"/>
                <w:lang w:val="ro-RO"/>
              </w:rPr>
              <w:t xml:space="preserve">atât pe termen scurt, pentru anul curent, cât şi pe termen lung </w:t>
            </w:r>
          </w:p>
          <w:p w:rsidR="00A638C2" w:rsidRPr="00F148AC" w:rsidRDefault="00A638C2" w:rsidP="00F87670">
            <w:pPr>
              <w:spacing w:line="240" w:lineRule="auto"/>
              <w:jc w:val="center"/>
              <w:rPr>
                <w:b/>
                <w:szCs w:val="24"/>
                <w:shd w:val="clear" w:color="auto" w:fill="FFFF00"/>
                <w:lang w:val="ro-RO"/>
              </w:rPr>
            </w:pPr>
            <w:r w:rsidRPr="00F148AC">
              <w:rPr>
                <w:b/>
                <w:szCs w:val="24"/>
                <w:lang w:val="ro-RO"/>
              </w:rPr>
              <w:t>(pe 5 ani)</w:t>
            </w:r>
          </w:p>
          <w:p w:rsidR="00A638C2" w:rsidRPr="00F148AC" w:rsidRDefault="00A638C2" w:rsidP="00F87670">
            <w:pPr>
              <w:spacing w:line="240" w:lineRule="auto"/>
              <w:rPr>
                <w:b/>
                <w:szCs w:val="24"/>
                <w:shd w:val="clear" w:color="auto" w:fill="FFFF00"/>
                <w:lang w:val="ro-RO"/>
              </w:rPr>
            </w:pP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right"/>
              <w:rPr>
                <w:szCs w:val="24"/>
                <w:lang w:val="ro-RO"/>
              </w:rPr>
            </w:pPr>
            <w:r w:rsidRPr="00F148AC">
              <w:rPr>
                <w:szCs w:val="24"/>
                <w:lang w:val="ro-RO"/>
              </w:rPr>
              <w:t>- în mii lei (RON) -</w:t>
            </w:r>
          </w:p>
        </w:tc>
      </w:tr>
      <w:tr w:rsidR="004B5FE2" w:rsidRPr="00F148AC" w:rsidTr="00E5418E">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Indicatori</w:t>
            </w:r>
          </w:p>
        </w:tc>
        <w:tc>
          <w:tcPr>
            <w:tcW w:w="1328"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 xml:space="preserve">Anul </w:t>
            </w:r>
            <w:r w:rsidRPr="00F148AC">
              <w:rPr>
                <w:szCs w:val="24"/>
                <w:lang w:val="ro-RO"/>
              </w:rPr>
              <w:lastRenderedPageBreak/>
              <w:t>curent</w:t>
            </w:r>
          </w:p>
        </w:tc>
        <w:tc>
          <w:tcPr>
            <w:tcW w:w="4252" w:type="dxa"/>
            <w:gridSpan w:val="4"/>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lastRenderedPageBreak/>
              <w:t>Următorii patru ani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M</w:t>
            </w:r>
            <w:r w:rsidRPr="00F148AC">
              <w:rPr>
                <w:szCs w:val="24"/>
                <w:lang w:val="ro-RO"/>
              </w:rPr>
              <w:lastRenderedPageBreak/>
              <w:t xml:space="preserve">edia pe patru ani </w:t>
            </w:r>
          </w:p>
        </w:tc>
      </w:tr>
      <w:tr w:rsidR="004B5FE2" w:rsidRPr="00F148AC" w:rsidTr="00E5418E">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lastRenderedPageBreak/>
              <w:t>1</w:t>
            </w:r>
          </w:p>
        </w:tc>
        <w:tc>
          <w:tcPr>
            <w:tcW w:w="1328"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2020</w:t>
            </w:r>
          </w:p>
        </w:tc>
        <w:tc>
          <w:tcPr>
            <w:tcW w:w="1026"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2021</w:t>
            </w:r>
          </w:p>
        </w:tc>
        <w:tc>
          <w:tcPr>
            <w:tcW w:w="1174"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2022</w:t>
            </w:r>
          </w:p>
        </w:tc>
        <w:tc>
          <w:tcPr>
            <w:tcW w:w="97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2023</w:t>
            </w:r>
          </w:p>
        </w:tc>
        <w:tc>
          <w:tcPr>
            <w:tcW w:w="1080"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szCs w:val="24"/>
                <w:lang w:val="ro-RO"/>
              </w:rPr>
            </w:pPr>
            <w:r w:rsidRPr="00F148AC">
              <w:rPr>
                <w:szCs w:val="24"/>
                <w:lang w:val="ro-RO"/>
              </w:rPr>
              <w:t>7</w:t>
            </w:r>
          </w:p>
        </w:tc>
      </w:tr>
      <w:tr w:rsidR="004B5FE2" w:rsidRPr="00F148AC" w:rsidTr="00E5418E">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rPr>
                <w:szCs w:val="24"/>
                <w:lang w:val="ro-RO"/>
              </w:rPr>
            </w:pPr>
            <w:r w:rsidRPr="00F148AC">
              <w:rPr>
                <w:szCs w:val="24"/>
                <w:lang w:val="ro-RO"/>
              </w:rPr>
              <w:t>1. Modificări ale veniturilor bugetare, în plus/minus, din care:</w:t>
            </w:r>
          </w:p>
          <w:p w:rsidR="00A638C2" w:rsidRPr="00F148AC" w:rsidRDefault="00A638C2" w:rsidP="00F87670">
            <w:pPr>
              <w:spacing w:line="240" w:lineRule="auto"/>
              <w:rPr>
                <w:szCs w:val="24"/>
                <w:lang w:val="ro-RO"/>
              </w:rPr>
            </w:pPr>
            <w:r w:rsidRPr="00F148AC">
              <w:rPr>
                <w:szCs w:val="24"/>
                <w:lang w:val="ro-RO"/>
              </w:rPr>
              <w:t>a) buget de stat, din acesta:</w:t>
            </w:r>
          </w:p>
          <w:p w:rsidR="00A638C2" w:rsidRPr="00F148AC" w:rsidRDefault="00A638C2" w:rsidP="00F87670">
            <w:pPr>
              <w:numPr>
                <w:ilvl w:val="0"/>
                <w:numId w:val="11"/>
              </w:numPr>
              <w:suppressAutoHyphens/>
              <w:spacing w:line="240" w:lineRule="auto"/>
              <w:ind w:left="0"/>
              <w:rPr>
                <w:szCs w:val="24"/>
                <w:lang w:val="ro-RO"/>
              </w:rPr>
            </w:pPr>
            <w:r w:rsidRPr="00F148AC">
              <w:rPr>
                <w:szCs w:val="24"/>
                <w:lang w:val="ro-RO"/>
              </w:rPr>
              <w:t>impozit pe profit</w:t>
            </w:r>
          </w:p>
          <w:p w:rsidR="00A638C2" w:rsidRPr="00F148AC" w:rsidRDefault="00A638C2" w:rsidP="00F87670">
            <w:pPr>
              <w:numPr>
                <w:ilvl w:val="0"/>
                <w:numId w:val="11"/>
              </w:numPr>
              <w:suppressAutoHyphens/>
              <w:spacing w:line="240" w:lineRule="auto"/>
              <w:ind w:left="0"/>
              <w:rPr>
                <w:szCs w:val="24"/>
                <w:lang w:val="ro-RO"/>
              </w:rPr>
            </w:pPr>
            <w:r w:rsidRPr="00F148AC">
              <w:rPr>
                <w:szCs w:val="24"/>
                <w:lang w:val="ro-RO"/>
              </w:rPr>
              <w:t>impozit pe venit</w:t>
            </w:r>
          </w:p>
          <w:p w:rsidR="00A638C2" w:rsidRPr="00F148AC" w:rsidRDefault="00A638C2" w:rsidP="00F87670">
            <w:pPr>
              <w:numPr>
                <w:ilvl w:val="0"/>
                <w:numId w:val="11"/>
              </w:numPr>
              <w:suppressAutoHyphens/>
              <w:spacing w:line="240" w:lineRule="auto"/>
              <w:ind w:left="0"/>
              <w:rPr>
                <w:szCs w:val="24"/>
                <w:lang w:val="ro-RO"/>
              </w:rPr>
            </w:pPr>
            <w:r w:rsidRPr="00F148AC">
              <w:rPr>
                <w:szCs w:val="24"/>
                <w:lang w:val="ro-RO"/>
              </w:rPr>
              <w:t>TVA</w:t>
            </w:r>
          </w:p>
          <w:p w:rsidR="00A638C2" w:rsidRPr="00F148AC" w:rsidRDefault="00A638C2" w:rsidP="00F87670">
            <w:pPr>
              <w:spacing w:line="240" w:lineRule="auto"/>
              <w:rPr>
                <w:szCs w:val="24"/>
                <w:lang w:val="ro-RO"/>
              </w:rPr>
            </w:pPr>
            <w:r w:rsidRPr="00F148AC">
              <w:rPr>
                <w:szCs w:val="24"/>
                <w:lang w:val="ro-RO"/>
              </w:rPr>
              <w:t>b) bugete locale</w:t>
            </w:r>
          </w:p>
          <w:p w:rsidR="00A638C2" w:rsidRPr="00F148AC" w:rsidRDefault="00A638C2" w:rsidP="00F87670">
            <w:pPr>
              <w:numPr>
                <w:ilvl w:val="0"/>
                <w:numId w:val="12"/>
              </w:numPr>
              <w:suppressAutoHyphens/>
              <w:spacing w:line="240" w:lineRule="auto"/>
              <w:ind w:left="0"/>
              <w:rPr>
                <w:szCs w:val="24"/>
                <w:lang w:val="ro-RO"/>
              </w:rPr>
            </w:pPr>
            <w:r w:rsidRPr="00F148AC">
              <w:rPr>
                <w:szCs w:val="24"/>
                <w:lang w:val="ro-RO"/>
              </w:rPr>
              <w:t>impozit pe profit</w:t>
            </w:r>
          </w:p>
          <w:p w:rsidR="00A638C2" w:rsidRPr="00F148AC" w:rsidRDefault="00A638C2" w:rsidP="00F87670">
            <w:pPr>
              <w:spacing w:line="240" w:lineRule="auto"/>
              <w:rPr>
                <w:szCs w:val="24"/>
                <w:lang w:val="ro-RO"/>
              </w:rPr>
            </w:pPr>
            <w:r w:rsidRPr="00F148AC">
              <w:rPr>
                <w:szCs w:val="24"/>
                <w:lang w:val="ro-RO"/>
              </w:rPr>
              <w:t>c) bugetul asigurărilor sociale de stat:</w:t>
            </w:r>
          </w:p>
          <w:p w:rsidR="00A638C2" w:rsidRPr="00F148AC" w:rsidRDefault="00A638C2" w:rsidP="00F87670">
            <w:pPr>
              <w:numPr>
                <w:ilvl w:val="0"/>
                <w:numId w:val="9"/>
              </w:numPr>
              <w:suppressAutoHyphens/>
              <w:spacing w:line="240" w:lineRule="auto"/>
              <w:ind w:left="0"/>
              <w:rPr>
                <w:szCs w:val="24"/>
                <w:lang w:val="ro-RO"/>
              </w:rPr>
            </w:pPr>
            <w:r w:rsidRPr="00F148AC">
              <w:rPr>
                <w:szCs w:val="24"/>
                <w:lang w:val="ro-RO"/>
              </w:rPr>
              <w:t>contribuţii de asigurări</w:t>
            </w:r>
          </w:p>
        </w:tc>
        <w:tc>
          <w:tcPr>
            <w:tcW w:w="1328"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p w:rsidR="00A638C2" w:rsidRPr="00F148AC" w:rsidRDefault="00A638C2" w:rsidP="00F87670">
            <w:pPr>
              <w:spacing w:line="240" w:lineRule="auto"/>
              <w:rPr>
                <w:szCs w:val="24"/>
                <w:lang w:val="ro-RO"/>
              </w:rPr>
            </w:pPr>
          </w:p>
          <w:p w:rsidR="00A638C2" w:rsidRPr="00F148AC" w:rsidRDefault="00A638C2" w:rsidP="00F87670">
            <w:pPr>
              <w:spacing w:line="240" w:lineRule="auto"/>
              <w:rPr>
                <w:szCs w:val="24"/>
                <w:lang w:val="ro-RO"/>
              </w:rPr>
            </w:pPr>
          </w:p>
        </w:tc>
        <w:tc>
          <w:tcPr>
            <w:tcW w:w="1026"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pStyle w:val="Header"/>
              <w:tabs>
                <w:tab w:val="left" w:pos="720"/>
              </w:tabs>
              <w:snapToGrid w:val="0"/>
              <w:spacing w:line="240" w:lineRule="auto"/>
              <w:jc w:val="center"/>
              <w:rPr>
                <w:szCs w:val="24"/>
                <w:lang w:val="ro-RO"/>
              </w:rPr>
            </w:pPr>
          </w:p>
        </w:tc>
        <w:tc>
          <w:tcPr>
            <w:tcW w:w="1174"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97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r>
      <w:tr w:rsidR="004B5FE2" w:rsidRPr="00F148AC" w:rsidTr="00E5418E">
        <w:trPr>
          <w:trHeight w:val="344"/>
        </w:trPr>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rPr>
                <w:szCs w:val="24"/>
                <w:lang w:val="ro-RO"/>
              </w:rPr>
            </w:pPr>
            <w:r w:rsidRPr="00F148AC">
              <w:rPr>
                <w:bCs/>
                <w:szCs w:val="24"/>
                <w:lang w:val="ro-RO"/>
              </w:rPr>
              <w:t xml:space="preserve">2. </w:t>
            </w:r>
            <w:r w:rsidRPr="00F148AC">
              <w:rPr>
                <w:szCs w:val="24"/>
                <w:lang w:val="ro-RO"/>
              </w:rPr>
              <w:t>Modificări ale cheltuielilor bugetare, în plus, din care:</w:t>
            </w:r>
          </w:p>
          <w:p w:rsidR="00A638C2" w:rsidRPr="00F148AC" w:rsidRDefault="00A638C2" w:rsidP="00F87670">
            <w:pPr>
              <w:spacing w:line="240" w:lineRule="auto"/>
              <w:rPr>
                <w:szCs w:val="24"/>
                <w:lang w:val="ro-RO"/>
              </w:rPr>
            </w:pPr>
            <w:r w:rsidRPr="00F148AC">
              <w:rPr>
                <w:szCs w:val="24"/>
                <w:lang w:val="ro-RO"/>
              </w:rPr>
              <w:t>a) buget de stat, din acesta:</w:t>
            </w:r>
          </w:p>
          <w:p w:rsidR="00A638C2" w:rsidRPr="00F148AC" w:rsidRDefault="00A638C2" w:rsidP="00F87670">
            <w:pPr>
              <w:numPr>
                <w:ilvl w:val="0"/>
                <w:numId w:val="8"/>
              </w:numPr>
              <w:suppressAutoHyphens/>
              <w:spacing w:line="240" w:lineRule="auto"/>
              <w:ind w:left="0"/>
              <w:rPr>
                <w:szCs w:val="24"/>
                <w:lang w:val="ro-RO"/>
              </w:rPr>
            </w:pPr>
            <w:r w:rsidRPr="00F148AC">
              <w:rPr>
                <w:szCs w:val="24"/>
                <w:lang w:val="ro-RO"/>
              </w:rPr>
              <w:t>cheltuieli de personal</w:t>
            </w:r>
          </w:p>
          <w:p w:rsidR="00A638C2" w:rsidRPr="00F148AC" w:rsidRDefault="00A638C2" w:rsidP="00F87670">
            <w:pPr>
              <w:numPr>
                <w:ilvl w:val="0"/>
                <w:numId w:val="8"/>
              </w:numPr>
              <w:suppressAutoHyphens/>
              <w:spacing w:line="240" w:lineRule="auto"/>
              <w:ind w:left="0"/>
              <w:rPr>
                <w:szCs w:val="24"/>
                <w:lang w:val="ro-RO"/>
              </w:rPr>
            </w:pPr>
            <w:r w:rsidRPr="00F148AC">
              <w:rPr>
                <w:szCs w:val="24"/>
                <w:lang w:val="ro-RO"/>
              </w:rPr>
              <w:t>bunuri şi servicii</w:t>
            </w:r>
          </w:p>
          <w:p w:rsidR="00A638C2" w:rsidRPr="00F148AC" w:rsidRDefault="00A638C2" w:rsidP="00F87670">
            <w:pPr>
              <w:numPr>
                <w:ilvl w:val="0"/>
                <w:numId w:val="8"/>
              </w:numPr>
              <w:suppressAutoHyphens/>
              <w:spacing w:line="240" w:lineRule="auto"/>
              <w:ind w:left="0"/>
              <w:rPr>
                <w:szCs w:val="24"/>
                <w:lang w:val="ro-RO"/>
              </w:rPr>
            </w:pPr>
            <w:r w:rsidRPr="00F148AC">
              <w:rPr>
                <w:szCs w:val="24"/>
                <w:lang w:val="ro-RO"/>
              </w:rPr>
              <w:t>asistenţă socială</w:t>
            </w:r>
          </w:p>
          <w:p w:rsidR="00A638C2" w:rsidRPr="00F148AC" w:rsidRDefault="00A638C2" w:rsidP="00F87670">
            <w:pPr>
              <w:spacing w:line="240" w:lineRule="auto"/>
              <w:rPr>
                <w:szCs w:val="24"/>
                <w:lang w:val="ro-RO"/>
              </w:rPr>
            </w:pPr>
            <w:r w:rsidRPr="00F148AC">
              <w:rPr>
                <w:szCs w:val="24"/>
                <w:lang w:val="ro-RO"/>
              </w:rPr>
              <w:t>b) bugete locale:</w:t>
            </w:r>
          </w:p>
          <w:p w:rsidR="00A638C2" w:rsidRPr="00F148AC" w:rsidRDefault="00A638C2" w:rsidP="00F87670">
            <w:pPr>
              <w:numPr>
                <w:ilvl w:val="0"/>
                <w:numId w:val="14"/>
              </w:numPr>
              <w:suppressAutoHyphens/>
              <w:spacing w:line="240" w:lineRule="auto"/>
              <w:ind w:left="0"/>
              <w:rPr>
                <w:szCs w:val="24"/>
                <w:lang w:val="ro-RO"/>
              </w:rPr>
            </w:pPr>
            <w:r w:rsidRPr="00F148AC">
              <w:rPr>
                <w:szCs w:val="24"/>
                <w:lang w:val="ro-RO"/>
              </w:rPr>
              <w:t>cheltuieli de personal</w:t>
            </w:r>
          </w:p>
          <w:p w:rsidR="00A638C2" w:rsidRPr="00F148AC" w:rsidRDefault="00A638C2" w:rsidP="00F87670">
            <w:pPr>
              <w:numPr>
                <w:ilvl w:val="0"/>
                <w:numId w:val="14"/>
              </w:numPr>
              <w:suppressAutoHyphens/>
              <w:spacing w:line="240" w:lineRule="auto"/>
              <w:ind w:left="0"/>
              <w:rPr>
                <w:szCs w:val="24"/>
                <w:lang w:val="ro-RO"/>
              </w:rPr>
            </w:pPr>
            <w:r w:rsidRPr="00F148AC">
              <w:rPr>
                <w:szCs w:val="24"/>
                <w:lang w:val="ro-RO"/>
              </w:rPr>
              <w:t>bunuri şi servicii</w:t>
            </w:r>
          </w:p>
          <w:p w:rsidR="00A638C2" w:rsidRPr="00F148AC" w:rsidRDefault="00A638C2" w:rsidP="00F87670">
            <w:pPr>
              <w:numPr>
                <w:ilvl w:val="0"/>
                <w:numId w:val="14"/>
              </w:numPr>
              <w:suppressAutoHyphens/>
              <w:spacing w:line="240" w:lineRule="auto"/>
              <w:ind w:left="0"/>
              <w:rPr>
                <w:szCs w:val="24"/>
                <w:lang w:val="ro-RO"/>
              </w:rPr>
            </w:pPr>
            <w:r w:rsidRPr="00F148AC">
              <w:rPr>
                <w:szCs w:val="24"/>
                <w:lang w:val="ro-RO"/>
              </w:rPr>
              <w:t>asistenţă socială</w:t>
            </w:r>
          </w:p>
          <w:p w:rsidR="00A638C2" w:rsidRPr="00F148AC" w:rsidRDefault="00A638C2" w:rsidP="00F87670">
            <w:pPr>
              <w:spacing w:line="240" w:lineRule="auto"/>
              <w:rPr>
                <w:szCs w:val="24"/>
                <w:lang w:val="ro-RO"/>
              </w:rPr>
            </w:pPr>
            <w:r w:rsidRPr="00F148AC">
              <w:rPr>
                <w:szCs w:val="24"/>
                <w:lang w:val="ro-RO"/>
              </w:rPr>
              <w:t>c) bugetul asigurărilor sociale de stat:</w:t>
            </w:r>
          </w:p>
          <w:p w:rsidR="00A638C2" w:rsidRPr="00F148AC" w:rsidRDefault="00A638C2" w:rsidP="00F87670">
            <w:pPr>
              <w:numPr>
                <w:ilvl w:val="0"/>
                <w:numId w:val="13"/>
              </w:numPr>
              <w:suppressAutoHyphens/>
              <w:spacing w:line="240" w:lineRule="auto"/>
              <w:ind w:left="0"/>
              <w:rPr>
                <w:szCs w:val="24"/>
                <w:lang w:val="ro-RO"/>
              </w:rPr>
            </w:pPr>
            <w:r w:rsidRPr="00F148AC">
              <w:rPr>
                <w:szCs w:val="24"/>
                <w:lang w:val="ro-RO"/>
              </w:rPr>
              <w:t>cheltuieli de personal</w:t>
            </w:r>
          </w:p>
          <w:p w:rsidR="00A638C2" w:rsidRPr="00F148AC" w:rsidRDefault="00A638C2" w:rsidP="00F87670">
            <w:pPr>
              <w:numPr>
                <w:ilvl w:val="0"/>
                <w:numId w:val="13"/>
              </w:numPr>
              <w:suppressAutoHyphens/>
              <w:spacing w:line="240" w:lineRule="auto"/>
              <w:ind w:left="0"/>
              <w:rPr>
                <w:bCs/>
                <w:szCs w:val="24"/>
                <w:lang w:val="ro-RO"/>
              </w:rPr>
            </w:pPr>
            <w:r w:rsidRPr="00F148AC">
              <w:rPr>
                <w:szCs w:val="24"/>
                <w:lang w:val="ro-RO"/>
              </w:rPr>
              <w:t>bunuri şi servicii</w:t>
            </w:r>
          </w:p>
        </w:tc>
        <w:tc>
          <w:tcPr>
            <w:tcW w:w="1328"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p w:rsidR="00A638C2" w:rsidRPr="00F148AC" w:rsidRDefault="00A638C2" w:rsidP="00F87670">
            <w:pPr>
              <w:spacing w:line="240" w:lineRule="auto"/>
              <w:rPr>
                <w:szCs w:val="24"/>
                <w:lang w:val="ro-RO"/>
              </w:rPr>
            </w:pPr>
          </w:p>
          <w:p w:rsidR="00A638C2" w:rsidRPr="00F148AC" w:rsidRDefault="00A638C2" w:rsidP="00F87670">
            <w:pPr>
              <w:spacing w:line="240" w:lineRule="auto"/>
              <w:rPr>
                <w:szCs w:val="24"/>
                <w:lang w:val="ro-RO"/>
              </w:rPr>
            </w:pPr>
          </w:p>
          <w:p w:rsidR="00A638C2" w:rsidRPr="00F148AC" w:rsidRDefault="00A638C2" w:rsidP="00F87670">
            <w:pPr>
              <w:spacing w:line="240" w:lineRule="auto"/>
              <w:rPr>
                <w:szCs w:val="24"/>
                <w:lang w:val="ro-RO"/>
              </w:rPr>
            </w:pPr>
          </w:p>
          <w:p w:rsidR="00A638C2" w:rsidRPr="00F148AC" w:rsidRDefault="00A638C2" w:rsidP="00F87670">
            <w:pPr>
              <w:spacing w:line="240" w:lineRule="auto"/>
              <w:rPr>
                <w:szCs w:val="24"/>
                <w:lang w:val="ro-RO"/>
              </w:rPr>
            </w:pPr>
          </w:p>
          <w:p w:rsidR="00A638C2" w:rsidRPr="00F148AC" w:rsidRDefault="00A638C2" w:rsidP="00F87670">
            <w:pPr>
              <w:spacing w:line="240" w:lineRule="auto"/>
              <w:rPr>
                <w:szCs w:val="24"/>
                <w:lang w:val="ro-RO"/>
              </w:rPr>
            </w:pPr>
          </w:p>
          <w:p w:rsidR="00A638C2" w:rsidRPr="00F148AC" w:rsidRDefault="00A638C2" w:rsidP="00F87670">
            <w:pPr>
              <w:spacing w:line="240" w:lineRule="auto"/>
              <w:rPr>
                <w:b/>
                <w:szCs w:val="24"/>
                <w:lang w:val="ro-RO"/>
              </w:rPr>
            </w:pPr>
          </w:p>
          <w:p w:rsidR="00A638C2" w:rsidRPr="00F148AC" w:rsidRDefault="00A638C2" w:rsidP="00F87670">
            <w:pPr>
              <w:spacing w:line="240" w:lineRule="auto"/>
              <w:rPr>
                <w:b/>
                <w:szCs w:val="24"/>
                <w:lang w:val="ro-RO"/>
              </w:rPr>
            </w:pPr>
          </w:p>
          <w:p w:rsidR="00A638C2" w:rsidRPr="00F148AC" w:rsidRDefault="00A638C2" w:rsidP="00F87670">
            <w:pPr>
              <w:spacing w:line="240" w:lineRule="auto"/>
              <w:rPr>
                <w:b/>
                <w:szCs w:val="24"/>
                <w:lang w:val="ro-RO"/>
              </w:rPr>
            </w:pPr>
          </w:p>
          <w:p w:rsidR="00A638C2" w:rsidRPr="00F148AC" w:rsidRDefault="00A638C2" w:rsidP="00F87670">
            <w:pPr>
              <w:spacing w:line="240" w:lineRule="auto"/>
              <w:rPr>
                <w:b/>
                <w:szCs w:val="24"/>
                <w:lang w:val="ro-RO"/>
              </w:rPr>
            </w:pPr>
          </w:p>
          <w:p w:rsidR="00A638C2" w:rsidRPr="00F148AC" w:rsidRDefault="00A638C2" w:rsidP="00F87670">
            <w:pPr>
              <w:spacing w:line="240" w:lineRule="auto"/>
              <w:rPr>
                <w:b/>
                <w:szCs w:val="24"/>
                <w:lang w:val="ro-RO"/>
              </w:rPr>
            </w:pPr>
          </w:p>
          <w:p w:rsidR="00A638C2" w:rsidRPr="00F148AC" w:rsidRDefault="00A638C2" w:rsidP="00F87670">
            <w:pPr>
              <w:spacing w:line="240" w:lineRule="auto"/>
              <w:rPr>
                <w:b/>
                <w:szCs w:val="24"/>
                <w:lang w:val="ro-RO"/>
              </w:rPr>
            </w:pPr>
          </w:p>
        </w:tc>
        <w:tc>
          <w:tcPr>
            <w:tcW w:w="1026"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pStyle w:val="Header"/>
              <w:tabs>
                <w:tab w:val="left" w:pos="720"/>
              </w:tabs>
              <w:snapToGrid w:val="0"/>
              <w:spacing w:line="240" w:lineRule="auto"/>
              <w:jc w:val="center"/>
              <w:rPr>
                <w:szCs w:val="24"/>
                <w:lang w:val="ro-RO"/>
              </w:rPr>
            </w:pPr>
          </w:p>
          <w:p w:rsidR="00A638C2" w:rsidRPr="00F148AC" w:rsidRDefault="00A638C2" w:rsidP="00F87670">
            <w:pPr>
              <w:pStyle w:val="Header"/>
              <w:tabs>
                <w:tab w:val="left" w:pos="720"/>
              </w:tabs>
              <w:spacing w:line="240" w:lineRule="auto"/>
              <w:jc w:val="center"/>
              <w:rPr>
                <w:szCs w:val="24"/>
                <w:lang w:val="ro-RO"/>
              </w:rPr>
            </w:pPr>
          </w:p>
          <w:p w:rsidR="00A638C2" w:rsidRPr="00F148AC" w:rsidRDefault="00A638C2" w:rsidP="00F87670">
            <w:pPr>
              <w:pStyle w:val="Header"/>
              <w:tabs>
                <w:tab w:val="left" w:pos="720"/>
              </w:tabs>
              <w:spacing w:line="240" w:lineRule="auto"/>
              <w:jc w:val="center"/>
              <w:rPr>
                <w:szCs w:val="24"/>
                <w:lang w:val="ro-RO"/>
              </w:rPr>
            </w:pPr>
          </w:p>
          <w:p w:rsidR="00A638C2" w:rsidRPr="00F148AC" w:rsidRDefault="00A638C2" w:rsidP="00F87670">
            <w:pPr>
              <w:pStyle w:val="Header"/>
              <w:tabs>
                <w:tab w:val="left" w:pos="720"/>
              </w:tabs>
              <w:spacing w:line="240" w:lineRule="auto"/>
              <w:jc w:val="center"/>
              <w:rPr>
                <w:szCs w:val="24"/>
                <w:lang w:val="ro-RO"/>
              </w:rPr>
            </w:pPr>
          </w:p>
          <w:p w:rsidR="00A638C2" w:rsidRPr="00F148AC" w:rsidRDefault="00A638C2" w:rsidP="00F87670">
            <w:pPr>
              <w:pStyle w:val="Header"/>
              <w:tabs>
                <w:tab w:val="left" w:pos="720"/>
              </w:tabs>
              <w:spacing w:line="240" w:lineRule="auto"/>
              <w:jc w:val="center"/>
              <w:rPr>
                <w:szCs w:val="24"/>
                <w:lang w:val="ro-RO"/>
              </w:rPr>
            </w:pPr>
          </w:p>
          <w:p w:rsidR="00A638C2" w:rsidRPr="00F148AC" w:rsidRDefault="00A638C2" w:rsidP="00F87670">
            <w:pPr>
              <w:pStyle w:val="Header"/>
              <w:tabs>
                <w:tab w:val="left" w:pos="720"/>
              </w:tabs>
              <w:spacing w:line="240" w:lineRule="auto"/>
              <w:jc w:val="center"/>
              <w:rPr>
                <w:szCs w:val="24"/>
                <w:lang w:val="ro-RO"/>
              </w:rPr>
            </w:pPr>
          </w:p>
          <w:p w:rsidR="00A638C2" w:rsidRPr="00F148AC" w:rsidRDefault="00A638C2" w:rsidP="00F87670">
            <w:pPr>
              <w:pStyle w:val="Header"/>
              <w:tabs>
                <w:tab w:val="left" w:pos="720"/>
              </w:tabs>
              <w:spacing w:line="240" w:lineRule="auto"/>
              <w:jc w:val="center"/>
              <w:rPr>
                <w:szCs w:val="24"/>
                <w:lang w:val="ro-RO"/>
              </w:rPr>
            </w:pPr>
          </w:p>
          <w:p w:rsidR="00A638C2" w:rsidRPr="00F148AC" w:rsidRDefault="00A638C2" w:rsidP="00F87670">
            <w:pPr>
              <w:pStyle w:val="Header"/>
              <w:tabs>
                <w:tab w:val="left" w:pos="720"/>
              </w:tabs>
              <w:spacing w:line="240" w:lineRule="auto"/>
              <w:jc w:val="center"/>
              <w:rPr>
                <w:szCs w:val="24"/>
                <w:lang w:val="ro-RO"/>
              </w:rPr>
            </w:pPr>
          </w:p>
          <w:p w:rsidR="00A638C2" w:rsidRPr="00F148AC" w:rsidRDefault="00A638C2" w:rsidP="00F87670">
            <w:pPr>
              <w:pStyle w:val="Header"/>
              <w:tabs>
                <w:tab w:val="left" w:pos="720"/>
              </w:tabs>
              <w:spacing w:line="240" w:lineRule="auto"/>
              <w:jc w:val="center"/>
              <w:rPr>
                <w:b/>
                <w:szCs w:val="24"/>
                <w:lang w:val="ro-RO"/>
              </w:rPr>
            </w:pPr>
          </w:p>
          <w:p w:rsidR="00A638C2" w:rsidRPr="00F148AC" w:rsidRDefault="00A638C2" w:rsidP="00F87670">
            <w:pPr>
              <w:pStyle w:val="Header"/>
              <w:tabs>
                <w:tab w:val="left" w:pos="720"/>
              </w:tabs>
              <w:spacing w:line="240" w:lineRule="auto"/>
              <w:jc w:val="center"/>
              <w:rPr>
                <w:b/>
                <w:szCs w:val="24"/>
                <w:lang w:val="ro-RO"/>
              </w:rPr>
            </w:pPr>
          </w:p>
          <w:p w:rsidR="00A638C2" w:rsidRPr="00F148AC" w:rsidRDefault="00A638C2" w:rsidP="00F87670">
            <w:pPr>
              <w:pStyle w:val="Header"/>
              <w:tabs>
                <w:tab w:val="left" w:pos="720"/>
              </w:tabs>
              <w:spacing w:line="240" w:lineRule="auto"/>
              <w:jc w:val="center"/>
              <w:rPr>
                <w:b/>
                <w:szCs w:val="24"/>
                <w:lang w:val="ro-RO"/>
              </w:rPr>
            </w:pPr>
          </w:p>
          <w:p w:rsidR="00A638C2" w:rsidRPr="00F148AC" w:rsidRDefault="00A638C2" w:rsidP="00F87670">
            <w:pPr>
              <w:pStyle w:val="Header"/>
              <w:tabs>
                <w:tab w:val="left" w:pos="720"/>
              </w:tabs>
              <w:spacing w:line="240" w:lineRule="auto"/>
              <w:jc w:val="center"/>
              <w:rPr>
                <w:b/>
                <w:szCs w:val="24"/>
                <w:lang w:val="ro-RO"/>
              </w:rPr>
            </w:pPr>
          </w:p>
          <w:p w:rsidR="00A638C2" w:rsidRPr="00F148AC" w:rsidRDefault="00A638C2" w:rsidP="00F87670">
            <w:pPr>
              <w:pStyle w:val="Header"/>
              <w:tabs>
                <w:tab w:val="left" w:pos="720"/>
              </w:tabs>
              <w:spacing w:line="240" w:lineRule="auto"/>
              <w:jc w:val="center"/>
              <w:rPr>
                <w:szCs w:val="24"/>
                <w:lang w:val="ro-RO"/>
              </w:rPr>
            </w:pPr>
          </w:p>
        </w:tc>
        <w:tc>
          <w:tcPr>
            <w:tcW w:w="1174"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97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r>
      <w:tr w:rsidR="004B5FE2" w:rsidRPr="00F148AC" w:rsidTr="00E5418E">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rPr>
                <w:szCs w:val="24"/>
                <w:lang w:val="ro-RO"/>
              </w:rPr>
            </w:pPr>
            <w:r w:rsidRPr="00F148AC">
              <w:rPr>
                <w:bCs/>
                <w:szCs w:val="24"/>
                <w:lang w:val="ro-RO"/>
              </w:rPr>
              <w:t xml:space="preserve">3. </w:t>
            </w:r>
            <w:r w:rsidRPr="00F148AC">
              <w:rPr>
                <w:szCs w:val="24"/>
                <w:lang w:val="ro-RO"/>
              </w:rPr>
              <w:t>Impact financiar, plus/minus, din care:</w:t>
            </w:r>
          </w:p>
          <w:p w:rsidR="00A638C2" w:rsidRPr="00F148AC" w:rsidRDefault="00A638C2" w:rsidP="00F87670">
            <w:pPr>
              <w:spacing w:line="240" w:lineRule="auto"/>
              <w:rPr>
                <w:szCs w:val="24"/>
                <w:lang w:val="ro-RO"/>
              </w:rPr>
            </w:pPr>
            <w:r w:rsidRPr="00F148AC">
              <w:rPr>
                <w:szCs w:val="24"/>
                <w:lang w:val="ro-RO"/>
              </w:rPr>
              <w:t>a)buget de stat</w:t>
            </w:r>
          </w:p>
          <w:p w:rsidR="00A638C2" w:rsidRPr="00F148AC" w:rsidRDefault="00A638C2" w:rsidP="00F87670">
            <w:pPr>
              <w:spacing w:line="240" w:lineRule="auto"/>
              <w:rPr>
                <w:szCs w:val="24"/>
                <w:lang w:val="ro-RO"/>
              </w:rPr>
            </w:pPr>
            <w:r w:rsidRPr="00F148AC">
              <w:rPr>
                <w:szCs w:val="24"/>
                <w:lang w:val="ro-RO"/>
              </w:rPr>
              <w:t>b) bugete locale</w:t>
            </w:r>
          </w:p>
        </w:tc>
        <w:tc>
          <w:tcPr>
            <w:tcW w:w="1328"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p w:rsidR="00A638C2" w:rsidRPr="00F148AC" w:rsidRDefault="00A638C2" w:rsidP="00F87670">
            <w:pPr>
              <w:spacing w:line="240" w:lineRule="auto"/>
              <w:rPr>
                <w:szCs w:val="24"/>
                <w:lang w:val="ro-RO"/>
              </w:rPr>
            </w:pPr>
          </w:p>
          <w:p w:rsidR="00A638C2" w:rsidRPr="00F148AC" w:rsidRDefault="00A638C2" w:rsidP="00F87670">
            <w:pPr>
              <w:spacing w:line="240" w:lineRule="auto"/>
              <w:rPr>
                <w:szCs w:val="24"/>
                <w:lang w:val="ro-RO"/>
              </w:rPr>
            </w:pPr>
          </w:p>
        </w:tc>
        <w:tc>
          <w:tcPr>
            <w:tcW w:w="1026"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pStyle w:val="Header"/>
              <w:tabs>
                <w:tab w:val="left" w:pos="720"/>
              </w:tabs>
              <w:snapToGrid w:val="0"/>
              <w:spacing w:line="240" w:lineRule="auto"/>
              <w:jc w:val="center"/>
              <w:rPr>
                <w:szCs w:val="24"/>
                <w:lang w:val="ro-RO"/>
              </w:rPr>
            </w:pPr>
          </w:p>
        </w:tc>
        <w:tc>
          <w:tcPr>
            <w:tcW w:w="1174"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97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napToGrid w:val="0"/>
              <w:spacing w:line="240" w:lineRule="auto"/>
              <w:jc w:val="right"/>
              <w:rPr>
                <w:szCs w:val="24"/>
                <w:lang w:val="ro-RO"/>
              </w:rPr>
            </w:pPr>
          </w:p>
        </w:tc>
      </w:tr>
      <w:tr w:rsidR="004B5FE2" w:rsidRPr="00F148AC" w:rsidTr="00E5418E">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rPr>
                <w:szCs w:val="24"/>
                <w:lang w:val="ro-RO"/>
              </w:rPr>
            </w:pPr>
            <w:r w:rsidRPr="00F148AC">
              <w:rPr>
                <w:bCs/>
                <w:szCs w:val="24"/>
                <w:lang w:val="ro-RO"/>
              </w:rPr>
              <w:t>4.</w:t>
            </w:r>
            <w:r w:rsidRPr="00F148AC">
              <w:rPr>
                <w:szCs w:val="24"/>
                <w:lang w:val="ro-RO"/>
              </w:rPr>
              <w:t xml:space="preserve"> Propuneri pentru acoperirea creşterii cheltuielilor bugetare</w:t>
            </w:r>
          </w:p>
        </w:tc>
        <w:tc>
          <w:tcPr>
            <w:tcW w:w="1328"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1026"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1174"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97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napToGrid w:val="0"/>
              <w:spacing w:line="240" w:lineRule="auto"/>
              <w:rPr>
                <w:szCs w:val="24"/>
                <w:lang w:val="ro-RO"/>
              </w:rPr>
            </w:pPr>
          </w:p>
        </w:tc>
      </w:tr>
      <w:tr w:rsidR="004B5FE2" w:rsidRPr="00F148AC" w:rsidTr="00E5418E">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rPr>
                <w:szCs w:val="24"/>
                <w:lang w:val="ro-RO"/>
              </w:rPr>
            </w:pPr>
            <w:r w:rsidRPr="00F148AC">
              <w:rPr>
                <w:szCs w:val="24"/>
                <w:lang w:val="ro-RO"/>
              </w:rPr>
              <w:t>5. Propuneri pentru a compensa reducerea veniturilor bugetare</w:t>
            </w:r>
          </w:p>
        </w:tc>
        <w:tc>
          <w:tcPr>
            <w:tcW w:w="1328"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1026"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1174"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97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napToGrid w:val="0"/>
              <w:spacing w:line="240" w:lineRule="auto"/>
              <w:rPr>
                <w:szCs w:val="24"/>
                <w:lang w:val="ro-R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napToGrid w:val="0"/>
              <w:spacing w:line="240" w:lineRule="auto"/>
              <w:rPr>
                <w:szCs w:val="24"/>
                <w:lang w:val="ro-RO"/>
              </w:rPr>
            </w:pPr>
          </w:p>
        </w:tc>
      </w:tr>
      <w:tr w:rsidR="004B5FE2" w:rsidRPr="00F148AC" w:rsidTr="00E5418E">
        <w:trPr>
          <w:trHeight w:val="558"/>
        </w:trPr>
        <w:tc>
          <w:tcPr>
            <w:tcW w:w="3912" w:type="dxa"/>
            <w:tcBorders>
              <w:top w:val="single" w:sz="4" w:space="0" w:color="000000"/>
              <w:left w:val="single" w:sz="4" w:space="0" w:color="000000"/>
              <w:bottom w:val="single" w:sz="4" w:space="0" w:color="000000"/>
            </w:tcBorders>
            <w:shd w:val="clear" w:color="auto" w:fill="auto"/>
          </w:tcPr>
          <w:p w:rsidR="00A638C2" w:rsidRPr="00F148AC" w:rsidRDefault="00A638C2" w:rsidP="00F87670">
            <w:pPr>
              <w:spacing w:line="240" w:lineRule="auto"/>
              <w:rPr>
                <w:szCs w:val="24"/>
                <w:lang w:val="ro-RO"/>
              </w:rPr>
            </w:pPr>
            <w:r w:rsidRPr="00F148AC">
              <w:rPr>
                <w:szCs w:val="24"/>
                <w:lang w:val="ro-RO"/>
              </w:rPr>
              <w:t>6. Calcule detaliate privind fundamentarea modificărilor veniturilor şi/sau cheltuielilor bugetare</w:t>
            </w:r>
          </w:p>
        </w:tc>
        <w:tc>
          <w:tcPr>
            <w:tcW w:w="6573" w:type="dxa"/>
            <w:gridSpan w:val="6"/>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napToGrid w:val="0"/>
              <w:spacing w:line="240" w:lineRule="auto"/>
              <w:rPr>
                <w:szCs w:val="24"/>
                <w:lang w:val="ro-RO"/>
              </w:rPr>
            </w:pP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Alte informaţii</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b/>
                <w:szCs w:val="24"/>
                <w:lang w:val="ro-RO"/>
              </w:rPr>
            </w:pPr>
            <w:r w:rsidRPr="00F148AC">
              <w:rPr>
                <w:b/>
                <w:szCs w:val="24"/>
                <w:lang w:val="ro-RO"/>
              </w:rPr>
              <w:t>Secţiunea a 5-a</w:t>
            </w:r>
          </w:p>
          <w:p w:rsidR="00A638C2" w:rsidRPr="00F148AC" w:rsidRDefault="00A638C2" w:rsidP="00F87670">
            <w:pPr>
              <w:spacing w:line="240" w:lineRule="auto"/>
              <w:jc w:val="center"/>
              <w:rPr>
                <w:szCs w:val="24"/>
                <w:lang w:val="ro-RO"/>
              </w:rPr>
            </w:pPr>
            <w:r w:rsidRPr="00F148AC">
              <w:rPr>
                <w:b/>
                <w:szCs w:val="24"/>
                <w:lang w:val="ro-RO"/>
              </w:rPr>
              <w:t xml:space="preserve">Efectele proiectului de act normativ asupra </w:t>
            </w:r>
            <w:r w:rsidR="00AC0A02" w:rsidRPr="00F148AC">
              <w:rPr>
                <w:b/>
                <w:szCs w:val="24"/>
                <w:lang w:val="ro-RO"/>
              </w:rPr>
              <w:t>legislației</w:t>
            </w:r>
            <w:r w:rsidRPr="00F148AC">
              <w:rPr>
                <w:b/>
                <w:szCs w:val="24"/>
                <w:lang w:val="ro-RO"/>
              </w:rPr>
              <w:t xml:space="preserve"> în vigoare</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pStyle w:val="PreformatatHTML1"/>
              <w:jc w:val="both"/>
              <w:rPr>
                <w:rFonts w:ascii="Times New Roman" w:hAnsi="Times New Roman" w:cs="Times New Roman"/>
                <w:b/>
                <w:sz w:val="24"/>
                <w:szCs w:val="24"/>
                <w:lang w:val="ro-RO"/>
              </w:rPr>
            </w:pPr>
            <w:r w:rsidRPr="00F148AC">
              <w:rPr>
                <w:rFonts w:ascii="Times New Roman" w:hAnsi="Times New Roman" w:cs="Times New Roman"/>
                <w:b/>
                <w:sz w:val="24"/>
                <w:szCs w:val="24"/>
                <w:lang w:val="ro-RO"/>
              </w:rPr>
              <w:t>1. Măsuri normative necesare pentru aplicarea prevederilor proiectului de act normativ:</w:t>
            </w:r>
          </w:p>
          <w:p w:rsidR="00A638C2" w:rsidRPr="00F148AC" w:rsidRDefault="00A638C2" w:rsidP="00F87670">
            <w:pPr>
              <w:pStyle w:val="PreformatatHTML1"/>
              <w:jc w:val="both"/>
              <w:rPr>
                <w:rFonts w:ascii="Times New Roman" w:hAnsi="Times New Roman" w:cs="Times New Roman"/>
                <w:sz w:val="24"/>
                <w:szCs w:val="24"/>
                <w:lang w:val="ro-RO"/>
              </w:rPr>
            </w:pPr>
            <w:r w:rsidRPr="00F148AC">
              <w:rPr>
                <w:rFonts w:ascii="Times New Roman" w:hAnsi="Times New Roman" w:cs="Times New Roman"/>
                <w:b/>
                <w:sz w:val="24"/>
                <w:szCs w:val="24"/>
                <w:lang w:val="ro-RO"/>
              </w:rPr>
              <w:t>a) acte normative în vigoare ce vor fi modificate sau abrogate, ca urmare a intrării în vigoare a proiectului de act normativ:</w:t>
            </w:r>
          </w:p>
          <w:p w:rsidR="00A638C2" w:rsidRPr="00F148AC" w:rsidRDefault="00A638C2" w:rsidP="00F87670">
            <w:pPr>
              <w:spacing w:line="240" w:lineRule="auto"/>
              <w:rPr>
                <w:szCs w:val="24"/>
                <w:lang w:val="ro-RO"/>
              </w:rPr>
            </w:pPr>
            <w:r w:rsidRPr="00F148AC">
              <w:rPr>
                <w:szCs w:val="24"/>
                <w:lang w:val="ro-RO"/>
              </w:rPr>
              <w:t xml:space="preserve">Proiectul de act normativ modifică, completează și abrogă unele prevederi din legislația primară în domeniul </w:t>
            </w:r>
            <w:r w:rsidR="0090743B" w:rsidRPr="00F148AC">
              <w:rPr>
                <w:szCs w:val="24"/>
                <w:lang w:val="ro-RO"/>
              </w:rPr>
              <w:t>S.S.I.F.</w:t>
            </w:r>
            <w:r w:rsidRPr="00F148AC">
              <w:rPr>
                <w:szCs w:val="24"/>
                <w:lang w:val="ro-RO"/>
              </w:rPr>
              <w:t xml:space="preserve">, respectiv </w:t>
            </w:r>
            <w:r w:rsidR="0090743B" w:rsidRPr="00F148AC">
              <w:rPr>
                <w:szCs w:val="24"/>
                <w:lang w:val="ro-RO"/>
              </w:rPr>
              <w:t>Legea nr. 126/2018</w:t>
            </w:r>
            <w:r w:rsidR="00F43907" w:rsidRPr="00F148AC">
              <w:rPr>
                <w:szCs w:val="24"/>
                <w:lang w:val="ro-RO"/>
              </w:rPr>
              <w:t>, cu modifică</w:t>
            </w:r>
            <w:r w:rsidR="00AC0A02">
              <w:rPr>
                <w:szCs w:val="24"/>
                <w:lang w:val="ro-RO"/>
              </w:rPr>
              <w:t>rile și completările ulterioare</w:t>
            </w:r>
            <w:r w:rsidRPr="00F148AC">
              <w:rPr>
                <w:szCs w:val="24"/>
                <w:lang w:val="ro-RO"/>
              </w:rPr>
              <w:t xml:space="preserve">. </w:t>
            </w:r>
          </w:p>
          <w:p w:rsidR="00A638C2" w:rsidRPr="00F148AC" w:rsidRDefault="00A638C2" w:rsidP="00F87670">
            <w:pPr>
              <w:pStyle w:val="PreformatatHTML1"/>
              <w:jc w:val="both"/>
              <w:rPr>
                <w:rFonts w:ascii="Times New Roman" w:hAnsi="Times New Roman" w:cs="Times New Roman"/>
                <w:sz w:val="24"/>
                <w:szCs w:val="24"/>
                <w:lang w:val="ro-RO"/>
              </w:rPr>
            </w:pPr>
            <w:r w:rsidRPr="00F148AC">
              <w:rPr>
                <w:rFonts w:ascii="Times New Roman" w:hAnsi="Times New Roman" w:cs="Times New Roman"/>
                <w:b/>
                <w:sz w:val="24"/>
                <w:szCs w:val="24"/>
                <w:lang w:val="ro-RO"/>
              </w:rPr>
              <w:lastRenderedPageBreak/>
              <w:t>b) acte normative ce urmează a fi elaborate în vederea implementării noilor dispoziţii:</w:t>
            </w:r>
          </w:p>
          <w:p w:rsidR="00CF2B8D" w:rsidRPr="00F148AC" w:rsidRDefault="00B66C93" w:rsidP="00F87670">
            <w:pPr>
              <w:pStyle w:val="PreformatatHTML1"/>
              <w:jc w:val="both"/>
              <w:rPr>
                <w:rFonts w:ascii="Times New Roman" w:hAnsi="Times New Roman" w:cs="Times New Roman"/>
                <w:sz w:val="24"/>
                <w:szCs w:val="24"/>
                <w:lang w:val="ro-RO"/>
              </w:rPr>
            </w:pPr>
            <w:r w:rsidRPr="00F148AC">
              <w:rPr>
                <w:rFonts w:ascii="Times New Roman" w:hAnsi="Times New Roman" w:cs="Times New Roman"/>
                <w:sz w:val="24"/>
                <w:szCs w:val="24"/>
                <w:lang w:val="ro-RO"/>
              </w:rPr>
              <w:t xml:space="preserve">          A.S.F.</w:t>
            </w:r>
            <w:r w:rsidR="00A638C2" w:rsidRPr="00F148AC">
              <w:rPr>
                <w:rFonts w:ascii="Times New Roman" w:hAnsi="Times New Roman" w:cs="Times New Roman"/>
                <w:sz w:val="24"/>
                <w:szCs w:val="24"/>
                <w:lang w:val="ro-RO"/>
              </w:rPr>
              <w:t xml:space="preserve"> urmează să emită reglementări pentru modificarea și completarea cadrului legislativ secundar aplicabil </w:t>
            </w:r>
            <w:r w:rsidRPr="00F148AC">
              <w:rPr>
                <w:rFonts w:ascii="Times New Roman" w:hAnsi="Times New Roman" w:cs="Times New Roman"/>
                <w:sz w:val="24"/>
                <w:szCs w:val="24"/>
                <w:lang w:val="ro-RO"/>
              </w:rPr>
              <w:t>S.S.I.F.</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b/>
                <w:szCs w:val="24"/>
                <w:lang w:val="ro-RO"/>
              </w:rPr>
            </w:pPr>
            <w:r w:rsidRPr="00F148AC">
              <w:rPr>
                <w:b/>
                <w:szCs w:val="24"/>
                <w:lang w:val="ro-RO"/>
              </w:rPr>
              <w:lastRenderedPageBreak/>
              <w:t xml:space="preserve">2. Conformitatea proiectului de act normativ cu legislația comunitară în materie în cazul proiectelor ce transpun prevederi comunitare </w:t>
            </w:r>
          </w:p>
          <w:p w:rsidR="00111B94" w:rsidRPr="00F148AC" w:rsidRDefault="00A638C2" w:rsidP="00F87670">
            <w:pPr>
              <w:spacing w:line="240" w:lineRule="auto"/>
              <w:rPr>
                <w:szCs w:val="24"/>
                <w:lang w:val="ro-RO"/>
              </w:rPr>
            </w:pPr>
            <w:r w:rsidRPr="00F148AC">
              <w:rPr>
                <w:szCs w:val="24"/>
                <w:lang w:val="ro-RO"/>
              </w:rPr>
              <w:t>Proiectul de act normativ asigură transpunerea, la nivel de legislație primară, a prevederilor cuprinse în</w:t>
            </w:r>
            <w:r w:rsidR="00111B94" w:rsidRPr="00F148AC">
              <w:rPr>
                <w:szCs w:val="24"/>
                <w:lang w:val="ro-RO"/>
              </w:rPr>
              <w:t>:</w:t>
            </w:r>
          </w:p>
          <w:p w:rsidR="00111B94" w:rsidRPr="00F148AC" w:rsidRDefault="00111B94" w:rsidP="00F87670">
            <w:pPr>
              <w:pStyle w:val="NormalWeb"/>
              <w:numPr>
                <w:ilvl w:val="0"/>
                <w:numId w:val="15"/>
              </w:numPr>
              <w:spacing w:before="0" w:after="0"/>
              <w:jc w:val="both"/>
              <w:rPr>
                <w:shd w:val="clear" w:color="auto" w:fill="FFFFFF"/>
                <w:lang w:val="ro-RO"/>
              </w:rPr>
            </w:pPr>
            <w:r w:rsidRPr="00F148AC">
              <w:rPr>
                <w:lang w:val="ro-RO"/>
              </w:rPr>
              <w:t>Directiva (UE) 2019/2177 a Parlamentului European și a Consiliului din 18 decembrie 2019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w:t>
            </w:r>
            <w:r w:rsidR="00B66C93" w:rsidRPr="00F148AC">
              <w:rPr>
                <w:lang w:val="ro-RO"/>
              </w:rPr>
              <w:t>lor sau finanțării terorismului</w:t>
            </w:r>
            <w:r w:rsidRPr="00F148AC">
              <w:rPr>
                <w:shd w:val="clear" w:color="auto" w:fill="FFFFFF"/>
                <w:lang w:val="ro-RO"/>
              </w:rPr>
              <w:t>;</w:t>
            </w:r>
          </w:p>
          <w:p w:rsidR="00111B94" w:rsidRPr="00F148AC" w:rsidRDefault="00111B94" w:rsidP="00F87670">
            <w:pPr>
              <w:pStyle w:val="NormalWeb"/>
              <w:numPr>
                <w:ilvl w:val="0"/>
                <w:numId w:val="15"/>
              </w:numPr>
              <w:spacing w:before="0" w:after="0"/>
              <w:jc w:val="both"/>
              <w:rPr>
                <w:shd w:val="clear" w:color="auto" w:fill="FFFFFF"/>
                <w:lang w:val="ro-RO"/>
              </w:rPr>
            </w:pPr>
            <w:r w:rsidRPr="00F148AC">
              <w:rPr>
                <w:lang w:val="ro-RO"/>
              </w:rPr>
              <w:t xml:space="preserve">Directiva (UE) 2020/1504 a Parlamentului European și a Consiliului din 7 octombrie 2020 </w:t>
            </w:r>
            <w:r w:rsidRPr="00F148AC">
              <w:rPr>
                <w:shd w:val="clear" w:color="auto" w:fill="FFFFFF"/>
                <w:lang w:val="ro-RO"/>
              </w:rPr>
              <w:t xml:space="preserve">de </w:t>
            </w:r>
            <w:r w:rsidRPr="00F148AC">
              <w:rPr>
                <w:lang w:val="ro-RO"/>
              </w:rPr>
              <w:t>modificare a Directivei 2014/65/UE privind pi</w:t>
            </w:r>
            <w:r w:rsidR="00B66C93" w:rsidRPr="00F148AC">
              <w:rPr>
                <w:lang w:val="ro-RO"/>
              </w:rPr>
              <w:t>ețele instrumentelor financiare</w:t>
            </w:r>
            <w:r w:rsidRPr="00F148AC">
              <w:rPr>
                <w:i/>
                <w:lang w:val="ro-RO"/>
              </w:rPr>
              <w:t>.</w:t>
            </w:r>
          </w:p>
          <w:p w:rsidR="00A638C2" w:rsidRPr="00F148AC" w:rsidRDefault="00A638C2" w:rsidP="00F87670">
            <w:pPr>
              <w:spacing w:line="240" w:lineRule="auto"/>
              <w:rPr>
                <w:szCs w:val="24"/>
                <w:lang w:val="ro-RO"/>
              </w:rPr>
            </w:pPr>
            <w:r w:rsidRPr="00F148AC">
              <w:rPr>
                <w:szCs w:val="24"/>
                <w:lang w:val="ro-RO"/>
              </w:rPr>
              <w:t xml:space="preserve">Modificările propuse care nu au un corespondent în legislaţia Uniunii Europene şi care vizează îmbunătățirea reglementării existente nu ridică probleme din perspectiva compatibilității cu </w:t>
            </w:r>
            <w:r w:rsidRPr="00AC0A02">
              <w:rPr>
                <w:i/>
                <w:szCs w:val="24"/>
                <w:lang w:val="ro-RO"/>
              </w:rPr>
              <w:t>acquis</w:t>
            </w:r>
            <w:r w:rsidRPr="00F148AC">
              <w:rPr>
                <w:szCs w:val="24"/>
                <w:lang w:val="ro-RO"/>
              </w:rPr>
              <w:t xml:space="preserve">-ul Uniunii Europene.  </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3. Măsuri normative necesare aplicării directe a actelor normative comunitare</w:t>
            </w:r>
            <w:r w:rsidRPr="00F148AC">
              <w:rPr>
                <w:szCs w:val="24"/>
                <w:lang w:val="ro-RO"/>
              </w:rPr>
              <w:t>.</w:t>
            </w:r>
          </w:p>
          <w:p w:rsidR="00A638C2" w:rsidRPr="00F148AC" w:rsidRDefault="00A638C2" w:rsidP="00F87670">
            <w:pPr>
              <w:spacing w:line="240" w:lineRule="auto"/>
              <w:rPr>
                <w:szCs w:val="24"/>
                <w:lang w:val="ro-RO"/>
              </w:rPr>
            </w:pPr>
            <w:r w:rsidRPr="00F148AC">
              <w:rPr>
                <w:szCs w:val="24"/>
                <w:lang w:val="ro-RO"/>
              </w:rPr>
              <w:t>Nu este cazul.</w:t>
            </w:r>
          </w:p>
        </w:tc>
      </w:tr>
      <w:tr w:rsidR="004B5FE2" w:rsidRPr="00F148AC" w:rsidTr="00E5418E">
        <w:trPr>
          <w:cantSplit/>
          <w:trHeight w:val="651"/>
        </w:trPr>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4. Hotărâri ale Curţii de Justiţie a Uniunii Europene</w:t>
            </w:r>
          </w:p>
          <w:p w:rsidR="00A638C2" w:rsidRPr="00F148AC" w:rsidRDefault="00A638C2" w:rsidP="00F87670">
            <w:pPr>
              <w:pStyle w:val="c01pointnumerotealtn"/>
              <w:spacing w:before="0" w:beforeAutospacing="0" w:after="0"/>
              <w:ind w:left="539"/>
              <w:rPr>
                <w:u w:val="single"/>
                <w:lang w:val="ro-RO"/>
              </w:rPr>
            </w:pPr>
            <w:r w:rsidRPr="00F148AC">
              <w:rPr>
                <w:lang w:val="ro-RO"/>
              </w:rPr>
              <w:t>Nu este cazul.</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5.</w:t>
            </w:r>
            <w:r w:rsidRPr="00F148AC">
              <w:rPr>
                <w:b/>
                <w:bCs/>
                <w:szCs w:val="24"/>
                <w:lang w:val="ro-RO"/>
              </w:rPr>
              <w:t xml:space="preserve"> Alte acte normative şi sau documente internaţionale din care decurg angajamente</w:t>
            </w:r>
          </w:p>
          <w:p w:rsidR="00A638C2" w:rsidRPr="00F148AC" w:rsidRDefault="00A638C2" w:rsidP="00F87670">
            <w:pPr>
              <w:spacing w:line="240" w:lineRule="auto"/>
              <w:rPr>
                <w:szCs w:val="24"/>
                <w:lang w:val="ro-RO"/>
              </w:rPr>
            </w:pPr>
            <w:r w:rsidRPr="00F148AC">
              <w:rPr>
                <w:szCs w:val="24"/>
                <w:lang w:val="ro-RO"/>
              </w:rPr>
              <w:t>Nu este cazul.</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b/>
                <w:szCs w:val="24"/>
                <w:lang w:val="ro-RO"/>
              </w:rPr>
            </w:pPr>
            <w:r w:rsidRPr="00F148AC">
              <w:rPr>
                <w:b/>
                <w:szCs w:val="24"/>
                <w:lang w:val="ro-RO"/>
              </w:rPr>
              <w:t>6. Alte informaţii</w:t>
            </w:r>
          </w:p>
          <w:p w:rsidR="00A638C2" w:rsidRPr="00F148AC" w:rsidRDefault="00A638C2" w:rsidP="00F87670">
            <w:pPr>
              <w:spacing w:line="240" w:lineRule="auto"/>
              <w:rPr>
                <w:szCs w:val="24"/>
                <w:lang w:val="ro-RO"/>
              </w:rPr>
            </w:pPr>
            <w:r w:rsidRPr="00F148AC">
              <w:rPr>
                <w:szCs w:val="24"/>
                <w:lang w:val="ro-RO"/>
              </w:rPr>
              <w:t>Nu este cazul.</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b/>
                <w:szCs w:val="24"/>
                <w:lang w:val="ro-RO"/>
              </w:rPr>
            </w:pPr>
            <w:r w:rsidRPr="00F148AC">
              <w:rPr>
                <w:b/>
                <w:szCs w:val="24"/>
                <w:lang w:val="ro-RO"/>
              </w:rPr>
              <w:t>Secţiunea a 6-a</w:t>
            </w:r>
          </w:p>
          <w:p w:rsidR="00A638C2" w:rsidRPr="00F148AC" w:rsidRDefault="00A638C2" w:rsidP="00F87670">
            <w:pPr>
              <w:spacing w:line="240" w:lineRule="auto"/>
              <w:jc w:val="center"/>
              <w:rPr>
                <w:szCs w:val="24"/>
                <w:lang w:val="ro-RO"/>
              </w:rPr>
            </w:pPr>
            <w:r w:rsidRPr="00F148AC">
              <w:rPr>
                <w:b/>
                <w:szCs w:val="24"/>
                <w:lang w:val="ro-RO"/>
              </w:rPr>
              <w:t>Consultările efectuate în vederea elaborării proiectului de act normativ</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Default="00A638C2" w:rsidP="00F87670">
            <w:pPr>
              <w:spacing w:line="240" w:lineRule="auto"/>
              <w:rPr>
                <w:b/>
                <w:szCs w:val="24"/>
                <w:lang w:val="ro-RO"/>
              </w:rPr>
            </w:pPr>
            <w:r w:rsidRPr="00F148AC">
              <w:rPr>
                <w:b/>
                <w:szCs w:val="24"/>
                <w:lang w:val="ro-RO"/>
              </w:rPr>
              <w:t>1. Informaţii privind procesul de consultare cu organizațiile neguvernamentale, institute de cercetare şi alte organisme implicate</w:t>
            </w:r>
          </w:p>
          <w:p w:rsidR="00392B66" w:rsidRPr="006E462A" w:rsidRDefault="00392B66" w:rsidP="00392B66">
            <w:pPr>
              <w:rPr>
                <w:lang w:val="fr-FR"/>
              </w:rPr>
            </w:pPr>
            <w:r w:rsidRPr="006E462A">
              <w:rPr>
                <w:szCs w:val="24"/>
                <w:lang w:val="fr-FR"/>
              </w:rPr>
              <w:t>Prezentul proiect de lege va fi publicat, pentru consultare publică, pe site-ul Ministerului Finanțelor.</w:t>
            </w:r>
          </w:p>
          <w:p w:rsidR="00AC0A02" w:rsidRPr="00F148AC" w:rsidRDefault="00AC0A02" w:rsidP="00F87670">
            <w:pPr>
              <w:spacing w:line="240" w:lineRule="auto"/>
              <w:rPr>
                <w:szCs w:val="24"/>
                <w:lang w:val="ro-RO"/>
              </w:rPr>
            </w:pP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b/>
                <w:bCs/>
                <w:szCs w:val="24"/>
                <w:lang w:val="ro-RO"/>
              </w:rPr>
            </w:pPr>
            <w:r w:rsidRPr="00F148AC">
              <w:rPr>
                <w:b/>
                <w:bCs/>
                <w:szCs w:val="24"/>
                <w:lang w:val="ro-RO"/>
              </w:rPr>
              <w:t>2. Fundamentarea alegerii organizațiilor cu care a avut loc consultarea precum şi a modului în care activitatea acestor organizații este legată de obiectul proiectului de act normativ</w:t>
            </w:r>
          </w:p>
          <w:p w:rsidR="00A638C2" w:rsidRDefault="00AC0A02" w:rsidP="00F87670">
            <w:pPr>
              <w:spacing w:line="240" w:lineRule="auto"/>
              <w:rPr>
                <w:szCs w:val="24"/>
                <w:lang w:val="ro-RO"/>
              </w:rPr>
            </w:pPr>
            <w:r w:rsidRPr="00F148AC">
              <w:rPr>
                <w:szCs w:val="24"/>
                <w:lang w:val="ro-RO"/>
              </w:rPr>
              <w:t>Nu este cazul.</w:t>
            </w:r>
          </w:p>
          <w:p w:rsidR="00B879F1" w:rsidRPr="00F148AC" w:rsidRDefault="00B879F1" w:rsidP="00F87670">
            <w:pPr>
              <w:spacing w:line="240" w:lineRule="auto"/>
              <w:rPr>
                <w:bCs/>
                <w:szCs w:val="24"/>
                <w:lang w:val="ro-RO"/>
              </w:rPr>
            </w:pP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Default="00A638C2" w:rsidP="00F87670">
            <w:pPr>
              <w:spacing w:line="240" w:lineRule="auto"/>
              <w:rPr>
                <w:b/>
                <w:bCs/>
                <w:szCs w:val="24"/>
                <w:lang w:val="ro-RO"/>
              </w:rPr>
            </w:pPr>
            <w:r w:rsidRPr="00F148AC">
              <w:rPr>
                <w:b/>
                <w:szCs w:val="24"/>
                <w:lang w:val="ro-RO"/>
              </w:rPr>
              <w:t xml:space="preserve">3. Consultările organizate cu autorităţile </w:t>
            </w:r>
            <w:r w:rsidRPr="00F148AC">
              <w:rPr>
                <w:b/>
                <w:bCs/>
                <w:szCs w:val="24"/>
                <w:lang w:val="ro-RO"/>
              </w:rPr>
              <w:t xml:space="preserve">administraţiei </w:t>
            </w:r>
            <w:r w:rsidRPr="00F148AC">
              <w:rPr>
                <w:b/>
                <w:szCs w:val="24"/>
                <w:lang w:val="ro-RO"/>
              </w:rPr>
              <w:t xml:space="preserve">publice locale, în situaţia în care proiectul de act normativ are ca obiect activităţi ale acestor autorităţi, în condiţiile Hotărârii Guvernului nr.521/2005 </w:t>
            </w:r>
            <w:r w:rsidRPr="00F148AC">
              <w:rPr>
                <w:b/>
                <w:bCs/>
                <w:szCs w:val="24"/>
                <w:lang w:val="ro-RO"/>
              </w:rPr>
              <w:t>privind procedura de consultare a structurilor asociative ale autorităţilor administraţiei publice locale la elaborarea proiectelor de acte normative.</w:t>
            </w:r>
          </w:p>
          <w:p w:rsidR="00AC0A02" w:rsidRPr="00F148AC" w:rsidRDefault="00AC0A02" w:rsidP="00F87670">
            <w:pPr>
              <w:spacing w:line="240" w:lineRule="auto"/>
              <w:rPr>
                <w:b/>
                <w:bCs/>
                <w:szCs w:val="24"/>
                <w:lang w:val="ro-RO"/>
              </w:rPr>
            </w:pPr>
            <w:r w:rsidRPr="00F148AC">
              <w:rPr>
                <w:szCs w:val="24"/>
                <w:lang w:val="ro-RO"/>
              </w:rPr>
              <w:t>Nu este cazul.</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4. Consultările desfăşurate în cadrul consiliilor interministeriale în conformitate cu prevederile Hotărârii Guvernului nr. 750/2005 privind constituirea consiliilor interministeriale permanente</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autoSpaceDE w:val="0"/>
              <w:spacing w:line="240" w:lineRule="auto"/>
              <w:rPr>
                <w:b/>
                <w:szCs w:val="24"/>
                <w:lang w:val="ro-RO"/>
              </w:rPr>
            </w:pPr>
            <w:r w:rsidRPr="00F148AC">
              <w:rPr>
                <w:b/>
                <w:szCs w:val="24"/>
                <w:lang w:val="ro-RO"/>
              </w:rPr>
              <w:t>5.</w:t>
            </w:r>
            <w:r w:rsidRPr="00F148AC">
              <w:rPr>
                <w:b/>
                <w:bCs/>
                <w:szCs w:val="24"/>
                <w:lang w:val="ro-RO"/>
              </w:rPr>
              <w:t xml:space="preserve"> Informaţii privind avizarea de către</w:t>
            </w:r>
            <w:r w:rsidRPr="00F148AC">
              <w:rPr>
                <w:b/>
                <w:szCs w:val="24"/>
                <w:lang w:val="ro-RO"/>
              </w:rPr>
              <w:t>:</w:t>
            </w:r>
          </w:p>
          <w:p w:rsidR="00A638C2" w:rsidRPr="00F148AC" w:rsidRDefault="00A638C2" w:rsidP="00F87670">
            <w:pPr>
              <w:tabs>
                <w:tab w:val="left" w:pos="6195"/>
              </w:tabs>
              <w:autoSpaceDE w:val="0"/>
              <w:spacing w:line="240" w:lineRule="auto"/>
              <w:rPr>
                <w:b/>
                <w:szCs w:val="24"/>
                <w:lang w:val="ro-RO"/>
              </w:rPr>
            </w:pPr>
            <w:r w:rsidRPr="00F148AC">
              <w:rPr>
                <w:b/>
                <w:szCs w:val="24"/>
                <w:lang w:val="ro-RO"/>
              </w:rPr>
              <w:t>a) Consiliul Legislativ</w:t>
            </w:r>
            <w:r w:rsidR="006E462A">
              <w:rPr>
                <w:b/>
                <w:szCs w:val="24"/>
                <w:lang w:val="ro-RO"/>
              </w:rPr>
              <w:t xml:space="preserve"> - </w:t>
            </w:r>
            <w:r w:rsidR="00392B66" w:rsidRPr="006E462A">
              <w:rPr>
                <w:szCs w:val="24"/>
                <w:lang w:val="fr-FR"/>
              </w:rPr>
              <w:t>Proiectul de lege va fi supus avizării Consiliului Legislativ.</w:t>
            </w:r>
          </w:p>
          <w:p w:rsidR="00A638C2" w:rsidRPr="00F148AC" w:rsidRDefault="00A638C2" w:rsidP="00F87670">
            <w:pPr>
              <w:autoSpaceDE w:val="0"/>
              <w:spacing w:line="240" w:lineRule="auto"/>
              <w:rPr>
                <w:b/>
                <w:szCs w:val="24"/>
                <w:lang w:val="ro-RO"/>
              </w:rPr>
            </w:pPr>
            <w:r w:rsidRPr="00F148AC">
              <w:rPr>
                <w:b/>
                <w:szCs w:val="24"/>
                <w:lang w:val="ro-RO"/>
              </w:rPr>
              <w:t>b) Consiliul Suprem de Apărare a Ţării</w:t>
            </w:r>
          </w:p>
          <w:p w:rsidR="00A638C2" w:rsidRPr="00F148AC" w:rsidRDefault="00A638C2" w:rsidP="006E462A">
            <w:pPr>
              <w:autoSpaceDE w:val="0"/>
              <w:spacing w:line="240" w:lineRule="auto"/>
              <w:rPr>
                <w:b/>
                <w:szCs w:val="24"/>
                <w:lang w:val="ro-RO"/>
              </w:rPr>
            </w:pPr>
            <w:r w:rsidRPr="00F148AC">
              <w:rPr>
                <w:b/>
                <w:szCs w:val="24"/>
                <w:lang w:val="ro-RO"/>
              </w:rPr>
              <w:t>c) Consiliul Economic şi Social</w:t>
            </w:r>
            <w:r w:rsidR="006E462A">
              <w:rPr>
                <w:b/>
                <w:szCs w:val="24"/>
                <w:lang w:val="ro-RO"/>
              </w:rPr>
              <w:t xml:space="preserve"> - </w:t>
            </w:r>
            <w:r w:rsidR="00392B66" w:rsidRPr="006E462A">
              <w:rPr>
                <w:szCs w:val="24"/>
                <w:lang w:val="fr-FR"/>
              </w:rPr>
              <w:t>Proiectul de lege va fi supus avizării Consiliului Economic și Social.</w:t>
            </w:r>
          </w:p>
          <w:p w:rsidR="00A638C2" w:rsidRPr="00F148AC" w:rsidRDefault="00A638C2" w:rsidP="00F87670">
            <w:pPr>
              <w:autoSpaceDE w:val="0"/>
              <w:spacing w:line="240" w:lineRule="auto"/>
              <w:rPr>
                <w:b/>
                <w:szCs w:val="24"/>
                <w:lang w:val="ro-RO"/>
              </w:rPr>
            </w:pPr>
            <w:r w:rsidRPr="00F148AC">
              <w:rPr>
                <w:b/>
                <w:szCs w:val="24"/>
                <w:lang w:val="ro-RO"/>
              </w:rPr>
              <w:lastRenderedPageBreak/>
              <w:t xml:space="preserve">d) Consiliul Concurenţei </w:t>
            </w:r>
          </w:p>
          <w:p w:rsidR="00A638C2" w:rsidRPr="00F148AC" w:rsidRDefault="00A638C2" w:rsidP="00F87670">
            <w:pPr>
              <w:spacing w:line="240" w:lineRule="auto"/>
              <w:rPr>
                <w:szCs w:val="24"/>
                <w:shd w:val="clear" w:color="auto" w:fill="FFFFFF"/>
                <w:lang w:val="ro-RO"/>
              </w:rPr>
            </w:pPr>
            <w:r w:rsidRPr="00F148AC">
              <w:rPr>
                <w:b/>
                <w:szCs w:val="24"/>
                <w:lang w:val="ro-RO"/>
              </w:rPr>
              <w:t>e) Curtea de Conturi</w:t>
            </w:r>
          </w:p>
          <w:p w:rsidR="00A638C2" w:rsidRPr="00F148AC" w:rsidRDefault="00A638C2" w:rsidP="00F87670">
            <w:pPr>
              <w:spacing w:line="240" w:lineRule="auto"/>
              <w:rPr>
                <w:szCs w:val="24"/>
                <w:lang w:val="ro-RO"/>
              </w:rPr>
            </w:pP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lastRenderedPageBreak/>
              <w:t>6. Alte informaţii</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jc w:val="center"/>
              <w:rPr>
                <w:b/>
                <w:szCs w:val="24"/>
                <w:lang w:val="ro-RO"/>
              </w:rPr>
            </w:pPr>
            <w:r w:rsidRPr="00F148AC">
              <w:rPr>
                <w:b/>
                <w:szCs w:val="24"/>
                <w:lang w:val="ro-RO"/>
              </w:rPr>
              <w:t>Secţiunea a 7-a</w:t>
            </w:r>
          </w:p>
          <w:p w:rsidR="00A638C2" w:rsidRPr="00F148AC" w:rsidRDefault="00A638C2" w:rsidP="00F87670">
            <w:pPr>
              <w:spacing w:line="240" w:lineRule="auto"/>
              <w:jc w:val="center"/>
              <w:rPr>
                <w:b/>
                <w:szCs w:val="24"/>
                <w:lang w:val="ro-RO"/>
              </w:rPr>
            </w:pPr>
            <w:r w:rsidRPr="00F148AC">
              <w:rPr>
                <w:b/>
                <w:szCs w:val="24"/>
                <w:lang w:val="ro-RO"/>
              </w:rPr>
              <w:t xml:space="preserve">Activităţi de informare publică privind elaborarea </w:t>
            </w:r>
          </w:p>
          <w:p w:rsidR="00A638C2" w:rsidRPr="00F148AC" w:rsidRDefault="00A638C2" w:rsidP="00F87670">
            <w:pPr>
              <w:spacing w:line="240" w:lineRule="auto"/>
              <w:jc w:val="center"/>
              <w:rPr>
                <w:szCs w:val="24"/>
                <w:lang w:val="ro-RO"/>
              </w:rPr>
            </w:pPr>
            <w:r w:rsidRPr="00F148AC">
              <w:rPr>
                <w:b/>
                <w:szCs w:val="24"/>
                <w:lang w:val="ro-RO"/>
              </w:rPr>
              <w:t>şi implementarea proiectului de act normativ</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b/>
                <w:szCs w:val="24"/>
                <w:lang w:val="ro-RO"/>
              </w:rPr>
            </w:pPr>
            <w:r w:rsidRPr="00F148AC">
              <w:rPr>
                <w:b/>
                <w:szCs w:val="24"/>
                <w:lang w:val="ro-RO"/>
              </w:rPr>
              <w:t>1. Informarea societăţii civile cu privire la necesitatea elaborării proiectului de act normativ</w:t>
            </w:r>
          </w:p>
          <w:p w:rsidR="008B748E" w:rsidRPr="00F148AC" w:rsidRDefault="008B748E" w:rsidP="00F87670">
            <w:pPr>
              <w:spacing w:line="240" w:lineRule="auto"/>
              <w:rPr>
                <w:szCs w:val="24"/>
                <w:shd w:val="clear" w:color="auto" w:fill="FFFFFF"/>
                <w:lang w:val="ro-RO"/>
              </w:rPr>
            </w:pP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A638C2" w:rsidRPr="00F148AC" w:rsidRDefault="00A638C2" w:rsidP="00F87670">
            <w:pPr>
              <w:spacing w:line="240" w:lineRule="auto"/>
              <w:rPr>
                <w:szCs w:val="24"/>
                <w:lang w:val="ro-RO"/>
              </w:rPr>
            </w:pPr>
            <w:r w:rsidRPr="00F148AC">
              <w:rPr>
                <w:szCs w:val="24"/>
                <w:lang w:val="ro-RO"/>
              </w:rPr>
              <w:t>Proiectul de act normativ nu se referă la acest subiect.</w:t>
            </w: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3. Alte informaţii</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F3F3F3"/>
          </w:tcPr>
          <w:p w:rsidR="00A638C2" w:rsidRPr="00F148AC" w:rsidRDefault="00A638C2" w:rsidP="00F87670">
            <w:pPr>
              <w:spacing w:line="240" w:lineRule="auto"/>
              <w:jc w:val="center"/>
              <w:rPr>
                <w:b/>
                <w:bCs/>
                <w:szCs w:val="24"/>
                <w:lang w:val="ro-RO"/>
              </w:rPr>
            </w:pPr>
            <w:r w:rsidRPr="00F148AC">
              <w:rPr>
                <w:b/>
                <w:szCs w:val="24"/>
                <w:lang w:val="ro-RO"/>
              </w:rPr>
              <w:t>Secţiunea a 8-a</w:t>
            </w:r>
          </w:p>
          <w:p w:rsidR="00A638C2" w:rsidRPr="00F148AC" w:rsidRDefault="00A638C2" w:rsidP="00F87670">
            <w:pPr>
              <w:spacing w:line="240" w:lineRule="auto"/>
              <w:jc w:val="center"/>
              <w:rPr>
                <w:szCs w:val="24"/>
                <w:lang w:val="ro-RO"/>
              </w:rPr>
            </w:pPr>
            <w:r w:rsidRPr="00F148AC">
              <w:rPr>
                <w:b/>
                <w:bCs/>
                <w:szCs w:val="24"/>
                <w:lang w:val="ro-RO"/>
              </w:rPr>
              <w:t>Măsuri de implementare</w:t>
            </w:r>
          </w:p>
        </w:tc>
      </w:tr>
      <w:tr w:rsidR="004B5FE2" w:rsidRPr="00B879F1"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1. Măsurile de punere în aplicare a proiectului de act normativ de către autorităţile administraţiei publice centrale şi/sau locale - înfiinţarea unor noi organisme sau extinderea competenţelor instituţiilor existente</w:t>
            </w:r>
          </w:p>
          <w:p w:rsidR="00A638C2" w:rsidRPr="00F148AC" w:rsidRDefault="00A638C2" w:rsidP="00F87670">
            <w:pPr>
              <w:spacing w:line="240" w:lineRule="auto"/>
              <w:rPr>
                <w:szCs w:val="24"/>
                <w:lang w:val="ro-RO"/>
              </w:rPr>
            </w:pPr>
          </w:p>
        </w:tc>
      </w:tr>
      <w:tr w:rsidR="004B5FE2" w:rsidRPr="00F148AC" w:rsidTr="00E5418E">
        <w:tc>
          <w:tcPr>
            <w:tcW w:w="10485" w:type="dxa"/>
            <w:gridSpan w:val="7"/>
            <w:tcBorders>
              <w:top w:val="single" w:sz="4" w:space="0" w:color="000000"/>
              <w:left w:val="single" w:sz="4" w:space="0" w:color="000000"/>
              <w:bottom w:val="single" w:sz="4" w:space="0" w:color="000000"/>
              <w:right w:val="single" w:sz="4" w:space="0" w:color="000000"/>
            </w:tcBorders>
            <w:shd w:val="clear" w:color="auto" w:fill="auto"/>
          </w:tcPr>
          <w:p w:rsidR="00A638C2" w:rsidRPr="00F148AC" w:rsidRDefault="00A638C2" w:rsidP="00F87670">
            <w:pPr>
              <w:spacing w:line="240" w:lineRule="auto"/>
              <w:rPr>
                <w:szCs w:val="24"/>
                <w:lang w:val="ro-RO"/>
              </w:rPr>
            </w:pPr>
            <w:r w:rsidRPr="00F148AC">
              <w:rPr>
                <w:b/>
                <w:szCs w:val="24"/>
                <w:lang w:val="ro-RO"/>
              </w:rPr>
              <w:t>2. Alte informaţii</w:t>
            </w:r>
          </w:p>
          <w:p w:rsidR="00A638C2" w:rsidRPr="00F148AC" w:rsidRDefault="00A638C2" w:rsidP="00F87670">
            <w:pPr>
              <w:spacing w:line="240" w:lineRule="auto"/>
              <w:rPr>
                <w:szCs w:val="24"/>
                <w:lang w:val="ro-RO"/>
              </w:rPr>
            </w:pPr>
          </w:p>
        </w:tc>
      </w:tr>
    </w:tbl>
    <w:p w:rsidR="00A638C2" w:rsidRPr="00F148AC" w:rsidRDefault="00A638C2" w:rsidP="00DF69B3">
      <w:pPr>
        <w:spacing w:line="240" w:lineRule="auto"/>
        <w:rPr>
          <w:szCs w:val="24"/>
          <w:lang w:val="ro-RO"/>
        </w:rPr>
      </w:pPr>
    </w:p>
    <w:p w:rsidR="00A638C2" w:rsidRPr="00F148AC" w:rsidRDefault="00A638C2" w:rsidP="00AC0A02">
      <w:pPr>
        <w:pStyle w:val="Heading2"/>
        <w:tabs>
          <w:tab w:val="clear" w:pos="576"/>
          <w:tab w:val="num" w:pos="0"/>
        </w:tabs>
        <w:ind w:left="0" w:firstLine="0"/>
        <w:jc w:val="both"/>
        <w:rPr>
          <w:sz w:val="24"/>
        </w:rPr>
      </w:pPr>
      <w:r w:rsidRPr="00F148AC">
        <w:rPr>
          <w:sz w:val="24"/>
        </w:rPr>
        <w:t xml:space="preserve">Față de cele prezentate, a fost </w:t>
      </w:r>
      <w:r w:rsidR="006E462A">
        <w:rPr>
          <w:sz w:val="24"/>
        </w:rPr>
        <w:t>elaborat</w:t>
      </w:r>
      <w:r w:rsidR="00392B66">
        <w:rPr>
          <w:sz w:val="24"/>
        </w:rPr>
        <w:t xml:space="preserve">proiectul de </w:t>
      </w:r>
      <w:r w:rsidRPr="00F148AC">
        <w:rPr>
          <w:sz w:val="24"/>
        </w:rPr>
        <w:t xml:space="preserve">Lege </w:t>
      </w:r>
      <w:r w:rsidR="00395D75">
        <w:rPr>
          <w:sz w:val="24"/>
        </w:rPr>
        <w:t>pentru</w:t>
      </w:r>
      <w:r w:rsidR="00806B25" w:rsidRPr="00F148AC">
        <w:rPr>
          <w:sz w:val="24"/>
          <w:lang w:eastAsia="ro-RO"/>
        </w:rPr>
        <w:t>modificarea și completarea Legii nr. 126/2018 privind piețele de instrumente financiare</w:t>
      </w:r>
      <w:r w:rsidR="00AD564E">
        <w:rPr>
          <w:sz w:val="24"/>
          <w:lang w:eastAsia="ro-RO"/>
        </w:rPr>
        <w:t>,</w:t>
      </w:r>
      <w:r w:rsidR="00392B66">
        <w:rPr>
          <w:sz w:val="24"/>
          <w:lang w:eastAsia="ro-RO"/>
        </w:rPr>
        <w:t xml:space="preserve"> pe care îl supunem aprobării.</w:t>
      </w:r>
    </w:p>
    <w:p w:rsidR="008B748E" w:rsidRPr="00F148AC" w:rsidRDefault="008B748E" w:rsidP="00DF69B3">
      <w:pPr>
        <w:spacing w:line="240" w:lineRule="auto"/>
        <w:rPr>
          <w:szCs w:val="24"/>
          <w:lang w:val="ro-RO" w:eastAsia="zh-CN"/>
        </w:rPr>
      </w:pPr>
    </w:p>
    <w:p w:rsidR="008B748E" w:rsidRPr="00F148AC" w:rsidRDefault="008B748E" w:rsidP="00DF69B3">
      <w:pPr>
        <w:spacing w:line="240" w:lineRule="auto"/>
        <w:rPr>
          <w:szCs w:val="24"/>
          <w:lang w:val="ro-RO" w:eastAsia="zh-CN"/>
        </w:rPr>
      </w:pPr>
    </w:p>
    <w:p w:rsidR="00A638C2" w:rsidRDefault="00A638C2" w:rsidP="00DF69B3">
      <w:pPr>
        <w:spacing w:line="240" w:lineRule="auto"/>
        <w:jc w:val="center"/>
        <w:rPr>
          <w:b/>
          <w:bCs/>
          <w:szCs w:val="24"/>
          <w:lang w:val="ro-RO"/>
        </w:rPr>
      </w:pPr>
      <w:r w:rsidRPr="00F148AC">
        <w:rPr>
          <w:b/>
          <w:bCs/>
          <w:szCs w:val="24"/>
          <w:lang w:val="ro-RO"/>
        </w:rPr>
        <w:t xml:space="preserve">MINISTRUL FINANȚELOR </w:t>
      </w:r>
    </w:p>
    <w:p w:rsidR="000378C9" w:rsidRPr="00F148AC" w:rsidRDefault="000378C9" w:rsidP="00DF69B3">
      <w:pPr>
        <w:spacing w:line="240" w:lineRule="auto"/>
        <w:jc w:val="center"/>
        <w:rPr>
          <w:b/>
          <w:bCs/>
          <w:szCs w:val="24"/>
          <w:lang w:val="ro-RO"/>
        </w:rPr>
      </w:pPr>
    </w:p>
    <w:p w:rsidR="00A638C2" w:rsidRPr="00F148AC" w:rsidRDefault="00270DD2" w:rsidP="00DF69B3">
      <w:pPr>
        <w:spacing w:line="240" w:lineRule="auto"/>
        <w:jc w:val="center"/>
        <w:rPr>
          <w:b/>
          <w:bCs/>
          <w:szCs w:val="24"/>
          <w:u w:val="single"/>
          <w:lang w:val="ro-RO"/>
        </w:rPr>
      </w:pPr>
      <w:r>
        <w:rPr>
          <w:b/>
          <w:bCs/>
          <w:szCs w:val="24"/>
          <w:lang w:val="ro-RO"/>
        </w:rPr>
        <w:t>Alexandru NAZARE</w:t>
      </w:r>
    </w:p>
    <w:p w:rsidR="00A638C2" w:rsidRPr="00F148AC" w:rsidRDefault="00A638C2" w:rsidP="00DF69B3">
      <w:pPr>
        <w:spacing w:line="240" w:lineRule="auto"/>
        <w:jc w:val="center"/>
        <w:rPr>
          <w:b/>
          <w:bCs/>
          <w:szCs w:val="24"/>
          <w:u w:val="single"/>
          <w:lang w:val="ro-RO"/>
        </w:rPr>
      </w:pPr>
    </w:p>
    <w:p w:rsidR="00A638C2" w:rsidRPr="00F148AC" w:rsidRDefault="00A638C2" w:rsidP="00DF69B3">
      <w:pPr>
        <w:spacing w:line="240" w:lineRule="auto"/>
        <w:jc w:val="center"/>
        <w:rPr>
          <w:b/>
          <w:bCs/>
          <w:szCs w:val="24"/>
          <w:u w:val="single"/>
          <w:lang w:val="ro-RO"/>
        </w:rPr>
      </w:pPr>
    </w:p>
    <w:p w:rsidR="00A638C2" w:rsidRPr="00F148AC" w:rsidRDefault="00A638C2" w:rsidP="00DF69B3">
      <w:pPr>
        <w:spacing w:line="240" w:lineRule="auto"/>
        <w:jc w:val="center"/>
        <w:rPr>
          <w:b/>
          <w:bCs/>
          <w:szCs w:val="24"/>
          <w:u w:val="single"/>
          <w:lang w:val="ro-RO"/>
        </w:rPr>
      </w:pPr>
      <w:r w:rsidRPr="00F148AC">
        <w:rPr>
          <w:b/>
          <w:bCs/>
          <w:szCs w:val="24"/>
          <w:u w:val="single"/>
          <w:lang w:val="ro-RO"/>
        </w:rPr>
        <w:t>AVIZĂM FAVORABIL</w:t>
      </w:r>
    </w:p>
    <w:p w:rsidR="00A638C2" w:rsidRPr="00F148AC" w:rsidRDefault="00A638C2" w:rsidP="00DF69B3">
      <w:pPr>
        <w:spacing w:line="240" w:lineRule="auto"/>
        <w:jc w:val="center"/>
        <w:rPr>
          <w:b/>
          <w:bCs/>
          <w:szCs w:val="24"/>
          <w:u w:val="single"/>
          <w:lang w:val="ro-RO"/>
        </w:rPr>
      </w:pPr>
    </w:p>
    <w:p w:rsidR="00A638C2" w:rsidRPr="00F148AC" w:rsidRDefault="00A638C2" w:rsidP="00DF69B3">
      <w:pPr>
        <w:spacing w:line="240" w:lineRule="auto"/>
        <w:jc w:val="center"/>
        <w:rPr>
          <w:b/>
          <w:bCs/>
          <w:szCs w:val="24"/>
          <w:lang w:val="ro-RO"/>
        </w:rPr>
      </w:pPr>
    </w:p>
    <w:p w:rsidR="00A638C2" w:rsidRPr="00F148AC" w:rsidRDefault="00A638C2" w:rsidP="00DF69B3">
      <w:pPr>
        <w:spacing w:line="240" w:lineRule="auto"/>
        <w:jc w:val="center"/>
        <w:rPr>
          <w:b/>
          <w:bCs/>
          <w:szCs w:val="24"/>
          <w:lang w:val="ro-RO"/>
        </w:rPr>
      </w:pPr>
      <w:r w:rsidRPr="00F148AC">
        <w:rPr>
          <w:b/>
          <w:bCs/>
          <w:szCs w:val="24"/>
          <w:lang w:val="ro-RO"/>
        </w:rPr>
        <w:t xml:space="preserve">AUTORITATEA DE SUPRAVEGHERE FINANCIARĂ </w:t>
      </w:r>
    </w:p>
    <w:p w:rsidR="00A638C2" w:rsidRPr="00F148AC" w:rsidRDefault="00A638C2" w:rsidP="00DF69B3">
      <w:pPr>
        <w:spacing w:line="240" w:lineRule="auto"/>
        <w:jc w:val="center"/>
        <w:rPr>
          <w:b/>
          <w:bCs/>
          <w:szCs w:val="24"/>
          <w:lang w:val="ro-RO"/>
        </w:rPr>
      </w:pPr>
    </w:p>
    <w:p w:rsidR="00A638C2" w:rsidRPr="00F148AC" w:rsidRDefault="00A638C2" w:rsidP="00DF69B3">
      <w:pPr>
        <w:spacing w:line="240" w:lineRule="auto"/>
        <w:jc w:val="center"/>
        <w:rPr>
          <w:b/>
          <w:bCs/>
          <w:szCs w:val="24"/>
          <w:lang w:val="ro-RO"/>
        </w:rPr>
      </w:pPr>
      <w:r w:rsidRPr="00F148AC">
        <w:rPr>
          <w:b/>
          <w:bCs/>
          <w:szCs w:val="24"/>
          <w:lang w:val="ro-RO"/>
        </w:rPr>
        <w:t>Preşedinte</w:t>
      </w:r>
    </w:p>
    <w:p w:rsidR="00A638C2" w:rsidRDefault="00A638C2" w:rsidP="00DF69B3">
      <w:pPr>
        <w:spacing w:line="240" w:lineRule="auto"/>
        <w:jc w:val="center"/>
        <w:rPr>
          <w:b/>
          <w:bCs/>
          <w:szCs w:val="24"/>
          <w:lang w:val="ro-RO"/>
        </w:rPr>
      </w:pPr>
      <w:r w:rsidRPr="00F148AC">
        <w:rPr>
          <w:b/>
          <w:bCs/>
          <w:szCs w:val="24"/>
          <w:lang w:val="ro-RO"/>
        </w:rPr>
        <w:t>Nicu MARCU</w:t>
      </w:r>
    </w:p>
    <w:p w:rsidR="009E42EB" w:rsidRDefault="009E42EB" w:rsidP="00DF69B3">
      <w:pPr>
        <w:spacing w:line="240" w:lineRule="auto"/>
        <w:jc w:val="center"/>
        <w:rPr>
          <w:b/>
          <w:bCs/>
          <w:szCs w:val="24"/>
          <w:lang w:val="ro-RO"/>
        </w:rPr>
      </w:pPr>
    </w:p>
    <w:p w:rsidR="00014564" w:rsidRDefault="00014564" w:rsidP="009E42EB">
      <w:pPr>
        <w:spacing w:line="240" w:lineRule="auto"/>
        <w:jc w:val="center"/>
        <w:rPr>
          <w:b/>
          <w:bCs/>
          <w:szCs w:val="24"/>
          <w:lang w:val="ro-RO"/>
        </w:rPr>
      </w:pPr>
    </w:p>
    <w:p w:rsidR="009E42EB" w:rsidRDefault="009E42EB" w:rsidP="009E42EB">
      <w:pPr>
        <w:spacing w:line="240" w:lineRule="auto"/>
        <w:jc w:val="center"/>
        <w:rPr>
          <w:b/>
          <w:bCs/>
          <w:szCs w:val="24"/>
          <w:lang w:val="ro-RO"/>
        </w:rPr>
      </w:pPr>
      <w:r>
        <w:rPr>
          <w:b/>
          <w:bCs/>
          <w:szCs w:val="24"/>
          <w:lang w:val="ro-RO"/>
        </w:rPr>
        <w:t>BANCA NAȚIONALĂ A ROMÂNIEI</w:t>
      </w:r>
    </w:p>
    <w:p w:rsidR="009E42EB" w:rsidRDefault="009E42EB" w:rsidP="009E42EB">
      <w:pPr>
        <w:spacing w:line="240" w:lineRule="auto"/>
        <w:jc w:val="center"/>
        <w:rPr>
          <w:b/>
          <w:bCs/>
          <w:szCs w:val="24"/>
          <w:lang w:val="ro-RO"/>
        </w:rPr>
      </w:pPr>
    </w:p>
    <w:p w:rsidR="009E42EB" w:rsidRDefault="009E42EB" w:rsidP="009E42EB">
      <w:pPr>
        <w:spacing w:line="240" w:lineRule="auto"/>
        <w:jc w:val="center"/>
        <w:rPr>
          <w:b/>
          <w:bCs/>
          <w:szCs w:val="24"/>
          <w:lang w:val="ro-RO"/>
        </w:rPr>
      </w:pPr>
      <w:r>
        <w:rPr>
          <w:b/>
          <w:bCs/>
          <w:szCs w:val="24"/>
          <w:lang w:val="ro-RO"/>
        </w:rPr>
        <w:t>Guvernator</w:t>
      </w:r>
    </w:p>
    <w:p w:rsidR="007E2D36" w:rsidRDefault="009E42EB" w:rsidP="00014564">
      <w:pPr>
        <w:spacing w:line="240" w:lineRule="auto"/>
        <w:jc w:val="center"/>
        <w:rPr>
          <w:b/>
          <w:bCs/>
          <w:szCs w:val="24"/>
          <w:lang w:val="ro-RO"/>
        </w:rPr>
      </w:pPr>
      <w:r>
        <w:rPr>
          <w:b/>
          <w:bCs/>
          <w:szCs w:val="24"/>
          <w:lang w:val="ro-RO"/>
        </w:rPr>
        <w:t>Mugur Constantin ISĂRESCU</w:t>
      </w:r>
    </w:p>
    <w:p w:rsidR="00014564" w:rsidRDefault="00014564" w:rsidP="00014564">
      <w:pPr>
        <w:spacing w:line="240" w:lineRule="auto"/>
        <w:jc w:val="center"/>
        <w:rPr>
          <w:b/>
          <w:bCs/>
          <w:szCs w:val="24"/>
          <w:lang w:val="ro-RO"/>
        </w:rPr>
      </w:pPr>
    </w:p>
    <w:p w:rsidR="00014564" w:rsidRDefault="00014564" w:rsidP="00014564">
      <w:pPr>
        <w:spacing w:line="240" w:lineRule="auto"/>
        <w:jc w:val="center"/>
        <w:rPr>
          <w:b/>
          <w:bCs/>
          <w:szCs w:val="24"/>
          <w:lang w:val="ro-RO"/>
        </w:rPr>
      </w:pPr>
    </w:p>
    <w:p w:rsidR="00014564" w:rsidRPr="00F148AC" w:rsidRDefault="00014564" w:rsidP="00014564">
      <w:pPr>
        <w:spacing w:line="240" w:lineRule="auto"/>
        <w:ind w:firstLine="0"/>
        <w:jc w:val="left"/>
        <w:rPr>
          <w:b/>
          <w:szCs w:val="24"/>
          <w:lang w:val="ro-RO"/>
        </w:rPr>
      </w:pPr>
      <w:r w:rsidRPr="00F148AC">
        <w:rPr>
          <w:b/>
          <w:szCs w:val="24"/>
          <w:lang w:val="ro-RO"/>
        </w:rPr>
        <w:t>MINISTRUL AFACERILOR EXTERNEMINISTRUL JUSTIȚIEI</w:t>
      </w:r>
    </w:p>
    <w:p w:rsidR="00014564" w:rsidRPr="00F148AC" w:rsidRDefault="00014564" w:rsidP="00014564">
      <w:pPr>
        <w:spacing w:line="240" w:lineRule="auto"/>
        <w:ind w:firstLine="0"/>
        <w:rPr>
          <w:b/>
          <w:szCs w:val="24"/>
          <w:lang w:val="ro-RO"/>
        </w:rPr>
      </w:pPr>
    </w:p>
    <w:p w:rsidR="00014564" w:rsidRPr="00014564" w:rsidRDefault="00014564" w:rsidP="00014564">
      <w:pPr>
        <w:spacing w:line="240" w:lineRule="auto"/>
        <w:ind w:firstLine="0"/>
        <w:rPr>
          <w:b/>
          <w:szCs w:val="24"/>
          <w:lang w:val="ro-RO"/>
        </w:rPr>
      </w:pPr>
      <w:r w:rsidRPr="00F148AC">
        <w:rPr>
          <w:b/>
          <w:szCs w:val="24"/>
          <w:lang w:val="ro-RO"/>
        </w:rPr>
        <w:t>Bogdan Lucian AURESCU</w:t>
      </w:r>
      <w:r w:rsidRPr="00270DD2">
        <w:rPr>
          <w:b/>
          <w:szCs w:val="24"/>
          <w:lang w:val="ro-RO"/>
        </w:rPr>
        <w:t>Stelian - Cristian ION</w:t>
      </w:r>
    </w:p>
    <w:sectPr w:rsidR="00014564" w:rsidRPr="00014564" w:rsidSect="00002610">
      <w:headerReference w:type="default" r:id="rId8"/>
      <w:footerReference w:type="default" r:id="rId9"/>
      <w:footerReference w:type="first" r:id="rId10"/>
      <w:pgSz w:w="11906" w:h="16838" w:code="9"/>
      <w:pgMar w:top="1134" w:right="1418"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CE" w:rsidRDefault="00005FCE" w:rsidP="006B7B75">
      <w:r>
        <w:separator/>
      </w:r>
    </w:p>
  </w:endnote>
  <w:endnote w:type="continuationSeparator" w:id="1">
    <w:p w:rsidR="00005FCE" w:rsidRDefault="00005FCE" w:rsidP="006B7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960876"/>
      <w:docPartObj>
        <w:docPartGallery w:val="Page Numbers (Bottom of Page)"/>
        <w:docPartUnique/>
      </w:docPartObj>
    </w:sdtPr>
    <w:sdtContent>
      <w:sdt>
        <w:sdtPr>
          <w:id w:val="1812363607"/>
          <w:docPartObj>
            <w:docPartGallery w:val="Page Numbers (Top of Page)"/>
            <w:docPartUnique/>
          </w:docPartObj>
        </w:sdtPr>
        <w:sdtContent>
          <w:p w:rsidR="00014564" w:rsidRDefault="00014564">
            <w:pPr>
              <w:pStyle w:val="Footer"/>
              <w:jc w:val="right"/>
            </w:pPr>
            <w:r>
              <w:t xml:space="preserve">Pagina </w:t>
            </w:r>
            <w:r w:rsidR="00C66F70">
              <w:rPr>
                <w:b/>
                <w:bCs/>
                <w:szCs w:val="24"/>
              </w:rPr>
              <w:fldChar w:fldCharType="begin"/>
            </w:r>
            <w:r>
              <w:rPr>
                <w:b/>
                <w:bCs/>
              </w:rPr>
              <w:instrText xml:space="preserve"> PAGE </w:instrText>
            </w:r>
            <w:r w:rsidR="00C66F70">
              <w:rPr>
                <w:b/>
                <w:bCs/>
                <w:szCs w:val="24"/>
              </w:rPr>
              <w:fldChar w:fldCharType="separate"/>
            </w:r>
            <w:r w:rsidR="00FB37BF">
              <w:rPr>
                <w:b/>
                <w:bCs/>
                <w:noProof/>
              </w:rPr>
              <w:t>6</w:t>
            </w:r>
            <w:r w:rsidR="00C66F70">
              <w:rPr>
                <w:b/>
                <w:bCs/>
                <w:szCs w:val="24"/>
              </w:rPr>
              <w:fldChar w:fldCharType="end"/>
            </w:r>
            <w:r>
              <w:t xml:space="preserve"> din </w:t>
            </w:r>
            <w:r w:rsidR="00C66F70">
              <w:rPr>
                <w:b/>
                <w:bCs/>
                <w:szCs w:val="24"/>
              </w:rPr>
              <w:fldChar w:fldCharType="begin"/>
            </w:r>
            <w:r>
              <w:rPr>
                <w:b/>
                <w:bCs/>
              </w:rPr>
              <w:instrText xml:space="preserve"> NUMPAGES  </w:instrText>
            </w:r>
            <w:r w:rsidR="00C66F70">
              <w:rPr>
                <w:b/>
                <w:bCs/>
                <w:szCs w:val="24"/>
              </w:rPr>
              <w:fldChar w:fldCharType="separate"/>
            </w:r>
            <w:r w:rsidR="00FB37BF">
              <w:rPr>
                <w:b/>
                <w:bCs/>
                <w:noProof/>
              </w:rPr>
              <w:t>7</w:t>
            </w:r>
            <w:r w:rsidR="00C66F70">
              <w:rPr>
                <w:b/>
                <w:bCs/>
                <w:szCs w:val="24"/>
              </w:rPr>
              <w:fldChar w:fldCharType="end"/>
            </w:r>
          </w:p>
        </w:sdtContent>
      </w:sdt>
    </w:sdtContent>
  </w:sdt>
  <w:p w:rsidR="00F65296" w:rsidRDefault="00F65296" w:rsidP="00AD564E">
    <w:pPr>
      <w:pStyle w:val="Footer"/>
      <w:tabs>
        <w:tab w:val="clear" w:pos="4680"/>
        <w:tab w:val="clear" w:pos="9360"/>
        <w:tab w:val="left" w:pos="2850"/>
        <w:tab w:val="center" w:pos="4818"/>
        <w:tab w:val="left" w:pos="52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03129"/>
      <w:docPartObj>
        <w:docPartGallery w:val="Page Numbers (Bottom of Page)"/>
        <w:docPartUnique/>
      </w:docPartObj>
    </w:sdtPr>
    <w:sdtContent>
      <w:sdt>
        <w:sdtPr>
          <w:id w:val="-1769616900"/>
          <w:docPartObj>
            <w:docPartGallery w:val="Page Numbers (Top of Page)"/>
            <w:docPartUnique/>
          </w:docPartObj>
        </w:sdtPr>
        <w:sdtContent>
          <w:p w:rsidR="006B7B75" w:rsidRDefault="006B7B75">
            <w:pPr>
              <w:pStyle w:val="Footer"/>
              <w:jc w:val="right"/>
            </w:pPr>
            <w:r>
              <w:t xml:space="preserve">Page </w:t>
            </w:r>
            <w:r w:rsidR="00C66F70">
              <w:rPr>
                <w:b/>
                <w:bCs/>
                <w:szCs w:val="24"/>
              </w:rPr>
              <w:fldChar w:fldCharType="begin"/>
            </w:r>
            <w:r>
              <w:rPr>
                <w:b/>
                <w:bCs/>
              </w:rPr>
              <w:instrText xml:space="preserve"> PAGE </w:instrText>
            </w:r>
            <w:r w:rsidR="00C66F70">
              <w:rPr>
                <w:b/>
                <w:bCs/>
                <w:szCs w:val="24"/>
              </w:rPr>
              <w:fldChar w:fldCharType="separate"/>
            </w:r>
            <w:r>
              <w:rPr>
                <w:b/>
                <w:bCs/>
                <w:noProof/>
              </w:rPr>
              <w:t>1</w:t>
            </w:r>
            <w:r w:rsidR="00C66F70">
              <w:rPr>
                <w:b/>
                <w:bCs/>
                <w:szCs w:val="24"/>
              </w:rPr>
              <w:fldChar w:fldCharType="end"/>
            </w:r>
            <w:r>
              <w:t xml:space="preserve"> of </w:t>
            </w:r>
            <w:r w:rsidR="00C66F70">
              <w:rPr>
                <w:b/>
                <w:bCs/>
                <w:szCs w:val="24"/>
              </w:rPr>
              <w:fldChar w:fldCharType="begin"/>
            </w:r>
            <w:r>
              <w:rPr>
                <w:b/>
                <w:bCs/>
              </w:rPr>
              <w:instrText xml:space="preserve"> NUMPAGES  </w:instrText>
            </w:r>
            <w:r w:rsidR="00C66F70">
              <w:rPr>
                <w:b/>
                <w:bCs/>
                <w:szCs w:val="24"/>
              </w:rPr>
              <w:fldChar w:fldCharType="separate"/>
            </w:r>
            <w:r w:rsidR="00317122">
              <w:rPr>
                <w:b/>
                <w:bCs/>
                <w:noProof/>
              </w:rPr>
              <w:t>6</w:t>
            </w:r>
            <w:r w:rsidR="00C66F70">
              <w:rPr>
                <w:b/>
                <w:bCs/>
                <w:szCs w:val="24"/>
              </w:rPr>
              <w:fldChar w:fldCharType="end"/>
            </w:r>
          </w:p>
        </w:sdtContent>
      </w:sdt>
    </w:sdtContent>
  </w:sdt>
  <w:p w:rsidR="006B7B75" w:rsidRDefault="006B7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CE" w:rsidRDefault="00005FCE" w:rsidP="006B7B75">
      <w:r>
        <w:separator/>
      </w:r>
    </w:p>
  </w:footnote>
  <w:footnote w:type="continuationSeparator" w:id="1">
    <w:p w:rsidR="00005FCE" w:rsidRDefault="00005FCE" w:rsidP="006B7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5" w:rsidRDefault="006B7B75" w:rsidP="001A2C98">
    <w:pPr>
      <w:pStyle w:val="Header"/>
      <w:ind w:left="-284" w:firstLine="0"/>
      <w:rPr>
        <w:noProof/>
      </w:rPr>
    </w:pPr>
  </w:p>
  <w:p w:rsidR="00002610" w:rsidRDefault="00002610" w:rsidP="001A2C98">
    <w:pPr>
      <w:pStyle w:val="Header"/>
      <w:ind w:left="-284"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Roman"/>
      <w:lvlText w:val="%1."/>
      <w:lvlJc w:val="right"/>
      <w:pPr>
        <w:tabs>
          <w:tab w:val="num" w:pos="720"/>
        </w:tabs>
        <w:ind w:left="720" w:hanging="360"/>
      </w:pPr>
    </w:lvl>
  </w:abstractNum>
  <w:abstractNum w:abstractNumId="2">
    <w:nsid w:val="00000003"/>
    <w:multiLevelType w:val="singleLevel"/>
    <w:tmpl w:val="00000003"/>
    <w:name w:val="WW8Num4"/>
    <w:lvl w:ilvl="0">
      <w:start w:val="1"/>
      <w:numFmt w:val="lowerRoman"/>
      <w:lvlText w:val="%1."/>
      <w:lvlJc w:val="right"/>
      <w:pPr>
        <w:tabs>
          <w:tab w:val="num" w:pos="720"/>
        </w:tabs>
        <w:ind w:left="720" w:hanging="360"/>
      </w:pPr>
    </w:lvl>
  </w:abstractNum>
  <w:abstractNum w:abstractNumId="3">
    <w:nsid w:val="00000004"/>
    <w:multiLevelType w:val="multilevel"/>
    <w:tmpl w:val="41084134"/>
    <w:name w:val="WW8Num5"/>
    <w:lvl w:ilvl="0">
      <w:start w:val="1"/>
      <w:numFmt w:val="bullet"/>
      <w:lvlText w:val="-"/>
      <w:lvlJc w:val="left"/>
      <w:pPr>
        <w:tabs>
          <w:tab w:val="num" w:pos="0"/>
        </w:tabs>
        <w:ind w:left="502" w:hanging="360"/>
      </w:pPr>
      <w:rPr>
        <w:rFonts w:ascii="Times New Roman" w:hAnsi="Times New Roman" w:cs="Times New Roman"/>
        <w:color w:val="5B9BD5" w:themeColor="accent1"/>
        <w:lang w:eastAsia="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6"/>
    <w:lvl w:ilvl="0">
      <w:start w:val="1"/>
      <w:numFmt w:val="lowerRoman"/>
      <w:lvlText w:val="%1."/>
      <w:lvlJc w:val="right"/>
      <w:pPr>
        <w:tabs>
          <w:tab w:val="num" w:pos="720"/>
        </w:tabs>
        <w:ind w:left="720" w:hanging="360"/>
      </w:pPr>
    </w:lvl>
  </w:abstractNum>
  <w:abstractNum w:abstractNumId="5">
    <w:nsid w:val="00000006"/>
    <w:multiLevelType w:val="singleLevel"/>
    <w:tmpl w:val="00000006"/>
    <w:name w:val="WW8Num7"/>
    <w:lvl w:ilvl="0">
      <w:start w:val="1"/>
      <w:numFmt w:val="lowerRoman"/>
      <w:lvlText w:val="%1."/>
      <w:lvlJc w:val="right"/>
      <w:pPr>
        <w:tabs>
          <w:tab w:val="num" w:pos="720"/>
        </w:tabs>
        <w:ind w:left="720" w:hanging="360"/>
      </w:pPr>
    </w:lvl>
  </w:abstractNum>
  <w:abstractNum w:abstractNumId="6">
    <w:nsid w:val="00000007"/>
    <w:multiLevelType w:val="singleLevel"/>
    <w:tmpl w:val="00000007"/>
    <w:name w:val="WW8Num8"/>
    <w:lvl w:ilvl="0">
      <w:start w:val="1"/>
      <w:numFmt w:val="lowerRoman"/>
      <w:lvlText w:val="%1."/>
      <w:lvlJc w:val="right"/>
      <w:pPr>
        <w:tabs>
          <w:tab w:val="num" w:pos="720"/>
        </w:tabs>
        <w:ind w:left="720" w:hanging="360"/>
      </w:pPr>
    </w:lvl>
  </w:abstractNum>
  <w:abstractNum w:abstractNumId="7">
    <w:nsid w:val="00000008"/>
    <w:multiLevelType w:val="singleLevel"/>
    <w:tmpl w:val="00000008"/>
    <w:name w:val="WW8Num9"/>
    <w:lvl w:ilvl="0">
      <w:start w:val="1"/>
      <w:numFmt w:val="lowerRoman"/>
      <w:lvlText w:val="%1."/>
      <w:lvlJc w:val="right"/>
      <w:pPr>
        <w:tabs>
          <w:tab w:val="num" w:pos="720"/>
        </w:tabs>
        <w:ind w:left="720" w:hanging="360"/>
      </w:pPr>
    </w:lvl>
  </w:abstractNum>
  <w:abstractNum w:abstractNumId="8">
    <w:nsid w:val="205D3D29"/>
    <w:multiLevelType w:val="hybridMultilevel"/>
    <w:tmpl w:val="E1E24504"/>
    <w:lvl w:ilvl="0" w:tplc="00F2B6D0">
      <w:start w:val="1"/>
      <w:numFmt w:val="decimal"/>
      <w:lvlText w:val="%1."/>
      <w:lvlJc w:val="left"/>
      <w:pPr>
        <w:ind w:left="643" w:hanging="360"/>
      </w:pPr>
      <w:rPr>
        <w:rFonts w:ascii="Times New Roman" w:eastAsia="Times New Roman" w:hAnsi="Times New Roman" w:cs="Times New Roman"/>
        <w:color w:val="5B9BD5" w:themeColor="accent1"/>
        <w:sz w:val="24"/>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2D746957"/>
    <w:multiLevelType w:val="hybridMultilevel"/>
    <w:tmpl w:val="EBDE3CD8"/>
    <w:lvl w:ilvl="0" w:tplc="B1E63F60">
      <w:start w:val="2"/>
      <w:numFmt w:val="bullet"/>
      <w:lvlText w:val="-"/>
      <w:lvlJc w:val="left"/>
      <w:pPr>
        <w:ind w:left="360" w:hanging="360"/>
      </w:pPr>
      <w:rPr>
        <w:rFonts w:ascii="Calibri" w:eastAsia="Times New Roman" w:hAnsi="Calibri" w:cs="Times New Roman" w:hint="default"/>
        <w:color w:val="0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2E44B0"/>
    <w:multiLevelType w:val="hybridMultilevel"/>
    <w:tmpl w:val="A76451AA"/>
    <w:lvl w:ilvl="0" w:tplc="F72E526C">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11">
    <w:nsid w:val="30684ACF"/>
    <w:multiLevelType w:val="hybridMultilevel"/>
    <w:tmpl w:val="DE56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37594"/>
    <w:multiLevelType w:val="hybridMultilevel"/>
    <w:tmpl w:val="B19EAEF2"/>
    <w:lvl w:ilvl="0" w:tplc="27E6FF7A">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
    <w:nsid w:val="3B963BB1"/>
    <w:multiLevelType w:val="hybridMultilevel"/>
    <w:tmpl w:val="321E37B0"/>
    <w:lvl w:ilvl="0" w:tplc="E09A35FC">
      <w:start w:val="1"/>
      <w:numFmt w:val="lowerLetter"/>
      <w:lvlText w:val="%1)"/>
      <w:lvlJc w:val="left"/>
      <w:pPr>
        <w:ind w:left="360" w:hanging="360"/>
      </w:pPr>
      <w:rPr>
        <w:rFonts w:ascii="Times New Roman" w:eastAsia="Times New Roman" w:hAnsi="Times New Roman" w:cs="Times New Roman"/>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3EB572E4"/>
    <w:multiLevelType w:val="hybridMultilevel"/>
    <w:tmpl w:val="4D1CA0F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27B47F4"/>
    <w:multiLevelType w:val="hybridMultilevel"/>
    <w:tmpl w:val="BE0E9B78"/>
    <w:lvl w:ilvl="0" w:tplc="201EA4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DE37141"/>
    <w:multiLevelType w:val="hybridMultilevel"/>
    <w:tmpl w:val="EEE687A6"/>
    <w:lvl w:ilvl="0" w:tplc="78F4B566">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C533E4"/>
    <w:multiLevelType w:val="hybridMultilevel"/>
    <w:tmpl w:val="F31E5934"/>
    <w:lvl w:ilvl="0" w:tplc="9DEC0F9E">
      <w:start w:val="1"/>
      <w:numFmt w:val="decimal"/>
      <w:lvlText w:val="%1."/>
      <w:lvlJc w:val="left"/>
      <w:pPr>
        <w:ind w:left="360" w:hanging="360"/>
      </w:pPr>
      <w:rPr>
        <w:rFonts w:ascii="Times New Roman" w:eastAsia="Times New Roman" w:hAnsi="Times New Roman" w:cs="Times New Roman"/>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7D0194"/>
    <w:multiLevelType w:val="hybridMultilevel"/>
    <w:tmpl w:val="C47A0F78"/>
    <w:lvl w:ilvl="0" w:tplc="D5F8196E">
      <w:start w:val="3"/>
      <w:numFmt w:val="decimal"/>
      <w:lvlText w:val="%1."/>
      <w:lvlJc w:val="left"/>
      <w:pPr>
        <w:ind w:left="360" w:hanging="360"/>
      </w:pPr>
      <w:rPr>
        <w:rFonts w:hint="default"/>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num w:numId="1">
    <w:abstractNumId w:val="18"/>
  </w:num>
  <w:num w:numId="2">
    <w:abstractNumId w:val="14"/>
  </w:num>
  <w:num w:numId="3">
    <w:abstractNumId w:val="12"/>
  </w:num>
  <w:num w:numId="4">
    <w:abstractNumId w:val="10"/>
  </w:num>
  <w:num w:numId="5">
    <w:abstractNumId w:val="13"/>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6"/>
  </w:num>
  <w:num w:numId="16">
    <w:abstractNumId w:val="11"/>
  </w:num>
  <w:num w:numId="17">
    <w:abstractNumId w:val="17"/>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567"/>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B7B75"/>
    <w:rsid w:val="00002610"/>
    <w:rsid w:val="00005FCE"/>
    <w:rsid w:val="00007551"/>
    <w:rsid w:val="0001222D"/>
    <w:rsid w:val="00014564"/>
    <w:rsid w:val="000179D2"/>
    <w:rsid w:val="00025EFB"/>
    <w:rsid w:val="000378C9"/>
    <w:rsid w:val="00057314"/>
    <w:rsid w:val="00062E9A"/>
    <w:rsid w:val="00077303"/>
    <w:rsid w:val="0009266D"/>
    <w:rsid w:val="00096A9C"/>
    <w:rsid w:val="000A7AEF"/>
    <w:rsid w:val="000B7A6A"/>
    <w:rsid w:val="000C1662"/>
    <w:rsid w:val="000C4FE5"/>
    <w:rsid w:val="000E00C0"/>
    <w:rsid w:val="000E0B79"/>
    <w:rsid w:val="000E25E8"/>
    <w:rsid w:val="000F3D77"/>
    <w:rsid w:val="0010118B"/>
    <w:rsid w:val="00101726"/>
    <w:rsid w:val="001029E8"/>
    <w:rsid w:val="00111B94"/>
    <w:rsid w:val="001170EE"/>
    <w:rsid w:val="001228B6"/>
    <w:rsid w:val="00122DCB"/>
    <w:rsid w:val="00126382"/>
    <w:rsid w:val="00157CE8"/>
    <w:rsid w:val="00181A31"/>
    <w:rsid w:val="00185644"/>
    <w:rsid w:val="00193078"/>
    <w:rsid w:val="001949BC"/>
    <w:rsid w:val="001A2C98"/>
    <w:rsid w:val="001A6EFB"/>
    <w:rsid w:val="001C3474"/>
    <w:rsid w:val="001C4751"/>
    <w:rsid w:val="00217DF5"/>
    <w:rsid w:val="0022390B"/>
    <w:rsid w:val="0023040F"/>
    <w:rsid w:val="00233CF3"/>
    <w:rsid w:val="00236163"/>
    <w:rsid w:val="00254C9F"/>
    <w:rsid w:val="002636E7"/>
    <w:rsid w:val="00270DD2"/>
    <w:rsid w:val="00273D6F"/>
    <w:rsid w:val="00276461"/>
    <w:rsid w:val="002A6795"/>
    <w:rsid w:val="002D36E2"/>
    <w:rsid w:val="002D451A"/>
    <w:rsid w:val="002D4CF4"/>
    <w:rsid w:val="002F2D2C"/>
    <w:rsid w:val="002F4D25"/>
    <w:rsid w:val="002F5E87"/>
    <w:rsid w:val="0030000C"/>
    <w:rsid w:val="0030071F"/>
    <w:rsid w:val="00310D74"/>
    <w:rsid w:val="00316528"/>
    <w:rsid w:val="00317122"/>
    <w:rsid w:val="003238C6"/>
    <w:rsid w:val="00336CE1"/>
    <w:rsid w:val="0035033E"/>
    <w:rsid w:val="00363DEF"/>
    <w:rsid w:val="00365E4C"/>
    <w:rsid w:val="00366B2E"/>
    <w:rsid w:val="0037490D"/>
    <w:rsid w:val="00385C81"/>
    <w:rsid w:val="00392B66"/>
    <w:rsid w:val="00395D75"/>
    <w:rsid w:val="003A0EB6"/>
    <w:rsid w:val="003C0842"/>
    <w:rsid w:val="003C08B0"/>
    <w:rsid w:val="003C3DC2"/>
    <w:rsid w:val="003D6194"/>
    <w:rsid w:val="003E79CD"/>
    <w:rsid w:val="003F6DF1"/>
    <w:rsid w:val="00401325"/>
    <w:rsid w:val="00404623"/>
    <w:rsid w:val="00407633"/>
    <w:rsid w:val="00407980"/>
    <w:rsid w:val="00413EFD"/>
    <w:rsid w:val="004168E7"/>
    <w:rsid w:val="00417FBD"/>
    <w:rsid w:val="004519FB"/>
    <w:rsid w:val="00460DAF"/>
    <w:rsid w:val="00462501"/>
    <w:rsid w:val="00476348"/>
    <w:rsid w:val="00482866"/>
    <w:rsid w:val="004865C2"/>
    <w:rsid w:val="00487895"/>
    <w:rsid w:val="00491BAF"/>
    <w:rsid w:val="004940A9"/>
    <w:rsid w:val="00495997"/>
    <w:rsid w:val="004B42DE"/>
    <w:rsid w:val="004B5FE2"/>
    <w:rsid w:val="004B70BB"/>
    <w:rsid w:val="004C01F3"/>
    <w:rsid w:val="004C751C"/>
    <w:rsid w:val="004D3F5F"/>
    <w:rsid w:val="004E7D0C"/>
    <w:rsid w:val="005016D7"/>
    <w:rsid w:val="00512E90"/>
    <w:rsid w:val="00545C64"/>
    <w:rsid w:val="00557A8A"/>
    <w:rsid w:val="0056162A"/>
    <w:rsid w:val="00594BB7"/>
    <w:rsid w:val="005C44E9"/>
    <w:rsid w:val="005D5F55"/>
    <w:rsid w:val="005D7B93"/>
    <w:rsid w:val="005E3CCD"/>
    <w:rsid w:val="0061032A"/>
    <w:rsid w:val="00623C28"/>
    <w:rsid w:val="00637B72"/>
    <w:rsid w:val="006452CB"/>
    <w:rsid w:val="00647724"/>
    <w:rsid w:val="006539BF"/>
    <w:rsid w:val="006624AE"/>
    <w:rsid w:val="006648C2"/>
    <w:rsid w:val="0067021A"/>
    <w:rsid w:val="0067706D"/>
    <w:rsid w:val="00680C26"/>
    <w:rsid w:val="0068200D"/>
    <w:rsid w:val="00683B8A"/>
    <w:rsid w:val="006A1965"/>
    <w:rsid w:val="006B7B75"/>
    <w:rsid w:val="006E1F91"/>
    <w:rsid w:val="006E462A"/>
    <w:rsid w:val="006F0FEC"/>
    <w:rsid w:val="00713828"/>
    <w:rsid w:val="0071636D"/>
    <w:rsid w:val="00725207"/>
    <w:rsid w:val="00735550"/>
    <w:rsid w:val="007401C7"/>
    <w:rsid w:val="00742AEF"/>
    <w:rsid w:val="00774BF3"/>
    <w:rsid w:val="00784720"/>
    <w:rsid w:val="0079296D"/>
    <w:rsid w:val="007B0375"/>
    <w:rsid w:val="007B2EEC"/>
    <w:rsid w:val="007B39AA"/>
    <w:rsid w:val="007C2BDE"/>
    <w:rsid w:val="007C4EEB"/>
    <w:rsid w:val="007C55A9"/>
    <w:rsid w:val="007E2D36"/>
    <w:rsid w:val="007E2F3C"/>
    <w:rsid w:val="007E6922"/>
    <w:rsid w:val="007E779D"/>
    <w:rsid w:val="007F34A2"/>
    <w:rsid w:val="007F4105"/>
    <w:rsid w:val="007F46FF"/>
    <w:rsid w:val="00804C6F"/>
    <w:rsid w:val="00806B25"/>
    <w:rsid w:val="008161B5"/>
    <w:rsid w:val="0082252F"/>
    <w:rsid w:val="00850346"/>
    <w:rsid w:val="0085053E"/>
    <w:rsid w:val="0087278B"/>
    <w:rsid w:val="008B06AE"/>
    <w:rsid w:val="008B748E"/>
    <w:rsid w:val="008C7D86"/>
    <w:rsid w:val="008D24C9"/>
    <w:rsid w:val="008D4681"/>
    <w:rsid w:val="008D5918"/>
    <w:rsid w:val="008F3D9E"/>
    <w:rsid w:val="0090743B"/>
    <w:rsid w:val="00913059"/>
    <w:rsid w:val="009229E4"/>
    <w:rsid w:val="009270C2"/>
    <w:rsid w:val="009319FC"/>
    <w:rsid w:val="00933673"/>
    <w:rsid w:val="00946C9F"/>
    <w:rsid w:val="00951C1E"/>
    <w:rsid w:val="009547DF"/>
    <w:rsid w:val="00960FF7"/>
    <w:rsid w:val="00973D02"/>
    <w:rsid w:val="0099163A"/>
    <w:rsid w:val="00995560"/>
    <w:rsid w:val="00996302"/>
    <w:rsid w:val="009C5084"/>
    <w:rsid w:val="009C706A"/>
    <w:rsid w:val="009D5BFA"/>
    <w:rsid w:val="009E42EB"/>
    <w:rsid w:val="009F69C4"/>
    <w:rsid w:val="00A00AB5"/>
    <w:rsid w:val="00A22049"/>
    <w:rsid w:val="00A22856"/>
    <w:rsid w:val="00A257D0"/>
    <w:rsid w:val="00A26C13"/>
    <w:rsid w:val="00A52526"/>
    <w:rsid w:val="00A61AB2"/>
    <w:rsid w:val="00A638C2"/>
    <w:rsid w:val="00A63BFF"/>
    <w:rsid w:val="00A7764B"/>
    <w:rsid w:val="00A8257C"/>
    <w:rsid w:val="00A91C39"/>
    <w:rsid w:val="00A97DB7"/>
    <w:rsid w:val="00AA33E2"/>
    <w:rsid w:val="00AB0CE5"/>
    <w:rsid w:val="00AB3E50"/>
    <w:rsid w:val="00AB5C83"/>
    <w:rsid w:val="00AC0A02"/>
    <w:rsid w:val="00AC51C1"/>
    <w:rsid w:val="00AD564E"/>
    <w:rsid w:val="00B02B6B"/>
    <w:rsid w:val="00B02FF1"/>
    <w:rsid w:val="00B10C99"/>
    <w:rsid w:val="00B222C7"/>
    <w:rsid w:val="00B420FA"/>
    <w:rsid w:val="00B44B6A"/>
    <w:rsid w:val="00B468DB"/>
    <w:rsid w:val="00B53732"/>
    <w:rsid w:val="00B62D7A"/>
    <w:rsid w:val="00B63180"/>
    <w:rsid w:val="00B66C93"/>
    <w:rsid w:val="00B879F1"/>
    <w:rsid w:val="00B900C7"/>
    <w:rsid w:val="00BA5EFF"/>
    <w:rsid w:val="00BB04F1"/>
    <w:rsid w:val="00BF3743"/>
    <w:rsid w:val="00C00759"/>
    <w:rsid w:val="00C1398F"/>
    <w:rsid w:val="00C175FF"/>
    <w:rsid w:val="00C37C02"/>
    <w:rsid w:val="00C50762"/>
    <w:rsid w:val="00C5785C"/>
    <w:rsid w:val="00C60E84"/>
    <w:rsid w:val="00C62AB0"/>
    <w:rsid w:val="00C63060"/>
    <w:rsid w:val="00C66F70"/>
    <w:rsid w:val="00C67A37"/>
    <w:rsid w:val="00C91986"/>
    <w:rsid w:val="00CC0D5D"/>
    <w:rsid w:val="00CE38AA"/>
    <w:rsid w:val="00CF2B8D"/>
    <w:rsid w:val="00CF3286"/>
    <w:rsid w:val="00CF332C"/>
    <w:rsid w:val="00D06ECF"/>
    <w:rsid w:val="00D13658"/>
    <w:rsid w:val="00D22FBC"/>
    <w:rsid w:val="00D23CE0"/>
    <w:rsid w:val="00D27200"/>
    <w:rsid w:val="00D30EB3"/>
    <w:rsid w:val="00D44C5E"/>
    <w:rsid w:val="00D47A45"/>
    <w:rsid w:val="00D5212B"/>
    <w:rsid w:val="00D85291"/>
    <w:rsid w:val="00D92854"/>
    <w:rsid w:val="00DA3A65"/>
    <w:rsid w:val="00DA71CB"/>
    <w:rsid w:val="00DB620B"/>
    <w:rsid w:val="00DC1746"/>
    <w:rsid w:val="00DF1AC5"/>
    <w:rsid w:val="00DF4916"/>
    <w:rsid w:val="00DF69B3"/>
    <w:rsid w:val="00E15361"/>
    <w:rsid w:val="00E4431F"/>
    <w:rsid w:val="00E448A2"/>
    <w:rsid w:val="00E47B5F"/>
    <w:rsid w:val="00E5418E"/>
    <w:rsid w:val="00E614B6"/>
    <w:rsid w:val="00E62A5F"/>
    <w:rsid w:val="00E83861"/>
    <w:rsid w:val="00E940D6"/>
    <w:rsid w:val="00EB20E6"/>
    <w:rsid w:val="00EB4121"/>
    <w:rsid w:val="00F02EB8"/>
    <w:rsid w:val="00F148AC"/>
    <w:rsid w:val="00F20E2A"/>
    <w:rsid w:val="00F33FF6"/>
    <w:rsid w:val="00F34703"/>
    <w:rsid w:val="00F35E08"/>
    <w:rsid w:val="00F43907"/>
    <w:rsid w:val="00F4638C"/>
    <w:rsid w:val="00F65296"/>
    <w:rsid w:val="00F7607C"/>
    <w:rsid w:val="00F839E3"/>
    <w:rsid w:val="00F87670"/>
    <w:rsid w:val="00FA510C"/>
    <w:rsid w:val="00FA688F"/>
    <w:rsid w:val="00FB11AB"/>
    <w:rsid w:val="00FB37BF"/>
    <w:rsid w:val="00FD6A96"/>
    <w:rsid w:val="00FE46A8"/>
    <w:rsid w:val="00FF13C6"/>
    <w:rsid w:val="00FF6D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98"/>
  </w:style>
  <w:style w:type="paragraph" w:styleId="Heading1">
    <w:name w:val="heading 1"/>
    <w:basedOn w:val="Normal"/>
    <w:next w:val="Normal"/>
    <w:link w:val="Heading1Char"/>
    <w:uiPriority w:val="9"/>
    <w:qFormat/>
    <w:rsid w:val="004B5F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38C2"/>
    <w:pPr>
      <w:keepNext/>
      <w:numPr>
        <w:ilvl w:val="1"/>
        <w:numId w:val="7"/>
      </w:numPr>
      <w:suppressAutoHyphens/>
      <w:spacing w:line="240" w:lineRule="auto"/>
      <w:jc w:val="center"/>
      <w:outlineLvl w:val="1"/>
    </w:pPr>
    <w:rPr>
      <w:rFonts w:eastAsia="Times New Roman"/>
      <w:bCs/>
      <w:iCs/>
      <w:sz w:val="28"/>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B75"/>
    <w:pPr>
      <w:tabs>
        <w:tab w:val="center" w:pos="4680"/>
        <w:tab w:val="right" w:pos="9360"/>
      </w:tabs>
    </w:pPr>
  </w:style>
  <w:style w:type="character" w:customStyle="1" w:styleId="HeaderChar">
    <w:name w:val="Header Char"/>
    <w:basedOn w:val="DefaultParagraphFont"/>
    <w:link w:val="Header"/>
    <w:rsid w:val="006B7B75"/>
  </w:style>
  <w:style w:type="paragraph" w:styleId="Footer">
    <w:name w:val="footer"/>
    <w:basedOn w:val="Normal"/>
    <w:link w:val="FooterChar"/>
    <w:uiPriority w:val="99"/>
    <w:unhideWhenUsed/>
    <w:rsid w:val="006B7B75"/>
    <w:pPr>
      <w:tabs>
        <w:tab w:val="center" w:pos="4680"/>
        <w:tab w:val="right" w:pos="9360"/>
      </w:tabs>
    </w:pPr>
  </w:style>
  <w:style w:type="character" w:customStyle="1" w:styleId="FooterChar">
    <w:name w:val="Footer Char"/>
    <w:basedOn w:val="DefaultParagraphFont"/>
    <w:link w:val="Footer"/>
    <w:uiPriority w:val="99"/>
    <w:rsid w:val="006B7B75"/>
  </w:style>
  <w:style w:type="paragraph" w:styleId="BalloonText">
    <w:name w:val="Balloon Text"/>
    <w:basedOn w:val="Normal"/>
    <w:link w:val="BalloonTextChar"/>
    <w:uiPriority w:val="99"/>
    <w:semiHidden/>
    <w:unhideWhenUsed/>
    <w:rsid w:val="006B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75"/>
    <w:rPr>
      <w:rFonts w:ascii="Segoe UI" w:hAnsi="Segoe UI" w:cs="Segoe UI"/>
      <w:sz w:val="18"/>
      <w:szCs w:val="18"/>
    </w:rPr>
  </w:style>
  <w:style w:type="paragraph" w:styleId="ListParagraph">
    <w:name w:val="List Paragraph"/>
    <w:aliases w:val="Paragraphe EI,Paragraphe de liste1,EC,Paragraphe de liste"/>
    <w:basedOn w:val="Normal"/>
    <w:link w:val="ListParagraphChar"/>
    <w:uiPriority w:val="34"/>
    <w:qFormat/>
    <w:rsid w:val="005C44E9"/>
    <w:pPr>
      <w:spacing w:after="160" w:line="259" w:lineRule="auto"/>
      <w:ind w:left="720" w:firstLine="0"/>
      <w:contextualSpacing/>
      <w:jc w:val="left"/>
    </w:pPr>
    <w:rPr>
      <w:rFonts w:asciiTheme="minorHAnsi" w:hAnsiTheme="minorHAnsi" w:cstheme="minorBidi"/>
      <w:sz w:val="22"/>
    </w:rPr>
  </w:style>
  <w:style w:type="character" w:customStyle="1" w:styleId="ListParagraphChar">
    <w:name w:val="List Paragraph Char"/>
    <w:aliases w:val="Paragraphe EI Char,Paragraphe de liste1 Char,EC Char,Paragraphe de liste Char"/>
    <w:link w:val="ListParagraph"/>
    <w:uiPriority w:val="34"/>
    <w:locked/>
    <w:rsid w:val="005C44E9"/>
    <w:rPr>
      <w:rFonts w:asciiTheme="minorHAnsi" w:hAnsiTheme="minorHAnsi" w:cstheme="minorBidi"/>
      <w:sz w:val="22"/>
    </w:rPr>
  </w:style>
  <w:style w:type="character" w:customStyle="1" w:styleId="l5tlu1">
    <w:name w:val="l5tlu1"/>
    <w:basedOn w:val="DefaultParagraphFont"/>
    <w:rsid w:val="005C44E9"/>
    <w:rPr>
      <w:b/>
      <w:bCs/>
      <w:color w:val="000000"/>
      <w:sz w:val="32"/>
      <w:szCs w:val="32"/>
    </w:rPr>
  </w:style>
  <w:style w:type="paragraph" w:styleId="FootnoteText">
    <w:name w:val="footnote text"/>
    <w:basedOn w:val="Normal"/>
    <w:link w:val="FootnoteTextChar"/>
    <w:uiPriority w:val="99"/>
    <w:semiHidden/>
    <w:unhideWhenUsed/>
    <w:rsid w:val="00233CF3"/>
    <w:pPr>
      <w:spacing w:line="240" w:lineRule="auto"/>
    </w:pPr>
    <w:rPr>
      <w:sz w:val="20"/>
      <w:szCs w:val="20"/>
    </w:rPr>
  </w:style>
  <w:style w:type="character" w:customStyle="1" w:styleId="FootnoteTextChar">
    <w:name w:val="Footnote Text Char"/>
    <w:basedOn w:val="DefaultParagraphFont"/>
    <w:link w:val="FootnoteText"/>
    <w:uiPriority w:val="99"/>
    <w:semiHidden/>
    <w:rsid w:val="00233CF3"/>
    <w:rPr>
      <w:sz w:val="20"/>
      <w:szCs w:val="20"/>
    </w:rPr>
  </w:style>
  <w:style w:type="character" w:styleId="FootnoteReference">
    <w:name w:val="footnote reference"/>
    <w:aliases w:val="Footnote symbol,Footnote Reference Number,Footnote Reference_LVL6,Footnote Reference_LVL61,Footnote Reference_LVL62,Footnote Reference_LVL63,Footnote Reference_LVL64,Footnotes refss Caracter,Appel note de bas de p Caracter,ftref"/>
    <w:basedOn w:val="DefaultParagraphFont"/>
    <w:uiPriority w:val="99"/>
    <w:unhideWhenUsed/>
    <w:rsid w:val="00233CF3"/>
    <w:rPr>
      <w:vertAlign w:val="superscript"/>
    </w:rPr>
  </w:style>
  <w:style w:type="paragraph" w:customStyle="1" w:styleId="doc-ti">
    <w:name w:val="doc-ti"/>
    <w:basedOn w:val="Normal"/>
    <w:rsid w:val="002D4CF4"/>
    <w:pPr>
      <w:spacing w:before="100" w:beforeAutospacing="1" w:after="100" w:afterAutospacing="1" w:line="240" w:lineRule="auto"/>
      <w:ind w:firstLine="0"/>
      <w:jc w:val="left"/>
    </w:pPr>
    <w:rPr>
      <w:rFonts w:eastAsia="Times New Roman"/>
      <w:szCs w:val="24"/>
      <w:lang w:val="ro-RO" w:eastAsia="ro-RO"/>
    </w:rPr>
  </w:style>
  <w:style w:type="character" w:styleId="Hyperlink">
    <w:name w:val="Hyperlink"/>
    <w:basedOn w:val="DefaultParagraphFont"/>
    <w:uiPriority w:val="99"/>
    <w:unhideWhenUsed/>
    <w:rsid w:val="00062E9A"/>
    <w:rPr>
      <w:color w:val="0000FF"/>
      <w:u w:val="single"/>
    </w:rPr>
  </w:style>
  <w:style w:type="character" w:styleId="CommentReference">
    <w:name w:val="annotation reference"/>
    <w:basedOn w:val="DefaultParagraphFont"/>
    <w:uiPriority w:val="99"/>
    <w:semiHidden/>
    <w:unhideWhenUsed/>
    <w:rsid w:val="00185644"/>
    <w:rPr>
      <w:sz w:val="16"/>
      <w:szCs w:val="16"/>
    </w:rPr>
  </w:style>
  <w:style w:type="paragraph" w:styleId="CommentText">
    <w:name w:val="annotation text"/>
    <w:basedOn w:val="Normal"/>
    <w:link w:val="CommentTextChar"/>
    <w:uiPriority w:val="99"/>
    <w:semiHidden/>
    <w:unhideWhenUsed/>
    <w:rsid w:val="00185644"/>
    <w:pPr>
      <w:spacing w:line="240" w:lineRule="auto"/>
    </w:pPr>
    <w:rPr>
      <w:sz w:val="20"/>
      <w:szCs w:val="20"/>
    </w:rPr>
  </w:style>
  <w:style w:type="character" w:customStyle="1" w:styleId="CommentTextChar">
    <w:name w:val="Comment Text Char"/>
    <w:basedOn w:val="DefaultParagraphFont"/>
    <w:link w:val="CommentText"/>
    <w:uiPriority w:val="99"/>
    <w:semiHidden/>
    <w:rsid w:val="00185644"/>
    <w:rPr>
      <w:sz w:val="20"/>
      <w:szCs w:val="20"/>
    </w:rPr>
  </w:style>
  <w:style w:type="paragraph" w:styleId="CommentSubject">
    <w:name w:val="annotation subject"/>
    <w:basedOn w:val="CommentText"/>
    <w:next w:val="CommentText"/>
    <w:link w:val="CommentSubjectChar"/>
    <w:uiPriority w:val="99"/>
    <w:semiHidden/>
    <w:unhideWhenUsed/>
    <w:rsid w:val="00185644"/>
    <w:rPr>
      <w:b/>
      <w:bCs/>
    </w:rPr>
  </w:style>
  <w:style w:type="character" w:customStyle="1" w:styleId="CommentSubjectChar">
    <w:name w:val="Comment Subject Char"/>
    <w:basedOn w:val="CommentTextChar"/>
    <w:link w:val="CommentSubject"/>
    <w:uiPriority w:val="99"/>
    <w:semiHidden/>
    <w:rsid w:val="00185644"/>
    <w:rPr>
      <w:b/>
      <w:bCs/>
      <w:sz w:val="20"/>
      <w:szCs w:val="20"/>
    </w:rPr>
  </w:style>
  <w:style w:type="character" w:customStyle="1" w:styleId="Heading2Char">
    <w:name w:val="Heading 2 Char"/>
    <w:basedOn w:val="DefaultParagraphFont"/>
    <w:link w:val="Heading2"/>
    <w:rsid w:val="00A638C2"/>
    <w:rPr>
      <w:rFonts w:eastAsia="Times New Roman"/>
      <w:bCs/>
      <w:iCs/>
      <w:sz w:val="28"/>
      <w:szCs w:val="24"/>
      <w:lang w:val="ro-RO" w:eastAsia="zh-CN"/>
    </w:rPr>
  </w:style>
  <w:style w:type="paragraph" w:customStyle="1" w:styleId="PreformatatHTML1">
    <w:name w:val="Preformatat HTML1"/>
    <w:basedOn w:val="Normal"/>
    <w:rsid w:val="00A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eastAsia="Times New Roman" w:hAnsi="Courier New" w:cs="Courier New"/>
      <w:sz w:val="20"/>
      <w:szCs w:val="20"/>
      <w:lang w:eastAsia="zh-CN"/>
    </w:rPr>
  </w:style>
  <w:style w:type="paragraph" w:customStyle="1" w:styleId="Default">
    <w:name w:val="Default"/>
    <w:rsid w:val="00A638C2"/>
    <w:pPr>
      <w:suppressAutoHyphens/>
      <w:autoSpaceDE w:val="0"/>
      <w:spacing w:line="240" w:lineRule="auto"/>
      <w:ind w:firstLine="0"/>
      <w:jc w:val="left"/>
    </w:pPr>
    <w:rPr>
      <w:rFonts w:eastAsia="Times New Roman"/>
      <w:color w:val="000000"/>
      <w:szCs w:val="24"/>
      <w:lang w:eastAsia="zh-CN"/>
    </w:rPr>
  </w:style>
  <w:style w:type="paragraph" w:customStyle="1" w:styleId="c01pointnumerotealtn">
    <w:name w:val="c01pointnumerotealtn"/>
    <w:basedOn w:val="Normal"/>
    <w:rsid w:val="00A638C2"/>
    <w:pPr>
      <w:spacing w:before="100" w:beforeAutospacing="1" w:after="240" w:line="240" w:lineRule="auto"/>
      <w:ind w:left="567" w:hanging="539"/>
    </w:pPr>
    <w:rPr>
      <w:rFonts w:eastAsia="Times New Roman"/>
      <w:szCs w:val="24"/>
    </w:rPr>
  </w:style>
  <w:style w:type="paragraph" w:styleId="NormalWeb">
    <w:name w:val="Normal (Web)"/>
    <w:aliases w:val="Normal (Web) Char1,Normal (Web) Char Char,Normal (Web) Char Char Char Char Char,Normal (Web) Char Char Char1 Char,Normal (Web)1 Char,Normal (Web) Char Char Char2 Char,Normal (Web) Char Char Char3 Char,Normal (Web) Char Char Char4 Char"/>
    <w:basedOn w:val="Normal"/>
    <w:uiPriority w:val="99"/>
    <w:rsid w:val="00111B94"/>
    <w:pPr>
      <w:spacing w:before="100" w:beforeAutospacing="1" w:after="100" w:afterAutospacing="1" w:line="240" w:lineRule="auto"/>
      <w:ind w:firstLine="0"/>
      <w:jc w:val="left"/>
    </w:pPr>
    <w:rPr>
      <w:rFonts w:eastAsia="Times New Roman"/>
      <w:szCs w:val="24"/>
    </w:rPr>
  </w:style>
  <w:style w:type="paragraph" w:styleId="Revision">
    <w:name w:val="Revision"/>
    <w:hidden/>
    <w:uiPriority w:val="99"/>
    <w:semiHidden/>
    <w:rsid w:val="004B5FE2"/>
    <w:pPr>
      <w:spacing w:line="240" w:lineRule="auto"/>
      <w:ind w:firstLine="0"/>
      <w:jc w:val="left"/>
    </w:pPr>
  </w:style>
  <w:style w:type="character" w:customStyle="1" w:styleId="Heading1Char">
    <w:name w:val="Heading 1 Char"/>
    <w:basedOn w:val="DefaultParagraphFont"/>
    <w:link w:val="Heading1"/>
    <w:uiPriority w:val="9"/>
    <w:rsid w:val="004B5FE2"/>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9961461">
      <w:bodyDiv w:val="1"/>
      <w:marLeft w:val="0"/>
      <w:marRight w:val="0"/>
      <w:marTop w:val="0"/>
      <w:marBottom w:val="0"/>
      <w:divBdr>
        <w:top w:val="none" w:sz="0" w:space="0" w:color="auto"/>
        <w:left w:val="none" w:sz="0" w:space="0" w:color="auto"/>
        <w:bottom w:val="none" w:sz="0" w:space="0" w:color="auto"/>
        <w:right w:val="none" w:sz="0" w:space="0" w:color="auto"/>
      </w:divBdr>
    </w:div>
    <w:div w:id="233781664">
      <w:bodyDiv w:val="1"/>
      <w:marLeft w:val="0"/>
      <w:marRight w:val="0"/>
      <w:marTop w:val="0"/>
      <w:marBottom w:val="0"/>
      <w:divBdr>
        <w:top w:val="none" w:sz="0" w:space="0" w:color="auto"/>
        <w:left w:val="none" w:sz="0" w:space="0" w:color="auto"/>
        <w:bottom w:val="none" w:sz="0" w:space="0" w:color="auto"/>
        <w:right w:val="none" w:sz="0" w:space="0" w:color="auto"/>
      </w:divBdr>
    </w:div>
    <w:div w:id="410396599">
      <w:bodyDiv w:val="1"/>
      <w:marLeft w:val="0"/>
      <w:marRight w:val="0"/>
      <w:marTop w:val="0"/>
      <w:marBottom w:val="0"/>
      <w:divBdr>
        <w:top w:val="none" w:sz="0" w:space="0" w:color="auto"/>
        <w:left w:val="none" w:sz="0" w:space="0" w:color="auto"/>
        <w:bottom w:val="none" w:sz="0" w:space="0" w:color="auto"/>
        <w:right w:val="none" w:sz="0" w:space="0" w:color="auto"/>
      </w:divBdr>
    </w:div>
    <w:div w:id="1716807510">
      <w:bodyDiv w:val="1"/>
      <w:marLeft w:val="0"/>
      <w:marRight w:val="0"/>
      <w:marTop w:val="0"/>
      <w:marBottom w:val="0"/>
      <w:divBdr>
        <w:top w:val="none" w:sz="0" w:space="0" w:color="auto"/>
        <w:left w:val="none" w:sz="0" w:space="0" w:color="auto"/>
        <w:bottom w:val="none" w:sz="0" w:space="0" w:color="auto"/>
        <w:right w:val="none" w:sz="0" w:space="0" w:color="auto"/>
      </w:divBdr>
    </w:div>
    <w:div w:id="1851800110">
      <w:bodyDiv w:val="1"/>
      <w:marLeft w:val="0"/>
      <w:marRight w:val="0"/>
      <w:marTop w:val="0"/>
      <w:marBottom w:val="0"/>
      <w:divBdr>
        <w:top w:val="none" w:sz="0" w:space="0" w:color="auto"/>
        <w:left w:val="none" w:sz="0" w:space="0" w:color="auto"/>
        <w:bottom w:val="none" w:sz="0" w:space="0" w:color="auto"/>
        <w:right w:val="none" w:sz="0" w:space="0" w:color="auto"/>
      </w:divBdr>
    </w:div>
    <w:div w:id="19997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2926-0045-4765-A935-81584FB0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RUGINA Adina Ioana</dc:creator>
  <cp:keywords/>
  <dc:description/>
  <cp:lastModifiedBy>74608387</cp:lastModifiedBy>
  <cp:revision>3</cp:revision>
  <cp:lastPrinted>2021-02-17T12:16:00Z</cp:lastPrinted>
  <dcterms:created xsi:type="dcterms:W3CDTF">2021-02-17T12:18:00Z</dcterms:created>
  <dcterms:modified xsi:type="dcterms:W3CDTF">2021-03-04T14:00:00Z</dcterms:modified>
</cp:coreProperties>
</file>