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BE" w:rsidRPr="00700784" w:rsidRDefault="00090C34"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EXPUNERE DE MOTIVE</w:t>
      </w:r>
    </w:p>
    <w:p w:rsidR="00BA725F" w:rsidRPr="00700784" w:rsidRDefault="00BA725F" w:rsidP="00700784">
      <w:pPr>
        <w:spacing w:line="276" w:lineRule="auto"/>
        <w:ind w:left="0"/>
        <w:jc w:val="center"/>
        <w:rPr>
          <w:rFonts w:ascii="Times New Roman" w:hAnsi="Times New Roman" w:cs="Times New Roman"/>
          <w:b/>
          <w:bCs/>
          <w:sz w:val="24"/>
          <w:szCs w:val="24"/>
        </w:rPr>
      </w:pPr>
    </w:p>
    <w:tbl>
      <w:tblPr>
        <w:tblpPr w:leftFromText="180" w:rightFromText="180" w:vertAnchor="text" w:horzAnchor="margin" w:tblpY="3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BA725F" w:rsidRPr="00700784" w:rsidTr="00BA725F">
        <w:trPr>
          <w:trHeight w:val="1269"/>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Secțiunea 1</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Titlul proiectului de act normativ</w:t>
            </w:r>
          </w:p>
          <w:p w:rsidR="009E45DF" w:rsidRPr="00700784" w:rsidRDefault="009E45DF" w:rsidP="00700784">
            <w:pPr>
              <w:spacing w:line="276" w:lineRule="auto"/>
              <w:ind w:left="0"/>
              <w:jc w:val="center"/>
              <w:rPr>
                <w:rFonts w:ascii="Times New Roman" w:hAnsi="Times New Roman" w:cs="Times New Roman"/>
                <w:sz w:val="24"/>
                <w:szCs w:val="24"/>
              </w:rPr>
            </w:pPr>
          </w:p>
          <w:p w:rsidR="00BA725F" w:rsidRPr="00700784" w:rsidRDefault="00BA725F" w:rsidP="001D7957">
            <w:pPr>
              <w:spacing w:line="276" w:lineRule="auto"/>
              <w:ind w:left="0"/>
              <w:jc w:val="center"/>
              <w:rPr>
                <w:rFonts w:ascii="Times New Roman" w:hAnsi="Times New Roman" w:cs="Times New Roman"/>
                <w:sz w:val="24"/>
                <w:szCs w:val="24"/>
              </w:rPr>
            </w:pPr>
            <w:r w:rsidRPr="00700784">
              <w:rPr>
                <w:rFonts w:ascii="Times New Roman" w:hAnsi="Times New Roman" w:cs="Times New Roman"/>
                <w:sz w:val="24"/>
                <w:szCs w:val="24"/>
              </w:rPr>
              <w:t>Lege pentru modificarea și completarea Legii nr. 213/2015 privind Fondul de garantare a asiguraților</w:t>
            </w:r>
            <w:r w:rsidR="001D7957">
              <w:rPr>
                <w:rFonts w:ascii="Times New Roman" w:hAnsi="Times New Roman" w:cs="Times New Roman"/>
                <w:sz w:val="24"/>
                <w:szCs w:val="24"/>
              </w:rPr>
              <w:t xml:space="preserve"> </w:t>
            </w:r>
            <w:r w:rsidR="001D7957" w:rsidRPr="001D7957">
              <w:rPr>
                <w:rFonts w:ascii="Times New Roman" w:hAnsi="Times New Roman" w:cs="Times New Roman"/>
                <w:sz w:val="24"/>
                <w:szCs w:val="24"/>
              </w:rPr>
              <w:t>și pentru modificarea altor acte normative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2-a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Motivul emiterii actului normativ</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1. Descrierea situaţiei actuale</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Scopul Fondului de garantare a asiguraților, denumit în cele ce urmează Fondul, este acela de a asigura plata din disponibilitățile sale a creanțelor de asigurări rezultate din contractele de asigurare facultative și obligatorii încheiate în condițiile legii, în cazul insolvenței unui asigurător autorizat  în România, către creditorii de asigurări care aleg să parcurgă procedura administrativă reglementată de această lege prin formularea de cereri de plată în acest sens și cu</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respectarea plafonului de garantare prevăzut de lege.</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În vederea asigurării deplinei legalități cu privire la efectuarea plăților către asigurații societăților de asigurare intrate în procedura de faliment, s-a impus reglementarea prin act normativ a Fondului, sub forma unei persoane juridice de drept public, dobândirea personalității juridice urmărind atât să elimine probleme de ordin jurisdicțional, precum calitatea procesuală a Fondului, competența funcțională și teritorială, controlul financiar și auditul activității Fondului, cât și să reglementeze autonomia și legitimitatea Fondului în vederea exercitării unor funcții speciale în procedurile de redresare financiară prin administrare specială, lichidare voluntară precum și a celor instituite prin Legea nr. 246/2015 privind redresarea și rezoluția asigurătorilor.</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 xml:space="preserve">Așadar, Fondul, ca schemă de garantare în domeniul asigurărilor potrivit legislației comunitare, s-a constituit ca persoană juridică de drept public prin Legea nr. 213/2015 privind Fondul de garantare a asiguraților. </w:t>
            </w: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bCs/>
                <w:sz w:val="24"/>
                <w:szCs w:val="24"/>
              </w:rPr>
              <w:t xml:space="preserve">Legea nr. 213/2015 a avut în vedere crearea unui mecanism viabil și eficient de funcționare a Fondului și a vizat, totodată, reglementarea resurselor de finanțare ale acestuia, precum și procedura și condițiile de plată a creanțelor de asigurări din disponibilitățile Fondului, rolul acestuia pe piața asigurărilor fiind de a crea un impact pozitiv asupra încrederii consumatorilor de produse de asigurare. </w:t>
            </w:r>
          </w:p>
          <w:p w:rsidR="00BA725F" w:rsidRPr="00700784" w:rsidRDefault="00BA725F" w:rsidP="00700784">
            <w:pPr>
              <w:spacing w:line="276" w:lineRule="auto"/>
              <w:ind w:left="0" w:firstLine="567"/>
              <w:rPr>
                <w:rFonts w:ascii="Times New Roman" w:hAnsi="Times New Roman" w:cs="Times New Roman"/>
                <w:b/>
                <w:bCs/>
                <w:sz w:val="24"/>
                <w:szCs w:val="24"/>
              </w:rPr>
            </w:pPr>
            <w:r w:rsidRPr="00700784">
              <w:rPr>
                <w:rFonts w:ascii="Times New Roman" w:hAnsi="Times New Roman" w:cs="Times New Roman"/>
                <w:bCs/>
                <w:sz w:val="24"/>
                <w:szCs w:val="24"/>
              </w:rPr>
              <w:t xml:space="preserve">Activitatea desfășurată de către Fond în baza Legii nr. 213/2015 și a Legii nr. 503/2004 </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privind redresarea financiară, falimentul, dizolvarea şi lichidarea voluntară în activitatea de asigurări, republicată, cu modificările ulterioare, se reflectă ca și finalitate prin înscrierea la masa credală a asigurătorului în faliment, conform dispozițiilor Legii nr. 85/2014</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privind procedurile de prevenire a insolvenţei şi de insolvenţă,  cu modificările și completările ulterioare, a sumelor achitate creditorilor de asigurări, precum și a cheltuielilor înregistrate din desfășurarea activității de instrumentare a dosarelor de asigurare.</w:t>
            </w:r>
            <w:r w:rsidRPr="00700784">
              <w:rPr>
                <w:rFonts w:ascii="Times New Roman" w:hAnsi="Times New Roman" w:cs="Times New Roman"/>
                <w:b/>
                <w:bCs/>
                <w:sz w:val="24"/>
                <w:szCs w:val="24"/>
              </w:rPr>
              <w:t xml:space="preserve"> </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bCs/>
                <w:sz w:val="24"/>
                <w:szCs w:val="24"/>
              </w:rPr>
              <w:t xml:space="preserve">Aplicarea prevederilor Legii nr. 213/2015 în perioada scursă de la intrarea sa în vigoare și soluțiile date de instanțele judecătorești competente în legătură cu interpretarea prevederilor acestei legi au relevat necesitatea adaptării dispozițiilor legii pentru a ține cont de evoluțiile </w:t>
            </w:r>
            <w:r w:rsidRPr="00700784">
              <w:rPr>
                <w:rFonts w:ascii="Times New Roman" w:hAnsi="Times New Roman" w:cs="Times New Roman"/>
                <w:bCs/>
                <w:sz w:val="24"/>
                <w:szCs w:val="24"/>
              </w:rPr>
              <w:lastRenderedPageBreak/>
              <w:t>legislative din domeniul asigurărilor, de evoluțiile economico–sociale și de necesitatea creșterii gradului de protecție a creditorilor de asigurări împotriva consecințelor falimentului unui asigurător.</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lastRenderedPageBreak/>
              <w:t>2. Schimbări preconizate</w:t>
            </w:r>
          </w:p>
          <w:p w:rsidR="00FE21AF" w:rsidRPr="00700784" w:rsidRDefault="00FE21AF" w:rsidP="00700784">
            <w:pPr>
              <w:spacing w:line="276" w:lineRule="auto"/>
              <w:ind w:left="0"/>
              <w:rPr>
                <w:rFonts w:ascii="Times New Roman" w:hAnsi="Times New Roman" w:cs="Times New Roman"/>
                <w:b/>
                <w:bCs/>
                <w:sz w:val="24"/>
                <w:szCs w:val="24"/>
              </w:rPr>
            </w:pPr>
          </w:p>
          <w:p w:rsidR="00BA725F" w:rsidRPr="00700784" w:rsidRDefault="00BA725F" w:rsidP="00700784">
            <w:pPr>
              <w:spacing w:line="276" w:lineRule="auto"/>
              <w:ind w:left="0" w:firstLine="567"/>
              <w:rPr>
                <w:rFonts w:ascii="Times New Roman" w:hAnsi="Times New Roman" w:cs="Times New Roman"/>
                <w:bCs/>
                <w:sz w:val="24"/>
                <w:szCs w:val="24"/>
              </w:rPr>
            </w:pPr>
            <w:r w:rsidRPr="00700784">
              <w:rPr>
                <w:rFonts w:ascii="Times New Roman" w:hAnsi="Times New Roman" w:cs="Times New Roman"/>
                <w:sz w:val="24"/>
                <w:szCs w:val="24"/>
              </w:rPr>
              <w:t xml:space="preserve">Printre principalele modificări și completări aduse </w:t>
            </w:r>
            <w:r w:rsidRPr="00700784">
              <w:rPr>
                <w:rFonts w:ascii="Times New Roman" w:hAnsi="Times New Roman" w:cs="Times New Roman"/>
                <w:i/>
                <w:sz w:val="24"/>
                <w:szCs w:val="24"/>
              </w:rPr>
              <w:t>Legii nr. 213/2015  privind Fondul de garantare a asiguraților</w:t>
            </w: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se numără: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modificarea definiției plafonului de garantare cu referire expresă la nivelul  maxim al garantării pe un contract, nu pe un creditor de asigurare astfel cum este reglementat  în prezent; modificarea este necesară pentru a se asigura o protecție reală a creditorilor de asigurări care au calitatea de contractant în mai multe contracte de asigurare încheiate cu societatea în faliment și ține cont totodată de considerentele Deciziei nr. 29/2020 a Înaltei Curți de Casaţie şi Justiţie, din dosarul nr. 3167/1/2019, conform căreia plafonul de garantare prevăzut de lege se aplică pe creanţe de asigurare, în situaţiile în care se exercită dreptul de regres de către societatea de asigurare care a efectuat plata indemnizaţiei către propriul asigurat, ca efect al subrogării în drepturile asiguratului CASCO, pentru fiecare creanţă în parte;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majorarea cuantumului plafonului de garantare de la 450.000 lei la 500.000 lei, pentru ajustare la rata inflației din ultimii ani;</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introducerea prevederii conform căreia, din suma cuvenită creditorului de asigurări, se rețin sumele datorate de către acesta conform contractului de asigurare încheiat între părți; scopul prevederii propuse este acela de a diminua durata în care Fondul plătește creditorilor de asigurări sumele datorate, în practică întâlnindu-se situații în care plata a putut fi efectuată, conform legii, numai după ce creditorul a făcut dovadă că a achitat primele restante conform condițiilor contractuale;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lang w:eastAsia="ro-RO"/>
              </w:rPr>
              <w:t xml:space="preserve">reglementarea competenței </w:t>
            </w:r>
            <w:r w:rsidRPr="00700784">
              <w:rPr>
                <w:rFonts w:ascii="Times New Roman" w:hAnsi="Times New Roman" w:cs="Times New Roman"/>
                <w:sz w:val="24"/>
                <w:szCs w:val="24"/>
              </w:rPr>
              <w:t xml:space="preserve">Fondului </w:t>
            </w:r>
            <w:r w:rsidRPr="00700784">
              <w:rPr>
                <w:rFonts w:ascii="Times New Roman" w:eastAsiaTheme="minorHAnsi" w:hAnsi="Times New Roman" w:cs="Times New Roman"/>
                <w:sz w:val="24"/>
                <w:szCs w:val="24"/>
                <w:lang w:eastAsia="ro-RO"/>
              </w:rPr>
              <w:t>de a deschide dosare de daună</w:t>
            </w:r>
            <w:r w:rsidRPr="00700784">
              <w:rPr>
                <w:rFonts w:ascii="Times New Roman" w:hAnsi="Times New Roman" w:cs="Times New Roman"/>
                <w:sz w:val="24"/>
                <w:szCs w:val="24"/>
              </w:rPr>
              <w:t xml:space="preserve">, la solicitarea petenților, </w:t>
            </w:r>
            <w:r w:rsidRPr="00700784">
              <w:rPr>
                <w:rFonts w:ascii="Times New Roman" w:eastAsiaTheme="minorHAnsi" w:hAnsi="Times New Roman" w:cs="Times New Roman"/>
                <w:sz w:val="24"/>
                <w:szCs w:val="24"/>
                <w:lang w:eastAsia="ro-RO"/>
              </w:rPr>
              <w:t xml:space="preserve"> în cazul daunelor avizate la asigurători înainte de data retragerii autorizației de funcționare, dar pentru care aceștia nu au deschis dosarele de daună, </w:t>
            </w:r>
            <w:r w:rsidRPr="00700784">
              <w:rPr>
                <w:rFonts w:ascii="Times New Roman" w:hAnsi="Times New Roman" w:cs="Times New Roman"/>
                <w:sz w:val="24"/>
                <w:szCs w:val="24"/>
              </w:rPr>
              <w:t>precum și de a efectua constatări suplimentare pentru dosarele deja deschise de asigurători; scopul prevederilor propuse este acela de a proteja creditorii de asigurări aflați în situațiile descrise, situații întâlnite în practică;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concentrarea materiei în aceeași reglementare, prin preluarea în proiectul de lege, cu adaptări, a prevederilor art. 23 alin. (1) din Legea nr. 503/2004, </w:t>
            </w:r>
            <w:r w:rsidRPr="00700784">
              <w:rPr>
                <w:rFonts w:ascii="Times New Roman" w:hAnsi="Times New Roman" w:cs="Times New Roman"/>
                <w:bCs/>
                <w:sz w:val="24"/>
                <w:szCs w:val="24"/>
              </w:rPr>
              <w:t>republicată, cu modificările ulterioare,</w:t>
            </w:r>
            <w:r w:rsidRPr="00700784">
              <w:rPr>
                <w:rFonts w:ascii="Times New Roman" w:hAnsi="Times New Roman" w:cs="Times New Roman"/>
                <w:sz w:val="24"/>
                <w:szCs w:val="24"/>
              </w:rPr>
              <w:t xml:space="preserve"> referitoare la obligația asigurătorului pentru care s-a dispus măsura retragerii autorizației de funcționare și s-a constatat existența indiciilor stării de insolvență de a preda Fondului o serie de evidențe (privind contractele de asigurare în vigoare, dosarele de daună etc) și răspunderea conducerii societății pentru neîndeplinirea acestei obligații. </w:t>
            </w:r>
          </w:p>
          <w:p w:rsidR="00BA725F" w:rsidRPr="00700784" w:rsidRDefault="00BA725F" w:rsidP="00700784">
            <w:pPr>
              <w:pStyle w:val="ListParagraph"/>
              <w:spacing w:after="0"/>
              <w:ind w:left="420"/>
              <w:jc w:val="both"/>
              <w:rPr>
                <w:rFonts w:ascii="Times New Roman" w:hAnsi="Times New Roman" w:cs="Times New Roman"/>
                <w:sz w:val="24"/>
                <w:szCs w:val="24"/>
              </w:rPr>
            </w:pPr>
            <w:r w:rsidRPr="00700784">
              <w:rPr>
                <w:rFonts w:ascii="Times New Roman" w:hAnsi="Times New Roman" w:cs="Times New Roman"/>
                <w:sz w:val="24"/>
                <w:szCs w:val="24"/>
              </w:rPr>
              <w:t xml:space="preserve">Adaptarea textului preluat constă, în principal, în raportarea termenului de predare a evidențelor la </w:t>
            </w:r>
            <w:r w:rsidRPr="00700784">
              <w:rPr>
                <w:rFonts w:ascii="Times New Roman" w:hAnsi="Times New Roman" w:cs="Times New Roman"/>
                <w:i/>
                <w:sz w:val="24"/>
                <w:szCs w:val="24"/>
              </w:rPr>
              <w:t>„data publicării deciziei A.S.F. de retragere a autorizației de funcționare și constatare a existenţei indiciilor stării de insolvenţă”</w:t>
            </w:r>
            <w:r w:rsidRPr="00700784">
              <w:rPr>
                <w:rFonts w:ascii="Times New Roman" w:hAnsi="Times New Roman" w:cs="Times New Roman"/>
                <w:sz w:val="24"/>
                <w:szCs w:val="24"/>
              </w:rPr>
              <w:t xml:space="preserve">, spre deosebire de prevederile actuale în care acest termen se raportează la </w:t>
            </w:r>
            <w:r w:rsidRPr="00700784">
              <w:rPr>
                <w:rFonts w:ascii="Times New Roman" w:hAnsi="Times New Roman" w:cs="Times New Roman"/>
                <w:i/>
                <w:sz w:val="24"/>
                <w:szCs w:val="24"/>
              </w:rPr>
              <w:t xml:space="preserve">„data publicării deciziei de închidere a procedurii de redresare financiară”, </w:t>
            </w:r>
            <w:r w:rsidRPr="00700784">
              <w:rPr>
                <w:rFonts w:ascii="Times New Roman" w:hAnsi="Times New Roman" w:cs="Times New Roman"/>
                <w:sz w:val="24"/>
                <w:szCs w:val="24"/>
              </w:rPr>
              <w:t xml:space="preserve">pentru a cuprinde și situaţiile în care decizia de retragere a autorizației este emisă fără ca în prealabil să fi fost parcursă o procedură de redresare financiară; o adaptare similară a fost efectuată și la art. 12 alin. (1) care </w:t>
            </w:r>
            <w:r w:rsidRPr="00700784">
              <w:rPr>
                <w:rFonts w:ascii="Times New Roman" w:hAnsi="Times New Roman" w:cs="Times New Roman"/>
                <w:sz w:val="24"/>
                <w:szCs w:val="24"/>
              </w:rPr>
              <w:lastRenderedPageBreak/>
              <w:t>reglementează posibilitatea creditorilor de asigurări de a solicita Fondului deschiderea dosarului de daune;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introducerea unor dispoziții privind s</w:t>
            </w:r>
            <w:r w:rsidRPr="00700784">
              <w:rPr>
                <w:rFonts w:ascii="Times New Roman" w:hAnsi="Times New Roman" w:cs="Times New Roman"/>
                <w:bCs/>
                <w:sz w:val="24"/>
                <w:szCs w:val="24"/>
                <w:lang w:eastAsia="ro-RO"/>
              </w:rPr>
              <w:t xml:space="preserve">tabilirea cuantumului daunelor morale </w:t>
            </w:r>
            <w:r w:rsidRPr="00700784">
              <w:rPr>
                <w:rFonts w:ascii="Times New Roman" w:hAnsi="Times New Roman" w:cs="Times New Roman"/>
                <w:sz w:val="24"/>
                <w:szCs w:val="24"/>
              </w:rPr>
              <w:t xml:space="preserve">cu respectarea principiului echității și prin raportare la consecințele negative suferite în plan fizic și psihic, ținându-se cont de criterii obiective și rezonabile; </w:t>
            </w:r>
            <w:r w:rsidRPr="00700784">
              <w:rPr>
                <w:rFonts w:ascii="Times New Roman" w:hAnsi="Times New Roman" w:cs="Times New Roman"/>
                <w:bCs/>
                <w:sz w:val="24"/>
                <w:szCs w:val="24"/>
                <w:lang w:eastAsia="ro-RO"/>
              </w:rPr>
              <w:t>prevederea este necesară în condițiile în care procesul de determinare a cuantumului acestui tip de daune include o doză irefutabilă de aproximare raportată la unele criterii precum situația familială, profesională și socială și are drept scop stabilirea unei valori fără a se ajunge la o îmbogățire fără just temei</w:t>
            </w:r>
            <w:r w:rsidRPr="00700784">
              <w:rPr>
                <w:rFonts w:ascii="Times New Roman" w:hAnsi="Times New Roman" w:cs="Times New Roman"/>
                <w:sz w:val="24"/>
                <w:szCs w:val="24"/>
              </w:rPr>
              <w:t xml:space="preserve">; </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reglementarea expresă a faptului că executarea silită pentru titlurile executorii obținute împotriva asigurătorului în faliment nu poate fi demarată împotriva Fondului; prevederea ține cont de considerentele Deciziei Curții Constituționale nr. 80/2017 și de necesitatea corelării cu dispozițiile Legii nr. 85/2014, cu modificările și completările ulterioare, având în vedere faptul că Fondul nu se susbstituie asigurătorului în faliment și că nu există o transmisiune a obligațiilor acestuia către Fond;</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modificarea căii de atac a deciziilor Fondului de respingere a plății sumelor solicitate; astfel, proiectul de lege prevede faptul că asemenea decizii pot fi contestate la instanțele civile  în a căror circumscripție își are sediul Fondul (spre deosebire de prevederile actuale care stabilesc posibilitatea de contestare la Curtea de Apel Bucureşti),</w:t>
            </w:r>
            <w:r w:rsidR="00EA14A3">
              <w:rPr>
                <w:rFonts w:ascii="Times New Roman" w:hAnsi="Times New Roman" w:cs="Times New Roman"/>
                <w:sz w:val="24"/>
                <w:szCs w:val="24"/>
              </w:rPr>
              <w:t xml:space="preserve"> </w:t>
            </w:r>
            <w:r w:rsidR="003B79AC">
              <w:rPr>
                <w:rFonts w:ascii="Times New Roman" w:hAnsi="Times New Roman" w:cs="Times New Roman"/>
                <w:sz w:val="24"/>
                <w:szCs w:val="24"/>
              </w:rPr>
              <w:t>căile de atac fiind cele prevăzute de Codul de procedură civilă</w:t>
            </w:r>
            <w:r w:rsidRPr="00700784">
              <w:rPr>
                <w:rFonts w:ascii="Times New Roman" w:hAnsi="Times New Roman" w:cs="Times New Roman"/>
                <w:sz w:val="24"/>
                <w:szCs w:val="24"/>
              </w:rPr>
              <w:t>. Modificarea căii de atac din contencios în civil survine ca urmare a solicitării Înaltei Curți de Casație și Justiție, prin Ministerul Justiției;</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ca o consecință a modificării căii de atac din contencios în civil, proiectul de lege conține totodată propunerea de modificare a alin. (1) de la art. 14 din Ordonanţa de urgenţă nr. 80/2013 privind taxele judiciare de timbru, cu modificările și completările ulterioare, astfel încât taxa de timbru de 200 lei prevăzută la acest alineat să fie aplicată și în cazul contestațiilor introduse la instanţele judecătoreşti în temeiul Legii nr. 213/2015;</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 xml:space="preserve">introducerea posibilității </w:t>
            </w:r>
            <w:r w:rsidRPr="00700784">
              <w:rPr>
                <w:rFonts w:ascii="Times New Roman" w:hAnsi="Times New Roman" w:cs="Times New Roman"/>
                <w:bCs/>
                <w:sz w:val="24"/>
                <w:szCs w:val="24"/>
                <w:lang w:eastAsia="ro-RO"/>
              </w:rPr>
              <w:t xml:space="preserve">Fondului </w:t>
            </w:r>
            <w:r w:rsidRPr="00700784">
              <w:rPr>
                <w:rFonts w:ascii="Times New Roman" w:hAnsi="Times New Roman" w:cs="Times New Roman"/>
                <w:sz w:val="24"/>
                <w:szCs w:val="24"/>
              </w:rPr>
              <w:t>de a se îndrepta în mod direct împotriva persoanelor care au încasat necuvenit sume de la Fond, în vederea recuperării acestora putând exercita astfel de acțiuni inclusiv împotriva persoanelor care îndeplinesc servicii de interes public și care au încasat necuvenit sume de la Fond în exercitarea acestor servicii; propunerea are în vedere practica judiciară în domeniul executărilor silite urmare a numeroase demersuri de executare silită declanșate de către executori judecătorești;</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actualizarea capitolului privind contravențiile și sancțiunile, inclusiv introducerea unor prevederi privind posibilitatea aplicării de sancţiuni contravenționale complementare;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lang w:eastAsia="ro-RO"/>
              </w:rPr>
            </w:pPr>
            <w:r w:rsidRPr="00700784">
              <w:rPr>
                <w:rFonts w:ascii="Times New Roman" w:hAnsi="Times New Roman" w:cs="Times New Roman"/>
                <w:sz w:val="24"/>
                <w:szCs w:val="24"/>
              </w:rPr>
              <w:t>reglementarea competenței A.S.F. de numire a Fondului ca administrator interimar al unui asigurător pentru care se dispune măsura retragerii autorizației de funcționare și se constată indiciile existenței stării de insolvență, precum și reglementarea atribuțiilor de administrator interimar constând în conservarea patrimoniului societății între data deciziei A.S.F. și data deschiderii procedurii de faliment când este desemnat un lichidator judiciar</w:t>
            </w:r>
            <w:r w:rsidRPr="00700784">
              <w:rPr>
                <w:rFonts w:ascii="Times New Roman" w:hAnsi="Times New Roman" w:cs="Times New Roman"/>
                <w:sz w:val="24"/>
                <w:szCs w:val="24"/>
                <w:lang w:eastAsia="ro-RO"/>
              </w:rPr>
              <w:t>; pe perioada exercitării atribuției de administrator interimar, atribuțiile conducerii asigurătorului se suspendă de drept, cu câteva excepții expres menționate, cum ar fi cea de predare a evidențelor către Fond;</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reglementarea expresă a dreptului Fondului de a avea puncte de lucru;</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inserarea unei prevederi rezultate din necesitatea soluționării dosarelor de daună cu </w:t>
            </w:r>
            <w:r w:rsidRPr="00700784">
              <w:rPr>
                <w:rFonts w:ascii="Times New Roman" w:hAnsi="Times New Roman" w:cs="Times New Roman"/>
                <w:sz w:val="24"/>
                <w:szCs w:val="24"/>
              </w:rPr>
              <w:lastRenderedPageBreak/>
              <w:t>elemente de extraneitate în scopul de a facilita demersurile creditorilor de asigurări, rezidenți în alte state membre, de a obține despăgubiri de la Fond. Astfel, se prevede expres faptul că, pentru a facilita demersurile creditorilor de asigurări rezidenți în alte state membre de a obține despăgubiri de la Fond, acesta poate mandata Biroul Asigurătorilor de Autovehicule din România (BAAR), care este biroul auto român conform prevederilor Legii nr. 132/2017 privind asigurarea obligatorie de răspundere civilă auto pentru prejudicii produse terţilor prin accidente de vehicule şi tramvaie, sau organisme similare din alte state membre/corespondenți externi desemnați să gestioneze dosarele de daună, ținând cont de acordurile semnate în cadrul Sistemului Carte Verde. Prevederea este necesară și în condițiile în care birourile naționale auto garantează plata despăgubirilor chiar și în situația în care asigurătorul membru al biroului care a încheiat Carte Verde, este în stare de faliment, obligație asumată prin aderarea la sistemul Carte Verde. Garanția birourilor este la nivelul despăgubirii datorate conform legii aplicabile, fără nicio limitare a acesteia. Mai mult decât atât, în cadrul sistemului Carte Verde, birourile naționale din statul de înmatriculare/înregistrare a vehiculelor garantează despăgubirea persoanelor prejudiciate prin accidente produse pe teritoriul altor state ale căror birouri naționale au aderat la sistem, iar constatarea și evaluarea prejudiciilor se face, cu deplină competență, de biroul național al statului pe teritoriul căruia s-a produs accidentul, în conformitate cu legea aplicabilă, care este, de regulă legea statului respectiv;</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completarea prevederilor privind resursele financiare ale Fondului, pentru</w:t>
            </w:r>
            <w:r w:rsidRPr="00700784">
              <w:rPr>
                <w:rFonts w:ascii="Times New Roman" w:hAnsi="Times New Roman" w:cs="Times New Roman"/>
                <w:b/>
                <w:sz w:val="24"/>
                <w:szCs w:val="24"/>
              </w:rPr>
              <w:t xml:space="preserve"> </w:t>
            </w:r>
            <w:r w:rsidRPr="00700784">
              <w:rPr>
                <w:rFonts w:ascii="Times New Roman" w:hAnsi="Times New Roman" w:cs="Times New Roman"/>
                <w:sz w:val="24"/>
                <w:szCs w:val="24"/>
              </w:rPr>
              <w:t>corelare cu prevederile Legii nr. 246/2015 privind redresarea şi rezoluţia asigurătorilor;</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reglementarea posibilității Fondului de a-și constitui conturi în valută, precum și de a-și investi resursele financiare și în instrumente financiare și alte plasamente în valută;</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concentrarea materiei în aceeași reglementare, prin preluarea în proiectul de lege a prevederilor  art. 22 din Legea nr. 503/2004, republicată, cu modificările ulterioare, și art. 266 alin. (1) din Legea nr. 85/2014, cu modificările și completările ulterioare, referitoare la momentul nașterii dreptului creditorilor de asigurări de a solicita Fondului plata sumelor datorate conform legii; concomitent se propune abrogarea  art. 22 din Legea nr. 503/2004, republicată, cu modificările ulterioare;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concentrarea materiei în aceeași reglementare, prin preluarea în proiectul de lege, cu adaptările impuse de situațiile întâlnite în practică pe parcursul aplicării legii, a prevederilor art. 23 alin. (2) din Legea nr. 503/2004, republicată, cu modificările ulterioare, referitoare la comisia specială din cadrul Fondului, căreia legea îi conferă competența de a aproba sau, după caz, de a respinge la plată sumele pretinse de petenți; concomitent se propune abrogarea art. 23 din Legea nr. 503/2004, republicată, cu modificările ulterioare;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reglementarea competenței comisiei speciale de a suspenda soluționarea cererii de plată, în situația expres reglementată în proiectul de lege în care petentul solicită prelungirea termenului de furnizare a documentației solicitate de Fond care include acte emise de alte entități private sau publice;</w:t>
            </w:r>
          </w:p>
          <w:p w:rsidR="00BA725F" w:rsidRPr="00700784"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crearea cadrului legal care să permită unor instituții și autorități ale statului (cum ar fi, de exemplu, unităţile de poliţie, medicale</w:t>
            </w:r>
            <w:r w:rsidR="00801A92">
              <w:rPr>
                <w:rFonts w:ascii="Times New Roman" w:hAnsi="Times New Roman" w:cs="Times New Roman"/>
                <w:sz w:val="24"/>
                <w:szCs w:val="24"/>
              </w:rPr>
              <w:t xml:space="preserve">, </w:t>
            </w:r>
            <w:r w:rsidR="00801A92" w:rsidRPr="00AB3BE3">
              <w:rPr>
                <w:rFonts w:ascii="Times New Roman" w:hAnsi="Times New Roman" w:cs="Times New Roman"/>
                <w:sz w:val="24"/>
                <w:szCs w:val="24"/>
                <w:lang w:eastAsia="ro-RO"/>
              </w:rPr>
              <w:t>inspectoratele județene pentru situații de urgență</w:t>
            </w:r>
            <w:r w:rsidRPr="00700784">
              <w:rPr>
                <w:rFonts w:ascii="Times New Roman" w:hAnsi="Times New Roman" w:cs="Times New Roman"/>
                <w:sz w:val="24"/>
                <w:szCs w:val="24"/>
              </w:rPr>
              <w:t xml:space="preserve"> etc) să comunice Fondului, la cerere, informațiile deținute cu privire la cauzele şi împrejurările producerii riscurilor asigurate şi la prejudiciile ori vătămările provocate, în </w:t>
            </w:r>
            <w:r w:rsidRPr="00700784">
              <w:rPr>
                <w:rFonts w:ascii="Times New Roman" w:hAnsi="Times New Roman" w:cs="Times New Roman"/>
                <w:sz w:val="24"/>
                <w:szCs w:val="24"/>
              </w:rPr>
              <w:lastRenderedPageBreak/>
              <w:t>vederea stabilirii şi plăţii despăgubirilor cuvenite;</w:t>
            </w:r>
          </w:p>
          <w:p w:rsidR="00BA725F" w:rsidRDefault="00BA725F" w:rsidP="00700784">
            <w:pPr>
              <w:pStyle w:val="ListParagraph"/>
              <w:numPr>
                <w:ilvl w:val="0"/>
                <w:numId w:val="33"/>
              </w:numPr>
              <w:spacing w:after="0"/>
              <w:jc w:val="both"/>
              <w:rPr>
                <w:rFonts w:ascii="Times New Roman" w:hAnsi="Times New Roman" w:cs="Times New Roman"/>
                <w:sz w:val="24"/>
                <w:szCs w:val="24"/>
              </w:rPr>
            </w:pPr>
            <w:r w:rsidRPr="00700784">
              <w:rPr>
                <w:rFonts w:ascii="Times New Roman" w:hAnsi="Times New Roman" w:cs="Times New Roman"/>
                <w:sz w:val="24"/>
                <w:szCs w:val="24"/>
              </w:rPr>
              <w:t xml:space="preserve">modificarea definițiilor termenilor </w:t>
            </w:r>
            <w:r w:rsidRPr="00700784">
              <w:rPr>
                <w:rFonts w:ascii="Times New Roman" w:hAnsi="Times New Roman" w:cs="Times New Roman"/>
                <w:i/>
                <w:sz w:val="24"/>
                <w:szCs w:val="24"/>
              </w:rPr>
              <w:t>creanță de asigurări</w:t>
            </w:r>
            <w:r w:rsidRPr="00700784">
              <w:rPr>
                <w:rFonts w:ascii="Times New Roman" w:hAnsi="Times New Roman" w:cs="Times New Roman"/>
                <w:sz w:val="24"/>
                <w:szCs w:val="24"/>
              </w:rPr>
              <w:t xml:space="preserve"> și </w:t>
            </w:r>
            <w:r w:rsidRPr="00700784">
              <w:rPr>
                <w:rFonts w:ascii="Times New Roman" w:hAnsi="Times New Roman" w:cs="Times New Roman"/>
                <w:i/>
                <w:sz w:val="24"/>
                <w:szCs w:val="24"/>
              </w:rPr>
              <w:t>creditori de asigurări</w:t>
            </w:r>
            <w:r w:rsidRPr="00700784">
              <w:rPr>
                <w:rFonts w:ascii="Times New Roman" w:hAnsi="Times New Roman" w:cs="Times New Roman"/>
                <w:sz w:val="24"/>
                <w:szCs w:val="24"/>
              </w:rPr>
              <w:t>,  pentru corelare legislativă cu Legea nr. 237/2015 privind autorizarea şi supravegherea activităţii de asigurare şi reasigurare, cu modificările și completările ulterioare, și pentru evitarea unor interpretări contradictorii cu Legea nr. 85/2014, cu modificările și completările ulterioare, în sensul incorect de a încadra creanțele de asigurări născute după data deschiderii procedurii de faliment ca și cheltuieli născute în timpul procedurii;</w:t>
            </w:r>
          </w:p>
          <w:p w:rsidR="00801A92" w:rsidRDefault="00801A92" w:rsidP="00700784">
            <w:pPr>
              <w:pStyle w:val="ListParagraph"/>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 xml:space="preserve">reglementarea competenței A.S.F. de a stabili, prin norme emise în aplicarea legii, </w:t>
            </w:r>
            <w:r w:rsidR="0090074E">
              <w:rPr>
                <w:rFonts w:ascii="Times New Roman" w:hAnsi="Times New Roman" w:cs="Times New Roman"/>
                <w:sz w:val="24"/>
                <w:szCs w:val="24"/>
              </w:rPr>
              <w:t xml:space="preserve">un </w:t>
            </w:r>
            <w:r>
              <w:rPr>
                <w:rFonts w:ascii="Times New Roman" w:hAnsi="Times New Roman" w:cs="Times New Roman"/>
                <w:sz w:val="24"/>
                <w:szCs w:val="24"/>
              </w:rPr>
              <w:t xml:space="preserve">plafon maxim al plăților efectuate de Fond prin intermediul </w:t>
            </w:r>
            <w:r w:rsidR="0030767C">
              <w:rPr>
                <w:rFonts w:ascii="Times New Roman" w:hAnsi="Times New Roman" w:cs="Times New Roman"/>
                <w:sz w:val="24"/>
                <w:szCs w:val="24"/>
              </w:rPr>
              <w:t>p</w:t>
            </w:r>
            <w:r>
              <w:rPr>
                <w:rFonts w:ascii="Times New Roman" w:hAnsi="Times New Roman" w:cs="Times New Roman"/>
                <w:sz w:val="24"/>
                <w:szCs w:val="24"/>
              </w:rPr>
              <w:t xml:space="preserve">oștei, </w:t>
            </w:r>
            <w:r w:rsidR="0090074E">
              <w:rPr>
                <w:rFonts w:ascii="Times New Roman" w:hAnsi="Times New Roman" w:cs="Times New Roman"/>
                <w:sz w:val="24"/>
                <w:szCs w:val="24"/>
              </w:rPr>
              <w:t xml:space="preserve">în scopul </w:t>
            </w:r>
            <w:r w:rsidR="00AC76C0">
              <w:rPr>
                <w:rFonts w:ascii="Times New Roman" w:hAnsi="Times New Roman" w:cs="Times New Roman"/>
                <w:sz w:val="24"/>
                <w:szCs w:val="24"/>
              </w:rPr>
              <w:t>diminuării</w:t>
            </w:r>
            <w:r w:rsidR="0090074E">
              <w:rPr>
                <w:rFonts w:ascii="Times New Roman" w:hAnsi="Times New Roman" w:cs="Times New Roman"/>
                <w:sz w:val="24"/>
                <w:szCs w:val="24"/>
              </w:rPr>
              <w:t xml:space="preserve"> </w:t>
            </w:r>
            <w:r w:rsidR="00FD00D5">
              <w:rPr>
                <w:rFonts w:ascii="Times New Roman" w:hAnsi="Times New Roman" w:cs="Times New Roman"/>
                <w:sz w:val="24"/>
                <w:szCs w:val="24"/>
              </w:rPr>
              <w:t xml:space="preserve">costurilor </w:t>
            </w:r>
            <w:r w:rsidR="00A56F37">
              <w:rPr>
                <w:rFonts w:ascii="Times New Roman" w:hAnsi="Times New Roman" w:cs="Times New Roman"/>
                <w:sz w:val="24"/>
                <w:szCs w:val="24"/>
              </w:rPr>
              <w:t>g</w:t>
            </w:r>
            <w:r w:rsidR="00FD00D5">
              <w:rPr>
                <w:rFonts w:ascii="Times New Roman" w:hAnsi="Times New Roman" w:cs="Times New Roman"/>
                <w:sz w:val="24"/>
                <w:szCs w:val="24"/>
              </w:rPr>
              <w:t xml:space="preserve">enerate de </w:t>
            </w:r>
            <w:r w:rsidR="0090074E">
              <w:rPr>
                <w:rFonts w:ascii="Times New Roman" w:hAnsi="Times New Roman" w:cs="Times New Roman"/>
                <w:sz w:val="24"/>
                <w:szCs w:val="24"/>
              </w:rPr>
              <w:t xml:space="preserve">comisioanele </w:t>
            </w:r>
            <w:r w:rsidR="00A56F37">
              <w:rPr>
                <w:rFonts w:ascii="Times New Roman" w:hAnsi="Times New Roman" w:cs="Times New Roman"/>
                <w:sz w:val="24"/>
                <w:szCs w:val="24"/>
              </w:rPr>
              <w:t xml:space="preserve">aferente unor astfel de servicii de plată, </w:t>
            </w:r>
            <w:r w:rsidR="0090074E">
              <w:rPr>
                <w:rFonts w:ascii="Times New Roman" w:hAnsi="Times New Roman" w:cs="Times New Roman"/>
                <w:sz w:val="24"/>
                <w:szCs w:val="24"/>
              </w:rPr>
              <w:t xml:space="preserve">în contextul </w:t>
            </w:r>
            <w:r w:rsidR="0030767C">
              <w:rPr>
                <w:rFonts w:ascii="Times New Roman" w:hAnsi="Times New Roman" w:cs="Times New Roman"/>
                <w:sz w:val="24"/>
                <w:szCs w:val="24"/>
              </w:rPr>
              <w:t xml:space="preserve">în care există o </w:t>
            </w:r>
            <w:r w:rsidR="0090074E">
              <w:rPr>
                <w:rFonts w:ascii="Times New Roman" w:hAnsi="Times New Roman" w:cs="Times New Roman"/>
                <w:sz w:val="24"/>
                <w:szCs w:val="24"/>
              </w:rPr>
              <w:t>marj</w:t>
            </w:r>
            <w:r w:rsidR="009B642C">
              <w:rPr>
                <w:rFonts w:ascii="Times New Roman" w:hAnsi="Times New Roman" w:cs="Times New Roman"/>
                <w:sz w:val="24"/>
                <w:szCs w:val="24"/>
              </w:rPr>
              <w:t xml:space="preserve">ă </w:t>
            </w:r>
            <w:r w:rsidR="0090074E">
              <w:rPr>
                <w:rFonts w:ascii="Times New Roman" w:hAnsi="Times New Roman" w:cs="Times New Roman"/>
                <w:sz w:val="24"/>
                <w:szCs w:val="24"/>
              </w:rPr>
              <w:t>semnificativ</w:t>
            </w:r>
            <w:r w:rsidR="0030767C">
              <w:rPr>
                <w:rFonts w:ascii="Times New Roman" w:hAnsi="Times New Roman" w:cs="Times New Roman"/>
                <w:sz w:val="24"/>
                <w:szCs w:val="24"/>
              </w:rPr>
              <w:t>ă</w:t>
            </w:r>
            <w:r w:rsidR="0090074E">
              <w:rPr>
                <w:rFonts w:ascii="Times New Roman" w:hAnsi="Times New Roman" w:cs="Times New Roman"/>
                <w:sz w:val="24"/>
                <w:szCs w:val="24"/>
              </w:rPr>
              <w:t xml:space="preserve"> între</w:t>
            </w:r>
            <w:r w:rsidR="00A56F37">
              <w:rPr>
                <w:rFonts w:ascii="Times New Roman" w:hAnsi="Times New Roman" w:cs="Times New Roman"/>
                <w:sz w:val="24"/>
                <w:szCs w:val="24"/>
              </w:rPr>
              <w:t xml:space="preserve"> comisioanele practicate de </w:t>
            </w:r>
            <w:r w:rsidR="0030767C">
              <w:rPr>
                <w:rFonts w:ascii="Times New Roman" w:hAnsi="Times New Roman" w:cs="Times New Roman"/>
                <w:sz w:val="24"/>
                <w:szCs w:val="24"/>
              </w:rPr>
              <w:t>poștă</w:t>
            </w:r>
            <w:r w:rsidR="007F2754">
              <w:rPr>
                <w:rFonts w:ascii="Times New Roman" w:hAnsi="Times New Roman" w:cs="Times New Roman"/>
                <w:sz w:val="24"/>
                <w:szCs w:val="24"/>
              </w:rPr>
              <w:t xml:space="preserve"> (în cazul căreia, în practică, Fondul a achitat și comisioane variabile aplicate la suma datorată)</w:t>
            </w:r>
            <w:r w:rsidR="0030767C">
              <w:rPr>
                <w:rFonts w:ascii="Times New Roman" w:hAnsi="Times New Roman" w:cs="Times New Roman"/>
                <w:sz w:val="24"/>
                <w:szCs w:val="24"/>
              </w:rPr>
              <w:t xml:space="preserve">, respectiv de </w:t>
            </w:r>
            <w:r w:rsidR="00A56F37">
              <w:rPr>
                <w:rFonts w:ascii="Times New Roman" w:hAnsi="Times New Roman" w:cs="Times New Roman"/>
                <w:sz w:val="24"/>
                <w:szCs w:val="24"/>
              </w:rPr>
              <w:t>instituțiile de credit</w:t>
            </w:r>
            <w:r w:rsidR="00B16952">
              <w:rPr>
                <w:rFonts w:ascii="Times New Roman" w:hAnsi="Times New Roman" w:cs="Times New Roman"/>
                <w:sz w:val="24"/>
                <w:szCs w:val="24"/>
              </w:rPr>
              <w:t>.</w:t>
            </w:r>
          </w:p>
          <w:p w:rsidR="00BA725F" w:rsidRPr="00700784" w:rsidRDefault="00BA725F" w:rsidP="00700784">
            <w:pPr>
              <w:pStyle w:val="ListParagraph"/>
              <w:numPr>
                <w:ilvl w:val="0"/>
                <w:numId w:val="33"/>
              </w:numPr>
              <w:spacing w:after="0"/>
              <w:jc w:val="both"/>
              <w:rPr>
                <w:rFonts w:ascii="Times New Roman" w:hAnsi="Times New Roman" w:cs="Times New Roman"/>
                <w:bCs/>
                <w:sz w:val="24"/>
                <w:szCs w:val="24"/>
              </w:rPr>
            </w:pPr>
            <w:r w:rsidRPr="00700784">
              <w:rPr>
                <w:rFonts w:ascii="Times New Roman" w:hAnsi="Times New Roman" w:cs="Times New Roman"/>
                <w:sz w:val="24"/>
                <w:szCs w:val="24"/>
              </w:rPr>
              <w:t>modificări și completări referitoare la: informațiile minime conținute de cererea de plată adresată Fondului, înscrisurile atașate cererilor, competența Fondului de a solicita petenților informații și documente suplimentare necesare pentru soluționarea cererilor, cerința de publicare a Statutului Fondului în Monitorul Oficial al României, etc.</w:t>
            </w:r>
          </w:p>
          <w:p w:rsidR="008D592D" w:rsidRPr="00700784" w:rsidRDefault="008D592D" w:rsidP="00700784">
            <w:pPr>
              <w:pStyle w:val="ListParagraph"/>
              <w:spacing w:after="0"/>
              <w:ind w:left="420"/>
              <w:jc w:val="both"/>
              <w:rPr>
                <w:rFonts w:ascii="Times New Roman" w:hAnsi="Times New Roman" w:cs="Times New Roman"/>
                <w:bCs/>
                <w:sz w:val="24"/>
                <w:szCs w:val="24"/>
              </w:rPr>
            </w:pPr>
          </w:p>
        </w:tc>
      </w:tr>
      <w:tr w:rsidR="00BA725F" w:rsidRPr="00700784" w:rsidTr="00BA725F">
        <w:trPr>
          <w:trHeight w:val="618"/>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lastRenderedPageBreak/>
              <w:t>Secţiunea a 3-a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Impactul socio-econom</w:t>
            </w:r>
            <w:r w:rsidRPr="00700784">
              <w:rPr>
                <w:rFonts w:ascii="Times New Roman" w:hAnsi="Times New Roman" w:cs="Times New Roman"/>
                <w:b/>
                <w:bCs/>
                <w:sz w:val="24"/>
                <w:szCs w:val="24"/>
                <w:lang w:eastAsia="ro-RO"/>
              </w:rPr>
              <w:t>i</w:t>
            </w:r>
            <w:r w:rsidRPr="00700784">
              <w:rPr>
                <w:rFonts w:ascii="Times New Roman" w:hAnsi="Times New Roman" w:cs="Times New Roman"/>
                <w:b/>
                <w:bCs/>
                <w:sz w:val="24"/>
                <w:szCs w:val="24"/>
              </w:rPr>
              <w:t>c al proiectului de act normativ</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27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1. Impactul macro-economic </w:t>
            </w:r>
          </w:p>
          <w:p w:rsidR="00BA725F" w:rsidRPr="00700784" w:rsidRDefault="00BA725F" w:rsidP="00700784">
            <w:pPr>
              <w:spacing w:line="276" w:lineRule="auto"/>
              <w:rPr>
                <w:rFonts w:ascii="Times New Roman" w:hAnsi="Times New Roman" w:cs="Times New Roman"/>
                <w:b/>
                <w:bCs/>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1</w:t>
            </w:r>
            <w:r w:rsidRPr="00700784">
              <w:rPr>
                <w:rFonts w:ascii="Times New Roman" w:hAnsi="Times New Roman" w:cs="Times New Roman"/>
                <w:b/>
                <w:bCs/>
                <w:sz w:val="24"/>
                <w:szCs w:val="24"/>
                <w:vertAlign w:val="superscript"/>
              </w:rPr>
              <w:t>1</w:t>
            </w:r>
            <w:r w:rsidRPr="00700784">
              <w:rPr>
                <w:rFonts w:ascii="Times New Roman" w:hAnsi="Times New Roman" w:cs="Times New Roman"/>
                <w:b/>
                <w:bCs/>
                <w:sz w:val="24"/>
                <w:szCs w:val="24"/>
              </w:rPr>
              <w:t>. Impactul asupra mediului concurenţial şi domeniului ajutoarelor de stat</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2. Impactul asupra mediului de afaceri </w:t>
            </w:r>
          </w:p>
          <w:p w:rsidR="00BA725F" w:rsidRPr="00700784" w:rsidRDefault="00BA725F" w:rsidP="00700784">
            <w:pPr>
              <w:tabs>
                <w:tab w:val="center" w:pos="4320"/>
                <w:tab w:val="right" w:pos="8640"/>
              </w:tabs>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w:t>
            </w:r>
            <w:r w:rsidRPr="00700784">
              <w:rPr>
                <w:rFonts w:ascii="Times New Roman" w:hAnsi="Times New Roman" w:cs="Times New Roman"/>
                <w:b/>
                <w:bCs/>
                <w:sz w:val="24"/>
                <w:szCs w:val="24"/>
                <w:vertAlign w:val="superscript"/>
              </w:rPr>
              <w:t>1</w:t>
            </w:r>
            <w:r w:rsidRPr="00700784">
              <w:rPr>
                <w:rFonts w:ascii="Times New Roman" w:hAnsi="Times New Roman" w:cs="Times New Roman"/>
                <w:b/>
                <w:bCs/>
                <w:sz w:val="24"/>
                <w:szCs w:val="24"/>
              </w:rPr>
              <w:t>. Impactul asupra sarcinilor administrative</w:t>
            </w:r>
          </w:p>
          <w:p w:rsidR="00BA725F" w:rsidRPr="00700784" w:rsidRDefault="00BA725F" w:rsidP="00700784">
            <w:pPr>
              <w:tabs>
                <w:tab w:val="left" w:pos="567"/>
                <w:tab w:val="left" w:pos="720"/>
              </w:tabs>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w:t>
            </w:r>
            <w:r w:rsidRPr="00700784">
              <w:rPr>
                <w:rFonts w:ascii="Times New Roman" w:hAnsi="Times New Roman" w:cs="Times New Roman"/>
                <w:b/>
                <w:bCs/>
                <w:sz w:val="24"/>
                <w:szCs w:val="24"/>
                <w:vertAlign w:val="superscript"/>
              </w:rPr>
              <w:t>2</w:t>
            </w:r>
            <w:r w:rsidRPr="00700784">
              <w:rPr>
                <w:rFonts w:ascii="Times New Roman" w:hAnsi="Times New Roman" w:cs="Times New Roman"/>
                <w:b/>
                <w:bCs/>
                <w:sz w:val="24"/>
                <w:szCs w:val="24"/>
              </w:rPr>
              <w:t>. Impactul asupra întreprinderilor mici și mijlocii</w:t>
            </w:r>
          </w:p>
          <w:p w:rsidR="00BA725F" w:rsidRPr="00700784" w:rsidRDefault="00BA725F" w:rsidP="00700784">
            <w:pPr>
              <w:tabs>
                <w:tab w:val="left" w:pos="567"/>
                <w:tab w:val="left" w:pos="720"/>
              </w:tabs>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           </w:t>
            </w:r>
            <w:r w:rsidRPr="00700784">
              <w:rPr>
                <w:rFonts w:ascii="Times New Roman" w:hAnsi="Times New Roman" w:cs="Times New Roman"/>
                <w:bCs/>
                <w:sz w:val="24"/>
                <w:szCs w:val="24"/>
              </w:rPr>
              <w:t>Nu este cazul</w:t>
            </w:r>
            <w:r w:rsidRPr="00700784">
              <w:rPr>
                <w:rFonts w:ascii="Times New Roman" w:hAnsi="Times New Roman" w:cs="Times New Roman"/>
                <w:b/>
                <w:bCs/>
                <w:sz w:val="24"/>
                <w:szCs w:val="24"/>
              </w:rPr>
              <w:t xml:space="preserve">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3. Impactul social</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w:t>
            </w:r>
            <w:r w:rsidRPr="00700784">
              <w:rPr>
                <w:rFonts w:ascii="Times New Roman" w:hAnsi="Times New Roman" w:cs="Times New Roman"/>
                <w:bCs/>
                <w:sz w:val="24"/>
                <w:szCs w:val="24"/>
              </w:rPr>
              <w:t xml:space="preserve"> Nu este cazul</w:t>
            </w:r>
            <w:r w:rsidRPr="00700784">
              <w:rPr>
                <w:rFonts w:ascii="Times New Roman" w:hAnsi="Times New Roman" w:cs="Times New Roman"/>
                <w:b/>
                <w:bCs/>
                <w:sz w:val="24"/>
                <w:szCs w:val="24"/>
              </w:rPr>
              <w:t xml:space="preserve">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 xml:space="preserve">4. Impactul asupra mediului </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9E45D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531C91" w:rsidRDefault="00531C91" w:rsidP="00700784">
            <w:pPr>
              <w:spacing w:line="276" w:lineRule="auto"/>
              <w:ind w:left="0"/>
              <w:jc w:val="center"/>
              <w:rPr>
                <w:rFonts w:ascii="Times New Roman" w:hAnsi="Times New Roman" w:cs="Times New Roman"/>
                <w:b/>
                <w:bCs/>
                <w:sz w:val="24"/>
                <w:szCs w:val="24"/>
              </w:rPr>
            </w:pPr>
            <w:bookmarkStart w:id="0" w:name="_GoBack"/>
            <w:bookmarkEnd w:id="0"/>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531C91" w:rsidRDefault="00531C91" w:rsidP="00700784">
            <w:pPr>
              <w:spacing w:line="276" w:lineRule="auto"/>
              <w:ind w:left="0"/>
              <w:jc w:val="center"/>
              <w:rPr>
                <w:rFonts w:ascii="Times New Roman" w:hAnsi="Times New Roman" w:cs="Times New Roman"/>
                <w:b/>
                <w:bCs/>
                <w:sz w:val="24"/>
                <w:szCs w:val="24"/>
              </w:rPr>
            </w:pP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lastRenderedPageBreak/>
              <w:t>Secţiunea a 4-a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Impactul financiar asupra bugetului general consolidat,</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color w:val="FF0000"/>
                <w:sz w:val="24"/>
                <w:szCs w:val="24"/>
              </w:rPr>
              <w:t xml:space="preserve"> </w:t>
            </w:r>
            <w:r w:rsidRPr="00700784">
              <w:rPr>
                <w:rFonts w:ascii="Times New Roman" w:hAnsi="Times New Roman" w:cs="Times New Roman"/>
                <w:b/>
                <w:bCs/>
                <w:sz w:val="24"/>
                <w:szCs w:val="24"/>
              </w:rPr>
              <w:t>atât pe termen scurt, cât și pe termen lung (5 ani)</w:t>
            </w:r>
          </w:p>
        </w:tc>
      </w:tr>
      <w:tr w:rsidR="00BA725F" w:rsidRPr="00700784" w:rsidTr="00531C91">
        <w:trPr>
          <w:trHeight w:val="7446"/>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6"/>
              <w:gridCol w:w="1536"/>
              <w:gridCol w:w="936"/>
              <w:gridCol w:w="1056"/>
              <w:gridCol w:w="1056"/>
              <w:gridCol w:w="1057"/>
              <w:gridCol w:w="1056"/>
            </w:tblGrid>
            <w:tr w:rsidR="00BA725F" w:rsidRPr="00700784" w:rsidTr="008D592D">
              <w:tc>
                <w:tcPr>
                  <w:tcW w:w="5000" w:type="pct"/>
                  <w:gridSpan w:val="7"/>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r w:rsidRPr="00700784">
                    <w:rPr>
                      <w:rFonts w:ascii="Times New Roman" w:hAnsi="Times New Roman" w:cs="Times New Roman"/>
                      <w:color w:val="000000"/>
                      <w:sz w:val="24"/>
                      <w:szCs w:val="24"/>
                    </w:rPr>
                    <w:t>- în mii lei (RON) -</w:t>
                  </w:r>
                </w:p>
              </w:tc>
            </w:tr>
            <w:tr w:rsidR="00BA725F" w:rsidRPr="00700784" w:rsidTr="008D592D">
              <w:trPr>
                <w:trHeight w:val="1243"/>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Indicatori</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r w:rsidRPr="00700784">
                    <w:rPr>
                      <w:rFonts w:ascii="Times New Roman" w:hAnsi="Times New Roman" w:cs="Times New Roman"/>
                      <w:color w:val="000000"/>
                      <w:sz w:val="24"/>
                      <w:szCs w:val="24"/>
                    </w:rPr>
                    <w:t>Anul curent</w:t>
                  </w:r>
                </w:p>
              </w:tc>
              <w:tc>
                <w:tcPr>
                  <w:tcW w:w="2264" w:type="pct"/>
                  <w:gridSpan w:val="4"/>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Următorii patru ani</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 xml:space="preserve">Media pe cinci ani </w:t>
                  </w: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1</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2</w:t>
                  </w: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 xml:space="preserve">         3</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4</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5</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6</w:t>
                  </w: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center"/>
                    <w:rPr>
                      <w:rFonts w:ascii="Times New Roman" w:hAnsi="Times New Roman" w:cs="Times New Roman"/>
                      <w:color w:val="000000"/>
                      <w:sz w:val="24"/>
                      <w:szCs w:val="24"/>
                    </w:rPr>
                  </w:pPr>
                  <w:r w:rsidRPr="00700784">
                    <w:rPr>
                      <w:rFonts w:ascii="Times New Roman" w:hAnsi="Times New Roman" w:cs="Times New Roman"/>
                      <w:color w:val="000000"/>
                      <w:sz w:val="24"/>
                      <w:szCs w:val="24"/>
                    </w:rPr>
                    <w:t>7</w:t>
                  </w: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1. Modificări ale veniturilor bugetare, în plus/minus, din care:</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 buget de stat, din acesta:</w:t>
                  </w:r>
                </w:p>
                <w:p w:rsidR="00BA725F" w:rsidRPr="00700784" w:rsidRDefault="00BA725F" w:rsidP="00D11AB7">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profit</w:t>
                  </w:r>
                </w:p>
                <w:p w:rsidR="00BA725F" w:rsidRPr="00700784" w:rsidRDefault="00BA725F" w:rsidP="00D11AB7">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venit</w:t>
                  </w:r>
                </w:p>
                <w:p w:rsidR="00BA725F" w:rsidRPr="00700784" w:rsidRDefault="00BA725F" w:rsidP="00D11AB7">
                  <w:pPr>
                    <w:framePr w:hSpace="180" w:wrap="around" w:vAnchor="text" w:hAnchor="margin" w:y="320"/>
                    <w:numPr>
                      <w:ilvl w:val="0"/>
                      <w:numId w:val="22"/>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TVA</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b) bugete locale</w:t>
                  </w:r>
                </w:p>
                <w:p w:rsidR="00BA725F" w:rsidRPr="00700784" w:rsidRDefault="00BA725F" w:rsidP="00D11AB7">
                  <w:pPr>
                    <w:framePr w:hSpace="180" w:wrap="around" w:vAnchor="text" w:hAnchor="margin" w:y="320"/>
                    <w:numPr>
                      <w:ilvl w:val="0"/>
                      <w:numId w:val="23"/>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impozit pe profit</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c) bugetul asigurărilor sociale de stat:</w:t>
                  </w:r>
                </w:p>
                <w:p w:rsidR="00BA725F" w:rsidRPr="00700784" w:rsidRDefault="00BA725F" w:rsidP="00D11AB7">
                  <w:pPr>
                    <w:framePr w:hSpace="180" w:wrap="around" w:vAnchor="text" w:hAnchor="margin" w:y="320"/>
                    <w:numPr>
                      <w:ilvl w:val="0"/>
                      <w:numId w:val="24"/>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contribuţii de asigurări</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rPr>
                <w:trHeight w:val="344"/>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bCs/>
                      <w:color w:val="000000"/>
                      <w:sz w:val="24"/>
                      <w:szCs w:val="24"/>
                    </w:rPr>
                    <w:t xml:space="preserve">2. </w:t>
                  </w:r>
                  <w:r w:rsidRPr="00700784">
                    <w:rPr>
                      <w:rFonts w:ascii="Times New Roman" w:hAnsi="Times New Roman" w:cs="Times New Roman"/>
                      <w:color w:val="000000"/>
                      <w:sz w:val="24"/>
                      <w:szCs w:val="24"/>
                    </w:rPr>
                    <w:t>Modificări ale cheltuielilor bugetare, în plus, din care:</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 buget de stat, din acesta:</w:t>
                  </w:r>
                </w:p>
                <w:p w:rsidR="00BA725F" w:rsidRPr="00700784" w:rsidRDefault="00BA725F" w:rsidP="00D11AB7">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D11AB7">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bunuri şi servicii</w:t>
                  </w:r>
                </w:p>
                <w:p w:rsidR="00BA725F" w:rsidRPr="00700784" w:rsidRDefault="00BA725F" w:rsidP="00D11AB7">
                  <w:pPr>
                    <w:framePr w:hSpace="180" w:wrap="around" w:vAnchor="text" w:hAnchor="margin" w:y="320"/>
                    <w:numPr>
                      <w:ilvl w:val="0"/>
                      <w:numId w:val="25"/>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asistenţă socială</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b) bugete locale:</w:t>
                  </w:r>
                </w:p>
                <w:p w:rsidR="00BA725F" w:rsidRPr="00700784" w:rsidRDefault="00BA725F" w:rsidP="00D11AB7">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D11AB7">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bunuri şi servicii</w:t>
                  </w:r>
                </w:p>
                <w:p w:rsidR="00BA725F" w:rsidRPr="00700784" w:rsidRDefault="00BA725F" w:rsidP="00D11AB7">
                  <w:pPr>
                    <w:framePr w:hSpace="180" w:wrap="around" w:vAnchor="text" w:hAnchor="margin" w:y="320"/>
                    <w:numPr>
                      <w:ilvl w:val="0"/>
                      <w:numId w:val="26"/>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asistenţă socială</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 xml:space="preserve">c) bugetul asigurărilor </w:t>
                  </w:r>
                  <w:r w:rsidRPr="00700784">
                    <w:rPr>
                      <w:rFonts w:ascii="Times New Roman" w:hAnsi="Times New Roman" w:cs="Times New Roman"/>
                      <w:color w:val="000000"/>
                      <w:sz w:val="24"/>
                      <w:szCs w:val="24"/>
                    </w:rPr>
                    <w:lastRenderedPageBreak/>
                    <w:t>sociale de stat:</w:t>
                  </w:r>
                </w:p>
                <w:p w:rsidR="00BA725F" w:rsidRPr="00700784" w:rsidRDefault="00BA725F" w:rsidP="00D11AB7">
                  <w:pPr>
                    <w:framePr w:hSpace="180" w:wrap="around" w:vAnchor="text" w:hAnchor="margin" w:y="320"/>
                    <w:numPr>
                      <w:ilvl w:val="0"/>
                      <w:numId w:val="27"/>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cheltuieli de personal</w:t>
                  </w:r>
                </w:p>
                <w:p w:rsidR="00BA725F" w:rsidRPr="00700784" w:rsidRDefault="00BA725F" w:rsidP="00D11AB7">
                  <w:pPr>
                    <w:framePr w:hSpace="180" w:wrap="around" w:vAnchor="text" w:hAnchor="margin" w:y="320"/>
                    <w:numPr>
                      <w:ilvl w:val="0"/>
                      <w:numId w:val="27"/>
                    </w:numPr>
                    <w:spacing w:line="276" w:lineRule="auto"/>
                    <w:ind w:left="567"/>
                    <w:rPr>
                      <w:rFonts w:ascii="Times New Roman" w:hAnsi="Times New Roman" w:cs="Times New Roman"/>
                      <w:color w:val="000000"/>
                      <w:sz w:val="24"/>
                      <w:szCs w:val="24"/>
                    </w:rPr>
                  </w:pPr>
                  <w:r w:rsidRPr="00700784">
                    <w:rPr>
                      <w:rFonts w:ascii="Times New Roman" w:hAnsi="Times New Roman" w:cs="Times New Roman"/>
                      <w:color w:val="000000"/>
                      <w:sz w:val="24"/>
                      <w:szCs w:val="24"/>
                    </w:rPr>
                    <w:t>bunuri şi servicii</w:t>
                  </w:r>
                  <w:r w:rsidRPr="00700784">
                    <w:rPr>
                      <w:rFonts w:ascii="Times New Roman" w:hAnsi="Times New Roman" w:cs="Times New Roman"/>
                      <w:bCs/>
                      <w:color w:val="000000"/>
                      <w:sz w:val="24"/>
                      <w:szCs w:val="24"/>
                    </w:rPr>
                    <w:t xml:space="preserve"> </w:t>
                  </w:r>
                </w:p>
              </w:tc>
              <w:tc>
                <w:tcPr>
                  <w:tcW w:w="847" w:type="pct"/>
                  <w:tcBorders>
                    <w:top w:val="single" w:sz="4" w:space="0" w:color="auto"/>
                    <w:left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p>
                <w:p w:rsidR="00BA725F" w:rsidRPr="00700784" w:rsidRDefault="00BA725F" w:rsidP="00D11AB7">
                  <w:pPr>
                    <w:framePr w:hSpace="180" w:wrap="around" w:vAnchor="text" w:hAnchor="margin" w:y="320"/>
                    <w:spacing w:line="276" w:lineRule="auto"/>
                    <w:ind w:left="-65"/>
                    <w:rPr>
                      <w:rFonts w:ascii="Times New Roman" w:hAnsi="Times New Roman" w:cs="Times New Roman"/>
                      <w:b/>
                      <w:color w:val="000000"/>
                      <w:sz w:val="24"/>
                      <w:szCs w:val="24"/>
                    </w:rPr>
                  </w:pPr>
                </w:p>
              </w:tc>
              <w:tc>
                <w:tcPr>
                  <w:tcW w:w="516" w:type="pct"/>
                  <w:tcBorders>
                    <w:top w:val="single" w:sz="4" w:space="0" w:color="auto"/>
                    <w:left w:val="single" w:sz="4" w:space="0" w:color="auto"/>
                    <w:right w:val="single" w:sz="4" w:space="0" w:color="auto"/>
                  </w:tcBorders>
                </w:tcPr>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bCs/>
                      <w:color w:val="000000"/>
                      <w:sz w:val="24"/>
                      <w:szCs w:val="24"/>
                    </w:rPr>
                    <w:lastRenderedPageBreak/>
                    <w:t xml:space="preserve">3. </w:t>
                  </w:r>
                  <w:r w:rsidRPr="00700784">
                    <w:rPr>
                      <w:rFonts w:ascii="Times New Roman" w:hAnsi="Times New Roman" w:cs="Times New Roman"/>
                      <w:color w:val="000000"/>
                      <w:sz w:val="24"/>
                      <w:szCs w:val="24"/>
                    </w:rPr>
                    <w:t>Impact financiar, plus/minus, din care:</w:t>
                  </w:r>
                </w:p>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a)</w:t>
                  </w:r>
                  <w:r w:rsidRPr="00700784">
                    <w:rPr>
                      <w:rFonts w:ascii="Times New Roman" w:hAnsi="Times New Roman" w:cs="Times New Roman"/>
                      <w:color w:val="000000"/>
                      <w:sz w:val="24"/>
                      <w:szCs w:val="24"/>
                      <w:vertAlign w:val="superscript"/>
                    </w:rPr>
                    <w:t xml:space="preserve"> </w:t>
                  </w:r>
                  <w:r w:rsidRPr="00700784">
                    <w:rPr>
                      <w:rFonts w:ascii="Times New Roman" w:hAnsi="Times New Roman" w:cs="Times New Roman"/>
                      <w:color w:val="000000"/>
                      <w:sz w:val="24"/>
                      <w:szCs w:val="24"/>
                    </w:rPr>
                    <w:t>buget de stat</w:t>
                  </w:r>
                </w:p>
                <w:p w:rsidR="00BA725F" w:rsidRPr="00700784" w:rsidRDefault="00BA725F" w:rsidP="00D11AB7">
                  <w:pPr>
                    <w:framePr w:hSpace="180" w:wrap="around" w:vAnchor="text" w:hAnchor="margin" w:y="320"/>
                    <w:spacing w:line="276" w:lineRule="auto"/>
                    <w:ind w:left="0"/>
                    <w:rPr>
                      <w:rFonts w:ascii="Times New Roman" w:hAnsi="Times New Roman" w:cs="Times New Roman"/>
                      <w:bCs/>
                      <w:color w:val="000000"/>
                      <w:sz w:val="24"/>
                      <w:szCs w:val="24"/>
                    </w:rPr>
                  </w:pPr>
                  <w:r w:rsidRPr="00700784">
                    <w:rPr>
                      <w:rFonts w:ascii="Times New Roman" w:hAnsi="Times New Roman" w:cs="Times New Roman"/>
                      <w:color w:val="000000"/>
                      <w:sz w:val="24"/>
                      <w:szCs w:val="24"/>
                    </w:rPr>
                    <w:t>b) bugete locale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jc w:val="right"/>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bCs/>
                      <w:color w:val="000000"/>
                      <w:sz w:val="24"/>
                      <w:szCs w:val="24"/>
                    </w:rPr>
                  </w:pPr>
                  <w:r w:rsidRPr="00700784">
                    <w:rPr>
                      <w:rFonts w:ascii="Times New Roman" w:hAnsi="Times New Roman" w:cs="Times New Roman"/>
                      <w:bCs/>
                      <w:color w:val="000000"/>
                      <w:sz w:val="24"/>
                      <w:szCs w:val="24"/>
                    </w:rPr>
                    <w:t>4.</w:t>
                  </w:r>
                  <w:r w:rsidRPr="00700784">
                    <w:rPr>
                      <w:rFonts w:ascii="Times New Roman" w:hAnsi="Times New Roman" w:cs="Times New Roman"/>
                      <w:color w:val="000000"/>
                      <w:sz w:val="24"/>
                      <w:szCs w:val="24"/>
                    </w:rPr>
                    <w:t xml:space="preserve"> Propuneri pentru acoperirea creşterii cheltuielilor bugetare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5. Propuneri pentru a compensa reducerea veniturilor bugetare</w:t>
                  </w:r>
                </w:p>
              </w:tc>
              <w:tc>
                <w:tcPr>
                  <w:tcW w:w="847"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1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c>
                <w:tcPr>
                  <w:tcW w:w="583"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rPr>
                <w:trHeight w:val="558"/>
              </w:trPr>
              <w:tc>
                <w:tcPr>
                  <w:tcW w:w="1306" w:type="pct"/>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ind w:left="0"/>
                    <w:rPr>
                      <w:rFonts w:ascii="Times New Roman" w:hAnsi="Times New Roman" w:cs="Times New Roman"/>
                      <w:color w:val="000000"/>
                      <w:sz w:val="24"/>
                      <w:szCs w:val="24"/>
                    </w:rPr>
                  </w:pPr>
                  <w:r w:rsidRPr="00700784">
                    <w:rPr>
                      <w:rFonts w:ascii="Times New Roman" w:hAnsi="Times New Roman" w:cs="Times New Roman"/>
                      <w:color w:val="000000"/>
                      <w:sz w:val="24"/>
                      <w:szCs w:val="24"/>
                    </w:rPr>
                    <w:t>6. Calcule detaliate privind fundamentarea modificărilor veniturilor şi/sau cheltuielilor bugetare</w:t>
                  </w:r>
                </w:p>
              </w:tc>
              <w:tc>
                <w:tcPr>
                  <w:tcW w:w="3694" w:type="pct"/>
                  <w:gridSpan w:val="6"/>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color w:val="000000"/>
                      <w:sz w:val="24"/>
                      <w:szCs w:val="24"/>
                    </w:rPr>
                  </w:pPr>
                </w:p>
              </w:tc>
            </w:tr>
            <w:tr w:rsidR="00BA725F" w:rsidRPr="00700784" w:rsidTr="008D592D">
              <w:tc>
                <w:tcPr>
                  <w:tcW w:w="5000" w:type="pct"/>
                  <w:gridSpan w:val="7"/>
                  <w:tcBorders>
                    <w:top w:val="single" w:sz="4" w:space="0" w:color="auto"/>
                    <w:left w:val="single" w:sz="4" w:space="0" w:color="auto"/>
                    <w:bottom w:val="single" w:sz="4" w:space="0" w:color="auto"/>
                    <w:right w:val="single" w:sz="4" w:space="0" w:color="auto"/>
                  </w:tcBorders>
                </w:tcPr>
                <w:p w:rsidR="00BA725F" w:rsidRPr="00700784" w:rsidRDefault="00BA725F" w:rsidP="00D11AB7">
                  <w:pPr>
                    <w:framePr w:hSpace="180" w:wrap="around" w:vAnchor="text" w:hAnchor="margin" w:y="320"/>
                    <w:spacing w:line="276" w:lineRule="auto"/>
                    <w:rPr>
                      <w:rFonts w:ascii="Times New Roman" w:hAnsi="Times New Roman" w:cs="Times New Roman"/>
                      <w:b/>
                      <w:color w:val="000000"/>
                      <w:sz w:val="24"/>
                      <w:szCs w:val="24"/>
                    </w:rPr>
                  </w:pPr>
                  <w:r w:rsidRPr="00700784">
                    <w:rPr>
                      <w:rFonts w:ascii="Times New Roman" w:hAnsi="Times New Roman" w:cs="Times New Roman"/>
                      <w:b/>
                      <w:color w:val="000000"/>
                      <w:sz w:val="24"/>
                      <w:szCs w:val="24"/>
                    </w:rPr>
                    <w:t>Alte informaţii</w:t>
                  </w:r>
                </w:p>
              </w:tc>
            </w:tr>
          </w:tbl>
          <w:p w:rsidR="00BA725F" w:rsidRPr="00700784" w:rsidRDefault="00BA725F" w:rsidP="00700784">
            <w:pPr>
              <w:spacing w:line="276" w:lineRule="auto"/>
              <w:ind w:left="0"/>
              <w:rPr>
                <w:rFonts w:ascii="Times New Roman" w:hAnsi="Times New Roman" w:cs="Times New Roman"/>
                <w:sz w:val="24"/>
                <w:szCs w:val="24"/>
              </w:rPr>
            </w:pPr>
          </w:p>
        </w:tc>
      </w:tr>
      <w:tr w:rsidR="00BA725F" w:rsidRPr="00700784" w:rsidTr="00A452B7">
        <w:trPr>
          <w:trHeight w:val="867"/>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lastRenderedPageBreak/>
              <w:t>Secţiunea a 5-a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Efectele proiectului de act normativ asupra legislaţiei în vigoare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1. Măsuri normative necesare pentru aplicarea prevederilor proiectului de act normativ:</w:t>
            </w:r>
          </w:p>
          <w:p w:rsidR="00A452B7" w:rsidRPr="00700784" w:rsidRDefault="00A452B7" w:rsidP="00700784">
            <w:pPr>
              <w:pStyle w:val="ListParagraph"/>
              <w:spacing w:after="0"/>
              <w:ind w:left="0"/>
              <w:jc w:val="both"/>
              <w:rPr>
                <w:rFonts w:ascii="Times New Roman" w:hAnsi="Times New Roman" w:cs="Times New Roman"/>
                <w:b/>
                <w:bCs/>
                <w:sz w:val="24"/>
                <w:szCs w:val="24"/>
              </w:rPr>
            </w:pPr>
          </w:p>
          <w:p w:rsidR="00BA725F" w:rsidRPr="00700784" w:rsidRDefault="00BA725F" w:rsidP="00700784">
            <w:pPr>
              <w:pStyle w:val="ListParagraph"/>
              <w:spacing w:after="0"/>
              <w:ind w:left="0"/>
              <w:jc w:val="both"/>
              <w:rPr>
                <w:rFonts w:ascii="Times New Roman" w:hAnsi="Times New Roman" w:cs="Times New Roman"/>
                <w:b/>
                <w:bCs/>
                <w:sz w:val="24"/>
                <w:szCs w:val="24"/>
              </w:rPr>
            </w:pPr>
            <w:r w:rsidRPr="00700784">
              <w:rPr>
                <w:rFonts w:ascii="Times New Roman" w:hAnsi="Times New Roman" w:cs="Times New Roman"/>
                <w:b/>
                <w:bCs/>
                <w:sz w:val="24"/>
                <w:szCs w:val="24"/>
              </w:rPr>
              <w:t xml:space="preserve">     a) Prevederi ce urmează a fi abrogate sau modificate ca urmare a intrării în vigoare a acestui proiect de lege </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sz w:val="24"/>
                <w:szCs w:val="24"/>
              </w:rPr>
              <w:t>Proiectul de lege abrogă art</w:t>
            </w:r>
            <w:r w:rsidR="00773565" w:rsidRPr="00700784">
              <w:rPr>
                <w:rFonts w:ascii="Times New Roman" w:hAnsi="Times New Roman" w:cs="Times New Roman"/>
                <w:sz w:val="24"/>
                <w:szCs w:val="24"/>
              </w:rPr>
              <w:t xml:space="preserve">. 22 și 23 </w:t>
            </w:r>
            <w:r w:rsidRPr="00700784">
              <w:rPr>
                <w:rFonts w:ascii="Times New Roman" w:hAnsi="Times New Roman" w:cs="Times New Roman"/>
                <w:sz w:val="24"/>
                <w:szCs w:val="24"/>
              </w:rPr>
              <w:t xml:space="preserve">din Legea nr. 503/2014 </w:t>
            </w:r>
            <w:r w:rsidRPr="00700784">
              <w:rPr>
                <w:rFonts w:ascii="Times New Roman" w:hAnsi="Times New Roman" w:cs="Times New Roman"/>
                <w:bCs/>
                <w:sz w:val="24"/>
                <w:szCs w:val="24"/>
              </w:rPr>
              <w:t xml:space="preserve">privind redresarea financiară, falimentul, dizolvarea şi lichidarea voluntară în activitatea de asigurări, republicată, cu modificările ulterioare, </w:t>
            </w:r>
            <w:r w:rsidR="00773565" w:rsidRPr="00700784">
              <w:rPr>
                <w:rFonts w:ascii="Times New Roman" w:hAnsi="Times New Roman" w:cs="Times New Roman"/>
                <w:bCs/>
                <w:sz w:val="24"/>
                <w:szCs w:val="24"/>
              </w:rPr>
              <w:t>și</w:t>
            </w:r>
            <w:r w:rsidR="00773565" w:rsidRPr="00700784">
              <w:rPr>
                <w:rFonts w:ascii="Times New Roman" w:hAnsi="Times New Roman" w:cs="Times New Roman"/>
                <w:sz w:val="24"/>
                <w:szCs w:val="24"/>
                <w:lang w:eastAsia="ro-RO"/>
              </w:rPr>
              <w:t xml:space="preserve"> art. 155 din Legea nr. 246/2015</w:t>
            </w:r>
            <w:r w:rsidR="00773565" w:rsidRPr="00700784">
              <w:rPr>
                <w:rFonts w:ascii="Times New Roman" w:hAnsi="Times New Roman" w:cs="Times New Roman"/>
                <w:sz w:val="24"/>
                <w:szCs w:val="24"/>
              </w:rPr>
              <w:t xml:space="preserve"> </w:t>
            </w:r>
            <w:r w:rsidR="00773565" w:rsidRPr="00700784">
              <w:rPr>
                <w:rFonts w:ascii="Times New Roman" w:hAnsi="Times New Roman" w:cs="Times New Roman"/>
                <w:sz w:val="24"/>
                <w:szCs w:val="24"/>
                <w:lang w:eastAsia="ro-RO"/>
              </w:rPr>
              <w:t xml:space="preserve">privind redresarea şi rezoluţia asigurătorilor, </w:t>
            </w:r>
            <w:r w:rsidRPr="00700784">
              <w:rPr>
                <w:rFonts w:ascii="Times New Roman" w:hAnsi="Times New Roman" w:cs="Times New Roman"/>
                <w:sz w:val="24"/>
                <w:szCs w:val="24"/>
              </w:rPr>
              <w:t>care au fost preluate și adaptate în proiectul de lege.</w:t>
            </w:r>
          </w:p>
          <w:p w:rsidR="00BA725F" w:rsidRPr="00700784" w:rsidRDefault="00BA725F"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sz w:val="24"/>
                <w:szCs w:val="24"/>
              </w:rPr>
              <w:t>Proiectul de lege modifică alin. (1) de la art. 14 din Ordonanţa de urgenţă nr. 80/2013 privind taxele judiciare de timbru, cu modificările și completările ulterioare.</w:t>
            </w:r>
          </w:p>
          <w:p w:rsidR="00A452B7" w:rsidRPr="00700784" w:rsidRDefault="00A452B7" w:rsidP="00700784">
            <w:pPr>
              <w:spacing w:line="276" w:lineRule="auto"/>
              <w:ind w:left="0" w:firstLine="567"/>
              <w:rPr>
                <w:rFonts w:ascii="Times New Roman" w:hAnsi="Times New Roman" w:cs="Times New Roman"/>
                <w:bCs/>
                <w:i/>
                <w:sz w:val="24"/>
                <w:szCs w:val="24"/>
              </w:rPr>
            </w:pPr>
          </w:p>
          <w:p w:rsidR="00BA725F" w:rsidRPr="00700784" w:rsidRDefault="00BA725F" w:rsidP="00700784">
            <w:pPr>
              <w:pStyle w:val="ListParagraph"/>
              <w:spacing w:after="0"/>
              <w:ind w:left="0"/>
              <w:jc w:val="both"/>
              <w:rPr>
                <w:rFonts w:ascii="Times New Roman" w:hAnsi="Times New Roman" w:cs="Times New Roman"/>
                <w:b/>
                <w:bCs/>
                <w:sz w:val="24"/>
                <w:szCs w:val="24"/>
              </w:rPr>
            </w:pPr>
            <w:r w:rsidRPr="00700784">
              <w:rPr>
                <w:rFonts w:ascii="Times New Roman" w:hAnsi="Times New Roman" w:cs="Times New Roman"/>
                <w:b/>
                <w:bCs/>
                <w:sz w:val="24"/>
                <w:szCs w:val="24"/>
              </w:rPr>
              <w:t xml:space="preserve">     b) Acte normative care urmează a fi elaborate în vederea implementării noilor dispoziţii</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Legislația secundară emisă de A.S.F. în aplicarea Legii nr. 213/2015 va fi revizuită în vederea punerii în acord cu prevederile proiectului de lege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 Conformitatea proiectului de act normativ cu legislația comunitară în cazul proiectelor care transpun prevederi comunitare</w:t>
            </w:r>
          </w:p>
          <w:p w:rsidR="00BA725F" w:rsidRPr="00700784" w:rsidRDefault="00BA725F" w:rsidP="00700784">
            <w:pPr>
              <w:spacing w:line="276" w:lineRule="auto"/>
              <w:ind w:left="0"/>
              <w:rPr>
                <w:rFonts w:ascii="Times New Roman" w:hAnsi="Times New Roman" w:cs="Times New Roman"/>
                <w:bCs/>
                <w:i/>
                <w:sz w:val="24"/>
                <w:szCs w:val="24"/>
              </w:rPr>
            </w:pPr>
            <w:r w:rsidRPr="00700784">
              <w:rPr>
                <w:rFonts w:ascii="Times New Roman" w:hAnsi="Times New Roman" w:cs="Times New Roman"/>
                <w:sz w:val="24"/>
                <w:szCs w:val="24"/>
              </w:rPr>
              <w:t xml:space="preserve">     Nu este cazul.</w:t>
            </w:r>
          </w:p>
        </w:tc>
      </w:tr>
      <w:tr w:rsidR="00BA725F" w:rsidRPr="00700784" w:rsidTr="00BA725F">
        <w:trPr>
          <w:trHeight w:val="701"/>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lastRenderedPageBreak/>
              <w:t>3. Măsuri normative necesare aplicării directe a actelor normative comunitare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4. Hotărâri ale Curţii Europene de Justiţie a Uniunii Europene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 </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5. Alte acte normative şi/sau documente internaţionale din care decurg angajamente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rPr>
          <w:trHeight w:val="621"/>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6.  Alte informaţii</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6-a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Consultările efectuate în vederea elaborării proiectului de act normativ</w:t>
            </w:r>
          </w:p>
        </w:tc>
      </w:tr>
      <w:tr w:rsidR="00BA725F" w:rsidRPr="00700784" w:rsidTr="009A6573">
        <w:trPr>
          <w:trHeight w:val="733"/>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642279"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1. Informaţii privind procesul de consultare cu organizaţiile neguvernamentale, institute de cercetare şi alte organisme implicate </w:t>
            </w:r>
          </w:p>
          <w:p w:rsidR="00A452B7"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Prezentul proiect de lege va fi publicat, pentru consultare publică, pe site-ul Ministerului Finanțelor </w:t>
            </w:r>
            <w:r w:rsidR="00BA725F" w:rsidRPr="00700784">
              <w:rPr>
                <w:rFonts w:ascii="Times New Roman" w:hAnsi="Times New Roman" w:cs="Times New Roman"/>
                <w:sz w:val="24"/>
                <w:szCs w:val="24"/>
              </w:rPr>
              <w:t xml:space="preserve"> </w:t>
            </w:r>
          </w:p>
        </w:tc>
      </w:tr>
      <w:tr w:rsidR="00BA725F" w:rsidRPr="00700784" w:rsidTr="009A6573">
        <w:trPr>
          <w:trHeight w:val="1000"/>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 Fundamentarea alegerii organizaţiilor cu care a avut loc consultarea, precum şi a modului în care activitatea acestor organizaţii este legată de obiectul proiectului de act normativ</w:t>
            </w:r>
          </w:p>
          <w:p w:rsidR="00642279" w:rsidRPr="00700784" w:rsidRDefault="00642279" w:rsidP="00700784">
            <w:pPr>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Pr="00700784">
              <w:rPr>
                <w:rFonts w:ascii="Times New Roman" w:hAnsi="Times New Roman" w:cs="Times New Roman"/>
                <w:sz w:val="24"/>
                <w:szCs w:val="24"/>
              </w:rPr>
              <w:t xml:space="preserve"> </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4. Consultările desfăşurate în cadrul consiliilor interministeriale în conformitate cu prevederile Hotărârii Guvernului nr. 750/2005 privind constituirea consiliilor interministeriale permanente</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bCs/>
                <w:sz w:val="24"/>
                <w:szCs w:val="24"/>
              </w:rPr>
              <w:t>Nu este cazul</w:t>
            </w:r>
          </w:p>
        </w:tc>
      </w:tr>
      <w:tr w:rsidR="00BA725F" w:rsidRPr="00700784" w:rsidTr="009A6573">
        <w:trPr>
          <w:trHeight w:val="489"/>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autoSpaceDE w:val="0"/>
              <w:autoSpaceDN w:val="0"/>
              <w:adjustRightInd w:val="0"/>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5. Informaţii privind avizarea de către:</w:t>
            </w:r>
          </w:p>
          <w:p w:rsidR="00642279" w:rsidRPr="00700784" w:rsidRDefault="00642279" w:rsidP="00700784">
            <w:pPr>
              <w:tabs>
                <w:tab w:val="left" w:pos="10320"/>
              </w:tabs>
              <w:autoSpaceDE w:val="0"/>
              <w:autoSpaceDN w:val="0"/>
              <w:adjustRightInd w:val="0"/>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a) Consiliul Legislativ:</w:t>
            </w:r>
            <w:r w:rsidRPr="00700784">
              <w:rPr>
                <w:rFonts w:ascii="Times New Roman" w:hAnsi="Times New Roman" w:cs="Times New Roman"/>
                <w:sz w:val="24"/>
                <w:szCs w:val="24"/>
              </w:rPr>
              <w:t xml:space="preserve"> Proiectul de lege va fi supus avizării Consiliului Legislativ.</w:t>
            </w:r>
          </w:p>
          <w:p w:rsidR="00642279" w:rsidRPr="00700784" w:rsidRDefault="00642279" w:rsidP="00700784">
            <w:pPr>
              <w:autoSpaceDE w:val="0"/>
              <w:autoSpaceDN w:val="0"/>
              <w:adjustRightInd w:val="0"/>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 xml:space="preserve">b) Consiliul Suprem de Apărare a Ţării: </w:t>
            </w:r>
            <w:r w:rsidRPr="00700784">
              <w:rPr>
                <w:rFonts w:ascii="Times New Roman" w:hAnsi="Times New Roman" w:cs="Times New Roman"/>
                <w:sz w:val="24"/>
                <w:szCs w:val="24"/>
              </w:rPr>
              <w:t xml:space="preserve"> Nu este cazul</w:t>
            </w:r>
          </w:p>
          <w:p w:rsidR="00642279" w:rsidRPr="00700784" w:rsidRDefault="00642279" w:rsidP="00700784">
            <w:pPr>
              <w:tabs>
                <w:tab w:val="left" w:pos="4745"/>
              </w:tabs>
              <w:autoSpaceDE w:val="0"/>
              <w:autoSpaceDN w:val="0"/>
              <w:adjustRightInd w:val="0"/>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 xml:space="preserve">c) Consiliul Economic şi Social: </w:t>
            </w:r>
            <w:r w:rsidRPr="00700784">
              <w:rPr>
                <w:rFonts w:ascii="Times New Roman" w:hAnsi="Times New Roman" w:cs="Times New Roman"/>
                <w:sz w:val="24"/>
                <w:szCs w:val="24"/>
              </w:rPr>
              <w:t xml:space="preserve"> Proiectul de lege va fi supus avizării Consiliului Economic și Social.</w:t>
            </w:r>
          </w:p>
          <w:p w:rsidR="00642279" w:rsidRPr="00700784" w:rsidRDefault="00642279" w:rsidP="00700784">
            <w:pPr>
              <w:autoSpaceDE w:val="0"/>
              <w:autoSpaceDN w:val="0"/>
              <w:adjustRightInd w:val="0"/>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d) Consiliul Concurenţei</w:t>
            </w:r>
            <w:r w:rsidRPr="00700784">
              <w:rPr>
                <w:rFonts w:ascii="Times New Roman" w:hAnsi="Times New Roman" w:cs="Times New Roman"/>
                <w:sz w:val="24"/>
                <w:szCs w:val="24"/>
              </w:rPr>
              <w:t>:</w:t>
            </w:r>
            <w:r w:rsidRPr="00700784">
              <w:rPr>
                <w:rFonts w:ascii="Times New Roman" w:hAnsi="Times New Roman" w:cs="Times New Roman"/>
                <w:b/>
                <w:bCs/>
                <w:sz w:val="24"/>
                <w:szCs w:val="24"/>
              </w:rPr>
              <w:t xml:space="preserve"> </w:t>
            </w:r>
            <w:r w:rsidRPr="00700784">
              <w:rPr>
                <w:rFonts w:ascii="Times New Roman" w:hAnsi="Times New Roman" w:cs="Times New Roman"/>
                <w:sz w:val="24"/>
                <w:szCs w:val="24"/>
              </w:rPr>
              <w:t>Nu este cazul</w:t>
            </w:r>
            <w:r w:rsidRPr="00700784">
              <w:rPr>
                <w:rFonts w:ascii="Times New Roman" w:hAnsi="Times New Roman" w:cs="Times New Roman"/>
                <w:b/>
                <w:bCs/>
                <w:sz w:val="24"/>
                <w:szCs w:val="24"/>
              </w:rPr>
              <w:t xml:space="preserve"> </w:t>
            </w:r>
          </w:p>
          <w:p w:rsidR="00642279" w:rsidRPr="00700784" w:rsidRDefault="00642279" w:rsidP="00700784">
            <w:pPr>
              <w:autoSpaceDE w:val="0"/>
              <w:autoSpaceDN w:val="0"/>
              <w:adjustRightInd w:val="0"/>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e) Curtea de Conturi:</w:t>
            </w:r>
            <w:r w:rsidRPr="00700784">
              <w:rPr>
                <w:rFonts w:ascii="Times New Roman" w:hAnsi="Times New Roman" w:cs="Times New Roman"/>
                <w:sz w:val="24"/>
                <w:szCs w:val="24"/>
              </w:rPr>
              <w:t xml:space="preserve"> Nu este cazul</w:t>
            </w:r>
          </w:p>
        </w:tc>
      </w:tr>
      <w:tr w:rsidR="00BA725F" w:rsidRPr="00700784" w:rsidTr="009A6573">
        <w:trPr>
          <w:trHeight w:val="455"/>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A452B7"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b/>
                <w:bCs/>
                <w:sz w:val="24"/>
                <w:szCs w:val="24"/>
              </w:rPr>
              <w:t>6. Alte informaţii</w:t>
            </w:r>
            <w:r w:rsidRPr="00700784">
              <w:rPr>
                <w:rFonts w:ascii="Times New Roman" w:hAnsi="Times New Roman" w:cs="Times New Roman"/>
                <w:sz w:val="24"/>
                <w:szCs w:val="24"/>
              </w:rPr>
              <w:t xml:space="preserve"> </w:t>
            </w:r>
          </w:p>
          <w:p w:rsidR="00642279"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Nu este cazul</w:t>
            </w:r>
          </w:p>
          <w:p w:rsidR="00531C91" w:rsidRDefault="00531C91" w:rsidP="00700784">
            <w:pPr>
              <w:spacing w:line="276" w:lineRule="auto"/>
              <w:ind w:left="0"/>
              <w:rPr>
                <w:rFonts w:ascii="Times New Roman" w:hAnsi="Times New Roman" w:cs="Times New Roman"/>
                <w:sz w:val="24"/>
                <w:szCs w:val="24"/>
              </w:rPr>
            </w:pPr>
          </w:p>
          <w:p w:rsidR="00531C91" w:rsidRDefault="00531C91" w:rsidP="00700784">
            <w:pPr>
              <w:spacing w:line="276" w:lineRule="auto"/>
              <w:ind w:left="0"/>
              <w:rPr>
                <w:rFonts w:ascii="Times New Roman" w:hAnsi="Times New Roman" w:cs="Times New Roman"/>
                <w:sz w:val="24"/>
                <w:szCs w:val="24"/>
              </w:rPr>
            </w:pPr>
          </w:p>
          <w:p w:rsidR="00531C91" w:rsidRPr="00700784" w:rsidRDefault="00531C91" w:rsidP="00700784">
            <w:pPr>
              <w:spacing w:line="276" w:lineRule="auto"/>
              <w:ind w:left="0"/>
              <w:rPr>
                <w:rFonts w:ascii="Times New Roman" w:hAnsi="Times New Roman" w:cs="Times New Roman"/>
                <w:sz w:val="24"/>
                <w:szCs w:val="24"/>
              </w:rPr>
            </w:pP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lastRenderedPageBreak/>
              <w:t>Secţiunea a 7-a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Activităţi de informare publică privind elaborarea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şi implementarea proiectului de act normativ</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1. Informarea societăţii civile cu privire la necesitatea elaborării proiectului de act normativ </w:t>
            </w:r>
          </w:p>
          <w:p w:rsidR="00642279" w:rsidRPr="00700784" w:rsidRDefault="00642279" w:rsidP="00700784">
            <w:pPr>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 xml:space="preserve">Au fost respectate prevederile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w:t>
            </w:r>
          </w:p>
          <w:p w:rsidR="00642279" w:rsidRPr="00700784" w:rsidRDefault="00642279" w:rsidP="00700784">
            <w:pPr>
              <w:spacing w:line="276" w:lineRule="auto"/>
              <w:ind w:left="0"/>
              <w:rPr>
                <w:rFonts w:ascii="Times New Roman" w:hAnsi="Times New Roman" w:cs="Times New Roman"/>
                <w:bCs/>
                <w:sz w:val="24"/>
                <w:szCs w:val="24"/>
              </w:rPr>
            </w:pPr>
            <w:r w:rsidRPr="00700784">
              <w:rPr>
                <w:rFonts w:ascii="Times New Roman" w:hAnsi="Times New Roman" w:cs="Times New Roman"/>
                <w:bCs/>
                <w:sz w:val="24"/>
                <w:szCs w:val="24"/>
              </w:rPr>
              <w:t>Prezentul proiect de lege va fi publicat, pentru consultare publică, pe site-ul Ministerului Finanțelor.</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bCs/>
                <w:sz w:val="24"/>
                <w:szCs w:val="24"/>
              </w:rPr>
              <w:t>Au fost respectate dispozițiile art. 7 din Legea nr. 52/2003 privind transparența decizională în administrația publică.</w:t>
            </w:r>
          </w:p>
        </w:tc>
      </w:tr>
      <w:tr w:rsidR="00BA725F" w:rsidRPr="00700784" w:rsidTr="009A6573">
        <w:trPr>
          <w:trHeight w:val="1215"/>
        </w:trPr>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642279"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bCs/>
                <w:sz w:val="24"/>
                <w:szCs w:val="24"/>
              </w:rPr>
              <w:t>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Secţiunea a 8-a</w:t>
            </w:r>
          </w:p>
          <w:p w:rsidR="00BA725F" w:rsidRPr="00700784" w:rsidRDefault="00BA725F" w:rsidP="00700784">
            <w:pPr>
              <w:spacing w:line="276" w:lineRule="auto"/>
              <w:ind w:left="0"/>
              <w:jc w:val="center"/>
              <w:rPr>
                <w:rFonts w:ascii="Times New Roman" w:hAnsi="Times New Roman" w:cs="Times New Roman"/>
                <w:b/>
                <w:bCs/>
                <w:sz w:val="24"/>
                <w:szCs w:val="24"/>
              </w:rPr>
            </w:pPr>
            <w:r w:rsidRPr="00700784">
              <w:rPr>
                <w:rFonts w:ascii="Times New Roman" w:hAnsi="Times New Roman" w:cs="Times New Roman"/>
                <w:b/>
                <w:bCs/>
                <w:sz w:val="24"/>
                <w:szCs w:val="24"/>
              </w:rPr>
              <w:t>Măsuri de implementare</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1. Măsurile de punere în aplicare a proiectului de act normativ de către autorităţile administraţiei publice centrale şi/sau locale - înfiinţarea unor noi organisme sau extinderea competenţelor instituţiilor existente</w:t>
            </w:r>
          </w:p>
          <w:p w:rsidR="00BA725F" w:rsidRPr="00700784" w:rsidRDefault="00BA725F"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Nu este cazul.</w:t>
            </w:r>
          </w:p>
        </w:tc>
      </w:tr>
      <w:tr w:rsidR="00BA725F" w:rsidRPr="00700784" w:rsidTr="00BA725F">
        <w:tc>
          <w:tcPr>
            <w:tcW w:w="5000" w:type="pct"/>
            <w:tcBorders>
              <w:top w:val="single" w:sz="4" w:space="0" w:color="auto"/>
              <w:left w:val="single" w:sz="4" w:space="0" w:color="auto"/>
              <w:bottom w:val="single" w:sz="4" w:space="0" w:color="auto"/>
              <w:right w:val="single" w:sz="4" w:space="0" w:color="auto"/>
            </w:tcBorders>
            <w:tcMar>
              <w:top w:w="57" w:type="dxa"/>
              <w:bottom w:w="57" w:type="dxa"/>
            </w:tcMar>
          </w:tcPr>
          <w:p w:rsidR="00BA725F" w:rsidRPr="00700784" w:rsidRDefault="00BA725F" w:rsidP="00700784">
            <w:pPr>
              <w:spacing w:line="276" w:lineRule="auto"/>
              <w:ind w:left="0"/>
              <w:rPr>
                <w:rFonts w:ascii="Times New Roman" w:hAnsi="Times New Roman" w:cs="Times New Roman"/>
                <w:b/>
                <w:bCs/>
                <w:sz w:val="24"/>
                <w:szCs w:val="24"/>
              </w:rPr>
            </w:pPr>
            <w:r w:rsidRPr="00700784">
              <w:rPr>
                <w:rFonts w:ascii="Times New Roman" w:hAnsi="Times New Roman" w:cs="Times New Roman"/>
                <w:b/>
                <w:bCs/>
                <w:sz w:val="24"/>
                <w:szCs w:val="24"/>
              </w:rPr>
              <w:t>2. Alte informaţii</w:t>
            </w:r>
          </w:p>
          <w:p w:rsidR="00BA725F" w:rsidRPr="00700784" w:rsidRDefault="00642279"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w:t>
            </w:r>
            <w:r w:rsidR="00BA725F" w:rsidRPr="00700784">
              <w:rPr>
                <w:rFonts w:ascii="Times New Roman" w:hAnsi="Times New Roman" w:cs="Times New Roman"/>
                <w:sz w:val="24"/>
                <w:szCs w:val="24"/>
              </w:rPr>
              <w:t xml:space="preserve"> Nu este cazul.</w:t>
            </w:r>
          </w:p>
        </w:tc>
      </w:tr>
    </w:tbl>
    <w:p w:rsidR="00700784" w:rsidRDefault="00E74CE6" w:rsidP="00531C91">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 xml:space="preserve"> </w:t>
      </w:r>
    </w:p>
    <w:p w:rsidR="00E74CE6" w:rsidRPr="00700784" w:rsidRDefault="00E74CE6" w:rsidP="00700784">
      <w:pPr>
        <w:spacing w:line="276" w:lineRule="auto"/>
        <w:ind w:left="0" w:firstLine="567"/>
        <w:rPr>
          <w:rFonts w:ascii="Times New Roman" w:hAnsi="Times New Roman" w:cs="Times New Roman"/>
          <w:sz w:val="24"/>
          <w:szCs w:val="24"/>
        </w:rPr>
      </w:pPr>
      <w:r w:rsidRPr="00700784">
        <w:rPr>
          <w:rFonts w:ascii="Times New Roman" w:hAnsi="Times New Roman" w:cs="Times New Roman"/>
          <w:sz w:val="24"/>
          <w:szCs w:val="24"/>
        </w:rPr>
        <w:t>Față de cele prezentate, a fost elaborat</w:t>
      </w:r>
      <w:r w:rsidRPr="00700784">
        <w:rPr>
          <w:rFonts w:ascii="Times New Roman" w:hAnsi="Times New Roman" w:cs="Times New Roman"/>
          <w:b/>
          <w:bCs/>
          <w:i/>
          <w:sz w:val="24"/>
          <w:szCs w:val="24"/>
        </w:rPr>
        <w:t xml:space="preserve"> </w:t>
      </w:r>
      <w:r w:rsidR="00520FCA" w:rsidRPr="00700784">
        <w:rPr>
          <w:rFonts w:ascii="Times New Roman" w:hAnsi="Times New Roman" w:cs="Times New Roman"/>
          <w:sz w:val="24"/>
          <w:szCs w:val="24"/>
        </w:rPr>
        <w:t xml:space="preserve">proiectul de </w:t>
      </w:r>
      <w:r w:rsidR="00520FCA" w:rsidRPr="00700784">
        <w:rPr>
          <w:rFonts w:ascii="Times New Roman" w:hAnsi="Times New Roman" w:cs="Times New Roman"/>
          <w:b/>
          <w:i/>
          <w:sz w:val="24"/>
          <w:szCs w:val="24"/>
        </w:rPr>
        <w:t>Lege</w:t>
      </w:r>
      <w:r w:rsidR="00520FCA" w:rsidRPr="00700784">
        <w:rPr>
          <w:rFonts w:ascii="Times New Roman" w:hAnsi="Times New Roman" w:cs="Times New Roman"/>
          <w:b/>
          <w:bCs/>
          <w:i/>
          <w:sz w:val="24"/>
          <w:szCs w:val="24"/>
        </w:rPr>
        <w:t xml:space="preserve"> </w:t>
      </w:r>
      <w:r w:rsidRPr="00700784">
        <w:rPr>
          <w:rFonts w:ascii="Times New Roman" w:hAnsi="Times New Roman" w:cs="Times New Roman"/>
          <w:b/>
          <w:bCs/>
          <w:i/>
          <w:sz w:val="24"/>
          <w:szCs w:val="24"/>
        </w:rPr>
        <w:t>pentru modificarea și completarea Legii nr. 213/2015 privind Fondul de garantare a asiguraților</w:t>
      </w:r>
      <w:r w:rsidR="00E80D0A" w:rsidRPr="00E80D0A">
        <w:t xml:space="preserve"> </w:t>
      </w:r>
      <w:r w:rsidR="00E80D0A" w:rsidRPr="00E80D0A">
        <w:rPr>
          <w:rFonts w:ascii="Times New Roman" w:hAnsi="Times New Roman" w:cs="Times New Roman"/>
          <w:b/>
          <w:bCs/>
          <w:i/>
          <w:sz w:val="24"/>
          <w:szCs w:val="24"/>
        </w:rPr>
        <w:t>și pentru modificarea altor acte normative</w:t>
      </w:r>
      <w:r w:rsidRPr="00700784">
        <w:rPr>
          <w:rFonts w:ascii="Times New Roman" w:hAnsi="Times New Roman" w:cs="Times New Roman"/>
          <w:b/>
          <w:bCs/>
          <w:i/>
          <w:sz w:val="24"/>
          <w:szCs w:val="24"/>
        </w:rPr>
        <w:t>,</w:t>
      </w:r>
      <w:r w:rsidRPr="00700784">
        <w:rPr>
          <w:rFonts w:ascii="Times New Roman" w:hAnsi="Times New Roman" w:cs="Times New Roman"/>
          <w:b/>
          <w:bCs/>
          <w:sz w:val="24"/>
          <w:szCs w:val="24"/>
        </w:rPr>
        <w:t xml:space="preserve"> </w:t>
      </w:r>
      <w:r w:rsidRPr="00700784">
        <w:rPr>
          <w:rFonts w:ascii="Times New Roman" w:hAnsi="Times New Roman" w:cs="Times New Roman"/>
          <w:sz w:val="24"/>
          <w:szCs w:val="24"/>
        </w:rPr>
        <w:t xml:space="preserve">pe care </w:t>
      </w:r>
      <w:r w:rsidR="00520FCA" w:rsidRPr="00700784">
        <w:rPr>
          <w:rFonts w:ascii="Times New Roman" w:hAnsi="Times New Roman" w:cs="Times New Roman"/>
          <w:sz w:val="24"/>
          <w:szCs w:val="24"/>
        </w:rPr>
        <w:t>îl</w:t>
      </w:r>
      <w:r w:rsidRPr="00700784">
        <w:rPr>
          <w:rFonts w:ascii="Times New Roman" w:hAnsi="Times New Roman" w:cs="Times New Roman"/>
          <w:sz w:val="24"/>
          <w:szCs w:val="24"/>
        </w:rPr>
        <w:t xml:space="preserve"> supunem aprobării.</w:t>
      </w:r>
    </w:p>
    <w:tbl>
      <w:tblPr>
        <w:tblW w:w="5103" w:type="pct"/>
        <w:tblInd w:w="108" w:type="dxa"/>
        <w:tblLook w:val="01E0"/>
      </w:tblPr>
      <w:tblGrid>
        <w:gridCol w:w="9480"/>
      </w:tblGrid>
      <w:tr w:rsidR="00E74CE6" w:rsidRPr="00700784" w:rsidTr="00C64B2D">
        <w:trPr>
          <w:trHeight w:val="1412"/>
        </w:trPr>
        <w:tc>
          <w:tcPr>
            <w:tcW w:w="5000" w:type="pct"/>
          </w:tcPr>
          <w:p w:rsidR="00E74CE6" w:rsidRPr="00700784" w:rsidRDefault="00E74CE6" w:rsidP="00700784">
            <w:pPr>
              <w:spacing w:line="276" w:lineRule="auto"/>
              <w:ind w:left="0"/>
              <w:rPr>
                <w:rFonts w:ascii="Times New Roman" w:hAnsi="Times New Roman" w:cs="Times New Roman"/>
                <w:sz w:val="24"/>
                <w:szCs w:val="24"/>
              </w:rPr>
            </w:pPr>
          </w:p>
          <w:p w:rsidR="00ED18B3" w:rsidRPr="00700784" w:rsidRDefault="00E74CE6" w:rsidP="00700784">
            <w:pPr>
              <w:spacing w:line="276" w:lineRule="auto"/>
              <w:ind w:left="0"/>
              <w:jc w:val="center"/>
              <w:rPr>
                <w:rFonts w:ascii="Times New Roman" w:hAnsi="Times New Roman" w:cs="Times New Roman"/>
                <w:b/>
                <w:sz w:val="24"/>
                <w:szCs w:val="24"/>
              </w:rPr>
            </w:pPr>
            <w:r w:rsidRPr="00700784">
              <w:rPr>
                <w:rFonts w:ascii="Times New Roman" w:hAnsi="Times New Roman" w:cs="Times New Roman"/>
                <w:b/>
                <w:sz w:val="24"/>
                <w:szCs w:val="24"/>
              </w:rPr>
              <w:t xml:space="preserve">MINISTRUL FINANŢELOR </w:t>
            </w:r>
          </w:p>
          <w:p w:rsidR="00E74CE6" w:rsidRPr="00700784" w:rsidRDefault="00700784" w:rsidP="00700784">
            <w:pPr>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Alexandru</w:t>
            </w:r>
            <w:r w:rsidR="00ED18B3" w:rsidRPr="00700784">
              <w:rPr>
                <w:rFonts w:ascii="Times New Roman" w:hAnsi="Times New Roman" w:cs="Times New Roman"/>
                <w:b/>
                <w:sz w:val="24"/>
                <w:szCs w:val="24"/>
              </w:rPr>
              <w:t xml:space="preserve"> NAZARE</w:t>
            </w:r>
          </w:p>
          <w:p w:rsidR="00E74CE6" w:rsidRPr="00700784" w:rsidRDefault="00E74CE6" w:rsidP="00700784">
            <w:pPr>
              <w:spacing w:line="276" w:lineRule="auto"/>
              <w:ind w:left="0"/>
              <w:rPr>
                <w:rFonts w:ascii="Times New Roman" w:hAnsi="Times New Roman" w:cs="Times New Roman"/>
                <w:sz w:val="24"/>
                <w:szCs w:val="24"/>
              </w:rPr>
            </w:pPr>
          </w:p>
        </w:tc>
      </w:tr>
    </w:tbl>
    <w:p w:rsidR="00E74CE6" w:rsidRPr="00700784" w:rsidRDefault="00E74CE6" w:rsidP="00700784">
      <w:pPr>
        <w:spacing w:line="276" w:lineRule="auto"/>
        <w:ind w:left="0"/>
        <w:rPr>
          <w:rFonts w:ascii="Times New Roman" w:hAnsi="Times New Roman" w:cs="Times New Roman"/>
          <w:sz w:val="24"/>
          <w:szCs w:val="24"/>
        </w:rPr>
      </w:pPr>
      <w:r w:rsidRPr="00700784">
        <w:rPr>
          <w:rFonts w:ascii="Times New Roman" w:hAnsi="Times New Roman" w:cs="Times New Roman"/>
          <w:sz w:val="24"/>
          <w:szCs w:val="24"/>
        </w:rPr>
        <w:t>Avizăm favorabil,</w:t>
      </w:r>
    </w:p>
    <w:p w:rsidR="00E74CE6" w:rsidRPr="00700784" w:rsidRDefault="00E74CE6" w:rsidP="00700784">
      <w:pPr>
        <w:spacing w:line="276" w:lineRule="auto"/>
        <w:ind w:left="0"/>
        <w:rPr>
          <w:rFonts w:ascii="Times New Roman" w:hAnsi="Times New Roman" w:cs="Times New Roman"/>
          <w:sz w:val="24"/>
          <w:szCs w:val="24"/>
        </w:rPr>
      </w:pPr>
    </w:p>
    <w:tbl>
      <w:tblPr>
        <w:tblStyle w:val="TableGrid"/>
        <w:tblW w:w="9691" w:type="dxa"/>
        <w:tblInd w:w="-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4"/>
        <w:gridCol w:w="3827"/>
      </w:tblGrid>
      <w:tr w:rsidR="0053642A" w:rsidRPr="00700784" w:rsidTr="00D0681D">
        <w:tc>
          <w:tcPr>
            <w:tcW w:w="5864" w:type="dxa"/>
            <w:tcMar>
              <w:top w:w="57" w:type="dxa"/>
              <w:left w:w="57" w:type="dxa"/>
              <w:bottom w:w="57" w:type="dxa"/>
              <w:right w:w="57" w:type="dxa"/>
            </w:tcMar>
          </w:tcPr>
          <w:p w:rsidR="009A6573" w:rsidRPr="00700784" w:rsidRDefault="0053642A" w:rsidP="00700784">
            <w:pPr>
              <w:spacing w:line="276" w:lineRule="auto"/>
              <w:ind w:left="0"/>
              <w:jc w:val="center"/>
              <w:rPr>
                <w:rFonts w:ascii="Times New Roman" w:hAnsi="Times New Roman" w:cs="Times New Roman"/>
                <w:b/>
                <w:sz w:val="24"/>
                <w:szCs w:val="24"/>
              </w:rPr>
            </w:pPr>
            <w:r w:rsidRPr="00700784">
              <w:rPr>
                <w:rFonts w:ascii="Times New Roman" w:hAnsi="Times New Roman" w:cs="Times New Roman"/>
                <w:b/>
                <w:sz w:val="24"/>
                <w:szCs w:val="24"/>
              </w:rPr>
              <w:t xml:space="preserve">PREŞEDINTELE </w:t>
            </w:r>
          </w:p>
          <w:p w:rsidR="0053642A" w:rsidRPr="00700784" w:rsidRDefault="0053642A" w:rsidP="00700784">
            <w:pPr>
              <w:spacing w:line="276" w:lineRule="auto"/>
              <w:ind w:left="0"/>
              <w:jc w:val="center"/>
              <w:rPr>
                <w:rFonts w:ascii="Times New Roman" w:hAnsi="Times New Roman" w:cs="Times New Roman"/>
                <w:b/>
                <w:sz w:val="24"/>
                <w:szCs w:val="24"/>
              </w:rPr>
            </w:pPr>
            <w:r w:rsidRPr="00700784">
              <w:rPr>
                <w:rFonts w:ascii="Times New Roman" w:hAnsi="Times New Roman" w:cs="Times New Roman"/>
                <w:b/>
                <w:sz w:val="24"/>
                <w:szCs w:val="24"/>
              </w:rPr>
              <w:t>AUTORITĂŢII DE SUPRAVEGHERE FINANCIARĂ</w:t>
            </w:r>
          </w:p>
          <w:p w:rsidR="0053642A" w:rsidRPr="00700784" w:rsidRDefault="00700784" w:rsidP="00700784">
            <w:pPr>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Nicu</w:t>
            </w:r>
            <w:r w:rsidR="0053642A" w:rsidRPr="00700784">
              <w:rPr>
                <w:rFonts w:ascii="Times New Roman" w:hAnsi="Times New Roman" w:cs="Times New Roman"/>
                <w:b/>
                <w:sz w:val="24"/>
                <w:szCs w:val="24"/>
              </w:rPr>
              <w:t xml:space="preserve"> MARCU</w:t>
            </w:r>
          </w:p>
          <w:p w:rsidR="009A6573" w:rsidRPr="00700784" w:rsidRDefault="009A6573" w:rsidP="00700784">
            <w:pPr>
              <w:spacing w:line="276" w:lineRule="auto"/>
              <w:ind w:left="0"/>
              <w:rPr>
                <w:rFonts w:ascii="Times New Roman" w:hAnsi="Times New Roman" w:cs="Times New Roman"/>
                <w:sz w:val="24"/>
                <w:szCs w:val="24"/>
              </w:rPr>
            </w:pPr>
          </w:p>
        </w:tc>
        <w:tc>
          <w:tcPr>
            <w:tcW w:w="3827" w:type="dxa"/>
            <w:tcMar>
              <w:top w:w="57" w:type="dxa"/>
              <w:left w:w="57" w:type="dxa"/>
              <w:bottom w:w="57" w:type="dxa"/>
              <w:right w:w="57" w:type="dxa"/>
            </w:tcMar>
          </w:tcPr>
          <w:p w:rsidR="0053642A" w:rsidRPr="00700784" w:rsidRDefault="0053642A" w:rsidP="00700784">
            <w:pPr>
              <w:spacing w:line="276" w:lineRule="auto"/>
              <w:ind w:left="0"/>
              <w:jc w:val="center"/>
              <w:rPr>
                <w:rFonts w:ascii="Times New Roman" w:hAnsi="Times New Roman" w:cs="Times New Roman"/>
                <w:b/>
                <w:sz w:val="24"/>
                <w:szCs w:val="24"/>
              </w:rPr>
            </w:pPr>
            <w:r w:rsidRPr="00700784">
              <w:rPr>
                <w:rFonts w:ascii="Times New Roman" w:hAnsi="Times New Roman" w:cs="Times New Roman"/>
                <w:b/>
                <w:sz w:val="24"/>
                <w:szCs w:val="24"/>
              </w:rPr>
              <w:t>MINISTRUL JUSTIȚIEI</w:t>
            </w:r>
          </w:p>
          <w:p w:rsidR="0053642A" w:rsidRPr="00700784" w:rsidRDefault="00700784" w:rsidP="00700784">
            <w:pPr>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Stelian </w:t>
            </w:r>
            <w:r w:rsidR="00ED18B3" w:rsidRPr="00700784">
              <w:rPr>
                <w:rFonts w:ascii="Times New Roman" w:hAnsi="Times New Roman" w:cs="Times New Roman"/>
                <w:b/>
                <w:sz w:val="24"/>
                <w:szCs w:val="24"/>
              </w:rPr>
              <w:t>-</w:t>
            </w:r>
            <w:r>
              <w:rPr>
                <w:rFonts w:ascii="Times New Roman" w:hAnsi="Times New Roman" w:cs="Times New Roman"/>
                <w:b/>
                <w:sz w:val="24"/>
                <w:szCs w:val="24"/>
              </w:rPr>
              <w:t xml:space="preserve"> </w:t>
            </w:r>
            <w:r w:rsidR="00ED18B3" w:rsidRPr="00700784">
              <w:rPr>
                <w:rFonts w:ascii="Times New Roman" w:hAnsi="Times New Roman" w:cs="Times New Roman"/>
                <w:b/>
                <w:sz w:val="24"/>
                <w:szCs w:val="24"/>
              </w:rPr>
              <w:t>C</w:t>
            </w:r>
            <w:r>
              <w:rPr>
                <w:rFonts w:ascii="Times New Roman" w:hAnsi="Times New Roman" w:cs="Times New Roman"/>
                <w:b/>
                <w:sz w:val="24"/>
                <w:szCs w:val="24"/>
              </w:rPr>
              <w:t>ristian</w:t>
            </w:r>
            <w:r w:rsidR="00ED18B3" w:rsidRPr="00700784">
              <w:rPr>
                <w:rFonts w:ascii="Times New Roman" w:hAnsi="Times New Roman" w:cs="Times New Roman"/>
                <w:b/>
                <w:sz w:val="24"/>
                <w:szCs w:val="24"/>
              </w:rPr>
              <w:t xml:space="preserve"> ION</w:t>
            </w:r>
          </w:p>
          <w:p w:rsidR="0053642A" w:rsidRPr="00700784" w:rsidRDefault="0053642A" w:rsidP="00700784">
            <w:pPr>
              <w:spacing w:line="276" w:lineRule="auto"/>
              <w:ind w:left="0"/>
              <w:jc w:val="center"/>
              <w:rPr>
                <w:rFonts w:ascii="Times New Roman" w:hAnsi="Times New Roman" w:cs="Times New Roman"/>
                <w:sz w:val="24"/>
                <w:szCs w:val="24"/>
              </w:rPr>
            </w:pPr>
          </w:p>
        </w:tc>
      </w:tr>
    </w:tbl>
    <w:p w:rsidR="00E74CE6" w:rsidRPr="00700784" w:rsidRDefault="00E74CE6" w:rsidP="00700784">
      <w:pPr>
        <w:spacing w:line="276" w:lineRule="auto"/>
        <w:ind w:left="0"/>
        <w:rPr>
          <w:rFonts w:ascii="Times New Roman" w:hAnsi="Times New Roman" w:cs="Times New Roman"/>
          <w:sz w:val="24"/>
          <w:szCs w:val="24"/>
        </w:rPr>
      </w:pPr>
    </w:p>
    <w:sectPr w:rsidR="00E74CE6" w:rsidRPr="00700784" w:rsidSect="00700784">
      <w:headerReference w:type="default" r:id="rId8"/>
      <w:footerReference w:type="default" r:id="rId9"/>
      <w:pgSz w:w="11909" w:h="16834" w:code="9"/>
      <w:pgMar w:top="1134" w:right="1418" w:bottom="1134" w:left="1418" w:header="709" w:footer="733"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87" w:rsidRDefault="00116C87" w:rsidP="007E6A2C">
      <w:r>
        <w:separator/>
      </w:r>
    </w:p>
  </w:endnote>
  <w:endnote w:type="continuationSeparator" w:id="0">
    <w:p w:rsidR="00116C87" w:rsidRDefault="00116C87" w:rsidP="007E6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Liberation Serif">
    <w:charset w:val="80"/>
    <w:family w:val="roman"/>
    <w:pitch w:val="variable"/>
    <w:sig w:usb0="00000000" w:usb1="00000000" w:usb2="00000000" w:usb3="00000000" w:csb0="00000000" w:csb1="00000000"/>
  </w:font>
  <w:font w:name="DejaVu Sans">
    <w:charset w:val="00"/>
    <w:family w:val="swiss"/>
    <w:pitch w:val="variable"/>
    <w:sig w:usb0="00000000"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09437"/>
      <w:docPartObj>
        <w:docPartGallery w:val="Page Numbers (Bottom of Page)"/>
        <w:docPartUnique/>
      </w:docPartObj>
    </w:sdtPr>
    <w:sdtEndPr>
      <w:rPr>
        <w:b/>
      </w:rPr>
    </w:sdtEndPr>
    <w:sdtContent>
      <w:p w:rsidR="00CE37D9" w:rsidRPr="00DC66B7" w:rsidRDefault="00DC66B7" w:rsidP="00DC66B7">
        <w:pPr>
          <w:pStyle w:val="Footer"/>
          <w:jc w:val="right"/>
          <w:rPr>
            <w:rFonts w:ascii="Times New Roman" w:hAnsi="Times New Roman"/>
            <w:sz w:val="24"/>
            <w:szCs w:val="24"/>
          </w:rPr>
        </w:pPr>
        <w:r>
          <w:rPr>
            <w:rFonts w:ascii="Times New Roman" w:hAnsi="Times New Roman"/>
            <w:sz w:val="20"/>
            <w:szCs w:val="20"/>
          </w:rPr>
          <w:t xml:space="preserve">Pagina </w:t>
        </w:r>
        <w:r w:rsidR="00DC5D19" w:rsidRPr="00E36EA4">
          <w:rPr>
            <w:rFonts w:ascii="Times New Roman" w:hAnsi="Times New Roman"/>
            <w:b/>
            <w:bCs/>
            <w:sz w:val="20"/>
            <w:szCs w:val="20"/>
          </w:rPr>
          <w:fldChar w:fldCharType="begin"/>
        </w:r>
        <w:r w:rsidRPr="00E36EA4">
          <w:rPr>
            <w:rFonts w:ascii="Times New Roman" w:hAnsi="Times New Roman"/>
            <w:b/>
            <w:bCs/>
            <w:sz w:val="20"/>
            <w:szCs w:val="20"/>
          </w:rPr>
          <w:instrText xml:space="preserve"> PAGE </w:instrText>
        </w:r>
        <w:r w:rsidR="00DC5D19" w:rsidRPr="00E36EA4">
          <w:rPr>
            <w:rFonts w:ascii="Times New Roman" w:hAnsi="Times New Roman"/>
            <w:b/>
            <w:bCs/>
            <w:sz w:val="20"/>
            <w:szCs w:val="20"/>
          </w:rPr>
          <w:fldChar w:fldCharType="separate"/>
        </w:r>
        <w:r w:rsidR="00D11AB7">
          <w:rPr>
            <w:rFonts w:ascii="Times New Roman" w:hAnsi="Times New Roman"/>
            <w:b/>
            <w:bCs/>
            <w:noProof/>
            <w:sz w:val="20"/>
            <w:szCs w:val="20"/>
          </w:rPr>
          <w:t>1</w:t>
        </w:r>
        <w:r w:rsidR="00DC5D19" w:rsidRPr="00E36EA4">
          <w:rPr>
            <w:rFonts w:ascii="Times New Roman" w:hAnsi="Times New Roman"/>
            <w:b/>
            <w:bCs/>
            <w:sz w:val="20"/>
            <w:szCs w:val="20"/>
          </w:rPr>
          <w:fldChar w:fldCharType="end"/>
        </w:r>
        <w:r>
          <w:rPr>
            <w:rFonts w:ascii="Times New Roman" w:hAnsi="Times New Roman"/>
            <w:sz w:val="20"/>
            <w:szCs w:val="20"/>
          </w:rPr>
          <w:t xml:space="preserve"> din </w:t>
        </w:r>
        <w:r w:rsidR="00DC5D19" w:rsidRPr="00E36EA4">
          <w:rPr>
            <w:rFonts w:ascii="Times New Roman" w:hAnsi="Times New Roman"/>
            <w:b/>
            <w:bCs/>
            <w:sz w:val="20"/>
            <w:szCs w:val="20"/>
          </w:rPr>
          <w:fldChar w:fldCharType="begin"/>
        </w:r>
        <w:r w:rsidRPr="00E36EA4">
          <w:rPr>
            <w:rFonts w:ascii="Times New Roman" w:hAnsi="Times New Roman"/>
            <w:b/>
            <w:bCs/>
            <w:sz w:val="20"/>
            <w:szCs w:val="20"/>
          </w:rPr>
          <w:instrText xml:space="preserve"> NUMPAGES  </w:instrText>
        </w:r>
        <w:r w:rsidR="00DC5D19" w:rsidRPr="00E36EA4">
          <w:rPr>
            <w:rFonts w:ascii="Times New Roman" w:hAnsi="Times New Roman"/>
            <w:b/>
            <w:bCs/>
            <w:sz w:val="20"/>
            <w:szCs w:val="20"/>
          </w:rPr>
          <w:fldChar w:fldCharType="separate"/>
        </w:r>
        <w:r w:rsidR="00D11AB7">
          <w:rPr>
            <w:rFonts w:ascii="Times New Roman" w:hAnsi="Times New Roman"/>
            <w:b/>
            <w:bCs/>
            <w:noProof/>
            <w:sz w:val="20"/>
            <w:szCs w:val="20"/>
          </w:rPr>
          <w:t>9</w:t>
        </w:r>
        <w:r w:rsidR="00DC5D19" w:rsidRPr="00E36EA4">
          <w:rPr>
            <w:rFonts w:ascii="Times New Roman" w:hAnsi="Times New Roman"/>
            <w:b/>
            <w:bC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87" w:rsidRDefault="00116C87" w:rsidP="007E6A2C">
      <w:r>
        <w:separator/>
      </w:r>
    </w:p>
  </w:footnote>
  <w:footnote w:type="continuationSeparator" w:id="0">
    <w:p w:rsidR="00116C87" w:rsidRDefault="00116C87" w:rsidP="007E6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8A" w:rsidRPr="00584A8A" w:rsidRDefault="00584A8A" w:rsidP="00584A8A">
    <w:pPr>
      <w:pStyle w:val="Header"/>
      <w:jc w:val="right"/>
      <w:rPr>
        <w:rFonts w:ascii="Times New Roman" w:hAnsi="Times New Roman"/>
        <w:b/>
        <w:sz w:val="24"/>
        <w:szCs w:val="24"/>
      </w:rPr>
    </w:pPr>
    <w:r w:rsidRPr="00584A8A">
      <w:rPr>
        <w:rFonts w:ascii="Times New Roman" w:hAnsi="Times New Roman"/>
        <w:b/>
        <w:sz w:val="24"/>
        <w:szCs w:val="24"/>
      </w:rPr>
      <w:t>Anexa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5A6"/>
    <w:multiLevelType w:val="hybridMultilevel"/>
    <w:tmpl w:val="56D4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2">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0D371E23"/>
    <w:multiLevelType w:val="hybridMultilevel"/>
    <w:tmpl w:val="D34A5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5">
    <w:nsid w:val="115B14FF"/>
    <w:multiLevelType w:val="hybridMultilevel"/>
    <w:tmpl w:val="6704624A"/>
    <w:lvl w:ilvl="0" w:tplc="17C443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253A5"/>
    <w:multiLevelType w:val="hybridMultilevel"/>
    <w:tmpl w:val="3B6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D4687D"/>
    <w:multiLevelType w:val="hybridMultilevel"/>
    <w:tmpl w:val="92A2ED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5A1315"/>
    <w:multiLevelType w:val="hybridMultilevel"/>
    <w:tmpl w:val="830CF49C"/>
    <w:lvl w:ilvl="0" w:tplc="0F1AD48C">
      <w:start w:val="2"/>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52B60"/>
    <w:multiLevelType w:val="hybridMultilevel"/>
    <w:tmpl w:val="8D686CB8"/>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19">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6">
    <w:nsid w:val="5C0566F9"/>
    <w:multiLevelType w:val="hybridMultilevel"/>
    <w:tmpl w:val="5F1E7E9E"/>
    <w:lvl w:ilvl="0" w:tplc="FC5CED1C">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C3A92"/>
    <w:multiLevelType w:val="hybridMultilevel"/>
    <w:tmpl w:val="B9E87D94"/>
    <w:lvl w:ilvl="0" w:tplc="E9F28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5E7575"/>
    <w:multiLevelType w:val="hybridMultilevel"/>
    <w:tmpl w:val="BB7CFD6A"/>
    <w:lvl w:ilvl="0" w:tplc="BBBCD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5">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4"/>
  </w:num>
  <w:num w:numId="5">
    <w:abstractNumId w:val="20"/>
  </w:num>
  <w:num w:numId="6">
    <w:abstractNumId w:val="33"/>
  </w:num>
  <w:num w:numId="7">
    <w:abstractNumId w:val="35"/>
  </w:num>
  <w:num w:numId="8">
    <w:abstractNumId w:val="10"/>
  </w:num>
  <w:num w:numId="9">
    <w:abstractNumId w:val="32"/>
  </w:num>
  <w:num w:numId="10">
    <w:abstractNumId w:val="29"/>
  </w:num>
  <w:num w:numId="11">
    <w:abstractNumId w:val="22"/>
  </w:num>
  <w:num w:numId="12">
    <w:abstractNumId w:val="19"/>
  </w:num>
  <w:num w:numId="13">
    <w:abstractNumId w:val="24"/>
  </w:num>
  <w:num w:numId="14">
    <w:abstractNumId w:val="31"/>
  </w:num>
  <w:num w:numId="15">
    <w:abstractNumId w:val="2"/>
  </w:num>
  <w:num w:numId="16">
    <w:abstractNumId w:val="1"/>
  </w:num>
  <w:num w:numId="17">
    <w:abstractNumId w:val="7"/>
  </w:num>
  <w:num w:numId="18">
    <w:abstractNumId w:val="19"/>
  </w:num>
  <w:num w:numId="19">
    <w:abstractNumId w:val="34"/>
  </w:num>
  <w:num w:numId="20">
    <w:abstractNumId w:val="12"/>
  </w:num>
  <w:num w:numId="21">
    <w:abstractNumId w:val="14"/>
  </w:num>
  <w:num w:numId="22">
    <w:abstractNumId w:val="15"/>
  </w:num>
  <w:num w:numId="23">
    <w:abstractNumId w:val="17"/>
  </w:num>
  <w:num w:numId="24">
    <w:abstractNumId w:val="13"/>
  </w:num>
  <w:num w:numId="25">
    <w:abstractNumId w:val="9"/>
  </w:num>
  <w:num w:numId="26">
    <w:abstractNumId w:val="28"/>
  </w:num>
  <w:num w:numId="27">
    <w:abstractNumId w:val="23"/>
  </w:num>
  <w:num w:numId="28">
    <w:abstractNumId w:val="6"/>
  </w:num>
  <w:num w:numId="29">
    <w:abstractNumId w:val="18"/>
  </w:num>
  <w:num w:numId="30">
    <w:abstractNumId w:val="5"/>
  </w:num>
  <w:num w:numId="31">
    <w:abstractNumId w:val="27"/>
  </w:num>
  <w:num w:numId="32">
    <w:abstractNumId w:val="30"/>
  </w:num>
  <w:num w:numId="33">
    <w:abstractNumId w:val="16"/>
  </w:num>
  <w:num w:numId="34">
    <w:abstractNumId w:val="26"/>
  </w:num>
  <w:num w:numId="35">
    <w:abstractNumId w:val="0"/>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stylePaneFormatFilter w:val="3F01"/>
  <w:doNotTrackFormatting/>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086616"/>
    <w:rsid w:val="00001D22"/>
    <w:rsid w:val="000030B5"/>
    <w:rsid w:val="0000644D"/>
    <w:rsid w:val="00007276"/>
    <w:rsid w:val="000078EB"/>
    <w:rsid w:val="000103E7"/>
    <w:rsid w:val="00012AD8"/>
    <w:rsid w:val="00013324"/>
    <w:rsid w:val="00013540"/>
    <w:rsid w:val="00023CFB"/>
    <w:rsid w:val="0002456C"/>
    <w:rsid w:val="000278A4"/>
    <w:rsid w:val="00030D78"/>
    <w:rsid w:val="0003125F"/>
    <w:rsid w:val="00033633"/>
    <w:rsid w:val="00033C44"/>
    <w:rsid w:val="0003513D"/>
    <w:rsid w:val="00035489"/>
    <w:rsid w:val="00035779"/>
    <w:rsid w:val="00035ADB"/>
    <w:rsid w:val="00036903"/>
    <w:rsid w:val="0003698E"/>
    <w:rsid w:val="00037F10"/>
    <w:rsid w:val="00040183"/>
    <w:rsid w:val="00045F62"/>
    <w:rsid w:val="0005503A"/>
    <w:rsid w:val="00055CD0"/>
    <w:rsid w:val="000561F2"/>
    <w:rsid w:val="00062460"/>
    <w:rsid w:val="00065821"/>
    <w:rsid w:val="00074D09"/>
    <w:rsid w:val="0008051F"/>
    <w:rsid w:val="0008081E"/>
    <w:rsid w:val="00080928"/>
    <w:rsid w:val="00083F1C"/>
    <w:rsid w:val="00085277"/>
    <w:rsid w:val="000852CE"/>
    <w:rsid w:val="00085FAE"/>
    <w:rsid w:val="00086616"/>
    <w:rsid w:val="00087B83"/>
    <w:rsid w:val="00087FED"/>
    <w:rsid w:val="00090C34"/>
    <w:rsid w:val="00090C78"/>
    <w:rsid w:val="000915DE"/>
    <w:rsid w:val="000933DD"/>
    <w:rsid w:val="00094586"/>
    <w:rsid w:val="00097B0B"/>
    <w:rsid w:val="000A0899"/>
    <w:rsid w:val="000A1F1F"/>
    <w:rsid w:val="000A3B54"/>
    <w:rsid w:val="000B1B52"/>
    <w:rsid w:val="000B21E8"/>
    <w:rsid w:val="000B3FB6"/>
    <w:rsid w:val="000B532F"/>
    <w:rsid w:val="000B6560"/>
    <w:rsid w:val="000B7895"/>
    <w:rsid w:val="000C094A"/>
    <w:rsid w:val="000C130A"/>
    <w:rsid w:val="000C131D"/>
    <w:rsid w:val="000C23E5"/>
    <w:rsid w:val="000C38F7"/>
    <w:rsid w:val="000C42D6"/>
    <w:rsid w:val="000C440F"/>
    <w:rsid w:val="000C5EBA"/>
    <w:rsid w:val="000C60F6"/>
    <w:rsid w:val="000C6A61"/>
    <w:rsid w:val="000C72C0"/>
    <w:rsid w:val="000C7366"/>
    <w:rsid w:val="000E12DA"/>
    <w:rsid w:val="000E2BD1"/>
    <w:rsid w:val="000E4EAD"/>
    <w:rsid w:val="000F043E"/>
    <w:rsid w:val="000F15EA"/>
    <w:rsid w:val="000F2A3D"/>
    <w:rsid w:val="000F6785"/>
    <w:rsid w:val="000F74DA"/>
    <w:rsid w:val="00100548"/>
    <w:rsid w:val="00100D18"/>
    <w:rsid w:val="00102AEA"/>
    <w:rsid w:val="001118FB"/>
    <w:rsid w:val="00111F7B"/>
    <w:rsid w:val="001126D2"/>
    <w:rsid w:val="00113687"/>
    <w:rsid w:val="001139CA"/>
    <w:rsid w:val="0011512F"/>
    <w:rsid w:val="00115730"/>
    <w:rsid w:val="00116139"/>
    <w:rsid w:val="00116596"/>
    <w:rsid w:val="00116915"/>
    <w:rsid w:val="00116C87"/>
    <w:rsid w:val="00116D8D"/>
    <w:rsid w:val="00116E1C"/>
    <w:rsid w:val="00116F69"/>
    <w:rsid w:val="00117B24"/>
    <w:rsid w:val="00120EF2"/>
    <w:rsid w:val="0012598B"/>
    <w:rsid w:val="00127399"/>
    <w:rsid w:val="00130299"/>
    <w:rsid w:val="0013309E"/>
    <w:rsid w:val="00137212"/>
    <w:rsid w:val="00143E7E"/>
    <w:rsid w:val="00150AAF"/>
    <w:rsid w:val="00156E77"/>
    <w:rsid w:val="00163715"/>
    <w:rsid w:val="00163CFC"/>
    <w:rsid w:val="00164E00"/>
    <w:rsid w:val="00167E1D"/>
    <w:rsid w:val="001714FB"/>
    <w:rsid w:val="00177C9D"/>
    <w:rsid w:val="0018454F"/>
    <w:rsid w:val="00184AF8"/>
    <w:rsid w:val="00186472"/>
    <w:rsid w:val="001912B8"/>
    <w:rsid w:val="0019226A"/>
    <w:rsid w:val="00193139"/>
    <w:rsid w:val="0019404C"/>
    <w:rsid w:val="001945C1"/>
    <w:rsid w:val="00195BA4"/>
    <w:rsid w:val="001969A2"/>
    <w:rsid w:val="001A6905"/>
    <w:rsid w:val="001A75D8"/>
    <w:rsid w:val="001A7698"/>
    <w:rsid w:val="001B0837"/>
    <w:rsid w:val="001B27EE"/>
    <w:rsid w:val="001B2B65"/>
    <w:rsid w:val="001B7EB5"/>
    <w:rsid w:val="001C5FF7"/>
    <w:rsid w:val="001C63AF"/>
    <w:rsid w:val="001D0EBF"/>
    <w:rsid w:val="001D1387"/>
    <w:rsid w:val="001D1964"/>
    <w:rsid w:val="001D3F5D"/>
    <w:rsid w:val="001D5C5C"/>
    <w:rsid w:val="001D6053"/>
    <w:rsid w:val="001D7957"/>
    <w:rsid w:val="001E7BA2"/>
    <w:rsid w:val="001F292A"/>
    <w:rsid w:val="001F4E31"/>
    <w:rsid w:val="00200500"/>
    <w:rsid w:val="00205065"/>
    <w:rsid w:val="00206951"/>
    <w:rsid w:val="0020780D"/>
    <w:rsid w:val="00213A69"/>
    <w:rsid w:val="00214345"/>
    <w:rsid w:val="00216970"/>
    <w:rsid w:val="00216F98"/>
    <w:rsid w:val="00220CB7"/>
    <w:rsid w:val="0022143F"/>
    <w:rsid w:val="00221AA8"/>
    <w:rsid w:val="002220F2"/>
    <w:rsid w:val="00223A8C"/>
    <w:rsid w:val="00225C58"/>
    <w:rsid w:val="00230EF1"/>
    <w:rsid w:val="00231D73"/>
    <w:rsid w:val="002327BB"/>
    <w:rsid w:val="00232A0F"/>
    <w:rsid w:val="0023505A"/>
    <w:rsid w:val="002360A6"/>
    <w:rsid w:val="0024026D"/>
    <w:rsid w:val="00244025"/>
    <w:rsid w:val="00251147"/>
    <w:rsid w:val="00251E77"/>
    <w:rsid w:val="00253CDE"/>
    <w:rsid w:val="002540D4"/>
    <w:rsid w:val="00255B43"/>
    <w:rsid w:val="00257493"/>
    <w:rsid w:val="00261A6A"/>
    <w:rsid w:val="00267EA6"/>
    <w:rsid w:val="002702AE"/>
    <w:rsid w:val="002704D6"/>
    <w:rsid w:val="0027427C"/>
    <w:rsid w:val="002756B3"/>
    <w:rsid w:val="00277392"/>
    <w:rsid w:val="00280E22"/>
    <w:rsid w:val="002835FF"/>
    <w:rsid w:val="00286C06"/>
    <w:rsid w:val="00287958"/>
    <w:rsid w:val="0029050E"/>
    <w:rsid w:val="0029086B"/>
    <w:rsid w:val="00291415"/>
    <w:rsid w:val="002919FE"/>
    <w:rsid w:val="00292C7B"/>
    <w:rsid w:val="00295DA6"/>
    <w:rsid w:val="002A098E"/>
    <w:rsid w:val="002A13E0"/>
    <w:rsid w:val="002A153D"/>
    <w:rsid w:val="002A214A"/>
    <w:rsid w:val="002A4CA9"/>
    <w:rsid w:val="002A5101"/>
    <w:rsid w:val="002B0ACE"/>
    <w:rsid w:val="002B145A"/>
    <w:rsid w:val="002B283C"/>
    <w:rsid w:val="002B2C26"/>
    <w:rsid w:val="002B391F"/>
    <w:rsid w:val="002B4963"/>
    <w:rsid w:val="002B678E"/>
    <w:rsid w:val="002C0000"/>
    <w:rsid w:val="002C0934"/>
    <w:rsid w:val="002C12CA"/>
    <w:rsid w:val="002C4FBC"/>
    <w:rsid w:val="002C63BD"/>
    <w:rsid w:val="002D0C05"/>
    <w:rsid w:val="002D14B3"/>
    <w:rsid w:val="002D1BAD"/>
    <w:rsid w:val="002D2C80"/>
    <w:rsid w:val="002D35CB"/>
    <w:rsid w:val="002D366B"/>
    <w:rsid w:val="002D38E0"/>
    <w:rsid w:val="002D42FF"/>
    <w:rsid w:val="002D49A7"/>
    <w:rsid w:val="002E09A9"/>
    <w:rsid w:val="002E0A55"/>
    <w:rsid w:val="002E7247"/>
    <w:rsid w:val="002E7346"/>
    <w:rsid w:val="002F007F"/>
    <w:rsid w:val="002F05F1"/>
    <w:rsid w:val="002F0D2F"/>
    <w:rsid w:val="002F11D6"/>
    <w:rsid w:val="002F28BF"/>
    <w:rsid w:val="002F3B14"/>
    <w:rsid w:val="00301B97"/>
    <w:rsid w:val="00301C9E"/>
    <w:rsid w:val="003027CE"/>
    <w:rsid w:val="00305857"/>
    <w:rsid w:val="0030767C"/>
    <w:rsid w:val="00313A75"/>
    <w:rsid w:val="003154E3"/>
    <w:rsid w:val="00316DC8"/>
    <w:rsid w:val="00317B6B"/>
    <w:rsid w:val="00317DCE"/>
    <w:rsid w:val="00317EF4"/>
    <w:rsid w:val="00321B7F"/>
    <w:rsid w:val="003225BC"/>
    <w:rsid w:val="0032265E"/>
    <w:rsid w:val="00326286"/>
    <w:rsid w:val="00332C6A"/>
    <w:rsid w:val="003341BF"/>
    <w:rsid w:val="0033462C"/>
    <w:rsid w:val="003347B2"/>
    <w:rsid w:val="00336FD3"/>
    <w:rsid w:val="003378FA"/>
    <w:rsid w:val="00340FB4"/>
    <w:rsid w:val="00342FAF"/>
    <w:rsid w:val="0034419B"/>
    <w:rsid w:val="00345F37"/>
    <w:rsid w:val="0034623E"/>
    <w:rsid w:val="0034787E"/>
    <w:rsid w:val="00347E2F"/>
    <w:rsid w:val="00351036"/>
    <w:rsid w:val="00351350"/>
    <w:rsid w:val="0035406F"/>
    <w:rsid w:val="00355BF3"/>
    <w:rsid w:val="00355DE2"/>
    <w:rsid w:val="003607F5"/>
    <w:rsid w:val="003608FF"/>
    <w:rsid w:val="003628B7"/>
    <w:rsid w:val="00363ABD"/>
    <w:rsid w:val="00365288"/>
    <w:rsid w:val="00366B9C"/>
    <w:rsid w:val="00371C24"/>
    <w:rsid w:val="003746A8"/>
    <w:rsid w:val="00384F49"/>
    <w:rsid w:val="00385396"/>
    <w:rsid w:val="003856AB"/>
    <w:rsid w:val="00387DDF"/>
    <w:rsid w:val="00391370"/>
    <w:rsid w:val="003928A2"/>
    <w:rsid w:val="003933BA"/>
    <w:rsid w:val="003936A3"/>
    <w:rsid w:val="003944CF"/>
    <w:rsid w:val="0039525F"/>
    <w:rsid w:val="003974FE"/>
    <w:rsid w:val="00397A3E"/>
    <w:rsid w:val="003A013D"/>
    <w:rsid w:val="003A2002"/>
    <w:rsid w:val="003A387E"/>
    <w:rsid w:val="003A3B4A"/>
    <w:rsid w:val="003A7033"/>
    <w:rsid w:val="003A77E7"/>
    <w:rsid w:val="003A7903"/>
    <w:rsid w:val="003A7D0B"/>
    <w:rsid w:val="003B3E1C"/>
    <w:rsid w:val="003B566D"/>
    <w:rsid w:val="003B6317"/>
    <w:rsid w:val="003B79AC"/>
    <w:rsid w:val="003C2559"/>
    <w:rsid w:val="003C32AD"/>
    <w:rsid w:val="003C35B2"/>
    <w:rsid w:val="003C36B7"/>
    <w:rsid w:val="003C5A76"/>
    <w:rsid w:val="003C716B"/>
    <w:rsid w:val="003C7EA0"/>
    <w:rsid w:val="003D283D"/>
    <w:rsid w:val="003D2FD7"/>
    <w:rsid w:val="003D4A11"/>
    <w:rsid w:val="003D603B"/>
    <w:rsid w:val="003D7BD9"/>
    <w:rsid w:val="003E3B5F"/>
    <w:rsid w:val="003E41FF"/>
    <w:rsid w:val="003F544A"/>
    <w:rsid w:val="003F6686"/>
    <w:rsid w:val="003F771F"/>
    <w:rsid w:val="00400501"/>
    <w:rsid w:val="00400C66"/>
    <w:rsid w:val="00400C9C"/>
    <w:rsid w:val="00410A7C"/>
    <w:rsid w:val="00411FD7"/>
    <w:rsid w:val="00413030"/>
    <w:rsid w:val="00413F00"/>
    <w:rsid w:val="004146BA"/>
    <w:rsid w:val="00415D19"/>
    <w:rsid w:val="004231B2"/>
    <w:rsid w:val="0042532F"/>
    <w:rsid w:val="004302BD"/>
    <w:rsid w:val="0043077D"/>
    <w:rsid w:val="00433A59"/>
    <w:rsid w:val="00436573"/>
    <w:rsid w:val="004367A0"/>
    <w:rsid w:val="004369BF"/>
    <w:rsid w:val="00436EC7"/>
    <w:rsid w:val="00437046"/>
    <w:rsid w:val="00437D90"/>
    <w:rsid w:val="00440109"/>
    <w:rsid w:val="00445414"/>
    <w:rsid w:val="00445E5D"/>
    <w:rsid w:val="00450E1F"/>
    <w:rsid w:val="0045193A"/>
    <w:rsid w:val="00452E39"/>
    <w:rsid w:val="004530D6"/>
    <w:rsid w:val="00453B24"/>
    <w:rsid w:val="0045522E"/>
    <w:rsid w:val="0045624A"/>
    <w:rsid w:val="00456B3D"/>
    <w:rsid w:val="00457156"/>
    <w:rsid w:val="004579F0"/>
    <w:rsid w:val="00460A1E"/>
    <w:rsid w:val="00464030"/>
    <w:rsid w:val="00467904"/>
    <w:rsid w:val="00470530"/>
    <w:rsid w:val="004705C4"/>
    <w:rsid w:val="00470E2C"/>
    <w:rsid w:val="00472C34"/>
    <w:rsid w:val="00473AE4"/>
    <w:rsid w:val="00474F7A"/>
    <w:rsid w:val="00475381"/>
    <w:rsid w:val="004769B5"/>
    <w:rsid w:val="00482911"/>
    <w:rsid w:val="00483CD3"/>
    <w:rsid w:val="004875C6"/>
    <w:rsid w:val="00487D0A"/>
    <w:rsid w:val="0049008B"/>
    <w:rsid w:val="004940FA"/>
    <w:rsid w:val="0049576B"/>
    <w:rsid w:val="004A1A37"/>
    <w:rsid w:val="004A2328"/>
    <w:rsid w:val="004A48BF"/>
    <w:rsid w:val="004A4FFB"/>
    <w:rsid w:val="004A5871"/>
    <w:rsid w:val="004A5FF4"/>
    <w:rsid w:val="004A6E07"/>
    <w:rsid w:val="004B1D69"/>
    <w:rsid w:val="004B21A5"/>
    <w:rsid w:val="004B30CD"/>
    <w:rsid w:val="004B7871"/>
    <w:rsid w:val="004C61A0"/>
    <w:rsid w:val="004C6DCB"/>
    <w:rsid w:val="004C7E60"/>
    <w:rsid w:val="004D0FC5"/>
    <w:rsid w:val="004D124C"/>
    <w:rsid w:val="004D17B4"/>
    <w:rsid w:val="004D182C"/>
    <w:rsid w:val="004D1B67"/>
    <w:rsid w:val="004D4CA0"/>
    <w:rsid w:val="004E1052"/>
    <w:rsid w:val="004E38D2"/>
    <w:rsid w:val="004E460F"/>
    <w:rsid w:val="004E4CEB"/>
    <w:rsid w:val="004E5C36"/>
    <w:rsid w:val="004E6347"/>
    <w:rsid w:val="004F02BD"/>
    <w:rsid w:val="004F0815"/>
    <w:rsid w:val="004F3FA3"/>
    <w:rsid w:val="004F5616"/>
    <w:rsid w:val="00502937"/>
    <w:rsid w:val="00503F11"/>
    <w:rsid w:val="005052A6"/>
    <w:rsid w:val="00505C09"/>
    <w:rsid w:val="00506047"/>
    <w:rsid w:val="005067EC"/>
    <w:rsid w:val="005077ED"/>
    <w:rsid w:val="00510ADE"/>
    <w:rsid w:val="005113EF"/>
    <w:rsid w:val="005137DC"/>
    <w:rsid w:val="00514968"/>
    <w:rsid w:val="005201ED"/>
    <w:rsid w:val="00520FCA"/>
    <w:rsid w:val="0052223A"/>
    <w:rsid w:val="005257EA"/>
    <w:rsid w:val="0052665F"/>
    <w:rsid w:val="00527543"/>
    <w:rsid w:val="00530DB0"/>
    <w:rsid w:val="00531C91"/>
    <w:rsid w:val="0053292F"/>
    <w:rsid w:val="00533C7F"/>
    <w:rsid w:val="0053459F"/>
    <w:rsid w:val="0053642A"/>
    <w:rsid w:val="005368CD"/>
    <w:rsid w:val="00537267"/>
    <w:rsid w:val="00537E67"/>
    <w:rsid w:val="00541C5B"/>
    <w:rsid w:val="00543CCE"/>
    <w:rsid w:val="00546CFD"/>
    <w:rsid w:val="00547A9E"/>
    <w:rsid w:val="00552919"/>
    <w:rsid w:val="005547B5"/>
    <w:rsid w:val="00557366"/>
    <w:rsid w:val="00561E94"/>
    <w:rsid w:val="00562712"/>
    <w:rsid w:val="00563F94"/>
    <w:rsid w:val="00566142"/>
    <w:rsid w:val="00566986"/>
    <w:rsid w:val="00570157"/>
    <w:rsid w:val="00572D35"/>
    <w:rsid w:val="00573BFD"/>
    <w:rsid w:val="00575095"/>
    <w:rsid w:val="00577355"/>
    <w:rsid w:val="00577A65"/>
    <w:rsid w:val="00577EA2"/>
    <w:rsid w:val="00582F18"/>
    <w:rsid w:val="00584A8A"/>
    <w:rsid w:val="00585BA4"/>
    <w:rsid w:val="00587726"/>
    <w:rsid w:val="00591F7B"/>
    <w:rsid w:val="00594982"/>
    <w:rsid w:val="005956F4"/>
    <w:rsid w:val="005A595E"/>
    <w:rsid w:val="005A62A3"/>
    <w:rsid w:val="005A6C90"/>
    <w:rsid w:val="005A7288"/>
    <w:rsid w:val="005B5640"/>
    <w:rsid w:val="005C0103"/>
    <w:rsid w:val="005C0A29"/>
    <w:rsid w:val="005C18D7"/>
    <w:rsid w:val="005C5989"/>
    <w:rsid w:val="005C5DEF"/>
    <w:rsid w:val="005C7936"/>
    <w:rsid w:val="005D1167"/>
    <w:rsid w:val="005D2D12"/>
    <w:rsid w:val="005D3C37"/>
    <w:rsid w:val="005D5158"/>
    <w:rsid w:val="005E1678"/>
    <w:rsid w:val="005E3869"/>
    <w:rsid w:val="005F1462"/>
    <w:rsid w:val="005F2DFE"/>
    <w:rsid w:val="005F2FC7"/>
    <w:rsid w:val="0060020C"/>
    <w:rsid w:val="00600A6C"/>
    <w:rsid w:val="00600C82"/>
    <w:rsid w:val="00601288"/>
    <w:rsid w:val="00601A79"/>
    <w:rsid w:val="00602BBD"/>
    <w:rsid w:val="006038D6"/>
    <w:rsid w:val="006065BA"/>
    <w:rsid w:val="0062106D"/>
    <w:rsid w:val="00623FC4"/>
    <w:rsid w:val="00624BA9"/>
    <w:rsid w:val="006252A3"/>
    <w:rsid w:val="00625753"/>
    <w:rsid w:val="00634560"/>
    <w:rsid w:val="00634D20"/>
    <w:rsid w:val="00637A64"/>
    <w:rsid w:val="006410D5"/>
    <w:rsid w:val="00641A84"/>
    <w:rsid w:val="00642279"/>
    <w:rsid w:val="00644647"/>
    <w:rsid w:val="006513F9"/>
    <w:rsid w:val="00652BF4"/>
    <w:rsid w:val="006544D7"/>
    <w:rsid w:val="00655519"/>
    <w:rsid w:val="00656E19"/>
    <w:rsid w:val="00660470"/>
    <w:rsid w:val="006607C2"/>
    <w:rsid w:val="00660DA8"/>
    <w:rsid w:val="00666019"/>
    <w:rsid w:val="006665F6"/>
    <w:rsid w:val="00666C4E"/>
    <w:rsid w:val="00670A31"/>
    <w:rsid w:val="00673C86"/>
    <w:rsid w:val="00675911"/>
    <w:rsid w:val="00675A02"/>
    <w:rsid w:val="00675A07"/>
    <w:rsid w:val="00677B82"/>
    <w:rsid w:val="00680177"/>
    <w:rsid w:val="00685B26"/>
    <w:rsid w:val="00686CA8"/>
    <w:rsid w:val="00686FF0"/>
    <w:rsid w:val="0069551B"/>
    <w:rsid w:val="006979FD"/>
    <w:rsid w:val="00697D56"/>
    <w:rsid w:val="006A026B"/>
    <w:rsid w:val="006A2CC3"/>
    <w:rsid w:val="006A408A"/>
    <w:rsid w:val="006B0595"/>
    <w:rsid w:val="006B144E"/>
    <w:rsid w:val="006B3D6A"/>
    <w:rsid w:val="006B543C"/>
    <w:rsid w:val="006B660F"/>
    <w:rsid w:val="006B7593"/>
    <w:rsid w:val="006C0C17"/>
    <w:rsid w:val="006C3299"/>
    <w:rsid w:val="006C38B0"/>
    <w:rsid w:val="006C4150"/>
    <w:rsid w:val="006C4BAF"/>
    <w:rsid w:val="006D1435"/>
    <w:rsid w:val="006D3465"/>
    <w:rsid w:val="006D42A8"/>
    <w:rsid w:val="006D53BF"/>
    <w:rsid w:val="006D549C"/>
    <w:rsid w:val="006D5F9C"/>
    <w:rsid w:val="006D614F"/>
    <w:rsid w:val="006D6A6A"/>
    <w:rsid w:val="006E10BF"/>
    <w:rsid w:val="006E14C3"/>
    <w:rsid w:val="006E2059"/>
    <w:rsid w:val="006E2FD4"/>
    <w:rsid w:val="006E308D"/>
    <w:rsid w:val="006E549C"/>
    <w:rsid w:val="006E580A"/>
    <w:rsid w:val="006E6111"/>
    <w:rsid w:val="006E614B"/>
    <w:rsid w:val="006E69E9"/>
    <w:rsid w:val="006E7345"/>
    <w:rsid w:val="006F0CF5"/>
    <w:rsid w:val="006F25C8"/>
    <w:rsid w:val="006F2C07"/>
    <w:rsid w:val="006F4EA4"/>
    <w:rsid w:val="006F6418"/>
    <w:rsid w:val="006F6FCD"/>
    <w:rsid w:val="006F77C7"/>
    <w:rsid w:val="00700784"/>
    <w:rsid w:val="007015B7"/>
    <w:rsid w:val="00702710"/>
    <w:rsid w:val="0070336B"/>
    <w:rsid w:val="00703F19"/>
    <w:rsid w:val="00706A98"/>
    <w:rsid w:val="00706B4A"/>
    <w:rsid w:val="007104CB"/>
    <w:rsid w:val="00710C69"/>
    <w:rsid w:val="007110D6"/>
    <w:rsid w:val="00715817"/>
    <w:rsid w:val="00725299"/>
    <w:rsid w:val="00725725"/>
    <w:rsid w:val="007270C6"/>
    <w:rsid w:val="00727852"/>
    <w:rsid w:val="00730335"/>
    <w:rsid w:val="00731494"/>
    <w:rsid w:val="00732987"/>
    <w:rsid w:val="00735AB0"/>
    <w:rsid w:val="007364EB"/>
    <w:rsid w:val="007404B5"/>
    <w:rsid w:val="00740AC7"/>
    <w:rsid w:val="007417C7"/>
    <w:rsid w:val="00743890"/>
    <w:rsid w:val="00743C77"/>
    <w:rsid w:val="0074761F"/>
    <w:rsid w:val="00751E66"/>
    <w:rsid w:val="00753E98"/>
    <w:rsid w:val="00754EA1"/>
    <w:rsid w:val="007570F3"/>
    <w:rsid w:val="00757F4C"/>
    <w:rsid w:val="00760F86"/>
    <w:rsid w:val="00762422"/>
    <w:rsid w:val="0077049A"/>
    <w:rsid w:val="0077058B"/>
    <w:rsid w:val="007716E0"/>
    <w:rsid w:val="00771F72"/>
    <w:rsid w:val="00773565"/>
    <w:rsid w:val="007749AD"/>
    <w:rsid w:val="007767BC"/>
    <w:rsid w:val="007847E5"/>
    <w:rsid w:val="00784E1C"/>
    <w:rsid w:val="00791A60"/>
    <w:rsid w:val="00792F0D"/>
    <w:rsid w:val="00793057"/>
    <w:rsid w:val="007941FA"/>
    <w:rsid w:val="007949F0"/>
    <w:rsid w:val="00797EFD"/>
    <w:rsid w:val="007A2CDA"/>
    <w:rsid w:val="007A3E3B"/>
    <w:rsid w:val="007A3FA8"/>
    <w:rsid w:val="007A50D3"/>
    <w:rsid w:val="007B1184"/>
    <w:rsid w:val="007B3489"/>
    <w:rsid w:val="007B36F5"/>
    <w:rsid w:val="007B54A9"/>
    <w:rsid w:val="007B5BC3"/>
    <w:rsid w:val="007B5E23"/>
    <w:rsid w:val="007B7FFC"/>
    <w:rsid w:val="007C01E7"/>
    <w:rsid w:val="007C0965"/>
    <w:rsid w:val="007C1885"/>
    <w:rsid w:val="007C2B97"/>
    <w:rsid w:val="007C43F6"/>
    <w:rsid w:val="007C46D1"/>
    <w:rsid w:val="007C7D11"/>
    <w:rsid w:val="007D255D"/>
    <w:rsid w:val="007D3775"/>
    <w:rsid w:val="007D54CD"/>
    <w:rsid w:val="007E13DD"/>
    <w:rsid w:val="007E2F16"/>
    <w:rsid w:val="007E3637"/>
    <w:rsid w:val="007E441A"/>
    <w:rsid w:val="007E6A2C"/>
    <w:rsid w:val="007E78F6"/>
    <w:rsid w:val="007F2754"/>
    <w:rsid w:val="007F34C7"/>
    <w:rsid w:val="007F524B"/>
    <w:rsid w:val="007F61CB"/>
    <w:rsid w:val="00801A92"/>
    <w:rsid w:val="0080363C"/>
    <w:rsid w:val="0080395B"/>
    <w:rsid w:val="00803EA8"/>
    <w:rsid w:val="0080744A"/>
    <w:rsid w:val="00807CB0"/>
    <w:rsid w:val="00807F00"/>
    <w:rsid w:val="008125DE"/>
    <w:rsid w:val="008172DA"/>
    <w:rsid w:val="0082143C"/>
    <w:rsid w:val="00821E16"/>
    <w:rsid w:val="00823D0F"/>
    <w:rsid w:val="008270FD"/>
    <w:rsid w:val="008317B7"/>
    <w:rsid w:val="00834173"/>
    <w:rsid w:val="00834F31"/>
    <w:rsid w:val="00836AE4"/>
    <w:rsid w:val="0083752F"/>
    <w:rsid w:val="008406C7"/>
    <w:rsid w:val="00842981"/>
    <w:rsid w:val="008507C3"/>
    <w:rsid w:val="008558D8"/>
    <w:rsid w:val="00857824"/>
    <w:rsid w:val="008602B5"/>
    <w:rsid w:val="00860539"/>
    <w:rsid w:val="00860DF6"/>
    <w:rsid w:val="00861351"/>
    <w:rsid w:val="00862EF5"/>
    <w:rsid w:val="00863272"/>
    <w:rsid w:val="00865240"/>
    <w:rsid w:val="008676FC"/>
    <w:rsid w:val="0087428B"/>
    <w:rsid w:val="00874E82"/>
    <w:rsid w:val="008813FF"/>
    <w:rsid w:val="00884379"/>
    <w:rsid w:val="00884EE2"/>
    <w:rsid w:val="0088688F"/>
    <w:rsid w:val="0088726B"/>
    <w:rsid w:val="00890BAE"/>
    <w:rsid w:val="008910A6"/>
    <w:rsid w:val="008919F3"/>
    <w:rsid w:val="00893610"/>
    <w:rsid w:val="0089462A"/>
    <w:rsid w:val="00895257"/>
    <w:rsid w:val="008957D3"/>
    <w:rsid w:val="00896248"/>
    <w:rsid w:val="008964A3"/>
    <w:rsid w:val="008A29F8"/>
    <w:rsid w:val="008A5BBE"/>
    <w:rsid w:val="008A7027"/>
    <w:rsid w:val="008A7BB9"/>
    <w:rsid w:val="008B367A"/>
    <w:rsid w:val="008B38AB"/>
    <w:rsid w:val="008B618D"/>
    <w:rsid w:val="008B7FAB"/>
    <w:rsid w:val="008C0783"/>
    <w:rsid w:val="008C2BD5"/>
    <w:rsid w:val="008C357E"/>
    <w:rsid w:val="008C665E"/>
    <w:rsid w:val="008C7BC7"/>
    <w:rsid w:val="008D592D"/>
    <w:rsid w:val="008D6182"/>
    <w:rsid w:val="008D7F12"/>
    <w:rsid w:val="008E0BF1"/>
    <w:rsid w:val="008E4C85"/>
    <w:rsid w:val="008E595C"/>
    <w:rsid w:val="008E7A05"/>
    <w:rsid w:val="008F156C"/>
    <w:rsid w:val="008F26DD"/>
    <w:rsid w:val="0090074E"/>
    <w:rsid w:val="00902E55"/>
    <w:rsid w:val="0090562C"/>
    <w:rsid w:val="0090629F"/>
    <w:rsid w:val="00907BAF"/>
    <w:rsid w:val="00910533"/>
    <w:rsid w:val="00913153"/>
    <w:rsid w:val="00913751"/>
    <w:rsid w:val="00917563"/>
    <w:rsid w:val="009216D7"/>
    <w:rsid w:val="00921CAF"/>
    <w:rsid w:val="009248CC"/>
    <w:rsid w:val="00924D9B"/>
    <w:rsid w:val="0092535D"/>
    <w:rsid w:val="009307F4"/>
    <w:rsid w:val="00930F6A"/>
    <w:rsid w:val="00931881"/>
    <w:rsid w:val="00932701"/>
    <w:rsid w:val="00932ACD"/>
    <w:rsid w:val="00932DD8"/>
    <w:rsid w:val="0093315B"/>
    <w:rsid w:val="0093378F"/>
    <w:rsid w:val="00934775"/>
    <w:rsid w:val="009352B1"/>
    <w:rsid w:val="00936207"/>
    <w:rsid w:val="009372BB"/>
    <w:rsid w:val="00940191"/>
    <w:rsid w:val="00940494"/>
    <w:rsid w:val="00940BDF"/>
    <w:rsid w:val="009427A5"/>
    <w:rsid w:val="009431DF"/>
    <w:rsid w:val="00945226"/>
    <w:rsid w:val="0094629F"/>
    <w:rsid w:val="0094733A"/>
    <w:rsid w:val="00950211"/>
    <w:rsid w:val="00950A48"/>
    <w:rsid w:val="00951125"/>
    <w:rsid w:val="00952E6E"/>
    <w:rsid w:val="009544EA"/>
    <w:rsid w:val="00957696"/>
    <w:rsid w:val="00957AC4"/>
    <w:rsid w:val="00957EAB"/>
    <w:rsid w:val="009618B1"/>
    <w:rsid w:val="00962B9C"/>
    <w:rsid w:val="009650E0"/>
    <w:rsid w:val="009677A7"/>
    <w:rsid w:val="009706B0"/>
    <w:rsid w:val="009708A0"/>
    <w:rsid w:val="009717B5"/>
    <w:rsid w:val="00973F9E"/>
    <w:rsid w:val="00975ACF"/>
    <w:rsid w:val="009773CC"/>
    <w:rsid w:val="00980A83"/>
    <w:rsid w:val="00981D5E"/>
    <w:rsid w:val="0098211E"/>
    <w:rsid w:val="009824DA"/>
    <w:rsid w:val="00984865"/>
    <w:rsid w:val="00986C5C"/>
    <w:rsid w:val="00986D36"/>
    <w:rsid w:val="009940E2"/>
    <w:rsid w:val="00994A35"/>
    <w:rsid w:val="00994B0C"/>
    <w:rsid w:val="009A0402"/>
    <w:rsid w:val="009A0F25"/>
    <w:rsid w:val="009A535A"/>
    <w:rsid w:val="009A6573"/>
    <w:rsid w:val="009B029F"/>
    <w:rsid w:val="009B03C5"/>
    <w:rsid w:val="009B14C4"/>
    <w:rsid w:val="009B30E5"/>
    <w:rsid w:val="009B38E3"/>
    <w:rsid w:val="009B642C"/>
    <w:rsid w:val="009B64A5"/>
    <w:rsid w:val="009C12C8"/>
    <w:rsid w:val="009C320C"/>
    <w:rsid w:val="009C4C34"/>
    <w:rsid w:val="009C4C38"/>
    <w:rsid w:val="009C578C"/>
    <w:rsid w:val="009D4B6E"/>
    <w:rsid w:val="009E1E13"/>
    <w:rsid w:val="009E34D4"/>
    <w:rsid w:val="009E45DF"/>
    <w:rsid w:val="009E4CCD"/>
    <w:rsid w:val="009E4FEC"/>
    <w:rsid w:val="009F078B"/>
    <w:rsid w:val="009F2800"/>
    <w:rsid w:val="009F3D08"/>
    <w:rsid w:val="009F3E3C"/>
    <w:rsid w:val="009F4201"/>
    <w:rsid w:val="009F7AB0"/>
    <w:rsid w:val="00A00A2C"/>
    <w:rsid w:val="00A02678"/>
    <w:rsid w:val="00A047E8"/>
    <w:rsid w:val="00A06F91"/>
    <w:rsid w:val="00A07FB1"/>
    <w:rsid w:val="00A1077F"/>
    <w:rsid w:val="00A117D5"/>
    <w:rsid w:val="00A11888"/>
    <w:rsid w:val="00A12D9B"/>
    <w:rsid w:val="00A12F03"/>
    <w:rsid w:val="00A13835"/>
    <w:rsid w:val="00A14A36"/>
    <w:rsid w:val="00A163DC"/>
    <w:rsid w:val="00A20C7E"/>
    <w:rsid w:val="00A225B9"/>
    <w:rsid w:val="00A2458F"/>
    <w:rsid w:val="00A30769"/>
    <w:rsid w:val="00A311C8"/>
    <w:rsid w:val="00A32586"/>
    <w:rsid w:val="00A334AA"/>
    <w:rsid w:val="00A35795"/>
    <w:rsid w:val="00A36821"/>
    <w:rsid w:val="00A378FE"/>
    <w:rsid w:val="00A37B2D"/>
    <w:rsid w:val="00A37E00"/>
    <w:rsid w:val="00A409A2"/>
    <w:rsid w:val="00A42AA3"/>
    <w:rsid w:val="00A434D4"/>
    <w:rsid w:val="00A43A6C"/>
    <w:rsid w:val="00A445F9"/>
    <w:rsid w:val="00A452B7"/>
    <w:rsid w:val="00A45986"/>
    <w:rsid w:val="00A46098"/>
    <w:rsid w:val="00A46F4B"/>
    <w:rsid w:val="00A504BD"/>
    <w:rsid w:val="00A53171"/>
    <w:rsid w:val="00A53714"/>
    <w:rsid w:val="00A55E5D"/>
    <w:rsid w:val="00A5611A"/>
    <w:rsid w:val="00A56F37"/>
    <w:rsid w:val="00A57D4F"/>
    <w:rsid w:val="00A6080F"/>
    <w:rsid w:val="00A623D7"/>
    <w:rsid w:val="00A625B7"/>
    <w:rsid w:val="00A66F1B"/>
    <w:rsid w:val="00A73161"/>
    <w:rsid w:val="00A735B7"/>
    <w:rsid w:val="00A739B5"/>
    <w:rsid w:val="00A74EE3"/>
    <w:rsid w:val="00A76637"/>
    <w:rsid w:val="00A80651"/>
    <w:rsid w:val="00A84A1B"/>
    <w:rsid w:val="00A85E0B"/>
    <w:rsid w:val="00A86ACE"/>
    <w:rsid w:val="00A87A1D"/>
    <w:rsid w:val="00A92725"/>
    <w:rsid w:val="00A96261"/>
    <w:rsid w:val="00A97CEA"/>
    <w:rsid w:val="00AA2890"/>
    <w:rsid w:val="00AA3A5B"/>
    <w:rsid w:val="00AA4E5F"/>
    <w:rsid w:val="00AA539A"/>
    <w:rsid w:val="00AA6ACF"/>
    <w:rsid w:val="00AB31F6"/>
    <w:rsid w:val="00AB6ABE"/>
    <w:rsid w:val="00AB7204"/>
    <w:rsid w:val="00AB7545"/>
    <w:rsid w:val="00AC2536"/>
    <w:rsid w:val="00AC3FB3"/>
    <w:rsid w:val="00AC5777"/>
    <w:rsid w:val="00AC6DAB"/>
    <w:rsid w:val="00AC76C0"/>
    <w:rsid w:val="00AD1D4B"/>
    <w:rsid w:val="00AD471E"/>
    <w:rsid w:val="00AD675A"/>
    <w:rsid w:val="00AE0258"/>
    <w:rsid w:val="00AE18B5"/>
    <w:rsid w:val="00AF3866"/>
    <w:rsid w:val="00AF761B"/>
    <w:rsid w:val="00B00BE4"/>
    <w:rsid w:val="00B00C20"/>
    <w:rsid w:val="00B018E1"/>
    <w:rsid w:val="00B0238A"/>
    <w:rsid w:val="00B07C1F"/>
    <w:rsid w:val="00B12C94"/>
    <w:rsid w:val="00B12CB5"/>
    <w:rsid w:val="00B149A4"/>
    <w:rsid w:val="00B16952"/>
    <w:rsid w:val="00B208FA"/>
    <w:rsid w:val="00B21198"/>
    <w:rsid w:val="00B22B7B"/>
    <w:rsid w:val="00B232C5"/>
    <w:rsid w:val="00B23534"/>
    <w:rsid w:val="00B256CD"/>
    <w:rsid w:val="00B25EEC"/>
    <w:rsid w:val="00B27BB5"/>
    <w:rsid w:val="00B358A7"/>
    <w:rsid w:val="00B3767B"/>
    <w:rsid w:val="00B41C27"/>
    <w:rsid w:val="00B42817"/>
    <w:rsid w:val="00B43B87"/>
    <w:rsid w:val="00B47483"/>
    <w:rsid w:val="00B504BC"/>
    <w:rsid w:val="00B50A32"/>
    <w:rsid w:val="00B52FEA"/>
    <w:rsid w:val="00B532DE"/>
    <w:rsid w:val="00B53C9C"/>
    <w:rsid w:val="00B5611F"/>
    <w:rsid w:val="00B56D80"/>
    <w:rsid w:val="00B61AA6"/>
    <w:rsid w:val="00B61F75"/>
    <w:rsid w:val="00B6404F"/>
    <w:rsid w:val="00B711FB"/>
    <w:rsid w:val="00B73C35"/>
    <w:rsid w:val="00B75667"/>
    <w:rsid w:val="00B766CB"/>
    <w:rsid w:val="00B775B7"/>
    <w:rsid w:val="00B7761C"/>
    <w:rsid w:val="00B77EF2"/>
    <w:rsid w:val="00B81FCB"/>
    <w:rsid w:val="00B83545"/>
    <w:rsid w:val="00B8530C"/>
    <w:rsid w:val="00B8552D"/>
    <w:rsid w:val="00B87337"/>
    <w:rsid w:val="00B90043"/>
    <w:rsid w:val="00B90F3E"/>
    <w:rsid w:val="00B91C90"/>
    <w:rsid w:val="00B93665"/>
    <w:rsid w:val="00B9384C"/>
    <w:rsid w:val="00B93F3C"/>
    <w:rsid w:val="00B95DCB"/>
    <w:rsid w:val="00BA0469"/>
    <w:rsid w:val="00BA0674"/>
    <w:rsid w:val="00BA1FEA"/>
    <w:rsid w:val="00BA2175"/>
    <w:rsid w:val="00BA3AE9"/>
    <w:rsid w:val="00BA46DB"/>
    <w:rsid w:val="00BA6CFD"/>
    <w:rsid w:val="00BA7091"/>
    <w:rsid w:val="00BA725F"/>
    <w:rsid w:val="00BA7474"/>
    <w:rsid w:val="00BA7552"/>
    <w:rsid w:val="00BB4B08"/>
    <w:rsid w:val="00BB5727"/>
    <w:rsid w:val="00BB67E2"/>
    <w:rsid w:val="00BB6E84"/>
    <w:rsid w:val="00BC18CF"/>
    <w:rsid w:val="00BC32F6"/>
    <w:rsid w:val="00BC5154"/>
    <w:rsid w:val="00BC5B45"/>
    <w:rsid w:val="00BC7603"/>
    <w:rsid w:val="00BD0894"/>
    <w:rsid w:val="00BD3134"/>
    <w:rsid w:val="00BD31B4"/>
    <w:rsid w:val="00BD3392"/>
    <w:rsid w:val="00BD683D"/>
    <w:rsid w:val="00BE03FE"/>
    <w:rsid w:val="00BE1FF3"/>
    <w:rsid w:val="00BE2CE5"/>
    <w:rsid w:val="00BE356B"/>
    <w:rsid w:val="00BE41B1"/>
    <w:rsid w:val="00BE4F15"/>
    <w:rsid w:val="00BF04FD"/>
    <w:rsid w:val="00BF6193"/>
    <w:rsid w:val="00BF7B83"/>
    <w:rsid w:val="00BF7FAC"/>
    <w:rsid w:val="00C00D42"/>
    <w:rsid w:val="00C0279B"/>
    <w:rsid w:val="00C0280B"/>
    <w:rsid w:val="00C02F50"/>
    <w:rsid w:val="00C05151"/>
    <w:rsid w:val="00C05578"/>
    <w:rsid w:val="00C05CE3"/>
    <w:rsid w:val="00C10B64"/>
    <w:rsid w:val="00C11C6D"/>
    <w:rsid w:val="00C20502"/>
    <w:rsid w:val="00C2155D"/>
    <w:rsid w:val="00C220C3"/>
    <w:rsid w:val="00C22CFC"/>
    <w:rsid w:val="00C24D53"/>
    <w:rsid w:val="00C27F00"/>
    <w:rsid w:val="00C30C44"/>
    <w:rsid w:val="00C321A8"/>
    <w:rsid w:val="00C337D4"/>
    <w:rsid w:val="00C3436A"/>
    <w:rsid w:val="00C40CC9"/>
    <w:rsid w:val="00C4420C"/>
    <w:rsid w:val="00C446CF"/>
    <w:rsid w:val="00C47228"/>
    <w:rsid w:val="00C505CD"/>
    <w:rsid w:val="00C5084B"/>
    <w:rsid w:val="00C508CF"/>
    <w:rsid w:val="00C512C6"/>
    <w:rsid w:val="00C516A6"/>
    <w:rsid w:val="00C52D1C"/>
    <w:rsid w:val="00C57A06"/>
    <w:rsid w:val="00C60AEF"/>
    <w:rsid w:val="00C63C28"/>
    <w:rsid w:val="00C647AC"/>
    <w:rsid w:val="00C65F9B"/>
    <w:rsid w:val="00C6748E"/>
    <w:rsid w:val="00C71027"/>
    <w:rsid w:val="00C71745"/>
    <w:rsid w:val="00C74F3D"/>
    <w:rsid w:val="00C76C4D"/>
    <w:rsid w:val="00C80F90"/>
    <w:rsid w:val="00C82643"/>
    <w:rsid w:val="00C82A87"/>
    <w:rsid w:val="00C8336C"/>
    <w:rsid w:val="00C8428B"/>
    <w:rsid w:val="00C87BFE"/>
    <w:rsid w:val="00C941BC"/>
    <w:rsid w:val="00C9592D"/>
    <w:rsid w:val="00C9649C"/>
    <w:rsid w:val="00CA0E03"/>
    <w:rsid w:val="00CA1CD1"/>
    <w:rsid w:val="00CA2558"/>
    <w:rsid w:val="00CA46C3"/>
    <w:rsid w:val="00CA4A0A"/>
    <w:rsid w:val="00CA6DC3"/>
    <w:rsid w:val="00CB1AB5"/>
    <w:rsid w:val="00CB36B9"/>
    <w:rsid w:val="00CB5037"/>
    <w:rsid w:val="00CC0894"/>
    <w:rsid w:val="00CC0CB6"/>
    <w:rsid w:val="00CC16A6"/>
    <w:rsid w:val="00CC1FA9"/>
    <w:rsid w:val="00CC7A1A"/>
    <w:rsid w:val="00CD279F"/>
    <w:rsid w:val="00CD528E"/>
    <w:rsid w:val="00CD7003"/>
    <w:rsid w:val="00CE0BB5"/>
    <w:rsid w:val="00CE2FFE"/>
    <w:rsid w:val="00CE37D9"/>
    <w:rsid w:val="00CE45C4"/>
    <w:rsid w:val="00CE7E7E"/>
    <w:rsid w:val="00CF0B34"/>
    <w:rsid w:val="00CF0EA5"/>
    <w:rsid w:val="00CF0F1A"/>
    <w:rsid w:val="00CF13B8"/>
    <w:rsid w:val="00CF2806"/>
    <w:rsid w:val="00CF4C55"/>
    <w:rsid w:val="00D01034"/>
    <w:rsid w:val="00D02166"/>
    <w:rsid w:val="00D04B27"/>
    <w:rsid w:val="00D0681D"/>
    <w:rsid w:val="00D101DB"/>
    <w:rsid w:val="00D10D29"/>
    <w:rsid w:val="00D11AB7"/>
    <w:rsid w:val="00D12A1A"/>
    <w:rsid w:val="00D12A35"/>
    <w:rsid w:val="00D1670C"/>
    <w:rsid w:val="00D177F5"/>
    <w:rsid w:val="00D21529"/>
    <w:rsid w:val="00D217D8"/>
    <w:rsid w:val="00D2346E"/>
    <w:rsid w:val="00D26D11"/>
    <w:rsid w:val="00D26D21"/>
    <w:rsid w:val="00D27A28"/>
    <w:rsid w:val="00D27E0C"/>
    <w:rsid w:val="00D32626"/>
    <w:rsid w:val="00D32FB0"/>
    <w:rsid w:val="00D338A8"/>
    <w:rsid w:val="00D36637"/>
    <w:rsid w:val="00D36744"/>
    <w:rsid w:val="00D372CC"/>
    <w:rsid w:val="00D4149B"/>
    <w:rsid w:val="00D4391F"/>
    <w:rsid w:val="00D44B3D"/>
    <w:rsid w:val="00D47280"/>
    <w:rsid w:val="00D522B2"/>
    <w:rsid w:val="00D53138"/>
    <w:rsid w:val="00D574E4"/>
    <w:rsid w:val="00D57A86"/>
    <w:rsid w:val="00D6000B"/>
    <w:rsid w:val="00D6131B"/>
    <w:rsid w:val="00D614C8"/>
    <w:rsid w:val="00D61C3D"/>
    <w:rsid w:val="00D61FCD"/>
    <w:rsid w:val="00D62C4B"/>
    <w:rsid w:val="00D64B41"/>
    <w:rsid w:val="00D65903"/>
    <w:rsid w:val="00D65D12"/>
    <w:rsid w:val="00D66340"/>
    <w:rsid w:val="00D67FF3"/>
    <w:rsid w:val="00D7084F"/>
    <w:rsid w:val="00D716B6"/>
    <w:rsid w:val="00D71AD2"/>
    <w:rsid w:val="00D735D1"/>
    <w:rsid w:val="00D73C54"/>
    <w:rsid w:val="00D75EB7"/>
    <w:rsid w:val="00D76B49"/>
    <w:rsid w:val="00D76DCF"/>
    <w:rsid w:val="00D86FE0"/>
    <w:rsid w:val="00D91A89"/>
    <w:rsid w:val="00D92220"/>
    <w:rsid w:val="00D93742"/>
    <w:rsid w:val="00D9645A"/>
    <w:rsid w:val="00D9731D"/>
    <w:rsid w:val="00D97431"/>
    <w:rsid w:val="00DA177E"/>
    <w:rsid w:val="00DA1886"/>
    <w:rsid w:val="00DA218A"/>
    <w:rsid w:val="00DA4C1B"/>
    <w:rsid w:val="00DA62F5"/>
    <w:rsid w:val="00DA77F4"/>
    <w:rsid w:val="00DA79C3"/>
    <w:rsid w:val="00DA7D54"/>
    <w:rsid w:val="00DB0241"/>
    <w:rsid w:val="00DB1238"/>
    <w:rsid w:val="00DB3023"/>
    <w:rsid w:val="00DB4FEB"/>
    <w:rsid w:val="00DC1F84"/>
    <w:rsid w:val="00DC2E73"/>
    <w:rsid w:val="00DC59A9"/>
    <w:rsid w:val="00DC5B03"/>
    <w:rsid w:val="00DC5D19"/>
    <w:rsid w:val="00DC66B7"/>
    <w:rsid w:val="00DC729B"/>
    <w:rsid w:val="00DC7C0E"/>
    <w:rsid w:val="00DD0ABF"/>
    <w:rsid w:val="00DD2DB2"/>
    <w:rsid w:val="00DD3628"/>
    <w:rsid w:val="00DD38FB"/>
    <w:rsid w:val="00DE0B05"/>
    <w:rsid w:val="00DE3A29"/>
    <w:rsid w:val="00DF160E"/>
    <w:rsid w:val="00DF26C0"/>
    <w:rsid w:val="00DF52D5"/>
    <w:rsid w:val="00DF58F9"/>
    <w:rsid w:val="00DF7202"/>
    <w:rsid w:val="00E002F9"/>
    <w:rsid w:val="00E00C5A"/>
    <w:rsid w:val="00E024E6"/>
    <w:rsid w:val="00E05382"/>
    <w:rsid w:val="00E10102"/>
    <w:rsid w:val="00E1095B"/>
    <w:rsid w:val="00E11F05"/>
    <w:rsid w:val="00E1226A"/>
    <w:rsid w:val="00E12AC1"/>
    <w:rsid w:val="00E14EF2"/>
    <w:rsid w:val="00E20100"/>
    <w:rsid w:val="00E2028C"/>
    <w:rsid w:val="00E21256"/>
    <w:rsid w:val="00E21C5D"/>
    <w:rsid w:val="00E22409"/>
    <w:rsid w:val="00E2378E"/>
    <w:rsid w:val="00E23BCD"/>
    <w:rsid w:val="00E23BEE"/>
    <w:rsid w:val="00E26160"/>
    <w:rsid w:val="00E2767F"/>
    <w:rsid w:val="00E35CD6"/>
    <w:rsid w:val="00E37990"/>
    <w:rsid w:val="00E42F3D"/>
    <w:rsid w:val="00E437D6"/>
    <w:rsid w:val="00E441FB"/>
    <w:rsid w:val="00E447D3"/>
    <w:rsid w:val="00E46C48"/>
    <w:rsid w:val="00E51620"/>
    <w:rsid w:val="00E52BC5"/>
    <w:rsid w:val="00E52F32"/>
    <w:rsid w:val="00E53D78"/>
    <w:rsid w:val="00E6024F"/>
    <w:rsid w:val="00E60611"/>
    <w:rsid w:val="00E7293E"/>
    <w:rsid w:val="00E72D1B"/>
    <w:rsid w:val="00E73653"/>
    <w:rsid w:val="00E74CE6"/>
    <w:rsid w:val="00E805C4"/>
    <w:rsid w:val="00E80D0A"/>
    <w:rsid w:val="00E9057A"/>
    <w:rsid w:val="00E915A5"/>
    <w:rsid w:val="00E91C41"/>
    <w:rsid w:val="00E97CB4"/>
    <w:rsid w:val="00EA14A3"/>
    <w:rsid w:val="00EA218B"/>
    <w:rsid w:val="00EA47A9"/>
    <w:rsid w:val="00EA5CF9"/>
    <w:rsid w:val="00EA5DDF"/>
    <w:rsid w:val="00EA7949"/>
    <w:rsid w:val="00EB07C0"/>
    <w:rsid w:val="00EB21E2"/>
    <w:rsid w:val="00EB4700"/>
    <w:rsid w:val="00EB579B"/>
    <w:rsid w:val="00EB5FF5"/>
    <w:rsid w:val="00EB68A8"/>
    <w:rsid w:val="00EC786C"/>
    <w:rsid w:val="00ED028F"/>
    <w:rsid w:val="00ED1350"/>
    <w:rsid w:val="00ED18B3"/>
    <w:rsid w:val="00ED4E95"/>
    <w:rsid w:val="00EE0D8C"/>
    <w:rsid w:val="00EE1046"/>
    <w:rsid w:val="00EE36BC"/>
    <w:rsid w:val="00EE3A52"/>
    <w:rsid w:val="00EE5D55"/>
    <w:rsid w:val="00EF0913"/>
    <w:rsid w:val="00EF181B"/>
    <w:rsid w:val="00EF21E0"/>
    <w:rsid w:val="00EF2D77"/>
    <w:rsid w:val="00EF75BC"/>
    <w:rsid w:val="00EF779F"/>
    <w:rsid w:val="00F01306"/>
    <w:rsid w:val="00F123F7"/>
    <w:rsid w:val="00F14E9C"/>
    <w:rsid w:val="00F17240"/>
    <w:rsid w:val="00F174BF"/>
    <w:rsid w:val="00F24839"/>
    <w:rsid w:val="00F250A5"/>
    <w:rsid w:val="00F26260"/>
    <w:rsid w:val="00F26E9B"/>
    <w:rsid w:val="00F30DBB"/>
    <w:rsid w:val="00F31D81"/>
    <w:rsid w:val="00F32547"/>
    <w:rsid w:val="00F4322F"/>
    <w:rsid w:val="00F43259"/>
    <w:rsid w:val="00F458F3"/>
    <w:rsid w:val="00F45A5D"/>
    <w:rsid w:val="00F45D9B"/>
    <w:rsid w:val="00F47135"/>
    <w:rsid w:val="00F500A6"/>
    <w:rsid w:val="00F51D8E"/>
    <w:rsid w:val="00F54BFE"/>
    <w:rsid w:val="00F54FB4"/>
    <w:rsid w:val="00F560AA"/>
    <w:rsid w:val="00F6168F"/>
    <w:rsid w:val="00F65685"/>
    <w:rsid w:val="00F731B2"/>
    <w:rsid w:val="00F73951"/>
    <w:rsid w:val="00F74005"/>
    <w:rsid w:val="00F75478"/>
    <w:rsid w:val="00F7560F"/>
    <w:rsid w:val="00F75EA2"/>
    <w:rsid w:val="00F77847"/>
    <w:rsid w:val="00F778F2"/>
    <w:rsid w:val="00F812C1"/>
    <w:rsid w:val="00F81AC6"/>
    <w:rsid w:val="00F8278E"/>
    <w:rsid w:val="00F8609E"/>
    <w:rsid w:val="00F9049D"/>
    <w:rsid w:val="00F94EDB"/>
    <w:rsid w:val="00F95BD8"/>
    <w:rsid w:val="00FA3E1A"/>
    <w:rsid w:val="00FA7C1B"/>
    <w:rsid w:val="00FB2F9C"/>
    <w:rsid w:val="00FB324C"/>
    <w:rsid w:val="00FB6C1B"/>
    <w:rsid w:val="00FC0CB6"/>
    <w:rsid w:val="00FC2217"/>
    <w:rsid w:val="00FC364B"/>
    <w:rsid w:val="00FC5FEE"/>
    <w:rsid w:val="00FC6C04"/>
    <w:rsid w:val="00FD00D5"/>
    <w:rsid w:val="00FD1855"/>
    <w:rsid w:val="00FD1D13"/>
    <w:rsid w:val="00FD384E"/>
    <w:rsid w:val="00FD46BB"/>
    <w:rsid w:val="00FD6A0D"/>
    <w:rsid w:val="00FE1127"/>
    <w:rsid w:val="00FE21AF"/>
    <w:rsid w:val="00FE3A94"/>
    <w:rsid w:val="00FE790B"/>
    <w:rsid w:val="00FF0B84"/>
    <w:rsid w:val="00FF1B87"/>
    <w:rsid w:val="00FF23DB"/>
    <w:rsid w:val="00FF3B56"/>
    <w:rsid w:val="00FF5061"/>
    <w:rsid w:val="00FF776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locked="1"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16"/>
    <w:pPr>
      <w:ind w:left="720"/>
      <w:jc w:val="both"/>
    </w:pPr>
    <w:rPr>
      <w:rFonts w:eastAsia="Times New Roman" w:cs="Calibri"/>
      <w:sz w:val="22"/>
      <w:szCs w:val="22"/>
      <w:lang w:eastAsia="en-US"/>
    </w:rPr>
  </w:style>
  <w:style w:type="paragraph" w:styleId="Heading3">
    <w:name w:val="heading 3"/>
    <w:basedOn w:val="Normal"/>
    <w:link w:val="Heading3Char"/>
    <w:uiPriority w:val="9"/>
    <w:qFormat/>
    <w:locked/>
    <w:rsid w:val="001C63AF"/>
    <w:pPr>
      <w:spacing w:before="100" w:beforeAutospacing="1" w:after="100" w:afterAutospacing="1"/>
      <w:ind w:left="0"/>
      <w:jc w:val="left"/>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086616"/>
    <w:pPr>
      <w:autoSpaceDE w:val="0"/>
      <w:autoSpaceDN w:val="0"/>
      <w:adjustRightInd w:val="0"/>
      <w:ind w:left="0"/>
      <w:jc w:val="left"/>
    </w:pPr>
    <w:rPr>
      <w:rFonts w:ascii="EUAlbertina" w:eastAsia="Calibri" w:hAnsi="EUAlbertina" w:cs="EUAlbertina"/>
      <w:sz w:val="24"/>
      <w:szCs w:val="24"/>
    </w:rPr>
  </w:style>
  <w:style w:type="paragraph" w:styleId="PlainText">
    <w:name w:val="Plain Text"/>
    <w:basedOn w:val="Normal"/>
    <w:link w:val="PlainTextChar"/>
    <w:rsid w:val="00086616"/>
    <w:pPr>
      <w:ind w:left="0"/>
      <w:jc w:val="left"/>
    </w:pPr>
    <w:rPr>
      <w:rFonts w:ascii="Consolas" w:eastAsia="Calibri" w:hAnsi="Consolas" w:cs="Times New Roman"/>
      <w:sz w:val="21"/>
      <w:szCs w:val="21"/>
    </w:rPr>
  </w:style>
  <w:style w:type="character" w:customStyle="1" w:styleId="PlainTextChar">
    <w:name w:val="Plain Text Char"/>
    <w:link w:val="PlainText"/>
    <w:locked/>
    <w:rsid w:val="00086616"/>
    <w:rPr>
      <w:rFonts w:ascii="Consolas" w:hAnsi="Consolas" w:cs="Consolas"/>
      <w:sz w:val="21"/>
      <w:szCs w:val="21"/>
    </w:rPr>
  </w:style>
  <w:style w:type="paragraph" w:customStyle="1" w:styleId="Standard">
    <w:name w:val="Standard"/>
    <w:rsid w:val="00086616"/>
    <w:pPr>
      <w:widowControl w:val="0"/>
      <w:suppressAutoHyphens/>
      <w:autoSpaceDN w:val="0"/>
    </w:pPr>
    <w:rPr>
      <w:rFonts w:ascii="Liberation Serif" w:eastAsia="DejaVu Sans" w:hAnsi="Liberation Serif" w:cs="Liberation Serif"/>
      <w:kern w:val="3"/>
      <w:sz w:val="24"/>
      <w:szCs w:val="24"/>
      <w:lang w:val="en-US"/>
    </w:rPr>
  </w:style>
  <w:style w:type="paragraph" w:customStyle="1" w:styleId="Listparagraf1">
    <w:name w:val="Listă paragraf1"/>
    <w:basedOn w:val="Normal"/>
    <w:rsid w:val="00086616"/>
    <w:pPr>
      <w:spacing w:after="200" w:line="276" w:lineRule="auto"/>
      <w:jc w:val="left"/>
    </w:pPr>
  </w:style>
  <w:style w:type="paragraph" w:customStyle="1" w:styleId="doc-ti">
    <w:name w:val="doc-ti"/>
    <w:basedOn w:val="Normal"/>
    <w:rsid w:val="00C05CE3"/>
    <w:pPr>
      <w:spacing w:before="240" w:after="120"/>
      <w:ind w:left="0"/>
      <w:jc w:val="center"/>
    </w:pPr>
    <w:rPr>
      <w:rFonts w:ascii="Times New Roman" w:eastAsia="Calibri" w:hAnsi="Times New Roman" w:cs="Times New Roman"/>
      <w:b/>
      <w:bCs/>
      <w:sz w:val="24"/>
      <w:szCs w:val="24"/>
      <w:lang w:eastAsia="ro-RO"/>
    </w:rPr>
  </w:style>
  <w:style w:type="paragraph" w:styleId="Header">
    <w:name w:val="header"/>
    <w:basedOn w:val="Normal"/>
    <w:link w:val="HeaderChar"/>
    <w:uiPriority w:val="99"/>
    <w:rsid w:val="007E6A2C"/>
    <w:pPr>
      <w:tabs>
        <w:tab w:val="center" w:pos="4536"/>
        <w:tab w:val="right" w:pos="9072"/>
      </w:tabs>
    </w:pPr>
    <w:rPr>
      <w:rFonts w:eastAsia="Calibri" w:cs="Times New Roman"/>
    </w:rPr>
  </w:style>
  <w:style w:type="character" w:customStyle="1" w:styleId="HeaderChar">
    <w:name w:val="Header Char"/>
    <w:link w:val="Header"/>
    <w:uiPriority w:val="99"/>
    <w:locked/>
    <w:rsid w:val="007E6A2C"/>
    <w:rPr>
      <w:rFonts w:cs="Times New Roman"/>
      <w:sz w:val="22"/>
      <w:szCs w:val="22"/>
      <w:lang w:eastAsia="en-US"/>
    </w:rPr>
  </w:style>
  <w:style w:type="paragraph" w:styleId="Footer">
    <w:name w:val="footer"/>
    <w:basedOn w:val="Normal"/>
    <w:link w:val="FooterChar"/>
    <w:uiPriority w:val="99"/>
    <w:rsid w:val="007E6A2C"/>
    <w:pPr>
      <w:tabs>
        <w:tab w:val="center" w:pos="4536"/>
        <w:tab w:val="right" w:pos="9072"/>
      </w:tabs>
    </w:pPr>
    <w:rPr>
      <w:rFonts w:eastAsia="Calibri" w:cs="Times New Roman"/>
    </w:rPr>
  </w:style>
  <w:style w:type="character" w:customStyle="1" w:styleId="FooterChar">
    <w:name w:val="Footer Char"/>
    <w:link w:val="Footer"/>
    <w:uiPriority w:val="99"/>
    <w:locked/>
    <w:rsid w:val="007E6A2C"/>
    <w:rPr>
      <w:rFonts w:cs="Times New Roman"/>
      <w:sz w:val="22"/>
      <w:szCs w:val="22"/>
      <w:lang w:eastAsia="en-US"/>
    </w:rPr>
  </w:style>
  <w:style w:type="character" w:styleId="Emphasis">
    <w:name w:val="Emphasis"/>
    <w:qFormat/>
    <w:rsid w:val="002D366B"/>
    <w:rPr>
      <w:rFonts w:cs="Times New Roman"/>
      <w:i/>
      <w:iCs/>
    </w:rPr>
  </w:style>
  <w:style w:type="paragraph" w:styleId="ListParagraph">
    <w:name w:val="List Paragraph"/>
    <w:basedOn w:val="Normal"/>
    <w:link w:val="ListParagraphChar"/>
    <w:uiPriority w:val="34"/>
    <w:qFormat/>
    <w:rsid w:val="00E37990"/>
    <w:pPr>
      <w:spacing w:after="200" w:line="276" w:lineRule="auto"/>
      <w:jc w:val="left"/>
    </w:pPr>
  </w:style>
  <w:style w:type="paragraph" w:styleId="BalloonText">
    <w:name w:val="Balloon Text"/>
    <w:basedOn w:val="Normal"/>
    <w:link w:val="BalloonTextChar"/>
    <w:semiHidden/>
    <w:rsid w:val="00A00A2C"/>
    <w:rPr>
      <w:rFonts w:ascii="Tahoma" w:eastAsia="Calibri" w:hAnsi="Tahoma" w:cs="Times New Roman"/>
      <w:sz w:val="16"/>
      <w:szCs w:val="16"/>
    </w:rPr>
  </w:style>
  <w:style w:type="character" w:customStyle="1" w:styleId="BalloonTextChar">
    <w:name w:val="Balloon Text Char"/>
    <w:link w:val="BalloonText"/>
    <w:semiHidden/>
    <w:locked/>
    <w:rsid w:val="00A00A2C"/>
    <w:rPr>
      <w:rFonts w:ascii="Tahoma" w:hAnsi="Tahoma" w:cs="Tahoma"/>
      <w:sz w:val="16"/>
      <w:szCs w:val="16"/>
      <w:lang w:val="ro-RO"/>
    </w:rPr>
  </w:style>
  <w:style w:type="character" w:customStyle="1" w:styleId="apple-converted-space">
    <w:name w:val="apple-converted-space"/>
    <w:rsid w:val="007B7FFC"/>
    <w:rPr>
      <w:rFonts w:cs="Times New Roman"/>
    </w:rPr>
  </w:style>
  <w:style w:type="table" w:styleId="TableGrid">
    <w:name w:val="Table Grid"/>
    <w:basedOn w:val="TableNormal"/>
    <w:rsid w:val="00336FD3"/>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5A595E"/>
  </w:style>
  <w:style w:type="character" w:customStyle="1" w:styleId="Heading3Char">
    <w:name w:val="Heading 3 Char"/>
    <w:link w:val="Heading3"/>
    <w:uiPriority w:val="9"/>
    <w:rsid w:val="001C63AF"/>
    <w:rPr>
      <w:rFonts w:ascii="Times New Roman" w:eastAsia="Times New Roman" w:hAnsi="Times New Roman"/>
      <w:b/>
      <w:bCs/>
      <w:sz w:val="27"/>
      <w:szCs w:val="27"/>
    </w:rPr>
  </w:style>
  <w:style w:type="character" w:styleId="Hyperlink">
    <w:name w:val="Hyperlink"/>
    <w:uiPriority w:val="99"/>
    <w:unhideWhenUsed/>
    <w:rsid w:val="001C63AF"/>
    <w:rPr>
      <w:color w:val="0000FF"/>
      <w:u w:val="single"/>
    </w:rPr>
  </w:style>
  <w:style w:type="paragraph" w:styleId="FootnoteText">
    <w:name w:val="footnote text"/>
    <w:basedOn w:val="Normal"/>
    <w:link w:val="FootnoteTextChar"/>
    <w:uiPriority w:val="99"/>
    <w:unhideWhenUsed/>
    <w:rsid w:val="00EF779F"/>
    <w:pPr>
      <w:ind w:left="0"/>
      <w:jc w:val="left"/>
    </w:pPr>
    <w:rPr>
      <w:rFonts w:eastAsia="Calibri" w:cs="Times New Roman"/>
      <w:sz w:val="20"/>
      <w:szCs w:val="20"/>
    </w:rPr>
  </w:style>
  <w:style w:type="character" w:customStyle="1" w:styleId="FootnoteTextChar">
    <w:name w:val="Footnote Text Char"/>
    <w:link w:val="FootnoteText"/>
    <w:uiPriority w:val="99"/>
    <w:rsid w:val="00EF779F"/>
    <w:rPr>
      <w:rFonts w:ascii="Calibri" w:eastAsia="Calibri" w:hAnsi="Calibri" w:cs="Times New Roman"/>
    </w:rPr>
  </w:style>
  <w:style w:type="character" w:styleId="FootnoteReference">
    <w:name w:val="footnote reference"/>
    <w:rsid w:val="00EF779F"/>
    <w:rPr>
      <w:rFonts w:cs="Times New Roman"/>
      <w:vertAlign w:val="superscript"/>
    </w:rPr>
  </w:style>
  <w:style w:type="character" w:styleId="Strong">
    <w:name w:val="Strong"/>
    <w:uiPriority w:val="22"/>
    <w:qFormat/>
    <w:locked/>
    <w:rsid w:val="003D2FD7"/>
    <w:rPr>
      <w:b/>
      <w:bCs/>
    </w:rPr>
  </w:style>
  <w:style w:type="paragraph" w:customStyle="1" w:styleId="Default">
    <w:name w:val="Default"/>
    <w:rsid w:val="004B30CD"/>
    <w:pPr>
      <w:widowControl w:val="0"/>
      <w:autoSpaceDE w:val="0"/>
      <w:autoSpaceDN w:val="0"/>
      <w:adjustRightInd w:val="0"/>
    </w:pPr>
    <w:rPr>
      <w:rFonts w:ascii="Times New Roman" w:eastAsia="Times New Roman" w:hAnsi="Times New Roman"/>
      <w:color w:val="000000"/>
      <w:sz w:val="24"/>
      <w:szCs w:val="24"/>
    </w:rPr>
  </w:style>
  <w:style w:type="character" w:customStyle="1" w:styleId="l5def2">
    <w:name w:val="l5def2"/>
    <w:basedOn w:val="DefaultParagraphFont"/>
    <w:rsid w:val="004B30CD"/>
    <w:rPr>
      <w:rFonts w:ascii="Arial" w:hAnsi="Arial" w:cs="Arial" w:hint="default"/>
      <w:color w:val="000000"/>
      <w:sz w:val="26"/>
      <w:szCs w:val="26"/>
    </w:rPr>
  </w:style>
  <w:style w:type="character" w:customStyle="1" w:styleId="l5red3">
    <w:name w:val="l5_red3"/>
    <w:basedOn w:val="DefaultParagraphFont"/>
    <w:rsid w:val="004B30CD"/>
    <w:rPr>
      <w:b w:val="0"/>
      <w:bCs w:val="0"/>
      <w:i w:val="0"/>
      <w:iCs w:val="0"/>
      <w:strike w:val="0"/>
      <w:dstrike w:val="0"/>
      <w:color w:val="FF0000"/>
      <w:u w:val="none"/>
      <w:effect w:val="none"/>
      <w:shd w:val="clear" w:color="auto" w:fill="auto"/>
    </w:rPr>
  </w:style>
  <w:style w:type="character" w:styleId="CommentReference">
    <w:name w:val="annotation reference"/>
    <w:basedOn w:val="DefaultParagraphFont"/>
    <w:uiPriority w:val="99"/>
    <w:semiHidden/>
    <w:unhideWhenUsed/>
    <w:rsid w:val="00AB6ABE"/>
    <w:rPr>
      <w:sz w:val="16"/>
      <w:szCs w:val="16"/>
    </w:rPr>
  </w:style>
  <w:style w:type="paragraph" w:styleId="CommentText">
    <w:name w:val="annotation text"/>
    <w:basedOn w:val="Normal"/>
    <w:link w:val="CommentTextChar"/>
    <w:uiPriority w:val="99"/>
    <w:semiHidden/>
    <w:unhideWhenUsed/>
    <w:rsid w:val="00AB6ABE"/>
    <w:rPr>
      <w:sz w:val="20"/>
      <w:szCs w:val="20"/>
    </w:rPr>
  </w:style>
  <w:style w:type="character" w:customStyle="1" w:styleId="CommentTextChar">
    <w:name w:val="Comment Text Char"/>
    <w:basedOn w:val="DefaultParagraphFont"/>
    <w:link w:val="CommentText"/>
    <w:uiPriority w:val="99"/>
    <w:semiHidden/>
    <w:rsid w:val="00AB6ABE"/>
    <w:rPr>
      <w:rFonts w:eastAsia="Times New Roman" w:cs="Calibri"/>
      <w:lang w:eastAsia="en-US"/>
    </w:rPr>
  </w:style>
  <w:style w:type="paragraph" w:styleId="CommentSubject">
    <w:name w:val="annotation subject"/>
    <w:basedOn w:val="CommentText"/>
    <w:next w:val="CommentText"/>
    <w:link w:val="CommentSubjectChar"/>
    <w:semiHidden/>
    <w:unhideWhenUsed/>
    <w:rsid w:val="00AB6ABE"/>
    <w:rPr>
      <w:b/>
      <w:bCs/>
    </w:rPr>
  </w:style>
  <w:style w:type="character" w:customStyle="1" w:styleId="CommentSubjectChar">
    <w:name w:val="Comment Subject Char"/>
    <w:basedOn w:val="CommentTextChar"/>
    <w:link w:val="CommentSubject"/>
    <w:semiHidden/>
    <w:rsid w:val="00AB6ABE"/>
    <w:rPr>
      <w:rFonts w:eastAsia="Times New Roman" w:cs="Calibri"/>
      <w:b/>
      <w:bCs/>
      <w:lang w:eastAsia="en-US"/>
    </w:rPr>
  </w:style>
  <w:style w:type="character" w:customStyle="1" w:styleId="ListParagraphChar">
    <w:name w:val="List Paragraph Char"/>
    <w:basedOn w:val="DefaultParagraphFont"/>
    <w:link w:val="ListParagraph"/>
    <w:uiPriority w:val="34"/>
    <w:locked/>
    <w:rsid w:val="00437D90"/>
    <w:rPr>
      <w:rFonts w:eastAsia="Times New Roman" w:cs="Calibri"/>
      <w:sz w:val="22"/>
      <w:szCs w:val="22"/>
      <w:lang w:eastAsia="en-US"/>
    </w:rPr>
  </w:style>
  <w:style w:type="character" w:customStyle="1" w:styleId="l5def3">
    <w:name w:val="l5def3"/>
    <w:basedOn w:val="DefaultParagraphFont"/>
    <w:rsid w:val="00FE3A94"/>
    <w:rPr>
      <w:rFonts w:ascii="Arial" w:hAnsi="Arial" w:cs="Arial" w:hint="default"/>
      <w:color w:val="000000"/>
      <w:sz w:val="26"/>
      <w:szCs w:val="26"/>
    </w:rPr>
  </w:style>
  <w:style w:type="character" w:customStyle="1" w:styleId="l5def4">
    <w:name w:val="l5def4"/>
    <w:basedOn w:val="DefaultParagraphFont"/>
    <w:rsid w:val="00FE3A94"/>
    <w:rPr>
      <w:rFonts w:ascii="Arial" w:hAnsi="Arial" w:cs="Arial" w:hint="default"/>
      <w:color w:val="000000"/>
      <w:sz w:val="26"/>
      <w:szCs w:val="26"/>
    </w:rPr>
  </w:style>
  <w:style w:type="character" w:customStyle="1" w:styleId="l5com1">
    <w:name w:val="l5com1"/>
    <w:basedOn w:val="DefaultParagraphFont"/>
    <w:rsid w:val="00FE3A94"/>
    <w:rPr>
      <w:rFonts w:ascii="Tahoma" w:hAnsi="Tahoma" w:cs="Tahoma" w:hint="default"/>
      <w:b w:val="0"/>
      <w:bCs w:val="0"/>
      <w:i/>
      <w:iCs/>
      <w:color w:val="339966"/>
      <w:sz w:val="22"/>
      <w:szCs w:val="22"/>
    </w:rPr>
  </w:style>
  <w:style w:type="character" w:customStyle="1" w:styleId="l5com2">
    <w:name w:val="l5com2"/>
    <w:basedOn w:val="DefaultParagraphFont"/>
    <w:rsid w:val="00FE3A94"/>
    <w:rPr>
      <w:rFonts w:ascii="Tahoma" w:hAnsi="Tahoma" w:cs="Tahoma" w:hint="default"/>
      <w:b w:val="0"/>
      <w:bCs w:val="0"/>
      <w:i/>
      <w:iCs/>
      <w:color w:val="339966"/>
      <w:sz w:val="22"/>
      <w:szCs w:val="22"/>
    </w:rPr>
  </w:style>
  <w:style w:type="character" w:customStyle="1" w:styleId="l5def6">
    <w:name w:val="l5def6"/>
    <w:basedOn w:val="DefaultParagraphFont"/>
    <w:rsid w:val="00FE3A94"/>
    <w:rPr>
      <w:rFonts w:ascii="Arial" w:hAnsi="Arial" w:cs="Arial" w:hint="default"/>
      <w:color w:val="000000"/>
      <w:sz w:val="26"/>
      <w:szCs w:val="26"/>
    </w:rPr>
  </w:style>
  <w:style w:type="character" w:customStyle="1" w:styleId="l5def7">
    <w:name w:val="l5def7"/>
    <w:basedOn w:val="DefaultParagraphFont"/>
    <w:rsid w:val="00FE3A94"/>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390"/>
      <w:marRight w:val="39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455188">
      <w:bodyDiv w:val="1"/>
      <w:marLeft w:val="0"/>
      <w:marRight w:val="0"/>
      <w:marTop w:val="0"/>
      <w:marBottom w:val="0"/>
      <w:divBdr>
        <w:top w:val="none" w:sz="0" w:space="0" w:color="auto"/>
        <w:left w:val="none" w:sz="0" w:space="0" w:color="auto"/>
        <w:bottom w:val="none" w:sz="0" w:space="0" w:color="auto"/>
        <w:right w:val="none" w:sz="0" w:space="0" w:color="auto"/>
      </w:divBdr>
    </w:div>
    <w:div w:id="34548784">
      <w:bodyDiv w:val="1"/>
      <w:marLeft w:val="0"/>
      <w:marRight w:val="0"/>
      <w:marTop w:val="0"/>
      <w:marBottom w:val="0"/>
      <w:divBdr>
        <w:top w:val="none" w:sz="0" w:space="0" w:color="auto"/>
        <w:left w:val="none" w:sz="0" w:space="0" w:color="auto"/>
        <w:bottom w:val="none" w:sz="0" w:space="0" w:color="auto"/>
        <w:right w:val="none" w:sz="0" w:space="0" w:color="auto"/>
      </w:divBdr>
    </w:div>
    <w:div w:id="168839524">
      <w:bodyDiv w:val="1"/>
      <w:marLeft w:val="0"/>
      <w:marRight w:val="0"/>
      <w:marTop w:val="0"/>
      <w:marBottom w:val="0"/>
      <w:divBdr>
        <w:top w:val="none" w:sz="0" w:space="0" w:color="auto"/>
        <w:left w:val="none" w:sz="0" w:space="0" w:color="auto"/>
        <w:bottom w:val="none" w:sz="0" w:space="0" w:color="auto"/>
        <w:right w:val="none" w:sz="0" w:space="0" w:color="auto"/>
      </w:divBdr>
    </w:div>
    <w:div w:id="285354057">
      <w:bodyDiv w:val="1"/>
      <w:marLeft w:val="0"/>
      <w:marRight w:val="0"/>
      <w:marTop w:val="0"/>
      <w:marBottom w:val="0"/>
      <w:divBdr>
        <w:top w:val="none" w:sz="0" w:space="0" w:color="auto"/>
        <w:left w:val="none" w:sz="0" w:space="0" w:color="auto"/>
        <w:bottom w:val="none" w:sz="0" w:space="0" w:color="auto"/>
        <w:right w:val="none" w:sz="0" w:space="0" w:color="auto"/>
      </w:divBdr>
    </w:div>
    <w:div w:id="860898245">
      <w:bodyDiv w:val="1"/>
      <w:marLeft w:val="0"/>
      <w:marRight w:val="0"/>
      <w:marTop w:val="0"/>
      <w:marBottom w:val="0"/>
      <w:divBdr>
        <w:top w:val="none" w:sz="0" w:space="0" w:color="auto"/>
        <w:left w:val="none" w:sz="0" w:space="0" w:color="auto"/>
        <w:bottom w:val="none" w:sz="0" w:space="0" w:color="auto"/>
        <w:right w:val="none" w:sz="0" w:space="0" w:color="auto"/>
      </w:divBdr>
    </w:div>
    <w:div w:id="908418481">
      <w:bodyDiv w:val="1"/>
      <w:marLeft w:val="0"/>
      <w:marRight w:val="0"/>
      <w:marTop w:val="0"/>
      <w:marBottom w:val="0"/>
      <w:divBdr>
        <w:top w:val="none" w:sz="0" w:space="0" w:color="auto"/>
        <w:left w:val="none" w:sz="0" w:space="0" w:color="auto"/>
        <w:bottom w:val="none" w:sz="0" w:space="0" w:color="auto"/>
        <w:right w:val="none" w:sz="0" w:space="0" w:color="auto"/>
      </w:divBdr>
    </w:div>
    <w:div w:id="944533670">
      <w:bodyDiv w:val="1"/>
      <w:marLeft w:val="0"/>
      <w:marRight w:val="0"/>
      <w:marTop w:val="0"/>
      <w:marBottom w:val="0"/>
      <w:divBdr>
        <w:top w:val="none" w:sz="0" w:space="0" w:color="auto"/>
        <w:left w:val="none" w:sz="0" w:space="0" w:color="auto"/>
        <w:bottom w:val="none" w:sz="0" w:space="0" w:color="auto"/>
        <w:right w:val="none" w:sz="0" w:space="0" w:color="auto"/>
      </w:divBdr>
    </w:div>
    <w:div w:id="1296713217">
      <w:bodyDiv w:val="1"/>
      <w:marLeft w:val="0"/>
      <w:marRight w:val="0"/>
      <w:marTop w:val="0"/>
      <w:marBottom w:val="0"/>
      <w:divBdr>
        <w:top w:val="none" w:sz="0" w:space="0" w:color="auto"/>
        <w:left w:val="none" w:sz="0" w:space="0" w:color="auto"/>
        <w:bottom w:val="none" w:sz="0" w:space="0" w:color="auto"/>
        <w:right w:val="none" w:sz="0" w:space="0" w:color="auto"/>
      </w:divBdr>
      <w:divsChild>
        <w:div w:id="1348867386">
          <w:marLeft w:val="0"/>
          <w:marRight w:val="0"/>
          <w:marTop w:val="0"/>
          <w:marBottom w:val="0"/>
          <w:divBdr>
            <w:top w:val="none" w:sz="0" w:space="0" w:color="auto"/>
            <w:left w:val="none" w:sz="0" w:space="0" w:color="auto"/>
            <w:bottom w:val="none" w:sz="0" w:space="0" w:color="auto"/>
            <w:right w:val="none" w:sz="0" w:space="0" w:color="auto"/>
          </w:divBdr>
          <w:divsChild>
            <w:div w:id="1040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566">
      <w:bodyDiv w:val="1"/>
      <w:marLeft w:val="0"/>
      <w:marRight w:val="0"/>
      <w:marTop w:val="0"/>
      <w:marBottom w:val="0"/>
      <w:divBdr>
        <w:top w:val="none" w:sz="0" w:space="0" w:color="auto"/>
        <w:left w:val="none" w:sz="0" w:space="0" w:color="auto"/>
        <w:bottom w:val="none" w:sz="0" w:space="0" w:color="auto"/>
        <w:right w:val="none" w:sz="0" w:space="0" w:color="auto"/>
      </w:divBdr>
    </w:div>
    <w:div w:id="1489201752">
      <w:bodyDiv w:val="1"/>
      <w:marLeft w:val="0"/>
      <w:marRight w:val="0"/>
      <w:marTop w:val="0"/>
      <w:marBottom w:val="0"/>
      <w:divBdr>
        <w:top w:val="none" w:sz="0" w:space="0" w:color="auto"/>
        <w:left w:val="none" w:sz="0" w:space="0" w:color="auto"/>
        <w:bottom w:val="none" w:sz="0" w:space="0" w:color="auto"/>
        <w:right w:val="none" w:sz="0" w:space="0" w:color="auto"/>
      </w:divBdr>
      <w:divsChild>
        <w:div w:id="121801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175250">
      <w:bodyDiv w:val="1"/>
      <w:marLeft w:val="0"/>
      <w:marRight w:val="0"/>
      <w:marTop w:val="0"/>
      <w:marBottom w:val="0"/>
      <w:divBdr>
        <w:top w:val="none" w:sz="0" w:space="0" w:color="auto"/>
        <w:left w:val="none" w:sz="0" w:space="0" w:color="auto"/>
        <w:bottom w:val="none" w:sz="0" w:space="0" w:color="auto"/>
        <w:right w:val="none" w:sz="0" w:space="0" w:color="auto"/>
      </w:divBdr>
    </w:div>
    <w:div w:id="1549612535">
      <w:bodyDiv w:val="1"/>
      <w:marLeft w:val="0"/>
      <w:marRight w:val="0"/>
      <w:marTop w:val="0"/>
      <w:marBottom w:val="0"/>
      <w:divBdr>
        <w:top w:val="none" w:sz="0" w:space="0" w:color="auto"/>
        <w:left w:val="none" w:sz="0" w:space="0" w:color="auto"/>
        <w:bottom w:val="none" w:sz="0" w:space="0" w:color="auto"/>
        <w:right w:val="none" w:sz="0" w:space="0" w:color="auto"/>
      </w:divBdr>
    </w:div>
    <w:div w:id="1722053124">
      <w:bodyDiv w:val="1"/>
      <w:marLeft w:val="0"/>
      <w:marRight w:val="0"/>
      <w:marTop w:val="0"/>
      <w:marBottom w:val="0"/>
      <w:divBdr>
        <w:top w:val="none" w:sz="0" w:space="0" w:color="auto"/>
        <w:left w:val="none" w:sz="0" w:space="0" w:color="auto"/>
        <w:bottom w:val="none" w:sz="0" w:space="0" w:color="auto"/>
        <w:right w:val="none" w:sz="0" w:space="0" w:color="auto"/>
      </w:divBdr>
      <w:divsChild>
        <w:div w:id="1633366632">
          <w:marLeft w:val="0"/>
          <w:marRight w:val="0"/>
          <w:marTop w:val="0"/>
          <w:marBottom w:val="0"/>
          <w:divBdr>
            <w:top w:val="none" w:sz="0" w:space="0" w:color="auto"/>
            <w:left w:val="none" w:sz="0" w:space="0" w:color="auto"/>
            <w:bottom w:val="none" w:sz="0" w:space="0" w:color="auto"/>
            <w:right w:val="none" w:sz="0" w:space="0" w:color="auto"/>
          </w:divBdr>
          <w:divsChild>
            <w:div w:id="9141136">
              <w:marLeft w:val="0"/>
              <w:marRight w:val="0"/>
              <w:marTop w:val="0"/>
              <w:marBottom w:val="0"/>
              <w:divBdr>
                <w:top w:val="dashed" w:sz="2" w:space="0" w:color="FFFFFF"/>
                <w:left w:val="dashed" w:sz="2" w:space="0" w:color="FFFFFF"/>
                <w:bottom w:val="dashed" w:sz="2" w:space="0" w:color="FFFFFF"/>
                <w:right w:val="dashed" w:sz="2" w:space="0" w:color="FFFFFF"/>
              </w:divBdr>
              <w:divsChild>
                <w:div w:id="173107213">
                  <w:marLeft w:val="0"/>
                  <w:marRight w:val="0"/>
                  <w:marTop w:val="0"/>
                  <w:marBottom w:val="0"/>
                  <w:divBdr>
                    <w:top w:val="dashed" w:sz="2" w:space="0" w:color="FFFFFF"/>
                    <w:left w:val="dashed" w:sz="2" w:space="0" w:color="FFFFFF"/>
                    <w:bottom w:val="dashed" w:sz="2" w:space="0" w:color="FFFFFF"/>
                    <w:right w:val="dashed" w:sz="2" w:space="0" w:color="FFFFFF"/>
                  </w:divBdr>
                </w:div>
                <w:div w:id="262610146">
                  <w:marLeft w:val="0"/>
                  <w:marRight w:val="0"/>
                  <w:marTop w:val="0"/>
                  <w:marBottom w:val="0"/>
                  <w:divBdr>
                    <w:top w:val="dashed" w:sz="2" w:space="0" w:color="FFFFFF"/>
                    <w:left w:val="dashed" w:sz="2" w:space="0" w:color="FFFFFF"/>
                    <w:bottom w:val="dashed" w:sz="2" w:space="0" w:color="FFFFFF"/>
                    <w:right w:val="dashed" w:sz="2" w:space="0" w:color="FFFFFF"/>
                  </w:divBdr>
                </w:div>
                <w:div w:id="268239234">
                  <w:marLeft w:val="0"/>
                  <w:marRight w:val="0"/>
                  <w:marTop w:val="0"/>
                  <w:marBottom w:val="0"/>
                  <w:divBdr>
                    <w:top w:val="dashed" w:sz="2" w:space="0" w:color="FFFFFF"/>
                    <w:left w:val="dashed" w:sz="2" w:space="0" w:color="FFFFFF"/>
                    <w:bottom w:val="dashed" w:sz="2" w:space="0" w:color="FFFFFF"/>
                    <w:right w:val="dashed" w:sz="2" w:space="0" w:color="FFFFFF"/>
                  </w:divBdr>
                  <w:divsChild>
                    <w:div w:id="1396274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775285">
                  <w:marLeft w:val="0"/>
                  <w:marRight w:val="0"/>
                  <w:marTop w:val="0"/>
                  <w:marBottom w:val="0"/>
                  <w:divBdr>
                    <w:top w:val="dashed" w:sz="2" w:space="0" w:color="FFFFFF"/>
                    <w:left w:val="dashed" w:sz="2" w:space="0" w:color="FFFFFF"/>
                    <w:bottom w:val="dashed" w:sz="2" w:space="0" w:color="FFFFFF"/>
                    <w:right w:val="dashed" w:sz="2" w:space="0" w:color="FFFFFF"/>
                  </w:divBdr>
                </w:div>
                <w:div w:id="530799317">
                  <w:marLeft w:val="0"/>
                  <w:marRight w:val="0"/>
                  <w:marTop w:val="0"/>
                  <w:marBottom w:val="0"/>
                  <w:divBdr>
                    <w:top w:val="dashed" w:sz="2" w:space="0" w:color="FFFFFF"/>
                    <w:left w:val="dashed" w:sz="2" w:space="0" w:color="FFFFFF"/>
                    <w:bottom w:val="dashed" w:sz="2" w:space="0" w:color="FFFFFF"/>
                    <w:right w:val="dashed" w:sz="2" w:space="0" w:color="FFFFFF"/>
                  </w:divBdr>
                </w:div>
                <w:div w:id="532301771">
                  <w:marLeft w:val="0"/>
                  <w:marRight w:val="0"/>
                  <w:marTop w:val="0"/>
                  <w:marBottom w:val="0"/>
                  <w:divBdr>
                    <w:top w:val="dashed" w:sz="2" w:space="0" w:color="FFFFFF"/>
                    <w:left w:val="dashed" w:sz="2" w:space="0" w:color="FFFFFF"/>
                    <w:bottom w:val="dashed" w:sz="2" w:space="0" w:color="FFFFFF"/>
                    <w:right w:val="dashed" w:sz="2" w:space="0" w:color="FFFFFF"/>
                  </w:divBdr>
                </w:div>
                <w:div w:id="543099675">
                  <w:marLeft w:val="0"/>
                  <w:marRight w:val="0"/>
                  <w:marTop w:val="0"/>
                  <w:marBottom w:val="0"/>
                  <w:divBdr>
                    <w:top w:val="dashed" w:sz="2" w:space="0" w:color="FFFFFF"/>
                    <w:left w:val="dashed" w:sz="2" w:space="0" w:color="FFFFFF"/>
                    <w:bottom w:val="dashed" w:sz="2" w:space="0" w:color="FFFFFF"/>
                    <w:right w:val="dashed" w:sz="2" w:space="0" w:color="FFFFFF"/>
                  </w:divBdr>
                </w:div>
                <w:div w:id="958223202">
                  <w:marLeft w:val="0"/>
                  <w:marRight w:val="0"/>
                  <w:marTop w:val="0"/>
                  <w:marBottom w:val="0"/>
                  <w:divBdr>
                    <w:top w:val="dashed" w:sz="2" w:space="0" w:color="FFFFFF"/>
                    <w:left w:val="dashed" w:sz="2" w:space="0" w:color="FFFFFF"/>
                    <w:bottom w:val="dashed" w:sz="2" w:space="0" w:color="FFFFFF"/>
                    <w:right w:val="dashed" w:sz="2" w:space="0" w:color="FFFFFF"/>
                  </w:divBdr>
                </w:div>
                <w:div w:id="996227450">
                  <w:marLeft w:val="0"/>
                  <w:marRight w:val="0"/>
                  <w:marTop w:val="0"/>
                  <w:marBottom w:val="0"/>
                  <w:divBdr>
                    <w:top w:val="dashed" w:sz="2" w:space="0" w:color="FFFFFF"/>
                    <w:left w:val="dashed" w:sz="2" w:space="0" w:color="FFFFFF"/>
                    <w:bottom w:val="dashed" w:sz="2" w:space="0" w:color="FFFFFF"/>
                    <w:right w:val="dashed" w:sz="2" w:space="0" w:color="FFFFFF"/>
                  </w:divBdr>
                </w:div>
                <w:div w:id="1052969021">
                  <w:marLeft w:val="0"/>
                  <w:marRight w:val="0"/>
                  <w:marTop w:val="0"/>
                  <w:marBottom w:val="0"/>
                  <w:divBdr>
                    <w:top w:val="dashed" w:sz="2" w:space="0" w:color="FFFFFF"/>
                    <w:left w:val="dashed" w:sz="2" w:space="0" w:color="FFFFFF"/>
                    <w:bottom w:val="dashed" w:sz="2" w:space="0" w:color="FFFFFF"/>
                    <w:right w:val="dashed" w:sz="2" w:space="0" w:color="FFFFFF"/>
                  </w:divBdr>
                </w:div>
                <w:div w:id="1240098919">
                  <w:marLeft w:val="0"/>
                  <w:marRight w:val="0"/>
                  <w:marTop w:val="0"/>
                  <w:marBottom w:val="0"/>
                  <w:divBdr>
                    <w:top w:val="dashed" w:sz="2" w:space="0" w:color="FFFFFF"/>
                    <w:left w:val="dashed" w:sz="2" w:space="0" w:color="FFFFFF"/>
                    <w:bottom w:val="dashed" w:sz="2" w:space="0" w:color="FFFFFF"/>
                    <w:right w:val="dashed" w:sz="2" w:space="0" w:color="FFFFFF"/>
                  </w:divBdr>
                </w:div>
                <w:div w:id="1548448192">
                  <w:marLeft w:val="0"/>
                  <w:marRight w:val="0"/>
                  <w:marTop w:val="0"/>
                  <w:marBottom w:val="0"/>
                  <w:divBdr>
                    <w:top w:val="dashed" w:sz="2" w:space="0" w:color="FFFFFF"/>
                    <w:left w:val="dashed" w:sz="2" w:space="0" w:color="FFFFFF"/>
                    <w:bottom w:val="dashed" w:sz="2" w:space="0" w:color="FFFFFF"/>
                    <w:right w:val="dashed" w:sz="2" w:space="0" w:color="FFFFFF"/>
                  </w:divBdr>
                </w:div>
                <w:div w:id="1689988594">
                  <w:marLeft w:val="0"/>
                  <w:marRight w:val="0"/>
                  <w:marTop w:val="0"/>
                  <w:marBottom w:val="0"/>
                  <w:divBdr>
                    <w:top w:val="dashed" w:sz="2" w:space="0" w:color="FFFFFF"/>
                    <w:left w:val="dashed" w:sz="2" w:space="0" w:color="FFFFFF"/>
                    <w:bottom w:val="dashed" w:sz="2" w:space="0" w:color="FFFFFF"/>
                    <w:right w:val="dashed" w:sz="2" w:space="0" w:color="FFFFFF"/>
                  </w:divBdr>
                </w:div>
                <w:div w:id="1754400242">
                  <w:marLeft w:val="0"/>
                  <w:marRight w:val="0"/>
                  <w:marTop w:val="0"/>
                  <w:marBottom w:val="0"/>
                  <w:divBdr>
                    <w:top w:val="dashed" w:sz="2" w:space="0" w:color="FFFFFF"/>
                    <w:left w:val="dashed" w:sz="2" w:space="0" w:color="FFFFFF"/>
                    <w:bottom w:val="dashed" w:sz="2" w:space="0" w:color="FFFFFF"/>
                    <w:right w:val="dashed" w:sz="2" w:space="0" w:color="FFFFFF"/>
                  </w:divBdr>
                </w:div>
                <w:div w:id="1868323882">
                  <w:marLeft w:val="0"/>
                  <w:marRight w:val="0"/>
                  <w:marTop w:val="0"/>
                  <w:marBottom w:val="0"/>
                  <w:divBdr>
                    <w:top w:val="dashed" w:sz="2" w:space="0" w:color="FFFFFF"/>
                    <w:left w:val="dashed" w:sz="2" w:space="0" w:color="FFFFFF"/>
                    <w:bottom w:val="dashed" w:sz="2" w:space="0" w:color="FFFFFF"/>
                    <w:right w:val="dashed" w:sz="2" w:space="0" w:color="FFFFFF"/>
                  </w:divBdr>
                </w:div>
                <w:div w:id="211485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1926270">
      <w:bodyDiv w:val="1"/>
      <w:marLeft w:val="0"/>
      <w:marRight w:val="0"/>
      <w:marTop w:val="0"/>
      <w:marBottom w:val="0"/>
      <w:divBdr>
        <w:top w:val="none" w:sz="0" w:space="0" w:color="auto"/>
        <w:left w:val="none" w:sz="0" w:space="0" w:color="auto"/>
        <w:bottom w:val="none" w:sz="0" w:space="0" w:color="auto"/>
        <w:right w:val="none" w:sz="0" w:space="0" w:color="auto"/>
      </w:divBdr>
    </w:div>
    <w:div w:id="18993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7727">
          <w:marLeft w:val="0"/>
          <w:marRight w:val="0"/>
          <w:marTop w:val="0"/>
          <w:marBottom w:val="0"/>
          <w:divBdr>
            <w:top w:val="dashed" w:sz="2" w:space="0" w:color="FFFFFF"/>
            <w:left w:val="dashed" w:sz="2" w:space="0" w:color="FFFFFF"/>
            <w:bottom w:val="dashed" w:sz="2" w:space="0" w:color="FFFFFF"/>
            <w:right w:val="dashed" w:sz="2" w:space="0" w:color="FFFFFF"/>
          </w:divBdr>
        </w:div>
        <w:div w:id="1233806499">
          <w:marLeft w:val="0"/>
          <w:marRight w:val="0"/>
          <w:marTop w:val="0"/>
          <w:marBottom w:val="0"/>
          <w:divBdr>
            <w:top w:val="dashed" w:sz="2" w:space="0" w:color="FFFFFF"/>
            <w:left w:val="dashed" w:sz="2" w:space="0" w:color="FFFFFF"/>
            <w:bottom w:val="dashed" w:sz="2" w:space="0" w:color="FFFFFF"/>
            <w:right w:val="dashed" w:sz="2" w:space="0" w:color="FFFFFF"/>
          </w:divBdr>
        </w:div>
        <w:div w:id="148015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893922">
      <w:bodyDiv w:val="1"/>
      <w:marLeft w:val="0"/>
      <w:marRight w:val="0"/>
      <w:marTop w:val="0"/>
      <w:marBottom w:val="0"/>
      <w:divBdr>
        <w:top w:val="none" w:sz="0" w:space="0" w:color="auto"/>
        <w:left w:val="none" w:sz="0" w:space="0" w:color="auto"/>
        <w:bottom w:val="none" w:sz="0" w:space="0" w:color="auto"/>
        <w:right w:val="none" w:sz="0" w:space="0" w:color="auto"/>
      </w:divBdr>
    </w:div>
    <w:div w:id="1947616014">
      <w:bodyDiv w:val="1"/>
      <w:marLeft w:val="0"/>
      <w:marRight w:val="0"/>
      <w:marTop w:val="0"/>
      <w:marBottom w:val="0"/>
      <w:divBdr>
        <w:top w:val="none" w:sz="0" w:space="0" w:color="auto"/>
        <w:left w:val="none" w:sz="0" w:space="0" w:color="auto"/>
        <w:bottom w:val="none" w:sz="0" w:space="0" w:color="auto"/>
        <w:right w:val="none" w:sz="0" w:space="0" w:color="auto"/>
      </w:divBdr>
    </w:div>
    <w:div w:id="1986083289">
      <w:bodyDiv w:val="1"/>
      <w:marLeft w:val="0"/>
      <w:marRight w:val="0"/>
      <w:marTop w:val="0"/>
      <w:marBottom w:val="0"/>
      <w:divBdr>
        <w:top w:val="none" w:sz="0" w:space="0" w:color="auto"/>
        <w:left w:val="none" w:sz="0" w:space="0" w:color="auto"/>
        <w:bottom w:val="none" w:sz="0" w:space="0" w:color="auto"/>
        <w:right w:val="none" w:sz="0" w:space="0" w:color="auto"/>
      </w:divBdr>
      <w:divsChild>
        <w:div w:id="1984430655">
          <w:marLeft w:val="0"/>
          <w:marRight w:val="0"/>
          <w:marTop w:val="0"/>
          <w:marBottom w:val="0"/>
          <w:divBdr>
            <w:top w:val="none" w:sz="0" w:space="0" w:color="auto"/>
            <w:left w:val="none" w:sz="0" w:space="0" w:color="auto"/>
            <w:bottom w:val="none" w:sz="0" w:space="0" w:color="auto"/>
            <w:right w:val="none" w:sz="0" w:space="0" w:color="auto"/>
          </w:divBdr>
          <w:divsChild>
            <w:div w:id="1881085536">
              <w:marLeft w:val="0"/>
              <w:marRight w:val="0"/>
              <w:marTop w:val="0"/>
              <w:marBottom w:val="0"/>
              <w:divBdr>
                <w:top w:val="none" w:sz="0" w:space="0" w:color="auto"/>
                <w:left w:val="none" w:sz="0" w:space="0" w:color="auto"/>
                <w:bottom w:val="none" w:sz="0" w:space="0" w:color="auto"/>
                <w:right w:val="none" w:sz="0" w:space="0" w:color="auto"/>
              </w:divBdr>
              <w:divsChild>
                <w:div w:id="53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545">
          <w:marLeft w:val="0"/>
          <w:marRight w:val="0"/>
          <w:marTop w:val="0"/>
          <w:marBottom w:val="0"/>
          <w:divBdr>
            <w:top w:val="none" w:sz="0" w:space="0" w:color="auto"/>
            <w:left w:val="none" w:sz="0" w:space="0" w:color="auto"/>
            <w:bottom w:val="none" w:sz="0" w:space="0" w:color="auto"/>
            <w:right w:val="none" w:sz="0" w:space="0" w:color="auto"/>
          </w:divBdr>
          <w:divsChild>
            <w:div w:id="421342639">
              <w:marLeft w:val="0"/>
              <w:marRight w:val="0"/>
              <w:marTop w:val="0"/>
              <w:marBottom w:val="0"/>
              <w:divBdr>
                <w:top w:val="none" w:sz="0" w:space="0" w:color="auto"/>
                <w:left w:val="none" w:sz="0" w:space="0" w:color="auto"/>
                <w:bottom w:val="none" w:sz="0" w:space="0" w:color="auto"/>
                <w:right w:val="none" w:sz="0" w:space="0" w:color="auto"/>
              </w:divBdr>
              <w:divsChild>
                <w:div w:id="1070276504">
                  <w:marLeft w:val="0"/>
                  <w:marRight w:val="0"/>
                  <w:marTop w:val="0"/>
                  <w:marBottom w:val="0"/>
                  <w:divBdr>
                    <w:top w:val="none" w:sz="0" w:space="0" w:color="auto"/>
                    <w:left w:val="none" w:sz="0" w:space="0" w:color="auto"/>
                    <w:bottom w:val="none" w:sz="0" w:space="0" w:color="auto"/>
                    <w:right w:val="none" w:sz="0" w:space="0" w:color="auto"/>
                  </w:divBdr>
                </w:div>
              </w:divsChild>
            </w:div>
            <w:div w:id="1553225412">
              <w:marLeft w:val="0"/>
              <w:marRight w:val="0"/>
              <w:marTop w:val="0"/>
              <w:marBottom w:val="0"/>
              <w:divBdr>
                <w:top w:val="none" w:sz="0" w:space="0" w:color="auto"/>
                <w:left w:val="none" w:sz="0" w:space="0" w:color="auto"/>
                <w:bottom w:val="none" w:sz="0" w:space="0" w:color="auto"/>
                <w:right w:val="none" w:sz="0" w:space="0" w:color="auto"/>
              </w:divBdr>
              <w:divsChild>
                <w:div w:id="8402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7511">
          <w:marLeft w:val="0"/>
          <w:marRight w:val="0"/>
          <w:marTop w:val="0"/>
          <w:marBottom w:val="0"/>
          <w:divBdr>
            <w:top w:val="none" w:sz="0" w:space="0" w:color="auto"/>
            <w:left w:val="none" w:sz="0" w:space="0" w:color="auto"/>
            <w:bottom w:val="none" w:sz="0" w:space="0" w:color="auto"/>
            <w:right w:val="none" w:sz="0" w:space="0" w:color="auto"/>
          </w:divBdr>
        </w:div>
      </w:divsChild>
    </w:div>
    <w:div w:id="21198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C3DDC-DA8C-4F0E-AA44-5F3A34D7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3233</Words>
  <Characters>18757</Characters>
  <Application>Microsoft Office Word</Application>
  <DocSecurity>0</DocSecurity>
  <Lines>156</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Comisia Nationala A Valorilor Mobiliare</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Marian Balaban</dc:creator>
  <cp:lastModifiedBy>Reglementare Asigurari</cp:lastModifiedBy>
  <cp:revision>6</cp:revision>
  <cp:lastPrinted>2021-03-04T09:26:00Z</cp:lastPrinted>
  <dcterms:created xsi:type="dcterms:W3CDTF">2021-03-03T13:34:00Z</dcterms:created>
  <dcterms:modified xsi:type="dcterms:W3CDTF">2021-03-04T09:27:00Z</dcterms:modified>
</cp:coreProperties>
</file>