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68" w:rsidRDefault="00C65E68">
      <w:pPr>
        <w:ind w:left="180" w:right="-89"/>
        <w:jc w:val="center"/>
        <w:rPr>
          <w:rFonts w:ascii="Trebuchet MS" w:hAnsi="Trebuchet MS" w:cs="Arial"/>
          <w:bCs/>
          <w:spacing w:val="20"/>
          <w:sz w:val="24"/>
          <w:szCs w:val="24"/>
        </w:rPr>
      </w:pPr>
    </w:p>
    <w:p w:rsidR="00C65E68" w:rsidRDefault="00C65E68">
      <w:pPr>
        <w:jc w:val="center"/>
        <w:rPr>
          <w:rFonts w:ascii="Trebuchet MS" w:hAnsi="Trebuchet MS" w:cs="Arial"/>
          <w:bCs/>
          <w:spacing w:val="20"/>
          <w:sz w:val="24"/>
          <w:szCs w:val="24"/>
        </w:rPr>
      </w:pPr>
    </w:p>
    <w:p w:rsidR="00C65E68" w:rsidRDefault="00C65E68">
      <w:pPr>
        <w:jc w:val="center"/>
        <w:rPr>
          <w:rFonts w:ascii="Trebuchet MS" w:hAnsi="Trebuchet MS" w:cs="Arial"/>
          <w:bCs/>
          <w:spacing w:val="20"/>
          <w:sz w:val="24"/>
          <w:szCs w:val="24"/>
        </w:rPr>
      </w:pPr>
    </w:p>
    <w:p w:rsidR="00C65E68" w:rsidRDefault="00C65E68">
      <w:pPr>
        <w:jc w:val="center"/>
        <w:rPr>
          <w:rFonts w:ascii="Trebuchet MS" w:hAnsi="Trebuchet MS" w:cs="Arial"/>
          <w:bCs/>
          <w:spacing w:val="20"/>
          <w:sz w:val="24"/>
          <w:szCs w:val="24"/>
        </w:rPr>
      </w:pPr>
    </w:p>
    <w:p w:rsidR="00C65E68" w:rsidRDefault="00C65E68">
      <w:pPr>
        <w:jc w:val="center"/>
        <w:rPr>
          <w:rFonts w:ascii="Trebuchet MS" w:hAnsi="Trebuchet MS" w:cs="Arial"/>
          <w:bCs/>
          <w:spacing w:val="20"/>
          <w:sz w:val="24"/>
          <w:szCs w:val="24"/>
        </w:rPr>
      </w:pPr>
    </w:p>
    <w:p w:rsidR="00C65E68" w:rsidRDefault="00312F9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b/>
          <w:bCs/>
          <w:spacing w:val="20"/>
          <w:sz w:val="24"/>
          <w:szCs w:val="24"/>
        </w:rPr>
        <w:t>NOTĂ DE FUNDAMENTARE</w:t>
      </w:r>
    </w:p>
    <w:p w:rsidR="00C65E68" w:rsidRDefault="00C65E68">
      <w:pPr>
        <w:jc w:val="center"/>
        <w:rPr>
          <w:rFonts w:ascii="Trebuchet MS" w:hAnsi="Trebuchet MS" w:cs="Arial"/>
          <w:b/>
          <w:bCs/>
          <w:spacing w:val="20"/>
          <w:sz w:val="24"/>
          <w:szCs w:val="24"/>
        </w:rPr>
      </w:pPr>
    </w:p>
    <w:p w:rsidR="00C65E68" w:rsidRDefault="00C65E68">
      <w:pPr>
        <w:jc w:val="center"/>
        <w:rPr>
          <w:rFonts w:ascii="Trebuchet MS" w:hAnsi="Trebuchet MS" w:cs="Arial"/>
          <w:b/>
          <w:bCs/>
          <w:spacing w:val="20"/>
          <w:sz w:val="24"/>
          <w:szCs w:val="24"/>
        </w:rPr>
      </w:pPr>
    </w:p>
    <w:p w:rsidR="00C65E68" w:rsidRDefault="00C65E68">
      <w:pPr>
        <w:jc w:val="center"/>
        <w:rPr>
          <w:rFonts w:ascii="Trebuchet MS" w:hAnsi="Trebuchet MS" w:cs="Arial"/>
          <w:b/>
          <w:bCs/>
          <w:spacing w:val="20"/>
          <w:sz w:val="24"/>
          <w:szCs w:val="24"/>
        </w:rPr>
      </w:pPr>
    </w:p>
    <w:tbl>
      <w:tblPr>
        <w:tblW w:w="9540" w:type="dxa"/>
        <w:tblInd w:w="16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" w:type="dxa"/>
          <w:right w:w="98" w:type="dxa"/>
        </w:tblCellMar>
        <w:tblLook w:val="04A0"/>
      </w:tblPr>
      <w:tblGrid>
        <w:gridCol w:w="3059"/>
        <w:gridCol w:w="1354"/>
        <w:gridCol w:w="929"/>
        <w:gridCol w:w="956"/>
        <w:gridCol w:w="955"/>
        <w:gridCol w:w="921"/>
        <w:gridCol w:w="1366"/>
      </w:tblGrid>
      <w:tr w:rsidR="00C65E68">
        <w:trPr>
          <w:trHeight w:val="807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pStyle w:val="TableContents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Secțiunea 1 </w:t>
            </w:r>
          </w:p>
          <w:p w:rsidR="00C65E68" w:rsidRDefault="00312F92">
            <w:pPr>
              <w:pStyle w:val="TableContents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Titlul proiectului de act normativ</w:t>
            </w:r>
          </w:p>
          <w:p w:rsidR="00C65E68" w:rsidRDefault="00C65E68">
            <w:pPr>
              <w:pStyle w:val="TableContents"/>
              <w:rPr>
                <w:rFonts w:ascii="Trebuchet MS" w:hAnsi="Trebuchet MS" w:cs="Arial"/>
                <w:sz w:val="24"/>
                <w:szCs w:val="24"/>
              </w:rPr>
            </w:pPr>
          </w:p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bidi="hi-IN"/>
              </w:rPr>
              <w:t>HOTĂRÂRE</w:t>
            </w:r>
          </w:p>
          <w:p w:rsidR="00C65E68" w:rsidRDefault="00312F92">
            <w:pPr>
              <w:pStyle w:val="BodyText1"/>
              <w:shd w:val="clear" w:color="auto" w:fill="auto"/>
              <w:spacing w:line="240" w:lineRule="auto"/>
              <w:jc w:val="center"/>
            </w:pPr>
            <w:r>
              <w:rPr>
                <w:rStyle w:val="BodytextBold"/>
                <w:rFonts w:ascii="Trebuchet MS" w:eastAsia="Times New Roman CE" w:hAnsi="Trebuchet MS" w:cs="Arial"/>
                <w:b w:val="0"/>
                <w:bCs w:val="0"/>
                <w:color w:val="auto"/>
                <w:sz w:val="24"/>
                <w:szCs w:val="24"/>
              </w:rPr>
              <w:t>privind</w:t>
            </w:r>
            <w:r>
              <w:rPr>
                <w:rStyle w:val="BodytextBold"/>
                <w:rFonts w:ascii="Trebuchet MS" w:eastAsia="Times New Roman CE" w:hAnsi="Trebuchet MS" w:cs="Arial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stabilirea atribuţiilor generale în efectuarea </w:t>
            </w:r>
            <w:r>
              <w:rPr>
                <w:rStyle w:val="BodytextBold"/>
                <w:rFonts w:ascii="Trebuchet MS" w:eastAsia="Times New Roman CE" w:hAnsi="Trebuchet MS" w:cs="Arial"/>
                <w:b w:val="0"/>
                <w:bCs w:val="0"/>
                <w:color w:val="auto"/>
                <w:sz w:val="24"/>
                <w:szCs w:val="24"/>
              </w:rPr>
              <w:t>inspecțiilor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 w:val="en-US"/>
              </w:rPr>
              <w:t xml:space="preserve">la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/>
              </w:rPr>
              <w:t>instituții publice</w:t>
            </w:r>
            <w:r>
              <w:rPr>
                <w:rStyle w:val="BodytextBold"/>
                <w:rFonts w:ascii="Trebuchet MS" w:eastAsia="Times New Roman CE" w:hAnsi="Trebuchet MS" w:cs="Arial"/>
                <w:b w:val="0"/>
                <w:bCs w:val="0"/>
                <w:color w:val="auto"/>
                <w:sz w:val="24"/>
                <w:szCs w:val="24"/>
              </w:rPr>
              <w:t xml:space="preserve">de către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</w:rPr>
              <w:t xml:space="preserve">Ministerul Finanțelor,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 w:val="en-US"/>
              </w:rPr>
              <w:t xml:space="preserve">precum </w:t>
            </w:r>
            <w:r>
              <w:rPr>
                <w:rStyle w:val="BodytextBold"/>
                <w:rFonts w:ascii="Trebuchet MS" w:eastAsia="Times New Roman CE" w:hAnsi="Trebuchet MS" w:cs="Arial"/>
                <w:b w:val="0"/>
                <w:bCs w:val="0"/>
                <w:color w:val="auto"/>
                <w:sz w:val="24"/>
                <w:szCs w:val="24"/>
              </w:rPr>
              <w:t>ș</w:t>
            </w:r>
            <w:r>
              <w:rPr>
                <w:rStyle w:val="BodytextBold"/>
                <w:rFonts w:ascii="Trebuchet MS" w:eastAsia="Times New Roman CE" w:hAnsi="Trebuchet MS" w:cs="Arial"/>
                <w:b w:val="0"/>
                <w:bCs w:val="0"/>
                <w:color w:val="auto"/>
                <w:sz w:val="24"/>
                <w:szCs w:val="24"/>
              </w:rPr>
              <w:t xml:space="preserve">i </w:t>
            </w:r>
            <w:r>
              <w:rPr>
                <w:rStyle w:val="BodytextBold"/>
                <w:rFonts w:ascii="Trebuchet MS" w:eastAsia="Times New Roman CE" w:hAnsi="Trebuchet MS" w:cs="Arial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a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/>
              </w:rPr>
              <w:t>atribuțiil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 w:val="en-US"/>
              </w:rPr>
              <w:t xml:space="preserve">or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/>
              </w:rPr>
              <w:t xml:space="preserve">structurii de specialitate în soluționarea plângerii prealabile formulată împotriva actului administrativ emis de organele de inspecție economico-financiară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 w:val="en-US"/>
              </w:rPr>
              <w:t xml:space="preserve">ca urmare a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/>
              </w:rPr>
              <w:t>inspecți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 w:val="en-US"/>
              </w:rPr>
              <w:t xml:space="preserve">ilor efectuate la </w:t>
            </w:r>
            <w:r>
              <w:rPr>
                <w:rStyle w:val="BodytextBold"/>
                <w:rFonts w:ascii="Trebuchet MS" w:hAnsi="Trebuchet MS" w:cs="Arial"/>
                <w:b w:val="0"/>
                <w:color w:val="000000"/>
                <w:sz w:val="24"/>
                <w:szCs w:val="24"/>
                <w:lang/>
              </w:rPr>
              <w:t>instituții publice</w:t>
            </w:r>
          </w:p>
          <w:p w:rsidR="00C65E68" w:rsidRDefault="00C65E68">
            <w:pPr>
              <w:pStyle w:val="BodyText1"/>
              <w:shd w:val="clear" w:color="auto" w:fill="auto"/>
              <w:spacing w:line="240" w:lineRule="auto"/>
              <w:jc w:val="center"/>
              <w:rPr>
                <w:rStyle w:val="BodytextBold"/>
                <w:rFonts w:ascii="Trebuchet MS" w:hAnsi="Trebuchet MS"/>
                <w:sz w:val="24"/>
                <w:szCs w:val="24"/>
              </w:rPr>
            </w:pPr>
          </w:p>
        </w:tc>
      </w:tr>
      <w:tr w:rsidR="00C65E68">
        <w:trPr>
          <w:trHeight w:val="688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pStyle w:val="TableContents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Secțiunea a 2-a </w:t>
            </w:r>
          </w:p>
          <w:p w:rsidR="00C65E68" w:rsidRDefault="00312F92">
            <w:pPr>
              <w:pStyle w:val="TableContents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Motivul emiterii </w:t>
            </w:r>
            <w:r>
              <w:rPr>
                <w:rFonts w:ascii="Trebuchet MS" w:hAnsi="Trebuchet MS" w:cs="Arial"/>
                <w:sz w:val="24"/>
                <w:szCs w:val="24"/>
              </w:rPr>
              <w:t>actului normativ</w:t>
            </w:r>
          </w:p>
        </w:tc>
      </w:tr>
      <w:tr w:rsidR="00C65E68">
        <w:trPr>
          <w:trHeight w:val="7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1. Descrierea situației actuale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5E68" w:rsidRDefault="00312F92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Ministerul Finanțelor efectuează acțiuni de inspecție la instituții publice în baza prevederilor art. 22 din O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rdonanţ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a Guvernului n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 xml:space="preserve">r. 119/1999 privind controlul intern/managerial şi controlul financiar 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preventiv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, r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epublicată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, cu modificările și completările ulterioare.</w:t>
            </w:r>
          </w:p>
          <w:p w:rsidR="00C65E68" w:rsidRDefault="00312F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val="ro-RO"/>
              </w:rPr>
              <w:t>Împotriva actului administrativ emis ca urmare a inspecției efectuate la instituțiile publice se poate formula plângere prealabilă, în condițiile Legii contenciosului administrativ nr. 554</w:t>
            </w: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val="ro-RO"/>
              </w:rPr>
              <w:t xml:space="preserve">/2004, cu modificările și completările ulterioare. </w:t>
            </w:r>
          </w:p>
          <w:p w:rsidR="00C65E68" w:rsidRDefault="00312F92">
            <w:pPr>
              <w:pStyle w:val="NoSpacing"/>
              <w:ind w:firstLine="440"/>
              <w:jc w:val="both"/>
              <w:rPr>
                <w:sz w:val="24"/>
                <w:szCs w:val="24"/>
              </w:rPr>
            </w:pPr>
            <w:r>
              <w:rPr>
                <w:rFonts w:ascii="Trebuchet MS" w:eastAsia="SimSun;宋体" w:hAnsi="Trebuchet MS" w:cs="Arial"/>
                <w:bCs/>
                <w:color w:val="000000"/>
                <w:kern w:val="2"/>
                <w:sz w:val="24"/>
                <w:szCs w:val="24"/>
                <w:lang w:val="fr-FR" w:eastAsia="en-US" w:bidi="hi-IN"/>
              </w:rPr>
              <w:t xml:space="preserve">Plângerea prealabilă se depune la structura care a efectuat inspecţia </w:t>
            </w:r>
            <w:r>
              <w:rPr>
                <w:rFonts w:ascii="Trebuchet MS" w:eastAsia="SimSun;宋体" w:hAnsi="Trebuchet MS" w:cs="Arial"/>
                <w:bCs/>
                <w:color w:val="000000"/>
                <w:kern w:val="2"/>
                <w:sz w:val="24"/>
                <w:szCs w:val="24"/>
                <w:lang w:val="ro-RO" w:eastAsia="en-US" w:bidi="hi-IN"/>
              </w:rPr>
              <w:t>iar s</w:t>
            </w:r>
            <w:r>
              <w:rPr>
                <w:rFonts w:ascii="Trebuchet MS" w:eastAsia="Times New Roman CE;Times New Ro" w:hAnsi="Trebuchet MS" w:cs="Times New Roman"/>
                <w:bCs/>
                <w:color w:val="000000"/>
                <w:sz w:val="24"/>
                <w:szCs w:val="24"/>
                <w:lang w:val="ro-RO"/>
              </w:rPr>
              <w:t>oluționarea acesteia se face, prin decizie motivată, de Ministerul Finanțelor, prin structura de specialitate în soluționarea plâ</w:t>
            </w:r>
            <w:r>
              <w:rPr>
                <w:rFonts w:ascii="Trebuchet MS" w:eastAsia="Times New Roman CE;Times New Ro" w:hAnsi="Trebuchet MS" w:cs="Times New Roman"/>
                <w:bCs/>
                <w:color w:val="000000"/>
                <w:sz w:val="24"/>
                <w:szCs w:val="24"/>
                <w:lang w:val="ro-RO"/>
              </w:rPr>
              <w:t>ngerii prealabile, iar, împotriva deciziei de soluționare a plângerii prealabile se poate formula acțiune în instanță, în conformitate cu prevederile Legii nr. 554/2004, cu modificările și completările ulterioare.</w:t>
            </w:r>
          </w:p>
          <w:p w:rsidR="00C65E68" w:rsidRDefault="00312F92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Lege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a n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r. 133/2021 pentru modificarea şi c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 xml:space="preserve">ompletarea Ordonanţei Guvernului nr. 119/1999 </w:t>
            </w:r>
            <w:bookmarkStart w:id="0" w:name="__DdeLink__29846_2664698212"/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privind controlul intern/managerial şi controlul financiar preventiv,</w:t>
            </w:r>
            <w:bookmarkEnd w:id="0"/>
            <w:r>
              <w:rPr>
                <w:rFonts w:ascii="Trebuchet MS" w:eastAsia="Arial" w:hAnsi="Trebuchet MS" w:cs="Arial"/>
                <w:bCs/>
                <w:iCs/>
                <w:color w:val="000000"/>
                <w:sz w:val="24"/>
                <w:szCs w:val="24"/>
                <w:lang w:eastAsia="ro-RO" w:bidi="hi-IN"/>
              </w:rPr>
              <w:t>publicată în</w:t>
            </w:r>
            <w:r>
              <w:rPr>
                <w:rFonts w:ascii="Trebuchet MS" w:eastAsia="Arial" w:hAnsi="Trebuchet MS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Monitorul Oficial al României nr. 501/13.05.2021, Partea I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 xml:space="preserve"> a dispus la art. IV: </w:t>
            </w:r>
            <w:r>
              <w:rPr>
                <w:rFonts w:ascii="Trebuchet MS" w:eastAsia="Arial" w:hAnsi="Trebuchet MS" w:cs="Arial"/>
                <w:bCs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Ministerul Finanţelor elaborează hotărârile 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prevăzute la art. 22 alin. (5) şi (9) din Ordonanţa Guvernului nr. 119/1999, republicată, cu modificările şi completările ulterioare, precum şi cu modificările şi completările aduse prin prezenta lege, pe care le supune spre adoptare Guvernului în termen d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e 60 de zile de la data publicării prezentei legi.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</w:rPr>
              <w:t>”</w:t>
            </w:r>
          </w:p>
          <w:p w:rsidR="00C65E68" w:rsidRDefault="00312F92">
            <w:pPr>
              <w:ind w:firstLine="440"/>
              <w:jc w:val="both"/>
            </w:pP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rt. 22 alin. (5)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 xml:space="preserve"> și alin. (9) 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 xml:space="preserve">din Ordonanţa Guvernului nr. 119/1999, republicată, cu modificările şi completările 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lastRenderedPageBreak/>
              <w:t>ulterioare,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 xml:space="preserve"> prevede:</w:t>
            </w:r>
            <w:r>
              <w:rPr>
                <w:rFonts w:ascii="Trebuchet MS" w:eastAsia="Arial" w:hAnsi="Trebuchet MS" w:cs="Arial"/>
                <w:bCs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rebuchet MS" w:eastAsia="Arial" w:hAnsi="Trebuchet MS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rebuchet MS" w:eastAsia="Arial" w:hAnsi="Trebuchet MS" w:cs="Arial"/>
                <w:bCs/>
                <w:i/>
                <w:iCs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</w:rPr>
              <w:t>Stabilirea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atribuţiilor generale în efectuarea inspecţiilor se a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  <w:lang w:val="en-US"/>
              </w:rPr>
              <w:t>probă prin hotărâre a Guvernului, iar atribuţiile de detaliu, fluxul informaţional şi metodologia de lucru, prin ordin al ministrului finanţelor. (9) Atribu</w:t>
            </w:r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ţiile structurii de specialitate în soluţionarea plângerii prealabile formulate împotriva actelor ad</w:t>
            </w:r>
            <w:r>
              <w:rPr>
                <w:rFonts w:ascii="Trebuchet MS" w:hAnsi="Trebuchet MS"/>
                <w:i/>
                <w:sz w:val="24"/>
                <w:szCs w:val="24"/>
                <w:lang w:val="en-US"/>
              </w:rPr>
              <w:t>ministrative emise de organele de inspecţie economico-financiară ca urmare a inspecţiilor efectuate la instituţii publice se stabilesc prin hotărâre a Guvernului.</w:t>
            </w:r>
            <w:r>
              <w:rPr>
                <w:rFonts w:ascii="Trebuchet MS" w:eastAsia="Times New Roman CE;Times New Ro" w:hAnsi="Trebuchet MS" w:cs="Arial"/>
                <w:bCs/>
                <w:i/>
                <w:iCs/>
                <w:color w:val="000000"/>
                <w:sz w:val="24"/>
                <w:szCs w:val="24"/>
              </w:rPr>
              <w:t>”</w:t>
            </w:r>
          </w:p>
          <w:p w:rsidR="00C65E68" w:rsidRDefault="00312F92">
            <w:pPr>
              <w:pStyle w:val="NoSpacing"/>
              <w:ind w:right="-89"/>
              <w:jc w:val="both"/>
              <w:rPr>
                <w:sz w:val="24"/>
                <w:szCs w:val="24"/>
              </w:rPr>
            </w:pPr>
            <w:r>
              <w:rPr>
                <w:rFonts w:ascii="Trebuchet MS" w:eastAsia="Times New Roman CE;Times New Ro" w:hAnsi="Trebuchet MS" w:cs="Arial"/>
                <w:bCs/>
                <w:iCs/>
                <w:color w:val="000000"/>
                <w:sz w:val="24"/>
                <w:szCs w:val="24"/>
                <w:lang w:val="ro-RO" w:eastAsia="ro-RO"/>
              </w:rPr>
              <w:t>În prezent</w:t>
            </w:r>
            <w:r>
              <w:rPr>
                <w:rFonts w:ascii="Trebuchet MS" w:eastAsia="Times New Roman CE;Times New Ro" w:hAnsi="Trebuchet MS" w:cs="Arial"/>
                <w:bCs/>
                <w:iCs/>
                <w:color w:val="000000"/>
                <w:sz w:val="24"/>
                <w:szCs w:val="24"/>
                <w:lang w:eastAsia="ro-RO"/>
              </w:rPr>
              <w:t>,</w:t>
            </w:r>
            <w:r>
              <w:rPr>
                <w:rFonts w:ascii="Trebuchet MS" w:eastAsia="Times New Roman CE;Times New Ro" w:hAnsi="Trebuchet MS" w:cs="Arial"/>
                <w:bCs/>
                <w:iCs/>
                <w:color w:val="000000"/>
                <w:sz w:val="24"/>
                <w:szCs w:val="24"/>
                <w:lang w:val="ro-RO" w:eastAsia="ro-RO"/>
              </w:rPr>
              <w:t xml:space="preserve"> a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ro-RO" w:eastAsia="ro-RO"/>
              </w:rPr>
              <w:t xml:space="preserve">ctul normativ dat în executarea 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eastAsia="ro-RO"/>
              </w:rPr>
              <w:t>Ordonanţ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ro-RO" w:eastAsia="ro-RO"/>
              </w:rPr>
              <w:t>ei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eastAsia="ro-RO"/>
              </w:rPr>
              <w:t xml:space="preserve"> Guvernului nr. 119/1999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ro-RO" w:eastAsia="ro-RO"/>
              </w:rPr>
              <w:t xml:space="preserve"> este 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eastAsia="ro-RO"/>
              </w:rPr>
              <w:t>Hotărâr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ro-RO" w:eastAsia="ro-RO"/>
              </w:rPr>
              <w:t>eaGuvernului n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eastAsia="ro-RO"/>
              </w:rPr>
              <w:t>r. 1257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ro-RO" w:eastAsia="ro-RO"/>
              </w:rPr>
              <w:t>/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eastAsia="ro-RO"/>
              </w:rPr>
              <w:t>2012privind organizarea inspecţiilor şi stabilirea atribuţiilor generale în efectuarea acestora în vederea aplicării Ordonanţei Guvernului nr. 119/1999 privind controlul intern/managerial şi controlul financiar preventiv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ro-RO" w:eastAsia="ro-RO"/>
              </w:rPr>
              <w:t>.</w:t>
            </w:r>
          </w:p>
          <w:p w:rsidR="00C65E68" w:rsidRDefault="00C65E68">
            <w:pPr>
              <w:pStyle w:val="NoSpacing"/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C65E68">
        <w:trPr>
          <w:trHeight w:val="352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lastRenderedPageBreak/>
              <w:t>2.Schimbări preconizate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 CE;Times New Ro" w:hAnsi="Trebuchet MS" w:cs="Arial"/>
                <w:color w:val="000000"/>
                <w:kern w:val="2"/>
                <w:sz w:val="24"/>
                <w:szCs w:val="24"/>
                <w:lang w:val="en-US" w:eastAsia="ro-RO"/>
              </w:rPr>
              <w:t xml:space="preserve">Prin prezentul proiect de act normativ </w:t>
            </w:r>
            <w:r>
              <w:rPr>
                <w:rFonts w:ascii="Trebuchet MS" w:eastAsia="Times New Roman CE;Times New Ro" w:hAnsi="Trebuchet MS" w:cs="Arial"/>
                <w:color w:val="000000"/>
                <w:kern w:val="2"/>
                <w:sz w:val="24"/>
                <w:szCs w:val="24"/>
                <w:lang w:eastAsia="ro-RO"/>
              </w:rPr>
              <w:t xml:space="preserve">se </w:t>
            </w:r>
            <w:r>
              <w:rPr>
                <w:rFonts w:ascii="Trebuchet MS" w:eastAsia="Times New Roman CE;Times New Ro" w:hAnsi="Trebuchet MS" w:cs="Arial"/>
                <w:color w:val="000000"/>
                <w:kern w:val="2"/>
                <w:sz w:val="24"/>
                <w:szCs w:val="24"/>
              </w:rPr>
              <w:t xml:space="preserve">propune 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reglement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>area atribu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ț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>iunilor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generale </w:t>
            </w:r>
            <w:r>
              <w:rPr>
                <w:rFonts w:ascii="Trebuchet MS" w:eastAsia="Times New Roman CE;Times New Ro" w:hAnsi="Trebuchet MS" w:cs="Arial"/>
                <w:color w:val="000000"/>
                <w:kern w:val="2"/>
                <w:sz w:val="24"/>
                <w:szCs w:val="24"/>
                <w:lang w:val="en-US" w:eastAsia="ro-RO"/>
              </w:rPr>
              <w:t xml:space="preserve">precum și a drepturilor aparatului de inspecţie economico-financiară, în vederea aplicării prevederilor art. 22 din 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>Ordonanţ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  <w:lang w:val="en-US"/>
              </w:rPr>
              <w:t xml:space="preserve"> Guvernului nr. 119/1999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.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Times New Roman CE;Times New Ro" w:hAnsi="Trebuchet MS" w:cs="Arial"/>
                <w:bCs/>
                <w:color w:val="auto"/>
                <w:sz w:val="24"/>
                <w:szCs w:val="24"/>
              </w:rPr>
              <w:t>T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 xml:space="preserve">otodată, prin proiectul de act normativ se stabilesc  atribuțiile structurii de specialitate în soluționarea plângerii prealabile formulată împotriva actului administrativ emis de organele de inspecție economico-financiară ca </w:t>
            </w:r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urmare a inspecțiilor efectuate la instituții p</w:t>
            </w:r>
            <w:bookmarkStart w:id="1" w:name="_GoBack"/>
            <w:bookmarkEnd w:id="1"/>
            <w:r>
              <w:rPr>
                <w:rFonts w:ascii="Trebuchet MS" w:eastAsia="Times New Roman CE;Times New Ro" w:hAnsi="Trebuchet MS" w:cs="Arial"/>
                <w:bCs/>
                <w:color w:val="000000"/>
                <w:sz w:val="24"/>
                <w:szCs w:val="24"/>
              </w:rPr>
              <w:t>ublice, respectiv: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>solu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ț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ionează plângerea prealabilă prin emiterea unei decizii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;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  <w:lang w:val="en-US"/>
              </w:rPr>
              <w:t>solu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ț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ionează cererea de retragere a plângerii prealabile prin emiterea unei decizii prin care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se ia act de renunţarea la plâ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ngerea prealabil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ă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;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</w:rPr>
              <w:t>- îndreaptă erorile materiale de ordin formal din decizia de soluționare a plângerii prealabile, prin emiterea unei decizii de rectificare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;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- verifică dacă plângerea prealabilă cuprinde:</w:t>
            </w:r>
            <w:r>
              <w:rPr>
                <w:rFonts w:ascii="Trebuchet MS" w:hAnsi="Trebuchet MS" w:cs="Arial"/>
                <w:color w:val="auto"/>
                <w:sz w:val="24"/>
                <w:szCs w:val="24"/>
                <w:lang w:val="en-US"/>
              </w:rPr>
              <w:t xml:space="preserve"> date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le</w:t>
            </w:r>
            <w:r>
              <w:rPr>
                <w:rFonts w:ascii="Trebuchet MS" w:hAnsi="Trebuchet MS" w:cs="Arial"/>
                <w:color w:val="auto"/>
                <w:sz w:val="24"/>
                <w:szCs w:val="24"/>
                <w:lang w:val="en-US"/>
              </w:rPr>
              <w:t xml:space="preserve"> de identificare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ale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  <w:lang w:val="en-US"/>
              </w:rPr>
              <w:t>contestator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ului</w:t>
            </w:r>
            <w:r>
              <w:rPr>
                <w:rFonts w:ascii="Trebuchet MS" w:hAnsi="Trebuchet MS" w:cs="Arial"/>
                <w:color w:val="auto"/>
                <w:sz w:val="24"/>
                <w:szCs w:val="24"/>
                <w:lang w:val="en-US"/>
              </w:rPr>
              <w:t>, obiect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ul</w:t>
            </w:r>
            <w:r>
              <w:rPr>
                <w:rFonts w:ascii="Trebuchet MS" w:hAnsi="Trebuchet MS" w:cs="Arial"/>
                <w:color w:val="auto"/>
                <w:sz w:val="24"/>
                <w:szCs w:val="24"/>
                <w:lang w:val="en-US"/>
              </w:rPr>
              <w:t>, motive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le</w:t>
            </w:r>
            <w:r>
              <w:rPr>
                <w:rFonts w:ascii="Trebuchet MS" w:hAnsi="Trebuchet MS" w:cs="Arial"/>
                <w:color w:val="auto"/>
                <w:sz w:val="24"/>
                <w:szCs w:val="24"/>
                <w:lang w:val="en-US"/>
              </w:rPr>
              <w:t xml:space="preserve"> de fapt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ș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i de drept, dovezi pe care se întemeiază, semnătura contestatorului;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-  verifică conținutul dosarului plângerii prealabile; 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- verifică dacă plângerea prealabilă este depusă cu respectarea termenului legal;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- analizează plângerea prea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labilă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 xml:space="preserve">în raport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/>
              </w:rPr>
              <w:t>de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 xml:space="preserve"> susţinerile părţilor, de dispoziţiile legale invocate de acestea şi de documentele existente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>la dosarul cauzei și o soluționează  în limitele sesizării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>;</w:t>
            </w:r>
          </w:p>
          <w:p w:rsidR="00C65E68" w:rsidRDefault="00312F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>verifică dacă există excepții de procedură sau de fond</w:t>
            </w:r>
            <w:r>
              <w:rPr>
                <w:rFonts w:ascii="Trebuchet MS" w:hAnsi="Trebuchet MS" w:cs="Arial"/>
                <w:color w:val="000000"/>
                <w:sz w:val="24"/>
                <w:szCs w:val="24"/>
                <w:lang w:val="en-US"/>
              </w:rPr>
              <w:t>;</w:t>
            </w:r>
          </w:p>
          <w:p w:rsidR="00C65E68" w:rsidRDefault="00312F92">
            <w:pPr>
              <w:pStyle w:val="NormalWeb"/>
              <w:spacing w:before="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- verifică motivele de </w:t>
            </w:r>
            <w:r>
              <w:rPr>
                <w:rFonts w:ascii="Trebuchet MS" w:hAnsi="Trebuchet MS" w:cs="Arial"/>
                <w:color w:val="000000"/>
              </w:rPr>
              <w:t>fapt şi de drept care au stat la baza emiterii actului administrativ atacat;</w:t>
            </w:r>
          </w:p>
          <w:p w:rsidR="00C65E68" w:rsidRDefault="00312F92">
            <w:pPr>
              <w:pStyle w:val="NormalWeb"/>
              <w:spacing w:before="0"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- </w:t>
            </w:r>
            <w:r>
              <w:rPr>
                <w:rFonts w:ascii="Trebuchet MS" w:hAnsi="Trebuchet MS" w:cs="Arial"/>
                <w:color w:val="000000"/>
                <w:lang w:val="ro-RO"/>
              </w:rPr>
              <w:t xml:space="preserve">emite decizia de soluționare a plângerii prealabile în formă scrisă, în următoarea structură: </w:t>
            </w:r>
            <w:r>
              <w:rPr>
                <w:rFonts w:ascii="Trebuchet MS" w:hAnsi="Trebuchet MS" w:cs="Arial"/>
                <w:color w:val="000000"/>
              </w:rPr>
              <w:t xml:space="preserve">preambul, </w:t>
            </w:r>
            <w:r>
              <w:rPr>
                <w:rFonts w:ascii="Trebuchet MS" w:hAnsi="Trebuchet MS" w:cs="Arial"/>
                <w:color w:val="000000"/>
              </w:rPr>
              <w:lastRenderedPageBreak/>
              <w:t>consideren</w:t>
            </w:r>
            <w:r>
              <w:rPr>
                <w:rFonts w:ascii="Trebuchet MS" w:hAnsi="Trebuchet MS" w:cs="Arial"/>
                <w:color w:val="000000"/>
              </w:rPr>
              <w:t>te, dispozitiv;</w:t>
            </w:r>
          </w:p>
          <w:p w:rsidR="00C65E68" w:rsidRDefault="00312F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rebuchet MS" w:hAnsi="Trebuchet MS" w:cs="Arial"/>
                <w:bCs/>
                <w:color w:val="000000"/>
                <w:sz w:val="24"/>
                <w:szCs w:val="24"/>
              </w:rPr>
              <w:t xml:space="preserve">întocmește </w:t>
            </w:r>
            <w:r>
              <w:rPr>
                <w:rFonts w:ascii="Trebuchet MS" w:hAnsi="Trebuchet MS" w:cs="Arial"/>
                <w:bCs/>
                <w:color w:val="000000"/>
                <w:sz w:val="24"/>
                <w:szCs w:val="24"/>
                <w:lang w:val="en-US"/>
              </w:rPr>
              <w:t>decizia de solu</w:t>
            </w:r>
            <w:r>
              <w:rPr>
                <w:rFonts w:ascii="Trebuchet MS" w:hAnsi="Trebuchet MS" w:cs="Arial"/>
                <w:bCs/>
                <w:color w:val="000000"/>
                <w:sz w:val="24"/>
                <w:szCs w:val="24"/>
              </w:rPr>
              <w:t>ț</w:t>
            </w:r>
            <w:r>
              <w:rPr>
                <w:rFonts w:ascii="Trebuchet MS" w:hAnsi="Trebuchet MS" w:cs="Arial"/>
                <w:bCs/>
                <w:color w:val="000000"/>
                <w:sz w:val="24"/>
                <w:szCs w:val="24"/>
              </w:rPr>
              <w:t>ionare a plângerii</w:t>
            </w:r>
            <w:r>
              <w:rPr>
                <w:rFonts w:ascii="Trebuchet MS" w:hAnsi="Trebuchet MS" w:cs="Arial"/>
                <w:bCs/>
                <w:color w:val="000000"/>
                <w:sz w:val="24"/>
                <w:szCs w:val="24"/>
              </w:rPr>
              <w:t xml:space="preserve"> prealabile, în patru exemplare, decizie care se semnează de ministrul finanțelor sau de persoana împuternicită, și o comunică contestatorului și organului de inspecție economico-financiară, emitent al actului administrativ contestat.</w:t>
            </w:r>
          </w:p>
          <w:p w:rsidR="00C65E68" w:rsidRDefault="00C65E68">
            <w:pPr>
              <w:pStyle w:val="Standard"/>
              <w:jc w:val="both"/>
              <w:rPr>
                <w:rFonts w:ascii="Trebuchet MS" w:hAnsi="Trebuchet MS"/>
              </w:rPr>
            </w:pPr>
          </w:p>
        </w:tc>
      </w:tr>
      <w:tr w:rsidR="00C65E68">
        <w:trPr>
          <w:trHeight w:val="56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lastRenderedPageBreak/>
              <w:t>3. Alte informații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ind w:firstLine="440"/>
              <w:jc w:val="both"/>
              <w:rPr>
                <w:rFonts w:ascii="Trebuchet MS" w:eastAsia="Arial" w:hAnsi="Trebuchet MS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 CE;Times New Ro" w:hAnsi="Trebuchet MS" w:cs="Arial"/>
                <w:color w:val="000000"/>
                <w:kern w:val="2"/>
                <w:sz w:val="24"/>
                <w:szCs w:val="24"/>
                <w:lang w:val="en-US"/>
              </w:rPr>
              <w:t>Nu au fost identificate.</w:t>
            </w:r>
          </w:p>
        </w:tc>
      </w:tr>
      <w:tr w:rsidR="00C65E68">
        <w:trPr>
          <w:trHeight w:val="658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Secțiunea a 3-a</w:t>
            </w:r>
          </w:p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Impactul socioeconomic al proiectului de act normativ</w:t>
            </w:r>
          </w:p>
        </w:tc>
      </w:tr>
      <w:tr w:rsidR="00C65E68">
        <w:trPr>
          <w:trHeight w:val="2154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Style w:val="CommentReference1"/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1. Impactul macroecono</w:t>
            </w:r>
            <w:r>
              <w:rPr>
                <w:rStyle w:val="CommentReference1"/>
                <w:rFonts w:ascii="Trebuchet MS" w:hAnsi="Trebuchet MS" w:cs="Arial"/>
                <w:bCs/>
                <w:sz w:val="24"/>
                <w:szCs w:val="24"/>
              </w:rPr>
              <w:t>mic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5E68" w:rsidRDefault="00C65E68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Adoptarea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prezentei hotărâri va conduce la clarificarea atribuțiilor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organului de inspecție economico-financiară și a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structurii de </w:t>
            </w:r>
            <w:r>
              <w:rPr>
                <w:rFonts w:ascii="Trebuchet MS" w:hAnsi="Trebuchet MS" w:cs="Arial"/>
                <w:color w:val="auto"/>
                <w:sz w:val="24"/>
                <w:szCs w:val="24"/>
              </w:rPr>
              <w:t>specialitate din cadrul Ministerului Finanțelor în soluționarea plâng</w:t>
            </w:r>
            <w:r>
              <w:rPr>
                <w:rFonts w:ascii="Trebuchet MS" w:hAnsi="Trebuchet MS" w:cs="Arial"/>
                <w:sz w:val="24"/>
                <w:szCs w:val="24"/>
              </w:rPr>
              <w:t>erii prealabile formulate împotriva actului administrativ emise de organele de inspecție economico-financiară ca urmare a inspecțiilor efectuate la instituții publice.</w:t>
            </w:r>
          </w:p>
        </w:tc>
      </w:tr>
      <w:tr w:rsidR="00C65E68">
        <w:trPr>
          <w:trHeight w:val="57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1.1.Impactul asupr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a mediului concurențial și domeniului ajutoarelor de stat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354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2. Impactul asupra mediului de afaceri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35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2.1 Impactul asupra sarcinilor      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administrative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42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2.2. Impactul asupra întreprinderilor mici și mijlocii 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bookmarkStart w:id="2" w:name="__DdeLink__159526_3568677260"/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  <w:bookmarkEnd w:id="2"/>
          </w:p>
        </w:tc>
      </w:tr>
      <w:tr w:rsidR="00C65E68">
        <w:trPr>
          <w:trHeight w:val="42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3. Impactul social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ind w:left="26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</w:t>
            </w: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 xml:space="preserve"> subiect.</w:t>
            </w:r>
          </w:p>
        </w:tc>
      </w:tr>
      <w:tr w:rsidR="00C65E68">
        <w:trPr>
          <w:trHeight w:val="563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4. Impactul asupra mediului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49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5. Alte informații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Nu au fost identificate.</w:t>
            </w:r>
          </w:p>
        </w:tc>
      </w:tr>
      <w:tr w:rsidR="00C65E68">
        <w:trPr>
          <w:trHeight w:val="1013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Secțiunea a 4-a </w:t>
            </w:r>
          </w:p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Impactul financiar asupra bugetului general consolidat, atât pe termen scurt, pentru anul curent,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cât și pe termen lung (pe 5 ani)</w:t>
            </w:r>
          </w:p>
        </w:tc>
      </w:tr>
      <w:tr w:rsidR="00C65E68">
        <w:trPr>
          <w:trHeight w:val="27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Indicatori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Anul</w:t>
            </w:r>
          </w:p>
          <w:p w:rsidR="00C65E68" w:rsidRDefault="00312F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Curent</w:t>
            </w:r>
          </w:p>
        </w:tc>
        <w:tc>
          <w:tcPr>
            <w:tcW w:w="37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Următorii</w:t>
            </w:r>
          </w:p>
          <w:p w:rsidR="00C65E68" w:rsidRDefault="00312F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4 ani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Media</w:t>
            </w:r>
          </w:p>
          <w:p w:rsidR="00C65E68" w:rsidRDefault="00312F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pe 5 ani</w:t>
            </w:r>
          </w:p>
        </w:tc>
      </w:tr>
      <w:tr w:rsidR="00C65E68">
        <w:trPr>
          <w:trHeight w:val="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</w:tr>
      <w:tr w:rsidR="00C65E68">
        <w:trPr>
          <w:trHeight w:val="115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1.Modificări ale veniturilor bugetare, plus/minus, din care: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a) buget de stat, din acesta: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(i) impozit pe profit</w:t>
            </w:r>
          </w:p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(ii) impozit pe venit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b) bugetele </w:t>
            </w:r>
            <w:r>
              <w:rPr>
                <w:rFonts w:ascii="Trebuchet MS" w:hAnsi="Trebuchet MS" w:cs="Arial"/>
                <w:sz w:val="24"/>
                <w:szCs w:val="24"/>
              </w:rPr>
              <w:t>locale: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i) impozit pe profit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c)bugetul asigurărilor sociale de stat:</w:t>
            </w:r>
          </w:p>
          <w:p w:rsidR="00C65E68" w:rsidRDefault="00312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(i) contribuții de asigurări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C65E6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  <w:tr w:rsidR="00C65E68">
        <w:trPr>
          <w:trHeight w:val="115"/>
        </w:trPr>
        <w:tc>
          <w:tcPr>
            <w:tcW w:w="3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2. Modificări ale cheltuielilor bugetare,</w:t>
            </w:r>
          </w:p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plus/minus, din care:</w:t>
            </w:r>
          </w:p>
          <w:p w:rsidR="00C65E68" w:rsidRDefault="00312F92">
            <w:pPr>
              <w:pStyle w:val="ListParagraph"/>
              <w:numPr>
                <w:ilvl w:val="0"/>
                <w:numId w:val="1"/>
              </w:numPr>
              <w:ind w:left="266" w:hanging="21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buget de stat, din acesta: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(i) cheltuieli de personal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(ii) bunuri și servicii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b) </w:t>
            </w:r>
            <w:r>
              <w:rPr>
                <w:rFonts w:ascii="Trebuchet MS" w:hAnsi="Trebuchet MS" w:cs="Arial"/>
                <w:sz w:val="24"/>
                <w:szCs w:val="24"/>
              </w:rPr>
              <w:t>bugete locale: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(i) cheltuieli de personal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(ii) bunuri și servicii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c) bugetul asigurărilor sociale de stat: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(i) cheltuieli de personal</w:t>
            </w:r>
          </w:p>
          <w:p w:rsidR="00C65E68" w:rsidRDefault="00312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(ii) bunuri și servicii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  <w:tr w:rsidR="00C65E68">
        <w:trPr>
          <w:trHeight w:val="115"/>
        </w:trPr>
        <w:tc>
          <w:tcPr>
            <w:tcW w:w="3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3.Impact financiar, plus/minus, din care:</w:t>
            </w:r>
          </w:p>
          <w:p w:rsidR="00C65E68" w:rsidRDefault="00312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a) buget de stat</w:t>
            </w:r>
          </w:p>
          <w:p w:rsidR="00C65E68" w:rsidRDefault="00312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b) bugete locale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  <w:tr w:rsidR="00C65E68">
        <w:trPr>
          <w:trHeight w:val="115"/>
        </w:trPr>
        <w:tc>
          <w:tcPr>
            <w:tcW w:w="3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4. Propuneri pentru acoperirea creșterii cheltuielilor bugetare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  <w:tr w:rsidR="00C65E68">
        <w:trPr>
          <w:trHeight w:val="320"/>
        </w:trPr>
        <w:tc>
          <w:tcPr>
            <w:tcW w:w="3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  <w:tr w:rsidR="00C65E68">
        <w:trPr>
          <w:trHeight w:val="115"/>
        </w:trPr>
        <w:tc>
          <w:tcPr>
            <w:tcW w:w="3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6. Calcule detaliate privind fundamentarea modificărilor </w:t>
            </w:r>
          </w:p>
          <w:p w:rsidR="00C65E68" w:rsidRDefault="00312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veniturilor și/sau cheltuielilor bugetare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</w:p>
        </w:tc>
      </w:tr>
      <w:tr w:rsidR="00C65E68">
        <w:trPr>
          <w:trHeight w:val="40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7. Alte informații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Nu au fost identificate.</w:t>
            </w:r>
          </w:p>
        </w:tc>
      </w:tr>
      <w:tr w:rsidR="00C65E68">
        <w:trPr>
          <w:trHeight w:val="716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Secțiunea a 5-a </w:t>
            </w:r>
          </w:p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Efectele proiectului de act normativ asupra legislației în vigoare</w:t>
            </w:r>
          </w:p>
        </w:tc>
      </w:tr>
      <w:tr w:rsidR="00C65E68">
        <w:trPr>
          <w:trHeight w:val="82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5E68" w:rsidRDefault="00312F92">
            <w:pPr>
              <w:tabs>
                <w:tab w:val="left" w:pos="1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iCs/>
                <w:sz w:val="24"/>
                <w:szCs w:val="24"/>
              </w:rPr>
              <w:t>1.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Măsuri normative necesare pentru aplicarea prevederilor proiectului de act normativ:</w:t>
            </w: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a) acte normative în </w:t>
            </w:r>
            <w:r>
              <w:rPr>
                <w:rFonts w:ascii="Trebuchet MS" w:hAnsi="Trebuchet MS" w:cs="Arial"/>
                <w:sz w:val="24"/>
                <w:szCs w:val="24"/>
              </w:rPr>
              <w:t>vigoare ce vor fi modificate sau abrogate, ca urmare a intrării în vigoare a proiectului de act normativ;</w:t>
            </w: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b) acte normative ce urmează a fi elaborate în vederea implementării noilor dispoziții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5E68" w:rsidRDefault="00C65E68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C65E68" w:rsidRDefault="00C65E6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65E68" w:rsidRDefault="00C65E68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Courier New CE;Courier New" w:hAnsi="Trebuchet MS" w:cs="Arial"/>
                <w:sz w:val="24"/>
                <w:szCs w:val="24"/>
              </w:rPr>
              <w:t xml:space="preserve">a) 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</w:rPr>
              <w:t xml:space="preserve">Se abrogă 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  <w:lang w:val="en-US"/>
              </w:rPr>
              <w:t>Hotărâr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</w:rPr>
              <w:t>eaGuvernului n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  <w:lang w:val="en-US"/>
              </w:rPr>
              <w:t>r. 1257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</w:rPr>
              <w:t>/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  <w:lang w:val="en-US"/>
              </w:rPr>
              <w:t>2012privind organi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  <w:lang w:val="en-US"/>
              </w:rPr>
              <w:t>zarea inspecţiilor şi stabilirea atribuţiilor generale în efectuarea acestora în vederea aplicării Ordonanţei Guvernului nr. 119/1999 privind controlul intern/managerial şi controlul financiar preventiv</w:t>
            </w:r>
            <w:r>
              <w:rPr>
                <w:rFonts w:ascii="Trebuchet MS" w:eastAsia="Times New Roman CE;Times New Ro" w:hAnsi="Trebuchet MS" w:cs="Arial"/>
                <w:color w:val="000000"/>
                <w:sz w:val="24"/>
                <w:szCs w:val="24"/>
              </w:rPr>
              <w:t>;</w:t>
            </w:r>
          </w:p>
          <w:p w:rsidR="00C65E68" w:rsidRDefault="00C65E6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color w:val="000000"/>
                <w:sz w:val="24"/>
                <w:szCs w:val="24"/>
              </w:rPr>
              <w:t xml:space="preserve">b) 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Se va elabora </w:t>
            </w:r>
            <w:r>
              <w:rPr>
                <w:rFonts w:ascii="Trebuchet MS" w:eastAsia="Courier New CE;Courier New" w:hAnsi="Trebuchet MS" w:cs="Arial"/>
                <w:color w:val="000000"/>
                <w:sz w:val="24"/>
                <w:szCs w:val="24"/>
              </w:rPr>
              <w:t xml:space="preserve">ordin al ministrului finanțelor </w:t>
            </w:r>
            <w:r>
              <w:rPr>
                <w:rFonts w:ascii="Trebuchet MS" w:eastAsia="Courier New CE;Courier New" w:hAnsi="Trebuchet MS" w:cs="Arial"/>
                <w:color w:val="000000"/>
                <w:sz w:val="24"/>
                <w:szCs w:val="24"/>
              </w:rPr>
              <w:t>referitor la c</w:t>
            </w:r>
            <w:r>
              <w:rPr>
                <w:rFonts w:ascii="Trebuchet MS" w:eastAsia="Times New Roman CE;Times New Ro" w:hAnsi="Trebuchet MS" w:cs="Arial"/>
                <w:iCs/>
                <w:color w:val="000000"/>
                <w:sz w:val="24"/>
                <w:szCs w:val="24"/>
              </w:rPr>
              <w:t>onținutul actelor de control, m</w:t>
            </w:r>
            <w:r>
              <w:rPr>
                <w:rFonts w:ascii="Trebuchet MS" w:eastAsia="Times New Roman CE;Times New Ro" w:hAnsi="Trebuchet MS" w:cs="Arial"/>
                <w:iCs/>
                <w:color w:val="000000"/>
                <w:sz w:val="24"/>
                <w:szCs w:val="24"/>
                <w:lang w:val="en-US"/>
              </w:rPr>
              <w:t>etodologia de lucru</w:t>
            </w:r>
            <w:r>
              <w:rPr>
                <w:rFonts w:ascii="Trebuchet MS" w:eastAsia="Times New Roman CE;Times New Ro" w:hAnsi="Trebuchet MS" w:cs="Arial"/>
                <w:iCs/>
                <w:color w:val="000000"/>
                <w:sz w:val="24"/>
                <w:szCs w:val="24"/>
              </w:rPr>
              <w:t xml:space="preserve"> și f</w:t>
            </w:r>
            <w:r>
              <w:rPr>
                <w:rFonts w:ascii="Trebuchet MS" w:eastAsia="Times New Roman CE;Times New Ro" w:hAnsi="Trebuchet MS" w:cs="Arial"/>
                <w:iCs/>
                <w:color w:val="000000"/>
                <w:sz w:val="24"/>
                <w:szCs w:val="24"/>
                <w:lang w:val="en-US"/>
              </w:rPr>
              <w:t>luxul informaţional</w:t>
            </w:r>
            <w:r>
              <w:rPr>
                <w:rFonts w:ascii="Trebuchet MS" w:eastAsia="Courier New CE;Courier New" w:hAnsi="Trebuchet MS" w:cs="Arial"/>
                <w:color w:val="000000"/>
                <w:sz w:val="24"/>
                <w:szCs w:val="24"/>
              </w:rPr>
              <w:t>.</w:t>
            </w:r>
          </w:p>
          <w:p w:rsidR="00C65E68" w:rsidRDefault="00C65E68">
            <w:pPr>
              <w:jc w:val="both"/>
              <w:rPr>
                <w:rFonts w:ascii="Trebuchet MS" w:eastAsia="Courier New CE;Courier New" w:hAnsi="Trebuchet MS" w:cs="Arial"/>
                <w:sz w:val="24"/>
                <w:szCs w:val="24"/>
              </w:rPr>
            </w:pPr>
          </w:p>
        </w:tc>
      </w:tr>
      <w:tr w:rsidR="00C65E68">
        <w:trPr>
          <w:trHeight w:val="545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tabs>
                <w:tab w:val="left" w:pos="1464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1.1. Compatibilitatea proiectului de act normativ cu legislația în domeniul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lastRenderedPageBreak/>
              <w:t xml:space="preserve">achizițiilor publice 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lastRenderedPageBreak/>
              <w:t>Proiectul de act normativ nu se referă la acest subiect.</w:t>
            </w:r>
          </w:p>
        </w:tc>
      </w:tr>
      <w:tr w:rsidR="00C65E68">
        <w:trPr>
          <w:trHeight w:val="862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rebuchet MS" w:hAnsi="Trebuchet MS" w:cs="Arial"/>
                <w:sz w:val="24"/>
                <w:szCs w:val="24"/>
              </w:rPr>
              <w:t>Conformitatea proiectului de act normativ cu legislația comunitară în cazul proiectelor ce transpun prevederi comunitare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bookmarkStart w:id="3" w:name="__DdeLink__5289_3676040137"/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  <w:bookmarkEnd w:id="3"/>
          </w:p>
        </w:tc>
      </w:tr>
      <w:tr w:rsidR="00C65E68">
        <w:trPr>
          <w:trHeight w:val="675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3. </w:t>
            </w:r>
            <w:r>
              <w:rPr>
                <w:rFonts w:ascii="Trebuchet MS" w:hAnsi="Trebuchet MS" w:cs="Arial"/>
                <w:sz w:val="24"/>
                <w:szCs w:val="24"/>
              </w:rPr>
              <w:t>Măsuri normative necesare aplicării directe a actelor normative comunitare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44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4. </w:t>
            </w:r>
            <w:r>
              <w:rPr>
                <w:rFonts w:ascii="Trebuchet MS" w:hAnsi="Trebuchet MS" w:cs="Arial"/>
                <w:sz w:val="24"/>
                <w:szCs w:val="24"/>
              </w:rPr>
              <w:t>Hotărâri ale Curții de Justiție a Uniunii Europene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76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5. </w:t>
            </w:r>
            <w:r>
              <w:rPr>
                <w:rFonts w:ascii="Trebuchet MS" w:hAnsi="Trebuchet MS" w:cs="Arial"/>
                <w:sz w:val="24"/>
                <w:szCs w:val="24"/>
              </w:rPr>
              <w:t>Alte acte normative și/sau documente internaționale din care decurg angajamente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42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6. </w:t>
            </w:r>
            <w:r>
              <w:rPr>
                <w:rFonts w:ascii="Trebuchet MS" w:hAnsi="Trebuchet MS" w:cs="Arial"/>
                <w:sz w:val="24"/>
                <w:szCs w:val="24"/>
              </w:rPr>
              <w:t>Alte informații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ind w:right="72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Nu au fost identificate.</w:t>
            </w:r>
          </w:p>
        </w:tc>
      </w:tr>
      <w:tr w:rsidR="00C65E68">
        <w:trPr>
          <w:trHeight w:val="720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Secțiunea a 6-a</w:t>
            </w:r>
          </w:p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Consultările efectuate în vederea elaborării proiectului de act normativ</w:t>
            </w:r>
          </w:p>
        </w:tc>
      </w:tr>
      <w:tr w:rsidR="00C65E68">
        <w:trPr>
          <w:trHeight w:val="1822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1. Informatii privind procesul de consultare cu organizații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neguvernamentale, institute de cercetare și alte organisme implicate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Nu este cazul.</w:t>
            </w:r>
          </w:p>
        </w:tc>
      </w:tr>
      <w:tr w:rsidR="00C65E68">
        <w:trPr>
          <w:trHeight w:val="224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2.Fundamentarea alegerii organizațiilor cu care a avut loc consultarea, precum și a modului în care activitatea acestor organizații este legată de obiectul proiectului de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act normativ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69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3. Consultările organizate cu autoritățile administrației publice locale, în situația în care proiectul de act normativ are ca obiect activități ale acestor autorități, în condițiile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Hotărârii Guvernului nr. 521/2005 privind procedura de consultare a structurilor asociative ale autoritățiloradministrației publice locale la elaborarea proiectelor de acte normative</w:t>
            </w:r>
          </w:p>
          <w:p w:rsidR="00C65E68" w:rsidRDefault="00C65E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274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ind w:right="-449"/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lastRenderedPageBreak/>
              <w:t>4.Consultările desfășurate</w:t>
            </w:r>
          </w:p>
          <w:p w:rsidR="00C65E68" w:rsidRDefault="00312F92">
            <w:pPr>
              <w:ind w:right="-449"/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C65E68">
            <w:pPr>
              <w:pStyle w:val="TableText"/>
              <w:ind w:firstLine="444"/>
              <w:jc w:val="both"/>
              <w:rPr>
                <w:rFonts w:ascii="Trebuchet MS" w:eastAsia="Arial" w:hAnsi="Trebuchet MS" w:cs="Arial"/>
                <w:bCs/>
                <w:color w:val="000000"/>
                <w:lang w:val="ro-RO" w:eastAsia="ro-RO"/>
              </w:rPr>
            </w:pPr>
          </w:p>
          <w:p w:rsidR="00C65E68" w:rsidRDefault="00312F92">
            <w:pPr>
              <w:ind w:left="-28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</w:tr>
      <w:tr w:rsidR="00C65E68">
        <w:trPr>
          <w:trHeight w:val="2787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5.Informații privind avizarea de către:</w:t>
            </w:r>
          </w:p>
          <w:p w:rsidR="00C65E68" w:rsidRDefault="00312F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a) Consiliul Legislativ</w:t>
            </w:r>
          </w:p>
          <w:p w:rsidR="00C65E68" w:rsidRDefault="00312F92">
            <w:pPr>
              <w:jc w:val="both"/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b) Consiliul Suprem de Apărare a Țării</w:t>
            </w:r>
          </w:p>
          <w:p w:rsidR="00C65E68" w:rsidRDefault="00312F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c) Consiliul Economic și Social</w:t>
            </w:r>
          </w:p>
          <w:p w:rsidR="00C65E68" w:rsidRDefault="00312F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d) Consiliul Concurenței</w:t>
            </w:r>
          </w:p>
          <w:p w:rsidR="00C65E68" w:rsidRDefault="00312F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e) Curtea de conturi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se supune avizului Consiliului Legislativ.</w:t>
            </w:r>
          </w:p>
          <w:p w:rsidR="00C65E68" w:rsidRDefault="00C65E68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C65E68" w:rsidRDefault="00C65E68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C65E68" w:rsidRDefault="00C65E68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C65E68" w:rsidRDefault="00C65E68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65E68">
        <w:trPr>
          <w:trHeight w:val="486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6. Alte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informații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Nu au fost identificate.</w:t>
            </w:r>
          </w:p>
        </w:tc>
      </w:tr>
      <w:tr w:rsidR="00C65E68">
        <w:trPr>
          <w:trHeight w:val="920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Secțiunea a 7-a </w:t>
            </w:r>
          </w:p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Activități de informare publică privind elaborarea și implementarea proiectului de act normativ</w:t>
            </w:r>
          </w:p>
        </w:tc>
      </w:tr>
      <w:tr w:rsidR="00C65E68">
        <w:trPr>
          <w:trHeight w:val="129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1.Informarea societății civile cu privire la necesitatea elaborării proiectului de act normativ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Proiectul</w:t>
            </w:r>
            <w:r>
              <w:rPr>
                <w:rFonts w:ascii="Trebuchet MS" w:hAnsi="Trebuchet MS"/>
                <w:sz w:val="24"/>
                <w:szCs w:val="24"/>
              </w:rPr>
              <w:t xml:space="preserve"> de act normativ a fost afișat pe pagina de internet a Ministerului Finanțelor.</w:t>
            </w:r>
          </w:p>
        </w:tc>
      </w:tr>
      <w:tr w:rsidR="00C65E68">
        <w:trPr>
          <w:trHeight w:val="2724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2.</w:t>
            </w:r>
            <w:r>
              <w:rPr>
                <w:rFonts w:ascii="Trebuchet MS" w:hAnsi="Trebuchet MS" w:cs="Arial"/>
                <w:bCs/>
                <w:spacing w:val="-2"/>
                <w:sz w:val="24"/>
                <w:szCs w:val="24"/>
              </w:rPr>
              <w:t>Informarea societății civile cu privire la eventualul impact asupra mediului în urma implementării proiectului de act normativ, precum și efectele asupra sănătății și securi</w:t>
            </w:r>
            <w:r>
              <w:rPr>
                <w:rFonts w:ascii="Trebuchet MS" w:hAnsi="Trebuchet MS" w:cs="Arial"/>
                <w:bCs/>
                <w:spacing w:val="-2"/>
                <w:sz w:val="24"/>
                <w:szCs w:val="24"/>
              </w:rPr>
              <w:t>tății cetățenilor sau diversității biologice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Proiectul de act normativ nu se referă la acest subiect.</w:t>
            </w:r>
          </w:p>
        </w:tc>
      </w:tr>
      <w:tr w:rsidR="00C65E68">
        <w:trPr>
          <w:trHeight w:val="465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3.Alte informații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Nu au fost identificate.</w:t>
            </w:r>
          </w:p>
        </w:tc>
      </w:tr>
      <w:tr w:rsidR="00C65E68">
        <w:trPr>
          <w:trHeight w:val="629"/>
        </w:trPr>
        <w:tc>
          <w:tcPr>
            <w:tcW w:w="95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Secțiunea a 8-a </w:t>
            </w:r>
          </w:p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Măsuri de implementare</w:t>
            </w:r>
          </w:p>
        </w:tc>
      </w:tr>
      <w:tr w:rsidR="00C65E68">
        <w:trPr>
          <w:trHeight w:val="351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5E68" w:rsidRDefault="00312F92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lastRenderedPageBreak/>
              <w:t xml:space="preserve">1.Măsurile de punere în aplicare a proiectului de act normativ de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către autoritățile administrației publice centrale și/sau locale – înființarea unor noi organisme sau extinderea competențelor instituțiilor existente</w:t>
            </w:r>
          </w:p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subiect.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 xml:space="preserve">Proiectul de act normativ nu se referă la acest </w:t>
            </w: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subiect.</w:t>
            </w:r>
          </w:p>
        </w:tc>
      </w:tr>
      <w:tr w:rsidR="00C65E68">
        <w:trPr>
          <w:trHeight w:val="40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2. Alte informații</w:t>
            </w:r>
          </w:p>
        </w:tc>
        <w:tc>
          <w:tcPr>
            <w:tcW w:w="64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65E68" w:rsidRDefault="00312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bCs/>
                <w:color w:val="000000"/>
                <w:sz w:val="24"/>
                <w:szCs w:val="24"/>
                <w:lang w:eastAsia="ro-RO"/>
              </w:rPr>
              <w:t>Nu au fost identificate.</w:t>
            </w:r>
          </w:p>
        </w:tc>
      </w:tr>
    </w:tbl>
    <w:p w:rsidR="00C65E68" w:rsidRDefault="00C65E68">
      <w:pPr>
        <w:jc w:val="both"/>
        <w:rPr>
          <w:rFonts w:ascii="Trebuchet MS" w:hAnsi="Trebuchet MS" w:cs="Arial"/>
          <w:spacing w:val="6"/>
          <w:sz w:val="24"/>
          <w:szCs w:val="24"/>
        </w:rPr>
      </w:pPr>
    </w:p>
    <w:p w:rsidR="00C65E68" w:rsidRDefault="00312F92">
      <w:pPr>
        <w:pStyle w:val="NoSpacing"/>
        <w:tabs>
          <w:tab w:val="left" w:pos="10024"/>
        </w:tabs>
        <w:snapToGrid w:val="0"/>
        <w:ind w:left="180" w:right="360"/>
        <w:jc w:val="both"/>
      </w:pPr>
      <w:r>
        <w:rPr>
          <w:rFonts w:ascii="Trebuchet MS" w:hAnsi="Trebuchet MS" w:cs="Times New Roman"/>
          <w:sz w:val="24"/>
          <w:szCs w:val="24"/>
          <w:lang w:val="ro-RO"/>
        </w:rPr>
        <w:t xml:space="preserve">Față de cele prezentate, a fost elaborat proiectul de </w:t>
      </w:r>
      <w:r>
        <w:rPr>
          <w:rStyle w:val="BodytextBold"/>
          <w:rFonts w:ascii="Trebuchet MS" w:eastAsia="Times New Roman CE" w:hAnsi="Trebuchet MS" w:cs="Arial"/>
          <w:b w:val="0"/>
          <w:bCs w:val="0"/>
          <w:sz w:val="24"/>
          <w:szCs w:val="24"/>
          <w:lang w:val="ro-RO"/>
        </w:rPr>
        <w:t>Hotărâre privind</w:t>
      </w:r>
      <w:r>
        <w:rPr>
          <w:rStyle w:val="BodytextBold"/>
          <w:rFonts w:ascii="Trebuchet MS" w:eastAsia="Times New Roman CE" w:hAnsi="Trebuchet MS" w:cs="Arial"/>
          <w:b w:val="0"/>
          <w:bCs w:val="0"/>
          <w:sz w:val="24"/>
          <w:szCs w:val="24"/>
        </w:rPr>
        <w:t xml:space="preserve"> stabilirea atribuţiilor generale în efectuarea </w:t>
      </w:r>
      <w:r>
        <w:rPr>
          <w:rStyle w:val="BodytextBold"/>
          <w:rFonts w:ascii="Trebuchet MS" w:eastAsia="Times New Roman CE" w:hAnsi="Trebuchet MS" w:cs="Arial"/>
          <w:b w:val="0"/>
          <w:bCs w:val="0"/>
          <w:sz w:val="24"/>
          <w:szCs w:val="24"/>
          <w:lang w:val="ro-RO"/>
        </w:rPr>
        <w:t>inspecțiilor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</w:rPr>
        <w:t xml:space="preserve">la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  <w:lang/>
        </w:rPr>
        <w:t>instituții publice</w:t>
      </w:r>
      <w:r>
        <w:rPr>
          <w:rStyle w:val="BodytextBold"/>
          <w:rFonts w:ascii="Trebuchet MS" w:eastAsia="Times New Roman CE" w:hAnsi="Trebuchet MS" w:cs="Arial"/>
          <w:b w:val="0"/>
          <w:bCs w:val="0"/>
          <w:sz w:val="24"/>
          <w:szCs w:val="24"/>
          <w:lang w:val="ro-RO"/>
        </w:rPr>
        <w:t xml:space="preserve">de către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  <w:lang w:val="ro-RO"/>
        </w:rPr>
        <w:t xml:space="preserve">Ministerul Finanțelor,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</w:rPr>
        <w:t xml:space="preserve">precum </w:t>
      </w:r>
      <w:r>
        <w:rPr>
          <w:rStyle w:val="BodytextBold"/>
          <w:rFonts w:ascii="Trebuchet MS" w:eastAsia="Times New Roman CE" w:hAnsi="Trebuchet MS" w:cs="Arial"/>
          <w:b w:val="0"/>
          <w:bCs w:val="0"/>
          <w:sz w:val="24"/>
          <w:szCs w:val="24"/>
          <w:lang w:val="ro-RO"/>
        </w:rPr>
        <w:t>ș</w:t>
      </w:r>
      <w:r>
        <w:rPr>
          <w:rStyle w:val="BodytextBold"/>
          <w:rFonts w:ascii="Trebuchet MS" w:eastAsia="Times New Roman CE" w:hAnsi="Trebuchet MS" w:cs="Arial"/>
          <w:b w:val="0"/>
          <w:bCs w:val="0"/>
          <w:sz w:val="24"/>
          <w:szCs w:val="24"/>
          <w:lang w:val="ro-RO"/>
        </w:rPr>
        <w:t xml:space="preserve">i </w:t>
      </w:r>
      <w:r>
        <w:rPr>
          <w:rStyle w:val="BodytextBold"/>
          <w:rFonts w:ascii="Trebuchet MS" w:eastAsia="Times New Roman CE" w:hAnsi="Trebuchet MS" w:cs="Arial"/>
          <w:b w:val="0"/>
          <w:bCs w:val="0"/>
          <w:sz w:val="24"/>
          <w:szCs w:val="24"/>
        </w:rPr>
        <w:t xml:space="preserve">a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  <w:lang/>
        </w:rPr>
        <w:t>atribuțiil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</w:rPr>
        <w:t xml:space="preserve">or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  <w:lang/>
        </w:rPr>
        <w:t xml:space="preserve">structurii de specialitate în soluționarea plângerii prealabile formulată împotriva actului administrativ emis de organele de inspecție economico-financiară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</w:rPr>
        <w:t xml:space="preserve">ca urmare a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  <w:lang/>
        </w:rPr>
        <w:t>inspecți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</w:rPr>
        <w:t xml:space="preserve">ilor efectuate la </w:t>
      </w:r>
      <w:r>
        <w:rPr>
          <w:rStyle w:val="BodytextBold"/>
          <w:rFonts w:ascii="Trebuchet MS" w:hAnsi="Trebuchet MS" w:cs="Arial"/>
          <w:b w:val="0"/>
          <w:color w:val="000000"/>
          <w:sz w:val="24"/>
          <w:szCs w:val="24"/>
          <w:lang/>
        </w:rPr>
        <w:t>instituții publice</w:t>
      </w:r>
    </w:p>
    <w:p w:rsidR="00C65E68" w:rsidRDefault="00C65E68">
      <w:pPr>
        <w:pStyle w:val="NoSpacing"/>
        <w:tabs>
          <w:tab w:val="left" w:pos="10024"/>
        </w:tabs>
        <w:snapToGrid w:val="0"/>
        <w:spacing w:line="480" w:lineRule="auto"/>
        <w:ind w:left="180" w:right="36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C65E68" w:rsidRDefault="00C65E68">
      <w:pPr>
        <w:pStyle w:val="NoSpacing"/>
        <w:tabs>
          <w:tab w:val="left" w:pos="10024"/>
        </w:tabs>
        <w:snapToGrid w:val="0"/>
        <w:spacing w:line="480" w:lineRule="auto"/>
        <w:ind w:right="36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C65E68" w:rsidRDefault="00312F92" w:rsidP="004A0D6F">
      <w:pPr>
        <w:spacing w:line="480" w:lineRule="auto"/>
        <w:jc w:val="center"/>
        <w:rPr>
          <w:rFonts w:ascii="Trebuchet MS" w:eastAsia="Times New Roman CE" w:hAnsi="Trebuchet MS" w:cs="Arial"/>
          <w:b/>
          <w:bCs/>
          <w:color w:val="auto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MINISTRUL FINANŢELOR</w:t>
      </w:r>
      <w:r>
        <w:rPr>
          <w:rFonts w:ascii="Trebuchet MS" w:hAnsi="Trebuchet MS"/>
          <w:b/>
          <w:bCs/>
          <w:sz w:val="24"/>
          <w:szCs w:val="24"/>
        </w:rPr>
        <w:t>,</w:t>
      </w:r>
      <w:r>
        <w:rPr>
          <w:rFonts w:ascii="Trebuchet MS" w:eastAsia="Times New Roman CE" w:hAnsi="Trebuchet MS" w:cs="Arial"/>
          <w:b/>
          <w:bCs/>
          <w:color w:val="auto"/>
          <w:sz w:val="24"/>
          <w:szCs w:val="24"/>
        </w:rPr>
        <w:t xml:space="preserve"> </w:t>
      </w:r>
    </w:p>
    <w:p w:rsidR="004A0D6F" w:rsidRDefault="004A0D6F" w:rsidP="004A0D6F">
      <w:pPr>
        <w:spacing w:line="480" w:lineRule="auto"/>
        <w:jc w:val="center"/>
        <w:rPr>
          <w:b/>
          <w:bCs/>
        </w:rPr>
      </w:pPr>
      <w:r>
        <w:rPr>
          <w:rFonts w:ascii="Trebuchet MS" w:eastAsia="Times New Roman CE" w:hAnsi="Trebuchet MS" w:cs="Arial"/>
          <w:b/>
          <w:bCs/>
          <w:color w:val="auto"/>
          <w:sz w:val="24"/>
          <w:szCs w:val="24"/>
        </w:rPr>
        <w:t>DAN VÎLCEANU</w:t>
      </w:r>
    </w:p>
    <w:p w:rsidR="00C65E68" w:rsidRDefault="00C65E68">
      <w:pPr>
        <w:overflowPunct w:val="0"/>
        <w:spacing w:line="480" w:lineRule="auto"/>
        <w:jc w:val="center"/>
        <w:rPr>
          <w:rFonts w:ascii="Trebuchet MS" w:eastAsia="Times New Roman CE" w:hAnsi="Trebuchet MS" w:cs="Arial"/>
          <w:b/>
          <w:bCs/>
          <w:color w:val="auto"/>
          <w:sz w:val="24"/>
          <w:szCs w:val="24"/>
          <w:lang w:val="en-US"/>
        </w:rPr>
      </w:pPr>
    </w:p>
    <w:p w:rsidR="00C65E68" w:rsidRDefault="00C65E68">
      <w:pPr>
        <w:overflowPunct w:val="0"/>
        <w:spacing w:line="480" w:lineRule="auto"/>
        <w:jc w:val="center"/>
        <w:rPr>
          <w:rFonts w:ascii="Trebuchet MS" w:eastAsia="Times New Roman CE" w:hAnsi="Trebuchet MS" w:cs="Arial"/>
          <w:b/>
          <w:bCs/>
          <w:color w:val="auto"/>
          <w:sz w:val="24"/>
          <w:szCs w:val="24"/>
          <w:lang w:val="en-US"/>
        </w:rPr>
      </w:pPr>
    </w:p>
    <w:p w:rsidR="00C65E68" w:rsidRDefault="00312F92">
      <w:pPr>
        <w:spacing w:line="48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AVIZAT FAVORABIL</w:t>
      </w:r>
    </w:p>
    <w:p w:rsidR="00C65E68" w:rsidRDefault="00C65E68">
      <w:pPr>
        <w:spacing w:line="480" w:lineRule="auto"/>
        <w:jc w:val="center"/>
        <w:rPr>
          <w:rFonts w:ascii="Trebuchet MS" w:hAnsi="Trebuchet MS"/>
          <w:b/>
          <w:sz w:val="24"/>
          <w:szCs w:val="24"/>
        </w:rPr>
      </w:pPr>
    </w:p>
    <w:p w:rsidR="00C65E68" w:rsidRDefault="00312F92">
      <w:pPr>
        <w:spacing w:line="480" w:lineRule="auto"/>
        <w:jc w:val="center"/>
        <w:rPr>
          <w:rFonts w:ascii="Arial" w:hAnsi="Arial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MINISTRUL JUSTIŢIEI</w:t>
      </w:r>
    </w:p>
    <w:p w:rsidR="00C65E68" w:rsidRDefault="00312F92">
      <w:pPr>
        <w:spacing w:line="480" w:lineRule="auto"/>
        <w:jc w:val="center"/>
      </w:pPr>
      <w:r>
        <w:rPr>
          <w:rFonts w:ascii="Trebuchet MS" w:hAnsi="Trebuchet MS"/>
          <w:b/>
          <w:sz w:val="24"/>
          <w:szCs w:val="24"/>
        </w:rPr>
        <w:t>STELIAN-CRISTIAN ION</w:t>
      </w:r>
    </w:p>
    <w:p w:rsidR="00C65E68" w:rsidRDefault="00C65E68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sectPr w:rsidR="00C65E68" w:rsidSect="00C65E68">
      <w:headerReference w:type="default" r:id="rId8"/>
      <w:footerReference w:type="default" r:id="rId9"/>
      <w:pgSz w:w="11906" w:h="16838"/>
      <w:pgMar w:top="794" w:right="851" w:bottom="766" w:left="1289" w:header="0" w:footer="709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92" w:rsidRDefault="00312F92" w:rsidP="00C65E68">
      <w:r>
        <w:separator/>
      </w:r>
    </w:p>
  </w:endnote>
  <w:endnote w:type="continuationSeparator" w:id="1">
    <w:p w:rsidR="00312F92" w:rsidRDefault="00312F92" w:rsidP="00C6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;Times New 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 CE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68" w:rsidRDefault="00C65E68">
    <w:pPr>
      <w:pStyle w:val="Footer"/>
      <w:jc w:val="right"/>
    </w:pPr>
    <w:r>
      <w:rPr>
        <w:sz w:val="22"/>
        <w:szCs w:val="22"/>
      </w:rPr>
      <w:fldChar w:fldCharType="begin"/>
    </w:r>
    <w:r w:rsidR="00312F92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4A0D6F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92" w:rsidRDefault="00312F92" w:rsidP="00C65E68">
      <w:r>
        <w:separator/>
      </w:r>
    </w:p>
  </w:footnote>
  <w:footnote w:type="continuationSeparator" w:id="1">
    <w:p w:rsidR="00312F92" w:rsidRDefault="00312F92" w:rsidP="00C6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68" w:rsidRDefault="00C65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1D6"/>
    <w:multiLevelType w:val="multilevel"/>
    <w:tmpl w:val="9BC20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B76EA8"/>
    <w:multiLevelType w:val="multilevel"/>
    <w:tmpl w:val="ECA047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E68"/>
    <w:rsid w:val="00312F92"/>
    <w:rsid w:val="004A0D6F"/>
    <w:rsid w:val="00C6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68"/>
    <w:pPr>
      <w:suppressAutoHyphens/>
    </w:pPr>
    <w:rPr>
      <w:rFonts w:eastAsia="SimSun" w:cs="Times New Roman"/>
      <w:color w:val="00000A"/>
      <w:sz w:val="28"/>
      <w:szCs w:val="28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C65E68"/>
    <w:rPr>
      <w:sz w:val="16"/>
      <w:szCs w:val="16"/>
    </w:rPr>
  </w:style>
  <w:style w:type="character" w:customStyle="1" w:styleId="CommentReference1">
    <w:name w:val="Comment Reference1"/>
    <w:qFormat/>
    <w:rsid w:val="00C65E68"/>
    <w:rPr>
      <w:sz w:val="16"/>
      <w:szCs w:val="16"/>
    </w:rPr>
  </w:style>
  <w:style w:type="character" w:customStyle="1" w:styleId="FooterChar">
    <w:name w:val="Footer Char"/>
    <w:basedOn w:val="DefaultParagraphFont"/>
    <w:uiPriority w:val="99"/>
    <w:qFormat/>
    <w:rsid w:val="00C65E68"/>
    <w:rPr>
      <w:color w:val="00000A"/>
      <w:sz w:val="28"/>
      <w:szCs w:val="28"/>
      <w:lang w:eastAsia="zh-CN"/>
    </w:rPr>
  </w:style>
  <w:style w:type="character" w:customStyle="1" w:styleId="FooterChar1">
    <w:name w:val="Footer Char1"/>
    <w:basedOn w:val="DefaultParagraphFont"/>
    <w:uiPriority w:val="99"/>
    <w:semiHidden/>
    <w:qFormat/>
    <w:rsid w:val="00C65E68"/>
    <w:rPr>
      <w:rFonts w:ascii="Times New Roman" w:eastAsia="SimSun" w:hAnsi="Times New Roman" w:cs="Times New Roman"/>
      <w:color w:val="00000A"/>
      <w:sz w:val="28"/>
      <w:szCs w:val="28"/>
      <w:lang w:val="ro-RO" w:eastAsia="zh-CN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C65E68"/>
    <w:rPr>
      <w:rFonts w:ascii="Segoe UI" w:eastAsia="SimSun" w:hAnsi="Segoe UI" w:cs="Segoe UI"/>
      <w:color w:val="00000A"/>
      <w:sz w:val="18"/>
      <w:szCs w:val="18"/>
      <w:lang w:val="ro-RO" w:eastAsia="zh-CN"/>
    </w:rPr>
  </w:style>
  <w:style w:type="character" w:customStyle="1" w:styleId="CommentTextChar">
    <w:name w:val="Comment Text Char"/>
    <w:basedOn w:val="DefaultParagraphFont"/>
    <w:uiPriority w:val="99"/>
    <w:semiHidden/>
    <w:qFormat/>
    <w:rsid w:val="00C65E68"/>
    <w:rPr>
      <w:rFonts w:ascii="Times New Roman" w:eastAsia="SimSun" w:hAnsi="Times New Roman" w:cs="Times New Roman"/>
      <w:color w:val="00000A"/>
      <w:sz w:val="20"/>
      <w:szCs w:val="20"/>
      <w:lang w:val="ro-RO" w:eastAsia="zh-CN"/>
    </w:rPr>
  </w:style>
  <w:style w:type="character" w:customStyle="1" w:styleId="CommentSubjectChar">
    <w:name w:val="Comment Subject Char"/>
    <w:basedOn w:val="CommentTextChar"/>
    <w:uiPriority w:val="99"/>
    <w:semiHidden/>
    <w:qFormat/>
    <w:rsid w:val="00C65E68"/>
    <w:rPr>
      <w:rFonts w:ascii="Times New Roman" w:eastAsia="SimSun" w:hAnsi="Times New Roman" w:cs="Times New Roman"/>
      <w:b/>
      <w:bCs/>
      <w:color w:val="00000A"/>
      <w:sz w:val="20"/>
      <w:szCs w:val="20"/>
      <w:lang w:val="ro-RO" w:eastAsia="zh-CN"/>
    </w:rPr>
  </w:style>
  <w:style w:type="character" w:customStyle="1" w:styleId="HeaderChar">
    <w:name w:val="Header Char"/>
    <w:basedOn w:val="DefaultParagraphFont"/>
    <w:uiPriority w:val="99"/>
    <w:qFormat/>
    <w:rsid w:val="00C65E68"/>
    <w:rPr>
      <w:rFonts w:ascii="Times New Roman" w:eastAsia="SimSun" w:hAnsi="Times New Roman" w:cs="Times New Roman"/>
      <w:color w:val="00000A"/>
      <w:sz w:val="28"/>
      <w:szCs w:val="28"/>
      <w:lang w:val="ro-RO" w:eastAsia="zh-CN"/>
    </w:rPr>
  </w:style>
  <w:style w:type="character" w:customStyle="1" w:styleId="Bodytext">
    <w:name w:val="Body text_"/>
    <w:basedOn w:val="DefaultParagraphFont"/>
    <w:qFormat/>
    <w:rsid w:val="00C65E68"/>
    <w:rPr>
      <w:rFonts w:ascii="Calibri" w:eastAsia="Calibri" w:hAnsi="Calibri" w:cs="Calibri"/>
      <w:spacing w:val="0"/>
      <w:sz w:val="25"/>
      <w:szCs w:val="25"/>
    </w:rPr>
  </w:style>
  <w:style w:type="character" w:customStyle="1" w:styleId="BodytextBold">
    <w:name w:val="Body text + Bold"/>
    <w:basedOn w:val="Bodytext"/>
    <w:qFormat/>
    <w:rsid w:val="00C65E68"/>
    <w:rPr>
      <w:rFonts w:ascii="Calibri" w:eastAsia="Calibri" w:hAnsi="Calibri" w:cs="Calibri"/>
      <w:b/>
      <w:bCs/>
      <w:spacing w:val="0"/>
      <w:sz w:val="25"/>
      <w:szCs w:val="25"/>
    </w:rPr>
  </w:style>
  <w:style w:type="paragraph" w:customStyle="1" w:styleId="Heading">
    <w:name w:val="Heading"/>
    <w:basedOn w:val="Normal"/>
    <w:next w:val="BodyText0"/>
    <w:qFormat/>
    <w:rsid w:val="00C65E68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BodyText0">
    <w:name w:val="Body Text"/>
    <w:basedOn w:val="Normal"/>
    <w:qFormat/>
    <w:rsid w:val="00C65E68"/>
    <w:pPr>
      <w:spacing w:after="140" w:line="276" w:lineRule="auto"/>
    </w:pPr>
  </w:style>
  <w:style w:type="paragraph" w:styleId="List">
    <w:name w:val="List"/>
    <w:basedOn w:val="BodyText0"/>
    <w:qFormat/>
    <w:rsid w:val="00C65E68"/>
    <w:rPr>
      <w:rFonts w:cs="Arial"/>
    </w:rPr>
  </w:style>
  <w:style w:type="paragraph" w:styleId="Caption">
    <w:name w:val="caption"/>
    <w:basedOn w:val="Normal"/>
    <w:next w:val="Normal"/>
    <w:qFormat/>
    <w:rsid w:val="00C65E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65E68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C65E6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qFormat/>
    <w:rsid w:val="00C65E68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qFormat/>
    <w:rsid w:val="00C65E68"/>
    <w:rPr>
      <w:b/>
      <w:bCs/>
    </w:rPr>
  </w:style>
  <w:style w:type="paragraph" w:styleId="Footer">
    <w:name w:val="footer"/>
    <w:basedOn w:val="Normal"/>
    <w:uiPriority w:val="99"/>
    <w:qFormat/>
    <w:rsid w:val="00C65E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uiPriority w:val="99"/>
    <w:unhideWhenUsed/>
    <w:qFormat/>
    <w:rsid w:val="00C65E68"/>
    <w:pPr>
      <w:tabs>
        <w:tab w:val="center" w:pos="4513"/>
        <w:tab w:val="right" w:pos="9026"/>
      </w:tabs>
    </w:pPr>
  </w:style>
  <w:style w:type="paragraph" w:customStyle="1" w:styleId="TableText">
    <w:name w:val="Table Text"/>
    <w:basedOn w:val="Normal"/>
    <w:qFormat/>
    <w:rsid w:val="00C65E68"/>
    <w:pPr>
      <w:widowControl w:val="0"/>
      <w:jc w:val="right"/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qFormat/>
    <w:rsid w:val="00C65E68"/>
    <w:rPr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C65E68"/>
    <w:pPr>
      <w:suppressLineNumbers/>
    </w:pPr>
  </w:style>
  <w:style w:type="paragraph" w:styleId="ListParagraph">
    <w:name w:val="List Paragraph"/>
    <w:basedOn w:val="Normal"/>
    <w:uiPriority w:val="99"/>
    <w:qFormat/>
    <w:rsid w:val="00C65E68"/>
    <w:pPr>
      <w:ind w:left="720"/>
      <w:contextualSpacing/>
    </w:pPr>
  </w:style>
  <w:style w:type="paragraph" w:customStyle="1" w:styleId="CaracterCaracter">
    <w:name w:val="Caracter Caracter"/>
    <w:basedOn w:val="Normal"/>
    <w:qFormat/>
    <w:rsid w:val="00C65E68"/>
    <w:pPr>
      <w:suppressAutoHyphens w:val="0"/>
    </w:pPr>
    <w:rPr>
      <w:rFonts w:eastAsia="Times New Roman"/>
      <w:color w:val="auto"/>
      <w:sz w:val="24"/>
      <w:szCs w:val="24"/>
      <w:lang w:val="pl-PL" w:eastAsia="pl-PL"/>
    </w:rPr>
  </w:style>
  <w:style w:type="paragraph" w:styleId="NoSpacing">
    <w:name w:val="No Spacing"/>
    <w:qFormat/>
    <w:rsid w:val="00C65E68"/>
    <w:pPr>
      <w:suppressAutoHyphens/>
    </w:pPr>
    <w:rPr>
      <w:rFonts w:asciiTheme="minorHAnsi" w:eastAsiaTheme="minorHAnsi" w:hAnsiTheme="minorHAnsi" w:cs="Calibri"/>
      <w:sz w:val="22"/>
      <w:szCs w:val="22"/>
      <w:lang w:bidi="ar-SA"/>
    </w:rPr>
  </w:style>
  <w:style w:type="paragraph" w:customStyle="1" w:styleId="Standard">
    <w:name w:val="Standard"/>
    <w:qFormat/>
    <w:rsid w:val="00C65E68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</w:rPr>
  </w:style>
  <w:style w:type="paragraph" w:customStyle="1" w:styleId="BodyText1">
    <w:name w:val="Body Text1"/>
    <w:basedOn w:val="Normal"/>
    <w:qFormat/>
    <w:rsid w:val="00C65E68"/>
    <w:pPr>
      <w:shd w:val="clear" w:color="auto" w:fill="FFFFFF"/>
      <w:spacing w:line="360" w:lineRule="exact"/>
      <w:jc w:val="both"/>
    </w:pPr>
    <w:rPr>
      <w:rFonts w:ascii="Calibri" w:eastAsia="Calibri" w:hAnsi="Calibri" w:cs="Calibri"/>
      <w:sz w:val="25"/>
      <w:szCs w:val="25"/>
    </w:rPr>
  </w:style>
  <w:style w:type="paragraph" w:styleId="NormalWeb">
    <w:name w:val="Normal (Web)"/>
    <w:qFormat/>
    <w:rsid w:val="00C65E68"/>
    <w:pPr>
      <w:spacing w:before="280" w:after="142" w:line="288" w:lineRule="auto"/>
    </w:pPr>
    <w:rPr>
      <w:rFonts w:eastAsia="SimSu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10214</Characters>
  <Application>Microsoft Office Word</Application>
  <DocSecurity>0</DocSecurity>
  <Lines>85</Lines>
  <Paragraphs>23</Paragraphs>
  <ScaleCrop>false</ScaleCrop>
  <Company>Ministerul Finantelor Publice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FECHETE</dc:creator>
  <cp:lastModifiedBy>74608387</cp:lastModifiedBy>
  <cp:revision>2</cp:revision>
  <cp:lastPrinted>2021-08-05T17:31:00Z</cp:lastPrinted>
  <dcterms:created xsi:type="dcterms:W3CDTF">2021-08-25T08:57:00Z</dcterms:created>
  <dcterms:modified xsi:type="dcterms:W3CDTF">2021-08-25T08:57:00Z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1033-11.2.0.9684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