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8A" w:rsidRPr="004E3A9B" w:rsidRDefault="007E6E16" w:rsidP="000F4CB4">
      <w:pPr>
        <w:spacing w:line="360" w:lineRule="auto"/>
        <w:jc w:val="center"/>
        <w:rPr>
          <w:b/>
          <w:lang w:eastAsia="ro-RO"/>
        </w:rPr>
      </w:pPr>
      <w:r w:rsidRPr="004E3A9B">
        <w:rPr>
          <w:b/>
          <w:lang w:eastAsia="ro-RO"/>
        </w:rPr>
        <w:t>NOTĂ DE FUNDAMENTARE</w:t>
      </w:r>
    </w:p>
    <w:tbl>
      <w:tblPr>
        <w:tblW w:w="4857" w:type="pct"/>
        <w:jc w:val="center"/>
        <w:tblBorders>
          <w:top w:val="double" w:sz="6" w:space="0" w:color="000080"/>
          <w:left w:val="double" w:sz="6" w:space="0" w:color="000080"/>
          <w:bottom w:val="double" w:sz="6" w:space="0" w:color="000080"/>
          <w:right w:val="double" w:sz="6" w:space="0" w:color="000080"/>
          <w:insideH w:val="single" w:sz="6" w:space="0" w:color="000080"/>
          <w:insideV w:val="single" w:sz="6" w:space="0" w:color="000080"/>
        </w:tblBorders>
        <w:tblLayout w:type="fixed"/>
        <w:tblLook w:val="01E0" w:firstRow="1" w:lastRow="1" w:firstColumn="1" w:lastColumn="1" w:noHBand="0" w:noVBand="0"/>
      </w:tblPr>
      <w:tblGrid>
        <w:gridCol w:w="1499"/>
        <w:gridCol w:w="4618"/>
        <w:gridCol w:w="37"/>
        <w:gridCol w:w="1028"/>
        <w:gridCol w:w="584"/>
        <w:gridCol w:w="454"/>
        <w:gridCol w:w="271"/>
        <w:gridCol w:w="312"/>
        <w:gridCol w:w="236"/>
        <w:gridCol w:w="755"/>
      </w:tblGrid>
      <w:tr w:rsidR="007E6E16" w:rsidRPr="004E3A9B" w:rsidTr="00230A78">
        <w:trPr>
          <w:jc w:val="center"/>
        </w:trPr>
        <w:tc>
          <w:tcPr>
            <w:tcW w:w="9794" w:type="dxa"/>
            <w:gridSpan w:val="10"/>
            <w:tcBorders>
              <w:top w:val="single" w:sz="4" w:space="0" w:color="auto"/>
              <w:left w:val="single" w:sz="4" w:space="0" w:color="auto"/>
              <w:right w:val="single" w:sz="4" w:space="0" w:color="auto"/>
            </w:tcBorders>
          </w:tcPr>
          <w:p w:rsidR="00032429" w:rsidRPr="004E3A9B" w:rsidRDefault="00032429" w:rsidP="007E6E16">
            <w:pPr>
              <w:rPr>
                <w:b/>
                <w:bCs/>
                <w:spacing w:val="1"/>
                <w:w w:val="102"/>
              </w:rPr>
            </w:pPr>
          </w:p>
          <w:p w:rsidR="007E6E16" w:rsidRPr="004E3A9B" w:rsidRDefault="007E6E16" w:rsidP="007E6E16">
            <w:pPr>
              <w:jc w:val="center"/>
              <w:rPr>
                <w:b/>
              </w:rPr>
            </w:pPr>
            <w:r w:rsidRPr="004E3A9B">
              <w:rPr>
                <w:b/>
              </w:rPr>
              <w:t>Secţiunea 1</w:t>
            </w:r>
          </w:p>
          <w:p w:rsidR="007E6E16" w:rsidRPr="004E3A9B" w:rsidRDefault="007E6E16" w:rsidP="007E6E16">
            <w:pPr>
              <w:jc w:val="center"/>
              <w:rPr>
                <w:b/>
              </w:rPr>
            </w:pPr>
            <w:r w:rsidRPr="004E3A9B">
              <w:rPr>
                <w:b/>
              </w:rPr>
              <w:t>Titlul prezentului</w:t>
            </w:r>
            <w:r w:rsidR="006B11C9" w:rsidRPr="004E3A9B">
              <w:rPr>
                <w:b/>
              </w:rPr>
              <w:t xml:space="preserve"> </w:t>
            </w:r>
            <w:r w:rsidRPr="004E3A9B">
              <w:rPr>
                <w:b/>
              </w:rPr>
              <w:t>act normativ</w:t>
            </w:r>
          </w:p>
          <w:p w:rsidR="007E6E16" w:rsidRPr="004E3A9B" w:rsidRDefault="007E6E16" w:rsidP="007E6E16">
            <w:pPr>
              <w:jc w:val="center"/>
            </w:pPr>
          </w:p>
          <w:p w:rsidR="007E6E16" w:rsidRPr="004E3A9B" w:rsidRDefault="007F6795" w:rsidP="007E6E16">
            <w:pPr>
              <w:widowControl w:val="0"/>
              <w:jc w:val="center"/>
              <w:rPr>
                <w:b/>
                <w:bCs/>
              </w:rPr>
            </w:pPr>
            <w:r w:rsidRPr="004E3A9B">
              <w:rPr>
                <w:b/>
              </w:rPr>
              <w:t xml:space="preserve">HOTĂRÂRE </w:t>
            </w:r>
            <w:r w:rsidR="007E6E16" w:rsidRPr="004E3A9B">
              <w:rPr>
                <w:b/>
              </w:rPr>
              <w:t>A GUVERNULUI</w:t>
            </w:r>
            <w:r w:rsidR="007E6E16" w:rsidRPr="004E3A9B">
              <w:rPr>
                <w:b/>
                <w:bCs/>
              </w:rPr>
              <w:t xml:space="preserve"> </w:t>
            </w:r>
          </w:p>
          <w:p w:rsidR="000701D0" w:rsidRPr="004E3A9B" w:rsidRDefault="000701D0" w:rsidP="000701D0">
            <w:pPr>
              <w:jc w:val="center"/>
              <w:rPr>
                <w:color w:val="000000"/>
                <w:lang w:eastAsia="ro-RO"/>
              </w:rPr>
            </w:pPr>
            <w:r w:rsidRPr="004E3A9B">
              <w:rPr>
                <w:color w:val="000000"/>
                <w:lang w:eastAsia="ro-RO"/>
              </w:rPr>
              <w:t>privind intensitatea maximă a ajutorului de stat regional în perioada 2022-2027</w:t>
            </w:r>
          </w:p>
          <w:p w:rsidR="000701D0" w:rsidRPr="004E3A9B" w:rsidRDefault="000701D0" w:rsidP="000701D0">
            <w:pPr>
              <w:jc w:val="center"/>
              <w:rPr>
                <w:color w:val="000000"/>
                <w:lang w:eastAsia="ro-RO"/>
              </w:rPr>
            </w:pPr>
            <w:r w:rsidRPr="004E3A9B">
              <w:rPr>
                <w:color w:val="000000"/>
                <w:lang w:eastAsia="ro-RO"/>
              </w:rPr>
              <w:t>pentru investiţii iniţiale</w:t>
            </w:r>
          </w:p>
          <w:p w:rsidR="008A7DE2" w:rsidRPr="004E3A9B" w:rsidRDefault="008A7DE2" w:rsidP="00801984">
            <w:pPr>
              <w:pStyle w:val="NoSpacing"/>
              <w:tabs>
                <w:tab w:val="left" w:pos="5820"/>
              </w:tabs>
              <w:jc w:val="center"/>
              <w:rPr>
                <w:rFonts w:ascii="Arial" w:hAnsi="Arial" w:cs="Arial"/>
              </w:rPr>
            </w:pPr>
          </w:p>
        </w:tc>
      </w:tr>
      <w:tr w:rsidR="00CD3D08"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27"/>
        </w:trPr>
        <w:tc>
          <w:tcPr>
            <w:tcW w:w="9794" w:type="dxa"/>
            <w:gridSpan w:val="10"/>
            <w:tcBorders>
              <w:top w:val="single" w:sz="4" w:space="0" w:color="000000"/>
              <w:left w:val="single" w:sz="4" w:space="0" w:color="auto"/>
              <w:bottom w:val="single" w:sz="4" w:space="0" w:color="000000"/>
              <w:right w:val="single" w:sz="4" w:space="0" w:color="auto"/>
            </w:tcBorders>
            <w:shd w:val="clear" w:color="auto" w:fill="auto"/>
            <w:vAlign w:val="center"/>
          </w:tcPr>
          <w:p w:rsidR="00CD3D08" w:rsidRPr="004E3A9B" w:rsidRDefault="00CD3D08" w:rsidP="00DC1B32">
            <w:pPr>
              <w:spacing w:before="20" w:after="20"/>
              <w:jc w:val="center"/>
              <w:rPr>
                <w:b/>
                <w:bCs/>
              </w:rPr>
            </w:pPr>
            <w:r w:rsidRPr="004E3A9B">
              <w:rPr>
                <w:b/>
                <w:bCs/>
              </w:rPr>
              <w:t>Secţiunea a 2-a</w:t>
            </w:r>
          </w:p>
          <w:p w:rsidR="00CD3D08" w:rsidRPr="004E3A9B" w:rsidRDefault="00CD3D08" w:rsidP="00801984">
            <w:pPr>
              <w:spacing w:before="20" w:after="20"/>
              <w:jc w:val="center"/>
              <w:rPr>
                <w:b/>
                <w:bCs/>
              </w:rPr>
            </w:pPr>
            <w:r w:rsidRPr="004E3A9B">
              <w:rPr>
                <w:b/>
                <w:bCs/>
              </w:rPr>
              <w:t>Motivul emiterii actului normativ</w:t>
            </w:r>
          </w:p>
        </w:tc>
      </w:tr>
      <w:tr w:rsidR="00653740" w:rsidRPr="004E3A9B" w:rsidTr="00230A78">
        <w:tblPrEx>
          <w:tblLook w:val="0000" w:firstRow="0" w:lastRow="0" w:firstColumn="0" w:lastColumn="0" w:noHBand="0" w:noVBand="0"/>
        </w:tblPrEx>
        <w:trPr>
          <w:trHeight w:val="431"/>
          <w:jc w:val="center"/>
        </w:trPr>
        <w:tc>
          <w:tcPr>
            <w:tcW w:w="1499" w:type="dxa"/>
            <w:tcBorders>
              <w:top w:val="single" w:sz="4" w:space="0" w:color="000000"/>
              <w:left w:val="single" w:sz="4" w:space="0" w:color="000000"/>
              <w:bottom w:val="single" w:sz="4" w:space="0" w:color="000000"/>
            </w:tcBorders>
            <w:shd w:val="clear" w:color="auto" w:fill="auto"/>
            <w:vAlign w:val="center"/>
          </w:tcPr>
          <w:p w:rsidR="00653740" w:rsidRPr="004E3A9B" w:rsidRDefault="00653740" w:rsidP="00B46ABD">
            <w:pPr>
              <w:rPr>
                <w:lang w:eastAsia="ro-RO"/>
              </w:rPr>
            </w:pPr>
            <w:r w:rsidRPr="004E3A9B">
              <w:rPr>
                <w:bCs/>
              </w:rPr>
              <w:t>1. Descrierea situaţiei actuale</w:t>
            </w:r>
          </w:p>
        </w:tc>
        <w:tc>
          <w:tcPr>
            <w:tcW w:w="82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701D0" w:rsidRPr="004E3A9B" w:rsidRDefault="000701D0" w:rsidP="000701D0">
            <w:pPr>
              <w:pStyle w:val="NormalWeb"/>
              <w:spacing w:before="0" w:beforeAutospacing="0" w:after="0" w:afterAutospacing="0"/>
              <w:jc w:val="both"/>
              <w:rPr>
                <w:rFonts w:ascii="Arial" w:hAnsi="Arial" w:cs="Arial"/>
                <w:shd w:val="clear" w:color="auto" w:fill="FFFFFF"/>
                <w:lang w:val="ro-RO"/>
              </w:rPr>
            </w:pPr>
            <w:r w:rsidRPr="004E3A9B">
              <w:rPr>
                <w:rFonts w:ascii="Arial" w:hAnsi="Arial" w:cs="Arial"/>
                <w:shd w:val="clear" w:color="auto" w:fill="FFFFFF"/>
                <w:lang w:val="ro-RO"/>
              </w:rPr>
              <w:t xml:space="preserve">Harta ajutoarelor regionale pentru România aferentă perioadei 2014-2020 a fost notificată Comisiei Europene și autorizată de aceasta prin Decizia C (2014) 2240 final din 9 aprilie 2014, fiind ulterior adoptată în legislația națională prin Hotărârea Guvernului nr. 517/2014 privind intensitatea maximă a ajutorului de stat regional în perioada 2014-2020 pentru investiţii iniţiale. </w:t>
            </w:r>
          </w:p>
          <w:p w:rsidR="000701D0" w:rsidRPr="004E3A9B" w:rsidRDefault="000701D0" w:rsidP="000701D0">
            <w:pPr>
              <w:pStyle w:val="NormalWeb"/>
              <w:spacing w:before="0" w:beforeAutospacing="0" w:after="0" w:afterAutospacing="0"/>
              <w:jc w:val="both"/>
              <w:rPr>
                <w:rFonts w:ascii="Arial" w:hAnsi="Arial" w:cs="Arial"/>
                <w:shd w:val="clear" w:color="auto" w:fill="FFFFFF"/>
                <w:lang w:val="ro-RO"/>
              </w:rPr>
            </w:pPr>
            <w:r w:rsidRPr="004E3A9B">
              <w:rPr>
                <w:rFonts w:ascii="Arial" w:hAnsi="Arial" w:cs="Arial"/>
                <w:shd w:val="clear" w:color="auto" w:fill="FFFFFF"/>
                <w:lang w:val="ro-RO"/>
              </w:rPr>
              <w:t>Harta ajutoarelor de stat regionale cuprinde intensităţile maxime pentru ajutoarele regionale pentru investiţii aplicabile în fiecare din regiunile din România, eligibile pentru ajutor de stat conform prevederilor art. 107 alin. (3) din Tratatul privind funcţionarea Uniunii Europene.</w:t>
            </w:r>
          </w:p>
          <w:p w:rsidR="000701D0" w:rsidRPr="004E3A9B" w:rsidRDefault="000701D0" w:rsidP="000701D0">
            <w:pPr>
              <w:autoSpaceDE w:val="0"/>
              <w:autoSpaceDN w:val="0"/>
              <w:adjustRightInd w:val="0"/>
              <w:jc w:val="both"/>
            </w:pPr>
            <w:r w:rsidRPr="004E3A9B">
              <w:rPr>
                <w:shd w:val="clear" w:color="auto" w:fill="FFFFFF"/>
              </w:rPr>
              <w:t>În data de 08.07.2020, Comisia Europeană a publicat ”Comunicarea  nr. C 224/2020 privind prelungirea aplicării și modificările Orientărilor privind ajutoarele de stat regionale pentru perioada 2014-2020, ale Orientărilor privind ajutoarele de stat pentru promovarea investițiilor de finanțare de risc, ale Orientărilor privind ajutoarele de stat pentru protecția mediului și energie pentru perioada 2014-2020, ale Orientărilor privind ajutoarele de stat pentru salvarea și restructurarea întreprinderilor nefinanciare aflate în dificultate, ale Comunicării Comisiei privind criteriile pentru analiza compatibilității cu piața internă a ajutorului de stat destinat să promoveze realizarea unor proiecte importante de interes european comun, ale Comunicării Comisiei privind cadrul pentru ajutoarele de stat pentru cercetare, dezvoltare și inovare și ale Comunicării Comisiei către statele membre privind aplicarea articolelor 107 și 108 din Tratatul privind funcționarea Uniunii Europene în cazul asigurării creditelor la export pe termen scurt”, potrivit căreia acordarea ajutoarelor de stat cu obiectiv regional în anul 2021 va putea fi realizată doar în baza hărţii ajutoarelor regionale aferente perioadei 2014-2020, prelungite până la data de 31.12.2021.</w:t>
            </w:r>
          </w:p>
          <w:p w:rsidR="000701D0" w:rsidRPr="004E3A9B" w:rsidRDefault="000701D0" w:rsidP="000701D0">
            <w:pPr>
              <w:pStyle w:val="NormalWeb"/>
              <w:spacing w:before="0" w:beforeAutospacing="0" w:after="0" w:afterAutospacing="0"/>
              <w:jc w:val="both"/>
              <w:rPr>
                <w:rFonts w:ascii="Arial" w:hAnsi="Arial" w:cs="Arial"/>
                <w:shd w:val="clear" w:color="auto" w:fill="FFFFFF"/>
                <w:lang w:val="ro-RO"/>
              </w:rPr>
            </w:pPr>
            <w:r w:rsidRPr="004E3A9B">
              <w:rPr>
                <w:rFonts w:ascii="Arial" w:hAnsi="Arial" w:cs="Arial"/>
                <w:shd w:val="clear" w:color="auto" w:fill="FFFFFF"/>
                <w:lang w:val="ro-RO"/>
              </w:rPr>
              <w:t>Prin notificarea electronică, înregistrată la Comisia Europeană la data de 20 august 2020, România a comunicat faptul că prelungește perioada de aplicare a hărții regionale a ajutoarelor pentru România pentru perioada 2014-2020</w:t>
            </w:r>
            <w:r w:rsidR="007A01F3" w:rsidRPr="004E3A9B">
              <w:rPr>
                <w:rFonts w:ascii="Arial" w:hAnsi="Arial" w:cs="Arial"/>
                <w:shd w:val="clear" w:color="auto" w:fill="FFFFFF"/>
                <w:lang w:val="ro-RO"/>
              </w:rPr>
              <w:t>, până la data de 31.12.2021</w:t>
            </w:r>
            <w:r w:rsidRPr="004E3A9B">
              <w:rPr>
                <w:rFonts w:ascii="Arial" w:hAnsi="Arial" w:cs="Arial"/>
                <w:shd w:val="clear" w:color="auto" w:fill="FFFFFF"/>
                <w:lang w:val="ro-RO"/>
              </w:rPr>
              <w:t>.</w:t>
            </w:r>
          </w:p>
          <w:p w:rsidR="000701D0" w:rsidRPr="004E3A9B" w:rsidRDefault="000701D0" w:rsidP="000701D0">
            <w:pPr>
              <w:pStyle w:val="NormalWeb"/>
              <w:spacing w:before="0" w:beforeAutospacing="0" w:after="0" w:afterAutospacing="0"/>
              <w:jc w:val="both"/>
              <w:rPr>
                <w:rFonts w:ascii="Arial" w:hAnsi="Arial" w:cs="Arial"/>
                <w:shd w:val="clear" w:color="auto" w:fill="FFFFFF"/>
                <w:lang w:val="ro-RO"/>
              </w:rPr>
            </w:pPr>
            <w:r w:rsidRPr="004E3A9B">
              <w:rPr>
                <w:rFonts w:ascii="Arial" w:hAnsi="Arial" w:cs="Arial"/>
                <w:shd w:val="clear" w:color="auto" w:fill="FFFFFF"/>
                <w:lang w:val="ro-RO"/>
              </w:rPr>
              <w:t>În urma notificării, Comisia Europeană a emis Decizia C (2020) 6627 final din data de 05.10.2020.</w:t>
            </w:r>
          </w:p>
          <w:p w:rsidR="001B4B3A" w:rsidRPr="004E3A9B" w:rsidRDefault="00883070" w:rsidP="00476967">
            <w:pPr>
              <w:pStyle w:val="NormalWeb"/>
              <w:spacing w:before="0" w:beforeAutospacing="0" w:after="0" w:afterAutospacing="0"/>
              <w:jc w:val="both"/>
              <w:rPr>
                <w:rFonts w:ascii="Arial" w:hAnsi="Arial" w:cs="Arial"/>
                <w:shd w:val="clear" w:color="auto" w:fill="FFFFFF"/>
                <w:lang w:val="ro-RO"/>
              </w:rPr>
            </w:pPr>
            <w:r w:rsidRPr="004E3A9B">
              <w:rPr>
                <w:rFonts w:ascii="Arial" w:hAnsi="Arial" w:cs="Arial"/>
                <w:shd w:val="clear" w:color="auto" w:fill="FFFFFF"/>
                <w:lang w:val="ro-RO"/>
              </w:rPr>
              <w:t>În legislaţia naţională, prelungirea hărţii regionale a fost adoptată prin Hotărârea Guvernului nr. 1117/2020 pentru modificarea art. 4 din Hotărârea Guvernului nr. 517/2014 privind intensitatea maximă a ajutorului de stat regional în perioada 2014-2020 pentru investiţii iniţiale.</w:t>
            </w:r>
            <w:r w:rsidRPr="004E3A9B">
              <w:rPr>
                <w:rFonts w:ascii="Arial" w:hAnsi="Arial" w:cs="Arial"/>
                <w:color w:val="000000" w:themeColor="text1"/>
                <w:shd w:val="clear" w:color="auto" w:fill="FFFFFF"/>
              </w:rPr>
              <w:t xml:space="preserve">    </w:t>
            </w:r>
          </w:p>
        </w:tc>
      </w:tr>
      <w:tr w:rsidR="00AB5BC3" w:rsidRPr="004E3A9B" w:rsidTr="00230A78">
        <w:tblPrEx>
          <w:tblLook w:val="0000" w:firstRow="0" w:lastRow="0" w:firstColumn="0" w:lastColumn="0" w:noHBand="0" w:noVBand="0"/>
        </w:tblPrEx>
        <w:trPr>
          <w:trHeight w:val="802"/>
          <w:jc w:val="center"/>
        </w:trPr>
        <w:tc>
          <w:tcPr>
            <w:tcW w:w="1499" w:type="dxa"/>
            <w:tcBorders>
              <w:top w:val="single" w:sz="4" w:space="0" w:color="000000"/>
              <w:left w:val="single" w:sz="4" w:space="0" w:color="000000"/>
              <w:bottom w:val="single" w:sz="4" w:space="0" w:color="000000"/>
            </w:tcBorders>
            <w:shd w:val="clear" w:color="auto" w:fill="auto"/>
            <w:vAlign w:val="center"/>
          </w:tcPr>
          <w:p w:rsidR="00AB5BC3" w:rsidRPr="004E3A9B" w:rsidRDefault="00AB5BC3" w:rsidP="00AB5BC3">
            <w:pPr>
              <w:rPr>
                <w:bCs/>
              </w:rPr>
            </w:pPr>
            <w:r w:rsidRPr="004E3A9B">
              <w:rPr>
                <w:bCs/>
              </w:rPr>
              <w:t xml:space="preserve"> 2. Schimbări preconizate</w:t>
            </w:r>
          </w:p>
        </w:tc>
        <w:tc>
          <w:tcPr>
            <w:tcW w:w="8295" w:type="dxa"/>
            <w:gridSpan w:val="9"/>
            <w:tcBorders>
              <w:top w:val="single" w:sz="4" w:space="0" w:color="000000"/>
              <w:left w:val="single" w:sz="4" w:space="0" w:color="000000"/>
              <w:bottom w:val="single" w:sz="4" w:space="0" w:color="000000"/>
              <w:right w:val="single" w:sz="4" w:space="0" w:color="000000"/>
            </w:tcBorders>
            <w:shd w:val="clear" w:color="auto" w:fill="auto"/>
          </w:tcPr>
          <w:p w:rsidR="007038B5" w:rsidRPr="00E57CC3" w:rsidRDefault="007038B5" w:rsidP="007038B5">
            <w:pPr>
              <w:jc w:val="both"/>
              <w:rPr>
                <w:bCs/>
              </w:rPr>
            </w:pPr>
            <w:r w:rsidRPr="00E57CC3">
              <w:rPr>
                <w:shd w:val="clear" w:color="auto" w:fill="FFFFFF"/>
              </w:rPr>
              <w:t xml:space="preserve">În data de 29.04.2021, a </w:t>
            </w:r>
            <w:r w:rsidR="0050563E" w:rsidRPr="00E57CC3">
              <w:rPr>
                <w:shd w:val="clear" w:color="auto" w:fill="FFFFFF"/>
              </w:rPr>
              <w:t xml:space="preserve">fost </w:t>
            </w:r>
            <w:r w:rsidRPr="00E57CC3">
              <w:rPr>
                <w:shd w:val="clear" w:color="auto" w:fill="FFFFFF"/>
              </w:rPr>
              <w:t>publicat</w:t>
            </w:r>
            <w:r w:rsidR="0050563E" w:rsidRPr="00E57CC3">
              <w:rPr>
                <w:shd w:val="clear" w:color="auto" w:fill="FFFFFF"/>
              </w:rPr>
              <w:t>ă</w:t>
            </w:r>
            <w:r w:rsidRPr="00E57CC3">
              <w:rPr>
                <w:shd w:val="clear" w:color="auto" w:fill="FFFFFF"/>
              </w:rPr>
              <w:t xml:space="preserve"> ”Comunicarea </w:t>
            </w:r>
            <w:r w:rsidR="0050563E" w:rsidRPr="00E57CC3">
              <w:rPr>
                <w:shd w:val="clear" w:color="auto" w:fill="FFFFFF"/>
              </w:rPr>
              <w:t xml:space="preserve">Comisiei - </w:t>
            </w:r>
            <w:r w:rsidRPr="00E57CC3">
              <w:rPr>
                <w:shd w:val="clear" w:color="auto" w:fill="FFFFFF"/>
              </w:rPr>
              <w:t>Orientări privind ajutoarele de stat regionale</w:t>
            </w:r>
            <w:r w:rsidRPr="00E57CC3">
              <w:rPr>
                <w:shd w:val="clear" w:color="auto" w:fill="FFFFFF"/>
                <w:lang w:val="en-US"/>
              </w:rPr>
              <w:t>”</w:t>
            </w:r>
            <w:r w:rsidRPr="00E57CC3">
              <w:rPr>
                <w:shd w:val="clear" w:color="auto" w:fill="FFFFFF"/>
              </w:rPr>
              <w:t xml:space="preserve"> (</w:t>
            </w:r>
            <w:r w:rsidRPr="00E57CC3">
              <w:rPr>
                <w:i/>
                <w:shd w:val="clear" w:color="auto" w:fill="FFFFFF"/>
              </w:rPr>
              <w:t>Orientări</w:t>
            </w:r>
            <w:r w:rsidRPr="00E57CC3">
              <w:rPr>
                <w:shd w:val="clear" w:color="auto" w:fill="FFFFFF"/>
              </w:rPr>
              <w:t xml:space="preserve">), care vor fi aplicabile pentru perioada 1 ianuarie </w:t>
            </w:r>
            <w:r w:rsidR="00FE0332" w:rsidRPr="00E57CC3">
              <w:rPr>
                <w:shd w:val="clear" w:color="auto" w:fill="FFFFFF"/>
              </w:rPr>
              <w:t xml:space="preserve">2022 </w:t>
            </w:r>
            <w:r w:rsidRPr="00E57CC3">
              <w:rPr>
                <w:shd w:val="clear" w:color="auto" w:fill="FFFFFF"/>
              </w:rPr>
              <w:t>- 31 decembrie 2027.</w:t>
            </w:r>
          </w:p>
          <w:p w:rsidR="007038B5" w:rsidRPr="00E57CC3" w:rsidRDefault="007038B5" w:rsidP="007038B5">
            <w:pPr>
              <w:jc w:val="both"/>
            </w:pPr>
            <w:r w:rsidRPr="00E57CC3">
              <w:rPr>
                <w:bCs/>
              </w:rPr>
              <w:t xml:space="preserve">Pentru a putea acorda ajutoare regionale întreprinderilor în perioada 2022-2027, România trebuie să realizeze o nouă hartă a ajutoarelor regionale, care </w:t>
            </w:r>
            <w:r w:rsidRPr="00E57CC3">
              <w:rPr>
                <w:bCs/>
              </w:rPr>
              <w:lastRenderedPageBreak/>
              <w:t xml:space="preserve">trebuie notificată Comisiei Europene și aprobată de aceasta potrivit punctului 150 din </w:t>
            </w:r>
            <w:r w:rsidRPr="00E57CC3">
              <w:rPr>
                <w:bCs/>
                <w:i/>
              </w:rPr>
              <w:t>Orientări</w:t>
            </w:r>
            <w:r w:rsidRPr="00E57CC3">
              <w:rPr>
                <w:bCs/>
              </w:rPr>
              <w:t>.</w:t>
            </w:r>
          </w:p>
          <w:p w:rsidR="007038B5" w:rsidRPr="00E57CC3" w:rsidRDefault="007038B5" w:rsidP="007038B5">
            <w:pPr>
              <w:jc w:val="both"/>
            </w:pPr>
            <w:r w:rsidRPr="00E57CC3">
              <w:t xml:space="preserve">Notificarea noii hărţi regionale presupune informarea oficială a Comisiei Europene asupra iniţierii de către autorităţile române a unui proiect de act normativ care stabileşte atât categoria de zonă în care se încadrează fiecare regiune de dezvoltare din România, eligibilă pentru acordarea de ajutoare de stat regionale, cât şi intensităţile maxime ale ajutorului de stat care poate fi acordat în conformitate cu prevederile Capitolului 7 din </w:t>
            </w:r>
            <w:r w:rsidRPr="00E57CC3">
              <w:rPr>
                <w:i/>
              </w:rPr>
              <w:t>Orientări</w:t>
            </w:r>
            <w:r w:rsidRPr="00E57CC3">
              <w:t xml:space="preserve">. </w:t>
            </w:r>
          </w:p>
          <w:p w:rsidR="00B43EC8" w:rsidRDefault="007038B5" w:rsidP="007038B5">
            <w:pPr>
              <w:autoSpaceDE w:val="0"/>
              <w:autoSpaceDN w:val="0"/>
              <w:adjustRightInd w:val="0"/>
              <w:jc w:val="both"/>
            </w:pPr>
            <w:r w:rsidRPr="00E57CC3">
              <w:t xml:space="preserve">Astfel, România a notificat către Comisia Europeană harta ajutoarelor regionale aferentă perioadei 2022-2027, aceasta fiind autorizată de forul </w:t>
            </w:r>
            <w:r w:rsidR="0021490E" w:rsidRPr="00E57CC3">
              <w:t>european</w:t>
            </w:r>
            <w:r w:rsidRPr="00E57CC3">
              <w:t xml:space="preserve"> prin Decizia </w:t>
            </w:r>
            <w:r w:rsidR="00B43EC8" w:rsidRPr="00B43EC8">
              <w:rPr>
                <w:color w:val="000000"/>
                <w:bdr w:val="none" w:sz="0" w:space="0" w:color="auto" w:frame="1"/>
                <w:shd w:val="clear" w:color="auto" w:fill="FFFFFF"/>
              </w:rPr>
              <w:t>C (2021) 9750 final/20.12.2021</w:t>
            </w:r>
            <w:r w:rsidRPr="00E57CC3">
              <w:t>C</w:t>
            </w:r>
            <w:r w:rsidR="00B43EC8">
              <w:t>.</w:t>
            </w:r>
          </w:p>
          <w:p w:rsidR="007038B5" w:rsidRPr="00E57CC3" w:rsidRDefault="007038B5" w:rsidP="007038B5">
            <w:pPr>
              <w:autoSpaceDE w:val="0"/>
              <w:autoSpaceDN w:val="0"/>
              <w:adjustRightInd w:val="0"/>
              <w:jc w:val="both"/>
            </w:pPr>
            <w:r w:rsidRPr="00E57CC3">
              <w:t xml:space="preserve">Prezentul act normativ are ca obiect determinarea, în aplicarea prevederilor </w:t>
            </w:r>
            <w:r w:rsidR="00861691" w:rsidRPr="00E57CC3">
              <w:rPr>
                <w:i/>
              </w:rPr>
              <w:t>Orientărilor</w:t>
            </w:r>
            <w:r w:rsidRPr="00E57CC3">
              <w:t xml:space="preserve">, a intensității maxime admise a ajutorului de stat regional pentru investiţii iniţiale, ce poate fi acordat în România pentru perioada 2022-2027 întreprinderilor mari, respectiv mici şi mijlocii, astfel cum sunt definite în reglementările în domeniul ajutorului de stat. </w:t>
            </w:r>
          </w:p>
          <w:p w:rsidR="00EC7566" w:rsidRPr="00E57CC3" w:rsidRDefault="007038B5" w:rsidP="00EC7566">
            <w:pPr>
              <w:jc w:val="both"/>
              <w:rPr>
                <w:i/>
              </w:rPr>
            </w:pPr>
            <w:r w:rsidRPr="00E57CC3">
              <w:t xml:space="preserve">Potrivit </w:t>
            </w:r>
            <w:r w:rsidRPr="00E57CC3">
              <w:rPr>
                <w:i/>
              </w:rPr>
              <w:t>Orientări</w:t>
            </w:r>
            <w:r w:rsidR="00861691" w:rsidRPr="00E57CC3">
              <w:rPr>
                <w:i/>
              </w:rPr>
              <w:t>lor</w:t>
            </w:r>
            <w:r w:rsidR="00861691" w:rsidRPr="00E57CC3">
              <w:t>,</w:t>
            </w:r>
            <w:r w:rsidRPr="00E57CC3">
              <w:t xml:space="preserve"> indicatorul “PIB</w:t>
            </w:r>
            <w:r w:rsidR="00021549" w:rsidRPr="00E57CC3">
              <w:t xml:space="preserve"> pe cap de</w:t>
            </w:r>
            <w:r w:rsidR="0068576A" w:rsidRPr="00E57CC3">
              <w:t xml:space="preserve"> </w:t>
            </w:r>
            <w:r w:rsidRPr="00E57CC3">
              <w:t>locuitor</w:t>
            </w:r>
            <w:r w:rsidR="00BC35A6" w:rsidRPr="00E57CC3">
              <w:t>”</w:t>
            </w:r>
            <w:r w:rsidR="00021549" w:rsidRPr="00E57CC3">
              <w:t>,</w:t>
            </w:r>
            <w:r w:rsidRPr="00E57CC3">
              <w:t xml:space="preserve"> </w:t>
            </w:r>
            <w:r w:rsidR="00021549" w:rsidRPr="00E57CC3">
              <w:t xml:space="preserve">luat în considerare la stabilirea intensității ajutorului de stat, este </w:t>
            </w:r>
            <w:r w:rsidRPr="00E57CC3">
              <w:rPr>
                <w:color w:val="000000"/>
                <w:shd w:val="clear" w:color="auto" w:fill="FFFFFF"/>
              </w:rPr>
              <w:t xml:space="preserve">calculat </w:t>
            </w:r>
            <w:r w:rsidR="00BC35A6" w:rsidRPr="00E57CC3">
              <w:t xml:space="preserve">de Eurostat </w:t>
            </w:r>
            <w:r w:rsidRPr="00E57CC3">
              <w:rPr>
                <w:color w:val="000000"/>
                <w:shd w:val="clear" w:color="auto" w:fill="FFFFFF"/>
              </w:rPr>
              <w:t>în funcție de standardul puterii de cumpărare (UE-27 = 100)</w:t>
            </w:r>
            <w:r w:rsidR="000C2E0A" w:rsidRPr="00E57CC3">
              <w:rPr>
                <w:color w:val="000000"/>
                <w:shd w:val="clear" w:color="auto" w:fill="FFFFFF"/>
              </w:rPr>
              <w:t xml:space="preserve"> </w:t>
            </w:r>
            <w:r w:rsidR="00021549" w:rsidRPr="00E57CC3">
              <w:t>și se bazează pe</w:t>
            </w:r>
            <w:r w:rsidR="00924E7A" w:rsidRPr="00E57CC3">
              <w:t xml:space="preserve"> </w:t>
            </w:r>
            <w:r w:rsidR="00924E7A" w:rsidRPr="00E57CC3">
              <w:rPr>
                <w:color w:val="000000"/>
                <w:shd w:val="clear" w:color="auto" w:fill="FFFFFF"/>
              </w:rPr>
              <w:t>medi</w:t>
            </w:r>
            <w:r w:rsidR="00021549" w:rsidRPr="00E57CC3">
              <w:rPr>
                <w:color w:val="000000"/>
                <w:shd w:val="clear" w:color="auto" w:fill="FFFFFF"/>
              </w:rPr>
              <w:t>a ultimilor 3 ani pentru care sunt disponibile date Eurostat, respectiv</w:t>
            </w:r>
            <w:r w:rsidR="00924E7A" w:rsidRPr="00E57CC3">
              <w:rPr>
                <w:color w:val="000000"/>
                <w:shd w:val="clear" w:color="auto" w:fill="FFFFFF"/>
              </w:rPr>
              <w:t xml:space="preserve"> 2016-2018</w:t>
            </w:r>
            <w:r w:rsidRPr="00E57CC3">
              <w:t>. Astfel, în perioada 1 ianuarie 2022 - 31 decembrie 2022</w:t>
            </w:r>
            <w:r w:rsidR="004F492F" w:rsidRPr="00E57CC3">
              <w:t>,</w:t>
            </w:r>
            <w:r w:rsidRPr="00E57CC3">
              <w:t xml:space="preserve"> ajutoarele regionale vor fi acordate în România cu respectarea intensităţilor prezentate în tabelul de mai jos</w:t>
            </w:r>
            <w:r w:rsidR="004F492F" w:rsidRPr="00E57CC3">
              <w:t>,</w:t>
            </w:r>
            <w:r w:rsidRPr="00E57CC3">
              <w:t xml:space="preserve"> la care pot fi adăugate anumite bonusuri potrivit pct. 186-188 din </w:t>
            </w:r>
            <w:r w:rsidR="004B770E" w:rsidRPr="00E57CC3">
              <w:rPr>
                <w:i/>
              </w:rPr>
              <w:t>Orientări.</w:t>
            </w:r>
          </w:p>
          <w:p w:rsidR="00175B50" w:rsidRPr="00E57CC3" w:rsidRDefault="00175B50" w:rsidP="00EC7566">
            <w:pPr>
              <w:jc w:val="both"/>
              <w:rPr>
                <w:i/>
              </w:rPr>
            </w:pPr>
          </w:p>
          <w:p w:rsidR="004F492F" w:rsidRPr="00E57CC3" w:rsidRDefault="004F492F" w:rsidP="004F492F">
            <w:pPr>
              <w:jc w:val="both"/>
            </w:pPr>
            <w:r w:rsidRPr="00E57CC3">
              <w:t xml:space="preserve">Informaţiile cuprinse în Anexa I – „Acoperirea ajutoarelor regionale de către statele membre pentru fiecare stat membru pentru perioada 2022-2027” la </w:t>
            </w:r>
            <w:r w:rsidRPr="00E57CC3">
              <w:rPr>
                <w:i/>
              </w:rPr>
              <w:t>Orientări</w:t>
            </w:r>
            <w:r w:rsidRPr="00E57CC3">
              <w:t xml:space="preserve"> (PIB pe cap de locuitor), coroborate cu intensităţile maxime admise ale ajutorului de stat stipulate la Capitolul 7 din aceleași </w:t>
            </w:r>
            <w:r w:rsidRPr="00E57CC3">
              <w:rPr>
                <w:i/>
              </w:rPr>
              <w:t>Orientări</w:t>
            </w:r>
            <w:r w:rsidRPr="00E57CC3">
              <w:t>, generează următoarele intensităţi maxime ale ajutoarelor de stat cu obiectiv regional ce pot fi acordate în cele 8 regiuni de dezvoltare ale României, regiuni reglementate prin Legea nr. 315 din 28 iunie 2004 privind dezvoltarea regională în România, cu modificările şi completările ulterioare:</w:t>
            </w:r>
          </w:p>
          <w:p w:rsidR="004F492F" w:rsidRPr="00E57CC3" w:rsidRDefault="004F492F" w:rsidP="00EC7566">
            <w:pPr>
              <w:jc w:val="both"/>
              <w:rPr>
                <w:i/>
              </w:rPr>
            </w:pPr>
          </w:p>
          <w:tbl>
            <w:tblPr>
              <w:tblW w:w="7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958"/>
              <w:gridCol w:w="1505"/>
              <w:gridCol w:w="1755"/>
              <w:gridCol w:w="706"/>
              <w:gridCol w:w="854"/>
              <w:gridCol w:w="987"/>
              <w:gridCol w:w="714"/>
            </w:tblGrid>
            <w:tr w:rsidR="00F84D06" w:rsidRPr="00E57CC3" w:rsidTr="00230A78">
              <w:tc>
                <w:tcPr>
                  <w:tcW w:w="399" w:type="dxa"/>
                  <w:shd w:val="clear" w:color="auto" w:fill="auto"/>
                </w:tcPr>
                <w:p w:rsidR="0078151D" w:rsidRPr="00E57CC3" w:rsidRDefault="0078151D" w:rsidP="00C92CAF">
                  <w:pPr>
                    <w:ind w:left="-113" w:right="-108"/>
                    <w:jc w:val="center"/>
                    <w:rPr>
                      <w:b/>
                      <w:sz w:val="18"/>
                      <w:szCs w:val="18"/>
                    </w:rPr>
                  </w:pPr>
                  <w:r w:rsidRPr="00E57CC3">
                    <w:rPr>
                      <w:b/>
                      <w:sz w:val="18"/>
                      <w:szCs w:val="18"/>
                    </w:rPr>
                    <w:t xml:space="preserve">Nr. </w:t>
                  </w:r>
                </w:p>
                <w:p w:rsidR="0078151D" w:rsidRPr="00E57CC3" w:rsidRDefault="0078151D" w:rsidP="00C92CAF">
                  <w:pPr>
                    <w:ind w:left="-113" w:right="-108"/>
                    <w:jc w:val="center"/>
                    <w:rPr>
                      <w:b/>
                      <w:sz w:val="18"/>
                      <w:szCs w:val="18"/>
                    </w:rPr>
                  </w:pPr>
                  <w:r w:rsidRPr="00E57CC3">
                    <w:rPr>
                      <w:b/>
                      <w:sz w:val="18"/>
                      <w:szCs w:val="18"/>
                    </w:rPr>
                    <w:t>crt.</w:t>
                  </w:r>
                </w:p>
              </w:tc>
              <w:tc>
                <w:tcPr>
                  <w:tcW w:w="958" w:type="dxa"/>
                  <w:shd w:val="clear" w:color="auto" w:fill="auto"/>
                </w:tcPr>
                <w:p w:rsidR="0078151D" w:rsidRPr="00E57CC3" w:rsidRDefault="0078151D" w:rsidP="00C92CAF">
                  <w:pPr>
                    <w:ind w:left="-108" w:right="-108"/>
                    <w:jc w:val="center"/>
                    <w:rPr>
                      <w:b/>
                      <w:sz w:val="18"/>
                      <w:szCs w:val="18"/>
                    </w:rPr>
                  </w:pPr>
                  <w:r w:rsidRPr="00E57CC3">
                    <w:rPr>
                      <w:b/>
                      <w:sz w:val="18"/>
                      <w:szCs w:val="18"/>
                    </w:rPr>
                    <w:t>Zonă identificată (</w:t>
                  </w:r>
                  <w:r w:rsidRPr="00E57CC3">
                    <w:rPr>
                      <w:b/>
                      <w:i/>
                      <w:sz w:val="18"/>
                      <w:szCs w:val="18"/>
                    </w:rPr>
                    <w:t>cf. pct. 179, 182 din Orientări)</w:t>
                  </w:r>
                  <w:r w:rsidRPr="00E57CC3">
                    <w:rPr>
                      <w:b/>
                      <w:sz w:val="18"/>
                      <w:szCs w:val="18"/>
                    </w:rPr>
                    <w:t xml:space="preserve"> </w:t>
                  </w:r>
                </w:p>
              </w:tc>
              <w:tc>
                <w:tcPr>
                  <w:tcW w:w="1505" w:type="dxa"/>
                  <w:shd w:val="clear" w:color="auto" w:fill="auto"/>
                </w:tcPr>
                <w:p w:rsidR="0078151D" w:rsidRPr="00E57CC3" w:rsidRDefault="0078151D" w:rsidP="00C92CAF">
                  <w:pPr>
                    <w:jc w:val="center"/>
                    <w:rPr>
                      <w:b/>
                      <w:sz w:val="18"/>
                      <w:szCs w:val="18"/>
                    </w:rPr>
                  </w:pPr>
                </w:p>
                <w:p w:rsidR="0078151D" w:rsidRPr="00E57CC3" w:rsidRDefault="0078151D" w:rsidP="00C92CAF">
                  <w:pPr>
                    <w:jc w:val="center"/>
                    <w:rPr>
                      <w:b/>
                      <w:sz w:val="18"/>
                      <w:szCs w:val="18"/>
                    </w:rPr>
                  </w:pPr>
                  <w:r w:rsidRPr="00E57CC3">
                    <w:rPr>
                      <w:b/>
                      <w:sz w:val="18"/>
                      <w:szCs w:val="18"/>
                    </w:rPr>
                    <w:t xml:space="preserve">Regiuni NUTS </w:t>
                  </w:r>
                </w:p>
                <w:p w:rsidR="0078151D" w:rsidRPr="00E57CC3" w:rsidRDefault="0078151D" w:rsidP="00C92CAF">
                  <w:pPr>
                    <w:jc w:val="center"/>
                    <w:rPr>
                      <w:b/>
                      <w:i/>
                      <w:sz w:val="18"/>
                      <w:szCs w:val="18"/>
                    </w:rPr>
                  </w:pPr>
                </w:p>
                <w:p w:rsidR="0078151D" w:rsidRPr="00E57CC3" w:rsidRDefault="0078151D" w:rsidP="00C92CAF">
                  <w:pPr>
                    <w:jc w:val="center"/>
                    <w:rPr>
                      <w:b/>
                      <w:sz w:val="18"/>
                      <w:szCs w:val="18"/>
                    </w:rPr>
                  </w:pPr>
                  <w:r w:rsidRPr="00E57CC3">
                    <w:rPr>
                      <w:b/>
                      <w:i/>
                      <w:sz w:val="18"/>
                      <w:szCs w:val="18"/>
                    </w:rPr>
                    <w:t>(cf. Anexei 1  din Orientări)</w:t>
                  </w:r>
                </w:p>
              </w:tc>
              <w:tc>
                <w:tcPr>
                  <w:tcW w:w="1755" w:type="dxa"/>
                  <w:shd w:val="clear" w:color="auto" w:fill="auto"/>
                </w:tcPr>
                <w:p w:rsidR="0078151D" w:rsidRPr="00E57CC3" w:rsidRDefault="0078151D" w:rsidP="00C92CAF">
                  <w:pPr>
                    <w:jc w:val="center"/>
                    <w:rPr>
                      <w:b/>
                      <w:sz w:val="18"/>
                      <w:szCs w:val="18"/>
                    </w:rPr>
                  </w:pPr>
                  <w:r w:rsidRPr="00E57CC3">
                    <w:rPr>
                      <w:b/>
                      <w:sz w:val="18"/>
                      <w:szCs w:val="18"/>
                    </w:rPr>
                    <w:t xml:space="preserve">Populaţie </w:t>
                  </w:r>
                </w:p>
                <w:p w:rsidR="0078151D" w:rsidRPr="00E57CC3" w:rsidRDefault="0078151D" w:rsidP="00C92CAF">
                  <w:pPr>
                    <w:jc w:val="center"/>
                    <w:rPr>
                      <w:b/>
                      <w:i/>
                      <w:sz w:val="18"/>
                      <w:szCs w:val="18"/>
                    </w:rPr>
                  </w:pPr>
                  <w:r w:rsidRPr="00E57CC3">
                    <w:rPr>
                      <w:b/>
                      <w:i/>
                      <w:sz w:val="18"/>
                      <w:szCs w:val="18"/>
                    </w:rPr>
                    <w:t>(cf. datelor furnizate de Eurostat pentru anul 2020)</w:t>
                  </w:r>
                </w:p>
                <w:p w:rsidR="0078151D" w:rsidRPr="00E57CC3" w:rsidRDefault="0078151D" w:rsidP="00C92CAF">
                  <w:pPr>
                    <w:jc w:val="center"/>
                    <w:rPr>
                      <w:b/>
                      <w:i/>
                      <w:sz w:val="18"/>
                      <w:szCs w:val="18"/>
                    </w:rPr>
                  </w:pPr>
                </w:p>
                <w:p w:rsidR="0078151D" w:rsidRPr="00E57CC3" w:rsidRDefault="0078151D" w:rsidP="00C92CAF">
                  <w:pPr>
                    <w:ind w:left="-108" w:right="-108"/>
                    <w:jc w:val="center"/>
                    <w:rPr>
                      <w:b/>
                      <w:sz w:val="18"/>
                      <w:szCs w:val="18"/>
                    </w:rPr>
                  </w:pPr>
                  <w:r w:rsidRPr="00E57CC3">
                    <w:rPr>
                      <w:b/>
                      <w:sz w:val="18"/>
                      <w:szCs w:val="18"/>
                    </w:rPr>
                    <w:t xml:space="preserve">PIB pe cap de locuitor </w:t>
                  </w:r>
                </w:p>
                <w:p w:rsidR="0078151D" w:rsidRPr="00E57CC3" w:rsidRDefault="0078151D" w:rsidP="00C92CAF">
                  <w:pPr>
                    <w:ind w:left="-108" w:right="-108"/>
                    <w:jc w:val="center"/>
                    <w:rPr>
                      <w:b/>
                      <w:i/>
                      <w:sz w:val="18"/>
                      <w:szCs w:val="18"/>
                    </w:rPr>
                  </w:pPr>
                  <w:r w:rsidRPr="00E57CC3">
                    <w:rPr>
                      <w:b/>
                      <w:i/>
                      <w:sz w:val="18"/>
                      <w:szCs w:val="18"/>
                    </w:rPr>
                    <w:t>(cf. datelor comunicate de Eurostat pentru perioada 2016-2018)</w:t>
                  </w:r>
                </w:p>
              </w:tc>
              <w:tc>
                <w:tcPr>
                  <w:tcW w:w="706" w:type="dxa"/>
                </w:tcPr>
                <w:p w:rsidR="0078151D" w:rsidRPr="00E57CC3" w:rsidRDefault="0078151D" w:rsidP="00C92CAF">
                  <w:pPr>
                    <w:jc w:val="center"/>
                    <w:rPr>
                      <w:b/>
                      <w:sz w:val="18"/>
                      <w:szCs w:val="18"/>
                    </w:rPr>
                  </w:pPr>
                  <w:r w:rsidRPr="00E57CC3">
                    <w:rPr>
                      <w:b/>
                      <w:sz w:val="18"/>
                      <w:szCs w:val="18"/>
                    </w:rPr>
                    <w:t>Procentaj al populației naționale</w:t>
                  </w:r>
                </w:p>
              </w:tc>
              <w:tc>
                <w:tcPr>
                  <w:tcW w:w="2555" w:type="dxa"/>
                  <w:gridSpan w:val="3"/>
                  <w:shd w:val="clear" w:color="auto" w:fill="auto"/>
                </w:tcPr>
                <w:p w:rsidR="0078151D" w:rsidRPr="00E57CC3" w:rsidRDefault="0078151D" w:rsidP="00C92CAF">
                  <w:pPr>
                    <w:jc w:val="center"/>
                    <w:rPr>
                      <w:b/>
                      <w:sz w:val="18"/>
                      <w:szCs w:val="18"/>
                    </w:rPr>
                  </w:pPr>
                  <w:r w:rsidRPr="00E57CC3">
                    <w:rPr>
                      <w:b/>
                      <w:sz w:val="18"/>
                      <w:szCs w:val="18"/>
                    </w:rPr>
                    <w:t xml:space="preserve">Intensitate maximă </w:t>
                  </w:r>
                </w:p>
                <w:p w:rsidR="0078151D" w:rsidRPr="00E57CC3" w:rsidRDefault="0078151D" w:rsidP="00C92CAF">
                  <w:pPr>
                    <w:jc w:val="center"/>
                    <w:rPr>
                      <w:b/>
                      <w:sz w:val="18"/>
                      <w:szCs w:val="18"/>
                    </w:rPr>
                  </w:pPr>
                  <w:r w:rsidRPr="00E57CC3">
                    <w:rPr>
                      <w:b/>
                      <w:sz w:val="18"/>
                      <w:szCs w:val="18"/>
                    </w:rPr>
                    <w:t>ajutor de stat</w:t>
                  </w:r>
                </w:p>
                <w:p w:rsidR="0078151D" w:rsidRPr="00E57CC3" w:rsidRDefault="0078151D" w:rsidP="00C92CAF">
                  <w:pPr>
                    <w:jc w:val="center"/>
                    <w:rPr>
                      <w:b/>
                      <w:sz w:val="18"/>
                      <w:szCs w:val="18"/>
                    </w:rPr>
                  </w:pPr>
                  <w:r w:rsidRPr="00E57CC3">
                    <w:rPr>
                      <w:b/>
                      <w:sz w:val="18"/>
                      <w:szCs w:val="18"/>
                    </w:rPr>
                    <w:t>01.01.</w:t>
                  </w:r>
                  <w:r w:rsidRPr="00E57CC3">
                    <w:rPr>
                      <w:b/>
                      <w:sz w:val="18"/>
                      <w:szCs w:val="18"/>
                      <w:u w:val="single"/>
                    </w:rPr>
                    <w:t>2022</w:t>
                  </w:r>
                  <w:r w:rsidRPr="00E57CC3">
                    <w:rPr>
                      <w:b/>
                      <w:sz w:val="18"/>
                      <w:szCs w:val="18"/>
                    </w:rPr>
                    <w:t>-31.12.</w:t>
                  </w:r>
                  <w:r w:rsidRPr="00E57CC3">
                    <w:rPr>
                      <w:b/>
                      <w:sz w:val="18"/>
                      <w:szCs w:val="18"/>
                      <w:u w:val="single"/>
                    </w:rPr>
                    <w:t>2027</w:t>
                  </w:r>
                </w:p>
                <w:p w:rsidR="0078151D" w:rsidRPr="00E57CC3" w:rsidRDefault="0078151D" w:rsidP="00C92CAF">
                  <w:pPr>
                    <w:jc w:val="center"/>
                    <w:rPr>
                      <w:b/>
                      <w:sz w:val="18"/>
                      <w:szCs w:val="18"/>
                    </w:rPr>
                  </w:pPr>
                  <w:r w:rsidRPr="00E57CC3">
                    <w:rPr>
                      <w:b/>
                      <w:sz w:val="18"/>
                      <w:szCs w:val="18"/>
                    </w:rPr>
                    <w:t>(</w:t>
                  </w:r>
                  <w:r w:rsidRPr="00E57CC3">
                    <w:rPr>
                      <w:b/>
                      <w:i/>
                      <w:sz w:val="18"/>
                      <w:szCs w:val="18"/>
                    </w:rPr>
                    <w:t>cf. pct. 179, 184, 186, 187 din Orientări)</w:t>
                  </w:r>
                </w:p>
                <w:p w:rsidR="0078151D" w:rsidRPr="00E57CC3" w:rsidRDefault="0078151D" w:rsidP="00C92CAF">
                  <w:pPr>
                    <w:spacing w:line="480" w:lineRule="auto"/>
                    <w:jc w:val="center"/>
                    <w:rPr>
                      <w:b/>
                      <w:sz w:val="18"/>
                      <w:szCs w:val="18"/>
                    </w:rPr>
                  </w:pPr>
                </w:p>
                <w:p w:rsidR="0078151D" w:rsidRPr="00E57CC3" w:rsidRDefault="0078151D" w:rsidP="00C92CAF">
                  <w:pPr>
                    <w:jc w:val="center"/>
                    <w:rPr>
                      <w:b/>
                      <w:sz w:val="18"/>
                      <w:szCs w:val="18"/>
                    </w:rPr>
                  </w:pPr>
                  <w:r w:rsidRPr="00E57CC3">
                    <w:rPr>
                      <w:b/>
                      <w:sz w:val="18"/>
                      <w:szCs w:val="18"/>
                    </w:rPr>
                    <w:t>Tip întreprindere</w:t>
                  </w:r>
                </w:p>
              </w:tc>
            </w:tr>
            <w:tr w:rsidR="00471A9B" w:rsidRPr="00E57CC3" w:rsidTr="00230A78">
              <w:tc>
                <w:tcPr>
                  <w:tcW w:w="399" w:type="dxa"/>
                  <w:shd w:val="clear" w:color="auto" w:fill="auto"/>
                </w:tcPr>
                <w:p w:rsidR="0078151D" w:rsidRPr="00E57CC3" w:rsidRDefault="0078151D" w:rsidP="00C92CAF">
                  <w:pPr>
                    <w:jc w:val="center"/>
                    <w:rPr>
                      <w:sz w:val="18"/>
                      <w:szCs w:val="18"/>
                    </w:rPr>
                  </w:pPr>
                </w:p>
              </w:tc>
              <w:tc>
                <w:tcPr>
                  <w:tcW w:w="958" w:type="dxa"/>
                  <w:shd w:val="clear" w:color="auto" w:fill="auto"/>
                </w:tcPr>
                <w:p w:rsidR="0078151D" w:rsidRPr="00E57CC3" w:rsidRDefault="0078151D" w:rsidP="00C92CAF">
                  <w:pPr>
                    <w:jc w:val="center"/>
                    <w:rPr>
                      <w:sz w:val="18"/>
                      <w:szCs w:val="18"/>
                    </w:rPr>
                  </w:pPr>
                </w:p>
              </w:tc>
              <w:tc>
                <w:tcPr>
                  <w:tcW w:w="1505" w:type="dxa"/>
                  <w:shd w:val="clear" w:color="auto" w:fill="auto"/>
                </w:tcPr>
                <w:p w:rsidR="0078151D" w:rsidRPr="00E57CC3" w:rsidRDefault="0078151D" w:rsidP="00C92CAF">
                  <w:pPr>
                    <w:jc w:val="center"/>
                    <w:rPr>
                      <w:i/>
                      <w:sz w:val="18"/>
                      <w:szCs w:val="18"/>
                    </w:rPr>
                  </w:pPr>
                </w:p>
              </w:tc>
              <w:tc>
                <w:tcPr>
                  <w:tcW w:w="1755" w:type="dxa"/>
                  <w:shd w:val="clear" w:color="auto" w:fill="auto"/>
                </w:tcPr>
                <w:p w:rsidR="0078151D" w:rsidRPr="00E57CC3" w:rsidRDefault="0078151D" w:rsidP="00C92CAF">
                  <w:pPr>
                    <w:rPr>
                      <w:i/>
                      <w:sz w:val="18"/>
                      <w:szCs w:val="18"/>
                    </w:rPr>
                  </w:pPr>
                  <w:r w:rsidRPr="00E57CC3">
                    <w:rPr>
                      <w:i/>
                      <w:sz w:val="18"/>
                      <w:szCs w:val="18"/>
                    </w:rPr>
                    <w:t xml:space="preserve">Populaţie    /   PIB </w:t>
                  </w:r>
                </w:p>
              </w:tc>
              <w:tc>
                <w:tcPr>
                  <w:tcW w:w="706" w:type="dxa"/>
                </w:tcPr>
                <w:p w:rsidR="0078151D" w:rsidRPr="00E57CC3" w:rsidRDefault="0078151D" w:rsidP="00C92CAF">
                  <w:pPr>
                    <w:jc w:val="center"/>
                    <w:rPr>
                      <w:b/>
                      <w:sz w:val="18"/>
                      <w:szCs w:val="18"/>
                    </w:rPr>
                  </w:pPr>
                </w:p>
              </w:tc>
              <w:tc>
                <w:tcPr>
                  <w:tcW w:w="854" w:type="dxa"/>
                  <w:shd w:val="clear" w:color="auto" w:fill="auto"/>
                </w:tcPr>
                <w:p w:rsidR="0078151D" w:rsidRPr="00E57CC3" w:rsidRDefault="0078151D" w:rsidP="00C92CAF">
                  <w:pPr>
                    <w:jc w:val="center"/>
                    <w:rPr>
                      <w:b/>
                      <w:sz w:val="18"/>
                      <w:szCs w:val="18"/>
                    </w:rPr>
                  </w:pPr>
                  <w:r w:rsidRPr="00E57CC3">
                    <w:rPr>
                      <w:b/>
                      <w:sz w:val="18"/>
                      <w:szCs w:val="18"/>
                    </w:rPr>
                    <w:t>Mare</w:t>
                  </w:r>
                </w:p>
              </w:tc>
              <w:tc>
                <w:tcPr>
                  <w:tcW w:w="987" w:type="dxa"/>
                  <w:shd w:val="clear" w:color="auto" w:fill="auto"/>
                </w:tcPr>
                <w:p w:rsidR="0078151D" w:rsidRPr="00E57CC3" w:rsidRDefault="0078151D" w:rsidP="00C92CAF">
                  <w:pPr>
                    <w:jc w:val="center"/>
                    <w:rPr>
                      <w:b/>
                      <w:sz w:val="18"/>
                      <w:szCs w:val="18"/>
                    </w:rPr>
                  </w:pPr>
                  <w:r w:rsidRPr="00E57CC3">
                    <w:rPr>
                      <w:b/>
                      <w:sz w:val="18"/>
                      <w:szCs w:val="18"/>
                    </w:rPr>
                    <w:t>Mijlocie</w:t>
                  </w:r>
                </w:p>
              </w:tc>
              <w:tc>
                <w:tcPr>
                  <w:tcW w:w="714" w:type="dxa"/>
                  <w:shd w:val="clear" w:color="auto" w:fill="auto"/>
                </w:tcPr>
                <w:p w:rsidR="0078151D" w:rsidRPr="00E57CC3" w:rsidRDefault="0078151D" w:rsidP="00C92CAF">
                  <w:pPr>
                    <w:jc w:val="center"/>
                    <w:rPr>
                      <w:b/>
                      <w:sz w:val="18"/>
                      <w:szCs w:val="18"/>
                    </w:rPr>
                  </w:pPr>
                  <w:r w:rsidRPr="00E57CC3">
                    <w:rPr>
                      <w:b/>
                      <w:sz w:val="18"/>
                      <w:szCs w:val="18"/>
                    </w:rPr>
                    <w:t>Mică</w:t>
                  </w:r>
                </w:p>
              </w:tc>
            </w:tr>
            <w:tr w:rsidR="00471A9B" w:rsidRPr="00E57CC3" w:rsidTr="00230A78">
              <w:tc>
                <w:tcPr>
                  <w:tcW w:w="399" w:type="dxa"/>
                  <w:shd w:val="clear" w:color="auto" w:fill="auto"/>
                </w:tcPr>
                <w:p w:rsidR="0078151D" w:rsidRPr="00E57CC3" w:rsidRDefault="0078151D" w:rsidP="0078151D">
                  <w:pPr>
                    <w:jc w:val="center"/>
                    <w:rPr>
                      <w:sz w:val="18"/>
                      <w:szCs w:val="18"/>
                    </w:rPr>
                  </w:pPr>
                  <w:r w:rsidRPr="00E57CC3">
                    <w:rPr>
                      <w:sz w:val="18"/>
                      <w:szCs w:val="18"/>
                    </w:rPr>
                    <w:t>1.</w:t>
                  </w:r>
                </w:p>
              </w:tc>
              <w:tc>
                <w:tcPr>
                  <w:tcW w:w="958" w:type="dxa"/>
                  <w:vMerge w:val="restart"/>
                  <w:shd w:val="clear" w:color="auto" w:fill="auto"/>
                  <w:vAlign w:val="center"/>
                </w:tcPr>
                <w:p w:rsidR="0078151D" w:rsidRPr="00230A78" w:rsidRDefault="0078151D" w:rsidP="0078151D">
                  <w:pPr>
                    <w:jc w:val="center"/>
                    <w:rPr>
                      <w:b/>
                      <w:sz w:val="18"/>
                      <w:szCs w:val="18"/>
                    </w:rPr>
                  </w:pPr>
                  <w:r w:rsidRPr="00230A78">
                    <w:rPr>
                      <w:b/>
                      <w:sz w:val="18"/>
                      <w:szCs w:val="18"/>
                    </w:rPr>
                    <w:t>Zone „a”</w:t>
                  </w:r>
                </w:p>
              </w:tc>
              <w:tc>
                <w:tcPr>
                  <w:tcW w:w="1505" w:type="dxa"/>
                  <w:shd w:val="clear" w:color="auto" w:fill="auto"/>
                </w:tcPr>
                <w:p w:rsidR="0078151D" w:rsidRPr="00E57CC3" w:rsidRDefault="0078151D" w:rsidP="0078151D">
                  <w:pPr>
                    <w:rPr>
                      <w:b/>
                      <w:i/>
                      <w:sz w:val="18"/>
                      <w:szCs w:val="18"/>
                    </w:rPr>
                  </w:pPr>
                  <w:r w:rsidRPr="00E57CC3">
                    <w:rPr>
                      <w:b/>
                      <w:i/>
                      <w:sz w:val="18"/>
                      <w:szCs w:val="18"/>
                    </w:rPr>
                    <w:t>RO11 Nord-Vest</w:t>
                  </w:r>
                </w:p>
              </w:tc>
              <w:tc>
                <w:tcPr>
                  <w:tcW w:w="1755" w:type="dxa"/>
                  <w:shd w:val="clear" w:color="auto" w:fill="auto"/>
                </w:tcPr>
                <w:p w:rsidR="0078151D" w:rsidRPr="00E57CC3" w:rsidRDefault="0078151D" w:rsidP="0078151D">
                  <w:pPr>
                    <w:rPr>
                      <w:sz w:val="18"/>
                      <w:szCs w:val="18"/>
                    </w:rPr>
                  </w:pPr>
                  <w:r w:rsidRPr="00E57CC3">
                    <w:rPr>
                      <w:sz w:val="18"/>
                      <w:szCs w:val="18"/>
                    </w:rPr>
                    <w:t>2.547.429   /  58,33</w:t>
                  </w:r>
                </w:p>
              </w:tc>
              <w:tc>
                <w:tcPr>
                  <w:tcW w:w="706" w:type="dxa"/>
                  <w:tcBorders>
                    <w:right w:val="single" w:sz="4" w:space="0" w:color="auto"/>
                  </w:tcBorders>
                </w:tcPr>
                <w:p w:rsidR="0078151D" w:rsidRPr="00E57CC3" w:rsidRDefault="0078151D" w:rsidP="0078151D">
                  <w:pPr>
                    <w:jc w:val="center"/>
                    <w:rPr>
                      <w:sz w:val="18"/>
                      <w:szCs w:val="18"/>
                    </w:rPr>
                  </w:pPr>
                  <w:r w:rsidRPr="00E57CC3">
                    <w:rPr>
                      <w:sz w:val="18"/>
                      <w:szCs w:val="18"/>
                    </w:rPr>
                    <w:t xml:space="preserve">13,13 % </w:t>
                  </w:r>
                </w:p>
              </w:tc>
              <w:tc>
                <w:tcPr>
                  <w:tcW w:w="854" w:type="dxa"/>
                  <w:shd w:val="clear" w:color="auto" w:fill="auto"/>
                  <w:vAlign w:val="center"/>
                </w:tcPr>
                <w:p w:rsidR="0078151D" w:rsidRPr="00E57CC3" w:rsidRDefault="0078151D" w:rsidP="0078151D">
                  <w:pPr>
                    <w:jc w:val="center"/>
                    <w:rPr>
                      <w:sz w:val="18"/>
                      <w:szCs w:val="18"/>
                    </w:rPr>
                  </w:pPr>
                  <w:r w:rsidRPr="00E57CC3">
                    <w:rPr>
                      <w:sz w:val="18"/>
                      <w:szCs w:val="18"/>
                    </w:rPr>
                    <w:t>40%</w:t>
                  </w:r>
                </w:p>
              </w:tc>
              <w:tc>
                <w:tcPr>
                  <w:tcW w:w="987" w:type="dxa"/>
                  <w:shd w:val="clear" w:color="auto" w:fill="auto"/>
                  <w:vAlign w:val="center"/>
                </w:tcPr>
                <w:p w:rsidR="0078151D" w:rsidRPr="00E57CC3" w:rsidRDefault="0078151D" w:rsidP="0078151D">
                  <w:pPr>
                    <w:jc w:val="center"/>
                    <w:rPr>
                      <w:sz w:val="18"/>
                      <w:szCs w:val="18"/>
                    </w:rPr>
                  </w:pPr>
                  <w:r w:rsidRPr="00E57CC3">
                    <w:rPr>
                      <w:sz w:val="18"/>
                      <w:szCs w:val="18"/>
                    </w:rPr>
                    <w:t>50%</w:t>
                  </w:r>
                </w:p>
              </w:tc>
              <w:tc>
                <w:tcPr>
                  <w:tcW w:w="714" w:type="dxa"/>
                  <w:shd w:val="clear" w:color="auto" w:fill="auto"/>
                  <w:vAlign w:val="center"/>
                </w:tcPr>
                <w:p w:rsidR="0078151D" w:rsidRPr="00E57CC3" w:rsidRDefault="0078151D" w:rsidP="0078151D">
                  <w:pPr>
                    <w:jc w:val="center"/>
                    <w:rPr>
                      <w:sz w:val="18"/>
                      <w:szCs w:val="18"/>
                    </w:rPr>
                  </w:pPr>
                  <w:r w:rsidRPr="00E57CC3">
                    <w:rPr>
                      <w:sz w:val="18"/>
                      <w:szCs w:val="18"/>
                    </w:rPr>
                    <w:t>60%</w:t>
                  </w:r>
                </w:p>
              </w:tc>
            </w:tr>
            <w:tr w:rsidR="00471A9B" w:rsidRPr="00E57CC3" w:rsidTr="00230A78">
              <w:tc>
                <w:tcPr>
                  <w:tcW w:w="399" w:type="dxa"/>
                  <w:shd w:val="clear" w:color="auto" w:fill="auto"/>
                </w:tcPr>
                <w:p w:rsidR="0078151D" w:rsidRPr="00E57CC3" w:rsidRDefault="0078151D" w:rsidP="0078151D">
                  <w:pPr>
                    <w:jc w:val="center"/>
                    <w:rPr>
                      <w:sz w:val="18"/>
                      <w:szCs w:val="18"/>
                    </w:rPr>
                  </w:pPr>
                  <w:r w:rsidRPr="00E57CC3">
                    <w:rPr>
                      <w:sz w:val="18"/>
                      <w:szCs w:val="18"/>
                    </w:rPr>
                    <w:t>2.</w:t>
                  </w:r>
                </w:p>
              </w:tc>
              <w:tc>
                <w:tcPr>
                  <w:tcW w:w="958" w:type="dxa"/>
                  <w:vMerge/>
                  <w:shd w:val="clear" w:color="auto" w:fill="auto"/>
                </w:tcPr>
                <w:p w:rsidR="0078151D" w:rsidRPr="00E57CC3" w:rsidRDefault="0078151D" w:rsidP="0078151D">
                  <w:pPr>
                    <w:jc w:val="both"/>
                    <w:rPr>
                      <w:sz w:val="18"/>
                      <w:szCs w:val="18"/>
                    </w:rPr>
                  </w:pPr>
                </w:p>
              </w:tc>
              <w:tc>
                <w:tcPr>
                  <w:tcW w:w="1505" w:type="dxa"/>
                  <w:shd w:val="clear" w:color="auto" w:fill="auto"/>
                </w:tcPr>
                <w:p w:rsidR="0078151D" w:rsidRPr="00E57CC3" w:rsidRDefault="0078151D" w:rsidP="0078151D">
                  <w:pPr>
                    <w:rPr>
                      <w:b/>
                      <w:i/>
                      <w:sz w:val="18"/>
                      <w:szCs w:val="18"/>
                    </w:rPr>
                  </w:pPr>
                  <w:r w:rsidRPr="00E57CC3">
                    <w:rPr>
                      <w:b/>
                      <w:i/>
                      <w:sz w:val="18"/>
                      <w:szCs w:val="18"/>
                    </w:rPr>
                    <w:t>RO12 Centru</w:t>
                  </w:r>
                </w:p>
              </w:tc>
              <w:tc>
                <w:tcPr>
                  <w:tcW w:w="1755" w:type="dxa"/>
                  <w:shd w:val="clear" w:color="auto" w:fill="auto"/>
                </w:tcPr>
                <w:p w:rsidR="0078151D" w:rsidRPr="00E57CC3" w:rsidRDefault="0078151D" w:rsidP="0078151D">
                  <w:pPr>
                    <w:rPr>
                      <w:sz w:val="18"/>
                      <w:szCs w:val="18"/>
                    </w:rPr>
                  </w:pPr>
                  <w:r w:rsidRPr="00E57CC3">
                    <w:rPr>
                      <w:sz w:val="18"/>
                      <w:szCs w:val="18"/>
                    </w:rPr>
                    <w:t>2.314.826   /   60,00</w:t>
                  </w:r>
                </w:p>
              </w:tc>
              <w:tc>
                <w:tcPr>
                  <w:tcW w:w="706" w:type="dxa"/>
                  <w:tcBorders>
                    <w:right w:val="single" w:sz="4" w:space="0" w:color="auto"/>
                  </w:tcBorders>
                </w:tcPr>
                <w:p w:rsidR="0078151D" w:rsidRPr="00E57CC3" w:rsidRDefault="0078151D" w:rsidP="0078151D">
                  <w:pPr>
                    <w:jc w:val="center"/>
                    <w:rPr>
                      <w:sz w:val="18"/>
                      <w:szCs w:val="18"/>
                    </w:rPr>
                  </w:pPr>
                  <w:r w:rsidRPr="00E57CC3">
                    <w:rPr>
                      <w:sz w:val="18"/>
                      <w:szCs w:val="18"/>
                    </w:rPr>
                    <w:t xml:space="preserve">11,93 % </w:t>
                  </w:r>
                </w:p>
              </w:tc>
              <w:tc>
                <w:tcPr>
                  <w:tcW w:w="854" w:type="dxa"/>
                  <w:shd w:val="clear" w:color="auto" w:fill="auto"/>
                  <w:vAlign w:val="center"/>
                </w:tcPr>
                <w:p w:rsidR="0078151D" w:rsidRPr="00E57CC3" w:rsidRDefault="0078151D" w:rsidP="0078151D">
                  <w:pPr>
                    <w:jc w:val="center"/>
                    <w:rPr>
                      <w:sz w:val="18"/>
                      <w:szCs w:val="18"/>
                    </w:rPr>
                  </w:pPr>
                  <w:r w:rsidRPr="00E57CC3">
                    <w:rPr>
                      <w:sz w:val="18"/>
                      <w:szCs w:val="18"/>
                    </w:rPr>
                    <w:t>40%</w:t>
                  </w:r>
                </w:p>
              </w:tc>
              <w:tc>
                <w:tcPr>
                  <w:tcW w:w="987" w:type="dxa"/>
                  <w:shd w:val="clear" w:color="auto" w:fill="auto"/>
                  <w:vAlign w:val="center"/>
                </w:tcPr>
                <w:p w:rsidR="0078151D" w:rsidRPr="00E57CC3" w:rsidRDefault="0078151D" w:rsidP="0078151D">
                  <w:pPr>
                    <w:jc w:val="center"/>
                    <w:rPr>
                      <w:sz w:val="18"/>
                      <w:szCs w:val="18"/>
                    </w:rPr>
                  </w:pPr>
                  <w:r w:rsidRPr="00E57CC3">
                    <w:rPr>
                      <w:sz w:val="18"/>
                      <w:szCs w:val="18"/>
                    </w:rPr>
                    <w:t>50%</w:t>
                  </w:r>
                </w:p>
              </w:tc>
              <w:tc>
                <w:tcPr>
                  <w:tcW w:w="714" w:type="dxa"/>
                  <w:shd w:val="clear" w:color="auto" w:fill="auto"/>
                  <w:vAlign w:val="center"/>
                </w:tcPr>
                <w:p w:rsidR="0078151D" w:rsidRPr="00E57CC3" w:rsidRDefault="0078151D" w:rsidP="0078151D">
                  <w:pPr>
                    <w:jc w:val="center"/>
                    <w:rPr>
                      <w:sz w:val="18"/>
                      <w:szCs w:val="18"/>
                    </w:rPr>
                  </w:pPr>
                  <w:r w:rsidRPr="00E57CC3">
                    <w:rPr>
                      <w:sz w:val="18"/>
                      <w:szCs w:val="18"/>
                    </w:rPr>
                    <w:t>60%</w:t>
                  </w:r>
                </w:p>
              </w:tc>
            </w:tr>
            <w:tr w:rsidR="00471A9B" w:rsidRPr="00E57CC3" w:rsidTr="00230A78">
              <w:tc>
                <w:tcPr>
                  <w:tcW w:w="399" w:type="dxa"/>
                  <w:shd w:val="clear" w:color="auto" w:fill="auto"/>
                </w:tcPr>
                <w:p w:rsidR="0078151D" w:rsidRPr="00E57CC3" w:rsidRDefault="0078151D" w:rsidP="0078151D">
                  <w:pPr>
                    <w:jc w:val="center"/>
                    <w:rPr>
                      <w:sz w:val="18"/>
                      <w:szCs w:val="18"/>
                    </w:rPr>
                  </w:pPr>
                  <w:r w:rsidRPr="00E57CC3">
                    <w:rPr>
                      <w:sz w:val="18"/>
                      <w:szCs w:val="18"/>
                    </w:rPr>
                    <w:t>3.</w:t>
                  </w:r>
                </w:p>
              </w:tc>
              <w:tc>
                <w:tcPr>
                  <w:tcW w:w="958" w:type="dxa"/>
                  <w:vMerge/>
                  <w:shd w:val="clear" w:color="auto" w:fill="auto"/>
                </w:tcPr>
                <w:p w:rsidR="0078151D" w:rsidRPr="00E57CC3" w:rsidRDefault="0078151D" w:rsidP="0078151D">
                  <w:pPr>
                    <w:jc w:val="both"/>
                    <w:rPr>
                      <w:sz w:val="18"/>
                      <w:szCs w:val="18"/>
                    </w:rPr>
                  </w:pPr>
                </w:p>
              </w:tc>
              <w:tc>
                <w:tcPr>
                  <w:tcW w:w="1505" w:type="dxa"/>
                  <w:shd w:val="clear" w:color="auto" w:fill="auto"/>
                </w:tcPr>
                <w:p w:rsidR="0078151D" w:rsidRPr="00E57CC3" w:rsidRDefault="0078151D" w:rsidP="0078151D">
                  <w:pPr>
                    <w:rPr>
                      <w:b/>
                      <w:i/>
                      <w:sz w:val="18"/>
                      <w:szCs w:val="18"/>
                    </w:rPr>
                  </w:pPr>
                  <w:r w:rsidRPr="00E57CC3">
                    <w:rPr>
                      <w:b/>
                      <w:i/>
                      <w:sz w:val="18"/>
                      <w:szCs w:val="18"/>
                    </w:rPr>
                    <w:t>RO21 Nord-Est</w:t>
                  </w:r>
                </w:p>
              </w:tc>
              <w:tc>
                <w:tcPr>
                  <w:tcW w:w="1755" w:type="dxa"/>
                  <w:shd w:val="clear" w:color="auto" w:fill="auto"/>
                </w:tcPr>
                <w:p w:rsidR="0078151D" w:rsidRPr="00E57CC3" w:rsidRDefault="0078151D" w:rsidP="0078151D">
                  <w:pPr>
                    <w:rPr>
                      <w:sz w:val="18"/>
                      <w:szCs w:val="18"/>
                    </w:rPr>
                  </w:pPr>
                  <w:r w:rsidRPr="00E57CC3">
                    <w:rPr>
                      <w:sz w:val="18"/>
                      <w:szCs w:val="18"/>
                    </w:rPr>
                    <w:t>3.184.215   /  39,67</w:t>
                  </w:r>
                </w:p>
              </w:tc>
              <w:tc>
                <w:tcPr>
                  <w:tcW w:w="706" w:type="dxa"/>
                  <w:tcBorders>
                    <w:right w:val="single" w:sz="4" w:space="0" w:color="auto"/>
                  </w:tcBorders>
                </w:tcPr>
                <w:p w:rsidR="0078151D" w:rsidRPr="00E57CC3" w:rsidRDefault="0078151D" w:rsidP="0078151D">
                  <w:pPr>
                    <w:jc w:val="center"/>
                    <w:rPr>
                      <w:sz w:val="18"/>
                      <w:szCs w:val="18"/>
                    </w:rPr>
                  </w:pPr>
                  <w:r w:rsidRPr="00E57CC3">
                    <w:rPr>
                      <w:sz w:val="18"/>
                      <w:szCs w:val="18"/>
                    </w:rPr>
                    <w:t xml:space="preserve">16,48 % </w:t>
                  </w:r>
                </w:p>
              </w:tc>
              <w:tc>
                <w:tcPr>
                  <w:tcW w:w="854" w:type="dxa"/>
                  <w:shd w:val="clear" w:color="auto" w:fill="auto"/>
                  <w:vAlign w:val="center"/>
                </w:tcPr>
                <w:p w:rsidR="0078151D" w:rsidRPr="00E57CC3" w:rsidRDefault="0078151D" w:rsidP="0078151D">
                  <w:pPr>
                    <w:jc w:val="center"/>
                    <w:rPr>
                      <w:sz w:val="18"/>
                      <w:szCs w:val="18"/>
                    </w:rPr>
                  </w:pPr>
                  <w:r w:rsidRPr="00E57CC3">
                    <w:rPr>
                      <w:sz w:val="18"/>
                      <w:szCs w:val="18"/>
                    </w:rPr>
                    <w:t>50%</w:t>
                  </w:r>
                </w:p>
              </w:tc>
              <w:tc>
                <w:tcPr>
                  <w:tcW w:w="987" w:type="dxa"/>
                  <w:shd w:val="clear" w:color="auto" w:fill="auto"/>
                  <w:vAlign w:val="center"/>
                </w:tcPr>
                <w:p w:rsidR="0078151D" w:rsidRPr="00E57CC3" w:rsidRDefault="0078151D" w:rsidP="0078151D">
                  <w:pPr>
                    <w:jc w:val="center"/>
                    <w:rPr>
                      <w:sz w:val="18"/>
                      <w:szCs w:val="18"/>
                    </w:rPr>
                  </w:pPr>
                  <w:r w:rsidRPr="00E57CC3">
                    <w:rPr>
                      <w:sz w:val="18"/>
                      <w:szCs w:val="18"/>
                    </w:rPr>
                    <w:t>60%</w:t>
                  </w:r>
                </w:p>
              </w:tc>
              <w:tc>
                <w:tcPr>
                  <w:tcW w:w="714" w:type="dxa"/>
                  <w:shd w:val="clear" w:color="auto" w:fill="auto"/>
                  <w:vAlign w:val="center"/>
                </w:tcPr>
                <w:p w:rsidR="0078151D" w:rsidRPr="00E57CC3" w:rsidRDefault="0078151D" w:rsidP="0078151D">
                  <w:pPr>
                    <w:jc w:val="center"/>
                    <w:rPr>
                      <w:sz w:val="18"/>
                      <w:szCs w:val="18"/>
                    </w:rPr>
                  </w:pPr>
                  <w:r w:rsidRPr="00E57CC3">
                    <w:rPr>
                      <w:sz w:val="18"/>
                      <w:szCs w:val="18"/>
                    </w:rPr>
                    <w:t>70%</w:t>
                  </w:r>
                </w:p>
              </w:tc>
            </w:tr>
            <w:tr w:rsidR="00471A9B" w:rsidRPr="00E57CC3" w:rsidTr="00230A78">
              <w:tc>
                <w:tcPr>
                  <w:tcW w:w="399" w:type="dxa"/>
                  <w:shd w:val="clear" w:color="auto" w:fill="auto"/>
                </w:tcPr>
                <w:p w:rsidR="0078151D" w:rsidRPr="00E57CC3" w:rsidRDefault="0078151D" w:rsidP="0078151D">
                  <w:pPr>
                    <w:jc w:val="center"/>
                    <w:rPr>
                      <w:sz w:val="18"/>
                      <w:szCs w:val="18"/>
                    </w:rPr>
                  </w:pPr>
                  <w:r w:rsidRPr="00E57CC3">
                    <w:rPr>
                      <w:sz w:val="18"/>
                      <w:szCs w:val="18"/>
                    </w:rPr>
                    <w:t>4.</w:t>
                  </w:r>
                </w:p>
              </w:tc>
              <w:tc>
                <w:tcPr>
                  <w:tcW w:w="958" w:type="dxa"/>
                  <w:vMerge/>
                  <w:shd w:val="clear" w:color="auto" w:fill="auto"/>
                </w:tcPr>
                <w:p w:rsidR="0078151D" w:rsidRPr="00E57CC3" w:rsidRDefault="0078151D" w:rsidP="0078151D">
                  <w:pPr>
                    <w:jc w:val="both"/>
                    <w:rPr>
                      <w:sz w:val="18"/>
                      <w:szCs w:val="18"/>
                    </w:rPr>
                  </w:pPr>
                </w:p>
              </w:tc>
              <w:tc>
                <w:tcPr>
                  <w:tcW w:w="1505" w:type="dxa"/>
                  <w:shd w:val="clear" w:color="auto" w:fill="auto"/>
                </w:tcPr>
                <w:p w:rsidR="0078151D" w:rsidRPr="00E57CC3" w:rsidRDefault="0078151D" w:rsidP="0078151D">
                  <w:pPr>
                    <w:rPr>
                      <w:b/>
                      <w:i/>
                      <w:sz w:val="18"/>
                      <w:szCs w:val="18"/>
                    </w:rPr>
                  </w:pPr>
                  <w:r w:rsidRPr="00E57CC3">
                    <w:rPr>
                      <w:b/>
                      <w:i/>
                      <w:sz w:val="18"/>
                      <w:szCs w:val="18"/>
                    </w:rPr>
                    <w:t>RO 22 Sud-Est</w:t>
                  </w:r>
                </w:p>
              </w:tc>
              <w:tc>
                <w:tcPr>
                  <w:tcW w:w="1755" w:type="dxa"/>
                  <w:shd w:val="clear" w:color="auto" w:fill="auto"/>
                </w:tcPr>
                <w:p w:rsidR="0078151D" w:rsidRPr="00E57CC3" w:rsidRDefault="0078151D" w:rsidP="0078151D">
                  <w:pPr>
                    <w:rPr>
                      <w:sz w:val="18"/>
                      <w:szCs w:val="18"/>
                    </w:rPr>
                  </w:pPr>
                  <w:r w:rsidRPr="00E57CC3">
                    <w:rPr>
                      <w:sz w:val="18"/>
                      <w:szCs w:val="18"/>
                    </w:rPr>
                    <w:t>2.377.101   /  52,67</w:t>
                  </w:r>
                </w:p>
              </w:tc>
              <w:tc>
                <w:tcPr>
                  <w:tcW w:w="706" w:type="dxa"/>
                  <w:tcBorders>
                    <w:right w:val="single" w:sz="4" w:space="0" w:color="auto"/>
                  </w:tcBorders>
                </w:tcPr>
                <w:p w:rsidR="0078151D" w:rsidRPr="00E57CC3" w:rsidRDefault="0078151D" w:rsidP="0078151D">
                  <w:pPr>
                    <w:jc w:val="center"/>
                    <w:rPr>
                      <w:sz w:val="18"/>
                      <w:szCs w:val="18"/>
                    </w:rPr>
                  </w:pPr>
                  <w:r w:rsidRPr="00E57CC3">
                    <w:rPr>
                      <w:sz w:val="18"/>
                      <w:szCs w:val="18"/>
                    </w:rPr>
                    <w:t xml:space="preserve">12,37 % </w:t>
                  </w:r>
                </w:p>
              </w:tc>
              <w:tc>
                <w:tcPr>
                  <w:tcW w:w="854" w:type="dxa"/>
                  <w:shd w:val="clear" w:color="auto" w:fill="auto"/>
                  <w:vAlign w:val="center"/>
                </w:tcPr>
                <w:p w:rsidR="0078151D" w:rsidRPr="00E57CC3" w:rsidRDefault="0078151D" w:rsidP="0078151D">
                  <w:pPr>
                    <w:jc w:val="center"/>
                    <w:rPr>
                      <w:sz w:val="18"/>
                      <w:szCs w:val="18"/>
                    </w:rPr>
                  </w:pPr>
                  <w:r w:rsidRPr="00E57CC3">
                    <w:rPr>
                      <w:sz w:val="18"/>
                      <w:szCs w:val="18"/>
                    </w:rPr>
                    <w:t>50%</w:t>
                  </w:r>
                </w:p>
              </w:tc>
              <w:tc>
                <w:tcPr>
                  <w:tcW w:w="987" w:type="dxa"/>
                  <w:shd w:val="clear" w:color="auto" w:fill="auto"/>
                  <w:vAlign w:val="center"/>
                </w:tcPr>
                <w:p w:rsidR="0078151D" w:rsidRPr="00E57CC3" w:rsidRDefault="0078151D" w:rsidP="0078151D">
                  <w:pPr>
                    <w:jc w:val="center"/>
                    <w:rPr>
                      <w:sz w:val="18"/>
                      <w:szCs w:val="18"/>
                    </w:rPr>
                  </w:pPr>
                  <w:r w:rsidRPr="00E57CC3">
                    <w:rPr>
                      <w:sz w:val="18"/>
                      <w:szCs w:val="18"/>
                    </w:rPr>
                    <w:t>60%</w:t>
                  </w:r>
                </w:p>
              </w:tc>
              <w:tc>
                <w:tcPr>
                  <w:tcW w:w="714" w:type="dxa"/>
                  <w:shd w:val="clear" w:color="auto" w:fill="auto"/>
                  <w:vAlign w:val="center"/>
                </w:tcPr>
                <w:p w:rsidR="0078151D" w:rsidRPr="00E57CC3" w:rsidRDefault="0078151D" w:rsidP="0078151D">
                  <w:pPr>
                    <w:jc w:val="center"/>
                    <w:rPr>
                      <w:sz w:val="18"/>
                      <w:szCs w:val="18"/>
                    </w:rPr>
                  </w:pPr>
                  <w:r w:rsidRPr="00E57CC3">
                    <w:rPr>
                      <w:sz w:val="18"/>
                      <w:szCs w:val="18"/>
                    </w:rPr>
                    <w:t>70%</w:t>
                  </w:r>
                </w:p>
              </w:tc>
            </w:tr>
            <w:tr w:rsidR="00471A9B" w:rsidRPr="00E57CC3" w:rsidTr="00230A78">
              <w:tc>
                <w:tcPr>
                  <w:tcW w:w="399" w:type="dxa"/>
                  <w:shd w:val="clear" w:color="auto" w:fill="auto"/>
                </w:tcPr>
                <w:p w:rsidR="0078151D" w:rsidRPr="00E57CC3" w:rsidRDefault="0078151D" w:rsidP="0078151D">
                  <w:pPr>
                    <w:jc w:val="center"/>
                    <w:rPr>
                      <w:sz w:val="18"/>
                      <w:szCs w:val="18"/>
                    </w:rPr>
                  </w:pPr>
                  <w:r w:rsidRPr="00E57CC3">
                    <w:rPr>
                      <w:sz w:val="18"/>
                      <w:szCs w:val="18"/>
                    </w:rPr>
                    <w:t>5.</w:t>
                  </w:r>
                </w:p>
              </w:tc>
              <w:tc>
                <w:tcPr>
                  <w:tcW w:w="958" w:type="dxa"/>
                  <w:vMerge/>
                  <w:shd w:val="clear" w:color="auto" w:fill="auto"/>
                </w:tcPr>
                <w:p w:rsidR="0078151D" w:rsidRPr="00E57CC3" w:rsidRDefault="0078151D" w:rsidP="0078151D">
                  <w:pPr>
                    <w:jc w:val="both"/>
                    <w:rPr>
                      <w:sz w:val="18"/>
                      <w:szCs w:val="18"/>
                    </w:rPr>
                  </w:pPr>
                </w:p>
              </w:tc>
              <w:tc>
                <w:tcPr>
                  <w:tcW w:w="1505" w:type="dxa"/>
                  <w:shd w:val="clear" w:color="auto" w:fill="auto"/>
                </w:tcPr>
                <w:p w:rsidR="0078151D" w:rsidRPr="00E57CC3" w:rsidRDefault="0078151D" w:rsidP="0078151D">
                  <w:pPr>
                    <w:rPr>
                      <w:b/>
                      <w:i/>
                      <w:sz w:val="18"/>
                      <w:szCs w:val="18"/>
                    </w:rPr>
                  </w:pPr>
                  <w:r w:rsidRPr="00E57CC3">
                    <w:rPr>
                      <w:b/>
                      <w:i/>
                      <w:sz w:val="18"/>
                      <w:szCs w:val="18"/>
                    </w:rPr>
                    <w:t>RO31 Sud-Muntenia</w:t>
                  </w:r>
                </w:p>
              </w:tc>
              <w:tc>
                <w:tcPr>
                  <w:tcW w:w="1755" w:type="dxa"/>
                  <w:shd w:val="clear" w:color="auto" w:fill="auto"/>
                </w:tcPr>
                <w:p w:rsidR="0078151D" w:rsidRPr="00E57CC3" w:rsidRDefault="0078151D" w:rsidP="0078151D">
                  <w:pPr>
                    <w:rPr>
                      <w:sz w:val="18"/>
                      <w:szCs w:val="18"/>
                    </w:rPr>
                  </w:pPr>
                  <w:r w:rsidRPr="00E57CC3">
                    <w:rPr>
                      <w:sz w:val="18"/>
                      <w:szCs w:val="18"/>
                    </w:rPr>
                    <w:t>2.901.376   /  49,33</w:t>
                  </w:r>
                </w:p>
              </w:tc>
              <w:tc>
                <w:tcPr>
                  <w:tcW w:w="706" w:type="dxa"/>
                  <w:tcBorders>
                    <w:right w:val="single" w:sz="4" w:space="0" w:color="auto"/>
                  </w:tcBorders>
                </w:tcPr>
                <w:p w:rsidR="0078151D" w:rsidRPr="00E57CC3" w:rsidRDefault="0078151D" w:rsidP="0078151D">
                  <w:pPr>
                    <w:jc w:val="center"/>
                    <w:rPr>
                      <w:sz w:val="18"/>
                      <w:szCs w:val="18"/>
                    </w:rPr>
                  </w:pPr>
                  <w:r w:rsidRPr="00E57CC3">
                    <w:rPr>
                      <w:sz w:val="18"/>
                      <w:szCs w:val="18"/>
                    </w:rPr>
                    <w:t xml:space="preserve">15,14 % </w:t>
                  </w:r>
                </w:p>
              </w:tc>
              <w:tc>
                <w:tcPr>
                  <w:tcW w:w="854" w:type="dxa"/>
                  <w:shd w:val="clear" w:color="auto" w:fill="auto"/>
                  <w:vAlign w:val="center"/>
                </w:tcPr>
                <w:p w:rsidR="0078151D" w:rsidRPr="00E57CC3" w:rsidRDefault="0078151D" w:rsidP="0078151D">
                  <w:pPr>
                    <w:jc w:val="center"/>
                    <w:rPr>
                      <w:sz w:val="18"/>
                      <w:szCs w:val="18"/>
                    </w:rPr>
                  </w:pPr>
                  <w:r w:rsidRPr="00E57CC3">
                    <w:rPr>
                      <w:sz w:val="18"/>
                      <w:szCs w:val="18"/>
                    </w:rPr>
                    <w:t>50%</w:t>
                  </w:r>
                </w:p>
              </w:tc>
              <w:tc>
                <w:tcPr>
                  <w:tcW w:w="987" w:type="dxa"/>
                  <w:shd w:val="clear" w:color="auto" w:fill="auto"/>
                  <w:vAlign w:val="center"/>
                </w:tcPr>
                <w:p w:rsidR="0078151D" w:rsidRPr="00E57CC3" w:rsidRDefault="0078151D" w:rsidP="0078151D">
                  <w:pPr>
                    <w:jc w:val="center"/>
                    <w:rPr>
                      <w:sz w:val="18"/>
                      <w:szCs w:val="18"/>
                    </w:rPr>
                  </w:pPr>
                  <w:r w:rsidRPr="00E57CC3">
                    <w:rPr>
                      <w:sz w:val="18"/>
                      <w:szCs w:val="18"/>
                    </w:rPr>
                    <w:t>60%</w:t>
                  </w:r>
                </w:p>
              </w:tc>
              <w:tc>
                <w:tcPr>
                  <w:tcW w:w="714" w:type="dxa"/>
                  <w:shd w:val="clear" w:color="auto" w:fill="auto"/>
                  <w:vAlign w:val="center"/>
                </w:tcPr>
                <w:p w:rsidR="0078151D" w:rsidRPr="00E57CC3" w:rsidRDefault="0078151D" w:rsidP="0078151D">
                  <w:pPr>
                    <w:jc w:val="center"/>
                    <w:rPr>
                      <w:sz w:val="18"/>
                      <w:szCs w:val="18"/>
                    </w:rPr>
                  </w:pPr>
                  <w:r w:rsidRPr="00E57CC3">
                    <w:rPr>
                      <w:sz w:val="18"/>
                      <w:szCs w:val="18"/>
                    </w:rPr>
                    <w:t>70%</w:t>
                  </w:r>
                </w:p>
              </w:tc>
            </w:tr>
            <w:tr w:rsidR="00471A9B" w:rsidRPr="00E57CC3" w:rsidTr="00230A78">
              <w:tc>
                <w:tcPr>
                  <w:tcW w:w="399" w:type="dxa"/>
                  <w:shd w:val="clear" w:color="auto" w:fill="auto"/>
                </w:tcPr>
                <w:p w:rsidR="0078151D" w:rsidRPr="00E57CC3" w:rsidRDefault="0078151D" w:rsidP="0078151D">
                  <w:pPr>
                    <w:jc w:val="center"/>
                    <w:rPr>
                      <w:sz w:val="18"/>
                      <w:szCs w:val="18"/>
                    </w:rPr>
                  </w:pPr>
                  <w:r w:rsidRPr="00E57CC3">
                    <w:rPr>
                      <w:sz w:val="18"/>
                      <w:szCs w:val="18"/>
                    </w:rPr>
                    <w:t>6.</w:t>
                  </w:r>
                </w:p>
              </w:tc>
              <w:tc>
                <w:tcPr>
                  <w:tcW w:w="958" w:type="dxa"/>
                  <w:vMerge/>
                  <w:shd w:val="clear" w:color="auto" w:fill="auto"/>
                </w:tcPr>
                <w:p w:rsidR="0078151D" w:rsidRPr="00E57CC3" w:rsidRDefault="0078151D" w:rsidP="0078151D">
                  <w:pPr>
                    <w:jc w:val="both"/>
                    <w:rPr>
                      <w:sz w:val="18"/>
                      <w:szCs w:val="18"/>
                    </w:rPr>
                  </w:pPr>
                </w:p>
              </w:tc>
              <w:tc>
                <w:tcPr>
                  <w:tcW w:w="1505" w:type="dxa"/>
                  <w:shd w:val="clear" w:color="auto" w:fill="auto"/>
                </w:tcPr>
                <w:p w:rsidR="0078151D" w:rsidRPr="00E57CC3" w:rsidRDefault="0078151D" w:rsidP="0078151D">
                  <w:pPr>
                    <w:rPr>
                      <w:b/>
                      <w:i/>
                      <w:sz w:val="18"/>
                      <w:szCs w:val="18"/>
                    </w:rPr>
                  </w:pPr>
                  <w:r w:rsidRPr="00E57CC3">
                    <w:rPr>
                      <w:b/>
                      <w:i/>
                      <w:sz w:val="18"/>
                      <w:szCs w:val="18"/>
                    </w:rPr>
                    <w:t>RO41 Sud-Vest Oltenia</w:t>
                  </w:r>
                </w:p>
              </w:tc>
              <w:tc>
                <w:tcPr>
                  <w:tcW w:w="1755" w:type="dxa"/>
                  <w:shd w:val="clear" w:color="auto" w:fill="auto"/>
                </w:tcPr>
                <w:p w:rsidR="0078151D" w:rsidRPr="00E57CC3" w:rsidRDefault="0078151D" w:rsidP="0078151D">
                  <w:pPr>
                    <w:rPr>
                      <w:sz w:val="18"/>
                      <w:szCs w:val="18"/>
                    </w:rPr>
                  </w:pPr>
                  <w:r w:rsidRPr="00E57CC3">
                    <w:rPr>
                      <w:sz w:val="18"/>
                      <w:szCs w:val="18"/>
                    </w:rPr>
                    <w:t>1.190.409   /  46,67</w:t>
                  </w:r>
                </w:p>
              </w:tc>
              <w:tc>
                <w:tcPr>
                  <w:tcW w:w="706" w:type="dxa"/>
                  <w:tcBorders>
                    <w:right w:val="single" w:sz="4" w:space="0" w:color="auto"/>
                  </w:tcBorders>
                </w:tcPr>
                <w:p w:rsidR="0078151D" w:rsidRPr="00E57CC3" w:rsidRDefault="0078151D" w:rsidP="0078151D">
                  <w:pPr>
                    <w:jc w:val="center"/>
                    <w:rPr>
                      <w:sz w:val="18"/>
                      <w:szCs w:val="18"/>
                    </w:rPr>
                  </w:pPr>
                  <w:r w:rsidRPr="00E57CC3">
                    <w:rPr>
                      <w:sz w:val="18"/>
                      <w:szCs w:val="18"/>
                    </w:rPr>
                    <w:t xml:space="preserve">9,96 % </w:t>
                  </w:r>
                </w:p>
              </w:tc>
              <w:tc>
                <w:tcPr>
                  <w:tcW w:w="854" w:type="dxa"/>
                  <w:shd w:val="clear" w:color="auto" w:fill="auto"/>
                  <w:vAlign w:val="center"/>
                </w:tcPr>
                <w:p w:rsidR="0078151D" w:rsidRPr="00E57CC3" w:rsidRDefault="0078151D">
                  <w:pPr>
                    <w:jc w:val="center"/>
                    <w:rPr>
                      <w:sz w:val="18"/>
                      <w:szCs w:val="18"/>
                    </w:rPr>
                  </w:pPr>
                  <w:r w:rsidRPr="00E57CC3">
                    <w:rPr>
                      <w:sz w:val="18"/>
                      <w:szCs w:val="18"/>
                    </w:rPr>
                    <w:t>50%</w:t>
                  </w:r>
                </w:p>
              </w:tc>
              <w:tc>
                <w:tcPr>
                  <w:tcW w:w="987" w:type="dxa"/>
                  <w:shd w:val="clear" w:color="auto" w:fill="auto"/>
                  <w:vAlign w:val="center"/>
                </w:tcPr>
                <w:p w:rsidR="0078151D" w:rsidRPr="00E57CC3" w:rsidRDefault="0078151D" w:rsidP="0078151D">
                  <w:pPr>
                    <w:jc w:val="center"/>
                    <w:rPr>
                      <w:sz w:val="18"/>
                      <w:szCs w:val="18"/>
                    </w:rPr>
                  </w:pPr>
                  <w:r w:rsidRPr="00E57CC3">
                    <w:rPr>
                      <w:sz w:val="18"/>
                      <w:szCs w:val="18"/>
                    </w:rPr>
                    <w:t>60%</w:t>
                  </w:r>
                </w:p>
              </w:tc>
              <w:tc>
                <w:tcPr>
                  <w:tcW w:w="714" w:type="dxa"/>
                  <w:shd w:val="clear" w:color="auto" w:fill="auto"/>
                  <w:vAlign w:val="center"/>
                </w:tcPr>
                <w:p w:rsidR="0078151D" w:rsidRPr="00E57CC3" w:rsidRDefault="0078151D" w:rsidP="0078151D">
                  <w:pPr>
                    <w:jc w:val="center"/>
                    <w:rPr>
                      <w:sz w:val="18"/>
                      <w:szCs w:val="18"/>
                    </w:rPr>
                  </w:pPr>
                  <w:r w:rsidRPr="00E57CC3">
                    <w:rPr>
                      <w:sz w:val="18"/>
                      <w:szCs w:val="18"/>
                    </w:rPr>
                    <w:t>70%</w:t>
                  </w:r>
                </w:p>
              </w:tc>
            </w:tr>
            <w:tr w:rsidR="00471A9B" w:rsidRPr="00E57CC3" w:rsidTr="00230A78">
              <w:tc>
                <w:tcPr>
                  <w:tcW w:w="399" w:type="dxa"/>
                  <w:shd w:val="clear" w:color="auto" w:fill="auto"/>
                </w:tcPr>
                <w:p w:rsidR="0078151D" w:rsidRPr="00E57CC3" w:rsidRDefault="0078151D" w:rsidP="0078151D">
                  <w:pPr>
                    <w:jc w:val="center"/>
                    <w:rPr>
                      <w:sz w:val="18"/>
                      <w:szCs w:val="18"/>
                    </w:rPr>
                  </w:pPr>
                  <w:r w:rsidRPr="00E57CC3">
                    <w:rPr>
                      <w:sz w:val="18"/>
                      <w:szCs w:val="18"/>
                    </w:rPr>
                    <w:lastRenderedPageBreak/>
                    <w:t>7.</w:t>
                  </w:r>
                </w:p>
              </w:tc>
              <w:tc>
                <w:tcPr>
                  <w:tcW w:w="958" w:type="dxa"/>
                  <w:vMerge/>
                  <w:shd w:val="clear" w:color="auto" w:fill="auto"/>
                </w:tcPr>
                <w:p w:rsidR="0078151D" w:rsidRPr="00E57CC3" w:rsidRDefault="0078151D" w:rsidP="0078151D">
                  <w:pPr>
                    <w:jc w:val="both"/>
                    <w:rPr>
                      <w:sz w:val="18"/>
                      <w:szCs w:val="18"/>
                    </w:rPr>
                  </w:pPr>
                </w:p>
              </w:tc>
              <w:tc>
                <w:tcPr>
                  <w:tcW w:w="1505" w:type="dxa"/>
                  <w:shd w:val="clear" w:color="auto" w:fill="auto"/>
                </w:tcPr>
                <w:p w:rsidR="0078151D" w:rsidRPr="00E57CC3" w:rsidRDefault="0078151D" w:rsidP="0078151D">
                  <w:pPr>
                    <w:rPr>
                      <w:b/>
                      <w:i/>
                      <w:sz w:val="18"/>
                      <w:szCs w:val="18"/>
                    </w:rPr>
                  </w:pPr>
                  <w:r w:rsidRPr="00E57CC3">
                    <w:rPr>
                      <w:b/>
                      <w:i/>
                      <w:sz w:val="18"/>
                      <w:szCs w:val="18"/>
                    </w:rPr>
                    <w:t>RO42 Vest</w:t>
                  </w:r>
                </w:p>
              </w:tc>
              <w:tc>
                <w:tcPr>
                  <w:tcW w:w="1755" w:type="dxa"/>
                  <w:shd w:val="clear" w:color="auto" w:fill="auto"/>
                </w:tcPr>
                <w:p w:rsidR="0078151D" w:rsidRPr="00E57CC3" w:rsidRDefault="0078151D" w:rsidP="0078151D">
                  <w:pPr>
                    <w:rPr>
                      <w:sz w:val="18"/>
                      <w:szCs w:val="18"/>
                    </w:rPr>
                  </w:pPr>
                  <w:r w:rsidRPr="00E57CC3">
                    <w:rPr>
                      <w:sz w:val="18"/>
                      <w:szCs w:val="18"/>
                    </w:rPr>
                    <w:t>1.771.480   /  66,00</w:t>
                  </w:r>
                </w:p>
              </w:tc>
              <w:tc>
                <w:tcPr>
                  <w:tcW w:w="706" w:type="dxa"/>
                  <w:tcBorders>
                    <w:right w:val="single" w:sz="4" w:space="0" w:color="auto"/>
                  </w:tcBorders>
                </w:tcPr>
                <w:p w:rsidR="0078151D" w:rsidRPr="00E57CC3" w:rsidRDefault="0078151D" w:rsidP="0078151D">
                  <w:pPr>
                    <w:jc w:val="center"/>
                    <w:rPr>
                      <w:sz w:val="18"/>
                      <w:szCs w:val="18"/>
                    </w:rPr>
                  </w:pPr>
                  <w:r w:rsidRPr="00E57CC3">
                    <w:rPr>
                      <w:sz w:val="18"/>
                      <w:szCs w:val="18"/>
                    </w:rPr>
                    <w:t xml:space="preserve">9,15 % </w:t>
                  </w:r>
                </w:p>
              </w:tc>
              <w:tc>
                <w:tcPr>
                  <w:tcW w:w="854" w:type="dxa"/>
                  <w:shd w:val="clear" w:color="auto" w:fill="auto"/>
                  <w:vAlign w:val="center"/>
                </w:tcPr>
                <w:p w:rsidR="0078151D" w:rsidRPr="00E57CC3" w:rsidRDefault="0078151D" w:rsidP="0078151D">
                  <w:pPr>
                    <w:jc w:val="center"/>
                    <w:rPr>
                      <w:sz w:val="18"/>
                      <w:szCs w:val="18"/>
                    </w:rPr>
                  </w:pPr>
                  <w:r w:rsidRPr="00E57CC3">
                    <w:rPr>
                      <w:sz w:val="18"/>
                      <w:szCs w:val="18"/>
                    </w:rPr>
                    <w:t>30%</w:t>
                  </w:r>
                </w:p>
              </w:tc>
              <w:tc>
                <w:tcPr>
                  <w:tcW w:w="987" w:type="dxa"/>
                  <w:shd w:val="clear" w:color="auto" w:fill="auto"/>
                  <w:vAlign w:val="center"/>
                </w:tcPr>
                <w:p w:rsidR="0078151D" w:rsidRPr="00E57CC3" w:rsidRDefault="0078151D" w:rsidP="0078151D">
                  <w:pPr>
                    <w:jc w:val="center"/>
                    <w:rPr>
                      <w:sz w:val="18"/>
                      <w:szCs w:val="18"/>
                    </w:rPr>
                  </w:pPr>
                  <w:r w:rsidRPr="00E57CC3">
                    <w:rPr>
                      <w:sz w:val="18"/>
                      <w:szCs w:val="18"/>
                    </w:rPr>
                    <w:t>40%</w:t>
                  </w:r>
                </w:p>
              </w:tc>
              <w:tc>
                <w:tcPr>
                  <w:tcW w:w="714" w:type="dxa"/>
                  <w:shd w:val="clear" w:color="auto" w:fill="auto"/>
                  <w:vAlign w:val="center"/>
                </w:tcPr>
                <w:p w:rsidR="0078151D" w:rsidRPr="00E57CC3" w:rsidRDefault="0078151D" w:rsidP="0078151D">
                  <w:pPr>
                    <w:jc w:val="center"/>
                    <w:rPr>
                      <w:sz w:val="18"/>
                      <w:szCs w:val="18"/>
                    </w:rPr>
                  </w:pPr>
                  <w:r w:rsidRPr="00E57CC3">
                    <w:rPr>
                      <w:sz w:val="18"/>
                      <w:szCs w:val="18"/>
                    </w:rPr>
                    <w:t>50%</w:t>
                  </w:r>
                </w:p>
              </w:tc>
            </w:tr>
          </w:tbl>
          <w:p w:rsidR="00EC7566" w:rsidRPr="00E57CC3" w:rsidRDefault="00EC7566" w:rsidP="004B770E">
            <w:pPr>
              <w:jc w:val="both"/>
              <w:rPr>
                <w:b/>
                <w:i/>
                <w:sz w:val="18"/>
                <w:szCs w:val="18"/>
              </w:rPr>
            </w:pPr>
          </w:p>
          <w:p w:rsidR="00EC7566" w:rsidRPr="00E57CC3" w:rsidRDefault="00EC7566" w:rsidP="00EC7566">
            <w:pPr>
              <w:jc w:val="both"/>
            </w:pPr>
          </w:p>
          <w:p w:rsidR="007038B5" w:rsidRPr="00E57CC3" w:rsidRDefault="00B6253E" w:rsidP="007038B5">
            <w:pPr>
              <w:jc w:val="both"/>
              <w:rPr>
                <w:i/>
                <w:u w:val="single"/>
              </w:rPr>
            </w:pPr>
            <w:r w:rsidRPr="00E57CC3">
              <w:rPr>
                <w:i/>
              </w:rPr>
              <w:t xml:space="preserve">I. </w:t>
            </w:r>
            <w:r w:rsidR="007038B5" w:rsidRPr="00E57CC3">
              <w:rPr>
                <w:i/>
                <w:u w:val="single"/>
              </w:rPr>
              <w:t xml:space="preserve">Intensitățile maxime stabilite pentru </w:t>
            </w:r>
            <w:r w:rsidR="007038B5" w:rsidRPr="00E57CC3">
              <w:rPr>
                <w:b/>
                <w:i/>
                <w:u w:val="single"/>
              </w:rPr>
              <w:t>zonele „a”</w:t>
            </w:r>
            <w:r w:rsidR="007038B5" w:rsidRPr="00E57CC3">
              <w:rPr>
                <w:i/>
                <w:u w:val="single"/>
              </w:rPr>
              <w:t xml:space="preserve"> incluzând </w:t>
            </w:r>
            <w:r w:rsidR="004B770E" w:rsidRPr="00E57CC3">
              <w:rPr>
                <w:i/>
                <w:u w:val="single"/>
              </w:rPr>
              <w:t>majorări</w:t>
            </w:r>
            <w:r w:rsidR="00120C29" w:rsidRPr="00E57CC3">
              <w:rPr>
                <w:i/>
                <w:u w:val="single"/>
              </w:rPr>
              <w:t>le</w:t>
            </w:r>
            <w:r w:rsidR="004B770E" w:rsidRPr="00E57CC3">
              <w:rPr>
                <w:i/>
                <w:u w:val="single"/>
              </w:rPr>
              <w:t xml:space="preserve"> permise</w:t>
            </w:r>
            <w:r w:rsidR="007038B5" w:rsidRPr="00E57CC3">
              <w:rPr>
                <w:i/>
                <w:u w:val="single"/>
              </w:rPr>
              <w:t xml:space="preserve"> pentru întreprinderi mici și mijlocii</w:t>
            </w:r>
          </w:p>
          <w:p w:rsidR="007038B5" w:rsidRPr="00E57CC3" w:rsidRDefault="007038B5" w:rsidP="007038B5">
            <w:pPr>
              <w:jc w:val="both"/>
            </w:pPr>
          </w:p>
          <w:p w:rsidR="00135786" w:rsidRPr="00E57CC3" w:rsidRDefault="00135786" w:rsidP="00135786">
            <w:pPr>
              <w:jc w:val="both"/>
            </w:pPr>
            <w:r w:rsidRPr="00E57CC3">
              <w:rPr>
                <w:u w:val="single"/>
              </w:rPr>
              <w:t>Punctele 1, 2 din tabelul de mai sus</w:t>
            </w:r>
            <w:r w:rsidRPr="00E57CC3">
              <w:t xml:space="preserve">. Având în vedere faptul că, potrivit datelor furnizate de Eurostat, </w:t>
            </w:r>
            <w:r w:rsidRPr="00E57CC3">
              <w:rPr>
                <w:b/>
                <w:i/>
              </w:rPr>
              <w:t xml:space="preserve">Regiunile de </w:t>
            </w:r>
            <w:hyperlink w:anchor="###" w:tooltip="##" w:history="1"/>
            <w:r w:rsidRPr="00E57CC3">
              <w:rPr>
                <w:b/>
                <w:i/>
              </w:rPr>
              <w:t>dezvoltare Nord-Vest şi Centru</w:t>
            </w:r>
            <w:r w:rsidRPr="00E57CC3">
              <w:t xml:space="preserve"> au PIB/cap de locuitor mai mic sau egal cu 75% din media UE-27 (pe baza mediei ultimilor trei ani pentru care sunt disponibile date Eurostat), acestea sunt </w:t>
            </w:r>
            <w:r w:rsidRPr="00E57CC3">
              <w:rPr>
                <w:b/>
                <w:i/>
              </w:rPr>
              <w:t>desemnate zone „a” eligibile</w:t>
            </w:r>
            <w:r w:rsidRPr="00E57CC3">
              <w:t xml:space="preserve">, potrivit pct. 158 și 159 alin. 1) din </w:t>
            </w:r>
            <w:r w:rsidRPr="00E57CC3">
              <w:rPr>
                <w:i/>
              </w:rPr>
              <w:t>Orientări</w:t>
            </w:r>
            <w:r w:rsidRPr="00E57CC3">
              <w:t xml:space="preserve"> şi le corespunde o </w:t>
            </w:r>
            <w:r w:rsidRPr="00E57CC3">
              <w:rPr>
                <w:b/>
                <w:i/>
              </w:rPr>
              <w:t>intensitate maximă a ajutorului de stat de 40% pentru întreprinderi mari, 50% pentru întreprinderi mijlocii, respectiv 60% pentru întreprinderi mici</w:t>
            </w:r>
            <w:r w:rsidRPr="00E57CC3">
              <w:t xml:space="preserve">, în conformitate cu pct. 179 alin. 2) (PIB/cap de locuitor </w:t>
            </w:r>
            <w:r w:rsidRPr="00E57CC3">
              <w:rPr>
                <w:color w:val="000000"/>
                <w:shd w:val="clear" w:color="auto" w:fill="FFFFFF"/>
              </w:rPr>
              <w:t>mai mare de 55 % și mai mic sau egal cu 65 % din media UE-27</w:t>
            </w:r>
            <w:r w:rsidRPr="00E57CC3">
              <w:t>)</w:t>
            </w:r>
            <w:r w:rsidR="00DF7BFD" w:rsidRPr="00E57CC3">
              <w:t>,</w:t>
            </w:r>
            <w:r w:rsidRPr="00E57CC3">
              <w:t xml:space="preserve"> coroborat cu pct. 186 din </w:t>
            </w:r>
            <w:r w:rsidRPr="00E57CC3">
              <w:rPr>
                <w:i/>
              </w:rPr>
              <w:t>Orientări</w:t>
            </w:r>
            <w:r w:rsidRPr="00E57CC3">
              <w:t xml:space="preserve"> (intensitățile maxime ale ajutoarelor prezentate pot fi majorate cu până la 20 de puncte procentuale pentru întreprinderile mici sau cu până la 10 puncte procentuale pentru întreprinderile mijlocii).</w:t>
            </w:r>
          </w:p>
          <w:p w:rsidR="00135786" w:rsidRPr="00E57CC3" w:rsidRDefault="00135786" w:rsidP="00135786">
            <w:pPr>
              <w:jc w:val="both"/>
            </w:pPr>
          </w:p>
          <w:p w:rsidR="007038B5" w:rsidRPr="00E57CC3" w:rsidRDefault="00BB293E" w:rsidP="007038B5">
            <w:pPr>
              <w:jc w:val="both"/>
            </w:pPr>
            <w:r w:rsidRPr="00E57CC3">
              <w:rPr>
                <w:u w:val="single"/>
              </w:rPr>
              <w:t>Punctele 3-6</w:t>
            </w:r>
            <w:r w:rsidR="007E33C5" w:rsidRPr="00E57CC3">
              <w:rPr>
                <w:u w:val="single"/>
              </w:rPr>
              <w:t xml:space="preserve"> din tabelul de mai sus</w:t>
            </w:r>
            <w:r w:rsidRPr="00E57CC3">
              <w:t xml:space="preserve">. </w:t>
            </w:r>
            <w:r w:rsidR="007038B5" w:rsidRPr="00E57CC3">
              <w:t xml:space="preserve">Având în vedere faptul că, potrivit datelor furnizate de Eurostat, </w:t>
            </w:r>
            <w:r w:rsidR="007038B5" w:rsidRPr="00E57CC3">
              <w:rPr>
                <w:b/>
                <w:i/>
              </w:rPr>
              <w:t xml:space="preserve">Regiunile de </w:t>
            </w:r>
            <w:hyperlink w:anchor="###" w:tooltip="##" w:history="1"/>
            <w:r w:rsidR="007038B5" w:rsidRPr="00E57CC3">
              <w:rPr>
                <w:b/>
                <w:i/>
              </w:rPr>
              <w:t>dezvoltare Nord-Est, Sud-Est, Sud-Muntenia şi Sud-Vest Oltenia</w:t>
            </w:r>
            <w:r w:rsidR="007038B5" w:rsidRPr="00E57CC3">
              <w:t xml:space="preserve"> au PIB/cap de locuitor mai mic sau egal cu 75% din media UE-27 (pe baza mediei ultimilor trei ani pentru care sunt disponibile date Eurostat), acestea sunt </w:t>
            </w:r>
            <w:r w:rsidR="007038B5" w:rsidRPr="00E57CC3">
              <w:rPr>
                <w:b/>
                <w:i/>
              </w:rPr>
              <w:t>desemnate zone „a” eligibile</w:t>
            </w:r>
            <w:r w:rsidR="007038B5" w:rsidRPr="00E57CC3">
              <w:t xml:space="preserve">, potrivit pct. </w:t>
            </w:r>
            <w:r w:rsidRPr="00E57CC3">
              <w:t xml:space="preserve">158 și </w:t>
            </w:r>
            <w:r w:rsidR="007038B5" w:rsidRPr="00E57CC3">
              <w:t xml:space="preserve">159 </w:t>
            </w:r>
            <w:r w:rsidRPr="00E57CC3">
              <w:t>alin.</w:t>
            </w:r>
            <w:r w:rsidR="007038B5" w:rsidRPr="00E57CC3">
              <w:t xml:space="preserve"> </w:t>
            </w:r>
            <w:r w:rsidRPr="00E57CC3">
              <w:t>1</w:t>
            </w:r>
            <w:r w:rsidR="007038B5" w:rsidRPr="00E57CC3">
              <w:t xml:space="preserve">) din </w:t>
            </w:r>
            <w:r w:rsidR="007038B5" w:rsidRPr="00E57CC3">
              <w:rPr>
                <w:i/>
              </w:rPr>
              <w:t>Orientări</w:t>
            </w:r>
            <w:r w:rsidR="007038B5" w:rsidRPr="00E57CC3">
              <w:t xml:space="preserve"> şi le corespunde o </w:t>
            </w:r>
            <w:r w:rsidR="007038B5" w:rsidRPr="00E57CC3">
              <w:rPr>
                <w:b/>
                <w:i/>
              </w:rPr>
              <w:t>intensitate maximă a ajutorului de stat de 50% pentru întreprinderi mari, 60% pentru întreprinderi mijlocii, respectiv 70% pentru întreprinderi mici</w:t>
            </w:r>
            <w:r w:rsidR="007038B5" w:rsidRPr="00E57CC3">
              <w:t xml:space="preserve">, în conformitate cu pct. 179 </w:t>
            </w:r>
            <w:r w:rsidRPr="00E57CC3">
              <w:t xml:space="preserve">alin. </w:t>
            </w:r>
            <w:r w:rsidR="007038B5" w:rsidRPr="00E57CC3">
              <w:t>1</w:t>
            </w:r>
            <w:r w:rsidRPr="00E57CC3">
              <w:t>)</w:t>
            </w:r>
            <w:r w:rsidR="007038B5" w:rsidRPr="00E57CC3">
              <w:t xml:space="preserve"> (PIB/cap de locuitor </w:t>
            </w:r>
            <w:r w:rsidR="007038B5" w:rsidRPr="00E57CC3">
              <w:rPr>
                <w:color w:val="000000"/>
                <w:shd w:val="clear" w:color="auto" w:fill="FFFFFF"/>
              </w:rPr>
              <w:t>mai mic sau egal cu 55 % din media UE-27</w:t>
            </w:r>
            <w:r w:rsidR="007038B5" w:rsidRPr="00E57CC3">
              <w:t>)</w:t>
            </w:r>
            <w:r w:rsidR="00DF7BFD" w:rsidRPr="00E57CC3">
              <w:t>,</w:t>
            </w:r>
            <w:r w:rsidR="007038B5" w:rsidRPr="00E57CC3">
              <w:t xml:space="preserve"> coroborat cu pct. 186 din </w:t>
            </w:r>
            <w:r w:rsidR="007038B5" w:rsidRPr="00E57CC3">
              <w:rPr>
                <w:i/>
              </w:rPr>
              <w:t>Orientări</w:t>
            </w:r>
            <w:r w:rsidR="007038B5" w:rsidRPr="00E57CC3">
              <w:t xml:space="preserve"> (intensitățile maxime ale ajutoarelor prezentate pot fi majorate cu până la 20 de puncte procentuale pentru întreprinderile mici sau cu până la 10 puncte procentuale pentru întreprinderile mijlocii).</w:t>
            </w:r>
          </w:p>
          <w:p w:rsidR="007038B5" w:rsidRPr="00E57CC3" w:rsidRDefault="007038B5" w:rsidP="007038B5">
            <w:pPr>
              <w:jc w:val="both"/>
            </w:pPr>
          </w:p>
          <w:p w:rsidR="007038B5" w:rsidRPr="00E57CC3" w:rsidRDefault="00135786" w:rsidP="007038B5">
            <w:pPr>
              <w:jc w:val="both"/>
            </w:pPr>
            <w:r w:rsidRPr="00E57CC3">
              <w:rPr>
                <w:u w:val="single"/>
              </w:rPr>
              <w:t>Punctul 7 din tabelul de mai sus</w:t>
            </w:r>
            <w:r w:rsidR="000D5D8F" w:rsidRPr="00E57CC3">
              <w:t>.</w:t>
            </w:r>
            <w:r w:rsidRPr="00E57CC3">
              <w:t xml:space="preserve"> </w:t>
            </w:r>
            <w:r w:rsidR="007038B5" w:rsidRPr="00E57CC3">
              <w:t xml:space="preserve">Având în vedere faptul că, potrivit datelor furnizate de Eurostat, </w:t>
            </w:r>
            <w:r w:rsidR="007038B5" w:rsidRPr="00E57CC3">
              <w:rPr>
                <w:b/>
                <w:i/>
              </w:rPr>
              <w:t xml:space="preserve">Regiunea de </w:t>
            </w:r>
            <w:hyperlink w:anchor="###" w:tooltip="##" w:history="1"/>
            <w:r w:rsidR="007038B5" w:rsidRPr="00E57CC3">
              <w:rPr>
                <w:b/>
                <w:i/>
              </w:rPr>
              <w:t>dezvoltare Vest</w:t>
            </w:r>
            <w:r w:rsidR="007038B5" w:rsidRPr="00E57CC3">
              <w:t xml:space="preserve"> are PIB/cap de locuitor mai mic sau egal cu 75% din media UE-27 (pe baza mediei ultimilor trei ani pentru care sunt disponibile date Eurostat), aceasta este </w:t>
            </w:r>
            <w:r w:rsidR="007038B5" w:rsidRPr="00E57CC3">
              <w:rPr>
                <w:b/>
                <w:i/>
              </w:rPr>
              <w:t>desemnată zonă „a” eligibilă</w:t>
            </w:r>
            <w:r w:rsidR="007038B5" w:rsidRPr="00E57CC3">
              <w:t xml:space="preserve">, potrivit pct. </w:t>
            </w:r>
            <w:r w:rsidR="000D0C56" w:rsidRPr="00E57CC3">
              <w:t xml:space="preserve">pct. 158 și 159 alin. 1) </w:t>
            </w:r>
            <w:r w:rsidR="007038B5" w:rsidRPr="00E57CC3">
              <w:t xml:space="preserve">din </w:t>
            </w:r>
            <w:r w:rsidR="007038B5" w:rsidRPr="00E57CC3">
              <w:rPr>
                <w:i/>
              </w:rPr>
              <w:t>Orientări</w:t>
            </w:r>
            <w:r w:rsidR="007038B5" w:rsidRPr="00E57CC3">
              <w:t xml:space="preserve"> şi îi corespunde o </w:t>
            </w:r>
            <w:r w:rsidR="007038B5" w:rsidRPr="00E57CC3">
              <w:rPr>
                <w:b/>
                <w:i/>
              </w:rPr>
              <w:t>intensitate maximă a ajutorului de stat de 30% pentru întreprinderi mari, 40% pentru întreprinderi mijlocii, respectiv 50% pentru întreprinderi mici</w:t>
            </w:r>
            <w:r w:rsidR="007038B5" w:rsidRPr="00E57CC3">
              <w:t xml:space="preserve">, în conformitate cu pct. 179 </w:t>
            </w:r>
            <w:r w:rsidR="000D0C56" w:rsidRPr="00E57CC3">
              <w:t>alin.</w:t>
            </w:r>
            <w:r w:rsidR="007038B5" w:rsidRPr="00E57CC3">
              <w:t xml:space="preserve"> 3</w:t>
            </w:r>
            <w:r w:rsidR="000D0C56" w:rsidRPr="00E57CC3">
              <w:t>)</w:t>
            </w:r>
            <w:r w:rsidR="007038B5" w:rsidRPr="00E57CC3">
              <w:t xml:space="preserve"> (PIB/cap de locuitor </w:t>
            </w:r>
            <w:r w:rsidR="007038B5" w:rsidRPr="00E57CC3">
              <w:rPr>
                <w:color w:val="000000"/>
                <w:shd w:val="clear" w:color="auto" w:fill="FFFFFF"/>
              </w:rPr>
              <w:t>mai mare de 65 % din media UE-27</w:t>
            </w:r>
            <w:r w:rsidR="007038B5" w:rsidRPr="00E57CC3">
              <w:t>)</w:t>
            </w:r>
            <w:r w:rsidR="003A0533" w:rsidRPr="00E57CC3">
              <w:t>,</w:t>
            </w:r>
            <w:r w:rsidR="007038B5" w:rsidRPr="00E57CC3">
              <w:t xml:space="preserve"> coroborat cu pct. 186 din </w:t>
            </w:r>
            <w:r w:rsidR="007038B5" w:rsidRPr="00E57CC3">
              <w:rPr>
                <w:i/>
              </w:rPr>
              <w:t>Orientări</w:t>
            </w:r>
            <w:r w:rsidR="007038B5" w:rsidRPr="00E57CC3">
              <w:t xml:space="preserve"> (intensitățile maxime ale ajutoarelor prezentate pot fi majorate cu până la 20 de puncte procentuale pentru întreprinderile mici sau cu până la 10 puncte procentuale pentru întreprinderile mijlocii).</w:t>
            </w:r>
          </w:p>
          <w:p w:rsidR="007038B5" w:rsidRPr="00E57CC3" w:rsidRDefault="007038B5" w:rsidP="007038B5">
            <w:pPr>
              <w:jc w:val="both"/>
            </w:pPr>
          </w:p>
          <w:p w:rsidR="007038B5" w:rsidRPr="00E57CC3" w:rsidRDefault="007038B5" w:rsidP="007038B5">
            <w:pPr>
              <w:jc w:val="both"/>
              <w:rPr>
                <w:b/>
                <w:i/>
                <w:u w:val="single"/>
              </w:rPr>
            </w:pPr>
            <w:r w:rsidRPr="00E57CC3">
              <w:rPr>
                <w:i/>
                <w:u w:val="single"/>
              </w:rPr>
              <w:t xml:space="preserve">Majorarea intensităților stabilite pentru toate </w:t>
            </w:r>
            <w:r w:rsidRPr="00E57CC3">
              <w:rPr>
                <w:b/>
                <w:i/>
                <w:u w:val="single"/>
              </w:rPr>
              <w:t>zonele „a”</w:t>
            </w:r>
          </w:p>
          <w:p w:rsidR="007038B5" w:rsidRPr="00E57CC3" w:rsidRDefault="007038B5" w:rsidP="007038B5">
            <w:pPr>
              <w:jc w:val="both"/>
              <w:rPr>
                <w:i/>
                <w:u w:val="single"/>
              </w:rPr>
            </w:pPr>
          </w:p>
          <w:p w:rsidR="00B43EC8" w:rsidRPr="00E57CC3" w:rsidRDefault="007038B5" w:rsidP="00FB18CE">
            <w:pPr>
              <w:jc w:val="both"/>
              <w:rPr>
                <w:color w:val="000000"/>
              </w:rPr>
            </w:pPr>
            <w:r w:rsidRPr="00E57CC3">
              <w:t xml:space="preserve">Potrivit pct. 187 din </w:t>
            </w:r>
            <w:r w:rsidRPr="00E57CC3">
              <w:rPr>
                <w:i/>
              </w:rPr>
              <w:t>Orientări</w:t>
            </w:r>
            <w:r w:rsidR="00014910" w:rsidRPr="00E57CC3">
              <w:rPr>
                <w:i/>
              </w:rPr>
              <w:t>,</w:t>
            </w:r>
            <w:r w:rsidRPr="00E57CC3">
              <w:rPr>
                <w:i/>
              </w:rPr>
              <w:t xml:space="preserve"> </w:t>
            </w:r>
            <w:r w:rsidRPr="00E57CC3">
              <w:rPr>
                <w:color w:val="000000"/>
              </w:rPr>
              <w:t xml:space="preserve">intensitățile maxime ale ajutoarelor stabilite pentru </w:t>
            </w:r>
            <w:r w:rsidRPr="00E57CC3">
              <w:rPr>
                <w:b/>
                <w:color w:val="000000"/>
              </w:rPr>
              <w:t>zonele „a”</w:t>
            </w:r>
            <w:r w:rsidRPr="00E57CC3">
              <w:rPr>
                <w:color w:val="000000"/>
              </w:rPr>
              <w:t xml:space="preserve"> pot fi majorate cu 10 puncte procentuale în cazul teritoriilor identificate pentru a primi sprijin din partea Fondului pentru o Tranziție Justă </w:t>
            </w:r>
            <w:r w:rsidRPr="00E57CC3">
              <w:rPr>
                <w:color w:val="000000"/>
              </w:rPr>
              <w:lastRenderedPageBreak/>
              <w:t xml:space="preserve">(FTJ) în cadrul unui plan teritorial pentru o tranziție justă al unui stat membru care a fost aprobat de Comisie, cu condiția ca teritoriile respective să se afle în zone asistate în conformitate cu articolul 107 alineatul (3) litera (a) din tratat. Potrivit </w:t>
            </w:r>
            <w:r w:rsidRPr="00E57CC3">
              <w:rPr>
                <w:i/>
                <w:color w:val="000000"/>
              </w:rPr>
              <w:t>Orientări</w:t>
            </w:r>
            <w:r w:rsidR="00014910" w:rsidRPr="00E57CC3">
              <w:rPr>
                <w:i/>
                <w:color w:val="000000"/>
              </w:rPr>
              <w:t>lor</w:t>
            </w:r>
            <w:r w:rsidR="00014910" w:rsidRPr="00E57CC3">
              <w:rPr>
                <w:color w:val="000000"/>
              </w:rPr>
              <w:t>,</w:t>
            </w:r>
            <w:r w:rsidRPr="00E57CC3">
              <w:rPr>
                <w:color w:val="000000"/>
              </w:rPr>
              <w:t xml:space="preserve"> </w:t>
            </w:r>
            <w:r w:rsidRPr="00E57CC3">
              <w:rPr>
                <w:color w:val="000000"/>
                <w:shd w:val="clear" w:color="auto" w:fill="FFFFFF"/>
              </w:rPr>
              <w:t>FTJ este unul dintre pilonii Mecanismului pentru o tranziție justă, care urmează să fie pus în aplicare în cadrul politicii de coeziune</w:t>
            </w:r>
            <w:r w:rsidR="00FC5109" w:rsidRPr="00E57CC3">
              <w:rPr>
                <w:color w:val="000000"/>
                <w:shd w:val="clear" w:color="auto" w:fill="FFFFFF"/>
              </w:rPr>
              <w:t xml:space="preserve"> </w:t>
            </w:r>
            <w:r w:rsidRPr="00E57CC3">
              <w:rPr>
                <w:color w:val="000000"/>
                <w:shd w:val="clear" w:color="auto" w:fill="FFFFFF"/>
              </w:rPr>
              <w:t>pentru a contribui la abordarea consecințelor sociale, economice și de mediu care pot însoți obiectivul ambițios al tranziției către o Uniune neutră din punct de vedere climatic până în 2050. Obiectivele FTJ sunt de a atenua efectele negative ale tranziției climatice prin sprijinirea celor mai afectate teritorii și a lucrătorilor vizați și de a promova o tranziție socio</w:t>
            </w:r>
            <w:r w:rsidR="00FB18CE" w:rsidRPr="00E57CC3">
              <w:rPr>
                <w:color w:val="000000"/>
                <w:shd w:val="clear" w:color="auto" w:fill="FFFFFF"/>
              </w:rPr>
              <w:t>-</w:t>
            </w:r>
            <w:r w:rsidRPr="00E57CC3">
              <w:rPr>
                <w:color w:val="000000"/>
                <w:shd w:val="clear" w:color="auto" w:fill="FFFFFF"/>
              </w:rPr>
              <w:t>economică echilibrată.</w:t>
            </w:r>
            <w:r w:rsidRPr="00E57CC3">
              <w:rPr>
                <w:color w:val="000000"/>
              </w:rPr>
              <w:t xml:space="preserve"> </w:t>
            </w:r>
          </w:p>
          <w:p w:rsidR="00B43EC8" w:rsidRPr="00B43EC8" w:rsidRDefault="00B43EC8" w:rsidP="00B43EC8">
            <w:pPr>
              <w:spacing w:after="160" w:line="259" w:lineRule="auto"/>
              <w:jc w:val="both"/>
            </w:pPr>
            <w:r w:rsidRPr="00B43EC8">
              <w:rPr>
                <w:bdr w:val="none" w:sz="0" w:space="0" w:color="auto" w:frame="1"/>
                <w:shd w:val="clear" w:color="auto" w:fill="FFFFFF"/>
              </w:rPr>
              <w:t>Intensitățile majorate ale ajutoarelor de stat</w:t>
            </w:r>
            <w:r w:rsidRPr="00B43EC8">
              <w:t xml:space="preserve"> prevăzute </w:t>
            </w:r>
            <w:r>
              <w:t>pentru aceste teritorii</w:t>
            </w:r>
            <w:r w:rsidRPr="00B43EC8">
              <w:t xml:space="preserve"> vor fi aplicabile după autorizarea de către Comisia Europeană a modificării hărții ajutoarelor de stat regionale pentru România. Modificarea va fi notificată Comisiei Europene și va consta în includerea, în harta regională, a teritoriilor</w:t>
            </w:r>
            <w:r w:rsidRPr="00B43EC8">
              <w:rPr>
                <w:bdr w:val="none" w:sz="0" w:space="0" w:color="auto" w:frame="1"/>
                <w:shd w:val="clear" w:color="auto" w:fill="FFFFFF"/>
              </w:rPr>
              <w:t xml:space="preserve"> NUTS 3 în conformitate cu prevederile alin. (4)</w:t>
            </w:r>
            <w:r w:rsidRPr="00B43EC8">
              <w:t>.</w:t>
            </w:r>
          </w:p>
          <w:p w:rsidR="007038B5" w:rsidRPr="00E57CC3" w:rsidRDefault="007038B5" w:rsidP="007038B5">
            <w:pPr>
              <w:jc w:val="both"/>
              <w:rPr>
                <w:color w:val="000000"/>
              </w:rPr>
            </w:pPr>
          </w:p>
          <w:p w:rsidR="000C0509" w:rsidRPr="00E57CC3" w:rsidRDefault="009974DC" w:rsidP="009974DC">
            <w:pPr>
              <w:shd w:val="clear" w:color="auto" w:fill="FFFFFF"/>
              <w:jc w:val="both"/>
              <w:rPr>
                <w:bdr w:val="none" w:sz="0" w:space="0" w:color="auto" w:frame="1"/>
                <w:shd w:val="clear" w:color="auto" w:fill="FFFFFF"/>
              </w:rPr>
            </w:pPr>
            <w:r w:rsidRPr="00E57CC3">
              <w:rPr>
                <w:bdr w:val="none" w:sz="0" w:space="0" w:color="auto" w:frame="1"/>
                <w:shd w:val="clear" w:color="auto" w:fill="FFFFFF"/>
              </w:rPr>
              <w:t xml:space="preserve">În plus, în cazul județelor care s-au confruntat cu o pierdere a populației de peste 10 %, în perioada 2009-2018, este prevăzută posibilitatea majorării intensităților cu 10 puncte procentuale pentru zonele „a”, potrivit pct. 188 din Orientări. Potrivit datelor furnizate de </w:t>
            </w:r>
            <w:r w:rsidR="00D035EC" w:rsidRPr="00E57CC3">
              <w:rPr>
                <w:bdr w:val="none" w:sz="0" w:space="0" w:color="auto" w:frame="1"/>
                <w:shd w:val="clear" w:color="auto" w:fill="FFFFFF"/>
              </w:rPr>
              <w:t>Eurostat</w:t>
            </w:r>
            <w:r w:rsidRPr="00E57CC3">
              <w:rPr>
                <w:bdr w:val="none" w:sz="0" w:space="0" w:color="auto" w:frame="1"/>
                <w:shd w:val="clear" w:color="auto" w:fill="FFFFFF"/>
                <w:vertAlign w:val="superscript"/>
              </w:rPr>
              <w:footnoteReference w:id="1"/>
            </w:r>
            <w:r w:rsidRPr="00E57CC3">
              <w:rPr>
                <w:bdr w:val="none" w:sz="0" w:space="0" w:color="auto" w:frame="1"/>
                <w:shd w:val="clear" w:color="auto" w:fill="FFFFFF"/>
              </w:rPr>
              <w:t xml:space="preserve">, </w:t>
            </w:r>
            <w:r w:rsidR="00D035EC" w:rsidRPr="00E57CC3">
              <w:rPr>
                <w:bdr w:val="none" w:sz="0" w:space="0" w:color="auto" w:frame="1"/>
                <w:shd w:val="clear" w:color="auto" w:fill="FFFFFF"/>
              </w:rPr>
              <w:t>următoarel</w:t>
            </w:r>
            <w:r w:rsidR="00355C6B" w:rsidRPr="00E57CC3">
              <w:rPr>
                <w:bdr w:val="none" w:sz="0" w:space="0" w:color="auto" w:frame="1"/>
                <w:shd w:val="clear" w:color="auto" w:fill="FFFFFF"/>
              </w:rPr>
              <w:t>e</w:t>
            </w:r>
            <w:r w:rsidR="00D035EC" w:rsidRPr="00E57CC3">
              <w:rPr>
                <w:bdr w:val="none" w:sz="0" w:space="0" w:color="auto" w:frame="1"/>
                <w:shd w:val="clear" w:color="auto" w:fill="FFFFFF"/>
              </w:rPr>
              <w:t xml:space="preserve"> regiuni NUTS 3 s-au confruntat cu o pierdere a populației de peste 10% în perioada 2009-2018: județele</w:t>
            </w:r>
            <w:r w:rsidR="00D035EC" w:rsidRPr="00E57CC3">
              <w:rPr>
                <w:b/>
                <w:bdr w:val="none" w:sz="0" w:space="0" w:color="auto" w:frame="1"/>
                <w:shd w:val="clear" w:color="auto" w:fill="FFFFFF"/>
              </w:rPr>
              <w:t xml:space="preserve"> Bistrița-Năsăud, Maramureș, Sălaj și Satu-Mare </w:t>
            </w:r>
            <w:r w:rsidR="00D035EC" w:rsidRPr="00E57CC3">
              <w:rPr>
                <w:bdr w:val="none" w:sz="0" w:space="0" w:color="auto" w:frame="1"/>
                <w:shd w:val="clear" w:color="auto" w:fill="FFFFFF"/>
              </w:rPr>
              <w:t>(regiunea de dezvoltare Nord-Vest); județul</w:t>
            </w:r>
            <w:r w:rsidR="00D035EC" w:rsidRPr="00E57CC3">
              <w:rPr>
                <w:b/>
                <w:bdr w:val="none" w:sz="0" w:space="0" w:color="auto" w:frame="1"/>
                <w:shd w:val="clear" w:color="auto" w:fill="FFFFFF"/>
              </w:rPr>
              <w:t xml:space="preserve"> Alba </w:t>
            </w:r>
            <w:r w:rsidR="00D035EC" w:rsidRPr="00E57CC3">
              <w:rPr>
                <w:bdr w:val="none" w:sz="0" w:space="0" w:color="auto" w:frame="1"/>
                <w:shd w:val="clear" w:color="auto" w:fill="FFFFFF"/>
              </w:rPr>
              <w:t>(regiunea de dezvoltare Centru); județele</w:t>
            </w:r>
            <w:r w:rsidR="00D035EC" w:rsidRPr="00E57CC3">
              <w:rPr>
                <w:b/>
                <w:bdr w:val="none" w:sz="0" w:space="0" w:color="auto" w:frame="1"/>
                <w:shd w:val="clear" w:color="auto" w:fill="FFFFFF"/>
              </w:rPr>
              <w:t xml:space="preserve"> Bacău, Botoșani, Neamț, Suceava și Vaslui </w:t>
            </w:r>
            <w:r w:rsidR="00D035EC" w:rsidRPr="00E57CC3">
              <w:rPr>
                <w:bdr w:val="none" w:sz="0" w:space="0" w:color="auto" w:frame="1"/>
                <w:shd w:val="clear" w:color="auto" w:fill="FFFFFF"/>
              </w:rPr>
              <w:t>(regiunea de dezvoltare Nord-Est); județele</w:t>
            </w:r>
            <w:r w:rsidR="00D035EC" w:rsidRPr="00E57CC3">
              <w:rPr>
                <w:b/>
                <w:bdr w:val="none" w:sz="0" w:space="0" w:color="auto" w:frame="1"/>
                <w:shd w:val="clear" w:color="auto" w:fill="FFFFFF"/>
              </w:rPr>
              <w:t xml:space="preserve"> Brăila, Buzău, Galați, Tulcea și Vrancea </w:t>
            </w:r>
            <w:r w:rsidR="00D035EC" w:rsidRPr="00E57CC3">
              <w:rPr>
                <w:bdr w:val="none" w:sz="0" w:space="0" w:color="auto" w:frame="1"/>
                <w:shd w:val="clear" w:color="auto" w:fill="FFFFFF"/>
              </w:rPr>
              <w:t>(regiunea de dezvoltare Sud-Est</w:t>
            </w:r>
            <w:r w:rsidR="00D035EC" w:rsidRPr="00E57CC3">
              <w:rPr>
                <w:b/>
                <w:bdr w:val="none" w:sz="0" w:space="0" w:color="auto" w:frame="1"/>
                <w:shd w:val="clear" w:color="auto" w:fill="FFFFFF"/>
              </w:rPr>
              <w:t xml:space="preserve">); </w:t>
            </w:r>
            <w:r w:rsidR="00D035EC" w:rsidRPr="00E57CC3">
              <w:rPr>
                <w:bdr w:val="none" w:sz="0" w:space="0" w:color="auto" w:frame="1"/>
                <w:shd w:val="clear" w:color="auto" w:fill="FFFFFF"/>
              </w:rPr>
              <w:t>județele</w:t>
            </w:r>
            <w:r w:rsidR="00D035EC" w:rsidRPr="00E57CC3">
              <w:rPr>
                <w:b/>
                <w:bdr w:val="none" w:sz="0" w:space="0" w:color="auto" w:frame="1"/>
                <w:shd w:val="clear" w:color="auto" w:fill="FFFFFF"/>
              </w:rPr>
              <w:t xml:space="preserve"> Călărași, Ialomița, Prahova și Teleorman </w:t>
            </w:r>
            <w:r w:rsidR="00D035EC" w:rsidRPr="00E57CC3">
              <w:rPr>
                <w:bdr w:val="none" w:sz="0" w:space="0" w:color="auto" w:frame="1"/>
                <w:shd w:val="clear" w:color="auto" w:fill="FFFFFF"/>
              </w:rPr>
              <w:t>(regiunea de dezvoltare Sud-Muntenia)</w:t>
            </w:r>
            <w:r w:rsidR="00D035EC" w:rsidRPr="00E57CC3">
              <w:rPr>
                <w:b/>
                <w:bdr w:val="none" w:sz="0" w:space="0" w:color="auto" w:frame="1"/>
                <w:shd w:val="clear" w:color="auto" w:fill="FFFFFF"/>
              </w:rPr>
              <w:t xml:space="preserve">; </w:t>
            </w:r>
            <w:r w:rsidR="00D035EC" w:rsidRPr="00E57CC3">
              <w:rPr>
                <w:bdr w:val="none" w:sz="0" w:space="0" w:color="auto" w:frame="1"/>
                <w:shd w:val="clear" w:color="auto" w:fill="FFFFFF"/>
              </w:rPr>
              <w:t>județele</w:t>
            </w:r>
            <w:r w:rsidR="00D035EC" w:rsidRPr="00E57CC3">
              <w:rPr>
                <w:b/>
                <w:bdr w:val="none" w:sz="0" w:space="0" w:color="auto" w:frame="1"/>
                <w:shd w:val="clear" w:color="auto" w:fill="FFFFFF"/>
              </w:rPr>
              <w:t xml:space="preserve"> Dolj, Gorj, Mehedinți, Olt și Vâlcea </w:t>
            </w:r>
            <w:r w:rsidR="00D035EC" w:rsidRPr="00E57CC3">
              <w:rPr>
                <w:bdr w:val="none" w:sz="0" w:space="0" w:color="auto" w:frame="1"/>
                <w:shd w:val="clear" w:color="auto" w:fill="FFFFFF"/>
              </w:rPr>
              <w:t>(regiunea de dezvoltare Sud-Vest Oltenia)</w:t>
            </w:r>
            <w:r w:rsidR="00D035EC" w:rsidRPr="00E57CC3">
              <w:rPr>
                <w:b/>
                <w:bdr w:val="none" w:sz="0" w:space="0" w:color="auto" w:frame="1"/>
                <w:shd w:val="clear" w:color="auto" w:fill="FFFFFF"/>
              </w:rPr>
              <w:t xml:space="preserve">, </w:t>
            </w:r>
            <w:r w:rsidR="00D035EC" w:rsidRPr="00E57CC3">
              <w:rPr>
                <w:bdr w:val="none" w:sz="0" w:space="0" w:color="auto" w:frame="1"/>
                <w:shd w:val="clear" w:color="auto" w:fill="FFFFFF"/>
              </w:rPr>
              <w:t>județele</w:t>
            </w:r>
            <w:r w:rsidR="00D035EC" w:rsidRPr="00E57CC3">
              <w:rPr>
                <w:b/>
                <w:bdr w:val="none" w:sz="0" w:space="0" w:color="auto" w:frame="1"/>
                <w:shd w:val="clear" w:color="auto" w:fill="FFFFFF"/>
              </w:rPr>
              <w:t xml:space="preserve"> Caraș-Severin și Hunedoara </w:t>
            </w:r>
            <w:r w:rsidR="00D035EC" w:rsidRPr="00E57CC3">
              <w:rPr>
                <w:bdr w:val="none" w:sz="0" w:space="0" w:color="auto" w:frame="1"/>
                <w:shd w:val="clear" w:color="auto" w:fill="FFFFFF"/>
              </w:rPr>
              <w:t>(regiunea de dezvoltare Vest)</w:t>
            </w:r>
            <w:r w:rsidR="00D035EC" w:rsidRPr="00E57CC3">
              <w:rPr>
                <w:b/>
                <w:bdr w:val="none" w:sz="0" w:space="0" w:color="auto" w:frame="1"/>
                <w:shd w:val="clear" w:color="auto" w:fill="FFFFFF"/>
              </w:rPr>
              <w:t xml:space="preserve">.  </w:t>
            </w:r>
            <w:r w:rsidRPr="00E57CC3">
              <w:rPr>
                <w:bdr w:val="none" w:sz="0" w:space="0" w:color="auto" w:frame="1"/>
                <w:shd w:val="clear" w:color="auto" w:fill="FFFFFF"/>
              </w:rPr>
              <w:t>Prin urmare, intensitatea ajutoarelor regionale acordate în acest</w:t>
            </w:r>
            <w:r w:rsidR="00D035EC" w:rsidRPr="00E57CC3">
              <w:rPr>
                <w:bdr w:val="none" w:sz="0" w:space="0" w:color="auto" w:frame="1"/>
                <w:shd w:val="clear" w:color="auto" w:fill="FFFFFF"/>
              </w:rPr>
              <w:t>e</w:t>
            </w:r>
            <w:r w:rsidRPr="00E57CC3">
              <w:rPr>
                <w:bdr w:val="none" w:sz="0" w:space="0" w:color="auto" w:frame="1"/>
                <w:shd w:val="clear" w:color="auto" w:fill="FFFFFF"/>
              </w:rPr>
              <w:t xml:space="preserve"> județ</w:t>
            </w:r>
            <w:r w:rsidR="00D035EC" w:rsidRPr="00E57CC3">
              <w:rPr>
                <w:bdr w:val="none" w:sz="0" w:space="0" w:color="auto" w:frame="1"/>
                <w:shd w:val="clear" w:color="auto" w:fill="FFFFFF"/>
              </w:rPr>
              <w:t>e</w:t>
            </w:r>
            <w:r w:rsidRPr="00E57CC3">
              <w:rPr>
                <w:bdr w:val="none" w:sz="0" w:space="0" w:color="auto" w:frame="1"/>
                <w:shd w:val="clear" w:color="auto" w:fill="FFFFFF"/>
              </w:rPr>
              <w:t xml:space="preserve"> poate fi majorată cu 10%.   </w:t>
            </w:r>
          </w:p>
          <w:p w:rsidR="009974DC" w:rsidRPr="00E57CC3" w:rsidRDefault="009974DC" w:rsidP="009974DC">
            <w:pPr>
              <w:shd w:val="clear" w:color="auto" w:fill="FFFFFF"/>
              <w:jc w:val="both"/>
              <w:rPr>
                <w:bdr w:val="none" w:sz="0" w:space="0" w:color="auto" w:frame="1"/>
                <w:shd w:val="clear" w:color="auto" w:fill="FFFFFF"/>
              </w:rPr>
            </w:pPr>
            <w:r w:rsidRPr="00E57CC3">
              <w:rPr>
                <w:bdr w:val="none" w:sz="0" w:space="0" w:color="auto" w:frame="1"/>
                <w:shd w:val="clear" w:color="auto" w:fill="FFFFFF"/>
              </w:rPr>
              <w:t xml:space="preserve"> </w:t>
            </w:r>
          </w:p>
          <w:p w:rsidR="007038B5" w:rsidRPr="00E57CC3" w:rsidRDefault="00B6253E" w:rsidP="007038B5">
            <w:pPr>
              <w:jc w:val="both"/>
              <w:rPr>
                <w:i/>
                <w:u w:val="single"/>
              </w:rPr>
            </w:pPr>
            <w:r w:rsidRPr="00E57CC3">
              <w:rPr>
                <w:i/>
              </w:rPr>
              <w:t xml:space="preserve">II. </w:t>
            </w:r>
            <w:r w:rsidR="007038B5" w:rsidRPr="00E57CC3">
              <w:rPr>
                <w:i/>
                <w:u w:val="single"/>
              </w:rPr>
              <w:t xml:space="preserve">Intensitățile maxime stabilite pentru </w:t>
            </w:r>
            <w:r w:rsidR="007038B5" w:rsidRPr="00E57CC3">
              <w:rPr>
                <w:b/>
                <w:i/>
                <w:u w:val="single"/>
              </w:rPr>
              <w:t>zonele „c”</w:t>
            </w:r>
            <w:r w:rsidR="007038B5" w:rsidRPr="00E57CC3">
              <w:rPr>
                <w:i/>
                <w:u w:val="single"/>
              </w:rPr>
              <w:t xml:space="preserve"> incluzând majorările intensităților pentru întreprinderi mici și mijlocii</w:t>
            </w:r>
          </w:p>
          <w:p w:rsidR="009974DC" w:rsidRPr="00E57CC3" w:rsidRDefault="009974DC" w:rsidP="009974DC">
            <w:pPr>
              <w:shd w:val="clear" w:color="auto" w:fill="FFFFFF"/>
              <w:jc w:val="both"/>
              <w:rPr>
                <w:bdr w:val="none" w:sz="0" w:space="0" w:color="auto" w:frame="1"/>
                <w:shd w:val="clear" w:color="auto" w:fill="FFFFFF"/>
              </w:rPr>
            </w:pPr>
            <w:r w:rsidRPr="00E57CC3">
              <w:rPr>
                <w:bdr w:val="none" w:sz="0" w:space="0" w:color="auto" w:frame="1"/>
                <w:shd w:val="clear" w:color="auto" w:fill="FFFFFF"/>
              </w:rPr>
              <w:t xml:space="preserve">Potrivit datelor furnizate de Eurostat, Regiunea de dezvoltare Bucureşti-Ilfov are PIB/cap de locuitor mai mare de 75% din media UE-27 (pe baza mediei ultimilor trei ani pentru care sunt disponibile date Eurostat). </w:t>
            </w:r>
          </w:p>
          <w:p w:rsidR="009974DC" w:rsidRPr="00E57CC3" w:rsidRDefault="009974DC" w:rsidP="009974DC">
            <w:pPr>
              <w:shd w:val="clear" w:color="auto" w:fill="FFFFFF"/>
              <w:jc w:val="both"/>
              <w:rPr>
                <w:bdr w:val="none" w:sz="0" w:space="0" w:color="auto" w:frame="1"/>
                <w:shd w:val="clear" w:color="auto" w:fill="FFFFFF"/>
              </w:rPr>
            </w:pPr>
            <w:r w:rsidRPr="00E57CC3">
              <w:rPr>
                <w:bdr w:val="none" w:sz="0" w:space="0" w:color="auto" w:frame="1"/>
                <w:shd w:val="clear" w:color="auto" w:fill="FFFFFF"/>
              </w:rPr>
              <w:t>Conform Hărții regionale pentru perioada 2014-2020, această regiune de dezvoltare a fost considerată zonă „c” predefinită (fostă zonă „a”). La pct. 166 alin. 1) din Orientări se stipulează că zonele ”c” predefinite sunt reginile NUTS 2 desemnate zona ”a” în perioada 2017-2020.</w:t>
            </w:r>
          </w:p>
          <w:p w:rsidR="009974DC" w:rsidRPr="00E57CC3" w:rsidRDefault="009974DC" w:rsidP="009974DC">
            <w:pPr>
              <w:spacing w:after="160" w:line="259" w:lineRule="auto"/>
              <w:jc w:val="both"/>
              <w:rPr>
                <w:rFonts w:eastAsia="Calibri"/>
                <w:b/>
                <w:lang w:val="en-US"/>
              </w:rPr>
            </w:pPr>
            <w:r w:rsidRPr="00E57CC3">
              <w:rPr>
                <w:rFonts w:eastAsia="Calibri"/>
                <w:b/>
                <w:lang w:val="en-US"/>
              </w:rPr>
              <w:t>În acest context, Regiunea București – Ilfov nu mai poate fi considerat</w:t>
            </w:r>
            <w:r w:rsidR="00FE0F6D">
              <w:rPr>
                <w:rFonts w:eastAsia="Calibri"/>
                <w:b/>
                <w:lang w:val="en-US"/>
              </w:rPr>
              <w:t>ă</w:t>
            </w:r>
            <w:r w:rsidRPr="00E57CC3">
              <w:rPr>
                <w:rFonts w:eastAsia="Calibri"/>
                <w:b/>
                <w:lang w:val="en-US"/>
              </w:rPr>
              <w:t xml:space="preserve"> ca fiind zonă asistată ”c” predefinită.</w:t>
            </w:r>
          </w:p>
          <w:p w:rsidR="009974DC" w:rsidRPr="00E57CC3" w:rsidRDefault="009974DC" w:rsidP="009974DC">
            <w:pPr>
              <w:spacing w:after="160" w:line="259" w:lineRule="auto"/>
              <w:jc w:val="both"/>
              <w:rPr>
                <w:rFonts w:eastAsia="Calibri"/>
                <w:b/>
                <w:u w:val="single"/>
                <w:lang w:val="en-US"/>
              </w:rPr>
            </w:pPr>
            <w:r w:rsidRPr="00E57CC3">
              <w:rPr>
                <w:rFonts w:eastAsia="Calibri"/>
                <w:b/>
                <w:u w:val="single"/>
                <w:lang w:val="en-US"/>
              </w:rPr>
              <w:t>Astfel, Regiunea București-Ilfov poate fi considerat</w:t>
            </w:r>
            <w:r w:rsidR="001524F8" w:rsidRPr="00E57CC3">
              <w:rPr>
                <w:rFonts w:eastAsia="Calibri"/>
                <w:b/>
                <w:u w:val="single"/>
              </w:rPr>
              <w:t>ă</w:t>
            </w:r>
            <w:r w:rsidRPr="00E57CC3">
              <w:rPr>
                <w:rFonts w:eastAsia="Calibri"/>
                <w:b/>
                <w:u w:val="single"/>
                <w:lang w:val="en-US"/>
              </w:rPr>
              <w:t xml:space="preserve"> ca zonă asistată ”c” care nu este predefinită.</w:t>
            </w:r>
          </w:p>
          <w:p w:rsidR="009974DC" w:rsidRPr="00E57CC3" w:rsidRDefault="009974DC" w:rsidP="009974DC">
            <w:pPr>
              <w:shd w:val="clear" w:color="auto" w:fill="FFFFFF"/>
              <w:jc w:val="both"/>
              <w:rPr>
                <w:bdr w:val="none" w:sz="0" w:space="0" w:color="auto" w:frame="1"/>
                <w:shd w:val="clear" w:color="auto" w:fill="FFFFFF"/>
              </w:rPr>
            </w:pPr>
            <w:r w:rsidRPr="00E57CC3">
              <w:rPr>
                <w:bdr w:val="none" w:sz="0" w:space="0" w:color="auto" w:frame="1"/>
                <w:shd w:val="clear" w:color="auto" w:fill="FFFFFF"/>
              </w:rPr>
              <w:lastRenderedPageBreak/>
              <w:t xml:space="preserve">Potrivit prevederilor din Anexa la Legea nr. 315 din 28 iunie 2004 privind dezvoltarea regională în România, cu modificările şi completările ulterioare, Regiunea Bucureşti-Ilfov grupează municipiul București și județul Ilfov. Astfel, intensitatea maximă a ajutoarelor de stat ce pot fi acordate în Regiunea Bucureşti-Ilfov poate fi stabilită/tratată distinct pentru </w:t>
            </w:r>
            <w:r w:rsidRPr="00E57CC3">
              <w:rPr>
                <w:b/>
                <w:bdr w:val="none" w:sz="0" w:space="0" w:color="auto" w:frame="1"/>
                <w:shd w:val="clear" w:color="auto" w:fill="FFFFFF"/>
              </w:rPr>
              <w:t>Judeţul Ilfov</w:t>
            </w:r>
            <w:r w:rsidRPr="00E57CC3">
              <w:rPr>
                <w:bdr w:val="none" w:sz="0" w:space="0" w:color="auto" w:frame="1"/>
                <w:shd w:val="clear" w:color="auto" w:fill="FFFFFF"/>
              </w:rPr>
              <w:t>.</w:t>
            </w:r>
          </w:p>
          <w:p w:rsidR="009974DC" w:rsidRPr="00E57CC3" w:rsidRDefault="009974DC" w:rsidP="009974DC">
            <w:pPr>
              <w:contextualSpacing/>
              <w:jc w:val="both"/>
            </w:pPr>
          </w:p>
          <w:p w:rsidR="009974DC" w:rsidRPr="00E57CC3" w:rsidRDefault="009974DC" w:rsidP="009974DC">
            <w:pPr>
              <w:shd w:val="clear" w:color="auto" w:fill="FFFFFF"/>
              <w:jc w:val="both"/>
              <w:rPr>
                <w:bdr w:val="none" w:sz="0" w:space="0" w:color="auto" w:frame="1"/>
                <w:shd w:val="clear" w:color="auto" w:fill="FFFFFF"/>
              </w:rPr>
            </w:pPr>
            <w:r w:rsidRPr="00E57CC3">
              <w:rPr>
                <w:bdr w:val="none" w:sz="0" w:space="0" w:color="auto" w:frame="1"/>
                <w:shd w:val="clear" w:color="auto" w:fill="FFFFFF"/>
              </w:rPr>
              <w:t xml:space="preserve">Potrivit pct. 170 coroborat cu Anexa III - ”Metoda ce urmează a fi aplicată pentru repartizarea între statele membre a acoperirii „c” care nu este predefinită” a </w:t>
            </w:r>
            <w:r w:rsidRPr="00E57CC3">
              <w:rPr>
                <w:i/>
                <w:bdr w:val="none" w:sz="0" w:space="0" w:color="auto" w:frame="1"/>
                <w:shd w:val="clear" w:color="auto" w:fill="FFFFFF"/>
              </w:rPr>
              <w:t>Orientărilor</w:t>
            </w:r>
            <w:r w:rsidRPr="00E57CC3">
              <w:rPr>
                <w:bdr w:val="none" w:sz="0" w:space="0" w:color="auto" w:frame="1"/>
                <w:shd w:val="clear" w:color="auto" w:fill="FFFFFF"/>
              </w:rPr>
              <w:t xml:space="preserve">, rezultă că România poate desemna, ca zone „c” care nu sunt predefinite, zone care să nu depășească 1,19% din totalul populației naționale. </w:t>
            </w:r>
          </w:p>
          <w:p w:rsidR="009974DC" w:rsidRPr="00E57CC3" w:rsidRDefault="009974DC" w:rsidP="009974DC">
            <w:pPr>
              <w:shd w:val="clear" w:color="auto" w:fill="FFFFFF"/>
              <w:jc w:val="both"/>
              <w:rPr>
                <w:bdr w:val="none" w:sz="0" w:space="0" w:color="auto" w:frame="1"/>
                <w:shd w:val="clear" w:color="auto" w:fill="FFFFFF"/>
              </w:rPr>
            </w:pPr>
          </w:p>
          <w:p w:rsidR="009974DC" w:rsidRPr="00E57CC3" w:rsidRDefault="009974DC" w:rsidP="009974DC">
            <w:pPr>
              <w:shd w:val="clear" w:color="auto" w:fill="FFFFFF"/>
              <w:jc w:val="both"/>
              <w:rPr>
                <w:bdr w:val="none" w:sz="0" w:space="0" w:color="auto" w:frame="1"/>
                <w:shd w:val="clear" w:color="auto" w:fill="FFFFFF"/>
              </w:rPr>
            </w:pPr>
            <w:r w:rsidRPr="00E57CC3">
              <w:rPr>
                <w:bdr w:val="none" w:sz="0" w:space="0" w:color="auto" w:frame="1"/>
                <w:shd w:val="clear" w:color="auto" w:fill="FFFFFF"/>
              </w:rPr>
              <w:t xml:space="preserve">În conformitate cu dispozițiile pct. 175 alin. 4) din Orientări, statele membre pot desemna ca zone ”c” acele zone ”c” care nu sunt predefinite și reprezintă regiuni NUTS 3 sau părți din regiuni NUTS 3 care formează zone învecinate care sunt adiacente unei zone ”a” (...)”.  </w:t>
            </w:r>
          </w:p>
          <w:p w:rsidR="004E3A9B" w:rsidRPr="00E57CC3" w:rsidRDefault="004E3A9B" w:rsidP="009974DC">
            <w:pPr>
              <w:shd w:val="clear" w:color="auto" w:fill="FFFFFF"/>
              <w:jc w:val="both"/>
              <w:rPr>
                <w:bdr w:val="none" w:sz="0" w:space="0" w:color="auto" w:frame="1"/>
                <w:shd w:val="clear" w:color="auto" w:fill="FFFFFF"/>
              </w:rPr>
            </w:pPr>
          </w:p>
          <w:p w:rsidR="00B212F6" w:rsidRPr="00E57CC3" w:rsidRDefault="004E3A9B" w:rsidP="001524F8">
            <w:pPr>
              <w:shd w:val="clear" w:color="auto" w:fill="FFFFFF"/>
              <w:jc w:val="both"/>
              <w:rPr>
                <w:bdr w:val="none" w:sz="0" w:space="0" w:color="auto" w:frame="1"/>
                <w:shd w:val="clear" w:color="auto" w:fill="FFFFFF"/>
              </w:rPr>
            </w:pPr>
            <w:r w:rsidRPr="00E57CC3">
              <w:rPr>
                <w:bdr w:val="none" w:sz="0" w:space="0" w:color="auto" w:frame="1"/>
                <w:shd w:val="clear" w:color="auto" w:fill="FFFFFF"/>
              </w:rPr>
              <w:t xml:space="preserve">Având în vedere cele anterior menționate atât în Orientări, cât și în cuprinsul Legii nr. 315/2004, următoarele </w:t>
            </w:r>
            <w:r w:rsidR="004C61FB" w:rsidRPr="00E57CC3">
              <w:rPr>
                <w:bdr w:val="none" w:sz="0" w:space="0" w:color="auto" w:frame="1"/>
                <w:shd w:val="clear" w:color="auto" w:fill="FFFFFF"/>
              </w:rPr>
              <w:t xml:space="preserve">UAT </w:t>
            </w:r>
            <w:r w:rsidRPr="00E57CC3">
              <w:rPr>
                <w:bdr w:val="none" w:sz="0" w:space="0" w:color="auto" w:frame="1"/>
                <w:shd w:val="clear" w:color="auto" w:fill="FFFFFF"/>
              </w:rPr>
              <w:t xml:space="preserve">din </w:t>
            </w:r>
            <w:r w:rsidRPr="00E57CC3">
              <w:rPr>
                <w:b/>
                <w:u w:val="single"/>
                <w:bdr w:val="none" w:sz="0" w:space="0" w:color="auto" w:frame="1"/>
                <w:shd w:val="clear" w:color="auto" w:fill="FFFFFF"/>
              </w:rPr>
              <w:t>Județul Ilfov po</w:t>
            </w:r>
            <w:r w:rsidR="00B212F6" w:rsidRPr="00E57CC3">
              <w:rPr>
                <w:b/>
                <w:u w:val="single"/>
                <w:bdr w:val="none" w:sz="0" w:space="0" w:color="auto" w:frame="1"/>
                <w:shd w:val="clear" w:color="auto" w:fill="FFFFFF"/>
              </w:rPr>
              <w:t>t</w:t>
            </w:r>
            <w:r w:rsidRPr="00E57CC3">
              <w:rPr>
                <w:b/>
                <w:u w:val="single"/>
                <w:bdr w:val="none" w:sz="0" w:space="0" w:color="auto" w:frame="1"/>
                <w:shd w:val="clear" w:color="auto" w:fill="FFFFFF"/>
              </w:rPr>
              <w:t xml:space="preserve"> fi considerat</w:t>
            </w:r>
            <w:r w:rsidR="00B212F6" w:rsidRPr="00E57CC3">
              <w:rPr>
                <w:b/>
                <w:u w:val="single"/>
                <w:bdr w:val="none" w:sz="0" w:space="0" w:color="auto" w:frame="1"/>
                <w:shd w:val="clear" w:color="auto" w:fill="FFFFFF"/>
              </w:rPr>
              <w:t>e</w:t>
            </w:r>
            <w:r w:rsidRPr="00E57CC3">
              <w:rPr>
                <w:b/>
                <w:u w:val="single"/>
                <w:bdr w:val="none" w:sz="0" w:space="0" w:color="auto" w:frame="1"/>
                <w:shd w:val="clear" w:color="auto" w:fill="FFFFFF"/>
              </w:rPr>
              <w:t xml:space="preserve"> ca fiind zonă asistată ”c” care nu este predefinită</w:t>
            </w:r>
            <w:r w:rsidRPr="00E57CC3">
              <w:rPr>
                <w:bdr w:val="none" w:sz="0" w:space="0" w:color="auto" w:frame="1"/>
                <w:shd w:val="clear" w:color="auto" w:fill="FFFFFF"/>
              </w:rPr>
              <w:t xml:space="preserve">:  </w:t>
            </w:r>
            <w:r w:rsidR="00B212F6" w:rsidRPr="00E57CC3">
              <w:rPr>
                <w:bdr w:val="none" w:sz="0" w:space="0" w:color="auto" w:frame="1"/>
                <w:shd w:val="clear" w:color="auto" w:fill="FFFFFF"/>
              </w:rPr>
              <w:t xml:space="preserve">Periș, Nuci, </w:t>
            </w:r>
            <w:r w:rsidR="006A0565" w:rsidRPr="00E57CC3">
              <w:rPr>
                <w:bdr w:val="none" w:sz="0" w:space="0" w:color="auto" w:frame="1"/>
                <w:shd w:val="clear" w:color="auto" w:fill="FFFFFF"/>
              </w:rPr>
              <w:t xml:space="preserve">Grădiștea, </w:t>
            </w:r>
            <w:r w:rsidR="00B212F6" w:rsidRPr="00E57CC3">
              <w:rPr>
                <w:bdr w:val="none" w:sz="0" w:space="0" w:color="auto" w:frame="1"/>
                <w:shd w:val="clear" w:color="auto" w:fill="FFFFFF"/>
              </w:rPr>
              <w:t>Dărăști-Ilfov, Moara Vlăsiei, Gruiu, Petrăchioaia, Dascălu, 1 Decembrie, Cornetu, Ciolpani, Berceni, Vidra, Copăceni, Snagov, Cernica, Domnești, Corbeanca, Balotești, Bragadiru, Jilava, Glina, Pantelimon, Ciorogârla, Chitila, Dobroești, Buftea</w:t>
            </w:r>
            <w:r w:rsidR="001524F8" w:rsidRPr="00E57CC3">
              <w:rPr>
                <w:bdr w:val="none" w:sz="0" w:space="0" w:color="auto" w:frame="1"/>
                <w:shd w:val="clear" w:color="auto" w:fill="FFFFFF"/>
              </w:rPr>
              <w:t>,</w:t>
            </w:r>
            <w:r w:rsidR="00FE0F6D">
              <w:rPr>
                <w:bdr w:val="none" w:sz="0" w:space="0" w:color="auto" w:frame="1"/>
                <w:shd w:val="clear" w:color="auto" w:fill="FFFFFF"/>
              </w:rPr>
              <w:t xml:space="preserve"> Clinceni,</w:t>
            </w:r>
            <w:r w:rsidR="001524F8" w:rsidRPr="00E57CC3">
              <w:rPr>
                <w:bdr w:val="none" w:sz="0" w:space="0" w:color="auto" w:frame="1"/>
                <w:shd w:val="clear" w:color="auto" w:fill="FFFFFF"/>
              </w:rPr>
              <w:t xml:space="preserve"> cu următoarele intensități pentru perioada 2022-2027:</w:t>
            </w:r>
          </w:p>
          <w:p w:rsidR="004E3A9B" w:rsidRPr="00E57CC3" w:rsidRDefault="004E3A9B" w:rsidP="004E3A9B">
            <w:pPr>
              <w:shd w:val="clear" w:color="auto" w:fill="FFFFFF"/>
              <w:jc w:val="both"/>
              <w:rPr>
                <w:bdr w:val="none" w:sz="0" w:space="0" w:color="auto" w:frame="1"/>
                <w:shd w:val="clear" w:color="auto" w:fill="FFFFFF"/>
              </w:rPr>
            </w:pPr>
          </w:p>
          <w:p w:rsidR="00FE0F6D" w:rsidRDefault="004E3A9B" w:rsidP="00366DD1">
            <w:pPr>
              <w:numPr>
                <w:ilvl w:val="0"/>
                <w:numId w:val="37"/>
              </w:numPr>
              <w:shd w:val="clear" w:color="auto" w:fill="FFFFFF"/>
              <w:spacing w:after="160" w:line="259" w:lineRule="auto"/>
              <w:jc w:val="both"/>
              <w:rPr>
                <w:bdr w:val="none" w:sz="0" w:space="0" w:color="auto" w:frame="1"/>
                <w:shd w:val="clear" w:color="auto" w:fill="FFFFFF"/>
              </w:rPr>
            </w:pPr>
            <w:r w:rsidRPr="00E57CC3">
              <w:rPr>
                <w:b/>
                <w:bdr w:val="none" w:sz="0" w:space="0" w:color="auto" w:frame="1"/>
                <w:shd w:val="clear" w:color="auto" w:fill="FFFFFF"/>
              </w:rPr>
              <w:t>întreprinderi mari</w:t>
            </w:r>
            <w:r w:rsidR="00FE0F6D">
              <w:rPr>
                <w:b/>
                <w:bdr w:val="none" w:sz="0" w:space="0" w:color="auto" w:frame="1"/>
                <w:shd w:val="clear" w:color="auto" w:fill="FFFFFF"/>
              </w:rPr>
              <w:t>:</w:t>
            </w:r>
          </w:p>
          <w:p w:rsidR="004E3A9B" w:rsidRDefault="004E3A9B" w:rsidP="00230A78">
            <w:pPr>
              <w:numPr>
                <w:ilvl w:val="1"/>
                <w:numId w:val="37"/>
              </w:numPr>
              <w:shd w:val="clear" w:color="auto" w:fill="FFFFFF"/>
              <w:spacing w:after="160" w:line="259" w:lineRule="auto"/>
              <w:jc w:val="both"/>
              <w:rPr>
                <w:bdr w:val="none" w:sz="0" w:space="0" w:color="auto" w:frame="1"/>
                <w:shd w:val="clear" w:color="auto" w:fill="FFFFFF"/>
              </w:rPr>
            </w:pPr>
            <w:r w:rsidRPr="00FE0F6D">
              <w:rPr>
                <w:b/>
                <w:bdr w:val="none" w:sz="0" w:space="0" w:color="auto" w:frame="1"/>
                <w:shd w:val="clear" w:color="auto" w:fill="FFFFFF"/>
              </w:rPr>
              <w:t xml:space="preserve">intensitate </w:t>
            </w:r>
            <w:r w:rsidR="00FE0F6D">
              <w:rPr>
                <w:b/>
                <w:bdr w:val="none" w:sz="0" w:space="0" w:color="auto" w:frame="1"/>
                <w:shd w:val="clear" w:color="auto" w:fill="FFFFFF"/>
              </w:rPr>
              <w:t>4</w:t>
            </w:r>
            <w:r w:rsidRPr="00FE0F6D">
              <w:rPr>
                <w:b/>
                <w:bdr w:val="none" w:sz="0" w:space="0" w:color="auto" w:frame="1"/>
                <w:shd w:val="clear" w:color="auto" w:fill="FFFFFF"/>
              </w:rPr>
              <w:t>5</w:t>
            </w:r>
            <w:r w:rsidR="00FE0F6D">
              <w:rPr>
                <w:b/>
                <w:bdr w:val="none" w:sz="0" w:space="0" w:color="auto" w:frame="1"/>
                <w:shd w:val="clear" w:color="auto" w:fill="FFFFFF"/>
              </w:rPr>
              <w:t xml:space="preserve"> </w:t>
            </w:r>
            <w:r w:rsidRPr="00FE0F6D">
              <w:rPr>
                <w:b/>
                <w:bdr w:val="none" w:sz="0" w:space="0" w:color="auto" w:frame="1"/>
                <w:shd w:val="clear" w:color="auto" w:fill="FFFFFF"/>
              </w:rPr>
              <w:t>%</w:t>
            </w:r>
            <w:r w:rsidRPr="00FE0F6D">
              <w:rPr>
                <w:bdr w:val="none" w:sz="0" w:space="0" w:color="auto" w:frame="1"/>
                <w:shd w:val="clear" w:color="auto" w:fill="FFFFFF"/>
              </w:rPr>
              <w:t xml:space="preserve"> </w:t>
            </w:r>
            <w:r w:rsidR="00366DD1">
              <w:rPr>
                <w:bdr w:val="none" w:sz="0" w:space="0" w:color="auto" w:frame="1"/>
                <w:shd w:val="clear" w:color="auto" w:fill="FFFFFF"/>
              </w:rPr>
              <w:t xml:space="preserve">pentru localitățile: </w:t>
            </w:r>
            <w:r w:rsidR="00366DD1" w:rsidRPr="00366DD1">
              <w:rPr>
                <w:bdr w:val="none" w:sz="0" w:space="0" w:color="auto" w:frame="1"/>
                <w:shd w:val="clear" w:color="auto" w:fill="FFFFFF"/>
              </w:rPr>
              <w:t xml:space="preserve">Periș, Ciolpani, Snagov, Gruiu, Nuci, Grădiștea, Petrăchioaia, Dascălu, Moara Vlăsiei, Balotești, Corbeanca, Buftea, Chitila, Glina, Cernica, Dobroești, Pantelimon </w:t>
            </w:r>
            <w:r w:rsidRPr="00FE0F6D">
              <w:rPr>
                <w:bdr w:val="none" w:sz="0" w:space="0" w:color="auto" w:frame="1"/>
                <w:shd w:val="clear" w:color="auto" w:fill="FFFFFF"/>
              </w:rPr>
              <w:t xml:space="preserve">(conform punctului 184 </w:t>
            </w:r>
            <w:r w:rsidR="00366DD1" w:rsidRPr="00073AE1">
              <w:rPr>
                <w:bdr w:val="none" w:sz="0" w:space="0" w:color="auto" w:frame="1"/>
                <w:shd w:val="clear" w:color="auto" w:fill="FFFFFF"/>
              </w:rPr>
              <w:t xml:space="preserve">coroborat cu </w:t>
            </w:r>
            <w:r w:rsidR="00366DD1">
              <w:rPr>
                <w:bdr w:val="none" w:sz="0" w:space="0" w:color="auto" w:frame="1"/>
                <w:shd w:val="clear" w:color="auto" w:fill="FFFFFF"/>
              </w:rPr>
              <w:t xml:space="preserve">punctul </w:t>
            </w:r>
            <w:r w:rsidR="00366DD1" w:rsidRPr="00073AE1">
              <w:rPr>
                <w:bdr w:val="none" w:sz="0" w:space="0" w:color="auto" w:frame="1"/>
                <w:shd w:val="clear" w:color="auto" w:fill="FFFFFF"/>
              </w:rPr>
              <w:t>188</w:t>
            </w:r>
            <w:r w:rsidR="00366DD1">
              <w:rPr>
                <w:bdr w:val="none" w:sz="0" w:space="0" w:color="auto" w:frame="1"/>
                <w:shd w:val="clear" w:color="auto" w:fill="FFFFFF"/>
              </w:rPr>
              <w:t xml:space="preserve"> </w:t>
            </w:r>
            <w:r w:rsidRPr="00FE0F6D">
              <w:rPr>
                <w:bdr w:val="none" w:sz="0" w:space="0" w:color="auto" w:frame="1"/>
                <w:shd w:val="clear" w:color="auto" w:fill="FFFFFF"/>
              </w:rPr>
              <w:t xml:space="preserve">din </w:t>
            </w:r>
            <w:r w:rsidRPr="00FE0F6D">
              <w:rPr>
                <w:i/>
                <w:bdr w:val="none" w:sz="0" w:space="0" w:color="auto" w:frame="1"/>
                <w:shd w:val="clear" w:color="auto" w:fill="FFFFFF"/>
              </w:rPr>
              <w:t>Orientări</w:t>
            </w:r>
            <w:r w:rsidR="00A46481">
              <w:rPr>
                <w:i/>
                <w:bdr w:val="none" w:sz="0" w:space="0" w:color="auto" w:frame="1"/>
                <w:shd w:val="clear" w:color="auto" w:fill="FFFFFF"/>
              </w:rPr>
              <w:t xml:space="preserve"> - </w:t>
            </w:r>
            <w:r w:rsidR="00A46481">
              <w:t xml:space="preserve">întrucât se învecinează cu zonele NUTS </w:t>
            </w:r>
            <w:r w:rsidR="008B5DAD">
              <w:t>3</w:t>
            </w:r>
            <w:r w:rsidR="00A46481">
              <w:t xml:space="preserve"> </w:t>
            </w:r>
            <w:r w:rsidR="00734AAA">
              <w:t>județe</w:t>
            </w:r>
            <w:r w:rsidR="00A46481">
              <w:t>l</w:t>
            </w:r>
            <w:r w:rsidR="00734AAA">
              <w:t>e</w:t>
            </w:r>
            <w:r w:rsidR="00A46481">
              <w:t xml:space="preserve"> </w:t>
            </w:r>
            <w:r w:rsidR="008B5DAD" w:rsidRPr="008B5DAD">
              <w:t>Prahova, Ialomi</w:t>
            </w:r>
            <w:r w:rsidR="008B5DAD">
              <w:t>ț</w:t>
            </w:r>
            <w:r w:rsidR="008B5DAD" w:rsidRPr="008B5DAD">
              <w:t xml:space="preserve">a </w:t>
            </w:r>
            <w:r w:rsidR="008B5DAD">
              <w:t>și</w:t>
            </w:r>
            <w:r w:rsidR="008B5DAD" w:rsidRPr="008B5DAD">
              <w:t xml:space="preserve"> C</w:t>
            </w:r>
            <w:r w:rsidR="008B5DAD">
              <w:t>ă</w:t>
            </w:r>
            <w:r w:rsidR="008B5DAD" w:rsidRPr="008B5DAD">
              <w:t>l</w:t>
            </w:r>
            <w:r w:rsidR="008B5DAD">
              <w:t>ă</w:t>
            </w:r>
            <w:r w:rsidR="008B5DAD" w:rsidRPr="008B5DAD">
              <w:t>ra</w:t>
            </w:r>
            <w:r w:rsidR="008B5DAD">
              <w:t>ș</w:t>
            </w:r>
            <w:r w:rsidR="008B5DAD" w:rsidRPr="008B5DAD">
              <w:t>i</w:t>
            </w:r>
            <w:r w:rsidR="00A46481">
              <w:t>, care pot beneficia de o intensitate de 60%=50% +10%)</w:t>
            </w:r>
            <w:r w:rsidR="002E2926" w:rsidRPr="00FE0F6D">
              <w:rPr>
                <w:bdr w:val="none" w:sz="0" w:space="0" w:color="auto" w:frame="1"/>
                <w:shd w:val="clear" w:color="auto" w:fill="FFFFFF"/>
              </w:rPr>
              <w:t>;</w:t>
            </w:r>
          </w:p>
          <w:p w:rsidR="00366DD1" w:rsidRPr="00FE0F6D" w:rsidRDefault="00366DD1" w:rsidP="00366DD1">
            <w:pPr>
              <w:numPr>
                <w:ilvl w:val="1"/>
                <w:numId w:val="37"/>
              </w:numPr>
              <w:shd w:val="clear" w:color="auto" w:fill="FFFFFF"/>
              <w:spacing w:after="160" w:line="259" w:lineRule="auto"/>
              <w:jc w:val="both"/>
              <w:rPr>
                <w:bdr w:val="none" w:sz="0" w:space="0" w:color="auto" w:frame="1"/>
                <w:shd w:val="clear" w:color="auto" w:fill="FFFFFF"/>
              </w:rPr>
            </w:pPr>
            <w:r>
              <w:rPr>
                <w:b/>
                <w:bdr w:val="none" w:sz="0" w:space="0" w:color="auto" w:frame="1"/>
                <w:shd w:val="clear" w:color="auto" w:fill="FFFFFF"/>
              </w:rPr>
              <w:t>i</w:t>
            </w:r>
            <w:r w:rsidR="00FE0F6D">
              <w:rPr>
                <w:b/>
                <w:bdr w:val="none" w:sz="0" w:space="0" w:color="auto" w:frame="1"/>
                <w:shd w:val="clear" w:color="auto" w:fill="FFFFFF"/>
              </w:rPr>
              <w:t>ntensitate 35 %</w:t>
            </w:r>
            <w:r>
              <w:rPr>
                <w:b/>
                <w:bdr w:val="none" w:sz="0" w:space="0" w:color="auto" w:frame="1"/>
                <w:shd w:val="clear" w:color="auto" w:fill="FFFFFF"/>
              </w:rPr>
              <w:t xml:space="preserve"> </w:t>
            </w:r>
            <w:r>
              <w:rPr>
                <w:bdr w:val="none" w:sz="0" w:space="0" w:color="auto" w:frame="1"/>
                <w:shd w:val="clear" w:color="auto" w:fill="FFFFFF"/>
              </w:rPr>
              <w:t>pentru localitățile:</w:t>
            </w:r>
            <w:r w:rsidRPr="00FE0F6D">
              <w:rPr>
                <w:bdr w:val="none" w:sz="0" w:space="0" w:color="auto" w:frame="1"/>
                <w:shd w:val="clear" w:color="auto" w:fill="FFFFFF"/>
              </w:rPr>
              <w:t xml:space="preserve"> </w:t>
            </w:r>
            <w:r w:rsidRPr="00366DD1">
              <w:rPr>
                <w:bdr w:val="none" w:sz="0" w:space="0" w:color="auto" w:frame="1"/>
                <w:shd w:val="clear" w:color="auto" w:fill="FFFFFF"/>
              </w:rPr>
              <w:t xml:space="preserve">Ciorogârla, Domnești, Cornetu, Bragadiru, Dărăști-Ilfov, Jilava, 1 Decembrie, Copăceni, Vidra, Berceni, Clinceni </w:t>
            </w:r>
            <w:r w:rsidRPr="00FE0F6D">
              <w:rPr>
                <w:bdr w:val="none" w:sz="0" w:space="0" w:color="auto" w:frame="1"/>
                <w:shd w:val="clear" w:color="auto" w:fill="FFFFFF"/>
              </w:rPr>
              <w:t>(</w:t>
            </w:r>
            <w:r w:rsidRPr="00E57CC3">
              <w:rPr>
                <w:bdr w:val="none" w:sz="0" w:space="0" w:color="auto" w:frame="1"/>
                <w:shd w:val="clear" w:color="auto" w:fill="FFFFFF"/>
              </w:rPr>
              <w:t>conform pct. 184 coroborat cu pct. 186</w:t>
            </w:r>
            <w:r>
              <w:rPr>
                <w:bdr w:val="none" w:sz="0" w:space="0" w:color="auto" w:frame="1"/>
                <w:shd w:val="clear" w:color="auto" w:fill="FFFFFF"/>
              </w:rPr>
              <w:t xml:space="preserve"> </w:t>
            </w:r>
            <w:r w:rsidRPr="00FE0F6D">
              <w:rPr>
                <w:bdr w:val="none" w:sz="0" w:space="0" w:color="auto" w:frame="1"/>
                <w:shd w:val="clear" w:color="auto" w:fill="FFFFFF"/>
              </w:rPr>
              <w:t xml:space="preserve">din </w:t>
            </w:r>
            <w:r w:rsidRPr="00FE0F6D">
              <w:rPr>
                <w:i/>
                <w:bdr w:val="none" w:sz="0" w:space="0" w:color="auto" w:frame="1"/>
                <w:shd w:val="clear" w:color="auto" w:fill="FFFFFF"/>
              </w:rPr>
              <w:t>Orientări</w:t>
            </w:r>
            <w:r w:rsidR="00A46481">
              <w:rPr>
                <w:i/>
                <w:bdr w:val="none" w:sz="0" w:space="0" w:color="auto" w:frame="1"/>
                <w:shd w:val="clear" w:color="auto" w:fill="FFFFFF"/>
              </w:rPr>
              <w:t xml:space="preserve"> - </w:t>
            </w:r>
            <w:r w:rsidR="00A46481">
              <w:rPr>
                <w:bdr w:val="none" w:sz="0" w:space="0" w:color="auto" w:frame="1"/>
                <w:shd w:val="clear" w:color="auto" w:fill="FFFFFF"/>
              </w:rPr>
              <w:t>î</w:t>
            </w:r>
            <w:r w:rsidR="00A46481">
              <w:t>ntrucât se învecinează cu zonele NUTS 3 județul Giurgiu, care poate beneficia de o intensitate de 50%)</w:t>
            </w:r>
            <w:r w:rsidRPr="00FE0F6D">
              <w:rPr>
                <w:bdr w:val="none" w:sz="0" w:space="0" w:color="auto" w:frame="1"/>
                <w:shd w:val="clear" w:color="auto" w:fill="FFFFFF"/>
              </w:rPr>
              <w:t>;</w:t>
            </w:r>
          </w:p>
          <w:p w:rsidR="004E3A9B" w:rsidRDefault="004E3A9B" w:rsidP="00230A78">
            <w:pPr>
              <w:numPr>
                <w:ilvl w:val="0"/>
                <w:numId w:val="37"/>
              </w:numPr>
              <w:shd w:val="clear" w:color="auto" w:fill="FFFFFF"/>
              <w:spacing w:after="160" w:line="259" w:lineRule="auto"/>
              <w:jc w:val="both"/>
              <w:rPr>
                <w:bdr w:val="none" w:sz="0" w:space="0" w:color="auto" w:frame="1"/>
                <w:shd w:val="clear" w:color="auto" w:fill="FFFFFF"/>
              </w:rPr>
            </w:pPr>
            <w:r w:rsidRPr="00E57CC3">
              <w:rPr>
                <w:b/>
                <w:bdr w:val="none" w:sz="0" w:space="0" w:color="auto" w:frame="1"/>
                <w:shd w:val="clear" w:color="auto" w:fill="FFFFFF"/>
              </w:rPr>
              <w:t>întreprinderi mijlocii</w:t>
            </w:r>
            <w:r w:rsidR="00B208B2">
              <w:rPr>
                <w:b/>
                <w:bdr w:val="none" w:sz="0" w:space="0" w:color="auto" w:frame="1"/>
                <w:shd w:val="clear" w:color="auto" w:fill="FFFFFF"/>
              </w:rPr>
              <w:t>:</w:t>
            </w:r>
            <w:r w:rsidRPr="00E57CC3">
              <w:rPr>
                <w:b/>
                <w:bdr w:val="none" w:sz="0" w:space="0" w:color="auto" w:frame="1"/>
                <w:shd w:val="clear" w:color="auto" w:fill="FFFFFF"/>
              </w:rPr>
              <w:t xml:space="preserve"> </w:t>
            </w:r>
          </w:p>
          <w:p w:rsidR="00366DD1" w:rsidRDefault="00366DD1" w:rsidP="00366DD1">
            <w:pPr>
              <w:numPr>
                <w:ilvl w:val="1"/>
                <w:numId w:val="37"/>
              </w:numPr>
              <w:shd w:val="clear" w:color="auto" w:fill="FFFFFF"/>
              <w:spacing w:after="160" w:line="259" w:lineRule="auto"/>
              <w:jc w:val="both"/>
              <w:rPr>
                <w:bdr w:val="none" w:sz="0" w:space="0" w:color="auto" w:frame="1"/>
                <w:shd w:val="clear" w:color="auto" w:fill="FFFFFF"/>
              </w:rPr>
            </w:pPr>
            <w:r w:rsidRPr="00FE0F6D">
              <w:rPr>
                <w:b/>
                <w:bdr w:val="none" w:sz="0" w:space="0" w:color="auto" w:frame="1"/>
                <w:shd w:val="clear" w:color="auto" w:fill="FFFFFF"/>
              </w:rPr>
              <w:t xml:space="preserve">intensitate </w:t>
            </w:r>
            <w:r>
              <w:rPr>
                <w:b/>
                <w:bdr w:val="none" w:sz="0" w:space="0" w:color="auto" w:frame="1"/>
                <w:shd w:val="clear" w:color="auto" w:fill="FFFFFF"/>
              </w:rPr>
              <w:t>5</w:t>
            </w:r>
            <w:r w:rsidRPr="00FE0F6D">
              <w:rPr>
                <w:b/>
                <w:bdr w:val="none" w:sz="0" w:space="0" w:color="auto" w:frame="1"/>
                <w:shd w:val="clear" w:color="auto" w:fill="FFFFFF"/>
              </w:rPr>
              <w:t>5</w:t>
            </w:r>
            <w:r>
              <w:rPr>
                <w:b/>
                <w:bdr w:val="none" w:sz="0" w:space="0" w:color="auto" w:frame="1"/>
                <w:shd w:val="clear" w:color="auto" w:fill="FFFFFF"/>
              </w:rPr>
              <w:t xml:space="preserve"> </w:t>
            </w:r>
            <w:r w:rsidRPr="00FE0F6D">
              <w:rPr>
                <w:b/>
                <w:bdr w:val="none" w:sz="0" w:space="0" w:color="auto" w:frame="1"/>
                <w:shd w:val="clear" w:color="auto" w:fill="FFFFFF"/>
              </w:rPr>
              <w:t>%</w:t>
            </w:r>
            <w:r w:rsidRPr="00FE0F6D">
              <w:rPr>
                <w:bdr w:val="none" w:sz="0" w:space="0" w:color="auto" w:frame="1"/>
                <w:shd w:val="clear" w:color="auto" w:fill="FFFFFF"/>
              </w:rPr>
              <w:t xml:space="preserve"> </w:t>
            </w:r>
            <w:r>
              <w:rPr>
                <w:bdr w:val="none" w:sz="0" w:space="0" w:color="auto" w:frame="1"/>
                <w:shd w:val="clear" w:color="auto" w:fill="FFFFFF"/>
              </w:rPr>
              <w:t xml:space="preserve">pentru localitățile: </w:t>
            </w:r>
            <w:r w:rsidRPr="00366DD1">
              <w:rPr>
                <w:bdr w:val="none" w:sz="0" w:space="0" w:color="auto" w:frame="1"/>
                <w:shd w:val="clear" w:color="auto" w:fill="FFFFFF"/>
              </w:rPr>
              <w:t xml:space="preserve">Periș, Ciolpani, Snagov, Gruiu, Nuci, Grădiștea, Petrăchioaia, Dascălu, Moara Vlăsiei, Balotești, Corbeanca, Buftea, Chitila, Glina, Cernica, Dobroești, Pantelimon </w:t>
            </w:r>
            <w:r w:rsidRPr="00E57CC3">
              <w:rPr>
                <w:bdr w:val="none" w:sz="0" w:space="0" w:color="auto" w:frame="1"/>
                <w:shd w:val="clear" w:color="auto" w:fill="FFFFFF"/>
              </w:rPr>
              <w:t>(conform pct. 184 coroborat cu pct. 186</w:t>
            </w:r>
            <w:r>
              <w:rPr>
                <w:bdr w:val="none" w:sz="0" w:space="0" w:color="auto" w:frame="1"/>
                <w:shd w:val="clear" w:color="auto" w:fill="FFFFFF"/>
              </w:rPr>
              <w:t xml:space="preserve"> și 188</w:t>
            </w:r>
            <w:r w:rsidRPr="00E57CC3">
              <w:rPr>
                <w:bdr w:val="none" w:sz="0" w:space="0" w:color="auto" w:frame="1"/>
                <w:shd w:val="clear" w:color="auto" w:fill="FFFFFF"/>
              </w:rPr>
              <w:t xml:space="preserve"> din </w:t>
            </w:r>
            <w:r w:rsidRPr="00E57CC3">
              <w:rPr>
                <w:i/>
                <w:bdr w:val="none" w:sz="0" w:space="0" w:color="auto" w:frame="1"/>
                <w:shd w:val="clear" w:color="auto" w:fill="FFFFFF"/>
              </w:rPr>
              <w:t>Orientări</w:t>
            </w:r>
            <w:r w:rsidRPr="00E57CC3">
              <w:rPr>
                <w:bdr w:val="none" w:sz="0" w:space="0" w:color="auto" w:frame="1"/>
                <w:shd w:val="clear" w:color="auto" w:fill="FFFFFF"/>
              </w:rPr>
              <w:t>);</w:t>
            </w:r>
            <w:r w:rsidRPr="00FE0F6D">
              <w:rPr>
                <w:bdr w:val="none" w:sz="0" w:space="0" w:color="auto" w:frame="1"/>
                <w:shd w:val="clear" w:color="auto" w:fill="FFFFFF"/>
              </w:rPr>
              <w:t xml:space="preserve"> </w:t>
            </w:r>
          </w:p>
          <w:p w:rsidR="00366DD1" w:rsidRPr="00FE0F6D" w:rsidRDefault="00366DD1" w:rsidP="00366DD1">
            <w:pPr>
              <w:numPr>
                <w:ilvl w:val="1"/>
                <w:numId w:val="37"/>
              </w:numPr>
              <w:shd w:val="clear" w:color="auto" w:fill="FFFFFF"/>
              <w:spacing w:after="160" w:line="259" w:lineRule="auto"/>
              <w:jc w:val="both"/>
              <w:rPr>
                <w:bdr w:val="none" w:sz="0" w:space="0" w:color="auto" w:frame="1"/>
                <w:shd w:val="clear" w:color="auto" w:fill="FFFFFF"/>
              </w:rPr>
            </w:pPr>
            <w:r>
              <w:rPr>
                <w:b/>
                <w:bdr w:val="none" w:sz="0" w:space="0" w:color="auto" w:frame="1"/>
                <w:shd w:val="clear" w:color="auto" w:fill="FFFFFF"/>
              </w:rPr>
              <w:t xml:space="preserve">intensitate 45 % </w:t>
            </w:r>
            <w:r>
              <w:rPr>
                <w:bdr w:val="none" w:sz="0" w:space="0" w:color="auto" w:frame="1"/>
                <w:shd w:val="clear" w:color="auto" w:fill="FFFFFF"/>
              </w:rPr>
              <w:t>pentru localitățile:</w:t>
            </w:r>
            <w:r w:rsidRPr="00FE0F6D">
              <w:rPr>
                <w:bdr w:val="none" w:sz="0" w:space="0" w:color="auto" w:frame="1"/>
                <w:shd w:val="clear" w:color="auto" w:fill="FFFFFF"/>
              </w:rPr>
              <w:t xml:space="preserve"> </w:t>
            </w:r>
            <w:r w:rsidRPr="00366DD1">
              <w:rPr>
                <w:bdr w:val="none" w:sz="0" w:space="0" w:color="auto" w:frame="1"/>
                <w:shd w:val="clear" w:color="auto" w:fill="FFFFFF"/>
              </w:rPr>
              <w:t xml:space="preserve">Ciorogârla, Domnești, Cornetu, Bragadiru, Dărăști-Ilfov, Jilava, 1 Decembrie, </w:t>
            </w:r>
            <w:r w:rsidRPr="00366DD1">
              <w:rPr>
                <w:bdr w:val="none" w:sz="0" w:space="0" w:color="auto" w:frame="1"/>
                <w:shd w:val="clear" w:color="auto" w:fill="FFFFFF"/>
              </w:rPr>
              <w:lastRenderedPageBreak/>
              <w:t xml:space="preserve">Copăceni, Vidra, Berceni, Clinceni </w:t>
            </w:r>
            <w:r w:rsidRPr="00FE0F6D">
              <w:rPr>
                <w:bdr w:val="none" w:sz="0" w:space="0" w:color="auto" w:frame="1"/>
                <w:shd w:val="clear" w:color="auto" w:fill="FFFFFF"/>
              </w:rPr>
              <w:t>(</w:t>
            </w:r>
            <w:r w:rsidRPr="00E57CC3">
              <w:rPr>
                <w:bdr w:val="none" w:sz="0" w:space="0" w:color="auto" w:frame="1"/>
                <w:shd w:val="clear" w:color="auto" w:fill="FFFFFF"/>
              </w:rPr>
              <w:t>conform pct. 184 coroborat cu pct. 186</w:t>
            </w:r>
            <w:r>
              <w:rPr>
                <w:bdr w:val="none" w:sz="0" w:space="0" w:color="auto" w:frame="1"/>
                <w:shd w:val="clear" w:color="auto" w:fill="FFFFFF"/>
              </w:rPr>
              <w:t xml:space="preserve"> </w:t>
            </w:r>
            <w:r w:rsidRPr="00FE0F6D">
              <w:rPr>
                <w:bdr w:val="none" w:sz="0" w:space="0" w:color="auto" w:frame="1"/>
                <w:shd w:val="clear" w:color="auto" w:fill="FFFFFF"/>
              </w:rPr>
              <w:t xml:space="preserve">din </w:t>
            </w:r>
            <w:r w:rsidRPr="00FE0F6D">
              <w:rPr>
                <w:i/>
                <w:bdr w:val="none" w:sz="0" w:space="0" w:color="auto" w:frame="1"/>
                <w:shd w:val="clear" w:color="auto" w:fill="FFFFFF"/>
              </w:rPr>
              <w:t>Orientări</w:t>
            </w:r>
            <w:r w:rsidRPr="00FE0F6D">
              <w:rPr>
                <w:bdr w:val="none" w:sz="0" w:space="0" w:color="auto" w:frame="1"/>
                <w:shd w:val="clear" w:color="auto" w:fill="FFFFFF"/>
              </w:rPr>
              <w:t>);</w:t>
            </w:r>
          </w:p>
          <w:p w:rsidR="004E3A9B" w:rsidRPr="00230A78" w:rsidRDefault="004E3A9B" w:rsidP="00230A78">
            <w:pPr>
              <w:numPr>
                <w:ilvl w:val="0"/>
                <w:numId w:val="37"/>
              </w:numPr>
              <w:shd w:val="clear" w:color="auto" w:fill="FFFFFF"/>
              <w:spacing w:after="160" w:line="259" w:lineRule="auto"/>
              <w:jc w:val="both"/>
              <w:rPr>
                <w:bdr w:val="none" w:sz="0" w:space="0" w:color="auto" w:frame="1"/>
                <w:shd w:val="clear" w:color="auto" w:fill="FFFFFF"/>
              </w:rPr>
            </w:pPr>
            <w:r w:rsidRPr="00E57CC3">
              <w:rPr>
                <w:b/>
                <w:bdr w:val="none" w:sz="0" w:space="0" w:color="auto" w:frame="1"/>
                <w:shd w:val="clear" w:color="auto" w:fill="FFFFFF"/>
              </w:rPr>
              <w:t>întreprinderi mici</w:t>
            </w:r>
            <w:r w:rsidR="00366DD1">
              <w:rPr>
                <w:b/>
                <w:bdr w:val="none" w:sz="0" w:space="0" w:color="auto" w:frame="1"/>
                <w:shd w:val="clear" w:color="auto" w:fill="FFFFFF"/>
              </w:rPr>
              <w:t>:</w:t>
            </w:r>
          </w:p>
          <w:p w:rsidR="00366DD1" w:rsidRDefault="00366DD1" w:rsidP="00366DD1">
            <w:pPr>
              <w:numPr>
                <w:ilvl w:val="1"/>
                <w:numId w:val="37"/>
              </w:numPr>
              <w:shd w:val="clear" w:color="auto" w:fill="FFFFFF"/>
              <w:spacing w:after="160" w:line="259" w:lineRule="auto"/>
              <w:jc w:val="both"/>
              <w:rPr>
                <w:bdr w:val="none" w:sz="0" w:space="0" w:color="auto" w:frame="1"/>
                <w:shd w:val="clear" w:color="auto" w:fill="FFFFFF"/>
              </w:rPr>
            </w:pPr>
            <w:r w:rsidRPr="00FE0F6D">
              <w:rPr>
                <w:b/>
                <w:bdr w:val="none" w:sz="0" w:space="0" w:color="auto" w:frame="1"/>
                <w:shd w:val="clear" w:color="auto" w:fill="FFFFFF"/>
              </w:rPr>
              <w:t xml:space="preserve">intensitate </w:t>
            </w:r>
            <w:r>
              <w:rPr>
                <w:b/>
                <w:bdr w:val="none" w:sz="0" w:space="0" w:color="auto" w:frame="1"/>
                <w:shd w:val="clear" w:color="auto" w:fill="FFFFFF"/>
              </w:rPr>
              <w:t>6</w:t>
            </w:r>
            <w:r w:rsidRPr="00FE0F6D">
              <w:rPr>
                <w:b/>
                <w:bdr w:val="none" w:sz="0" w:space="0" w:color="auto" w:frame="1"/>
                <w:shd w:val="clear" w:color="auto" w:fill="FFFFFF"/>
              </w:rPr>
              <w:t>5</w:t>
            </w:r>
            <w:r>
              <w:rPr>
                <w:b/>
                <w:bdr w:val="none" w:sz="0" w:space="0" w:color="auto" w:frame="1"/>
                <w:shd w:val="clear" w:color="auto" w:fill="FFFFFF"/>
              </w:rPr>
              <w:t xml:space="preserve"> </w:t>
            </w:r>
            <w:r w:rsidRPr="00FE0F6D">
              <w:rPr>
                <w:b/>
                <w:bdr w:val="none" w:sz="0" w:space="0" w:color="auto" w:frame="1"/>
                <w:shd w:val="clear" w:color="auto" w:fill="FFFFFF"/>
              </w:rPr>
              <w:t>%</w:t>
            </w:r>
            <w:r w:rsidRPr="00FE0F6D">
              <w:rPr>
                <w:bdr w:val="none" w:sz="0" w:space="0" w:color="auto" w:frame="1"/>
                <w:shd w:val="clear" w:color="auto" w:fill="FFFFFF"/>
              </w:rPr>
              <w:t xml:space="preserve"> </w:t>
            </w:r>
            <w:r>
              <w:rPr>
                <w:bdr w:val="none" w:sz="0" w:space="0" w:color="auto" w:frame="1"/>
                <w:shd w:val="clear" w:color="auto" w:fill="FFFFFF"/>
              </w:rPr>
              <w:t xml:space="preserve">pentru localitățile: </w:t>
            </w:r>
            <w:r w:rsidRPr="00366DD1">
              <w:rPr>
                <w:bdr w:val="none" w:sz="0" w:space="0" w:color="auto" w:frame="1"/>
                <w:shd w:val="clear" w:color="auto" w:fill="FFFFFF"/>
              </w:rPr>
              <w:t xml:space="preserve">Periș, Ciolpani, Snagov, Gruiu, Nuci, Grădiștea, Petrăchioaia, Dascălu, Moara Vlăsiei, Balotești, Corbeanca, Buftea, Chitila, Glina, Cernica, Dobroești, Pantelimon </w:t>
            </w:r>
            <w:r w:rsidRPr="00E57CC3">
              <w:rPr>
                <w:bdr w:val="none" w:sz="0" w:space="0" w:color="auto" w:frame="1"/>
                <w:shd w:val="clear" w:color="auto" w:fill="FFFFFF"/>
              </w:rPr>
              <w:t>(conform pct. 184 coroborat cu pct. 186</w:t>
            </w:r>
            <w:r>
              <w:rPr>
                <w:bdr w:val="none" w:sz="0" w:space="0" w:color="auto" w:frame="1"/>
                <w:shd w:val="clear" w:color="auto" w:fill="FFFFFF"/>
              </w:rPr>
              <w:t xml:space="preserve"> și 188</w:t>
            </w:r>
            <w:r w:rsidRPr="00E57CC3">
              <w:rPr>
                <w:bdr w:val="none" w:sz="0" w:space="0" w:color="auto" w:frame="1"/>
                <w:shd w:val="clear" w:color="auto" w:fill="FFFFFF"/>
              </w:rPr>
              <w:t xml:space="preserve"> din </w:t>
            </w:r>
            <w:r w:rsidRPr="00E57CC3">
              <w:rPr>
                <w:i/>
                <w:bdr w:val="none" w:sz="0" w:space="0" w:color="auto" w:frame="1"/>
                <w:shd w:val="clear" w:color="auto" w:fill="FFFFFF"/>
              </w:rPr>
              <w:t>Orientări</w:t>
            </w:r>
            <w:r w:rsidRPr="00E57CC3">
              <w:rPr>
                <w:bdr w:val="none" w:sz="0" w:space="0" w:color="auto" w:frame="1"/>
                <w:shd w:val="clear" w:color="auto" w:fill="FFFFFF"/>
              </w:rPr>
              <w:t>);</w:t>
            </w:r>
            <w:r w:rsidRPr="00FE0F6D">
              <w:rPr>
                <w:bdr w:val="none" w:sz="0" w:space="0" w:color="auto" w:frame="1"/>
                <w:shd w:val="clear" w:color="auto" w:fill="FFFFFF"/>
              </w:rPr>
              <w:t xml:space="preserve"> </w:t>
            </w:r>
          </w:p>
          <w:p w:rsidR="00366DD1" w:rsidRPr="00FE0F6D" w:rsidRDefault="00366DD1" w:rsidP="00366DD1">
            <w:pPr>
              <w:numPr>
                <w:ilvl w:val="1"/>
                <w:numId w:val="37"/>
              </w:numPr>
              <w:shd w:val="clear" w:color="auto" w:fill="FFFFFF"/>
              <w:spacing w:after="160" w:line="259" w:lineRule="auto"/>
              <w:jc w:val="both"/>
              <w:rPr>
                <w:bdr w:val="none" w:sz="0" w:space="0" w:color="auto" w:frame="1"/>
                <w:shd w:val="clear" w:color="auto" w:fill="FFFFFF"/>
              </w:rPr>
            </w:pPr>
            <w:r>
              <w:rPr>
                <w:b/>
                <w:bdr w:val="none" w:sz="0" w:space="0" w:color="auto" w:frame="1"/>
                <w:shd w:val="clear" w:color="auto" w:fill="FFFFFF"/>
              </w:rPr>
              <w:t xml:space="preserve">intensitate </w:t>
            </w:r>
            <w:r w:rsidR="00D23AEB">
              <w:rPr>
                <w:b/>
                <w:bdr w:val="none" w:sz="0" w:space="0" w:color="auto" w:frame="1"/>
                <w:shd w:val="clear" w:color="auto" w:fill="FFFFFF"/>
              </w:rPr>
              <w:t>5</w:t>
            </w:r>
            <w:r>
              <w:rPr>
                <w:b/>
                <w:bdr w:val="none" w:sz="0" w:space="0" w:color="auto" w:frame="1"/>
                <w:shd w:val="clear" w:color="auto" w:fill="FFFFFF"/>
              </w:rPr>
              <w:t xml:space="preserve">5 % </w:t>
            </w:r>
            <w:r>
              <w:rPr>
                <w:bdr w:val="none" w:sz="0" w:space="0" w:color="auto" w:frame="1"/>
                <w:shd w:val="clear" w:color="auto" w:fill="FFFFFF"/>
              </w:rPr>
              <w:t>pentru localitățile:</w:t>
            </w:r>
            <w:r w:rsidRPr="00FE0F6D">
              <w:rPr>
                <w:bdr w:val="none" w:sz="0" w:space="0" w:color="auto" w:frame="1"/>
                <w:shd w:val="clear" w:color="auto" w:fill="FFFFFF"/>
              </w:rPr>
              <w:t xml:space="preserve"> </w:t>
            </w:r>
            <w:r w:rsidRPr="00366DD1">
              <w:rPr>
                <w:bdr w:val="none" w:sz="0" w:space="0" w:color="auto" w:frame="1"/>
                <w:shd w:val="clear" w:color="auto" w:fill="FFFFFF"/>
              </w:rPr>
              <w:t xml:space="preserve">Ciorogârla, Domnești, Cornetu, Bragadiru, Dărăști-Ilfov, Jilava, 1 Decembrie, Copăceni, Vidra, Berceni, Clinceni </w:t>
            </w:r>
            <w:r w:rsidRPr="00FE0F6D">
              <w:rPr>
                <w:bdr w:val="none" w:sz="0" w:space="0" w:color="auto" w:frame="1"/>
                <w:shd w:val="clear" w:color="auto" w:fill="FFFFFF"/>
              </w:rPr>
              <w:t>(</w:t>
            </w:r>
            <w:r w:rsidRPr="00E57CC3">
              <w:rPr>
                <w:bdr w:val="none" w:sz="0" w:space="0" w:color="auto" w:frame="1"/>
                <w:shd w:val="clear" w:color="auto" w:fill="FFFFFF"/>
              </w:rPr>
              <w:t>conform pct. 184 coroborat cu pct. 186</w:t>
            </w:r>
            <w:r>
              <w:rPr>
                <w:bdr w:val="none" w:sz="0" w:space="0" w:color="auto" w:frame="1"/>
                <w:shd w:val="clear" w:color="auto" w:fill="FFFFFF"/>
              </w:rPr>
              <w:t xml:space="preserve"> </w:t>
            </w:r>
            <w:r w:rsidRPr="00FE0F6D">
              <w:rPr>
                <w:bdr w:val="none" w:sz="0" w:space="0" w:color="auto" w:frame="1"/>
                <w:shd w:val="clear" w:color="auto" w:fill="FFFFFF"/>
              </w:rPr>
              <w:t xml:space="preserve">din </w:t>
            </w:r>
            <w:r w:rsidRPr="00FE0F6D">
              <w:rPr>
                <w:i/>
                <w:bdr w:val="none" w:sz="0" w:space="0" w:color="auto" w:frame="1"/>
                <w:shd w:val="clear" w:color="auto" w:fill="FFFFFF"/>
              </w:rPr>
              <w:t>Orientări</w:t>
            </w:r>
            <w:r>
              <w:rPr>
                <w:bdr w:val="none" w:sz="0" w:space="0" w:color="auto" w:frame="1"/>
                <w:shd w:val="clear" w:color="auto" w:fill="FFFFFF"/>
              </w:rPr>
              <w:t>).</w:t>
            </w:r>
          </w:p>
          <w:p w:rsidR="004E3A9B" w:rsidRPr="00E57CC3" w:rsidRDefault="004E3A9B" w:rsidP="004E3A9B">
            <w:pPr>
              <w:shd w:val="clear" w:color="auto" w:fill="FFFFFF"/>
              <w:ind w:left="720"/>
              <w:jc w:val="both"/>
              <w:rPr>
                <w:bdr w:val="none" w:sz="0" w:space="0" w:color="auto" w:frame="1"/>
                <w:shd w:val="clear" w:color="auto" w:fill="FFFFFF"/>
              </w:rPr>
            </w:pPr>
          </w:p>
          <w:tbl>
            <w:tblPr>
              <w:tblW w:w="8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958"/>
              <w:gridCol w:w="1134"/>
              <w:gridCol w:w="709"/>
              <w:gridCol w:w="1417"/>
              <w:gridCol w:w="993"/>
              <w:gridCol w:w="708"/>
              <w:gridCol w:w="993"/>
              <w:gridCol w:w="708"/>
            </w:tblGrid>
            <w:tr w:rsidR="004E3A9B" w:rsidRPr="00E57CC3" w:rsidTr="00530C74">
              <w:tc>
                <w:tcPr>
                  <w:tcW w:w="399" w:type="dxa"/>
                  <w:shd w:val="clear" w:color="auto" w:fill="auto"/>
                </w:tcPr>
                <w:p w:rsidR="004E3A9B" w:rsidRPr="00E57CC3" w:rsidRDefault="004E3A9B" w:rsidP="004E3A9B">
                  <w:pPr>
                    <w:ind w:left="-113" w:right="-108"/>
                    <w:jc w:val="center"/>
                    <w:rPr>
                      <w:b/>
                      <w:sz w:val="18"/>
                      <w:szCs w:val="18"/>
                    </w:rPr>
                  </w:pPr>
                  <w:r w:rsidRPr="00E57CC3">
                    <w:rPr>
                      <w:b/>
                      <w:sz w:val="18"/>
                      <w:szCs w:val="18"/>
                    </w:rPr>
                    <w:t xml:space="preserve">Nr. </w:t>
                  </w:r>
                </w:p>
                <w:p w:rsidR="004E3A9B" w:rsidRPr="00E57CC3" w:rsidRDefault="004E3A9B" w:rsidP="004E3A9B">
                  <w:pPr>
                    <w:ind w:left="-113" w:right="-108"/>
                    <w:jc w:val="center"/>
                    <w:rPr>
                      <w:b/>
                      <w:sz w:val="18"/>
                      <w:szCs w:val="18"/>
                    </w:rPr>
                  </w:pPr>
                  <w:r w:rsidRPr="00E57CC3">
                    <w:rPr>
                      <w:b/>
                      <w:sz w:val="18"/>
                      <w:szCs w:val="18"/>
                    </w:rPr>
                    <w:t>crt.</w:t>
                  </w:r>
                </w:p>
              </w:tc>
              <w:tc>
                <w:tcPr>
                  <w:tcW w:w="958" w:type="dxa"/>
                  <w:shd w:val="clear" w:color="auto" w:fill="auto"/>
                </w:tcPr>
                <w:p w:rsidR="004E3A9B" w:rsidRPr="00E57CC3" w:rsidRDefault="004E3A9B" w:rsidP="004E3A9B">
                  <w:pPr>
                    <w:ind w:left="-108" w:right="-108"/>
                    <w:jc w:val="center"/>
                    <w:rPr>
                      <w:b/>
                      <w:sz w:val="18"/>
                      <w:szCs w:val="18"/>
                    </w:rPr>
                  </w:pPr>
                  <w:r w:rsidRPr="00E57CC3">
                    <w:rPr>
                      <w:b/>
                      <w:sz w:val="18"/>
                      <w:szCs w:val="18"/>
                    </w:rPr>
                    <w:t>Zonă identificată (</w:t>
                  </w:r>
                  <w:r w:rsidRPr="00E57CC3">
                    <w:rPr>
                      <w:b/>
                      <w:i/>
                      <w:sz w:val="18"/>
                      <w:szCs w:val="18"/>
                    </w:rPr>
                    <w:t>cf. pct. 179, 182 din Orientări)</w:t>
                  </w:r>
                  <w:r w:rsidRPr="00E57CC3">
                    <w:rPr>
                      <w:b/>
                      <w:sz w:val="18"/>
                      <w:szCs w:val="18"/>
                    </w:rPr>
                    <w:t xml:space="preserve"> </w:t>
                  </w:r>
                </w:p>
              </w:tc>
              <w:tc>
                <w:tcPr>
                  <w:tcW w:w="1134" w:type="dxa"/>
                  <w:shd w:val="clear" w:color="auto" w:fill="auto"/>
                </w:tcPr>
                <w:p w:rsidR="004E3A9B" w:rsidRPr="00E57CC3" w:rsidRDefault="004E3A9B" w:rsidP="004E3A9B">
                  <w:pPr>
                    <w:jc w:val="center"/>
                    <w:rPr>
                      <w:b/>
                      <w:sz w:val="18"/>
                      <w:szCs w:val="18"/>
                    </w:rPr>
                  </w:pPr>
                </w:p>
                <w:p w:rsidR="004E3A9B" w:rsidRPr="00E57CC3" w:rsidRDefault="004E3A9B" w:rsidP="004E3A9B">
                  <w:pPr>
                    <w:jc w:val="center"/>
                    <w:rPr>
                      <w:b/>
                      <w:sz w:val="18"/>
                      <w:szCs w:val="18"/>
                    </w:rPr>
                  </w:pPr>
                  <w:r w:rsidRPr="00E57CC3">
                    <w:rPr>
                      <w:b/>
                      <w:sz w:val="18"/>
                      <w:szCs w:val="18"/>
                    </w:rPr>
                    <w:t xml:space="preserve">Regiuni NUTS </w:t>
                  </w:r>
                </w:p>
                <w:p w:rsidR="004E3A9B" w:rsidRPr="00E57CC3" w:rsidRDefault="004E3A9B" w:rsidP="004E3A9B">
                  <w:pPr>
                    <w:jc w:val="center"/>
                    <w:rPr>
                      <w:b/>
                      <w:i/>
                      <w:sz w:val="18"/>
                      <w:szCs w:val="18"/>
                    </w:rPr>
                  </w:pPr>
                </w:p>
                <w:p w:rsidR="004E3A9B" w:rsidRPr="00E57CC3" w:rsidRDefault="004E3A9B" w:rsidP="004E3A9B">
                  <w:pPr>
                    <w:jc w:val="center"/>
                    <w:rPr>
                      <w:b/>
                      <w:sz w:val="18"/>
                      <w:szCs w:val="18"/>
                    </w:rPr>
                  </w:pPr>
                  <w:r w:rsidRPr="00E57CC3">
                    <w:rPr>
                      <w:b/>
                      <w:i/>
                      <w:sz w:val="18"/>
                      <w:szCs w:val="18"/>
                    </w:rPr>
                    <w:t>(cf. Anexei 1  din Orientări)</w:t>
                  </w:r>
                </w:p>
              </w:tc>
              <w:tc>
                <w:tcPr>
                  <w:tcW w:w="2126" w:type="dxa"/>
                  <w:gridSpan w:val="2"/>
                  <w:shd w:val="clear" w:color="auto" w:fill="auto"/>
                </w:tcPr>
                <w:p w:rsidR="004E3A9B" w:rsidRPr="00E57CC3" w:rsidRDefault="004E3A9B" w:rsidP="004E3A9B">
                  <w:pPr>
                    <w:jc w:val="center"/>
                    <w:rPr>
                      <w:b/>
                      <w:sz w:val="18"/>
                      <w:szCs w:val="18"/>
                    </w:rPr>
                  </w:pPr>
                  <w:r w:rsidRPr="00E57CC3">
                    <w:rPr>
                      <w:b/>
                      <w:sz w:val="18"/>
                      <w:szCs w:val="18"/>
                    </w:rPr>
                    <w:t xml:space="preserve">Populaţie </w:t>
                  </w:r>
                </w:p>
                <w:p w:rsidR="004E3A9B" w:rsidRPr="00E57CC3" w:rsidRDefault="004E3A9B" w:rsidP="004E3A9B">
                  <w:pPr>
                    <w:jc w:val="center"/>
                    <w:rPr>
                      <w:b/>
                      <w:i/>
                      <w:sz w:val="18"/>
                      <w:szCs w:val="18"/>
                    </w:rPr>
                  </w:pPr>
                  <w:r w:rsidRPr="00E57CC3">
                    <w:rPr>
                      <w:b/>
                      <w:i/>
                      <w:sz w:val="18"/>
                      <w:szCs w:val="18"/>
                    </w:rPr>
                    <w:t>(cf. datelor furnizate de Eurostat pentru anul 2020)</w:t>
                  </w:r>
                </w:p>
                <w:p w:rsidR="004E3A9B" w:rsidRPr="00E57CC3" w:rsidRDefault="004E3A9B" w:rsidP="004E3A9B">
                  <w:pPr>
                    <w:jc w:val="center"/>
                    <w:rPr>
                      <w:b/>
                      <w:i/>
                      <w:sz w:val="18"/>
                      <w:szCs w:val="18"/>
                    </w:rPr>
                  </w:pPr>
                </w:p>
                <w:p w:rsidR="004E3A9B" w:rsidRPr="00E57CC3" w:rsidRDefault="004E3A9B" w:rsidP="004E3A9B">
                  <w:pPr>
                    <w:ind w:left="-108" w:right="-108"/>
                    <w:jc w:val="center"/>
                    <w:rPr>
                      <w:b/>
                      <w:sz w:val="18"/>
                      <w:szCs w:val="18"/>
                    </w:rPr>
                  </w:pPr>
                  <w:r w:rsidRPr="00E57CC3">
                    <w:rPr>
                      <w:b/>
                      <w:sz w:val="18"/>
                      <w:szCs w:val="18"/>
                    </w:rPr>
                    <w:t xml:space="preserve">PIB pe cap de locuitor </w:t>
                  </w:r>
                </w:p>
                <w:p w:rsidR="004E3A9B" w:rsidRPr="00E57CC3" w:rsidRDefault="004E3A9B" w:rsidP="004E3A9B">
                  <w:pPr>
                    <w:ind w:left="-108" w:right="-108"/>
                    <w:jc w:val="center"/>
                    <w:rPr>
                      <w:b/>
                      <w:i/>
                      <w:sz w:val="18"/>
                      <w:szCs w:val="18"/>
                    </w:rPr>
                  </w:pPr>
                  <w:r w:rsidRPr="00E57CC3">
                    <w:rPr>
                      <w:b/>
                      <w:i/>
                      <w:sz w:val="18"/>
                      <w:szCs w:val="18"/>
                    </w:rPr>
                    <w:t>(cf. datelor comunicate de Eurostat pentru perioada 2016-2018)</w:t>
                  </w:r>
                </w:p>
              </w:tc>
              <w:tc>
                <w:tcPr>
                  <w:tcW w:w="993" w:type="dxa"/>
                </w:tcPr>
                <w:p w:rsidR="004E3A9B" w:rsidRPr="00E57CC3" w:rsidRDefault="004E3A9B" w:rsidP="00B92324">
                  <w:pPr>
                    <w:ind w:left="-55" w:right="-108"/>
                    <w:jc w:val="center"/>
                    <w:rPr>
                      <w:b/>
                      <w:sz w:val="18"/>
                      <w:szCs w:val="18"/>
                    </w:rPr>
                  </w:pPr>
                  <w:r w:rsidRPr="00E57CC3">
                    <w:rPr>
                      <w:b/>
                      <w:sz w:val="18"/>
                      <w:szCs w:val="18"/>
                    </w:rPr>
                    <w:t>Procentaj al populației naționale</w:t>
                  </w:r>
                </w:p>
              </w:tc>
              <w:tc>
                <w:tcPr>
                  <w:tcW w:w="2409" w:type="dxa"/>
                  <w:gridSpan w:val="3"/>
                  <w:shd w:val="clear" w:color="auto" w:fill="auto"/>
                </w:tcPr>
                <w:p w:rsidR="004E3A9B" w:rsidRPr="00E57CC3" w:rsidRDefault="004E3A9B" w:rsidP="004E3A9B">
                  <w:pPr>
                    <w:jc w:val="center"/>
                    <w:rPr>
                      <w:b/>
                      <w:sz w:val="18"/>
                      <w:szCs w:val="18"/>
                    </w:rPr>
                  </w:pPr>
                  <w:r w:rsidRPr="00E57CC3">
                    <w:rPr>
                      <w:b/>
                      <w:sz w:val="18"/>
                      <w:szCs w:val="18"/>
                    </w:rPr>
                    <w:t>Intensitate maximă</w:t>
                  </w:r>
                  <w:r w:rsidRPr="00E57CC3">
                    <w:rPr>
                      <w:b/>
                      <w:sz w:val="18"/>
                      <w:szCs w:val="18"/>
                      <w:vertAlign w:val="superscript"/>
                    </w:rPr>
                    <w:footnoteReference w:id="2"/>
                  </w:r>
                  <w:r w:rsidRPr="00E57CC3">
                    <w:rPr>
                      <w:b/>
                      <w:sz w:val="18"/>
                      <w:szCs w:val="18"/>
                    </w:rPr>
                    <w:t xml:space="preserve"> </w:t>
                  </w:r>
                </w:p>
                <w:p w:rsidR="004E3A9B" w:rsidRPr="00E57CC3" w:rsidRDefault="004E3A9B" w:rsidP="004E3A9B">
                  <w:pPr>
                    <w:jc w:val="center"/>
                    <w:rPr>
                      <w:b/>
                      <w:sz w:val="18"/>
                      <w:szCs w:val="18"/>
                    </w:rPr>
                  </w:pPr>
                  <w:r w:rsidRPr="00E57CC3">
                    <w:rPr>
                      <w:b/>
                      <w:sz w:val="18"/>
                      <w:szCs w:val="18"/>
                    </w:rPr>
                    <w:t>ajutor de stat</w:t>
                  </w:r>
                </w:p>
                <w:p w:rsidR="004E3A9B" w:rsidRPr="00E57CC3" w:rsidRDefault="004E3A9B" w:rsidP="004E3A9B">
                  <w:pPr>
                    <w:jc w:val="center"/>
                    <w:rPr>
                      <w:b/>
                      <w:sz w:val="18"/>
                      <w:szCs w:val="18"/>
                    </w:rPr>
                  </w:pPr>
                  <w:r w:rsidRPr="00E57CC3">
                    <w:rPr>
                      <w:b/>
                      <w:sz w:val="18"/>
                      <w:szCs w:val="18"/>
                    </w:rPr>
                    <w:t>01.01.</w:t>
                  </w:r>
                  <w:r w:rsidRPr="00E57CC3">
                    <w:rPr>
                      <w:b/>
                      <w:sz w:val="18"/>
                      <w:szCs w:val="18"/>
                      <w:u w:val="single"/>
                    </w:rPr>
                    <w:t>2022</w:t>
                  </w:r>
                  <w:r w:rsidRPr="00E57CC3">
                    <w:rPr>
                      <w:b/>
                      <w:sz w:val="18"/>
                      <w:szCs w:val="18"/>
                    </w:rPr>
                    <w:t>-31.12.</w:t>
                  </w:r>
                  <w:r w:rsidRPr="00E57CC3">
                    <w:rPr>
                      <w:b/>
                      <w:sz w:val="18"/>
                      <w:szCs w:val="18"/>
                      <w:u w:val="single"/>
                    </w:rPr>
                    <w:t>2027</w:t>
                  </w:r>
                </w:p>
                <w:p w:rsidR="004E3A9B" w:rsidRPr="00E57CC3" w:rsidRDefault="004E3A9B" w:rsidP="004E3A9B">
                  <w:pPr>
                    <w:jc w:val="center"/>
                    <w:rPr>
                      <w:b/>
                      <w:sz w:val="18"/>
                      <w:szCs w:val="18"/>
                    </w:rPr>
                  </w:pPr>
                  <w:r w:rsidRPr="00E57CC3">
                    <w:rPr>
                      <w:b/>
                      <w:sz w:val="18"/>
                      <w:szCs w:val="18"/>
                    </w:rPr>
                    <w:t>(</w:t>
                  </w:r>
                  <w:r w:rsidRPr="00E57CC3">
                    <w:rPr>
                      <w:b/>
                      <w:i/>
                      <w:sz w:val="18"/>
                      <w:szCs w:val="18"/>
                    </w:rPr>
                    <w:t>cf. pct. 179, 184, 186, 187 din Orientări)</w:t>
                  </w:r>
                </w:p>
                <w:p w:rsidR="004E3A9B" w:rsidRPr="00E57CC3" w:rsidRDefault="004E3A9B" w:rsidP="004E3A9B">
                  <w:pPr>
                    <w:spacing w:line="480" w:lineRule="auto"/>
                    <w:jc w:val="center"/>
                    <w:rPr>
                      <w:b/>
                      <w:sz w:val="18"/>
                      <w:szCs w:val="18"/>
                    </w:rPr>
                  </w:pPr>
                </w:p>
                <w:p w:rsidR="004E3A9B" w:rsidRPr="00E57CC3" w:rsidRDefault="004E3A9B" w:rsidP="004E3A9B">
                  <w:pPr>
                    <w:jc w:val="center"/>
                    <w:rPr>
                      <w:b/>
                      <w:sz w:val="18"/>
                      <w:szCs w:val="18"/>
                    </w:rPr>
                  </w:pPr>
                  <w:r w:rsidRPr="00E57CC3">
                    <w:rPr>
                      <w:b/>
                      <w:sz w:val="18"/>
                      <w:szCs w:val="18"/>
                    </w:rPr>
                    <w:t>Tip întreprindere</w:t>
                  </w:r>
                </w:p>
              </w:tc>
            </w:tr>
            <w:tr w:rsidR="0096487A" w:rsidRPr="00E57CC3" w:rsidTr="00530C74">
              <w:tc>
                <w:tcPr>
                  <w:tcW w:w="399" w:type="dxa"/>
                  <w:shd w:val="clear" w:color="auto" w:fill="auto"/>
                </w:tcPr>
                <w:p w:rsidR="004E3A9B" w:rsidRPr="00E57CC3" w:rsidRDefault="004E3A9B" w:rsidP="004E3A9B">
                  <w:pPr>
                    <w:jc w:val="center"/>
                    <w:rPr>
                      <w:sz w:val="18"/>
                      <w:szCs w:val="18"/>
                    </w:rPr>
                  </w:pPr>
                </w:p>
              </w:tc>
              <w:tc>
                <w:tcPr>
                  <w:tcW w:w="958" w:type="dxa"/>
                  <w:shd w:val="clear" w:color="auto" w:fill="auto"/>
                </w:tcPr>
                <w:p w:rsidR="004E3A9B" w:rsidRPr="00E57CC3" w:rsidRDefault="004E3A9B" w:rsidP="004E3A9B">
                  <w:pPr>
                    <w:jc w:val="center"/>
                    <w:rPr>
                      <w:sz w:val="18"/>
                      <w:szCs w:val="18"/>
                    </w:rPr>
                  </w:pPr>
                </w:p>
              </w:tc>
              <w:tc>
                <w:tcPr>
                  <w:tcW w:w="1134" w:type="dxa"/>
                  <w:shd w:val="clear" w:color="auto" w:fill="auto"/>
                </w:tcPr>
                <w:p w:rsidR="004E3A9B" w:rsidRPr="00E57CC3" w:rsidRDefault="004E3A9B" w:rsidP="004E3A9B">
                  <w:pPr>
                    <w:jc w:val="center"/>
                    <w:rPr>
                      <w:i/>
                      <w:sz w:val="18"/>
                      <w:szCs w:val="18"/>
                    </w:rPr>
                  </w:pPr>
                </w:p>
              </w:tc>
              <w:tc>
                <w:tcPr>
                  <w:tcW w:w="2126" w:type="dxa"/>
                  <w:gridSpan w:val="2"/>
                  <w:shd w:val="clear" w:color="auto" w:fill="auto"/>
                </w:tcPr>
                <w:p w:rsidR="004E3A9B" w:rsidRPr="00E57CC3" w:rsidRDefault="004E3A9B" w:rsidP="004E3A9B">
                  <w:pPr>
                    <w:rPr>
                      <w:i/>
                      <w:sz w:val="18"/>
                      <w:szCs w:val="18"/>
                    </w:rPr>
                  </w:pPr>
                  <w:r w:rsidRPr="00E57CC3">
                    <w:rPr>
                      <w:i/>
                      <w:sz w:val="18"/>
                      <w:szCs w:val="18"/>
                    </w:rPr>
                    <w:t>Populaţie    /   PIB pe cap de locuitor (raportat la media UE-27)</w:t>
                  </w:r>
                </w:p>
              </w:tc>
              <w:tc>
                <w:tcPr>
                  <w:tcW w:w="993" w:type="dxa"/>
                </w:tcPr>
                <w:p w:rsidR="004E3A9B" w:rsidRPr="00E57CC3" w:rsidRDefault="004E3A9B" w:rsidP="004E3A9B">
                  <w:pPr>
                    <w:jc w:val="center"/>
                    <w:rPr>
                      <w:b/>
                      <w:sz w:val="18"/>
                      <w:szCs w:val="18"/>
                    </w:rPr>
                  </w:pPr>
                </w:p>
              </w:tc>
              <w:tc>
                <w:tcPr>
                  <w:tcW w:w="708" w:type="dxa"/>
                  <w:shd w:val="clear" w:color="auto" w:fill="auto"/>
                </w:tcPr>
                <w:p w:rsidR="004E3A9B" w:rsidRPr="00E57CC3" w:rsidRDefault="004E3A9B" w:rsidP="004E3A9B">
                  <w:pPr>
                    <w:jc w:val="center"/>
                    <w:rPr>
                      <w:b/>
                      <w:sz w:val="18"/>
                      <w:szCs w:val="18"/>
                    </w:rPr>
                  </w:pPr>
                  <w:r w:rsidRPr="00E57CC3">
                    <w:rPr>
                      <w:b/>
                      <w:sz w:val="18"/>
                      <w:szCs w:val="18"/>
                    </w:rPr>
                    <w:t>Mare</w:t>
                  </w:r>
                </w:p>
              </w:tc>
              <w:tc>
                <w:tcPr>
                  <w:tcW w:w="993" w:type="dxa"/>
                  <w:shd w:val="clear" w:color="auto" w:fill="auto"/>
                </w:tcPr>
                <w:p w:rsidR="004E3A9B" w:rsidRPr="00E57CC3" w:rsidRDefault="004E3A9B" w:rsidP="004E3A9B">
                  <w:pPr>
                    <w:jc w:val="center"/>
                    <w:rPr>
                      <w:b/>
                      <w:sz w:val="18"/>
                      <w:szCs w:val="18"/>
                    </w:rPr>
                  </w:pPr>
                  <w:r w:rsidRPr="00E57CC3">
                    <w:rPr>
                      <w:b/>
                      <w:sz w:val="18"/>
                      <w:szCs w:val="18"/>
                    </w:rPr>
                    <w:t>Mijlocie</w:t>
                  </w:r>
                </w:p>
              </w:tc>
              <w:tc>
                <w:tcPr>
                  <w:tcW w:w="708" w:type="dxa"/>
                  <w:shd w:val="clear" w:color="auto" w:fill="auto"/>
                </w:tcPr>
                <w:p w:rsidR="004E3A9B" w:rsidRPr="00E57CC3" w:rsidRDefault="004E3A9B" w:rsidP="004E3A9B">
                  <w:pPr>
                    <w:jc w:val="center"/>
                    <w:rPr>
                      <w:b/>
                      <w:sz w:val="18"/>
                      <w:szCs w:val="18"/>
                    </w:rPr>
                  </w:pPr>
                  <w:r w:rsidRPr="00E57CC3">
                    <w:rPr>
                      <w:b/>
                      <w:sz w:val="18"/>
                      <w:szCs w:val="18"/>
                    </w:rPr>
                    <w:t>Mică</w:t>
                  </w:r>
                </w:p>
              </w:tc>
            </w:tr>
            <w:tr w:rsidR="0096487A" w:rsidRPr="00E57CC3" w:rsidTr="00530C74">
              <w:trPr>
                <w:trHeight w:val="415"/>
              </w:trPr>
              <w:tc>
                <w:tcPr>
                  <w:tcW w:w="399" w:type="dxa"/>
                  <w:vMerge w:val="restart"/>
                  <w:shd w:val="clear" w:color="auto" w:fill="auto"/>
                </w:tcPr>
                <w:p w:rsidR="004E3A9B" w:rsidRPr="00E57CC3" w:rsidRDefault="00FE0F6D" w:rsidP="00230A78">
                  <w:pPr>
                    <w:rPr>
                      <w:sz w:val="18"/>
                      <w:szCs w:val="18"/>
                    </w:rPr>
                  </w:pPr>
                  <w:r>
                    <w:rPr>
                      <w:sz w:val="18"/>
                      <w:szCs w:val="18"/>
                    </w:rPr>
                    <w:t>a)</w:t>
                  </w:r>
                </w:p>
              </w:tc>
              <w:tc>
                <w:tcPr>
                  <w:tcW w:w="958" w:type="dxa"/>
                  <w:vMerge w:val="restart"/>
                  <w:shd w:val="clear" w:color="auto" w:fill="auto"/>
                </w:tcPr>
                <w:p w:rsidR="004E3A9B" w:rsidRPr="00E57CC3" w:rsidRDefault="004E3A9B" w:rsidP="004E3A9B">
                  <w:pPr>
                    <w:jc w:val="both"/>
                    <w:rPr>
                      <w:sz w:val="18"/>
                      <w:szCs w:val="18"/>
                    </w:rPr>
                  </w:pPr>
                  <w:r w:rsidRPr="00230A78">
                    <w:rPr>
                      <w:b/>
                      <w:sz w:val="18"/>
                      <w:szCs w:val="18"/>
                    </w:rPr>
                    <w:t>Zonă „c”</w:t>
                  </w:r>
                  <w:r w:rsidRPr="00E57CC3">
                    <w:rPr>
                      <w:sz w:val="18"/>
                      <w:szCs w:val="18"/>
                    </w:rPr>
                    <w:t xml:space="preserve"> care nu este pre</w:t>
                  </w:r>
                  <w:r w:rsidR="0096487A" w:rsidRPr="00E57CC3">
                    <w:rPr>
                      <w:sz w:val="18"/>
                      <w:szCs w:val="18"/>
                    </w:rPr>
                    <w:t>-</w:t>
                  </w:r>
                  <w:r w:rsidRPr="00E57CC3">
                    <w:rPr>
                      <w:sz w:val="18"/>
                      <w:szCs w:val="18"/>
                    </w:rPr>
                    <w:t xml:space="preserve">definită </w:t>
                  </w:r>
                </w:p>
                <w:p w:rsidR="0096487A" w:rsidRPr="00E57CC3" w:rsidRDefault="0096487A" w:rsidP="004E3A9B">
                  <w:pPr>
                    <w:jc w:val="both"/>
                    <w:rPr>
                      <w:sz w:val="18"/>
                      <w:szCs w:val="18"/>
                    </w:rPr>
                  </w:pPr>
                </w:p>
              </w:tc>
              <w:tc>
                <w:tcPr>
                  <w:tcW w:w="1134" w:type="dxa"/>
                  <w:vMerge w:val="restart"/>
                  <w:shd w:val="clear" w:color="auto" w:fill="auto"/>
                </w:tcPr>
                <w:p w:rsidR="004E3A9B" w:rsidRPr="00E57CC3" w:rsidRDefault="004E3A9B" w:rsidP="004E3A9B">
                  <w:pPr>
                    <w:rPr>
                      <w:b/>
                      <w:i/>
                      <w:sz w:val="18"/>
                      <w:szCs w:val="18"/>
                    </w:rPr>
                  </w:pPr>
                  <w:r w:rsidRPr="00E57CC3">
                    <w:rPr>
                      <w:b/>
                      <w:i/>
                      <w:sz w:val="18"/>
                      <w:szCs w:val="18"/>
                    </w:rPr>
                    <w:t>RO32 Bucureşti-Ilfov</w:t>
                  </w:r>
                </w:p>
              </w:tc>
              <w:tc>
                <w:tcPr>
                  <w:tcW w:w="709" w:type="dxa"/>
                  <w:vMerge w:val="restart"/>
                  <w:shd w:val="clear" w:color="auto" w:fill="auto"/>
                </w:tcPr>
                <w:p w:rsidR="004E3A9B" w:rsidRPr="00E57CC3" w:rsidRDefault="004E3A9B" w:rsidP="004E3A9B">
                  <w:pPr>
                    <w:jc w:val="right"/>
                    <w:rPr>
                      <w:i/>
                      <w:sz w:val="18"/>
                      <w:szCs w:val="18"/>
                    </w:rPr>
                  </w:pPr>
                </w:p>
                <w:p w:rsidR="004E3A9B" w:rsidRPr="00E57CC3" w:rsidRDefault="004E3A9B" w:rsidP="004E3A9B">
                  <w:pPr>
                    <w:jc w:val="right"/>
                    <w:rPr>
                      <w:sz w:val="18"/>
                      <w:szCs w:val="18"/>
                    </w:rPr>
                  </w:pPr>
                </w:p>
              </w:tc>
              <w:tc>
                <w:tcPr>
                  <w:tcW w:w="1417" w:type="dxa"/>
                  <w:shd w:val="clear" w:color="auto" w:fill="auto"/>
                </w:tcPr>
                <w:p w:rsidR="004E3A9B" w:rsidRPr="00E57CC3" w:rsidRDefault="00FE0F6D" w:rsidP="004E3A9B">
                  <w:pPr>
                    <w:ind w:left="-108" w:right="-108"/>
                    <w:jc w:val="both"/>
                    <w:rPr>
                      <w:b/>
                      <w:i/>
                      <w:sz w:val="18"/>
                      <w:szCs w:val="18"/>
                    </w:rPr>
                  </w:pPr>
                  <w:r>
                    <w:rPr>
                      <w:b/>
                      <w:i/>
                      <w:sz w:val="18"/>
                      <w:szCs w:val="18"/>
                    </w:rPr>
                    <w:t>Județul Ilfov</w:t>
                  </w:r>
                </w:p>
              </w:tc>
              <w:tc>
                <w:tcPr>
                  <w:tcW w:w="993" w:type="dxa"/>
                </w:tcPr>
                <w:p w:rsidR="004E3A9B" w:rsidRPr="00E57CC3" w:rsidRDefault="004E3A9B" w:rsidP="004E3A9B">
                  <w:pPr>
                    <w:jc w:val="center"/>
                    <w:rPr>
                      <w:sz w:val="18"/>
                      <w:szCs w:val="18"/>
                    </w:rPr>
                  </w:pPr>
                  <w:r w:rsidRPr="00E57CC3">
                    <w:rPr>
                      <w:sz w:val="18"/>
                      <w:szCs w:val="18"/>
                    </w:rPr>
                    <w:t>-</w:t>
                  </w:r>
                </w:p>
              </w:tc>
              <w:tc>
                <w:tcPr>
                  <w:tcW w:w="708" w:type="dxa"/>
                  <w:shd w:val="clear" w:color="auto" w:fill="auto"/>
                  <w:vAlign w:val="center"/>
                </w:tcPr>
                <w:p w:rsidR="004E3A9B" w:rsidRPr="00E57CC3" w:rsidRDefault="004E3A9B" w:rsidP="004E3A9B">
                  <w:pPr>
                    <w:jc w:val="center"/>
                    <w:rPr>
                      <w:sz w:val="18"/>
                      <w:szCs w:val="18"/>
                    </w:rPr>
                  </w:pPr>
                  <w:r w:rsidRPr="00E57CC3">
                    <w:rPr>
                      <w:sz w:val="18"/>
                      <w:szCs w:val="18"/>
                    </w:rPr>
                    <w:t>-</w:t>
                  </w:r>
                </w:p>
              </w:tc>
              <w:tc>
                <w:tcPr>
                  <w:tcW w:w="993" w:type="dxa"/>
                  <w:shd w:val="clear" w:color="auto" w:fill="auto"/>
                  <w:vAlign w:val="center"/>
                </w:tcPr>
                <w:p w:rsidR="004E3A9B" w:rsidRPr="00E57CC3" w:rsidRDefault="004E3A9B" w:rsidP="004E3A9B">
                  <w:pPr>
                    <w:jc w:val="center"/>
                    <w:rPr>
                      <w:sz w:val="18"/>
                      <w:szCs w:val="18"/>
                    </w:rPr>
                  </w:pPr>
                  <w:r w:rsidRPr="00E57CC3">
                    <w:rPr>
                      <w:sz w:val="18"/>
                      <w:szCs w:val="18"/>
                    </w:rPr>
                    <w:t>-</w:t>
                  </w:r>
                </w:p>
              </w:tc>
              <w:tc>
                <w:tcPr>
                  <w:tcW w:w="708" w:type="dxa"/>
                  <w:shd w:val="clear" w:color="auto" w:fill="auto"/>
                  <w:vAlign w:val="center"/>
                </w:tcPr>
                <w:p w:rsidR="004E3A9B" w:rsidRPr="00E57CC3" w:rsidRDefault="004E3A9B" w:rsidP="004E3A9B">
                  <w:pPr>
                    <w:jc w:val="center"/>
                    <w:rPr>
                      <w:sz w:val="18"/>
                      <w:szCs w:val="18"/>
                    </w:rPr>
                  </w:pPr>
                  <w:r w:rsidRPr="00E57CC3">
                    <w:rPr>
                      <w:sz w:val="18"/>
                      <w:szCs w:val="18"/>
                    </w:rPr>
                    <w:t>-</w:t>
                  </w:r>
                </w:p>
              </w:tc>
            </w:tr>
            <w:tr w:rsidR="0096487A" w:rsidRPr="00E57CC3" w:rsidTr="00530C74">
              <w:trPr>
                <w:trHeight w:val="414"/>
              </w:trPr>
              <w:tc>
                <w:tcPr>
                  <w:tcW w:w="399" w:type="dxa"/>
                  <w:vMerge/>
                  <w:shd w:val="clear" w:color="auto" w:fill="auto"/>
                </w:tcPr>
                <w:p w:rsidR="004E3A9B" w:rsidRPr="00E57CC3" w:rsidRDefault="004E3A9B" w:rsidP="004E3A9B">
                  <w:pPr>
                    <w:jc w:val="center"/>
                    <w:rPr>
                      <w:sz w:val="18"/>
                      <w:szCs w:val="18"/>
                    </w:rPr>
                  </w:pPr>
                </w:p>
              </w:tc>
              <w:tc>
                <w:tcPr>
                  <w:tcW w:w="958" w:type="dxa"/>
                  <w:vMerge/>
                  <w:shd w:val="clear" w:color="auto" w:fill="auto"/>
                </w:tcPr>
                <w:p w:rsidR="004E3A9B" w:rsidRPr="00E57CC3" w:rsidRDefault="004E3A9B" w:rsidP="004E3A9B">
                  <w:pPr>
                    <w:jc w:val="both"/>
                    <w:rPr>
                      <w:sz w:val="18"/>
                      <w:szCs w:val="18"/>
                    </w:rPr>
                  </w:pPr>
                </w:p>
              </w:tc>
              <w:tc>
                <w:tcPr>
                  <w:tcW w:w="1134" w:type="dxa"/>
                  <w:vMerge/>
                  <w:shd w:val="clear" w:color="auto" w:fill="auto"/>
                </w:tcPr>
                <w:p w:rsidR="004E3A9B" w:rsidRPr="00E57CC3" w:rsidRDefault="004E3A9B" w:rsidP="004E3A9B">
                  <w:pPr>
                    <w:rPr>
                      <w:sz w:val="18"/>
                      <w:szCs w:val="18"/>
                    </w:rPr>
                  </w:pPr>
                </w:p>
              </w:tc>
              <w:tc>
                <w:tcPr>
                  <w:tcW w:w="709" w:type="dxa"/>
                  <w:vMerge/>
                  <w:shd w:val="clear" w:color="auto" w:fill="auto"/>
                </w:tcPr>
                <w:p w:rsidR="004E3A9B" w:rsidRPr="00E57CC3" w:rsidRDefault="004E3A9B" w:rsidP="004E3A9B">
                  <w:pPr>
                    <w:jc w:val="center"/>
                    <w:rPr>
                      <w:sz w:val="18"/>
                      <w:szCs w:val="18"/>
                    </w:rPr>
                  </w:pPr>
                </w:p>
              </w:tc>
              <w:tc>
                <w:tcPr>
                  <w:tcW w:w="1417" w:type="dxa"/>
                  <w:shd w:val="clear" w:color="auto" w:fill="auto"/>
                </w:tcPr>
                <w:p w:rsidR="004E3A9B" w:rsidRPr="00E57CC3" w:rsidRDefault="004E3A9B" w:rsidP="004E3A9B">
                  <w:pPr>
                    <w:ind w:left="-108" w:right="-108"/>
                    <w:jc w:val="center"/>
                    <w:rPr>
                      <w:b/>
                      <w:i/>
                      <w:sz w:val="18"/>
                      <w:szCs w:val="18"/>
                    </w:rPr>
                  </w:pPr>
                  <w:r w:rsidRPr="00E57CC3">
                    <w:rPr>
                      <w:b/>
                      <w:i/>
                      <w:sz w:val="18"/>
                      <w:szCs w:val="18"/>
                    </w:rPr>
                    <w:t xml:space="preserve">35% </w:t>
                  </w:r>
                </w:p>
                <w:p w:rsidR="004E3A9B" w:rsidRPr="00E57CC3" w:rsidRDefault="004E3A9B" w:rsidP="004E3A9B">
                  <w:pPr>
                    <w:ind w:left="-108" w:right="-108"/>
                    <w:jc w:val="center"/>
                    <w:rPr>
                      <w:b/>
                      <w:i/>
                      <w:sz w:val="18"/>
                      <w:szCs w:val="18"/>
                    </w:rPr>
                  </w:pPr>
                </w:p>
              </w:tc>
              <w:tc>
                <w:tcPr>
                  <w:tcW w:w="993" w:type="dxa"/>
                </w:tcPr>
                <w:p w:rsidR="004E3A9B" w:rsidRPr="00E57CC3" w:rsidRDefault="004E3A9B" w:rsidP="004E3A9B">
                  <w:pPr>
                    <w:jc w:val="center"/>
                    <w:rPr>
                      <w:sz w:val="18"/>
                      <w:szCs w:val="18"/>
                    </w:rPr>
                  </w:pPr>
                  <w:r w:rsidRPr="00E57CC3">
                    <w:rPr>
                      <w:sz w:val="18"/>
                      <w:szCs w:val="18"/>
                    </w:rPr>
                    <w:t>1,19%</w:t>
                  </w:r>
                  <w:r w:rsidRPr="00E57CC3">
                    <w:rPr>
                      <w:sz w:val="18"/>
                      <w:szCs w:val="18"/>
                      <w:vertAlign w:val="superscript"/>
                    </w:rPr>
                    <w:footnoteReference w:id="3"/>
                  </w:r>
                </w:p>
              </w:tc>
              <w:tc>
                <w:tcPr>
                  <w:tcW w:w="708" w:type="dxa"/>
                  <w:shd w:val="clear" w:color="auto" w:fill="auto"/>
                  <w:vAlign w:val="center"/>
                </w:tcPr>
                <w:p w:rsidR="004E3A9B" w:rsidRPr="00E57CC3" w:rsidRDefault="004E3A9B" w:rsidP="00530C74">
                  <w:pPr>
                    <w:ind w:left="-108" w:right="-108"/>
                    <w:jc w:val="center"/>
                    <w:rPr>
                      <w:sz w:val="18"/>
                      <w:szCs w:val="18"/>
                    </w:rPr>
                  </w:pPr>
                  <w:r w:rsidRPr="00E57CC3">
                    <w:rPr>
                      <w:sz w:val="18"/>
                      <w:szCs w:val="18"/>
                    </w:rPr>
                    <w:t>35%</w:t>
                  </w:r>
                  <w:r w:rsidRPr="00E57CC3">
                    <w:rPr>
                      <w:sz w:val="18"/>
                      <w:szCs w:val="18"/>
                      <w:vertAlign w:val="superscript"/>
                    </w:rPr>
                    <w:footnoteReference w:id="4"/>
                  </w:r>
                </w:p>
              </w:tc>
              <w:tc>
                <w:tcPr>
                  <w:tcW w:w="993" w:type="dxa"/>
                  <w:shd w:val="clear" w:color="auto" w:fill="auto"/>
                  <w:vAlign w:val="center"/>
                </w:tcPr>
                <w:p w:rsidR="004E3A9B" w:rsidRPr="00E57CC3" w:rsidRDefault="004E3A9B" w:rsidP="004E3A9B">
                  <w:pPr>
                    <w:jc w:val="center"/>
                    <w:rPr>
                      <w:sz w:val="18"/>
                      <w:szCs w:val="18"/>
                    </w:rPr>
                  </w:pPr>
                  <w:r w:rsidRPr="00E57CC3">
                    <w:rPr>
                      <w:sz w:val="18"/>
                      <w:szCs w:val="18"/>
                    </w:rPr>
                    <w:t>45%</w:t>
                  </w:r>
                </w:p>
              </w:tc>
              <w:tc>
                <w:tcPr>
                  <w:tcW w:w="708" w:type="dxa"/>
                  <w:shd w:val="clear" w:color="auto" w:fill="auto"/>
                  <w:vAlign w:val="center"/>
                </w:tcPr>
                <w:p w:rsidR="004E3A9B" w:rsidRPr="00E57CC3" w:rsidRDefault="004E3A9B" w:rsidP="004E3A9B">
                  <w:pPr>
                    <w:ind w:right="-108"/>
                    <w:jc w:val="center"/>
                    <w:rPr>
                      <w:sz w:val="18"/>
                      <w:szCs w:val="18"/>
                    </w:rPr>
                  </w:pPr>
                  <w:r w:rsidRPr="00E57CC3">
                    <w:rPr>
                      <w:sz w:val="18"/>
                      <w:szCs w:val="18"/>
                    </w:rPr>
                    <w:t>55%</w:t>
                  </w:r>
                </w:p>
              </w:tc>
            </w:tr>
            <w:tr w:rsidR="0096487A" w:rsidRPr="00E57CC3" w:rsidTr="00530C74">
              <w:trPr>
                <w:trHeight w:val="414"/>
              </w:trPr>
              <w:tc>
                <w:tcPr>
                  <w:tcW w:w="399" w:type="dxa"/>
                  <w:shd w:val="clear" w:color="auto" w:fill="auto"/>
                </w:tcPr>
                <w:p w:rsidR="004E3A9B" w:rsidRPr="00E57CC3" w:rsidRDefault="004E3A9B" w:rsidP="004E3A9B">
                  <w:pPr>
                    <w:jc w:val="center"/>
                    <w:rPr>
                      <w:sz w:val="18"/>
                      <w:szCs w:val="18"/>
                    </w:rPr>
                  </w:pPr>
                </w:p>
              </w:tc>
              <w:tc>
                <w:tcPr>
                  <w:tcW w:w="958" w:type="dxa"/>
                  <w:shd w:val="clear" w:color="auto" w:fill="auto"/>
                </w:tcPr>
                <w:p w:rsidR="004E3A9B" w:rsidRPr="00E57CC3" w:rsidRDefault="004E3A9B" w:rsidP="004E3A9B">
                  <w:pPr>
                    <w:jc w:val="both"/>
                    <w:rPr>
                      <w:sz w:val="18"/>
                      <w:szCs w:val="18"/>
                    </w:rPr>
                  </w:pPr>
                  <w:r w:rsidRPr="00E57CC3">
                    <w:rPr>
                      <w:sz w:val="18"/>
                      <w:szCs w:val="18"/>
                    </w:rPr>
                    <w:t>Acoperire demo</w:t>
                  </w:r>
                  <w:r w:rsidR="0096487A" w:rsidRPr="00E57CC3">
                    <w:rPr>
                      <w:sz w:val="18"/>
                      <w:szCs w:val="18"/>
                    </w:rPr>
                    <w:t>-</w:t>
                  </w:r>
                  <w:r w:rsidRPr="00E57CC3">
                    <w:rPr>
                      <w:sz w:val="18"/>
                      <w:szCs w:val="18"/>
                    </w:rPr>
                    <w:t>grafică totală 2022 - 2027</w:t>
                  </w:r>
                </w:p>
              </w:tc>
              <w:tc>
                <w:tcPr>
                  <w:tcW w:w="1134" w:type="dxa"/>
                  <w:shd w:val="clear" w:color="auto" w:fill="auto"/>
                </w:tcPr>
                <w:p w:rsidR="004E3A9B" w:rsidRPr="00E57CC3" w:rsidRDefault="004E3A9B" w:rsidP="004E3A9B">
                  <w:pPr>
                    <w:rPr>
                      <w:sz w:val="18"/>
                      <w:szCs w:val="18"/>
                    </w:rPr>
                  </w:pPr>
                </w:p>
              </w:tc>
              <w:tc>
                <w:tcPr>
                  <w:tcW w:w="709" w:type="dxa"/>
                  <w:shd w:val="clear" w:color="auto" w:fill="auto"/>
                </w:tcPr>
                <w:p w:rsidR="004E3A9B" w:rsidRPr="00E57CC3" w:rsidRDefault="004E3A9B" w:rsidP="004E3A9B">
                  <w:pPr>
                    <w:jc w:val="center"/>
                    <w:rPr>
                      <w:sz w:val="18"/>
                      <w:szCs w:val="18"/>
                    </w:rPr>
                  </w:pPr>
                </w:p>
              </w:tc>
              <w:tc>
                <w:tcPr>
                  <w:tcW w:w="1417" w:type="dxa"/>
                  <w:shd w:val="clear" w:color="auto" w:fill="auto"/>
                </w:tcPr>
                <w:p w:rsidR="00FE0F6D" w:rsidRPr="002D011C" w:rsidRDefault="00FE0F6D" w:rsidP="00230A78">
                  <w:pPr>
                    <w:jc w:val="both"/>
                    <w:rPr>
                      <w:b/>
                      <w:i/>
                      <w:sz w:val="18"/>
                      <w:szCs w:val="18"/>
                    </w:rPr>
                  </w:pPr>
                  <w:r w:rsidRPr="00AA76C4">
                    <w:rPr>
                      <w:bCs/>
                      <w:sz w:val="18"/>
                      <w:szCs w:val="18"/>
                    </w:rPr>
                    <w:t>Ciorogârla, Domnești, Cornetu, Bragadiru, Dărăști-Ilfov, Jilava, 1 Decembrie, Copăceni, Vidra, Berceni, Clinceni.</w:t>
                  </w:r>
                </w:p>
                <w:p w:rsidR="004E3A9B" w:rsidRPr="00E57CC3" w:rsidRDefault="004E3A9B" w:rsidP="004E3A9B">
                  <w:pPr>
                    <w:ind w:left="-108" w:right="-108"/>
                    <w:jc w:val="center"/>
                    <w:rPr>
                      <w:sz w:val="18"/>
                      <w:szCs w:val="18"/>
                    </w:rPr>
                  </w:pPr>
                </w:p>
              </w:tc>
              <w:tc>
                <w:tcPr>
                  <w:tcW w:w="993" w:type="dxa"/>
                </w:tcPr>
                <w:p w:rsidR="004E3A9B" w:rsidRPr="00E57CC3" w:rsidRDefault="004E3A9B" w:rsidP="004E3A9B">
                  <w:pPr>
                    <w:jc w:val="center"/>
                    <w:rPr>
                      <w:sz w:val="18"/>
                      <w:szCs w:val="18"/>
                    </w:rPr>
                  </w:pPr>
                </w:p>
              </w:tc>
              <w:tc>
                <w:tcPr>
                  <w:tcW w:w="708" w:type="dxa"/>
                  <w:shd w:val="clear" w:color="auto" w:fill="auto"/>
                </w:tcPr>
                <w:p w:rsidR="004E3A9B" w:rsidRPr="00E57CC3" w:rsidRDefault="004E3A9B" w:rsidP="00530C74">
                  <w:pPr>
                    <w:ind w:left="-108" w:right="-108"/>
                    <w:jc w:val="center"/>
                    <w:rPr>
                      <w:sz w:val="18"/>
                      <w:szCs w:val="18"/>
                    </w:rPr>
                  </w:pPr>
                  <w:r w:rsidRPr="00E57CC3">
                    <w:rPr>
                      <w:sz w:val="18"/>
                      <w:szCs w:val="18"/>
                    </w:rPr>
                    <w:t xml:space="preserve">89,34 % </w:t>
                  </w:r>
                </w:p>
              </w:tc>
              <w:tc>
                <w:tcPr>
                  <w:tcW w:w="993" w:type="dxa"/>
                  <w:shd w:val="clear" w:color="auto" w:fill="auto"/>
                  <w:vAlign w:val="center"/>
                </w:tcPr>
                <w:p w:rsidR="004E3A9B" w:rsidRPr="00E57CC3" w:rsidRDefault="004E3A9B" w:rsidP="004E3A9B">
                  <w:pPr>
                    <w:jc w:val="center"/>
                    <w:rPr>
                      <w:sz w:val="18"/>
                      <w:szCs w:val="18"/>
                    </w:rPr>
                  </w:pPr>
                </w:p>
              </w:tc>
              <w:tc>
                <w:tcPr>
                  <w:tcW w:w="708" w:type="dxa"/>
                  <w:shd w:val="clear" w:color="auto" w:fill="auto"/>
                  <w:vAlign w:val="center"/>
                </w:tcPr>
                <w:p w:rsidR="004E3A9B" w:rsidRPr="00E57CC3" w:rsidRDefault="004E3A9B" w:rsidP="004E3A9B">
                  <w:pPr>
                    <w:ind w:right="-108"/>
                    <w:jc w:val="center"/>
                    <w:rPr>
                      <w:sz w:val="18"/>
                      <w:szCs w:val="18"/>
                    </w:rPr>
                  </w:pPr>
                </w:p>
              </w:tc>
            </w:tr>
            <w:tr w:rsidR="008532EF" w:rsidRPr="00E57CC3" w:rsidTr="00F62967">
              <w:trPr>
                <w:trHeight w:val="414"/>
              </w:trPr>
              <w:tc>
                <w:tcPr>
                  <w:tcW w:w="3200" w:type="dxa"/>
                  <w:gridSpan w:val="4"/>
                  <w:shd w:val="clear" w:color="auto" w:fill="auto"/>
                </w:tcPr>
                <w:p w:rsidR="008532EF" w:rsidRPr="00E57CC3" w:rsidRDefault="008532EF" w:rsidP="00FE0F6D">
                  <w:pPr>
                    <w:jc w:val="right"/>
                    <w:rPr>
                      <w:i/>
                      <w:sz w:val="18"/>
                      <w:szCs w:val="18"/>
                    </w:rPr>
                  </w:pPr>
                </w:p>
              </w:tc>
              <w:tc>
                <w:tcPr>
                  <w:tcW w:w="1417" w:type="dxa"/>
                  <w:shd w:val="clear" w:color="auto" w:fill="auto"/>
                </w:tcPr>
                <w:p w:rsidR="008532EF" w:rsidRPr="00E57CC3" w:rsidRDefault="008532EF" w:rsidP="00FE0F6D">
                  <w:pPr>
                    <w:ind w:left="-108" w:right="-108"/>
                    <w:jc w:val="center"/>
                    <w:rPr>
                      <w:b/>
                      <w:i/>
                      <w:sz w:val="18"/>
                      <w:szCs w:val="18"/>
                    </w:rPr>
                  </w:pPr>
                  <w:r>
                    <w:rPr>
                      <w:b/>
                      <w:i/>
                      <w:sz w:val="18"/>
                      <w:szCs w:val="18"/>
                    </w:rPr>
                    <w:t>4</w:t>
                  </w:r>
                  <w:r w:rsidRPr="00E57CC3">
                    <w:rPr>
                      <w:b/>
                      <w:i/>
                      <w:sz w:val="18"/>
                      <w:szCs w:val="18"/>
                    </w:rPr>
                    <w:t xml:space="preserve">5% </w:t>
                  </w:r>
                </w:p>
                <w:p w:rsidR="008532EF" w:rsidRDefault="008532EF" w:rsidP="00FE0F6D">
                  <w:pPr>
                    <w:ind w:left="-108" w:right="-108"/>
                    <w:jc w:val="center"/>
                    <w:rPr>
                      <w:b/>
                      <w:i/>
                      <w:sz w:val="18"/>
                      <w:szCs w:val="18"/>
                    </w:rPr>
                  </w:pPr>
                </w:p>
              </w:tc>
              <w:tc>
                <w:tcPr>
                  <w:tcW w:w="993" w:type="dxa"/>
                </w:tcPr>
                <w:p w:rsidR="008532EF" w:rsidRPr="00E57CC3" w:rsidRDefault="008532EF" w:rsidP="00FE0F6D">
                  <w:pPr>
                    <w:jc w:val="center"/>
                    <w:rPr>
                      <w:sz w:val="18"/>
                      <w:szCs w:val="18"/>
                    </w:rPr>
                  </w:pPr>
                  <w:r w:rsidRPr="00E57CC3">
                    <w:rPr>
                      <w:sz w:val="18"/>
                      <w:szCs w:val="18"/>
                    </w:rPr>
                    <w:t>1,19%</w:t>
                  </w:r>
                  <w:r w:rsidRPr="00E57CC3">
                    <w:rPr>
                      <w:sz w:val="18"/>
                      <w:szCs w:val="18"/>
                      <w:vertAlign w:val="superscript"/>
                    </w:rPr>
                    <w:footnoteReference w:id="5"/>
                  </w:r>
                </w:p>
              </w:tc>
              <w:tc>
                <w:tcPr>
                  <w:tcW w:w="708" w:type="dxa"/>
                  <w:shd w:val="clear" w:color="auto" w:fill="auto"/>
                  <w:vAlign w:val="center"/>
                </w:tcPr>
                <w:p w:rsidR="008532EF" w:rsidRPr="00E57CC3" w:rsidRDefault="004A0EEE" w:rsidP="00FE0F6D">
                  <w:pPr>
                    <w:ind w:left="-108" w:right="-108"/>
                    <w:jc w:val="center"/>
                    <w:rPr>
                      <w:sz w:val="18"/>
                      <w:szCs w:val="18"/>
                    </w:rPr>
                  </w:pPr>
                  <w:r>
                    <w:rPr>
                      <w:sz w:val="18"/>
                      <w:szCs w:val="18"/>
                    </w:rPr>
                    <w:t>4</w:t>
                  </w:r>
                  <w:r w:rsidR="008532EF" w:rsidRPr="00E57CC3">
                    <w:rPr>
                      <w:sz w:val="18"/>
                      <w:szCs w:val="18"/>
                    </w:rPr>
                    <w:t>5%</w:t>
                  </w:r>
                  <w:r w:rsidR="008532EF" w:rsidRPr="00E57CC3">
                    <w:rPr>
                      <w:sz w:val="18"/>
                      <w:szCs w:val="18"/>
                      <w:vertAlign w:val="superscript"/>
                    </w:rPr>
                    <w:footnoteReference w:id="6"/>
                  </w:r>
                </w:p>
              </w:tc>
              <w:tc>
                <w:tcPr>
                  <w:tcW w:w="993" w:type="dxa"/>
                  <w:shd w:val="clear" w:color="auto" w:fill="auto"/>
                  <w:vAlign w:val="center"/>
                </w:tcPr>
                <w:p w:rsidR="008532EF" w:rsidRPr="00E57CC3" w:rsidRDefault="004A0EEE" w:rsidP="00FE0F6D">
                  <w:pPr>
                    <w:jc w:val="center"/>
                    <w:rPr>
                      <w:sz w:val="18"/>
                      <w:szCs w:val="18"/>
                    </w:rPr>
                  </w:pPr>
                  <w:r>
                    <w:rPr>
                      <w:sz w:val="18"/>
                      <w:szCs w:val="18"/>
                    </w:rPr>
                    <w:t>5</w:t>
                  </w:r>
                  <w:r w:rsidR="008532EF" w:rsidRPr="00E57CC3">
                    <w:rPr>
                      <w:sz w:val="18"/>
                      <w:szCs w:val="18"/>
                    </w:rPr>
                    <w:t>5%</w:t>
                  </w:r>
                </w:p>
              </w:tc>
              <w:tc>
                <w:tcPr>
                  <w:tcW w:w="708" w:type="dxa"/>
                  <w:shd w:val="clear" w:color="auto" w:fill="auto"/>
                  <w:vAlign w:val="center"/>
                </w:tcPr>
                <w:p w:rsidR="008532EF" w:rsidRPr="00E57CC3" w:rsidRDefault="004A0EEE" w:rsidP="00FE0F6D">
                  <w:pPr>
                    <w:ind w:right="-108"/>
                    <w:jc w:val="center"/>
                    <w:rPr>
                      <w:sz w:val="18"/>
                      <w:szCs w:val="18"/>
                    </w:rPr>
                  </w:pPr>
                  <w:r>
                    <w:rPr>
                      <w:sz w:val="18"/>
                      <w:szCs w:val="18"/>
                    </w:rPr>
                    <w:t>6</w:t>
                  </w:r>
                  <w:r w:rsidR="008532EF" w:rsidRPr="00E57CC3">
                    <w:rPr>
                      <w:sz w:val="18"/>
                      <w:szCs w:val="18"/>
                    </w:rPr>
                    <w:t>5%</w:t>
                  </w:r>
                </w:p>
              </w:tc>
            </w:tr>
            <w:tr w:rsidR="00FE0F6D" w:rsidRPr="00E57CC3" w:rsidTr="00F62967">
              <w:trPr>
                <w:trHeight w:val="414"/>
              </w:trPr>
              <w:tc>
                <w:tcPr>
                  <w:tcW w:w="399" w:type="dxa"/>
                  <w:shd w:val="clear" w:color="auto" w:fill="auto"/>
                </w:tcPr>
                <w:p w:rsidR="00FE0F6D" w:rsidRPr="00E57CC3" w:rsidRDefault="00FE0F6D" w:rsidP="00FE0F6D">
                  <w:pPr>
                    <w:jc w:val="center"/>
                    <w:rPr>
                      <w:sz w:val="18"/>
                      <w:szCs w:val="18"/>
                    </w:rPr>
                  </w:pPr>
                </w:p>
              </w:tc>
              <w:tc>
                <w:tcPr>
                  <w:tcW w:w="958" w:type="dxa"/>
                  <w:shd w:val="clear" w:color="auto" w:fill="auto"/>
                </w:tcPr>
                <w:p w:rsidR="00FE0F6D" w:rsidRPr="00E57CC3" w:rsidRDefault="00FE0F6D" w:rsidP="00FE0F6D">
                  <w:pPr>
                    <w:jc w:val="both"/>
                    <w:rPr>
                      <w:sz w:val="18"/>
                      <w:szCs w:val="18"/>
                    </w:rPr>
                  </w:pPr>
                </w:p>
              </w:tc>
              <w:tc>
                <w:tcPr>
                  <w:tcW w:w="1134" w:type="dxa"/>
                  <w:shd w:val="clear" w:color="auto" w:fill="auto"/>
                </w:tcPr>
                <w:p w:rsidR="00FE0F6D" w:rsidRPr="00E57CC3" w:rsidRDefault="00FE0F6D" w:rsidP="00FE0F6D">
                  <w:pPr>
                    <w:rPr>
                      <w:b/>
                      <w:i/>
                      <w:sz w:val="18"/>
                      <w:szCs w:val="18"/>
                    </w:rPr>
                  </w:pPr>
                </w:p>
              </w:tc>
              <w:tc>
                <w:tcPr>
                  <w:tcW w:w="709" w:type="dxa"/>
                  <w:shd w:val="clear" w:color="auto" w:fill="auto"/>
                </w:tcPr>
                <w:p w:rsidR="00FE0F6D" w:rsidRPr="00E57CC3" w:rsidRDefault="00FE0F6D" w:rsidP="00FE0F6D">
                  <w:pPr>
                    <w:jc w:val="right"/>
                    <w:rPr>
                      <w:i/>
                      <w:sz w:val="18"/>
                      <w:szCs w:val="18"/>
                    </w:rPr>
                  </w:pPr>
                </w:p>
              </w:tc>
              <w:tc>
                <w:tcPr>
                  <w:tcW w:w="1417" w:type="dxa"/>
                  <w:shd w:val="clear" w:color="auto" w:fill="auto"/>
                </w:tcPr>
                <w:p w:rsidR="00FE0F6D" w:rsidRDefault="00FE0F6D" w:rsidP="00FE0F6D">
                  <w:pPr>
                    <w:ind w:left="-108" w:right="-108"/>
                    <w:jc w:val="center"/>
                    <w:rPr>
                      <w:b/>
                      <w:i/>
                      <w:sz w:val="18"/>
                      <w:szCs w:val="18"/>
                    </w:rPr>
                  </w:pPr>
                  <w:r w:rsidRPr="00AA76C4">
                    <w:rPr>
                      <w:sz w:val="20"/>
                      <w:szCs w:val="20"/>
                      <w:bdr w:val="none" w:sz="0" w:space="0" w:color="auto" w:frame="1"/>
                      <w:shd w:val="clear" w:color="auto" w:fill="FFFFFF"/>
                    </w:rPr>
                    <w:t>Periș, Ciolpani, Snagov, Gruiu, Nuci, Grădiștea, Petrăchioaia, Dascălu, Moara Vlăsiei, Balotești, Corbeanca, Buftea,</w:t>
                  </w:r>
                  <w:r>
                    <w:rPr>
                      <w:sz w:val="20"/>
                      <w:szCs w:val="20"/>
                      <w:bdr w:val="none" w:sz="0" w:space="0" w:color="auto" w:frame="1"/>
                      <w:shd w:val="clear" w:color="auto" w:fill="FFFFFF"/>
                    </w:rPr>
                    <w:t xml:space="preserve"> Chitila, Glina, Cernica, Dobro</w:t>
                  </w:r>
                  <w:r w:rsidRPr="00AA76C4">
                    <w:rPr>
                      <w:sz w:val="20"/>
                      <w:szCs w:val="20"/>
                      <w:bdr w:val="none" w:sz="0" w:space="0" w:color="auto" w:frame="1"/>
                      <w:shd w:val="clear" w:color="auto" w:fill="FFFFFF"/>
                    </w:rPr>
                    <w:t>ești, Pantelimon.</w:t>
                  </w:r>
                </w:p>
              </w:tc>
              <w:tc>
                <w:tcPr>
                  <w:tcW w:w="993" w:type="dxa"/>
                </w:tcPr>
                <w:p w:rsidR="00FE0F6D" w:rsidRPr="00E57CC3" w:rsidRDefault="00FE0F6D" w:rsidP="00FE0F6D">
                  <w:pPr>
                    <w:jc w:val="center"/>
                    <w:rPr>
                      <w:sz w:val="18"/>
                      <w:szCs w:val="18"/>
                    </w:rPr>
                  </w:pPr>
                </w:p>
              </w:tc>
              <w:tc>
                <w:tcPr>
                  <w:tcW w:w="708" w:type="dxa"/>
                  <w:shd w:val="clear" w:color="auto" w:fill="auto"/>
                  <w:vAlign w:val="center"/>
                </w:tcPr>
                <w:p w:rsidR="00FE0F6D" w:rsidRPr="00E57CC3" w:rsidRDefault="00FE0F6D" w:rsidP="00FE0F6D">
                  <w:pPr>
                    <w:ind w:left="-108" w:right="-108"/>
                    <w:jc w:val="center"/>
                    <w:rPr>
                      <w:sz w:val="18"/>
                      <w:szCs w:val="18"/>
                    </w:rPr>
                  </w:pPr>
                </w:p>
              </w:tc>
              <w:tc>
                <w:tcPr>
                  <w:tcW w:w="993" w:type="dxa"/>
                  <w:shd w:val="clear" w:color="auto" w:fill="auto"/>
                  <w:vAlign w:val="center"/>
                </w:tcPr>
                <w:p w:rsidR="00FE0F6D" w:rsidRPr="00E57CC3" w:rsidRDefault="00FE0F6D" w:rsidP="00FE0F6D">
                  <w:pPr>
                    <w:jc w:val="center"/>
                    <w:rPr>
                      <w:sz w:val="18"/>
                      <w:szCs w:val="18"/>
                    </w:rPr>
                  </w:pPr>
                </w:p>
              </w:tc>
              <w:tc>
                <w:tcPr>
                  <w:tcW w:w="708" w:type="dxa"/>
                  <w:shd w:val="clear" w:color="auto" w:fill="auto"/>
                  <w:vAlign w:val="center"/>
                </w:tcPr>
                <w:p w:rsidR="00FE0F6D" w:rsidRPr="00E57CC3" w:rsidRDefault="00FE0F6D" w:rsidP="00FE0F6D">
                  <w:pPr>
                    <w:ind w:right="-108"/>
                    <w:jc w:val="center"/>
                    <w:rPr>
                      <w:sz w:val="18"/>
                      <w:szCs w:val="18"/>
                    </w:rPr>
                  </w:pPr>
                </w:p>
              </w:tc>
            </w:tr>
          </w:tbl>
          <w:p w:rsidR="004E3A9B" w:rsidRPr="00E57CC3" w:rsidRDefault="004E3A9B" w:rsidP="004E3A9B">
            <w:pPr>
              <w:spacing w:after="160" w:line="259" w:lineRule="auto"/>
              <w:jc w:val="both"/>
              <w:rPr>
                <w:rFonts w:eastAsia="Calibri"/>
                <w:b/>
                <w:u w:val="single"/>
                <w:lang w:val="en-US"/>
              </w:rPr>
            </w:pPr>
          </w:p>
          <w:p w:rsidR="007038B5" w:rsidRPr="00E57CC3" w:rsidRDefault="007038B5" w:rsidP="007038B5">
            <w:pPr>
              <w:jc w:val="both"/>
            </w:pPr>
            <w:r w:rsidRPr="00E57CC3">
              <w:t xml:space="preserve">Prezentul act normativ pune în aplicare prevederile din Decizia nr. ....../.... a Comisiei Europene de autorizare a </w:t>
            </w:r>
            <w:bookmarkStart w:id="0" w:name="do|pa2"/>
            <w:bookmarkEnd w:id="0"/>
            <w:r w:rsidRPr="00E57CC3">
              <w:t>hărţii notificate a ajutoarelor regionale aferente perioadei 2022-2027 pentru România.</w:t>
            </w:r>
          </w:p>
          <w:p w:rsidR="00AB5BC3" w:rsidRPr="00E57CC3" w:rsidRDefault="00AB5BC3" w:rsidP="00476967">
            <w:pPr>
              <w:pStyle w:val="NormalWeb"/>
              <w:spacing w:before="0" w:beforeAutospacing="0" w:after="0" w:afterAutospacing="0"/>
              <w:jc w:val="both"/>
              <w:rPr>
                <w:rFonts w:ascii="Arial" w:hAnsi="Arial" w:cs="Arial"/>
                <w:shd w:val="clear" w:color="auto" w:fill="FFFFFF"/>
                <w:lang w:val="ro-RO"/>
              </w:rPr>
            </w:pPr>
          </w:p>
        </w:tc>
      </w:tr>
      <w:tr w:rsidR="00AB5BC3" w:rsidRPr="004E3A9B" w:rsidTr="00230A78">
        <w:tblPrEx>
          <w:tblLook w:val="0000" w:firstRow="0" w:lastRow="0" w:firstColumn="0" w:lastColumn="0" w:noHBand="0" w:noVBand="0"/>
        </w:tblPrEx>
        <w:trPr>
          <w:trHeight w:val="572"/>
          <w:jc w:val="center"/>
        </w:trPr>
        <w:tc>
          <w:tcPr>
            <w:tcW w:w="1499" w:type="dxa"/>
            <w:tcBorders>
              <w:top w:val="single" w:sz="4" w:space="0" w:color="000000"/>
              <w:left w:val="single" w:sz="4" w:space="0" w:color="auto"/>
              <w:bottom w:val="single" w:sz="4" w:space="0" w:color="000000"/>
            </w:tcBorders>
            <w:shd w:val="clear" w:color="auto" w:fill="auto"/>
            <w:vAlign w:val="center"/>
          </w:tcPr>
          <w:p w:rsidR="00AB5BC3" w:rsidRPr="004E3A9B" w:rsidRDefault="00AB5BC3" w:rsidP="00A90F37">
            <w:pPr>
              <w:rPr>
                <w:bCs/>
              </w:rPr>
            </w:pPr>
            <w:r w:rsidRPr="004E3A9B">
              <w:rPr>
                <w:bCs/>
              </w:rPr>
              <w:lastRenderedPageBreak/>
              <w:t>3. Alte informații</w:t>
            </w:r>
          </w:p>
        </w:tc>
        <w:tc>
          <w:tcPr>
            <w:tcW w:w="8295"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AB5BC3" w:rsidRPr="00E57CC3" w:rsidRDefault="007038B5" w:rsidP="00A90F37">
            <w:pPr>
              <w:rPr>
                <w:bCs/>
              </w:rPr>
            </w:pPr>
            <w:r w:rsidRPr="00E57CC3">
              <w:t>Nu au fost identificate.</w:t>
            </w:r>
          </w:p>
        </w:tc>
      </w:tr>
      <w:tr w:rsidR="00AB5BC3" w:rsidRPr="00E57CC3"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7"/>
        </w:trPr>
        <w:tc>
          <w:tcPr>
            <w:tcW w:w="9794" w:type="dxa"/>
            <w:gridSpan w:val="10"/>
            <w:tcBorders>
              <w:top w:val="single" w:sz="4" w:space="0" w:color="000000"/>
              <w:left w:val="single" w:sz="4" w:space="0" w:color="auto"/>
              <w:bottom w:val="single" w:sz="4" w:space="0" w:color="000000"/>
              <w:right w:val="single" w:sz="4" w:space="0" w:color="auto"/>
            </w:tcBorders>
            <w:shd w:val="clear" w:color="auto" w:fill="auto"/>
            <w:vAlign w:val="center"/>
          </w:tcPr>
          <w:p w:rsidR="00AB5BC3" w:rsidRPr="00E57CC3" w:rsidRDefault="00AB5BC3" w:rsidP="00AB5BC3">
            <w:pPr>
              <w:spacing w:before="40" w:after="40"/>
              <w:jc w:val="center"/>
              <w:rPr>
                <w:b/>
                <w:bCs/>
              </w:rPr>
            </w:pPr>
            <w:r w:rsidRPr="00E57CC3">
              <w:rPr>
                <w:b/>
                <w:bCs/>
              </w:rPr>
              <w:t>Secţiunea a 3-a</w:t>
            </w:r>
          </w:p>
          <w:p w:rsidR="00AB5BC3" w:rsidRPr="00E57CC3" w:rsidRDefault="00AB5BC3" w:rsidP="00801984">
            <w:pPr>
              <w:spacing w:before="40" w:after="40"/>
              <w:jc w:val="center"/>
              <w:rPr>
                <w:b/>
                <w:bCs/>
              </w:rPr>
            </w:pPr>
            <w:r w:rsidRPr="00E57CC3">
              <w:rPr>
                <w:b/>
                <w:bCs/>
              </w:rPr>
              <w:t>Impactul socio-economic al proiectului de act normati</w:t>
            </w:r>
            <w:r w:rsidR="00801984" w:rsidRPr="00E57CC3">
              <w:rPr>
                <w:b/>
                <w:bCs/>
              </w:rPr>
              <w:t>v</w:t>
            </w:r>
          </w:p>
        </w:tc>
      </w:tr>
      <w:tr w:rsidR="00AB5BC3" w:rsidRPr="004E3A9B" w:rsidTr="00230A78">
        <w:tblPrEx>
          <w:tblLook w:val="0000" w:firstRow="0" w:lastRow="0" w:firstColumn="0" w:lastColumn="0" w:noHBand="0" w:noVBand="0"/>
        </w:tblPrEx>
        <w:trPr>
          <w:trHeight w:val="703"/>
          <w:jc w:val="center"/>
        </w:trPr>
        <w:tc>
          <w:tcPr>
            <w:tcW w:w="1499" w:type="dxa"/>
            <w:tcBorders>
              <w:top w:val="single" w:sz="4" w:space="0" w:color="000000"/>
              <w:left w:val="single" w:sz="4" w:space="0" w:color="auto"/>
              <w:bottom w:val="single" w:sz="4" w:space="0" w:color="000000"/>
            </w:tcBorders>
            <w:shd w:val="clear" w:color="auto" w:fill="auto"/>
            <w:vAlign w:val="center"/>
          </w:tcPr>
          <w:p w:rsidR="00AB5BC3" w:rsidRPr="004E3A9B" w:rsidRDefault="00AB5BC3" w:rsidP="00AB5BC3">
            <w:r w:rsidRPr="004E3A9B">
              <w:rPr>
                <w:bCs/>
              </w:rPr>
              <w:t>1. Impactul macroeconomic</w:t>
            </w:r>
          </w:p>
        </w:tc>
        <w:tc>
          <w:tcPr>
            <w:tcW w:w="8295"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AB5BC3" w:rsidRPr="00E57CC3" w:rsidRDefault="00AB5BC3" w:rsidP="00AB5BC3">
            <w:pPr>
              <w:jc w:val="both"/>
            </w:pPr>
          </w:p>
          <w:p w:rsidR="00AB5BC3" w:rsidRPr="00E57CC3" w:rsidRDefault="004A68C6" w:rsidP="00AB5BC3">
            <w:pPr>
              <w:jc w:val="both"/>
            </w:pPr>
            <w:r w:rsidRPr="00E57CC3">
              <w:t>Prezentul act normativ va avea un impact macroeconomic pozitiv.</w:t>
            </w:r>
          </w:p>
        </w:tc>
      </w:tr>
      <w:tr w:rsidR="00AB5BC3" w:rsidRPr="004E3A9B" w:rsidTr="00230A78">
        <w:tblPrEx>
          <w:tblLook w:val="0000" w:firstRow="0" w:lastRow="0" w:firstColumn="0" w:lastColumn="0" w:noHBand="0" w:noVBand="0"/>
        </w:tblPrEx>
        <w:trPr>
          <w:trHeight w:val="703"/>
          <w:jc w:val="center"/>
        </w:trPr>
        <w:tc>
          <w:tcPr>
            <w:tcW w:w="1499" w:type="dxa"/>
            <w:tcBorders>
              <w:top w:val="single" w:sz="4" w:space="0" w:color="000000"/>
              <w:left w:val="single" w:sz="4" w:space="0" w:color="auto"/>
              <w:bottom w:val="single" w:sz="4" w:space="0" w:color="000000"/>
            </w:tcBorders>
            <w:shd w:val="clear" w:color="auto" w:fill="auto"/>
            <w:vAlign w:val="center"/>
          </w:tcPr>
          <w:p w:rsidR="00AB5BC3" w:rsidRPr="004E3A9B" w:rsidRDefault="00AB5BC3" w:rsidP="00AB5BC3">
            <w:pPr>
              <w:ind w:right="-108"/>
              <w:rPr>
                <w:bCs/>
              </w:rPr>
            </w:pPr>
            <w:r w:rsidRPr="004E3A9B">
              <w:rPr>
                <w:bCs/>
              </w:rPr>
              <w:t>1</w:t>
            </w:r>
            <w:r w:rsidRPr="004E3A9B">
              <w:rPr>
                <w:bCs/>
                <w:vertAlign w:val="superscript"/>
              </w:rPr>
              <w:t>1</w:t>
            </w:r>
            <w:r w:rsidRPr="004E3A9B">
              <w:rPr>
                <w:bCs/>
              </w:rPr>
              <w:t xml:space="preserve"> Impactul asupra mediului concurenţial şi domeniului ajutoarelor de stat</w:t>
            </w:r>
          </w:p>
        </w:tc>
        <w:tc>
          <w:tcPr>
            <w:tcW w:w="8295" w:type="dxa"/>
            <w:gridSpan w:val="9"/>
            <w:tcBorders>
              <w:top w:val="single" w:sz="4" w:space="0" w:color="000000"/>
              <w:left w:val="single" w:sz="4" w:space="0" w:color="000000"/>
              <w:bottom w:val="single" w:sz="4" w:space="0" w:color="000000"/>
              <w:right w:val="single" w:sz="4" w:space="0" w:color="auto"/>
            </w:tcBorders>
            <w:shd w:val="clear" w:color="auto" w:fill="auto"/>
          </w:tcPr>
          <w:p w:rsidR="00B9076F" w:rsidRPr="00E57CC3" w:rsidRDefault="00B9076F" w:rsidP="00B9076F">
            <w:pPr>
              <w:autoSpaceDE w:val="0"/>
              <w:autoSpaceDN w:val="0"/>
              <w:adjustRightInd w:val="0"/>
              <w:jc w:val="both"/>
            </w:pPr>
            <w:r w:rsidRPr="00E57CC3">
              <w:t>Scopul ajutorului de stat regional este de a promova dezvoltarea regiunilor mai puţin favorizate, în principal prin susţinerea investiţiilor iniţiale şi prin crearea de locuri de muncă.</w:t>
            </w:r>
          </w:p>
          <w:p w:rsidR="00AB5BC3" w:rsidRPr="00E57CC3" w:rsidRDefault="00AB5BC3" w:rsidP="00476967">
            <w:pPr>
              <w:jc w:val="both"/>
            </w:pPr>
          </w:p>
        </w:tc>
      </w:tr>
      <w:tr w:rsidR="00AB5BC3" w:rsidRPr="004E3A9B" w:rsidTr="00230A78">
        <w:tblPrEx>
          <w:tblLook w:val="0000" w:firstRow="0" w:lastRow="0" w:firstColumn="0" w:lastColumn="0" w:noHBand="0" w:noVBand="0"/>
        </w:tblPrEx>
        <w:trPr>
          <w:trHeight w:val="684"/>
          <w:jc w:val="center"/>
        </w:trPr>
        <w:tc>
          <w:tcPr>
            <w:tcW w:w="1499" w:type="dxa"/>
            <w:tcBorders>
              <w:top w:val="single" w:sz="4" w:space="0" w:color="000000"/>
              <w:left w:val="single" w:sz="4" w:space="0" w:color="auto"/>
              <w:bottom w:val="single" w:sz="4" w:space="0" w:color="000000"/>
            </w:tcBorders>
            <w:shd w:val="clear" w:color="auto" w:fill="auto"/>
            <w:vAlign w:val="center"/>
          </w:tcPr>
          <w:p w:rsidR="00AB5BC3" w:rsidRPr="004E3A9B" w:rsidRDefault="00AB5BC3" w:rsidP="00AB5BC3">
            <w:pPr>
              <w:rPr>
                <w:bCs/>
              </w:rPr>
            </w:pPr>
            <w:r w:rsidRPr="004E3A9B">
              <w:rPr>
                <w:bCs/>
              </w:rPr>
              <w:t>2. Impactul asupra mediului de afaceri</w:t>
            </w:r>
          </w:p>
        </w:tc>
        <w:tc>
          <w:tcPr>
            <w:tcW w:w="8295"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AB5BC3" w:rsidRPr="00E57CC3" w:rsidRDefault="00B9076F" w:rsidP="00B9076F">
            <w:pPr>
              <w:jc w:val="both"/>
              <w:rPr>
                <w:color w:val="000000"/>
              </w:rPr>
            </w:pPr>
            <w:r w:rsidRPr="00E57CC3">
              <w:rPr>
                <w:color w:val="000000"/>
              </w:rPr>
              <w:t>Prezentul act normativ va contribui la dezvoltarea mediului de afaceri.</w:t>
            </w:r>
          </w:p>
        </w:tc>
      </w:tr>
      <w:tr w:rsidR="00C7630F" w:rsidRPr="004E3A9B" w:rsidTr="00230A78">
        <w:tblPrEx>
          <w:tblLook w:val="0000" w:firstRow="0" w:lastRow="0" w:firstColumn="0" w:lastColumn="0" w:noHBand="0" w:noVBand="0"/>
        </w:tblPrEx>
        <w:trPr>
          <w:trHeight w:val="684"/>
          <w:jc w:val="center"/>
        </w:trPr>
        <w:tc>
          <w:tcPr>
            <w:tcW w:w="1499" w:type="dxa"/>
            <w:tcBorders>
              <w:left w:val="single" w:sz="4" w:space="0" w:color="auto"/>
              <w:bottom w:val="single" w:sz="4" w:space="0" w:color="auto"/>
            </w:tcBorders>
            <w:shd w:val="clear" w:color="auto" w:fill="auto"/>
            <w:vAlign w:val="center"/>
          </w:tcPr>
          <w:p w:rsidR="00C7630F" w:rsidRPr="004E3A9B" w:rsidRDefault="00C7630F" w:rsidP="00C7630F">
            <w:pPr>
              <w:rPr>
                <w:bCs/>
              </w:rPr>
            </w:pPr>
            <w:r w:rsidRPr="004E3A9B">
              <w:rPr>
                <w:bCs/>
              </w:rPr>
              <w:t>2</w:t>
            </w:r>
            <w:r w:rsidRPr="004E3A9B">
              <w:rPr>
                <w:bCs/>
                <w:vertAlign w:val="superscript"/>
              </w:rPr>
              <w:t>1</w:t>
            </w:r>
            <w:r w:rsidRPr="004E3A9B">
              <w:rPr>
                <w:bCs/>
              </w:rPr>
              <w:t>. Impactul asupra sarcinilor administrative</w:t>
            </w:r>
          </w:p>
        </w:tc>
        <w:tc>
          <w:tcPr>
            <w:tcW w:w="8295" w:type="dxa"/>
            <w:gridSpan w:val="9"/>
            <w:tcBorders>
              <w:left w:val="single" w:sz="4" w:space="0" w:color="000000"/>
              <w:bottom w:val="single" w:sz="4" w:space="0" w:color="auto"/>
              <w:right w:val="single" w:sz="4" w:space="0" w:color="auto"/>
            </w:tcBorders>
            <w:shd w:val="clear" w:color="auto" w:fill="auto"/>
            <w:vAlign w:val="center"/>
          </w:tcPr>
          <w:p w:rsidR="00C7630F" w:rsidRPr="00E57CC3" w:rsidRDefault="00D53AB9" w:rsidP="00C7630F">
            <w:pPr>
              <w:jc w:val="both"/>
            </w:pPr>
            <w:r w:rsidRPr="00E57CC3">
              <w:t>Prezentul act normativ va contribui la dezvoltarea mediului de afaceri.</w:t>
            </w:r>
          </w:p>
        </w:tc>
      </w:tr>
      <w:tr w:rsidR="00C7630F" w:rsidRPr="004E3A9B" w:rsidTr="00230A78">
        <w:tblPrEx>
          <w:tblLook w:val="0000" w:firstRow="0" w:lastRow="0" w:firstColumn="0" w:lastColumn="0" w:noHBand="0" w:noVBand="0"/>
        </w:tblPrEx>
        <w:trPr>
          <w:trHeight w:val="684"/>
          <w:jc w:val="center"/>
        </w:trPr>
        <w:tc>
          <w:tcPr>
            <w:tcW w:w="1499" w:type="dxa"/>
            <w:tcBorders>
              <w:top w:val="single" w:sz="4" w:space="0" w:color="auto"/>
              <w:left w:val="single" w:sz="4" w:space="0" w:color="auto"/>
              <w:bottom w:val="single" w:sz="4" w:space="0" w:color="000000"/>
            </w:tcBorders>
            <w:shd w:val="clear" w:color="auto" w:fill="auto"/>
            <w:vAlign w:val="center"/>
          </w:tcPr>
          <w:p w:rsidR="00C7630F" w:rsidRPr="004E3A9B" w:rsidRDefault="00C7630F" w:rsidP="00C7630F">
            <w:pPr>
              <w:rPr>
                <w:bCs/>
              </w:rPr>
            </w:pPr>
            <w:r w:rsidRPr="004E3A9B">
              <w:rPr>
                <w:bCs/>
              </w:rPr>
              <w:t>2</w:t>
            </w:r>
            <w:r w:rsidRPr="004E3A9B">
              <w:rPr>
                <w:bCs/>
                <w:vertAlign w:val="superscript"/>
              </w:rPr>
              <w:t>2</w:t>
            </w:r>
            <w:r w:rsidRPr="004E3A9B">
              <w:rPr>
                <w:bCs/>
              </w:rPr>
              <w:t>. Impactul asupra întreprinderilor mici şi mijlocii</w:t>
            </w:r>
          </w:p>
        </w:tc>
        <w:tc>
          <w:tcPr>
            <w:tcW w:w="8295" w:type="dxa"/>
            <w:gridSpan w:val="9"/>
            <w:tcBorders>
              <w:top w:val="single" w:sz="4" w:space="0" w:color="auto"/>
              <w:left w:val="single" w:sz="4" w:space="0" w:color="000000"/>
              <w:bottom w:val="single" w:sz="4" w:space="0" w:color="000000"/>
              <w:right w:val="single" w:sz="4" w:space="0" w:color="auto"/>
            </w:tcBorders>
            <w:shd w:val="clear" w:color="auto" w:fill="auto"/>
            <w:vAlign w:val="center"/>
          </w:tcPr>
          <w:p w:rsidR="00C7630F" w:rsidRPr="00E57CC3" w:rsidRDefault="00D53AB9" w:rsidP="00C7630F">
            <w:pPr>
              <w:jc w:val="both"/>
            </w:pPr>
            <w:r w:rsidRPr="00E57CC3">
              <w:t>Prezentul act normativ va contribui la dezvoltarea mediului de afaceri.</w:t>
            </w:r>
          </w:p>
        </w:tc>
      </w:tr>
      <w:tr w:rsidR="00C7630F" w:rsidRPr="004E3A9B" w:rsidTr="00230A78">
        <w:tblPrEx>
          <w:tblLook w:val="0000" w:firstRow="0" w:lastRow="0" w:firstColumn="0" w:lastColumn="0" w:noHBand="0" w:noVBand="0"/>
        </w:tblPrEx>
        <w:trPr>
          <w:trHeight w:val="340"/>
          <w:jc w:val="center"/>
        </w:trPr>
        <w:tc>
          <w:tcPr>
            <w:tcW w:w="1499" w:type="dxa"/>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rPr>
                <w:bCs/>
              </w:rPr>
            </w:pPr>
            <w:r w:rsidRPr="004E3A9B">
              <w:rPr>
                <w:bCs/>
              </w:rPr>
              <w:t>3. Impactul social</w:t>
            </w:r>
          </w:p>
        </w:tc>
        <w:tc>
          <w:tcPr>
            <w:tcW w:w="8295"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D53AB9" w:rsidP="00D53AB9">
            <w:pPr>
              <w:jc w:val="both"/>
              <w:rPr>
                <w:color w:val="000000"/>
              </w:rPr>
            </w:pPr>
            <w:r w:rsidRPr="004E3A9B">
              <w:rPr>
                <w:color w:val="000000"/>
              </w:rPr>
              <w:t>Proiectul de act normativ nu se referă la acest subiect.</w:t>
            </w:r>
          </w:p>
        </w:tc>
      </w:tr>
      <w:tr w:rsidR="00F67933" w:rsidRPr="004E3A9B" w:rsidTr="00230A78">
        <w:tblPrEx>
          <w:tblCellMar>
            <w:left w:w="0" w:type="dxa"/>
            <w:right w:w="0" w:type="dxa"/>
          </w:tblCellMar>
          <w:tblLook w:val="0000" w:firstRow="0" w:lastRow="0" w:firstColumn="0" w:lastColumn="0" w:noHBand="0" w:noVBand="0"/>
        </w:tblPrEx>
        <w:trPr>
          <w:trHeight w:val="340"/>
          <w:jc w:val="center"/>
        </w:trPr>
        <w:tc>
          <w:tcPr>
            <w:tcW w:w="1499" w:type="dxa"/>
            <w:tcBorders>
              <w:top w:val="single" w:sz="4" w:space="0" w:color="000000"/>
              <w:left w:val="single" w:sz="4" w:space="0" w:color="auto"/>
              <w:bottom w:val="single" w:sz="4" w:space="0" w:color="000000"/>
            </w:tcBorders>
            <w:shd w:val="clear" w:color="auto" w:fill="auto"/>
            <w:vAlign w:val="center"/>
          </w:tcPr>
          <w:p w:rsidR="00F67933" w:rsidRPr="004E3A9B" w:rsidRDefault="00F67933" w:rsidP="00C7630F">
            <w:pPr>
              <w:jc w:val="both"/>
              <w:rPr>
                <w:bCs/>
              </w:rPr>
            </w:pPr>
            <w:r w:rsidRPr="004E3A9B">
              <w:rPr>
                <w:bCs/>
              </w:rPr>
              <w:t>4.Impactul asupra</w:t>
            </w:r>
          </w:p>
          <w:p w:rsidR="00F67933" w:rsidRPr="004E3A9B" w:rsidRDefault="00F67933" w:rsidP="00C7630F">
            <w:pPr>
              <w:jc w:val="both"/>
              <w:rPr>
                <w:bCs/>
              </w:rPr>
            </w:pPr>
            <w:r w:rsidRPr="004E3A9B">
              <w:rPr>
                <w:bCs/>
              </w:rPr>
              <w:t>Mediului</w:t>
            </w:r>
          </w:p>
        </w:tc>
        <w:tc>
          <w:tcPr>
            <w:tcW w:w="8295" w:type="dxa"/>
            <w:gridSpan w:val="9"/>
            <w:tcBorders>
              <w:top w:val="single" w:sz="4" w:space="0" w:color="000000"/>
              <w:left w:val="single" w:sz="4" w:space="0" w:color="000000"/>
              <w:bottom w:val="single" w:sz="4" w:space="0" w:color="000000"/>
            </w:tcBorders>
            <w:shd w:val="clear" w:color="auto" w:fill="auto"/>
          </w:tcPr>
          <w:p w:rsidR="00F67933" w:rsidRPr="004E3A9B" w:rsidRDefault="00F67933" w:rsidP="00C7630F">
            <w:pPr>
              <w:snapToGrid w:val="0"/>
            </w:pPr>
            <w:r w:rsidRPr="004E3A9B">
              <w:t xml:space="preserve"> Proiectul de act normativ nu se referă la acest subiect.</w:t>
            </w:r>
          </w:p>
        </w:tc>
      </w:tr>
      <w:tr w:rsidR="00C7630F" w:rsidRPr="004E3A9B" w:rsidTr="00230A78">
        <w:tblPrEx>
          <w:tblLook w:val="0000" w:firstRow="0" w:lastRow="0" w:firstColumn="0" w:lastColumn="0" w:noHBand="0" w:noVBand="0"/>
        </w:tblPrEx>
        <w:trPr>
          <w:trHeight w:val="353"/>
          <w:jc w:val="center"/>
        </w:trPr>
        <w:tc>
          <w:tcPr>
            <w:tcW w:w="1499" w:type="dxa"/>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rPr>
                <w:bCs/>
              </w:rPr>
            </w:pPr>
            <w:r w:rsidRPr="004E3A9B">
              <w:rPr>
                <w:bCs/>
              </w:rPr>
              <w:lastRenderedPageBreak/>
              <w:t>5. Alte informaţii</w:t>
            </w:r>
          </w:p>
        </w:tc>
        <w:tc>
          <w:tcPr>
            <w:tcW w:w="8295"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Nu au fost identificate</w:t>
            </w:r>
            <w:r w:rsidR="005F72A6" w:rsidRPr="004E3A9B">
              <w:t>.</w:t>
            </w:r>
          </w:p>
          <w:p w:rsidR="00C7630F" w:rsidRPr="004E3A9B" w:rsidRDefault="00C7630F" w:rsidP="00C7630F"/>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9"/>
        </w:trPr>
        <w:tc>
          <w:tcPr>
            <w:tcW w:w="9794" w:type="dxa"/>
            <w:gridSpan w:val="10"/>
            <w:tcBorders>
              <w:top w:val="single" w:sz="4" w:space="0" w:color="000000"/>
              <w:left w:val="single" w:sz="4" w:space="0" w:color="auto"/>
              <w:bottom w:val="single" w:sz="4" w:space="0" w:color="000000"/>
              <w:right w:val="single" w:sz="4" w:space="0" w:color="auto"/>
            </w:tcBorders>
            <w:shd w:val="clear" w:color="auto" w:fill="auto"/>
            <w:vAlign w:val="center"/>
          </w:tcPr>
          <w:p w:rsidR="00C7630F" w:rsidRPr="004E3A9B" w:rsidRDefault="00C7630F" w:rsidP="00C7630F">
            <w:pPr>
              <w:spacing w:before="40" w:after="40"/>
              <w:jc w:val="center"/>
              <w:rPr>
                <w:b/>
                <w:bCs/>
              </w:rPr>
            </w:pPr>
            <w:r w:rsidRPr="004E3A9B">
              <w:rPr>
                <w:b/>
                <w:bCs/>
              </w:rPr>
              <w:t>Secțiunea a 4-a</w:t>
            </w:r>
          </w:p>
          <w:p w:rsidR="005C52CA" w:rsidRPr="004E3A9B" w:rsidRDefault="00C7630F">
            <w:pPr>
              <w:spacing w:before="40" w:after="40"/>
              <w:jc w:val="center"/>
              <w:rPr>
                <w:b/>
                <w:bCs/>
              </w:rPr>
            </w:pPr>
            <w:r w:rsidRPr="004E3A9B">
              <w:rPr>
                <w:b/>
                <w:bCs/>
              </w:rPr>
              <w:t>Impactul financiar asupra bugetului general consolidat, atât pe termen scurt, pentru anul curent, cât şi pe termen lung (pe 5 ani)</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9794" w:type="dxa"/>
            <w:gridSpan w:val="10"/>
            <w:tcBorders>
              <w:left w:val="single" w:sz="4" w:space="0" w:color="auto"/>
              <w:bottom w:val="single" w:sz="4" w:space="0" w:color="000000"/>
              <w:right w:val="single" w:sz="4" w:space="0" w:color="auto"/>
            </w:tcBorders>
            <w:shd w:val="clear" w:color="auto" w:fill="auto"/>
            <w:vAlign w:val="center"/>
          </w:tcPr>
          <w:p w:rsidR="00C7630F" w:rsidRPr="004E3A9B" w:rsidRDefault="00C7630F" w:rsidP="00C7630F">
            <w:pPr>
              <w:spacing w:before="60" w:after="60"/>
              <w:jc w:val="right"/>
            </w:pPr>
            <w:r w:rsidRPr="004E3A9B">
              <w:t>- mii lei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05"/>
        </w:trPr>
        <w:tc>
          <w:tcPr>
            <w:tcW w:w="6117" w:type="dxa"/>
            <w:gridSpan w:val="2"/>
            <w:tcBorders>
              <w:left w:val="single" w:sz="4" w:space="0" w:color="auto"/>
              <w:bottom w:val="single" w:sz="4" w:space="0" w:color="000000"/>
            </w:tcBorders>
            <w:shd w:val="clear" w:color="auto" w:fill="auto"/>
            <w:vAlign w:val="center"/>
          </w:tcPr>
          <w:p w:rsidR="00C7630F" w:rsidRPr="004E3A9B" w:rsidRDefault="00C7630F" w:rsidP="00C7630F">
            <w:pPr>
              <w:spacing w:before="60" w:after="60"/>
              <w:jc w:val="center"/>
              <w:rPr>
                <w:b/>
                <w:bCs/>
              </w:rPr>
            </w:pPr>
            <w:r w:rsidRPr="004E3A9B">
              <w:rPr>
                <w:b/>
                <w:bCs/>
              </w:rPr>
              <w:t>Indicatori</w:t>
            </w:r>
          </w:p>
        </w:tc>
        <w:tc>
          <w:tcPr>
            <w:tcW w:w="1065" w:type="dxa"/>
            <w:gridSpan w:val="2"/>
            <w:tcBorders>
              <w:left w:val="single" w:sz="4" w:space="0" w:color="000000"/>
              <w:bottom w:val="single" w:sz="4" w:space="0" w:color="000000"/>
            </w:tcBorders>
            <w:shd w:val="clear" w:color="auto" w:fill="auto"/>
            <w:vAlign w:val="center"/>
          </w:tcPr>
          <w:p w:rsidR="00C7630F" w:rsidRPr="004E3A9B" w:rsidRDefault="00C7630F" w:rsidP="00C7630F">
            <w:pPr>
              <w:spacing w:before="60" w:after="60"/>
              <w:jc w:val="center"/>
              <w:rPr>
                <w:b/>
                <w:bCs/>
              </w:rPr>
            </w:pPr>
            <w:r w:rsidRPr="004E3A9B">
              <w:rPr>
                <w:b/>
                <w:bCs/>
              </w:rPr>
              <w:t xml:space="preserve"> Anul     curent</w:t>
            </w:r>
          </w:p>
        </w:tc>
        <w:tc>
          <w:tcPr>
            <w:tcW w:w="1309" w:type="dxa"/>
            <w:gridSpan w:val="3"/>
            <w:tcBorders>
              <w:top w:val="single" w:sz="4" w:space="0" w:color="000000"/>
              <w:left w:val="single" w:sz="4" w:space="0" w:color="000000"/>
              <w:bottom w:val="single" w:sz="4" w:space="0" w:color="000000"/>
            </w:tcBorders>
            <w:shd w:val="clear" w:color="auto" w:fill="auto"/>
            <w:vAlign w:val="center"/>
          </w:tcPr>
          <w:p w:rsidR="00C7630F" w:rsidRPr="004E3A9B" w:rsidRDefault="00C7630F" w:rsidP="00C7630F">
            <w:pPr>
              <w:spacing w:before="60" w:after="60"/>
              <w:jc w:val="center"/>
              <w:rPr>
                <w:b/>
                <w:bCs/>
              </w:rPr>
            </w:pPr>
            <w:r w:rsidRPr="004E3A9B">
              <w:rPr>
                <w:b/>
                <w:bCs/>
              </w:rPr>
              <w:t>Următorii 4 ani</w:t>
            </w:r>
          </w:p>
        </w:tc>
        <w:tc>
          <w:tcPr>
            <w:tcW w:w="1303" w:type="dxa"/>
            <w:gridSpan w:val="3"/>
            <w:tcBorders>
              <w:left w:val="single" w:sz="4" w:space="0" w:color="000000"/>
              <w:bottom w:val="single" w:sz="4" w:space="0" w:color="000000"/>
              <w:right w:val="single" w:sz="4" w:space="0" w:color="auto"/>
            </w:tcBorders>
            <w:shd w:val="clear" w:color="auto" w:fill="auto"/>
            <w:vAlign w:val="center"/>
          </w:tcPr>
          <w:p w:rsidR="00C7630F" w:rsidRPr="004E3A9B" w:rsidRDefault="00C7630F" w:rsidP="00C7630F">
            <w:pPr>
              <w:spacing w:before="60" w:after="60"/>
              <w:jc w:val="center"/>
              <w:rPr>
                <w:b/>
                <w:bCs/>
              </w:rPr>
            </w:pPr>
            <w:r w:rsidRPr="004E3A9B">
              <w:rPr>
                <w:b/>
                <w:bCs/>
              </w:rPr>
              <w:t>Media pe 5 ani</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trPr>
        <w:tc>
          <w:tcPr>
            <w:tcW w:w="6117" w:type="dxa"/>
            <w:gridSpan w:val="2"/>
            <w:tcBorders>
              <w:left w:val="single" w:sz="4" w:space="0" w:color="auto"/>
              <w:bottom w:val="single" w:sz="4" w:space="0" w:color="000000"/>
            </w:tcBorders>
            <w:shd w:val="clear" w:color="auto" w:fill="auto"/>
            <w:vAlign w:val="center"/>
          </w:tcPr>
          <w:p w:rsidR="00C7630F" w:rsidRPr="004E3A9B" w:rsidRDefault="00C7630F" w:rsidP="00C7630F">
            <w:pPr>
              <w:jc w:val="center"/>
            </w:pPr>
            <w:r w:rsidRPr="004E3A9B">
              <w:t>1</w:t>
            </w:r>
          </w:p>
        </w:tc>
        <w:tc>
          <w:tcPr>
            <w:tcW w:w="1065" w:type="dxa"/>
            <w:gridSpan w:val="2"/>
            <w:tcBorders>
              <w:left w:val="single" w:sz="4" w:space="0" w:color="000000"/>
              <w:bottom w:val="single" w:sz="4" w:space="0" w:color="000000"/>
            </w:tcBorders>
            <w:shd w:val="clear" w:color="auto" w:fill="auto"/>
            <w:vAlign w:val="center"/>
          </w:tcPr>
          <w:p w:rsidR="00C7630F" w:rsidRPr="004E3A9B" w:rsidRDefault="00C7630F" w:rsidP="00C7630F">
            <w:pPr>
              <w:jc w:val="center"/>
            </w:pPr>
            <w:r w:rsidRPr="004E3A9B">
              <w:t>2</w:t>
            </w:r>
          </w:p>
        </w:tc>
        <w:tc>
          <w:tcPr>
            <w:tcW w:w="584" w:type="dxa"/>
            <w:tcBorders>
              <w:left w:val="single" w:sz="4" w:space="0" w:color="000000"/>
              <w:bottom w:val="single" w:sz="4" w:space="0" w:color="000000"/>
            </w:tcBorders>
            <w:shd w:val="clear" w:color="auto" w:fill="auto"/>
            <w:vAlign w:val="center"/>
          </w:tcPr>
          <w:p w:rsidR="00C7630F" w:rsidRPr="004E3A9B" w:rsidRDefault="00C7630F" w:rsidP="00C7630F">
            <w:pPr>
              <w:jc w:val="center"/>
            </w:pPr>
            <w:r w:rsidRPr="004E3A9B">
              <w:t>3</w:t>
            </w:r>
          </w:p>
        </w:tc>
        <w:tc>
          <w:tcPr>
            <w:tcW w:w="454" w:type="dxa"/>
            <w:tcBorders>
              <w:left w:val="single" w:sz="4" w:space="0" w:color="000000"/>
              <w:bottom w:val="single" w:sz="4" w:space="0" w:color="000000"/>
            </w:tcBorders>
            <w:shd w:val="clear" w:color="auto" w:fill="auto"/>
            <w:vAlign w:val="center"/>
          </w:tcPr>
          <w:p w:rsidR="00C7630F" w:rsidRPr="004E3A9B" w:rsidRDefault="00C7630F" w:rsidP="00C7630F">
            <w:pPr>
              <w:jc w:val="center"/>
            </w:pPr>
            <w:r w:rsidRPr="004E3A9B">
              <w:t>4</w:t>
            </w:r>
          </w:p>
        </w:tc>
        <w:tc>
          <w:tcPr>
            <w:tcW w:w="583" w:type="dxa"/>
            <w:gridSpan w:val="2"/>
            <w:tcBorders>
              <w:left w:val="single" w:sz="4" w:space="0" w:color="000000"/>
              <w:bottom w:val="single" w:sz="4" w:space="0" w:color="000000"/>
            </w:tcBorders>
            <w:shd w:val="clear" w:color="auto" w:fill="auto"/>
            <w:vAlign w:val="center"/>
          </w:tcPr>
          <w:p w:rsidR="00C7630F" w:rsidRPr="004E3A9B" w:rsidRDefault="00C7630F" w:rsidP="00C7630F">
            <w:pPr>
              <w:jc w:val="center"/>
            </w:pPr>
            <w:r w:rsidRPr="004E3A9B">
              <w:t>5</w:t>
            </w:r>
          </w:p>
        </w:tc>
        <w:tc>
          <w:tcPr>
            <w:tcW w:w="236" w:type="dxa"/>
            <w:tcBorders>
              <w:left w:val="single" w:sz="4" w:space="0" w:color="000000"/>
              <w:bottom w:val="single" w:sz="4" w:space="0" w:color="000000"/>
            </w:tcBorders>
            <w:shd w:val="clear" w:color="auto" w:fill="auto"/>
            <w:vAlign w:val="center"/>
          </w:tcPr>
          <w:p w:rsidR="00C7630F" w:rsidRPr="004E3A9B" w:rsidRDefault="00C7630F" w:rsidP="00C7630F">
            <w:pPr>
              <w:jc w:val="center"/>
            </w:pPr>
            <w:r w:rsidRPr="004E3A9B">
              <w:t>6</w:t>
            </w:r>
          </w:p>
        </w:tc>
        <w:tc>
          <w:tcPr>
            <w:tcW w:w="755" w:type="dxa"/>
            <w:tcBorders>
              <w:left w:val="single" w:sz="4" w:space="0" w:color="000000"/>
              <w:bottom w:val="single" w:sz="4" w:space="0" w:color="000000"/>
              <w:right w:val="single" w:sz="4" w:space="0" w:color="auto"/>
            </w:tcBorders>
            <w:shd w:val="clear" w:color="auto" w:fill="auto"/>
            <w:vAlign w:val="center"/>
          </w:tcPr>
          <w:p w:rsidR="00C7630F" w:rsidRPr="004E3A9B" w:rsidRDefault="00C7630F" w:rsidP="00C7630F">
            <w:pPr>
              <w:jc w:val="center"/>
            </w:pPr>
            <w:r w:rsidRPr="004E3A9B">
              <w:t>7</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32"/>
        </w:trPr>
        <w:tc>
          <w:tcPr>
            <w:tcW w:w="6117" w:type="dxa"/>
            <w:gridSpan w:val="2"/>
            <w:tcBorders>
              <w:top w:val="single" w:sz="4" w:space="0" w:color="000000"/>
              <w:left w:val="single" w:sz="4" w:space="0" w:color="auto"/>
              <w:bottom w:val="single" w:sz="4" w:space="0" w:color="auto"/>
            </w:tcBorders>
            <w:shd w:val="clear" w:color="auto" w:fill="auto"/>
            <w:vAlign w:val="center"/>
          </w:tcPr>
          <w:p w:rsidR="00C7630F" w:rsidRPr="004E3A9B" w:rsidRDefault="00C7630F" w:rsidP="00C7630F">
            <w:pPr>
              <w:jc w:val="both"/>
              <w:rPr>
                <w:bCs/>
              </w:rPr>
            </w:pPr>
            <w:r w:rsidRPr="004E3A9B">
              <w:rPr>
                <w:bCs/>
              </w:rPr>
              <w:t>1. Modificări ale veniturilor bugetare, plus/minus, din care:</w:t>
            </w:r>
          </w:p>
          <w:p w:rsidR="00C7630F" w:rsidRPr="004E3A9B" w:rsidRDefault="00C7630F" w:rsidP="00C7630F">
            <w:pPr>
              <w:jc w:val="both"/>
            </w:pPr>
          </w:p>
        </w:tc>
        <w:tc>
          <w:tcPr>
            <w:tcW w:w="3677" w:type="dxa"/>
            <w:gridSpan w:val="8"/>
            <w:tcBorders>
              <w:top w:val="single" w:sz="4" w:space="0" w:color="000000"/>
              <w:left w:val="single" w:sz="4" w:space="0" w:color="000000"/>
              <w:bottom w:val="single" w:sz="4" w:space="0" w:color="auto"/>
              <w:right w:val="single" w:sz="4" w:space="0" w:color="auto"/>
            </w:tcBorders>
            <w:shd w:val="clear" w:color="auto" w:fill="auto"/>
            <w:vAlign w:val="center"/>
          </w:tcPr>
          <w:p w:rsidR="00C7630F" w:rsidRPr="004E3A9B" w:rsidRDefault="00C7630F" w:rsidP="00C7630F">
            <w:r w:rsidRPr="004E3A9B">
              <w:t>  Nu are impact asupra veniturilor bugetare</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2"/>
        </w:trPr>
        <w:tc>
          <w:tcPr>
            <w:tcW w:w="6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630F" w:rsidRPr="004E3A9B" w:rsidRDefault="00C7630F" w:rsidP="00C7630F">
            <w:r w:rsidRPr="004E3A9B">
              <w:t>a) buget de stat, din acestea:</w:t>
            </w: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630F" w:rsidRPr="004E3A9B" w:rsidRDefault="00C7630F" w:rsidP="00C7630F">
            <w:r w:rsidRPr="004E3A9B">
              <w:t> </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C7630F" w:rsidRPr="004E3A9B" w:rsidRDefault="00C7630F" w:rsidP="00C7630F">
            <w:r w:rsidRPr="004E3A9B">
              <w:t> </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C7630F" w:rsidRPr="004E3A9B" w:rsidRDefault="00C7630F" w:rsidP="00C7630F">
            <w:pPr>
              <w:snapToGrid w:val="0"/>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630F" w:rsidRPr="004E3A9B" w:rsidRDefault="00C7630F" w:rsidP="00C7630F">
            <w:r w:rsidRPr="004E3A9B">
              <w:t> </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C7630F" w:rsidRPr="004E3A9B" w:rsidRDefault="00C7630F" w:rsidP="00C7630F">
            <w:pPr>
              <w:snapToGrid w:val="0"/>
            </w:pP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7630F" w:rsidRPr="004E3A9B" w:rsidRDefault="00C7630F" w:rsidP="00C7630F">
            <w:r w:rsidRPr="004E3A9B">
              <w:t>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6117" w:type="dxa"/>
            <w:gridSpan w:val="2"/>
            <w:tcBorders>
              <w:top w:val="single" w:sz="4" w:space="0" w:color="auto"/>
              <w:left w:val="single" w:sz="4" w:space="0" w:color="auto"/>
              <w:bottom w:val="single" w:sz="4" w:space="0" w:color="000000"/>
            </w:tcBorders>
            <w:shd w:val="clear" w:color="auto" w:fill="auto"/>
            <w:vAlign w:val="center"/>
          </w:tcPr>
          <w:p w:rsidR="00C7630F" w:rsidRPr="004E3A9B" w:rsidRDefault="00C7630F" w:rsidP="00C7630F">
            <w:r w:rsidRPr="004E3A9B">
              <w:t>(i) impozit pe profit</w:t>
            </w:r>
          </w:p>
        </w:tc>
        <w:tc>
          <w:tcPr>
            <w:tcW w:w="1065" w:type="dxa"/>
            <w:gridSpan w:val="2"/>
            <w:tcBorders>
              <w:top w:val="single" w:sz="4" w:space="0" w:color="auto"/>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584" w:type="dxa"/>
            <w:tcBorders>
              <w:top w:val="single" w:sz="4" w:space="0" w:color="auto"/>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454" w:type="dxa"/>
            <w:tcBorders>
              <w:top w:val="single" w:sz="4" w:space="0" w:color="auto"/>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583" w:type="dxa"/>
            <w:gridSpan w:val="2"/>
            <w:tcBorders>
              <w:top w:val="single" w:sz="4" w:space="0" w:color="auto"/>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236" w:type="dxa"/>
            <w:tcBorders>
              <w:top w:val="single" w:sz="4" w:space="0" w:color="auto"/>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755" w:type="dxa"/>
            <w:tcBorders>
              <w:top w:val="single" w:sz="4" w:space="0" w:color="auto"/>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6117" w:type="dxa"/>
            <w:gridSpan w:val="2"/>
            <w:tcBorders>
              <w:left w:val="single" w:sz="4" w:space="0" w:color="auto"/>
              <w:bottom w:val="single" w:sz="4" w:space="0" w:color="000000"/>
            </w:tcBorders>
            <w:shd w:val="clear" w:color="auto" w:fill="auto"/>
            <w:vAlign w:val="center"/>
          </w:tcPr>
          <w:p w:rsidR="00C7630F" w:rsidRPr="004E3A9B" w:rsidRDefault="00C7630F" w:rsidP="00C7630F">
            <w:r w:rsidRPr="004E3A9B">
              <w:t>(ii) impozit pe venit</w:t>
            </w:r>
          </w:p>
        </w:tc>
        <w:tc>
          <w:tcPr>
            <w:tcW w:w="1065"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584" w:type="dxa"/>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454"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583"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236"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755" w:type="dxa"/>
            <w:tcBorders>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6117" w:type="dxa"/>
            <w:gridSpan w:val="2"/>
            <w:tcBorders>
              <w:left w:val="single" w:sz="4" w:space="0" w:color="auto"/>
              <w:bottom w:val="single" w:sz="4" w:space="0" w:color="auto"/>
            </w:tcBorders>
            <w:shd w:val="clear" w:color="auto" w:fill="auto"/>
            <w:vAlign w:val="center"/>
          </w:tcPr>
          <w:p w:rsidR="00C7630F" w:rsidRPr="004E3A9B" w:rsidRDefault="00C7630F" w:rsidP="00C7630F">
            <w:r w:rsidRPr="004E3A9B">
              <w:t>b) bugete locale:</w:t>
            </w:r>
          </w:p>
        </w:tc>
        <w:tc>
          <w:tcPr>
            <w:tcW w:w="1065" w:type="dxa"/>
            <w:gridSpan w:val="2"/>
            <w:tcBorders>
              <w:left w:val="single" w:sz="4" w:space="0" w:color="000000"/>
              <w:bottom w:val="single" w:sz="4" w:space="0" w:color="auto"/>
            </w:tcBorders>
            <w:shd w:val="clear" w:color="auto" w:fill="auto"/>
            <w:vAlign w:val="center"/>
          </w:tcPr>
          <w:p w:rsidR="00C7630F" w:rsidRPr="004E3A9B" w:rsidRDefault="00C7630F" w:rsidP="00C7630F">
            <w:r w:rsidRPr="004E3A9B">
              <w:t> </w:t>
            </w:r>
          </w:p>
        </w:tc>
        <w:tc>
          <w:tcPr>
            <w:tcW w:w="584" w:type="dxa"/>
            <w:tcBorders>
              <w:left w:val="single" w:sz="4" w:space="0" w:color="000000"/>
              <w:bottom w:val="single" w:sz="4" w:space="0" w:color="auto"/>
            </w:tcBorders>
            <w:shd w:val="clear" w:color="auto" w:fill="auto"/>
            <w:vAlign w:val="center"/>
          </w:tcPr>
          <w:p w:rsidR="00C7630F" w:rsidRPr="004E3A9B" w:rsidRDefault="00C7630F" w:rsidP="00C7630F">
            <w:r w:rsidRPr="004E3A9B">
              <w:t> </w:t>
            </w:r>
          </w:p>
        </w:tc>
        <w:tc>
          <w:tcPr>
            <w:tcW w:w="454" w:type="dxa"/>
            <w:tcBorders>
              <w:left w:val="single" w:sz="4" w:space="0" w:color="000000"/>
              <w:bottom w:val="single" w:sz="4" w:space="0" w:color="auto"/>
            </w:tcBorders>
            <w:shd w:val="clear" w:color="auto" w:fill="auto"/>
            <w:vAlign w:val="center"/>
          </w:tcPr>
          <w:p w:rsidR="00C7630F" w:rsidRPr="004E3A9B" w:rsidRDefault="00C7630F" w:rsidP="00C7630F">
            <w:pPr>
              <w:snapToGrid w:val="0"/>
            </w:pPr>
          </w:p>
        </w:tc>
        <w:tc>
          <w:tcPr>
            <w:tcW w:w="583" w:type="dxa"/>
            <w:gridSpan w:val="2"/>
            <w:tcBorders>
              <w:left w:val="single" w:sz="4" w:space="0" w:color="000000"/>
              <w:bottom w:val="single" w:sz="4" w:space="0" w:color="auto"/>
            </w:tcBorders>
            <w:shd w:val="clear" w:color="auto" w:fill="auto"/>
            <w:vAlign w:val="center"/>
          </w:tcPr>
          <w:p w:rsidR="00C7630F" w:rsidRPr="004E3A9B" w:rsidRDefault="00C7630F" w:rsidP="00C7630F">
            <w:r w:rsidRPr="004E3A9B">
              <w:t> </w:t>
            </w:r>
          </w:p>
        </w:tc>
        <w:tc>
          <w:tcPr>
            <w:tcW w:w="236" w:type="dxa"/>
            <w:tcBorders>
              <w:left w:val="single" w:sz="4" w:space="0" w:color="000000"/>
              <w:bottom w:val="single" w:sz="4" w:space="0" w:color="auto"/>
            </w:tcBorders>
            <w:shd w:val="clear" w:color="auto" w:fill="auto"/>
            <w:vAlign w:val="center"/>
          </w:tcPr>
          <w:p w:rsidR="00C7630F" w:rsidRPr="004E3A9B" w:rsidRDefault="00C7630F" w:rsidP="00C7630F">
            <w:pPr>
              <w:snapToGrid w:val="0"/>
            </w:pPr>
          </w:p>
        </w:tc>
        <w:tc>
          <w:tcPr>
            <w:tcW w:w="755" w:type="dxa"/>
            <w:tcBorders>
              <w:left w:val="single" w:sz="4" w:space="0" w:color="000000"/>
              <w:bottom w:val="single" w:sz="4" w:space="0" w:color="auto"/>
              <w:right w:val="single" w:sz="4" w:space="0" w:color="auto"/>
            </w:tcBorders>
            <w:shd w:val="clear" w:color="auto" w:fill="auto"/>
            <w:vAlign w:val="center"/>
          </w:tcPr>
          <w:p w:rsidR="00C7630F" w:rsidRPr="004E3A9B" w:rsidRDefault="00C7630F" w:rsidP="00C7630F">
            <w:r w:rsidRPr="004E3A9B">
              <w:t>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6117" w:type="dxa"/>
            <w:gridSpan w:val="2"/>
            <w:tcBorders>
              <w:top w:val="single" w:sz="4" w:space="0" w:color="auto"/>
              <w:left w:val="single" w:sz="4" w:space="0" w:color="auto"/>
              <w:bottom w:val="single" w:sz="4" w:space="0" w:color="000000"/>
            </w:tcBorders>
            <w:shd w:val="clear" w:color="auto" w:fill="auto"/>
            <w:vAlign w:val="center"/>
          </w:tcPr>
          <w:p w:rsidR="00C7630F" w:rsidRPr="004E3A9B" w:rsidRDefault="00C7630F" w:rsidP="00C7630F">
            <w:r w:rsidRPr="004E3A9B">
              <w:t>(i) impozit pe profit</w:t>
            </w:r>
          </w:p>
        </w:tc>
        <w:tc>
          <w:tcPr>
            <w:tcW w:w="1065" w:type="dxa"/>
            <w:gridSpan w:val="2"/>
            <w:tcBorders>
              <w:top w:val="single" w:sz="4" w:space="0" w:color="auto"/>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584" w:type="dxa"/>
            <w:tcBorders>
              <w:top w:val="single" w:sz="4" w:space="0" w:color="auto"/>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454" w:type="dxa"/>
            <w:tcBorders>
              <w:top w:val="single" w:sz="4" w:space="0" w:color="auto"/>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583" w:type="dxa"/>
            <w:gridSpan w:val="2"/>
            <w:tcBorders>
              <w:top w:val="single" w:sz="4" w:space="0" w:color="auto"/>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236" w:type="dxa"/>
            <w:tcBorders>
              <w:top w:val="single" w:sz="4" w:space="0" w:color="auto"/>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755" w:type="dxa"/>
            <w:tcBorders>
              <w:top w:val="single" w:sz="4" w:space="0" w:color="auto"/>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8"/>
        </w:trPr>
        <w:tc>
          <w:tcPr>
            <w:tcW w:w="6117" w:type="dxa"/>
            <w:gridSpan w:val="2"/>
            <w:tcBorders>
              <w:left w:val="single" w:sz="4" w:space="0" w:color="auto"/>
              <w:bottom w:val="single" w:sz="4" w:space="0" w:color="000000"/>
            </w:tcBorders>
            <w:shd w:val="clear" w:color="auto" w:fill="auto"/>
            <w:vAlign w:val="center"/>
          </w:tcPr>
          <w:p w:rsidR="00C7630F" w:rsidRPr="004E3A9B" w:rsidRDefault="00C7630F" w:rsidP="00C7630F">
            <w:r w:rsidRPr="004E3A9B">
              <w:t>c) bugetul asigurărilor sociale de stat:</w:t>
            </w:r>
          </w:p>
        </w:tc>
        <w:tc>
          <w:tcPr>
            <w:tcW w:w="1065"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584" w:type="dxa"/>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454"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583"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236"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755" w:type="dxa"/>
            <w:tcBorders>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4"/>
        </w:trPr>
        <w:tc>
          <w:tcPr>
            <w:tcW w:w="6117" w:type="dxa"/>
            <w:gridSpan w:val="2"/>
            <w:tcBorders>
              <w:left w:val="single" w:sz="4" w:space="0" w:color="auto"/>
              <w:bottom w:val="single" w:sz="4" w:space="0" w:color="000000"/>
            </w:tcBorders>
            <w:shd w:val="clear" w:color="auto" w:fill="auto"/>
            <w:vAlign w:val="center"/>
          </w:tcPr>
          <w:p w:rsidR="00C7630F" w:rsidRPr="004E3A9B" w:rsidRDefault="00C7630F" w:rsidP="00C7630F">
            <w:r w:rsidRPr="004E3A9B">
              <w:t>(i) contribuţii de asigurări</w:t>
            </w:r>
          </w:p>
        </w:tc>
        <w:tc>
          <w:tcPr>
            <w:tcW w:w="1065"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584" w:type="dxa"/>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454"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583"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236"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755" w:type="dxa"/>
            <w:tcBorders>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82"/>
        </w:trPr>
        <w:tc>
          <w:tcPr>
            <w:tcW w:w="6117" w:type="dxa"/>
            <w:gridSpan w:val="2"/>
            <w:tcBorders>
              <w:left w:val="single" w:sz="4" w:space="0" w:color="auto"/>
              <w:bottom w:val="single" w:sz="4" w:space="0" w:color="000000"/>
            </w:tcBorders>
            <w:shd w:val="clear" w:color="auto" w:fill="auto"/>
            <w:vAlign w:val="center"/>
          </w:tcPr>
          <w:p w:rsidR="00C7630F" w:rsidRPr="004E3A9B" w:rsidRDefault="00C7630F" w:rsidP="00C7630F">
            <w:pPr>
              <w:jc w:val="both"/>
              <w:rPr>
                <w:bCs/>
              </w:rPr>
            </w:pPr>
            <w:r w:rsidRPr="004E3A9B">
              <w:rPr>
                <w:bCs/>
              </w:rPr>
              <w:t>2. Modificări ale cheltuielilor bugetare, plus/minus, din care:</w:t>
            </w:r>
          </w:p>
          <w:p w:rsidR="00C7630F" w:rsidRPr="004E3A9B" w:rsidRDefault="00C7630F" w:rsidP="00C7630F">
            <w:pPr>
              <w:jc w:val="both"/>
            </w:pPr>
          </w:p>
        </w:tc>
        <w:tc>
          <w:tcPr>
            <w:tcW w:w="3677" w:type="dxa"/>
            <w:gridSpan w:val="8"/>
            <w:tcBorders>
              <w:left w:val="single" w:sz="4" w:space="0" w:color="000000"/>
              <w:bottom w:val="single" w:sz="4" w:space="0" w:color="000000"/>
              <w:right w:val="single" w:sz="4" w:space="0" w:color="auto"/>
            </w:tcBorders>
            <w:shd w:val="clear" w:color="auto" w:fill="auto"/>
            <w:vAlign w:val="center"/>
          </w:tcPr>
          <w:p w:rsidR="00C7630F" w:rsidRPr="004E3A9B" w:rsidRDefault="00C7630F" w:rsidP="00C7630F">
            <w:pPr>
              <w:jc w:val="center"/>
            </w:pPr>
            <w:r w:rsidRPr="004E3A9B">
              <w:t>  </w:t>
            </w:r>
          </w:p>
          <w:p w:rsidR="00C7630F" w:rsidRPr="004E3A9B" w:rsidRDefault="00C7630F" w:rsidP="00C7630F">
            <w:pPr>
              <w:jc w:val="center"/>
            </w:pPr>
            <w:r w:rsidRPr="004E3A9B">
              <w:t>Nu are impact asupra cheltuielilor bugetare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0"/>
        </w:trPr>
        <w:tc>
          <w:tcPr>
            <w:tcW w:w="6117" w:type="dxa"/>
            <w:gridSpan w:val="2"/>
            <w:tcBorders>
              <w:left w:val="single" w:sz="4" w:space="0" w:color="auto"/>
              <w:bottom w:val="single" w:sz="4" w:space="0" w:color="000000"/>
            </w:tcBorders>
            <w:shd w:val="clear" w:color="auto" w:fill="auto"/>
            <w:vAlign w:val="center"/>
          </w:tcPr>
          <w:p w:rsidR="00C7630F" w:rsidRPr="004E3A9B" w:rsidRDefault="00C7630F" w:rsidP="00C7630F">
            <w:r w:rsidRPr="004E3A9B">
              <w:t>a) buget de stat, din acestea:</w:t>
            </w:r>
          </w:p>
        </w:tc>
        <w:tc>
          <w:tcPr>
            <w:tcW w:w="1065"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584" w:type="dxa"/>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454"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583"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236"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755" w:type="dxa"/>
            <w:tcBorders>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6117" w:type="dxa"/>
            <w:gridSpan w:val="2"/>
            <w:tcBorders>
              <w:left w:val="single" w:sz="4" w:space="0" w:color="auto"/>
              <w:bottom w:val="single" w:sz="4" w:space="0" w:color="000000"/>
            </w:tcBorders>
            <w:shd w:val="clear" w:color="auto" w:fill="auto"/>
            <w:vAlign w:val="center"/>
          </w:tcPr>
          <w:p w:rsidR="00C7630F" w:rsidRPr="004E3A9B" w:rsidRDefault="00C7630F" w:rsidP="00C7630F">
            <w:r w:rsidRPr="004E3A9B">
              <w:t>(i) cheltuieli de personal</w:t>
            </w:r>
          </w:p>
        </w:tc>
        <w:tc>
          <w:tcPr>
            <w:tcW w:w="1065"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584" w:type="dxa"/>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454"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583"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236"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755" w:type="dxa"/>
            <w:tcBorders>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3"/>
        </w:trPr>
        <w:tc>
          <w:tcPr>
            <w:tcW w:w="6117" w:type="dxa"/>
            <w:gridSpan w:val="2"/>
            <w:tcBorders>
              <w:left w:val="single" w:sz="4" w:space="0" w:color="auto"/>
              <w:bottom w:val="single" w:sz="4" w:space="0" w:color="000000"/>
            </w:tcBorders>
            <w:shd w:val="clear" w:color="auto" w:fill="auto"/>
            <w:vAlign w:val="center"/>
          </w:tcPr>
          <w:p w:rsidR="00C7630F" w:rsidRPr="004E3A9B" w:rsidRDefault="00C7630F" w:rsidP="00C7630F">
            <w:r w:rsidRPr="004E3A9B">
              <w:t>(ii) bunuri şi servicii</w:t>
            </w:r>
          </w:p>
        </w:tc>
        <w:tc>
          <w:tcPr>
            <w:tcW w:w="1065"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584" w:type="dxa"/>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454"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583"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236"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755" w:type="dxa"/>
            <w:tcBorders>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00"/>
        </w:trPr>
        <w:tc>
          <w:tcPr>
            <w:tcW w:w="6117" w:type="dxa"/>
            <w:gridSpan w:val="2"/>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r w:rsidRPr="004E3A9B">
              <w:t xml:space="preserve">b) bugete locale: </w:t>
            </w:r>
          </w:p>
          <w:p w:rsidR="00C7630F" w:rsidRPr="004E3A9B" w:rsidRDefault="00C7630F" w:rsidP="00C7630F">
            <w:r w:rsidRPr="004E3A9B">
              <w:t>(i) cheltuieli de personal</w:t>
            </w:r>
          </w:p>
        </w:tc>
        <w:tc>
          <w:tcPr>
            <w:tcW w:w="1065" w:type="dxa"/>
            <w:gridSpan w:val="2"/>
            <w:tcBorders>
              <w:top w:val="single" w:sz="4" w:space="0" w:color="000000"/>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584" w:type="dxa"/>
            <w:tcBorders>
              <w:top w:val="single" w:sz="4" w:space="0" w:color="000000"/>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454" w:type="dxa"/>
            <w:tcBorders>
              <w:top w:val="single" w:sz="4" w:space="0" w:color="000000"/>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583" w:type="dxa"/>
            <w:gridSpan w:val="2"/>
            <w:tcBorders>
              <w:top w:val="single" w:sz="4" w:space="0" w:color="000000"/>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236" w:type="dxa"/>
            <w:tcBorders>
              <w:top w:val="single" w:sz="4" w:space="0" w:color="000000"/>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755" w:type="dxa"/>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8"/>
        </w:trPr>
        <w:tc>
          <w:tcPr>
            <w:tcW w:w="6117" w:type="dxa"/>
            <w:gridSpan w:val="2"/>
            <w:tcBorders>
              <w:left w:val="single" w:sz="4" w:space="0" w:color="auto"/>
              <w:bottom w:val="single" w:sz="4" w:space="0" w:color="000000"/>
            </w:tcBorders>
            <w:shd w:val="clear" w:color="auto" w:fill="auto"/>
            <w:vAlign w:val="center"/>
          </w:tcPr>
          <w:p w:rsidR="00C7630F" w:rsidRPr="004E3A9B" w:rsidRDefault="00C7630F" w:rsidP="00C7630F">
            <w:r w:rsidRPr="004E3A9B">
              <w:t>(ii) bunuri şi servicii</w:t>
            </w:r>
          </w:p>
        </w:tc>
        <w:tc>
          <w:tcPr>
            <w:tcW w:w="1065"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584" w:type="dxa"/>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454"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583"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236"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755" w:type="dxa"/>
            <w:tcBorders>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8"/>
        </w:trPr>
        <w:tc>
          <w:tcPr>
            <w:tcW w:w="6117" w:type="dxa"/>
            <w:gridSpan w:val="2"/>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r w:rsidRPr="004E3A9B">
              <w:t>c) bugetul asigurărilor sociale de stat:</w:t>
            </w:r>
          </w:p>
        </w:tc>
        <w:tc>
          <w:tcPr>
            <w:tcW w:w="1065" w:type="dxa"/>
            <w:gridSpan w:val="2"/>
            <w:tcBorders>
              <w:top w:val="single" w:sz="4" w:space="0" w:color="000000"/>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584" w:type="dxa"/>
            <w:tcBorders>
              <w:top w:val="single" w:sz="4" w:space="0" w:color="000000"/>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454" w:type="dxa"/>
            <w:tcBorders>
              <w:top w:val="single" w:sz="4" w:space="0" w:color="000000"/>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583" w:type="dxa"/>
            <w:gridSpan w:val="2"/>
            <w:tcBorders>
              <w:top w:val="single" w:sz="4" w:space="0" w:color="000000"/>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236" w:type="dxa"/>
            <w:tcBorders>
              <w:top w:val="single" w:sz="4" w:space="0" w:color="000000"/>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755" w:type="dxa"/>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5"/>
        </w:trPr>
        <w:tc>
          <w:tcPr>
            <w:tcW w:w="6117" w:type="dxa"/>
            <w:gridSpan w:val="2"/>
            <w:tcBorders>
              <w:left w:val="single" w:sz="4" w:space="0" w:color="auto"/>
              <w:bottom w:val="single" w:sz="4" w:space="0" w:color="000000"/>
            </w:tcBorders>
            <w:shd w:val="clear" w:color="auto" w:fill="auto"/>
            <w:vAlign w:val="center"/>
          </w:tcPr>
          <w:p w:rsidR="00C7630F" w:rsidRPr="004E3A9B" w:rsidRDefault="00C7630F" w:rsidP="00C7630F">
            <w:r w:rsidRPr="004E3A9B">
              <w:t>(i) cheltuieli de personal</w:t>
            </w:r>
          </w:p>
        </w:tc>
        <w:tc>
          <w:tcPr>
            <w:tcW w:w="1065"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584" w:type="dxa"/>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454"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583"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236"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755" w:type="dxa"/>
            <w:tcBorders>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6117" w:type="dxa"/>
            <w:gridSpan w:val="2"/>
            <w:tcBorders>
              <w:left w:val="single" w:sz="4" w:space="0" w:color="auto"/>
              <w:bottom w:val="single" w:sz="4" w:space="0" w:color="000000"/>
            </w:tcBorders>
            <w:shd w:val="clear" w:color="auto" w:fill="auto"/>
            <w:vAlign w:val="center"/>
          </w:tcPr>
          <w:p w:rsidR="00C7630F" w:rsidRPr="004E3A9B" w:rsidRDefault="00C7630F" w:rsidP="00C7630F">
            <w:r w:rsidRPr="004E3A9B">
              <w:t>(ii) bunuri şi servicii</w:t>
            </w:r>
          </w:p>
        </w:tc>
        <w:tc>
          <w:tcPr>
            <w:tcW w:w="1065"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584" w:type="dxa"/>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454"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583"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236"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755" w:type="dxa"/>
            <w:tcBorders>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70"/>
        </w:trPr>
        <w:tc>
          <w:tcPr>
            <w:tcW w:w="6117" w:type="dxa"/>
            <w:gridSpan w:val="2"/>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pPr>
            <w:r w:rsidRPr="004E3A9B">
              <w:rPr>
                <w:bCs/>
              </w:rPr>
              <w:t>3. Impact financiar, plus/minus, din care:</w:t>
            </w:r>
          </w:p>
        </w:tc>
        <w:tc>
          <w:tcPr>
            <w:tcW w:w="3677"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pPr>
              <w:jc w:val="center"/>
            </w:pPr>
            <w:r w:rsidRPr="004E3A9B">
              <w:t>Nu are impact financiar</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6117" w:type="dxa"/>
            <w:gridSpan w:val="2"/>
            <w:tcBorders>
              <w:left w:val="single" w:sz="4" w:space="0" w:color="auto"/>
              <w:bottom w:val="single" w:sz="4" w:space="0" w:color="000000"/>
            </w:tcBorders>
            <w:shd w:val="clear" w:color="auto" w:fill="auto"/>
            <w:vAlign w:val="center"/>
          </w:tcPr>
          <w:p w:rsidR="00C7630F" w:rsidRPr="004E3A9B" w:rsidRDefault="00C7630F" w:rsidP="00C7630F">
            <w:pPr>
              <w:jc w:val="both"/>
            </w:pPr>
            <w:r w:rsidRPr="004E3A9B">
              <w:t>a) buget de stat</w:t>
            </w:r>
          </w:p>
        </w:tc>
        <w:tc>
          <w:tcPr>
            <w:tcW w:w="1065"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584" w:type="dxa"/>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454"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583"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236"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755" w:type="dxa"/>
            <w:tcBorders>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76"/>
        </w:trPr>
        <w:tc>
          <w:tcPr>
            <w:tcW w:w="6117" w:type="dxa"/>
            <w:gridSpan w:val="2"/>
            <w:tcBorders>
              <w:left w:val="single" w:sz="4" w:space="0" w:color="auto"/>
              <w:bottom w:val="single" w:sz="4" w:space="0" w:color="auto"/>
            </w:tcBorders>
            <w:shd w:val="clear" w:color="auto" w:fill="auto"/>
            <w:vAlign w:val="center"/>
          </w:tcPr>
          <w:p w:rsidR="00C7630F" w:rsidRPr="004E3A9B" w:rsidRDefault="00C7630F" w:rsidP="00C7630F">
            <w:pPr>
              <w:jc w:val="both"/>
            </w:pPr>
            <w:r w:rsidRPr="004E3A9B">
              <w:t>b) bugete locale</w:t>
            </w:r>
          </w:p>
        </w:tc>
        <w:tc>
          <w:tcPr>
            <w:tcW w:w="1065"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584" w:type="dxa"/>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454"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583" w:type="dxa"/>
            <w:gridSpan w:val="2"/>
            <w:tcBorders>
              <w:left w:val="single" w:sz="4" w:space="0" w:color="000000"/>
              <w:bottom w:val="single" w:sz="4" w:space="0" w:color="000000"/>
            </w:tcBorders>
            <w:shd w:val="clear" w:color="auto" w:fill="auto"/>
            <w:vAlign w:val="center"/>
          </w:tcPr>
          <w:p w:rsidR="00C7630F" w:rsidRPr="004E3A9B" w:rsidRDefault="00C7630F" w:rsidP="00C7630F">
            <w:r w:rsidRPr="004E3A9B">
              <w:t> </w:t>
            </w:r>
          </w:p>
        </w:tc>
        <w:tc>
          <w:tcPr>
            <w:tcW w:w="236" w:type="dxa"/>
            <w:tcBorders>
              <w:left w:val="single" w:sz="4" w:space="0" w:color="000000"/>
              <w:bottom w:val="single" w:sz="4" w:space="0" w:color="000000"/>
            </w:tcBorders>
            <w:shd w:val="clear" w:color="auto" w:fill="auto"/>
            <w:vAlign w:val="center"/>
          </w:tcPr>
          <w:p w:rsidR="00C7630F" w:rsidRPr="004E3A9B" w:rsidRDefault="00C7630F" w:rsidP="00C7630F">
            <w:pPr>
              <w:snapToGrid w:val="0"/>
            </w:pPr>
          </w:p>
        </w:tc>
        <w:tc>
          <w:tcPr>
            <w:tcW w:w="755" w:type="dxa"/>
            <w:tcBorders>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 </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5"/>
        </w:trPr>
        <w:tc>
          <w:tcPr>
            <w:tcW w:w="6117" w:type="dxa"/>
            <w:gridSpan w:val="2"/>
            <w:tcBorders>
              <w:top w:val="single" w:sz="4" w:space="0" w:color="auto"/>
              <w:left w:val="single" w:sz="4" w:space="0" w:color="auto"/>
              <w:bottom w:val="single" w:sz="4" w:space="0" w:color="000000"/>
            </w:tcBorders>
            <w:shd w:val="clear" w:color="auto" w:fill="auto"/>
            <w:vAlign w:val="center"/>
          </w:tcPr>
          <w:p w:rsidR="00C7630F" w:rsidRPr="004E3A9B" w:rsidRDefault="00C7630F" w:rsidP="00C7630F">
            <w:pPr>
              <w:jc w:val="both"/>
              <w:rPr>
                <w:bCs/>
              </w:rPr>
            </w:pPr>
            <w:r w:rsidRPr="004E3A9B">
              <w:rPr>
                <w:bCs/>
              </w:rPr>
              <w:t>4. Propuneri pentru acoperirea creşterilor cheltuielilor bugetare</w:t>
            </w:r>
          </w:p>
          <w:p w:rsidR="00C7630F" w:rsidRPr="004E3A9B" w:rsidRDefault="00C7630F" w:rsidP="00C7630F">
            <w:pPr>
              <w:jc w:val="both"/>
            </w:pPr>
          </w:p>
        </w:tc>
        <w:tc>
          <w:tcPr>
            <w:tcW w:w="3677"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pPr>
              <w:snapToGrid w:val="0"/>
              <w:jc w:val="center"/>
            </w:pPr>
            <w:r w:rsidRPr="004E3A9B">
              <w:t>Nu este cazul</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3"/>
        </w:trPr>
        <w:tc>
          <w:tcPr>
            <w:tcW w:w="6117" w:type="dxa"/>
            <w:gridSpan w:val="2"/>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rPr>
                <w:bCs/>
              </w:rPr>
            </w:pPr>
            <w:r w:rsidRPr="004E3A9B">
              <w:rPr>
                <w:bCs/>
              </w:rPr>
              <w:t>5. Propuneri pentru a compensa reducerea veniturilor bugetare</w:t>
            </w:r>
          </w:p>
          <w:p w:rsidR="00C7630F" w:rsidRPr="004E3A9B" w:rsidRDefault="00C7630F" w:rsidP="00C7630F">
            <w:pPr>
              <w:jc w:val="both"/>
            </w:pPr>
          </w:p>
        </w:tc>
        <w:tc>
          <w:tcPr>
            <w:tcW w:w="3677"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pPr>
              <w:jc w:val="center"/>
            </w:pPr>
            <w:r w:rsidRPr="004E3A9B">
              <w:t>Nu este cazul</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6117" w:type="dxa"/>
            <w:gridSpan w:val="2"/>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pPr>
            <w:r w:rsidRPr="004E3A9B">
              <w:t xml:space="preserve">6. Calcule detaliate privind fundamentarea modificărilor </w:t>
            </w:r>
            <w:r w:rsidRPr="004E3A9B">
              <w:rPr>
                <w:spacing w:val="-6"/>
              </w:rPr>
              <w:t>veniturilor</w:t>
            </w:r>
            <w:r w:rsidRPr="004E3A9B">
              <w:t xml:space="preserve"> şi/sau cheltuielilor bugetare</w:t>
            </w:r>
          </w:p>
        </w:tc>
        <w:tc>
          <w:tcPr>
            <w:tcW w:w="3677"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pPr>
              <w:jc w:val="center"/>
            </w:pPr>
            <w:r w:rsidRPr="004E3A9B">
              <w:t>Nu este cazul</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27"/>
        </w:trPr>
        <w:tc>
          <w:tcPr>
            <w:tcW w:w="9794" w:type="dxa"/>
            <w:gridSpan w:val="10"/>
            <w:tcBorders>
              <w:top w:val="single" w:sz="4" w:space="0" w:color="000000"/>
              <w:left w:val="single" w:sz="4" w:space="0" w:color="auto"/>
              <w:bottom w:val="single" w:sz="4" w:space="0" w:color="000000"/>
              <w:right w:val="single" w:sz="4" w:space="0" w:color="auto"/>
            </w:tcBorders>
            <w:shd w:val="clear" w:color="auto" w:fill="auto"/>
            <w:vAlign w:val="center"/>
          </w:tcPr>
          <w:p w:rsidR="00C7630F" w:rsidRPr="004E3A9B" w:rsidRDefault="00C7630F" w:rsidP="00C7630F">
            <w:pPr>
              <w:spacing w:before="40" w:after="40"/>
              <w:jc w:val="center"/>
              <w:rPr>
                <w:b/>
                <w:bCs/>
              </w:rPr>
            </w:pPr>
            <w:r w:rsidRPr="004E3A9B">
              <w:rPr>
                <w:b/>
                <w:bCs/>
              </w:rPr>
              <w:t>Secțiunea a 5-a</w:t>
            </w:r>
          </w:p>
          <w:p w:rsidR="00C7630F" w:rsidRPr="004E3A9B" w:rsidRDefault="00C7630F" w:rsidP="00801984">
            <w:pPr>
              <w:spacing w:before="40" w:after="40"/>
              <w:jc w:val="center"/>
              <w:rPr>
                <w:b/>
                <w:bCs/>
              </w:rPr>
            </w:pPr>
            <w:r w:rsidRPr="004E3A9B">
              <w:rPr>
                <w:b/>
                <w:bCs/>
              </w:rPr>
              <w:t>Efectele proiectului de act normativ asupra legislației în vigoare</w:t>
            </w:r>
          </w:p>
        </w:tc>
      </w:tr>
      <w:tr w:rsidR="005F72A6"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38"/>
        </w:trPr>
        <w:tc>
          <w:tcPr>
            <w:tcW w:w="6154" w:type="dxa"/>
            <w:gridSpan w:val="3"/>
            <w:vMerge w:val="restart"/>
            <w:tcBorders>
              <w:top w:val="single" w:sz="4" w:space="0" w:color="000000"/>
              <w:left w:val="single" w:sz="4" w:space="0" w:color="auto"/>
            </w:tcBorders>
            <w:shd w:val="clear" w:color="auto" w:fill="auto"/>
            <w:vAlign w:val="center"/>
          </w:tcPr>
          <w:p w:rsidR="005F72A6" w:rsidRPr="004E3A9B" w:rsidRDefault="005F72A6" w:rsidP="00C7630F">
            <w:pPr>
              <w:numPr>
                <w:ilvl w:val="0"/>
                <w:numId w:val="33"/>
              </w:numPr>
              <w:tabs>
                <w:tab w:val="left" w:pos="-26"/>
                <w:tab w:val="left" w:pos="309"/>
              </w:tabs>
              <w:suppressAutoHyphens/>
              <w:ind w:left="-26" w:firstLine="26"/>
              <w:jc w:val="both"/>
              <w:rPr>
                <w:bCs/>
              </w:rPr>
            </w:pPr>
            <w:r w:rsidRPr="004E3A9B">
              <w:rPr>
                <w:bCs/>
              </w:rPr>
              <w:lastRenderedPageBreak/>
              <w:t>Măsuri normative necesare pentru aplicarea prevederilor proiectului de act normativ:</w:t>
            </w:r>
          </w:p>
          <w:p w:rsidR="005F72A6" w:rsidRPr="004E3A9B" w:rsidRDefault="005F72A6" w:rsidP="00C7630F">
            <w:pPr>
              <w:numPr>
                <w:ilvl w:val="0"/>
                <w:numId w:val="31"/>
              </w:numPr>
              <w:suppressAutoHyphens/>
              <w:jc w:val="both"/>
              <w:rPr>
                <w:bCs/>
              </w:rPr>
            </w:pPr>
            <w:r w:rsidRPr="004E3A9B">
              <w:rPr>
                <w:bCs/>
              </w:rPr>
              <w:t>acte normative în vigoare ce vor fi modificate sau abrogate, ca urmare a intrării în vigoare a proiectului de act normative;</w:t>
            </w:r>
          </w:p>
          <w:p w:rsidR="005F72A6" w:rsidRPr="004E3A9B" w:rsidRDefault="005F72A6" w:rsidP="00C7630F">
            <w:pPr>
              <w:numPr>
                <w:ilvl w:val="0"/>
                <w:numId w:val="31"/>
              </w:numPr>
              <w:suppressAutoHyphens/>
              <w:jc w:val="both"/>
            </w:pPr>
            <w:r w:rsidRPr="004E3A9B">
              <w:rPr>
                <w:bCs/>
              </w:rPr>
              <w:t>acte normative ce urmează a fi elaborate în vederea implementării noilor dispoziții;</w:t>
            </w: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tcPr>
          <w:p w:rsidR="005F72A6" w:rsidRPr="004E3A9B" w:rsidRDefault="0069728A" w:rsidP="00230A78">
            <w:pPr>
              <w:snapToGrid w:val="0"/>
              <w:jc w:val="both"/>
            </w:pPr>
            <w:bookmarkStart w:id="1" w:name="do|pa5"/>
            <w:bookmarkEnd w:id="1"/>
            <w:r w:rsidRPr="004E3A9B">
              <w:t>a)</w:t>
            </w:r>
            <w:r w:rsidR="000B409B">
              <w:t xml:space="preserve"> </w:t>
            </w:r>
            <w:r w:rsidR="005F72A6" w:rsidRPr="004E3A9B">
              <w:rPr>
                <w:i/>
              </w:rPr>
              <w:t>Hotărârea Guvernului nr. 517/2014</w:t>
            </w:r>
            <w:r w:rsidR="005F72A6" w:rsidRPr="004E3A9B">
              <w:rPr>
                <w:bCs/>
                <w:i/>
                <w:shd w:val="clear" w:color="auto" w:fill="FFFFFF"/>
              </w:rPr>
              <w:t xml:space="preserve"> privind intensitatea maximă a ajutorului de stat regional în perioada 2014-2020 pentru investiții inițiale</w:t>
            </w:r>
            <w:r w:rsidR="00C7534E" w:rsidRPr="004E3A9B">
              <w:rPr>
                <w:bCs/>
                <w:shd w:val="clear" w:color="auto" w:fill="FFFFFF"/>
              </w:rPr>
              <w:t>,</w:t>
            </w:r>
            <w:r w:rsidR="005F72A6" w:rsidRPr="004E3A9B">
              <w:t xml:space="preserve"> astfel cum a fost modificată de </w:t>
            </w:r>
            <w:r w:rsidR="005F72A6" w:rsidRPr="004E3A9B">
              <w:rPr>
                <w:i/>
              </w:rPr>
              <w:t>Hotărârea Guvernului nr. 1.117/2020</w:t>
            </w:r>
            <w:r w:rsidR="005F72A6" w:rsidRPr="004E3A9B">
              <w:rPr>
                <w:bCs/>
                <w:i/>
                <w:shd w:val="clear" w:color="auto" w:fill="FFFFFF"/>
              </w:rPr>
              <w:t xml:space="preserve"> pentru modificarea </w:t>
            </w:r>
            <w:hyperlink r:id="rId8" w:history="1">
              <w:r w:rsidR="005F72A6" w:rsidRPr="004E3A9B">
                <w:rPr>
                  <w:rStyle w:val="Hyperlink"/>
                  <w:bCs/>
                  <w:i/>
                  <w:color w:val="auto"/>
                  <w:bdr w:val="none" w:sz="0" w:space="0" w:color="auto" w:frame="1"/>
                  <w:shd w:val="clear" w:color="auto" w:fill="FFFFFF"/>
                </w:rPr>
                <w:t>art. 4 din Hotărârea Guvernului nr. 517/2014</w:t>
              </w:r>
            </w:hyperlink>
            <w:r w:rsidR="005F72A6" w:rsidRPr="004E3A9B">
              <w:rPr>
                <w:bCs/>
                <w:i/>
                <w:shd w:val="clear" w:color="auto" w:fill="FFFFFF"/>
              </w:rPr>
              <w:t> privind intensitatea maximă a ajutorului de stat regional în perioada 2014-2020 pentru investiții inițiale</w:t>
            </w:r>
            <w:r w:rsidR="005F72A6" w:rsidRPr="004E3A9B">
              <w:t xml:space="preserve"> este valabilă până la data de 31 decembrie 2021, inclusiv, iar prezentul act normativ va intra în vigoare începând cu data de 1 ianuarie 2022.</w:t>
            </w:r>
          </w:p>
          <w:p w:rsidR="005F72A6" w:rsidRPr="004E3A9B" w:rsidRDefault="005F72A6" w:rsidP="005F72A6">
            <w:pPr>
              <w:jc w:val="both"/>
            </w:pPr>
          </w:p>
        </w:tc>
      </w:tr>
      <w:tr w:rsidR="005F72A6"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32"/>
        </w:trPr>
        <w:tc>
          <w:tcPr>
            <w:tcW w:w="6154" w:type="dxa"/>
            <w:gridSpan w:val="3"/>
            <w:vMerge/>
            <w:tcBorders>
              <w:left w:val="single" w:sz="4" w:space="0" w:color="auto"/>
              <w:bottom w:val="single" w:sz="4" w:space="0" w:color="000000"/>
            </w:tcBorders>
            <w:shd w:val="clear" w:color="auto" w:fill="auto"/>
            <w:vAlign w:val="center"/>
          </w:tcPr>
          <w:p w:rsidR="005F72A6" w:rsidRPr="004E3A9B" w:rsidRDefault="005F72A6" w:rsidP="00C7630F">
            <w:pPr>
              <w:numPr>
                <w:ilvl w:val="0"/>
                <w:numId w:val="33"/>
              </w:numPr>
              <w:tabs>
                <w:tab w:val="left" w:pos="-26"/>
                <w:tab w:val="left" w:pos="309"/>
              </w:tabs>
              <w:suppressAutoHyphens/>
              <w:ind w:left="-26" w:firstLine="26"/>
              <w:jc w:val="both"/>
              <w:rPr>
                <w:bCs/>
              </w:rPr>
            </w:pP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tcPr>
          <w:p w:rsidR="005F72A6" w:rsidRPr="004E3A9B" w:rsidRDefault="0069728A">
            <w:pPr>
              <w:jc w:val="both"/>
            </w:pPr>
            <w:r w:rsidRPr="004E3A9B">
              <w:t>b)</w:t>
            </w:r>
            <w:r w:rsidR="000B409B">
              <w:t xml:space="preserve"> </w:t>
            </w:r>
            <w:r w:rsidR="005F72A6" w:rsidRPr="004E3A9B">
              <w:t>Nu este cazul</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80"/>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rPr>
                <w:bCs/>
              </w:rPr>
            </w:pPr>
            <w:r w:rsidRPr="004E3A9B">
              <w:rPr>
                <w:bCs/>
              </w:rPr>
              <w:t>1</w:t>
            </w:r>
            <w:r w:rsidRPr="004E3A9B">
              <w:rPr>
                <w:bCs/>
                <w:vertAlign w:val="superscript"/>
              </w:rPr>
              <w:t>1</w:t>
            </w:r>
            <w:r w:rsidRPr="004E3A9B">
              <w:rPr>
                <w:bCs/>
              </w:rPr>
              <w:t>) Compatibilitatea proiectului de act normativ cu legislaţia în domeniul achiziţiilor publice</w:t>
            </w:r>
          </w:p>
          <w:p w:rsidR="00C7630F" w:rsidRPr="004E3A9B" w:rsidRDefault="00C7630F" w:rsidP="00C7630F">
            <w:pPr>
              <w:jc w:val="both"/>
              <w:rPr>
                <w:bCs/>
              </w:rPr>
            </w:pP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tcPr>
          <w:p w:rsidR="00C7630F" w:rsidRPr="004E3A9B" w:rsidRDefault="00C7630F" w:rsidP="00C7630F">
            <w:pPr>
              <w:ind w:right="-79"/>
              <w:jc w:val="both"/>
            </w:pPr>
            <w:r w:rsidRPr="004E3A9B">
              <w:t>Proiectul de act normativ nu se referă la acest subiect.</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87"/>
        </w:trPr>
        <w:tc>
          <w:tcPr>
            <w:tcW w:w="6154" w:type="dxa"/>
            <w:gridSpan w:val="3"/>
            <w:tcBorders>
              <w:left w:val="single" w:sz="4" w:space="0" w:color="auto"/>
              <w:bottom w:val="single" w:sz="4" w:space="0" w:color="000000"/>
            </w:tcBorders>
            <w:shd w:val="clear" w:color="auto" w:fill="auto"/>
            <w:vAlign w:val="center"/>
          </w:tcPr>
          <w:p w:rsidR="00C7630F" w:rsidRPr="004E3A9B" w:rsidRDefault="00C7630F" w:rsidP="00C7630F">
            <w:pPr>
              <w:jc w:val="both"/>
              <w:rPr>
                <w:bCs/>
              </w:rPr>
            </w:pPr>
            <w:r w:rsidRPr="004E3A9B">
              <w:rPr>
                <w:bCs/>
              </w:rPr>
              <w:t>2) Conformitatea proiectului de act normativ cu legislaţia comunitară în cazul proiectelor ce transpun prevederi comunitare</w:t>
            </w:r>
          </w:p>
        </w:tc>
        <w:tc>
          <w:tcPr>
            <w:tcW w:w="3640" w:type="dxa"/>
            <w:gridSpan w:val="7"/>
            <w:tcBorders>
              <w:left w:val="single" w:sz="4" w:space="0" w:color="000000"/>
              <w:bottom w:val="single" w:sz="4" w:space="0" w:color="000000"/>
              <w:right w:val="single" w:sz="4" w:space="0" w:color="auto"/>
            </w:tcBorders>
            <w:shd w:val="clear" w:color="auto" w:fill="auto"/>
          </w:tcPr>
          <w:p w:rsidR="00C7630F" w:rsidRPr="004E3A9B" w:rsidRDefault="00C7630F" w:rsidP="00C7630F">
            <w:pPr>
              <w:ind w:right="-79"/>
              <w:jc w:val="both"/>
            </w:pPr>
            <w:r w:rsidRPr="004E3A9B">
              <w:rPr>
                <w:bCs/>
              </w:rPr>
              <w:t>Proiectul de act normativ nu se referă la acest subiect</w:t>
            </w:r>
            <w:r w:rsidRPr="004E3A9B">
              <w:rPr>
                <w:b/>
                <w:bCs/>
              </w:rPr>
              <w:t>.</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8"/>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rPr>
                <w:bCs/>
              </w:rPr>
            </w:pPr>
            <w:r w:rsidRPr="004E3A9B">
              <w:rPr>
                <w:bCs/>
              </w:rPr>
              <w:t xml:space="preserve">3) Măsuri normative necesare aplicării directe a actelor normative comunitare </w:t>
            </w: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5F72A6" w:rsidRPr="004E3A9B" w:rsidRDefault="005F72A6" w:rsidP="005F72A6">
            <w:pPr>
              <w:jc w:val="both"/>
            </w:pPr>
            <w:r w:rsidRPr="004E3A9B">
              <w:t>Proiectul de Hotărâre a Guvernului este necesar în vederea aplicării prevederilor Orientărilor comunitare privind ajutoarele de stat regionale aplicabile pentru perioada 2022-2027.</w:t>
            </w:r>
          </w:p>
          <w:p w:rsidR="00C7630F" w:rsidRPr="004E3A9B" w:rsidRDefault="00C7630F" w:rsidP="00C7630F">
            <w:pPr>
              <w:jc w:val="both"/>
            </w:pP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6"/>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rPr>
                <w:bCs/>
              </w:rPr>
            </w:pPr>
            <w:r w:rsidRPr="004E3A9B">
              <w:rPr>
                <w:bCs/>
              </w:rPr>
              <w:t>4) Hotărâri ale Curţii de Justiţie a Uniunii Europene</w:t>
            </w: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rPr>
                <w:bCs/>
              </w:rPr>
              <w:t>Proiectul de act normativ nu se referă la acest subiect</w:t>
            </w:r>
            <w:r w:rsidRPr="004E3A9B">
              <w:rPr>
                <w:b/>
                <w:bCs/>
              </w:rPr>
              <w:t>.</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2"/>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rPr>
                <w:bCs/>
              </w:rPr>
            </w:pPr>
            <w:r w:rsidRPr="004E3A9B">
              <w:rPr>
                <w:bCs/>
              </w:rPr>
              <w:t>5) Alte acte normative şi/sau documente internaţionale din care decurg angajamente</w:t>
            </w:r>
          </w:p>
        </w:tc>
        <w:tc>
          <w:tcPr>
            <w:tcW w:w="3640" w:type="dxa"/>
            <w:gridSpan w:val="7"/>
            <w:tcBorders>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rPr>
                <w:bCs/>
              </w:rPr>
              <w:t>Proiectul de act normativ nu se referă la acest subiect</w:t>
            </w:r>
            <w:r w:rsidRPr="004E3A9B">
              <w:rPr>
                <w:b/>
                <w:bCs/>
              </w:rPr>
              <w:t>.</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01"/>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pPr>
            <w:r w:rsidRPr="004E3A9B">
              <w:t>6) Alte informaţii</w:t>
            </w:r>
          </w:p>
          <w:p w:rsidR="00C7630F" w:rsidRPr="004E3A9B" w:rsidRDefault="00C7630F" w:rsidP="00C7630F">
            <w:pPr>
              <w:jc w:val="both"/>
            </w:pP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pPr>
              <w:rPr>
                <w:b/>
                <w:bCs/>
              </w:rPr>
            </w:pPr>
            <w:r w:rsidRPr="004E3A9B">
              <w:t>Nu au fost identificate</w:t>
            </w:r>
            <w:r w:rsidRPr="004E3A9B">
              <w:rPr>
                <w:b/>
                <w:bCs/>
              </w:rPr>
              <w:t>.</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2"/>
        </w:trPr>
        <w:tc>
          <w:tcPr>
            <w:tcW w:w="9794" w:type="dxa"/>
            <w:gridSpan w:val="10"/>
            <w:tcBorders>
              <w:top w:val="single" w:sz="4" w:space="0" w:color="000000"/>
              <w:left w:val="single" w:sz="4" w:space="0" w:color="auto"/>
              <w:bottom w:val="single" w:sz="4" w:space="0" w:color="000000"/>
              <w:right w:val="single" w:sz="4" w:space="0" w:color="auto"/>
            </w:tcBorders>
            <w:shd w:val="clear" w:color="auto" w:fill="auto"/>
            <w:vAlign w:val="center"/>
          </w:tcPr>
          <w:p w:rsidR="00C7630F" w:rsidRPr="004E3A9B" w:rsidRDefault="00C7630F" w:rsidP="00C7630F">
            <w:pPr>
              <w:spacing w:before="40" w:after="40"/>
              <w:jc w:val="center"/>
              <w:rPr>
                <w:b/>
                <w:bCs/>
              </w:rPr>
            </w:pPr>
            <w:r w:rsidRPr="004E3A9B">
              <w:rPr>
                <w:b/>
                <w:bCs/>
              </w:rPr>
              <w:t>Secţiunea a 6-a</w:t>
            </w:r>
          </w:p>
          <w:p w:rsidR="00C7630F" w:rsidRPr="004E3A9B" w:rsidRDefault="00C7630F" w:rsidP="00C7630F">
            <w:pPr>
              <w:spacing w:before="40" w:after="40"/>
              <w:jc w:val="center"/>
              <w:rPr>
                <w:b/>
                <w:bCs/>
              </w:rPr>
            </w:pPr>
            <w:r w:rsidRPr="004E3A9B">
              <w:rPr>
                <w:b/>
                <w:bCs/>
              </w:rPr>
              <w:t>Consultările efectuate în vederea elaborării proiectului de act normativ</w:t>
            </w:r>
          </w:p>
          <w:p w:rsidR="00C7630F" w:rsidRPr="004E3A9B" w:rsidRDefault="00C7630F" w:rsidP="00C7630F">
            <w:pPr>
              <w:spacing w:before="40" w:after="40"/>
              <w:jc w:val="center"/>
              <w:rPr>
                <w:b/>
                <w:bCs/>
              </w:rPr>
            </w:pP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1"/>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rPr>
                <w:bCs/>
                <w:spacing w:val="-8"/>
              </w:rPr>
            </w:pPr>
            <w:r w:rsidRPr="004E3A9B">
              <w:rPr>
                <w:bCs/>
              </w:rPr>
              <w:t xml:space="preserve">1) </w:t>
            </w:r>
            <w:r w:rsidRPr="004E3A9B">
              <w:rPr>
                <w:bCs/>
                <w:spacing w:val="-8"/>
              </w:rPr>
              <w:t>Informaţii privind procesul de consultare cu organizaţii neguvernamentale, institute de cercetare şi alte organisme implicate</w:t>
            </w: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4D4E09">
            <w:r w:rsidRPr="004E3A9B">
              <w:t xml:space="preserve">Proiectul de act normativ </w:t>
            </w:r>
            <w:r w:rsidR="004D4E09">
              <w:t xml:space="preserve">va fi supus consultării structurilor asociative ale autorităților </w:t>
            </w:r>
            <w:r w:rsidR="00F3485C">
              <w:t xml:space="preserve">publice </w:t>
            </w:r>
            <w:r w:rsidR="004D4E09">
              <w:t>locale.</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81"/>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rPr>
                <w:bCs/>
              </w:rPr>
            </w:pPr>
            <w:r w:rsidRPr="004E3A9B">
              <w:rPr>
                <w:bCs/>
              </w:rPr>
              <w:t xml:space="preserve">2) Fundamentarea alegerii organizaţiilor cu care a avut loc consultarea, precum şi a modului în care activitatea </w:t>
            </w:r>
            <w:r w:rsidRPr="004E3A9B">
              <w:rPr>
                <w:bCs/>
              </w:rPr>
              <w:lastRenderedPageBreak/>
              <w:t>acestor organizaţii este legată de obiectul proiectului de act normativ</w:t>
            </w: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lastRenderedPageBreak/>
              <w:t>Proiectul de act normativ nu se referă la acest subiect.</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3"/>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numPr>
                <w:ilvl w:val="0"/>
                <w:numId w:val="32"/>
              </w:numPr>
              <w:tabs>
                <w:tab w:val="left" w:pos="376"/>
              </w:tabs>
              <w:suppressAutoHyphens/>
              <w:ind w:left="41" w:firstLine="0"/>
              <w:jc w:val="both"/>
            </w:pPr>
            <w:r w:rsidRPr="004E3A9B">
              <w:rPr>
                <w:bCs/>
                <w:spacing w:val="-4"/>
              </w:rPr>
              <w:lastRenderedPageBreak/>
              <w:t>Consultările organizate cu autorităţile administraţiei publice locale, în situaţia în care proiectul de act normativ are ca obiect activităţi ale acestor autorităţi, în condiţiile Hotărârii Guvernului nr. 52</w:t>
            </w:r>
            <w:r w:rsidR="00511005" w:rsidRPr="004E3A9B">
              <w:rPr>
                <w:bCs/>
                <w:spacing w:val="-4"/>
              </w:rPr>
              <w:t>1</w:t>
            </w:r>
            <w:r w:rsidRPr="004E3A9B">
              <w:rPr>
                <w:bCs/>
                <w:spacing w:val="-4"/>
              </w:rPr>
              <w:t>/2005 privind procedura de consultare a structurilor asociative ale autorităţilor administraţiei publice locale la elaborarea proiectelor de acte normative.</w:t>
            </w:r>
          </w:p>
          <w:p w:rsidR="00C7630F" w:rsidRPr="004E3A9B" w:rsidRDefault="00C7630F" w:rsidP="00C7630F">
            <w:pPr>
              <w:tabs>
                <w:tab w:val="left" w:pos="376"/>
              </w:tabs>
              <w:ind w:left="41"/>
              <w:jc w:val="both"/>
            </w:pP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pPr>
              <w:jc w:val="both"/>
            </w:pPr>
            <w:r w:rsidRPr="004E3A9B">
              <w:t>Proiectul de act normativ nu se referă la acest subiect.</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00"/>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numPr>
                <w:ilvl w:val="0"/>
                <w:numId w:val="32"/>
              </w:numPr>
              <w:tabs>
                <w:tab w:val="left" w:pos="376"/>
              </w:tabs>
              <w:suppressAutoHyphens/>
              <w:ind w:left="41" w:firstLine="0"/>
              <w:jc w:val="both"/>
            </w:pPr>
            <w:r w:rsidRPr="004E3A9B">
              <w:rPr>
                <w:bCs/>
              </w:rPr>
              <w:t>Consultările desfășurate în cadrul consiliilor interministeriale, în conformitate cu prevederile Hotărârii Guvernului nr. 750/2005 privind constituirea consiliilor interministeriale permanente</w:t>
            </w: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F14272" w:rsidRPr="004E3A9B" w:rsidRDefault="00444933" w:rsidP="00F14272">
            <w:pPr>
              <w:snapToGrid w:val="0"/>
              <w:ind w:right="-79"/>
              <w:jc w:val="both"/>
              <w:rPr>
                <w:bCs/>
                <w:i/>
              </w:rPr>
            </w:pPr>
            <w:r w:rsidRPr="004E3A9B">
              <w:t>Proiectul de act normativ nu se referă la acest subiect.</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6"/>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rPr>
                <w:bCs/>
              </w:rPr>
            </w:pPr>
            <w:r w:rsidRPr="004E3A9B">
              <w:rPr>
                <w:bCs/>
              </w:rPr>
              <w:t>5) Informații privind avizarea de către:</w:t>
            </w: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6"/>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pPr>
            <w:r w:rsidRPr="004E3A9B">
              <w:rPr>
                <w:bCs/>
              </w:rPr>
              <w:t>a) Consiliul Legislativ</w:t>
            </w: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pPr>
              <w:snapToGrid w:val="0"/>
            </w:pPr>
            <w:r w:rsidRPr="004E3A9B">
              <w:t xml:space="preserve">Proiectul de act normativ va fi supus avizării </w:t>
            </w:r>
            <w:r w:rsidR="000F4CB4" w:rsidRPr="004E3A9B">
              <w:t>Consiliului Legislativ.</w:t>
            </w:r>
          </w:p>
          <w:p w:rsidR="00C7630F" w:rsidRPr="004E3A9B" w:rsidRDefault="00C7630F" w:rsidP="00C7630F">
            <w:pPr>
              <w:snapToGrid w:val="0"/>
            </w:pP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7"/>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rPr>
                <w:u w:val="single"/>
              </w:rPr>
            </w:pPr>
            <w:r w:rsidRPr="004E3A9B">
              <w:rPr>
                <w:bCs/>
              </w:rPr>
              <w:t>b) Consiliul Suprem de Apărare a Ţării</w:t>
            </w: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Nu este cazul.</w:t>
            </w:r>
          </w:p>
          <w:p w:rsidR="00C7630F" w:rsidRPr="004E3A9B" w:rsidRDefault="00C7630F" w:rsidP="00C7630F"/>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62"/>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rPr>
                <w:u w:val="single"/>
              </w:rPr>
            </w:pPr>
            <w:r w:rsidRPr="004E3A9B">
              <w:rPr>
                <w:bCs/>
              </w:rPr>
              <w:t>c) Consiliul Economic şi Social</w:t>
            </w: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pPr>
              <w:snapToGrid w:val="0"/>
              <w:spacing w:before="40" w:after="40"/>
            </w:pPr>
            <w:r w:rsidRPr="004E3A9B">
              <w:t>Nu este cazul.</w:t>
            </w:r>
          </w:p>
          <w:p w:rsidR="00C7630F" w:rsidRPr="004E3A9B" w:rsidRDefault="00C7630F" w:rsidP="00C7630F">
            <w:pPr>
              <w:snapToGrid w:val="0"/>
              <w:spacing w:before="40" w:after="40"/>
            </w:pP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0"/>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pPr>
            <w:r w:rsidRPr="004E3A9B">
              <w:rPr>
                <w:bCs/>
              </w:rPr>
              <w:t>d) Consiliul Concurenţei</w:t>
            </w: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F14272" w:rsidP="00C7630F">
            <w:pPr>
              <w:snapToGrid w:val="0"/>
              <w:spacing w:before="40" w:after="40"/>
            </w:pPr>
            <w:r w:rsidRPr="004E3A9B">
              <w:t>Proiectul de act normativ va fi supus avizării Consiliului Concurenței.</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30"/>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rPr>
                <w:bCs/>
                <w:u w:val="single"/>
              </w:rPr>
            </w:pPr>
            <w:r w:rsidRPr="004E3A9B">
              <w:rPr>
                <w:bCs/>
              </w:rPr>
              <w:t>e) Curtea de conturi</w:t>
            </w: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t>Nu este cazul.</w:t>
            </w:r>
          </w:p>
          <w:p w:rsidR="00C7630F" w:rsidRPr="004E3A9B" w:rsidRDefault="00C7630F" w:rsidP="00C7630F"/>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73"/>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pPr>
            <w:r w:rsidRPr="004E3A9B">
              <w:rPr>
                <w:bCs/>
              </w:rPr>
              <w:t>6) Alte informaţii</w:t>
            </w: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pPr>
              <w:snapToGrid w:val="0"/>
            </w:pPr>
            <w:r w:rsidRPr="004E3A9B">
              <w:t>Nu au fost identificate.</w:t>
            </w:r>
          </w:p>
          <w:p w:rsidR="00C7630F" w:rsidRPr="004E3A9B" w:rsidRDefault="00C7630F" w:rsidP="00C7630F">
            <w:pPr>
              <w:snapToGrid w:val="0"/>
            </w:pP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12"/>
        </w:trPr>
        <w:tc>
          <w:tcPr>
            <w:tcW w:w="9794" w:type="dxa"/>
            <w:gridSpan w:val="10"/>
            <w:tcBorders>
              <w:top w:val="single" w:sz="4" w:space="0" w:color="000000"/>
              <w:left w:val="single" w:sz="4" w:space="0" w:color="auto"/>
              <w:bottom w:val="single" w:sz="4" w:space="0" w:color="000000"/>
              <w:right w:val="single" w:sz="4" w:space="0" w:color="auto"/>
            </w:tcBorders>
            <w:shd w:val="clear" w:color="auto" w:fill="auto"/>
            <w:vAlign w:val="center"/>
          </w:tcPr>
          <w:p w:rsidR="00C7630F" w:rsidRPr="004E3A9B" w:rsidRDefault="00C7630F" w:rsidP="00C7630F">
            <w:pPr>
              <w:jc w:val="center"/>
              <w:rPr>
                <w:b/>
                <w:bCs/>
              </w:rPr>
            </w:pPr>
            <w:r w:rsidRPr="004E3A9B">
              <w:rPr>
                <w:b/>
                <w:bCs/>
              </w:rPr>
              <w:t>Secţiunea a 7-a</w:t>
            </w:r>
          </w:p>
          <w:p w:rsidR="00C7630F" w:rsidRPr="004E3A9B" w:rsidRDefault="00C7630F" w:rsidP="00801984">
            <w:pPr>
              <w:jc w:val="center"/>
              <w:rPr>
                <w:b/>
                <w:bCs/>
              </w:rPr>
            </w:pPr>
            <w:r w:rsidRPr="004E3A9B">
              <w:rPr>
                <w:b/>
                <w:bCs/>
              </w:rPr>
              <w:t>Activităţi de informare publică privind elaborarea şi implementarea proiectului de act normativ</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02"/>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pPr>
            <w:r w:rsidRPr="004E3A9B">
              <w:rPr>
                <w:bCs/>
              </w:rPr>
              <w:t>1) Informarea societăţii civile cu privire la necesitatea elaborării proiectului de act normativ</w:t>
            </w: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pPr>
              <w:pStyle w:val="NoSpacing"/>
              <w:rPr>
                <w:rFonts w:ascii="Arial" w:eastAsia="Times New Roman" w:hAnsi="Arial" w:cs="Arial"/>
                <w:bCs/>
                <w:lang w:eastAsia="en-US"/>
              </w:rPr>
            </w:pPr>
          </w:p>
          <w:p w:rsidR="009118AA" w:rsidRPr="004E3A9B" w:rsidRDefault="009118AA" w:rsidP="009118AA">
            <w:pPr>
              <w:jc w:val="both"/>
            </w:pPr>
            <w:r w:rsidRPr="004E3A9B">
              <w:rPr>
                <w:bCs/>
              </w:rPr>
              <w:t>Proiectul de act normativ îndeplinește condițiile prevăzute de Legea nr. 52/2003 privind transparența decizională în administrația publică, republicată, cu modificările și completările ulterioare, fiind publicat pe pagina de internet Ministerului Finanțelor: www.mfinante.gov.ro</w:t>
            </w:r>
          </w:p>
          <w:p w:rsidR="00C7630F" w:rsidRPr="004E3A9B" w:rsidRDefault="00C7630F" w:rsidP="00C7630F">
            <w:pPr>
              <w:pStyle w:val="NoSpacing"/>
              <w:rPr>
                <w:rFonts w:ascii="Arial" w:eastAsia="Times New Roman" w:hAnsi="Arial" w:cs="Arial"/>
                <w:bCs/>
                <w:lang w:eastAsia="en-US"/>
              </w:rPr>
            </w:pP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47"/>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rPr>
                <w:bCs/>
              </w:rPr>
            </w:pPr>
          </w:p>
          <w:p w:rsidR="00C7630F" w:rsidRPr="004E3A9B" w:rsidRDefault="00C7630F" w:rsidP="00C7630F">
            <w:pPr>
              <w:jc w:val="both"/>
              <w:rPr>
                <w:bCs/>
              </w:rPr>
            </w:pPr>
            <w:r w:rsidRPr="004E3A9B">
              <w:rPr>
                <w:bCs/>
              </w:rPr>
              <w:t>2) Informarea societăţii civile cu privire la eventualul impact asupra mediului în urma implementării proiectului de act normativ, precum şi efectele asupra sănătăţii şi securităţii cetăţenilor sau diversităţii biologice</w:t>
            </w:r>
          </w:p>
          <w:p w:rsidR="00C7630F" w:rsidRPr="004E3A9B" w:rsidRDefault="00C7630F" w:rsidP="00C7630F">
            <w:pPr>
              <w:jc w:val="both"/>
            </w:pP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r w:rsidRPr="004E3A9B">
              <w:lastRenderedPageBreak/>
              <w:t>Proiectul de act normativ nu se referă la acest subiect.</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19"/>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rPr>
                <w:bCs/>
              </w:rPr>
            </w:pPr>
            <w:r w:rsidRPr="004E3A9B">
              <w:rPr>
                <w:bCs/>
              </w:rPr>
              <w:lastRenderedPageBreak/>
              <w:t>3) Alte informaţii</w:t>
            </w:r>
          </w:p>
          <w:p w:rsidR="00C7630F" w:rsidRPr="004E3A9B" w:rsidRDefault="00C7630F" w:rsidP="00C7630F"/>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pPr>
              <w:snapToGrid w:val="0"/>
              <w:jc w:val="both"/>
            </w:pPr>
          </w:p>
          <w:p w:rsidR="00C7630F" w:rsidRPr="004E3A9B" w:rsidRDefault="00C7630F" w:rsidP="00C7630F">
            <w:pPr>
              <w:snapToGrid w:val="0"/>
              <w:jc w:val="both"/>
            </w:pPr>
            <w:r w:rsidRPr="004E3A9B">
              <w:t>Nu au fost identificate.</w:t>
            </w:r>
          </w:p>
          <w:p w:rsidR="00C7630F" w:rsidRPr="004E3A9B" w:rsidRDefault="00C7630F" w:rsidP="00C7630F">
            <w:pPr>
              <w:snapToGrid w:val="0"/>
              <w:jc w:val="both"/>
            </w:pP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4"/>
        </w:trPr>
        <w:tc>
          <w:tcPr>
            <w:tcW w:w="9794" w:type="dxa"/>
            <w:gridSpan w:val="10"/>
            <w:tcBorders>
              <w:top w:val="single" w:sz="4" w:space="0" w:color="000000"/>
              <w:left w:val="single" w:sz="4" w:space="0" w:color="auto"/>
              <w:bottom w:val="single" w:sz="4" w:space="0" w:color="000000"/>
              <w:right w:val="single" w:sz="4" w:space="0" w:color="auto"/>
            </w:tcBorders>
            <w:shd w:val="clear" w:color="auto" w:fill="auto"/>
            <w:vAlign w:val="center"/>
          </w:tcPr>
          <w:p w:rsidR="00C7630F" w:rsidRPr="004E3A9B" w:rsidRDefault="00C7630F" w:rsidP="00C7630F">
            <w:pPr>
              <w:jc w:val="center"/>
              <w:rPr>
                <w:b/>
                <w:bCs/>
              </w:rPr>
            </w:pPr>
            <w:r w:rsidRPr="004E3A9B">
              <w:rPr>
                <w:b/>
                <w:bCs/>
              </w:rPr>
              <w:t>Secţiunea a 8-a</w:t>
            </w:r>
          </w:p>
          <w:p w:rsidR="00C7630F" w:rsidRPr="004E3A9B" w:rsidRDefault="00C7630F" w:rsidP="00C7630F">
            <w:pPr>
              <w:jc w:val="center"/>
              <w:rPr>
                <w:b/>
                <w:bCs/>
              </w:rPr>
            </w:pPr>
            <w:r w:rsidRPr="004E3A9B">
              <w:rPr>
                <w:b/>
                <w:bCs/>
              </w:rPr>
              <w:t>Măsuri de implementare</w:t>
            </w: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296"/>
        </w:trPr>
        <w:tc>
          <w:tcPr>
            <w:tcW w:w="6154" w:type="dxa"/>
            <w:gridSpan w:val="3"/>
            <w:tcBorders>
              <w:top w:val="single" w:sz="4" w:space="0" w:color="000000"/>
              <w:left w:val="single" w:sz="4" w:space="0" w:color="auto"/>
              <w:bottom w:val="single" w:sz="4" w:space="0" w:color="000000"/>
            </w:tcBorders>
            <w:shd w:val="clear" w:color="auto" w:fill="auto"/>
            <w:vAlign w:val="center"/>
          </w:tcPr>
          <w:p w:rsidR="00C7630F" w:rsidRPr="004E3A9B" w:rsidRDefault="00C7630F" w:rsidP="00C7630F">
            <w:pPr>
              <w:jc w:val="both"/>
            </w:pPr>
            <w:r w:rsidRPr="004E3A9B">
              <w:rPr>
                <w:bCs/>
              </w:rPr>
              <w:t>1) Măsurile de punere în aplicare a proiectului de act normativ de către autorităţile administraţiei publice centrale şi/sau locale – înfiinţarea unor noi organisme sau extinderea competenţelor instituţiilor existente</w:t>
            </w:r>
          </w:p>
        </w:tc>
        <w:tc>
          <w:tcPr>
            <w:tcW w:w="3640"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rsidR="00C7630F" w:rsidRPr="004E3A9B" w:rsidRDefault="00C7630F" w:rsidP="00C7630F">
            <w:pPr>
              <w:ind w:firstLine="4"/>
              <w:jc w:val="both"/>
            </w:pPr>
            <w:r w:rsidRPr="004E3A9B">
              <w:t xml:space="preserve">Nu implică măsuri suplimentare de implementare. </w:t>
            </w:r>
          </w:p>
          <w:p w:rsidR="00C7630F" w:rsidRPr="004E3A9B" w:rsidRDefault="00C7630F" w:rsidP="00C7630F">
            <w:pPr>
              <w:ind w:firstLine="4"/>
              <w:jc w:val="both"/>
            </w:pPr>
          </w:p>
        </w:tc>
      </w:tr>
      <w:tr w:rsidR="00C7630F" w:rsidRPr="004E3A9B" w:rsidTr="00230A7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18"/>
        </w:trPr>
        <w:tc>
          <w:tcPr>
            <w:tcW w:w="6154" w:type="dxa"/>
            <w:gridSpan w:val="3"/>
            <w:tcBorders>
              <w:top w:val="single" w:sz="4" w:space="0" w:color="000000"/>
              <w:left w:val="single" w:sz="4" w:space="0" w:color="auto"/>
              <w:bottom w:val="single" w:sz="4" w:space="0" w:color="auto"/>
            </w:tcBorders>
            <w:shd w:val="clear" w:color="auto" w:fill="auto"/>
            <w:vAlign w:val="center"/>
          </w:tcPr>
          <w:p w:rsidR="00C7630F" w:rsidRPr="004E3A9B" w:rsidRDefault="00C7630F" w:rsidP="00C7630F">
            <w:pPr>
              <w:jc w:val="both"/>
            </w:pPr>
            <w:r w:rsidRPr="004E3A9B">
              <w:rPr>
                <w:bCs/>
              </w:rPr>
              <w:t>2) Alte informații</w:t>
            </w:r>
          </w:p>
        </w:tc>
        <w:tc>
          <w:tcPr>
            <w:tcW w:w="3640" w:type="dxa"/>
            <w:gridSpan w:val="7"/>
            <w:tcBorders>
              <w:top w:val="single" w:sz="4" w:space="0" w:color="000000"/>
              <w:left w:val="single" w:sz="4" w:space="0" w:color="000000"/>
              <w:bottom w:val="single" w:sz="4" w:space="0" w:color="auto"/>
              <w:right w:val="single" w:sz="4" w:space="0" w:color="auto"/>
            </w:tcBorders>
            <w:shd w:val="clear" w:color="auto" w:fill="auto"/>
            <w:vAlign w:val="center"/>
          </w:tcPr>
          <w:p w:rsidR="00C7630F" w:rsidRPr="004E3A9B" w:rsidRDefault="00C7630F" w:rsidP="00C7630F">
            <w:r w:rsidRPr="004E3A9B">
              <w:t>Nu au fost identificate.</w:t>
            </w:r>
          </w:p>
        </w:tc>
      </w:tr>
    </w:tbl>
    <w:p w:rsidR="00CD3D08" w:rsidRPr="004E3A9B" w:rsidRDefault="00CD3D08" w:rsidP="00CD3D08"/>
    <w:p w:rsidR="001F5F42" w:rsidRPr="004E3A9B" w:rsidRDefault="001F5F42" w:rsidP="001F5F42">
      <w:pPr>
        <w:widowControl w:val="0"/>
        <w:jc w:val="both"/>
      </w:pPr>
      <w:r w:rsidRPr="004E3A9B">
        <w:rPr>
          <w:color w:val="000000"/>
          <w:lang w:eastAsia="ro-RO"/>
        </w:rPr>
        <w:t xml:space="preserve">Faţă de cele prezentate, a fost promovat prezentul </w:t>
      </w:r>
      <w:r w:rsidR="001D1E63" w:rsidRPr="001D1E63">
        <w:rPr>
          <w:color w:val="000000"/>
          <w:lang w:eastAsia="ro-RO"/>
        </w:rPr>
        <w:t>p</w:t>
      </w:r>
      <w:r w:rsidRPr="001D1E63">
        <w:rPr>
          <w:color w:val="000000"/>
          <w:lang w:eastAsia="ro-RO"/>
        </w:rPr>
        <w:t>roiect de Hotărâre a Guvernului privind intensitatea maximă a ajutorului de stat regional în perioada 2022-</w:t>
      </w:r>
      <w:r w:rsidR="001D1E63">
        <w:rPr>
          <w:color w:val="000000"/>
          <w:lang w:eastAsia="ro-RO"/>
        </w:rPr>
        <w:t>2027 pentru investiţii iniţiale</w:t>
      </w:r>
      <w:r w:rsidRPr="004E3A9B">
        <w:rPr>
          <w:color w:val="000000"/>
          <w:lang w:eastAsia="ro-RO"/>
        </w:rPr>
        <w:t xml:space="preserve">, </w:t>
      </w:r>
      <w:r w:rsidRPr="004E3A9B">
        <w:t>pe care-l supunem, spre aprobare, Guvernului.</w:t>
      </w:r>
    </w:p>
    <w:p w:rsidR="0069728A" w:rsidRPr="004E3A9B" w:rsidRDefault="0069728A" w:rsidP="001F5F42">
      <w:pPr>
        <w:widowControl w:val="0"/>
        <w:jc w:val="both"/>
      </w:pPr>
    </w:p>
    <w:p w:rsidR="0069728A" w:rsidRPr="004E3A9B" w:rsidRDefault="0069728A" w:rsidP="00CD3D08"/>
    <w:tbl>
      <w:tblPr>
        <w:tblW w:w="0" w:type="auto"/>
        <w:jc w:val="center"/>
        <w:tblLook w:val="00A0" w:firstRow="1" w:lastRow="0" w:firstColumn="1" w:lastColumn="0" w:noHBand="0" w:noVBand="0"/>
      </w:tblPr>
      <w:tblGrid>
        <w:gridCol w:w="3091"/>
        <w:gridCol w:w="4788"/>
        <w:gridCol w:w="1660"/>
      </w:tblGrid>
      <w:tr w:rsidR="00AD3A43" w:rsidRPr="004E3A9B" w:rsidTr="00505118">
        <w:trPr>
          <w:gridAfter w:val="1"/>
          <w:wAfter w:w="1660" w:type="dxa"/>
          <w:jc w:val="center"/>
        </w:trPr>
        <w:tc>
          <w:tcPr>
            <w:tcW w:w="3091" w:type="dxa"/>
          </w:tcPr>
          <w:p w:rsidR="00AD3A43" w:rsidRPr="004E3A9B" w:rsidRDefault="00AD3A43" w:rsidP="00505118">
            <w:pPr>
              <w:pStyle w:val="NoSpacing"/>
              <w:jc w:val="center"/>
              <w:rPr>
                <w:rFonts w:ascii="Arial" w:hAnsi="Arial" w:cs="Arial"/>
                <w:b/>
              </w:rPr>
            </w:pPr>
          </w:p>
        </w:tc>
        <w:tc>
          <w:tcPr>
            <w:tcW w:w="4788" w:type="dxa"/>
          </w:tcPr>
          <w:p w:rsidR="00AD3A43" w:rsidRPr="004E3A9B" w:rsidRDefault="00AD3A43" w:rsidP="00505118">
            <w:pPr>
              <w:pStyle w:val="NoSpacing"/>
              <w:ind w:left="-816" w:hanging="640"/>
              <w:jc w:val="center"/>
              <w:rPr>
                <w:rFonts w:ascii="Arial" w:hAnsi="Arial" w:cs="Arial"/>
                <w:b/>
              </w:rPr>
            </w:pPr>
            <w:r w:rsidRPr="004E3A9B">
              <w:rPr>
                <w:rFonts w:ascii="Arial" w:hAnsi="Arial" w:cs="Arial"/>
                <w:b/>
              </w:rPr>
              <w:t xml:space="preserve">Ministrul Finanțelor </w:t>
            </w:r>
          </w:p>
          <w:p w:rsidR="00AD3A43" w:rsidRPr="004E3A9B" w:rsidRDefault="00AD3A43" w:rsidP="00505118">
            <w:pPr>
              <w:pStyle w:val="NoSpacing"/>
              <w:ind w:left="-816" w:hanging="640"/>
              <w:jc w:val="center"/>
              <w:rPr>
                <w:rFonts w:ascii="Arial" w:hAnsi="Arial" w:cs="Arial"/>
                <w:b/>
              </w:rPr>
            </w:pPr>
          </w:p>
          <w:p w:rsidR="00AD3A43" w:rsidRPr="004E3A9B" w:rsidRDefault="00230A78" w:rsidP="00505118">
            <w:pPr>
              <w:pStyle w:val="NoSpacing"/>
              <w:ind w:left="-816" w:hanging="640"/>
              <w:jc w:val="center"/>
              <w:rPr>
                <w:rFonts w:ascii="Arial" w:hAnsi="Arial" w:cs="Arial"/>
                <w:b/>
              </w:rPr>
            </w:pPr>
            <w:r>
              <w:rPr>
                <w:rFonts w:ascii="Arial" w:hAnsi="Arial" w:cs="Arial"/>
                <w:b/>
              </w:rPr>
              <w:t>Adrian CÂCIU</w:t>
            </w:r>
          </w:p>
          <w:p w:rsidR="00AD3A43" w:rsidRPr="004E3A9B" w:rsidRDefault="00AD3A43" w:rsidP="00505118">
            <w:pPr>
              <w:pStyle w:val="NoSpacing"/>
              <w:ind w:left="-816" w:hanging="640"/>
              <w:jc w:val="center"/>
              <w:rPr>
                <w:rFonts w:ascii="Arial" w:hAnsi="Arial" w:cs="Arial"/>
                <w:b/>
              </w:rPr>
            </w:pPr>
          </w:p>
        </w:tc>
      </w:tr>
      <w:tr w:rsidR="00AD3A43" w:rsidRPr="004E3A9B" w:rsidTr="00FE127C">
        <w:trPr>
          <w:trHeight w:val="278"/>
          <w:jc w:val="center"/>
        </w:trPr>
        <w:tc>
          <w:tcPr>
            <w:tcW w:w="9539" w:type="dxa"/>
            <w:gridSpan w:val="3"/>
          </w:tcPr>
          <w:p w:rsidR="00AD3A43" w:rsidRPr="004E3A9B" w:rsidRDefault="00AD3A43" w:rsidP="00505118">
            <w:pPr>
              <w:pStyle w:val="NoSpacing"/>
              <w:rPr>
                <w:rFonts w:ascii="Arial" w:hAnsi="Arial" w:cs="Arial"/>
                <w:b/>
                <w:i/>
              </w:rPr>
            </w:pPr>
          </w:p>
          <w:p w:rsidR="00AD3A43" w:rsidRPr="004E3A9B" w:rsidRDefault="00AD3A43" w:rsidP="00505118">
            <w:pPr>
              <w:pStyle w:val="NoSpacing"/>
              <w:jc w:val="center"/>
              <w:rPr>
                <w:rFonts w:ascii="Arial" w:hAnsi="Arial" w:cs="Arial"/>
                <w:b/>
                <w:i/>
              </w:rPr>
            </w:pPr>
            <w:r w:rsidRPr="004E3A9B">
              <w:rPr>
                <w:rFonts w:ascii="Arial" w:hAnsi="Arial" w:cs="Arial"/>
                <w:b/>
                <w:i/>
              </w:rPr>
              <w:t>AVIZĂM FAVORABIL:</w:t>
            </w:r>
          </w:p>
          <w:p w:rsidR="00AD3A43" w:rsidRPr="004E3A9B" w:rsidRDefault="00AD3A43" w:rsidP="00505118">
            <w:pPr>
              <w:pStyle w:val="NoSpacing"/>
              <w:jc w:val="center"/>
              <w:rPr>
                <w:rFonts w:ascii="Arial" w:hAnsi="Arial" w:cs="Arial"/>
                <w:b/>
              </w:rPr>
            </w:pPr>
          </w:p>
        </w:tc>
      </w:tr>
      <w:tr w:rsidR="00FE127C" w:rsidRPr="004E3A9B" w:rsidTr="00FE127C">
        <w:trPr>
          <w:trHeight w:val="278"/>
          <w:jc w:val="center"/>
        </w:trPr>
        <w:tc>
          <w:tcPr>
            <w:tcW w:w="9539" w:type="dxa"/>
            <w:gridSpan w:val="3"/>
          </w:tcPr>
          <w:p w:rsidR="00FE127C" w:rsidRPr="004E3A9B" w:rsidRDefault="00FE127C" w:rsidP="00505118">
            <w:pPr>
              <w:pStyle w:val="NoSpacing"/>
              <w:rPr>
                <w:rFonts w:ascii="Arial" w:hAnsi="Arial" w:cs="Arial"/>
                <w:b/>
              </w:rPr>
            </w:pPr>
          </w:p>
          <w:p w:rsidR="00FE127C" w:rsidRPr="004E3A9B" w:rsidRDefault="00FE127C" w:rsidP="00505118">
            <w:pPr>
              <w:pStyle w:val="NoSpacing"/>
              <w:jc w:val="center"/>
              <w:rPr>
                <w:rFonts w:ascii="Arial" w:hAnsi="Arial" w:cs="Arial"/>
                <w:b/>
              </w:rPr>
            </w:pPr>
            <w:r w:rsidRPr="004E3A9B">
              <w:rPr>
                <w:rFonts w:ascii="Arial" w:hAnsi="Arial" w:cs="Arial"/>
                <w:b/>
              </w:rPr>
              <w:t>Ministrul Dezvoltării, Lucrărilor Publice, și Administrației</w:t>
            </w:r>
          </w:p>
          <w:p w:rsidR="00FE127C" w:rsidRPr="004E3A9B" w:rsidRDefault="00FE127C" w:rsidP="00505118">
            <w:pPr>
              <w:pStyle w:val="NoSpacing"/>
              <w:jc w:val="center"/>
              <w:rPr>
                <w:rFonts w:ascii="Arial" w:hAnsi="Arial" w:cs="Arial"/>
                <w:b/>
              </w:rPr>
            </w:pPr>
          </w:p>
          <w:p w:rsidR="00FE127C" w:rsidRPr="004E3A9B" w:rsidRDefault="00911E0D" w:rsidP="00505118">
            <w:pPr>
              <w:pStyle w:val="NoSpacing"/>
              <w:jc w:val="center"/>
              <w:rPr>
                <w:rFonts w:ascii="Arial" w:hAnsi="Arial" w:cs="Arial"/>
                <w:b/>
              </w:rPr>
            </w:pPr>
            <w:hyperlink r:id="rId9" w:history="1">
              <w:r w:rsidR="00FE127C" w:rsidRPr="004E3A9B">
                <w:rPr>
                  <w:rStyle w:val="Hyperlink"/>
                  <w:rFonts w:ascii="Arial" w:hAnsi="Arial" w:cs="Arial"/>
                  <w:b/>
                  <w:bCs/>
                  <w:color w:val="auto"/>
                </w:rPr>
                <w:t>Attila-Zoltán CSEKE</w:t>
              </w:r>
            </w:hyperlink>
          </w:p>
          <w:p w:rsidR="00FE127C" w:rsidRPr="004E3A9B" w:rsidRDefault="00FE127C" w:rsidP="00505118">
            <w:pPr>
              <w:pStyle w:val="NoSpacing"/>
              <w:rPr>
                <w:rFonts w:ascii="Arial" w:hAnsi="Arial" w:cs="Arial"/>
                <w:b/>
              </w:rPr>
            </w:pPr>
          </w:p>
          <w:p w:rsidR="00FE127C" w:rsidRPr="004E3A9B" w:rsidRDefault="00FE127C" w:rsidP="00530C74">
            <w:pPr>
              <w:pStyle w:val="NoSpacing"/>
              <w:rPr>
                <w:rFonts w:ascii="Arial" w:hAnsi="Arial" w:cs="Arial"/>
                <w:b/>
              </w:rPr>
            </w:pPr>
          </w:p>
        </w:tc>
      </w:tr>
      <w:tr w:rsidR="00AD3A43" w:rsidRPr="004E3A9B" w:rsidTr="00FE127C">
        <w:trPr>
          <w:trHeight w:val="278"/>
          <w:jc w:val="center"/>
        </w:trPr>
        <w:tc>
          <w:tcPr>
            <w:tcW w:w="9539" w:type="dxa"/>
            <w:gridSpan w:val="3"/>
          </w:tcPr>
          <w:p w:rsidR="00FE127C" w:rsidRDefault="00FE127C" w:rsidP="00505118">
            <w:pPr>
              <w:pStyle w:val="NoSpacing"/>
              <w:jc w:val="center"/>
              <w:rPr>
                <w:rFonts w:ascii="Arial" w:hAnsi="Arial" w:cs="Arial"/>
                <w:b/>
              </w:rPr>
            </w:pPr>
          </w:p>
          <w:p w:rsidR="00FE127C" w:rsidRDefault="00FE127C" w:rsidP="00505118">
            <w:pPr>
              <w:pStyle w:val="NoSpacing"/>
              <w:jc w:val="center"/>
              <w:rPr>
                <w:rFonts w:ascii="Arial" w:hAnsi="Arial" w:cs="Arial"/>
                <w:b/>
              </w:rPr>
            </w:pPr>
          </w:p>
          <w:p w:rsidR="00AD3A43" w:rsidRPr="004E3A9B" w:rsidRDefault="00AD3A43" w:rsidP="00505118">
            <w:pPr>
              <w:pStyle w:val="NoSpacing"/>
              <w:jc w:val="center"/>
              <w:rPr>
                <w:rFonts w:ascii="Arial" w:hAnsi="Arial" w:cs="Arial"/>
                <w:b/>
              </w:rPr>
            </w:pPr>
            <w:r w:rsidRPr="004E3A9B">
              <w:rPr>
                <w:rFonts w:ascii="Arial" w:hAnsi="Arial" w:cs="Arial"/>
                <w:b/>
              </w:rPr>
              <w:t>Consiliul Concurenței</w:t>
            </w:r>
          </w:p>
          <w:p w:rsidR="00AD3A43" w:rsidRPr="004E3A9B" w:rsidRDefault="00AD3A43" w:rsidP="00505118">
            <w:pPr>
              <w:pStyle w:val="NoSpacing"/>
              <w:jc w:val="center"/>
              <w:rPr>
                <w:rFonts w:ascii="Arial" w:hAnsi="Arial" w:cs="Arial"/>
                <w:b/>
              </w:rPr>
            </w:pPr>
            <w:r w:rsidRPr="004E3A9B">
              <w:rPr>
                <w:rFonts w:ascii="Arial" w:hAnsi="Arial" w:cs="Arial"/>
                <w:b/>
              </w:rPr>
              <w:t>Bogdan – Marius CHIRIȚOIU</w:t>
            </w:r>
          </w:p>
          <w:p w:rsidR="00AD3A43" w:rsidRPr="004E3A9B" w:rsidRDefault="00AD3A43" w:rsidP="00505118">
            <w:pPr>
              <w:pStyle w:val="NoSpacing"/>
              <w:jc w:val="center"/>
              <w:rPr>
                <w:rFonts w:ascii="Arial" w:hAnsi="Arial" w:cs="Arial"/>
                <w:b/>
              </w:rPr>
            </w:pPr>
          </w:p>
          <w:p w:rsidR="00AD3A43" w:rsidRPr="004E3A9B" w:rsidRDefault="00AD3A43" w:rsidP="00505118">
            <w:pPr>
              <w:pStyle w:val="NoSpacing"/>
              <w:jc w:val="center"/>
              <w:rPr>
                <w:rFonts w:ascii="Arial" w:hAnsi="Arial" w:cs="Arial"/>
                <w:b/>
              </w:rPr>
            </w:pPr>
          </w:p>
        </w:tc>
      </w:tr>
      <w:tr w:rsidR="00AD3A43" w:rsidRPr="004E3A9B" w:rsidTr="00FE127C">
        <w:trPr>
          <w:trHeight w:val="278"/>
          <w:jc w:val="center"/>
        </w:trPr>
        <w:tc>
          <w:tcPr>
            <w:tcW w:w="9539" w:type="dxa"/>
            <w:gridSpan w:val="3"/>
          </w:tcPr>
          <w:p w:rsidR="00AD3A43" w:rsidRPr="004E3A9B" w:rsidRDefault="00AD3A43" w:rsidP="00505118">
            <w:pPr>
              <w:pStyle w:val="NoSpacing"/>
              <w:rPr>
                <w:rFonts w:ascii="Arial" w:hAnsi="Arial" w:cs="Arial"/>
                <w:b/>
              </w:rPr>
            </w:pPr>
          </w:p>
          <w:p w:rsidR="00AD3A43" w:rsidRPr="004E3A9B" w:rsidRDefault="00AD3A43" w:rsidP="00505118">
            <w:pPr>
              <w:pStyle w:val="NoSpacing"/>
              <w:jc w:val="center"/>
              <w:rPr>
                <w:rFonts w:ascii="Arial" w:hAnsi="Arial" w:cs="Arial"/>
                <w:b/>
              </w:rPr>
            </w:pPr>
            <w:r w:rsidRPr="004E3A9B">
              <w:rPr>
                <w:rFonts w:ascii="Arial" w:hAnsi="Arial" w:cs="Arial"/>
                <w:b/>
              </w:rPr>
              <w:t>Ministrul Justiției</w:t>
            </w:r>
          </w:p>
          <w:p w:rsidR="00AD3A43" w:rsidRPr="004E3A9B" w:rsidRDefault="00AD3A43" w:rsidP="00505118">
            <w:pPr>
              <w:pStyle w:val="NoSpacing"/>
              <w:jc w:val="center"/>
              <w:rPr>
                <w:rFonts w:ascii="Arial" w:hAnsi="Arial" w:cs="Arial"/>
                <w:b/>
              </w:rPr>
            </w:pPr>
          </w:p>
          <w:p w:rsidR="00AD3A43" w:rsidRDefault="00230A78" w:rsidP="00505118">
            <w:pPr>
              <w:pStyle w:val="NoSpacing"/>
              <w:jc w:val="center"/>
              <w:rPr>
                <w:rFonts w:ascii="Arial" w:hAnsi="Arial" w:cs="Arial"/>
                <w:b/>
              </w:rPr>
            </w:pPr>
            <w:r>
              <w:rPr>
                <w:rFonts w:ascii="Arial" w:hAnsi="Arial" w:cs="Arial"/>
                <w:b/>
              </w:rPr>
              <w:t>Marian Cătălin PREDOIU</w:t>
            </w:r>
          </w:p>
          <w:p w:rsidR="00907D37" w:rsidRDefault="00907D37" w:rsidP="00505118">
            <w:pPr>
              <w:pStyle w:val="NoSpacing"/>
              <w:jc w:val="center"/>
              <w:rPr>
                <w:rFonts w:ascii="Arial" w:hAnsi="Arial" w:cs="Arial"/>
                <w:b/>
              </w:rPr>
            </w:pPr>
          </w:p>
          <w:p w:rsidR="00907D37" w:rsidRDefault="00907D37" w:rsidP="00505118">
            <w:pPr>
              <w:pStyle w:val="NoSpacing"/>
              <w:jc w:val="center"/>
              <w:rPr>
                <w:rFonts w:ascii="Arial" w:hAnsi="Arial" w:cs="Arial"/>
                <w:b/>
              </w:rPr>
            </w:pPr>
          </w:p>
          <w:p w:rsidR="00907D37" w:rsidRDefault="00907D37" w:rsidP="00505118">
            <w:pPr>
              <w:pStyle w:val="NoSpacing"/>
              <w:jc w:val="center"/>
              <w:rPr>
                <w:rFonts w:ascii="Arial" w:hAnsi="Arial" w:cs="Arial"/>
                <w:b/>
              </w:rPr>
            </w:pPr>
          </w:p>
          <w:p w:rsidR="00907D37" w:rsidRDefault="00907D37" w:rsidP="00505118">
            <w:pPr>
              <w:pStyle w:val="NoSpacing"/>
              <w:jc w:val="center"/>
              <w:rPr>
                <w:rFonts w:ascii="Arial" w:hAnsi="Arial" w:cs="Arial"/>
                <w:b/>
              </w:rPr>
            </w:pPr>
          </w:p>
          <w:p w:rsidR="00907D37" w:rsidRDefault="00907D37" w:rsidP="00505118">
            <w:pPr>
              <w:pStyle w:val="NoSpacing"/>
              <w:jc w:val="center"/>
              <w:rPr>
                <w:rFonts w:ascii="Arial" w:hAnsi="Arial" w:cs="Arial"/>
                <w:b/>
              </w:rPr>
            </w:pPr>
          </w:p>
          <w:p w:rsidR="00907D37" w:rsidRPr="004E3A9B" w:rsidRDefault="00907D37" w:rsidP="00505118">
            <w:pPr>
              <w:pStyle w:val="NoSpacing"/>
              <w:jc w:val="center"/>
              <w:rPr>
                <w:rFonts w:ascii="Arial" w:hAnsi="Arial" w:cs="Arial"/>
                <w:b/>
              </w:rPr>
            </w:pPr>
          </w:p>
          <w:p w:rsidR="00AD3A43" w:rsidRPr="004E3A9B" w:rsidRDefault="00AD3A43" w:rsidP="00505118">
            <w:pPr>
              <w:pStyle w:val="NoSpacing"/>
              <w:jc w:val="center"/>
              <w:rPr>
                <w:rFonts w:ascii="Arial" w:hAnsi="Arial" w:cs="Arial"/>
                <w:b/>
              </w:rPr>
            </w:pPr>
          </w:p>
        </w:tc>
      </w:tr>
    </w:tbl>
    <w:p w:rsidR="00B855A4" w:rsidRPr="004E3A9B" w:rsidRDefault="00B855A4" w:rsidP="00757BB6">
      <w:pPr>
        <w:spacing w:before="100" w:beforeAutospacing="1" w:after="100" w:afterAutospacing="1"/>
        <w:rPr>
          <w:b/>
          <w:lang w:eastAsia="ro-RO"/>
        </w:rPr>
      </w:pPr>
      <w:bookmarkStart w:id="2" w:name="_GoBack"/>
      <w:bookmarkEnd w:id="2"/>
    </w:p>
    <w:sectPr w:rsidR="00B855A4" w:rsidRPr="004E3A9B" w:rsidSect="002124C9">
      <w:footerReference w:type="even" r:id="rId10"/>
      <w:footerReference w:type="default" r:id="rId11"/>
      <w:pgSz w:w="11906" w:h="16838"/>
      <w:pgMar w:top="907" w:right="907" w:bottom="851" w:left="90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E0D" w:rsidRDefault="00911E0D">
      <w:r>
        <w:separator/>
      </w:r>
    </w:p>
  </w:endnote>
  <w:endnote w:type="continuationSeparator" w:id="0">
    <w:p w:rsidR="00911E0D" w:rsidRDefault="0091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A78" w:rsidRDefault="00230A78" w:rsidP="00C870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A78" w:rsidRDefault="00230A78" w:rsidP="00C8706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A78" w:rsidRDefault="00230A78">
    <w:pPr>
      <w:pStyle w:val="Footer"/>
      <w:jc w:val="right"/>
    </w:pPr>
    <w:r>
      <w:fldChar w:fldCharType="begin"/>
    </w:r>
    <w:r>
      <w:instrText xml:space="preserve"> PAGE   \* MERGEFORMAT </w:instrText>
    </w:r>
    <w:r>
      <w:fldChar w:fldCharType="separate"/>
    </w:r>
    <w:r w:rsidR="00757BB6">
      <w:rPr>
        <w:noProof/>
      </w:rPr>
      <w:t>10</w:t>
    </w:r>
    <w:r>
      <w:rPr>
        <w:noProof/>
      </w:rPr>
      <w:fldChar w:fldCharType="end"/>
    </w:r>
  </w:p>
  <w:p w:rsidR="00230A78" w:rsidRPr="00234911" w:rsidRDefault="00230A78" w:rsidP="00EF5293">
    <w:pPr>
      <w:pStyle w:val="Footer"/>
      <w:tabs>
        <w:tab w:val="clear" w:pos="4320"/>
        <w:tab w:val="clear" w:pos="8640"/>
        <w:tab w:val="left" w:pos="6100"/>
      </w:tabs>
      <w:ind w:right="360"/>
      <w:jc w:val="right"/>
      <w:rPr>
        <w:color w:val="595959"/>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E0D" w:rsidRDefault="00911E0D">
      <w:r>
        <w:separator/>
      </w:r>
    </w:p>
  </w:footnote>
  <w:footnote w:type="continuationSeparator" w:id="0">
    <w:p w:rsidR="00911E0D" w:rsidRDefault="00911E0D">
      <w:r>
        <w:continuationSeparator/>
      </w:r>
    </w:p>
  </w:footnote>
  <w:footnote w:id="1">
    <w:p w:rsidR="00230A78" w:rsidRPr="00EE548D" w:rsidRDefault="00230A78" w:rsidP="009974DC">
      <w:pPr>
        <w:pStyle w:val="FootnoteText"/>
        <w:jc w:val="both"/>
        <w:rPr>
          <w:rFonts w:ascii="Times New Roman" w:hAnsi="Times New Roman" w:cs="Times New Roman"/>
          <w:sz w:val="18"/>
          <w:szCs w:val="18"/>
        </w:rPr>
      </w:pPr>
      <w:r>
        <w:rPr>
          <w:rStyle w:val="FootnoteReference"/>
        </w:rPr>
        <w:footnoteRef/>
      </w:r>
      <w:r>
        <w:t xml:space="preserve"> </w:t>
      </w:r>
      <w:r w:rsidRPr="00EE548D">
        <w:rPr>
          <w:rFonts w:ascii="Times New Roman" w:hAnsi="Times New Roman" w:cs="Times New Roman"/>
          <w:sz w:val="18"/>
          <w:szCs w:val="18"/>
        </w:rPr>
        <w:t>Conform punctului 188 din Orientări și a datelor statistice furnizate de Eurostat (</w:t>
      </w:r>
      <w:hyperlink r:id="rId1" w:history="1">
        <w:r w:rsidRPr="00EE548D">
          <w:rPr>
            <w:rFonts w:ascii="Times New Roman" w:hAnsi="Times New Roman" w:cs="Times New Roman"/>
            <w:sz w:val="18"/>
            <w:szCs w:val="18"/>
          </w:rPr>
          <w:t>https://ec.europa.eu/eurostat/databrowser/view/DEMO_R_D3DENS__custom_1290680/default/table?lang=en</w:t>
        </w:r>
      </w:hyperlink>
      <w:r w:rsidRPr="00EE548D">
        <w:rPr>
          <w:rFonts w:ascii="Times New Roman" w:hAnsi="Times New Roman" w:cs="Times New Roman"/>
          <w:sz w:val="18"/>
          <w:szCs w:val="18"/>
        </w:rPr>
        <w:t>), intensitatea maximă a ajutoarelor regionale care pot fi acordate in aceste județe poate fi majorată cu 105.</w:t>
      </w:r>
    </w:p>
  </w:footnote>
  <w:footnote w:id="2">
    <w:p w:rsidR="00230A78" w:rsidRPr="005218E7" w:rsidRDefault="00230A78" w:rsidP="004E3A9B">
      <w:pPr>
        <w:pStyle w:val="FootnoteText"/>
        <w:jc w:val="both"/>
        <w:rPr>
          <w:rFonts w:ascii="Times New Roman" w:hAnsi="Times New Roman" w:cs="Times New Roman"/>
        </w:rPr>
      </w:pPr>
      <w:r w:rsidRPr="00E82647">
        <w:rPr>
          <w:rStyle w:val="FootnoteReference"/>
          <w:rFonts w:ascii="Times New Roman" w:hAnsi="Times New Roman" w:cs="Times New Roman"/>
        </w:rPr>
        <w:footnoteRef/>
      </w:r>
      <w:r w:rsidRPr="00E82647">
        <w:rPr>
          <w:rFonts w:ascii="Times New Roman" w:hAnsi="Times New Roman" w:cs="Times New Roman"/>
        </w:rPr>
        <w:t xml:space="preserve"> Potrivit pct. 187 din </w:t>
      </w:r>
      <w:r w:rsidRPr="00E82647">
        <w:rPr>
          <w:rFonts w:ascii="Times New Roman" w:hAnsi="Times New Roman" w:cs="Times New Roman"/>
          <w:i/>
        </w:rPr>
        <w:t>Orientări</w:t>
      </w:r>
      <w:r w:rsidRPr="00E82647">
        <w:rPr>
          <w:rFonts w:ascii="Times New Roman" w:hAnsi="Times New Roman" w:cs="Times New Roman"/>
        </w:rPr>
        <w:t xml:space="preserve">, intensitățile maxime ale ajutoarelor stabilite pentru zonele „a” pot fi majorate cu 10 puncte procentuale în cazul teritoriilor identificate pentru a primi sprijin din partea Fondului pentru o Tranziție Justă, respectiv pentru: județele Hunedoara (RO42 Vest), Gorj, Dolj (RO41 Sud-Vest Oltenia), Galați (RO 22 Sud-Est), Prahova (RO31 Sud-Muntenia) </w:t>
      </w:r>
      <w:r w:rsidRPr="005218E7">
        <w:rPr>
          <w:rFonts w:ascii="Times New Roman" w:hAnsi="Times New Roman" w:cs="Times New Roman"/>
        </w:rPr>
        <w:t>și Mureș (RO12 Centru).</w:t>
      </w:r>
    </w:p>
  </w:footnote>
  <w:footnote w:id="3">
    <w:p w:rsidR="00230A78" w:rsidRPr="00E82647" w:rsidRDefault="00230A78" w:rsidP="004E3A9B">
      <w:pPr>
        <w:pStyle w:val="FootnoteText"/>
        <w:jc w:val="both"/>
        <w:rPr>
          <w:rFonts w:ascii="Times New Roman" w:hAnsi="Times New Roman" w:cs="Times New Roman"/>
        </w:rPr>
      </w:pPr>
      <w:r w:rsidRPr="005218E7">
        <w:rPr>
          <w:rStyle w:val="FootnoteReference"/>
          <w:rFonts w:ascii="Times New Roman" w:hAnsi="Times New Roman" w:cs="Times New Roman"/>
        </w:rPr>
        <w:footnoteRef/>
      </w:r>
      <w:r w:rsidRPr="005218E7">
        <w:rPr>
          <w:rFonts w:ascii="Times New Roman" w:hAnsi="Times New Roman" w:cs="Times New Roman"/>
        </w:rPr>
        <w:t xml:space="preserve"> Potrivit celor mai recente date privind totalul populației rezidente în zonele respective, furnizate de Institutul Național de Statistică (</w:t>
      </w:r>
      <w:hyperlink r:id="rId2" w:history="1">
        <w:r w:rsidRPr="005218E7">
          <w:rPr>
            <w:rStyle w:val="Hyperlink"/>
            <w:rFonts w:ascii="Times New Roman" w:hAnsi="Times New Roman" w:cs="Times New Roman"/>
          </w:rPr>
          <w:t>www.insse.ro)-</w:t>
        </w:r>
      </w:hyperlink>
      <w:r w:rsidRPr="005218E7">
        <w:rPr>
          <w:rFonts w:ascii="Times New Roman" w:hAnsi="Times New Roman" w:cs="Times New Roman"/>
        </w:rPr>
        <w:t xml:space="preserve"> populația rezidentă la 1 ianuarie 2020 – a se vedea </w:t>
      </w:r>
      <w:hyperlink r:id="rId3" w:anchor="/pages/tables/insse-table" w:history="1">
        <w:r w:rsidRPr="005218E7">
          <w:rPr>
            <w:rFonts w:ascii="Times New Roman" w:eastAsia="Calibri" w:hAnsi="Times New Roman" w:cs="Times New Roman"/>
            <w:color w:val="0563C1"/>
            <w:sz w:val="18"/>
            <w:szCs w:val="18"/>
            <w:u w:val="single"/>
            <w:lang w:val="en-US"/>
          </w:rPr>
          <w:t>http://statistici.insse.ro:8077/tempo-online/#/pages/tables/insse-table</w:t>
        </w:r>
      </w:hyperlink>
      <w:r w:rsidRPr="005218E7">
        <w:rPr>
          <w:rFonts w:ascii="Times New Roman" w:hAnsi="Times New Roman" w:cs="Times New Roman"/>
        </w:rPr>
        <w:t>, populația rezidentă a județului Ilfov județului Ilfov era de 486.744 locuitori, ceea ce reprezenta 2,51% din populația națională (de 19.328.838 de locuitori).</w:t>
      </w:r>
    </w:p>
  </w:footnote>
  <w:footnote w:id="4">
    <w:p w:rsidR="00230A78" w:rsidRPr="00E82647" w:rsidRDefault="00230A78" w:rsidP="004E3A9B">
      <w:pPr>
        <w:pStyle w:val="FootnoteText"/>
        <w:jc w:val="both"/>
        <w:rPr>
          <w:rFonts w:ascii="Times New Roman" w:hAnsi="Times New Roman" w:cs="Times New Roman"/>
          <w:lang w:val="fr-FR"/>
        </w:rPr>
      </w:pPr>
      <w:r w:rsidRPr="00E82647">
        <w:rPr>
          <w:rStyle w:val="FootnoteReference"/>
          <w:rFonts w:ascii="Times New Roman" w:hAnsi="Times New Roman" w:cs="Times New Roman"/>
        </w:rPr>
        <w:footnoteRef/>
      </w:r>
      <w:r w:rsidRPr="00E82647">
        <w:rPr>
          <w:rFonts w:ascii="Times New Roman" w:hAnsi="Times New Roman" w:cs="Times New Roman"/>
        </w:rPr>
        <w:t xml:space="preserve"> </w:t>
      </w:r>
      <w:r>
        <w:rPr>
          <w:rFonts w:ascii="Times New Roman" w:hAnsi="Times New Roman" w:cs="Times New Roman"/>
        </w:rPr>
        <w:t>A se vedea j</w:t>
      </w:r>
      <w:r w:rsidRPr="00E82647">
        <w:rPr>
          <w:rFonts w:ascii="Times New Roman" w:hAnsi="Times New Roman" w:cs="Times New Roman"/>
          <w:lang w:val="fr-FR"/>
        </w:rPr>
        <w:t>ustificare</w:t>
      </w:r>
      <w:r>
        <w:rPr>
          <w:rFonts w:ascii="Times New Roman" w:hAnsi="Times New Roman" w:cs="Times New Roman"/>
          <w:lang w:val="fr-FR"/>
        </w:rPr>
        <w:t>a deasupra tabelului</w:t>
      </w:r>
      <w:r w:rsidRPr="00E82647">
        <w:rPr>
          <w:rFonts w:ascii="Times New Roman" w:hAnsi="Times New Roman" w:cs="Times New Roman"/>
          <w:lang w:val="fr-FR"/>
        </w:rPr>
        <w:t>.</w:t>
      </w:r>
    </w:p>
  </w:footnote>
  <w:footnote w:id="5">
    <w:p w:rsidR="00230A78" w:rsidRPr="00E82647" w:rsidRDefault="00230A78" w:rsidP="004E3A9B">
      <w:pPr>
        <w:pStyle w:val="FootnoteText"/>
        <w:jc w:val="both"/>
        <w:rPr>
          <w:rFonts w:ascii="Times New Roman" w:hAnsi="Times New Roman" w:cs="Times New Roman"/>
        </w:rPr>
      </w:pPr>
      <w:r w:rsidRPr="005218E7">
        <w:rPr>
          <w:rStyle w:val="FootnoteReference"/>
          <w:rFonts w:ascii="Times New Roman" w:hAnsi="Times New Roman" w:cs="Times New Roman"/>
        </w:rPr>
        <w:footnoteRef/>
      </w:r>
      <w:r w:rsidRPr="005218E7">
        <w:rPr>
          <w:rFonts w:ascii="Times New Roman" w:hAnsi="Times New Roman" w:cs="Times New Roman"/>
        </w:rPr>
        <w:t xml:space="preserve"> Potrivit celor mai recente date privind totalul populației rezidente în zonele respective, furnizate de Institutul Național de Statistică (</w:t>
      </w:r>
      <w:hyperlink r:id="rId4" w:history="1">
        <w:r w:rsidRPr="005218E7">
          <w:rPr>
            <w:rStyle w:val="Hyperlink"/>
            <w:rFonts w:ascii="Times New Roman" w:hAnsi="Times New Roman" w:cs="Times New Roman"/>
          </w:rPr>
          <w:t>www.insse.ro)-</w:t>
        </w:r>
      </w:hyperlink>
      <w:r w:rsidRPr="005218E7">
        <w:rPr>
          <w:rFonts w:ascii="Times New Roman" w:hAnsi="Times New Roman" w:cs="Times New Roman"/>
        </w:rPr>
        <w:t xml:space="preserve"> populația rezidentă la 1 ianuarie 2020 – a se vedea </w:t>
      </w:r>
      <w:hyperlink r:id="rId5" w:anchor="/pages/tables/insse-table" w:history="1">
        <w:r w:rsidRPr="005218E7">
          <w:rPr>
            <w:rFonts w:ascii="Times New Roman" w:eastAsia="Calibri" w:hAnsi="Times New Roman" w:cs="Times New Roman"/>
            <w:color w:val="0563C1"/>
            <w:sz w:val="18"/>
            <w:szCs w:val="18"/>
            <w:u w:val="single"/>
            <w:lang w:val="en-US"/>
          </w:rPr>
          <w:t>http://statistici.insse.ro:8077/tempo-online/#/pages/tables/insse-table</w:t>
        </w:r>
      </w:hyperlink>
      <w:r w:rsidRPr="005218E7">
        <w:rPr>
          <w:rFonts w:ascii="Times New Roman" w:hAnsi="Times New Roman" w:cs="Times New Roman"/>
        </w:rPr>
        <w:t>, populația rezidentă a județului Ilfov județului Ilfov era de 486.744 locuitori, ceea ce reprezenta 2,51% din populația națională (de 19.328.838 de locuitori).</w:t>
      </w:r>
    </w:p>
  </w:footnote>
  <w:footnote w:id="6">
    <w:p w:rsidR="00230A78" w:rsidRPr="00E82647" w:rsidRDefault="00230A78" w:rsidP="004E3A9B">
      <w:pPr>
        <w:pStyle w:val="FootnoteText"/>
        <w:jc w:val="both"/>
        <w:rPr>
          <w:rFonts w:ascii="Times New Roman" w:hAnsi="Times New Roman" w:cs="Times New Roman"/>
          <w:lang w:val="fr-FR"/>
        </w:rPr>
      </w:pPr>
      <w:r w:rsidRPr="00E82647">
        <w:rPr>
          <w:rStyle w:val="FootnoteReference"/>
          <w:rFonts w:ascii="Times New Roman" w:hAnsi="Times New Roman" w:cs="Times New Roman"/>
        </w:rPr>
        <w:footnoteRef/>
      </w:r>
      <w:r w:rsidRPr="00E82647">
        <w:rPr>
          <w:rFonts w:ascii="Times New Roman" w:hAnsi="Times New Roman" w:cs="Times New Roman"/>
        </w:rPr>
        <w:t xml:space="preserve"> </w:t>
      </w:r>
      <w:r>
        <w:rPr>
          <w:rFonts w:ascii="Times New Roman" w:hAnsi="Times New Roman" w:cs="Times New Roman"/>
        </w:rPr>
        <w:t>A se vedea j</w:t>
      </w:r>
      <w:r w:rsidRPr="00E82647">
        <w:rPr>
          <w:rFonts w:ascii="Times New Roman" w:hAnsi="Times New Roman" w:cs="Times New Roman"/>
          <w:lang w:val="fr-FR"/>
        </w:rPr>
        <w:t>ustificare</w:t>
      </w:r>
      <w:r>
        <w:rPr>
          <w:rFonts w:ascii="Times New Roman" w:hAnsi="Times New Roman" w:cs="Times New Roman"/>
          <w:lang w:val="fr-FR"/>
        </w:rPr>
        <w:t>a deasupra tabelului</w:t>
      </w:r>
      <w:r w:rsidRPr="00E82647">
        <w:rPr>
          <w:rFonts w:ascii="Times New Roman" w:hAnsi="Times New Roman" w:cs="Times New Roman"/>
          <w:lang w:val="fr-FR"/>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
      </v:shape>
    </w:pict>
  </w:numPicBullet>
  <w:abstractNum w:abstractNumId="0" w15:restartNumberingAfterBreak="0">
    <w:nsid w:val="00000002"/>
    <w:multiLevelType w:val="singleLevel"/>
    <w:tmpl w:val="1938F6BC"/>
    <w:name w:val="WW8Num2"/>
    <w:lvl w:ilvl="0">
      <w:start w:val="1"/>
      <w:numFmt w:val="lowerLetter"/>
      <w:lvlText w:val="%1)"/>
      <w:lvlJc w:val="left"/>
      <w:pPr>
        <w:tabs>
          <w:tab w:val="num" w:pos="720"/>
        </w:tabs>
        <w:ind w:left="720" w:hanging="360"/>
      </w:pPr>
      <w:rPr>
        <w:b w:val="0"/>
        <w:bCs/>
        <w:sz w:val="24"/>
        <w:szCs w:val="24"/>
      </w:rPr>
    </w:lvl>
  </w:abstractNum>
  <w:abstractNum w:abstractNumId="1" w15:restartNumberingAfterBreak="0">
    <w:nsid w:val="00000003"/>
    <w:multiLevelType w:val="singleLevel"/>
    <w:tmpl w:val="00000003"/>
    <w:name w:val="WW8Num3"/>
    <w:lvl w:ilvl="0">
      <w:start w:val="3"/>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1E42FDC"/>
    <w:multiLevelType w:val="hybridMultilevel"/>
    <w:tmpl w:val="69DEDF98"/>
    <w:lvl w:ilvl="0" w:tplc="04090001">
      <w:start w:val="1"/>
      <w:numFmt w:val="bullet"/>
      <w:lvlText w:val=""/>
      <w:lvlJc w:val="left"/>
      <w:pPr>
        <w:ind w:left="338" w:hanging="360"/>
      </w:pPr>
      <w:rPr>
        <w:rFonts w:ascii="Symbol" w:hAnsi="Symbol" w:hint="default"/>
      </w:rPr>
    </w:lvl>
    <w:lvl w:ilvl="1" w:tplc="04090003" w:tentative="1">
      <w:start w:val="1"/>
      <w:numFmt w:val="bullet"/>
      <w:lvlText w:val="o"/>
      <w:lvlJc w:val="left"/>
      <w:pPr>
        <w:ind w:left="1058" w:hanging="360"/>
      </w:pPr>
      <w:rPr>
        <w:rFonts w:ascii="Courier New" w:hAnsi="Courier New" w:cs="Courier New" w:hint="default"/>
      </w:rPr>
    </w:lvl>
    <w:lvl w:ilvl="2" w:tplc="04090005" w:tentative="1">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498" w:hanging="360"/>
      </w:pPr>
      <w:rPr>
        <w:rFonts w:ascii="Symbol" w:hAnsi="Symbol" w:hint="default"/>
      </w:rPr>
    </w:lvl>
    <w:lvl w:ilvl="4" w:tplc="04090003" w:tentative="1">
      <w:start w:val="1"/>
      <w:numFmt w:val="bullet"/>
      <w:lvlText w:val="o"/>
      <w:lvlJc w:val="left"/>
      <w:pPr>
        <w:ind w:left="3218" w:hanging="360"/>
      </w:pPr>
      <w:rPr>
        <w:rFonts w:ascii="Courier New" w:hAnsi="Courier New" w:cs="Courier New" w:hint="default"/>
      </w:rPr>
    </w:lvl>
    <w:lvl w:ilvl="5" w:tplc="04090005" w:tentative="1">
      <w:start w:val="1"/>
      <w:numFmt w:val="bullet"/>
      <w:lvlText w:val=""/>
      <w:lvlJc w:val="left"/>
      <w:pPr>
        <w:ind w:left="3938" w:hanging="360"/>
      </w:pPr>
      <w:rPr>
        <w:rFonts w:ascii="Wingdings" w:hAnsi="Wingdings" w:hint="default"/>
      </w:rPr>
    </w:lvl>
    <w:lvl w:ilvl="6" w:tplc="04090001" w:tentative="1">
      <w:start w:val="1"/>
      <w:numFmt w:val="bullet"/>
      <w:lvlText w:val=""/>
      <w:lvlJc w:val="left"/>
      <w:pPr>
        <w:ind w:left="4658" w:hanging="360"/>
      </w:pPr>
      <w:rPr>
        <w:rFonts w:ascii="Symbol" w:hAnsi="Symbol" w:hint="default"/>
      </w:rPr>
    </w:lvl>
    <w:lvl w:ilvl="7" w:tplc="04090003" w:tentative="1">
      <w:start w:val="1"/>
      <w:numFmt w:val="bullet"/>
      <w:lvlText w:val="o"/>
      <w:lvlJc w:val="left"/>
      <w:pPr>
        <w:ind w:left="5378" w:hanging="360"/>
      </w:pPr>
      <w:rPr>
        <w:rFonts w:ascii="Courier New" w:hAnsi="Courier New" w:cs="Courier New" w:hint="default"/>
      </w:rPr>
    </w:lvl>
    <w:lvl w:ilvl="8" w:tplc="04090005" w:tentative="1">
      <w:start w:val="1"/>
      <w:numFmt w:val="bullet"/>
      <w:lvlText w:val=""/>
      <w:lvlJc w:val="left"/>
      <w:pPr>
        <w:ind w:left="6098" w:hanging="360"/>
      </w:pPr>
      <w:rPr>
        <w:rFonts w:ascii="Wingdings" w:hAnsi="Wingdings" w:hint="default"/>
      </w:rPr>
    </w:lvl>
  </w:abstractNum>
  <w:abstractNum w:abstractNumId="4" w15:restartNumberingAfterBreak="0">
    <w:nsid w:val="025C2111"/>
    <w:multiLevelType w:val="hybridMultilevel"/>
    <w:tmpl w:val="3530D4D2"/>
    <w:lvl w:ilvl="0" w:tplc="0C182F7A">
      <w:start w:val="1"/>
      <w:numFmt w:val="decimal"/>
      <w:lvlText w:val="%1."/>
      <w:lvlJc w:val="left"/>
      <w:pPr>
        <w:ind w:left="2496" w:hanging="360"/>
      </w:pPr>
      <w:rPr>
        <w:rFonts w:hint="default"/>
      </w:rPr>
    </w:lvl>
    <w:lvl w:ilvl="1" w:tplc="04180019" w:tentative="1">
      <w:start w:val="1"/>
      <w:numFmt w:val="lowerLetter"/>
      <w:lvlText w:val="%2."/>
      <w:lvlJc w:val="left"/>
      <w:pPr>
        <w:ind w:left="3216" w:hanging="360"/>
      </w:pPr>
    </w:lvl>
    <w:lvl w:ilvl="2" w:tplc="0418001B" w:tentative="1">
      <w:start w:val="1"/>
      <w:numFmt w:val="lowerRoman"/>
      <w:lvlText w:val="%3."/>
      <w:lvlJc w:val="right"/>
      <w:pPr>
        <w:ind w:left="3936" w:hanging="180"/>
      </w:pPr>
    </w:lvl>
    <w:lvl w:ilvl="3" w:tplc="0418000F" w:tentative="1">
      <w:start w:val="1"/>
      <w:numFmt w:val="decimal"/>
      <w:lvlText w:val="%4."/>
      <w:lvlJc w:val="left"/>
      <w:pPr>
        <w:ind w:left="4656" w:hanging="360"/>
      </w:pPr>
    </w:lvl>
    <w:lvl w:ilvl="4" w:tplc="04180019" w:tentative="1">
      <w:start w:val="1"/>
      <w:numFmt w:val="lowerLetter"/>
      <w:lvlText w:val="%5."/>
      <w:lvlJc w:val="left"/>
      <w:pPr>
        <w:ind w:left="5376" w:hanging="360"/>
      </w:pPr>
    </w:lvl>
    <w:lvl w:ilvl="5" w:tplc="0418001B" w:tentative="1">
      <w:start w:val="1"/>
      <w:numFmt w:val="lowerRoman"/>
      <w:lvlText w:val="%6."/>
      <w:lvlJc w:val="right"/>
      <w:pPr>
        <w:ind w:left="6096" w:hanging="180"/>
      </w:pPr>
    </w:lvl>
    <w:lvl w:ilvl="6" w:tplc="0418000F" w:tentative="1">
      <w:start w:val="1"/>
      <w:numFmt w:val="decimal"/>
      <w:lvlText w:val="%7."/>
      <w:lvlJc w:val="left"/>
      <w:pPr>
        <w:ind w:left="6816" w:hanging="360"/>
      </w:pPr>
    </w:lvl>
    <w:lvl w:ilvl="7" w:tplc="04180019" w:tentative="1">
      <w:start w:val="1"/>
      <w:numFmt w:val="lowerLetter"/>
      <w:lvlText w:val="%8."/>
      <w:lvlJc w:val="left"/>
      <w:pPr>
        <w:ind w:left="7536" w:hanging="360"/>
      </w:pPr>
    </w:lvl>
    <w:lvl w:ilvl="8" w:tplc="0418001B" w:tentative="1">
      <w:start w:val="1"/>
      <w:numFmt w:val="lowerRoman"/>
      <w:lvlText w:val="%9."/>
      <w:lvlJc w:val="right"/>
      <w:pPr>
        <w:ind w:left="8256" w:hanging="180"/>
      </w:pPr>
    </w:lvl>
  </w:abstractNum>
  <w:abstractNum w:abstractNumId="5" w15:restartNumberingAfterBreak="0">
    <w:nsid w:val="0425298F"/>
    <w:multiLevelType w:val="hybridMultilevel"/>
    <w:tmpl w:val="DD92E13A"/>
    <w:lvl w:ilvl="0" w:tplc="FECC843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037DEF"/>
    <w:multiLevelType w:val="hybridMultilevel"/>
    <w:tmpl w:val="21A8A6E0"/>
    <w:lvl w:ilvl="0" w:tplc="1AC6A3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103FC"/>
    <w:multiLevelType w:val="hybridMultilevel"/>
    <w:tmpl w:val="1F2E7F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5765DB"/>
    <w:multiLevelType w:val="hybridMultilevel"/>
    <w:tmpl w:val="A0E02682"/>
    <w:lvl w:ilvl="0" w:tplc="04090003">
      <w:start w:val="1"/>
      <w:numFmt w:val="bullet"/>
      <w:lvlText w:val="o"/>
      <w:lvlJc w:val="left"/>
      <w:pPr>
        <w:ind w:left="1508" w:hanging="360"/>
      </w:pPr>
      <w:rPr>
        <w:rFonts w:ascii="Courier New" w:hAnsi="Courier New" w:cs="Courier New" w:hint="default"/>
      </w:rPr>
    </w:lvl>
    <w:lvl w:ilvl="1" w:tplc="04180003" w:tentative="1">
      <w:start w:val="1"/>
      <w:numFmt w:val="bullet"/>
      <w:lvlText w:val="o"/>
      <w:lvlJc w:val="left"/>
      <w:pPr>
        <w:ind w:left="2228" w:hanging="360"/>
      </w:pPr>
      <w:rPr>
        <w:rFonts w:ascii="Courier New" w:hAnsi="Courier New" w:cs="Courier New" w:hint="default"/>
      </w:rPr>
    </w:lvl>
    <w:lvl w:ilvl="2" w:tplc="04180005" w:tentative="1">
      <w:start w:val="1"/>
      <w:numFmt w:val="bullet"/>
      <w:lvlText w:val=""/>
      <w:lvlJc w:val="left"/>
      <w:pPr>
        <w:ind w:left="2948" w:hanging="360"/>
      </w:pPr>
      <w:rPr>
        <w:rFonts w:ascii="Wingdings" w:hAnsi="Wingdings" w:hint="default"/>
      </w:rPr>
    </w:lvl>
    <w:lvl w:ilvl="3" w:tplc="04180001" w:tentative="1">
      <w:start w:val="1"/>
      <w:numFmt w:val="bullet"/>
      <w:lvlText w:val=""/>
      <w:lvlJc w:val="left"/>
      <w:pPr>
        <w:ind w:left="3668" w:hanging="360"/>
      </w:pPr>
      <w:rPr>
        <w:rFonts w:ascii="Symbol" w:hAnsi="Symbol" w:hint="default"/>
      </w:rPr>
    </w:lvl>
    <w:lvl w:ilvl="4" w:tplc="04180003" w:tentative="1">
      <w:start w:val="1"/>
      <w:numFmt w:val="bullet"/>
      <w:lvlText w:val="o"/>
      <w:lvlJc w:val="left"/>
      <w:pPr>
        <w:ind w:left="4388" w:hanging="360"/>
      </w:pPr>
      <w:rPr>
        <w:rFonts w:ascii="Courier New" w:hAnsi="Courier New" w:cs="Courier New" w:hint="default"/>
      </w:rPr>
    </w:lvl>
    <w:lvl w:ilvl="5" w:tplc="04180005" w:tentative="1">
      <w:start w:val="1"/>
      <w:numFmt w:val="bullet"/>
      <w:lvlText w:val=""/>
      <w:lvlJc w:val="left"/>
      <w:pPr>
        <w:ind w:left="5108" w:hanging="360"/>
      </w:pPr>
      <w:rPr>
        <w:rFonts w:ascii="Wingdings" w:hAnsi="Wingdings" w:hint="default"/>
      </w:rPr>
    </w:lvl>
    <w:lvl w:ilvl="6" w:tplc="04180001" w:tentative="1">
      <w:start w:val="1"/>
      <w:numFmt w:val="bullet"/>
      <w:lvlText w:val=""/>
      <w:lvlJc w:val="left"/>
      <w:pPr>
        <w:ind w:left="5828" w:hanging="360"/>
      </w:pPr>
      <w:rPr>
        <w:rFonts w:ascii="Symbol" w:hAnsi="Symbol" w:hint="default"/>
      </w:rPr>
    </w:lvl>
    <w:lvl w:ilvl="7" w:tplc="04180003" w:tentative="1">
      <w:start w:val="1"/>
      <w:numFmt w:val="bullet"/>
      <w:lvlText w:val="o"/>
      <w:lvlJc w:val="left"/>
      <w:pPr>
        <w:ind w:left="6548" w:hanging="360"/>
      </w:pPr>
      <w:rPr>
        <w:rFonts w:ascii="Courier New" w:hAnsi="Courier New" w:cs="Courier New" w:hint="default"/>
      </w:rPr>
    </w:lvl>
    <w:lvl w:ilvl="8" w:tplc="04180005" w:tentative="1">
      <w:start w:val="1"/>
      <w:numFmt w:val="bullet"/>
      <w:lvlText w:val=""/>
      <w:lvlJc w:val="left"/>
      <w:pPr>
        <w:ind w:left="7268" w:hanging="360"/>
      </w:pPr>
      <w:rPr>
        <w:rFonts w:ascii="Wingdings" w:hAnsi="Wingdings" w:hint="default"/>
      </w:rPr>
    </w:lvl>
  </w:abstractNum>
  <w:abstractNum w:abstractNumId="9" w15:restartNumberingAfterBreak="0">
    <w:nsid w:val="1B013335"/>
    <w:multiLevelType w:val="hybridMultilevel"/>
    <w:tmpl w:val="E08600C2"/>
    <w:lvl w:ilvl="0" w:tplc="1DA23E64">
      <w:start w:val="61"/>
      <w:numFmt w:val="decimal"/>
      <w:lvlText w:val="%1."/>
      <w:lvlJc w:val="left"/>
      <w:pPr>
        <w:ind w:left="831" w:hanging="405"/>
      </w:pPr>
      <w:rPr>
        <w:rFonts w:ascii="Arial" w:hAnsi="Arial" w:cs="Arial"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0" w15:restartNumberingAfterBreak="0">
    <w:nsid w:val="1EAE2AB7"/>
    <w:multiLevelType w:val="multilevel"/>
    <w:tmpl w:val="49DA8E74"/>
    <w:lvl w:ilvl="0">
      <w:start w:val="1"/>
      <w:numFmt w:val="decimal"/>
      <w:lvlText w:val="%1."/>
      <w:lvlJc w:val="left"/>
      <w:pPr>
        <w:ind w:left="644"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26E02825"/>
    <w:multiLevelType w:val="hybridMultilevel"/>
    <w:tmpl w:val="8F16A02C"/>
    <w:lvl w:ilvl="0" w:tplc="04090001">
      <w:start w:val="1"/>
      <w:numFmt w:val="bullet"/>
      <w:lvlText w:val=""/>
      <w:lvlJc w:val="left"/>
      <w:pPr>
        <w:tabs>
          <w:tab w:val="num" w:pos="1438"/>
        </w:tabs>
        <w:ind w:left="1438" w:hanging="360"/>
      </w:pPr>
      <w:rPr>
        <w:rFonts w:ascii="Symbol" w:hAnsi="Symbol" w:hint="default"/>
      </w:rPr>
    </w:lvl>
    <w:lvl w:ilvl="1" w:tplc="04090003" w:tentative="1">
      <w:start w:val="1"/>
      <w:numFmt w:val="bullet"/>
      <w:lvlText w:val="o"/>
      <w:lvlJc w:val="left"/>
      <w:pPr>
        <w:tabs>
          <w:tab w:val="num" w:pos="2158"/>
        </w:tabs>
        <w:ind w:left="2158" w:hanging="360"/>
      </w:pPr>
      <w:rPr>
        <w:rFonts w:ascii="Courier New" w:hAnsi="Courier New" w:cs="Courier New" w:hint="default"/>
      </w:rPr>
    </w:lvl>
    <w:lvl w:ilvl="2" w:tplc="04090005" w:tentative="1">
      <w:start w:val="1"/>
      <w:numFmt w:val="bullet"/>
      <w:lvlText w:val=""/>
      <w:lvlJc w:val="left"/>
      <w:pPr>
        <w:tabs>
          <w:tab w:val="num" w:pos="2878"/>
        </w:tabs>
        <w:ind w:left="2878" w:hanging="360"/>
      </w:pPr>
      <w:rPr>
        <w:rFonts w:ascii="Wingdings" w:hAnsi="Wingdings" w:hint="default"/>
      </w:rPr>
    </w:lvl>
    <w:lvl w:ilvl="3" w:tplc="04090001" w:tentative="1">
      <w:start w:val="1"/>
      <w:numFmt w:val="bullet"/>
      <w:lvlText w:val=""/>
      <w:lvlJc w:val="left"/>
      <w:pPr>
        <w:tabs>
          <w:tab w:val="num" w:pos="3598"/>
        </w:tabs>
        <w:ind w:left="3598" w:hanging="360"/>
      </w:pPr>
      <w:rPr>
        <w:rFonts w:ascii="Symbol" w:hAnsi="Symbol" w:hint="default"/>
      </w:rPr>
    </w:lvl>
    <w:lvl w:ilvl="4" w:tplc="04090003" w:tentative="1">
      <w:start w:val="1"/>
      <w:numFmt w:val="bullet"/>
      <w:lvlText w:val="o"/>
      <w:lvlJc w:val="left"/>
      <w:pPr>
        <w:tabs>
          <w:tab w:val="num" w:pos="4318"/>
        </w:tabs>
        <w:ind w:left="4318" w:hanging="360"/>
      </w:pPr>
      <w:rPr>
        <w:rFonts w:ascii="Courier New" w:hAnsi="Courier New" w:cs="Courier New" w:hint="default"/>
      </w:rPr>
    </w:lvl>
    <w:lvl w:ilvl="5" w:tplc="04090005" w:tentative="1">
      <w:start w:val="1"/>
      <w:numFmt w:val="bullet"/>
      <w:lvlText w:val=""/>
      <w:lvlJc w:val="left"/>
      <w:pPr>
        <w:tabs>
          <w:tab w:val="num" w:pos="5038"/>
        </w:tabs>
        <w:ind w:left="5038" w:hanging="360"/>
      </w:pPr>
      <w:rPr>
        <w:rFonts w:ascii="Wingdings" w:hAnsi="Wingdings" w:hint="default"/>
      </w:rPr>
    </w:lvl>
    <w:lvl w:ilvl="6" w:tplc="04090001" w:tentative="1">
      <w:start w:val="1"/>
      <w:numFmt w:val="bullet"/>
      <w:lvlText w:val=""/>
      <w:lvlJc w:val="left"/>
      <w:pPr>
        <w:tabs>
          <w:tab w:val="num" w:pos="5758"/>
        </w:tabs>
        <w:ind w:left="5758" w:hanging="360"/>
      </w:pPr>
      <w:rPr>
        <w:rFonts w:ascii="Symbol" w:hAnsi="Symbol" w:hint="default"/>
      </w:rPr>
    </w:lvl>
    <w:lvl w:ilvl="7" w:tplc="04090003" w:tentative="1">
      <w:start w:val="1"/>
      <w:numFmt w:val="bullet"/>
      <w:lvlText w:val="o"/>
      <w:lvlJc w:val="left"/>
      <w:pPr>
        <w:tabs>
          <w:tab w:val="num" w:pos="6478"/>
        </w:tabs>
        <w:ind w:left="6478" w:hanging="360"/>
      </w:pPr>
      <w:rPr>
        <w:rFonts w:ascii="Courier New" w:hAnsi="Courier New" w:cs="Courier New" w:hint="default"/>
      </w:rPr>
    </w:lvl>
    <w:lvl w:ilvl="8" w:tplc="04090005" w:tentative="1">
      <w:start w:val="1"/>
      <w:numFmt w:val="bullet"/>
      <w:lvlText w:val=""/>
      <w:lvlJc w:val="left"/>
      <w:pPr>
        <w:tabs>
          <w:tab w:val="num" w:pos="7198"/>
        </w:tabs>
        <w:ind w:left="7198" w:hanging="360"/>
      </w:pPr>
      <w:rPr>
        <w:rFonts w:ascii="Wingdings" w:hAnsi="Wingdings" w:hint="default"/>
      </w:rPr>
    </w:lvl>
  </w:abstractNum>
  <w:abstractNum w:abstractNumId="12" w15:restartNumberingAfterBreak="0">
    <w:nsid w:val="30B25E8F"/>
    <w:multiLevelType w:val="hybridMultilevel"/>
    <w:tmpl w:val="EBEA298A"/>
    <w:lvl w:ilvl="0" w:tplc="E756864E">
      <w:start w:val="2"/>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3" w15:restartNumberingAfterBreak="0">
    <w:nsid w:val="32006632"/>
    <w:multiLevelType w:val="hybridMultilevel"/>
    <w:tmpl w:val="3710AAB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612B9"/>
    <w:multiLevelType w:val="hybridMultilevel"/>
    <w:tmpl w:val="CE6CC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D618A"/>
    <w:multiLevelType w:val="hybridMultilevel"/>
    <w:tmpl w:val="8EB2B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C369D"/>
    <w:multiLevelType w:val="hybridMultilevel"/>
    <w:tmpl w:val="A1083BAA"/>
    <w:lvl w:ilvl="0" w:tplc="04090001">
      <w:start w:val="1"/>
      <w:numFmt w:val="bullet"/>
      <w:lvlText w:val=""/>
      <w:lvlJc w:val="left"/>
      <w:pPr>
        <w:ind w:left="720" w:hanging="360"/>
      </w:pPr>
      <w:rPr>
        <w:rFonts w:ascii="Symbol" w:hAnsi="Symbol"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74C65"/>
    <w:multiLevelType w:val="hybridMultilevel"/>
    <w:tmpl w:val="D1F430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5E40C10"/>
    <w:multiLevelType w:val="hybridMultilevel"/>
    <w:tmpl w:val="C6AC55A2"/>
    <w:lvl w:ilvl="0" w:tplc="052CBA2C">
      <w:start w:val="1"/>
      <w:numFmt w:val="lowerLetter"/>
      <w:lvlText w:val="%1."/>
      <w:lvlJc w:val="left"/>
      <w:pPr>
        <w:ind w:left="1100" w:hanging="360"/>
      </w:pPr>
      <w:rPr>
        <w:rFonts w:hint="default"/>
        <w:color w:val="auto"/>
        <w:sz w:val="24"/>
        <w:szCs w:val="32"/>
      </w:rPr>
    </w:lvl>
    <w:lvl w:ilvl="1" w:tplc="04180019" w:tentative="1">
      <w:start w:val="1"/>
      <w:numFmt w:val="lowerLetter"/>
      <w:lvlText w:val="%2."/>
      <w:lvlJc w:val="left"/>
      <w:pPr>
        <w:ind w:left="1820" w:hanging="360"/>
      </w:pPr>
    </w:lvl>
    <w:lvl w:ilvl="2" w:tplc="0418001B" w:tentative="1">
      <w:start w:val="1"/>
      <w:numFmt w:val="lowerRoman"/>
      <w:lvlText w:val="%3."/>
      <w:lvlJc w:val="right"/>
      <w:pPr>
        <w:ind w:left="2540" w:hanging="180"/>
      </w:pPr>
    </w:lvl>
    <w:lvl w:ilvl="3" w:tplc="0418000F" w:tentative="1">
      <w:start w:val="1"/>
      <w:numFmt w:val="decimal"/>
      <w:lvlText w:val="%4."/>
      <w:lvlJc w:val="left"/>
      <w:pPr>
        <w:ind w:left="3260" w:hanging="360"/>
      </w:pPr>
    </w:lvl>
    <w:lvl w:ilvl="4" w:tplc="04180019" w:tentative="1">
      <w:start w:val="1"/>
      <w:numFmt w:val="lowerLetter"/>
      <w:lvlText w:val="%5."/>
      <w:lvlJc w:val="left"/>
      <w:pPr>
        <w:ind w:left="3980" w:hanging="360"/>
      </w:pPr>
    </w:lvl>
    <w:lvl w:ilvl="5" w:tplc="0418001B" w:tentative="1">
      <w:start w:val="1"/>
      <w:numFmt w:val="lowerRoman"/>
      <w:lvlText w:val="%6."/>
      <w:lvlJc w:val="right"/>
      <w:pPr>
        <w:ind w:left="4700" w:hanging="180"/>
      </w:pPr>
    </w:lvl>
    <w:lvl w:ilvl="6" w:tplc="0418000F" w:tentative="1">
      <w:start w:val="1"/>
      <w:numFmt w:val="decimal"/>
      <w:lvlText w:val="%7."/>
      <w:lvlJc w:val="left"/>
      <w:pPr>
        <w:ind w:left="5420" w:hanging="360"/>
      </w:pPr>
    </w:lvl>
    <w:lvl w:ilvl="7" w:tplc="04180019" w:tentative="1">
      <w:start w:val="1"/>
      <w:numFmt w:val="lowerLetter"/>
      <w:lvlText w:val="%8."/>
      <w:lvlJc w:val="left"/>
      <w:pPr>
        <w:ind w:left="6140" w:hanging="360"/>
      </w:pPr>
    </w:lvl>
    <w:lvl w:ilvl="8" w:tplc="0418001B" w:tentative="1">
      <w:start w:val="1"/>
      <w:numFmt w:val="lowerRoman"/>
      <w:lvlText w:val="%9."/>
      <w:lvlJc w:val="right"/>
      <w:pPr>
        <w:ind w:left="6860" w:hanging="180"/>
      </w:pPr>
    </w:lvl>
  </w:abstractNum>
  <w:abstractNum w:abstractNumId="19" w15:restartNumberingAfterBreak="0">
    <w:nsid w:val="4C360373"/>
    <w:multiLevelType w:val="hybridMultilevel"/>
    <w:tmpl w:val="C316B678"/>
    <w:lvl w:ilvl="0" w:tplc="82C8D08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54325B50"/>
    <w:multiLevelType w:val="hybridMultilevel"/>
    <w:tmpl w:val="C4EC34C8"/>
    <w:lvl w:ilvl="0" w:tplc="1AC6A37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552B17B3"/>
    <w:multiLevelType w:val="hybridMultilevel"/>
    <w:tmpl w:val="5F3E516A"/>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9330A9"/>
    <w:multiLevelType w:val="hybridMultilevel"/>
    <w:tmpl w:val="A94A1332"/>
    <w:lvl w:ilvl="0" w:tplc="ED44ECDE">
      <w:start w:val="1"/>
      <w:numFmt w:val="lowerLetter"/>
      <w:suff w:val="space"/>
      <w:lvlText w:val="%1)"/>
      <w:lvlJc w:val="left"/>
      <w:pPr>
        <w:ind w:left="1800" w:hanging="360"/>
      </w:pPr>
      <w:rPr>
        <w:rFonts w:hint="default"/>
        <w:b w:val="0"/>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3" w15:restartNumberingAfterBreak="0">
    <w:nsid w:val="5C5B4F46"/>
    <w:multiLevelType w:val="hybridMultilevel"/>
    <w:tmpl w:val="FAFE9E18"/>
    <w:lvl w:ilvl="0" w:tplc="7534D198">
      <w:start w:val="1"/>
      <w:numFmt w:val="decimal"/>
      <w:lvlText w:val="%1."/>
      <w:lvlJc w:val="left"/>
      <w:pPr>
        <w:ind w:left="788" w:hanging="360"/>
      </w:pPr>
      <w:rPr>
        <w:rFonts w:hint="default"/>
        <w:b/>
      </w:rPr>
    </w:lvl>
    <w:lvl w:ilvl="1" w:tplc="04180019" w:tentative="1">
      <w:start w:val="1"/>
      <w:numFmt w:val="lowerLetter"/>
      <w:lvlText w:val="%2."/>
      <w:lvlJc w:val="left"/>
      <w:pPr>
        <w:ind w:left="1508" w:hanging="360"/>
      </w:pPr>
    </w:lvl>
    <w:lvl w:ilvl="2" w:tplc="0418001B" w:tentative="1">
      <w:start w:val="1"/>
      <w:numFmt w:val="lowerRoman"/>
      <w:lvlText w:val="%3."/>
      <w:lvlJc w:val="right"/>
      <w:pPr>
        <w:ind w:left="2228" w:hanging="180"/>
      </w:pPr>
    </w:lvl>
    <w:lvl w:ilvl="3" w:tplc="0418000F" w:tentative="1">
      <w:start w:val="1"/>
      <w:numFmt w:val="decimal"/>
      <w:lvlText w:val="%4."/>
      <w:lvlJc w:val="left"/>
      <w:pPr>
        <w:ind w:left="2948" w:hanging="360"/>
      </w:pPr>
    </w:lvl>
    <w:lvl w:ilvl="4" w:tplc="04180019" w:tentative="1">
      <w:start w:val="1"/>
      <w:numFmt w:val="lowerLetter"/>
      <w:lvlText w:val="%5."/>
      <w:lvlJc w:val="left"/>
      <w:pPr>
        <w:ind w:left="3668" w:hanging="360"/>
      </w:pPr>
    </w:lvl>
    <w:lvl w:ilvl="5" w:tplc="0418001B" w:tentative="1">
      <w:start w:val="1"/>
      <w:numFmt w:val="lowerRoman"/>
      <w:lvlText w:val="%6."/>
      <w:lvlJc w:val="right"/>
      <w:pPr>
        <w:ind w:left="4388" w:hanging="180"/>
      </w:pPr>
    </w:lvl>
    <w:lvl w:ilvl="6" w:tplc="0418000F" w:tentative="1">
      <w:start w:val="1"/>
      <w:numFmt w:val="decimal"/>
      <w:lvlText w:val="%7."/>
      <w:lvlJc w:val="left"/>
      <w:pPr>
        <w:ind w:left="5108" w:hanging="360"/>
      </w:pPr>
    </w:lvl>
    <w:lvl w:ilvl="7" w:tplc="04180019" w:tentative="1">
      <w:start w:val="1"/>
      <w:numFmt w:val="lowerLetter"/>
      <w:lvlText w:val="%8."/>
      <w:lvlJc w:val="left"/>
      <w:pPr>
        <w:ind w:left="5828" w:hanging="360"/>
      </w:pPr>
    </w:lvl>
    <w:lvl w:ilvl="8" w:tplc="0418001B" w:tentative="1">
      <w:start w:val="1"/>
      <w:numFmt w:val="lowerRoman"/>
      <w:lvlText w:val="%9."/>
      <w:lvlJc w:val="right"/>
      <w:pPr>
        <w:ind w:left="6548" w:hanging="180"/>
      </w:pPr>
    </w:lvl>
  </w:abstractNum>
  <w:abstractNum w:abstractNumId="24" w15:restartNumberingAfterBreak="0">
    <w:nsid w:val="5EA77AA8"/>
    <w:multiLevelType w:val="multilevel"/>
    <w:tmpl w:val="49DA8E74"/>
    <w:lvl w:ilvl="0">
      <w:start w:val="1"/>
      <w:numFmt w:val="decimal"/>
      <w:lvlText w:val="%1."/>
      <w:lvlJc w:val="left"/>
      <w:pPr>
        <w:ind w:left="644"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15:restartNumberingAfterBreak="0">
    <w:nsid w:val="64765916"/>
    <w:multiLevelType w:val="hybridMultilevel"/>
    <w:tmpl w:val="B06EDB26"/>
    <w:lvl w:ilvl="0" w:tplc="BC5A77D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51C24"/>
    <w:multiLevelType w:val="hybridMultilevel"/>
    <w:tmpl w:val="9490CC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928F9"/>
    <w:multiLevelType w:val="hybridMultilevel"/>
    <w:tmpl w:val="12164132"/>
    <w:lvl w:ilvl="0" w:tplc="04180001">
      <w:start w:val="1"/>
      <w:numFmt w:val="bullet"/>
      <w:lvlText w:val=""/>
      <w:lvlJc w:val="left"/>
      <w:pPr>
        <w:ind w:left="1179" w:hanging="360"/>
      </w:pPr>
      <w:rPr>
        <w:rFonts w:ascii="Symbol" w:hAnsi="Symbol" w:hint="default"/>
      </w:rPr>
    </w:lvl>
    <w:lvl w:ilvl="1" w:tplc="04180003" w:tentative="1">
      <w:start w:val="1"/>
      <w:numFmt w:val="bullet"/>
      <w:lvlText w:val="o"/>
      <w:lvlJc w:val="left"/>
      <w:pPr>
        <w:ind w:left="1899" w:hanging="360"/>
      </w:pPr>
      <w:rPr>
        <w:rFonts w:ascii="Courier New" w:hAnsi="Courier New" w:cs="Courier New" w:hint="default"/>
      </w:rPr>
    </w:lvl>
    <w:lvl w:ilvl="2" w:tplc="04180005" w:tentative="1">
      <w:start w:val="1"/>
      <w:numFmt w:val="bullet"/>
      <w:lvlText w:val=""/>
      <w:lvlJc w:val="left"/>
      <w:pPr>
        <w:ind w:left="2619" w:hanging="360"/>
      </w:pPr>
      <w:rPr>
        <w:rFonts w:ascii="Wingdings" w:hAnsi="Wingdings" w:hint="default"/>
      </w:rPr>
    </w:lvl>
    <w:lvl w:ilvl="3" w:tplc="04180001" w:tentative="1">
      <w:start w:val="1"/>
      <w:numFmt w:val="bullet"/>
      <w:lvlText w:val=""/>
      <w:lvlJc w:val="left"/>
      <w:pPr>
        <w:ind w:left="3339" w:hanging="360"/>
      </w:pPr>
      <w:rPr>
        <w:rFonts w:ascii="Symbol" w:hAnsi="Symbol" w:hint="default"/>
      </w:rPr>
    </w:lvl>
    <w:lvl w:ilvl="4" w:tplc="04180003" w:tentative="1">
      <w:start w:val="1"/>
      <w:numFmt w:val="bullet"/>
      <w:lvlText w:val="o"/>
      <w:lvlJc w:val="left"/>
      <w:pPr>
        <w:ind w:left="4059" w:hanging="360"/>
      </w:pPr>
      <w:rPr>
        <w:rFonts w:ascii="Courier New" w:hAnsi="Courier New" w:cs="Courier New" w:hint="default"/>
      </w:rPr>
    </w:lvl>
    <w:lvl w:ilvl="5" w:tplc="04180005" w:tentative="1">
      <w:start w:val="1"/>
      <w:numFmt w:val="bullet"/>
      <w:lvlText w:val=""/>
      <w:lvlJc w:val="left"/>
      <w:pPr>
        <w:ind w:left="4779" w:hanging="360"/>
      </w:pPr>
      <w:rPr>
        <w:rFonts w:ascii="Wingdings" w:hAnsi="Wingdings" w:hint="default"/>
      </w:rPr>
    </w:lvl>
    <w:lvl w:ilvl="6" w:tplc="04180001" w:tentative="1">
      <w:start w:val="1"/>
      <w:numFmt w:val="bullet"/>
      <w:lvlText w:val=""/>
      <w:lvlJc w:val="left"/>
      <w:pPr>
        <w:ind w:left="5499" w:hanging="360"/>
      </w:pPr>
      <w:rPr>
        <w:rFonts w:ascii="Symbol" w:hAnsi="Symbol" w:hint="default"/>
      </w:rPr>
    </w:lvl>
    <w:lvl w:ilvl="7" w:tplc="04180003" w:tentative="1">
      <w:start w:val="1"/>
      <w:numFmt w:val="bullet"/>
      <w:lvlText w:val="o"/>
      <w:lvlJc w:val="left"/>
      <w:pPr>
        <w:ind w:left="6219" w:hanging="360"/>
      </w:pPr>
      <w:rPr>
        <w:rFonts w:ascii="Courier New" w:hAnsi="Courier New" w:cs="Courier New" w:hint="default"/>
      </w:rPr>
    </w:lvl>
    <w:lvl w:ilvl="8" w:tplc="04180005" w:tentative="1">
      <w:start w:val="1"/>
      <w:numFmt w:val="bullet"/>
      <w:lvlText w:val=""/>
      <w:lvlJc w:val="left"/>
      <w:pPr>
        <w:ind w:left="6939" w:hanging="360"/>
      </w:pPr>
      <w:rPr>
        <w:rFonts w:ascii="Wingdings" w:hAnsi="Wingdings" w:hint="default"/>
      </w:rPr>
    </w:lvl>
  </w:abstractNum>
  <w:abstractNum w:abstractNumId="28" w15:restartNumberingAfterBreak="0">
    <w:nsid w:val="65A94CA1"/>
    <w:multiLevelType w:val="hybridMultilevel"/>
    <w:tmpl w:val="F278990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6EA685C"/>
    <w:multiLevelType w:val="hybridMultilevel"/>
    <w:tmpl w:val="9BF81CE6"/>
    <w:lvl w:ilvl="0" w:tplc="C5F267A2">
      <w:start w:val="1"/>
      <w:numFmt w:val="decimal"/>
      <w:lvlText w:val="%1."/>
      <w:lvlJc w:val="left"/>
      <w:pPr>
        <w:ind w:left="928" w:hanging="360"/>
      </w:pPr>
      <w:rPr>
        <w:rFonts w:ascii="Arial" w:hAnsi="Arial" w:cs="Arial" w:hint="default"/>
        <w:b/>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30" w15:restartNumberingAfterBreak="0">
    <w:nsid w:val="6FDB7FB9"/>
    <w:multiLevelType w:val="hybridMultilevel"/>
    <w:tmpl w:val="6BDA1B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1964510"/>
    <w:multiLevelType w:val="hybridMultilevel"/>
    <w:tmpl w:val="0378672E"/>
    <w:lvl w:ilvl="0" w:tplc="83387F28">
      <w:start w:val="4"/>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F02DDB"/>
    <w:multiLevelType w:val="hybridMultilevel"/>
    <w:tmpl w:val="EEACD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096559"/>
    <w:multiLevelType w:val="hybridMultilevel"/>
    <w:tmpl w:val="FCB0A892"/>
    <w:lvl w:ilvl="0" w:tplc="7534D19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84C4EB3"/>
    <w:multiLevelType w:val="hybridMultilevel"/>
    <w:tmpl w:val="70B099C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A8C2789"/>
    <w:multiLevelType w:val="hybridMultilevel"/>
    <w:tmpl w:val="8A72B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8842D2"/>
    <w:multiLevelType w:val="hybridMultilevel"/>
    <w:tmpl w:val="6C1A8284"/>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2"/>
  </w:num>
  <w:num w:numId="3">
    <w:abstractNumId w:val="33"/>
  </w:num>
  <w:num w:numId="4">
    <w:abstractNumId w:val="10"/>
  </w:num>
  <w:num w:numId="5">
    <w:abstractNumId w:val="25"/>
  </w:num>
  <w:num w:numId="6">
    <w:abstractNumId w:val="5"/>
  </w:num>
  <w:num w:numId="7">
    <w:abstractNumId w:val="12"/>
  </w:num>
  <w:num w:numId="8">
    <w:abstractNumId w:val="35"/>
  </w:num>
  <w:num w:numId="9">
    <w:abstractNumId w:val="27"/>
  </w:num>
  <w:num w:numId="10">
    <w:abstractNumId w:val="24"/>
  </w:num>
  <w:num w:numId="11">
    <w:abstractNumId w:val="9"/>
  </w:num>
  <w:num w:numId="12">
    <w:abstractNumId w:val="4"/>
  </w:num>
  <w:num w:numId="13">
    <w:abstractNumId w:val="21"/>
  </w:num>
  <w:num w:numId="14">
    <w:abstractNumId w:val="13"/>
  </w:num>
  <w:num w:numId="15">
    <w:abstractNumId w:val="3"/>
  </w:num>
  <w:num w:numId="16">
    <w:abstractNumId w:val="26"/>
  </w:num>
  <w:num w:numId="17">
    <w:abstractNumId w:val="7"/>
  </w:num>
  <w:num w:numId="18">
    <w:abstractNumId w:val="32"/>
  </w:num>
  <w:num w:numId="19">
    <w:abstractNumId w:val="11"/>
  </w:num>
  <w:num w:numId="20">
    <w:abstractNumId w:val="14"/>
  </w:num>
  <w:num w:numId="21">
    <w:abstractNumId w:val="8"/>
  </w:num>
  <w:num w:numId="22">
    <w:abstractNumId w:val="36"/>
  </w:num>
  <w:num w:numId="23">
    <w:abstractNumId w:val="29"/>
  </w:num>
  <w:num w:numId="24">
    <w:abstractNumId w:val="19"/>
  </w:num>
  <w:num w:numId="25">
    <w:abstractNumId w:val="15"/>
  </w:num>
  <w:num w:numId="26">
    <w:abstractNumId w:val="23"/>
  </w:num>
  <w:num w:numId="27">
    <w:abstractNumId w:val="18"/>
  </w:num>
  <w:num w:numId="28">
    <w:abstractNumId w:val="28"/>
  </w:num>
  <w:num w:numId="29">
    <w:abstractNumId w:val="6"/>
  </w:num>
  <w:num w:numId="30">
    <w:abstractNumId w:val="20"/>
  </w:num>
  <w:num w:numId="31">
    <w:abstractNumId w:val="0"/>
  </w:num>
  <w:num w:numId="32">
    <w:abstractNumId w:val="1"/>
  </w:num>
  <w:num w:numId="33">
    <w:abstractNumId w:val="2"/>
  </w:num>
  <w:num w:numId="34">
    <w:abstractNumId w:val="34"/>
  </w:num>
  <w:num w:numId="35">
    <w:abstractNumId w:val="30"/>
  </w:num>
  <w:num w:numId="36">
    <w:abstractNumId w:val="31"/>
  </w:num>
  <w:num w:numId="3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F6"/>
    <w:rsid w:val="000002AF"/>
    <w:rsid w:val="0000075F"/>
    <w:rsid w:val="00000CA5"/>
    <w:rsid w:val="00000CB6"/>
    <w:rsid w:val="0000106A"/>
    <w:rsid w:val="000010C0"/>
    <w:rsid w:val="0000164D"/>
    <w:rsid w:val="000027EA"/>
    <w:rsid w:val="00004564"/>
    <w:rsid w:val="0000460D"/>
    <w:rsid w:val="00010784"/>
    <w:rsid w:val="00010892"/>
    <w:rsid w:val="000120E9"/>
    <w:rsid w:val="00012188"/>
    <w:rsid w:val="000123E0"/>
    <w:rsid w:val="000134DF"/>
    <w:rsid w:val="00014910"/>
    <w:rsid w:val="00014D21"/>
    <w:rsid w:val="00014F2E"/>
    <w:rsid w:val="00015067"/>
    <w:rsid w:val="000155EB"/>
    <w:rsid w:val="00015E5E"/>
    <w:rsid w:val="00015F54"/>
    <w:rsid w:val="00020656"/>
    <w:rsid w:val="0002087D"/>
    <w:rsid w:val="00020D4A"/>
    <w:rsid w:val="0002153E"/>
    <w:rsid w:val="00021549"/>
    <w:rsid w:val="00021E0B"/>
    <w:rsid w:val="000228EA"/>
    <w:rsid w:val="00022FD7"/>
    <w:rsid w:val="00024E5B"/>
    <w:rsid w:val="00024FBC"/>
    <w:rsid w:val="000261EC"/>
    <w:rsid w:val="00026659"/>
    <w:rsid w:val="00026AA0"/>
    <w:rsid w:val="0002734D"/>
    <w:rsid w:val="000304D7"/>
    <w:rsid w:val="000311F9"/>
    <w:rsid w:val="00031F67"/>
    <w:rsid w:val="00032429"/>
    <w:rsid w:val="00032CDC"/>
    <w:rsid w:val="0003432F"/>
    <w:rsid w:val="000364B1"/>
    <w:rsid w:val="00037604"/>
    <w:rsid w:val="00040673"/>
    <w:rsid w:val="00040EA7"/>
    <w:rsid w:val="00041A94"/>
    <w:rsid w:val="000424FC"/>
    <w:rsid w:val="00042713"/>
    <w:rsid w:val="00042856"/>
    <w:rsid w:val="00044CAF"/>
    <w:rsid w:val="0004589B"/>
    <w:rsid w:val="00045E3B"/>
    <w:rsid w:val="00047D62"/>
    <w:rsid w:val="000502EA"/>
    <w:rsid w:val="00050C4F"/>
    <w:rsid w:val="000523B7"/>
    <w:rsid w:val="000538C0"/>
    <w:rsid w:val="0005390C"/>
    <w:rsid w:val="00053D87"/>
    <w:rsid w:val="0005406E"/>
    <w:rsid w:val="00054A8D"/>
    <w:rsid w:val="00054C36"/>
    <w:rsid w:val="0005604F"/>
    <w:rsid w:val="00056873"/>
    <w:rsid w:val="00056A6A"/>
    <w:rsid w:val="00057C74"/>
    <w:rsid w:val="000619D7"/>
    <w:rsid w:val="00062334"/>
    <w:rsid w:val="00063129"/>
    <w:rsid w:val="0006370C"/>
    <w:rsid w:val="0006797B"/>
    <w:rsid w:val="00067F04"/>
    <w:rsid w:val="000701D0"/>
    <w:rsid w:val="000702B2"/>
    <w:rsid w:val="0007074D"/>
    <w:rsid w:val="00073920"/>
    <w:rsid w:val="000748BE"/>
    <w:rsid w:val="00074E74"/>
    <w:rsid w:val="00075931"/>
    <w:rsid w:val="00080D2D"/>
    <w:rsid w:val="00083809"/>
    <w:rsid w:val="00084575"/>
    <w:rsid w:val="000857D0"/>
    <w:rsid w:val="000903BA"/>
    <w:rsid w:val="00091431"/>
    <w:rsid w:val="000917A6"/>
    <w:rsid w:val="000928C2"/>
    <w:rsid w:val="000930C0"/>
    <w:rsid w:val="00093146"/>
    <w:rsid w:val="000948C3"/>
    <w:rsid w:val="0009499B"/>
    <w:rsid w:val="00094F73"/>
    <w:rsid w:val="00095BAB"/>
    <w:rsid w:val="000A025C"/>
    <w:rsid w:val="000A072A"/>
    <w:rsid w:val="000A112E"/>
    <w:rsid w:val="000A1972"/>
    <w:rsid w:val="000A1FC6"/>
    <w:rsid w:val="000A20F5"/>
    <w:rsid w:val="000A29C5"/>
    <w:rsid w:val="000A466F"/>
    <w:rsid w:val="000A6478"/>
    <w:rsid w:val="000A67C0"/>
    <w:rsid w:val="000A6D1E"/>
    <w:rsid w:val="000A7B3A"/>
    <w:rsid w:val="000A7BB8"/>
    <w:rsid w:val="000A7E41"/>
    <w:rsid w:val="000B0111"/>
    <w:rsid w:val="000B2A5D"/>
    <w:rsid w:val="000B315D"/>
    <w:rsid w:val="000B3849"/>
    <w:rsid w:val="000B4071"/>
    <w:rsid w:val="000B409B"/>
    <w:rsid w:val="000B4AFF"/>
    <w:rsid w:val="000B52F7"/>
    <w:rsid w:val="000B790D"/>
    <w:rsid w:val="000B7A20"/>
    <w:rsid w:val="000B7C12"/>
    <w:rsid w:val="000B7EA0"/>
    <w:rsid w:val="000C0509"/>
    <w:rsid w:val="000C0652"/>
    <w:rsid w:val="000C0750"/>
    <w:rsid w:val="000C0A2A"/>
    <w:rsid w:val="000C0ABC"/>
    <w:rsid w:val="000C0B7E"/>
    <w:rsid w:val="000C0CF5"/>
    <w:rsid w:val="000C12F9"/>
    <w:rsid w:val="000C1C0E"/>
    <w:rsid w:val="000C205F"/>
    <w:rsid w:val="000C2E0A"/>
    <w:rsid w:val="000C3D3D"/>
    <w:rsid w:val="000C4183"/>
    <w:rsid w:val="000C45EE"/>
    <w:rsid w:val="000C7BC0"/>
    <w:rsid w:val="000D0C56"/>
    <w:rsid w:val="000D0ED6"/>
    <w:rsid w:val="000D175A"/>
    <w:rsid w:val="000D2844"/>
    <w:rsid w:val="000D33D4"/>
    <w:rsid w:val="000D38CD"/>
    <w:rsid w:val="000D5D8F"/>
    <w:rsid w:val="000D6845"/>
    <w:rsid w:val="000D7F09"/>
    <w:rsid w:val="000E0616"/>
    <w:rsid w:val="000E08EB"/>
    <w:rsid w:val="000E1252"/>
    <w:rsid w:val="000E1A39"/>
    <w:rsid w:val="000E1D04"/>
    <w:rsid w:val="000E26B7"/>
    <w:rsid w:val="000E26D8"/>
    <w:rsid w:val="000E272B"/>
    <w:rsid w:val="000E27F5"/>
    <w:rsid w:val="000E2C06"/>
    <w:rsid w:val="000E2D5C"/>
    <w:rsid w:val="000E379C"/>
    <w:rsid w:val="000E4AAD"/>
    <w:rsid w:val="000E5A89"/>
    <w:rsid w:val="000F0B1F"/>
    <w:rsid w:val="000F0E53"/>
    <w:rsid w:val="000F2BEC"/>
    <w:rsid w:val="000F4CB4"/>
    <w:rsid w:val="000F78FD"/>
    <w:rsid w:val="000F7E99"/>
    <w:rsid w:val="00100E9B"/>
    <w:rsid w:val="00101763"/>
    <w:rsid w:val="001027AA"/>
    <w:rsid w:val="00104B22"/>
    <w:rsid w:val="00104D68"/>
    <w:rsid w:val="00105498"/>
    <w:rsid w:val="0010591E"/>
    <w:rsid w:val="00107215"/>
    <w:rsid w:val="0010751E"/>
    <w:rsid w:val="00110008"/>
    <w:rsid w:val="001111E9"/>
    <w:rsid w:val="001114D5"/>
    <w:rsid w:val="00112AAE"/>
    <w:rsid w:val="00114556"/>
    <w:rsid w:val="001152C3"/>
    <w:rsid w:val="00120C29"/>
    <w:rsid w:val="00121AF4"/>
    <w:rsid w:val="00121DD6"/>
    <w:rsid w:val="00122693"/>
    <w:rsid w:val="00122A84"/>
    <w:rsid w:val="00123018"/>
    <w:rsid w:val="001238F6"/>
    <w:rsid w:val="00123ABA"/>
    <w:rsid w:val="00124CB4"/>
    <w:rsid w:val="001271DE"/>
    <w:rsid w:val="001304A3"/>
    <w:rsid w:val="0013063F"/>
    <w:rsid w:val="0013259A"/>
    <w:rsid w:val="00132F59"/>
    <w:rsid w:val="001346B0"/>
    <w:rsid w:val="00134976"/>
    <w:rsid w:val="00135786"/>
    <w:rsid w:val="001369B7"/>
    <w:rsid w:val="00140F1F"/>
    <w:rsid w:val="00141E90"/>
    <w:rsid w:val="00142C25"/>
    <w:rsid w:val="00142C92"/>
    <w:rsid w:val="0014425F"/>
    <w:rsid w:val="00145EC4"/>
    <w:rsid w:val="0014629C"/>
    <w:rsid w:val="00146A37"/>
    <w:rsid w:val="00150054"/>
    <w:rsid w:val="00150311"/>
    <w:rsid w:val="0015229E"/>
    <w:rsid w:val="001524F8"/>
    <w:rsid w:val="00154BD2"/>
    <w:rsid w:val="00154FDE"/>
    <w:rsid w:val="0015541B"/>
    <w:rsid w:val="00155480"/>
    <w:rsid w:val="00157AB3"/>
    <w:rsid w:val="00157D3E"/>
    <w:rsid w:val="00160A35"/>
    <w:rsid w:val="00161671"/>
    <w:rsid w:val="001618C8"/>
    <w:rsid w:val="0016200A"/>
    <w:rsid w:val="001626B5"/>
    <w:rsid w:val="0016275D"/>
    <w:rsid w:val="001645F6"/>
    <w:rsid w:val="0016463B"/>
    <w:rsid w:val="00165188"/>
    <w:rsid w:val="00166937"/>
    <w:rsid w:val="00167C9F"/>
    <w:rsid w:val="001709C3"/>
    <w:rsid w:val="00170CB4"/>
    <w:rsid w:val="00172028"/>
    <w:rsid w:val="0017257C"/>
    <w:rsid w:val="001737B4"/>
    <w:rsid w:val="00173D81"/>
    <w:rsid w:val="0017521E"/>
    <w:rsid w:val="00175B50"/>
    <w:rsid w:val="001767FF"/>
    <w:rsid w:val="001771A1"/>
    <w:rsid w:val="00177284"/>
    <w:rsid w:val="00177F5F"/>
    <w:rsid w:val="00177FE1"/>
    <w:rsid w:val="00181213"/>
    <w:rsid w:val="00182FA7"/>
    <w:rsid w:val="00183AA8"/>
    <w:rsid w:val="001845A7"/>
    <w:rsid w:val="001845D9"/>
    <w:rsid w:val="001849F3"/>
    <w:rsid w:val="00184F8C"/>
    <w:rsid w:val="001858E4"/>
    <w:rsid w:val="00185CB3"/>
    <w:rsid w:val="0018603C"/>
    <w:rsid w:val="00187232"/>
    <w:rsid w:val="001878EA"/>
    <w:rsid w:val="0019010C"/>
    <w:rsid w:val="001901EB"/>
    <w:rsid w:val="001903AB"/>
    <w:rsid w:val="00190D4A"/>
    <w:rsid w:val="00191B3B"/>
    <w:rsid w:val="00192690"/>
    <w:rsid w:val="00192F96"/>
    <w:rsid w:val="001935C5"/>
    <w:rsid w:val="00193883"/>
    <w:rsid w:val="00194AA5"/>
    <w:rsid w:val="00194CDE"/>
    <w:rsid w:val="00195855"/>
    <w:rsid w:val="00196CDE"/>
    <w:rsid w:val="00197188"/>
    <w:rsid w:val="001A03FF"/>
    <w:rsid w:val="001A1F4F"/>
    <w:rsid w:val="001A23D3"/>
    <w:rsid w:val="001A24FF"/>
    <w:rsid w:val="001A2555"/>
    <w:rsid w:val="001A2C06"/>
    <w:rsid w:val="001A2C40"/>
    <w:rsid w:val="001A3D94"/>
    <w:rsid w:val="001A4594"/>
    <w:rsid w:val="001A53D7"/>
    <w:rsid w:val="001A5FF6"/>
    <w:rsid w:val="001A6E9F"/>
    <w:rsid w:val="001A7229"/>
    <w:rsid w:val="001A7FE4"/>
    <w:rsid w:val="001B00B9"/>
    <w:rsid w:val="001B04FF"/>
    <w:rsid w:val="001B1A50"/>
    <w:rsid w:val="001B227D"/>
    <w:rsid w:val="001B2473"/>
    <w:rsid w:val="001B2D2E"/>
    <w:rsid w:val="001B43D4"/>
    <w:rsid w:val="001B48BE"/>
    <w:rsid w:val="001B4B3A"/>
    <w:rsid w:val="001B51A8"/>
    <w:rsid w:val="001B5A48"/>
    <w:rsid w:val="001B711D"/>
    <w:rsid w:val="001C0E65"/>
    <w:rsid w:val="001C1714"/>
    <w:rsid w:val="001C29F3"/>
    <w:rsid w:val="001C3E75"/>
    <w:rsid w:val="001C4734"/>
    <w:rsid w:val="001C4884"/>
    <w:rsid w:val="001C550C"/>
    <w:rsid w:val="001C7336"/>
    <w:rsid w:val="001D1E63"/>
    <w:rsid w:val="001D2A85"/>
    <w:rsid w:val="001D4114"/>
    <w:rsid w:val="001D5556"/>
    <w:rsid w:val="001D6B19"/>
    <w:rsid w:val="001D6EAB"/>
    <w:rsid w:val="001D7DF3"/>
    <w:rsid w:val="001E0E6D"/>
    <w:rsid w:val="001E226B"/>
    <w:rsid w:val="001E2D73"/>
    <w:rsid w:val="001E367B"/>
    <w:rsid w:val="001E3854"/>
    <w:rsid w:val="001E477E"/>
    <w:rsid w:val="001E5430"/>
    <w:rsid w:val="001E58A1"/>
    <w:rsid w:val="001E5D6A"/>
    <w:rsid w:val="001E6143"/>
    <w:rsid w:val="001E671B"/>
    <w:rsid w:val="001E6F60"/>
    <w:rsid w:val="001E7785"/>
    <w:rsid w:val="001E7E1B"/>
    <w:rsid w:val="001F040A"/>
    <w:rsid w:val="001F092E"/>
    <w:rsid w:val="001F255D"/>
    <w:rsid w:val="001F466F"/>
    <w:rsid w:val="001F4AD3"/>
    <w:rsid w:val="001F55A7"/>
    <w:rsid w:val="001F580A"/>
    <w:rsid w:val="001F5F42"/>
    <w:rsid w:val="001F6BB1"/>
    <w:rsid w:val="001F6E77"/>
    <w:rsid w:val="001F72D0"/>
    <w:rsid w:val="0020033A"/>
    <w:rsid w:val="0020109F"/>
    <w:rsid w:val="00201786"/>
    <w:rsid w:val="00201D8B"/>
    <w:rsid w:val="0020243F"/>
    <w:rsid w:val="0020363A"/>
    <w:rsid w:val="00203A74"/>
    <w:rsid w:val="00204491"/>
    <w:rsid w:val="00204689"/>
    <w:rsid w:val="002047A5"/>
    <w:rsid w:val="0020497D"/>
    <w:rsid w:val="00204E4D"/>
    <w:rsid w:val="00206C79"/>
    <w:rsid w:val="0021040D"/>
    <w:rsid w:val="00211BE6"/>
    <w:rsid w:val="00211F8F"/>
    <w:rsid w:val="002124C9"/>
    <w:rsid w:val="002136E9"/>
    <w:rsid w:val="00213E3E"/>
    <w:rsid w:val="0021490E"/>
    <w:rsid w:val="00214F07"/>
    <w:rsid w:val="002155A1"/>
    <w:rsid w:val="00215EA2"/>
    <w:rsid w:val="00217758"/>
    <w:rsid w:val="00217B59"/>
    <w:rsid w:val="002203B3"/>
    <w:rsid w:val="002208C9"/>
    <w:rsid w:val="00220A72"/>
    <w:rsid w:val="002211BB"/>
    <w:rsid w:val="00221D96"/>
    <w:rsid w:val="00224052"/>
    <w:rsid w:val="0022437C"/>
    <w:rsid w:val="00225007"/>
    <w:rsid w:val="00227D27"/>
    <w:rsid w:val="00227F8A"/>
    <w:rsid w:val="00230A78"/>
    <w:rsid w:val="00230B67"/>
    <w:rsid w:val="002327D5"/>
    <w:rsid w:val="00233230"/>
    <w:rsid w:val="00233FE9"/>
    <w:rsid w:val="00234559"/>
    <w:rsid w:val="00234576"/>
    <w:rsid w:val="00234911"/>
    <w:rsid w:val="00234E77"/>
    <w:rsid w:val="00235452"/>
    <w:rsid w:val="0023689B"/>
    <w:rsid w:val="0023694B"/>
    <w:rsid w:val="00236C94"/>
    <w:rsid w:val="00237186"/>
    <w:rsid w:val="00237E14"/>
    <w:rsid w:val="00240353"/>
    <w:rsid w:val="00240718"/>
    <w:rsid w:val="0024142A"/>
    <w:rsid w:val="0024266B"/>
    <w:rsid w:val="002429DE"/>
    <w:rsid w:val="00243CFC"/>
    <w:rsid w:val="00245FAC"/>
    <w:rsid w:val="00246A1F"/>
    <w:rsid w:val="00247FAD"/>
    <w:rsid w:val="00251D95"/>
    <w:rsid w:val="00252148"/>
    <w:rsid w:val="00253E7F"/>
    <w:rsid w:val="00254BCC"/>
    <w:rsid w:val="00254ED0"/>
    <w:rsid w:val="00255961"/>
    <w:rsid w:val="00255AE7"/>
    <w:rsid w:val="00255CB3"/>
    <w:rsid w:val="002627D9"/>
    <w:rsid w:val="002639C2"/>
    <w:rsid w:val="002646DE"/>
    <w:rsid w:val="002666C0"/>
    <w:rsid w:val="0026714B"/>
    <w:rsid w:val="00267CDA"/>
    <w:rsid w:val="00267DE0"/>
    <w:rsid w:val="00271C80"/>
    <w:rsid w:val="00271FEE"/>
    <w:rsid w:val="00273FEA"/>
    <w:rsid w:val="00274188"/>
    <w:rsid w:val="0027421E"/>
    <w:rsid w:val="00274446"/>
    <w:rsid w:val="00274802"/>
    <w:rsid w:val="00274931"/>
    <w:rsid w:val="00274BAF"/>
    <w:rsid w:val="00274E3C"/>
    <w:rsid w:val="00275181"/>
    <w:rsid w:val="00275E8F"/>
    <w:rsid w:val="002763C5"/>
    <w:rsid w:val="00276A6B"/>
    <w:rsid w:val="00276A82"/>
    <w:rsid w:val="00277712"/>
    <w:rsid w:val="00280CB2"/>
    <w:rsid w:val="00281410"/>
    <w:rsid w:val="00282B13"/>
    <w:rsid w:val="00284DC0"/>
    <w:rsid w:val="00285AC7"/>
    <w:rsid w:val="00287705"/>
    <w:rsid w:val="0029075B"/>
    <w:rsid w:val="00290C07"/>
    <w:rsid w:val="00291049"/>
    <w:rsid w:val="0029131B"/>
    <w:rsid w:val="00291A7C"/>
    <w:rsid w:val="0029285E"/>
    <w:rsid w:val="002929C5"/>
    <w:rsid w:val="00292D84"/>
    <w:rsid w:val="00293C3B"/>
    <w:rsid w:val="002941F2"/>
    <w:rsid w:val="00294E10"/>
    <w:rsid w:val="00295F2E"/>
    <w:rsid w:val="00295FAB"/>
    <w:rsid w:val="00296DE2"/>
    <w:rsid w:val="002A0B97"/>
    <w:rsid w:val="002A0E0C"/>
    <w:rsid w:val="002A13A4"/>
    <w:rsid w:val="002A211C"/>
    <w:rsid w:val="002A24A2"/>
    <w:rsid w:val="002A291D"/>
    <w:rsid w:val="002A2967"/>
    <w:rsid w:val="002A332A"/>
    <w:rsid w:val="002A36FA"/>
    <w:rsid w:val="002A417E"/>
    <w:rsid w:val="002A44C7"/>
    <w:rsid w:val="002B1E20"/>
    <w:rsid w:val="002B261D"/>
    <w:rsid w:val="002B272A"/>
    <w:rsid w:val="002B2AAF"/>
    <w:rsid w:val="002B3896"/>
    <w:rsid w:val="002B4944"/>
    <w:rsid w:val="002B4CCF"/>
    <w:rsid w:val="002B587D"/>
    <w:rsid w:val="002B58A5"/>
    <w:rsid w:val="002B5955"/>
    <w:rsid w:val="002B59B4"/>
    <w:rsid w:val="002B61C9"/>
    <w:rsid w:val="002B741D"/>
    <w:rsid w:val="002B75C6"/>
    <w:rsid w:val="002C0266"/>
    <w:rsid w:val="002C03B6"/>
    <w:rsid w:val="002C174F"/>
    <w:rsid w:val="002C1FDA"/>
    <w:rsid w:val="002C258A"/>
    <w:rsid w:val="002C2755"/>
    <w:rsid w:val="002C2A21"/>
    <w:rsid w:val="002C6B8A"/>
    <w:rsid w:val="002C6BCB"/>
    <w:rsid w:val="002C71B3"/>
    <w:rsid w:val="002D011C"/>
    <w:rsid w:val="002D3214"/>
    <w:rsid w:val="002D3D68"/>
    <w:rsid w:val="002D584D"/>
    <w:rsid w:val="002D59EA"/>
    <w:rsid w:val="002D71D3"/>
    <w:rsid w:val="002D7ACD"/>
    <w:rsid w:val="002E05A4"/>
    <w:rsid w:val="002E060A"/>
    <w:rsid w:val="002E0651"/>
    <w:rsid w:val="002E1006"/>
    <w:rsid w:val="002E185F"/>
    <w:rsid w:val="002E1A10"/>
    <w:rsid w:val="002E2926"/>
    <w:rsid w:val="002E2AAE"/>
    <w:rsid w:val="002E40F4"/>
    <w:rsid w:val="002E4118"/>
    <w:rsid w:val="002E4153"/>
    <w:rsid w:val="002E44EB"/>
    <w:rsid w:val="002E4B9F"/>
    <w:rsid w:val="002E4CAC"/>
    <w:rsid w:val="002E4F1F"/>
    <w:rsid w:val="002E5E7B"/>
    <w:rsid w:val="002E6854"/>
    <w:rsid w:val="002E710B"/>
    <w:rsid w:val="002E7DF6"/>
    <w:rsid w:val="002F0046"/>
    <w:rsid w:val="002F0A42"/>
    <w:rsid w:val="002F0AA7"/>
    <w:rsid w:val="002F11C7"/>
    <w:rsid w:val="002F1B54"/>
    <w:rsid w:val="002F1E61"/>
    <w:rsid w:val="002F387D"/>
    <w:rsid w:val="002F4B27"/>
    <w:rsid w:val="002F5949"/>
    <w:rsid w:val="002F5C69"/>
    <w:rsid w:val="002F77DD"/>
    <w:rsid w:val="002F7F94"/>
    <w:rsid w:val="002F7FEE"/>
    <w:rsid w:val="00300961"/>
    <w:rsid w:val="00300CA8"/>
    <w:rsid w:val="00301278"/>
    <w:rsid w:val="003017D4"/>
    <w:rsid w:val="00303BC8"/>
    <w:rsid w:val="00310205"/>
    <w:rsid w:val="003108DB"/>
    <w:rsid w:val="00312571"/>
    <w:rsid w:val="00313411"/>
    <w:rsid w:val="00313982"/>
    <w:rsid w:val="003142EF"/>
    <w:rsid w:val="003142F4"/>
    <w:rsid w:val="00315FE9"/>
    <w:rsid w:val="003160D0"/>
    <w:rsid w:val="003164F7"/>
    <w:rsid w:val="00316B89"/>
    <w:rsid w:val="00316EBF"/>
    <w:rsid w:val="00317613"/>
    <w:rsid w:val="00320C03"/>
    <w:rsid w:val="00321D95"/>
    <w:rsid w:val="003224CD"/>
    <w:rsid w:val="00322782"/>
    <w:rsid w:val="00322D02"/>
    <w:rsid w:val="0032331C"/>
    <w:rsid w:val="00323812"/>
    <w:rsid w:val="003250D5"/>
    <w:rsid w:val="00325D24"/>
    <w:rsid w:val="003263A1"/>
    <w:rsid w:val="00327E6E"/>
    <w:rsid w:val="00330CF4"/>
    <w:rsid w:val="003315BF"/>
    <w:rsid w:val="00331F47"/>
    <w:rsid w:val="0033308E"/>
    <w:rsid w:val="0033380C"/>
    <w:rsid w:val="00333885"/>
    <w:rsid w:val="00334391"/>
    <w:rsid w:val="003355E8"/>
    <w:rsid w:val="003356D5"/>
    <w:rsid w:val="00335A12"/>
    <w:rsid w:val="00335B7D"/>
    <w:rsid w:val="0033659E"/>
    <w:rsid w:val="00336DE9"/>
    <w:rsid w:val="00337B4C"/>
    <w:rsid w:val="00342BF7"/>
    <w:rsid w:val="00344035"/>
    <w:rsid w:val="00344972"/>
    <w:rsid w:val="0034660E"/>
    <w:rsid w:val="00346D4B"/>
    <w:rsid w:val="00347328"/>
    <w:rsid w:val="00347C0F"/>
    <w:rsid w:val="00350BEB"/>
    <w:rsid w:val="00351B43"/>
    <w:rsid w:val="00351F08"/>
    <w:rsid w:val="00353056"/>
    <w:rsid w:val="0035366A"/>
    <w:rsid w:val="00353F9F"/>
    <w:rsid w:val="00354391"/>
    <w:rsid w:val="003551F6"/>
    <w:rsid w:val="00355C13"/>
    <w:rsid w:val="00355C6B"/>
    <w:rsid w:val="00356221"/>
    <w:rsid w:val="00356E58"/>
    <w:rsid w:val="00356FC9"/>
    <w:rsid w:val="0035706D"/>
    <w:rsid w:val="00362364"/>
    <w:rsid w:val="003640EF"/>
    <w:rsid w:val="0036448B"/>
    <w:rsid w:val="0036487B"/>
    <w:rsid w:val="00364EB0"/>
    <w:rsid w:val="00366524"/>
    <w:rsid w:val="00366B95"/>
    <w:rsid w:val="00366D1F"/>
    <w:rsid w:val="00366DD1"/>
    <w:rsid w:val="0036738B"/>
    <w:rsid w:val="00371F7B"/>
    <w:rsid w:val="003722F8"/>
    <w:rsid w:val="00372756"/>
    <w:rsid w:val="00374AA1"/>
    <w:rsid w:val="00374D0E"/>
    <w:rsid w:val="0037558F"/>
    <w:rsid w:val="0037589E"/>
    <w:rsid w:val="003759FA"/>
    <w:rsid w:val="003777CC"/>
    <w:rsid w:val="00381319"/>
    <w:rsid w:val="00383C9F"/>
    <w:rsid w:val="00384C49"/>
    <w:rsid w:val="00385036"/>
    <w:rsid w:val="00385B79"/>
    <w:rsid w:val="00386436"/>
    <w:rsid w:val="0038755E"/>
    <w:rsid w:val="00391485"/>
    <w:rsid w:val="00392064"/>
    <w:rsid w:val="00394485"/>
    <w:rsid w:val="003946BA"/>
    <w:rsid w:val="0039549F"/>
    <w:rsid w:val="003967B7"/>
    <w:rsid w:val="00397082"/>
    <w:rsid w:val="00397948"/>
    <w:rsid w:val="00397BAD"/>
    <w:rsid w:val="00397CF1"/>
    <w:rsid w:val="003A0533"/>
    <w:rsid w:val="003A12D1"/>
    <w:rsid w:val="003A1C13"/>
    <w:rsid w:val="003A2CB9"/>
    <w:rsid w:val="003A2D4B"/>
    <w:rsid w:val="003A2E10"/>
    <w:rsid w:val="003A2EA1"/>
    <w:rsid w:val="003A46F9"/>
    <w:rsid w:val="003A4888"/>
    <w:rsid w:val="003A4D18"/>
    <w:rsid w:val="003A56DB"/>
    <w:rsid w:val="003A5C45"/>
    <w:rsid w:val="003B0879"/>
    <w:rsid w:val="003B0BA7"/>
    <w:rsid w:val="003B0C71"/>
    <w:rsid w:val="003B1010"/>
    <w:rsid w:val="003B1169"/>
    <w:rsid w:val="003B21B7"/>
    <w:rsid w:val="003B39CE"/>
    <w:rsid w:val="003B3C37"/>
    <w:rsid w:val="003B43E8"/>
    <w:rsid w:val="003B4677"/>
    <w:rsid w:val="003B658D"/>
    <w:rsid w:val="003B71B4"/>
    <w:rsid w:val="003B77FF"/>
    <w:rsid w:val="003B7BAF"/>
    <w:rsid w:val="003C0A65"/>
    <w:rsid w:val="003C19F7"/>
    <w:rsid w:val="003C248A"/>
    <w:rsid w:val="003C3739"/>
    <w:rsid w:val="003C460C"/>
    <w:rsid w:val="003C4B0E"/>
    <w:rsid w:val="003C570B"/>
    <w:rsid w:val="003C5A59"/>
    <w:rsid w:val="003C7C2C"/>
    <w:rsid w:val="003C7D32"/>
    <w:rsid w:val="003D0098"/>
    <w:rsid w:val="003D0268"/>
    <w:rsid w:val="003D2CB2"/>
    <w:rsid w:val="003D3112"/>
    <w:rsid w:val="003D3CA3"/>
    <w:rsid w:val="003D4B1D"/>
    <w:rsid w:val="003D4EE3"/>
    <w:rsid w:val="003D61BE"/>
    <w:rsid w:val="003D670B"/>
    <w:rsid w:val="003D7262"/>
    <w:rsid w:val="003D72E2"/>
    <w:rsid w:val="003D7E76"/>
    <w:rsid w:val="003D7F81"/>
    <w:rsid w:val="003E015F"/>
    <w:rsid w:val="003E0C28"/>
    <w:rsid w:val="003E1FAD"/>
    <w:rsid w:val="003E21C9"/>
    <w:rsid w:val="003E23A4"/>
    <w:rsid w:val="003E26C0"/>
    <w:rsid w:val="003E2831"/>
    <w:rsid w:val="003E364D"/>
    <w:rsid w:val="003E39CA"/>
    <w:rsid w:val="003E4705"/>
    <w:rsid w:val="003E5028"/>
    <w:rsid w:val="003E76F4"/>
    <w:rsid w:val="003F08F4"/>
    <w:rsid w:val="003F2F7C"/>
    <w:rsid w:val="003F34B0"/>
    <w:rsid w:val="003F568B"/>
    <w:rsid w:val="003F79B9"/>
    <w:rsid w:val="00401276"/>
    <w:rsid w:val="00401A34"/>
    <w:rsid w:val="00403D93"/>
    <w:rsid w:val="00405D5C"/>
    <w:rsid w:val="004062F5"/>
    <w:rsid w:val="004068C2"/>
    <w:rsid w:val="004078A4"/>
    <w:rsid w:val="00410136"/>
    <w:rsid w:val="00410D3C"/>
    <w:rsid w:val="00410DFC"/>
    <w:rsid w:val="00411113"/>
    <w:rsid w:val="00411160"/>
    <w:rsid w:val="004114DA"/>
    <w:rsid w:val="00411F5A"/>
    <w:rsid w:val="00412054"/>
    <w:rsid w:val="0041269C"/>
    <w:rsid w:val="004126A4"/>
    <w:rsid w:val="004127ED"/>
    <w:rsid w:val="004135A7"/>
    <w:rsid w:val="004135AE"/>
    <w:rsid w:val="004145CE"/>
    <w:rsid w:val="004146D7"/>
    <w:rsid w:val="00414E76"/>
    <w:rsid w:val="004155DC"/>
    <w:rsid w:val="00416002"/>
    <w:rsid w:val="004160FE"/>
    <w:rsid w:val="00420E75"/>
    <w:rsid w:val="00421B93"/>
    <w:rsid w:val="004228C8"/>
    <w:rsid w:val="00423C6E"/>
    <w:rsid w:val="00423E25"/>
    <w:rsid w:val="00424536"/>
    <w:rsid w:val="00426F13"/>
    <w:rsid w:val="00426F92"/>
    <w:rsid w:val="00427822"/>
    <w:rsid w:val="00427946"/>
    <w:rsid w:val="004300F3"/>
    <w:rsid w:val="00430228"/>
    <w:rsid w:val="00430700"/>
    <w:rsid w:val="00430C58"/>
    <w:rsid w:val="00431395"/>
    <w:rsid w:val="00431FBE"/>
    <w:rsid w:val="0043214C"/>
    <w:rsid w:val="00432E4E"/>
    <w:rsid w:val="00433171"/>
    <w:rsid w:val="00433761"/>
    <w:rsid w:val="004344B6"/>
    <w:rsid w:val="004346B6"/>
    <w:rsid w:val="004347DF"/>
    <w:rsid w:val="00434A1E"/>
    <w:rsid w:val="00435C30"/>
    <w:rsid w:val="00436C8A"/>
    <w:rsid w:val="004371A0"/>
    <w:rsid w:val="0043724E"/>
    <w:rsid w:val="00437252"/>
    <w:rsid w:val="0043763E"/>
    <w:rsid w:val="00437E44"/>
    <w:rsid w:val="00440629"/>
    <w:rsid w:val="004412B4"/>
    <w:rsid w:val="00442561"/>
    <w:rsid w:val="0044365D"/>
    <w:rsid w:val="00443D09"/>
    <w:rsid w:val="00444933"/>
    <w:rsid w:val="00444F39"/>
    <w:rsid w:val="004452F0"/>
    <w:rsid w:val="00445A47"/>
    <w:rsid w:val="00446467"/>
    <w:rsid w:val="0045075C"/>
    <w:rsid w:val="004509E2"/>
    <w:rsid w:val="00451B4B"/>
    <w:rsid w:val="00451D3F"/>
    <w:rsid w:val="0045221E"/>
    <w:rsid w:val="00452DAC"/>
    <w:rsid w:val="0045312B"/>
    <w:rsid w:val="00453497"/>
    <w:rsid w:val="004536F9"/>
    <w:rsid w:val="004554F5"/>
    <w:rsid w:val="004556EF"/>
    <w:rsid w:val="0045694B"/>
    <w:rsid w:val="00457256"/>
    <w:rsid w:val="00460750"/>
    <w:rsid w:val="0046080D"/>
    <w:rsid w:val="00460ABE"/>
    <w:rsid w:val="00461497"/>
    <w:rsid w:val="00462695"/>
    <w:rsid w:val="00462AED"/>
    <w:rsid w:val="00465812"/>
    <w:rsid w:val="00466042"/>
    <w:rsid w:val="00467E4C"/>
    <w:rsid w:val="00470621"/>
    <w:rsid w:val="00470EC3"/>
    <w:rsid w:val="00471A5E"/>
    <w:rsid w:val="00471A9B"/>
    <w:rsid w:val="00472CEE"/>
    <w:rsid w:val="00473A76"/>
    <w:rsid w:val="00474F89"/>
    <w:rsid w:val="004750E2"/>
    <w:rsid w:val="004754B4"/>
    <w:rsid w:val="00475B16"/>
    <w:rsid w:val="00476405"/>
    <w:rsid w:val="004765AF"/>
    <w:rsid w:val="00476967"/>
    <w:rsid w:val="0047739D"/>
    <w:rsid w:val="00480FD8"/>
    <w:rsid w:val="00483013"/>
    <w:rsid w:val="004833A1"/>
    <w:rsid w:val="00484585"/>
    <w:rsid w:val="00487809"/>
    <w:rsid w:val="00487C4C"/>
    <w:rsid w:val="00490EFF"/>
    <w:rsid w:val="00491558"/>
    <w:rsid w:val="004915C1"/>
    <w:rsid w:val="00492311"/>
    <w:rsid w:val="00493312"/>
    <w:rsid w:val="00493A08"/>
    <w:rsid w:val="00495BB5"/>
    <w:rsid w:val="00496768"/>
    <w:rsid w:val="00496A8F"/>
    <w:rsid w:val="0049733D"/>
    <w:rsid w:val="00497710"/>
    <w:rsid w:val="004A07CB"/>
    <w:rsid w:val="004A0EEE"/>
    <w:rsid w:val="004A138E"/>
    <w:rsid w:val="004A2C2E"/>
    <w:rsid w:val="004A418D"/>
    <w:rsid w:val="004A484B"/>
    <w:rsid w:val="004A5414"/>
    <w:rsid w:val="004A6825"/>
    <w:rsid w:val="004A68C6"/>
    <w:rsid w:val="004A69D1"/>
    <w:rsid w:val="004A6CFE"/>
    <w:rsid w:val="004A7413"/>
    <w:rsid w:val="004A7FBF"/>
    <w:rsid w:val="004B087A"/>
    <w:rsid w:val="004B169D"/>
    <w:rsid w:val="004B1B85"/>
    <w:rsid w:val="004B2A41"/>
    <w:rsid w:val="004B2FD7"/>
    <w:rsid w:val="004B3DC6"/>
    <w:rsid w:val="004B5194"/>
    <w:rsid w:val="004B564C"/>
    <w:rsid w:val="004B5A52"/>
    <w:rsid w:val="004B5ABC"/>
    <w:rsid w:val="004B5CB0"/>
    <w:rsid w:val="004B6073"/>
    <w:rsid w:val="004B7113"/>
    <w:rsid w:val="004B7570"/>
    <w:rsid w:val="004B770E"/>
    <w:rsid w:val="004B7D08"/>
    <w:rsid w:val="004C0003"/>
    <w:rsid w:val="004C0894"/>
    <w:rsid w:val="004C1643"/>
    <w:rsid w:val="004C247F"/>
    <w:rsid w:val="004C3FD3"/>
    <w:rsid w:val="004C41D7"/>
    <w:rsid w:val="004C430F"/>
    <w:rsid w:val="004C61FB"/>
    <w:rsid w:val="004C7832"/>
    <w:rsid w:val="004C7DF8"/>
    <w:rsid w:val="004D16E5"/>
    <w:rsid w:val="004D19FD"/>
    <w:rsid w:val="004D24BE"/>
    <w:rsid w:val="004D26CF"/>
    <w:rsid w:val="004D2C3F"/>
    <w:rsid w:val="004D311F"/>
    <w:rsid w:val="004D33E6"/>
    <w:rsid w:val="004D36FD"/>
    <w:rsid w:val="004D416B"/>
    <w:rsid w:val="004D4CB3"/>
    <w:rsid w:val="004D4D79"/>
    <w:rsid w:val="004D4E09"/>
    <w:rsid w:val="004D711F"/>
    <w:rsid w:val="004D77EF"/>
    <w:rsid w:val="004D787D"/>
    <w:rsid w:val="004D7C64"/>
    <w:rsid w:val="004E14D7"/>
    <w:rsid w:val="004E19A0"/>
    <w:rsid w:val="004E29D4"/>
    <w:rsid w:val="004E3335"/>
    <w:rsid w:val="004E3A9B"/>
    <w:rsid w:val="004E4A93"/>
    <w:rsid w:val="004F077D"/>
    <w:rsid w:val="004F1D1F"/>
    <w:rsid w:val="004F221B"/>
    <w:rsid w:val="004F2436"/>
    <w:rsid w:val="004F29CC"/>
    <w:rsid w:val="004F2CA5"/>
    <w:rsid w:val="004F2EF2"/>
    <w:rsid w:val="004F476A"/>
    <w:rsid w:val="004F492F"/>
    <w:rsid w:val="004F5602"/>
    <w:rsid w:val="004F622F"/>
    <w:rsid w:val="004F6400"/>
    <w:rsid w:val="004F7430"/>
    <w:rsid w:val="004F7897"/>
    <w:rsid w:val="0050197B"/>
    <w:rsid w:val="00501C71"/>
    <w:rsid w:val="00503667"/>
    <w:rsid w:val="00503D09"/>
    <w:rsid w:val="0050426D"/>
    <w:rsid w:val="005049BE"/>
    <w:rsid w:val="00505118"/>
    <w:rsid w:val="0050533B"/>
    <w:rsid w:val="0050563E"/>
    <w:rsid w:val="0050565C"/>
    <w:rsid w:val="00507C5E"/>
    <w:rsid w:val="005104DB"/>
    <w:rsid w:val="0051095A"/>
    <w:rsid w:val="00510F4A"/>
    <w:rsid w:val="00511005"/>
    <w:rsid w:val="00511033"/>
    <w:rsid w:val="005110C3"/>
    <w:rsid w:val="005113D0"/>
    <w:rsid w:val="00511773"/>
    <w:rsid w:val="00512CB6"/>
    <w:rsid w:val="00512DBE"/>
    <w:rsid w:val="005147E4"/>
    <w:rsid w:val="00514F7C"/>
    <w:rsid w:val="00516492"/>
    <w:rsid w:val="00516936"/>
    <w:rsid w:val="005209E1"/>
    <w:rsid w:val="00520B39"/>
    <w:rsid w:val="00520D79"/>
    <w:rsid w:val="0052159D"/>
    <w:rsid w:val="005218E7"/>
    <w:rsid w:val="0052299D"/>
    <w:rsid w:val="0052528A"/>
    <w:rsid w:val="005255A8"/>
    <w:rsid w:val="00525799"/>
    <w:rsid w:val="00526207"/>
    <w:rsid w:val="005267B3"/>
    <w:rsid w:val="005305A3"/>
    <w:rsid w:val="00530C74"/>
    <w:rsid w:val="00531299"/>
    <w:rsid w:val="005319C1"/>
    <w:rsid w:val="00532E28"/>
    <w:rsid w:val="00532E59"/>
    <w:rsid w:val="0053303E"/>
    <w:rsid w:val="00534251"/>
    <w:rsid w:val="005348B7"/>
    <w:rsid w:val="00534EE9"/>
    <w:rsid w:val="00535B78"/>
    <w:rsid w:val="005362B1"/>
    <w:rsid w:val="005368F8"/>
    <w:rsid w:val="00536D8C"/>
    <w:rsid w:val="00536DB4"/>
    <w:rsid w:val="005373AE"/>
    <w:rsid w:val="00540683"/>
    <w:rsid w:val="00540806"/>
    <w:rsid w:val="00541F7A"/>
    <w:rsid w:val="0054236D"/>
    <w:rsid w:val="00542B98"/>
    <w:rsid w:val="00543176"/>
    <w:rsid w:val="00543706"/>
    <w:rsid w:val="00543886"/>
    <w:rsid w:val="00543A0E"/>
    <w:rsid w:val="00545099"/>
    <w:rsid w:val="00546E59"/>
    <w:rsid w:val="005479DE"/>
    <w:rsid w:val="0055307C"/>
    <w:rsid w:val="00553486"/>
    <w:rsid w:val="005536FC"/>
    <w:rsid w:val="00554AD1"/>
    <w:rsid w:val="005550A4"/>
    <w:rsid w:val="0055554F"/>
    <w:rsid w:val="00555C95"/>
    <w:rsid w:val="00556DB5"/>
    <w:rsid w:val="005576FC"/>
    <w:rsid w:val="00557B07"/>
    <w:rsid w:val="00560EC0"/>
    <w:rsid w:val="00562056"/>
    <w:rsid w:val="005621CF"/>
    <w:rsid w:val="00562284"/>
    <w:rsid w:val="00564F44"/>
    <w:rsid w:val="00565276"/>
    <w:rsid w:val="00565428"/>
    <w:rsid w:val="00566005"/>
    <w:rsid w:val="00566ADA"/>
    <w:rsid w:val="00567DE1"/>
    <w:rsid w:val="00570781"/>
    <w:rsid w:val="0057085A"/>
    <w:rsid w:val="00570878"/>
    <w:rsid w:val="0057156F"/>
    <w:rsid w:val="00573304"/>
    <w:rsid w:val="005754EB"/>
    <w:rsid w:val="00576C64"/>
    <w:rsid w:val="00577AD4"/>
    <w:rsid w:val="0058081F"/>
    <w:rsid w:val="00580839"/>
    <w:rsid w:val="00581853"/>
    <w:rsid w:val="005825E0"/>
    <w:rsid w:val="00582B25"/>
    <w:rsid w:val="00582D1D"/>
    <w:rsid w:val="00583CFB"/>
    <w:rsid w:val="00584312"/>
    <w:rsid w:val="00586B29"/>
    <w:rsid w:val="005875E5"/>
    <w:rsid w:val="00587D27"/>
    <w:rsid w:val="00590882"/>
    <w:rsid w:val="00590D55"/>
    <w:rsid w:val="005912D8"/>
    <w:rsid w:val="00591F1F"/>
    <w:rsid w:val="00593404"/>
    <w:rsid w:val="005941E0"/>
    <w:rsid w:val="005950AF"/>
    <w:rsid w:val="005955C1"/>
    <w:rsid w:val="00595B70"/>
    <w:rsid w:val="00596348"/>
    <w:rsid w:val="00596B3C"/>
    <w:rsid w:val="005A1155"/>
    <w:rsid w:val="005A17A6"/>
    <w:rsid w:val="005A1C76"/>
    <w:rsid w:val="005A1C93"/>
    <w:rsid w:val="005A24E2"/>
    <w:rsid w:val="005A2FAE"/>
    <w:rsid w:val="005A3700"/>
    <w:rsid w:val="005A46C1"/>
    <w:rsid w:val="005A647B"/>
    <w:rsid w:val="005B0B21"/>
    <w:rsid w:val="005B0D03"/>
    <w:rsid w:val="005B25CA"/>
    <w:rsid w:val="005B288D"/>
    <w:rsid w:val="005B35B3"/>
    <w:rsid w:val="005B3D75"/>
    <w:rsid w:val="005B5050"/>
    <w:rsid w:val="005B6120"/>
    <w:rsid w:val="005B66D7"/>
    <w:rsid w:val="005B7B50"/>
    <w:rsid w:val="005C06A3"/>
    <w:rsid w:val="005C0BF4"/>
    <w:rsid w:val="005C0F78"/>
    <w:rsid w:val="005C2110"/>
    <w:rsid w:val="005C213E"/>
    <w:rsid w:val="005C52CA"/>
    <w:rsid w:val="005C7FC9"/>
    <w:rsid w:val="005D043C"/>
    <w:rsid w:val="005D3E09"/>
    <w:rsid w:val="005D479F"/>
    <w:rsid w:val="005D54EE"/>
    <w:rsid w:val="005D5EAD"/>
    <w:rsid w:val="005D6F41"/>
    <w:rsid w:val="005D7148"/>
    <w:rsid w:val="005D724D"/>
    <w:rsid w:val="005E0A80"/>
    <w:rsid w:val="005E19E6"/>
    <w:rsid w:val="005E30C3"/>
    <w:rsid w:val="005E4003"/>
    <w:rsid w:val="005E4F4D"/>
    <w:rsid w:val="005E541A"/>
    <w:rsid w:val="005E59E7"/>
    <w:rsid w:val="005F0010"/>
    <w:rsid w:val="005F012A"/>
    <w:rsid w:val="005F0628"/>
    <w:rsid w:val="005F118F"/>
    <w:rsid w:val="005F1564"/>
    <w:rsid w:val="005F25C3"/>
    <w:rsid w:val="005F2703"/>
    <w:rsid w:val="005F3066"/>
    <w:rsid w:val="005F4767"/>
    <w:rsid w:val="005F520C"/>
    <w:rsid w:val="005F72A6"/>
    <w:rsid w:val="005F73BD"/>
    <w:rsid w:val="005F74B4"/>
    <w:rsid w:val="005F7CFA"/>
    <w:rsid w:val="0060067D"/>
    <w:rsid w:val="006010A6"/>
    <w:rsid w:val="00602181"/>
    <w:rsid w:val="006041D9"/>
    <w:rsid w:val="00605B69"/>
    <w:rsid w:val="00606E0D"/>
    <w:rsid w:val="00610181"/>
    <w:rsid w:val="00610D15"/>
    <w:rsid w:val="006110AB"/>
    <w:rsid w:val="0061130D"/>
    <w:rsid w:val="00612614"/>
    <w:rsid w:val="006130A5"/>
    <w:rsid w:val="006135AE"/>
    <w:rsid w:val="0061459C"/>
    <w:rsid w:val="00614A31"/>
    <w:rsid w:val="00615E87"/>
    <w:rsid w:val="006160E6"/>
    <w:rsid w:val="006166C1"/>
    <w:rsid w:val="006170B9"/>
    <w:rsid w:val="0061797B"/>
    <w:rsid w:val="00620708"/>
    <w:rsid w:val="006226BF"/>
    <w:rsid w:val="00622D5E"/>
    <w:rsid w:val="00624D92"/>
    <w:rsid w:val="00627714"/>
    <w:rsid w:val="00627BA5"/>
    <w:rsid w:val="006307EC"/>
    <w:rsid w:val="00630F3C"/>
    <w:rsid w:val="00632A7C"/>
    <w:rsid w:val="00632E5A"/>
    <w:rsid w:val="006333FF"/>
    <w:rsid w:val="0063573E"/>
    <w:rsid w:val="006367E7"/>
    <w:rsid w:val="00636A60"/>
    <w:rsid w:val="00640139"/>
    <w:rsid w:val="0064040E"/>
    <w:rsid w:val="00640A0E"/>
    <w:rsid w:val="006410ED"/>
    <w:rsid w:val="00641B8E"/>
    <w:rsid w:val="0064384B"/>
    <w:rsid w:val="00643937"/>
    <w:rsid w:val="00643F81"/>
    <w:rsid w:val="00644B5E"/>
    <w:rsid w:val="0064679E"/>
    <w:rsid w:val="006500E8"/>
    <w:rsid w:val="0065086D"/>
    <w:rsid w:val="00650D8E"/>
    <w:rsid w:val="00650ED7"/>
    <w:rsid w:val="00651B9F"/>
    <w:rsid w:val="00651EF1"/>
    <w:rsid w:val="00652096"/>
    <w:rsid w:val="00652C2A"/>
    <w:rsid w:val="006536E6"/>
    <w:rsid w:val="00653740"/>
    <w:rsid w:val="006546C4"/>
    <w:rsid w:val="00655745"/>
    <w:rsid w:val="0065574A"/>
    <w:rsid w:val="006561DF"/>
    <w:rsid w:val="00657415"/>
    <w:rsid w:val="00657421"/>
    <w:rsid w:val="006574A3"/>
    <w:rsid w:val="006609EB"/>
    <w:rsid w:val="006614F6"/>
    <w:rsid w:val="00661687"/>
    <w:rsid w:val="006618A1"/>
    <w:rsid w:val="00662E08"/>
    <w:rsid w:val="00662EBD"/>
    <w:rsid w:val="006637B5"/>
    <w:rsid w:val="00663972"/>
    <w:rsid w:val="0066514A"/>
    <w:rsid w:val="006653B8"/>
    <w:rsid w:val="00666223"/>
    <w:rsid w:val="00666EB8"/>
    <w:rsid w:val="006673AF"/>
    <w:rsid w:val="0067080B"/>
    <w:rsid w:val="00670B6E"/>
    <w:rsid w:val="00670D70"/>
    <w:rsid w:val="0067370B"/>
    <w:rsid w:val="006739CC"/>
    <w:rsid w:val="00674BCF"/>
    <w:rsid w:val="0067625C"/>
    <w:rsid w:val="00681A05"/>
    <w:rsid w:val="00682622"/>
    <w:rsid w:val="00682ECD"/>
    <w:rsid w:val="0068576A"/>
    <w:rsid w:val="00685D0D"/>
    <w:rsid w:val="00687079"/>
    <w:rsid w:val="00687613"/>
    <w:rsid w:val="006877D9"/>
    <w:rsid w:val="006878D5"/>
    <w:rsid w:val="00690DC5"/>
    <w:rsid w:val="00691564"/>
    <w:rsid w:val="00691A2A"/>
    <w:rsid w:val="006923FE"/>
    <w:rsid w:val="00692FA3"/>
    <w:rsid w:val="00693828"/>
    <w:rsid w:val="00697098"/>
    <w:rsid w:val="0069728A"/>
    <w:rsid w:val="00697E65"/>
    <w:rsid w:val="006A0565"/>
    <w:rsid w:val="006A0B7F"/>
    <w:rsid w:val="006A1555"/>
    <w:rsid w:val="006A21AA"/>
    <w:rsid w:val="006A3D33"/>
    <w:rsid w:val="006A4CC3"/>
    <w:rsid w:val="006A5532"/>
    <w:rsid w:val="006A5DB0"/>
    <w:rsid w:val="006A5EC0"/>
    <w:rsid w:val="006A5F1E"/>
    <w:rsid w:val="006A65F2"/>
    <w:rsid w:val="006A6E2C"/>
    <w:rsid w:val="006A706B"/>
    <w:rsid w:val="006A720E"/>
    <w:rsid w:val="006A7A01"/>
    <w:rsid w:val="006B0265"/>
    <w:rsid w:val="006B0520"/>
    <w:rsid w:val="006B080F"/>
    <w:rsid w:val="006B0FB8"/>
    <w:rsid w:val="006B11C9"/>
    <w:rsid w:val="006B1DBD"/>
    <w:rsid w:val="006B2B9A"/>
    <w:rsid w:val="006B403A"/>
    <w:rsid w:val="006B48BA"/>
    <w:rsid w:val="006B4B08"/>
    <w:rsid w:val="006B5585"/>
    <w:rsid w:val="006B5741"/>
    <w:rsid w:val="006B5AF7"/>
    <w:rsid w:val="006B6329"/>
    <w:rsid w:val="006B6468"/>
    <w:rsid w:val="006B6937"/>
    <w:rsid w:val="006B6D0F"/>
    <w:rsid w:val="006B72BE"/>
    <w:rsid w:val="006B7953"/>
    <w:rsid w:val="006C29E0"/>
    <w:rsid w:val="006C465D"/>
    <w:rsid w:val="006C4661"/>
    <w:rsid w:val="006C4713"/>
    <w:rsid w:val="006C50F1"/>
    <w:rsid w:val="006C55F0"/>
    <w:rsid w:val="006C57A0"/>
    <w:rsid w:val="006C5CEF"/>
    <w:rsid w:val="006C7272"/>
    <w:rsid w:val="006D2730"/>
    <w:rsid w:val="006D2840"/>
    <w:rsid w:val="006D2BF2"/>
    <w:rsid w:val="006D3518"/>
    <w:rsid w:val="006D512F"/>
    <w:rsid w:val="006D552C"/>
    <w:rsid w:val="006D5780"/>
    <w:rsid w:val="006D6712"/>
    <w:rsid w:val="006D77D8"/>
    <w:rsid w:val="006D7921"/>
    <w:rsid w:val="006D7AC3"/>
    <w:rsid w:val="006D7F40"/>
    <w:rsid w:val="006E1B9F"/>
    <w:rsid w:val="006E21BD"/>
    <w:rsid w:val="006E3097"/>
    <w:rsid w:val="006E3852"/>
    <w:rsid w:val="006E3AA5"/>
    <w:rsid w:val="006E3CCB"/>
    <w:rsid w:val="006E4BD3"/>
    <w:rsid w:val="006E5699"/>
    <w:rsid w:val="006E6443"/>
    <w:rsid w:val="006E6461"/>
    <w:rsid w:val="006E661D"/>
    <w:rsid w:val="006E7E90"/>
    <w:rsid w:val="006E7FA5"/>
    <w:rsid w:val="006F0A30"/>
    <w:rsid w:val="006F1A86"/>
    <w:rsid w:val="006F2950"/>
    <w:rsid w:val="006F2A5A"/>
    <w:rsid w:val="006F5411"/>
    <w:rsid w:val="006F565E"/>
    <w:rsid w:val="006F5E03"/>
    <w:rsid w:val="006F6911"/>
    <w:rsid w:val="006F729D"/>
    <w:rsid w:val="006F777D"/>
    <w:rsid w:val="006F79C4"/>
    <w:rsid w:val="006F7CD2"/>
    <w:rsid w:val="006F7DE5"/>
    <w:rsid w:val="00700116"/>
    <w:rsid w:val="00702127"/>
    <w:rsid w:val="007038B5"/>
    <w:rsid w:val="00704DA9"/>
    <w:rsid w:val="00705E36"/>
    <w:rsid w:val="00707040"/>
    <w:rsid w:val="00707816"/>
    <w:rsid w:val="00707EC6"/>
    <w:rsid w:val="00710295"/>
    <w:rsid w:val="00711AC0"/>
    <w:rsid w:val="00711E77"/>
    <w:rsid w:val="0071352A"/>
    <w:rsid w:val="00713C90"/>
    <w:rsid w:val="00715688"/>
    <w:rsid w:val="00715A96"/>
    <w:rsid w:val="00716313"/>
    <w:rsid w:val="007174C7"/>
    <w:rsid w:val="007176AE"/>
    <w:rsid w:val="00717F31"/>
    <w:rsid w:val="00720497"/>
    <w:rsid w:val="00721D73"/>
    <w:rsid w:val="00722E3B"/>
    <w:rsid w:val="00724477"/>
    <w:rsid w:val="00724599"/>
    <w:rsid w:val="00725F04"/>
    <w:rsid w:val="00726218"/>
    <w:rsid w:val="007265CD"/>
    <w:rsid w:val="00726E69"/>
    <w:rsid w:val="00727563"/>
    <w:rsid w:val="00730357"/>
    <w:rsid w:val="0073162F"/>
    <w:rsid w:val="00732DF6"/>
    <w:rsid w:val="00734588"/>
    <w:rsid w:val="007348AC"/>
    <w:rsid w:val="00734AAA"/>
    <w:rsid w:val="00735517"/>
    <w:rsid w:val="0073577A"/>
    <w:rsid w:val="00735B17"/>
    <w:rsid w:val="007368F8"/>
    <w:rsid w:val="00737106"/>
    <w:rsid w:val="00737317"/>
    <w:rsid w:val="00740734"/>
    <w:rsid w:val="00740806"/>
    <w:rsid w:val="00741085"/>
    <w:rsid w:val="00741B25"/>
    <w:rsid w:val="00741C48"/>
    <w:rsid w:val="0074270C"/>
    <w:rsid w:val="00744967"/>
    <w:rsid w:val="007449B3"/>
    <w:rsid w:val="00744E49"/>
    <w:rsid w:val="0074582C"/>
    <w:rsid w:val="007458F5"/>
    <w:rsid w:val="00746B88"/>
    <w:rsid w:val="00746DD3"/>
    <w:rsid w:val="00747221"/>
    <w:rsid w:val="00747E7C"/>
    <w:rsid w:val="0075009E"/>
    <w:rsid w:val="00751969"/>
    <w:rsid w:val="00752300"/>
    <w:rsid w:val="00752BB0"/>
    <w:rsid w:val="00752CFD"/>
    <w:rsid w:val="00752FE2"/>
    <w:rsid w:val="00754081"/>
    <w:rsid w:val="0075454B"/>
    <w:rsid w:val="00754DA9"/>
    <w:rsid w:val="0075647A"/>
    <w:rsid w:val="00756733"/>
    <w:rsid w:val="00757121"/>
    <w:rsid w:val="007575A4"/>
    <w:rsid w:val="00757BB6"/>
    <w:rsid w:val="00757F83"/>
    <w:rsid w:val="007601D5"/>
    <w:rsid w:val="00760632"/>
    <w:rsid w:val="00762285"/>
    <w:rsid w:val="00762B67"/>
    <w:rsid w:val="00762D4C"/>
    <w:rsid w:val="0076321C"/>
    <w:rsid w:val="0076372E"/>
    <w:rsid w:val="00764187"/>
    <w:rsid w:val="00764B92"/>
    <w:rsid w:val="007659E8"/>
    <w:rsid w:val="00766383"/>
    <w:rsid w:val="007676E8"/>
    <w:rsid w:val="00767CE8"/>
    <w:rsid w:val="00770A34"/>
    <w:rsid w:val="00770BC0"/>
    <w:rsid w:val="0077135F"/>
    <w:rsid w:val="00771A2D"/>
    <w:rsid w:val="00771FD3"/>
    <w:rsid w:val="007722D2"/>
    <w:rsid w:val="00773029"/>
    <w:rsid w:val="00773EA0"/>
    <w:rsid w:val="00773FAB"/>
    <w:rsid w:val="00774E53"/>
    <w:rsid w:val="00775023"/>
    <w:rsid w:val="00775A93"/>
    <w:rsid w:val="0077674B"/>
    <w:rsid w:val="0077694D"/>
    <w:rsid w:val="0077751A"/>
    <w:rsid w:val="00780C25"/>
    <w:rsid w:val="007812F1"/>
    <w:rsid w:val="0078133A"/>
    <w:rsid w:val="00781512"/>
    <w:rsid w:val="0078151D"/>
    <w:rsid w:val="00782B67"/>
    <w:rsid w:val="00785153"/>
    <w:rsid w:val="007873E4"/>
    <w:rsid w:val="00787C19"/>
    <w:rsid w:val="00791E82"/>
    <w:rsid w:val="0079287B"/>
    <w:rsid w:val="007934DC"/>
    <w:rsid w:val="00793540"/>
    <w:rsid w:val="00793B12"/>
    <w:rsid w:val="00794043"/>
    <w:rsid w:val="0079441A"/>
    <w:rsid w:val="0079443C"/>
    <w:rsid w:val="007944C9"/>
    <w:rsid w:val="00795455"/>
    <w:rsid w:val="007A0036"/>
    <w:rsid w:val="007A0109"/>
    <w:rsid w:val="007A01F3"/>
    <w:rsid w:val="007A1501"/>
    <w:rsid w:val="007A1A71"/>
    <w:rsid w:val="007A259C"/>
    <w:rsid w:val="007A261B"/>
    <w:rsid w:val="007A2A5C"/>
    <w:rsid w:val="007A31D3"/>
    <w:rsid w:val="007A399C"/>
    <w:rsid w:val="007A3AE7"/>
    <w:rsid w:val="007A4F04"/>
    <w:rsid w:val="007A6064"/>
    <w:rsid w:val="007A60C8"/>
    <w:rsid w:val="007A6C65"/>
    <w:rsid w:val="007B1E87"/>
    <w:rsid w:val="007B2745"/>
    <w:rsid w:val="007B3946"/>
    <w:rsid w:val="007B3E25"/>
    <w:rsid w:val="007B3ECF"/>
    <w:rsid w:val="007B4401"/>
    <w:rsid w:val="007B4B93"/>
    <w:rsid w:val="007B6604"/>
    <w:rsid w:val="007C050C"/>
    <w:rsid w:val="007C0DAE"/>
    <w:rsid w:val="007C0DD0"/>
    <w:rsid w:val="007C0EB5"/>
    <w:rsid w:val="007C1569"/>
    <w:rsid w:val="007C179A"/>
    <w:rsid w:val="007C1B45"/>
    <w:rsid w:val="007C28A1"/>
    <w:rsid w:val="007C2C7B"/>
    <w:rsid w:val="007C2FF5"/>
    <w:rsid w:val="007C3ED7"/>
    <w:rsid w:val="007C40B5"/>
    <w:rsid w:val="007C597A"/>
    <w:rsid w:val="007C60A3"/>
    <w:rsid w:val="007C668D"/>
    <w:rsid w:val="007C6FE9"/>
    <w:rsid w:val="007C76F2"/>
    <w:rsid w:val="007C79F7"/>
    <w:rsid w:val="007D0618"/>
    <w:rsid w:val="007D111F"/>
    <w:rsid w:val="007D15C0"/>
    <w:rsid w:val="007D1999"/>
    <w:rsid w:val="007D1F33"/>
    <w:rsid w:val="007D29B5"/>
    <w:rsid w:val="007D38EA"/>
    <w:rsid w:val="007D3FC1"/>
    <w:rsid w:val="007D559C"/>
    <w:rsid w:val="007D63DA"/>
    <w:rsid w:val="007D65FF"/>
    <w:rsid w:val="007D6D84"/>
    <w:rsid w:val="007D7BC2"/>
    <w:rsid w:val="007E1053"/>
    <w:rsid w:val="007E26EF"/>
    <w:rsid w:val="007E33C5"/>
    <w:rsid w:val="007E341E"/>
    <w:rsid w:val="007E4435"/>
    <w:rsid w:val="007E4611"/>
    <w:rsid w:val="007E5C6F"/>
    <w:rsid w:val="007E6E16"/>
    <w:rsid w:val="007E71A0"/>
    <w:rsid w:val="007E7A84"/>
    <w:rsid w:val="007F020B"/>
    <w:rsid w:val="007F0284"/>
    <w:rsid w:val="007F0383"/>
    <w:rsid w:val="007F0D82"/>
    <w:rsid w:val="007F2FA4"/>
    <w:rsid w:val="007F3ABD"/>
    <w:rsid w:val="007F489C"/>
    <w:rsid w:val="007F5CB7"/>
    <w:rsid w:val="007F6795"/>
    <w:rsid w:val="007F6995"/>
    <w:rsid w:val="007F69BF"/>
    <w:rsid w:val="007F6D6C"/>
    <w:rsid w:val="007F727D"/>
    <w:rsid w:val="007F746B"/>
    <w:rsid w:val="00800BA3"/>
    <w:rsid w:val="0080119F"/>
    <w:rsid w:val="00801984"/>
    <w:rsid w:val="00801B8D"/>
    <w:rsid w:val="008022D0"/>
    <w:rsid w:val="00802BEF"/>
    <w:rsid w:val="00802F2F"/>
    <w:rsid w:val="00803A1B"/>
    <w:rsid w:val="00803B43"/>
    <w:rsid w:val="008044FA"/>
    <w:rsid w:val="00804E3D"/>
    <w:rsid w:val="00805038"/>
    <w:rsid w:val="008051C7"/>
    <w:rsid w:val="0080603D"/>
    <w:rsid w:val="008061EA"/>
    <w:rsid w:val="008108A1"/>
    <w:rsid w:val="00811162"/>
    <w:rsid w:val="0081399E"/>
    <w:rsid w:val="00814B72"/>
    <w:rsid w:val="00814F8B"/>
    <w:rsid w:val="00815157"/>
    <w:rsid w:val="008151FF"/>
    <w:rsid w:val="00816021"/>
    <w:rsid w:val="00820CD8"/>
    <w:rsid w:val="00821132"/>
    <w:rsid w:val="0082367A"/>
    <w:rsid w:val="00824741"/>
    <w:rsid w:val="00825DE3"/>
    <w:rsid w:val="00825E0B"/>
    <w:rsid w:val="0083205E"/>
    <w:rsid w:val="008333C5"/>
    <w:rsid w:val="008338DF"/>
    <w:rsid w:val="00833E72"/>
    <w:rsid w:val="00835653"/>
    <w:rsid w:val="00835753"/>
    <w:rsid w:val="00840A8A"/>
    <w:rsid w:val="008411AE"/>
    <w:rsid w:val="00841404"/>
    <w:rsid w:val="0084278F"/>
    <w:rsid w:val="00842FFE"/>
    <w:rsid w:val="0084327B"/>
    <w:rsid w:val="00843EAB"/>
    <w:rsid w:val="00845836"/>
    <w:rsid w:val="00846CF1"/>
    <w:rsid w:val="00846F36"/>
    <w:rsid w:val="00850445"/>
    <w:rsid w:val="0085099D"/>
    <w:rsid w:val="00850A88"/>
    <w:rsid w:val="00851167"/>
    <w:rsid w:val="008512A9"/>
    <w:rsid w:val="008532EF"/>
    <w:rsid w:val="008534BF"/>
    <w:rsid w:val="008535A9"/>
    <w:rsid w:val="008540BF"/>
    <w:rsid w:val="00854731"/>
    <w:rsid w:val="00854837"/>
    <w:rsid w:val="00854BBF"/>
    <w:rsid w:val="0085621F"/>
    <w:rsid w:val="00856C41"/>
    <w:rsid w:val="00857810"/>
    <w:rsid w:val="00860B9B"/>
    <w:rsid w:val="00860CC4"/>
    <w:rsid w:val="00861691"/>
    <w:rsid w:val="008626B5"/>
    <w:rsid w:val="00862FCC"/>
    <w:rsid w:val="008638BC"/>
    <w:rsid w:val="00863D74"/>
    <w:rsid w:val="00865756"/>
    <w:rsid w:val="00866508"/>
    <w:rsid w:val="00867384"/>
    <w:rsid w:val="00871CE3"/>
    <w:rsid w:val="00871D57"/>
    <w:rsid w:val="00872595"/>
    <w:rsid w:val="008757ED"/>
    <w:rsid w:val="00876832"/>
    <w:rsid w:val="00880B1D"/>
    <w:rsid w:val="0088190D"/>
    <w:rsid w:val="00881917"/>
    <w:rsid w:val="00881E17"/>
    <w:rsid w:val="00882322"/>
    <w:rsid w:val="00883070"/>
    <w:rsid w:val="008831BE"/>
    <w:rsid w:val="0088420A"/>
    <w:rsid w:val="008849D9"/>
    <w:rsid w:val="00885A55"/>
    <w:rsid w:val="0088689B"/>
    <w:rsid w:val="00886EB4"/>
    <w:rsid w:val="00887134"/>
    <w:rsid w:val="00887EC5"/>
    <w:rsid w:val="00887F3A"/>
    <w:rsid w:val="008900B6"/>
    <w:rsid w:val="00890351"/>
    <w:rsid w:val="0089169D"/>
    <w:rsid w:val="0089225F"/>
    <w:rsid w:val="008923AF"/>
    <w:rsid w:val="0089271B"/>
    <w:rsid w:val="00892F70"/>
    <w:rsid w:val="008948B8"/>
    <w:rsid w:val="00895A0A"/>
    <w:rsid w:val="00896BC9"/>
    <w:rsid w:val="00896E83"/>
    <w:rsid w:val="00896F55"/>
    <w:rsid w:val="0089795B"/>
    <w:rsid w:val="008A0B5A"/>
    <w:rsid w:val="008A139D"/>
    <w:rsid w:val="008A3243"/>
    <w:rsid w:val="008A33D1"/>
    <w:rsid w:val="008A3C68"/>
    <w:rsid w:val="008A3D1D"/>
    <w:rsid w:val="008A4ED5"/>
    <w:rsid w:val="008A5423"/>
    <w:rsid w:val="008A56A9"/>
    <w:rsid w:val="008A6310"/>
    <w:rsid w:val="008A6A4A"/>
    <w:rsid w:val="008A7650"/>
    <w:rsid w:val="008A76F7"/>
    <w:rsid w:val="008A79A2"/>
    <w:rsid w:val="008A7DE2"/>
    <w:rsid w:val="008A7F65"/>
    <w:rsid w:val="008B059B"/>
    <w:rsid w:val="008B1678"/>
    <w:rsid w:val="008B1756"/>
    <w:rsid w:val="008B1F8E"/>
    <w:rsid w:val="008B2446"/>
    <w:rsid w:val="008B25C1"/>
    <w:rsid w:val="008B2AA6"/>
    <w:rsid w:val="008B41AE"/>
    <w:rsid w:val="008B5051"/>
    <w:rsid w:val="008B5DAD"/>
    <w:rsid w:val="008B5FE5"/>
    <w:rsid w:val="008B6630"/>
    <w:rsid w:val="008B6AFD"/>
    <w:rsid w:val="008B6F10"/>
    <w:rsid w:val="008B747C"/>
    <w:rsid w:val="008B79C2"/>
    <w:rsid w:val="008B7B81"/>
    <w:rsid w:val="008C0EE2"/>
    <w:rsid w:val="008C0FEF"/>
    <w:rsid w:val="008C2D39"/>
    <w:rsid w:val="008C2EB4"/>
    <w:rsid w:val="008C2F07"/>
    <w:rsid w:val="008C3086"/>
    <w:rsid w:val="008C42D2"/>
    <w:rsid w:val="008C440F"/>
    <w:rsid w:val="008C4B26"/>
    <w:rsid w:val="008C5608"/>
    <w:rsid w:val="008C5B48"/>
    <w:rsid w:val="008C72AB"/>
    <w:rsid w:val="008C75B4"/>
    <w:rsid w:val="008C7B8E"/>
    <w:rsid w:val="008C7DDC"/>
    <w:rsid w:val="008D1622"/>
    <w:rsid w:val="008D1E7A"/>
    <w:rsid w:val="008D2493"/>
    <w:rsid w:val="008D2743"/>
    <w:rsid w:val="008D2E1C"/>
    <w:rsid w:val="008D384C"/>
    <w:rsid w:val="008D4547"/>
    <w:rsid w:val="008D4B5D"/>
    <w:rsid w:val="008D4B90"/>
    <w:rsid w:val="008D4F78"/>
    <w:rsid w:val="008D5BC2"/>
    <w:rsid w:val="008D6029"/>
    <w:rsid w:val="008D6771"/>
    <w:rsid w:val="008D69E9"/>
    <w:rsid w:val="008D748D"/>
    <w:rsid w:val="008D7B39"/>
    <w:rsid w:val="008E01A8"/>
    <w:rsid w:val="008E02F1"/>
    <w:rsid w:val="008E2A0D"/>
    <w:rsid w:val="008E34D3"/>
    <w:rsid w:val="008E5053"/>
    <w:rsid w:val="008E5E52"/>
    <w:rsid w:val="008E72FA"/>
    <w:rsid w:val="008E7614"/>
    <w:rsid w:val="008E7663"/>
    <w:rsid w:val="008E7848"/>
    <w:rsid w:val="008E7BD0"/>
    <w:rsid w:val="008F05F7"/>
    <w:rsid w:val="008F1B8C"/>
    <w:rsid w:val="008F2133"/>
    <w:rsid w:val="008F24C5"/>
    <w:rsid w:val="008F25D3"/>
    <w:rsid w:val="008F3C0F"/>
    <w:rsid w:val="008F3EFA"/>
    <w:rsid w:val="008F7C72"/>
    <w:rsid w:val="00902976"/>
    <w:rsid w:val="009035D6"/>
    <w:rsid w:val="00903D39"/>
    <w:rsid w:val="00904716"/>
    <w:rsid w:val="00904A0B"/>
    <w:rsid w:val="00905B34"/>
    <w:rsid w:val="009074DA"/>
    <w:rsid w:val="00907D37"/>
    <w:rsid w:val="009110B1"/>
    <w:rsid w:val="009118AA"/>
    <w:rsid w:val="00911A16"/>
    <w:rsid w:val="00911A6C"/>
    <w:rsid w:val="00911E0D"/>
    <w:rsid w:val="00912329"/>
    <w:rsid w:val="00912413"/>
    <w:rsid w:val="009135FA"/>
    <w:rsid w:val="00913EB5"/>
    <w:rsid w:val="0091552F"/>
    <w:rsid w:val="009168A9"/>
    <w:rsid w:val="00916E0B"/>
    <w:rsid w:val="00917602"/>
    <w:rsid w:val="00917DEC"/>
    <w:rsid w:val="009204DD"/>
    <w:rsid w:val="00920B7D"/>
    <w:rsid w:val="0092152A"/>
    <w:rsid w:val="00922C0B"/>
    <w:rsid w:val="0092336E"/>
    <w:rsid w:val="00924637"/>
    <w:rsid w:val="00924E7A"/>
    <w:rsid w:val="00924F6F"/>
    <w:rsid w:val="00925759"/>
    <w:rsid w:val="00926E1E"/>
    <w:rsid w:val="00927531"/>
    <w:rsid w:val="009303A7"/>
    <w:rsid w:val="00930E1C"/>
    <w:rsid w:val="00930E3B"/>
    <w:rsid w:val="00932016"/>
    <w:rsid w:val="00932314"/>
    <w:rsid w:val="00932604"/>
    <w:rsid w:val="00932658"/>
    <w:rsid w:val="00932788"/>
    <w:rsid w:val="00933467"/>
    <w:rsid w:val="00933FB8"/>
    <w:rsid w:val="009341E6"/>
    <w:rsid w:val="00934DBC"/>
    <w:rsid w:val="00935246"/>
    <w:rsid w:val="00936120"/>
    <w:rsid w:val="0093727B"/>
    <w:rsid w:val="009403A4"/>
    <w:rsid w:val="00940560"/>
    <w:rsid w:val="0094121B"/>
    <w:rsid w:val="009419C9"/>
    <w:rsid w:val="00941B2A"/>
    <w:rsid w:val="00942228"/>
    <w:rsid w:val="00942502"/>
    <w:rsid w:val="00942BC3"/>
    <w:rsid w:val="009433CF"/>
    <w:rsid w:val="00944411"/>
    <w:rsid w:val="00945545"/>
    <w:rsid w:val="00946912"/>
    <w:rsid w:val="00950F3D"/>
    <w:rsid w:val="00951887"/>
    <w:rsid w:val="00952555"/>
    <w:rsid w:val="00952834"/>
    <w:rsid w:val="00952881"/>
    <w:rsid w:val="00952F75"/>
    <w:rsid w:val="0095361A"/>
    <w:rsid w:val="00953C0F"/>
    <w:rsid w:val="00957ACB"/>
    <w:rsid w:val="00957DFE"/>
    <w:rsid w:val="009605F7"/>
    <w:rsid w:val="009609FB"/>
    <w:rsid w:val="00960B8F"/>
    <w:rsid w:val="0096175F"/>
    <w:rsid w:val="00961A91"/>
    <w:rsid w:val="009637E8"/>
    <w:rsid w:val="00963818"/>
    <w:rsid w:val="00963CFC"/>
    <w:rsid w:val="0096487A"/>
    <w:rsid w:val="00965ABF"/>
    <w:rsid w:val="00966C6E"/>
    <w:rsid w:val="00967126"/>
    <w:rsid w:val="0096722E"/>
    <w:rsid w:val="009673E8"/>
    <w:rsid w:val="009674C8"/>
    <w:rsid w:val="00972459"/>
    <w:rsid w:val="009738C6"/>
    <w:rsid w:val="00975AE8"/>
    <w:rsid w:val="00977C0F"/>
    <w:rsid w:val="00977EFB"/>
    <w:rsid w:val="009814DD"/>
    <w:rsid w:val="00981B8C"/>
    <w:rsid w:val="00981D70"/>
    <w:rsid w:val="009821E1"/>
    <w:rsid w:val="00982CC9"/>
    <w:rsid w:val="009832F3"/>
    <w:rsid w:val="00985DE5"/>
    <w:rsid w:val="0098680B"/>
    <w:rsid w:val="0098719C"/>
    <w:rsid w:val="009878A4"/>
    <w:rsid w:val="00991181"/>
    <w:rsid w:val="009922E7"/>
    <w:rsid w:val="0099351B"/>
    <w:rsid w:val="00994D44"/>
    <w:rsid w:val="00995D8E"/>
    <w:rsid w:val="00996548"/>
    <w:rsid w:val="009974DC"/>
    <w:rsid w:val="009A01C4"/>
    <w:rsid w:val="009A0344"/>
    <w:rsid w:val="009A1CC8"/>
    <w:rsid w:val="009A2716"/>
    <w:rsid w:val="009A44C5"/>
    <w:rsid w:val="009A50FA"/>
    <w:rsid w:val="009A535B"/>
    <w:rsid w:val="009A6CDB"/>
    <w:rsid w:val="009A7B38"/>
    <w:rsid w:val="009B0B85"/>
    <w:rsid w:val="009B0D00"/>
    <w:rsid w:val="009B104C"/>
    <w:rsid w:val="009B1247"/>
    <w:rsid w:val="009B2B98"/>
    <w:rsid w:val="009B2F70"/>
    <w:rsid w:val="009B434F"/>
    <w:rsid w:val="009B464E"/>
    <w:rsid w:val="009B5449"/>
    <w:rsid w:val="009B5A06"/>
    <w:rsid w:val="009B6D70"/>
    <w:rsid w:val="009B6E19"/>
    <w:rsid w:val="009C0FF5"/>
    <w:rsid w:val="009C1A9D"/>
    <w:rsid w:val="009C1DBF"/>
    <w:rsid w:val="009C2240"/>
    <w:rsid w:val="009C3A74"/>
    <w:rsid w:val="009C45A9"/>
    <w:rsid w:val="009C47F1"/>
    <w:rsid w:val="009C54C9"/>
    <w:rsid w:val="009C735B"/>
    <w:rsid w:val="009C748B"/>
    <w:rsid w:val="009C7BCB"/>
    <w:rsid w:val="009D0120"/>
    <w:rsid w:val="009D31EE"/>
    <w:rsid w:val="009D3943"/>
    <w:rsid w:val="009D3D82"/>
    <w:rsid w:val="009D45A2"/>
    <w:rsid w:val="009D4D9C"/>
    <w:rsid w:val="009D5F55"/>
    <w:rsid w:val="009D7015"/>
    <w:rsid w:val="009E026C"/>
    <w:rsid w:val="009E02CD"/>
    <w:rsid w:val="009E158C"/>
    <w:rsid w:val="009E3ADD"/>
    <w:rsid w:val="009E4C31"/>
    <w:rsid w:val="009E56E4"/>
    <w:rsid w:val="009E5805"/>
    <w:rsid w:val="009E5B0F"/>
    <w:rsid w:val="009E670D"/>
    <w:rsid w:val="009E6FD8"/>
    <w:rsid w:val="009E70FB"/>
    <w:rsid w:val="009E7B8B"/>
    <w:rsid w:val="009F31DE"/>
    <w:rsid w:val="009F3F6F"/>
    <w:rsid w:val="009F40A8"/>
    <w:rsid w:val="009F4523"/>
    <w:rsid w:val="009F4DAB"/>
    <w:rsid w:val="009F63C6"/>
    <w:rsid w:val="009F66BF"/>
    <w:rsid w:val="009F718D"/>
    <w:rsid w:val="009F753A"/>
    <w:rsid w:val="00A01AD2"/>
    <w:rsid w:val="00A034F1"/>
    <w:rsid w:val="00A03F58"/>
    <w:rsid w:val="00A04654"/>
    <w:rsid w:val="00A046BC"/>
    <w:rsid w:val="00A06D1A"/>
    <w:rsid w:val="00A07B6E"/>
    <w:rsid w:val="00A07D95"/>
    <w:rsid w:val="00A07E1F"/>
    <w:rsid w:val="00A10470"/>
    <w:rsid w:val="00A11311"/>
    <w:rsid w:val="00A11831"/>
    <w:rsid w:val="00A125F1"/>
    <w:rsid w:val="00A134AF"/>
    <w:rsid w:val="00A13625"/>
    <w:rsid w:val="00A13BC5"/>
    <w:rsid w:val="00A14B43"/>
    <w:rsid w:val="00A153F2"/>
    <w:rsid w:val="00A1576F"/>
    <w:rsid w:val="00A159A1"/>
    <w:rsid w:val="00A17A7F"/>
    <w:rsid w:val="00A17E79"/>
    <w:rsid w:val="00A20857"/>
    <w:rsid w:val="00A20962"/>
    <w:rsid w:val="00A20E2A"/>
    <w:rsid w:val="00A2201E"/>
    <w:rsid w:val="00A223B2"/>
    <w:rsid w:val="00A2398C"/>
    <w:rsid w:val="00A2428C"/>
    <w:rsid w:val="00A24DE3"/>
    <w:rsid w:val="00A25A5E"/>
    <w:rsid w:val="00A2624E"/>
    <w:rsid w:val="00A2626A"/>
    <w:rsid w:val="00A262B4"/>
    <w:rsid w:val="00A27FE1"/>
    <w:rsid w:val="00A30B10"/>
    <w:rsid w:val="00A311FA"/>
    <w:rsid w:val="00A31601"/>
    <w:rsid w:val="00A32A4F"/>
    <w:rsid w:val="00A33AD0"/>
    <w:rsid w:val="00A3528D"/>
    <w:rsid w:val="00A35AD8"/>
    <w:rsid w:val="00A36914"/>
    <w:rsid w:val="00A36F19"/>
    <w:rsid w:val="00A37D7B"/>
    <w:rsid w:val="00A425F6"/>
    <w:rsid w:val="00A4324D"/>
    <w:rsid w:val="00A43260"/>
    <w:rsid w:val="00A432B5"/>
    <w:rsid w:val="00A43876"/>
    <w:rsid w:val="00A44A5F"/>
    <w:rsid w:val="00A44E17"/>
    <w:rsid w:val="00A4577E"/>
    <w:rsid w:val="00A46481"/>
    <w:rsid w:val="00A46C0B"/>
    <w:rsid w:val="00A4740D"/>
    <w:rsid w:val="00A500D3"/>
    <w:rsid w:val="00A50198"/>
    <w:rsid w:val="00A509E5"/>
    <w:rsid w:val="00A50CC2"/>
    <w:rsid w:val="00A5277D"/>
    <w:rsid w:val="00A52A1F"/>
    <w:rsid w:val="00A5399F"/>
    <w:rsid w:val="00A53BA2"/>
    <w:rsid w:val="00A54004"/>
    <w:rsid w:val="00A546E5"/>
    <w:rsid w:val="00A55B1C"/>
    <w:rsid w:val="00A571ED"/>
    <w:rsid w:val="00A57F14"/>
    <w:rsid w:val="00A60AB0"/>
    <w:rsid w:val="00A60F9B"/>
    <w:rsid w:val="00A6130A"/>
    <w:rsid w:val="00A61394"/>
    <w:rsid w:val="00A614BD"/>
    <w:rsid w:val="00A61D25"/>
    <w:rsid w:val="00A633D8"/>
    <w:rsid w:val="00A635E2"/>
    <w:rsid w:val="00A640B3"/>
    <w:rsid w:val="00A64989"/>
    <w:rsid w:val="00A64D4D"/>
    <w:rsid w:val="00A71E42"/>
    <w:rsid w:val="00A731E5"/>
    <w:rsid w:val="00A74428"/>
    <w:rsid w:val="00A74863"/>
    <w:rsid w:val="00A75F83"/>
    <w:rsid w:val="00A81BD5"/>
    <w:rsid w:val="00A81DBC"/>
    <w:rsid w:val="00A81E24"/>
    <w:rsid w:val="00A827A3"/>
    <w:rsid w:val="00A834B4"/>
    <w:rsid w:val="00A836A8"/>
    <w:rsid w:val="00A845EE"/>
    <w:rsid w:val="00A846D5"/>
    <w:rsid w:val="00A84EC0"/>
    <w:rsid w:val="00A8506D"/>
    <w:rsid w:val="00A86213"/>
    <w:rsid w:val="00A86B43"/>
    <w:rsid w:val="00A86BFF"/>
    <w:rsid w:val="00A872ED"/>
    <w:rsid w:val="00A90D68"/>
    <w:rsid w:val="00A90F37"/>
    <w:rsid w:val="00A912D7"/>
    <w:rsid w:val="00A91315"/>
    <w:rsid w:val="00A922D8"/>
    <w:rsid w:val="00A9236F"/>
    <w:rsid w:val="00A9255A"/>
    <w:rsid w:val="00A92E42"/>
    <w:rsid w:val="00A94476"/>
    <w:rsid w:val="00A94FAF"/>
    <w:rsid w:val="00A9513D"/>
    <w:rsid w:val="00A95A94"/>
    <w:rsid w:val="00A95AA4"/>
    <w:rsid w:val="00AA0959"/>
    <w:rsid w:val="00AA16F9"/>
    <w:rsid w:val="00AA1C21"/>
    <w:rsid w:val="00AA46A9"/>
    <w:rsid w:val="00AA5B27"/>
    <w:rsid w:val="00AA69C4"/>
    <w:rsid w:val="00AA6BC1"/>
    <w:rsid w:val="00AA79AE"/>
    <w:rsid w:val="00AB00C9"/>
    <w:rsid w:val="00AB0C4A"/>
    <w:rsid w:val="00AB0C71"/>
    <w:rsid w:val="00AB174E"/>
    <w:rsid w:val="00AB17F1"/>
    <w:rsid w:val="00AB415F"/>
    <w:rsid w:val="00AB5432"/>
    <w:rsid w:val="00AB5BC3"/>
    <w:rsid w:val="00AB6460"/>
    <w:rsid w:val="00AB676F"/>
    <w:rsid w:val="00AB75F1"/>
    <w:rsid w:val="00AC225F"/>
    <w:rsid w:val="00AC2B4B"/>
    <w:rsid w:val="00AC3077"/>
    <w:rsid w:val="00AC462F"/>
    <w:rsid w:val="00AC46C3"/>
    <w:rsid w:val="00AC46C5"/>
    <w:rsid w:val="00AC4C71"/>
    <w:rsid w:val="00AC50E9"/>
    <w:rsid w:val="00AC5AD2"/>
    <w:rsid w:val="00AC647F"/>
    <w:rsid w:val="00AC6F47"/>
    <w:rsid w:val="00AD0437"/>
    <w:rsid w:val="00AD05FE"/>
    <w:rsid w:val="00AD0B27"/>
    <w:rsid w:val="00AD0B98"/>
    <w:rsid w:val="00AD0D91"/>
    <w:rsid w:val="00AD2C0B"/>
    <w:rsid w:val="00AD2F03"/>
    <w:rsid w:val="00AD35E6"/>
    <w:rsid w:val="00AD3A43"/>
    <w:rsid w:val="00AD45F5"/>
    <w:rsid w:val="00AD46A4"/>
    <w:rsid w:val="00AD4D18"/>
    <w:rsid w:val="00AD5A54"/>
    <w:rsid w:val="00AD5F48"/>
    <w:rsid w:val="00AD719C"/>
    <w:rsid w:val="00AD7812"/>
    <w:rsid w:val="00AD7957"/>
    <w:rsid w:val="00AD79F3"/>
    <w:rsid w:val="00AD7ED7"/>
    <w:rsid w:val="00AD7FE7"/>
    <w:rsid w:val="00AE089D"/>
    <w:rsid w:val="00AE0931"/>
    <w:rsid w:val="00AE0FC2"/>
    <w:rsid w:val="00AE27A9"/>
    <w:rsid w:val="00AE2B5E"/>
    <w:rsid w:val="00AE3FBF"/>
    <w:rsid w:val="00AE5592"/>
    <w:rsid w:val="00AE6CEB"/>
    <w:rsid w:val="00AE6E23"/>
    <w:rsid w:val="00AE7EDF"/>
    <w:rsid w:val="00AF1B28"/>
    <w:rsid w:val="00AF1BA0"/>
    <w:rsid w:val="00AF1F22"/>
    <w:rsid w:val="00AF2083"/>
    <w:rsid w:val="00AF2AF3"/>
    <w:rsid w:val="00AF2E6D"/>
    <w:rsid w:val="00AF45E9"/>
    <w:rsid w:val="00AF509E"/>
    <w:rsid w:val="00AF552D"/>
    <w:rsid w:val="00AF5B0A"/>
    <w:rsid w:val="00AF6125"/>
    <w:rsid w:val="00AF7231"/>
    <w:rsid w:val="00B00322"/>
    <w:rsid w:val="00B00431"/>
    <w:rsid w:val="00B01FAC"/>
    <w:rsid w:val="00B024D9"/>
    <w:rsid w:val="00B04094"/>
    <w:rsid w:val="00B048BF"/>
    <w:rsid w:val="00B04948"/>
    <w:rsid w:val="00B05B82"/>
    <w:rsid w:val="00B0611C"/>
    <w:rsid w:val="00B0643E"/>
    <w:rsid w:val="00B0705E"/>
    <w:rsid w:val="00B07C36"/>
    <w:rsid w:val="00B10259"/>
    <w:rsid w:val="00B1116A"/>
    <w:rsid w:val="00B12622"/>
    <w:rsid w:val="00B136E9"/>
    <w:rsid w:val="00B138B1"/>
    <w:rsid w:val="00B15B4A"/>
    <w:rsid w:val="00B15D97"/>
    <w:rsid w:val="00B167D2"/>
    <w:rsid w:val="00B168EC"/>
    <w:rsid w:val="00B17D1F"/>
    <w:rsid w:val="00B20101"/>
    <w:rsid w:val="00B208B2"/>
    <w:rsid w:val="00B212F6"/>
    <w:rsid w:val="00B22018"/>
    <w:rsid w:val="00B220E1"/>
    <w:rsid w:val="00B221CD"/>
    <w:rsid w:val="00B2236B"/>
    <w:rsid w:val="00B24091"/>
    <w:rsid w:val="00B24671"/>
    <w:rsid w:val="00B24CCF"/>
    <w:rsid w:val="00B25194"/>
    <w:rsid w:val="00B261B1"/>
    <w:rsid w:val="00B27DD2"/>
    <w:rsid w:val="00B305E4"/>
    <w:rsid w:val="00B306DA"/>
    <w:rsid w:val="00B30A23"/>
    <w:rsid w:val="00B32456"/>
    <w:rsid w:val="00B333EC"/>
    <w:rsid w:val="00B33EE8"/>
    <w:rsid w:val="00B344C0"/>
    <w:rsid w:val="00B34AC3"/>
    <w:rsid w:val="00B34E60"/>
    <w:rsid w:val="00B37646"/>
    <w:rsid w:val="00B3798B"/>
    <w:rsid w:val="00B406D7"/>
    <w:rsid w:val="00B4241B"/>
    <w:rsid w:val="00B42B42"/>
    <w:rsid w:val="00B42D81"/>
    <w:rsid w:val="00B4379C"/>
    <w:rsid w:val="00B43EC8"/>
    <w:rsid w:val="00B44162"/>
    <w:rsid w:val="00B44FC2"/>
    <w:rsid w:val="00B46ABD"/>
    <w:rsid w:val="00B46B57"/>
    <w:rsid w:val="00B46E78"/>
    <w:rsid w:val="00B47DBB"/>
    <w:rsid w:val="00B50080"/>
    <w:rsid w:val="00B503E3"/>
    <w:rsid w:val="00B50851"/>
    <w:rsid w:val="00B51E8A"/>
    <w:rsid w:val="00B525A4"/>
    <w:rsid w:val="00B52E67"/>
    <w:rsid w:val="00B5359C"/>
    <w:rsid w:val="00B53EE3"/>
    <w:rsid w:val="00B55CFF"/>
    <w:rsid w:val="00B5747C"/>
    <w:rsid w:val="00B60954"/>
    <w:rsid w:val="00B60F9F"/>
    <w:rsid w:val="00B6176B"/>
    <w:rsid w:val="00B621F3"/>
    <w:rsid w:val="00B6253E"/>
    <w:rsid w:val="00B64575"/>
    <w:rsid w:val="00B65278"/>
    <w:rsid w:val="00B652D9"/>
    <w:rsid w:val="00B65A0D"/>
    <w:rsid w:val="00B65A98"/>
    <w:rsid w:val="00B66189"/>
    <w:rsid w:val="00B661A3"/>
    <w:rsid w:val="00B66204"/>
    <w:rsid w:val="00B70AEF"/>
    <w:rsid w:val="00B70DF8"/>
    <w:rsid w:val="00B71D0F"/>
    <w:rsid w:val="00B71F3C"/>
    <w:rsid w:val="00B72C97"/>
    <w:rsid w:val="00B731C6"/>
    <w:rsid w:val="00B73543"/>
    <w:rsid w:val="00B73648"/>
    <w:rsid w:val="00B74235"/>
    <w:rsid w:val="00B76336"/>
    <w:rsid w:val="00B763F2"/>
    <w:rsid w:val="00B7669B"/>
    <w:rsid w:val="00B80B94"/>
    <w:rsid w:val="00B81D6D"/>
    <w:rsid w:val="00B82B76"/>
    <w:rsid w:val="00B82BBD"/>
    <w:rsid w:val="00B8412A"/>
    <w:rsid w:val="00B84E4E"/>
    <w:rsid w:val="00B851D4"/>
    <w:rsid w:val="00B855A4"/>
    <w:rsid w:val="00B90039"/>
    <w:rsid w:val="00B9076F"/>
    <w:rsid w:val="00B917F4"/>
    <w:rsid w:val="00B92324"/>
    <w:rsid w:val="00B925A4"/>
    <w:rsid w:val="00B92934"/>
    <w:rsid w:val="00B943D2"/>
    <w:rsid w:val="00B94A3E"/>
    <w:rsid w:val="00B94C39"/>
    <w:rsid w:val="00B94E82"/>
    <w:rsid w:val="00B94F0F"/>
    <w:rsid w:val="00B9507F"/>
    <w:rsid w:val="00B952CD"/>
    <w:rsid w:val="00B955C0"/>
    <w:rsid w:val="00B96C41"/>
    <w:rsid w:val="00B97092"/>
    <w:rsid w:val="00B97A45"/>
    <w:rsid w:val="00BA122D"/>
    <w:rsid w:val="00BA167B"/>
    <w:rsid w:val="00BA1816"/>
    <w:rsid w:val="00BA2655"/>
    <w:rsid w:val="00BA276D"/>
    <w:rsid w:val="00BA3217"/>
    <w:rsid w:val="00BA35B6"/>
    <w:rsid w:val="00BA4167"/>
    <w:rsid w:val="00BA49E9"/>
    <w:rsid w:val="00BA4A40"/>
    <w:rsid w:val="00BA56E8"/>
    <w:rsid w:val="00BA5D9C"/>
    <w:rsid w:val="00BA700A"/>
    <w:rsid w:val="00BB0A4D"/>
    <w:rsid w:val="00BB293E"/>
    <w:rsid w:val="00BB38A3"/>
    <w:rsid w:val="00BB38AC"/>
    <w:rsid w:val="00BB4D77"/>
    <w:rsid w:val="00BB5C08"/>
    <w:rsid w:val="00BB5DE4"/>
    <w:rsid w:val="00BB7370"/>
    <w:rsid w:val="00BB7D29"/>
    <w:rsid w:val="00BC1610"/>
    <w:rsid w:val="00BC347A"/>
    <w:rsid w:val="00BC35A6"/>
    <w:rsid w:val="00BC3CDC"/>
    <w:rsid w:val="00BC5DED"/>
    <w:rsid w:val="00BD075E"/>
    <w:rsid w:val="00BD0FB0"/>
    <w:rsid w:val="00BD14B5"/>
    <w:rsid w:val="00BD42A6"/>
    <w:rsid w:val="00BD693C"/>
    <w:rsid w:val="00BE0656"/>
    <w:rsid w:val="00BE21F3"/>
    <w:rsid w:val="00BE2250"/>
    <w:rsid w:val="00BE4815"/>
    <w:rsid w:val="00BE4889"/>
    <w:rsid w:val="00BE488C"/>
    <w:rsid w:val="00BE4EB7"/>
    <w:rsid w:val="00BE5123"/>
    <w:rsid w:val="00BE5A87"/>
    <w:rsid w:val="00BE5C7E"/>
    <w:rsid w:val="00BE6727"/>
    <w:rsid w:val="00BE6A33"/>
    <w:rsid w:val="00BE7E90"/>
    <w:rsid w:val="00BF0CCE"/>
    <w:rsid w:val="00BF1796"/>
    <w:rsid w:val="00BF3135"/>
    <w:rsid w:val="00BF46AC"/>
    <w:rsid w:val="00BF4A03"/>
    <w:rsid w:val="00BF5218"/>
    <w:rsid w:val="00BF522E"/>
    <w:rsid w:val="00BF6409"/>
    <w:rsid w:val="00BF64DD"/>
    <w:rsid w:val="00BF6B1E"/>
    <w:rsid w:val="00BF72A4"/>
    <w:rsid w:val="00C00108"/>
    <w:rsid w:val="00C0097E"/>
    <w:rsid w:val="00C00B03"/>
    <w:rsid w:val="00C01AC4"/>
    <w:rsid w:val="00C02179"/>
    <w:rsid w:val="00C023FB"/>
    <w:rsid w:val="00C0262B"/>
    <w:rsid w:val="00C02CE1"/>
    <w:rsid w:val="00C04D30"/>
    <w:rsid w:val="00C05423"/>
    <w:rsid w:val="00C0643C"/>
    <w:rsid w:val="00C068E3"/>
    <w:rsid w:val="00C07964"/>
    <w:rsid w:val="00C079E5"/>
    <w:rsid w:val="00C07A8B"/>
    <w:rsid w:val="00C106D3"/>
    <w:rsid w:val="00C10CCF"/>
    <w:rsid w:val="00C11625"/>
    <w:rsid w:val="00C118BF"/>
    <w:rsid w:val="00C13B26"/>
    <w:rsid w:val="00C13EB9"/>
    <w:rsid w:val="00C14C28"/>
    <w:rsid w:val="00C1633F"/>
    <w:rsid w:val="00C1770D"/>
    <w:rsid w:val="00C202F8"/>
    <w:rsid w:val="00C20CB4"/>
    <w:rsid w:val="00C21667"/>
    <w:rsid w:val="00C21990"/>
    <w:rsid w:val="00C21DA3"/>
    <w:rsid w:val="00C225FA"/>
    <w:rsid w:val="00C23E31"/>
    <w:rsid w:val="00C23FCD"/>
    <w:rsid w:val="00C25955"/>
    <w:rsid w:val="00C259A2"/>
    <w:rsid w:val="00C27310"/>
    <w:rsid w:val="00C27866"/>
    <w:rsid w:val="00C301B6"/>
    <w:rsid w:val="00C303E2"/>
    <w:rsid w:val="00C307FF"/>
    <w:rsid w:val="00C32E47"/>
    <w:rsid w:val="00C33704"/>
    <w:rsid w:val="00C3406A"/>
    <w:rsid w:val="00C358AC"/>
    <w:rsid w:val="00C35A0B"/>
    <w:rsid w:val="00C36CE1"/>
    <w:rsid w:val="00C3751B"/>
    <w:rsid w:val="00C400E1"/>
    <w:rsid w:val="00C4050D"/>
    <w:rsid w:val="00C411D3"/>
    <w:rsid w:val="00C42BCA"/>
    <w:rsid w:val="00C44452"/>
    <w:rsid w:val="00C44848"/>
    <w:rsid w:val="00C44C20"/>
    <w:rsid w:val="00C44ED5"/>
    <w:rsid w:val="00C45054"/>
    <w:rsid w:val="00C45A96"/>
    <w:rsid w:val="00C463CF"/>
    <w:rsid w:val="00C46530"/>
    <w:rsid w:val="00C466F5"/>
    <w:rsid w:val="00C46D15"/>
    <w:rsid w:val="00C47002"/>
    <w:rsid w:val="00C50003"/>
    <w:rsid w:val="00C50203"/>
    <w:rsid w:val="00C50335"/>
    <w:rsid w:val="00C50E44"/>
    <w:rsid w:val="00C51103"/>
    <w:rsid w:val="00C5294E"/>
    <w:rsid w:val="00C52F6F"/>
    <w:rsid w:val="00C5339A"/>
    <w:rsid w:val="00C53A57"/>
    <w:rsid w:val="00C54459"/>
    <w:rsid w:val="00C5493C"/>
    <w:rsid w:val="00C567CC"/>
    <w:rsid w:val="00C56D32"/>
    <w:rsid w:val="00C57AF3"/>
    <w:rsid w:val="00C60183"/>
    <w:rsid w:val="00C6019A"/>
    <w:rsid w:val="00C60E67"/>
    <w:rsid w:val="00C6128A"/>
    <w:rsid w:val="00C61556"/>
    <w:rsid w:val="00C61823"/>
    <w:rsid w:val="00C626EC"/>
    <w:rsid w:val="00C62EBA"/>
    <w:rsid w:val="00C632CA"/>
    <w:rsid w:val="00C63C90"/>
    <w:rsid w:val="00C65086"/>
    <w:rsid w:val="00C652E2"/>
    <w:rsid w:val="00C65676"/>
    <w:rsid w:val="00C66348"/>
    <w:rsid w:val="00C71804"/>
    <w:rsid w:val="00C723E3"/>
    <w:rsid w:val="00C73FFD"/>
    <w:rsid w:val="00C74BAD"/>
    <w:rsid w:val="00C7534E"/>
    <w:rsid w:val="00C7630F"/>
    <w:rsid w:val="00C7707A"/>
    <w:rsid w:val="00C771B5"/>
    <w:rsid w:val="00C815A1"/>
    <w:rsid w:val="00C82012"/>
    <w:rsid w:val="00C822F3"/>
    <w:rsid w:val="00C82367"/>
    <w:rsid w:val="00C83B1D"/>
    <w:rsid w:val="00C851C2"/>
    <w:rsid w:val="00C85DED"/>
    <w:rsid w:val="00C867C2"/>
    <w:rsid w:val="00C87064"/>
    <w:rsid w:val="00C87E66"/>
    <w:rsid w:val="00C90073"/>
    <w:rsid w:val="00C91482"/>
    <w:rsid w:val="00C9178D"/>
    <w:rsid w:val="00C917B7"/>
    <w:rsid w:val="00C91DAD"/>
    <w:rsid w:val="00C923EA"/>
    <w:rsid w:val="00C92CA5"/>
    <w:rsid w:val="00C92CAF"/>
    <w:rsid w:val="00C92F23"/>
    <w:rsid w:val="00C92FAF"/>
    <w:rsid w:val="00C938E3"/>
    <w:rsid w:val="00C94788"/>
    <w:rsid w:val="00CA1072"/>
    <w:rsid w:val="00CA35C7"/>
    <w:rsid w:val="00CA39FE"/>
    <w:rsid w:val="00CA3E14"/>
    <w:rsid w:val="00CA416F"/>
    <w:rsid w:val="00CA47B2"/>
    <w:rsid w:val="00CA49D9"/>
    <w:rsid w:val="00CA515A"/>
    <w:rsid w:val="00CA55F5"/>
    <w:rsid w:val="00CA5811"/>
    <w:rsid w:val="00CA7AD7"/>
    <w:rsid w:val="00CB1490"/>
    <w:rsid w:val="00CB150F"/>
    <w:rsid w:val="00CB1EB8"/>
    <w:rsid w:val="00CB2778"/>
    <w:rsid w:val="00CB308D"/>
    <w:rsid w:val="00CB428A"/>
    <w:rsid w:val="00CB4577"/>
    <w:rsid w:val="00CB47E0"/>
    <w:rsid w:val="00CB5B5D"/>
    <w:rsid w:val="00CB5BE6"/>
    <w:rsid w:val="00CC1550"/>
    <w:rsid w:val="00CC16FF"/>
    <w:rsid w:val="00CC22A4"/>
    <w:rsid w:val="00CC2C27"/>
    <w:rsid w:val="00CC4326"/>
    <w:rsid w:val="00CC44B4"/>
    <w:rsid w:val="00CC4D24"/>
    <w:rsid w:val="00CC5023"/>
    <w:rsid w:val="00CC5F0D"/>
    <w:rsid w:val="00CC60CF"/>
    <w:rsid w:val="00CC767B"/>
    <w:rsid w:val="00CD1867"/>
    <w:rsid w:val="00CD323B"/>
    <w:rsid w:val="00CD3950"/>
    <w:rsid w:val="00CD3D08"/>
    <w:rsid w:val="00CD4015"/>
    <w:rsid w:val="00CD4A49"/>
    <w:rsid w:val="00CD4AEF"/>
    <w:rsid w:val="00CE0519"/>
    <w:rsid w:val="00CE2704"/>
    <w:rsid w:val="00CE2EA0"/>
    <w:rsid w:val="00CE378C"/>
    <w:rsid w:val="00CE4B48"/>
    <w:rsid w:val="00CE56F3"/>
    <w:rsid w:val="00CE6831"/>
    <w:rsid w:val="00CE6E77"/>
    <w:rsid w:val="00CE7B6A"/>
    <w:rsid w:val="00CE7D1C"/>
    <w:rsid w:val="00CF0378"/>
    <w:rsid w:val="00CF0456"/>
    <w:rsid w:val="00CF081B"/>
    <w:rsid w:val="00CF1505"/>
    <w:rsid w:val="00CF196E"/>
    <w:rsid w:val="00CF3862"/>
    <w:rsid w:val="00CF4F78"/>
    <w:rsid w:val="00CF5FDF"/>
    <w:rsid w:val="00D00782"/>
    <w:rsid w:val="00D00FC5"/>
    <w:rsid w:val="00D01910"/>
    <w:rsid w:val="00D01F07"/>
    <w:rsid w:val="00D03422"/>
    <w:rsid w:val="00D034A4"/>
    <w:rsid w:val="00D035CF"/>
    <w:rsid w:val="00D035EC"/>
    <w:rsid w:val="00D04665"/>
    <w:rsid w:val="00D04E3A"/>
    <w:rsid w:val="00D119B2"/>
    <w:rsid w:val="00D12223"/>
    <w:rsid w:val="00D1385B"/>
    <w:rsid w:val="00D14B66"/>
    <w:rsid w:val="00D167F5"/>
    <w:rsid w:val="00D1778D"/>
    <w:rsid w:val="00D20AB7"/>
    <w:rsid w:val="00D20BC2"/>
    <w:rsid w:val="00D214AD"/>
    <w:rsid w:val="00D2187E"/>
    <w:rsid w:val="00D2200F"/>
    <w:rsid w:val="00D23AEB"/>
    <w:rsid w:val="00D23E6D"/>
    <w:rsid w:val="00D24F87"/>
    <w:rsid w:val="00D251E8"/>
    <w:rsid w:val="00D2592E"/>
    <w:rsid w:val="00D25A12"/>
    <w:rsid w:val="00D262F2"/>
    <w:rsid w:val="00D27895"/>
    <w:rsid w:val="00D30176"/>
    <w:rsid w:val="00D32158"/>
    <w:rsid w:val="00D33B94"/>
    <w:rsid w:val="00D341C4"/>
    <w:rsid w:val="00D34FA6"/>
    <w:rsid w:val="00D366C5"/>
    <w:rsid w:val="00D36A04"/>
    <w:rsid w:val="00D40327"/>
    <w:rsid w:val="00D4047D"/>
    <w:rsid w:val="00D40F34"/>
    <w:rsid w:val="00D415A0"/>
    <w:rsid w:val="00D4185C"/>
    <w:rsid w:val="00D42A17"/>
    <w:rsid w:val="00D43C53"/>
    <w:rsid w:val="00D43DEC"/>
    <w:rsid w:val="00D463D4"/>
    <w:rsid w:val="00D47131"/>
    <w:rsid w:val="00D50F0E"/>
    <w:rsid w:val="00D53AB9"/>
    <w:rsid w:val="00D542EA"/>
    <w:rsid w:val="00D55F07"/>
    <w:rsid w:val="00D5685A"/>
    <w:rsid w:val="00D62724"/>
    <w:rsid w:val="00D637F3"/>
    <w:rsid w:val="00D64BB4"/>
    <w:rsid w:val="00D66BE8"/>
    <w:rsid w:val="00D678B6"/>
    <w:rsid w:val="00D70960"/>
    <w:rsid w:val="00D70CBC"/>
    <w:rsid w:val="00D70E14"/>
    <w:rsid w:val="00D725EE"/>
    <w:rsid w:val="00D732A6"/>
    <w:rsid w:val="00D73A90"/>
    <w:rsid w:val="00D73BEB"/>
    <w:rsid w:val="00D74545"/>
    <w:rsid w:val="00D74975"/>
    <w:rsid w:val="00D74D89"/>
    <w:rsid w:val="00D763B5"/>
    <w:rsid w:val="00D77688"/>
    <w:rsid w:val="00D776CF"/>
    <w:rsid w:val="00D77EDE"/>
    <w:rsid w:val="00D809F7"/>
    <w:rsid w:val="00D8109D"/>
    <w:rsid w:val="00D81584"/>
    <w:rsid w:val="00D81804"/>
    <w:rsid w:val="00D81AE3"/>
    <w:rsid w:val="00D81DE4"/>
    <w:rsid w:val="00D82A66"/>
    <w:rsid w:val="00D8437B"/>
    <w:rsid w:val="00D86261"/>
    <w:rsid w:val="00D872DA"/>
    <w:rsid w:val="00D874CB"/>
    <w:rsid w:val="00D87C49"/>
    <w:rsid w:val="00D90AA0"/>
    <w:rsid w:val="00D91ADD"/>
    <w:rsid w:val="00D92586"/>
    <w:rsid w:val="00D925DD"/>
    <w:rsid w:val="00D92802"/>
    <w:rsid w:val="00D93B94"/>
    <w:rsid w:val="00D947FB"/>
    <w:rsid w:val="00D958A5"/>
    <w:rsid w:val="00D95A09"/>
    <w:rsid w:val="00D95D5F"/>
    <w:rsid w:val="00D97007"/>
    <w:rsid w:val="00D9729A"/>
    <w:rsid w:val="00DA0395"/>
    <w:rsid w:val="00DA0ECC"/>
    <w:rsid w:val="00DA16D1"/>
    <w:rsid w:val="00DA1BEE"/>
    <w:rsid w:val="00DA1C61"/>
    <w:rsid w:val="00DA1EA3"/>
    <w:rsid w:val="00DA2B7A"/>
    <w:rsid w:val="00DA3584"/>
    <w:rsid w:val="00DA36FE"/>
    <w:rsid w:val="00DA48F6"/>
    <w:rsid w:val="00DA4D0C"/>
    <w:rsid w:val="00DA4FF9"/>
    <w:rsid w:val="00DA6466"/>
    <w:rsid w:val="00DA6BB8"/>
    <w:rsid w:val="00DA772D"/>
    <w:rsid w:val="00DB2FAF"/>
    <w:rsid w:val="00DB30FE"/>
    <w:rsid w:val="00DB33ED"/>
    <w:rsid w:val="00DB5284"/>
    <w:rsid w:val="00DC16BD"/>
    <w:rsid w:val="00DC189E"/>
    <w:rsid w:val="00DC1B32"/>
    <w:rsid w:val="00DC1BCC"/>
    <w:rsid w:val="00DC1E63"/>
    <w:rsid w:val="00DC29B1"/>
    <w:rsid w:val="00DC2C3A"/>
    <w:rsid w:val="00DC2C5A"/>
    <w:rsid w:val="00DC3E50"/>
    <w:rsid w:val="00DC48B5"/>
    <w:rsid w:val="00DC5131"/>
    <w:rsid w:val="00DC517D"/>
    <w:rsid w:val="00DC51D7"/>
    <w:rsid w:val="00DC5671"/>
    <w:rsid w:val="00DC5A14"/>
    <w:rsid w:val="00DC7082"/>
    <w:rsid w:val="00DC7A3D"/>
    <w:rsid w:val="00DD00EC"/>
    <w:rsid w:val="00DD1548"/>
    <w:rsid w:val="00DD1A11"/>
    <w:rsid w:val="00DD1AAE"/>
    <w:rsid w:val="00DD1B99"/>
    <w:rsid w:val="00DD23FF"/>
    <w:rsid w:val="00DD25CA"/>
    <w:rsid w:val="00DD26C4"/>
    <w:rsid w:val="00DD3846"/>
    <w:rsid w:val="00DD44DE"/>
    <w:rsid w:val="00DD4CF9"/>
    <w:rsid w:val="00DD4FAE"/>
    <w:rsid w:val="00DD59AC"/>
    <w:rsid w:val="00DD6B8C"/>
    <w:rsid w:val="00DD6D63"/>
    <w:rsid w:val="00DE20E2"/>
    <w:rsid w:val="00DE2A2A"/>
    <w:rsid w:val="00DE3296"/>
    <w:rsid w:val="00DE4EA2"/>
    <w:rsid w:val="00DE53B5"/>
    <w:rsid w:val="00DE545A"/>
    <w:rsid w:val="00DE55D1"/>
    <w:rsid w:val="00DE5ADB"/>
    <w:rsid w:val="00DE61F6"/>
    <w:rsid w:val="00DF01B5"/>
    <w:rsid w:val="00DF1056"/>
    <w:rsid w:val="00DF1262"/>
    <w:rsid w:val="00DF15A1"/>
    <w:rsid w:val="00DF2027"/>
    <w:rsid w:val="00DF3348"/>
    <w:rsid w:val="00DF3A43"/>
    <w:rsid w:val="00DF3B48"/>
    <w:rsid w:val="00DF439D"/>
    <w:rsid w:val="00DF5093"/>
    <w:rsid w:val="00DF5284"/>
    <w:rsid w:val="00DF7BFD"/>
    <w:rsid w:val="00E002D5"/>
    <w:rsid w:val="00E032B3"/>
    <w:rsid w:val="00E0522A"/>
    <w:rsid w:val="00E05CAC"/>
    <w:rsid w:val="00E07907"/>
    <w:rsid w:val="00E104E0"/>
    <w:rsid w:val="00E106CE"/>
    <w:rsid w:val="00E10CA9"/>
    <w:rsid w:val="00E117C0"/>
    <w:rsid w:val="00E14F13"/>
    <w:rsid w:val="00E20064"/>
    <w:rsid w:val="00E204AF"/>
    <w:rsid w:val="00E20D2D"/>
    <w:rsid w:val="00E21F27"/>
    <w:rsid w:val="00E2327E"/>
    <w:rsid w:val="00E2344D"/>
    <w:rsid w:val="00E23CE6"/>
    <w:rsid w:val="00E23EBD"/>
    <w:rsid w:val="00E25299"/>
    <w:rsid w:val="00E25D5F"/>
    <w:rsid w:val="00E26E35"/>
    <w:rsid w:val="00E27C3B"/>
    <w:rsid w:val="00E30DE0"/>
    <w:rsid w:val="00E3201F"/>
    <w:rsid w:val="00E332A7"/>
    <w:rsid w:val="00E36A7B"/>
    <w:rsid w:val="00E370F3"/>
    <w:rsid w:val="00E37509"/>
    <w:rsid w:val="00E42013"/>
    <w:rsid w:val="00E42706"/>
    <w:rsid w:val="00E42903"/>
    <w:rsid w:val="00E42FA0"/>
    <w:rsid w:val="00E445AF"/>
    <w:rsid w:val="00E44A45"/>
    <w:rsid w:val="00E45C1C"/>
    <w:rsid w:val="00E46351"/>
    <w:rsid w:val="00E46ED0"/>
    <w:rsid w:val="00E476BA"/>
    <w:rsid w:val="00E47D66"/>
    <w:rsid w:val="00E508F0"/>
    <w:rsid w:val="00E50BDD"/>
    <w:rsid w:val="00E51737"/>
    <w:rsid w:val="00E53290"/>
    <w:rsid w:val="00E53416"/>
    <w:rsid w:val="00E5528D"/>
    <w:rsid w:val="00E55A38"/>
    <w:rsid w:val="00E55CF7"/>
    <w:rsid w:val="00E55D22"/>
    <w:rsid w:val="00E56304"/>
    <w:rsid w:val="00E56643"/>
    <w:rsid w:val="00E56CB3"/>
    <w:rsid w:val="00E57CC3"/>
    <w:rsid w:val="00E60A14"/>
    <w:rsid w:val="00E60A88"/>
    <w:rsid w:val="00E618F2"/>
    <w:rsid w:val="00E62B3D"/>
    <w:rsid w:val="00E6388D"/>
    <w:rsid w:val="00E641DA"/>
    <w:rsid w:val="00E647E4"/>
    <w:rsid w:val="00E6498B"/>
    <w:rsid w:val="00E654F4"/>
    <w:rsid w:val="00E65799"/>
    <w:rsid w:val="00E66091"/>
    <w:rsid w:val="00E660CF"/>
    <w:rsid w:val="00E66E3A"/>
    <w:rsid w:val="00E67821"/>
    <w:rsid w:val="00E7021A"/>
    <w:rsid w:val="00E7097E"/>
    <w:rsid w:val="00E72FC4"/>
    <w:rsid w:val="00E75582"/>
    <w:rsid w:val="00E76AA0"/>
    <w:rsid w:val="00E776DE"/>
    <w:rsid w:val="00E8197D"/>
    <w:rsid w:val="00E82A8C"/>
    <w:rsid w:val="00E82C1D"/>
    <w:rsid w:val="00E83531"/>
    <w:rsid w:val="00E84F04"/>
    <w:rsid w:val="00E851E2"/>
    <w:rsid w:val="00E86445"/>
    <w:rsid w:val="00E920A4"/>
    <w:rsid w:val="00E92850"/>
    <w:rsid w:val="00E94088"/>
    <w:rsid w:val="00E94F11"/>
    <w:rsid w:val="00E9524C"/>
    <w:rsid w:val="00E962E4"/>
    <w:rsid w:val="00E968AC"/>
    <w:rsid w:val="00E968BD"/>
    <w:rsid w:val="00E96EF3"/>
    <w:rsid w:val="00E9763F"/>
    <w:rsid w:val="00EA0665"/>
    <w:rsid w:val="00EA10C8"/>
    <w:rsid w:val="00EA1510"/>
    <w:rsid w:val="00EA198F"/>
    <w:rsid w:val="00EA1DA7"/>
    <w:rsid w:val="00EA2384"/>
    <w:rsid w:val="00EA3CDF"/>
    <w:rsid w:val="00EA5D74"/>
    <w:rsid w:val="00EA612B"/>
    <w:rsid w:val="00EA6949"/>
    <w:rsid w:val="00EA6A02"/>
    <w:rsid w:val="00EA6EC6"/>
    <w:rsid w:val="00EA7353"/>
    <w:rsid w:val="00EA7787"/>
    <w:rsid w:val="00EB00EF"/>
    <w:rsid w:val="00EB036A"/>
    <w:rsid w:val="00EB0518"/>
    <w:rsid w:val="00EB08FD"/>
    <w:rsid w:val="00EB345A"/>
    <w:rsid w:val="00EB3489"/>
    <w:rsid w:val="00EB44DC"/>
    <w:rsid w:val="00EB4E44"/>
    <w:rsid w:val="00EB545B"/>
    <w:rsid w:val="00EB5B24"/>
    <w:rsid w:val="00EB5ED0"/>
    <w:rsid w:val="00EB6C88"/>
    <w:rsid w:val="00EB705F"/>
    <w:rsid w:val="00EB70DB"/>
    <w:rsid w:val="00EB7D2F"/>
    <w:rsid w:val="00EC00B6"/>
    <w:rsid w:val="00EC25AE"/>
    <w:rsid w:val="00EC35AA"/>
    <w:rsid w:val="00EC3635"/>
    <w:rsid w:val="00EC5003"/>
    <w:rsid w:val="00EC51C5"/>
    <w:rsid w:val="00EC5C34"/>
    <w:rsid w:val="00EC6334"/>
    <w:rsid w:val="00EC7566"/>
    <w:rsid w:val="00EC7799"/>
    <w:rsid w:val="00EC77AE"/>
    <w:rsid w:val="00EC7C53"/>
    <w:rsid w:val="00ED0A38"/>
    <w:rsid w:val="00ED24D5"/>
    <w:rsid w:val="00ED2550"/>
    <w:rsid w:val="00ED382B"/>
    <w:rsid w:val="00ED3932"/>
    <w:rsid w:val="00ED4232"/>
    <w:rsid w:val="00ED6232"/>
    <w:rsid w:val="00EE1330"/>
    <w:rsid w:val="00EE170B"/>
    <w:rsid w:val="00EE28CD"/>
    <w:rsid w:val="00EE41E8"/>
    <w:rsid w:val="00EE4499"/>
    <w:rsid w:val="00EE44CA"/>
    <w:rsid w:val="00EE6E75"/>
    <w:rsid w:val="00EE719C"/>
    <w:rsid w:val="00EF01B1"/>
    <w:rsid w:val="00EF03DF"/>
    <w:rsid w:val="00EF0CE0"/>
    <w:rsid w:val="00EF240D"/>
    <w:rsid w:val="00EF2510"/>
    <w:rsid w:val="00EF2753"/>
    <w:rsid w:val="00EF29A7"/>
    <w:rsid w:val="00EF2A2C"/>
    <w:rsid w:val="00EF378A"/>
    <w:rsid w:val="00EF3A78"/>
    <w:rsid w:val="00EF4D3C"/>
    <w:rsid w:val="00EF5293"/>
    <w:rsid w:val="00EF623D"/>
    <w:rsid w:val="00EF6C66"/>
    <w:rsid w:val="00EF6E74"/>
    <w:rsid w:val="00F01538"/>
    <w:rsid w:val="00F02F19"/>
    <w:rsid w:val="00F03278"/>
    <w:rsid w:val="00F03935"/>
    <w:rsid w:val="00F04D18"/>
    <w:rsid w:val="00F054E5"/>
    <w:rsid w:val="00F05B17"/>
    <w:rsid w:val="00F05B23"/>
    <w:rsid w:val="00F0709B"/>
    <w:rsid w:val="00F109AD"/>
    <w:rsid w:val="00F11F73"/>
    <w:rsid w:val="00F1204C"/>
    <w:rsid w:val="00F13478"/>
    <w:rsid w:val="00F13E93"/>
    <w:rsid w:val="00F14272"/>
    <w:rsid w:val="00F1434A"/>
    <w:rsid w:val="00F16E71"/>
    <w:rsid w:val="00F1704D"/>
    <w:rsid w:val="00F172C7"/>
    <w:rsid w:val="00F20EB8"/>
    <w:rsid w:val="00F21B4A"/>
    <w:rsid w:val="00F21D1A"/>
    <w:rsid w:val="00F2409A"/>
    <w:rsid w:val="00F26DA9"/>
    <w:rsid w:val="00F270AC"/>
    <w:rsid w:val="00F27334"/>
    <w:rsid w:val="00F274AF"/>
    <w:rsid w:val="00F2779C"/>
    <w:rsid w:val="00F27A12"/>
    <w:rsid w:val="00F27E57"/>
    <w:rsid w:val="00F309B3"/>
    <w:rsid w:val="00F310A8"/>
    <w:rsid w:val="00F31728"/>
    <w:rsid w:val="00F3173B"/>
    <w:rsid w:val="00F3254A"/>
    <w:rsid w:val="00F33E01"/>
    <w:rsid w:val="00F3485C"/>
    <w:rsid w:val="00F35B76"/>
    <w:rsid w:val="00F367C9"/>
    <w:rsid w:val="00F37A9D"/>
    <w:rsid w:val="00F4112C"/>
    <w:rsid w:val="00F418B7"/>
    <w:rsid w:val="00F41BD4"/>
    <w:rsid w:val="00F41D35"/>
    <w:rsid w:val="00F41F7C"/>
    <w:rsid w:val="00F41FE7"/>
    <w:rsid w:val="00F43AE4"/>
    <w:rsid w:val="00F45674"/>
    <w:rsid w:val="00F45EBC"/>
    <w:rsid w:val="00F47340"/>
    <w:rsid w:val="00F47841"/>
    <w:rsid w:val="00F5240D"/>
    <w:rsid w:val="00F561EB"/>
    <w:rsid w:val="00F569D8"/>
    <w:rsid w:val="00F577E5"/>
    <w:rsid w:val="00F57CFC"/>
    <w:rsid w:val="00F57E09"/>
    <w:rsid w:val="00F61444"/>
    <w:rsid w:val="00F61BC8"/>
    <w:rsid w:val="00F62804"/>
    <w:rsid w:val="00F62967"/>
    <w:rsid w:val="00F64457"/>
    <w:rsid w:val="00F664E3"/>
    <w:rsid w:val="00F67729"/>
    <w:rsid w:val="00F67933"/>
    <w:rsid w:val="00F712E8"/>
    <w:rsid w:val="00F72010"/>
    <w:rsid w:val="00F737CE"/>
    <w:rsid w:val="00F73AEA"/>
    <w:rsid w:val="00F7401F"/>
    <w:rsid w:val="00F741C1"/>
    <w:rsid w:val="00F74C0C"/>
    <w:rsid w:val="00F7568A"/>
    <w:rsid w:val="00F756F3"/>
    <w:rsid w:val="00F76862"/>
    <w:rsid w:val="00F7706C"/>
    <w:rsid w:val="00F80EF5"/>
    <w:rsid w:val="00F8182D"/>
    <w:rsid w:val="00F823F9"/>
    <w:rsid w:val="00F8295E"/>
    <w:rsid w:val="00F83B05"/>
    <w:rsid w:val="00F84085"/>
    <w:rsid w:val="00F84D06"/>
    <w:rsid w:val="00F86467"/>
    <w:rsid w:val="00F86B44"/>
    <w:rsid w:val="00F87F98"/>
    <w:rsid w:val="00F90CF7"/>
    <w:rsid w:val="00F919B1"/>
    <w:rsid w:val="00F924BD"/>
    <w:rsid w:val="00F935A2"/>
    <w:rsid w:val="00F93C4B"/>
    <w:rsid w:val="00F944DC"/>
    <w:rsid w:val="00F951FC"/>
    <w:rsid w:val="00F9552D"/>
    <w:rsid w:val="00F96252"/>
    <w:rsid w:val="00FA0CA7"/>
    <w:rsid w:val="00FA1560"/>
    <w:rsid w:val="00FA1FB0"/>
    <w:rsid w:val="00FA234D"/>
    <w:rsid w:val="00FA3FB7"/>
    <w:rsid w:val="00FA4415"/>
    <w:rsid w:val="00FA4625"/>
    <w:rsid w:val="00FA4854"/>
    <w:rsid w:val="00FA4EF7"/>
    <w:rsid w:val="00FA7CCB"/>
    <w:rsid w:val="00FB0E09"/>
    <w:rsid w:val="00FB1568"/>
    <w:rsid w:val="00FB18CE"/>
    <w:rsid w:val="00FB25E8"/>
    <w:rsid w:val="00FB362D"/>
    <w:rsid w:val="00FB4214"/>
    <w:rsid w:val="00FB4DD0"/>
    <w:rsid w:val="00FB50AD"/>
    <w:rsid w:val="00FB59F6"/>
    <w:rsid w:val="00FB67B7"/>
    <w:rsid w:val="00FB6B47"/>
    <w:rsid w:val="00FB6CD9"/>
    <w:rsid w:val="00FB6CE2"/>
    <w:rsid w:val="00FB73FE"/>
    <w:rsid w:val="00FC0266"/>
    <w:rsid w:val="00FC149D"/>
    <w:rsid w:val="00FC3D0C"/>
    <w:rsid w:val="00FC49C8"/>
    <w:rsid w:val="00FC5109"/>
    <w:rsid w:val="00FC56A8"/>
    <w:rsid w:val="00FC5747"/>
    <w:rsid w:val="00FC6764"/>
    <w:rsid w:val="00FC741E"/>
    <w:rsid w:val="00FC7654"/>
    <w:rsid w:val="00FD0E30"/>
    <w:rsid w:val="00FD1076"/>
    <w:rsid w:val="00FD2174"/>
    <w:rsid w:val="00FD2287"/>
    <w:rsid w:val="00FD3974"/>
    <w:rsid w:val="00FD53A4"/>
    <w:rsid w:val="00FD5B56"/>
    <w:rsid w:val="00FE0332"/>
    <w:rsid w:val="00FE0F6D"/>
    <w:rsid w:val="00FE127C"/>
    <w:rsid w:val="00FE2EF5"/>
    <w:rsid w:val="00FE2F0D"/>
    <w:rsid w:val="00FE38AF"/>
    <w:rsid w:val="00FE38FF"/>
    <w:rsid w:val="00FE3C33"/>
    <w:rsid w:val="00FE4707"/>
    <w:rsid w:val="00FE790B"/>
    <w:rsid w:val="00FE7CA8"/>
    <w:rsid w:val="00FF1D10"/>
    <w:rsid w:val="00FF41C8"/>
    <w:rsid w:val="00FF5C2B"/>
    <w:rsid w:val="00FF60E4"/>
    <w:rsid w:val="00FF61D9"/>
    <w:rsid w:val="00FF6D50"/>
    <w:rsid w:val="00FF7B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9A460"/>
  <w15:docId w15:val="{FF4B8396-1454-4C4A-9EFD-C1CF952D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3BD"/>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7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2E7DF6"/>
    <w:pPr>
      <w:overflowPunct w:val="0"/>
      <w:autoSpaceDE w:val="0"/>
      <w:autoSpaceDN w:val="0"/>
      <w:adjustRightInd w:val="0"/>
      <w:textAlignment w:val="baseline"/>
    </w:pPr>
    <w:rPr>
      <w:rFonts w:ascii="Times New Roman" w:hAnsi="Times New Roman"/>
      <w:szCs w:val="20"/>
      <w:lang w:val="en-US"/>
    </w:rPr>
  </w:style>
  <w:style w:type="character" w:styleId="CommentReference">
    <w:name w:val="annotation reference"/>
    <w:semiHidden/>
    <w:rsid w:val="00BE4815"/>
    <w:rPr>
      <w:sz w:val="16"/>
      <w:szCs w:val="16"/>
    </w:rPr>
  </w:style>
  <w:style w:type="paragraph" w:styleId="CommentText">
    <w:name w:val="annotation text"/>
    <w:basedOn w:val="Normal"/>
    <w:semiHidden/>
    <w:rsid w:val="00BE4815"/>
    <w:rPr>
      <w:rFonts w:ascii="Times New Roman" w:hAnsi="Times New Roman"/>
      <w:sz w:val="20"/>
      <w:szCs w:val="20"/>
      <w:lang w:val="en-US"/>
    </w:rPr>
  </w:style>
  <w:style w:type="paragraph" w:styleId="BalloonText">
    <w:name w:val="Balloon Text"/>
    <w:basedOn w:val="Normal"/>
    <w:semiHidden/>
    <w:rsid w:val="00BE4815"/>
    <w:rPr>
      <w:rFonts w:ascii="Tahoma" w:hAnsi="Tahoma" w:cs="Tahoma"/>
      <w:sz w:val="16"/>
      <w:szCs w:val="16"/>
    </w:rPr>
  </w:style>
  <w:style w:type="paragraph" w:styleId="Footer">
    <w:name w:val="footer"/>
    <w:basedOn w:val="Normal"/>
    <w:link w:val="FooterChar"/>
    <w:uiPriority w:val="99"/>
    <w:rsid w:val="00C87064"/>
    <w:pPr>
      <w:tabs>
        <w:tab w:val="center" w:pos="4320"/>
        <w:tab w:val="right" w:pos="8640"/>
      </w:tabs>
    </w:pPr>
    <w:rPr>
      <w:rFonts w:cs="Times New Roman"/>
    </w:rPr>
  </w:style>
  <w:style w:type="character" w:styleId="PageNumber">
    <w:name w:val="page number"/>
    <w:basedOn w:val="DefaultParagraphFont"/>
    <w:rsid w:val="00C87064"/>
  </w:style>
  <w:style w:type="paragraph" w:styleId="Header">
    <w:name w:val="header"/>
    <w:basedOn w:val="Normal"/>
    <w:link w:val="HeaderChar"/>
    <w:uiPriority w:val="99"/>
    <w:rsid w:val="00C358AC"/>
    <w:pPr>
      <w:tabs>
        <w:tab w:val="center" w:pos="4320"/>
        <w:tab w:val="right" w:pos="8640"/>
      </w:tabs>
    </w:pPr>
    <w:rPr>
      <w:rFonts w:cs="Times New Roman"/>
    </w:rPr>
  </w:style>
  <w:style w:type="paragraph" w:customStyle="1" w:styleId="Char">
    <w:name w:val="Char"/>
    <w:basedOn w:val="Normal"/>
    <w:rsid w:val="001737B4"/>
    <w:rPr>
      <w:rFonts w:ascii="Times New Roman" w:hAnsi="Times New Roman" w:cs="Times New Roman"/>
      <w:lang w:val="pl-PL" w:eastAsia="pl-PL"/>
    </w:rPr>
  </w:style>
  <w:style w:type="paragraph" w:customStyle="1" w:styleId="CaracterCaracter">
    <w:name w:val="Caracter Caracter"/>
    <w:basedOn w:val="Normal"/>
    <w:rsid w:val="009C3A74"/>
    <w:rPr>
      <w:rFonts w:ascii="Times New Roman" w:hAnsi="Times New Roman" w:cs="Times New Roman"/>
      <w:lang w:val="pl-PL" w:eastAsia="pl-PL"/>
    </w:rPr>
  </w:style>
  <w:style w:type="character" w:customStyle="1" w:styleId="apple-converted-space">
    <w:name w:val="apple-converted-space"/>
    <w:basedOn w:val="DefaultParagraphFont"/>
    <w:rsid w:val="00AD0B98"/>
  </w:style>
  <w:style w:type="character" w:styleId="Hyperlink">
    <w:name w:val="Hyperlink"/>
    <w:uiPriority w:val="99"/>
    <w:unhideWhenUsed/>
    <w:rsid w:val="00926E1E"/>
    <w:rPr>
      <w:strike w:val="0"/>
      <w:dstrike w:val="0"/>
      <w:color w:val="0000FF"/>
      <w:u w:val="none"/>
      <w:effect w:val="none"/>
    </w:rPr>
  </w:style>
  <w:style w:type="paragraph" w:styleId="NormalWeb">
    <w:name w:val="Normal (Web)"/>
    <w:basedOn w:val="Normal"/>
    <w:unhideWhenUsed/>
    <w:rsid w:val="00926E1E"/>
    <w:pPr>
      <w:spacing w:before="100" w:beforeAutospacing="1" w:after="100" w:afterAutospacing="1"/>
    </w:pPr>
    <w:rPr>
      <w:rFonts w:ascii="Times New Roman" w:hAnsi="Times New Roman" w:cs="Times New Roman"/>
      <w:lang w:val="en-US"/>
    </w:rPr>
  </w:style>
  <w:style w:type="character" w:styleId="Strong">
    <w:name w:val="Strong"/>
    <w:uiPriority w:val="22"/>
    <w:qFormat/>
    <w:rsid w:val="00926E1E"/>
    <w:rPr>
      <w:b/>
      <w:bCs/>
    </w:rPr>
  </w:style>
  <w:style w:type="paragraph" w:customStyle="1" w:styleId="CharCharCaracterCaracter">
    <w:name w:val="Char Char Caracter Caracter"/>
    <w:basedOn w:val="Normal"/>
    <w:rsid w:val="00CB150F"/>
    <w:rPr>
      <w:rFonts w:ascii="Times New Roman" w:hAnsi="Times New Roman" w:cs="Times New Roman"/>
      <w:lang w:val="pl-PL" w:eastAsia="pl-PL"/>
    </w:rPr>
  </w:style>
  <w:style w:type="paragraph" w:styleId="ListParagraph">
    <w:name w:val="List Paragraph"/>
    <w:basedOn w:val="Normal"/>
    <w:uiPriority w:val="34"/>
    <w:qFormat/>
    <w:rsid w:val="00B52E67"/>
    <w:pPr>
      <w:ind w:left="720"/>
    </w:pPr>
  </w:style>
  <w:style w:type="paragraph" w:styleId="CommentSubject">
    <w:name w:val="annotation subject"/>
    <w:basedOn w:val="CommentText"/>
    <w:next w:val="CommentText"/>
    <w:semiHidden/>
    <w:rsid w:val="00596B3C"/>
    <w:rPr>
      <w:rFonts w:ascii="Arial" w:hAnsi="Arial"/>
      <w:b/>
      <w:bCs/>
      <w:lang w:val="ro-RO"/>
    </w:rPr>
  </w:style>
  <w:style w:type="paragraph" w:styleId="Revision">
    <w:name w:val="Revision"/>
    <w:hidden/>
    <w:uiPriority w:val="99"/>
    <w:semiHidden/>
    <w:rsid w:val="0077694D"/>
    <w:rPr>
      <w:rFonts w:ascii="Arial" w:hAnsi="Arial" w:cs="Arial"/>
      <w:sz w:val="24"/>
      <w:szCs w:val="24"/>
      <w:lang w:eastAsia="en-US"/>
    </w:rPr>
  </w:style>
  <w:style w:type="character" w:customStyle="1" w:styleId="st1">
    <w:name w:val="st1"/>
    <w:basedOn w:val="DefaultParagraphFont"/>
    <w:rsid w:val="00DE5ADB"/>
  </w:style>
  <w:style w:type="paragraph" w:styleId="BodyText2">
    <w:name w:val="Body Text 2"/>
    <w:basedOn w:val="Normal"/>
    <w:link w:val="BodyText2Char"/>
    <w:rsid w:val="00D86261"/>
    <w:pPr>
      <w:jc w:val="center"/>
    </w:pPr>
    <w:rPr>
      <w:rFonts w:ascii="Times New Roman" w:hAnsi="Times New Roman" w:cs="Times New Roman"/>
      <w:noProof/>
      <w:sz w:val="14"/>
    </w:rPr>
  </w:style>
  <w:style w:type="character" w:customStyle="1" w:styleId="BodyText2Char">
    <w:name w:val="Body Text 2 Char"/>
    <w:link w:val="BodyText2"/>
    <w:rsid w:val="00D86261"/>
    <w:rPr>
      <w:noProof/>
      <w:sz w:val="14"/>
      <w:szCs w:val="24"/>
      <w:lang w:val="ro-RO"/>
    </w:rPr>
  </w:style>
  <w:style w:type="character" w:customStyle="1" w:styleId="HeaderChar">
    <w:name w:val="Header Char"/>
    <w:link w:val="Header"/>
    <w:uiPriority w:val="99"/>
    <w:rsid w:val="00E76AA0"/>
    <w:rPr>
      <w:rFonts w:ascii="Arial" w:hAnsi="Arial" w:cs="Arial"/>
      <w:sz w:val="24"/>
      <w:szCs w:val="24"/>
      <w:lang w:eastAsia="en-US"/>
    </w:rPr>
  </w:style>
  <w:style w:type="paragraph" w:styleId="BodyText3">
    <w:name w:val="Body Text 3"/>
    <w:basedOn w:val="Normal"/>
    <w:link w:val="BodyText3Char"/>
    <w:rsid w:val="00A9513D"/>
    <w:pPr>
      <w:spacing w:after="120"/>
    </w:pPr>
    <w:rPr>
      <w:rFonts w:cs="Times New Roman"/>
      <w:sz w:val="16"/>
      <w:szCs w:val="16"/>
    </w:rPr>
  </w:style>
  <w:style w:type="character" w:customStyle="1" w:styleId="BodyText3Char">
    <w:name w:val="Body Text 3 Char"/>
    <w:link w:val="BodyText3"/>
    <w:rsid w:val="00A9513D"/>
    <w:rPr>
      <w:rFonts w:ascii="Arial" w:hAnsi="Arial" w:cs="Arial"/>
      <w:sz w:val="16"/>
      <w:szCs w:val="16"/>
      <w:lang w:eastAsia="en-US"/>
    </w:rPr>
  </w:style>
  <w:style w:type="paragraph" w:customStyle="1" w:styleId="CaracterCaracter0">
    <w:name w:val="Caracter Caracter"/>
    <w:basedOn w:val="Normal"/>
    <w:rsid w:val="0075009E"/>
    <w:rPr>
      <w:rFonts w:ascii="Times New Roman" w:hAnsi="Times New Roman" w:cs="Times New Roman"/>
      <w:lang w:val="pl-PL" w:eastAsia="pl-PL"/>
    </w:rPr>
  </w:style>
  <w:style w:type="character" w:customStyle="1" w:styleId="FooterChar">
    <w:name w:val="Footer Char"/>
    <w:link w:val="Footer"/>
    <w:uiPriority w:val="99"/>
    <w:rsid w:val="007E6E16"/>
    <w:rPr>
      <w:rFonts w:ascii="Arial" w:hAnsi="Arial" w:cs="Arial"/>
      <w:sz w:val="24"/>
      <w:szCs w:val="24"/>
      <w:lang w:val="ro-RO"/>
    </w:rPr>
  </w:style>
  <w:style w:type="paragraph" w:styleId="FootnoteText">
    <w:name w:val="footnote text"/>
    <w:basedOn w:val="Normal"/>
    <w:link w:val="FootnoteTextChar"/>
    <w:rsid w:val="009E4C31"/>
    <w:rPr>
      <w:sz w:val="20"/>
      <w:szCs w:val="20"/>
    </w:rPr>
  </w:style>
  <w:style w:type="character" w:customStyle="1" w:styleId="FootnoteTextChar">
    <w:name w:val="Footnote Text Char"/>
    <w:link w:val="FootnoteText"/>
    <w:rsid w:val="009E4C31"/>
    <w:rPr>
      <w:rFonts w:ascii="Arial" w:hAnsi="Arial" w:cs="Arial"/>
      <w:lang w:val="ro-RO"/>
    </w:rPr>
  </w:style>
  <w:style w:type="character" w:styleId="FootnoteReference">
    <w:name w:val="footnote reference"/>
    <w:aliases w:val=" Car Car Car Car Car Car Car Car Car, Car Car Car Car1 Car Car1, Car Car Car Car Car Car Car Car Car Car, Car Car Car Car1 Car Car Car Car Car Car, Car Car Car Car Car Car Car, Car Car Car Car1,Char2, Char1 Char Char,Car Car Car Car1"/>
    <w:rsid w:val="009E4C31"/>
    <w:rPr>
      <w:vertAlign w:val="superscript"/>
    </w:rPr>
  </w:style>
  <w:style w:type="character" w:customStyle="1" w:styleId="tpa1">
    <w:name w:val="tpa1"/>
    <w:rsid w:val="009637E8"/>
  </w:style>
  <w:style w:type="paragraph" w:styleId="EndnoteText">
    <w:name w:val="endnote text"/>
    <w:basedOn w:val="Normal"/>
    <w:link w:val="EndnoteTextChar"/>
    <w:rsid w:val="00B97092"/>
    <w:rPr>
      <w:rFonts w:ascii="Times New Roman" w:hAnsi="Times New Roman" w:cs="Times New Roman"/>
      <w:sz w:val="20"/>
      <w:szCs w:val="20"/>
      <w:lang w:val="en-GB" w:eastAsia="en-GB"/>
    </w:rPr>
  </w:style>
  <w:style w:type="character" w:customStyle="1" w:styleId="EndnoteTextChar">
    <w:name w:val="Endnote Text Char"/>
    <w:link w:val="EndnoteText"/>
    <w:rsid w:val="00B97092"/>
    <w:rPr>
      <w:lang w:val="en-GB" w:eastAsia="en-GB"/>
    </w:rPr>
  </w:style>
  <w:style w:type="character" w:styleId="EndnoteReference">
    <w:name w:val="endnote reference"/>
    <w:rsid w:val="00B97092"/>
    <w:rPr>
      <w:vertAlign w:val="superscript"/>
    </w:rPr>
  </w:style>
  <w:style w:type="character" w:customStyle="1" w:styleId="tal1">
    <w:name w:val="tal1"/>
    <w:rsid w:val="00EE719C"/>
  </w:style>
  <w:style w:type="paragraph" w:styleId="NoSpacing">
    <w:name w:val="No Spacing"/>
    <w:link w:val="NoSpacingChar"/>
    <w:uiPriority w:val="99"/>
    <w:qFormat/>
    <w:rsid w:val="0082367A"/>
    <w:pPr>
      <w:widowControl w:val="0"/>
      <w:suppressAutoHyphens/>
      <w:jc w:val="both"/>
    </w:pPr>
    <w:rPr>
      <w:rFonts w:eastAsia="Calibri"/>
      <w:sz w:val="24"/>
      <w:szCs w:val="24"/>
      <w:lang w:eastAsia="ar-SA"/>
    </w:rPr>
  </w:style>
  <w:style w:type="character" w:customStyle="1" w:styleId="NoSpacingChar">
    <w:name w:val="No Spacing Char"/>
    <w:link w:val="NoSpacing"/>
    <w:uiPriority w:val="99"/>
    <w:locked/>
    <w:rsid w:val="0082367A"/>
    <w:rPr>
      <w:rFonts w:eastAsia="Calibri"/>
      <w:sz w:val="24"/>
      <w:szCs w:val="24"/>
      <w:lang w:eastAsia="ar-SA"/>
    </w:rPr>
  </w:style>
  <w:style w:type="character" w:styleId="Emphasis">
    <w:name w:val="Emphasis"/>
    <w:uiPriority w:val="20"/>
    <w:qFormat/>
    <w:rsid w:val="0082367A"/>
    <w:rPr>
      <w:i/>
      <w:iCs/>
    </w:rPr>
  </w:style>
  <w:style w:type="paragraph" w:customStyle="1" w:styleId="Default">
    <w:name w:val="Default"/>
    <w:link w:val="DefaultChar"/>
    <w:rsid w:val="007038B5"/>
    <w:pPr>
      <w:autoSpaceDE w:val="0"/>
      <w:autoSpaceDN w:val="0"/>
      <w:adjustRightInd w:val="0"/>
    </w:pPr>
    <w:rPr>
      <w:color w:val="000000"/>
      <w:sz w:val="24"/>
      <w:szCs w:val="24"/>
      <w:lang w:eastAsia="en-US"/>
    </w:rPr>
  </w:style>
  <w:style w:type="character" w:customStyle="1" w:styleId="DefaultChar">
    <w:name w:val="Default Char"/>
    <w:basedOn w:val="DefaultParagraphFont"/>
    <w:link w:val="Default"/>
    <w:rsid w:val="007038B5"/>
    <w:rPr>
      <w:color w:val="000000"/>
      <w:sz w:val="24"/>
      <w:szCs w:val="24"/>
      <w:lang w:eastAsia="en-US"/>
    </w:rPr>
  </w:style>
  <w:style w:type="character" w:customStyle="1" w:styleId="oj-super">
    <w:name w:val="oj-super"/>
    <w:basedOn w:val="DefaultParagraphFont"/>
    <w:rsid w:val="007038B5"/>
  </w:style>
  <w:style w:type="character" w:styleId="FollowedHyperlink">
    <w:name w:val="FollowedHyperlink"/>
    <w:basedOn w:val="DefaultParagraphFont"/>
    <w:rsid w:val="00EE41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11007">
      <w:bodyDiv w:val="1"/>
      <w:marLeft w:val="0"/>
      <w:marRight w:val="0"/>
      <w:marTop w:val="0"/>
      <w:marBottom w:val="0"/>
      <w:divBdr>
        <w:top w:val="none" w:sz="0" w:space="0" w:color="auto"/>
        <w:left w:val="none" w:sz="0" w:space="0" w:color="auto"/>
        <w:bottom w:val="none" w:sz="0" w:space="0" w:color="auto"/>
        <w:right w:val="none" w:sz="0" w:space="0" w:color="auto"/>
      </w:divBdr>
    </w:div>
    <w:div w:id="686056767">
      <w:bodyDiv w:val="1"/>
      <w:marLeft w:val="0"/>
      <w:marRight w:val="0"/>
      <w:marTop w:val="0"/>
      <w:marBottom w:val="0"/>
      <w:divBdr>
        <w:top w:val="none" w:sz="0" w:space="0" w:color="auto"/>
        <w:left w:val="none" w:sz="0" w:space="0" w:color="auto"/>
        <w:bottom w:val="none" w:sz="0" w:space="0" w:color="auto"/>
        <w:right w:val="none" w:sz="0" w:space="0" w:color="auto"/>
      </w:divBdr>
      <w:divsChild>
        <w:div w:id="527253423">
          <w:marLeft w:val="0"/>
          <w:marRight w:val="0"/>
          <w:marTop w:val="0"/>
          <w:marBottom w:val="0"/>
          <w:divBdr>
            <w:top w:val="none" w:sz="0" w:space="0" w:color="auto"/>
            <w:left w:val="single" w:sz="6" w:space="0" w:color="BBBBBB"/>
            <w:bottom w:val="none" w:sz="0" w:space="0" w:color="auto"/>
            <w:right w:val="single" w:sz="6" w:space="0" w:color="BBBBBB"/>
          </w:divBdr>
          <w:divsChild>
            <w:div w:id="1891768252">
              <w:marLeft w:val="0"/>
              <w:marRight w:val="0"/>
              <w:marTop w:val="0"/>
              <w:marBottom w:val="0"/>
              <w:divBdr>
                <w:top w:val="none" w:sz="0" w:space="0" w:color="auto"/>
                <w:left w:val="single" w:sz="6" w:space="0" w:color="BBBBBB"/>
                <w:bottom w:val="none" w:sz="0" w:space="0" w:color="auto"/>
                <w:right w:val="single" w:sz="6" w:space="0" w:color="BBBBBB"/>
              </w:divBdr>
              <w:divsChild>
                <w:div w:id="901059248">
                  <w:marLeft w:val="180"/>
                  <w:marRight w:val="375"/>
                  <w:marTop w:val="0"/>
                  <w:marBottom w:val="0"/>
                  <w:divBdr>
                    <w:top w:val="none" w:sz="0" w:space="0" w:color="auto"/>
                    <w:left w:val="none" w:sz="0" w:space="0" w:color="auto"/>
                    <w:bottom w:val="none" w:sz="0" w:space="0" w:color="auto"/>
                    <w:right w:val="none" w:sz="0" w:space="0" w:color="auto"/>
                  </w:divBdr>
                  <w:divsChild>
                    <w:div w:id="76133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875217">
      <w:bodyDiv w:val="1"/>
      <w:marLeft w:val="0"/>
      <w:marRight w:val="0"/>
      <w:marTop w:val="0"/>
      <w:marBottom w:val="0"/>
      <w:divBdr>
        <w:top w:val="none" w:sz="0" w:space="0" w:color="auto"/>
        <w:left w:val="none" w:sz="0" w:space="0" w:color="auto"/>
        <w:bottom w:val="none" w:sz="0" w:space="0" w:color="auto"/>
        <w:right w:val="none" w:sz="0" w:space="0" w:color="auto"/>
      </w:divBdr>
      <w:divsChild>
        <w:div w:id="870532884">
          <w:marLeft w:val="0"/>
          <w:marRight w:val="0"/>
          <w:marTop w:val="0"/>
          <w:marBottom w:val="0"/>
          <w:divBdr>
            <w:top w:val="none" w:sz="0" w:space="0" w:color="auto"/>
            <w:left w:val="none" w:sz="0" w:space="0" w:color="auto"/>
            <w:bottom w:val="none" w:sz="0" w:space="0" w:color="auto"/>
            <w:right w:val="none" w:sz="0" w:space="0" w:color="auto"/>
          </w:divBdr>
        </w:div>
        <w:div w:id="1421638587">
          <w:marLeft w:val="0"/>
          <w:marRight w:val="0"/>
          <w:marTop w:val="0"/>
          <w:marBottom w:val="0"/>
          <w:divBdr>
            <w:top w:val="none" w:sz="0" w:space="0" w:color="auto"/>
            <w:left w:val="none" w:sz="0" w:space="0" w:color="auto"/>
            <w:bottom w:val="none" w:sz="0" w:space="0" w:color="auto"/>
            <w:right w:val="none" w:sz="0" w:space="0" w:color="auto"/>
          </w:divBdr>
        </w:div>
        <w:div w:id="1421877669">
          <w:marLeft w:val="0"/>
          <w:marRight w:val="0"/>
          <w:marTop w:val="0"/>
          <w:marBottom w:val="0"/>
          <w:divBdr>
            <w:top w:val="none" w:sz="0" w:space="0" w:color="auto"/>
            <w:left w:val="none" w:sz="0" w:space="0" w:color="auto"/>
            <w:bottom w:val="none" w:sz="0" w:space="0" w:color="auto"/>
            <w:right w:val="none" w:sz="0" w:space="0" w:color="auto"/>
          </w:divBdr>
        </w:div>
        <w:div w:id="1751584251">
          <w:marLeft w:val="0"/>
          <w:marRight w:val="0"/>
          <w:marTop w:val="0"/>
          <w:marBottom w:val="0"/>
          <w:divBdr>
            <w:top w:val="none" w:sz="0" w:space="0" w:color="auto"/>
            <w:left w:val="none" w:sz="0" w:space="0" w:color="auto"/>
            <w:bottom w:val="none" w:sz="0" w:space="0" w:color="auto"/>
            <w:right w:val="none" w:sz="0" w:space="0" w:color="auto"/>
          </w:divBdr>
        </w:div>
        <w:div w:id="1795177574">
          <w:marLeft w:val="0"/>
          <w:marRight w:val="0"/>
          <w:marTop w:val="0"/>
          <w:marBottom w:val="0"/>
          <w:divBdr>
            <w:top w:val="none" w:sz="0" w:space="0" w:color="auto"/>
            <w:left w:val="none" w:sz="0" w:space="0" w:color="auto"/>
            <w:bottom w:val="none" w:sz="0" w:space="0" w:color="auto"/>
            <w:right w:val="none" w:sz="0" w:space="0" w:color="auto"/>
          </w:divBdr>
        </w:div>
        <w:div w:id="1848522502">
          <w:marLeft w:val="0"/>
          <w:marRight w:val="0"/>
          <w:marTop w:val="0"/>
          <w:marBottom w:val="0"/>
          <w:divBdr>
            <w:top w:val="none" w:sz="0" w:space="0" w:color="auto"/>
            <w:left w:val="none" w:sz="0" w:space="0" w:color="auto"/>
            <w:bottom w:val="none" w:sz="0" w:space="0" w:color="auto"/>
            <w:right w:val="none" w:sz="0" w:space="0" w:color="auto"/>
          </w:divBdr>
        </w:div>
      </w:divsChild>
    </w:div>
    <w:div w:id="166836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1593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v.ro/ro/guvernul/cabinetul-de-ministri/ministrul-dezvoltarii-lucrarilor-publice-i-administratie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tistici.insse.ro:8077/tempo-online/" TargetMode="External"/><Relationship Id="rId2" Type="http://schemas.openxmlformats.org/officeDocument/2006/relationships/hyperlink" Target="http://www.insse.ro)-" TargetMode="External"/><Relationship Id="rId1" Type="http://schemas.openxmlformats.org/officeDocument/2006/relationships/hyperlink" Target="https://ec.europa.eu/eurostat/databrowser/view/DEMO_R_D3DENS__custom_1290680/default/table?lang=en" TargetMode="External"/><Relationship Id="rId5" Type="http://schemas.openxmlformats.org/officeDocument/2006/relationships/hyperlink" Target="http://statistici.insse.ro:8077/tempo-online/" TargetMode="External"/><Relationship Id="rId4" Type="http://schemas.openxmlformats.org/officeDocument/2006/relationships/hyperlink" Target="http://www.insse.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46851-2469-4E30-A3DD-46CD989B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3730</Words>
  <Characters>21262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Notă fundamentare</vt:lpstr>
    </vt:vector>
  </TitlesOfParts>
  <Company>Ministry of Public Finance</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fundamentare</dc:title>
  <dc:creator>Administrator</dc:creator>
  <cp:lastModifiedBy>GEORGIANA-ADINA IONITA</cp:lastModifiedBy>
  <cp:revision>3</cp:revision>
  <cp:lastPrinted>2021-10-18T06:48:00Z</cp:lastPrinted>
  <dcterms:created xsi:type="dcterms:W3CDTF">2021-12-21T13:46:00Z</dcterms:created>
  <dcterms:modified xsi:type="dcterms:W3CDTF">2021-12-30T13:19:00Z</dcterms:modified>
</cp:coreProperties>
</file>