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DE7" w:rsidRPr="007F2CE9" w:rsidRDefault="00BC5DE7" w:rsidP="00BC5DE7">
      <w:pPr>
        <w:jc w:val="center"/>
        <w:rPr>
          <w:rStyle w:val="do1"/>
          <w:lang w:val="ro-RO"/>
        </w:rPr>
      </w:pPr>
      <w:r w:rsidRPr="007F2CE9">
        <w:rPr>
          <w:b/>
          <w:bCs/>
          <w:noProof/>
          <w:lang w:val="en-US"/>
        </w:rPr>
        <w:drawing>
          <wp:inline distT="0" distB="0" distL="0" distR="0" wp14:anchorId="339914DB" wp14:editId="12C1D759">
            <wp:extent cx="685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pic:spPr>
                </pic:pic>
              </a:graphicData>
            </a:graphic>
          </wp:inline>
        </w:drawing>
      </w:r>
    </w:p>
    <w:p w:rsidR="00BC5DE7" w:rsidRPr="007F2CE9" w:rsidRDefault="00BC5DE7" w:rsidP="00003303">
      <w:pPr>
        <w:rPr>
          <w:rStyle w:val="do1"/>
          <w:lang w:val="ro-RO"/>
        </w:rPr>
      </w:pPr>
    </w:p>
    <w:p w:rsidR="00BC5DE7" w:rsidRPr="007F2CE9" w:rsidRDefault="00BC5DE7" w:rsidP="00003303">
      <w:pPr>
        <w:rPr>
          <w:rStyle w:val="do1"/>
          <w:rFonts w:ascii="Arial" w:hAnsi="Arial" w:cs="Arial"/>
          <w:lang w:val="ro-RO"/>
        </w:rPr>
      </w:pPr>
    </w:p>
    <w:p w:rsidR="00BC5DE7" w:rsidRPr="007F2CE9" w:rsidRDefault="00BC5DE7" w:rsidP="00BC5DE7">
      <w:pPr>
        <w:jc w:val="center"/>
        <w:rPr>
          <w:rStyle w:val="do1"/>
          <w:rFonts w:ascii="Arial" w:hAnsi="Arial" w:cs="Arial"/>
          <w:lang w:val="ro-RO"/>
        </w:rPr>
      </w:pPr>
      <w:r w:rsidRPr="007F2CE9">
        <w:rPr>
          <w:rStyle w:val="do1"/>
          <w:rFonts w:ascii="Arial" w:hAnsi="Arial" w:cs="Arial"/>
          <w:lang w:val="ro-RO"/>
        </w:rPr>
        <w:t>GUVERNUL ROMÂNIEI</w:t>
      </w:r>
    </w:p>
    <w:p w:rsidR="00BC5DE7" w:rsidRPr="007F2CE9" w:rsidRDefault="00BC5DE7" w:rsidP="00BC5DE7">
      <w:pPr>
        <w:jc w:val="center"/>
        <w:rPr>
          <w:rStyle w:val="do1"/>
          <w:rFonts w:ascii="Arial" w:hAnsi="Arial" w:cs="Arial"/>
          <w:lang w:val="ro-RO"/>
        </w:rPr>
      </w:pPr>
    </w:p>
    <w:p w:rsidR="00BC5DE7" w:rsidRPr="007F2CE9" w:rsidRDefault="00BC5DE7" w:rsidP="00BC5DE7">
      <w:pPr>
        <w:jc w:val="center"/>
        <w:rPr>
          <w:rStyle w:val="do1"/>
          <w:rFonts w:ascii="Arial" w:hAnsi="Arial" w:cs="Arial"/>
          <w:lang w:val="ro-RO"/>
        </w:rPr>
      </w:pPr>
    </w:p>
    <w:p w:rsidR="00BC5DE7" w:rsidRPr="007F2CE9" w:rsidRDefault="00BC5DE7" w:rsidP="00BC5DE7">
      <w:pPr>
        <w:jc w:val="center"/>
        <w:rPr>
          <w:rStyle w:val="do1"/>
          <w:rFonts w:ascii="Arial" w:hAnsi="Arial" w:cs="Arial"/>
          <w:lang w:val="ro-RO"/>
        </w:rPr>
      </w:pPr>
      <w:r w:rsidRPr="007F2CE9">
        <w:rPr>
          <w:rStyle w:val="do1"/>
          <w:rFonts w:ascii="Arial" w:hAnsi="Arial" w:cs="Arial"/>
          <w:lang w:val="ro-RO"/>
        </w:rPr>
        <w:t>HOTĂRÂRE</w:t>
      </w:r>
    </w:p>
    <w:p w:rsidR="00003303" w:rsidRPr="007F2CE9" w:rsidRDefault="00003303" w:rsidP="00BC5DE7">
      <w:pPr>
        <w:jc w:val="center"/>
        <w:rPr>
          <w:rFonts w:ascii="Arial" w:hAnsi="Arial" w:cs="Arial"/>
          <w:lang w:val="ro-RO"/>
        </w:rPr>
      </w:pPr>
      <w:r w:rsidRPr="007F2CE9">
        <w:rPr>
          <w:rStyle w:val="do1"/>
          <w:rFonts w:ascii="Arial" w:hAnsi="Arial" w:cs="Arial"/>
          <w:lang w:val="ro-RO"/>
        </w:rPr>
        <w:t xml:space="preserve">privind intensitatea maximă a ajutorului de stat regional </w:t>
      </w:r>
      <w:r w:rsidR="00613D8B" w:rsidRPr="007F2CE9">
        <w:rPr>
          <w:rStyle w:val="do1"/>
          <w:rFonts w:ascii="Arial" w:hAnsi="Arial" w:cs="Arial"/>
          <w:lang w:val="ro-RO"/>
        </w:rPr>
        <w:t>în perioada 20</w:t>
      </w:r>
      <w:r w:rsidR="007901DA" w:rsidRPr="007F2CE9">
        <w:rPr>
          <w:rStyle w:val="do1"/>
          <w:rFonts w:ascii="Arial" w:hAnsi="Arial" w:cs="Arial"/>
          <w:lang w:val="ro-RO"/>
        </w:rPr>
        <w:t>22</w:t>
      </w:r>
      <w:r w:rsidR="00613D8B" w:rsidRPr="007F2CE9">
        <w:rPr>
          <w:rStyle w:val="do1"/>
          <w:rFonts w:ascii="Arial" w:hAnsi="Arial" w:cs="Arial"/>
          <w:lang w:val="ro-RO"/>
        </w:rPr>
        <w:t>-202</w:t>
      </w:r>
      <w:r w:rsidR="007901DA" w:rsidRPr="007F2CE9">
        <w:rPr>
          <w:rStyle w:val="do1"/>
          <w:rFonts w:ascii="Arial" w:hAnsi="Arial" w:cs="Arial"/>
          <w:lang w:val="ro-RO"/>
        </w:rPr>
        <w:t>7</w:t>
      </w:r>
      <w:r w:rsidR="00613D8B" w:rsidRPr="007F2CE9">
        <w:rPr>
          <w:rFonts w:ascii="Arial" w:hAnsi="Arial" w:cs="Arial"/>
          <w:b/>
          <w:color w:val="000000"/>
          <w:lang w:val="ro-RO" w:eastAsia="ro-RO"/>
        </w:rPr>
        <w:t xml:space="preserve"> </w:t>
      </w:r>
      <w:r w:rsidRPr="007F2CE9">
        <w:rPr>
          <w:rStyle w:val="do1"/>
          <w:rFonts w:ascii="Arial" w:hAnsi="Arial" w:cs="Arial"/>
          <w:lang w:val="ro-RO"/>
        </w:rPr>
        <w:t xml:space="preserve">pentru </w:t>
      </w:r>
      <w:r w:rsidR="00FC0561" w:rsidRPr="007F2CE9">
        <w:rPr>
          <w:rStyle w:val="do1"/>
          <w:rFonts w:ascii="Arial" w:hAnsi="Arial" w:cs="Arial"/>
          <w:lang w:val="ro-RO"/>
        </w:rPr>
        <w:t>investiții</w:t>
      </w:r>
      <w:r w:rsidRPr="007F2CE9">
        <w:rPr>
          <w:rStyle w:val="do1"/>
          <w:rFonts w:ascii="Arial" w:hAnsi="Arial" w:cs="Arial"/>
          <w:lang w:val="ro-RO"/>
        </w:rPr>
        <w:t xml:space="preserve"> </w:t>
      </w:r>
      <w:r w:rsidR="00FC0561" w:rsidRPr="007F2CE9">
        <w:rPr>
          <w:rStyle w:val="do1"/>
          <w:rFonts w:ascii="Arial" w:hAnsi="Arial" w:cs="Arial"/>
          <w:lang w:val="ro-RO"/>
        </w:rPr>
        <w:t>inițiale</w:t>
      </w:r>
    </w:p>
    <w:p w:rsidR="00003303" w:rsidRPr="007F2CE9" w:rsidRDefault="00003303" w:rsidP="00BC5DE7">
      <w:pPr>
        <w:jc w:val="center"/>
        <w:rPr>
          <w:rFonts w:ascii="Arial" w:hAnsi="Arial" w:cs="Arial"/>
          <w:lang w:val="ro-RO"/>
        </w:rPr>
      </w:pPr>
      <w:bookmarkStart w:id="0" w:name="do|pa1"/>
      <w:bookmarkEnd w:id="0"/>
    </w:p>
    <w:p w:rsidR="00057416" w:rsidRPr="007F2CE9" w:rsidRDefault="00057416" w:rsidP="00003303">
      <w:pPr>
        <w:jc w:val="both"/>
        <w:rPr>
          <w:rFonts w:ascii="Arial" w:hAnsi="Arial" w:cs="Arial"/>
          <w:lang w:val="ro-RO"/>
        </w:rPr>
      </w:pPr>
    </w:p>
    <w:p w:rsidR="00FC0561" w:rsidRPr="00F8441F" w:rsidRDefault="00FC0561" w:rsidP="00003303">
      <w:pPr>
        <w:jc w:val="both"/>
        <w:rPr>
          <w:rStyle w:val="spar"/>
          <w:rFonts w:ascii="Arial" w:hAnsi="Arial" w:cs="Arial"/>
          <w:color w:val="000000"/>
          <w:bdr w:val="none" w:sz="0" w:space="0" w:color="auto" w:frame="1"/>
          <w:shd w:val="clear" w:color="auto" w:fill="FFFFFF"/>
          <w:lang w:val="ro-RO"/>
        </w:rPr>
      </w:pPr>
      <w:r w:rsidRPr="00F8441F">
        <w:rPr>
          <w:rStyle w:val="spar"/>
          <w:rFonts w:ascii="Arial" w:hAnsi="Arial" w:cs="Arial"/>
          <w:bdr w:val="none" w:sz="0" w:space="0" w:color="auto" w:frame="1"/>
          <w:shd w:val="clear" w:color="auto" w:fill="FFFFFF"/>
          <w:lang w:val="ro-RO"/>
        </w:rPr>
        <w:t>În temeiul </w:t>
      </w:r>
      <w:hyperlink r:id="rId6" w:anchor="A591" w:history="1">
        <w:r w:rsidRPr="00F8441F">
          <w:rPr>
            <w:rStyle w:val="Hyperlink"/>
            <w:rFonts w:ascii="Arial" w:hAnsi="Arial" w:cs="Arial"/>
            <w:color w:val="auto"/>
            <w:u w:val="none"/>
            <w:bdr w:val="none" w:sz="0" w:space="0" w:color="auto" w:frame="1"/>
            <w:shd w:val="clear" w:color="auto" w:fill="FFFFFF"/>
            <w:lang w:val="ro-RO"/>
          </w:rPr>
          <w:t>art. 108 din Constituția României, republicată</w:t>
        </w:r>
      </w:hyperlink>
      <w:r w:rsidRPr="00F8441F">
        <w:rPr>
          <w:rStyle w:val="spar"/>
          <w:rFonts w:ascii="Arial" w:hAnsi="Arial" w:cs="Arial"/>
          <w:bdr w:val="none" w:sz="0" w:space="0" w:color="auto" w:frame="1"/>
          <w:shd w:val="clear" w:color="auto" w:fill="FFFFFF"/>
          <w:lang w:val="ro-RO"/>
        </w:rPr>
        <w:t>, și având în vedere prevederile Tratatului de aderare a Republicii Bulgaria și a României la Uniunea Europeană, ratificat prin </w:t>
      </w:r>
      <w:hyperlink r:id="rId7" w:history="1">
        <w:r w:rsidRPr="00F8441F">
          <w:rPr>
            <w:rStyle w:val="Hyperlink"/>
            <w:rFonts w:ascii="Arial" w:hAnsi="Arial" w:cs="Arial"/>
            <w:color w:val="auto"/>
            <w:u w:val="none"/>
            <w:bdr w:val="none" w:sz="0" w:space="0" w:color="auto" w:frame="1"/>
            <w:shd w:val="clear" w:color="auto" w:fill="FFFFFF"/>
            <w:lang w:val="ro-RO"/>
          </w:rPr>
          <w:t>Legea nr. 157/2005</w:t>
        </w:r>
      </w:hyperlink>
      <w:r w:rsidRPr="00F8441F">
        <w:rPr>
          <w:rStyle w:val="spar"/>
          <w:rFonts w:ascii="Arial" w:hAnsi="Arial" w:cs="Arial"/>
          <w:bdr w:val="none" w:sz="0" w:space="0" w:color="auto" w:frame="1"/>
          <w:shd w:val="clear" w:color="auto" w:fill="FFFFFF"/>
          <w:lang w:val="ro-RO"/>
        </w:rPr>
        <w:t xml:space="preserve">, ale </w:t>
      </w:r>
      <w:r w:rsidR="00A97E4C" w:rsidRPr="00F8441F">
        <w:rPr>
          <w:rStyle w:val="spar"/>
          <w:rFonts w:ascii="Arial" w:hAnsi="Arial" w:cs="Arial"/>
          <w:bdr w:val="none" w:sz="0" w:space="0" w:color="auto" w:frame="1"/>
          <w:shd w:val="clear" w:color="auto" w:fill="FFFFFF"/>
          <w:lang w:val="ro-RO"/>
        </w:rPr>
        <w:t xml:space="preserve">Comunicării Comisiei - </w:t>
      </w:r>
      <w:r w:rsidRPr="00F8441F">
        <w:rPr>
          <w:rStyle w:val="spar"/>
          <w:rFonts w:ascii="Arial" w:hAnsi="Arial" w:cs="Arial"/>
          <w:bdr w:val="none" w:sz="0" w:space="0" w:color="auto" w:frame="1"/>
          <w:shd w:val="clear" w:color="auto" w:fill="FFFFFF"/>
          <w:lang w:val="ro-RO"/>
        </w:rPr>
        <w:t>Orientăril</w:t>
      </w:r>
      <w:r w:rsidR="00A97E4C" w:rsidRPr="00F8441F">
        <w:rPr>
          <w:rStyle w:val="spar"/>
          <w:rFonts w:ascii="Arial" w:hAnsi="Arial" w:cs="Arial"/>
          <w:bdr w:val="none" w:sz="0" w:space="0" w:color="auto" w:frame="1"/>
          <w:shd w:val="clear" w:color="auto" w:fill="FFFFFF"/>
          <w:lang w:val="ro-RO"/>
        </w:rPr>
        <w:t>e</w:t>
      </w:r>
      <w:r w:rsidRPr="00F8441F">
        <w:rPr>
          <w:rStyle w:val="spar"/>
          <w:rFonts w:ascii="Arial" w:hAnsi="Arial" w:cs="Arial"/>
          <w:bdr w:val="none" w:sz="0" w:space="0" w:color="auto" w:frame="1"/>
          <w:shd w:val="clear" w:color="auto" w:fill="FFFFFF"/>
          <w:lang w:val="ro-RO"/>
        </w:rPr>
        <w:t xml:space="preserve"> privind ajutoarele de stat regionale</w:t>
      </w:r>
      <w:r w:rsidR="00A97E4C" w:rsidRPr="00F8441F">
        <w:rPr>
          <w:rStyle w:val="spar"/>
          <w:rFonts w:ascii="Arial" w:hAnsi="Arial" w:cs="Arial"/>
          <w:bdr w:val="none" w:sz="0" w:space="0" w:color="auto" w:frame="1"/>
          <w:shd w:val="clear" w:color="auto" w:fill="FFFFFF"/>
          <w:lang w:val="ro-RO"/>
        </w:rPr>
        <w:t>,</w:t>
      </w:r>
      <w:r w:rsidRPr="00F8441F">
        <w:rPr>
          <w:rStyle w:val="spar"/>
          <w:rFonts w:ascii="Arial" w:hAnsi="Arial" w:cs="Arial"/>
          <w:color w:val="000000"/>
          <w:bdr w:val="none" w:sz="0" w:space="0" w:color="auto" w:frame="1"/>
          <w:shd w:val="clear" w:color="auto" w:fill="FFFFFF"/>
          <w:lang w:val="ro-RO"/>
        </w:rPr>
        <w:t xml:space="preserve"> publicate în Jurnalul Oficial al Uniunii Europene nr. C </w:t>
      </w:r>
      <w:r w:rsidR="0072265B" w:rsidRPr="00F8441F">
        <w:rPr>
          <w:rStyle w:val="spar"/>
          <w:rFonts w:ascii="Arial" w:hAnsi="Arial" w:cs="Arial"/>
          <w:color w:val="000000"/>
          <w:bdr w:val="none" w:sz="0" w:space="0" w:color="auto" w:frame="1"/>
          <w:shd w:val="clear" w:color="auto" w:fill="FFFFFF"/>
          <w:lang w:val="ro-RO"/>
        </w:rPr>
        <w:t>153</w:t>
      </w:r>
      <w:r w:rsidRPr="00F8441F">
        <w:rPr>
          <w:rStyle w:val="spar"/>
          <w:rFonts w:ascii="Arial" w:hAnsi="Arial" w:cs="Arial"/>
          <w:color w:val="000000"/>
          <w:bdr w:val="none" w:sz="0" w:space="0" w:color="auto" w:frame="1"/>
          <w:shd w:val="clear" w:color="auto" w:fill="FFFFFF"/>
          <w:lang w:val="ro-RO"/>
        </w:rPr>
        <w:t xml:space="preserve"> din 2</w:t>
      </w:r>
      <w:r w:rsidR="0072265B" w:rsidRPr="00F8441F">
        <w:rPr>
          <w:rStyle w:val="spar"/>
          <w:rFonts w:ascii="Arial" w:hAnsi="Arial" w:cs="Arial"/>
          <w:color w:val="000000"/>
          <w:bdr w:val="none" w:sz="0" w:space="0" w:color="auto" w:frame="1"/>
          <w:shd w:val="clear" w:color="auto" w:fill="FFFFFF"/>
          <w:lang w:val="ro-RO"/>
        </w:rPr>
        <w:t>9</w:t>
      </w:r>
      <w:r w:rsidRPr="00F8441F">
        <w:rPr>
          <w:rStyle w:val="spar"/>
          <w:rFonts w:ascii="Arial" w:hAnsi="Arial" w:cs="Arial"/>
          <w:color w:val="000000"/>
          <w:bdr w:val="none" w:sz="0" w:space="0" w:color="auto" w:frame="1"/>
          <w:shd w:val="clear" w:color="auto" w:fill="FFFFFF"/>
          <w:lang w:val="ro-RO"/>
        </w:rPr>
        <w:t xml:space="preserve"> </w:t>
      </w:r>
      <w:r w:rsidR="0072265B" w:rsidRPr="00F8441F">
        <w:rPr>
          <w:rStyle w:val="spar"/>
          <w:rFonts w:ascii="Arial" w:hAnsi="Arial" w:cs="Arial"/>
          <w:color w:val="000000"/>
          <w:bdr w:val="none" w:sz="0" w:space="0" w:color="auto" w:frame="1"/>
          <w:shd w:val="clear" w:color="auto" w:fill="FFFFFF"/>
          <w:lang w:val="ro-RO"/>
        </w:rPr>
        <w:t>aprilie</w:t>
      </w:r>
      <w:r w:rsidRPr="00F8441F">
        <w:rPr>
          <w:rStyle w:val="spar"/>
          <w:rFonts w:ascii="Arial" w:hAnsi="Arial" w:cs="Arial"/>
          <w:color w:val="000000"/>
          <w:bdr w:val="none" w:sz="0" w:space="0" w:color="auto" w:frame="1"/>
          <w:shd w:val="clear" w:color="auto" w:fill="FFFFFF"/>
          <w:lang w:val="ro-RO"/>
        </w:rPr>
        <w:t xml:space="preserve"> 20</w:t>
      </w:r>
      <w:r w:rsidR="0072265B" w:rsidRPr="00F8441F">
        <w:rPr>
          <w:rStyle w:val="spar"/>
          <w:rFonts w:ascii="Arial" w:hAnsi="Arial" w:cs="Arial"/>
          <w:color w:val="000000"/>
          <w:bdr w:val="none" w:sz="0" w:space="0" w:color="auto" w:frame="1"/>
          <w:shd w:val="clear" w:color="auto" w:fill="FFFFFF"/>
          <w:lang w:val="ro-RO"/>
        </w:rPr>
        <w:t>21</w:t>
      </w:r>
      <w:r w:rsidRPr="00F8441F">
        <w:rPr>
          <w:rStyle w:val="spar"/>
          <w:rFonts w:ascii="Arial" w:hAnsi="Arial" w:cs="Arial"/>
          <w:color w:val="000000"/>
          <w:bdr w:val="none" w:sz="0" w:space="0" w:color="auto" w:frame="1"/>
          <w:shd w:val="clear" w:color="auto" w:fill="FFFFFF"/>
          <w:lang w:val="ro-RO"/>
        </w:rPr>
        <w:t xml:space="preserve">, </w:t>
      </w:r>
      <w:r w:rsidRPr="00F8441F">
        <w:rPr>
          <w:rStyle w:val="spar"/>
          <w:rFonts w:ascii="Arial" w:hAnsi="Arial" w:cs="Arial"/>
          <w:bdr w:val="none" w:sz="0" w:space="0" w:color="auto" w:frame="1"/>
          <w:shd w:val="clear" w:color="auto" w:fill="FFFFFF"/>
          <w:lang w:val="ro-RO"/>
        </w:rPr>
        <w:t>ale </w:t>
      </w:r>
      <w:hyperlink r:id="rId8" w:history="1">
        <w:r w:rsidRPr="00F8441F">
          <w:rPr>
            <w:rStyle w:val="Hyperlink"/>
            <w:rFonts w:ascii="Arial" w:hAnsi="Arial" w:cs="Arial"/>
            <w:color w:val="auto"/>
            <w:u w:val="none"/>
            <w:bdr w:val="none" w:sz="0" w:space="0" w:color="auto" w:frame="1"/>
            <w:shd w:val="clear" w:color="auto" w:fill="FFFFFF"/>
            <w:lang w:val="ro-RO"/>
          </w:rPr>
          <w:t>Legii nr. 315/2004</w:t>
        </w:r>
      </w:hyperlink>
      <w:r w:rsidRPr="00F8441F">
        <w:rPr>
          <w:rStyle w:val="spar"/>
          <w:rFonts w:ascii="Arial" w:hAnsi="Arial" w:cs="Arial"/>
          <w:color w:val="000000"/>
          <w:bdr w:val="none" w:sz="0" w:space="0" w:color="auto" w:frame="1"/>
          <w:shd w:val="clear" w:color="auto" w:fill="FFFFFF"/>
          <w:lang w:val="ro-RO"/>
        </w:rPr>
        <w:t xml:space="preserve"> privind dezvoltarea regională în România, cu modificările și completările ulterioare, precum și ale Deciziei Comisiei Europene </w:t>
      </w:r>
      <w:r w:rsidR="00026464">
        <w:rPr>
          <w:rStyle w:val="spar"/>
          <w:rFonts w:ascii="Arial" w:hAnsi="Arial" w:cs="Arial"/>
          <w:color w:val="000000"/>
          <w:bdr w:val="none" w:sz="0" w:space="0" w:color="auto" w:frame="1"/>
          <w:shd w:val="clear" w:color="auto" w:fill="FFFFFF"/>
          <w:lang w:val="ro-RO"/>
        </w:rPr>
        <w:t xml:space="preserve">nr. </w:t>
      </w:r>
      <w:bookmarkStart w:id="1" w:name="_GoBack"/>
      <w:r w:rsidR="00026464" w:rsidRPr="00026464">
        <w:rPr>
          <w:rStyle w:val="spar"/>
          <w:rFonts w:ascii="Arial" w:hAnsi="Arial" w:cs="Arial"/>
          <w:color w:val="000000"/>
          <w:bdr w:val="none" w:sz="0" w:space="0" w:color="auto" w:frame="1"/>
          <w:shd w:val="clear" w:color="auto" w:fill="FFFFFF"/>
          <w:lang w:val="ro-RO"/>
        </w:rPr>
        <w:t>C</w:t>
      </w:r>
      <w:r w:rsidR="00E42E8A">
        <w:rPr>
          <w:rStyle w:val="spar"/>
          <w:rFonts w:ascii="Arial" w:hAnsi="Arial" w:cs="Arial"/>
          <w:color w:val="000000"/>
          <w:bdr w:val="none" w:sz="0" w:space="0" w:color="auto" w:frame="1"/>
          <w:shd w:val="clear" w:color="auto" w:fill="FFFFFF"/>
          <w:lang w:val="ro-RO"/>
        </w:rPr>
        <w:t xml:space="preserve"> </w:t>
      </w:r>
      <w:r w:rsidR="00026464" w:rsidRPr="00026464">
        <w:rPr>
          <w:rStyle w:val="spar"/>
          <w:rFonts w:ascii="Arial" w:hAnsi="Arial" w:cs="Arial"/>
          <w:color w:val="000000"/>
          <w:bdr w:val="none" w:sz="0" w:space="0" w:color="auto" w:frame="1"/>
          <w:shd w:val="clear" w:color="auto" w:fill="FFFFFF"/>
          <w:lang w:val="ro-RO"/>
        </w:rPr>
        <w:t>(2021) 9750 final</w:t>
      </w:r>
      <w:r w:rsidR="00026464">
        <w:rPr>
          <w:rStyle w:val="spar"/>
          <w:rFonts w:ascii="Arial" w:hAnsi="Arial" w:cs="Arial"/>
          <w:color w:val="000000"/>
          <w:bdr w:val="none" w:sz="0" w:space="0" w:color="auto" w:frame="1"/>
          <w:shd w:val="clear" w:color="auto" w:fill="FFFFFF"/>
          <w:lang w:val="ro-RO"/>
        </w:rPr>
        <w:t>/</w:t>
      </w:r>
      <w:r w:rsidR="00026464" w:rsidRPr="00026464">
        <w:rPr>
          <w:rStyle w:val="spar"/>
          <w:rFonts w:ascii="Arial" w:hAnsi="Arial" w:cs="Arial"/>
          <w:color w:val="000000"/>
          <w:bdr w:val="none" w:sz="0" w:space="0" w:color="auto" w:frame="1"/>
          <w:shd w:val="clear" w:color="auto" w:fill="FFFFFF"/>
          <w:lang w:val="ro-RO"/>
        </w:rPr>
        <w:t>20.12.2021</w:t>
      </w:r>
      <w:bookmarkEnd w:id="1"/>
      <w:r w:rsidR="00026464" w:rsidRPr="00F8441F">
        <w:rPr>
          <w:rStyle w:val="spar"/>
          <w:rFonts w:ascii="Arial" w:hAnsi="Arial" w:cs="Arial"/>
          <w:color w:val="000000"/>
          <w:bdr w:val="none" w:sz="0" w:space="0" w:color="auto" w:frame="1"/>
          <w:shd w:val="clear" w:color="auto" w:fill="FFFFFF"/>
          <w:lang w:val="ro-RO"/>
        </w:rPr>
        <w:t xml:space="preserve"> </w:t>
      </w:r>
      <w:r w:rsidRPr="00F8441F">
        <w:rPr>
          <w:rStyle w:val="spar"/>
          <w:rFonts w:ascii="Arial" w:hAnsi="Arial" w:cs="Arial"/>
          <w:color w:val="000000"/>
          <w:bdr w:val="none" w:sz="0" w:space="0" w:color="auto" w:frame="1"/>
          <w:shd w:val="clear" w:color="auto" w:fill="FFFFFF"/>
          <w:lang w:val="ro-RO"/>
        </w:rPr>
        <w:t xml:space="preserve">de autorizare a hărții notificate a ajutoarelor </w:t>
      </w:r>
      <w:r w:rsidR="00FE45BF" w:rsidRPr="00F8441F">
        <w:rPr>
          <w:rStyle w:val="spar"/>
          <w:rFonts w:ascii="Arial" w:hAnsi="Arial" w:cs="Arial"/>
          <w:color w:val="000000"/>
          <w:bdr w:val="none" w:sz="0" w:space="0" w:color="auto" w:frame="1"/>
          <w:shd w:val="clear" w:color="auto" w:fill="FFFFFF"/>
          <w:lang w:val="ro-RO"/>
        </w:rPr>
        <w:t xml:space="preserve">de stat </w:t>
      </w:r>
      <w:r w:rsidRPr="00F8441F">
        <w:rPr>
          <w:rStyle w:val="spar"/>
          <w:rFonts w:ascii="Arial" w:hAnsi="Arial" w:cs="Arial"/>
          <w:color w:val="000000"/>
          <w:bdr w:val="none" w:sz="0" w:space="0" w:color="auto" w:frame="1"/>
          <w:shd w:val="clear" w:color="auto" w:fill="FFFFFF"/>
          <w:lang w:val="ro-RO"/>
        </w:rPr>
        <w:t>regionale aferente perioadei 20</w:t>
      </w:r>
      <w:r w:rsidR="0072265B" w:rsidRPr="00F8441F">
        <w:rPr>
          <w:rStyle w:val="spar"/>
          <w:rFonts w:ascii="Arial" w:hAnsi="Arial" w:cs="Arial"/>
          <w:color w:val="000000"/>
          <w:bdr w:val="none" w:sz="0" w:space="0" w:color="auto" w:frame="1"/>
          <w:shd w:val="clear" w:color="auto" w:fill="FFFFFF"/>
          <w:lang w:val="ro-RO"/>
        </w:rPr>
        <w:t>22</w:t>
      </w:r>
      <w:r w:rsidRPr="00F8441F">
        <w:rPr>
          <w:rStyle w:val="spar"/>
          <w:rFonts w:ascii="Arial" w:hAnsi="Arial" w:cs="Arial"/>
          <w:color w:val="000000"/>
          <w:bdr w:val="none" w:sz="0" w:space="0" w:color="auto" w:frame="1"/>
          <w:shd w:val="clear" w:color="auto" w:fill="FFFFFF"/>
          <w:lang w:val="ro-RO"/>
        </w:rPr>
        <w:t>-202</w:t>
      </w:r>
      <w:r w:rsidR="0072265B" w:rsidRPr="00F8441F">
        <w:rPr>
          <w:rStyle w:val="spar"/>
          <w:rFonts w:ascii="Arial" w:hAnsi="Arial" w:cs="Arial"/>
          <w:color w:val="000000"/>
          <w:bdr w:val="none" w:sz="0" w:space="0" w:color="auto" w:frame="1"/>
          <w:shd w:val="clear" w:color="auto" w:fill="FFFFFF"/>
          <w:lang w:val="ro-RO"/>
        </w:rPr>
        <w:t>7</w:t>
      </w:r>
      <w:r w:rsidRPr="00F8441F">
        <w:rPr>
          <w:rStyle w:val="spar"/>
          <w:rFonts w:ascii="Arial" w:hAnsi="Arial" w:cs="Arial"/>
          <w:color w:val="000000"/>
          <w:bdr w:val="none" w:sz="0" w:space="0" w:color="auto" w:frame="1"/>
          <w:shd w:val="clear" w:color="auto" w:fill="FFFFFF"/>
          <w:lang w:val="ro-RO"/>
        </w:rPr>
        <w:t xml:space="preserve"> pentru România,</w:t>
      </w:r>
    </w:p>
    <w:p w:rsidR="00FC0561" w:rsidRPr="00F8441F" w:rsidRDefault="00FC0561" w:rsidP="00003303">
      <w:pPr>
        <w:jc w:val="both"/>
        <w:rPr>
          <w:rStyle w:val="spar"/>
          <w:rFonts w:ascii="Arial" w:hAnsi="Arial" w:cs="Arial"/>
          <w:color w:val="000000"/>
          <w:bdr w:val="none" w:sz="0" w:space="0" w:color="auto" w:frame="1"/>
          <w:shd w:val="clear" w:color="auto" w:fill="FFFFFF"/>
          <w:lang w:val="ro-RO"/>
        </w:rPr>
      </w:pPr>
    </w:p>
    <w:p w:rsidR="00023B06" w:rsidRPr="00F8441F" w:rsidRDefault="00FC0561" w:rsidP="00003303">
      <w:pPr>
        <w:jc w:val="both"/>
        <w:rPr>
          <w:rFonts w:ascii="Arial" w:hAnsi="Arial" w:cs="Arial"/>
          <w:b/>
          <w:bCs/>
          <w:color w:val="FF0000"/>
          <w:lang w:val="ro-RO"/>
        </w:rPr>
      </w:pPr>
      <w:r w:rsidRPr="00F8441F">
        <w:rPr>
          <w:rStyle w:val="spar"/>
          <w:rFonts w:ascii="Arial" w:hAnsi="Arial" w:cs="Arial"/>
          <w:color w:val="000000"/>
          <w:bdr w:val="none" w:sz="0" w:space="0" w:color="auto" w:frame="1"/>
          <w:shd w:val="clear" w:color="auto" w:fill="FFFFFF"/>
          <w:lang w:val="ro-RO"/>
        </w:rPr>
        <w:t>Guvernul României adoptă prezenta hotărâre.</w:t>
      </w:r>
    </w:p>
    <w:p w:rsidR="00FC0561" w:rsidRPr="00F8441F" w:rsidRDefault="00FC0561" w:rsidP="00003303">
      <w:pPr>
        <w:jc w:val="both"/>
        <w:rPr>
          <w:rStyle w:val="ar1"/>
          <w:rFonts w:ascii="Arial" w:hAnsi="Arial" w:cs="Arial"/>
          <w:color w:val="auto"/>
          <w:lang w:val="ro-RO"/>
        </w:rPr>
      </w:pPr>
    </w:p>
    <w:p w:rsidR="00003303" w:rsidRPr="00F8441F" w:rsidRDefault="00003303" w:rsidP="00003303">
      <w:pPr>
        <w:jc w:val="both"/>
        <w:rPr>
          <w:rFonts w:ascii="Arial" w:hAnsi="Arial" w:cs="Arial"/>
          <w:lang w:val="ro-RO"/>
        </w:rPr>
      </w:pPr>
      <w:r w:rsidRPr="00F8441F">
        <w:rPr>
          <w:rStyle w:val="ar1"/>
          <w:rFonts w:ascii="Arial" w:hAnsi="Arial" w:cs="Arial"/>
          <w:color w:val="auto"/>
          <w:lang w:val="ro-RO"/>
        </w:rPr>
        <w:t>Art. 1</w:t>
      </w:r>
    </w:p>
    <w:bookmarkStart w:id="2" w:name="do|ar1|pa1"/>
    <w:bookmarkEnd w:id="2"/>
    <w:p w:rsidR="00003303" w:rsidRPr="00F8441F" w:rsidRDefault="00003303" w:rsidP="00003303">
      <w:pPr>
        <w:jc w:val="both"/>
        <w:rPr>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tpa1"/>
          <w:rFonts w:ascii="Arial" w:hAnsi="Arial" w:cs="Arial"/>
          <w:lang w:val="ro-RO"/>
        </w:rPr>
        <w:t xml:space="preserve">Prezenta hotărâre are ca scop determinarea, în aplicarea prevederilor </w:t>
      </w:r>
      <w:r w:rsidR="00FC08DB" w:rsidRPr="00F8441F">
        <w:rPr>
          <w:rStyle w:val="tpa1"/>
          <w:rFonts w:ascii="Arial" w:hAnsi="Arial" w:cs="Arial"/>
          <w:lang w:val="ro-RO"/>
        </w:rPr>
        <w:t>Orientărilor privind ajutoarele de stat regionale</w:t>
      </w:r>
      <w:r w:rsidRPr="00F8441F">
        <w:rPr>
          <w:rStyle w:val="tpa1"/>
          <w:rFonts w:ascii="Arial" w:hAnsi="Arial" w:cs="Arial"/>
          <w:lang w:val="ro-RO"/>
        </w:rPr>
        <w:t xml:space="preserve">, a intensităţii maxime admise a ajutorului de stat regional pentru investiţii iniţiale, ce poate fi acordat în România întreprinderilor </w:t>
      </w:r>
      <w:r w:rsidR="00084897" w:rsidRPr="00F8441F">
        <w:rPr>
          <w:rStyle w:val="tpa1"/>
          <w:rFonts w:ascii="Arial" w:hAnsi="Arial" w:cs="Arial"/>
          <w:lang w:val="ro-RO"/>
        </w:rPr>
        <w:t>mari, respectiv</w:t>
      </w:r>
      <w:r w:rsidRPr="00F8441F">
        <w:rPr>
          <w:rStyle w:val="tpa1"/>
          <w:rFonts w:ascii="Arial" w:hAnsi="Arial" w:cs="Arial"/>
          <w:lang w:val="ro-RO"/>
        </w:rPr>
        <w:t xml:space="preserve"> mici şi mijlocii, astfel cum sunt definite în reglementările în domeniul ajutorului de stat.</w:t>
      </w:r>
    </w:p>
    <w:p w:rsidR="00693E85" w:rsidRPr="00F8441F" w:rsidRDefault="00693E85" w:rsidP="00003303">
      <w:pPr>
        <w:jc w:val="both"/>
        <w:rPr>
          <w:rFonts w:ascii="Arial" w:hAnsi="Arial" w:cs="Arial"/>
          <w:b/>
          <w:bCs/>
          <w:noProof/>
          <w:color w:val="FF0000"/>
          <w:lang w:val="ro-RO"/>
        </w:rPr>
      </w:pPr>
      <w:bookmarkStart w:id="3" w:name="do|ar2"/>
      <w:bookmarkEnd w:id="3"/>
    </w:p>
    <w:p w:rsidR="00651E8B" w:rsidRPr="00F8441F" w:rsidRDefault="00651E8B" w:rsidP="00003303">
      <w:pPr>
        <w:jc w:val="both"/>
        <w:rPr>
          <w:rFonts w:ascii="Arial" w:hAnsi="Arial" w:cs="Arial"/>
          <w:b/>
          <w:bCs/>
          <w:noProof/>
          <w:color w:val="FF0000"/>
          <w:lang w:val="ro-RO"/>
        </w:rPr>
      </w:pPr>
    </w:p>
    <w:p w:rsidR="00003303" w:rsidRPr="00F8441F" w:rsidRDefault="00003303" w:rsidP="00003303">
      <w:pPr>
        <w:jc w:val="both"/>
        <w:rPr>
          <w:rFonts w:ascii="Arial" w:hAnsi="Arial" w:cs="Arial"/>
          <w:color w:val="FF0000"/>
          <w:lang w:val="ro-RO"/>
        </w:rPr>
      </w:pPr>
      <w:r w:rsidRPr="00F8441F">
        <w:rPr>
          <w:rStyle w:val="ar1"/>
          <w:rFonts w:ascii="Arial" w:hAnsi="Arial" w:cs="Arial"/>
          <w:color w:val="auto"/>
          <w:lang w:val="ro-RO"/>
        </w:rPr>
        <w:t>Art. 2</w:t>
      </w:r>
    </w:p>
    <w:bookmarkStart w:id="4" w:name="do|ar2|pa1"/>
    <w:bookmarkEnd w:id="4"/>
    <w:p w:rsidR="00003303" w:rsidRPr="00F8441F" w:rsidRDefault="00003303" w:rsidP="00312B2D">
      <w:pPr>
        <w:jc w:val="both"/>
        <w:rPr>
          <w:rStyle w:val="tpa1"/>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tpa1"/>
          <w:rFonts w:ascii="Arial" w:hAnsi="Arial" w:cs="Arial"/>
          <w:lang w:val="ro-RO"/>
        </w:rPr>
        <w:t xml:space="preserve">În conformitate cu prevederile art. </w:t>
      </w:r>
      <w:r w:rsidR="00613E5F" w:rsidRPr="00F8441F">
        <w:rPr>
          <w:rStyle w:val="tpa1"/>
          <w:rFonts w:ascii="Arial" w:hAnsi="Arial" w:cs="Arial"/>
          <w:lang w:val="ro-RO"/>
        </w:rPr>
        <w:t>107</w:t>
      </w:r>
      <w:r w:rsidRPr="00F8441F">
        <w:rPr>
          <w:rStyle w:val="tpa1"/>
          <w:rFonts w:ascii="Arial" w:hAnsi="Arial" w:cs="Arial"/>
          <w:lang w:val="ro-RO"/>
        </w:rPr>
        <w:t xml:space="preserve"> alin. (3) din Tratatul privind </w:t>
      </w:r>
      <w:r w:rsidR="00312B2D" w:rsidRPr="00F8441F">
        <w:rPr>
          <w:rStyle w:val="tpa1"/>
          <w:rFonts w:ascii="Arial" w:hAnsi="Arial" w:cs="Arial"/>
          <w:lang w:val="ro-RO"/>
        </w:rPr>
        <w:t xml:space="preserve">funcţionarea Uniunii </w:t>
      </w:r>
      <w:r w:rsidRPr="00F8441F">
        <w:rPr>
          <w:rStyle w:val="tpa1"/>
          <w:rFonts w:ascii="Arial" w:hAnsi="Arial" w:cs="Arial"/>
          <w:lang w:val="ro-RO"/>
        </w:rPr>
        <w:t xml:space="preserve">Europene, </w:t>
      </w:r>
      <w:r w:rsidR="00475AFB" w:rsidRPr="00F8441F">
        <w:rPr>
          <w:rStyle w:val="tpa1"/>
          <w:rFonts w:ascii="Arial" w:hAnsi="Arial" w:cs="Arial"/>
          <w:lang w:val="ro-RO"/>
        </w:rPr>
        <w:t xml:space="preserve">în </w:t>
      </w:r>
      <w:r w:rsidRPr="00F8441F">
        <w:rPr>
          <w:rStyle w:val="tpa1"/>
          <w:rFonts w:ascii="Arial" w:hAnsi="Arial" w:cs="Arial"/>
          <w:lang w:val="ro-RO"/>
        </w:rPr>
        <w:t>următoarele regiuni de dezvoltare din România</w:t>
      </w:r>
      <w:r w:rsidR="00475AFB" w:rsidRPr="00F8441F">
        <w:rPr>
          <w:rStyle w:val="tpa1"/>
          <w:rFonts w:ascii="Arial" w:hAnsi="Arial" w:cs="Arial"/>
          <w:lang w:val="ro-RO"/>
        </w:rPr>
        <w:t xml:space="preserve"> pot fi acordate ajutoare de stat regionale pentru investiţii iniţiale</w:t>
      </w:r>
      <w:r w:rsidRPr="00F8441F">
        <w:rPr>
          <w:rStyle w:val="tpa1"/>
          <w:rFonts w:ascii="Arial" w:hAnsi="Arial" w:cs="Arial"/>
          <w:lang w:val="ro-RO"/>
        </w:rPr>
        <w:t>:</w:t>
      </w:r>
    </w:p>
    <w:p w:rsidR="00613E5F" w:rsidRPr="00F8441F" w:rsidRDefault="00613E5F" w:rsidP="00003303">
      <w:pPr>
        <w:jc w:val="both"/>
        <w:rPr>
          <w:rFonts w:ascii="Arial" w:hAnsi="Arial" w:cs="Arial"/>
          <w:lang w:val="ro-RO"/>
        </w:rPr>
      </w:pPr>
    </w:p>
    <w:bookmarkStart w:id="5" w:name="do|ar2|lia"/>
    <w:bookmarkEnd w:id="5"/>
    <w:p w:rsidR="00003303" w:rsidRPr="00F8441F" w:rsidRDefault="00003303" w:rsidP="00003303">
      <w:pPr>
        <w:jc w:val="both"/>
        <w:rPr>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li1"/>
          <w:rFonts w:ascii="Arial" w:hAnsi="Arial" w:cs="Arial"/>
          <w:color w:val="auto"/>
          <w:lang w:val="ro-RO"/>
        </w:rPr>
        <w:t>a)</w:t>
      </w:r>
      <w:r w:rsidR="002573F9" w:rsidRPr="00F8441F">
        <w:rPr>
          <w:rStyle w:val="li1"/>
          <w:rFonts w:ascii="Arial" w:hAnsi="Arial" w:cs="Arial"/>
          <w:color w:val="auto"/>
          <w:lang w:val="ro-RO"/>
        </w:rPr>
        <w:t xml:space="preserve"> </w:t>
      </w:r>
      <w:r w:rsidRPr="00F8441F">
        <w:rPr>
          <w:rStyle w:val="tli1"/>
          <w:rFonts w:ascii="Arial" w:hAnsi="Arial" w:cs="Arial"/>
          <w:lang w:val="ro-RO"/>
        </w:rPr>
        <w:t xml:space="preserve">Regiunea de </w:t>
      </w:r>
      <w:r w:rsidR="00C14E5D" w:rsidRPr="00F8441F">
        <w:rPr>
          <w:rStyle w:val="tli1"/>
          <w:rFonts w:ascii="Arial" w:hAnsi="Arial" w:cs="Arial"/>
          <w:lang w:val="ro-RO"/>
        </w:rPr>
        <w:t xml:space="preserve">dezvoltare </w:t>
      </w:r>
      <w:r w:rsidR="004826D0" w:rsidRPr="00F8441F">
        <w:rPr>
          <w:rStyle w:val="tli1"/>
          <w:rFonts w:ascii="Arial" w:hAnsi="Arial" w:cs="Arial"/>
          <w:lang w:val="ro-RO"/>
        </w:rPr>
        <w:t xml:space="preserve">Nord-Vest, care grupează judeţele Bihor, Bistriţa-Năsăud, Cluj, Sălaj, Satu Mare şi Maramureş; </w:t>
      </w:r>
    </w:p>
    <w:bookmarkStart w:id="6" w:name="do|ar2|lib"/>
    <w:bookmarkEnd w:id="6"/>
    <w:p w:rsidR="00003303" w:rsidRPr="00F8441F" w:rsidRDefault="00003303" w:rsidP="00003303">
      <w:pPr>
        <w:jc w:val="both"/>
        <w:rPr>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li1"/>
          <w:rFonts w:ascii="Arial" w:hAnsi="Arial" w:cs="Arial"/>
          <w:color w:val="auto"/>
          <w:lang w:val="ro-RO"/>
        </w:rPr>
        <w:t>b)</w:t>
      </w:r>
      <w:r w:rsidR="00A02CB0" w:rsidRPr="00F8441F">
        <w:rPr>
          <w:rStyle w:val="tli1"/>
          <w:rFonts w:ascii="Arial" w:hAnsi="Arial" w:cs="Arial"/>
          <w:lang w:val="ro-RO"/>
        </w:rPr>
        <w:t xml:space="preserve"> Regiunea de </w:t>
      </w:r>
      <w:r w:rsidR="00C14E5D" w:rsidRPr="00F8441F">
        <w:rPr>
          <w:rStyle w:val="tli1"/>
          <w:rFonts w:ascii="Arial" w:hAnsi="Arial" w:cs="Arial"/>
          <w:lang w:val="ro-RO"/>
        </w:rPr>
        <w:t xml:space="preserve">dezvoltare </w:t>
      </w:r>
      <w:r w:rsidR="00A02CB0" w:rsidRPr="00F8441F">
        <w:rPr>
          <w:rStyle w:val="tli1"/>
          <w:rFonts w:ascii="Arial" w:hAnsi="Arial" w:cs="Arial"/>
          <w:lang w:val="ro-RO"/>
        </w:rPr>
        <w:t xml:space="preserve">Centru, care grupează judeţele Alba, Braşov, Covasna, Harghita, Mureş şi Sibiu; </w:t>
      </w:r>
    </w:p>
    <w:bookmarkStart w:id="7" w:name="do|ar2|lic"/>
    <w:bookmarkEnd w:id="7"/>
    <w:p w:rsidR="00003303" w:rsidRPr="00F8441F" w:rsidRDefault="00003303" w:rsidP="00003303">
      <w:pPr>
        <w:jc w:val="both"/>
        <w:rPr>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li1"/>
          <w:rFonts w:ascii="Arial" w:hAnsi="Arial" w:cs="Arial"/>
          <w:color w:val="auto"/>
          <w:lang w:val="ro-RO"/>
        </w:rPr>
        <w:t>c)</w:t>
      </w:r>
      <w:r w:rsidR="00DE7242" w:rsidRPr="00F8441F">
        <w:rPr>
          <w:rStyle w:val="li1"/>
          <w:rFonts w:ascii="Arial" w:hAnsi="Arial" w:cs="Arial"/>
          <w:color w:val="auto"/>
          <w:lang w:val="ro-RO"/>
        </w:rPr>
        <w:t xml:space="preserve"> </w:t>
      </w:r>
      <w:r w:rsidR="00DE7242" w:rsidRPr="00F8441F">
        <w:rPr>
          <w:rStyle w:val="tli1"/>
          <w:rFonts w:ascii="Arial" w:hAnsi="Arial" w:cs="Arial"/>
          <w:lang w:val="ro-RO"/>
        </w:rPr>
        <w:t xml:space="preserve">Regiunea de </w:t>
      </w:r>
      <w:r w:rsidR="00C14E5D" w:rsidRPr="00F8441F">
        <w:rPr>
          <w:rStyle w:val="tli1"/>
          <w:rFonts w:ascii="Arial" w:hAnsi="Arial" w:cs="Arial"/>
          <w:lang w:val="ro-RO"/>
        </w:rPr>
        <w:t xml:space="preserve">dezvoltare </w:t>
      </w:r>
      <w:r w:rsidR="00DE7242" w:rsidRPr="00F8441F">
        <w:rPr>
          <w:rStyle w:val="tli1"/>
          <w:rFonts w:ascii="Arial" w:hAnsi="Arial" w:cs="Arial"/>
          <w:lang w:val="ro-RO"/>
        </w:rPr>
        <w:t xml:space="preserve">Nord-Est, care grupează judeţele Bacău, Botoşani, Iaşi, Neamţ, Suceava şi Vaslui; </w:t>
      </w:r>
    </w:p>
    <w:bookmarkStart w:id="8" w:name="do|ar2|lid"/>
    <w:bookmarkEnd w:id="8"/>
    <w:p w:rsidR="00003303" w:rsidRPr="00F8441F" w:rsidRDefault="00003303" w:rsidP="00003303">
      <w:pPr>
        <w:jc w:val="both"/>
        <w:rPr>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li1"/>
          <w:rFonts w:ascii="Arial" w:hAnsi="Arial" w:cs="Arial"/>
          <w:color w:val="auto"/>
          <w:lang w:val="ro-RO"/>
        </w:rPr>
        <w:t>d)</w:t>
      </w:r>
      <w:r w:rsidR="00122237" w:rsidRPr="00F8441F">
        <w:rPr>
          <w:rStyle w:val="li1"/>
          <w:rFonts w:ascii="Arial" w:hAnsi="Arial" w:cs="Arial"/>
          <w:color w:val="auto"/>
          <w:lang w:val="ro-RO"/>
        </w:rPr>
        <w:t xml:space="preserve"> </w:t>
      </w:r>
      <w:r w:rsidR="00B51B9A" w:rsidRPr="00F8441F">
        <w:rPr>
          <w:rStyle w:val="tli1"/>
          <w:rFonts w:ascii="Arial" w:hAnsi="Arial" w:cs="Arial"/>
          <w:lang w:val="ro-RO"/>
        </w:rPr>
        <w:t xml:space="preserve">Regiunea de </w:t>
      </w:r>
      <w:r w:rsidR="00C14E5D" w:rsidRPr="00F8441F">
        <w:rPr>
          <w:rStyle w:val="tli1"/>
          <w:rFonts w:ascii="Arial" w:hAnsi="Arial" w:cs="Arial"/>
          <w:lang w:val="ro-RO"/>
        </w:rPr>
        <w:t xml:space="preserve">dezvoltare </w:t>
      </w:r>
      <w:r w:rsidR="00B51B9A" w:rsidRPr="00F8441F">
        <w:rPr>
          <w:rStyle w:val="tli1"/>
          <w:rFonts w:ascii="Arial" w:hAnsi="Arial" w:cs="Arial"/>
          <w:lang w:val="ro-RO"/>
        </w:rPr>
        <w:t>Sud-Est, care grupează judeţele Brăila, Buzău, Constanţa, Galaţi, Vrancea şi Tulcea</w:t>
      </w:r>
      <w:r w:rsidR="00E506F7" w:rsidRPr="00F8441F">
        <w:rPr>
          <w:rStyle w:val="tli1"/>
          <w:rFonts w:ascii="Arial" w:hAnsi="Arial" w:cs="Arial"/>
          <w:lang w:val="ro-RO"/>
        </w:rPr>
        <w:t>;</w:t>
      </w:r>
      <w:r w:rsidR="00B51B9A" w:rsidRPr="00F8441F">
        <w:rPr>
          <w:rStyle w:val="tli1"/>
          <w:rFonts w:ascii="Arial" w:hAnsi="Arial" w:cs="Arial"/>
          <w:lang w:val="ro-RO"/>
        </w:rPr>
        <w:t xml:space="preserve"> </w:t>
      </w:r>
    </w:p>
    <w:bookmarkStart w:id="9" w:name="do|ar2|lie"/>
    <w:bookmarkEnd w:id="9"/>
    <w:p w:rsidR="00003303" w:rsidRPr="00F8441F" w:rsidRDefault="00003303" w:rsidP="00003303">
      <w:pPr>
        <w:jc w:val="both"/>
        <w:rPr>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li1"/>
          <w:rFonts w:ascii="Arial" w:hAnsi="Arial" w:cs="Arial"/>
          <w:color w:val="auto"/>
          <w:lang w:val="ro-RO"/>
        </w:rPr>
        <w:t>e)</w:t>
      </w:r>
      <w:r w:rsidR="006B7615" w:rsidRPr="00F8441F">
        <w:rPr>
          <w:rStyle w:val="tli1"/>
          <w:rFonts w:ascii="Arial" w:hAnsi="Arial" w:cs="Arial"/>
          <w:lang w:val="ro-RO"/>
        </w:rPr>
        <w:t xml:space="preserve"> Regiunea de </w:t>
      </w:r>
      <w:r w:rsidR="00C14E5D" w:rsidRPr="00F8441F">
        <w:rPr>
          <w:rStyle w:val="tli1"/>
          <w:rFonts w:ascii="Arial" w:hAnsi="Arial" w:cs="Arial"/>
          <w:lang w:val="ro-RO"/>
        </w:rPr>
        <w:t xml:space="preserve">dezvoltare </w:t>
      </w:r>
      <w:r w:rsidR="006B7615" w:rsidRPr="00F8441F">
        <w:rPr>
          <w:rStyle w:val="tli1"/>
          <w:rFonts w:ascii="Arial" w:hAnsi="Arial" w:cs="Arial"/>
          <w:lang w:val="ro-RO"/>
        </w:rPr>
        <w:t xml:space="preserve">Sud-Muntenia, care grupează judeţele Argeş, Călăraşi, Dâmboviţa, Giurgiu, Ialomiţa, Prahova şi Teleorman; </w:t>
      </w:r>
    </w:p>
    <w:bookmarkStart w:id="10" w:name="do|ar2|lif"/>
    <w:bookmarkEnd w:id="10"/>
    <w:p w:rsidR="00003303" w:rsidRPr="00F8441F" w:rsidRDefault="00003303" w:rsidP="00003303">
      <w:pPr>
        <w:jc w:val="both"/>
        <w:rPr>
          <w:rFonts w:ascii="Arial" w:hAnsi="Arial" w:cs="Arial"/>
          <w:lang w:val="ro-RO"/>
        </w:rPr>
      </w:pPr>
      <w:r w:rsidRPr="00F8441F">
        <w:rPr>
          <w:rFonts w:ascii="Arial" w:hAnsi="Arial" w:cs="Arial"/>
          <w:lang w:val="ro-RO"/>
        </w:rPr>
        <w:lastRenderedPageBreak/>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li1"/>
          <w:rFonts w:ascii="Arial" w:hAnsi="Arial" w:cs="Arial"/>
          <w:color w:val="auto"/>
          <w:lang w:val="ro-RO"/>
        </w:rPr>
        <w:t>f)</w:t>
      </w:r>
      <w:r w:rsidR="00AE7E10" w:rsidRPr="00F8441F">
        <w:rPr>
          <w:rStyle w:val="tli1"/>
          <w:rFonts w:ascii="Arial" w:hAnsi="Arial" w:cs="Arial"/>
          <w:lang w:val="ro-RO"/>
        </w:rPr>
        <w:t xml:space="preserve"> </w:t>
      </w:r>
      <w:r w:rsidR="00ED053A" w:rsidRPr="00F8441F">
        <w:rPr>
          <w:rStyle w:val="tli1"/>
          <w:rFonts w:ascii="Arial" w:hAnsi="Arial" w:cs="Arial"/>
          <w:lang w:val="ro-RO"/>
        </w:rPr>
        <w:t xml:space="preserve">Regiunea de </w:t>
      </w:r>
      <w:r w:rsidR="00C14E5D" w:rsidRPr="00F8441F">
        <w:rPr>
          <w:rStyle w:val="tli1"/>
          <w:rFonts w:ascii="Arial" w:hAnsi="Arial" w:cs="Arial"/>
          <w:lang w:val="ro-RO"/>
        </w:rPr>
        <w:t xml:space="preserve">dezvoltare </w:t>
      </w:r>
      <w:r w:rsidR="00ED053A" w:rsidRPr="00F8441F">
        <w:rPr>
          <w:rStyle w:val="tli1"/>
          <w:rFonts w:ascii="Arial" w:hAnsi="Arial" w:cs="Arial"/>
          <w:lang w:val="ro-RO"/>
        </w:rPr>
        <w:t>Sud-Vest Oltenia, care grupează judeţele Dolj, Gorj, Mehedinţi, Olt şi Vâlcea</w:t>
      </w:r>
      <w:r w:rsidR="00401F2F" w:rsidRPr="00F8441F">
        <w:rPr>
          <w:rStyle w:val="tli1"/>
          <w:rFonts w:ascii="Arial" w:hAnsi="Arial" w:cs="Arial"/>
          <w:lang w:val="ro-RO"/>
        </w:rPr>
        <w:t>;</w:t>
      </w:r>
      <w:r w:rsidR="00ED053A" w:rsidRPr="00F8441F">
        <w:rPr>
          <w:rStyle w:val="tli1"/>
          <w:rFonts w:ascii="Arial" w:hAnsi="Arial" w:cs="Arial"/>
          <w:lang w:val="ro-RO"/>
        </w:rPr>
        <w:t xml:space="preserve"> </w:t>
      </w:r>
    </w:p>
    <w:bookmarkStart w:id="11" w:name="do|ar2|lig"/>
    <w:bookmarkEnd w:id="11"/>
    <w:p w:rsidR="00003303" w:rsidRPr="00F8441F" w:rsidRDefault="00003303" w:rsidP="00003303">
      <w:pPr>
        <w:jc w:val="both"/>
        <w:rPr>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li1"/>
          <w:rFonts w:ascii="Arial" w:hAnsi="Arial" w:cs="Arial"/>
          <w:color w:val="auto"/>
          <w:lang w:val="ro-RO"/>
        </w:rPr>
        <w:t>g)</w:t>
      </w:r>
      <w:r w:rsidR="00C7621D" w:rsidRPr="00F8441F">
        <w:rPr>
          <w:rStyle w:val="tli1"/>
          <w:rFonts w:ascii="Arial" w:hAnsi="Arial" w:cs="Arial"/>
          <w:lang w:val="ro-RO"/>
        </w:rPr>
        <w:t xml:space="preserve"> </w:t>
      </w:r>
      <w:r w:rsidR="00ED053A" w:rsidRPr="00F8441F">
        <w:rPr>
          <w:rStyle w:val="tli1"/>
          <w:rFonts w:ascii="Arial" w:hAnsi="Arial" w:cs="Arial"/>
          <w:lang w:val="ro-RO"/>
        </w:rPr>
        <w:t xml:space="preserve">Regiunea de </w:t>
      </w:r>
      <w:r w:rsidR="007A483F" w:rsidRPr="00F8441F">
        <w:rPr>
          <w:rStyle w:val="tli1"/>
          <w:rFonts w:ascii="Arial" w:hAnsi="Arial" w:cs="Arial"/>
          <w:lang w:val="ro-RO"/>
        </w:rPr>
        <w:t xml:space="preserve">dezvoltare </w:t>
      </w:r>
      <w:r w:rsidR="00ED053A" w:rsidRPr="00F8441F">
        <w:rPr>
          <w:rStyle w:val="tli1"/>
          <w:rFonts w:ascii="Arial" w:hAnsi="Arial" w:cs="Arial"/>
          <w:lang w:val="ro-RO"/>
        </w:rPr>
        <w:t>Vest, care grupează judeţele Arad, Caraş-Severin, Hunedoara şi Timiş;</w:t>
      </w:r>
    </w:p>
    <w:bookmarkStart w:id="12" w:name="do|ar2|lih"/>
    <w:bookmarkEnd w:id="12"/>
    <w:p w:rsidR="00003303" w:rsidRPr="00F8441F" w:rsidRDefault="00003303" w:rsidP="00003303">
      <w:pPr>
        <w:jc w:val="both"/>
        <w:rPr>
          <w:rFonts w:ascii="Arial" w:hAnsi="Arial" w:cs="Arial"/>
          <w:lang w:val="ro-RO"/>
        </w:rPr>
      </w:pPr>
      <w:r w:rsidRPr="00F8441F">
        <w:rPr>
          <w:rFonts w:ascii="Arial" w:hAnsi="Arial" w:cs="Arial"/>
          <w:lang w:val="ro-RO"/>
        </w:rPr>
        <w:fldChar w:fldCharType="begin"/>
      </w:r>
      <w:r w:rsidRPr="00F8441F">
        <w:rPr>
          <w:rFonts w:ascii="Arial" w:hAnsi="Arial" w:cs="Arial"/>
          <w:lang w:val="ro-RO"/>
        </w:rPr>
        <w:instrText xml:space="preserve"> HYPERLINK "" \l "###" \o "##" </w:instrText>
      </w:r>
      <w:r w:rsidRPr="00F8441F">
        <w:rPr>
          <w:rFonts w:ascii="Arial" w:hAnsi="Arial" w:cs="Arial"/>
          <w:lang w:val="ro-RO"/>
        </w:rPr>
        <w:fldChar w:fldCharType="end"/>
      </w:r>
      <w:r w:rsidRPr="00F8441F">
        <w:rPr>
          <w:rStyle w:val="li1"/>
          <w:rFonts w:ascii="Arial" w:hAnsi="Arial" w:cs="Arial"/>
          <w:color w:val="auto"/>
          <w:lang w:val="ro-RO"/>
        </w:rPr>
        <w:t>h)</w:t>
      </w:r>
      <w:r w:rsidR="004D0D13" w:rsidRPr="00F8441F">
        <w:rPr>
          <w:rStyle w:val="li1"/>
          <w:rFonts w:ascii="Arial" w:hAnsi="Arial" w:cs="Arial"/>
          <w:color w:val="auto"/>
          <w:lang w:val="ro-RO"/>
        </w:rPr>
        <w:t xml:space="preserve"> </w:t>
      </w:r>
      <w:r w:rsidR="00D00EC0" w:rsidRPr="00F8441F">
        <w:rPr>
          <w:rStyle w:val="tli1"/>
          <w:rFonts w:ascii="Arial" w:hAnsi="Arial" w:cs="Arial"/>
          <w:lang w:val="ro-RO"/>
        </w:rPr>
        <w:t xml:space="preserve">Judeţul Ilfov din cadrul </w:t>
      </w:r>
      <w:r w:rsidRPr="00F8441F">
        <w:rPr>
          <w:rStyle w:val="tli1"/>
          <w:rFonts w:ascii="Arial" w:hAnsi="Arial" w:cs="Arial"/>
          <w:lang w:val="ro-RO"/>
        </w:rPr>
        <w:t>Regiun</w:t>
      </w:r>
      <w:r w:rsidR="00D00EC0" w:rsidRPr="00F8441F">
        <w:rPr>
          <w:rStyle w:val="tli1"/>
          <w:rFonts w:ascii="Arial" w:hAnsi="Arial" w:cs="Arial"/>
          <w:lang w:val="ro-RO"/>
        </w:rPr>
        <w:t>ii</w:t>
      </w:r>
      <w:r w:rsidRPr="00F8441F">
        <w:rPr>
          <w:rStyle w:val="tli1"/>
          <w:rFonts w:ascii="Arial" w:hAnsi="Arial" w:cs="Arial"/>
          <w:lang w:val="ro-RO"/>
        </w:rPr>
        <w:t xml:space="preserve"> de </w:t>
      </w:r>
      <w:r w:rsidR="00C14E5D" w:rsidRPr="00F8441F">
        <w:rPr>
          <w:rStyle w:val="tli1"/>
          <w:rFonts w:ascii="Arial" w:hAnsi="Arial" w:cs="Arial"/>
          <w:lang w:val="ro-RO"/>
        </w:rPr>
        <w:t xml:space="preserve">dezvoltare </w:t>
      </w:r>
      <w:r w:rsidR="00D00EC0" w:rsidRPr="00F8441F">
        <w:rPr>
          <w:rStyle w:val="tli1"/>
          <w:rFonts w:ascii="Arial" w:hAnsi="Arial" w:cs="Arial"/>
          <w:lang w:val="ro-RO"/>
        </w:rPr>
        <w:t>Bucureşti-Ilfov</w:t>
      </w:r>
      <w:r w:rsidRPr="00F8441F">
        <w:rPr>
          <w:rStyle w:val="tli1"/>
          <w:rFonts w:ascii="Arial" w:hAnsi="Arial" w:cs="Arial"/>
          <w:lang w:val="ro-RO"/>
        </w:rPr>
        <w:t>.</w:t>
      </w:r>
    </w:p>
    <w:p w:rsidR="00693E85" w:rsidRPr="00F8441F" w:rsidRDefault="00693E85" w:rsidP="00003303">
      <w:pPr>
        <w:jc w:val="both"/>
        <w:rPr>
          <w:rFonts w:ascii="Arial" w:hAnsi="Arial" w:cs="Arial"/>
          <w:b/>
          <w:bCs/>
          <w:noProof/>
          <w:lang w:val="ro-RO"/>
        </w:rPr>
      </w:pPr>
      <w:bookmarkStart w:id="13" w:name="do|ar3"/>
      <w:bookmarkEnd w:id="13"/>
    </w:p>
    <w:p w:rsidR="0053280A" w:rsidRPr="00F8441F" w:rsidRDefault="0053280A" w:rsidP="00003303">
      <w:pPr>
        <w:jc w:val="both"/>
        <w:rPr>
          <w:rStyle w:val="sartttl"/>
          <w:rFonts w:ascii="Arial" w:hAnsi="Arial" w:cs="Arial"/>
          <w:b/>
          <w:bCs/>
          <w:bdr w:val="none" w:sz="0" w:space="0" w:color="auto" w:frame="1"/>
          <w:shd w:val="clear" w:color="auto" w:fill="FFFFFF"/>
          <w:lang w:val="ro-RO"/>
        </w:rPr>
      </w:pPr>
      <w:r w:rsidRPr="00F8441F">
        <w:rPr>
          <w:rStyle w:val="sartttl"/>
          <w:rFonts w:ascii="Arial" w:hAnsi="Arial" w:cs="Arial"/>
          <w:b/>
          <w:bCs/>
          <w:bdr w:val="none" w:sz="0" w:space="0" w:color="auto" w:frame="1"/>
          <w:shd w:val="clear" w:color="auto" w:fill="FFFFFF"/>
          <w:lang w:val="ro-RO"/>
        </w:rPr>
        <w:t>Art</w:t>
      </w:r>
      <w:r w:rsidR="003C0FB8" w:rsidRPr="00F8441F">
        <w:rPr>
          <w:rStyle w:val="sartttl"/>
          <w:rFonts w:ascii="Arial" w:hAnsi="Arial" w:cs="Arial"/>
          <w:b/>
          <w:bCs/>
          <w:bdr w:val="none" w:sz="0" w:space="0" w:color="auto" w:frame="1"/>
          <w:shd w:val="clear" w:color="auto" w:fill="FFFFFF"/>
          <w:lang w:val="ro-RO"/>
        </w:rPr>
        <w:t>.</w:t>
      </w:r>
      <w:r w:rsidRPr="00F8441F">
        <w:rPr>
          <w:rStyle w:val="sartttl"/>
          <w:rFonts w:ascii="Arial" w:hAnsi="Arial" w:cs="Arial"/>
          <w:b/>
          <w:bCs/>
          <w:bdr w:val="none" w:sz="0" w:space="0" w:color="auto" w:frame="1"/>
          <w:shd w:val="clear" w:color="auto" w:fill="FFFFFF"/>
          <w:lang w:val="ro-RO"/>
        </w:rPr>
        <w:t xml:space="preserve"> 3</w:t>
      </w:r>
    </w:p>
    <w:p w:rsidR="00651E8B" w:rsidRPr="00F8441F" w:rsidRDefault="0053280A" w:rsidP="00003303">
      <w:pPr>
        <w:jc w:val="both"/>
        <w:rPr>
          <w:rFonts w:ascii="Arial" w:hAnsi="Arial" w:cs="Arial"/>
          <w:b/>
          <w:bCs/>
          <w:noProof/>
          <w:lang w:val="ro-RO"/>
        </w:rPr>
      </w:pPr>
      <w:r w:rsidRPr="00F8441F">
        <w:rPr>
          <w:rStyle w:val="salnttl"/>
          <w:rFonts w:ascii="Arial" w:hAnsi="Arial" w:cs="Arial"/>
          <w:bdr w:val="none" w:sz="0" w:space="0" w:color="auto" w:frame="1"/>
          <w:shd w:val="clear" w:color="auto" w:fill="FFFFFF"/>
          <w:lang w:val="ro-RO"/>
        </w:rPr>
        <w:t>(1)</w:t>
      </w:r>
      <w:r w:rsidRPr="00F8441F">
        <w:rPr>
          <w:rStyle w:val="saln"/>
          <w:rFonts w:ascii="Arial" w:hAnsi="Arial" w:cs="Arial"/>
          <w:bdr w:val="none" w:sz="0" w:space="0" w:color="auto" w:frame="1"/>
          <w:shd w:val="clear" w:color="auto" w:fill="FFFFFF"/>
          <w:lang w:val="ro-RO"/>
        </w:rPr>
        <w:t> </w:t>
      </w:r>
      <w:r w:rsidRPr="00F8441F">
        <w:rPr>
          <w:rStyle w:val="salnbdy"/>
          <w:rFonts w:ascii="Arial" w:hAnsi="Arial" w:cs="Arial"/>
          <w:bdr w:val="none" w:sz="0" w:space="0" w:color="auto" w:frame="1"/>
          <w:shd w:val="clear" w:color="auto" w:fill="FFFFFF"/>
          <w:lang w:val="ro-RO"/>
        </w:rPr>
        <w:t>Intensitatea maximă admisă a ajutorului de stat pentru investiții inițiale în scopul dezvoltării regionale, ce poate fi acordat în România întreprinderilor mari, astfel cum sunt definite în reglementările din domeniul ajutorului de stat, se stabilește după cum urmează:</w:t>
      </w:r>
      <w:r w:rsidR="00ED1E12" w:rsidRPr="00F8441F">
        <w:rPr>
          <w:rStyle w:val="salnbdy"/>
          <w:rFonts w:ascii="Arial" w:hAnsi="Arial" w:cs="Arial"/>
          <w:bdr w:val="none" w:sz="0" w:space="0" w:color="auto" w:frame="1"/>
          <w:shd w:val="clear" w:color="auto" w:fill="FFFFFF"/>
          <w:lang w:val="ro-RO"/>
        </w:rPr>
        <w:t xml:space="preserve">        </w:t>
      </w:r>
    </w:p>
    <w:p w:rsidR="00BD5BF6" w:rsidRPr="00F8441F" w:rsidRDefault="0053280A" w:rsidP="00003303">
      <w:pPr>
        <w:jc w:val="both"/>
        <w:rPr>
          <w:rStyle w:val="slitbdy"/>
          <w:rFonts w:ascii="Arial" w:hAnsi="Arial" w:cs="Arial"/>
          <w:bdr w:val="none" w:sz="0" w:space="0" w:color="auto" w:frame="1"/>
          <w:shd w:val="clear" w:color="auto" w:fill="FFFFFF"/>
          <w:lang w:val="ro-RO"/>
        </w:rPr>
      </w:pPr>
      <w:bookmarkStart w:id="14" w:name="do|pa3"/>
      <w:bookmarkStart w:id="15" w:name="do|pa4"/>
      <w:bookmarkEnd w:id="14"/>
      <w:bookmarkEnd w:id="15"/>
      <w:r w:rsidRPr="00F8441F">
        <w:rPr>
          <w:rStyle w:val="slitttl"/>
          <w:rFonts w:ascii="Arial" w:hAnsi="Arial" w:cs="Arial"/>
          <w:bCs/>
          <w:bdr w:val="none" w:sz="0" w:space="0" w:color="auto" w:frame="1"/>
          <w:shd w:val="clear" w:color="auto" w:fill="FFFFFF"/>
          <w:lang w:val="ro-RO"/>
        </w:rPr>
        <w:t>a)</w:t>
      </w:r>
      <w:r w:rsidRPr="00F8441F">
        <w:rPr>
          <w:rStyle w:val="slit"/>
          <w:rFonts w:ascii="Arial" w:hAnsi="Arial" w:cs="Arial"/>
          <w:bdr w:val="dotted" w:sz="6" w:space="0" w:color="FEFEFE" w:frame="1"/>
          <w:shd w:val="clear" w:color="auto" w:fill="FFFFFF"/>
          <w:lang w:val="ro-RO"/>
        </w:rPr>
        <w:t> </w:t>
      </w:r>
      <w:r w:rsidRPr="00F8441F">
        <w:rPr>
          <w:rStyle w:val="slitbdy"/>
          <w:rFonts w:ascii="Arial" w:hAnsi="Arial" w:cs="Arial"/>
          <w:bdr w:val="none" w:sz="0" w:space="0" w:color="auto" w:frame="1"/>
          <w:shd w:val="clear" w:color="auto" w:fill="FFFFFF"/>
          <w:lang w:val="ro-RO"/>
        </w:rPr>
        <w:t>50% în cazul regiunilor de dezvoltare prevăzute la </w:t>
      </w:r>
      <w:r w:rsidRPr="00F8441F">
        <w:rPr>
          <w:rStyle w:val="slgi"/>
          <w:rFonts w:ascii="Arial" w:hAnsi="Arial" w:cs="Arial"/>
          <w:bdr w:val="none" w:sz="0" w:space="0" w:color="auto" w:frame="1"/>
          <w:shd w:val="clear" w:color="auto" w:fill="FFFFFF"/>
          <w:lang w:val="ro-RO"/>
        </w:rPr>
        <w:t>art. 2 lit. c)-f)</w:t>
      </w:r>
      <w:r w:rsidR="003A5FEA" w:rsidRPr="00F8441F">
        <w:rPr>
          <w:rStyle w:val="slitbdy"/>
          <w:rFonts w:ascii="Arial" w:hAnsi="Arial" w:cs="Arial"/>
          <w:bdr w:val="none" w:sz="0" w:space="0" w:color="auto" w:frame="1"/>
          <w:shd w:val="clear" w:color="auto" w:fill="FFFFFF"/>
          <w:lang w:val="ro-RO"/>
        </w:rPr>
        <w:t>;</w:t>
      </w:r>
    </w:p>
    <w:p w:rsidR="00BD5BF6" w:rsidRPr="00F8441F" w:rsidRDefault="00BD5BF6" w:rsidP="00003303">
      <w:pPr>
        <w:jc w:val="both"/>
        <w:rPr>
          <w:rStyle w:val="slitbdy"/>
          <w:rFonts w:ascii="Arial" w:hAnsi="Arial" w:cs="Arial"/>
          <w:bdr w:val="none" w:sz="0" w:space="0" w:color="auto" w:frame="1"/>
          <w:shd w:val="clear" w:color="auto" w:fill="FFFFFF"/>
          <w:lang w:val="ro-RO"/>
        </w:rPr>
      </w:pPr>
      <w:r w:rsidRPr="00F8441F">
        <w:rPr>
          <w:rStyle w:val="slitbdy"/>
          <w:rFonts w:ascii="Arial" w:hAnsi="Arial" w:cs="Arial"/>
          <w:bdr w:val="none" w:sz="0" w:space="0" w:color="auto" w:frame="1"/>
          <w:shd w:val="clear" w:color="auto" w:fill="FFFFFF"/>
          <w:lang w:val="ro-RO"/>
        </w:rPr>
        <w:t xml:space="preserve">b) </w:t>
      </w:r>
      <w:r w:rsidR="0053280A" w:rsidRPr="00F8441F">
        <w:rPr>
          <w:rStyle w:val="slitbdy"/>
          <w:rFonts w:ascii="Arial" w:hAnsi="Arial" w:cs="Arial"/>
          <w:bdr w:val="none" w:sz="0" w:space="0" w:color="auto" w:frame="1"/>
          <w:shd w:val="clear" w:color="auto" w:fill="FFFFFF"/>
          <w:lang w:val="ro-RO"/>
        </w:rPr>
        <w:t>40% în cazul regiunilor prevăzute la art. 2 lit. a)-b)</w:t>
      </w:r>
      <w:r w:rsidR="003A5FEA" w:rsidRPr="00F8441F">
        <w:rPr>
          <w:rStyle w:val="slitbdy"/>
          <w:rFonts w:ascii="Arial" w:hAnsi="Arial" w:cs="Arial"/>
          <w:bdr w:val="none" w:sz="0" w:space="0" w:color="auto" w:frame="1"/>
          <w:shd w:val="clear" w:color="auto" w:fill="FFFFFF"/>
          <w:lang w:val="ro-RO"/>
        </w:rPr>
        <w:t>;</w:t>
      </w:r>
    </w:p>
    <w:p w:rsidR="009A3A22" w:rsidRPr="00F8441F" w:rsidRDefault="00BD5BF6" w:rsidP="009A3A22">
      <w:pPr>
        <w:jc w:val="both"/>
        <w:rPr>
          <w:rStyle w:val="slitbdy"/>
          <w:rFonts w:ascii="Arial" w:hAnsi="Arial" w:cs="Arial"/>
          <w:bdr w:val="none" w:sz="0" w:space="0" w:color="auto" w:frame="1"/>
          <w:shd w:val="clear" w:color="auto" w:fill="FFFFFF"/>
          <w:lang w:val="ro-RO"/>
        </w:rPr>
      </w:pPr>
      <w:r w:rsidRPr="00F8441F">
        <w:rPr>
          <w:rStyle w:val="slitbdy"/>
          <w:rFonts w:ascii="Arial" w:hAnsi="Arial" w:cs="Arial"/>
          <w:bdr w:val="none" w:sz="0" w:space="0" w:color="auto" w:frame="1"/>
          <w:shd w:val="clear" w:color="auto" w:fill="FFFFFF"/>
          <w:lang w:val="ro-RO"/>
        </w:rPr>
        <w:t xml:space="preserve">c) </w:t>
      </w:r>
      <w:r w:rsidR="0053280A" w:rsidRPr="00F8441F">
        <w:rPr>
          <w:rStyle w:val="slitbdy"/>
          <w:rFonts w:ascii="Arial" w:hAnsi="Arial" w:cs="Arial"/>
          <w:bdr w:val="none" w:sz="0" w:space="0" w:color="auto" w:frame="1"/>
          <w:shd w:val="clear" w:color="auto" w:fill="FFFFFF"/>
          <w:lang w:val="ro-RO"/>
        </w:rPr>
        <w:t>30% în cazul regiunii de dezvoltare prevăzute la </w:t>
      </w:r>
      <w:r w:rsidR="0053280A" w:rsidRPr="00F8441F">
        <w:rPr>
          <w:rStyle w:val="slgi"/>
          <w:rFonts w:ascii="Arial" w:hAnsi="Arial" w:cs="Arial"/>
          <w:bdr w:val="none" w:sz="0" w:space="0" w:color="auto" w:frame="1"/>
          <w:shd w:val="clear" w:color="auto" w:fill="FFFFFF"/>
          <w:lang w:val="ro-RO"/>
        </w:rPr>
        <w:t>art. 2 lit. g)</w:t>
      </w:r>
      <w:r w:rsidR="003A5FEA" w:rsidRPr="00F8441F">
        <w:rPr>
          <w:rStyle w:val="slgi"/>
          <w:rFonts w:ascii="Arial" w:hAnsi="Arial" w:cs="Arial"/>
          <w:bdr w:val="none" w:sz="0" w:space="0" w:color="auto" w:frame="1"/>
          <w:shd w:val="clear" w:color="auto" w:fill="FFFFFF"/>
          <w:lang w:val="ro-RO"/>
        </w:rPr>
        <w:t>;</w:t>
      </w:r>
      <w:r w:rsidR="0053280A" w:rsidRPr="00F8441F">
        <w:rPr>
          <w:rStyle w:val="slitbdy"/>
          <w:rFonts w:ascii="Arial" w:hAnsi="Arial" w:cs="Arial"/>
          <w:bdr w:val="none" w:sz="0" w:space="0" w:color="auto" w:frame="1"/>
          <w:shd w:val="clear" w:color="auto" w:fill="FFFFFF"/>
          <w:lang w:val="ro-RO"/>
        </w:rPr>
        <w:t> </w:t>
      </w:r>
    </w:p>
    <w:p w:rsidR="00DF11C4" w:rsidRPr="00F8441F" w:rsidRDefault="009A3A22" w:rsidP="00003303">
      <w:pPr>
        <w:jc w:val="both"/>
        <w:rPr>
          <w:rStyle w:val="slitbdy"/>
          <w:rFonts w:ascii="Arial" w:hAnsi="Arial" w:cs="Arial"/>
          <w:bdr w:val="none" w:sz="0" w:space="0" w:color="auto" w:frame="1"/>
          <w:shd w:val="clear" w:color="auto" w:fill="FFFFFF"/>
          <w:lang w:val="ro-RO"/>
        </w:rPr>
      </w:pPr>
      <w:r w:rsidRPr="00F8441F">
        <w:rPr>
          <w:rStyle w:val="slitbdy"/>
          <w:rFonts w:ascii="Arial" w:hAnsi="Arial" w:cs="Arial"/>
          <w:bdr w:val="none" w:sz="0" w:space="0" w:color="auto" w:frame="1"/>
          <w:shd w:val="clear" w:color="auto" w:fill="FFFFFF"/>
          <w:lang w:val="ro-RO"/>
        </w:rPr>
        <w:t xml:space="preserve">d) </w:t>
      </w:r>
      <w:r w:rsidRPr="00F8441F">
        <w:rPr>
          <w:rFonts w:ascii="Arial" w:hAnsi="Arial" w:cs="Arial"/>
          <w:bCs/>
          <w:lang w:val="ro-RO"/>
        </w:rPr>
        <w:t>45%</w:t>
      </w:r>
      <w:r w:rsidRPr="00F8441F">
        <w:rPr>
          <w:rFonts w:ascii="Arial" w:hAnsi="Arial" w:cs="Arial"/>
          <w:b/>
          <w:bCs/>
          <w:lang w:val="ro-RO"/>
        </w:rPr>
        <w:t xml:space="preserve"> </w:t>
      </w:r>
      <w:r w:rsidRPr="00F8441F">
        <w:rPr>
          <w:rStyle w:val="slitbdy"/>
          <w:rFonts w:ascii="Arial" w:hAnsi="Arial" w:cs="Arial"/>
          <w:bdr w:val="none" w:sz="0" w:space="0" w:color="auto" w:frame="1"/>
          <w:shd w:val="clear" w:color="auto" w:fill="FFFFFF"/>
          <w:lang w:val="ro-RO"/>
        </w:rPr>
        <w:t>pentru următoarele localități din județul Ilfov:</w:t>
      </w:r>
      <w:r w:rsidR="00C60B25" w:rsidRPr="00F8441F">
        <w:rPr>
          <w:rStyle w:val="slitbdy"/>
          <w:rFonts w:ascii="Arial" w:hAnsi="Arial" w:cs="Arial"/>
          <w:bdr w:val="none" w:sz="0" w:space="0" w:color="auto" w:frame="1"/>
          <w:shd w:val="clear" w:color="auto" w:fill="FFFFFF"/>
          <w:lang w:val="ro-RO"/>
        </w:rPr>
        <w:t xml:space="preserve"> Periș</w:t>
      </w:r>
      <w:r w:rsidRPr="00F8441F">
        <w:rPr>
          <w:rStyle w:val="slitbdy"/>
          <w:rFonts w:ascii="Arial" w:hAnsi="Arial" w:cs="Arial"/>
          <w:bdr w:val="none" w:sz="0" w:space="0" w:color="auto" w:frame="1"/>
          <w:shd w:val="clear" w:color="auto" w:fill="FFFFFF"/>
          <w:lang w:val="ro-RO"/>
        </w:rPr>
        <w:t xml:space="preserve">, Ciolpani, Snagov, Gruiu, Nuci, Grădiștea, Petrăchioaia, Dascălu, Moara Vlăsiei, Balotești, Corbeanca, Buftea, Chitila, Glina, </w:t>
      </w:r>
      <w:r w:rsidR="00840C96" w:rsidRPr="00F8441F">
        <w:rPr>
          <w:rStyle w:val="slitbdy"/>
          <w:rFonts w:ascii="Arial" w:hAnsi="Arial" w:cs="Arial"/>
          <w:bdr w:val="none" w:sz="0" w:space="0" w:color="auto" w:frame="1"/>
          <w:shd w:val="clear" w:color="auto" w:fill="FFFFFF"/>
          <w:lang w:val="ro-RO"/>
        </w:rPr>
        <w:t>Cernica, Dobroești, Panteli</w:t>
      </w:r>
      <w:r w:rsidRPr="00F8441F">
        <w:rPr>
          <w:rStyle w:val="slitbdy"/>
          <w:rFonts w:ascii="Arial" w:hAnsi="Arial" w:cs="Arial"/>
          <w:bdr w:val="none" w:sz="0" w:space="0" w:color="auto" w:frame="1"/>
          <w:shd w:val="clear" w:color="auto" w:fill="FFFFFF"/>
          <w:lang w:val="ro-RO"/>
        </w:rPr>
        <w:t>mon</w:t>
      </w:r>
      <w:r w:rsidR="00DF11C4" w:rsidRPr="00F8441F">
        <w:rPr>
          <w:rStyle w:val="slitbdy"/>
          <w:rFonts w:ascii="Arial" w:hAnsi="Arial" w:cs="Arial"/>
          <w:bdr w:val="none" w:sz="0" w:space="0" w:color="auto" w:frame="1"/>
          <w:shd w:val="clear" w:color="auto" w:fill="FFFFFF"/>
          <w:lang w:val="ro-RO"/>
        </w:rPr>
        <w:t>;</w:t>
      </w:r>
    </w:p>
    <w:p w:rsidR="000D7A5D" w:rsidRPr="00F8441F" w:rsidRDefault="009A3A22" w:rsidP="00836F73">
      <w:pPr>
        <w:jc w:val="both"/>
        <w:rPr>
          <w:rFonts w:ascii="Arial" w:hAnsi="Arial" w:cs="Arial"/>
          <w:bCs/>
          <w:lang w:val="ro-RO"/>
        </w:rPr>
      </w:pPr>
      <w:r w:rsidRPr="00F8441F">
        <w:rPr>
          <w:rStyle w:val="slitbdy"/>
          <w:rFonts w:ascii="Arial" w:hAnsi="Arial" w:cs="Arial"/>
          <w:bdr w:val="none" w:sz="0" w:space="0" w:color="auto" w:frame="1"/>
          <w:shd w:val="clear" w:color="auto" w:fill="FFFFFF"/>
          <w:lang w:val="ro-RO"/>
        </w:rPr>
        <w:t xml:space="preserve">e) </w:t>
      </w:r>
      <w:r w:rsidR="00A27D13" w:rsidRPr="00F8441F">
        <w:rPr>
          <w:rStyle w:val="slitbdy"/>
          <w:rFonts w:ascii="Arial" w:hAnsi="Arial" w:cs="Arial"/>
          <w:bdr w:val="none" w:sz="0" w:space="0" w:color="auto" w:frame="1"/>
          <w:shd w:val="clear" w:color="auto" w:fill="FFFFFF"/>
          <w:lang w:val="ro-RO"/>
        </w:rPr>
        <w:t xml:space="preserve">35% </w:t>
      </w:r>
      <w:r w:rsidR="009D552C" w:rsidRPr="00F8441F">
        <w:rPr>
          <w:rStyle w:val="slitbdy"/>
          <w:rFonts w:ascii="Arial" w:hAnsi="Arial" w:cs="Arial"/>
          <w:bdr w:val="none" w:sz="0" w:space="0" w:color="auto" w:frame="1"/>
          <w:shd w:val="clear" w:color="auto" w:fill="FFFFFF"/>
          <w:lang w:val="ro-RO"/>
        </w:rPr>
        <w:t>pentru următoarele localități din județul Ilfov:</w:t>
      </w:r>
      <w:r w:rsidR="00074C8A" w:rsidRPr="00F8441F">
        <w:rPr>
          <w:rStyle w:val="slitbdy"/>
          <w:rFonts w:ascii="Arial" w:hAnsi="Arial" w:cs="Arial"/>
          <w:bdr w:val="none" w:sz="0" w:space="0" w:color="auto" w:frame="1"/>
          <w:shd w:val="clear" w:color="auto" w:fill="FFFFFF"/>
          <w:lang w:val="ro-RO"/>
        </w:rPr>
        <w:t xml:space="preserve"> </w:t>
      </w:r>
      <w:r w:rsidRPr="00F8441F">
        <w:rPr>
          <w:rFonts w:ascii="Arial" w:hAnsi="Arial" w:cs="Arial"/>
          <w:bCs/>
          <w:lang w:val="ro-RO"/>
        </w:rPr>
        <w:t>Ciorogâ</w:t>
      </w:r>
      <w:r w:rsidR="000D7A5D" w:rsidRPr="00F8441F">
        <w:rPr>
          <w:rFonts w:ascii="Arial" w:hAnsi="Arial" w:cs="Arial"/>
          <w:bCs/>
          <w:lang w:val="ro-RO"/>
        </w:rPr>
        <w:t>rla, Domne</w:t>
      </w:r>
      <w:r w:rsidRPr="00F8441F">
        <w:rPr>
          <w:rFonts w:ascii="Arial" w:hAnsi="Arial" w:cs="Arial"/>
          <w:bCs/>
          <w:lang w:val="ro-RO"/>
        </w:rPr>
        <w:t>ști, Cornetu, Bragadiru, Dărăști</w:t>
      </w:r>
      <w:r w:rsidR="000D7A5D" w:rsidRPr="00F8441F">
        <w:rPr>
          <w:rFonts w:ascii="Arial" w:hAnsi="Arial" w:cs="Arial"/>
          <w:bCs/>
          <w:lang w:val="ro-RO"/>
        </w:rPr>
        <w:t>-</w:t>
      </w:r>
      <w:r w:rsidRPr="00F8441F">
        <w:rPr>
          <w:rFonts w:ascii="Arial" w:hAnsi="Arial" w:cs="Arial"/>
          <w:bCs/>
          <w:lang w:val="ro-RO"/>
        </w:rPr>
        <w:t xml:space="preserve">Ilfov, Jilava, 1 Decembrie, Copăceni, Vidra, </w:t>
      </w:r>
      <w:r w:rsidR="000D7A5D" w:rsidRPr="00F8441F">
        <w:rPr>
          <w:rFonts w:ascii="Arial" w:hAnsi="Arial" w:cs="Arial"/>
          <w:bCs/>
          <w:lang w:val="ro-RO"/>
        </w:rPr>
        <w:t>Berceni</w:t>
      </w:r>
      <w:r w:rsidR="00840C96" w:rsidRPr="00F8441F">
        <w:rPr>
          <w:rFonts w:ascii="Arial" w:hAnsi="Arial" w:cs="Arial"/>
          <w:bCs/>
          <w:lang w:val="ro-RO"/>
        </w:rPr>
        <w:t>, Clinceni.</w:t>
      </w:r>
    </w:p>
    <w:p w:rsidR="00294E09" w:rsidRPr="00F8441F" w:rsidRDefault="00294E09" w:rsidP="00003303">
      <w:pPr>
        <w:jc w:val="both"/>
        <w:rPr>
          <w:rStyle w:val="slitbdy"/>
          <w:rFonts w:ascii="Arial" w:hAnsi="Arial" w:cs="Arial"/>
          <w:bdr w:val="none" w:sz="0" w:space="0" w:color="auto" w:frame="1"/>
          <w:shd w:val="clear" w:color="auto" w:fill="FFFFFF"/>
          <w:lang w:val="en-US"/>
        </w:rPr>
      </w:pPr>
    </w:p>
    <w:p w:rsidR="0053280A" w:rsidRPr="00F8441F" w:rsidRDefault="0053280A" w:rsidP="00003303">
      <w:pPr>
        <w:jc w:val="both"/>
        <w:rPr>
          <w:rStyle w:val="salnbdy"/>
          <w:rFonts w:ascii="Arial" w:hAnsi="Arial" w:cs="Arial"/>
          <w:bdr w:val="none" w:sz="0" w:space="0" w:color="auto" w:frame="1"/>
          <w:shd w:val="clear" w:color="auto" w:fill="FFFFFF"/>
          <w:lang w:val="ro-RO"/>
        </w:rPr>
      </w:pPr>
      <w:r w:rsidRPr="00F8441F">
        <w:rPr>
          <w:rStyle w:val="salnttl"/>
          <w:rFonts w:ascii="Arial" w:hAnsi="Arial" w:cs="Arial"/>
          <w:bdr w:val="none" w:sz="0" w:space="0" w:color="auto" w:frame="1"/>
          <w:shd w:val="clear" w:color="auto" w:fill="FFFFFF"/>
          <w:lang w:val="ro-RO"/>
        </w:rPr>
        <w:t>(2)</w:t>
      </w:r>
      <w:r w:rsidRPr="00F8441F">
        <w:rPr>
          <w:rStyle w:val="saln"/>
          <w:rFonts w:ascii="Arial" w:hAnsi="Arial" w:cs="Arial"/>
          <w:bdr w:val="none" w:sz="0" w:space="0" w:color="auto" w:frame="1"/>
          <w:shd w:val="clear" w:color="auto" w:fill="FFFFFF"/>
          <w:lang w:val="ro-RO"/>
        </w:rPr>
        <w:t> </w:t>
      </w:r>
      <w:r w:rsidRPr="00F8441F">
        <w:rPr>
          <w:rStyle w:val="salnbdy"/>
          <w:rFonts w:ascii="Arial" w:hAnsi="Arial" w:cs="Arial"/>
          <w:bdr w:val="none" w:sz="0" w:space="0" w:color="auto" w:frame="1"/>
          <w:shd w:val="clear" w:color="auto" w:fill="FFFFFF"/>
          <w:lang w:val="ro-RO"/>
        </w:rPr>
        <w:t>Intensitățile maxime ale ajutoarelor de stat prevăzute la </w:t>
      </w:r>
      <w:r w:rsidRPr="00F8441F">
        <w:rPr>
          <w:rStyle w:val="slgi"/>
          <w:rFonts w:ascii="Arial" w:hAnsi="Arial" w:cs="Arial"/>
          <w:bdr w:val="none" w:sz="0" w:space="0" w:color="auto" w:frame="1"/>
          <w:shd w:val="clear" w:color="auto" w:fill="FFFFFF"/>
          <w:lang w:val="ro-RO"/>
        </w:rPr>
        <w:t>alin. (1)</w:t>
      </w:r>
      <w:r w:rsidRPr="00F8441F">
        <w:rPr>
          <w:rStyle w:val="salnbdy"/>
          <w:rFonts w:ascii="Arial" w:hAnsi="Arial" w:cs="Arial"/>
          <w:bdr w:val="none" w:sz="0" w:space="0" w:color="auto" w:frame="1"/>
          <w:shd w:val="clear" w:color="auto" w:fill="FFFFFF"/>
          <w:lang w:val="ro-RO"/>
        </w:rPr>
        <w:t> pot fi majorate cu până la 20 de puncte procentuale pentru întreprinderile mici sau cu până la 10 puncte procentuale pentru întreprinderile mijlocii. Intensitățile maxime majorate ale ajutoarelor pentru întreprinderile mici și mijlocii nu se aplică ajutoarelor acordate pentru proiectele</w:t>
      </w:r>
      <w:r w:rsidR="0004792F" w:rsidRPr="00F8441F">
        <w:rPr>
          <w:rStyle w:val="salnbdy"/>
          <w:rFonts w:ascii="Arial" w:hAnsi="Arial" w:cs="Arial"/>
          <w:bdr w:val="none" w:sz="0" w:space="0" w:color="auto" w:frame="1"/>
          <w:shd w:val="clear" w:color="auto" w:fill="FFFFFF"/>
          <w:lang w:val="ro-RO"/>
        </w:rPr>
        <w:t xml:space="preserve"> mari</w:t>
      </w:r>
      <w:r w:rsidRPr="00F8441F">
        <w:rPr>
          <w:rStyle w:val="salnbdy"/>
          <w:rFonts w:ascii="Arial" w:hAnsi="Arial" w:cs="Arial"/>
          <w:bdr w:val="none" w:sz="0" w:space="0" w:color="auto" w:frame="1"/>
          <w:shd w:val="clear" w:color="auto" w:fill="FFFFFF"/>
          <w:lang w:val="ro-RO"/>
        </w:rPr>
        <w:t xml:space="preserve"> de investiții</w:t>
      </w:r>
      <w:r w:rsidR="0004792F" w:rsidRPr="00F8441F">
        <w:rPr>
          <w:rStyle w:val="salnbdy"/>
          <w:rFonts w:ascii="Arial" w:hAnsi="Arial" w:cs="Arial"/>
          <w:bdr w:val="none" w:sz="0" w:space="0" w:color="auto" w:frame="1"/>
          <w:shd w:val="clear" w:color="auto" w:fill="FFFFFF"/>
          <w:lang w:val="ro-RO"/>
        </w:rPr>
        <w:t>,</w:t>
      </w:r>
      <w:r w:rsidRPr="00F8441F">
        <w:rPr>
          <w:rStyle w:val="salnbdy"/>
          <w:rFonts w:ascii="Arial" w:hAnsi="Arial" w:cs="Arial"/>
          <w:bdr w:val="none" w:sz="0" w:space="0" w:color="auto" w:frame="1"/>
          <w:shd w:val="clear" w:color="auto" w:fill="FFFFFF"/>
          <w:lang w:val="ro-RO"/>
        </w:rPr>
        <w:t xml:space="preserve"> ale căror cheltuieli eligibile depășesc 50 milioane euro.</w:t>
      </w:r>
    </w:p>
    <w:p w:rsidR="009D552C" w:rsidRPr="00F8441F" w:rsidRDefault="009D552C" w:rsidP="00003303">
      <w:pPr>
        <w:jc w:val="both"/>
        <w:rPr>
          <w:rStyle w:val="salnbdy"/>
          <w:rFonts w:ascii="Arial" w:hAnsi="Arial" w:cs="Arial"/>
          <w:bdr w:val="none" w:sz="0" w:space="0" w:color="auto" w:frame="1"/>
          <w:shd w:val="clear" w:color="auto" w:fill="FFFFFF"/>
          <w:lang w:val="ro-RO"/>
        </w:rPr>
      </w:pPr>
    </w:p>
    <w:p w:rsidR="00026464" w:rsidRDefault="00026464" w:rsidP="00026464">
      <w:pPr>
        <w:jc w:val="both"/>
        <w:rPr>
          <w:rStyle w:val="salnbdy"/>
          <w:rFonts w:ascii="Arial" w:hAnsi="Arial" w:cs="Arial"/>
          <w:bdr w:val="none" w:sz="0" w:space="0" w:color="auto" w:frame="1"/>
          <w:shd w:val="clear" w:color="auto" w:fill="FFFFFF"/>
          <w:lang w:val="ro-RO"/>
        </w:rPr>
      </w:pPr>
      <w:r w:rsidRPr="00F8441F">
        <w:rPr>
          <w:rStyle w:val="salnbdy"/>
          <w:rFonts w:ascii="Arial" w:hAnsi="Arial" w:cs="Arial"/>
          <w:bdr w:val="none" w:sz="0" w:space="0" w:color="auto" w:frame="1"/>
          <w:shd w:val="clear" w:color="auto" w:fill="FFFFFF"/>
          <w:lang w:val="ro-RO"/>
        </w:rPr>
        <w:t>(</w:t>
      </w:r>
      <w:r>
        <w:rPr>
          <w:rStyle w:val="salnbdy"/>
          <w:rFonts w:ascii="Arial" w:hAnsi="Arial" w:cs="Arial"/>
          <w:bdr w:val="none" w:sz="0" w:space="0" w:color="auto" w:frame="1"/>
          <w:shd w:val="clear" w:color="auto" w:fill="FFFFFF"/>
          <w:lang w:val="ro-RO"/>
        </w:rPr>
        <w:t>3</w:t>
      </w:r>
      <w:r w:rsidRPr="00F8441F">
        <w:rPr>
          <w:rStyle w:val="salnttl"/>
          <w:rFonts w:ascii="Arial" w:hAnsi="Arial" w:cs="Arial"/>
          <w:bdr w:val="none" w:sz="0" w:space="0" w:color="auto" w:frame="1"/>
          <w:shd w:val="clear" w:color="auto" w:fill="FFFFFF"/>
          <w:lang w:val="ro-RO"/>
        </w:rPr>
        <w:t>)</w:t>
      </w:r>
      <w:r w:rsidRPr="00F8441F">
        <w:rPr>
          <w:rStyle w:val="saln"/>
          <w:rFonts w:ascii="Arial" w:hAnsi="Arial" w:cs="Arial"/>
          <w:bdr w:val="none" w:sz="0" w:space="0" w:color="auto" w:frame="1"/>
          <w:shd w:val="clear" w:color="auto" w:fill="FFFFFF"/>
          <w:lang w:val="ro-RO"/>
        </w:rPr>
        <w:t> </w:t>
      </w:r>
      <w:r w:rsidRPr="00F8441F">
        <w:rPr>
          <w:rStyle w:val="salnbdy"/>
          <w:rFonts w:ascii="Arial" w:hAnsi="Arial" w:cs="Arial"/>
          <w:bdr w:val="none" w:sz="0" w:space="0" w:color="auto" w:frame="1"/>
          <w:shd w:val="clear" w:color="auto" w:fill="FFFFFF"/>
          <w:lang w:val="ro-RO"/>
        </w:rPr>
        <w:t>Intensitățile maxime ale ajutoarelor de stat prevăzute la </w:t>
      </w:r>
      <w:r w:rsidRPr="00F8441F">
        <w:rPr>
          <w:rStyle w:val="slgi"/>
          <w:rFonts w:ascii="Arial" w:hAnsi="Arial" w:cs="Arial"/>
          <w:bdr w:val="none" w:sz="0" w:space="0" w:color="auto" w:frame="1"/>
          <w:shd w:val="clear" w:color="auto" w:fill="FFFFFF"/>
          <w:lang w:val="ro-RO"/>
        </w:rPr>
        <w:t>alin. (1)</w:t>
      </w:r>
      <w:r w:rsidRPr="00F8441F">
        <w:rPr>
          <w:rStyle w:val="salnbdy"/>
          <w:rFonts w:ascii="Arial" w:hAnsi="Arial" w:cs="Arial"/>
          <w:bdr w:val="none" w:sz="0" w:space="0" w:color="auto" w:frame="1"/>
          <w:shd w:val="clear" w:color="auto" w:fill="FFFFFF"/>
          <w:lang w:val="ro-RO"/>
        </w:rPr>
        <w:t> pot fi majorate  cu 10 puncte procentuale</w:t>
      </w:r>
      <w:r w:rsidRPr="00F8441F" w:rsidDel="000D0321">
        <w:rPr>
          <w:rStyle w:val="salnbdy"/>
          <w:rFonts w:ascii="Arial" w:hAnsi="Arial" w:cs="Arial"/>
          <w:bdr w:val="none" w:sz="0" w:space="0" w:color="auto" w:frame="1"/>
          <w:shd w:val="clear" w:color="auto" w:fill="FFFFFF"/>
          <w:lang w:val="ro-RO"/>
        </w:rPr>
        <w:t xml:space="preserve"> </w:t>
      </w:r>
      <w:r w:rsidRPr="00F8441F">
        <w:rPr>
          <w:rStyle w:val="salnbdy"/>
          <w:rFonts w:ascii="Arial" w:hAnsi="Arial" w:cs="Arial"/>
          <w:bdr w:val="none" w:sz="0" w:space="0" w:color="auto" w:frame="1"/>
          <w:shd w:val="clear" w:color="auto" w:fill="FFFFFF"/>
          <w:lang w:val="ro-RO"/>
        </w:rPr>
        <w:t xml:space="preserve">în cazul următoarelor regiuni NUTS 3 care s-au confruntat cu o pierdere a populației de peste 10% în perioada 2009-2018: județele Bistrița-Năsăud, Maramureș, Sălaj și Satu-Mare (regiunea de dezvoltare Nord-Vest); județul Alba (regiunea de dezvoltare Centru); județele Bacău, Botoșani, Neamț, Suceava și Vaslui (regiunea de dezvoltare Nord-Est); județele Brăila, Buzău, Galați, Tulcea și  Vrancea (regiunea de dezvoltare Sud-Est); județele Călărași, Ialomița, Prahova și Teleorman (regiunea de dezvoltare Sud-Muntenia); județele Dolj, Gorj, Mehedinți, Olt și Vâlcea (regiunea de dezvoltare Sud-Vest Oltenia), județele Caraș-Severin și Hunedoara (regiunea de dezvoltare Vest). </w:t>
      </w:r>
    </w:p>
    <w:p w:rsidR="00026464" w:rsidRPr="00F8441F" w:rsidRDefault="00026464" w:rsidP="00026464">
      <w:pPr>
        <w:jc w:val="both"/>
        <w:rPr>
          <w:rStyle w:val="salnbdy"/>
          <w:rFonts w:ascii="Arial" w:hAnsi="Arial" w:cs="Arial"/>
          <w:bdr w:val="none" w:sz="0" w:space="0" w:color="auto" w:frame="1"/>
          <w:shd w:val="clear" w:color="auto" w:fill="FFFFFF"/>
          <w:lang w:val="ro-RO"/>
        </w:rPr>
      </w:pPr>
      <w:r w:rsidRPr="00F8441F">
        <w:rPr>
          <w:rStyle w:val="salnbdy"/>
          <w:rFonts w:ascii="Arial" w:hAnsi="Arial" w:cs="Arial"/>
          <w:bdr w:val="none" w:sz="0" w:space="0" w:color="auto" w:frame="1"/>
          <w:shd w:val="clear" w:color="auto" w:fill="FFFFFF"/>
          <w:lang w:val="ro-RO"/>
        </w:rPr>
        <w:t xml:space="preserve"> </w:t>
      </w:r>
    </w:p>
    <w:p w:rsidR="00B875EB" w:rsidRDefault="00BD5BF6" w:rsidP="00026464">
      <w:pPr>
        <w:spacing w:after="160" w:line="259" w:lineRule="auto"/>
        <w:jc w:val="both"/>
        <w:rPr>
          <w:rFonts w:ascii="Arial" w:hAnsi="Arial" w:cs="Arial"/>
          <w:lang w:val="ro-RO"/>
        </w:rPr>
      </w:pPr>
      <w:r w:rsidRPr="00F8441F">
        <w:rPr>
          <w:rStyle w:val="salnbdy"/>
          <w:rFonts w:ascii="Arial" w:hAnsi="Arial" w:cs="Arial"/>
          <w:bdr w:val="none" w:sz="0" w:space="0" w:color="auto" w:frame="1"/>
          <w:shd w:val="clear" w:color="auto" w:fill="FFFFFF"/>
          <w:lang w:val="ro-RO"/>
        </w:rPr>
        <w:t>(</w:t>
      </w:r>
      <w:r w:rsidR="00026464">
        <w:rPr>
          <w:rStyle w:val="salnbdy"/>
          <w:rFonts w:ascii="Arial" w:hAnsi="Arial" w:cs="Arial"/>
          <w:bdr w:val="none" w:sz="0" w:space="0" w:color="auto" w:frame="1"/>
          <w:shd w:val="clear" w:color="auto" w:fill="FFFFFF"/>
          <w:lang w:val="ro-RO"/>
        </w:rPr>
        <w:t>4</w:t>
      </w:r>
      <w:r w:rsidRPr="00F8441F">
        <w:rPr>
          <w:rStyle w:val="salnttl"/>
          <w:rFonts w:ascii="Arial" w:hAnsi="Arial" w:cs="Arial"/>
          <w:bdr w:val="none" w:sz="0" w:space="0" w:color="auto" w:frame="1"/>
          <w:shd w:val="clear" w:color="auto" w:fill="FFFFFF"/>
          <w:lang w:val="ro-RO"/>
        </w:rPr>
        <w:t>)</w:t>
      </w:r>
      <w:r w:rsidRPr="00F8441F">
        <w:rPr>
          <w:rStyle w:val="spar"/>
          <w:rFonts w:ascii="Arial" w:hAnsi="Arial" w:cs="Arial"/>
          <w:bdr w:val="none" w:sz="0" w:space="0" w:color="auto" w:frame="1"/>
          <w:shd w:val="clear" w:color="auto" w:fill="FFFFFF"/>
          <w:lang w:val="ro-RO"/>
        </w:rPr>
        <w:t> </w:t>
      </w:r>
      <w:r w:rsidRPr="00F8441F">
        <w:rPr>
          <w:rStyle w:val="salnbdy"/>
          <w:rFonts w:ascii="Arial" w:hAnsi="Arial" w:cs="Arial"/>
          <w:bdr w:val="none" w:sz="0" w:space="0" w:color="auto" w:frame="1"/>
          <w:shd w:val="clear" w:color="auto" w:fill="FFFFFF"/>
          <w:lang w:val="ro-RO"/>
        </w:rPr>
        <w:t>Intensitățile maxime ale ajutoarelor de stat prevăzute</w:t>
      </w:r>
      <w:r w:rsidR="00836F73" w:rsidRPr="00F8441F">
        <w:rPr>
          <w:rStyle w:val="salnbdy"/>
          <w:rFonts w:ascii="Arial" w:hAnsi="Arial" w:cs="Arial"/>
          <w:bdr w:val="none" w:sz="0" w:space="0" w:color="auto" w:frame="1"/>
          <w:shd w:val="clear" w:color="auto" w:fill="FFFFFF"/>
          <w:lang w:val="ro-RO"/>
        </w:rPr>
        <w:t xml:space="preserve"> </w:t>
      </w:r>
      <w:r w:rsidR="00544FED" w:rsidRPr="00F8441F">
        <w:rPr>
          <w:rStyle w:val="salnbdy"/>
          <w:rFonts w:ascii="Arial" w:hAnsi="Arial" w:cs="Arial"/>
          <w:bdr w:val="none" w:sz="0" w:space="0" w:color="auto" w:frame="1"/>
          <w:shd w:val="clear" w:color="auto" w:fill="FFFFFF"/>
          <w:lang w:val="ro-RO"/>
        </w:rPr>
        <w:t>la </w:t>
      </w:r>
      <w:r w:rsidR="00544FED" w:rsidRPr="00F8441F">
        <w:rPr>
          <w:rStyle w:val="slgi"/>
          <w:rFonts w:ascii="Arial" w:hAnsi="Arial" w:cs="Arial"/>
          <w:bdr w:val="none" w:sz="0" w:space="0" w:color="auto" w:frame="1"/>
          <w:shd w:val="clear" w:color="auto" w:fill="FFFFFF"/>
          <w:lang w:val="ro-RO"/>
        </w:rPr>
        <w:t xml:space="preserve">alin. (1) </w:t>
      </w:r>
      <w:r w:rsidR="00026464">
        <w:rPr>
          <w:rStyle w:val="slgi"/>
          <w:rFonts w:ascii="Arial" w:hAnsi="Arial" w:cs="Arial"/>
          <w:bdr w:val="none" w:sz="0" w:space="0" w:color="auto" w:frame="1"/>
          <w:shd w:val="clear" w:color="auto" w:fill="FFFFFF"/>
          <w:lang w:val="ro-RO"/>
        </w:rPr>
        <w:t xml:space="preserve">vor </w:t>
      </w:r>
      <w:r w:rsidR="00544FED" w:rsidRPr="00F8441F">
        <w:rPr>
          <w:rStyle w:val="slgi"/>
          <w:rFonts w:ascii="Arial" w:hAnsi="Arial" w:cs="Arial"/>
          <w:bdr w:val="none" w:sz="0" w:space="0" w:color="auto" w:frame="1"/>
          <w:shd w:val="clear" w:color="auto" w:fill="FFFFFF"/>
          <w:lang w:val="ro-RO"/>
        </w:rPr>
        <w:t>p</w:t>
      </w:r>
      <w:r w:rsidR="00026464">
        <w:rPr>
          <w:rStyle w:val="slgi"/>
          <w:rFonts w:ascii="Arial" w:hAnsi="Arial" w:cs="Arial"/>
          <w:bdr w:val="none" w:sz="0" w:space="0" w:color="auto" w:frame="1"/>
          <w:shd w:val="clear" w:color="auto" w:fill="FFFFFF"/>
          <w:lang w:val="ro-RO"/>
        </w:rPr>
        <w:t>u</w:t>
      </w:r>
      <w:r w:rsidR="00544FED" w:rsidRPr="00F8441F">
        <w:rPr>
          <w:rStyle w:val="slgi"/>
          <w:rFonts w:ascii="Arial" w:hAnsi="Arial" w:cs="Arial"/>
          <w:bdr w:val="none" w:sz="0" w:space="0" w:color="auto" w:frame="1"/>
          <w:shd w:val="clear" w:color="auto" w:fill="FFFFFF"/>
          <w:lang w:val="ro-RO"/>
        </w:rPr>
        <w:t>t</w:t>
      </w:r>
      <w:r w:rsidR="00026464">
        <w:rPr>
          <w:rStyle w:val="slgi"/>
          <w:rFonts w:ascii="Arial" w:hAnsi="Arial" w:cs="Arial"/>
          <w:bdr w:val="none" w:sz="0" w:space="0" w:color="auto" w:frame="1"/>
          <w:shd w:val="clear" w:color="auto" w:fill="FFFFFF"/>
          <w:lang w:val="ro-RO"/>
        </w:rPr>
        <w:t>ea</w:t>
      </w:r>
      <w:r w:rsidR="00544FED" w:rsidRPr="00F8441F">
        <w:rPr>
          <w:rStyle w:val="slgi"/>
          <w:rFonts w:ascii="Arial" w:hAnsi="Arial" w:cs="Arial"/>
          <w:bdr w:val="none" w:sz="0" w:space="0" w:color="auto" w:frame="1"/>
          <w:shd w:val="clear" w:color="auto" w:fill="FFFFFF"/>
          <w:lang w:val="ro-RO"/>
        </w:rPr>
        <w:t xml:space="preserve"> fi majorate</w:t>
      </w:r>
      <w:r w:rsidR="006F471A" w:rsidRPr="00F8441F">
        <w:rPr>
          <w:rStyle w:val="slgi"/>
          <w:rFonts w:ascii="Arial" w:hAnsi="Arial" w:cs="Arial"/>
          <w:bdr w:val="none" w:sz="0" w:space="0" w:color="auto" w:frame="1"/>
          <w:shd w:val="clear" w:color="auto" w:fill="FFFFFF"/>
          <w:lang w:val="ro-RO"/>
        </w:rPr>
        <w:t xml:space="preserve"> cu</w:t>
      </w:r>
      <w:r w:rsidR="00836F73" w:rsidRPr="00F8441F">
        <w:rPr>
          <w:rStyle w:val="salnbdy"/>
          <w:rFonts w:ascii="Arial" w:hAnsi="Arial" w:cs="Arial"/>
          <w:bdr w:val="none" w:sz="0" w:space="0" w:color="auto" w:frame="1"/>
          <w:shd w:val="clear" w:color="auto" w:fill="FFFFFF"/>
          <w:lang w:val="ro-RO"/>
        </w:rPr>
        <w:t xml:space="preserve"> </w:t>
      </w:r>
      <w:r w:rsidR="00544FED" w:rsidRPr="00F8441F">
        <w:rPr>
          <w:rStyle w:val="salnbdy"/>
          <w:rFonts w:ascii="Arial" w:hAnsi="Arial" w:cs="Arial"/>
          <w:bdr w:val="none" w:sz="0" w:space="0" w:color="auto" w:frame="1"/>
          <w:shd w:val="clear" w:color="auto" w:fill="FFFFFF"/>
          <w:lang w:val="ro-RO"/>
        </w:rPr>
        <w:t xml:space="preserve">10 puncte procentuale în </w:t>
      </w:r>
      <w:r w:rsidR="009E609E" w:rsidRPr="00F8441F">
        <w:rPr>
          <w:rStyle w:val="salnbdy"/>
          <w:rFonts w:ascii="Arial" w:hAnsi="Arial" w:cs="Arial"/>
          <w:bdr w:val="none" w:sz="0" w:space="0" w:color="auto" w:frame="1"/>
          <w:shd w:val="clear" w:color="auto" w:fill="FFFFFF"/>
          <w:lang w:val="ro-RO"/>
        </w:rPr>
        <w:t xml:space="preserve">cazul </w:t>
      </w:r>
      <w:r w:rsidR="00BF6416">
        <w:rPr>
          <w:rStyle w:val="salnbdy"/>
          <w:rFonts w:ascii="Arial" w:hAnsi="Arial" w:cs="Arial"/>
          <w:bdr w:val="none" w:sz="0" w:space="0" w:color="auto" w:frame="1"/>
          <w:shd w:val="clear" w:color="auto" w:fill="FFFFFF"/>
          <w:lang w:val="ro-RO"/>
        </w:rPr>
        <w:t>teritoriilor</w:t>
      </w:r>
      <w:r w:rsidR="00B875EB">
        <w:rPr>
          <w:rStyle w:val="salnbdy"/>
          <w:rFonts w:ascii="Arial" w:hAnsi="Arial" w:cs="Arial"/>
          <w:bdr w:val="none" w:sz="0" w:space="0" w:color="auto" w:frame="1"/>
          <w:shd w:val="clear" w:color="auto" w:fill="FFFFFF"/>
          <w:lang w:val="ro-RO"/>
        </w:rPr>
        <w:t xml:space="preserve"> NUTS 3</w:t>
      </w:r>
      <w:r w:rsidR="009E609E" w:rsidRPr="00F8441F">
        <w:rPr>
          <w:rFonts w:ascii="Arial" w:hAnsi="Arial" w:cs="Arial"/>
          <w:lang w:val="ro-RO"/>
        </w:rPr>
        <w:t xml:space="preserve"> identificate pentru a primi sprijin din partea Fondului pentru Tranziție Justă în cadrul planurilor teritoriale pentru o tranziție justă, </w:t>
      </w:r>
      <w:r w:rsidR="004334E7" w:rsidRPr="00F8441F">
        <w:rPr>
          <w:rFonts w:ascii="Arial" w:hAnsi="Arial" w:cs="Arial"/>
          <w:lang w:val="ro-RO"/>
        </w:rPr>
        <w:t xml:space="preserve">ulterior </w:t>
      </w:r>
      <w:r w:rsidR="009E609E" w:rsidRPr="00F8441F">
        <w:rPr>
          <w:rFonts w:ascii="Arial" w:hAnsi="Arial" w:cs="Arial"/>
          <w:lang w:val="ro-RO"/>
        </w:rPr>
        <w:t>aprob</w:t>
      </w:r>
      <w:r w:rsidR="004334E7" w:rsidRPr="00F8441F">
        <w:rPr>
          <w:rFonts w:ascii="Arial" w:hAnsi="Arial" w:cs="Arial"/>
          <w:lang w:val="ro-RO"/>
        </w:rPr>
        <w:t>ării acestora</w:t>
      </w:r>
      <w:r w:rsidR="009E609E" w:rsidRPr="00F8441F">
        <w:rPr>
          <w:rFonts w:ascii="Arial" w:hAnsi="Arial" w:cs="Arial"/>
          <w:lang w:val="ro-RO"/>
        </w:rPr>
        <w:t xml:space="preserve"> de Comisia Europeană pentru România</w:t>
      </w:r>
      <w:r w:rsidR="00F8441F">
        <w:rPr>
          <w:rFonts w:ascii="Arial" w:hAnsi="Arial" w:cs="Arial"/>
          <w:lang w:val="ro-RO"/>
        </w:rPr>
        <w:t>.</w:t>
      </w:r>
    </w:p>
    <w:p w:rsidR="00F8441F" w:rsidRPr="00007400" w:rsidRDefault="00B875EB" w:rsidP="00026464">
      <w:pPr>
        <w:spacing w:after="160" w:line="259" w:lineRule="auto"/>
        <w:jc w:val="both"/>
        <w:rPr>
          <w:rFonts w:ascii="Arial" w:hAnsi="Arial" w:cs="Arial"/>
          <w:lang w:val="ro-RO"/>
        </w:rPr>
      </w:pPr>
      <w:r w:rsidRPr="00007400">
        <w:rPr>
          <w:rFonts w:ascii="Arial" w:hAnsi="Arial" w:cs="Arial"/>
          <w:lang w:val="ro-RO"/>
        </w:rPr>
        <w:t xml:space="preserve">(5) </w:t>
      </w:r>
      <w:r w:rsidR="00FC696E" w:rsidRPr="00007400">
        <w:rPr>
          <w:rStyle w:val="salnbdy"/>
          <w:rFonts w:ascii="Arial" w:hAnsi="Arial" w:cs="Arial"/>
          <w:bdr w:val="none" w:sz="0" w:space="0" w:color="auto" w:frame="1"/>
          <w:shd w:val="clear" w:color="auto" w:fill="FFFFFF"/>
          <w:lang w:val="ro-RO"/>
        </w:rPr>
        <w:t>Intensitățile majorate ale ajutoarelor de stat</w:t>
      </w:r>
      <w:r w:rsidR="001B66B2" w:rsidRPr="00007400">
        <w:rPr>
          <w:rFonts w:ascii="Arial" w:hAnsi="Arial" w:cs="Arial"/>
          <w:lang w:val="ro-RO"/>
        </w:rPr>
        <w:t xml:space="preserve"> </w:t>
      </w:r>
      <w:r w:rsidR="00FC696E" w:rsidRPr="00007400">
        <w:rPr>
          <w:rFonts w:ascii="Arial" w:hAnsi="Arial" w:cs="Arial"/>
          <w:lang w:val="ro-RO"/>
        </w:rPr>
        <w:t xml:space="preserve">prevăzute la </w:t>
      </w:r>
      <w:r w:rsidR="001B66B2" w:rsidRPr="00007400">
        <w:rPr>
          <w:rFonts w:ascii="Arial" w:hAnsi="Arial" w:cs="Arial"/>
          <w:lang w:val="ro-RO"/>
        </w:rPr>
        <w:t xml:space="preserve">alin. (4) vor fi aplicabile după </w:t>
      </w:r>
      <w:r w:rsidR="00A4459B" w:rsidRPr="00007400">
        <w:rPr>
          <w:rFonts w:ascii="Arial" w:hAnsi="Arial" w:cs="Arial"/>
          <w:lang w:val="ro-RO"/>
        </w:rPr>
        <w:t xml:space="preserve">autorizarea de către </w:t>
      </w:r>
      <w:r w:rsidR="00176903" w:rsidRPr="00007400">
        <w:rPr>
          <w:rFonts w:ascii="Arial" w:hAnsi="Arial" w:cs="Arial"/>
          <w:lang w:val="ro-RO"/>
        </w:rPr>
        <w:t xml:space="preserve">Comisia Europeană a </w:t>
      </w:r>
      <w:r w:rsidR="00A4459B" w:rsidRPr="00007400">
        <w:rPr>
          <w:rFonts w:ascii="Arial" w:hAnsi="Arial" w:cs="Arial"/>
          <w:lang w:val="ro-RO"/>
        </w:rPr>
        <w:t xml:space="preserve">modificării hărții </w:t>
      </w:r>
      <w:r w:rsidR="0008106D" w:rsidRPr="00007400">
        <w:rPr>
          <w:rFonts w:ascii="Arial" w:hAnsi="Arial" w:cs="Arial"/>
          <w:lang w:val="ro-RO"/>
        </w:rPr>
        <w:t xml:space="preserve">ajutoarelor de stat </w:t>
      </w:r>
      <w:r w:rsidR="00A4459B" w:rsidRPr="00007400">
        <w:rPr>
          <w:rFonts w:ascii="Arial" w:hAnsi="Arial" w:cs="Arial"/>
          <w:lang w:val="ro-RO"/>
        </w:rPr>
        <w:t>regionale pentru România</w:t>
      </w:r>
      <w:r w:rsidR="00BF6416" w:rsidRPr="00007400">
        <w:rPr>
          <w:rFonts w:ascii="Arial" w:hAnsi="Arial" w:cs="Arial"/>
          <w:lang w:val="ro-RO"/>
        </w:rPr>
        <w:t>. Modificarea</w:t>
      </w:r>
      <w:r w:rsidR="00FC696E" w:rsidRPr="00007400">
        <w:rPr>
          <w:rFonts w:ascii="Arial" w:hAnsi="Arial" w:cs="Arial"/>
          <w:lang w:val="ro-RO"/>
        </w:rPr>
        <w:t xml:space="preserve"> </w:t>
      </w:r>
      <w:r w:rsidR="00BF6416" w:rsidRPr="00007400">
        <w:rPr>
          <w:rFonts w:ascii="Arial" w:hAnsi="Arial" w:cs="Arial"/>
          <w:lang w:val="ro-RO"/>
        </w:rPr>
        <w:t xml:space="preserve">va fi notificată Comisiei Europene și va consta în </w:t>
      </w:r>
      <w:r w:rsidR="0008106D" w:rsidRPr="00007400">
        <w:rPr>
          <w:rFonts w:ascii="Arial" w:hAnsi="Arial" w:cs="Arial"/>
          <w:lang w:val="ro-RO"/>
        </w:rPr>
        <w:t>includer</w:t>
      </w:r>
      <w:r w:rsidR="00BF6416" w:rsidRPr="00007400">
        <w:rPr>
          <w:rFonts w:ascii="Arial" w:hAnsi="Arial" w:cs="Arial"/>
          <w:lang w:val="ro-RO"/>
        </w:rPr>
        <w:t>ea, în harta regională, a</w:t>
      </w:r>
      <w:r w:rsidR="0008106D" w:rsidRPr="00007400">
        <w:rPr>
          <w:rFonts w:ascii="Arial" w:hAnsi="Arial" w:cs="Arial"/>
          <w:lang w:val="ro-RO"/>
        </w:rPr>
        <w:t xml:space="preserve"> </w:t>
      </w:r>
      <w:r w:rsidR="00BF6416" w:rsidRPr="00007400">
        <w:rPr>
          <w:rFonts w:ascii="Arial" w:hAnsi="Arial" w:cs="Arial"/>
          <w:lang w:val="ro-RO"/>
        </w:rPr>
        <w:t>teritoriilor</w:t>
      </w:r>
      <w:r w:rsidR="0008106D" w:rsidRPr="00007400">
        <w:rPr>
          <w:rStyle w:val="salnbdy"/>
          <w:rFonts w:ascii="Arial" w:hAnsi="Arial" w:cs="Arial"/>
          <w:bdr w:val="none" w:sz="0" w:space="0" w:color="auto" w:frame="1"/>
          <w:shd w:val="clear" w:color="auto" w:fill="FFFFFF"/>
          <w:lang w:val="ro-RO"/>
        </w:rPr>
        <w:t xml:space="preserve"> NUTS 3</w:t>
      </w:r>
      <w:r w:rsidR="00FC696E" w:rsidRPr="00007400">
        <w:rPr>
          <w:rStyle w:val="salnbdy"/>
          <w:rFonts w:ascii="Arial" w:hAnsi="Arial" w:cs="Arial"/>
          <w:bdr w:val="none" w:sz="0" w:space="0" w:color="auto" w:frame="1"/>
          <w:shd w:val="clear" w:color="auto" w:fill="FFFFFF"/>
          <w:lang w:val="ro-RO"/>
        </w:rPr>
        <w:t xml:space="preserve"> </w:t>
      </w:r>
      <w:r w:rsidR="008D4A21" w:rsidRPr="00007400">
        <w:rPr>
          <w:rStyle w:val="salnbdy"/>
          <w:rFonts w:ascii="Arial" w:hAnsi="Arial" w:cs="Arial"/>
          <w:bdr w:val="none" w:sz="0" w:space="0" w:color="auto" w:frame="1"/>
          <w:shd w:val="clear" w:color="auto" w:fill="FFFFFF"/>
          <w:lang w:val="ro-RO"/>
        </w:rPr>
        <w:t>în conformitate cu prevederile</w:t>
      </w:r>
      <w:r w:rsidR="00FC696E" w:rsidRPr="00007400">
        <w:rPr>
          <w:rStyle w:val="salnbdy"/>
          <w:rFonts w:ascii="Arial" w:hAnsi="Arial" w:cs="Arial"/>
          <w:bdr w:val="none" w:sz="0" w:space="0" w:color="auto" w:frame="1"/>
          <w:shd w:val="clear" w:color="auto" w:fill="FFFFFF"/>
          <w:lang w:val="ro-RO"/>
        </w:rPr>
        <w:t xml:space="preserve"> alin. (4)</w:t>
      </w:r>
      <w:r w:rsidR="00176903" w:rsidRPr="00007400">
        <w:rPr>
          <w:rFonts w:ascii="Arial" w:hAnsi="Arial" w:cs="Arial"/>
          <w:lang w:val="ro-RO"/>
        </w:rPr>
        <w:t>.</w:t>
      </w:r>
    </w:p>
    <w:p w:rsidR="00836F73" w:rsidRPr="00F8441F" w:rsidRDefault="00836F73" w:rsidP="00180C40">
      <w:pPr>
        <w:jc w:val="both"/>
        <w:rPr>
          <w:rStyle w:val="salnbdy"/>
          <w:rFonts w:ascii="Arial" w:hAnsi="Arial" w:cs="Arial"/>
          <w:bdr w:val="none" w:sz="0" w:space="0" w:color="auto" w:frame="1"/>
          <w:shd w:val="clear" w:color="auto" w:fill="FFFFFF"/>
          <w:lang w:val="ro-RO"/>
        </w:rPr>
      </w:pPr>
    </w:p>
    <w:p w:rsidR="0053280A" w:rsidRPr="00F8441F" w:rsidRDefault="0053280A" w:rsidP="00003303">
      <w:pPr>
        <w:jc w:val="both"/>
        <w:rPr>
          <w:rStyle w:val="salnbdy"/>
          <w:rFonts w:ascii="Arial" w:hAnsi="Arial" w:cs="Arial"/>
          <w:bdr w:val="none" w:sz="0" w:space="0" w:color="auto" w:frame="1"/>
          <w:shd w:val="clear" w:color="auto" w:fill="FFFFFF"/>
          <w:lang w:val="ro-RO"/>
        </w:rPr>
      </w:pPr>
    </w:p>
    <w:p w:rsidR="00BD5BF6" w:rsidRPr="00007400" w:rsidRDefault="0053280A" w:rsidP="00003303">
      <w:pPr>
        <w:jc w:val="both"/>
        <w:rPr>
          <w:rStyle w:val="sartttl"/>
          <w:rFonts w:ascii="Arial" w:hAnsi="Arial" w:cs="Arial"/>
          <w:b/>
          <w:bCs/>
          <w:bdr w:val="none" w:sz="0" w:space="0" w:color="auto" w:frame="1"/>
          <w:shd w:val="clear" w:color="auto" w:fill="FFFFFF"/>
          <w:lang w:val="en-US"/>
        </w:rPr>
      </w:pPr>
      <w:r w:rsidRPr="00F8441F">
        <w:rPr>
          <w:rStyle w:val="sartttl"/>
          <w:rFonts w:ascii="Arial" w:hAnsi="Arial" w:cs="Arial"/>
          <w:b/>
          <w:bCs/>
          <w:bdr w:val="none" w:sz="0" w:space="0" w:color="auto" w:frame="1"/>
          <w:shd w:val="clear" w:color="auto" w:fill="FFFFFF"/>
          <w:lang w:val="ro-RO"/>
        </w:rPr>
        <w:t>Art</w:t>
      </w:r>
      <w:r w:rsidR="003C0FB8" w:rsidRPr="00F8441F">
        <w:rPr>
          <w:rStyle w:val="sartttl"/>
          <w:rFonts w:ascii="Arial" w:hAnsi="Arial" w:cs="Arial"/>
          <w:b/>
          <w:bCs/>
          <w:bdr w:val="none" w:sz="0" w:space="0" w:color="auto" w:frame="1"/>
          <w:shd w:val="clear" w:color="auto" w:fill="FFFFFF"/>
          <w:lang w:val="ro-RO"/>
        </w:rPr>
        <w:t>.</w:t>
      </w:r>
      <w:r w:rsidRPr="00F8441F">
        <w:rPr>
          <w:rStyle w:val="sartttl"/>
          <w:rFonts w:ascii="Arial" w:hAnsi="Arial" w:cs="Arial"/>
          <w:b/>
          <w:bCs/>
          <w:bdr w:val="none" w:sz="0" w:space="0" w:color="auto" w:frame="1"/>
          <w:shd w:val="clear" w:color="auto" w:fill="FFFFFF"/>
          <w:lang w:val="ro-RO"/>
        </w:rPr>
        <w:t xml:space="preserve"> 4</w:t>
      </w:r>
    </w:p>
    <w:p w:rsidR="00003303" w:rsidRPr="00F8441F" w:rsidRDefault="0053280A" w:rsidP="00003303">
      <w:pPr>
        <w:jc w:val="both"/>
        <w:rPr>
          <w:rFonts w:ascii="Arial" w:hAnsi="Arial" w:cs="Arial"/>
          <w:lang w:val="ro-RO"/>
        </w:rPr>
      </w:pPr>
      <w:r w:rsidRPr="00F8441F">
        <w:rPr>
          <w:rStyle w:val="spar"/>
          <w:rFonts w:ascii="Arial" w:hAnsi="Arial" w:cs="Arial"/>
          <w:bdr w:val="none" w:sz="0" w:space="0" w:color="auto" w:frame="1"/>
          <w:shd w:val="clear" w:color="auto" w:fill="FFFFFF"/>
          <w:lang w:val="ro-RO"/>
        </w:rPr>
        <w:t xml:space="preserve">Prezenta hotărâre intră în vigoare la data de 1 </w:t>
      </w:r>
      <w:r w:rsidR="00122366" w:rsidRPr="00F8441F">
        <w:rPr>
          <w:rStyle w:val="spar"/>
          <w:rFonts w:ascii="Arial" w:hAnsi="Arial" w:cs="Arial"/>
          <w:bdr w:val="none" w:sz="0" w:space="0" w:color="auto" w:frame="1"/>
          <w:shd w:val="clear" w:color="auto" w:fill="FFFFFF"/>
          <w:lang w:val="ro-RO"/>
        </w:rPr>
        <w:t>ianuarie</w:t>
      </w:r>
      <w:r w:rsidRPr="00F8441F">
        <w:rPr>
          <w:rStyle w:val="spar"/>
          <w:rFonts w:ascii="Arial" w:hAnsi="Arial" w:cs="Arial"/>
          <w:bdr w:val="none" w:sz="0" w:space="0" w:color="auto" w:frame="1"/>
          <w:shd w:val="clear" w:color="auto" w:fill="FFFFFF"/>
          <w:lang w:val="ro-RO"/>
        </w:rPr>
        <w:t xml:space="preserve"> 20</w:t>
      </w:r>
      <w:r w:rsidR="00122366" w:rsidRPr="00F8441F">
        <w:rPr>
          <w:rStyle w:val="spar"/>
          <w:rFonts w:ascii="Arial" w:hAnsi="Arial" w:cs="Arial"/>
          <w:bdr w:val="none" w:sz="0" w:space="0" w:color="auto" w:frame="1"/>
          <w:shd w:val="clear" w:color="auto" w:fill="FFFFFF"/>
          <w:lang w:val="ro-RO"/>
        </w:rPr>
        <w:t>22</w:t>
      </w:r>
      <w:r w:rsidRPr="00F8441F">
        <w:rPr>
          <w:rStyle w:val="spar"/>
          <w:rFonts w:ascii="Arial" w:hAnsi="Arial" w:cs="Arial"/>
          <w:bdr w:val="none" w:sz="0" w:space="0" w:color="auto" w:frame="1"/>
          <w:shd w:val="clear" w:color="auto" w:fill="FFFFFF"/>
          <w:lang w:val="ro-RO"/>
        </w:rPr>
        <w:t xml:space="preserve"> și se aplică până la data de 31 decembrie 202</w:t>
      </w:r>
      <w:r w:rsidR="00122366" w:rsidRPr="00F8441F">
        <w:rPr>
          <w:rStyle w:val="spar"/>
          <w:rFonts w:ascii="Arial" w:hAnsi="Arial" w:cs="Arial"/>
          <w:bdr w:val="none" w:sz="0" w:space="0" w:color="auto" w:frame="1"/>
          <w:shd w:val="clear" w:color="auto" w:fill="FFFFFF"/>
          <w:lang w:val="ro-RO"/>
        </w:rPr>
        <w:t>7</w:t>
      </w:r>
      <w:r w:rsidRPr="00F8441F">
        <w:rPr>
          <w:rStyle w:val="spar"/>
          <w:rFonts w:ascii="Arial" w:hAnsi="Arial" w:cs="Arial"/>
          <w:bdr w:val="none" w:sz="0" w:space="0" w:color="auto" w:frame="1"/>
          <w:shd w:val="clear" w:color="auto" w:fill="FFFFFF"/>
          <w:lang w:val="ro-RO"/>
        </w:rPr>
        <w:t>.</w:t>
      </w:r>
    </w:p>
    <w:p w:rsidR="00D41F31" w:rsidRPr="007F2CE9" w:rsidRDefault="00D41F31" w:rsidP="00003303">
      <w:pPr>
        <w:jc w:val="both"/>
        <w:rPr>
          <w:rFonts w:ascii="Arial" w:hAnsi="Arial" w:cs="Arial"/>
          <w:lang w:val="ro-RO"/>
        </w:rPr>
      </w:pPr>
    </w:p>
    <w:p w:rsidR="00A42102" w:rsidRPr="007F2CE9" w:rsidRDefault="00A42102" w:rsidP="00003303">
      <w:pPr>
        <w:jc w:val="both"/>
        <w:rPr>
          <w:rFonts w:ascii="Arial" w:hAnsi="Arial" w:cs="Arial"/>
          <w:lang w:val="ro-RO"/>
        </w:rPr>
      </w:pPr>
    </w:p>
    <w:p w:rsidR="00450FAE" w:rsidRPr="007F2CE9" w:rsidRDefault="00450FAE" w:rsidP="00003303">
      <w:pPr>
        <w:jc w:val="both"/>
        <w:rPr>
          <w:rFonts w:ascii="Arial" w:hAnsi="Arial" w:cs="Arial"/>
          <w:color w:val="FF0000"/>
          <w:lang w:val="ro-RO"/>
        </w:rPr>
      </w:pPr>
    </w:p>
    <w:p w:rsidR="00003303" w:rsidRDefault="00003303" w:rsidP="00003303">
      <w:pPr>
        <w:jc w:val="center"/>
        <w:rPr>
          <w:rFonts w:ascii="Arial" w:hAnsi="Arial" w:cs="Arial"/>
          <w:b/>
          <w:lang w:val="ro-RO"/>
        </w:rPr>
      </w:pPr>
      <w:r w:rsidRPr="007F2CE9">
        <w:rPr>
          <w:rFonts w:ascii="Arial" w:hAnsi="Arial" w:cs="Arial"/>
          <w:b/>
          <w:lang w:val="ro-RO"/>
        </w:rPr>
        <w:t>PRIM-MINISTRU</w:t>
      </w:r>
    </w:p>
    <w:p w:rsidR="00400D1A" w:rsidRPr="007F2CE9" w:rsidRDefault="00400D1A" w:rsidP="00003303">
      <w:pPr>
        <w:jc w:val="center"/>
        <w:rPr>
          <w:rFonts w:ascii="Arial" w:hAnsi="Arial" w:cs="Arial"/>
          <w:b/>
          <w:lang w:val="ro-RO"/>
        </w:rPr>
      </w:pPr>
    </w:p>
    <w:p w:rsidR="00003303" w:rsidRPr="007F2CE9" w:rsidRDefault="00F3565C" w:rsidP="00F3565C">
      <w:pPr>
        <w:jc w:val="center"/>
        <w:rPr>
          <w:rFonts w:ascii="Arial" w:hAnsi="Arial" w:cs="Arial"/>
          <w:lang w:val="ro-RO"/>
        </w:rPr>
      </w:pPr>
      <w:r>
        <w:rPr>
          <w:rFonts w:ascii="Arial" w:hAnsi="Arial" w:cs="Arial"/>
          <w:b/>
          <w:bCs/>
          <w:lang w:val="ro-RO"/>
        </w:rPr>
        <w:t>NICOLAE-IONEL CIUCĂ</w:t>
      </w:r>
    </w:p>
    <w:p w:rsidR="00A42102" w:rsidRPr="007F2CE9" w:rsidRDefault="00A42102" w:rsidP="00003303">
      <w:pPr>
        <w:jc w:val="center"/>
        <w:rPr>
          <w:rFonts w:ascii="Arial" w:hAnsi="Arial" w:cs="Arial"/>
          <w:color w:val="FF0000"/>
          <w:lang w:val="ro-RO"/>
        </w:rPr>
      </w:pPr>
    </w:p>
    <w:p w:rsidR="00BA6DEB" w:rsidRPr="007F2CE9" w:rsidRDefault="00BA6DEB" w:rsidP="00003303">
      <w:pPr>
        <w:jc w:val="center"/>
        <w:rPr>
          <w:rFonts w:ascii="Arial" w:hAnsi="Arial" w:cs="Arial"/>
          <w:color w:val="FF0000"/>
          <w:lang w:val="ro-RO"/>
        </w:rPr>
      </w:pPr>
    </w:p>
    <w:p w:rsidR="00450FAE" w:rsidRPr="007F2CE9" w:rsidRDefault="00450FAE" w:rsidP="00003303">
      <w:pPr>
        <w:jc w:val="center"/>
        <w:rPr>
          <w:rFonts w:ascii="Arial" w:hAnsi="Arial" w:cs="Arial"/>
          <w:color w:val="FF0000"/>
          <w:lang w:val="ro-RO"/>
        </w:rPr>
      </w:pPr>
    </w:p>
    <w:p w:rsidR="001A3DAB" w:rsidRPr="007F2CE9" w:rsidRDefault="001A3DAB" w:rsidP="00003303">
      <w:pPr>
        <w:jc w:val="center"/>
        <w:rPr>
          <w:rFonts w:ascii="Arial" w:hAnsi="Arial" w:cs="Arial"/>
          <w:color w:val="FF0000"/>
          <w:lang w:val="ro-RO"/>
        </w:rPr>
      </w:pPr>
    </w:p>
    <w:p w:rsidR="00105424" w:rsidRPr="007F2CE9" w:rsidRDefault="00E42E8A">
      <w:pPr>
        <w:rPr>
          <w:rFonts w:ascii="Arial" w:hAnsi="Arial" w:cs="Arial"/>
          <w:lang w:val="ro-RO"/>
        </w:rPr>
      </w:pPr>
      <w:bookmarkStart w:id="16" w:name="do|pa5"/>
      <w:bookmarkEnd w:id="16"/>
    </w:p>
    <w:sectPr w:rsidR="00105424" w:rsidRPr="007F2CE9" w:rsidSect="00D55EC6">
      <w:pgSz w:w="11909" w:h="16834" w:code="9"/>
      <w:pgMar w:top="1440" w:right="1289"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BE0"/>
    <w:multiLevelType w:val="hybridMultilevel"/>
    <w:tmpl w:val="C1A08AB0"/>
    <w:lvl w:ilvl="0" w:tplc="E45AF46E">
      <w:start w:val="1"/>
      <w:numFmt w:val="decimal"/>
      <w:lvlText w:val="%1."/>
      <w:lvlJc w:val="left"/>
      <w:pPr>
        <w:ind w:left="720" w:hanging="360"/>
      </w:pPr>
      <w:rPr>
        <w:rFonts w:ascii="Times New Roman" w:hAnsi="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5263C7"/>
    <w:multiLevelType w:val="hybridMultilevel"/>
    <w:tmpl w:val="7ADA8EA2"/>
    <w:lvl w:ilvl="0" w:tplc="6066B62E">
      <w:start w:val="2"/>
      <w:numFmt w:val="bullet"/>
      <w:pStyle w:val="e"/>
      <w:lvlText w:val="-"/>
      <w:lvlJc w:val="left"/>
      <w:pPr>
        <w:ind w:left="108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64510"/>
    <w:multiLevelType w:val="hybridMultilevel"/>
    <w:tmpl w:val="5A9A28EC"/>
    <w:lvl w:ilvl="0" w:tplc="37C02FD6">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03"/>
    <w:rsid w:val="00001DBF"/>
    <w:rsid w:val="00003303"/>
    <w:rsid w:val="0000544C"/>
    <w:rsid w:val="00006EC3"/>
    <w:rsid w:val="00007400"/>
    <w:rsid w:val="000153E7"/>
    <w:rsid w:val="00015761"/>
    <w:rsid w:val="000176E5"/>
    <w:rsid w:val="00020E89"/>
    <w:rsid w:val="00023B06"/>
    <w:rsid w:val="000245C7"/>
    <w:rsid w:val="00026464"/>
    <w:rsid w:val="0002777A"/>
    <w:rsid w:val="000311A3"/>
    <w:rsid w:val="0004792F"/>
    <w:rsid w:val="00056E5B"/>
    <w:rsid w:val="00057416"/>
    <w:rsid w:val="00060A7D"/>
    <w:rsid w:val="0006486E"/>
    <w:rsid w:val="00074AAE"/>
    <w:rsid w:val="00074C8A"/>
    <w:rsid w:val="000750CE"/>
    <w:rsid w:val="0008106D"/>
    <w:rsid w:val="00084897"/>
    <w:rsid w:val="00085B08"/>
    <w:rsid w:val="00085FC1"/>
    <w:rsid w:val="000A4114"/>
    <w:rsid w:val="000A4E71"/>
    <w:rsid w:val="000A4F13"/>
    <w:rsid w:val="000C3669"/>
    <w:rsid w:val="000C5DD5"/>
    <w:rsid w:val="000C6A6F"/>
    <w:rsid w:val="000D0321"/>
    <w:rsid w:val="000D7A5D"/>
    <w:rsid w:val="000E0B0F"/>
    <w:rsid w:val="000E61C7"/>
    <w:rsid w:val="00103DFB"/>
    <w:rsid w:val="001065C1"/>
    <w:rsid w:val="00111019"/>
    <w:rsid w:val="00113309"/>
    <w:rsid w:val="00122237"/>
    <w:rsid w:val="00122366"/>
    <w:rsid w:val="00136571"/>
    <w:rsid w:val="00140C60"/>
    <w:rsid w:val="00150EBA"/>
    <w:rsid w:val="00151EDC"/>
    <w:rsid w:val="00166DC9"/>
    <w:rsid w:val="00172F5F"/>
    <w:rsid w:val="001734E4"/>
    <w:rsid w:val="00173D8F"/>
    <w:rsid w:val="00176903"/>
    <w:rsid w:val="00180C40"/>
    <w:rsid w:val="00181672"/>
    <w:rsid w:val="00182095"/>
    <w:rsid w:val="00182240"/>
    <w:rsid w:val="00184330"/>
    <w:rsid w:val="00192EFA"/>
    <w:rsid w:val="001A3DAB"/>
    <w:rsid w:val="001A7C16"/>
    <w:rsid w:val="001B0359"/>
    <w:rsid w:val="001B0A35"/>
    <w:rsid w:val="001B3A02"/>
    <w:rsid w:val="001B5994"/>
    <w:rsid w:val="001B66B2"/>
    <w:rsid w:val="001C4BF3"/>
    <w:rsid w:val="001C4EE9"/>
    <w:rsid w:val="001C68D0"/>
    <w:rsid w:val="001D0AA3"/>
    <w:rsid w:val="001D7E5A"/>
    <w:rsid w:val="001E3500"/>
    <w:rsid w:val="001F20AD"/>
    <w:rsid w:val="001F2DC7"/>
    <w:rsid w:val="001F6AB0"/>
    <w:rsid w:val="0020324F"/>
    <w:rsid w:val="00213ABE"/>
    <w:rsid w:val="00215E83"/>
    <w:rsid w:val="002175B9"/>
    <w:rsid w:val="00242548"/>
    <w:rsid w:val="0024517D"/>
    <w:rsid w:val="00246B0E"/>
    <w:rsid w:val="002573F9"/>
    <w:rsid w:val="00270DCB"/>
    <w:rsid w:val="00286BD6"/>
    <w:rsid w:val="00290F67"/>
    <w:rsid w:val="00294E09"/>
    <w:rsid w:val="002B3EAC"/>
    <w:rsid w:val="002B6973"/>
    <w:rsid w:val="002E2787"/>
    <w:rsid w:val="002F0917"/>
    <w:rsid w:val="00300437"/>
    <w:rsid w:val="00301EB7"/>
    <w:rsid w:val="00302CB7"/>
    <w:rsid w:val="003034A2"/>
    <w:rsid w:val="003116A0"/>
    <w:rsid w:val="00312B2D"/>
    <w:rsid w:val="003132C3"/>
    <w:rsid w:val="0032075E"/>
    <w:rsid w:val="00324C4D"/>
    <w:rsid w:val="00326B7F"/>
    <w:rsid w:val="003304BA"/>
    <w:rsid w:val="00331A74"/>
    <w:rsid w:val="00332337"/>
    <w:rsid w:val="00333649"/>
    <w:rsid w:val="00342139"/>
    <w:rsid w:val="003425CD"/>
    <w:rsid w:val="00342812"/>
    <w:rsid w:val="00345583"/>
    <w:rsid w:val="00361B7F"/>
    <w:rsid w:val="0036637E"/>
    <w:rsid w:val="003677C4"/>
    <w:rsid w:val="00387934"/>
    <w:rsid w:val="003909AF"/>
    <w:rsid w:val="003A0EB6"/>
    <w:rsid w:val="003A5FEA"/>
    <w:rsid w:val="003C0FB8"/>
    <w:rsid w:val="003C5A1E"/>
    <w:rsid w:val="003D321E"/>
    <w:rsid w:val="003D7391"/>
    <w:rsid w:val="003E5006"/>
    <w:rsid w:val="00400D1A"/>
    <w:rsid w:val="00401F2F"/>
    <w:rsid w:val="00415BBD"/>
    <w:rsid w:val="004177DC"/>
    <w:rsid w:val="00422462"/>
    <w:rsid w:val="004261EF"/>
    <w:rsid w:val="004262A9"/>
    <w:rsid w:val="004334E7"/>
    <w:rsid w:val="00436E7F"/>
    <w:rsid w:val="00442CC8"/>
    <w:rsid w:val="00450FAE"/>
    <w:rsid w:val="004616BB"/>
    <w:rsid w:val="00475AFB"/>
    <w:rsid w:val="00476E5B"/>
    <w:rsid w:val="00481B76"/>
    <w:rsid w:val="004826D0"/>
    <w:rsid w:val="00490608"/>
    <w:rsid w:val="0049531D"/>
    <w:rsid w:val="004A2181"/>
    <w:rsid w:val="004B24B7"/>
    <w:rsid w:val="004C0078"/>
    <w:rsid w:val="004D0D13"/>
    <w:rsid w:val="004E1F17"/>
    <w:rsid w:val="004E61BC"/>
    <w:rsid w:val="004E7D6A"/>
    <w:rsid w:val="004F1E01"/>
    <w:rsid w:val="004F25BB"/>
    <w:rsid w:val="004F5142"/>
    <w:rsid w:val="004F6271"/>
    <w:rsid w:val="0050088C"/>
    <w:rsid w:val="005061C3"/>
    <w:rsid w:val="00513CD0"/>
    <w:rsid w:val="00514AAD"/>
    <w:rsid w:val="00514FEB"/>
    <w:rsid w:val="00517DE6"/>
    <w:rsid w:val="0053280A"/>
    <w:rsid w:val="0053373B"/>
    <w:rsid w:val="00544621"/>
    <w:rsid w:val="00544FED"/>
    <w:rsid w:val="005464EB"/>
    <w:rsid w:val="00546DB0"/>
    <w:rsid w:val="005502A5"/>
    <w:rsid w:val="00551125"/>
    <w:rsid w:val="0057360D"/>
    <w:rsid w:val="005767FA"/>
    <w:rsid w:val="00577C77"/>
    <w:rsid w:val="00582FAB"/>
    <w:rsid w:val="005856EC"/>
    <w:rsid w:val="005A07D5"/>
    <w:rsid w:val="005A0873"/>
    <w:rsid w:val="005A5D71"/>
    <w:rsid w:val="005A5E57"/>
    <w:rsid w:val="005A7866"/>
    <w:rsid w:val="005B070A"/>
    <w:rsid w:val="006136E1"/>
    <w:rsid w:val="00613D8B"/>
    <w:rsid w:val="00613E5F"/>
    <w:rsid w:val="00620443"/>
    <w:rsid w:val="00625021"/>
    <w:rsid w:val="00631CAA"/>
    <w:rsid w:val="00633C3C"/>
    <w:rsid w:val="006365EB"/>
    <w:rsid w:val="006367F2"/>
    <w:rsid w:val="00651E8B"/>
    <w:rsid w:val="00653F47"/>
    <w:rsid w:val="006547AD"/>
    <w:rsid w:val="006718B5"/>
    <w:rsid w:val="00674DBF"/>
    <w:rsid w:val="006835B8"/>
    <w:rsid w:val="006906AB"/>
    <w:rsid w:val="00690B58"/>
    <w:rsid w:val="00690CC3"/>
    <w:rsid w:val="0069188A"/>
    <w:rsid w:val="00693E85"/>
    <w:rsid w:val="006A0007"/>
    <w:rsid w:val="006A32E1"/>
    <w:rsid w:val="006B0890"/>
    <w:rsid w:val="006B7615"/>
    <w:rsid w:val="006D0142"/>
    <w:rsid w:val="006D571A"/>
    <w:rsid w:val="006D688D"/>
    <w:rsid w:val="006E3F0D"/>
    <w:rsid w:val="006E6E3D"/>
    <w:rsid w:val="006E70B7"/>
    <w:rsid w:val="006F311D"/>
    <w:rsid w:val="006F32C0"/>
    <w:rsid w:val="006F471A"/>
    <w:rsid w:val="00701E19"/>
    <w:rsid w:val="00707798"/>
    <w:rsid w:val="00710AFD"/>
    <w:rsid w:val="007119B9"/>
    <w:rsid w:val="00715177"/>
    <w:rsid w:val="007214D1"/>
    <w:rsid w:val="007224DF"/>
    <w:rsid w:val="0072265B"/>
    <w:rsid w:val="007230EC"/>
    <w:rsid w:val="007248BA"/>
    <w:rsid w:val="00726F58"/>
    <w:rsid w:val="0073584B"/>
    <w:rsid w:val="00741770"/>
    <w:rsid w:val="00745996"/>
    <w:rsid w:val="007565FF"/>
    <w:rsid w:val="0076501A"/>
    <w:rsid w:val="0077370F"/>
    <w:rsid w:val="00774A6F"/>
    <w:rsid w:val="00782B64"/>
    <w:rsid w:val="007837FC"/>
    <w:rsid w:val="007856B2"/>
    <w:rsid w:val="00787D23"/>
    <w:rsid w:val="007901DA"/>
    <w:rsid w:val="00790A00"/>
    <w:rsid w:val="00797FB8"/>
    <w:rsid w:val="007A180C"/>
    <w:rsid w:val="007A3361"/>
    <w:rsid w:val="007A483F"/>
    <w:rsid w:val="007D4CE3"/>
    <w:rsid w:val="007D4DBF"/>
    <w:rsid w:val="007D4E50"/>
    <w:rsid w:val="007E2840"/>
    <w:rsid w:val="007F0499"/>
    <w:rsid w:val="007F2CE9"/>
    <w:rsid w:val="00802C4C"/>
    <w:rsid w:val="00810C2F"/>
    <w:rsid w:val="00813BFC"/>
    <w:rsid w:val="00815202"/>
    <w:rsid w:val="00817BBD"/>
    <w:rsid w:val="00820B51"/>
    <w:rsid w:val="00821C57"/>
    <w:rsid w:val="00833D46"/>
    <w:rsid w:val="00834DF3"/>
    <w:rsid w:val="00836F73"/>
    <w:rsid w:val="0084081C"/>
    <w:rsid w:val="00840AF7"/>
    <w:rsid w:val="00840C96"/>
    <w:rsid w:val="00851754"/>
    <w:rsid w:val="0085671D"/>
    <w:rsid w:val="00881BC2"/>
    <w:rsid w:val="00882393"/>
    <w:rsid w:val="0088629C"/>
    <w:rsid w:val="00887CAB"/>
    <w:rsid w:val="008A304E"/>
    <w:rsid w:val="008A3523"/>
    <w:rsid w:val="008B31DD"/>
    <w:rsid w:val="008B4573"/>
    <w:rsid w:val="008B5B89"/>
    <w:rsid w:val="008C3ABF"/>
    <w:rsid w:val="008C3C95"/>
    <w:rsid w:val="008C5FDA"/>
    <w:rsid w:val="008D126E"/>
    <w:rsid w:val="008D4A21"/>
    <w:rsid w:val="008D5A2B"/>
    <w:rsid w:val="008E7CBA"/>
    <w:rsid w:val="008F004D"/>
    <w:rsid w:val="008F45A6"/>
    <w:rsid w:val="009068DE"/>
    <w:rsid w:val="00915844"/>
    <w:rsid w:val="00920496"/>
    <w:rsid w:val="00920D2D"/>
    <w:rsid w:val="00924795"/>
    <w:rsid w:val="00925103"/>
    <w:rsid w:val="00930DA8"/>
    <w:rsid w:val="00940774"/>
    <w:rsid w:val="0097169D"/>
    <w:rsid w:val="00977F15"/>
    <w:rsid w:val="009962E5"/>
    <w:rsid w:val="009A0BE3"/>
    <w:rsid w:val="009A3A22"/>
    <w:rsid w:val="009B04EC"/>
    <w:rsid w:val="009B15B5"/>
    <w:rsid w:val="009B2A69"/>
    <w:rsid w:val="009B55BB"/>
    <w:rsid w:val="009C0F5E"/>
    <w:rsid w:val="009C1504"/>
    <w:rsid w:val="009D0D1F"/>
    <w:rsid w:val="009D552C"/>
    <w:rsid w:val="009E08CB"/>
    <w:rsid w:val="009E609E"/>
    <w:rsid w:val="00A02CB0"/>
    <w:rsid w:val="00A15253"/>
    <w:rsid w:val="00A16F5A"/>
    <w:rsid w:val="00A22D0D"/>
    <w:rsid w:val="00A26B09"/>
    <w:rsid w:val="00A27D13"/>
    <w:rsid w:val="00A33409"/>
    <w:rsid w:val="00A42102"/>
    <w:rsid w:val="00A4459B"/>
    <w:rsid w:val="00A46761"/>
    <w:rsid w:val="00A624B4"/>
    <w:rsid w:val="00A62EB7"/>
    <w:rsid w:val="00A65151"/>
    <w:rsid w:val="00A753C7"/>
    <w:rsid w:val="00A804EE"/>
    <w:rsid w:val="00A86626"/>
    <w:rsid w:val="00A90876"/>
    <w:rsid w:val="00A939FF"/>
    <w:rsid w:val="00A95815"/>
    <w:rsid w:val="00A97E4C"/>
    <w:rsid w:val="00AB1FB9"/>
    <w:rsid w:val="00AC6B65"/>
    <w:rsid w:val="00AD2088"/>
    <w:rsid w:val="00AD3B87"/>
    <w:rsid w:val="00AD6C88"/>
    <w:rsid w:val="00AE06DB"/>
    <w:rsid w:val="00AE0985"/>
    <w:rsid w:val="00AE7E10"/>
    <w:rsid w:val="00AF0D84"/>
    <w:rsid w:val="00B0020D"/>
    <w:rsid w:val="00B06FD4"/>
    <w:rsid w:val="00B07F8F"/>
    <w:rsid w:val="00B15191"/>
    <w:rsid w:val="00B220AE"/>
    <w:rsid w:val="00B2343F"/>
    <w:rsid w:val="00B251A0"/>
    <w:rsid w:val="00B31105"/>
    <w:rsid w:val="00B32788"/>
    <w:rsid w:val="00B36A39"/>
    <w:rsid w:val="00B45CA1"/>
    <w:rsid w:val="00B51B9A"/>
    <w:rsid w:val="00B5434C"/>
    <w:rsid w:val="00B57715"/>
    <w:rsid w:val="00B609EC"/>
    <w:rsid w:val="00B6720E"/>
    <w:rsid w:val="00B679F3"/>
    <w:rsid w:val="00B73C60"/>
    <w:rsid w:val="00B73D5F"/>
    <w:rsid w:val="00B80134"/>
    <w:rsid w:val="00B85B43"/>
    <w:rsid w:val="00B875EB"/>
    <w:rsid w:val="00B90686"/>
    <w:rsid w:val="00B930CC"/>
    <w:rsid w:val="00BA02EE"/>
    <w:rsid w:val="00BA4603"/>
    <w:rsid w:val="00BA4B3F"/>
    <w:rsid w:val="00BA6DEB"/>
    <w:rsid w:val="00BB457F"/>
    <w:rsid w:val="00BB4C8E"/>
    <w:rsid w:val="00BC457B"/>
    <w:rsid w:val="00BC4618"/>
    <w:rsid w:val="00BC5DE7"/>
    <w:rsid w:val="00BD43F8"/>
    <w:rsid w:val="00BD5BF6"/>
    <w:rsid w:val="00BE180F"/>
    <w:rsid w:val="00BE2129"/>
    <w:rsid w:val="00BF3F0F"/>
    <w:rsid w:val="00BF5BF6"/>
    <w:rsid w:val="00BF6416"/>
    <w:rsid w:val="00C14E5D"/>
    <w:rsid w:val="00C22060"/>
    <w:rsid w:val="00C24859"/>
    <w:rsid w:val="00C25157"/>
    <w:rsid w:val="00C26D3B"/>
    <w:rsid w:val="00C317B7"/>
    <w:rsid w:val="00C43F6D"/>
    <w:rsid w:val="00C46671"/>
    <w:rsid w:val="00C46A8C"/>
    <w:rsid w:val="00C46E63"/>
    <w:rsid w:val="00C50B12"/>
    <w:rsid w:val="00C57F67"/>
    <w:rsid w:val="00C60B25"/>
    <w:rsid w:val="00C677B0"/>
    <w:rsid w:val="00C73E9B"/>
    <w:rsid w:val="00C7621D"/>
    <w:rsid w:val="00C811CF"/>
    <w:rsid w:val="00C84663"/>
    <w:rsid w:val="00C85B25"/>
    <w:rsid w:val="00C8727C"/>
    <w:rsid w:val="00C953BE"/>
    <w:rsid w:val="00C9799F"/>
    <w:rsid w:val="00CA4365"/>
    <w:rsid w:val="00CA5FF0"/>
    <w:rsid w:val="00CB0974"/>
    <w:rsid w:val="00CB4F02"/>
    <w:rsid w:val="00CC1566"/>
    <w:rsid w:val="00CD3D37"/>
    <w:rsid w:val="00CD72C0"/>
    <w:rsid w:val="00CD774D"/>
    <w:rsid w:val="00CE144D"/>
    <w:rsid w:val="00CF3DEB"/>
    <w:rsid w:val="00CF5FF1"/>
    <w:rsid w:val="00D00EC0"/>
    <w:rsid w:val="00D11D11"/>
    <w:rsid w:val="00D134C7"/>
    <w:rsid w:val="00D15BE6"/>
    <w:rsid w:val="00D3014A"/>
    <w:rsid w:val="00D41F31"/>
    <w:rsid w:val="00D510F8"/>
    <w:rsid w:val="00D55EC6"/>
    <w:rsid w:val="00D6168D"/>
    <w:rsid w:val="00D71725"/>
    <w:rsid w:val="00D7622D"/>
    <w:rsid w:val="00D90690"/>
    <w:rsid w:val="00D9245C"/>
    <w:rsid w:val="00D93C4C"/>
    <w:rsid w:val="00D93CDD"/>
    <w:rsid w:val="00DA0164"/>
    <w:rsid w:val="00DA64AA"/>
    <w:rsid w:val="00DB0B2F"/>
    <w:rsid w:val="00DE206D"/>
    <w:rsid w:val="00DE7242"/>
    <w:rsid w:val="00DF11C4"/>
    <w:rsid w:val="00DF272E"/>
    <w:rsid w:val="00DF7599"/>
    <w:rsid w:val="00E06739"/>
    <w:rsid w:val="00E154D0"/>
    <w:rsid w:val="00E204CF"/>
    <w:rsid w:val="00E42E8A"/>
    <w:rsid w:val="00E4773F"/>
    <w:rsid w:val="00E506F7"/>
    <w:rsid w:val="00E50BE5"/>
    <w:rsid w:val="00E7202A"/>
    <w:rsid w:val="00E73D6F"/>
    <w:rsid w:val="00E808EB"/>
    <w:rsid w:val="00E94584"/>
    <w:rsid w:val="00EB1919"/>
    <w:rsid w:val="00ED053A"/>
    <w:rsid w:val="00ED1E12"/>
    <w:rsid w:val="00ED41B4"/>
    <w:rsid w:val="00ED6085"/>
    <w:rsid w:val="00EE0A7D"/>
    <w:rsid w:val="00EE3573"/>
    <w:rsid w:val="00EE7648"/>
    <w:rsid w:val="00EF5FBE"/>
    <w:rsid w:val="00F11F42"/>
    <w:rsid w:val="00F12F6F"/>
    <w:rsid w:val="00F1796B"/>
    <w:rsid w:val="00F27B1E"/>
    <w:rsid w:val="00F31277"/>
    <w:rsid w:val="00F3565C"/>
    <w:rsid w:val="00F438E5"/>
    <w:rsid w:val="00F655DB"/>
    <w:rsid w:val="00F8102C"/>
    <w:rsid w:val="00F8441F"/>
    <w:rsid w:val="00F87299"/>
    <w:rsid w:val="00F96C8C"/>
    <w:rsid w:val="00FB1594"/>
    <w:rsid w:val="00FB54E8"/>
    <w:rsid w:val="00FB61C4"/>
    <w:rsid w:val="00FC0561"/>
    <w:rsid w:val="00FC08DB"/>
    <w:rsid w:val="00FC5517"/>
    <w:rsid w:val="00FC696E"/>
    <w:rsid w:val="00FD6BB1"/>
    <w:rsid w:val="00FE3AB9"/>
    <w:rsid w:val="00FE45BF"/>
    <w:rsid w:val="00FE757D"/>
    <w:rsid w:val="00FF0B08"/>
    <w:rsid w:val="00FF2F27"/>
    <w:rsid w:val="00FF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041D"/>
  <w15:docId w15:val="{0028C1BE-3D76-4AC3-A77E-AA4D4A6A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0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1">
    <w:name w:val="do1"/>
    <w:basedOn w:val="DefaultParagraphFont"/>
    <w:rsid w:val="00003303"/>
    <w:rPr>
      <w:b/>
      <w:bCs/>
    </w:rPr>
  </w:style>
  <w:style w:type="character" w:customStyle="1" w:styleId="ar1">
    <w:name w:val="ar1"/>
    <w:basedOn w:val="DefaultParagraphFont"/>
    <w:rsid w:val="00003303"/>
    <w:rPr>
      <w:b/>
      <w:bCs/>
      <w:color w:val="0000AF"/>
    </w:rPr>
  </w:style>
  <w:style w:type="character" w:customStyle="1" w:styleId="li1">
    <w:name w:val="li1"/>
    <w:basedOn w:val="DefaultParagraphFont"/>
    <w:rsid w:val="00003303"/>
    <w:rPr>
      <w:b/>
      <w:bCs/>
      <w:color w:val="8F0000"/>
    </w:rPr>
  </w:style>
  <w:style w:type="character" w:customStyle="1" w:styleId="al1">
    <w:name w:val="al1"/>
    <w:basedOn w:val="DefaultParagraphFont"/>
    <w:rsid w:val="00003303"/>
    <w:rPr>
      <w:b/>
      <w:bCs/>
      <w:color w:val="008F00"/>
    </w:rPr>
  </w:style>
  <w:style w:type="character" w:customStyle="1" w:styleId="tpa1">
    <w:name w:val="tpa1"/>
    <w:basedOn w:val="DefaultParagraphFont"/>
    <w:rsid w:val="00003303"/>
  </w:style>
  <w:style w:type="character" w:customStyle="1" w:styleId="tli1">
    <w:name w:val="tli1"/>
    <w:basedOn w:val="DefaultParagraphFont"/>
    <w:rsid w:val="00003303"/>
  </w:style>
  <w:style w:type="character" w:customStyle="1" w:styleId="tal1">
    <w:name w:val="tal1"/>
    <w:basedOn w:val="DefaultParagraphFont"/>
    <w:rsid w:val="00003303"/>
  </w:style>
  <w:style w:type="paragraph" w:styleId="BalloonText">
    <w:name w:val="Balloon Text"/>
    <w:basedOn w:val="Normal"/>
    <w:link w:val="BalloonTextChar"/>
    <w:uiPriority w:val="99"/>
    <w:semiHidden/>
    <w:unhideWhenUsed/>
    <w:rsid w:val="00003303"/>
    <w:rPr>
      <w:rFonts w:ascii="Tahoma" w:hAnsi="Tahoma" w:cs="Tahoma"/>
      <w:sz w:val="16"/>
      <w:szCs w:val="16"/>
    </w:rPr>
  </w:style>
  <w:style w:type="character" w:customStyle="1" w:styleId="BalloonTextChar">
    <w:name w:val="Balloon Text Char"/>
    <w:basedOn w:val="DefaultParagraphFont"/>
    <w:link w:val="BalloonText"/>
    <w:uiPriority w:val="99"/>
    <w:semiHidden/>
    <w:rsid w:val="00003303"/>
    <w:rPr>
      <w:rFonts w:ascii="Tahoma" w:eastAsia="Times New Roman" w:hAnsi="Tahoma" w:cs="Tahoma"/>
      <w:sz w:val="16"/>
      <w:szCs w:val="16"/>
      <w:lang w:val="en-GB"/>
    </w:rPr>
  </w:style>
  <w:style w:type="paragraph" w:styleId="ListParagraph">
    <w:name w:val="List Paragraph"/>
    <w:basedOn w:val="Normal"/>
    <w:uiPriority w:val="34"/>
    <w:qFormat/>
    <w:rsid w:val="002573F9"/>
    <w:pPr>
      <w:ind w:left="720"/>
      <w:contextualSpacing/>
    </w:pPr>
  </w:style>
  <w:style w:type="character" w:customStyle="1" w:styleId="spar">
    <w:name w:val="s_par"/>
    <w:basedOn w:val="DefaultParagraphFont"/>
    <w:rsid w:val="00FC0561"/>
  </w:style>
  <w:style w:type="character" w:styleId="Hyperlink">
    <w:name w:val="Hyperlink"/>
    <w:basedOn w:val="DefaultParagraphFont"/>
    <w:uiPriority w:val="99"/>
    <w:semiHidden/>
    <w:unhideWhenUsed/>
    <w:rsid w:val="00FC0561"/>
    <w:rPr>
      <w:color w:val="0000FF"/>
      <w:u w:val="single"/>
    </w:rPr>
  </w:style>
  <w:style w:type="character" w:customStyle="1" w:styleId="saln">
    <w:name w:val="s_aln"/>
    <w:basedOn w:val="DefaultParagraphFont"/>
    <w:rsid w:val="0053280A"/>
  </w:style>
  <w:style w:type="character" w:customStyle="1" w:styleId="salnbdy">
    <w:name w:val="s_aln_bdy"/>
    <w:basedOn w:val="DefaultParagraphFont"/>
    <w:rsid w:val="0053280A"/>
  </w:style>
  <w:style w:type="character" w:customStyle="1" w:styleId="slit">
    <w:name w:val="s_lit"/>
    <w:basedOn w:val="DefaultParagraphFont"/>
    <w:rsid w:val="0053280A"/>
  </w:style>
  <w:style w:type="character" w:customStyle="1" w:styleId="slitttl">
    <w:name w:val="s_lit_ttl"/>
    <w:basedOn w:val="DefaultParagraphFont"/>
    <w:rsid w:val="0053280A"/>
  </w:style>
  <w:style w:type="character" w:customStyle="1" w:styleId="slitbdy">
    <w:name w:val="s_lit_bdy"/>
    <w:basedOn w:val="DefaultParagraphFont"/>
    <w:rsid w:val="0053280A"/>
  </w:style>
  <w:style w:type="character" w:customStyle="1" w:styleId="slgi">
    <w:name w:val="s_lgi"/>
    <w:basedOn w:val="DefaultParagraphFont"/>
    <w:rsid w:val="0053280A"/>
  </w:style>
  <w:style w:type="character" w:customStyle="1" w:styleId="salnttl">
    <w:name w:val="s_aln_ttl"/>
    <w:basedOn w:val="DefaultParagraphFont"/>
    <w:rsid w:val="0053280A"/>
  </w:style>
  <w:style w:type="character" w:customStyle="1" w:styleId="sartttl">
    <w:name w:val="s_art_ttl"/>
    <w:basedOn w:val="DefaultParagraphFont"/>
    <w:rsid w:val="0053280A"/>
  </w:style>
  <w:style w:type="paragraph" w:customStyle="1" w:styleId="Default">
    <w:name w:val="Default"/>
    <w:link w:val="DefaultChar"/>
    <w:rsid w:val="00180C40"/>
    <w:pPr>
      <w:autoSpaceDE w:val="0"/>
      <w:autoSpaceDN w:val="0"/>
      <w:adjustRightInd w:val="0"/>
      <w:spacing w:after="0" w:line="240" w:lineRule="auto"/>
    </w:pPr>
    <w:rPr>
      <w:rFonts w:ascii="Times New Roman" w:eastAsia="Times New Roman" w:hAnsi="Times New Roman" w:cs="Times New Roman"/>
      <w:color w:val="000000"/>
      <w:sz w:val="24"/>
      <w:szCs w:val="24"/>
      <w:lang w:val="ro-RO"/>
    </w:rPr>
  </w:style>
  <w:style w:type="paragraph" w:customStyle="1" w:styleId="e">
    <w:name w:val="e"/>
    <w:basedOn w:val="Default"/>
    <w:link w:val="eChar"/>
    <w:qFormat/>
    <w:rsid w:val="00180C40"/>
    <w:pPr>
      <w:numPr>
        <w:numId w:val="1"/>
      </w:numPr>
      <w:ind w:left="142" w:hanging="142"/>
      <w:jc w:val="both"/>
    </w:pPr>
    <w:rPr>
      <w:rFonts w:ascii="Arial" w:hAnsi="Arial" w:cs="Arial"/>
    </w:rPr>
  </w:style>
  <w:style w:type="character" w:customStyle="1" w:styleId="DefaultChar">
    <w:name w:val="Default Char"/>
    <w:basedOn w:val="DefaultParagraphFont"/>
    <w:link w:val="Default"/>
    <w:rsid w:val="00180C40"/>
    <w:rPr>
      <w:rFonts w:ascii="Times New Roman" w:eastAsia="Times New Roman" w:hAnsi="Times New Roman" w:cs="Times New Roman"/>
      <w:color w:val="000000"/>
      <w:sz w:val="24"/>
      <w:szCs w:val="24"/>
      <w:lang w:val="ro-RO"/>
    </w:rPr>
  </w:style>
  <w:style w:type="character" w:customStyle="1" w:styleId="eChar">
    <w:name w:val="e Char"/>
    <w:basedOn w:val="DefaultChar"/>
    <w:link w:val="e"/>
    <w:rsid w:val="00180C40"/>
    <w:rPr>
      <w:rFonts w:ascii="Arial" w:eastAsia="Times New Roman" w:hAnsi="Arial" w:cs="Arial"/>
      <w:color w:val="000000"/>
      <w:sz w:val="24"/>
      <w:szCs w:val="24"/>
      <w:lang w:val="ro-RO"/>
    </w:rPr>
  </w:style>
  <w:style w:type="character" w:styleId="CommentReference">
    <w:name w:val="annotation reference"/>
    <w:basedOn w:val="DefaultParagraphFont"/>
    <w:uiPriority w:val="99"/>
    <w:semiHidden/>
    <w:unhideWhenUsed/>
    <w:rsid w:val="00192EFA"/>
    <w:rPr>
      <w:sz w:val="16"/>
      <w:szCs w:val="16"/>
    </w:rPr>
  </w:style>
  <w:style w:type="paragraph" w:styleId="CommentText">
    <w:name w:val="annotation text"/>
    <w:basedOn w:val="Normal"/>
    <w:link w:val="CommentTextChar"/>
    <w:uiPriority w:val="99"/>
    <w:semiHidden/>
    <w:unhideWhenUsed/>
    <w:rsid w:val="00192EFA"/>
    <w:rPr>
      <w:sz w:val="20"/>
      <w:szCs w:val="20"/>
    </w:rPr>
  </w:style>
  <w:style w:type="character" w:customStyle="1" w:styleId="CommentTextChar">
    <w:name w:val="Comment Text Char"/>
    <w:basedOn w:val="DefaultParagraphFont"/>
    <w:link w:val="CommentText"/>
    <w:uiPriority w:val="99"/>
    <w:semiHidden/>
    <w:rsid w:val="00192EF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92EFA"/>
    <w:rPr>
      <w:b/>
      <w:bCs/>
    </w:rPr>
  </w:style>
  <w:style w:type="character" w:customStyle="1" w:styleId="CommentSubjectChar">
    <w:name w:val="Comment Subject Char"/>
    <w:basedOn w:val="CommentTextChar"/>
    <w:link w:val="CommentSubject"/>
    <w:uiPriority w:val="99"/>
    <w:semiHidden/>
    <w:rsid w:val="00192EFA"/>
    <w:rPr>
      <w:rFonts w:ascii="Times New Roman" w:eastAsia="Times New Roman" w:hAnsi="Times New Roman" w:cs="Times New Roman"/>
      <w:b/>
      <w:bCs/>
      <w:sz w:val="20"/>
      <w:szCs w:val="20"/>
      <w:lang w:val="en-GB"/>
    </w:rPr>
  </w:style>
  <w:style w:type="paragraph" w:customStyle="1" w:styleId="rvps1">
    <w:name w:val="rvps1"/>
    <w:basedOn w:val="Normal"/>
    <w:rsid w:val="00A27D1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5583">
      <w:bodyDiv w:val="1"/>
      <w:marLeft w:val="0"/>
      <w:marRight w:val="0"/>
      <w:marTop w:val="0"/>
      <w:marBottom w:val="0"/>
      <w:divBdr>
        <w:top w:val="none" w:sz="0" w:space="0" w:color="auto"/>
        <w:left w:val="none" w:sz="0" w:space="0" w:color="auto"/>
        <w:bottom w:val="none" w:sz="0" w:space="0" w:color="auto"/>
        <w:right w:val="none" w:sz="0" w:space="0" w:color="auto"/>
      </w:divBdr>
    </w:div>
    <w:div w:id="18296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53040" TargetMode="External"/><Relationship Id="rId3" Type="http://schemas.openxmlformats.org/officeDocument/2006/relationships/settings" Target="settings.xml"/><Relationship Id="rId7" Type="http://schemas.openxmlformats.org/officeDocument/2006/relationships/hyperlink" Target="http://legislatie.just.ro/Public/DetaliiDocumentAfis/62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tie.just.ro/Public/DetaliiDocumentAfis/4735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Horatiu Pasca</dc:creator>
  <cp:lastModifiedBy>GEORGIANA-ADINA IONITA</cp:lastModifiedBy>
  <cp:revision>6</cp:revision>
  <cp:lastPrinted>2021-10-18T07:10:00Z</cp:lastPrinted>
  <dcterms:created xsi:type="dcterms:W3CDTF">2021-12-21T13:27:00Z</dcterms:created>
  <dcterms:modified xsi:type="dcterms:W3CDTF">2021-12-21T13:29:00Z</dcterms:modified>
</cp:coreProperties>
</file>