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E6" w:rsidRPr="00E30790" w:rsidRDefault="00A053E6" w:rsidP="00A053E6">
      <w:pPr>
        <w:spacing w:before="0" w:after="200" w:line="276" w:lineRule="auto"/>
        <w:jc w:val="left"/>
        <w:rPr>
          <w:rFonts w:eastAsia="Calibri"/>
        </w:rPr>
      </w:pPr>
      <w:bookmarkStart w:id="0" w:name="_GoBack"/>
      <w:bookmarkEnd w:id="0"/>
    </w:p>
    <w:p w:rsidR="00A053E6" w:rsidRPr="00B35A73" w:rsidRDefault="00A053E6" w:rsidP="00A053E6">
      <w:pPr>
        <w:pStyle w:val="Annexetitre"/>
      </w:pPr>
      <w:r w:rsidRPr="00B35A73">
        <w:t>ANEXA II</w:t>
      </w:r>
    </w:p>
    <w:p w:rsidR="00A053E6" w:rsidRPr="00B35A73" w:rsidRDefault="00A053E6" w:rsidP="00A053E6">
      <w:pPr>
        <w:keepNext/>
        <w:rPr>
          <w:b/>
        </w:rPr>
      </w:pPr>
      <w:r w:rsidRPr="00B35A73">
        <w:rPr>
          <w:b/>
        </w:rPr>
        <w:t>LINIA BUGETARĂ 140301: PROGRAMUL DE LUCRU FISCALIS 2020 PENTRU 2019</w:t>
      </w:r>
    </w:p>
    <w:p w:rsidR="00A053E6" w:rsidRPr="00B35A73" w:rsidRDefault="00A053E6" w:rsidP="00A053E6">
      <w:pPr>
        <w:pStyle w:val="Heading2"/>
        <w:numPr>
          <w:ilvl w:val="1"/>
          <w:numId w:val="30"/>
        </w:numPr>
        <w:rPr>
          <w:smallCaps/>
        </w:rPr>
      </w:pPr>
      <w:bookmarkStart w:id="1" w:name="_Toc431823802"/>
      <w:bookmarkEnd w:id="1"/>
      <w:r w:rsidRPr="00B35A73">
        <w:t>Introducere</w:t>
      </w:r>
    </w:p>
    <w:p w:rsidR="00A053E6" w:rsidRPr="00B35A73" w:rsidRDefault="00A053E6" w:rsidP="00A053E6">
      <w:pPr>
        <w:rPr>
          <w:b/>
        </w:rPr>
      </w:pPr>
      <w:r w:rsidRPr="00B35A73">
        <w:rPr>
          <w:b/>
        </w:rPr>
        <w:t>Cadrul strategic</w:t>
      </w:r>
    </w:p>
    <w:p w:rsidR="00A053E6" w:rsidRPr="00E30790" w:rsidRDefault="00A053E6" w:rsidP="00A053E6">
      <w:r w:rsidRPr="00E30790">
        <w:t xml:space="preserve">Programul Fiscalis 2020 pune la dispoziție cadrul Uniunii Europene pentru </w:t>
      </w:r>
      <w:r w:rsidRPr="00B35A73">
        <w:rPr>
          <w:b/>
        </w:rPr>
        <w:t>îmbunătățirea funcționării sistemelor fiscale de pe piața internă prin consolidarea cooperării dintre țările participante, autoritățile fiscale ale acestora și funcționarii lor</w:t>
      </w:r>
      <w:r w:rsidRPr="00E30790">
        <w:t>. În acest sens, programul este un instrument care contribuie la punerea în aplicare la scară largă a aspectelor de politică fiscală la nivelul Uniunii Europene.</w:t>
      </w:r>
    </w:p>
    <w:p w:rsidR="00A053E6" w:rsidRPr="00E30790" w:rsidRDefault="00A053E6" w:rsidP="00A053E6">
      <w:r w:rsidRPr="00E30790">
        <w:t>În perioadele de consolidare fiscală, când numeroase state membre trebuie să își reducă cheltuielile și să își majoreze veniturile, una dintre prioritățile stabilite la nivelul Uniunii Europene este garantarea echității și a condițiilor echitabile pentru toți contribuabilii, astfel încât toți aceștia să contribuie cu partea cuvenită și să se asigure o impozitare eficientă. Acest obiectiv va fi atins prin combaterea fraudei fiscale, a evaziunii fiscale și a evitării obligațiilor fiscale, prin asigurarea transparenței fiscale, printr-un sistem echitabil și eficient de impozitare a întreprinderilor, prin conformarea fiscală și prin administrații fiscale moderne în Uniunea Europeană. Cooperarea dobândește o nouă dimensiune prin reuniunile regulate ale directorilor administrațiilor fiscale în vederea unui dialog strategic și pentru furnizarea de orientări pentru a răspunde provocărilor comune cu care se confruntă administrațiile fiscale.</w:t>
      </w:r>
    </w:p>
    <w:p w:rsidR="00A053E6" w:rsidRPr="00E30790" w:rsidRDefault="00A053E6" w:rsidP="00A053E6">
      <w:r w:rsidRPr="00E30790">
        <w:t>Pentru atingerea obiectivelor de mai sus, este esențial să se asigure coordonarea și schimbul de informații între autoritățile fiscale naționale. Acțiunile separate unilaterale și necoordonate nu ar fi eficace. Prin urmare, programul va continua să contribuie la realizarea obiectivelor de transparență fiscală, cooperare administrativă și coordonare fiscală, sprijinind cooperarea dintre statele membre și punerea în aplicare la nivel general a activităților prevăzute în planul de acțiune în vederea consolidării luptei împotriva fraudei și a evaziunii fiscale</w:t>
      </w:r>
      <w:r w:rsidRPr="00E30790">
        <w:rPr>
          <w:rStyle w:val="FootnoteReference"/>
        </w:rPr>
        <w:footnoteReference w:id="1"/>
      </w:r>
      <w:r w:rsidRPr="00E30790">
        <w:t>, în planul de acțiune privind impozitarea echitabilă și eficientă a întreprinderilor</w:t>
      </w:r>
      <w:r w:rsidRPr="00E30790">
        <w:rPr>
          <w:rStyle w:val="FootnoteReference"/>
        </w:rPr>
        <w:footnoteReference w:id="2"/>
      </w:r>
      <w:r w:rsidRPr="00E30790">
        <w:t xml:space="preserve"> și în planul de acțiune privind TVA</w:t>
      </w:r>
      <w:r w:rsidRPr="00E30790">
        <w:rPr>
          <w:rStyle w:val="FootnoteReference"/>
        </w:rPr>
        <w:footnoteReference w:id="3"/>
      </w:r>
      <w:r w:rsidRPr="00E30790">
        <w:t>.</w:t>
      </w:r>
    </w:p>
    <w:p w:rsidR="00A053E6" w:rsidRPr="00E30790" w:rsidRDefault="00A053E6" w:rsidP="00A053E6">
      <w:r w:rsidRPr="00E30790">
        <w:t>În special, programul va consolida punerea în aplicare a instrumentelor de cooperare administrativă, precum schimbul automat de informații în temeiul directivei privind cooperarea administrativă și al modificărilor aduse acesteia, inclusiv decizii fiscale anticipate cu aplicare transfrontalieră și acorduri de preț în avans, raportarea defalcată pe țări și tranzacții transfrontaliere raportabile</w:t>
      </w:r>
      <w:r w:rsidRPr="00E30790">
        <w:rPr>
          <w:rStyle w:val="FootnoteReference"/>
        </w:rPr>
        <w:footnoteReference w:id="4"/>
      </w:r>
      <w:r w:rsidRPr="00E30790">
        <w:rPr>
          <w:vertAlign w:val="superscript"/>
        </w:rPr>
        <w:t xml:space="preserve">, </w:t>
      </w:r>
      <w:r w:rsidRPr="00E30790">
        <w:rPr>
          <w:rStyle w:val="FootnoteReference"/>
        </w:rPr>
        <w:footnoteReference w:id="5"/>
      </w:r>
      <w:r w:rsidRPr="00E30790">
        <w:rPr>
          <w:vertAlign w:val="superscript"/>
        </w:rPr>
        <w:t xml:space="preserve">, </w:t>
      </w:r>
      <w:r w:rsidRPr="00E30790">
        <w:rPr>
          <w:rStyle w:val="FootnoteReference"/>
        </w:rPr>
        <w:footnoteReference w:id="6"/>
      </w:r>
      <w:r w:rsidRPr="00E30790">
        <w:rPr>
          <w:vertAlign w:val="superscript"/>
        </w:rPr>
        <w:t xml:space="preserve">, </w:t>
      </w:r>
      <w:r w:rsidRPr="00E30790">
        <w:rPr>
          <w:rStyle w:val="FootnoteReference"/>
        </w:rPr>
        <w:footnoteReference w:id="7"/>
      </w:r>
      <w:r w:rsidRPr="00E30790">
        <w:rPr>
          <w:vertAlign w:val="superscript"/>
        </w:rPr>
        <w:t xml:space="preserve">, </w:t>
      </w:r>
      <w:r w:rsidRPr="00E30790">
        <w:rPr>
          <w:rStyle w:val="FootnoteReference"/>
        </w:rPr>
        <w:footnoteReference w:id="8"/>
      </w:r>
      <w:r w:rsidRPr="00E30790">
        <w:t xml:space="preserve">. De asemenea, va include toate dezvoltările </w:t>
      </w:r>
      <w:r w:rsidRPr="00E30790">
        <w:lastRenderedPageBreak/>
        <w:t>necesare în domeniul tehnologiei informației și operaționale în vederea punerii în aplicare a noilor modificări aduse Regulamentului (UE) nr. 904/2010 al Consiliului pentru a consolida cooperarea administrativă în domeniul taxei pe valoarea adăugată.</w:t>
      </w:r>
    </w:p>
    <w:p w:rsidR="00A053E6" w:rsidRPr="00E30790" w:rsidRDefault="00A053E6" w:rsidP="00A053E6">
      <w:r w:rsidRPr="00E30790">
        <w:t>Comisia a adoptat o comunicare „umbrelă”</w:t>
      </w:r>
      <w:r w:rsidRPr="00E30790">
        <w:rPr>
          <w:rStyle w:val="FootnoteReference"/>
        </w:rPr>
        <w:footnoteReference w:id="9"/>
      </w:r>
      <w:r w:rsidRPr="00E30790">
        <w:t xml:space="preserve"> pentru a lansa un pachet de măsuri împotriva evitării obligațiilor fiscale pentru o impozitare a întreprinderilor mai echitabilă, mai simplă și mai eficace. Acest pachet are ca scop prevenirea planificării fiscale agresive, sporirea transparenței fiscale și crearea de condiții echitabile pentru toate întreprinderile, pentru a se asigura plata de către întreprinderi a impozitelor în țara în care sunt generate profiturile. A fost adoptată principala propunere din pachetul de măsuri împotriva evitării obligațiilor fiscale – Directiva împotriva evitării obligațiilor fiscale</w:t>
      </w:r>
      <w:r w:rsidRPr="00E30790">
        <w:rPr>
          <w:rStyle w:val="FootnoteReference"/>
        </w:rPr>
        <w:footnoteReference w:id="10"/>
      </w:r>
      <w:r w:rsidRPr="00E30790">
        <w:t>. Măsurile prevăzute de Directiva împotriva evitării obligațiilor fiscale pun în aplicare unele dintre măsurile OCDE privind erodarea bazei impozabile și transferul profiturilor pentru a se asigura că statele membre dispun de măsuri antiabuz obligatorii din punct de vedere juridic cu care să lupte împotriva celor mai frecvente forme de planificare fiscală agresivă. În cadrul programului, vor fi organizate activități prin care să se monitorizeze aceste măsuri din pachetul de măsuri împotriva evitării obligațiilor fiscale și să se faciliteze punerea în aplicare a acestora, în special în ceea ce privește schimbul automat pentru raportarea defalcată pe țări și măsuri prin care să se identifice mai bine cât impozit plătește o întreprindere și pentru ce profituri.</w:t>
      </w:r>
    </w:p>
    <w:p w:rsidR="00A053E6" w:rsidRPr="00E30790" w:rsidRDefault="00A053E6" w:rsidP="00A053E6">
      <w:r w:rsidRPr="00E30790">
        <w:t>În plus, deoarece frauda fiscală, evaziunea fiscală și planificarea fiscală agresivă devin mai complexe, iar capitalul găsește căi noi prin implicarea țărilor terțe, în cadrul programului vor fi desfășurate sau inițiate activități care să abordeze dimensiunea internațională a fraudei și să permită o mai bună colaborare cu țările terțe</w:t>
      </w:r>
      <w:r w:rsidRPr="00E30790">
        <w:rPr>
          <w:rStyle w:val="FootnoteReference"/>
        </w:rPr>
        <w:footnoteReference w:id="11"/>
      </w:r>
      <w:r w:rsidRPr="00E30790">
        <w:rPr>
          <w:vertAlign w:val="superscript"/>
        </w:rPr>
        <w:t>,</w:t>
      </w:r>
      <w:r w:rsidRPr="00E30790">
        <w:rPr>
          <w:rStyle w:val="FootnoteReference"/>
        </w:rPr>
        <w:footnoteReference w:id="12"/>
      </w:r>
      <w:r w:rsidRPr="00E30790">
        <w:t>. Este important ca în cadrul programului să fie sprijinită punerea în aplicare a măsurilor inițiate de Comisie pentru a încuraja țările terțe să aplice standardele minime ale bunei guvernanțe în chestiuni fiscale</w:t>
      </w:r>
      <w:r w:rsidRPr="00E30790">
        <w:rPr>
          <w:rStyle w:val="FootnoteReference"/>
        </w:rPr>
        <w:footnoteReference w:id="13"/>
      </w:r>
      <w:r w:rsidRPr="00E30790">
        <w:t>. Conceperea unei abordări coordonate la nivelul Uniunii în vederea stabilirii unei cooperări administrative și cu țările terțe va continua să reprezinte o prioritate pe agenda Uniunii în anii următori.</w:t>
      </w:r>
    </w:p>
    <w:p w:rsidR="00A053E6" w:rsidRPr="00E30790" w:rsidRDefault="00A053E6" w:rsidP="00A053E6">
      <w:r w:rsidRPr="00E30790">
        <w:t xml:space="preserve">Statele membre trebuie să își pună de acord abordările divergente privind rezolvarea amenințărilor externe legate de erodarea bazei impozabile. Toate țările membre G20/OCDE și un număr semnificativ de alte țări s-au angajat să pună în aplicare standardele BEPS. În cadrul Uniunii Europene, au început deja lucrările în vederea respectării acestui angajament. Cu toate acestea, o punere în aplicare eficientă a noilor reguli fiscale internaționale necesită acceptare la nivel mondial și, între timp, o strategie externă comună a Uniunii privind impozitarea eficientă, fundamentată pe criterii de bună guvernanță fiscală clare, coerente și </w:t>
      </w:r>
      <w:r w:rsidRPr="00E30790">
        <w:lastRenderedPageBreak/>
        <w:t>recunoscute la nivel internațional, este pusă în aplicare prin intermediul listei comune a UE cuprinzând jurisdicțiile fiscale necooperante</w:t>
      </w:r>
      <w:r w:rsidRPr="00E30790">
        <w:rPr>
          <w:rStyle w:val="FootnoteReference"/>
        </w:rPr>
        <w:footnoteReference w:id="14"/>
      </w:r>
      <w:r w:rsidRPr="00E30790">
        <w:t xml:space="preserve">. </w:t>
      </w:r>
    </w:p>
    <w:p w:rsidR="00A053E6" w:rsidRPr="00E30790" w:rsidRDefault="00A053E6" w:rsidP="00A053E6">
      <w:r w:rsidRPr="00E30790">
        <w:t xml:space="preserve">În prezent, se desfășoară și a avansat semnificativ o reformă generală a sistemului de TVA – în special cu privire la livrările transfrontaliere de bunuri în interiorul Uniunii –, iar legislația privind cooperarea administrativă în domeniul TVA va face obiectul unor inovări și modificări astfel cum s-a convenit în cadrul ECOFIN la 22 iunie 2018, pentru a se pune la dispoziția statelor membre modalități suplimentare de combatere a fraudei și a evaziunii fiscale. Apar noi inițiative legate de colectarea TVA, procedurile de control și cooperarea administrativă. </w:t>
      </w:r>
    </w:p>
    <w:p w:rsidR="00A053E6" w:rsidRPr="00E30790" w:rsidRDefault="00A053E6" w:rsidP="00A053E6">
      <w:r w:rsidRPr="00E30790">
        <w:t>Planul de acțiune privind TVA, adoptat de Comisie în 2016, a trecut în revistă progresele înregistrate de la Comunicarea din 2011 privind viitorul TVA și a propus domenii de lucru, în special pentru implementarea principiului destinației, eliminarea obstacolelor legate de TVA pentru serviciile prestate pe cale electronică și din calea dezvoltării IMM-urilor pe piața internă, politicile privind cotele de TVA și măsurile de combatere a fraudei și de îmbunătățire a conformării voluntare. De atunci, Comisia a adoptat, în 2017 și 2018, propuneri pertinente, inclusiv cu privire la sistemul definitiv de TVA, împreună cu așa-numitele „soluții rapide” pentru sistemul de TVA actual</w:t>
      </w:r>
      <w:r w:rsidRPr="00E30790">
        <w:rPr>
          <w:rStyle w:val="FootnoteReference"/>
        </w:rPr>
        <w:footnoteReference w:id="15"/>
      </w:r>
      <w:r w:rsidRPr="00E30790">
        <w:t>. Consiliul și-a exprimat acordul, în octombrie 2018, cu privire la propunerea privind „soluțiile rapide”, care are scopul de a îmbunătăți anumite aspecte punctuale ale acordurilor tranzitorii actuale privind TVA-ul pentru comerțul cu mărfuri până la aplicarea sistemului definitiv de TVA.</w:t>
      </w:r>
      <w:r w:rsidR="00B35A73">
        <w:t xml:space="preserve"> </w:t>
      </w:r>
      <w:r w:rsidRPr="00E30790">
        <w:t>În ceea ce privește inițiativele care nu au fost încă convenite, discuțiile din cadrul Consiliului își urmează cursul. Ori de câte ori este adecvat, implementarea unora dintre aceste inițiative recente privind TVA-ul va fi susținută prin activități din cadrul programului.</w:t>
      </w:r>
    </w:p>
    <w:p w:rsidR="00A053E6" w:rsidRPr="00E30790" w:rsidRDefault="00A053E6" w:rsidP="00A053E6">
      <w:r w:rsidRPr="00E30790">
        <w:t>În plus, în era economiei digitale, asigurarea impozitării adecvate a comerțului electronic a fost recunoscută ca fiind o prioritate, iar pachetul de măsuri privind TVA-ul aferent serviciilor de comerț electronic adoptat de Consiliu în decembrie 2017</w:t>
      </w:r>
      <w:r w:rsidRPr="00E30790">
        <w:rPr>
          <w:rStyle w:val="FootnoteReference"/>
        </w:rPr>
        <w:footnoteReference w:id="16"/>
      </w:r>
      <w:r w:rsidRPr="00E30790">
        <w:t xml:space="preserve"> va contribui la realizarea pieței unice digitale, lucrările asupra unui regulament de punere în aplicare fiind în curs. Pentru a se asigura faptul că plățile de TVA rezultate din tranzacțiile comerciale electronice pot fi controlate, Comisia va adopta o propunere referitoare la schimbul de date privind plățile relevante în materie de TVA. Detaliile practice ale punerii sale în aplicare, împreună cu pregătirile pentru dezvoltarea unei baze de date centrale, vor fi discutate cu statele membre în cadrul activităților programului.</w:t>
      </w:r>
      <w:r w:rsidR="00B35A73">
        <w:t xml:space="preserve"> </w:t>
      </w:r>
    </w:p>
    <w:p w:rsidR="00A053E6" w:rsidRPr="00E30790" w:rsidRDefault="00A053E6" w:rsidP="00A053E6">
      <w:r w:rsidRPr="00E30790">
        <w:t xml:space="preserve">Pentru a combate frauda fiscală, evaziunea fiscală și planificarea fiscală agresivă în toate dimensiunile sale și pentru a facilita schimburile comerciale legitime, este importantă consolidarea în mai mare măsură a cooperării dintre autoritățile vamale și fiscale, precum și </w:t>
      </w:r>
      <w:r w:rsidRPr="00E30790">
        <w:lastRenderedPageBreak/>
        <w:t>cu organismele de aplicare a legii. De asemenea, este necesară consolidarea EUROFISC, actorul principal la nivelul Uniunii în combaterea fraudelor transfrontaliere în materie de TVA. În urma adoptării de către Consiliu a modificărilor Regulamentului (UE) nr. 904/2010 al Consiliului, sunt necesare mai multe activități asociate. În vederea punerii în aplicare a acestor măsuri, sunt necesare dezvoltări în domeniul tehnologiei informației, precum și grupuri de proiect în cadrul cărora să se discute și să se pregătească metode și ghiduri de procedură.</w:t>
      </w:r>
    </w:p>
    <w:p w:rsidR="00A053E6" w:rsidRPr="00E30790" w:rsidRDefault="00A053E6" w:rsidP="00A053E6">
      <w:r w:rsidRPr="00E30790">
        <w:t xml:space="preserve">În contextul consolidării EUROFISC, este, de asemenea, necesară angajarea într-un dialog cu statele membre pentru a se asigura utilizarea optimă a noilor instrumente puse la dispoziția acestora și pentru a se analiza potențialele evoluții viitoare ale rețelei, astfel încât aceasta să devină mai eficientă. </w:t>
      </w:r>
    </w:p>
    <w:p w:rsidR="00A053E6" w:rsidRPr="00E30790" w:rsidRDefault="00A053E6" w:rsidP="00A053E6">
      <w:r w:rsidRPr="00E30790">
        <w:t>O strategie eficace de combatere a fraudei și a evaziunii fiscale nu poate ignora evoluțiile din domeniul gestionării riscurilor și partajarea bunelor practici în vederea asigurării schimbului corespunzător de informații. Aceasta, împreună cu asigurarea conformării contribuabililor, rămâne un obiectiv prioritar de politică pentru programul Fiscalis 2020.</w:t>
      </w:r>
    </w:p>
    <w:p w:rsidR="00A053E6" w:rsidRPr="00E30790" w:rsidRDefault="00A053E6" w:rsidP="00A053E6">
      <w:r w:rsidRPr="00E30790">
        <w:t xml:space="preserve">Pentru a îmbunătăți piața internă pentru produsele accizabile și pentru a reduce sarcina reprezentată de asigurarea conformării, în cadrul programului vor fi organizate activități de îmbunătățire a procedurilor și a sistemelor existente referitoare la accize. De asemenea, în cadrul programului vor fi desfășurate și activități pentru punerea în aplicare a modificărilor aduse procedurilor și sistemelor IT asociate, pentru îmbunătățirea detectării și a prevenirii fraudei cu produse accizabile. </w:t>
      </w:r>
    </w:p>
    <w:p w:rsidR="00A053E6" w:rsidRPr="00E30790" w:rsidRDefault="00A053E6" w:rsidP="00A053E6">
      <w:r w:rsidRPr="00E30790">
        <w:t>Sistemele fiscale ar trebui să devină mai echitabile și mai favorabile creșterii pentru a promova crearea de locuri de muncă, a atenua inegalitățile, a combate abuzurile fiscale și a susține investițiile. Vor fi organizate activități asociate acestor priorități pentru se a asigura că impozitarea își are rolul său în procesul mai amplu de guvernanță economică la nivelul Uniunii, și anume semestrul european și monitorizarea realizării obiectivelor analizei anuale a creșterii, luând în considerare concluziile Consiliului ECOFIN. Pentru a conferi cadrului fiscal al Uniunii Europene un caracter adecvat scopului, pentru ca acest cadru să fie favorabil creșterii și cât mai simplu cu putință, inițiativele programului vor sprijini modernizarea sistemelor și a administrațiilor fiscale, creând în același timp condiții echitabile pentru toate acestea.</w:t>
      </w:r>
    </w:p>
    <w:p w:rsidR="00A053E6" w:rsidRPr="00E30790" w:rsidRDefault="00A053E6" w:rsidP="00A053E6">
      <w:pPr>
        <w:rPr>
          <w:rFonts w:eastAsia="Calibri"/>
        </w:rPr>
      </w:pPr>
      <w:r w:rsidRPr="00E30790">
        <w:t>Comisia va stabili activități în cadrul programului destinate consolidării capacității administrațiilor fiscale atât în termeni de capacitate structurală, cât și în termeni de consolidare a competențelor resurselor umane, în vederea sporirii eficienței și eficacității acestora. Proiectarea și introducerea progresivă a unui cadru de competențe pentru administrațiile fiscale vor contribui la dezvoltarea abilităților funcționarilor din domeniul fiscal și vor sprijini modernizarea administrațiilor fiscale.</w:t>
      </w:r>
    </w:p>
    <w:p w:rsidR="00A053E6" w:rsidRPr="00E30790" w:rsidRDefault="00A053E6" w:rsidP="00A053E6">
      <w:r w:rsidRPr="00E30790">
        <w:t>Se vor organiza, de asemenea, activități în cadrul programului pentru a se combate decalajul fiscal și pentru a se îmbunătăți și facilita înregistrarea contribuabililor, declarațiile, auditul, colectarea impozitelor la nivel național, recuperarea și asistența reciprocă în materie de recuperare</w:t>
      </w:r>
      <w:r w:rsidRPr="00E30790">
        <w:rPr>
          <w:rStyle w:val="FootnoteReference"/>
        </w:rPr>
        <w:footnoteReference w:id="17"/>
      </w:r>
      <w:r w:rsidRPr="00E30790">
        <w:t xml:space="preserve">. În același timp, aceste activități ar trebui să acorde atenție respectării drepturilor contribuabililor și promovării conformării fiscale. </w:t>
      </w:r>
    </w:p>
    <w:p w:rsidR="00A053E6" w:rsidRPr="00E30790" w:rsidRDefault="00A053E6" w:rsidP="00A053E6">
      <w:r w:rsidRPr="00E30790">
        <w:t>Privind în perspectivă, este important să se reflecteze asupra viitorului sistemelor noastre fiscale, inclusiv asupra unor chestiuni cum ar fi sustenabilitatea sistemelor noastre fiscale în contextul evoluției tehnologice, al evoluțiilor demografice, dar și al globalizării și al concurenței intensificate dintre țări și regiuni. Ar fi utilă reunirea statelor membre pentru a reflecta cu privire la viitoarele provocări legate de impozitare.</w:t>
      </w:r>
    </w:p>
    <w:p w:rsidR="00A053E6" w:rsidRPr="00E30790" w:rsidRDefault="00A053E6" w:rsidP="00A053E6">
      <w:r w:rsidRPr="00E30790">
        <w:lastRenderedPageBreak/>
        <w:t xml:space="preserve">Este important să se elimine măsurile fiscale care descurajează exercitarea de către cetățenii Uniunii a dreptului la liberă circulație pe piața internă, asigurându-se, în același timp, îndeplinirea obligațiilor fiscale de către aceștia. Prin urmare, vor fi organizate activități în cadrul programului pentru ca actualele mecanisme de soluționare a litigiilor privind dubla impunere în Uniunea Europeană să devină mai simple, mai rapid de gestionat și mai coordonate în întreaga Uniune Europeană. Consolidarea dialogului cu reprezentanții mediului comercial și cooperarea cu organizațiile internaționale (OCDE, IOTA și CIAT) vor contribui la atingerea acestui obiectiv de politică. În plus, activitățile din cadrul programului vor viza soluționarea obstacolelor transfrontaliere din domeniul fiscal și a problemelor legate de dubla impunere, inclusiv eliminarea obstacolelor din calea investitorilor transfrontalieri și a pieței unice digitale sau furnizarea de informații administrațiilor fiscale și judiciare naționale cu privire la punerea în aplicare a legislației Uniunii. </w:t>
      </w:r>
    </w:p>
    <w:p w:rsidR="00A053E6" w:rsidRPr="00E30790" w:rsidRDefault="00A053E6" w:rsidP="00A053E6">
      <w:r w:rsidRPr="00E30790">
        <w:t>Pentru a sprijini reforma și a pune în aplicare legislația Uniunii, vor fi organizate activități în cadrul programului pentru îmbunătățirea înțelegerii legislației fiscale, în toate domeniile fiscale, în special cu privire la TVA, impozitarea energiei, tutunului, alcoolului și băuturilor alcoolice.</w:t>
      </w:r>
    </w:p>
    <w:p w:rsidR="00A053E6" w:rsidRPr="00E30790" w:rsidRDefault="00A053E6" w:rsidP="00A053E6">
      <w:r w:rsidRPr="00E30790">
        <w:t>În plus, Comisia a prezentat propuneri menite să asigure impozitarea mai echitabilă a economiei digitale</w:t>
      </w:r>
      <w:r w:rsidRPr="00E30790">
        <w:rPr>
          <w:rStyle w:val="FootnoteReference"/>
        </w:rPr>
        <w:footnoteReference w:id="18"/>
      </w:r>
      <w:r w:rsidRPr="00E30790">
        <w:t>.</w:t>
      </w:r>
    </w:p>
    <w:p w:rsidR="00A053E6" w:rsidRPr="00E30790" w:rsidRDefault="00A053E6" w:rsidP="00A053E6">
      <w:r w:rsidRPr="00E30790">
        <w:t>Dezvoltarea și întreținerea sistemelor de informații europene (SIE) în legătură cu schimbul de informații fiscale dintre statele membre sunt esențiale pentru administrațiile naționale, cetățenii și întreprinderile de pe întreg teritoriul Uniunii Europene. Perturbarea SIE ar afecta grav funcționarea pieței interne. Vor fi continuate și aprofundate noi forme de colaborare în domeniul tehnologiei informației – printre altele prin intermediul echipelor de experți –, ceea ce permite o mai bună cooperare operațională.</w:t>
      </w:r>
    </w:p>
    <w:p w:rsidR="00A053E6" w:rsidRPr="00E30790" w:rsidRDefault="00A053E6" w:rsidP="00A053E6">
      <w:r w:rsidRPr="00E30790">
        <w:t>Trebuie să fie asigurată coordonarea cu alte politici ale Uniunii și cu programele și fondurile care le susțin, în special cu Programul de sprijin pentru reforme structurale. Atunci când acest lucru este adecvat și posibil, sunt concepute activități în cadrul programului pentru implementarea cererilor de asistență tehnică în domeniul politicii fiscale a Uniunii, coordonate de Serviciul de sprijin pentru reforme structurale al Comisiei.</w:t>
      </w:r>
    </w:p>
    <w:p w:rsidR="00A053E6" w:rsidRPr="00E30790" w:rsidRDefault="00A053E6" w:rsidP="00A053E6">
      <w:r w:rsidRPr="00E30790">
        <w:t>În acest context și în conformitate cu obiectivele prevăzute în Regulamentul (UE) nr. 1286/2013 de instituire a unui program de acțiune pentru a îmbunătăți funcționarea sistemelor de impozitare în Uniunea Europeană pentru perioada 2014-2020, prezentul program de lucru conține acțiunile care urmează să fie finanțate și defalcarea bugetului pentru anul 2019 după cum urmează</w:t>
      </w:r>
      <w:r w:rsidRPr="00E30790">
        <w:rPr>
          <w:rStyle w:val="FootnoteReference"/>
        </w:rPr>
        <w:footnoteReference w:id="19"/>
      </w:r>
      <w:r w:rsidRPr="00E307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1338"/>
        </w:trPr>
        <w:tc>
          <w:tcPr>
            <w:tcW w:w="9286" w:type="dxa"/>
          </w:tcPr>
          <w:p w:rsidR="00A053E6" w:rsidRPr="00E30790" w:rsidRDefault="00A053E6" w:rsidP="008C09CC">
            <w:pPr>
              <w:pStyle w:val="Tiret0"/>
              <w:numPr>
                <w:ilvl w:val="0"/>
                <w:numId w:val="21"/>
              </w:numPr>
            </w:pPr>
            <w:r w:rsidRPr="00E30790">
              <w:t>pentru granturi (executate în cadrul gestiunii directe) (1.2): 6 466 000 EUR</w:t>
            </w:r>
          </w:p>
          <w:p w:rsidR="00A053E6" w:rsidRPr="00E30790" w:rsidRDefault="00A053E6" w:rsidP="008C09CC">
            <w:pPr>
              <w:pStyle w:val="Tiret0"/>
            </w:pPr>
            <w:r w:rsidRPr="00E30790">
              <w:t>pentru achiziții publice (executate în cadrul gestiunii directe) (1.3): 26 034 000 EUR</w:t>
            </w:r>
          </w:p>
          <w:p w:rsidR="00A053E6" w:rsidRPr="00E30790" w:rsidRDefault="00A053E6" w:rsidP="008C09CC">
            <w:pPr>
              <w:pStyle w:val="Tiret0"/>
            </w:pPr>
            <w:r w:rsidRPr="00E30790">
              <w:t>pentru alte acțiuni (rambursarea cheltuielilor experților externi) (1.4): 70 000 EUR</w:t>
            </w:r>
          </w:p>
          <w:p w:rsidR="00A053E6" w:rsidRPr="00E30790" w:rsidRDefault="00A053E6" w:rsidP="008C09CC">
            <w:r w:rsidRPr="00E30790">
              <w:t>TOTAL acțiuni: 32 570 000 EUR</w:t>
            </w:r>
          </w:p>
        </w:tc>
      </w:tr>
    </w:tbl>
    <w:p w:rsidR="00A053E6" w:rsidRPr="00B35A73" w:rsidRDefault="00A053E6" w:rsidP="00A053E6">
      <w:pPr>
        <w:pStyle w:val="Heading2"/>
        <w:numPr>
          <w:ilvl w:val="1"/>
          <w:numId w:val="38"/>
        </w:numPr>
      </w:pPr>
      <w:r w:rsidRPr="00B35A73">
        <w:t>Granturi</w:t>
      </w:r>
    </w:p>
    <w:p w:rsidR="00A053E6" w:rsidRPr="00B35A73" w:rsidRDefault="00A053E6" w:rsidP="00A053E6">
      <w:pPr>
        <w:pStyle w:val="Heading3"/>
        <w:numPr>
          <w:ilvl w:val="2"/>
          <w:numId w:val="38"/>
        </w:numPr>
      </w:pPr>
      <w:r w:rsidRPr="00B35A73">
        <w:t>Grant pentru acțiuni comune</w:t>
      </w:r>
    </w:p>
    <w:p w:rsidR="00A053E6" w:rsidRPr="00E30790" w:rsidRDefault="00A053E6" w:rsidP="00A053E6">
      <w:r w:rsidRPr="00E30790">
        <w:t>TEMEIUL JURIDIC</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Articolul 5 alineatul (2) și articolul 7 litera (a) punctele (i)-(iv) și (vi)-(ix) din Regulamentul (UE) nr. 1286/2013</w:t>
            </w:r>
          </w:p>
          <w:p w:rsidR="00A053E6" w:rsidRPr="00E30790" w:rsidRDefault="00A053E6" w:rsidP="008C09CC">
            <w:r w:rsidRPr="00B35A73">
              <w:rPr>
                <w:b/>
              </w:rPr>
              <w:t>Obiectiv specific</w:t>
            </w:r>
            <w:r w:rsidRPr="00E30790">
              <w:t>: Sprijinirea luptei împotriva fraudei fiscale, a evaziunii fiscale și a planificării fiscale agresive și punerea în aplicare a dreptului Uniunii în domeniul fiscal prin asigurarea schimbului de informații, prin sprijinirea cooperării administrative și, atunci când este necesar și oportun, prin consolidarea capacității administrative a țărilor participante, cu scopul de a contribui la reducerea sarcinii administrative a autorităților fiscale și a costurilor de conformare pentru contribuabili.</w:t>
            </w:r>
          </w:p>
        </w:tc>
      </w:tr>
    </w:tbl>
    <w:p w:rsidR="00A053E6" w:rsidRPr="00E30790" w:rsidRDefault="00A053E6" w:rsidP="00A053E6">
      <w:pPr>
        <w:keepNext/>
        <w:keepLines/>
      </w:pPr>
      <w:r w:rsidRPr="00E30790">
        <w:t>LINIA BUGETARĂ</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14 03 01</w:t>
            </w:r>
          </w:p>
        </w:tc>
      </w:tr>
    </w:tbl>
    <w:p w:rsidR="00A053E6" w:rsidRPr="00E30790" w:rsidRDefault="00A053E6" w:rsidP="00A053E6">
      <w:pPr>
        <w:keepNext/>
      </w:pPr>
      <w:r w:rsidRPr="00E30790">
        <w:t xml:space="preserve">Prioritățile anului, obiectivele urmărite și rezultatele preconizate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1338"/>
        </w:trPr>
        <w:tc>
          <w:tcPr>
            <w:tcW w:w="9286" w:type="dxa"/>
          </w:tcPr>
          <w:p w:rsidR="00A053E6" w:rsidRPr="00E30790" w:rsidRDefault="00A053E6" w:rsidP="008C09CC">
            <w:r w:rsidRPr="00E30790">
              <w:t xml:space="preserve">Programul este un instrument care sprijină și pune în aplicare politica fiscală generală la nivelul Uniunii Europene. Obiectivul general al programului Fiscalis 2020 este îmbunătățirea funcționării corespunzătoare a sistemelor de impozitare pe piața internă prin consolidarea cooperării dintre țările participante, autoritățile fiscale ale acestora și funcționarii lor. Programul își propune să contribuie cu succes la Strategia Europa 2020 pentru o creștere inteligentă, durabilă și favorabilă incluziunii, prin consolidarea funcționării pieței interne. </w:t>
            </w:r>
          </w:p>
          <w:p w:rsidR="00A053E6" w:rsidRPr="00E30790" w:rsidRDefault="00A053E6" w:rsidP="008C09CC">
            <w:r w:rsidRPr="00E30790">
              <w:t>Acest grant se concentrează pe implementarea următoarelor priorități pentru 2019:</w:t>
            </w:r>
          </w:p>
          <w:p w:rsidR="00A053E6" w:rsidRPr="00E30790" w:rsidRDefault="00A053E6" w:rsidP="008C09CC">
            <w:pPr>
              <w:pStyle w:val="Tiret0"/>
            </w:pPr>
            <w:r w:rsidRPr="00E30790">
              <w:t>transparența fiscală pentru combaterea evaziunii fiscale și a evitării obligațiilor fiscale și stabilirea unui sistem echitabil și eficient de impozitare a întreprinderilor în Uniunea Europeană;</w:t>
            </w:r>
          </w:p>
          <w:p w:rsidR="00A053E6" w:rsidRPr="00E30790" w:rsidRDefault="00A053E6" w:rsidP="008C09CC">
            <w:pPr>
              <w:pStyle w:val="Tiret0"/>
            </w:pPr>
            <w:r w:rsidRPr="00E30790">
              <w:t>implementarea unor instrumente noi de cooperare administrativă;</w:t>
            </w:r>
          </w:p>
          <w:p w:rsidR="00A053E6" w:rsidRPr="00E30790" w:rsidRDefault="00A053E6" w:rsidP="008C09CC">
            <w:pPr>
              <w:pStyle w:val="Tiret0"/>
            </w:pPr>
            <w:r w:rsidRPr="00E30790">
              <w:t>consolidarea și dezvoltarea în continuare a recuperării la nivel național, precum și a cadrului și a instrumentelor de asistență în materie de recuperare, respectând drepturile contribuabililor și acordând atenție aspectelor legate de conformarea fiscală;</w:t>
            </w:r>
          </w:p>
          <w:p w:rsidR="00A053E6" w:rsidRPr="00E30790" w:rsidRDefault="00A053E6" w:rsidP="008C09CC">
            <w:pPr>
              <w:pStyle w:val="Tiret0"/>
            </w:pPr>
            <w:r w:rsidRPr="00E30790">
              <w:t>dimensiunea internațională a fraudei și facilitarea unei mai bune colaborări cu țările terțe;</w:t>
            </w:r>
          </w:p>
          <w:p w:rsidR="00A053E6" w:rsidRPr="00E30790" w:rsidRDefault="00A053E6" w:rsidP="008C09CC">
            <w:pPr>
              <w:pStyle w:val="Tiret0"/>
            </w:pPr>
            <w:r w:rsidRPr="00E30790">
              <w:t>reforma generală a sistemului de TVA;</w:t>
            </w:r>
          </w:p>
          <w:p w:rsidR="00A053E6" w:rsidRPr="00E30790" w:rsidRDefault="00A053E6" w:rsidP="008C09CC">
            <w:pPr>
              <w:pStyle w:val="Tiret0"/>
            </w:pPr>
            <w:r w:rsidRPr="00E30790">
              <w:t>aspectele fiscale ale economiei digitale, în special ale comerțului electronic;</w:t>
            </w:r>
          </w:p>
          <w:p w:rsidR="00A053E6" w:rsidRPr="00E30790" w:rsidRDefault="00A053E6" w:rsidP="008C09CC">
            <w:pPr>
              <w:pStyle w:val="Tiret0"/>
            </w:pPr>
            <w:r w:rsidRPr="00E30790">
              <w:t>optimizarea procedurilor și a sistemelor legate de accize;</w:t>
            </w:r>
          </w:p>
          <w:p w:rsidR="00A053E6" w:rsidRPr="00E30790" w:rsidRDefault="00A053E6" w:rsidP="008C09CC">
            <w:pPr>
              <w:pStyle w:val="Tiret0"/>
            </w:pPr>
            <w:r w:rsidRPr="00E30790">
              <w:t>cooperarea dintre autoritățile vamale și fiscale și cu organismele de aplicare a legii;</w:t>
            </w:r>
          </w:p>
          <w:p w:rsidR="00A053E6" w:rsidRPr="00E30790" w:rsidRDefault="00A053E6" w:rsidP="008C09CC">
            <w:pPr>
              <w:pStyle w:val="Tiret0"/>
            </w:pPr>
            <w:r w:rsidRPr="00E30790">
              <w:t>gestionarea riscurilor și conformarea;</w:t>
            </w:r>
          </w:p>
          <w:p w:rsidR="00A053E6" w:rsidRPr="00E30790" w:rsidRDefault="00A053E6" w:rsidP="008C09CC">
            <w:pPr>
              <w:pStyle w:val="Tiret0"/>
            </w:pPr>
            <w:r w:rsidRPr="00E30790">
              <w:t>sisteme fiscale echitabile și favorabile creșterii, precum și consolidarea capacității administrative pentru administrațiile fiscale;</w:t>
            </w:r>
          </w:p>
          <w:p w:rsidR="00A053E6" w:rsidRPr="00E30790" w:rsidRDefault="00A053E6" w:rsidP="008C09CC">
            <w:pPr>
              <w:pStyle w:val="Tiret0"/>
            </w:pPr>
            <w:r w:rsidRPr="00E30790">
              <w:t>Sustenabilitatea și competitivitatea sistemelor fiscale pe termen mediu și lung.</w:t>
            </w:r>
          </w:p>
          <w:p w:rsidR="00A053E6" w:rsidRPr="00E30790" w:rsidRDefault="00A053E6" w:rsidP="008C09CC">
            <w:pPr>
              <w:pStyle w:val="Tiret0"/>
            </w:pPr>
            <w:r w:rsidRPr="00E30790">
              <w:t>combaterea măsurilor fiscale care descurajează exercitarea de către cetățenii și întreprinderile din Uniune a dreptului la libera circulație pe piața internă și eliminarea obstacolelor fiscale transfrontaliere și a problemelor legate de dubla impunere sau dubla neimpozitare;</w:t>
            </w:r>
          </w:p>
          <w:p w:rsidR="00A053E6" w:rsidRPr="00E30790" w:rsidRDefault="00A053E6" w:rsidP="008C09CC">
            <w:pPr>
              <w:pStyle w:val="Tiret0"/>
            </w:pPr>
            <w:r w:rsidRPr="00E30790">
              <w:t>sprijinirea reformei și a punerii în aplicare a dreptului Uniunii;</w:t>
            </w:r>
          </w:p>
          <w:p w:rsidR="00A053E6" w:rsidRPr="00E30790" w:rsidRDefault="00A053E6" w:rsidP="008C09CC">
            <w:pPr>
              <w:pStyle w:val="Tiret0"/>
            </w:pPr>
            <w:r w:rsidRPr="00E30790">
              <w:t>sprijinirea dezvoltării și a întreținerii sistemelor de informații europene (SIE) pentru domeniul fiscal.</w:t>
            </w:r>
          </w:p>
          <w:p w:rsidR="00A053E6" w:rsidRPr="00E30790" w:rsidRDefault="00A053E6" w:rsidP="008C09CC">
            <w:pPr>
              <w:pStyle w:val="Text1"/>
              <w:ind w:left="0"/>
            </w:pPr>
            <w:r w:rsidRPr="00E30790">
              <w:t>Rezultatul preconizat: Implementarea acțiunilor comune ale programului (530) în cadrul proiectelor de politică descrise în apendice.</w:t>
            </w:r>
          </w:p>
        </w:tc>
      </w:tr>
    </w:tbl>
    <w:p w:rsidR="00A053E6" w:rsidRPr="00E30790" w:rsidRDefault="00A053E6" w:rsidP="00A053E6">
      <w:r w:rsidRPr="00E30790">
        <w:t>Descrierea activităților care urmează să fie finanțate prin grantul acordat fără organizarea unei cereri de propuneri, în temeiul articolului 195 litera (f) din Regulamentul (UE, Euratom) 2018/1046 al Parlamentului European și al Consiliului privind normele financiare aplicabile bugetului general al Uniunii</w:t>
      </w:r>
      <w:r w:rsidRPr="00E30790">
        <w:rPr>
          <w:rStyle w:val="FootnoteReference"/>
        </w:rPr>
        <w:footnoteReference w:id="20"/>
      </w:r>
      <w:r w:rsidRPr="00E30790">
        <w:t xml:space="preserve"> </w:t>
      </w:r>
      <w:r w:rsidRPr="00E30790">
        <w:rPr>
          <w:rStyle w:val="FootnoteReference"/>
        </w:rPr>
        <w:footnoteReference w:id="21"/>
      </w:r>
    </w:p>
    <w:p w:rsidR="00A053E6" w:rsidRPr="00E30790" w:rsidRDefault="00A053E6" w:rsidP="00A053E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415"/>
        </w:trPr>
        <w:tc>
          <w:tcPr>
            <w:tcW w:w="9286" w:type="dxa"/>
          </w:tcPr>
          <w:p w:rsidR="00A053E6" w:rsidRPr="00B35A73" w:rsidRDefault="00A053E6" w:rsidP="008C09CC">
            <w:pPr>
              <w:rPr>
                <w:rFonts w:eastAsia="Calibri"/>
                <w:b/>
              </w:rPr>
            </w:pPr>
            <w:r w:rsidRPr="00B35A73">
              <w:rPr>
                <w:b/>
              </w:rPr>
              <w:t xml:space="preserve">Acest grant va finanța activități legate de: </w:t>
            </w:r>
          </w:p>
          <w:p w:rsidR="00A053E6" w:rsidRPr="00E30790" w:rsidRDefault="00A053E6" w:rsidP="008C09CC">
            <w:pPr>
              <w:pStyle w:val="Tiret0"/>
              <w:rPr>
                <w:rFonts w:eastAsia="Calibri"/>
              </w:rPr>
            </w:pPr>
            <w:r w:rsidRPr="00E30790">
              <w:t xml:space="preserve">îmbunătățirea sistemelor de informații europene pentru domeniul fiscal; </w:t>
            </w:r>
          </w:p>
          <w:p w:rsidR="00A053E6" w:rsidRPr="00E30790" w:rsidRDefault="00A053E6" w:rsidP="008C09CC">
            <w:pPr>
              <w:pStyle w:val="Tiret0"/>
              <w:rPr>
                <w:rFonts w:eastAsia="Calibri"/>
              </w:rPr>
            </w:pPr>
            <w:r w:rsidRPr="00E30790">
              <w:t xml:space="preserve">sprijinirea activităților de cooperare administrativă; </w:t>
            </w:r>
          </w:p>
          <w:p w:rsidR="00A053E6" w:rsidRPr="00E30790" w:rsidRDefault="00A053E6" w:rsidP="008C09CC">
            <w:pPr>
              <w:pStyle w:val="Tiret0"/>
              <w:rPr>
                <w:rFonts w:eastAsia="Calibri"/>
              </w:rPr>
            </w:pPr>
            <w:r w:rsidRPr="00E30790">
              <w:t>consolidarea abilităților și a competențelor funcționarilor din administrațiile fiscale;</w:t>
            </w:r>
          </w:p>
          <w:p w:rsidR="00A053E6" w:rsidRPr="00E30790" w:rsidRDefault="00A053E6" w:rsidP="008C09CC">
            <w:pPr>
              <w:pStyle w:val="Tiret0"/>
              <w:rPr>
                <w:rFonts w:eastAsia="Calibri"/>
              </w:rPr>
            </w:pPr>
            <w:r w:rsidRPr="00E30790">
              <w:t xml:space="preserve">consolidarea înțelegerii și a punerii în aplicare a dreptului Uniunii în domeniul fiscal; </w:t>
            </w:r>
          </w:p>
          <w:p w:rsidR="00A053E6" w:rsidRPr="00E30790" w:rsidRDefault="00A053E6" w:rsidP="008C09CC">
            <w:pPr>
              <w:pStyle w:val="Tiret0"/>
              <w:rPr>
                <w:rFonts w:eastAsia="Calibri"/>
              </w:rPr>
            </w:pPr>
            <w:r w:rsidRPr="00E30790">
              <w:t>sprijinirea îmbunătățirii procedurilor administrative și partajarea bunelor practici în domeniul administrativ.</w:t>
            </w:r>
          </w:p>
          <w:p w:rsidR="00A053E6" w:rsidRPr="00E30790" w:rsidRDefault="00A053E6" w:rsidP="008C09CC">
            <w:pPr>
              <w:rPr>
                <w:rFonts w:eastAsia="Calibri"/>
              </w:rPr>
            </w:pPr>
            <w:r w:rsidRPr="00E30790">
              <w:t>Activitățile se vor desfășura sub formă de:</w:t>
            </w:r>
          </w:p>
          <w:p w:rsidR="00A053E6" w:rsidRPr="00E30790" w:rsidRDefault="00A053E6" w:rsidP="008C09CC">
            <w:pPr>
              <w:pStyle w:val="Tiret0"/>
              <w:rPr>
                <w:rFonts w:eastAsia="Calibri"/>
              </w:rPr>
            </w:pPr>
            <w:r w:rsidRPr="00E30790">
              <w:t>(i) seminare și ateliere;</w:t>
            </w:r>
          </w:p>
          <w:p w:rsidR="00A053E6" w:rsidRPr="00E30790" w:rsidRDefault="00A053E6" w:rsidP="008C09CC">
            <w:pPr>
              <w:pStyle w:val="Tiret0"/>
              <w:rPr>
                <w:rFonts w:eastAsia="Calibri"/>
              </w:rPr>
            </w:pPr>
            <w:r w:rsidRPr="00E30790">
              <w:t>(ii) grupuri de proiect;</w:t>
            </w:r>
          </w:p>
          <w:p w:rsidR="00A053E6" w:rsidRPr="00E30790" w:rsidRDefault="00A053E6" w:rsidP="008C09CC">
            <w:pPr>
              <w:pStyle w:val="Tiret0"/>
              <w:rPr>
                <w:rFonts w:eastAsia="Calibri"/>
              </w:rPr>
            </w:pPr>
            <w:r w:rsidRPr="00E30790">
              <w:t>(iii) controale bilaterale sau multilaterale și alte activități prevăzute în dreptul Uniunii cu privire la cooperarea administrativă;</w:t>
            </w:r>
          </w:p>
          <w:p w:rsidR="00A053E6" w:rsidRPr="00E30790" w:rsidRDefault="00A053E6" w:rsidP="008C09CC">
            <w:pPr>
              <w:pStyle w:val="Tiret0"/>
              <w:rPr>
                <w:rFonts w:eastAsia="Calibri"/>
              </w:rPr>
            </w:pPr>
            <w:r w:rsidRPr="00E30790">
              <w:t>(iv) vizite de lucru;</w:t>
            </w:r>
          </w:p>
          <w:p w:rsidR="00A053E6" w:rsidRPr="00E30790" w:rsidRDefault="00A053E6" w:rsidP="008C09CC">
            <w:pPr>
              <w:pStyle w:val="Tiret0"/>
              <w:rPr>
                <w:rFonts w:eastAsia="Calibri"/>
              </w:rPr>
            </w:pPr>
            <w:r w:rsidRPr="00E30790">
              <w:t>(v) consolidarea capacității administrației publice și acțiuni de sprijin;</w:t>
            </w:r>
          </w:p>
          <w:p w:rsidR="00A053E6" w:rsidRPr="00E30790" w:rsidRDefault="00A053E6" w:rsidP="008C09CC">
            <w:pPr>
              <w:pStyle w:val="Tiret0"/>
              <w:rPr>
                <w:rFonts w:eastAsia="Calibri"/>
              </w:rPr>
            </w:pPr>
            <w:r w:rsidRPr="00E30790">
              <w:t>(vi) studii;</w:t>
            </w:r>
          </w:p>
          <w:p w:rsidR="00A053E6" w:rsidRPr="00E30790" w:rsidRDefault="00A053E6" w:rsidP="008C09CC">
            <w:pPr>
              <w:pStyle w:val="Tiret0"/>
              <w:rPr>
                <w:rFonts w:eastAsia="Calibri"/>
              </w:rPr>
            </w:pPr>
            <w:r w:rsidRPr="00E30790">
              <w:t>(vii) acțiuni de comunicare dezvoltate în comun;</w:t>
            </w:r>
          </w:p>
          <w:p w:rsidR="00A053E6" w:rsidRPr="00E30790" w:rsidRDefault="00A053E6" w:rsidP="008C09CC">
            <w:pPr>
              <w:pStyle w:val="Tiret0"/>
            </w:pPr>
            <w:r w:rsidRPr="00E30790">
              <w:t>(viii) orice altă activitate în sprijinul obiectivelor generale, specifice și operaționale.</w:t>
            </w:r>
          </w:p>
        </w:tc>
      </w:tr>
    </w:tbl>
    <w:p w:rsidR="00A053E6" w:rsidRPr="00E30790" w:rsidRDefault="00A053E6" w:rsidP="00A053E6">
      <w:r w:rsidRPr="00E30790">
        <w:t>Criterii esențiale de eligibilitate, selecție și acordare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995"/>
        </w:trPr>
        <w:tc>
          <w:tcPr>
            <w:tcW w:w="9286" w:type="dxa"/>
          </w:tcPr>
          <w:p w:rsidR="00A053E6" w:rsidRPr="00B35A73" w:rsidRDefault="00A053E6" w:rsidP="008C09CC">
            <w:pPr>
              <w:rPr>
                <w:rFonts w:eastAsia="Calibri"/>
                <w:b/>
              </w:rPr>
            </w:pPr>
            <w:bookmarkStart w:id="2" w:name="_Toc431823805"/>
            <w:r w:rsidRPr="00B35A73">
              <w:rPr>
                <w:b/>
              </w:rPr>
              <w:t>Grantul se acordă pe baza următoarelor criterii:</w:t>
            </w:r>
            <w:bookmarkEnd w:id="2"/>
          </w:p>
          <w:p w:rsidR="00A053E6" w:rsidRPr="00B35A73" w:rsidRDefault="00A053E6" w:rsidP="008C09CC">
            <w:pPr>
              <w:rPr>
                <w:b/>
                <w:i/>
              </w:rPr>
            </w:pPr>
            <w:r w:rsidRPr="00B35A73">
              <w:rPr>
                <w:b/>
                <w:i/>
              </w:rPr>
              <w:t>Criterii de eligibilitate</w:t>
            </w:r>
          </w:p>
          <w:p w:rsidR="00A053E6" w:rsidRPr="00E30790" w:rsidRDefault="00A053E6" w:rsidP="008C09CC">
            <w:r w:rsidRPr="00E30790">
              <w:t>Beneficiarii grantului vor fi statele membre și alte țări eligibile care îndeplinesc condițiile de participare menționate la articolul 3 din Regulamentul (UE) nr. 1286/2013, pe baza unui acord de grant cu beneficiari multipli.</w:t>
            </w:r>
          </w:p>
          <w:p w:rsidR="00A053E6" w:rsidRPr="00E30790" w:rsidRDefault="00A053E6" w:rsidP="008C09CC">
            <w:r w:rsidRPr="00E30790">
              <w:t>Activitățile propuse trebuie să corespundă tipurilor de acțiuni eligibile enumerate la articolul 7 alineatul (1) litera (a) punctele (i)-(ix) cu excepția punctului (v) din Regulamentul (UE) nr. 1286/2013.</w:t>
            </w:r>
          </w:p>
          <w:p w:rsidR="00A053E6" w:rsidRPr="00B35A73" w:rsidRDefault="00A053E6" w:rsidP="008C09CC">
            <w:pPr>
              <w:keepNext/>
              <w:rPr>
                <w:b/>
                <w:i/>
              </w:rPr>
            </w:pPr>
            <w:r w:rsidRPr="00B35A73">
              <w:rPr>
                <w:b/>
                <w:i/>
              </w:rPr>
              <w:t>Criterii de selecție</w:t>
            </w:r>
          </w:p>
          <w:p w:rsidR="00A053E6" w:rsidRPr="00E30790" w:rsidRDefault="00A053E6" w:rsidP="008C09CC">
            <w:r w:rsidRPr="00E30790">
              <w:t>În conformitate cu articolul 198 alineatul (5) litera (c) din Regulamentul (UE, Euratom) 2018/1046, capacitățile financiare și operaționale ale beneficiarilor nu vor fi verificate, întrucât beneficiarii sunt organisme publice.</w:t>
            </w:r>
          </w:p>
          <w:p w:rsidR="00A053E6" w:rsidRPr="00B35A73" w:rsidRDefault="00A053E6" w:rsidP="008C09CC">
            <w:pPr>
              <w:rPr>
                <w:b/>
                <w:i/>
              </w:rPr>
            </w:pPr>
            <w:r w:rsidRPr="00B35A73">
              <w:rPr>
                <w:b/>
                <w:i/>
              </w:rPr>
              <w:t>Criterii de acordare</w:t>
            </w:r>
          </w:p>
          <w:p w:rsidR="00A053E6" w:rsidRPr="00E30790" w:rsidRDefault="00A053E6" w:rsidP="008C09CC">
            <w:r w:rsidRPr="00E30790">
              <w:t>Grantul va fi acordat pe baza relevanței și a eficienței din punctul de vedere al costurilor pentru atingerea obiectivelor și a rezultatelor preconizate ale proiectelor din acest domeniu de politică enumerate în apendice.</w:t>
            </w:r>
          </w:p>
        </w:tc>
      </w:tr>
    </w:tbl>
    <w:p w:rsidR="00A053E6" w:rsidRPr="00E30790" w:rsidRDefault="00A053E6" w:rsidP="00A053E6">
      <w:r w:rsidRPr="00E30790">
        <w:t>Punere în aplicare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DE CĂTRE DG TAXUD</w:t>
            </w:r>
          </w:p>
        </w:tc>
      </w:tr>
    </w:tbl>
    <w:p w:rsidR="00A053E6" w:rsidRPr="00E30790" w:rsidRDefault="00A053E6" w:rsidP="00A053E6">
      <w:pPr>
        <w:keepNext/>
      </w:pPr>
      <w:r w:rsidRPr="00E30790">
        <w:t>Calendar indicativ și cuantum indicativ al grantului acordat fără organizarea unei cereri de propuneri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5"/>
        <w:gridCol w:w="3095"/>
      </w:tblGrid>
      <w:tr w:rsidR="00A053E6" w:rsidRPr="00E30790" w:rsidTr="008C09CC">
        <w:trPr>
          <w:trHeight w:val="132"/>
        </w:trPr>
        <w:tc>
          <w:tcPr>
            <w:tcW w:w="3095" w:type="dxa"/>
            <w:shd w:val="clear" w:color="auto" w:fill="auto"/>
          </w:tcPr>
          <w:p w:rsidR="00A053E6" w:rsidRPr="00E30790" w:rsidRDefault="00A053E6" w:rsidP="008C09CC">
            <w:pPr>
              <w:jc w:val="center"/>
              <w:rPr>
                <w:b/>
              </w:rPr>
            </w:pPr>
            <w:r w:rsidRPr="00B35A73">
              <w:rPr>
                <w:b/>
              </w:rPr>
              <w:t>Referință</w:t>
            </w:r>
          </w:p>
        </w:tc>
        <w:tc>
          <w:tcPr>
            <w:tcW w:w="3095" w:type="dxa"/>
            <w:shd w:val="clear" w:color="auto" w:fill="auto"/>
          </w:tcPr>
          <w:p w:rsidR="00A053E6" w:rsidRPr="00E30790" w:rsidRDefault="00A053E6" w:rsidP="008C09CC">
            <w:pPr>
              <w:jc w:val="center"/>
              <w:rPr>
                <w:b/>
              </w:rPr>
            </w:pPr>
            <w:r w:rsidRPr="00B35A73">
              <w:rPr>
                <w:b/>
              </w:rPr>
              <w:t>Dată</w:t>
            </w:r>
          </w:p>
        </w:tc>
        <w:tc>
          <w:tcPr>
            <w:tcW w:w="3095" w:type="dxa"/>
            <w:shd w:val="clear" w:color="auto" w:fill="auto"/>
          </w:tcPr>
          <w:p w:rsidR="00A053E6" w:rsidRPr="00B35A73" w:rsidRDefault="00A053E6" w:rsidP="008C09CC">
            <w:pPr>
              <w:jc w:val="center"/>
              <w:rPr>
                <w:b/>
              </w:rPr>
            </w:pPr>
            <w:r w:rsidRPr="00B35A73">
              <w:rPr>
                <w:b/>
              </w:rPr>
              <w:t>Cuantum</w:t>
            </w:r>
          </w:p>
        </w:tc>
      </w:tr>
      <w:tr w:rsidR="00A053E6" w:rsidRPr="00E30790" w:rsidTr="008C09CC">
        <w:trPr>
          <w:trHeight w:val="166"/>
        </w:trPr>
        <w:tc>
          <w:tcPr>
            <w:tcW w:w="3095" w:type="dxa"/>
            <w:shd w:val="clear" w:color="auto" w:fill="auto"/>
          </w:tcPr>
          <w:p w:rsidR="00A053E6" w:rsidRPr="00E30790" w:rsidRDefault="00A053E6" w:rsidP="008C09CC">
            <w:r w:rsidRPr="00E30790">
              <w:t>Grant pentru acțiuni comune Fiscalis 2020</w:t>
            </w:r>
          </w:p>
        </w:tc>
        <w:tc>
          <w:tcPr>
            <w:tcW w:w="3095" w:type="dxa"/>
            <w:shd w:val="clear" w:color="auto" w:fill="auto"/>
          </w:tcPr>
          <w:p w:rsidR="00A053E6" w:rsidRPr="00E30790" w:rsidRDefault="00A053E6" w:rsidP="008C09CC">
            <w:r w:rsidRPr="00E30790">
              <w:t>T1 din 2019</w:t>
            </w:r>
          </w:p>
        </w:tc>
        <w:tc>
          <w:tcPr>
            <w:tcW w:w="3095" w:type="dxa"/>
            <w:shd w:val="clear" w:color="auto" w:fill="auto"/>
          </w:tcPr>
          <w:p w:rsidR="00A053E6" w:rsidRPr="00E30790" w:rsidRDefault="00A053E6" w:rsidP="008C09CC">
            <w:r w:rsidRPr="00E30790">
              <w:t>6 196 000 EUR</w:t>
            </w:r>
          </w:p>
        </w:tc>
      </w:tr>
    </w:tbl>
    <w:p w:rsidR="00A053E6" w:rsidRPr="00E30790" w:rsidRDefault="00A053E6" w:rsidP="00A053E6">
      <w:pPr>
        <w:keepNext/>
        <w:keepLines/>
      </w:pPr>
      <w:r w:rsidRPr="00E30790">
        <w:t xml:space="preserve">Rata maximă posibilă de cofinanțare a costurilor eligibile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B35A73" w:rsidRDefault="00A053E6" w:rsidP="008C09CC">
            <w:pPr>
              <w:keepNext/>
              <w:keepLines/>
              <w:rPr>
                <w:b/>
              </w:rPr>
            </w:pPr>
            <w:r w:rsidRPr="00B35A73">
              <w:rPr>
                <w:b/>
              </w:rPr>
              <w:t>Grantul se va prezenta sub forma unei combinații a următoarelor elemente:</w:t>
            </w:r>
          </w:p>
          <w:p w:rsidR="00A053E6" w:rsidRPr="00E30790" w:rsidRDefault="00A053E6" w:rsidP="008C09CC">
            <w:pPr>
              <w:pStyle w:val="Tiret0"/>
            </w:pPr>
            <w:r w:rsidRPr="00E30790">
              <w:t>Rambursarea costurilor eligibile suportate efectiv de către beneficiari pentru următoarele elemente:</w:t>
            </w:r>
          </w:p>
          <w:p w:rsidR="00A053E6" w:rsidRPr="00E30790" w:rsidRDefault="00A053E6" w:rsidP="008C09CC">
            <w:pPr>
              <w:pStyle w:val="Point1letter"/>
            </w:pPr>
            <w:r w:rsidRPr="00E30790">
              <w:t>costurile de deplasare pentru delegații acestora, până la 100 %;</w:t>
            </w:r>
          </w:p>
          <w:p w:rsidR="00A053E6" w:rsidRPr="00E30790" w:rsidRDefault="00A053E6" w:rsidP="008C09CC">
            <w:pPr>
              <w:pStyle w:val="Point1letter"/>
            </w:pPr>
            <w:r w:rsidRPr="00E30790">
              <w:t xml:space="preserve">costurile legate de organizarea de evenimente în cadrul unei anumite acțiuni comune, până la 100 %; </w:t>
            </w:r>
          </w:p>
          <w:p w:rsidR="00A053E6" w:rsidRPr="00E30790" w:rsidRDefault="00A053E6" w:rsidP="008C09CC">
            <w:pPr>
              <w:pStyle w:val="Point1letter"/>
            </w:pPr>
            <w:r w:rsidRPr="00E30790">
              <w:t>costurile directe cu personalul, până la 50 %, pentru funcționarii care participă în calitate de experți la acțiuni eligibile în temeiul articolului 7 litera (a) punctul (vi), „consolidarea capacității administrației publice și acțiuni de sprijin” din Regulamentul (UE) nr. 1286/2013.</w:t>
            </w:r>
          </w:p>
          <w:p w:rsidR="00A053E6" w:rsidRPr="00E30790" w:rsidRDefault="00A053E6" w:rsidP="008C09CC">
            <w:pPr>
              <w:pStyle w:val="Tiret0"/>
            </w:pPr>
            <w:r w:rsidRPr="00E30790">
              <w:t>Rambursarea diurnelor și a cheltuielilor de cazare pentru delegații naționali, pe baza costurilor unitare. Cuantumurile care urmează a fi utilizate sunt cele enumerate în Decizia Comisiei referitoare la dispozițiile generale de aplicare pentru adoptarea ghidului pentru misiuni ale funcționarilor și ale altor agenți ai Comisiei Europene în vigoare în momentul semnării acordului de grant. Lista costurilor unitare se anexează la acordul de grant.</w:t>
            </w:r>
          </w:p>
        </w:tc>
      </w:tr>
    </w:tbl>
    <w:p w:rsidR="00A053E6" w:rsidRPr="00B35A73" w:rsidRDefault="00A053E6" w:rsidP="00A053E6">
      <w:pPr>
        <w:pStyle w:val="Heading3"/>
        <w:numPr>
          <w:ilvl w:val="2"/>
          <w:numId w:val="38"/>
        </w:numPr>
      </w:pPr>
      <w:r w:rsidRPr="00B35A73">
        <w:t>Grant destinat echipei de experți pentru o colaborare în ceea ce privește tehnologia informației organizată în domeniul fiscal IV (MANITC IV)</w:t>
      </w:r>
    </w:p>
    <w:p w:rsidR="00A053E6" w:rsidRPr="00E30790" w:rsidRDefault="00A053E6" w:rsidP="00A053E6">
      <w:r w:rsidRPr="00E30790">
        <w:t>TEMEIUL JURIDIC</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Articolul 5 alineatul (2) și articolul 7 alineatul (1) litera (a) punctul (v) din Regulamentul (UE) nr. 1286/2013</w:t>
            </w:r>
          </w:p>
          <w:p w:rsidR="00A053E6" w:rsidRPr="00E30790" w:rsidRDefault="00A053E6" w:rsidP="008C09CC">
            <w:r w:rsidRPr="00B35A73">
              <w:rPr>
                <w:b/>
              </w:rPr>
              <w:t>Obiectiv specific</w:t>
            </w:r>
            <w:r w:rsidRPr="00E30790">
              <w:t>: Sprijinirea luptei împotriva fraudei fiscale, a evaziunii fiscale și a planificării fiscale agresive și punerea în aplicare a dreptului Uniunii în domeniul fiscal prin asigurarea schimbului de informații, prin sprijinirea cooperării administrative și, atunci când este necesar și oportun, prin consolidarea capacității administrative a țărilor participante, cu scopul de a contribui la reducerea sarcinii administrative a autorităților fiscale și a costurilor de conformare pentru contribuabili.</w:t>
            </w:r>
          </w:p>
        </w:tc>
      </w:tr>
    </w:tbl>
    <w:p w:rsidR="00A053E6" w:rsidRPr="00E30790" w:rsidRDefault="00A053E6" w:rsidP="00A053E6">
      <w:r w:rsidRPr="00E30790">
        <w:t>LINIA BUGETARĂ</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14 03 01</w:t>
            </w:r>
          </w:p>
        </w:tc>
      </w:tr>
    </w:tbl>
    <w:p w:rsidR="00A053E6" w:rsidRPr="00E30790" w:rsidRDefault="00A053E6" w:rsidP="00A053E6">
      <w:r w:rsidRPr="00E30790">
        <w:t xml:space="preserve">Prioritățile anului, obiectivele urmărite și rezultatele preconizate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982"/>
        </w:trPr>
        <w:tc>
          <w:tcPr>
            <w:tcW w:w="9286" w:type="dxa"/>
          </w:tcPr>
          <w:p w:rsidR="00A053E6" w:rsidRPr="00E30790" w:rsidRDefault="00A053E6" w:rsidP="008C09CC">
            <w:r w:rsidRPr="00E30790">
              <w:t>În ultimii ani, s-au dezvoltat între statele membre ale Uniunii Europene modalități internaționale de coordonare și cooperare. Cu toate acestea, chiar dacă administrațiile fiscale convin asupra necesității schimburilor de date, majoritatea administrațiilor fiscale își construiesc în continuare sistemele informatice în mod unilateral, „compartimentat”, cu un grad foarte scăzut de coordonare cu alte state membre sau chiar fără vreo coordonare cu acestea, ceea ce limitează în ultimă instanță eficacitatea acestor schimburi.</w:t>
            </w:r>
          </w:p>
          <w:p w:rsidR="00A053E6" w:rsidRPr="00E30790" w:rsidRDefault="00A053E6" w:rsidP="008C09CC">
            <w:pPr>
              <w:spacing w:after="0"/>
            </w:pPr>
            <w:r w:rsidRPr="00E30790">
              <w:t>Ținând seama, de asemenea, de constrângerile bugetare cu care se confruntă administrațiile publice, s-a ajuns la un consens asupra faptului că modalitatea tradițională de dezvoltare a unor funcționalități similare de 28 de ori reprezintă o risipă de fonduri publice. De asemenea, o astfel de abordare nu permite dezvoltarea eficientă a multiplicării sistemelor informatice din domeniul fiscal necesare care să sprijine nevoile economice atât la nivel internațional, cât și la nivel național.</w:t>
            </w:r>
          </w:p>
          <w:p w:rsidR="00A053E6" w:rsidRPr="00E30790" w:rsidRDefault="00A053E6" w:rsidP="008C09CC">
            <w:r w:rsidRPr="00E30790">
              <w:t>Printre principalele obiective specifice ale echipei de experți se numără:</w:t>
            </w:r>
          </w:p>
          <w:p w:rsidR="00A053E6" w:rsidRPr="00E30790" w:rsidRDefault="00A053E6" w:rsidP="008C09CC">
            <w:pPr>
              <w:pStyle w:val="Tiret0"/>
            </w:pPr>
            <w:r w:rsidRPr="00E30790">
              <w:t>creșterea numărului de inițiative și proiecte noi de colaborare în domeniul tehnologiei informației între statele membre;</w:t>
            </w:r>
          </w:p>
          <w:p w:rsidR="00A053E6" w:rsidRPr="00E30790" w:rsidRDefault="00A053E6" w:rsidP="008C09CC">
            <w:pPr>
              <w:pStyle w:val="Tiret0"/>
            </w:pPr>
            <w:r w:rsidRPr="00E30790">
              <w:t>acordarea de sprijin statelor membre în legătură cu inițiativele și proiectele desfășurate în colaborare pentru implementarea sistemelor informatice în domeniul fiscal;</w:t>
            </w:r>
          </w:p>
          <w:p w:rsidR="00A053E6" w:rsidRPr="00E30790" w:rsidRDefault="00A053E6" w:rsidP="008C09CC">
            <w:pPr>
              <w:pStyle w:val="Tiret0"/>
            </w:pPr>
            <w:r w:rsidRPr="00E30790">
              <w:t>partajarea și reutilizarea rezultatelor proiectelor de colaborare în domeniul tehnologiei informației;</w:t>
            </w:r>
          </w:p>
          <w:p w:rsidR="00A053E6" w:rsidRPr="00E30790" w:rsidRDefault="00A053E6" w:rsidP="008C09CC">
            <w:pPr>
              <w:pStyle w:val="Tiret0"/>
            </w:pPr>
            <w:r w:rsidRPr="00E30790">
              <w:t>sprijinirea activităților de inițiere și dezvoltare a unor noi proiecte de colaborare în domeniul fiscal.</w:t>
            </w:r>
          </w:p>
          <w:p w:rsidR="00A053E6" w:rsidRPr="00E30790" w:rsidRDefault="00A053E6" w:rsidP="008C09CC">
            <w:r w:rsidRPr="00E30790">
              <w:t>Rezultatul preconizat al colaborării specifice în domeniul tehnologiei informației constă în creșterea numărului de activități comune în domeniul IT între statele membre, precum și a numărului de componente reutilizabile în cadrul diferitelor „compartimente” fiscale. Astfel se reduc costurile statelor membre pentru implementare, instalare și exploatare în domeniul tehnologiei informației, oferindu-se în același timp o flexibilitate mai mare și o calitate crescută a răspunsurilor la așteptările legate de politicile Uniunii Europene.</w:t>
            </w:r>
          </w:p>
          <w:p w:rsidR="00A053E6" w:rsidRPr="00E30790" w:rsidRDefault="00A053E6" w:rsidP="008C09CC">
            <w:r w:rsidRPr="00E30790">
              <w:t>Principalele rezultate preconizate sunt următoarele:</w:t>
            </w:r>
          </w:p>
          <w:p w:rsidR="00A053E6" w:rsidRPr="00E30790" w:rsidRDefault="00A053E6" w:rsidP="008C09CC">
            <w:pPr>
              <w:pStyle w:val="Tiret0"/>
            </w:pPr>
            <w:r w:rsidRPr="00E30790">
              <w:t>asistență în inițierea, dezvoltarea și executarea proiectelor, pentru a se reduce gradul de complexitate a implicării statelor membre în colaborarea în domeniul tehnologiei informației;</w:t>
            </w:r>
          </w:p>
          <w:p w:rsidR="00A053E6" w:rsidRPr="00E30790" w:rsidRDefault="00A053E6" w:rsidP="008C09CC">
            <w:pPr>
              <w:pStyle w:val="Tiret0"/>
            </w:pPr>
            <w:r w:rsidRPr="00E30790">
              <w:t>identificarea și evaluarea inițiativelor noi de colaborare în domeniul tehnologiei informației între statele membre;</w:t>
            </w:r>
          </w:p>
          <w:p w:rsidR="00A053E6" w:rsidRPr="00E30790" w:rsidRDefault="00A053E6" w:rsidP="008C09CC">
            <w:pPr>
              <w:pStyle w:val="Tiret0"/>
            </w:pPr>
            <w:r w:rsidRPr="00E30790">
              <w:t>stabilirea proceselor și a know-how-ului la nivelul statelor membre, în vederea colaborării durabile;</w:t>
            </w:r>
          </w:p>
          <w:p w:rsidR="00A053E6" w:rsidRPr="00E30790" w:rsidRDefault="00A053E6" w:rsidP="008C09CC">
            <w:pPr>
              <w:pStyle w:val="Tiret0"/>
            </w:pPr>
            <w:r w:rsidRPr="00E30790">
              <w:t>sprijinirea coordonării, a continuității și a coerenței activităților de colaborare în domeniul tehnologiei informației;</w:t>
            </w:r>
          </w:p>
          <w:p w:rsidR="00A053E6" w:rsidRPr="00E30790" w:rsidRDefault="00A053E6" w:rsidP="008C09CC">
            <w:pPr>
              <w:pStyle w:val="Tiret0"/>
            </w:pPr>
            <w:r w:rsidRPr="00E30790">
              <w:t>crearea sau actualizarea instrumentelor în sprijinul colaborării în domeniul tehnologiei informației;</w:t>
            </w:r>
          </w:p>
          <w:p w:rsidR="00A053E6" w:rsidRPr="00E30790" w:rsidRDefault="00A053E6" w:rsidP="008C09CC">
            <w:pPr>
              <w:pStyle w:val="Tiret0"/>
            </w:pPr>
            <w:r w:rsidRPr="00E30790">
              <w:t>Durata acțiunii este de 18 luni, pentru a se alinia cu finalul programului F2020.</w:t>
            </w:r>
          </w:p>
        </w:tc>
      </w:tr>
    </w:tbl>
    <w:p w:rsidR="00A053E6" w:rsidRPr="00E30790" w:rsidRDefault="00A053E6" w:rsidP="00A053E6">
      <w:pPr>
        <w:keepNext/>
        <w:keepLines/>
      </w:pPr>
      <w:r w:rsidRPr="00E30790">
        <w:t>Descrierea activităților care urmează să fie finanțate prin grantul acordat fără organizarea unei cereri de propuneri, în temeiul articolului 195 litera (f) din Regulamentul (UE, Euratom) 2018/1046</w:t>
      </w:r>
      <w:r w:rsidRPr="00E30790">
        <w:rPr>
          <w:rStyle w:val="FootnoteReference"/>
        </w:rPr>
        <w:footnoteReference w:id="22"/>
      </w:r>
      <w:r w:rsidRPr="00E307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699"/>
        </w:trPr>
        <w:tc>
          <w:tcPr>
            <w:tcW w:w="9286" w:type="dxa"/>
          </w:tcPr>
          <w:p w:rsidR="00A053E6" w:rsidRPr="00B35A73" w:rsidRDefault="00A053E6" w:rsidP="008C09CC">
            <w:pPr>
              <w:rPr>
                <w:rFonts w:eastAsia="Calibri"/>
                <w:b/>
              </w:rPr>
            </w:pPr>
            <w:r w:rsidRPr="00B35A73">
              <w:rPr>
                <w:b/>
              </w:rPr>
              <w:t xml:space="preserve">Acest grant va finanța activități legate de: </w:t>
            </w:r>
          </w:p>
          <w:p w:rsidR="00A053E6" w:rsidRPr="00E30790" w:rsidRDefault="00A053E6" w:rsidP="008C09CC">
            <w:pPr>
              <w:pStyle w:val="Tiret0"/>
              <w:rPr>
                <w:rFonts w:eastAsia="Calibri"/>
              </w:rPr>
            </w:pPr>
            <w:r w:rsidRPr="00E30790">
              <w:t>furnizarea de guvernanță și sprijin strategic pentru îmbunătățirea cadrului de colaborare în domeniul tehnologiei informației;</w:t>
            </w:r>
          </w:p>
          <w:p w:rsidR="00A053E6" w:rsidRPr="00E30790" w:rsidRDefault="00A053E6" w:rsidP="008C09CC">
            <w:pPr>
              <w:pStyle w:val="Tiret0"/>
              <w:rPr>
                <w:rFonts w:eastAsia="Calibri"/>
              </w:rPr>
            </w:pPr>
            <w:r w:rsidRPr="00E30790">
              <w:t>sprijinirea statelor membre în etapa premergătoare inițierii, și anume, sprijin în identificarea și lansarea unor noi inițiative și proiecte de colaborare în domeniul tehnologiei informației între statele membre interesate;</w:t>
            </w:r>
          </w:p>
          <w:p w:rsidR="00A053E6" w:rsidRPr="00E30790" w:rsidRDefault="00A053E6" w:rsidP="008C09CC">
            <w:pPr>
              <w:pStyle w:val="Tiret0"/>
              <w:rPr>
                <w:rFonts w:eastAsia="Calibri"/>
              </w:rPr>
            </w:pPr>
            <w:r w:rsidRPr="00E30790">
              <w:t>sprijinirea statelor membre în implementarea inițiativelor și a proiectelor de colaborare în domeniul tehnologiei informației prin recomandarea și îmbunătățirea instrumentelor informatice necesare și a bunelor practici în acest domeniu;</w:t>
            </w:r>
          </w:p>
          <w:p w:rsidR="00A053E6" w:rsidRPr="00E30790" w:rsidRDefault="00A053E6" w:rsidP="008C09CC">
            <w:pPr>
              <w:pStyle w:val="Tiret0"/>
              <w:rPr>
                <w:rFonts w:eastAsia="Calibri"/>
              </w:rPr>
            </w:pPr>
            <w:r w:rsidRPr="00E30790">
              <w:t>sprijinirea comunicării și a promovării inițiativelor de colaborare în domeniul tehnologiei informației în rândul părților interesate;</w:t>
            </w:r>
            <w:r w:rsidR="00B35A73">
              <w:t xml:space="preserve"> </w:t>
            </w:r>
          </w:p>
          <w:p w:rsidR="00A053E6" w:rsidRPr="00E30790" w:rsidRDefault="00A053E6" w:rsidP="008C09CC">
            <w:pPr>
              <w:pStyle w:val="Tiret0"/>
            </w:pPr>
            <w:r w:rsidRPr="00E30790">
              <w:t xml:space="preserve">pregătirea inițierii și elaborării proiectelor de colaborare în domeniul tehnologiei informației. </w:t>
            </w:r>
          </w:p>
        </w:tc>
      </w:tr>
    </w:tbl>
    <w:p w:rsidR="00A053E6" w:rsidRPr="00E30790" w:rsidRDefault="00A053E6" w:rsidP="00A053E6">
      <w:pPr>
        <w:keepNext/>
        <w:keepLines/>
      </w:pPr>
      <w:r w:rsidRPr="00E30790">
        <w:t>Criterii esențiale de eligibilitate, selecție și acordare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1338"/>
        </w:trPr>
        <w:tc>
          <w:tcPr>
            <w:tcW w:w="9286" w:type="dxa"/>
          </w:tcPr>
          <w:p w:rsidR="00A053E6" w:rsidRPr="00B35A73" w:rsidRDefault="00A053E6" w:rsidP="008C09CC">
            <w:pPr>
              <w:rPr>
                <w:rFonts w:eastAsia="Calibri"/>
                <w:b/>
              </w:rPr>
            </w:pPr>
            <w:bookmarkStart w:id="3" w:name="_Toc431823807"/>
            <w:r w:rsidRPr="00B35A73">
              <w:rPr>
                <w:b/>
              </w:rPr>
              <w:t>Grantul se acordă pe baza următoarelor criterii:</w:t>
            </w:r>
            <w:bookmarkEnd w:id="3"/>
          </w:p>
          <w:p w:rsidR="00A053E6" w:rsidRPr="00B35A73" w:rsidRDefault="00A053E6" w:rsidP="008C09CC">
            <w:pPr>
              <w:rPr>
                <w:b/>
                <w:i/>
              </w:rPr>
            </w:pPr>
            <w:r w:rsidRPr="00B35A73">
              <w:rPr>
                <w:b/>
                <w:i/>
              </w:rPr>
              <w:t>Criterii de eligibilitate</w:t>
            </w:r>
          </w:p>
          <w:p w:rsidR="00A053E6" w:rsidRPr="00E30790" w:rsidRDefault="00A053E6" w:rsidP="008C09CC">
            <w:r w:rsidRPr="00E30790">
              <w:t>Beneficiarii grantului vor fi statele membre și alte țări eligibile care îndeplinesc condițiile de participare menționate la articolul 3 din Regulamentul (UE) nr. 1286/2013, pe baza unui acord de grant cu beneficiari multipli. Activitățile propuse corespund acțiunilor eligibile enumerate la articolul 7 alineatul (1) litera (a) punctul (v) din Regulamentul (UE) nr. 1286/2013.</w:t>
            </w:r>
          </w:p>
          <w:p w:rsidR="00A053E6" w:rsidRPr="00B35A73" w:rsidRDefault="00A053E6" w:rsidP="008C09CC">
            <w:pPr>
              <w:rPr>
                <w:b/>
                <w:i/>
              </w:rPr>
            </w:pPr>
            <w:r w:rsidRPr="00B35A73">
              <w:rPr>
                <w:b/>
                <w:i/>
              </w:rPr>
              <w:t>Criterii de selecție</w:t>
            </w:r>
          </w:p>
          <w:p w:rsidR="00A053E6" w:rsidRPr="00E30790" w:rsidRDefault="00A053E6" w:rsidP="008C09CC">
            <w:r w:rsidRPr="00E30790">
              <w:t>În conformitate cu articolul 198 alineatul (5) litera (c) din Regulamentul (UE, Euratom) 2018/1046, capacitățile financiare și operaționale ale beneficiarilor nu vor fi verificate, întrucât beneficiarii sunt organisme publice.</w:t>
            </w:r>
          </w:p>
          <w:p w:rsidR="00A053E6" w:rsidRPr="00B35A73" w:rsidRDefault="00A053E6" w:rsidP="008C09CC">
            <w:pPr>
              <w:rPr>
                <w:rFonts w:eastAsia="Calibri"/>
                <w:b/>
                <w:i/>
              </w:rPr>
            </w:pPr>
            <w:r w:rsidRPr="00B35A73">
              <w:rPr>
                <w:b/>
                <w:i/>
              </w:rPr>
              <w:t>Criterii de acordare</w:t>
            </w:r>
          </w:p>
          <w:p w:rsidR="00A053E6" w:rsidRPr="00E30790" w:rsidRDefault="00A053E6" w:rsidP="008C09CC">
            <w:r w:rsidRPr="00E30790">
              <w:t>Grantul va fi acordat pe baza relevanței sale, a conformității și a valorii adăugate europene, a calităților sale metodologice și organizatorice, a gestionării sale și a resurselor dedicate, a rezultatelor preconizate și a ofertei celei mai avantajoase din punct de vedere economic.</w:t>
            </w:r>
          </w:p>
        </w:tc>
      </w:tr>
    </w:tbl>
    <w:p w:rsidR="00A053E6" w:rsidRPr="00E30790" w:rsidRDefault="00A053E6" w:rsidP="00A053E6">
      <w:pPr>
        <w:keepNext/>
        <w:keepLines/>
      </w:pPr>
      <w:r w:rsidRPr="00E30790">
        <w:t>Punere în aplicare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DE CĂTRE DG TAXUD</w:t>
            </w:r>
          </w:p>
        </w:tc>
      </w:tr>
    </w:tbl>
    <w:p w:rsidR="00A053E6" w:rsidRPr="00E30790" w:rsidRDefault="00A053E6" w:rsidP="00A053E6">
      <w:r w:rsidRPr="00E30790">
        <w:t>Calendar indicativ și cuantum indicativ al grantului acordat fără organizarea unei cereri de propuneri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082"/>
        <w:gridCol w:w="3102"/>
      </w:tblGrid>
      <w:tr w:rsidR="00A053E6" w:rsidRPr="00E30790" w:rsidTr="008C09CC">
        <w:tc>
          <w:tcPr>
            <w:tcW w:w="3186" w:type="dxa"/>
            <w:shd w:val="clear" w:color="auto" w:fill="auto"/>
          </w:tcPr>
          <w:p w:rsidR="00A053E6" w:rsidRPr="00E30790" w:rsidRDefault="00A053E6" w:rsidP="008C09CC">
            <w:pPr>
              <w:jc w:val="center"/>
              <w:rPr>
                <w:b/>
              </w:rPr>
            </w:pPr>
            <w:r w:rsidRPr="00B35A73">
              <w:rPr>
                <w:b/>
              </w:rPr>
              <w:t>Referință</w:t>
            </w:r>
          </w:p>
        </w:tc>
        <w:tc>
          <w:tcPr>
            <w:tcW w:w="3186" w:type="dxa"/>
            <w:shd w:val="clear" w:color="auto" w:fill="auto"/>
          </w:tcPr>
          <w:p w:rsidR="00A053E6" w:rsidRPr="00E30790" w:rsidRDefault="00A053E6" w:rsidP="008C09CC">
            <w:pPr>
              <w:jc w:val="center"/>
              <w:rPr>
                <w:b/>
              </w:rPr>
            </w:pPr>
            <w:r w:rsidRPr="00B35A73">
              <w:rPr>
                <w:b/>
              </w:rPr>
              <w:t>Dată</w:t>
            </w:r>
          </w:p>
        </w:tc>
        <w:tc>
          <w:tcPr>
            <w:tcW w:w="3186" w:type="dxa"/>
            <w:shd w:val="clear" w:color="auto" w:fill="auto"/>
          </w:tcPr>
          <w:p w:rsidR="00A053E6" w:rsidRPr="00B35A73" w:rsidRDefault="00A053E6" w:rsidP="008C09CC">
            <w:pPr>
              <w:jc w:val="center"/>
              <w:rPr>
                <w:b/>
              </w:rPr>
            </w:pPr>
            <w:r w:rsidRPr="00B35A73">
              <w:rPr>
                <w:b/>
              </w:rPr>
              <w:t>Cuantum</w:t>
            </w:r>
          </w:p>
        </w:tc>
      </w:tr>
      <w:tr w:rsidR="00A053E6" w:rsidRPr="00E30790" w:rsidTr="008C09CC">
        <w:tc>
          <w:tcPr>
            <w:tcW w:w="3186" w:type="dxa"/>
            <w:shd w:val="clear" w:color="auto" w:fill="auto"/>
          </w:tcPr>
          <w:p w:rsidR="00A053E6" w:rsidRPr="00E30790" w:rsidRDefault="00A053E6" w:rsidP="008C09CC">
            <w:r w:rsidRPr="00E30790">
              <w:t>Echipe de experți pentru o colaborare în ceea ce privește tehnologia informației organizată în domeniul fiscal IV (MANITC IV)</w:t>
            </w:r>
          </w:p>
        </w:tc>
        <w:tc>
          <w:tcPr>
            <w:tcW w:w="3186" w:type="dxa"/>
            <w:shd w:val="clear" w:color="auto" w:fill="auto"/>
          </w:tcPr>
          <w:p w:rsidR="00A053E6" w:rsidRPr="00E30790" w:rsidRDefault="00A053E6" w:rsidP="008C09CC">
            <w:r w:rsidRPr="00E30790">
              <w:t>T4 din 2019</w:t>
            </w:r>
          </w:p>
        </w:tc>
        <w:tc>
          <w:tcPr>
            <w:tcW w:w="3186" w:type="dxa"/>
            <w:shd w:val="clear" w:color="auto" w:fill="auto"/>
          </w:tcPr>
          <w:p w:rsidR="00A053E6" w:rsidRPr="00E30790" w:rsidRDefault="00A053E6" w:rsidP="008C09CC">
            <w:r w:rsidRPr="00E30790">
              <w:t>270 000 EUR</w:t>
            </w:r>
          </w:p>
        </w:tc>
      </w:tr>
    </w:tbl>
    <w:p w:rsidR="00A053E6" w:rsidRPr="00E30790" w:rsidRDefault="00A053E6" w:rsidP="00A053E6">
      <w:r w:rsidRPr="00E30790">
        <w:t xml:space="preserve">Rata maximă posibilă de cofinanțare a costurilor eligibile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B35A73" w:rsidRDefault="00A053E6" w:rsidP="008C09CC">
            <w:pPr>
              <w:rPr>
                <w:b/>
              </w:rPr>
            </w:pPr>
            <w:r w:rsidRPr="00B35A73">
              <w:rPr>
                <w:b/>
              </w:rPr>
              <w:t>Descrierea grantului</w:t>
            </w:r>
          </w:p>
          <w:p w:rsidR="00A053E6" w:rsidRPr="00E30790" w:rsidRDefault="00A053E6" w:rsidP="008C09CC">
            <w:r w:rsidRPr="00E30790">
              <w:t>Grantul se va prezenta sub forma unei combinații a următoarelor elemente:</w:t>
            </w:r>
          </w:p>
          <w:p w:rsidR="00A053E6" w:rsidRPr="00E30790" w:rsidRDefault="00A053E6" w:rsidP="008C09CC">
            <w:pPr>
              <w:pStyle w:val="Tiret0"/>
            </w:pPr>
            <w:r w:rsidRPr="00E30790">
              <w:t>Rambursarea următoarelor costuri eligibile suportate efectiv de către beneficiari pentru următoarele elemente:</w:t>
            </w:r>
          </w:p>
          <w:p w:rsidR="00A053E6" w:rsidRPr="00E30790" w:rsidRDefault="00A053E6" w:rsidP="008C09CC">
            <w:pPr>
              <w:pStyle w:val="Point1letter"/>
              <w:numPr>
                <w:ilvl w:val="3"/>
                <w:numId w:val="26"/>
              </w:numPr>
            </w:pPr>
            <w:r w:rsidRPr="00E30790">
              <w:t>costuri de deplasare, până la 100 %;</w:t>
            </w:r>
          </w:p>
          <w:p w:rsidR="00A053E6" w:rsidRPr="00E30790" w:rsidRDefault="00A053E6" w:rsidP="008C09CC">
            <w:pPr>
              <w:pStyle w:val="Point1letter"/>
            </w:pPr>
            <w:r w:rsidRPr="00E30790">
              <w:t>costuri de cazare pentru funcționari, până la 100 %;</w:t>
            </w:r>
          </w:p>
          <w:p w:rsidR="00A053E6" w:rsidRPr="00E30790" w:rsidRDefault="00A053E6" w:rsidP="008C09CC">
            <w:pPr>
              <w:pStyle w:val="Point1letter"/>
            </w:pPr>
            <w:r w:rsidRPr="00E30790">
              <w:t>costuri directe cu personalul, până la 50 %;</w:t>
            </w:r>
          </w:p>
          <w:p w:rsidR="00A053E6" w:rsidRPr="00E30790" w:rsidRDefault="00A053E6" w:rsidP="008C09CC">
            <w:pPr>
              <w:pStyle w:val="Point1letter"/>
            </w:pPr>
            <w:r w:rsidRPr="00E30790">
              <w:t>costuri de amortizare a echipamentelor necesare pentru proiect (numai costurile de amortizare proporționale cu durata de existență a echipei de experți), până la 75 %;</w:t>
            </w:r>
          </w:p>
          <w:p w:rsidR="00A053E6" w:rsidRPr="00E30790" w:rsidRDefault="00A053E6" w:rsidP="008C09CC">
            <w:pPr>
              <w:pStyle w:val="Point1letter"/>
            </w:pPr>
            <w:r w:rsidRPr="00E30790">
              <w:t>costuri pentru subcontractare (servicii externe pentru angajarea de experți speciali, limitate ca volum și la elementele neesențiale ale proiectului), până la 75 %;</w:t>
            </w:r>
          </w:p>
          <w:p w:rsidR="00A053E6" w:rsidRPr="00E30790" w:rsidRDefault="00A053E6" w:rsidP="008C09CC">
            <w:pPr>
              <w:pStyle w:val="Point1letter"/>
            </w:pPr>
            <w:r w:rsidRPr="00E30790">
              <w:t>alte costuri directe (de exemplu, costurile legate de organizarea de evenimente, tipărirea materialelor promoționale, achiziționarea de consumabile și materiale necesare pentru proiect), până la 100 %.</w:t>
            </w:r>
          </w:p>
          <w:p w:rsidR="00A053E6" w:rsidRPr="00E30790" w:rsidRDefault="00A053E6" w:rsidP="008C09CC">
            <w:pPr>
              <w:pStyle w:val="Tiret0"/>
            </w:pPr>
            <w:r w:rsidRPr="00E30790">
              <w:t>Rambursarea diurnelor și a cheltuielilor de cazare pentru delegații naționali, pe baza costurilor unitare. Cuantumurile care urmează a fi utilizate sunt cele enumerate în Decizia Comisiei referitoare la dispozițiile generale de aplicare pentru adoptarea ghidului pentru misiuni ale funcționarilor și ale altor agenți ai Comisiei Europene în vigoare în momentul semnării acordului de grant. Lista costurilor unitare se anexează la acordul de grant.</w:t>
            </w:r>
          </w:p>
          <w:p w:rsidR="00A053E6" w:rsidRPr="00E30790" w:rsidRDefault="00A053E6" w:rsidP="008C09CC">
            <w:pPr>
              <w:pStyle w:val="Tiret0"/>
            </w:pPr>
            <w:r w:rsidRPr="00E30790">
              <w:t>Rambursarea costurilor indirecte (cheltuieli generale) pe baza unei rate forfetare, corespunzătoare unui procent de 7 % din totalul costurilor directe eligibile.</w:t>
            </w:r>
          </w:p>
        </w:tc>
      </w:tr>
    </w:tbl>
    <w:p w:rsidR="00A053E6" w:rsidRPr="00B35A73" w:rsidRDefault="00A053E6" w:rsidP="00A053E6">
      <w:pPr>
        <w:pStyle w:val="Heading2"/>
        <w:numPr>
          <w:ilvl w:val="1"/>
          <w:numId w:val="38"/>
        </w:numPr>
      </w:pPr>
      <w:r w:rsidRPr="00B35A73">
        <w:t>Achiziție</w:t>
      </w:r>
    </w:p>
    <w:p w:rsidR="00A053E6" w:rsidRPr="00E30790" w:rsidRDefault="00A053E6" w:rsidP="00A053E6">
      <w:pPr>
        <w:keepNext/>
        <w:keepLines/>
      </w:pPr>
      <w:r w:rsidRPr="00E30790">
        <w:t>Alocarea bugetară globală rezervată pentru contractele de achiziții publice în anul 2019 se ridică la</w:t>
      </w:r>
      <w:r w:rsidRPr="00E30790">
        <w:br/>
        <w:t>26 034 000 EUR. În acest scop, se estimează semnarea a aproximativ 45 de contracte specifice, în temeiul contractelor-cadru multianuale existente sau noi.</w:t>
      </w:r>
    </w:p>
    <w:p w:rsidR="00A053E6" w:rsidRPr="00B35A73" w:rsidRDefault="00A053E6" w:rsidP="00A053E6">
      <w:pPr>
        <w:pStyle w:val="Heading3"/>
        <w:numPr>
          <w:ilvl w:val="2"/>
          <w:numId w:val="38"/>
        </w:numPr>
      </w:pPr>
      <w:r w:rsidRPr="00B35A73">
        <w:t>Achiziții publice pentru acțiuni de consolidare a capacităților informatice</w:t>
      </w:r>
    </w:p>
    <w:p w:rsidR="00A053E6" w:rsidRPr="00E30790" w:rsidRDefault="00A053E6" w:rsidP="00A053E6">
      <w:r w:rsidRPr="00E30790">
        <w:t>TEMEIUL JURIDIC</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Articolul 5 alineatul (2) și articolul 7 alineatul (1) litera (b) din Regulamentul (UE) nr. 1286/2013</w:t>
            </w:r>
          </w:p>
          <w:p w:rsidR="00A053E6" w:rsidRPr="00E30790" w:rsidRDefault="00A053E6" w:rsidP="008C09CC">
            <w:r w:rsidRPr="00B35A73">
              <w:rPr>
                <w:b/>
              </w:rPr>
              <w:t xml:space="preserve">Obiectiv specific: </w:t>
            </w:r>
            <w:r w:rsidRPr="00E30790">
              <w:t>Sprijinirea luptei împotriva fraudei fiscale, a evaziunii fiscale și a planificării fiscale agresive și punerea în aplicare a dreptului Uniunii în domeniul fiscal prin asigurarea schimbului de informații, prin sprijinirea cooperării administrative și, atunci când este necesar și oportun, prin consolidarea capacității administrative a țărilor participante, cu scopul de a contribui la reducerea sarcinii administrative a autorităților fiscale și a costurilor de conformare pentru contribuabili.</w:t>
            </w:r>
          </w:p>
        </w:tc>
      </w:tr>
    </w:tbl>
    <w:p w:rsidR="00A053E6" w:rsidRPr="00E30790" w:rsidRDefault="00A053E6" w:rsidP="00A053E6">
      <w:r w:rsidRPr="00E30790">
        <w:t>LINIA BUGETARĂ</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14 03 01</w:t>
            </w:r>
          </w:p>
        </w:tc>
      </w:tr>
    </w:tbl>
    <w:p w:rsidR="00A053E6" w:rsidRPr="00B35A73" w:rsidRDefault="00A053E6" w:rsidP="00A053E6">
      <w:pPr>
        <w:rPr>
          <w:i/>
        </w:rPr>
      </w:pPr>
      <w:r w:rsidRPr="00E30790">
        <w:t>Obiectul contractelor preconizate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557"/>
        </w:trPr>
        <w:tc>
          <w:tcPr>
            <w:tcW w:w="9286" w:type="dxa"/>
          </w:tcPr>
          <w:p w:rsidR="00A053E6" w:rsidRPr="00E30790" w:rsidRDefault="00A053E6" w:rsidP="008C09CC">
            <w:pPr>
              <w:rPr>
                <w:rFonts w:eastAsia="Calibri"/>
              </w:rPr>
            </w:pPr>
            <w:r w:rsidRPr="00E30790">
              <w:t xml:space="preserve">În 2019, Comisia intenționează să întreprindă activități de consolidare a capacităților informatice, prin contracte care decurg din proceduri de achiziții publice. Aceasta vizează îndeosebi dezvoltarea, întreținerea, funcționarea și controlul calității componentelor Uniunii aferente sistemelor europene de informații existente și noi, pentru a asigura interconectarea autorităților fiscale. </w:t>
            </w:r>
          </w:p>
          <w:p w:rsidR="00A053E6" w:rsidRPr="00E30790" w:rsidRDefault="00A053E6" w:rsidP="008C09CC">
            <w:pPr>
              <w:rPr>
                <w:rFonts w:eastAsia="Calibri"/>
              </w:rPr>
            </w:pPr>
            <w:r w:rsidRPr="00E30790">
              <w:t>Cuantumul total indicativ al achizițiilor publice este de 22 860 000 EUR</w:t>
            </w:r>
            <w:r w:rsidRPr="00E30790">
              <w:rPr>
                <w:rStyle w:val="FootnoteReference"/>
              </w:rPr>
              <w:footnoteReference w:id="23"/>
            </w:r>
            <w:r w:rsidRPr="00E30790">
              <w:t xml:space="preserve"> și va fi împărțit după cum urmează:</w:t>
            </w:r>
          </w:p>
          <w:p w:rsidR="00A053E6" w:rsidRPr="00E30790" w:rsidRDefault="00A053E6" w:rsidP="008C09CC">
            <w:pPr>
              <w:pStyle w:val="Tiret0"/>
              <w:rPr>
                <w:rFonts w:eastAsia="Calibri"/>
              </w:rPr>
            </w:pPr>
            <w:r w:rsidRPr="00E30790">
              <w:t>Rețeaua (CCN/CSI inclusiv dezvoltarea CCN2): 4 000 000 EUR;</w:t>
            </w:r>
          </w:p>
          <w:p w:rsidR="00A053E6" w:rsidRPr="00E30790" w:rsidRDefault="00A053E6" w:rsidP="008C09CC">
            <w:pPr>
              <w:pStyle w:val="Tiret0"/>
              <w:rPr>
                <w:rFonts w:eastAsia="Calibri"/>
              </w:rPr>
            </w:pPr>
            <w:r w:rsidRPr="00E30790">
              <w:t>Dezvoltarea sistemelor de impozitare: 5 500 000 EUR;</w:t>
            </w:r>
          </w:p>
          <w:p w:rsidR="00A053E6" w:rsidRPr="00E30790" w:rsidRDefault="00A053E6" w:rsidP="008C09CC">
            <w:pPr>
              <w:pStyle w:val="Tiret0"/>
              <w:rPr>
                <w:rFonts w:eastAsia="Calibri"/>
              </w:rPr>
            </w:pPr>
            <w:r w:rsidRPr="00E30790">
              <w:t>sprijin pentru sistemele de impozitare: 10 460 000 EUR;</w:t>
            </w:r>
          </w:p>
          <w:p w:rsidR="00A053E6" w:rsidRPr="00E30790" w:rsidRDefault="00A053E6" w:rsidP="008C09CC">
            <w:pPr>
              <w:pStyle w:val="Tiret0"/>
            </w:pPr>
            <w:r w:rsidRPr="00E30790">
              <w:t>Controlul de calitate pentru sistemele de impozitare: 2 900 000 EUR.</w:t>
            </w:r>
          </w:p>
        </w:tc>
      </w:tr>
    </w:tbl>
    <w:p w:rsidR="00A053E6" w:rsidRPr="00B35A73" w:rsidRDefault="00A053E6" w:rsidP="00A053E6">
      <w:pPr>
        <w:keepNext/>
        <w:keepLines/>
        <w:rPr>
          <w:i/>
        </w:rPr>
      </w:pPr>
      <w:r w:rsidRPr="00E30790">
        <w:t>Tipul de contract și tipul</w:t>
      </w:r>
      <w:r w:rsidRPr="00B35A73">
        <w:rPr>
          <w:i/>
        </w:rPr>
        <w:t xml:space="preserve"> </w:t>
      </w:r>
      <w:r w:rsidRPr="00E30790">
        <w:t>de achiziții publice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rHeight w:val="1166"/>
          <w:tblCellSpacing w:w="0" w:type="dxa"/>
        </w:trPr>
        <w:tc>
          <w:tcPr>
            <w:tcW w:w="9286" w:type="dxa"/>
            <w:tcBorders>
              <w:top w:val="single" w:sz="2" w:space="0" w:color="000000"/>
              <w:bottom w:val="single" w:sz="2" w:space="0" w:color="000000"/>
            </w:tcBorders>
          </w:tcPr>
          <w:p w:rsidR="00A053E6" w:rsidRPr="00E30790" w:rsidRDefault="00A053E6" w:rsidP="008C09CC">
            <w:r w:rsidRPr="00E30790">
              <w:t>Achizițiile publice de servicii se vor efectua prin intermediul unor contracte specifice în contextul contractelor-cadru sau al unor acorduri administrative existente sau noi, al unor acorduri privind nivelul serviciilor sau al unor memorandumuri de înțelegere cu alte DG-uri/servicii.</w:t>
            </w:r>
          </w:p>
          <w:p w:rsidR="00A053E6" w:rsidRPr="00E30790" w:rsidRDefault="00A053E6" w:rsidP="008C09CC">
            <w:pPr>
              <w:keepNext/>
              <w:keepLines/>
            </w:pPr>
            <w:r w:rsidRPr="00E30790">
              <w:t>Se anticipează lansarea, în 2019, a unei invitații de participare la licitație pentru servicii:</w:t>
            </w:r>
          </w:p>
          <w:p w:rsidR="00A053E6" w:rsidRPr="00E30790" w:rsidRDefault="00A053E6" w:rsidP="008C09CC">
            <w:pPr>
              <w:pStyle w:val="Tiret0"/>
            </w:pPr>
            <w:r w:rsidRPr="00E30790">
              <w:t xml:space="preserve">CCN3-DEV: Prestarea de servicii vizând dezvoltarea, întreținerea și sprijinul de nivel trei pentru platformele experimentale blockchain ale CCN/CSI, CCN2, SPEED2, TSOAP și TAXUD: </w:t>
            </w:r>
          </w:p>
          <w:p w:rsidR="00A053E6" w:rsidRPr="00E30790" w:rsidRDefault="00A053E6" w:rsidP="008C09CC">
            <w:pPr>
              <w:pStyle w:val="Tiret1"/>
            </w:pPr>
            <w:r w:rsidRPr="00E30790">
              <w:t>CCN3-DEV Lot1: Prestarea de servicii pentru dezvoltarea și întreținerea CCN/CSI (Rețeaua comună de comunicații/Interfața comună a sistemelor). Bugetul pentru acest contract va fi împărțit între programele Vamă 2020 și Fiscalis 2020 și programele care se anticipează că le vor urma acestora, sub rezerva acordului final cu privire la următorul cadru financiar multianual și a prevederilor financiare ale viitoarelor programe Vamă și Fiscalis (procente estimate: 60 % pentru Vamă 2020 și 40 % pentru Fiscalis 2020). Data estimativă de publicare a procedurii de achiziții: trimestrul 1 din 2019. Cuantumul indicativ al contractului-cadru va fi de 25 000 000 EUR, cu o durată maximă de 8 ani.</w:t>
            </w:r>
          </w:p>
          <w:p w:rsidR="00A053E6" w:rsidRPr="00E30790" w:rsidRDefault="00A053E6" w:rsidP="008C09CC">
            <w:pPr>
              <w:pStyle w:val="Tiret1"/>
            </w:pPr>
            <w:r w:rsidRPr="00E30790">
              <w:t>CCN3-DEV Lot2: Prestarea de servicii pentru dezvoltarea, transformarea și consolidarea platformelor experimentale blockchain ale CCN2, SPEED2, TSOAP și TAXUD și ale altor tehnologii posibile. Bugetul pentru acest contract va fi împărțit între programele Vamă 2020 și Fiscalis 2020 și programele care se anticipează că le vor urma acestora, sub rezerva acordului final cu privire la următorul cadru financiar multianual și a prevederilor financiare ale viitoarelor programe Vamă și Fiscalis (procente estimate: 60 % pentru Vamă 2020 și 40 % pentru Fiscalis 2020). Data estimativă de publicare a procedurii de achiziții: trimestrul 1 din 2019. Cuantumul indicativ al contractului-cadru va fi de 70 000 000 EUR, cu o durată maximă de 8 ani.</w:t>
            </w:r>
          </w:p>
        </w:tc>
      </w:tr>
    </w:tbl>
    <w:p w:rsidR="00A053E6" w:rsidRPr="00E30790" w:rsidRDefault="00A053E6" w:rsidP="00A053E6">
      <w:r w:rsidRPr="00E30790">
        <w:t>Numărul indicativ al contractelor preconizate: 35 de contracte specifice care urmează să fie semnate în total în baza unor noi contracte-cadru.</w:t>
      </w:r>
    </w:p>
    <w:p w:rsidR="00A053E6" w:rsidRPr="00E30790" w:rsidRDefault="00A053E6" w:rsidP="00A053E6">
      <w:r w:rsidRPr="00E30790">
        <w:t>Calendar indicativ pentru lansarea procedurii de achiziții publice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T1 din 2019</w:t>
            </w:r>
          </w:p>
        </w:tc>
      </w:tr>
    </w:tbl>
    <w:p w:rsidR="00A053E6" w:rsidRPr="00E30790" w:rsidRDefault="00A053E6" w:rsidP="00A053E6">
      <w:r w:rsidRPr="00E30790">
        <w:t>Punere în aplicare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tcBorders>
          </w:tcPr>
          <w:p w:rsidR="00A053E6" w:rsidRPr="00E30790" w:rsidRDefault="00A053E6" w:rsidP="008C09CC">
            <w:r w:rsidRPr="00E30790">
              <w:t>DE CĂTRE DG TAXUD</w:t>
            </w:r>
          </w:p>
        </w:tc>
      </w:tr>
    </w:tbl>
    <w:p w:rsidR="00A053E6" w:rsidRPr="00B35A73" w:rsidRDefault="00A053E6" w:rsidP="00A053E6">
      <w:pPr>
        <w:pStyle w:val="Heading3"/>
        <w:numPr>
          <w:ilvl w:val="2"/>
          <w:numId w:val="38"/>
        </w:numPr>
      </w:pPr>
      <w:r w:rsidRPr="00B35A73">
        <w:t>Achiziții publice pentru acțiuni comune și activități comune de formare profesională</w:t>
      </w:r>
    </w:p>
    <w:p w:rsidR="00A053E6" w:rsidRPr="00E30790" w:rsidRDefault="00A053E6" w:rsidP="00A053E6">
      <w:r w:rsidRPr="00E30790">
        <w:t>TEMEIUL JURIDIC</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pPr>
              <w:rPr>
                <w:rFonts w:eastAsia="Calibri"/>
              </w:rPr>
            </w:pPr>
            <w:r w:rsidRPr="00E30790">
              <w:t>Articolul 5 alineatul (2), articolul 7 alineatul (1) litera (a) punctele (vii) și (viii) și articolul 7 alineatul (1) litera (c) din Regulamentul (UE) nr. 1286/2013.</w:t>
            </w:r>
          </w:p>
          <w:p w:rsidR="00A053E6" w:rsidRPr="00E30790" w:rsidRDefault="00A053E6" w:rsidP="008C09CC">
            <w:r w:rsidRPr="00B35A73">
              <w:rPr>
                <w:b/>
              </w:rPr>
              <w:t xml:space="preserve">Obiectiv specific: </w:t>
            </w:r>
            <w:r w:rsidRPr="00E30790">
              <w:t>Sprijinirea luptei împotriva fraudei fiscale, a evaziunii fiscale și a planificării fiscale agresive și punerea în aplicare a dreptului Uniunii în domeniul fiscal prin asigurarea schimbului de informații, prin sprijinirea cooperării administrative și, atunci când este necesar și oportun, prin consolidarea capacității administrative a țărilor participante, cu scopul de a contribui la reducerea sarcinii administrative a autorităților fiscale și a costurilor de conformare pentru contribuabili.</w:t>
            </w:r>
          </w:p>
        </w:tc>
      </w:tr>
    </w:tbl>
    <w:p w:rsidR="00A053E6" w:rsidRPr="00E30790" w:rsidRDefault="00A053E6" w:rsidP="00A053E6">
      <w:r w:rsidRPr="00E30790">
        <w:t>LINIA BUGETARĂ</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14 03 01</w:t>
            </w:r>
          </w:p>
        </w:tc>
      </w:tr>
    </w:tbl>
    <w:p w:rsidR="00A053E6" w:rsidRPr="00B35A73" w:rsidRDefault="00A053E6" w:rsidP="00A053E6">
      <w:pPr>
        <w:keepNext/>
        <w:keepLines/>
        <w:rPr>
          <w:i/>
        </w:rPr>
      </w:pPr>
      <w:r w:rsidRPr="00E30790">
        <w:t>Obiectul contractelor preconizate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1338"/>
        </w:trPr>
        <w:tc>
          <w:tcPr>
            <w:tcW w:w="9286" w:type="dxa"/>
          </w:tcPr>
          <w:p w:rsidR="00A053E6" w:rsidRPr="00E30790" w:rsidRDefault="00A053E6" w:rsidP="008C09CC">
            <w:pPr>
              <w:rPr>
                <w:rFonts w:eastAsia="Calibri"/>
              </w:rPr>
            </w:pPr>
            <w:r w:rsidRPr="00E30790">
              <w:t>În 2019, Comisia intenționează să întreprindă activități prin contracte care decurg din proceduri de achiziții publice, și anume:</w:t>
            </w:r>
          </w:p>
          <w:p w:rsidR="00A053E6" w:rsidRPr="00E30790" w:rsidRDefault="00A053E6" w:rsidP="008C09CC">
            <w:pPr>
              <w:pStyle w:val="Tiret0"/>
              <w:rPr>
                <w:rFonts w:eastAsia="Calibri"/>
              </w:rPr>
            </w:pPr>
            <w:r w:rsidRPr="00E30790">
              <w:t>specificarea, dezvoltarea, menținerea, sprijinirea și difuzarea unor formări comune în domeniul fiscal (e-learning, învățare mixtă), servicii de colaborare online și servicii de consolidare a performanței personalului;</w:t>
            </w:r>
          </w:p>
          <w:p w:rsidR="00A053E6" w:rsidRPr="00E30790" w:rsidRDefault="00A053E6" w:rsidP="008C09CC">
            <w:pPr>
              <w:pStyle w:val="Tiret0"/>
              <w:rPr>
                <w:rFonts w:eastAsia="Calibri"/>
              </w:rPr>
            </w:pPr>
            <w:r w:rsidRPr="00E30790">
              <w:t>studii și sprijin științific (de exemplu, tipologie, colectare de date și analize comparative în domeniul fiscal);</w:t>
            </w:r>
          </w:p>
          <w:p w:rsidR="00A053E6" w:rsidRPr="00E30790" w:rsidRDefault="00A053E6" w:rsidP="008C09CC">
            <w:pPr>
              <w:pStyle w:val="Tiret0"/>
              <w:rPr>
                <w:rFonts w:eastAsia="Calibri"/>
              </w:rPr>
            </w:pPr>
            <w:r w:rsidRPr="00E30790">
              <w:t>asistență pentru comunicare și informare, inclusiv traduceri;</w:t>
            </w:r>
          </w:p>
          <w:p w:rsidR="00A053E6" w:rsidRPr="00E30790" w:rsidRDefault="00A053E6" w:rsidP="008C09CC">
            <w:pPr>
              <w:pStyle w:val="Tiret0"/>
              <w:rPr>
                <w:rFonts w:eastAsia="Calibri"/>
              </w:rPr>
            </w:pPr>
            <w:r w:rsidRPr="00E30790">
              <w:t>activități de sprijinire a programului;</w:t>
            </w:r>
          </w:p>
          <w:p w:rsidR="00A053E6" w:rsidRPr="00E30790" w:rsidRDefault="00A053E6" w:rsidP="008C09CC">
            <w:pPr>
              <w:pStyle w:val="Tiret0"/>
              <w:rPr>
                <w:rFonts w:eastAsia="Calibri"/>
              </w:rPr>
            </w:pPr>
            <w:r w:rsidRPr="00E30790">
              <w:t>activități de sprijinire a colaborării în domeniul tehnologiei informației.</w:t>
            </w:r>
          </w:p>
          <w:p w:rsidR="00A053E6" w:rsidRPr="00E30790" w:rsidRDefault="00A053E6" w:rsidP="008C09CC">
            <w:pPr>
              <w:rPr>
                <w:rFonts w:eastAsia="Calibri"/>
              </w:rPr>
            </w:pPr>
            <w:r w:rsidRPr="00E30790">
              <w:t>Cuantumul total indicativ al achizițiilor publice este de 3 174 000 EUR</w:t>
            </w:r>
            <w:r w:rsidRPr="00E30790">
              <w:rPr>
                <w:rStyle w:val="FootnoteReference"/>
              </w:rPr>
              <w:footnoteReference w:id="24"/>
            </w:r>
            <w:r w:rsidRPr="00E30790">
              <w:t xml:space="preserve"> și va fi împărțit după cum urmează:</w:t>
            </w:r>
          </w:p>
          <w:p w:rsidR="00A053E6" w:rsidRPr="00E30790" w:rsidRDefault="00A053E6" w:rsidP="008C09CC">
            <w:pPr>
              <w:pStyle w:val="Tiret0"/>
              <w:rPr>
                <w:rFonts w:eastAsia="Calibri"/>
              </w:rPr>
            </w:pPr>
            <w:r w:rsidRPr="00E30790">
              <w:t>acțiuni comune de formare în domeniul fiscal: 1 374 000 EUR;</w:t>
            </w:r>
            <w:r w:rsidRPr="00E30790">
              <w:tab/>
            </w:r>
          </w:p>
          <w:p w:rsidR="00A053E6" w:rsidRPr="00E30790" w:rsidRDefault="00A053E6" w:rsidP="008C09CC">
            <w:pPr>
              <w:pStyle w:val="Tiret0"/>
            </w:pPr>
            <w:r w:rsidRPr="00E30790">
              <w:t>Studii, asistență științifică și pentru comunicare și informare, sprijinirea programelor, sprijinirea colaborării în domeniul tehnologiei informației: 1 800 000 EUR.</w:t>
            </w:r>
          </w:p>
        </w:tc>
      </w:tr>
    </w:tbl>
    <w:p w:rsidR="00A053E6" w:rsidRPr="00B35A73" w:rsidRDefault="00A053E6" w:rsidP="00A053E6">
      <w:pPr>
        <w:rPr>
          <w:i/>
        </w:rPr>
      </w:pPr>
      <w:r w:rsidRPr="00E30790">
        <w:t>Tipul de contract și tipul</w:t>
      </w:r>
      <w:r w:rsidRPr="00B35A73">
        <w:rPr>
          <w:i/>
        </w:rPr>
        <w:t xml:space="preserve"> </w:t>
      </w:r>
      <w:r w:rsidRPr="00E30790">
        <w:t>de achiziții publice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pPr>
              <w:pStyle w:val="Tiret0"/>
              <w:numPr>
                <w:ilvl w:val="0"/>
                <w:numId w:val="0"/>
              </w:numPr>
              <w:rPr>
                <w:rFonts w:eastAsia="Calibri"/>
              </w:rPr>
            </w:pPr>
            <w:r w:rsidRPr="00E30790">
              <w:t>Achizițiile publice de servicii vor fi efectuate prin contracte specifice în temeiul unor contracte-cadru existente sau noi, al unui acord administrativ cu JRC (Centrul Comun de Cercetare) sau al unui acord privind nivelul serviciilor cu Direcția Generală Traduceri.</w:t>
            </w:r>
          </w:p>
          <w:p w:rsidR="00A053E6" w:rsidRPr="00E30790" w:rsidRDefault="00A053E6" w:rsidP="008C09CC">
            <w:pPr>
              <w:rPr>
                <w:rFonts w:eastAsia="Calibri"/>
              </w:rPr>
            </w:pPr>
            <w:r w:rsidRPr="00E30790">
              <w:t>În 2019 va fi lansată următoarea procedură nouă pentru contracte-cadru în domeniul serviciilor:</w:t>
            </w:r>
          </w:p>
          <w:p w:rsidR="00A053E6" w:rsidRPr="00E30790" w:rsidRDefault="00A053E6" w:rsidP="008C09CC">
            <w:pPr>
              <w:pStyle w:val="Tiret0"/>
              <w:rPr>
                <w:rFonts w:eastAsia="Calibri"/>
              </w:rPr>
            </w:pPr>
            <w:r w:rsidRPr="00E30790">
              <w:t>Se preconizează lansarea, în 2019, a unei proceduri noi de invitație de participare la licitație, pentru furnizarea de servicii de sprijin al programelor pluridimensionale de formare și de dezvoltare a personalului la nivelul UE și de dezvoltare a programelor de e-learning în domeniul vamal și fiscal. Acest contract-cadru nou ar trebui să asigure continuarea prestării de servicii de consultanță de specialitate în domeniile menționate mai sus, care sunt furnizate în prezent în temeiul contractului-cadru BTRAIN-3 (FWC TAXUD/2015/CC/135).</w:t>
            </w:r>
          </w:p>
          <w:p w:rsidR="00A053E6" w:rsidRPr="00E30790" w:rsidRDefault="00A053E6" w:rsidP="008C09CC">
            <w:pPr>
              <w:pStyle w:val="Tiret0"/>
              <w:numPr>
                <w:ilvl w:val="0"/>
                <w:numId w:val="0"/>
              </w:numPr>
              <w:ind w:left="851"/>
              <w:rPr>
                <w:rFonts w:eastAsia="Calibri"/>
              </w:rPr>
            </w:pPr>
            <w:r w:rsidRPr="00E30790">
              <w:t>Contractul va fi partajat între Vamă 2020 și Fiscalis 2020, cu un buget estimat de aproximativ 70 % pentru Vamă 2020 și 30 % pentru Fiscalis 2020.</w:t>
            </w:r>
          </w:p>
          <w:p w:rsidR="00A053E6" w:rsidRPr="00E30790" w:rsidRDefault="00A053E6" w:rsidP="008C09CC">
            <w:pPr>
              <w:pStyle w:val="Tiret0"/>
              <w:numPr>
                <w:ilvl w:val="0"/>
                <w:numId w:val="0"/>
              </w:numPr>
              <w:ind w:left="851"/>
              <w:rPr>
                <w:rFonts w:eastAsia="Calibri"/>
              </w:rPr>
            </w:pPr>
            <w:r w:rsidRPr="00E30790">
              <w:t>Data estimativă de publicare a procedurii de achiziție: T2 din 2019</w:t>
            </w:r>
          </w:p>
          <w:p w:rsidR="00A053E6" w:rsidRPr="00E30790" w:rsidRDefault="00A053E6" w:rsidP="008C09CC">
            <w:pPr>
              <w:pStyle w:val="Tiret0"/>
              <w:numPr>
                <w:ilvl w:val="0"/>
                <w:numId w:val="0"/>
              </w:numPr>
              <w:ind w:left="850"/>
            </w:pPr>
            <w:r w:rsidRPr="00E30790">
              <w:t>Valoarea estimată a contractului-cadru: 18 000 000 EUR, cu o durată de 6 ani.</w:t>
            </w:r>
          </w:p>
        </w:tc>
      </w:tr>
    </w:tbl>
    <w:p w:rsidR="00A053E6" w:rsidRPr="00E30790" w:rsidRDefault="00A053E6" w:rsidP="00A053E6">
      <w:r w:rsidRPr="00E30790">
        <w:t>Numărul indicativ al contractelor preconizate: 10</w:t>
      </w:r>
    </w:p>
    <w:p w:rsidR="00A053E6" w:rsidRPr="00E30790" w:rsidRDefault="00A053E6" w:rsidP="00A053E6">
      <w:r w:rsidRPr="00E30790">
        <w:t>Calendar indicativ pentru lansarea procedurii de achiziții publice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T2 din 2019</w:t>
            </w:r>
          </w:p>
        </w:tc>
      </w:tr>
    </w:tbl>
    <w:p w:rsidR="00A053E6" w:rsidRPr="00E30790" w:rsidRDefault="00A053E6" w:rsidP="00A053E6">
      <w:r w:rsidRPr="00E30790">
        <w:t>Punere în aplicare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tcBorders>
          </w:tcPr>
          <w:p w:rsidR="00A053E6" w:rsidRPr="00E30790" w:rsidRDefault="00A053E6" w:rsidP="008C09CC">
            <w:r w:rsidRPr="00E30790">
              <w:t>DE CĂTRE DG TAXUD</w:t>
            </w:r>
          </w:p>
        </w:tc>
      </w:tr>
    </w:tbl>
    <w:p w:rsidR="00A053E6" w:rsidRPr="00B35A73" w:rsidRDefault="00A053E6" w:rsidP="00A053E6">
      <w:pPr>
        <w:pStyle w:val="Heading2"/>
        <w:numPr>
          <w:ilvl w:val="1"/>
          <w:numId w:val="38"/>
        </w:numPr>
      </w:pPr>
      <w:r w:rsidRPr="00B35A73">
        <w:t>Alte cheltuieli</w:t>
      </w:r>
    </w:p>
    <w:p w:rsidR="00A053E6" w:rsidRPr="00B35A73" w:rsidRDefault="00A053E6" w:rsidP="00A053E6">
      <w:pPr>
        <w:pStyle w:val="Heading3"/>
        <w:numPr>
          <w:ilvl w:val="2"/>
          <w:numId w:val="38"/>
        </w:numPr>
      </w:pPr>
      <w:r w:rsidRPr="00B35A73">
        <w:t>Rambursarea experților externi care participă la activități în cadrul programului</w:t>
      </w:r>
    </w:p>
    <w:p w:rsidR="00A053E6" w:rsidRPr="00E30790" w:rsidRDefault="00A053E6" w:rsidP="00A053E6">
      <w:r w:rsidRPr="00E30790">
        <w:t>TEMEIUL JURIDIC</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Articolul 5 alineatul (2) și articolul 7 alineatul (1) din Regulamentul (UE) nr. 1286/2013.</w:t>
            </w:r>
          </w:p>
          <w:p w:rsidR="00A053E6" w:rsidRPr="00E30790" w:rsidRDefault="00A053E6" w:rsidP="008C09CC">
            <w:pPr>
              <w:rPr>
                <w:szCs w:val="19"/>
              </w:rPr>
            </w:pPr>
            <w:r w:rsidRPr="00B35A73">
              <w:rPr>
                <w:b/>
              </w:rPr>
              <w:t xml:space="preserve">Obiectiv specific: </w:t>
            </w:r>
            <w:r w:rsidRPr="00E30790">
              <w:t>Sprijinirea luptei împotriva fraudei fiscale, a evaziunii fiscale și a planificării fiscale agresive și punerea în aplicare a dreptului Uniunii în domeniul fiscal prin asigurarea schimbului de informații, prin sprijinirea cooperării administrative și, atunci când este necesar și oportun, prin consolidarea capacității administrative a țărilor participante, cu scopul de a contribui la reducerea sarcinii administrative a autorităților fiscale și a costurilor de conformare pentru contribuabili.</w:t>
            </w:r>
          </w:p>
          <w:p w:rsidR="00A053E6" w:rsidRPr="00E30790" w:rsidRDefault="00A053E6" w:rsidP="008C09CC">
            <w:r w:rsidRPr="00B35A73">
              <w:rPr>
                <w:b/>
              </w:rPr>
              <w:t>Articolul 4</w:t>
            </w:r>
            <w:r w:rsidRPr="00E30790">
              <w:t xml:space="preserve"> din Regulamentul (UE) nr. 1286/2013</w:t>
            </w:r>
          </w:p>
          <w:p w:rsidR="00A053E6" w:rsidRPr="00E30790" w:rsidRDefault="00A053E6" w:rsidP="008C09CC">
            <w:r w:rsidRPr="00E30790">
              <w:t>La anumite activități organizate în cadrul programului pot fi invitați să contribuie experți externi ori de câte ori acest lucru este esențial pentru realizarea obiectivelor menționate la articolele 5 și 6 din Regulamentul (UE) nr. 1286/2013. Experții externi sunt selectați de Comisie, împreună cu țările participante, pe baza abilităților, a experienței și a cunoștințelor lor relevante pentru activitățile respective.</w:t>
            </w:r>
          </w:p>
        </w:tc>
      </w:tr>
    </w:tbl>
    <w:p w:rsidR="00A053E6" w:rsidRPr="00E30790" w:rsidRDefault="00A053E6" w:rsidP="00A053E6">
      <w:r w:rsidRPr="00E30790">
        <w:t>LINIA BUGETARĂ</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14 03 01</w:t>
            </w:r>
          </w:p>
        </w:tc>
      </w:tr>
    </w:tbl>
    <w:p w:rsidR="00A053E6" w:rsidRPr="00E30790" w:rsidRDefault="00A053E6" w:rsidP="00A053E6">
      <w:r w:rsidRPr="00E30790">
        <w:t>Cuantum</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A053E6" w:rsidRPr="00E30790" w:rsidTr="008C09CC">
        <w:trPr>
          <w:tblCellSpacing w:w="0" w:type="dxa"/>
        </w:trPr>
        <w:tc>
          <w:tcPr>
            <w:tcW w:w="9286" w:type="dxa"/>
            <w:tcBorders>
              <w:top w:val="single" w:sz="2" w:space="0" w:color="000000"/>
              <w:bottom w:val="single" w:sz="2" w:space="0" w:color="000000"/>
            </w:tcBorders>
          </w:tcPr>
          <w:p w:rsidR="00A053E6" w:rsidRPr="00E30790" w:rsidRDefault="00A053E6" w:rsidP="008C09CC">
            <w:r w:rsidRPr="00E30790">
              <w:t>70 000 EUR</w:t>
            </w:r>
          </w:p>
        </w:tc>
      </w:tr>
    </w:tbl>
    <w:p w:rsidR="00A053E6" w:rsidRPr="00E30790" w:rsidRDefault="00A053E6" w:rsidP="00A053E6">
      <w:r w:rsidRPr="00E30790">
        <w:t>Descrierea și obiectivul măsurii de punere în aplicare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053E6" w:rsidRPr="00E30790" w:rsidTr="008C09CC">
        <w:trPr>
          <w:trHeight w:val="981"/>
        </w:trPr>
        <w:tc>
          <w:tcPr>
            <w:tcW w:w="9286" w:type="dxa"/>
          </w:tcPr>
          <w:p w:rsidR="00A053E6" w:rsidRPr="00E30790" w:rsidRDefault="00A053E6" w:rsidP="008C09CC">
            <w:r w:rsidRPr="00E30790">
              <w:t>Această măsură permite sprijinirea participării experților externi la anumite activități, ori de câte ori acest lucru este esențial pentru realizarea obiectivelor menționate la articolele 5 și 6 din Regulamentul (UE) nr. 1286/2013.</w:t>
            </w:r>
          </w:p>
        </w:tc>
      </w:tr>
    </w:tbl>
    <w:p w:rsidR="00A053E6" w:rsidRPr="00B35A73" w:rsidRDefault="00A053E6" w:rsidP="00A053E6">
      <w:pPr>
        <w:rPr>
          <w:rFonts w:eastAsiaTheme="majorEastAsia"/>
          <w:b/>
        </w:rPr>
      </w:pPr>
      <w:r w:rsidRPr="00E30790">
        <w:br w:type="page"/>
      </w:r>
      <w:bookmarkStart w:id="4" w:name="_Toc431823816"/>
      <w:r w:rsidRPr="00B35A73">
        <w:rPr>
          <w:rFonts w:eastAsiaTheme="majorEastAsia"/>
          <w:b/>
        </w:rPr>
        <w:t xml:space="preserve">APENDICE LA ANEXA II: PROIECTELE FISCALIS 2020 URMĂRITE PENTRU </w:t>
      </w:r>
      <w:bookmarkEnd w:id="4"/>
      <w:r w:rsidRPr="00B35A73">
        <w:rPr>
          <w:rFonts w:eastAsiaTheme="majorEastAsia"/>
          <w:b/>
        </w:rPr>
        <w:t>2019</w:t>
      </w:r>
      <w:r w:rsidRPr="00B35A73">
        <w:rPr>
          <w:rStyle w:val="FootnoteReference"/>
          <w:rFonts w:eastAsiaTheme="majorEastAsia"/>
          <w:b/>
        </w:rPr>
        <w:footnoteReference w:id="25"/>
      </w:r>
    </w:p>
    <w:p w:rsidR="00A053E6" w:rsidRPr="00B35A73" w:rsidRDefault="00A053E6" w:rsidP="00A053E6">
      <w:pPr>
        <w:pStyle w:val="NumPar1"/>
        <w:numPr>
          <w:ilvl w:val="0"/>
          <w:numId w:val="31"/>
        </w:numPr>
        <w:rPr>
          <w:rFonts w:eastAsia="Calibri"/>
          <w:b/>
        </w:rPr>
      </w:pPr>
      <w:bookmarkStart w:id="5" w:name="_Toc431823817"/>
      <w:r w:rsidRPr="00B35A73">
        <w:rPr>
          <w:b/>
        </w:rPr>
        <w:t>SPRIJINIREA LUPTEI ÎMPOTRIVA FRAUDEI FISCALE, A EVAZIUNII FISCALE ȘI A PLANIFICĂRII FISCALE AGRESIVE</w:t>
      </w:r>
      <w:bookmarkEnd w:id="5"/>
      <w:r w:rsidRPr="00B35A73">
        <w:rPr>
          <w:b/>
        </w:rPr>
        <w:t xml:space="preserve"> </w:t>
      </w:r>
    </w:p>
    <w:p w:rsidR="00A053E6" w:rsidRPr="00E30790" w:rsidRDefault="00A053E6" w:rsidP="00A053E6">
      <w:pPr>
        <w:rPr>
          <w:rFonts w:eastAsia="Calibri"/>
        </w:rPr>
      </w:pPr>
      <w:r w:rsidRPr="00E30790">
        <w:t>În conformitate cu principalele priorități politice ale Uniunii Europene</w:t>
      </w:r>
      <w:r w:rsidRPr="00E30790">
        <w:rPr>
          <w:rStyle w:val="FootnoteReference"/>
        </w:rPr>
        <w:footnoteReference w:id="26"/>
      </w:r>
      <w:r w:rsidRPr="00E30790">
        <w:t>, este esențială o acțiune coordonată la nivelul Uniunii pentru a se asigura o mai mare echitate și eficiență economică pe piața internă. Frauda fiscală și evaziunea fiscală amenință echitatea și eficiența economică și limitează capacitatea țărilor UE de a colecta impozitele și de a-și pune în aplicare politicile economice și sociale. Deoarece problema nu cunoaște frontiere, ea poate fi soluționată în mod eficace numai prin eforturile concertate și comune ale statelor membre și printr-o abordare coordonată în cadrul cooperării administrative cu țările terțe.</w:t>
      </w:r>
    </w:p>
    <w:p w:rsidR="00A053E6" w:rsidRPr="00E30790" w:rsidRDefault="00A053E6" w:rsidP="00A053E6">
      <w:pPr>
        <w:rPr>
          <w:rFonts w:eastAsia="Calibri"/>
        </w:rPr>
      </w:pPr>
      <w:r w:rsidRPr="00E30790">
        <w:t>Activitățile organizate în cadrul acestei rubrici vor sprijini cooperarea dintre statele membre în vederea combaterii fraudei fiscale, a evaziunii fiscale și a evitării obligațiilor fiscale</w:t>
      </w:r>
      <w:r w:rsidRPr="00E30790">
        <w:rPr>
          <w:rStyle w:val="FootnoteReference"/>
        </w:rPr>
        <w:footnoteReference w:id="27"/>
      </w:r>
      <w:r w:rsidRPr="00E30790">
        <w:t>, prin asigurarea transparenței fiscale și a unui sistem echitabil și eficient de impozitare a întreprinderilor în Uniunea Europeană</w:t>
      </w:r>
      <w:r w:rsidRPr="00E30790">
        <w:rPr>
          <w:rStyle w:val="FootnoteReference"/>
        </w:rPr>
        <w:footnoteReference w:id="28"/>
      </w:r>
      <w:r w:rsidRPr="00E30790">
        <w:t>, precum și prin prevenirea planificării fiscale agresive și crearea de condiții echitabile pentru toate întreprinderile</w:t>
      </w:r>
      <w:r w:rsidRPr="00E30790">
        <w:rPr>
          <w:rStyle w:val="FootnoteReference"/>
        </w:rPr>
        <w:footnoteReference w:id="29"/>
      </w:r>
      <w:r w:rsidRPr="00E30790">
        <w:t>. Combaterea fraudei, sprijinirea economiei digitale și a comerțului electronic</w:t>
      </w:r>
      <w:r w:rsidRPr="00E30790">
        <w:rPr>
          <w:rStyle w:val="FootnoteReference"/>
        </w:rPr>
        <w:footnoteReference w:id="30"/>
      </w:r>
      <w:r w:rsidRPr="00E30790">
        <w:t xml:space="preserve"> în ceea ce privește TVA-ul rămân, de asemenea, priorități majore pe agenda Uniunii, iar proiectele din acest program vizează abordarea acestor aspecte.</w:t>
      </w:r>
    </w:p>
    <w:p w:rsidR="00A053E6" w:rsidRPr="00B35A73" w:rsidRDefault="00A053E6" w:rsidP="00A053E6">
      <w:pPr>
        <w:pStyle w:val="NumPar2"/>
        <w:numPr>
          <w:ilvl w:val="1"/>
          <w:numId w:val="37"/>
        </w:numPr>
        <w:rPr>
          <w:b/>
        </w:rPr>
      </w:pPr>
      <w:bookmarkStart w:id="6" w:name="_Toc431823818"/>
      <w:r w:rsidRPr="00B35A73">
        <w:rPr>
          <w:b/>
        </w:rPr>
        <w:t>Lupta împotriva fraudei fiscale, a evaziunii fiscale și a planificării fiscale agresive</w:t>
      </w:r>
      <w:bookmarkEnd w:id="6"/>
      <w:r w:rsidRPr="00B35A73">
        <w:rPr>
          <w:b/>
        </w:rPr>
        <w:t xml:space="preserve"> – taxa pe valoarea adăugată</w:t>
      </w:r>
    </w:p>
    <w:p w:rsidR="00A053E6" w:rsidRPr="00E30790" w:rsidRDefault="00A053E6" w:rsidP="00A053E6">
      <w:pPr>
        <w:rPr>
          <w:szCs w:val="24"/>
        </w:rPr>
      </w:pPr>
      <w:r w:rsidRPr="00E30790">
        <w:t>Comisia a publicat, în decembrie 2017, un raport privind procedurile de control și de colectare a taxei pe valoarea adăugată (raportul în temeiul articolului 12)</w:t>
      </w:r>
      <w:r w:rsidRPr="00E30790">
        <w:rPr>
          <w:rStyle w:val="FootnoteReference"/>
        </w:rPr>
        <w:footnoteReference w:id="31"/>
      </w:r>
      <w:r w:rsidRPr="00E30790">
        <w:t>. În același timp, pe lângă evaluarea impactului care a condus la modificarea Regulamentului (UE)nr. 904/2010 al Consiliului, s-a realizat o evaluare cuprinzătoare a regulamentului. Împreună cu studiul privind deficitul de încasare a TVA</w:t>
      </w:r>
      <w:r w:rsidRPr="00E30790">
        <w:rPr>
          <w:rStyle w:val="FootnoteReference"/>
        </w:rPr>
        <w:footnoteReference w:id="32"/>
      </w:r>
      <w:r w:rsidRPr="00E30790">
        <w:t>, aceste rapoarte au oferit o imagine de ansamblu asupra problemei pe care frauda în domeniul TVA continuă să o reprezinte în UE. De asemenea, rapoartele au analizat modul în care statele membre abordează această problemă transfrontalieră utilizând instrumentele care le sunt oferite prin intermediul legislației Uniunii cu privire la cooperarea administrativă în domeniul TVA și al colectării TVA și procedurile de control utilizate în statele membre. În consecință, Comisia a aprobat o propunere de modificare a Regulamentului (UE) nr. 904/2010 al Consiliului</w:t>
      </w:r>
      <w:r w:rsidRPr="00E30790">
        <w:rPr>
          <w:rStyle w:val="FootnoteReference"/>
        </w:rPr>
        <w:footnoteReference w:id="33"/>
      </w:r>
      <w:r w:rsidRPr="00E30790">
        <w:t xml:space="preserve"> în noiembrie 2017. La 22 iunie 2018 s-a ajuns la un acord politic cu privire la aceste modificări. </w:t>
      </w:r>
    </w:p>
    <w:p w:rsidR="00A053E6" w:rsidRPr="00E30790" w:rsidRDefault="00A053E6" w:rsidP="00A053E6">
      <w:pPr>
        <w:rPr>
          <w:szCs w:val="24"/>
        </w:rPr>
      </w:pPr>
      <w:r w:rsidRPr="00E30790">
        <w:t xml:space="preserve">Aceste modificări includ consolidarea EUROFISC, căreia i se vor încredința funcții noi, schimburi noi de informații între vămi și autoritățile fiscale, cu autoritățile de aplicare a legii de la nivelul UE, și noi instrumente de cooperare administrativă, cum ar fi auditurile comune. </w:t>
      </w:r>
    </w:p>
    <w:p w:rsidR="00A053E6" w:rsidRPr="00E30790" w:rsidRDefault="00A053E6" w:rsidP="00A053E6">
      <w:pPr>
        <w:rPr>
          <w:szCs w:val="24"/>
        </w:rPr>
      </w:pPr>
      <w:r w:rsidRPr="00E30790">
        <w:t>Toate aceste posibilități noi necesită acțiuni în următorii 2-3 ani în vederea implementării instrumentelor informatice necesare și pentru a se asigura faptul că toate statele membre vor fi în măsură să utilizeze noile posibilități oferite de regulament. Instrumentul de analiză a rețelelor de tranzacții, în prezent în curs de dezvoltare, va fi prima piatră de temelie care va fi introdusă și va deveni operațional la începutul anului 2019. Celelalte activități avute în vedere au fost deja inițiate și vor fi finalizate până în 2021.</w:t>
      </w:r>
    </w:p>
    <w:p w:rsidR="00A053E6" w:rsidRPr="00E30790" w:rsidRDefault="00A053E6" w:rsidP="00A053E6">
      <w:pPr>
        <w:rPr>
          <w:szCs w:val="24"/>
        </w:rPr>
      </w:pPr>
      <w:r w:rsidRPr="00E30790">
        <w:t xml:space="preserve">Pe lângă această implementare, în 2019, prin organizarea unui atelier special, va fi lansat un dialog cu statele membre în vederea stabilirii celor mai bune metode de îmbunătățire a funcționării actuale a EUROFISC și pentru a spori importanța rolului acesteia în lupta împotriva fraudei transfrontaliere în materie de TVA. Vor urma discuții suplimentare în cadrul EUROFISC și cu părțile interesate implicate în conceperea politicilor fiscale din statele membre. </w:t>
      </w:r>
    </w:p>
    <w:p w:rsidR="00A053E6" w:rsidRPr="00E30790" w:rsidRDefault="00A053E6" w:rsidP="00A053E6">
      <w:pPr>
        <w:rPr>
          <w:szCs w:val="24"/>
        </w:rPr>
      </w:pPr>
      <w:r w:rsidRPr="00E30790">
        <w:t xml:space="preserve">Planul de acțiune privind TVA stabilește acțiuni imediate și urgente pentru a aborda deficitul de încasare a TVA. În acest cadru, Comisia a propus 20 de măsuri pentru combaterea deficitului de încasare a TVA prin intensificarea cooperării administrative, îmbunătățirea la nivel colectiv a rezultatelor administrațiilor fiscale europene și îmbunătățirea conformării voluntare. </w:t>
      </w:r>
    </w:p>
    <w:p w:rsidR="00A053E6" w:rsidRPr="00E30790" w:rsidRDefault="00A053E6" w:rsidP="00A053E6">
      <w:pPr>
        <w:rPr>
          <w:szCs w:val="24"/>
        </w:rPr>
      </w:pPr>
      <w:r w:rsidRPr="00E30790">
        <w:t xml:space="preserve">În continuarea pachetului de măsuri privind TVA-ul în domeniul serviciilor de comerț electronic, Comisia va adopta o propunere legislativă de introducere a unui nou sistem electronic european pentru schimbul de date privind plățile, pentru a combate fraudele în materie de TVA în domeniul comerțului electronic. După adoptarea sa de către Consiliu, se estimează că implementarea informatică necesară a sistemului va dura cel puțin 3 ani. Sunt planificate pentru 2019 acțiuni privind aspectele informatice ale pachetului de măsuri privind TVA-ul aferent serviciilor de comerț electronic. </w:t>
      </w:r>
    </w:p>
    <w:p w:rsidR="00A053E6" w:rsidRPr="00E30790" w:rsidRDefault="00A053E6" w:rsidP="00A053E6">
      <w:pPr>
        <w:rPr>
          <w:szCs w:val="24"/>
        </w:rPr>
      </w:pPr>
      <w:r w:rsidRPr="00E30790">
        <w:t>De asemenea, în domeniul dreptului penal, Directiva (UE) 2017/1371 privind combaterea fraudelor îndreptate împotriva intereselor financiare ale Uniunii prin mijloace de drept penal a fost adoptată la 5 iulie 2017 și prevede norme minime privind definiția infracțiunilor îndreptate împotriva intereselor financiare ale Uniunii, incluzând fraude grave în materie de TVA la nivelul UE. Aceste infracțiuni vor fi anchetate și urmărite de Parchetul European (EPPO), în conformitate cu Regulamentul (UE) 2017/1939 de punere în aplicare a unei forme de cooperare consolidată în ceea ce privește instituirea Parchetului European (EPPO), adoptat la 12 octombrie 2017 de douăzeci de state membre.</w:t>
      </w:r>
    </w:p>
    <w:p w:rsidR="00A053E6" w:rsidRPr="00B35A73" w:rsidRDefault="00A053E6" w:rsidP="00A053E6">
      <w:pPr>
        <w:pStyle w:val="NumPar2"/>
        <w:numPr>
          <w:ilvl w:val="1"/>
          <w:numId w:val="37"/>
        </w:numPr>
        <w:rPr>
          <w:b/>
        </w:rPr>
      </w:pPr>
      <w:r w:rsidRPr="00B35A73">
        <w:rPr>
          <w:b/>
        </w:rPr>
        <w:t>Lupta împotriva fraudei fiscale, a evaziunii fiscale și a planificării fiscale agresive – accizele</w:t>
      </w:r>
    </w:p>
    <w:p w:rsidR="00A053E6" w:rsidRPr="00E30790" w:rsidRDefault="00A053E6" w:rsidP="00A053E6">
      <w:pPr>
        <w:rPr>
          <w:rFonts w:eastAsia="Calibri"/>
        </w:rPr>
      </w:pPr>
      <w:r w:rsidRPr="00E30790">
        <w:t>Frauda cu produse accizabile reprezintă un motiv de preocupare din ce în ce mai mare, întrucât conduce la pierderi de miliarde pentru statele membre, sub forma taxelor necolectate, și, în unele cazuri, pune în pericol sănătatea cetățenilor UE și mediul înconjurător. Produsele accizabile sunt deosebit de profitabile pentru organizațiile criminale din cauza profitului potențial enorm care poate fi obținut prin fraudă. În pofida instrumentelor de care dispun statele membre pentru monitorizarea circulației anumitor tipuri de produse accizabile, frauda cu produse accizabile reprezintă în continuare o problemă majoră. Motivul este reprezentat de faptul că instrumentele pot face obiectul unor abuzuri, iar anumite categorii de produse care ar putea fi supuse accizelor nu circulă în temeiul instrumentelor respective.</w:t>
      </w:r>
    </w:p>
    <w:p w:rsidR="00A053E6" w:rsidRPr="00E30790" w:rsidRDefault="00A053E6" w:rsidP="00A053E6">
      <w:pPr>
        <w:rPr>
          <w:rFonts w:eastAsia="Calibri"/>
        </w:rPr>
      </w:pPr>
      <w:r w:rsidRPr="00E30790">
        <w:t>În plus, există un nivel diferit de interes în rândul statelor membre cu privire la frauda cu produse accizabile, întrucât există niveluri diferite de impozitare și, prin urmare, percepții diferite asupra problemei. De asemenea, există diferențe substanțiale între statele membre în ceea ce privește practicile de control și procedurile de acordare a autorizațiilor. Prin urmare, este loc de îmbunătățiri în ceea ce privește colectarea bunelor practici și oferirea de orientări cu privire la esența problemei și la modul în care poate fi abordată.</w:t>
      </w:r>
    </w:p>
    <w:p w:rsidR="00A053E6" w:rsidRPr="00B35A73" w:rsidRDefault="00A053E6" w:rsidP="00A053E6">
      <w:pPr>
        <w:pStyle w:val="NumPar2"/>
        <w:numPr>
          <w:ilvl w:val="1"/>
          <w:numId w:val="37"/>
        </w:numPr>
        <w:rPr>
          <w:b/>
        </w:rPr>
      </w:pPr>
      <w:r w:rsidRPr="00B35A73">
        <w:rPr>
          <w:b/>
        </w:rPr>
        <w:t>Lupta împotriva fraudei fiscale, a evaziunii fiscale și a planificării fiscale agresive – impozitele directe și alte taxe</w:t>
      </w:r>
    </w:p>
    <w:p w:rsidR="00A053E6" w:rsidRPr="00E30790" w:rsidRDefault="00A053E6" w:rsidP="00A053E6">
      <w:pPr>
        <w:rPr>
          <w:rFonts w:eastAsia="Calibri"/>
        </w:rPr>
      </w:pPr>
      <w:r w:rsidRPr="00E30790">
        <w:t>În Comunicarea sa privind transparența fiscală în scopul combaterii evaziunii fiscale licite și ilicite</w:t>
      </w:r>
      <w:r w:rsidRPr="00E30790">
        <w:rPr>
          <w:rStyle w:val="FootnoteReference"/>
        </w:rPr>
        <w:footnoteReference w:id="34"/>
      </w:r>
      <w:r w:rsidRPr="00E30790">
        <w:t>, Comisia a enumerat șase măsuri, și anume: instituirea unor cerințe stricte de transparență în cazul deciziilor fiscale; raționalizarea legislației referitoare la schimbul automat de informații; evaluarea posibilelor inițiative viitoare în materie de transparență; revizuirea Codului de conduită în domeniul impozitării întreprinderilor; realizarea unor acțiuni în sensul unei mai bune cuantificări a deficitului de încasare a taxelor și promovarea unei transparențe fiscale sporite la nivel internațional.</w:t>
      </w:r>
    </w:p>
    <w:p w:rsidR="00A053E6" w:rsidRPr="00E30790" w:rsidRDefault="00A053E6" w:rsidP="00A053E6">
      <w:pPr>
        <w:rPr>
          <w:rFonts w:eastAsia="Calibri"/>
        </w:rPr>
      </w:pPr>
      <w:r w:rsidRPr="00E30790">
        <w:t xml:space="preserve">Comunicarea a fost urmată de un plan de acțiune detaliat referitor la impozitarea întreprinderilor, care identifică cinci domenii-cheie în care acțiunile UE ar reprezenta modul cel mai eficace de a aborda provocările legate de impozitarea întreprinderilor și de a viza anumite tipuri speciale de abuzuri: baza fiscală comună (consolidată) a societăților, care asigură impozitarea corectă acolo unde sunt generate profituri, măsuri suplimentare pentru un mediu de afaceri mai bun, progrese suplimentare cu privire la transparența fiscală și instrumente UE de coordonare. </w:t>
      </w:r>
    </w:p>
    <w:p w:rsidR="00A053E6" w:rsidRPr="00E30790" w:rsidRDefault="00A053E6" w:rsidP="00A053E6">
      <w:pPr>
        <w:rPr>
          <w:szCs w:val="24"/>
        </w:rPr>
      </w:pPr>
      <w:r w:rsidRPr="00E30790">
        <w:t>În plus, Comisia a publicat o comunicare „umbrelă”</w:t>
      </w:r>
      <w:r w:rsidRPr="00E30790">
        <w:rPr>
          <w:rStyle w:val="FootnoteReference"/>
        </w:rPr>
        <w:footnoteReference w:id="35"/>
      </w:r>
      <w:r w:rsidRPr="00E30790">
        <w:t xml:space="preserve"> cu ocazia lansării unui pachet de măsuri împotriva evitării obligațiilor fiscale în vederea unei impozitări mai echitabile, mai simple și mai eficace a întreprinderilor. Pachetul general are ca scop prevenirea planificării fiscale agresive, sporirea transparenței fiscale și crearea de condiții de echitabile pentru toate întreprinderile, pentru a se asigura plata de către întreprinderi a impozitelor în țara în care sunt obținute profiturile. Aspectele principale ale pachetului includ măsuri obligatorii din punct de vedere juridic, adoptate recent</w:t>
      </w:r>
      <w:r w:rsidRPr="00E30790">
        <w:rPr>
          <w:rStyle w:val="FootnoteReference"/>
        </w:rPr>
        <w:footnoteReference w:id="36"/>
      </w:r>
      <w:r w:rsidRPr="00E30790">
        <w:t xml:space="preserve">, de blocare a celor mai uzuale măsuri utilizate de întreprinderi pentru a evita plata taxelor; o recomandare adresată statelor membre privind modul în care trebuie prevenite abuzurile în ceea ce privește convențiile fiscale; o propunere ca statele membre să își comunice reciproc informații fiscale referitoare la întreprinderile multinaționale care desfășoară activități pe teritoriul UE; acțiuni pentru promovarea bunei guvernanțe fiscale la nivel internațional și un nou proces al UE de stabilire a unei liste a țărilor terțe care refuză să acționeze corect. </w:t>
      </w:r>
    </w:p>
    <w:p w:rsidR="00A053E6" w:rsidRPr="00B35A73" w:rsidRDefault="00A053E6" w:rsidP="00A053E6">
      <w:pPr>
        <w:rPr>
          <w:i/>
          <w:iCs/>
        </w:rPr>
      </w:pPr>
      <w:r w:rsidRPr="00E30790">
        <w:t xml:space="preserve">Sprijinirea statelor membre în evaluarea impacturilor bugetare ale reformelor privind impozitarea întreprinderilor și, în special, baza fiscală comună a societăților este foarte importantă. </w:t>
      </w:r>
    </w:p>
    <w:p w:rsidR="00A053E6" w:rsidRPr="00E30790" w:rsidRDefault="00A053E6" w:rsidP="00A053E6">
      <w:pPr>
        <w:rPr>
          <w:rFonts w:eastAsia="Calibri"/>
        </w:rPr>
      </w:pPr>
      <w:r w:rsidRPr="00E30790">
        <w:t>În fine, interdependența economică la nivel mondial și interacțiunea dintre sistemele fiscale naționale poate conduce la dubla impunere sau la dubla neimpozitare a întreprinderilor multinaționale. În domeniul stabilirii prețurilor de transfer, întreprinderile multinaționale și administrațiile fiscale se confruntă cu probleme practice în stabilirea prețurilor tranzacțiilor transfrontaliere între întreprinderi asociate în scopuri fiscale.</w:t>
      </w:r>
    </w:p>
    <w:p w:rsidR="00A053E6" w:rsidRPr="00E30790" w:rsidRDefault="00A053E6" w:rsidP="00A053E6">
      <w:pPr>
        <w:rPr>
          <w:color w:val="000000"/>
        </w:rPr>
      </w:pPr>
      <w:r w:rsidRPr="00E30790">
        <w:rPr>
          <w:color w:val="000000"/>
        </w:rPr>
        <w:t xml:space="preserve">De asemenea, există dovezi empirice cu privire la transferul profiturilor către jurisdicții care aplică taxe mici, prin manipularea sistemului prețurilor de transfer. </w:t>
      </w:r>
      <w:r w:rsidRPr="00E30790">
        <w:t>Prin urmare, inițiativele din cadrul programului, cum ar fi auditurile comune, trebuie să ajute la identificarea de soluții pentru problemele fiscale transfrontaliere, precum dubla impunere</w:t>
      </w:r>
      <w:r w:rsidRPr="00E30790">
        <w:rPr>
          <w:color w:val="000000"/>
        </w:rPr>
        <w:t xml:space="preserve"> și</w:t>
      </w:r>
      <w:r w:rsidRPr="00E30790">
        <w:t xml:space="preserve"> problemele cu colectarea impozitelor datorate de societățile stabilite într-un alt stat membru.</w:t>
      </w:r>
      <w:r w:rsidRPr="00E30790">
        <w:rPr>
          <w:color w:val="000000"/>
        </w:rPr>
        <w:t xml:space="preserve"> </w:t>
      </w:r>
    </w:p>
    <w:p w:rsidR="00A053E6" w:rsidRPr="00E30790" w:rsidRDefault="00A053E6" w:rsidP="00A053E6">
      <w:pPr>
        <w:rPr>
          <w:bCs/>
        </w:rPr>
      </w:pPr>
      <w:r w:rsidRPr="00E30790">
        <w:t>În același timp, este necesar să se asigure că sistemele fiscale sunt, de asemenea, eficiente, pentru a susține o economie mai puternică și mai competitivă prin soluționarea problemelor legate de dubla impunere. Obiectivul principal al Directivei (UE) 2017/</w:t>
      </w:r>
      <w:r w:rsidR="00E30790" w:rsidRPr="00E30790">
        <w:t xml:space="preserve">686 </w:t>
      </w:r>
      <w:r w:rsidRPr="00E30790">
        <w:t>a Consiliului privind mecanismele de soluționare a litigiilor fiscale în Uniunea Europeană este să asigure soluționarea eficace a litigiilor privind interpretarea și aplicarea convențiilor fiscale unilaterale și a Convenției de arbitraj a Uniunii, în special a litigiilor care conduc la dubla impunere pentru întreprinderi și cetățeni</w:t>
      </w:r>
      <w:r w:rsidRPr="00E30790">
        <w:rPr>
          <w:rStyle w:val="FootnoteReference"/>
        </w:rPr>
        <w:footnoteReference w:id="37"/>
      </w:r>
      <w:r w:rsidRPr="00E30790">
        <w:t>. În acest context, Comisia și statele membre au înființat un grup de proiect Fiscalis cu scopul de a explora posibilitățile de creare a unui organism permanent (comitet permanent) care să se ocupe cu cazurile de arbitraj din domeniul impozitării directe.</w:t>
      </w:r>
    </w:p>
    <w:p w:rsidR="00A053E6" w:rsidRPr="00E30790" w:rsidRDefault="00A053E6" w:rsidP="00A053E6">
      <w:r w:rsidRPr="00E30790">
        <w:t>În decembrie 2017, Comisia a propus Codul de conduită privind impozitul reținut la sursă. Codul urmărește reducerea dificultăților întâmpinate atunci când se realizează investiții transfrontaliere în interiorul Uniunii Europene. Punerea în aplicare a acestuia ar trebui să aibă ca rezultat proceduri rapide, simplificate și standardizate de rambursare a impozitelor reținute la sursă, atunci când este cazul. În completarea acestui cod, Comisia și statele membre se reunesc regulat sub forma atelierelor Fiscalis pentru a se asigura că prin aplicarea Codului de conduită se obțin rezultate tangibile.</w:t>
      </w:r>
      <w:r w:rsidR="00B35A73">
        <w:t xml:space="preserve"> </w:t>
      </w:r>
    </w:p>
    <w:p w:rsidR="00A053E6" w:rsidRPr="00B35A73" w:rsidRDefault="00A053E6" w:rsidP="00A053E6">
      <w:pPr>
        <w:pStyle w:val="NumPar2"/>
        <w:numPr>
          <w:ilvl w:val="1"/>
          <w:numId w:val="37"/>
        </w:numPr>
        <w:rPr>
          <w:b/>
        </w:rPr>
      </w:pPr>
      <w:bookmarkStart w:id="7" w:name="_Toc431823819"/>
      <w:r w:rsidRPr="00B35A73">
        <w:rPr>
          <w:b/>
        </w:rPr>
        <w:t>Gestionarea riscurilor</w:t>
      </w:r>
      <w:bookmarkEnd w:id="7"/>
      <w:r w:rsidRPr="00B35A73">
        <w:rPr>
          <w:b/>
        </w:rPr>
        <w:t xml:space="preserve"> </w:t>
      </w:r>
    </w:p>
    <w:p w:rsidR="00A053E6" w:rsidRPr="00E30790" w:rsidRDefault="00A053E6" w:rsidP="00A053E6">
      <w:r w:rsidRPr="00E30790">
        <w:t>Îmbunătățirea gestionării riscurilor reprezintă un element important al unei strategii eficace de combatere a fraudei și a evaziunii fiscale. Administrațiile fiscale se confruntă cu un număr mare de riscuri foarte diferite. Acestea pot include, printre altele, riscul de neconformare, inclusiv riscul de fraudă fiscală și riscul insolvenței contribuabilului. Pentru atingerea unui nivel mai ridicat de gestionare a riscurilor în toate statele membre și pentru a le ajuta pe acestea să reducă deficitul de încasare a taxelor, Comisia va oferi mai mult sprijin în domeniul gestionării riscurilor prin schimbul de bune practici administrative. Trebuie să se acorde o atenție specială gestionării riscurilor în legătură cu schimbul automat de informații după schimburile efectuate în temeiul legislației UE privind cooperarea administrativă.</w:t>
      </w:r>
    </w:p>
    <w:p w:rsidR="00A053E6" w:rsidRPr="00E30790" w:rsidRDefault="00A053E6" w:rsidP="00A053E6">
      <w:pPr>
        <w:rPr>
          <w:rFonts w:eastAsia="Calibri"/>
        </w:rPr>
      </w:pPr>
      <w:r w:rsidRPr="00E30790">
        <w:t>Pentru a spori eficacitatea acțiunilor atât de la nivelul UE, cât și de la nivelul statelor membre, precum și pentru a limita sarcinile impuse statelor membre prin obligațiile de a furniza informații și alte forme de asistență reciprocă, trebuie să se examineze dacă și în ce mod pot fi folosite toate informațiile partajate între statele membre în cadrul tuturor domeniilor fiscale (înregistrare, declarare, colectare, asigurarea respectării legii). Astfel, se vor evita situațiile în care unele state membre solicită altor state membre informații pe care le-au primit deja, însă în baza unui alt temei juridic. În același timp, utilizarea tuturor informațiilor disponibile va conduce la îmbunătățirea calității instrumentelor de gestionare a riscurilor.</w:t>
      </w:r>
    </w:p>
    <w:p w:rsidR="00A053E6" w:rsidRPr="00B35A73" w:rsidRDefault="00A053E6" w:rsidP="00A053E6">
      <w:pPr>
        <w:pStyle w:val="NumPar2"/>
        <w:numPr>
          <w:ilvl w:val="1"/>
          <w:numId w:val="37"/>
        </w:numPr>
        <w:rPr>
          <w:b/>
        </w:rPr>
      </w:pPr>
      <w:bookmarkStart w:id="8" w:name="_Toc431823820"/>
      <w:r w:rsidRPr="00B35A73">
        <w:rPr>
          <w:b/>
        </w:rPr>
        <w:t>Cooperarea dintre administrațiile fiscale</w:t>
      </w:r>
      <w:bookmarkEnd w:id="8"/>
      <w:r w:rsidRPr="00B35A73">
        <w:rPr>
          <w:b/>
        </w:rPr>
        <w:t xml:space="preserve"> și alte administrații și autorități, inclusiv cele vamale </w:t>
      </w:r>
    </w:p>
    <w:p w:rsidR="00A053E6" w:rsidRPr="00E30790" w:rsidRDefault="00A053E6" w:rsidP="00A053E6">
      <w:pPr>
        <w:rPr>
          <w:rFonts w:eastAsia="Calibri"/>
        </w:rPr>
      </w:pPr>
      <w:r w:rsidRPr="00E30790">
        <w:t xml:space="preserve">Obiectivul primar al autorităților fiscale este de a colecta impozitele în conformitate cu legea și de a combate frauda în materie de TVA cu măsuri administrative. Cu toate acestea, în cele mai grave cazuri, organizațiile criminale stabilesc scheme sofisticate pentru obținerea de fonduri din bugetele naționale la scară mai mare prin intermediul fraudei intracomunitare cu firme „fantomă” (MTIC), reinvestesc sumele obținute din fraudă fiscală în alte activități infracționale sau de spălare de bani. Din acest motiv, este necesar ca, în contextul colectării impozitelor și al combaterii fraudei într-un mediu economic mondial, pe de o parte administrațiile fiscale să coopereze și să își ofere reciproc asistență și, pe de altă parte, să existe o cooperare puternică cu alte administrații și autorități. </w:t>
      </w:r>
    </w:p>
    <w:p w:rsidR="00A053E6" w:rsidRPr="00E30790" w:rsidRDefault="00A053E6" w:rsidP="00A053E6">
      <w:pPr>
        <w:rPr>
          <w:rFonts w:eastAsia="Calibri"/>
        </w:rPr>
      </w:pPr>
      <w:r w:rsidRPr="00E30790">
        <w:t>Adoptarea Directivei (UE) 2017/1317 privind combaterea fraudelor îndreptate împotriva intereselor financiare ale Uniunii prin mijloace de drept penal la 5 iulie 2017 și adoptarea Regulamentului (UE) 2017/1939 de punere în aplicare a unei forme de cooperare consolidată în ceea ce privește instituirea Parchetului European (EPPO) la 12 octombrie 2017 de douăzeci de state membre sunt importante în acest scop.</w:t>
      </w:r>
    </w:p>
    <w:p w:rsidR="00A053E6" w:rsidRPr="00E30790" w:rsidRDefault="00A053E6" w:rsidP="00A053E6">
      <w:pPr>
        <w:rPr>
          <w:rFonts w:eastAsia="Calibri"/>
        </w:rPr>
      </w:pPr>
      <w:r w:rsidRPr="00E30790">
        <w:t>Administrațiile fiscale trebuie să utilizeze strategii și structuri pentru a coopera cu alte administrații și autorități naționale, precum și cu servicii UE, în așa fel încât să asigure reducerea la minimum a neconformității cu legislația fiscală sau a fraudei fiscale. Planul de acțiune privind TVA – Către un spațiu unic pentru TVA în UE – Momentul deciziei – propune acțiuni pentru sprijinirea unei cooperări mai strânse între diferitele autorități.</w:t>
      </w:r>
    </w:p>
    <w:p w:rsidR="00A053E6" w:rsidRPr="00B35A73" w:rsidRDefault="00A053E6" w:rsidP="00A053E6">
      <w:pPr>
        <w:rPr>
          <w:rFonts w:eastAsia="Calibri"/>
          <w:b/>
        </w:rPr>
      </w:pPr>
      <w:r w:rsidRPr="00E30790">
        <w:t xml:space="preserve"> Modificările Regulamentului 904/2010 conțin mai multe instrumente menite să îmbunătățească această cooperare și să permită ambelor autorități să își îndeplinească atribuțiile în mod corespunzător și eficient. În consecință, în cursul anului 2019 vor fi dezvoltate instrumente informatice care să permită începerea funcționării la 1 ianuarie 2020. În plus, se va înființa un grup de proiect comun în domeniul fiscal/vamal care să elaboreze un ghid de audit referitor la regimul vamal 42. În cele din urmă, este în curs de redactare un document de reflecție care definește moduri de îmbunătățire a cooperării din perspectivă operațională și care va conduce la un dialog structurat și la acțiuni concrete în 2019.</w:t>
      </w:r>
      <w:bookmarkStart w:id="9" w:name="_Toc431823821"/>
    </w:p>
    <w:p w:rsidR="00A053E6" w:rsidRPr="00B35A73" w:rsidRDefault="00A053E6" w:rsidP="00A053E6">
      <w:pPr>
        <w:rPr>
          <w:rFonts w:eastAsia="Calibri"/>
          <w:b/>
        </w:rPr>
      </w:pPr>
    </w:p>
    <w:p w:rsidR="00A053E6" w:rsidRPr="00B35A73" w:rsidRDefault="00A053E6" w:rsidP="00A053E6">
      <w:pPr>
        <w:pStyle w:val="NumPar1"/>
        <w:numPr>
          <w:ilvl w:val="0"/>
          <w:numId w:val="37"/>
        </w:numPr>
        <w:rPr>
          <w:rFonts w:eastAsia="Calibri"/>
          <w:b/>
        </w:rPr>
      </w:pPr>
      <w:r w:rsidRPr="00B35A73">
        <w:rPr>
          <w:b/>
        </w:rPr>
        <w:t>SPRIJINIREA PUNERII ÎN APLICARE A DREPTULUI UNIUNII ÎN DOMENIUL IMPOZITĂRII PRIN SECURIZAREA SCHIMBULUI DE INFORMAȚII CA URMARE A CONSOLIDĂRII SISTEMELOR DE INFORMAȚII EUROPENE</w:t>
      </w:r>
      <w:bookmarkEnd w:id="9"/>
    </w:p>
    <w:p w:rsidR="00A053E6" w:rsidRPr="00E30790" w:rsidRDefault="00A053E6" w:rsidP="00A053E6">
      <w:pPr>
        <w:rPr>
          <w:rFonts w:eastAsia="Calibri"/>
        </w:rPr>
      </w:pPr>
      <w:r w:rsidRPr="00E30790">
        <w:t>Această rubrică include proiecte menite să susțină dezvoltarea, întreținerea și exploatarea sistemelor de informații europene (SIE). SIE au un rol esențial în interconectarea autorităților fiscale și, astfel, în facilitarea coexistenței celor 28 de sisteme fiscale din Uniune. Acestea permit schimbul rapid de informații, într-un format comun, care poate fi recunoscut de toate statele membre. O Rețea comună de comunicații/Interfață comună a sistemelor (CCN/CSI) închisă și securizată facilitează acest schimb de informații.</w:t>
      </w:r>
    </w:p>
    <w:p w:rsidR="00A053E6" w:rsidRPr="00E30790" w:rsidRDefault="00A053E6" w:rsidP="00A053E6">
      <w:pPr>
        <w:rPr>
          <w:bCs/>
        </w:rPr>
      </w:pPr>
      <w:r w:rsidRPr="00E30790">
        <w:t>Această rubrică abordează și problema reprezentată de faptul că SIE fiscale sau sistemele informatice naționale sunt dezvoltate deseori în mod izolat atât din punct de vedere geografic, cât și din perspectiva capacității de reutilizare, iar prin intermediul programului sunt puse în practică abordări alternative. Pentru a se intensifica în special lupta împotriva fraudei în domeniul TVA, este esențial și trebuie avut în vedere un schimb eficient de informații, inclusiv prin explorarea posibilităților de interconectare cu organismele de aplicare a legii.</w:t>
      </w:r>
    </w:p>
    <w:p w:rsidR="00A053E6" w:rsidRPr="00B35A73" w:rsidRDefault="00A053E6" w:rsidP="00A053E6">
      <w:pPr>
        <w:pStyle w:val="NumPar2"/>
        <w:numPr>
          <w:ilvl w:val="1"/>
          <w:numId w:val="37"/>
        </w:numPr>
        <w:rPr>
          <w:b/>
        </w:rPr>
      </w:pPr>
      <w:bookmarkStart w:id="10" w:name="_Toc431823822"/>
      <w:r w:rsidRPr="00B35A73">
        <w:rPr>
          <w:b/>
        </w:rPr>
        <w:t>Dezvoltarea, exploatarea, întreținerea și sprijinirea orizontală a sistemelor de informații europene (SIE)</w:t>
      </w:r>
      <w:bookmarkEnd w:id="10"/>
    </w:p>
    <w:p w:rsidR="00A053E6" w:rsidRPr="00E30790" w:rsidRDefault="00A053E6" w:rsidP="00A053E6">
      <w:pPr>
        <w:rPr>
          <w:rFonts w:eastAsia="Calibri"/>
        </w:rPr>
      </w:pPr>
      <w:r w:rsidRPr="00E30790">
        <w:t>Pentru punerea în aplicare a politicii fiscale a UE, sunt necesare dezvoltarea, exploatarea, întreținerea și sprijinirea orizontală a sistemelor de informații europene (SIE) existente sau noi. Trebuie să se asigure continuitatea, integritatea și disponibilitatea sistemelor informatice existente, precum și întreținerea corectivă și evoluția acestora. Trebuie să fie disponibil un mediu operațional care îndeplinește cerințele SIE.</w:t>
      </w:r>
    </w:p>
    <w:p w:rsidR="00A053E6" w:rsidRPr="00E30790" w:rsidRDefault="00A053E6" w:rsidP="00A053E6">
      <w:pPr>
        <w:rPr>
          <w:rFonts w:eastAsia="Calibri"/>
        </w:rPr>
      </w:pPr>
      <w:r w:rsidRPr="00E30790">
        <w:t>De asemenea, este necesar să se asigure calitatea generală a SIE prin îmbunătățirea maturității acestora. Sunt necesare gestionarea eficientă a proiectelor, obținerea de rezultate la timp și respectarea bugetului. Serviciile trebuie să fie furnizate conform așteptărilor în cadrul metodologiei TEMPO. Trebuie respectate cerințele de securitate. Politica de securitate a SIE pentru domeniul fiscal trebuie să respecte instrumentele juridice în domeniul fiscal. Utilizarea standardelor și a bunelor practici, inclusiv aspectele legate de securitate în dezvoltarea, instalarea și exploatarea SIE pentru domeniul fiscal, trebuie să fie sprijinită și îmbunătățită în continuare.</w:t>
      </w:r>
    </w:p>
    <w:p w:rsidR="00A053E6" w:rsidRPr="00E30790" w:rsidRDefault="00A053E6" w:rsidP="00A053E6">
      <w:pPr>
        <w:rPr>
          <w:rFonts w:eastAsia="Calibri"/>
        </w:rPr>
      </w:pPr>
      <w:r w:rsidRPr="00E30790">
        <w:t>În fine, o aplicație centrală pentru formulare electronice va înlocui aplicațiile actuale legate de formularele electronice, pentru care dezvoltarea, exploatarea și întreținerea la nivel național implică costuri ridicate și mult timp. În plus, o astfel de platformă informatică ar putea fi utilizată și în alte scopuri, cum ar fi actualizarea rapidă a informațiilor din profilul țărilor sau ca instrument de gestionare și de statistică.</w:t>
      </w:r>
    </w:p>
    <w:p w:rsidR="00A053E6" w:rsidRPr="00B35A73" w:rsidRDefault="00A053E6" w:rsidP="00A053E6">
      <w:pPr>
        <w:pStyle w:val="NumPar2"/>
        <w:keepNext/>
        <w:numPr>
          <w:ilvl w:val="1"/>
          <w:numId w:val="37"/>
        </w:numPr>
        <w:rPr>
          <w:b/>
        </w:rPr>
      </w:pPr>
      <w:bookmarkStart w:id="11" w:name="_Toc431823823"/>
      <w:r w:rsidRPr="00B35A73">
        <w:rPr>
          <w:b/>
        </w:rPr>
        <w:t>Colaborarea în domeniul tehnologiei informației</w:t>
      </w:r>
      <w:bookmarkEnd w:id="11"/>
      <w:r w:rsidRPr="00B35A73">
        <w:rPr>
          <w:b/>
        </w:rPr>
        <w:t xml:space="preserve"> </w:t>
      </w:r>
    </w:p>
    <w:p w:rsidR="00A053E6" w:rsidRPr="00E30790" w:rsidRDefault="00A053E6" w:rsidP="00A053E6">
      <w:pPr>
        <w:keepNext/>
        <w:rPr>
          <w:rFonts w:eastAsia="Calibri"/>
        </w:rPr>
      </w:pPr>
      <w:r w:rsidRPr="00E30790">
        <w:t xml:space="preserve">În prezent, SIE pentru domeniul fiscal sunt dezvoltate la nivel național, în cea mai mare parte, în mod izolat atât din punct de vedere geografic, cât și din perspectiva capacității de reutilizare. Acest aspect afectează capacitatea sistemelor informatice de a obține rezultate în anii următori. Este necesară o colaborare mai strânsă la nivelul tuturor domeniilor de impozitare și al tuturor statelor membre pentru reunirea cerințelor și a expertizei, sporindu-se astfel semnificativ eficiența din punctul de vedere al costurilor și calitatea SIE pentru domeniul fiscal. O colaborare organizată în domeniul tehnologiei informației va permite creșterea numărului de activități informatice comune ale statelor membre, precum și creșterea numărului de componente reutilizabile din diferitele domenii de impozitare. Aceasta ar reduce costurile de implementare, instalare și exploatare a sistemelor informatice în statele membre, oferind în același timp o calitate superioară și flexibilitate în a răspunde așteptărilor legate de politicile UE. </w:t>
      </w:r>
    </w:p>
    <w:p w:rsidR="00A053E6" w:rsidRPr="00B35A73" w:rsidRDefault="00A053E6" w:rsidP="00A053E6">
      <w:pPr>
        <w:rPr>
          <w:rFonts w:eastAsia="Calibri"/>
          <w:b/>
        </w:rPr>
      </w:pPr>
      <w:r w:rsidRPr="00E30790">
        <w:t xml:space="preserve">Comisia va continua să promoveze, să faciliteze și să sprijine inițiativele de colaborare în domeniul tehnologiei informației din rândul statelor membre interesate, cu obiectivul global de a susține punerea în aplicare eficientă și eficace a dreptului Uniunii în domeniul fiscal. </w:t>
      </w:r>
      <w:bookmarkStart w:id="12" w:name="_Toc431823824"/>
    </w:p>
    <w:p w:rsidR="00A053E6" w:rsidRPr="00B35A73" w:rsidRDefault="00A053E6" w:rsidP="00A053E6">
      <w:pPr>
        <w:rPr>
          <w:rFonts w:eastAsia="Calibri"/>
          <w:b/>
        </w:rPr>
      </w:pPr>
    </w:p>
    <w:p w:rsidR="00A053E6" w:rsidRPr="00B35A73" w:rsidRDefault="00A053E6" w:rsidP="00A053E6">
      <w:pPr>
        <w:pStyle w:val="NumPar1"/>
        <w:keepNext/>
        <w:keepLines/>
        <w:numPr>
          <w:ilvl w:val="0"/>
          <w:numId w:val="37"/>
        </w:numPr>
        <w:ind w:left="851" w:hanging="851"/>
        <w:rPr>
          <w:rFonts w:eastAsia="Calibri"/>
          <w:b/>
        </w:rPr>
      </w:pPr>
      <w:r w:rsidRPr="00B35A73">
        <w:rPr>
          <w:b/>
        </w:rPr>
        <w:t>SPRIJINIREA PUNERII ÎN APLICARE A DREPTULUI UNIUNII ÎN DOMENIUL FISCAL PRIN SPRIJINIREA COOPERĂRII ADMINISTRATIVE</w:t>
      </w:r>
      <w:bookmarkEnd w:id="12"/>
    </w:p>
    <w:p w:rsidR="00A053E6" w:rsidRPr="00E30790" w:rsidRDefault="00A053E6" w:rsidP="00A053E6">
      <w:pPr>
        <w:rPr>
          <w:rFonts w:eastAsia="Calibri"/>
        </w:rPr>
      </w:pPr>
      <w:r w:rsidRPr="00E30790">
        <w:t xml:space="preserve">În context mondial, frauda fiscală și evaziunea fiscală apar nu doar într-o țară, ci la nivel transfrontalier și dincolo de granițele UE. Acțiunile naționale singulare, necoordonate de combatere a fraudei și evaziunii fiscale și de recuperare a impozitelor datorate nu vor fi eficace. Este important ca între țări să existe coordonare și schimb de informații. Această rubrică cuprinde, prin urmare, proiecte care susțin cooperarea administrativă dintre statele membre și cu țările terțe, astfel cum se prevede în dreptul UE. </w:t>
      </w:r>
    </w:p>
    <w:p w:rsidR="00A053E6" w:rsidRPr="00B35A73" w:rsidRDefault="00A053E6" w:rsidP="00A053E6">
      <w:pPr>
        <w:pStyle w:val="NumPar2"/>
        <w:numPr>
          <w:ilvl w:val="1"/>
          <w:numId w:val="37"/>
        </w:numPr>
        <w:rPr>
          <w:b/>
        </w:rPr>
      </w:pPr>
      <w:bookmarkStart w:id="13" w:name="_Toc431823825"/>
      <w:r w:rsidRPr="00B35A73">
        <w:rPr>
          <w:b/>
        </w:rPr>
        <w:t>Cooperarea administrativă dintre statele membre și cu țările terțe – acțiuni orizontale</w:t>
      </w:r>
      <w:bookmarkEnd w:id="13"/>
    </w:p>
    <w:p w:rsidR="00A053E6" w:rsidRPr="00E30790" w:rsidRDefault="00A053E6" w:rsidP="00A053E6">
      <w:pPr>
        <w:rPr>
          <w:rFonts w:eastAsia="Calibri"/>
        </w:rPr>
      </w:pPr>
      <w:r w:rsidRPr="00E30790">
        <w:t>Legislația Uniunii privind cooperarea administrativă și lupta împotriva fraudei în domeniul impozitelor directe și indirecte oferă statelor membre instrumente juridice și practice pentru a se implica într-o cooperare administrativă eficace [Regulamentul (UE) nr. 904/2010 al Consiliului</w:t>
      </w:r>
      <w:r w:rsidRPr="00E30790">
        <w:rPr>
          <w:rStyle w:val="FootnoteReference"/>
        </w:rPr>
        <w:footnoteReference w:id="38"/>
      </w:r>
      <w:r w:rsidRPr="00E30790">
        <w:t>, Regulamentul (UE) nr. 389/2012 al Consiliului</w:t>
      </w:r>
      <w:r w:rsidRPr="00E30790">
        <w:rPr>
          <w:rStyle w:val="FootnoteReference"/>
        </w:rPr>
        <w:footnoteReference w:id="39"/>
      </w:r>
      <w:r w:rsidRPr="00E30790">
        <w:t xml:space="preserve"> și Directiva 2011/16/UE a Consiliului (DAC1)</w:t>
      </w:r>
      <w:r w:rsidRPr="00E30790">
        <w:rPr>
          <w:rStyle w:val="FootnoteReference"/>
        </w:rPr>
        <w:footnoteReference w:id="40"/>
      </w:r>
      <w:r w:rsidRPr="00E30790">
        <w:t xml:space="preserve"> și modificările acestora]. În special, în ceea ce privește impozitarea directă, cerințele pieței interne și globalizarea din ce în ce mai intensă au generat evoluții ale dispozițiilor legale care reglementează domeniul.</w:t>
      </w:r>
    </w:p>
    <w:p w:rsidR="00A053E6" w:rsidRPr="00E30790" w:rsidRDefault="00A053E6" w:rsidP="00A053E6">
      <w:pPr>
        <w:rPr>
          <w:rFonts w:eastAsia="Calibri"/>
        </w:rPr>
      </w:pPr>
      <w:r w:rsidRPr="00E30790">
        <w:t>În primul rând, Directiva 2011/16/UE a Consiliului (DAC1) a introdus schimbul automat de informații cu privire la anumite categorii de venituri și de capital. În al doilea rând, în cadrul luptei intensificate împotriva evaziunii fiscale, Directiva 2014/107/UE</w:t>
      </w:r>
      <w:r w:rsidRPr="00E30790">
        <w:rPr>
          <w:rStyle w:val="FootnoteReference"/>
        </w:rPr>
        <w:footnoteReference w:id="41"/>
      </w:r>
      <w:r w:rsidRPr="00E30790">
        <w:t xml:space="preserve"> (DAC2) a extins schimbul automat de informații la aspectele financiare între administrațiile fiscale din UE. În al treilea rând, s-a dovedit necesar în cadrul UE să se asigure o abordare mai sistematică și obligatorie a schimbului de informații privind deciziile fiscale anticipate cu aplicare transfrontalieră și la acordurile de preț în avans. Directiva 2015/2376/UE (DAC3) a introdus schimbul automat de informații în acest domeniu. Directiva 2016/881/UE</w:t>
      </w:r>
      <w:r w:rsidRPr="00E30790">
        <w:rPr>
          <w:rStyle w:val="FootnoteReference"/>
        </w:rPr>
        <w:footnoteReference w:id="42"/>
      </w:r>
      <w:r w:rsidRPr="00E30790">
        <w:t xml:space="preserve"> (DAC4) introduce raportarea defalcată pe țări cu privire la anumite informații financiare, în conformitate cu evoluțiile internaționale din cadrul OCDE, respectiv acțiunea 13 din planul de acțiune al OCDE privind erodarea bazei impozabile și transferul profiturilor (BEPS). O mică modificare adusă Directivei 2016/2258/UE</w:t>
      </w:r>
      <w:r w:rsidRPr="00E30790">
        <w:rPr>
          <w:rStyle w:val="FootnoteReference"/>
        </w:rPr>
        <w:footnoteReference w:id="43"/>
      </w:r>
      <w:r w:rsidRPr="00E30790">
        <w:t xml:space="preserve"> asigură că autoritățile fiscale au acces la informații despre proprietatea efectivă colectate în temeiul legislației privind combaterea spălării banilor (DAC5). În fine, Directiva 2018/822/UE a introdus noi reguli de transparență pentru intermediarii care concep, promovează, vând și implementează scheme de planificare fiscală transfrontalieră agresivă, solicitându-le să raporteze anumite scheme administrațiilor lor fiscale (autorităților competente), care schimbă ulterior automat aceste informații cu toate celelalte state membre ale UE, încărcându-le într-un director central care urmează să fie pus la dispoziție de Comisie (DAC6). </w:t>
      </w:r>
    </w:p>
    <w:p w:rsidR="00A053E6" w:rsidRPr="00E30790" w:rsidRDefault="00A053E6" w:rsidP="00A053E6">
      <w:pPr>
        <w:rPr>
          <w:rFonts w:eastAsia="Calibri"/>
        </w:rPr>
      </w:pPr>
      <w:r w:rsidRPr="00E30790">
        <w:t>La nivel internațional și având în vedere experiența sa îndelungată în cooperarea administrativă, UE combate frauda și evaziunea fiscală prin furnizarea de cunoștințe de specialitate și participarea activă la lucrările Grupurilor de lucru 2 și 10 ale OCDE și ale Forumului mondial privind transparența și schimburile de informații în scopuri fiscale (denumit în continuare „Forumul mondial”). Acestor foruri le revine responsabilitatea de a pune în aplicare în rândul membrilor lor standardele internaționale privind transparența și schimbul de informații.</w:t>
      </w:r>
    </w:p>
    <w:p w:rsidR="00A053E6" w:rsidRPr="00E30790" w:rsidRDefault="00A053E6" w:rsidP="00A053E6">
      <w:pPr>
        <w:rPr>
          <w:rFonts w:eastAsia="Calibri"/>
        </w:rPr>
      </w:pPr>
      <w:r w:rsidRPr="00E30790">
        <w:t>În plus, pe măsură ce depun eforturi pentru a-și coordona politicile fiscale în interiorul pieței unice, pentru a contracara practicile fiscale abuzive și pentru a asigura impozitarea eficace, statele membre trebuie să soluționeze și problema abordărilor lor divergente în ceea ce privește combaterea amenințărilor externe legate de erodarea bazei impozabile. O Comunicare a Comisiei</w:t>
      </w:r>
      <w:r w:rsidRPr="00E30790">
        <w:rPr>
          <w:rStyle w:val="FootnoteReference"/>
        </w:rPr>
        <w:footnoteReference w:id="44"/>
      </w:r>
      <w:r w:rsidRPr="00E30790">
        <w:t xml:space="preserve"> din 2016 a propus un cadru pentru o nouă strategie externă a UE privind impozitarea eficace. În comunicare sunt identificate măsuri-cheie care pot ajuta UE să promoveze buna guvernanță fiscală la nivel global, să combată amenințările externe legate de erodarea bazei impozabile și să asigure condiții echitabile pentru toate întreprinderile. </w:t>
      </w:r>
    </w:p>
    <w:p w:rsidR="00A053E6" w:rsidRPr="00E30790" w:rsidRDefault="00A053E6" w:rsidP="00A053E6">
      <w:pPr>
        <w:rPr>
          <w:rFonts w:eastAsia="Calibri"/>
        </w:rPr>
      </w:pPr>
      <w:r w:rsidRPr="00E30790">
        <w:t>Acordul UE-Norvegia în domeniul TVA va intra în vigoare în septembrie 2018. În 2019, vor trebui adoptate măsurile de punere în aplicare, de către comitetul mixt prevăzut de același acord. Norvegia va trebui să achite anual o contribuție pentru utilizarea componentelor electronice ale sistemelor UE (și anume, CCN/CSI).</w:t>
      </w:r>
    </w:p>
    <w:p w:rsidR="00A053E6" w:rsidRPr="00B35A73" w:rsidRDefault="00A053E6" w:rsidP="00A053E6">
      <w:pPr>
        <w:pStyle w:val="NumPar2"/>
        <w:numPr>
          <w:ilvl w:val="1"/>
          <w:numId w:val="37"/>
        </w:numPr>
        <w:rPr>
          <w:b/>
        </w:rPr>
      </w:pPr>
      <w:bookmarkStart w:id="14" w:name="_Toc431823826"/>
      <w:r w:rsidRPr="00B35A73">
        <w:rPr>
          <w:b/>
        </w:rPr>
        <w:t>Cooperarea administrativă dintre statele membre și cu țările terțe – schimbul de informații</w:t>
      </w:r>
      <w:bookmarkEnd w:id="14"/>
    </w:p>
    <w:p w:rsidR="00A053E6" w:rsidRPr="00E30790" w:rsidRDefault="00A053E6" w:rsidP="00A053E6">
      <w:pPr>
        <w:rPr>
          <w:rFonts w:eastAsia="Calibri"/>
        </w:rPr>
      </w:pPr>
      <w:r w:rsidRPr="00E30790">
        <w:t xml:space="preserve">În temeiul legislației Uniunii cu privire la cooperarea administrativă, Comisia sprijină statele membre în eforturile lor de se implica într-o cooperare administrativă eficace, prin dotarea acestora cu instrumentele practice de care au nevoie, cum ar fi formate electronice pentru schimbul de informații și canale de comunicare securizate. Este necesară îmbunătățirea instrumentelor existente pentru schimbul de informații, dezvoltarea unor instrumente noi în funcție de evoluția legislației și promovarea celei mai eficace utilizări a instrumentelor informatice practice. </w:t>
      </w:r>
    </w:p>
    <w:p w:rsidR="00A053E6" w:rsidRPr="00E30790" w:rsidRDefault="00A053E6" w:rsidP="00A053E6">
      <w:pPr>
        <w:rPr>
          <w:rFonts w:eastAsia="Calibri"/>
        </w:rPr>
      </w:pPr>
      <w:r w:rsidRPr="00E30790">
        <w:t>În domeniul impozitării directe, cooperarea administrativă cu țările terțe este, de asemenea, importantă, deoarece contribuabilii devin din ce în ce mai mobili, numărul de tranzacții transfrontaliere crește, iar piețele de capital dobândesc o dimensiune mondială. Prin urmare, se adoptă numeroase inițiative la nivel internațional, de exemplu Standardul pentru schimbul automat de informații privind conturile financiare și BEPS. Comisia va oferi asistență statelor membre pentru implementarea în mod adecvat și cu promptitudine a acestor acțiuni în Uniunea Europeană. Concluziile raportului Comisiei privind schimbul automat de informații (AEOI) care trebuie să fie prezentate Consiliului și Parlamentului European până la sfârșitul anului 2018, precum și constatările evaluării mai cuprinzătoare a cooperării administrative așteptate în aprilie 2019 ar trebui să contribuie la coordonarea activităților din 2019 din cadrul programului Fiscalis 2020 în ceea ce privește cooperarea administrativă în materie de impozitare directă și AEOI.</w:t>
      </w:r>
    </w:p>
    <w:p w:rsidR="00A053E6" w:rsidRPr="00E30790" w:rsidRDefault="00A053E6" w:rsidP="00A053E6">
      <w:pPr>
        <w:rPr>
          <w:rFonts w:eastAsia="Calibri"/>
        </w:rPr>
      </w:pPr>
      <w:r w:rsidRPr="00E30790">
        <w:t xml:space="preserve">În domeniul impozitării indirecte, este necesară o abordare la nivelul UE care să urmărească stabilirea unei cooperări administrative cu țările terțe în materie de TVA. Această cooperare ar trebui să includă și cooperarea în domeniul recuperării. </w:t>
      </w:r>
    </w:p>
    <w:p w:rsidR="00A053E6" w:rsidRPr="00B35A73" w:rsidRDefault="00A053E6" w:rsidP="00A053E6">
      <w:pPr>
        <w:pStyle w:val="NumPar2"/>
        <w:numPr>
          <w:ilvl w:val="1"/>
          <w:numId w:val="37"/>
        </w:numPr>
        <w:rPr>
          <w:b/>
        </w:rPr>
      </w:pPr>
      <w:bookmarkStart w:id="15" w:name="_Toc431823827"/>
      <w:r w:rsidRPr="00B35A73">
        <w:rPr>
          <w:b/>
        </w:rPr>
        <w:t>Mijloacele de cooperare administrativă, altele decât schimbul de informații</w:t>
      </w:r>
      <w:bookmarkEnd w:id="15"/>
    </w:p>
    <w:p w:rsidR="00A053E6" w:rsidRPr="00E30790" w:rsidRDefault="00A053E6" w:rsidP="00A053E6">
      <w:pPr>
        <w:rPr>
          <w:rFonts w:eastAsia="Calibri"/>
        </w:rPr>
      </w:pPr>
      <w:r w:rsidRPr="00E30790">
        <w:t>Pe lângă schimbul de informații, legislația Uniunii cu privire la cooperarea administrativă oferă, de asemenea, statelor membre alte mijloace de cooperare administrativă, de exemplu controale multilaterale, prezențe în birourile administrative și participarea la anchetele administrative. Este necesar să se îmbunătățească utilizarea acestor mijloace de cooperare administrativă, precum și funcționarea acestora, prin identificarea și difuzarea bunelor practici de organizare în toate domeniile fiscale, prin tehnici mai eficiente de gestionare a proiectelor, prin îmbunătățirea comunicării și utilizarea sporită a criteriilor de risc și a indicatorilor de reușită. Mai mult decât atât, ar trebui să se asigure coordonarea între EUROFISC și controalele multilaterale (MLC).</w:t>
      </w:r>
    </w:p>
    <w:p w:rsidR="00A053E6" w:rsidRPr="00E30790" w:rsidRDefault="00A053E6" w:rsidP="00A053E6">
      <w:pPr>
        <w:rPr>
          <w:rFonts w:eastAsia="Calibri"/>
        </w:rPr>
      </w:pPr>
      <w:r w:rsidRPr="00E30790">
        <w:t>Modificările aduse Regulamentului (UE) nr. 904/2010 includ, de asemenea, două instrumente noi de cooperare administrativă: anchete administrative obligatorii și anchete administrative efectuate în comun. Până în prezent, aceste posibilități nu există și vor necesita eforturi comune împreună cu statele membre pentru a se asigura că aceste instrumente se aplică și furnizează rezultatele așteptate. În acest scop, se au în vedere grupuri de proiect care implică statele membre selectate, cu obiectivul de a realiza ghiduri de procedură care să încadreze modalitățile în care ele pot fi utilizate.</w:t>
      </w:r>
      <w:r w:rsidR="00B35A73">
        <w:t xml:space="preserve"> </w:t>
      </w:r>
    </w:p>
    <w:p w:rsidR="00A053E6" w:rsidRPr="00B35A73" w:rsidRDefault="00A053E6" w:rsidP="00A053E6">
      <w:pPr>
        <w:pStyle w:val="NumPar2"/>
        <w:keepNext/>
        <w:numPr>
          <w:ilvl w:val="1"/>
          <w:numId w:val="37"/>
        </w:numPr>
        <w:rPr>
          <w:b/>
        </w:rPr>
      </w:pPr>
      <w:bookmarkStart w:id="16" w:name="_Toc431823828"/>
      <w:r w:rsidRPr="00B35A73">
        <w:rPr>
          <w:b/>
        </w:rPr>
        <w:t>Asistența reciprocă în ceea ce privește recuperarea și colectarea și recuperarea impozitelor la nivel național</w:t>
      </w:r>
      <w:bookmarkEnd w:id="16"/>
    </w:p>
    <w:p w:rsidR="00A053E6" w:rsidRPr="00E30790" w:rsidRDefault="00A053E6" w:rsidP="00A053E6">
      <w:pPr>
        <w:keepNext/>
        <w:rPr>
          <w:rFonts w:eastAsia="Calibri"/>
        </w:rPr>
      </w:pPr>
      <w:r w:rsidRPr="00E30790">
        <w:t>De la 1 ianuarie 2012, statele membre aplică Directiva 2010/24/UE a Consiliului privind asistența reciprocă în materie de recuperare</w:t>
      </w:r>
      <w:r w:rsidRPr="00E30790">
        <w:rPr>
          <w:rStyle w:val="FootnoteReference"/>
        </w:rPr>
        <w:footnoteReference w:id="45"/>
      </w:r>
      <w:r w:rsidRPr="00E30790">
        <w:t>. Un raport de evaluare privind utilizarea acestei directive a fost prezentat Consiliului și Parlamentului European în 2017</w:t>
      </w:r>
      <w:r w:rsidRPr="00E30790">
        <w:rPr>
          <w:rStyle w:val="FootnoteReference"/>
        </w:rPr>
        <w:footnoteReference w:id="46"/>
      </w:r>
      <w:r w:rsidRPr="00E30790">
        <w:t>. Concluziile acestui raport și orientările oferite de dezbaterea cu statele membre ar trebui să contribuie la coordonarea activităților din 2019 din cadrul programului Fiscalis 2020 cu privire la colectarea și recuperarea impozitelor.</w:t>
      </w:r>
    </w:p>
    <w:p w:rsidR="00A053E6" w:rsidRPr="00E30790" w:rsidRDefault="00A053E6" w:rsidP="00A053E6">
      <w:pPr>
        <w:keepNext/>
        <w:rPr>
          <w:rFonts w:eastAsia="Calibri"/>
        </w:rPr>
      </w:pPr>
      <w:r w:rsidRPr="00E30790">
        <w:t>Activitățile ar trebui să sporească gradul de sensibilizare cu privire la posibilitățile de consolidare a colectării și recuperării impozitelor la nivel național – ca o condiție prealabilă pentru o mai bună reușită a asistenței în materie de recuperare – și să îmbunătățească funcționarea cadrului Uniunii privind asistența în materie de recuperare. În acest sens, ar trebui să se analizeze, de asemenea, dacă și cum ar putea fi îmbunătățite aceste rezultate printr-o cooperare extinsă (de exemplu, cu alte autorități competente în materie de recuperare sau cu țări terțe). În același timp, activitățile ar putea să contribuie la creșterea nivelului de conformare fiscală și a respectării drepturilor contribuabililor. În ceea ce privește acest aspect, ar putea fi implicate organizații profesionale, contribuabili și alte părți interesate.</w:t>
      </w:r>
    </w:p>
    <w:p w:rsidR="00A053E6" w:rsidRPr="00B35A73" w:rsidRDefault="00A053E6" w:rsidP="00A053E6">
      <w:pPr>
        <w:spacing w:before="0" w:after="200" w:line="276" w:lineRule="auto"/>
        <w:jc w:val="left"/>
        <w:rPr>
          <w:rFonts w:eastAsia="Calibri"/>
          <w:b/>
        </w:rPr>
      </w:pPr>
      <w:bookmarkStart w:id="17" w:name="_Toc431823829"/>
    </w:p>
    <w:p w:rsidR="00A053E6" w:rsidRPr="00B35A73" w:rsidRDefault="00A053E6" w:rsidP="00A053E6">
      <w:pPr>
        <w:pStyle w:val="NumPar1"/>
        <w:keepNext/>
        <w:numPr>
          <w:ilvl w:val="0"/>
          <w:numId w:val="37"/>
        </w:numPr>
        <w:rPr>
          <w:rFonts w:eastAsia="Calibri"/>
          <w:b/>
        </w:rPr>
      </w:pPr>
      <w:r w:rsidRPr="00B35A73">
        <w:rPr>
          <w:b/>
        </w:rPr>
        <w:t>SPRIJINIREA PUNERII ÎN APLICARE A DREPTULUI UNIUNII PRIN CONSOLIDAREA CAPACITĂȚII ADMINISTRATIVE A ȚĂRILOR PARTICIPANTE, CU SCOPUL DE A OFERI ASISTENȚĂ PENTRU REDUCEREA SARCINII ADMINISTRATIVE A AUTORITĂȚILOR FISCALE ȘI A COSTURILOR DE CONFORMARE PENTRU CONTRIBUABILI</w:t>
      </w:r>
      <w:bookmarkEnd w:id="17"/>
    </w:p>
    <w:p w:rsidR="00A053E6" w:rsidRPr="00E30790" w:rsidRDefault="00A053E6" w:rsidP="00A053E6">
      <w:pPr>
        <w:keepNext/>
        <w:rPr>
          <w:rFonts w:eastAsia="Calibri"/>
        </w:rPr>
      </w:pPr>
      <w:r w:rsidRPr="00E30790">
        <w:t>Administrațiile și sistemele fiscale ale țărilor participante ar trebui sprijinite și îmbunătățite, pe de o parte, pentru a obține cele mai bune rezultate pentru administrațiile fiscale și contribuabili și, pe de altă parte, pentru consolidarea relației dintre autoritățile fiscale și contribuabili. Această rubrică cuprinde proiectele care vizează aceste scopuri.</w:t>
      </w:r>
    </w:p>
    <w:p w:rsidR="00A053E6" w:rsidRPr="00B35A73" w:rsidRDefault="00A053E6" w:rsidP="00A053E6">
      <w:pPr>
        <w:pStyle w:val="NumPar2"/>
        <w:numPr>
          <w:ilvl w:val="1"/>
          <w:numId w:val="37"/>
        </w:numPr>
        <w:rPr>
          <w:b/>
        </w:rPr>
      </w:pPr>
      <w:bookmarkStart w:id="18" w:name="_Toc431823830"/>
      <w:r w:rsidRPr="00B35A73">
        <w:rPr>
          <w:b/>
        </w:rPr>
        <w:t xml:space="preserve">Buna funcționare a sistemelor fiscale în țările participante la program </w:t>
      </w:r>
      <w:bookmarkEnd w:id="18"/>
    </w:p>
    <w:p w:rsidR="00A053E6" w:rsidRPr="00E30790" w:rsidRDefault="00A053E6" w:rsidP="00A053E6">
      <w:pPr>
        <w:rPr>
          <w:rFonts w:eastAsia="Calibri"/>
        </w:rPr>
      </w:pPr>
      <w:r w:rsidRPr="00E30790">
        <w:t>Sistemele fiscale trebuie să devină mai favorabile creșterii pentru a promova crearea de locuri de muncă și investițiile și pentru a facilita colectarea impozitelor. Este importantă reducerea costurilor și a complexității sistemelor fiscale, concomitent cu eficientizarea acestora. Comisia va încuraja și va sprijini schimbul de bune practici între țările în care este necesară consolidarea sistemelor fiscale pentru a stimula consolidarea fiscală favorabilă creșterii, concomitent cu sporirea conformării și reducerea costurilor pentru contribuabili și administrațiile fiscale.</w:t>
      </w:r>
    </w:p>
    <w:p w:rsidR="00A053E6" w:rsidRPr="00E30790" w:rsidRDefault="00A053E6" w:rsidP="00A053E6">
      <w:pPr>
        <w:rPr>
          <w:rFonts w:eastAsia="Calibri"/>
        </w:rPr>
      </w:pPr>
      <w:r w:rsidRPr="00E30790">
        <w:t>Periodic are loc o coordonare pentru a se asigura complementaritatea dintre Fiscalis 2020 și Programul de reforme structurale, în vederea soluționării solicitărilor de asistență tehnică din partea statelor membre în domeniul fiscal.</w:t>
      </w:r>
    </w:p>
    <w:p w:rsidR="00A053E6" w:rsidRPr="00B35A73" w:rsidRDefault="00A053E6" w:rsidP="00A053E6">
      <w:pPr>
        <w:pStyle w:val="NumPar2"/>
        <w:numPr>
          <w:ilvl w:val="1"/>
          <w:numId w:val="37"/>
        </w:numPr>
        <w:rPr>
          <w:b/>
        </w:rPr>
      </w:pPr>
      <w:bookmarkStart w:id="19" w:name="_Toc431823831"/>
      <w:r w:rsidRPr="00B35A73">
        <w:rPr>
          <w:b/>
        </w:rPr>
        <w:t>Buna funcționare a administrațiilor fiscale în țările participante la program</w:t>
      </w:r>
    </w:p>
    <w:p w:rsidR="00A053E6" w:rsidRPr="00E30790" w:rsidRDefault="00A053E6" w:rsidP="00A053E6">
      <w:pPr>
        <w:rPr>
          <w:rFonts w:eastAsia="Calibri"/>
        </w:rPr>
      </w:pPr>
      <w:r w:rsidRPr="00E30790">
        <w:t xml:space="preserve">Administrațiile fiscale eficiente și eficace sunt esențiale pentru colectarea impozitelor datorate. Administrațiile fiscale trebuie să aibă mecanisme structurale solide și toate trebuie să dispună de aceleași condiții, pentru a se putea asigura o cooperare fără probleme și coexistența a diverse sisteme fiscale pe piața internă. Pentru a sprijini eforturile administrațiilor fiscale, Comisia a pus bazele dialogului strategic al directorilor administrațiilor fiscale în vederea coordonării și urmăririi proiectelor care abordează provocările lor comune. </w:t>
      </w:r>
    </w:p>
    <w:p w:rsidR="00A053E6" w:rsidRPr="00E30790" w:rsidRDefault="00A053E6" w:rsidP="00A053E6">
      <w:pPr>
        <w:rPr>
          <w:rFonts w:eastAsia="Calibri"/>
        </w:rPr>
      </w:pPr>
      <w:r w:rsidRPr="00E30790">
        <w:t>În plus, constituirea unor administrații fiscale și sisteme conexe de încredere este esențială pentru asigurarea unei bune relații cu contribuabilii. Este important să se elimine măsurile fiscale care descurajează exercitarea de către cetățenii Uniunii a dreptului la libera circulație pe piața internă, precum lipsa informațiilor, cu care cetățenii Uniunii se confruntă de multe ori atunci când desfășoară activități la nivel transfrontalier în Uniune. Comunicarea eficace cu privire la activitățile administrațiilor fiscale, în special în legătură cu informațiile pentru cetățeni, va reprezenta un element important în atingerea acestor obiective.</w:t>
      </w:r>
      <w:r w:rsidR="00B35A73">
        <w:t xml:space="preserve"> </w:t>
      </w:r>
      <w:r w:rsidRPr="00E30790">
        <w:t>Comunicarea referitoare la noi acțiuni și evoluții va avea o importanță deosebită.</w:t>
      </w:r>
    </w:p>
    <w:p w:rsidR="00A053E6" w:rsidRPr="00E30790" w:rsidRDefault="00A053E6" w:rsidP="00A053E6">
      <w:pPr>
        <w:rPr>
          <w:rFonts w:eastAsia="Calibri"/>
        </w:rPr>
      </w:pPr>
      <w:r w:rsidRPr="00E30790">
        <w:t xml:space="preserve">Directiva (UE) 2017/1852 stabilește norme privind modul de soluționare a litigiilor dintre statele membre în vederea evitării dublei impuneri pentru întreprinderi și cetățeni. Punerea în aplicare a acestei directive ridică probleme în legătură cu care va fi necesar schimbul de cunoștințe și bune practici. Directiva prevede și înființarea unei comisii consultative compuse din experți naționali și, în temeiul articolului 10 din directivă, posibilitatea înființării unei comisii pentru soluționarea alternativă a litigiilor. </w:t>
      </w:r>
    </w:p>
    <w:p w:rsidR="00A053E6" w:rsidRPr="00E30790" w:rsidRDefault="00A053E6" w:rsidP="00A053E6">
      <w:pPr>
        <w:rPr>
          <w:rFonts w:eastAsia="Calibri"/>
        </w:rPr>
      </w:pPr>
      <w:r w:rsidRPr="00E30790">
        <w:t>În contextul revizuirii programelor de ajustare economică, al procesului de extindere și la solicitarea unui stat membru, Comisia oferă asistență tehnică privind administrarea fiscală. Asistența tehnică privind administrarea fiscală vizează organizarea internă a administrării veniturilor, punerea în aplicare a legislației fiscale și aspecte procedurale cu privire la colectarea impozitelor. Obiectivul acestui tip de asistență este de a sprijini statele să își sporească eficacitatea administrației fiscale și să crească nivelul de conformare fiscală. În ultimii ani, programul este utilizat pentru mai multe misiuni de asistență tehnică în țările participante.</w:t>
      </w:r>
    </w:p>
    <w:p w:rsidR="00A053E6" w:rsidRPr="00E30790" w:rsidRDefault="00A053E6" w:rsidP="00A053E6">
      <w:pPr>
        <w:rPr>
          <w:rFonts w:eastAsia="Calibri"/>
        </w:rPr>
      </w:pPr>
      <w:r w:rsidRPr="00E30790">
        <w:t xml:space="preserve">De asemenea, poate fi oferit sprijin specific pentru punerea în comun a bunelor practici în vederea respectării recomandărilor referitoare la administrarea veniturilor adresate unuia sau mai multor state membre. </w:t>
      </w:r>
    </w:p>
    <w:p w:rsidR="00A053E6" w:rsidRPr="00B35A73" w:rsidRDefault="00A053E6" w:rsidP="00A053E6">
      <w:pPr>
        <w:pStyle w:val="NumPar2"/>
        <w:numPr>
          <w:ilvl w:val="1"/>
          <w:numId w:val="37"/>
        </w:numPr>
        <w:rPr>
          <w:b/>
        </w:rPr>
      </w:pPr>
      <w:bookmarkStart w:id="20" w:name="_Toc431823833"/>
      <w:r w:rsidRPr="00B35A73">
        <w:rPr>
          <w:b/>
        </w:rPr>
        <w:t>Formarea și consolidarea competențelor</w:t>
      </w:r>
      <w:bookmarkEnd w:id="20"/>
      <w:r w:rsidRPr="00B35A73">
        <w:rPr>
          <w:b/>
        </w:rPr>
        <w:t xml:space="preserve"> </w:t>
      </w:r>
    </w:p>
    <w:p w:rsidR="00A053E6" w:rsidRPr="00E30790" w:rsidRDefault="00A053E6" w:rsidP="00A053E6">
      <w:pPr>
        <w:rPr>
          <w:rFonts w:eastAsia="Calibri"/>
        </w:rPr>
      </w:pPr>
      <w:r w:rsidRPr="00E30790">
        <w:t xml:space="preserve">Formarea și dezvoltarea competențelor specialiștilor în domeniul fiscal în Uniunea Europeană urmează de la sine conceptele naționale specifice privind educația și consolidarea resurselor umane ale fiecărei administrații fiscale naționale și, prin urmare, au un caracter foarte fragmentat în cadrul Uniunii Europene. Din perspectiva Uniunii, diferențele care apar în privința performanței personalului necesită mai multe criterii comune de referință privind formarea și consolidarea competențelor în vederea alinierii nivelurilor de cunoștințe și abilități ale specialiștilor din domeniul fiscal și pentru a contribui astfel la obținerea unui nivel mai uniform de performanță fiscală în cadrul Uniunii Europene. </w:t>
      </w:r>
    </w:p>
    <w:p w:rsidR="00A053E6" w:rsidRPr="00E30790" w:rsidRDefault="00A053E6" w:rsidP="00A053E6">
      <w:pPr>
        <w:rPr>
          <w:rFonts w:eastAsia="Calibri"/>
        </w:rPr>
      </w:pPr>
      <w:r w:rsidRPr="00E30790">
        <w:t>Creșterea nivelului de educație și formare a personalului din sectorul public în domeniul fiscal este recunoscută ca fiind un pilon esențial pentru consolidarea eficientă și eficace a capacității administrative în cadrul UE. Pentru a sprijini optimizarea capacității educaționale și de învățare actuale și viitoare a administrațiilor fiscale din Uniunea Europeană, Comisia întreprinde o serie de acțiuni concrete de formare și de dezvoltare a personalului în domeniul fiscal, în cooperare cu administrațiile naționale, anual, pe baza unui Plan de acțiune privind formarea și dezvoltarea pentru perioada 2017-2020, convenit în comun la nivelul Uniunii Europene</w:t>
      </w:r>
      <w:r w:rsidRPr="00E30790">
        <w:rPr>
          <w:rStyle w:val="FootnoteReference"/>
        </w:rPr>
        <w:footnoteReference w:id="47"/>
      </w:r>
      <w:r w:rsidRPr="00E30790">
        <w:t>.</w:t>
      </w:r>
    </w:p>
    <w:p w:rsidR="00A053E6" w:rsidRPr="00E30790" w:rsidRDefault="00A053E6" w:rsidP="00A053E6">
      <w:pPr>
        <w:rPr>
          <w:rFonts w:eastAsia="Calibri"/>
        </w:rPr>
      </w:pPr>
      <w:r w:rsidRPr="00E30790">
        <w:t>Acest plan de acțiune multianual al UE privind formarea și dezvoltarea oferă un cadru pentru o infrastructură comună de educație și formare care sprijină statele membre în asigurarea faptului că personalul acestora deține abilitățile și cunoștințele de care are nevoie pentru a furniza serviciile fiscale optime și cele mai uniforme și pentru a pregăti atât profesioniștii, cât și administrațiile pentru viitoarele provocări cu care se va confrunta domeniul fiscal.</w:t>
      </w:r>
    </w:p>
    <w:p w:rsidR="00A053E6" w:rsidRPr="00E30790" w:rsidRDefault="00A053E6" w:rsidP="00A053E6">
      <w:pPr>
        <w:rPr>
          <w:rFonts w:eastAsia="Calibri"/>
        </w:rPr>
      </w:pPr>
      <w:r w:rsidRPr="00E30790">
        <w:t>Acesta vizează patru obiective-cheie de realizat până la sfârșitul anului 2020:</w:t>
      </w:r>
    </w:p>
    <w:p w:rsidR="00A053E6" w:rsidRPr="00E30790" w:rsidRDefault="00A053E6" w:rsidP="00A053E6">
      <w:pPr>
        <w:pStyle w:val="Point0number"/>
        <w:numPr>
          <w:ilvl w:val="0"/>
          <w:numId w:val="23"/>
        </w:numPr>
      </w:pPr>
      <w:r w:rsidRPr="00E30790">
        <w:t>furnizarea de standarde de referință la nivelul UE prin intermediul cadrelor europene ale competențelor pentru specialiștii din domeniul fiscal;</w:t>
      </w:r>
    </w:p>
    <w:p w:rsidR="00A053E6" w:rsidRPr="00E30790" w:rsidRDefault="00A053E6" w:rsidP="00A053E6">
      <w:pPr>
        <w:pStyle w:val="Point0number"/>
      </w:pPr>
      <w:r w:rsidRPr="00E30790">
        <w:t xml:space="preserve">sprijinirea programelor educaționale comune de referință în domeniul fiscal (vizând nivelurile de formare profesională și academică și formarea competențelor de conducere); </w:t>
      </w:r>
    </w:p>
    <w:p w:rsidR="00A053E6" w:rsidRPr="00E30790" w:rsidRDefault="00A053E6" w:rsidP="00A053E6">
      <w:pPr>
        <w:pStyle w:val="Point0number"/>
      </w:pPr>
      <w:r w:rsidRPr="00E30790">
        <w:t>promovarea formării comune și a dezvoltării în comun a personalului;</w:t>
      </w:r>
    </w:p>
    <w:p w:rsidR="00A053E6" w:rsidRPr="00E30790" w:rsidRDefault="00A053E6" w:rsidP="00A053E6">
      <w:pPr>
        <w:pStyle w:val="Point0number"/>
      </w:pPr>
      <w:r w:rsidRPr="00E30790">
        <w:t xml:space="preserve">consolidarea infrastructurii comune de formare, colaborare în rețea și comunicare. </w:t>
      </w:r>
    </w:p>
    <w:p w:rsidR="00A053E6" w:rsidRPr="00E30790" w:rsidRDefault="00A053E6" w:rsidP="00A053E6">
      <w:pPr>
        <w:rPr>
          <w:rFonts w:eastAsia="Calibri"/>
        </w:rPr>
      </w:pPr>
      <w:r w:rsidRPr="00E30790">
        <w:t xml:space="preserve">În această sferă, programul de formare la nivelul UE se concentrează în mod specific în 2019 pe dezvoltarea conceptelor de formare integrată și de consolidare integrată a performanței personalului pentru administrațiile fiscale din UE și va continua, în special, cu dezvoltarea unui cadru al competențelor al UE dedicat administrațiilor fiscale, a cărui punere în aplicare va începe la jumătatea anului 2019. </w:t>
      </w:r>
    </w:p>
    <w:p w:rsidR="00A053E6" w:rsidRPr="00E30790" w:rsidRDefault="00A053E6" w:rsidP="00A053E6">
      <w:pPr>
        <w:rPr>
          <w:rFonts w:eastAsia="Calibri"/>
        </w:rPr>
      </w:pPr>
      <w:r w:rsidRPr="00E30790">
        <w:t xml:space="preserve">În 2019, prioritatea în ceea ce privește sprijinul pentru formare este acordată domeniilor tematice fiscale, care sunt semnalate (în cadrul diferitelor proiecte tematice) în cadrul prezentului document și care necesită îmbunătățirea coerenței performanțelor personalului din domeniul fiscal, sprijin pentru punerea în aplicare a legislației comune noi sau modificate sau o mai mare nevoie de a face schimb de bune practici și instrumente naționale la nivelul Uniunii. </w:t>
      </w:r>
    </w:p>
    <w:bookmarkEnd w:id="19"/>
    <w:p w:rsidR="00A053E6" w:rsidRPr="00B35A73" w:rsidRDefault="00A053E6" w:rsidP="00A053E6">
      <w:pPr>
        <w:pStyle w:val="NumPar2"/>
        <w:numPr>
          <w:ilvl w:val="1"/>
          <w:numId w:val="37"/>
        </w:numPr>
        <w:rPr>
          <w:b/>
        </w:rPr>
      </w:pPr>
      <w:r w:rsidRPr="00B35A73">
        <w:rPr>
          <w:b/>
        </w:rPr>
        <w:t xml:space="preserve">Proceduri operaționale și metode de lucru </w:t>
      </w:r>
    </w:p>
    <w:p w:rsidR="00A053E6" w:rsidRPr="00E30790" w:rsidRDefault="00A053E6" w:rsidP="00A053E6">
      <w:pPr>
        <w:rPr>
          <w:rFonts w:eastAsia="Calibri"/>
        </w:rPr>
      </w:pPr>
      <w:r w:rsidRPr="00E30790">
        <w:t>Pentru înțelegerea comună și aplicarea coordonată și îmbunătățită a metodelor de lucru în cadrul procedurilor operaționale, sunt necesare cooperarea intensă și sistematică, schimbul de informații și schimbul de bune practici în rândul funcționarilor din domeniul fiscal care desfășoară sarcini operaționale. Printre altele, schimbul de bune practici privind identificarea contribuabililor transfrontalieri în contextul schimbului automat de informații poate conduce la o mai bună administrare fiscală și aplicare a legii în domeniul fiscal, precum și la o colectare mai eficientă a impozitelor, contribuind astfel la reducerea deficitului de încasare a taxelor.</w:t>
      </w:r>
    </w:p>
    <w:p w:rsidR="00A053E6" w:rsidRPr="00E30790" w:rsidRDefault="00A053E6" w:rsidP="00A053E6">
      <w:pPr>
        <w:rPr>
          <w:rFonts w:eastAsia="Calibri"/>
        </w:rPr>
      </w:pPr>
      <w:r w:rsidRPr="00E30790">
        <w:t xml:space="preserve">Tehnologiile, conceptele și abordările moderne pot facilita pentru administrațiile fiscale desfășurarea sarcinilor zilnice, pentru ca acestea să poată soluționa cu eficacitate problemele strategice cu care se confruntă, utilizând resursele disponibile. </w:t>
      </w:r>
    </w:p>
    <w:p w:rsidR="00A053E6" w:rsidRPr="00E30790" w:rsidRDefault="00A053E6" w:rsidP="00A053E6">
      <w:pPr>
        <w:rPr>
          <w:rFonts w:eastAsia="Calibri"/>
        </w:rPr>
      </w:pPr>
      <w:r w:rsidRPr="00E30790">
        <w:t>Capacitatea administrativă a statelor membre trebuie să fie consolidată prin încurajarea utilizării tehnicilor de audit electronic în țările participante și identificarea bunelor practici aferente. Aceste tehnici au ca scop menținerea și îmbunătățirea unei platforme de comunicare și schimburi permanente pentru dezvoltarea unor abordări comune în direcția auditurilor electronice.</w:t>
      </w:r>
    </w:p>
    <w:p w:rsidR="00A053E6" w:rsidRPr="00B35A73" w:rsidRDefault="00A053E6" w:rsidP="00A053E6">
      <w:pPr>
        <w:rPr>
          <w:rFonts w:eastAsia="Calibri"/>
          <w:b/>
        </w:rPr>
      </w:pPr>
      <w:bookmarkStart w:id="21" w:name="_Toc431823834"/>
    </w:p>
    <w:p w:rsidR="00A053E6" w:rsidRPr="00B35A73" w:rsidRDefault="00A053E6" w:rsidP="00A053E6">
      <w:pPr>
        <w:pStyle w:val="NumPar1"/>
        <w:keepNext/>
        <w:numPr>
          <w:ilvl w:val="0"/>
          <w:numId w:val="37"/>
        </w:numPr>
        <w:ind w:left="851" w:hanging="851"/>
        <w:rPr>
          <w:rFonts w:eastAsia="Calibri"/>
          <w:b/>
        </w:rPr>
      </w:pPr>
      <w:r w:rsidRPr="00B35A73">
        <w:rPr>
          <w:b/>
        </w:rPr>
        <w:t>SPRIJINIREA PUNERII ÎN APLICARE A DREPTULUI UNIUNII</w:t>
      </w:r>
      <w:bookmarkEnd w:id="21"/>
    </w:p>
    <w:p w:rsidR="00A053E6" w:rsidRPr="00E30790" w:rsidRDefault="00A053E6" w:rsidP="00A053E6">
      <w:pPr>
        <w:rPr>
          <w:rFonts w:eastAsia="Calibri"/>
        </w:rPr>
      </w:pPr>
      <w:r w:rsidRPr="00E30790">
        <w:t xml:space="preserve">Această rubrică a Programului anual de lucru cuprinde proiecte care au ca scop îmbunătățirea înțelegerii legislației fiscale a Uniunii, în toate domeniile fiscale, pentru sprijinirea punerii în aplicare și a reformei acesteia. Activitățile organizate în cadrul programului vizează în special abordarea evoluțiilor constante din domeniul legislației fiscale și evoluția aplicării dreptului Uniunii de către instanțele de judecată din statele membre și Curtea de Justiție a Uniunii Europene. </w:t>
      </w:r>
    </w:p>
    <w:p w:rsidR="00A053E6" w:rsidRPr="00B35A73" w:rsidRDefault="00A053E6" w:rsidP="00A053E6">
      <w:pPr>
        <w:pStyle w:val="NumPar2"/>
        <w:keepNext/>
        <w:keepLines/>
        <w:numPr>
          <w:ilvl w:val="1"/>
          <w:numId w:val="37"/>
        </w:numPr>
        <w:ind w:left="851" w:hanging="851"/>
        <w:rPr>
          <w:b/>
        </w:rPr>
      </w:pPr>
      <w:bookmarkStart w:id="22" w:name="_Toc431823835"/>
      <w:r w:rsidRPr="00B35A73">
        <w:rPr>
          <w:b/>
        </w:rPr>
        <w:t>Punerea în aplicare uniformă a dreptului Uniunii în domeniul TVA</w:t>
      </w:r>
      <w:bookmarkEnd w:id="22"/>
      <w:r w:rsidRPr="00B35A73">
        <w:rPr>
          <w:b/>
        </w:rPr>
        <w:t xml:space="preserve"> </w:t>
      </w:r>
    </w:p>
    <w:p w:rsidR="00A053E6" w:rsidRPr="00E30790" w:rsidRDefault="00A053E6" w:rsidP="00A053E6">
      <w:pPr>
        <w:rPr>
          <w:rFonts w:eastAsia="Calibri"/>
        </w:rPr>
      </w:pPr>
      <w:r w:rsidRPr="00E30790">
        <w:t>Comisia sprijină înțelegerea și punerea în aplicare uniformă a legislației UE în domeniul TVA (și anume, Directiva 2006/112/CE a Consiliului privind sistemul comun al taxei pe valoarea adăugată</w:t>
      </w:r>
      <w:r w:rsidRPr="00E30790">
        <w:rPr>
          <w:rStyle w:val="FootnoteReference"/>
        </w:rPr>
        <w:footnoteReference w:id="48"/>
      </w:r>
      <w:r w:rsidRPr="00E30790">
        <w:t xml:space="preserve">, astfel cum a fost modificată, și dispozițiile de punere în aplicare a acesteia) și a jurisprudenței Curții de Justiție a Uniunii Europene. </w:t>
      </w:r>
    </w:p>
    <w:p w:rsidR="00A053E6" w:rsidRPr="00E30790" w:rsidRDefault="00A053E6" w:rsidP="00A053E6">
      <w:pPr>
        <w:rPr>
          <w:rFonts w:eastAsia="Calibri"/>
        </w:rPr>
      </w:pPr>
      <w:r w:rsidRPr="00E30790">
        <w:t>Există o necesitate reală de a aborda în mod sistematic toate conflictele legate de legislație cauzate de divergențele naționale, în special în ceea ce privește interpretarea locului livrării/prestării, precum și de a crea condițiile necesare unui dialog între statele membre și părțile interesate cu privire la punerea în aplicare și evoluția dreptului Uniunii în materie de TVA.</w:t>
      </w:r>
    </w:p>
    <w:p w:rsidR="00A053E6" w:rsidRPr="00E30790" w:rsidRDefault="00A053E6" w:rsidP="00A053E6">
      <w:pPr>
        <w:rPr>
          <w:rFonts w:eastAsia="Calibri"/>
        </w:rPr>
      </w:pPr>
      <w:r w:rsidRPr="00E30790">
        <w:t xml:space="preserve"> </w:t>
      </w:r>
    </w:p>
    <w:p w:rsidR="00A053E6" w:rsidRPr="00B35A73" w:rsidRDefault="00A053E6" w:rsidP="00A053E6">
      <w:pPr>
        <w:pStyle w:val="NumPar2"/>
        <w:numPr>
          <w:ilvl w:val="1"/>
          <w:numId w:val="37"/>
        </w:numPr>
        <w:rPr>
          <w:b/>
        </w:rPr>
      </w:pPr>
      <w:bookmarkStart w:id="23" w:name="_Toc431823836"/>
      <w:r w:rsidRPr="00B35A73">
        <w:rPr>
          <w:b/>
        </w:rPr>
        <w:t>Punerea în aplicare uniformă a dreptului Uniunii în domeniul accizelor</w:t>
      </w:r>
      <w:bookmarkEnd w:id="23"/>
    </w:p>
    <w:p w:rsidR="00A053E6" w:rsidRPr="00E30790" w:rsidRDefault="00A053E6" w:rsidP="00A053E6">
      <w:pPr>
        <w:rPr>
          <w:rFonts w:eastAsia="Calibri"/>
        </w:rPr>
      </w:pPr>
      <w:r w:rsidRPr="00E30790">
        <w:t>Produsele accizabile care circulă între statele membre pot face obiectul unor proceduri naționale diferite și al unor interpretări diferite ale dreptului Uniunii. Este necesară punerea în aplicare uniformă a dreptului Uniunii în acest domeniu (inclusiv a Directivei 2008/118/CE a Consiliului</w:t>
      </w:r>
      <w:r w:rsidRPr="00E30790">
        <w:rPr>
          <w:rStyle w:val="FootnoteReference"/>
        </w:rPr>
        <w:footnoteReference w:id="49"/>
      </w:r>
      <w:r w:rsidRPr="00E30790">
        <w:t xml:space="preserve"> – Regimul general al accizelor) atât pentru a facilita comerțul, cât și pentru a sprijini statele membre în efortul de a garanta conformarea de către comercianți. </w:t>
      </w:r>
    </w:p>
    <w:p w:rsidR="00A053E6" w:rsidRPr="00E30790" w:rsidRDefault="00A053E6" w:rsidP="00A053E6">
      <w:pPr>
        <w:rPr>
          <w:rFonts w:eastAsia="Calibri"/>
        </w:rPr>
      </w:pPr>
      <w:r w:rsidRPr="00E30790">
        <w:t>O propunere de revizuire a Directivei 2008/118/CE, însoțită de un raport de evaluare a impactului, a fost adoptată de Comisie la 25 mai 2018 și a fost prezentată Consiliului și Parlamentului. Această propunere vizează în principal îmbunătățirea interfeței dintre domeniul accizelor și cel vamal (în cazurile în care produsele accizabile sunt importate sau exportate în/din teritoriul Uniunii Europene) și automatizarea procedurilor care încă se fac pe suport de hârtie pentru circulația transfrontalieră în interiorul Uniunii a bunurilor accizabile care au fost deja puse în consum.</w:t>
      </w:r>
    </w:p>
    <w:p w:rsidR="00A053E6" w:rsidRPr="00E30790" w:rsidRDefault="00A053E6" w:rsidP="00A053E6">
      <w:pPr>
        <w:rPr>
          <w:rFonts w:eastAsia="Calibri"/>
        </w:rPr>
      </w:pPr>
      <w:r w:rsidRPr="00E30790">
        <w:t>În domeniul energiei, pentru a se urmări punerea în aplicare corectă a Directivei 2003/96/CE a Consiliului – Directiva privind impozitarea energiei</w:t>
      </w:r>
      <w:r w:rsidRPr="00E30790">
        <w:rPr>
          <w:rStyle w:val="FootnoteReference"/>
        </w:rPr>
        <w:footnoteReference w:id="50"/>
      </w:r>
      <w:r w:rsidRPr="00E30790">
        <w:t xml:space="preserve"> (DIE) și pentru o mai bună înțelegere a acesteia în statele membre, trebuie să se asigure un schimb eficace de experiență și de cunoștințe în domeniu, în special privind scutirile/reducerile de impozite și clasificarea corespunzătoare a anumitor produse energetice. Acesta include, de asemenea, identificarea taxelor indirecte nearmonizate existente aplicate de statele membre, care cauzează perturbări ale funcționării pieței interne. O serie de aspecte practice ar putea necesita clarificări suplimentare prin recomandări sau discuții la nivel tehnic și eventual prin propuneri legislative, ținând seama, de asemenea, de constatările evaluării în curs a Directivei privind impozitarea energiei, care va fi finalizată până la sfârșitul anului 2018. </w:t>
      </w:r>
    </w:p>
    <w:p w:rsidR="00A053E6" w:rsidRPr="00E30790" w:rsidRDefault="00A053E6" w:rsidP="00A053E6">
      <w:pPr>
        <w:rPr>
          <w:rFonts w:eastAsia="Calibri"/>
        </w:rPr>
      </w:pPr>
      <w:r w:rsidRPr="00E30790">
        <w:t>În domeniul accizelor pentru alcool (reglementate prin Directiva 92/83/CEE a Consiliului</w:t>
      </w:r>
      <w:r w:rsidRPr="00E30790">
        <w:rPr>
          <w:rStyle w:val="FootnoteReference"/>
        </w:rPr>
        <w:footnoteReference w:id="51"/>
      </w:r>
      <w:r w:rsidRPr="00E30790">
        <w:t xml:space="preserve"> – Structurile accizelor la alcool și băuturi alcoolice; Directiva 92/84/CEE a Consiliului – Ratele accizelor la alcool și băuturi alcoolice), alcoolul denaturat este scutit de accize atunci când este denaturat în conformitate cu articolul 27 alineatul (1) literele (a) și (b) din Directiva 92/83/CEE a Consiliului. Există în continuare prea multe formule de alcool parțial denaturat (APD) la nivel național cu componente ușor de eliminat. Pentru APD, industria este foarte diversificată, cu mai multe sectoare în care trebuie abordate nevoi și preocupări diverse. Acest domeniu trebuie armonizat și clarificat atât pentru a reduce posibilitățile de fraudă, cât și pentru a diminua sarcina administrativă a statelor membre și a operatorilor economici care desfășoară o activitate legală, ținând seama de faptul că unele state membre doresc să își asigure flexibilitatea în utilizarea diferitelor formule denaturate.</w:t>
      </w:r>
    </w:p>
    <w:p w:rsidR="00A053E6" w:rsidRPr="00E30790" w:rsidRDefault="00A053E6" w:rsidP="00A053E6">
      <w:r w:rsidRPr="00E30790">
        <w:t>Prin urmare, este important să se treacă în revistă, să se identifice și să se analizeze formulele de denaturare existente, cu scopul de a se elimina cât mai multe dintre formulele mai slabe și de a se dezvolta formule de denaturare armonizate pentru alcoolul folosit în diversele sectoare din industria prelucrătoare din UE. În plus, studiul de evaluare a impactului în vederea unei posibile revizuiri a Directivei privind „structurile” a identificat o serie de deficiențe structurale semnificative în legătură cu definițiile produselor alcoolice accizabile și în legătură cu condițiile de acordare a scutirilor de accize și a ratelor reduse. O propunere de revizuire a Directivei 92/83/CE, însoțită de un raport de evaluare a impactului, a fost prezentată Consiliului și Parlamentului în mai 2018. În domeniul produselor accizabile din tutun, în decembrie 2015, Comisia a finalizat evaluarea Directivei 2011/64/UE a Consiliului. Au fost identificate deficiențe în legătură cu definirea produselor accizabile din tutun și în legătură cu condițiile în care anumite produse noi nu sunt considerate produse din tutun impozabile.</w:t>
      </w:r>
      <w:r w:rsidRPr="00B35A73">
        <w:rPr>
          <w:i/>
          <w:sz w:val="20"/>
        </w:rPr>
        <w:t xml:space="preserve"> </w:t>
      </w:r>
      <w:r w:rsidRPr="00E30790">
        <w:t xml:space="preserve">În plus, având în vedere interpretările diferite din statele membre, clarificarea poate deveni necesară pentru a se permite statelor membre să utilizeze mai eficient aceste prevederi împotriva țigaretelor cu prețuri scăzute. Deși s-au identificat deficiențe, Comisia a decis să nu revizuiască directiva din cauza lipsei datelor necesare pentru a fundamenta o propunere referitoare la produsele noi. În plus, unele dintre problemele identificate de evaluare au fost rezolvate sau soluționate între timp la nivel național. </w:t>
      </w:r>
    </w:p>
    <w:p w:rsidR="00A053E6" w:rsidRPr="00E30790" w:rsidRDefault="00A053E6" w:rsidP="00A053E6">
      <w:pPr>
        <w:rPr>
          <w:sz w:val="22"/>
        </w:rPr>
      </w:pPr>
      <w:r w:rsidRPr="00E30790">
        <w:t>În prezent, sunt în curs o revizuire a ratelor minime aplicabile în temeiul directivei și o reanalizare a deficiențelor evidențiate mai sus. Se anticipează că raportul de evaluare al Comisiei va fi finalizat la începutul anului 2019.</w:t>
      </w:r>
      <w:r w:rsidR="00B35A73">
        <w:t xml:space="preserve"> </w:t>
      </w:r>
    </w:p>
    <w:p w:rsidR="00A053E6" w:rsidRPr="00E30790" w:rsidRDefault="00A053E6" w:rsidP="00A053E6">
      <w:pPr>
        <w:rPr>
          <w:rFonts w:eastAsia="Calibri"/>
        </w:rPr>
      </w:pPr>
      <w:r w:rsidRPr="00E30790">
        <w:t xml:space="preserve">Atât în cazul impozitării alcoolului, cât și în cazul impozitării tutunului, scopul este reducerea costurilor administrative, concomitent cu obținerea unui grad mai mare de conformare și securitate în impunerea de accize pentru produse din alcool și din tutun. </w:t>
      </w:r>
    </w:p>
    <w:p w:rsidR="00A053E6" w:rsidRPr="00B35A73" w:rsidRDefault="00A053E6" w:rsidP="00A053E6">
      <w:pPr>
        <w:pStyle w:val="NumPar2"/>
        <w:keepNext/>
        <w:numPr>
          <w:ilvl w:val="1"/>
          <w:numId w:val="37"/>
        </w:numPr>
        <w:ind w:left="851" w:hanging="851"/>
        <w:rPr>
          <w:b/>
        </w:rPr>
      </w:pPr>
      <w:bookmarkStart w:id="24" w:name="_Toc431823837"/>
      <w:r w:rsidRPr="00B35A73">
        <w:rPr>
          <w:b/>
        </w:rPr>
        <w:t>Punerea în aplicare uniformă a dreptului Uniunii în domeniul impozitelor directe</w:t>
      </w:r>
      <w:bookmarkEnd w:id="24"/>
      <w:r w:rsidRPr="00B35A73">
        <w:rPr>
          <w:b/>
        </w:rPr>
        <w:t xml:space="preserve"> </w:t>
      </w:r>
    </w:p>
    <w:p w:rsidR="00A053E6" w:rsidRPr="00E30790" w:rsidRDefault="00A053E6" w:rsidP="00A053E6">
      <w:pPr>
        <w:rPr>
          <w:rFonts w:eastAsia="Calibri"/>
        </w:rPr>
      </w:pPr>
      <w:r w:rsidRPr="00E30790">
        <w:t>Majoritatea hotărârilor pronunțate de Curtea de Justiție a Uniunii Europene cu privire la impozitarea directă, care creează un cadru obligatoriu pentru elaborarea politicilor, sunt determinate și dezvoltate prin trimiteri preliminare. Prin urmare, este foarte important ca judecătorii naționali care își desfășoară activitatea în domeniul dreptului administrativ (fiscal), care pot realiza astfel de trimiteri, să aibă cunoștințe temeinice cu privire la jurisprudența Curții de Justiție a Uniunii Europene în domeniul impozitării directe în contextul său mai larg de politică. Îmbunătățirea, prin activitățile din cadrul programului, a punerii în aplicare corespunzătoare a jurisprudenței Uniunii privind impozitarea directă de către instanțele administrative și administrațiile fiscale naționale ar trebui să reducă în cele din urmă numărul de plângeri adresate Comisiei în materie de impozitare directă.</w:t>
      </w:r>
    </w:p>
    <w:p w:rsidR="00A053E6" w:rsidRPr="00E30790" w:rsidRDefault="00A053E6" w:rsidP="00A053E6">
      <w:pPr>
        <w:rPr>
          <w:rFonts w:eastAsia="Calibri"/>
        </w:rPr>
      </w:pPr>
      <w:r w:rsidRPr="00E30790">
        <w:t>Alte provocări decurg din adoptarea recentă a mai multor directive privind impozitarea directă. Pentru a se reduce numărul problemelor de natură juridică ce trebuie să fie discutate cu statele membre după finalizarea verificărilor transpunerii în cadrul acțiunilor în constatarea neîndeplinirii obligațiilor, este necesar să se ofere experților juridici din statele membre posibilitatea de a discuta problemele de care au luat cunoștință înainte de expirarea termenelor de transpunere. Aceste discuții ar trebui să aibă scopul de a identifica modalități de atingere a scopului directivei respective prin măsuri de transpunere la nivel național, luând în considerare instrumentele internaționale relevante și jurisprudența Curții de Justiție a Uniunii Europene în domeniul impozitării directe.</w:t>
      </w:r>
    </w:p>
    <w:p w:rsidR="00A053E6" w:rsidRPr="00B35A73" w:rsidRDefault="00A053E6" w:rsidP="00A053E6">
      <w:pPr>
        <w:pStyle w:val="NumPar2"/>
        <w:numPr>
          <w:ilvl w:val="1"/>
          <w:numId w:val="37"/>
        </w:numPr>
        <w:rPr>
          <w:b/>
        </w:rPr>
      </w:pPr>
      <w:r w:rsidRPr="00B35A73">
        <w:rPr>
          <w:b/>
        </w:rPr>
        <w:t>Punerea în aplicare uniformă a legislației Uniunii în alte domenii de politică fiscală ale UE</w:t>
      </w:r>
    </w:p>
    <w:p w:rsidR="00A053E6" w:rsidRPr="00E30790" w:rsidRDefault="00A053E6" w:rsidP="00A053E6">
      <w:pPr>
        <w:rPr>
          <w:rFonts w:eastAsia="Calibri"/>
        </w:rPr>
      </w:pPr>
      <w:r w:rsidRPr="00E30790">
        <w:t xml:space="preserve">Pentru a sprijini lucrările în desfășurare referitoare la taxa pe tranzacțiile financiare (și, în cazul adoptării unei directive a Consiliului privind punerea în aplicare a cooperării consolidate în domeniu, pentru a facilita punerea în aplicare a acesteia), Comisia va sprijini discuțiile cu reprezentanții administrațiilor și ai piețelor pentru a analiza implementarea practică a taxei pe tranzacțiile financiare (TTF), printre altele colectarea acesteia. Pentru ca sistemul să funcționeze în mod corespunzător, statele membre trebuie să coordoneze modul de funcționare a taxei comune pe tranzacțiile financiare atât în cadrul domeniului de cooperare consolidată, cât și în afara acestuia. </w:t>
      </w:r>
    </w:p>
    <w:p w:rsidR="00A053E6" w:rsidRPr="00E30790" w:rsidRDefault="00A053E6" w:rsidP="00A053E6">
      <w:pPr>
        <w:rPr>
          <w:rFonts w:eastAsia="Calibri"/>
        </w:rPr>
      </w:pPr>
      <w:r w:rsidRPr="00E30790">
        <w:t xml:space="preserve">În cadrul programului pot fi organizate activități în special pentru analizarea evoluțiilor constante ale dreptului UE privind recuperarea impozitelor. </w:t>
      </w:r>
    </w:p>
    <w:p w:rsidR="00A053E6" w:rsidRPr="00E30790" w:rsidRDefault="00A053E6" w:rsidP="00A053E6">
      <w:pPr>
        <w:rPr>
          <w:rFonts w:eastAsia="Calibri"/>
        </w:rPr>
      </w:pPr>
      <w:r w:rsidRPr="00E30790">
        <w:t>În ceea ce privește agenda europeană referitoare la economia colaborativă („peer-to-peer” sau „economie bazată pe partajare”), acest domeniu prezintă o tendință de creștere rapidă și reprezintă un nou model economic care necesită o mai bună înțelegere și un regim de impozitare mai flexibil. Pentru a concepe o abordare comună asupra impozitării, identificarea noilor modele economice și schimbul de informații și practici relevante susțin înțelegerea mai bună a acestor tendințe ale pieței.</w:t>
      </w:r>
    </w:p>
    <w:p w:rsidR="00A053E6" w:rsidRPr="00E30790" w:rsidRDefault="00A053E6" w:rsidP="00A053E6">
      <w:pPr>
        <w:rPr>
          <w:rFonts w:eastAsia="Calibri"/>
        </w:rPr>
      </w:pPr>
      <w:r w:rsidRPr="00E30790">
        <w:t>La 28 iunie 2017, Comisia a adoptat o propunere privind un nou Regulament PEPP</w:t>
      </w:r>
      <w:r w:rsidRPr="00E30790">
        <w:rPr>
          <w:rStyle w:val="FootnoteReference"/>
        </w:rPr>
        <w:footnoteReference w:id="52"/>
      </w:r>
      <w:r w:rsidRPr="00E30790">
        <w:t xml:space="preserve"> (sisteme de pensii personale paneuropene) și o recomandare de impozitare a PEPP. Recomandarea încurajează schimbul de bune practici între statele membre cu privire la impozitarea PEPP și a produselor de pensii personale (PPP), în vederea alinierii criteriilor naționale de acordare a stimulentelor fiscale în cea mai mare măsură posibilă și a facilitării transferabilității acestor produse. Este la latitudinea statelor membre să informeze Comisia cu privire la măsurile întreprinse, precum și cu privire la orice fel de modificări efectuate în vederea respectării acestei recomandări.</w:t>
      </w:r>
    </w:p>
    <w:p w:rsidR="00A053E6" w:rsidRPr="00E30790" w:rsidRDefault="00A053E6" w:rsidP="00A053E6">
      <w:pPr>
        <w:rPr>
          <w:rFonts w:eastAsia="Calibri"/>
        </w:rPr>
      </w:pPr>
      <w:r w:rsidRPr="00E30790">
        <w:t>În plus, Comisia a avansat o propunere privind impozitarea serviciilor digitale („ISD”) în martie 2018. Această propunere stabilește sistemul comun al ISD, aplicabil veniturilor rezultate din furnizarea anumitor servicii digitale. Propunerea are rol de măsură intermediară de combatere a erodării și mai accentuate a bazei impozabile comune a societăților din statele membre, în vreme ce, la nivel internațional, UE rămâne pe deplin implicată în discuțiile în curs privind o soluție cuprinzătoare la nivel mondial în vederea impozitării echitabile de către autoritățile naționale a simplei prezențe digitale a întreprinderilor pe teritoriul lor.</w:t>
      </w:r>
    </w:p>
    <w:p w:rsidR="00A053E6" w:rsidRPr="00E30790" w:rsidRDefault="00A053E6" w:rsidP="00A053E6"/>
    <w:p w:rsidR="00A05D76" w:rsidRPr="00E30790" w:rsidRDefault="00E20DF1"/>
    <w:sectPr w:rsidR="00A05D76" w:rsidRPr="00E30790" w:rsidSect="0084019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60" w:rsidRDefault="00DA3760" w:rsidP="00A053E6">
      <w:pPr>
        <w:spacing w:before="0" w:after="0"/>
      </w:pPr>
      <w:r>
        <w:separator/>
      </w:r>
    </w:p>
  </w:endnote>
  <w:endnote w:type="continuationSeparator" w:id="0">
    <w:p w:rsidR="00DA3760" w:rsidRDefault="00DA3760" w:rsidP="00A053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60" w:rsidRDefault="00DA3760" w:rsidP="00A053E6">
      <w:pPr>
        <w:spacing w:before="0" w:after="0"/>
      </w:pPr>
      <w:r>
        <w:separator/>
      </w:r>
    </w:p>
  </w:footnote>
  <w:footnote w:type="continuationSeparator" w:id="0">
    <w:p w:rsidR="00DA3760" w:rsidRDefault="00DA3760" w:rsidP="00A053E6">
      <w:pPr>
        <w:spacing w:before="0" w:after="0"/>
      </w:pPr>
      <w:r>
        <w:continuationSeparator/>
      </w:r>
    </w:p>
  </w:footnote>
  <w:footnote w:id="1">
    <w:p w:rsidR="00A053E6" w:rsidRPr="00FE6FCB" w:rsidRDefault="00A053E6" w:rsidP="006D4B7C">
      <w:pPr>
        <w:pStyle w:val="FootnoteText"/>
      </w:pPr>
      <w:r>
        <w:rPr>
          <w:rStyle w:val="FootnoteReference"/>
        </w:rPr>
        <w:footnoteRef/>
      </w:r>
      <w:r>
        <w:tab/>
        <w:t>COM(2012) 722 final, Comunicarea Comisiei către Parlamentul European și Consiliu – Un plan de acțiune în vederea consolidării luptei împotriva fraudei și a evaziunii fiscale, 6.12.2012.</w:t>
      </w:r>
    </w:p>
  </w:footnote>
  <w:footnote w:id="2">
    <w:p w:rsidR="00A053E6" w:rsidRPr="00FE6FCB" w:rsidRDefault="00A053E6" w:rsidP="006D4B7C">
      <w:pPr>
        <w:pStyle w:val="FootnoteText"/>
      </w:pPr>
      <w:r>
        <w:rPr>
          <w:rStyle w:val="FootnoteReference"/>
        </w:rPr>
        <w:footnoteRef/>
      </w:r>
      <w:r>
        <w:tab/>
        <w:t>COM (2015) 302 final, Comunicare a Comisiei către Parlamentul European și Consiliu – Un sistem de impozitare a întreprinderilor echitabil și eficient în Uniunea Europeană: 5 domenii-cheie, 17.6.2015.</w:t>
      </w:r>
    </w:p>
  </w:footnote>
  <w:footnote w:id="3">
    <w:p w:rsidR="00A053E6" w:rsidRPr="00DD77F0" w:rsidRDefault="00A053E6" w:rsidP="006D4B7C">
      <w:pPr>
        <w:pStyle w:val="FootnoteText"/>
      </w:pPr>
      <w:r>
        <w:rPr>
          <w:rStyle w:val="FootnoteReference"/>
        </w:rPr>
        <w:footnoteRef/>
      </w:r>
      <w:r>
        <w:tab/>
        <w:t>COM(2016) 148 final, Comunicare a Comisiei către Parlamentul European, Consiliu și Comitetul Economic și Social European referitoare la un plan de acțiune privind TVA – Către un spațiu unic pentru TVA în UE – Momentul deciziei, 7.4.2016.</w:t>
      </w:r>
    </w:p>
  </w:footnote>
  <w:footnote w:id="4">
    <w:p w:rsidR="00A053E6" w:rsidRPr="00E26D41" w:rsidRDefault="00A053E6" w:rsidP="006D4B7C">
      <w:pPr>
        <w:pStyle w:val="FootnoteText"/>
      </w:pPr>
      <w:r>
        <w:rPr>
          <w:rStyle w:val="FootnoteReference"/>
        </w:rPr>
        <w:footnoteRef/>
      </w:r>
      <w:r>
        <w:tab/>
        <w:t>Directiva 2011/16/UE a Consiliului din 15 februarie 2011 privind cooperarea administrativă în domeniul fiscal și de abrogare a Directivei 77/799/CEE (JO L 64, 11.3.2011, p. 1)</w:t>
      </w:r>
    </w:p>
  </w:footnote>
  <w:footnote w:id="5">
    <w:p w:rsidR="00A053E6" w:rsidRPr="00E26D41" w:rsidRDefault="00A053E6" w:rsidP="006D4B7C">
      <w:pPr>
        <w:pStyle w:val="FootnoteText"/>
      </w:pPr>
      <w:r>
        <w:rPr>
          <w:rStyle w:val="FootnoteReference"/>
        </w:rPr>
        <w:footnoteRef/>
      </w:r>
      <w:r>
        <w:tab/>
        <w:t>Directiva 2014/107/UE a Consiliului din 9 decembrie 2014 de modificare a Directivei 2011/16/UE în ceea ce privește schimbul automat obligatoriu de informații în domeniul fiscal (JO L 359, 16.12.2014, p. 1).</w:t>
      </w:r>
    </w:p>
  </w:footnote>
  <w:footnote w:id="6">
    <w:p w:rsidR="00A053E6" w:rsidRPr="00E26D41" w:rsidRDefault="00A053E6" w:rsidP="006D4B7C">
      <w:pPr>
        <w:pStyle w:val="FootnoteText"/>
      </w:pPr>
      <w:r>
        <w:rPr>
          <w:rStyle w:val="FootnoteReference"/>
        </w:rPr>
        <w:footnoteRef/>
      </w:r>
      <w:r>
        <w:tab/>
        <w:t>Directiva (UE) 2015/2376 a Consiliului din 8 decembrie 2015 de modificare a Directivei 2011/16/UE în ceea ce privește schimbul automat obligatoriu de informații în domeniul fiscal (JO L 332, 18.12.2015, p. 1).</w:t>
      </w:r>
    </w:p>
  </w:footnote>
  <w:footnote w:id="7">
    <w:p w:rsidR="00A053E6" w:rsidRPr="00E26D41" w:rsidRDefault="00A053E6" w:rsidP="006D4B7C">
      <w:pPr>
        <w:pStyle w:val="FootnoteText"/>
      </w:pPr>
      <w:r>
        <w:rPr>
          <w:rStyle w:val="FootnoteReference"/>
        </w:rPr>
        <w:footnoteRef/>
      </w:r>
      <w:r>
        <w:tab/>
        <w:t>Directiva (UE) 2016/881 a Consiliului din 25 mai 2016 de modificare a Directivei 2011/16/UE în ceea ce privește schimbul automat obligatoriu de informații în domeniul fiscal (JO L 146, 25.5.2016, p. 1).</w:t>
      </w:r>
    </w:p>
  </w:footnote>
  <w:footnote w:id="8">
    <w:p w:rsidR="00A053E6" w:rsidRPr="0024477B" w:rsidRDefault="00A053E6" w:rsidP="006D4B7C">
      <w:pPr>
        <w:pStyle w:val="FootnoteText"/>
      </w:pPr>
      <w:r>
        <w:rPr>
          <w:rStyle w:val="FootnoteReference"/>
        </w:rPr>
        <w:footnoteRef/>
      </w:r>
      <w:r>
        <w:tab/>
        <w:t>Directiva (UE) 2018/822 a Consiliului din 25 mai 2018 de modificare a Directivei 2011/16/UE în ceea ce privește schimbul automat obligatoriu de informații în domeniul fiscal cu privire la modalitățile transfrontaliere care fac obiectul raportării (JO L 139, 5.6.2018, p. 1).</w:t>
      </w:r>
      <w:r w:rsidR="00B35A73">
        <w:t xml:space="preserve"> </w:t>
      </w:r>
    </w:p>
  </w:footnote>
  <w:footnote w:id="9">
    <w:p w:rsidR="00A053E6" w:rsidRPr="00F83E4C" w:rsidRDefault="00A053E6" w:rsidP="006D4B7C">
      <w:pPr>
        <w:pStyle w:val="FootnoteText"/>
      </w:pPr>
      <w:r>
        <w:rPr>
          <w:rStyle w:val="FootnoteReference"/>
        </w:rPr>
        <w:footnoteRef/>
      </w:r>
      <w:r>
        <w:tab/>
        <w:t>COM(2016) 23 final, Comunicarea Comisiei către Parlamentul European și Consiliu – Pachetul antievaziune: Pașii următori spre realizarea impozitării efective și spre creșterea transparenței fiscale în UE, 28.1.2016.</w:t>
      </w:r>
    </w:p>
  </w:footnote>
  <w:footnote w:id="10">
    <w:p w:rsidR="00A053E6" w:rsidRPr="00E60CB9" w:rsidRDefault="00A053E6" w:rsidP="006D4B7C">
      <w:pPr>
        <w:pStyle w:val="FootnoteText"/>
      </w:pPr>
      <w:r>
        <w:rPr>
          <w:rStyle w:val="FootnoteReference"/>
        </w:rPr>
        <w:footnoteRef/>
      </w:r>
      <w:r>
        <w:tab/>
        <w:t>Directiva (UE) 2016/1164 a Consiliului din 12 iulie 2016 de stabilire a normelor împotriva practicilor de evitare a obligațiilor fiscale care au incidență directă asupra funcționării pieței interne (JO L 193, 9.7.2016, p. 1).</w:t>
      </w:r>
    </w:p>
  </w:footnote>
  <w:footnote w:id="11">
    <w:p w:rsidR="00A053E6" w:rsidRPr="0030652B" w:rsidRDefault="00A053E6" w:rsidP="006D4B7C">
      <w:pPr>
        <w:pStyle w:val="FootnoteText"/>
      </w:pPr>
      <w:r>
        <w:rPr>
          <w:rStyle w:val="FootnoteReference"/>
        </w:rPr>
        <w:footnoteRef/>
      </w:r>
      <w:r>
        <w:tab/>
        <w:t xml:space="preserve">COM(2016) 687 final, Propunere de Directivă a Consiliului de modificare a Directivei (UE) 2016/1164 în ceea ce privește tratamentul neuniform al elementelor hibride care implică țări terțe, 25.10.2016. </w:t>
      </w:r>
    </w:p>
  </w:footnote>
  <w:footnote w:id="12">
    <w:p w:rsidR="00A053E6" w:rsidRPr="00A61442" w:rsidRDefault="00A053E6" w:rsidP="006D4B7C">
      <w:pPr>
        <w:pStyle w:val="FootnoteText"/>
      </w:pPr>
      <w:r>
        <w:rPr>
          <w:rStyle w:val="FootnoteReference"/>
        </w:rPr>
        <w:footnoteRef/>
      </w:r>
      <w:r>
        <w:tab/>
        <w:t>Acordul internațional încheiat la 22 iunie între Uniune și Norvegia privind cooperarea administrativă, combaterea fraudelor și recuperarea creanțelor în domeniul taxei pe valoarea adăugată, Acordurile internaționale încheiate în 2015 și în 2016 între Uniune și Elveția, Liechtenstein, San Marino, Andorra și Monaco pentru punerea în aplicare a schimbului automat de informații privind conturile financiare și consolidarea schimbului de informații la cerere.</w:t>
      </w:r>
    </w:p>
  </w:footnote>
  <w:footnote w:id="13">
    <w:p w:rsidR="00A053E6" w:rsidRPr="00BB52B2" w:rsidRDefault="00A053E6" w:rsidP="006D4B7C">
      <w:pPr>
        <w:pStyle w:val="FootnoteText"/>
      </w:pPr>
      <w:r>
        <w:rPr>
          <w:rStyle w:val="FootnoteReference"/>
        </w:rPr>
        <w:footnoteRef/>
      </w:r>
      <w:r>
        <w:tab/>
        <w:t>COM(2016) 24 final, Comunicare a Comisiei către Parlamentul European și Consiliu privind o strategie externă pentru impozitarea eficace, 28.1.2016</w:t>
      </w:r>
    </w:p>
  </w:footnote>
  <w:footnote w:id="14">
    <w:p w:rsidR="00A053E6" w:rsidRPr="00640853" w:rsidRDefault="00A053E6" w:rsidP="006D4B7C">
      <w:pPr>
        <w:pStyle w:val="FootnoteText"/>
      </w:pPr>
      <w:r>
        <w:rPr>
          <w:rStyle w:val="FootnoteReference"/>
        </w:rPr>
        <w:footnoteRef/>
      </w:r>
      <w:r>
        <w:tab/>
        <w:t>Concluziile Consiliului privind lista UE a jurisdicțiilor necooperante în scopuri fiscale, (JO C 438, 19.12.2017, p. 5)</w:t>
      </w:r>
    </w:p>
  </w:footnote>
  <w:footnote w:id="15">
    <w:p w:rsidR="00A053E6" w:rsidRPr="00AC70D6" w:rsidRDefault="00A053E6" w:rsidP="006D4B7C">
      <w:pPr>
        <w:pStyle w:val="FootnoteText"/>
        <w:jc w:val="left"/>
      </w:pPr>
      <w:r>
        <w:rPr>
          <w:rStyle w:val="FootnoteReference"/>
        </w:rPr>
        <w:footnoteRef/>
      </w:r>
      <w:r>
        <w:tab/>
        <w:t>Propunere de directivă a Consiliului din 4 octombrie 2017 de modificare a Directivei 2006/112/CE în ceea ce privește armonizarea și simplificarea anumitor norme din sistemul taxei pe valoarea adăugată și introducerea sistemului definitiv de TVA pentru impozitarea comerțului dintre statele membre [COM(2017) 569 final];</w:t>
      </w:r>
      <w:r>
        <w:br/>
        <w:t>Propunere de Regulament de punere în aplicare al Consiliului din 4 octombrie 2017 de modificare a Regulamentului de punere în aplicare (UE) nr. 282/2011 în ceea ce privește anumite scutiri pentru operațiunile intracomunitare [COM(2017) 568];</w:t>
      </w:r>
      <w:r>
        <w:br/>
        <w:t>Propunere de Regulament al Consiliului din 4 octombrie 2017 de modificare a Regulamentului (UE) nr. 904/2010 în ceea ce privește persoana impozabilă atestată [COM(2017) 567 final];</w:t>
      </w:r>
      <w:r>
        <w:br/>
        <w:t>Propunere de Directivă a Consiliului din 25 mai 2018 de modificare a Directivei 2006/112/CE în ceea ce privește introducerea măsurilor tehnice detaliate privind funcționarea sistemului definitiv de TVA pentru impozitarea comerțului dintre statele membre [COM(2018) 329].</w:t>
      </w:r>
    </w:p>
  </w:footnote>
  <w:footnote w:id="16">
    <w:p w:rsidR="00A053E6" w:rsidRPr="00550847" w:rsidRDefault="00A053E6" w:rsidP="006D4B7C">
      <w:pPr>
        <w:pStyle w:val="FootnoteText"/>
      </w:pPr>
      <w:r>
        <w:rPr>
          <w:rStyle w:val="FootnoteReference"/>
        </w:rPr>
        <w:footnoteRef/>
      </w:r>
      <w:r>
        <w:tab/>
        <w:t>Directiva (UE) 2017/2455 a Consiliului din 5 decembrie 2017 de modificare a Directivei 2006/112/CE și a Directivei 2009/132/CE în ceea ce privește anumite obligații privind taxa pe valoarea adăugată pentru prestările de servicii și vânzările de bunuri la distanță (JO L 348, 5.12.2017, p. 7).</w:t>
      </w:r>
    </w:p>
  </w:footnote>
  <w:footnote w:id="17">
    <w:p w:rsidR="00A053E6" w:rsidRPr="00E430ED" w:rsidRDefault="00A053E6" w:rsidP="006D4B7C">
      <w:pPr>
        <w:pStyle w:val="FootnoteText"/>
      </w:pPr>
      <w:r>
        <w:rPr>
          <w:rStyle w:val="FootnoteReference"/>
        </w:rPr>
        <w:footnoteRef/>
      </w:r>
      <w:r>
        <w:tab/>
        <w:t>A se vedea Raportul Comisiei către Parlamentul European și Consiliu referitor la funcționarea modalităților stabilite prin Directiva 2010/24/UE a Consiliului, COM(2017) 778, 18 decembrie 2017.</w:t>
      </w:r>
    </w:p>
  </w:footnote>
  <w:footnote w:id="18">
    <w:p w:rsidR="00A053E6" w:rsidRDefault="00A053E6" w:rsidP="006D4B7C">
      <w:pPr>
        <w:pStyle w:val="FootnoteText"/>
      </w:pPr>
      <w:r>
        <w:rPr>
          <w:rStyle w:val="FootnoteReference"/>
        </w:rPr>
        <w:footnoteRef/>
      </w:r>
      <w:r>
        <w:tab/>
        <w:t>Propunere de Directivă a Consiliului din 21 martie 2018 de stabilire a normelor de impozitare a societăților în cazul unei prezențe digitale substanțiale [COM(2018) 147 final].</w:t>
      </w:r>
    </w:p>
    <w:p w:rsidR="00A053E6" w:rsidRPr="001C4EC4" w:rsidRDefault="00A053E6" w:rsidP="006D4B7C">
      <w:pPr>
        <w:pStyle w:val="FootnoteText"/>
        <w:rPr>
          <w:color w:val="FF0000"/>
        </w:rPr>
      </w:pPr>
      <w:r>
        <w:t>Propunere de Directivă a Consiliului din 21 martie 2018 privind un sistem comun de impozitare a serviciilor digitale pentru veniturile rezultate din furnizarea anumitor servicii digitale [COM(2018) 148 final].</w:t>
      </w:r>
    </w:p>
  </w:footnote>
  <w:footnote w:id="19">
    <w:p w:rsidR="00A053E6" w:rsidRPr="00C83F75" w:rsidRDefault="00A053E6" w:rsidP="006D4B7C">
      <w:pPr>
        <w:pStyle w:val="FootnoteText"/>
      </w:pPr>
      <w:r>
        <w:rPr>
          <w:rStyle w:val="FootnoteReference"/>
        </w:rPr>
        <w:footnoteRef/>
      </w:r>
      <w:r>
        <w:tab/>
        <w:t>Cuantumul total al creditelor poate fi mai mare dacă sunt luate în calcul contribuțiile financiare prevăzute din partea țărilor candidate și potențial candidate care participă la programul Fiscalis 2020. Cuantumul maxim estimat pentru anul 2019 este de 400 000 EUR.</w:t>
      </w:r>
    </w:p>
  </w:footnote>
  <w:footnote w:id="20">
    <w:p w:rsidR="00A053E6" w:rsidRDefault="00A053E6" w:rsidP="006D4B7C">
      <w:pPr>
        <w:pStyle w:val="FootnoteText"/>
      </w:pPr>
      <w:r>
        <w:rPr>
          <w:rStyle w:val="FootnoteReference"/>
        </w:rPr>
        <w:footnoteRef/>
      </w:r>
      <w:r>
        <w:tab/>
        <w:t>Regulamentul (UE, Euratom) 2018/1046 al Parlamentului European și al Consiliului privind normele financiare aplicabile bugetului general al Uniunii (JO L 193, 30.7.2018, p. 1).</w:t>
      </w:r>
    </w:p>
  </w:footnote>
  <w:footnote w:id="21">
    <w:p w:rsidR="00A053E6" w:rsidRPr="003876FE" w:rsidRDefault="00A053E6" w:rsidP="006D4B7C">
      <w:pPr>
        <w:pStyle w:val="FootnoteText"/>
      </w:pPr>
      <w:r>
        <w:rPr>
          <w:rStyle w:val="FootnoteReference"/>
        </w:rPr>
        <w:footnoteRef/>
      </w:r>
      <w:r>
        <w:tab/>
        <w:t>Beneficiarii grantului vor fi administrațiile fiscale ale statelor membre și ale altor țări eligibile care îndeplinesc condițiile de participare prevăzute la articolul 3 din Regulamentul (UE) nr. 1294/2013, în temeiul unui acord de grant cu beneficiari multipli.</w:t>
      </w:r>
    </w:p>
  </w:footnote>
  <w:footnote w:id="22">
    <w:p w:rsidR="00A053E6" w:rsidRPr="00CC515D" w:rsidRDefault="00A053E6" w:rsidP="006D4B7C">
      <w:pPr>
        <w:pStyle w:val="FootnoteText"/>
      </w:pPr>
      <w:r>
        <w:rPr>
          <w:rStyle w:val="FootnoteReference"/>
        </w:rPr>
        <w:footnoteRef/>
      </w:r>
      <w:r>
        <w:tab/>
        <w:t>Beneficiarii grantului vor fi statele membre și alte țări eligibile care îndeplinesc condițiile de participare menționate la articolul 3 din Regulamentul (UE) nr. 1286/2013, pe baza unui acord de grant cu beneficiari multipli.</w:t>
      </w:r>
    </w:p>
  </w:footnote>
  <w:footnote w:id="23">
    <w:p w:rsidR="00A053E6" w:rsidRPr="00CC515D" w:rsidRDefault="00A053E6" w:rsidP="006D4B7C">
      <w:pPr>
        <w:pStyle w:val="FootnoteText"/>
      </w:pPr>
      <w:r>
        <w:rPr>
          <w:rStyle w:val="FootnoteReference"/>
        </w:rPr>
        <w:footnoteRef/>
      </w:r>
      <w:r>
        <w:tab/>
        <w:t>Contractele specifice sunt, de regulă, comune cu linia bugetară 14.0201 Vamă 2020. Prin urmare, valoarea reală a contractelor specifice va fi mai mare.</w:t>
      </w:r>
    </w:p>
  </w:footnote>
  <w:footnote w:id="24">
    <w:p w:rsidR="00A053E6" w:rsidRPr="00CC515D" w:rsidRDefault="00A053E6" w:rsidP="006D4B7C">
      <w:pPr>
        <w:pStyle w:val="FootnoteText"/>
      </w:pPr>
      <w:r>
        <w:rPr>
          <w:rStyle w:val="FootnoteReference"/>
        </w:rPr>
        <w:footnoteRef/>
      </w:r>
      <w:r>
        <w:tab/>
        <w:t>Contractele specifice sunt, de regulă, comune cu linia bugetară 14.0201 Vamă 2020. Prin urmare, valoarea reală a contractelor specifice va fi mai mare.</w:t>
      </w:r>
    </w:p>
  </w:footnote>
  <w:footnote w:id="25">
    <w:p w:rsidR="00A053E6" w:rsidRPr="00CC515D" w:rsidRDefault="00A053E6" w:rsidP="006D4B7C">
      <w:pPr>
        <w:pStyle w:val="FootnoteText"/>
      </w:pPr>
      <w:r>
        <w:rPr>
          <w:rStyle w:val="FootnoteReference"/>
        </w:rPr>
        <w:footnoteRef/>
      </w:r>
      <w:r>
        <w:tab/>
        <w:t xml:space="preserve">Proiectele de acțiune comună din cadrul programului Fiscalis 2020 respectă drepturile fundamentale astfel cum sunt consacrate în Carta drepturilor fundamentale a Uniunii Europene. </w:t>
      </w:r>
    </w:p>
  </w:footnote>
  <w:footnote w:id="26">
    <w:p w:rsidR="00A053E6" w:rsidRPr="0091430C" w:rsidRDefault="00A053E6" w:rsidP="006D4B7C">
      <w:pPr>
        <w:pStyle w:val="FootnoteText"/>
      </w:pPr>
      <w:r>
        <w:rPr>
          <w:rStyle w:val="FootnoteReference"/>
        </w:rPr>
        <w:footnoteRef/>
      </w:r>
      <w:r>
        <w:tab/>
        <w:t>COM(2018) 800 final – Comunicare a Comisiei către Parlamentul European, Consiliu, Comitetul Economic și Social European și Comitetul Regiunilor – Programul de lucru al Comisiei pentru 2019 – Îndeplinirea promisiunilor făcute și pregătirea pentru viitor, p. 4-5.</w:t>
      </w:r>
      <w:r w:rsidR="00B35A73">
        <w:t xml:space="preserve"> </w:t>
      </w:r>
    </w:p>
  </w:footnote>
  <w:footnote w:id="27">
    <w:p w:rsidR="00A053E6" w:rsidRPr="00B647B8" w:rsidRDefault="00A053E6" w:rsidP="006D4B7C">
      <w:pPr>
        <w:pStyle w:val="FootnoteText"/>
      </w:pPr>
      <w:r>
        <w:rPr>
          <w:rStyle w:val="FootnoteReference"/>
        </w:rPr>
        <w:footnoteRef/>
      </w:r>
      <w:r>
        <w:tab/>
        <w:t>COM (2012) 351 final – Comunicarea Comisiei către Parlamentul European și Consiliu privind modalitățile concrete de intensificare a luptei împotriva fraudei și evaziunii fiscale, inclusiv în ceea ce privește țările terțe și COM (2012) 722 final – Comunicarea Comisiei către Parlamentul European și Consiliu – Un plan de acțiune în vederea consolidării luptei împotriva fraudei și a evaziunii fiscale.</w:t>
      </w:r>
    </w:p>
  </w:footnote>
  <w:footnote w:id="28">
    <w:p w:rsidR="00A053E6" w:rsidRPr="00B647B8" w:rsidRDefault="00A053E6" w:rsidP="006D4B7C">
      <w:pPr>
        <w:pStyle w:val="FootnoteText"/>
      </w:pPr>
      <w:r>
        <w:rPr>
          <w:rStyle w:val="FootnoteReference"/>
        </w:rPr>
        <w:footnoteRef/>
      </w:r>
      <w:r>
        <w:tab/>
        <w:t>COM (2015) 302 final – Comunicare a Comisiei către Parlamentul European și Consiliu – Un sistem de impozitare a întreprinderilor echitabil și eficient în Uniunea Europeană: 5 domenii-cheie.</w:t>
      </w:r>
    </w:p>
  </w:footnote>
  <w:footnote w:id="29">
    <w:p w:rsidR="00A053E6" w:rsidRPr="00B647B8" w:rsidRDefault="00A053E6" w:rsidP="006D4B7C">
      <w:pPr>
        <w:pStyle w:val="FootnoteText"/>
      </w:pPr>
      <w:r>
        <w:rPr>
          <w:rStyle w:val="FootnoteReference"/>
        </w:rPr>
        <w:footnoteRef/>
      </w:r>
      <w:r>
        <w:tab/>
        <w:t>COM(2016) 23 final – Comunicare a Comisiei către Parlamentul European și Consiliu: Pachetul antievaziune: Pașii următori spre realizarea impozitării efective și spre creșterea transparenței fiscale în UE, 28.1.2016.</w:t>
      </w:r>
    </w:p>
  </w:footnote>
  <w:footnote w:id="30">
    <w:p w:rsidR="00A053E6" w:rsidRPr="00DD5B6F" w:rsidRDefault="00A053E6" w:rsidP="006D4B7C">
      <w:pPr>
        <w:pStyle w:val="FootnoteText"/>
      </w:pPr>
      <w:r>
        <w:rPr>
          <w:rStyle w:val="FootnoteReference"/>
        </w:rPr>
        <w:footnoteRef/>
      </w:r>
      <w:r>
        <w:tab/>
        <w:t>COM(2016) 148 final, Comunicare a Comisiei către Parlamentul European, Consiliu și Comitetul Economic și Social European referitoare la un plan de acțiune privind TVA – Către un spațiu unic pentru TVA în UE – Momentul deciziei, 7.4.2016.</w:t>
      </w:r>
    </w:p>
  </w:footnote>
  <w:footnote w:id="31">
    <w:p w:rsidR="00A053E6" w:rsidRPr="00E34FB1" w:rsidRDefault="00A053E6" w:rsidP="006D4B7C">
      <w:pPr>
        <w:pStyle w:val="FootnoteText"/>
      </w:pPr>
      <w:r>
        <w:rPr>
          <w:rStyle w:val="FootnoteReference"/>
        </w:rPr>
        <w:footnoteRef/>
      </w:r>
      <w:r>
        <w:tab/>
        <w:t>COM(2017) 780 final – Raport al Comisiei către Consiliu și Parlamentul European – Al optulea raport în temeiul articolului 12 din Regulamentul (CEE, Euratom) nr. 1553/89 referitor la procedurile de control și de colectare a taxei pe valoarea adăugată, 18.12.2017.</w:t>
      </w:r>
    </w:p>
  </w:footnote>
  <w:footnote w:id="32">
    <w:p w:rsidR="00A053E6" w:rsidRPr="001418F3" w:rsidRDefault="00A053E6" w:rsidP="006D4B7C">
      <w:pPr>
        <w:pStyle w:val="FootnoteText"/>
      </w:pPr>
      <w:r>
        <w:rPr>
          <w:rStyle w:val="FootnoteReference"/>
        </w:rPr>
        <w:footnoteRef/>
      </w:r>
      <w:r>
        <w:tab/>
        <w:t>http://ec.europa.eu/taxation_customs/common/publications/studies/index_en.htm</w:t>
      </w:r>
    </w:p>
  </w:footnote>
  <w:footnote w:id="33">
    <w:p w:rsidR="00A053E6" w:rsidRPr="00DD6F00" w:rsidRDefault="00A053E6" w:rsidP="006D4B7C">
      <w:pPr>
        <w:pStyle w:val="FootnoteText"/>
      </w:pPr>
      <w:r>
        <w:rPr>
          <w:rStyle w:val="FootnoteReference"/>
        </w:rPr>
        <w:footnoteRef/>
      </w:r>
      <w:r>
        <w:tab/>
        <w:t>COM(2017) 706 final – Propunere modificată de Regulament al Consiliului de modificare a Regulamentului (UE) nr. 904/2010 privind măsuri de consolidare a cooperării administrative în domeniul taxei pe valoarea adăugată, 30.11.2017.</w:t>
      </w:r>
    </w:p>
  </w:footnote>
  <w:footnote w:id="34">
    <w:p w:rsidR="00A053E6" w:rsidRPr="008549E1" w:rsidRDefault="00A053E6" w:rsidP="006D4B7C">
      <w:pPr>
        <w:pStyle w:val="FootnoteText"/>
      </w:pPr>
      <w:r>
        <w:rPr>
          <w:rStyle w:val="FootnoteReference"/>
        </w:rPr>
        <w:footnoteRef/>
      </w:r>
      <w:r>
        <w:tab/>
        <w:t>COM(2015) 136 final – Comunicare a Comisiei către Parlamentul European și Consiliu privind transparența fiscală în scopul combaterii evaziunii fiscale licite și ilicite, 18.3.2015.</w:t>
      </w:r>
    </w:p>
  </w:footnote>
  <w:footnote w:id="35">
    <w:p w:rsidR="00A053E6" w:rsidRPr="006E41C0" w:rsidRDefault="00A053E6" w:rsidP="006D4B7C">
      <w:pPr>
        <w:pStyle w:val="FootnoteText"/>
      </w:pPr>
      <w:r>
        <w:rPr>
          <w:rStyle w:val="FootnoteReference"/>
        </w:rPr>
        <w:footnoteRef/>
      </w:r>
      <w:r>
        <w:tab/>
        <w:t>COM(2016) 23 final – Comunicare a Comisiei către Parlamentul European și Consiliu: Pachetul antievaziune: Pașii următori spre realizarea impozitării efective și spre creșterea transparenței fiscale în UE, 28.1.2016.</w:t>
      </w:r>
    </w:p>
  </w:footnote>
  <w:footnote w:id="36">
    <w:p w:rsidR="00A053E6" w:rsidRPr="00D44BDB" w:rsidRDefault="00A053E6" w:rsidP="006D4B7C">
      <w:pPr>
        <w:pStyle w:val="FootnoteText"/>
      </w:pPr>
      <w:r>
        <w:rPr>
          <w:rStyle w:val="FootnoteReference"/>
        </w:rPr>
        <w:footnoteRef/>
      </w:r>
      <w:r>
        <w:tab/>
        <w:t>Directiva (UE) 2016/1164 a Consiliului din 12 iulie 2016 de stabilire a normelor împotriva practicilor de evitare a obligațiilor fiscale care au incidență directă asupra funcționării pieței interne (19.7.2016, JO L 193, p. 1)</w:t>
      </w:r>
    </w:p>
  </w:footnote>
  <w:footnote w:id="37">
    <w:p w:rsidR="00A053E6" w:rsidRPr="00D873F0" w:rsidRDefault="00A053E6" w:rsidP="006D4B7C">
      <w:pPr>
        <w:pStyle w:val="FootnoteText"/>
      </w:pPr>
      <w:r>
        <w:rPr>
          <w:rStyle w:val="FootnoteReference"/>
        </w:rPr>
        <w:footnoteRef/>
      </w:r>
      <w:r>
        <w:tab/>
        <w:t>Directiva (UE) 2017/1852 a Consiliului din 10 octombrie 2017 privind mecanismele de soluționare a litigiilor fiscale în Uniunea Europeană (JO L 265, 14.10.2017, p. 1)</w:t>
      </w:r>
    </w:p>
  </w:footnote>
  <w:footnote w:id="38">
    <w:p w:rsidR="00A053E6" w:rsidRPr="002D4124" w:rsidRDefault="00A053E6" w:rsidP="006D4B7C">
      <w:pPr>
        <w:pStyle w:val="FootnoteText"/>
      </w:pPr>
      <w:r>
        <w:rPr>
          <w:rStyle w:val="FootnoteReference"/>
        </w:rPr>
        <w:footnoteRef/>
      </w:r>
      <w:r>
        <w:tab/>
        <w:t>Regulamentul (UE) nr. 904/2010 al Consiliului din 7 octombrie 2010 privind cooperarea administrativă și combaterea fraudei în domeniul taxei pe valoarea adăugată (reformare) (JO L 268, 12.10.2010, p. 1)</w:t>
      </w:r>
    </w:p>
  </w:footnote>
  <w:footnote w:id="39">
    <w:p w:rsidR="00A053E6" w:rsidRPr="002D4124" w:rsidRDefault="00A053E6" w:rsidP="006D4B7C">
      <w:pPr>
        <w:pStyle w:val="FootnoteText"/>
      </w:pPr>
      <w:r>
        <w:rPr>
          <w:rStyle w:val="FootnoteReference"/>
        </w:rPr>
        <w:footnoteRef/>
      </w:r>
      <w:r>
        <w:tab/>
        <w:t>Regulamentul (UE) nr. 389/2012 al Consiliului din 2 mai 2012 privind cooperarea administrativă în domeniul accizelor și de abrogare a Regulamentului (CE) nr. 2073/2004 (JO L 121, 8.5.2012, p. 1).</w:t>
      </w:r>
    </w:p>
  </w:footnote>
  <w:footnote w:id="40">
    <w:p w:rsidR="00A053E6" w:rsidRPr="002D4124" w:rsidRDefault="00A053E6" w:rsidP="006D4B7C">
      <w:pPr>
        <w:pStyle w:val="FootnoteText"/>
      </w:pPr>
      <w:r>
        <w:rPr>
          <w:rStyle w:val="FootnoteReference"/>
        </w:rPr>
        <w:footnoteRef/>
      </w:r>
      <w:r>
        <w:tab/>
        <w:t>Directiva 2011/16/UE a Consiliului din 15 februarie 2011 privind cooperarea administrativă în domeniul fiscal și de abrogare a Directivei 77/799/CEE (JO L 64, 11.3.2011, p. 1)</w:t>
      </w:r>
    </w:p>
  </w:footnote>
  <w:footnote w:id="41">
    <w:p w:rsidR="00A053E6" w:rsidRPr="002D4124" w:rsidRDefault="00A053E6" w:rsidP="006D4B7C">
      <w:pPr>
        <w:pStyle w:val="FootnoteText"/>
      </w:pPr>
      <w:r>
        <w:rPr>
          <w:rStyle w:val="FootnoteReference"/>
        </w:rPr>
        <w:footnoteRef/>
      </w:r>
      <w:r>
        <w:tab/>
        <w:t>Directiva 2014/107/UE a Consiliului din 9 decembrie 2014 de modificare a Directivei 2011/16/UE în ceea ce privește schimbul automat obligatoriu de informații în domeniul fiscal (JO L 359, 16.12.2014, p. 1).</w:t>
      </w:r>
    </w:p>
  </w:footnote>
  <w:footnote w:id="42">
    <w:p w:rsidR="00A053E6" w:rsidRPr="004071E5" w:rsidRDefault="00A053E6" w:rsidP="006D4B7C">
      <w:pPr>
        <w:pStyle w:val="FootnoteText"/>
      </w:pPr>
      <w:r>
        <w:rPr>
          <w:rStyle w:val="FootnoteReference"/>
        </w:rPr>
        <w:footnoteRef/>
      </w:r>
      <w:r>
        <w:tab/>
        <w:t xml:space="preserve">Directiva (UE) 2016/881 a Consiliului din 25 mai 2016 de modificare a Directivei 2011/16/UE în ceea ce privește schimbul automat obligatoriu de informații în domeniul fiscal (JO L 146, 3.6.2016, p. 8). </w:t>
      </w:r>
    </w:p>
  </w:footnote>
  <w:footnote w:id="43">
    <w:p w:rsidR="00A053E6" w:rsidRPr="00C44B1F" w:rsidRDefault="00A053E6" w:rsidP="006D4B7C">
      <w:pPr>
        <w:pStyle w:val="FootnoteText"/>
      </w:pPr>
      <w:r>
        <w:rPr>
          <w:rStyle w:val="FootnoteReference"/>
        </w:rPr>
        <w:footnoteRef/>
      </w:r>
      <w:r>
        <w:tab/>
        <w:t>Directiva (UE) 2016/2258 a Consiliului din 6 decembrie 2016 de modificare a Directivei 2011/16/UE în ceea ce privește accesul autorităților fiscale la informații privind combaterea spălării banilor (JO L 342, 16.12.2016, p. 1).</w:t>
      </w:r>
    </w:p>
  </w:footnote>
  <w:footnote w:id="44">
    <w:p w:rsidR="00A053E6" w:rsidRPr="002D4124" w:rsidRDefault="00A053E6" w:rsidP="006D4B7C">
      <w:pPr>
        <w:pStyle w:val="FootnoteText"/>
      </w:pPr>
      <w:r>
        <w:rPr>
          <w:rStyle w:val="FootnoteReference"/>
        </w:rPr>
        <w:footnoteRef/>
      </w:r>
      <w:r>
        <w:tab/>
        <w:t>COM(2016) 24 final, Comunicare a Comisiei către Parlamentul European și Consiliu privind o strategie externă pentru impozitarea eficace, 28.1.2016</w:t>
      </w:r>
    </w:p>
  </w:footnote>
  <w:footnote w:id="45">
    <w:p w:rsidR="00A053E6" w:rsidRPr="002D4124" w:rsidRDefault="00A053E6" w:rsidP="006D4B7C">
      <w:pPr>
        <w:pStyle w:val="FootnoteText"/>
      </w:pPr>
      <w:r>
        <w:rPr>
          <w:rStyle w:val="FootnoteReference"/>
        </w:rPr>
        <w:footnoteRef/>
      </w:r>
      <w:r>
        <w:tab/>
        <w:t>Directiva 2010/24/UE a Consiliului din 16 martie 2010 privind asistența reciprocă în materie de recuperare a creanțelor legate de taxe, impozite, drepturi și alte măsuri (JO L 84, 31.3.2010, p. 1).</w:t>
      </w:r>
    </w:p>
  </w:footnote>
  <w:footnote w:id="46">
    <w:p w:rsidR="00A053E6" w:rsidRPr="005655AC" w:rsidRDefault="00A053E6" w:rsidP="006D4B7C">
      <w:pPr>
        <w:pStyle w:val="FootnoteText"/>
      </w:pPr>
      <w:r>
        <w:rPr>
          <w:rStyle w:val="FootnoteReference"/>
        </w:rPr>
        <w:footnoteRef/>
      </w:r>
      <w:r>
        <w:tab/>
        <w:t>COM(2017) 778, Raport al Comisiei către Parlamentul European și Consiliu referitor la funcționarea modalităților stabilite prin Directiva 2010/24/UE a Consiliului, 18.12.2017.</w:t>
      </w:r>
    </w:p>
  </w:footnote>
  <w:footnote w:id="47">
    <w:p w:rsidR="00A053E6" w:rsidRPr="00835C70" w:rsidRDefault="00A053E6" w:rsidP="006D4B7C">
      <w:pPr>
        <w:pStyle w:val="FootnoteText"/>
      </w:pPr>
      <w:r>
        <w:rPr>
          <w:rStyle w:val="FootnoteReference"/>
        </w:rPr>
        <w:footnoteRef/>
      </w:r>
      <w:r>
        <w:tab/>
        <w:t>Planul UE privind formarea și dezvoltarea pentru perioada 2017-2020 [SWD(2018) 34 final/2]</w:t>
      </w:r>
    </w:p>
  </w:footnote>
  <w:footnote w:id="48">
    <w:p w:rsidR="00A053E6" w:rsidRPr="00B702B8" w:rsidRDefault="00A053E6" w:rsidP="006D4B7C">
      <w:pPr>
        <w:pStyle w:val="FootnoteText"/>
      </w:pPr>
      <w:r>
        <w:rPr>
          <w:rStyle w:val="FootnoteReference"/>
        </w:rPr>
        <w:footnoteRef/>
      </w:r>
      <w:r>
        <w:tab/>
        <w:t>Directiva 2006/112/CE a Consiliului din 28 noiembrie 2006 privind sistemul comun al taxei pe valoarea adăugată (JO L 347, 11.12.2006, p. 1).</w:t>
      </w:r>
    </w:p>
  </w:footnote>
  <w:footnote w:id="49">
    <w:p w:rsidR="00A053E6" w:rsidRPr="004F68FD" w:rsidRDefault="00A053E6" w:rsidP="006D4B7C">
      <w:pPr>
        <w:pStyle w:val="FootnoteText"/>
      </w:pPr>
      <w:r>
        <w:rPr>
          <w:rStyle w:val="FootnoteReference"/>
        </w:rPr>
        <w:footnoteRef/>
      </w:r>
      <w:r>
        <w:tab/>
        <w:t>Directiva 2008/118/CE a Consiliului din 16 decembrie 2008 privind regimul general al accizelor și de abrogare a Directivei 92/12/CEE (JO L 9, 14.1.2009, p. 12)</w:t>
      </w:r>
    </w:p>
  </w:footnote>
  <w:footnote w:id="50">
    <w:p w:rsidR="00A053E6" w:rsidRPr="00F53DE5" w:rsidRDefault="00A053E6" w:rsidP="006D4B7C">
      <w:pPr>
        <w:pStyle w:val="FootnoteText"/>
      </w:pPr>
      <w:r>
        <w:rPr>
          <w:rStyle w:val="FootnoteReference"/>
        </w:rPr>
        <w:footnoteRef/>
      </w:r>
      <w:r>
        <w:tab/>
        <w:t>Directiva 2003/96/CE a Consiliului din 27 octombrie 2003 privind restructurarea cadrului comunitar de impozitare a produselor energetice și a electricității (JO L 283, 31.10.2003, p. 51).</w:t>
      </w:r>
    </w:p>
  </w:footnote>
  <w:footnote w:id="51">
    <w:p w:rsidR="00A053E6" w:rsidRPr="00DB15FC" w:rsidRDefault="00A053E6" w:rsidP="006D4B7C">
      <w:pPr>
        <w:pStyle w:val="FootnoteText"/>
      </w:pPr>
      <w:r>
        <w:rPr>
          <w:rStyle w:val="FootnoteReference"/>
        </w:rPr>
        <w:footnoteRef/>
      </w:r>
      <w:r>
        <w:tab/>
        <w:t>Directiva 92/83/CEE a Consiliului din 19 octombrie 1992 privind armonizarea structurilor accizelor la alcool și băuturi alcoolice (JO L 316, 31.10.1992, p. 21).</w:t>
      </w:r>
    </w:p>
  </w:footnote>
  <w:footnote w:id="52">
    <w:p w:rsidR="00A053E6" w:rsidRPr="00835C70" w:rsidRDefault="00A053E6" w:rsidP="006D4B7C">
      <w:pPr>
        <w:pStyle w:val="FootnoteText"/>
      </w:pPr>
      <w:r>
        <w:rPr>
          <w:rStyle w:val="FootnoteReference"/>
        </w:rPr>
        <w:footnoteRef/>
      </w:r>
      <w:r>
        <w:tab/>
        <w:t>COM(2017) 343 final – Propunere de Regulament al Parlamentului European și al Consiliului privind un produs paneuropean de pensii personale (PEPP), 29.6.2017.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6EA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6D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4F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80E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50F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900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AA7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4250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AF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23B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4" w15:restartNumberingAfterBreak="0">
    <w:nsid w:val="36615FEF"/>
    <w:multiLevelType w:val="singleLevel"/>
    <w:tmpl w:val="5CD4C666"/>
    <w:lvl w:ilvl="0">
      <w:start w:val="1"/>
      <w:numFmt w:val="bullet"/>
      <w:lvlText w:val="–"/>
      <w:lvlJc w:val="left"/>
      <w:pPr>
        <w:tabs>
          <w:tab w:val="num" w:pos="1360"/>
        </w:tabs>
        <w:ind w:left="1360"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18" w15:restartNumberingAfterBreak="0">
    <w:nsid w:val="4F937BD7"/>
    <w:multiLevelType w:val="hybridMultilevel"/>
    <w:tmpl w:val="7B2CBCFE"/>
    <w:name w:val="LegalNumParListTemplate3"/>
    <w:lvl w:ilvl="0" w:tplc="1604D644">
      <w:start w:val="1"/>
      <w:numFmt w:val="decimal"/>
      <w:lvlText w:val="%1."/>
      <w:lvlJc w:val="left"/>
      <w:pPr>
        <w:tabs>
          <w:tab w:val="num" w:pos="476"/>
        </w:tabs>
        <w:ind w:left="476" w:hanging="47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0" w15:restartNumberingAfterBreak="0">
    <w:nsid w:val="5A2450F2"/>
    <w:multiLevelType w:val="singleLevel"/>
    <w:tmpl w:val="E41A6BD2"/>
    <w:lvl w:ilvl="0">
      <w:start w:val="1"/>
      <w:numFmt w:val="bullet"/>
      <w:lvlText w:val="–"/>
      <w:lvlJc w:val="left"/>
      <w:pPr>
        <w:tabs>
          <w:tab w:val="num" w:pos="3163"/>
        </w:tabs>
        <w:ind w:left="3163" w:hanging="283"/>
      </w:pPr>
      <w:rPr>
        <w:rFonts w:ascii="Times New Roman" w:hAnsi="Times New Roman"/>
      </w:rPr>
    </w:lvl>
  </w:abstractNum>
  <w:abstractNum w:abstractNumId="21"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2" w15:restartNumberingAfterBreak="0">
    <w:nsid w:val="5B396F45"/>
    <w:multiLevelType w:val="singleLevel"/>
    <w:tmpl w:val="8BD62B1C"/>
    <w:lvl w:ilvl="0">
      <w:start w:val="1"/>
      <w:numFmt w:val="bullet"/>
      <w:lvlText w:val="–"/>
      <w:lvlJc w:val="left"/>
      <w:pPr>
        <w:tabs>
          <w:tab w:val="num" w:pos="283"/>
        </w:tabs>
        <w:ind w:left="283" w:hanging="283"/>
      </w:pPr>
      <w:rPr>
        <w:rFonts w:ascii="Times New Roman" w:hAnsi="Times New Roman"/>
      </w:rPr>
    </w:lvl>
  </w:abstractNum>
  <w:abstractNum w:abstractNumId="23"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7" w15:restartNumberingAfterBreak="0">
    <w:nsid w:val="6E5C21E3"/>
    <w:multiLevelType w:val="singleLevel"/>
    <w:tmpl w:val="91AE4CCA"/>
    <w:name w:val="0.6048352"/>
    <w:lvl w:ilvl="0">
      <w:start w:val="1"/>
      <w:numFmt w:val="bullet"/>
      <w:lvlText w:val="–"/>
      <w:lvlJc w:val="left"/>
      <w:pPr>
        <w:tabs>
          <w:tab w:val="num" w:pos="2199"/>
        </w:tabs>
        <w:ind w:left="2199" w:hanging="283"/>
      </w:pPr>
      <w:rPr>
        <w:rFonts w:ascii="Times New Roman" w:hAnsi="Times New Roman"/>
      </w:rPr>
    </w:lvl>
  </w:abstractNum>
  <w:abstractNum w:abstractNumId="28" w15:restartNumberingAfterBreak="0">
    <w:nsid w:val="78080A0A"/>
    <w:multiLevelType w:val="singleLevel"/>
    <w:tmpl w:val="3CCA8980"/>
    <w:lvl w:ilvl="0">
      <w:start w:val="1"/>
      <w:numFmt w:val="bullet"/>
      <w:lvlText w:val=""/>
      <w:lvlJc w:val="left"/>
      <w:pPr>
        <w:tabs>
          <w:tab w:val="num" w:pos="765"/>
        </w:tabs>
        <w:ind w:left="765" w:hanging="283"/>
      </w:pPr>
      <w:rPr>
        <w:rFonts w:ascii="Symbol" w:hAnsi="Symbol"/>
      </w:rPr>
    </w:lvl>
  </w:abstractNum>
  <w:abstractNum w:abstractNumId="29" w15:restartNumberingAfterBreak="0">
    <w:nsid w:val="79C96D36"/>
    <w:multiLevelType w:val="multilevel"/>
    <w:tmpl w:val="BE983C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24"/>
  </w:num>
  <w:num w:numId="2">
    <w:abstractNumId w:val="10"/>
  </w:num>
  <w:num w:numId="3">
    <w:abstractNumId w:val="29"/>
  </w:num>
  <w:num w:numId="4">
    <w:abstractNumId w:val="9"/>
  </w:num>
  <w:num w:numId="5">
    <w:abstractNumId w:val="7"/>
  </w:num>
  <w:num w:numId="6">
    <w:abstractNumId w:val="6"/>
  </w:num>
  <w:num w:numId="7">
    <w:abstractNumId w:val="5"/>
  </w:num>
  <w:num w:numId="8">
    <w:abstractNumId w:val="8"/>
  </w:num>
  <w:num w:numId="9">
    <w:abstractNumId w:val="3"/>
  </w:num>
  <w:num w:numId="10">
    <w:abstractNumId w:val="2"/>
  </w:num>
  <w:num w:numId="11">
    <w:abstractNumId w:val="1"/>
  </w:num>
  <w:num w:numId="12">
    <w:abstractNumId w:val="27"/>
  </w:num>
  <w:num w:numId="13">
    <w:abstractNumId w:val="4"/>
  </w:num>
  <w:num w:numId="14">
    <w:abstractNumId w:val="0"/>
  </w:num>
  <w:num w:numId="15">
    <w:abstractNumId w:val="28"/>
  </w:num>
  <w:num w:numId="16">
    <w:abstractNumId w:val="22"/>
  </w:num>
  <w:num w:numId="17">
    <w:abstractNumId w:val="14"/>
  </w:num>
  <w:num w:numId="18">
    <w:abstractNumId w:val="20"/>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26"/>
  </w:num>
  <w:num w:numId="35">
    <w:abstractNumId w:val="13"/>
  </w:num>
  <w:num w:numId="36">
    <w:abstractNumId w:val="16"/>
  </w:num>
  <w:num w:numId="37">
    <w:abstractNumId w:val="11"/>
  </w:num>
  <w:num w:numId="38">
    <w:abstractNumId w:val="25"/>
  </w:num>
  <w:num w:numId="39">
    <w:abstractNumId w:val="17"/>
  </w:num>
  <w:num w:numId="40">
    <w:abstractNumId w:val="21"/>
  </w:num>
  <w:num w:numId="41">
    <w:abstractNumId w:val="12"/>
  </w:num>
  <w:num w:numId="42">
    <w:abstractNumId w:val="1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A053E6"/>
    <w:rsid w:val="000C50AE"/>
    <w:rsid w:val="000C6CBE"/>
    <w:rsid w:val="000F4888"/>
    <w:rsid w:val="00144563"/>
    <w:rsid w:val="00380983"/>
    <w:rsid w:val="004B28F5"/>
    <w:rsid w:val="00501C67"/>
    <w:rsid w:val="005D1D09"/>
    <w:rsid w:val="005F6D3F"/>
    <w:rsid w:val="006D4B7C"/>
    <w:rsid w:val="007F1034"/>
    <w:rsid w:val="00874D8D"/>
    <w:rsid w:val="009E77E2"/>
    <w:rsid w:val="00A053E6"/>
    <w:rsid w:val="00A22E0C"/>
    <w:rsid w:val="00B201C7"/>
    <w:rsid w:val="00B35A73"/>
    <w:rsid w:val="00B951B3"/>
    <w:rsid w:val="00DA1750"/>
    <w:rsid w:val="00DA3760"/>
    <w:rsid w:val="00E20DF1"/>
    <w:rsid w:val="00E30790"/>
    <w:rsid w:val="00FE1A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49E21-E77F-4499-8F45-5260C3A7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ro-RO" w:bidi="ro-RO"/>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E6"/>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A053E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A053E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A053E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A053E6"/>
    <w:pPr>
      <w:keepNext/>
      <w:numPr>
        <w:ilvl w:val="3"/>
        <w:numId w:val="22"/>
      </w:numPr>
      <w:outlineLvl w:val="3"/>
    </w:pPr>
    <w:rPr>
      <w:rFonts w:eastAsiaTheme="majorEastAsia"/>
      <w:bCs/>
      <w:iCs/>
    </w:rPr>
  </w:style>
  <w:style w:type="paragraph" w:styleId="Heading5">
    <w:name w:val="heading 5"/>
    <w:basedOn w:val="Normal"/>
    <w:next w:val="Normal"/>
    <w:link w:val="Heading5Char"/>
    <w:uiPriority w:val="9"/>
    <w:qFormat/>
    <w:rsid w:val="00A053E6"/>
    <w:pPr>
      <w:spacing w:before="240" w:after="60"/>
      <w:ind w:firstLine="1134"/>
      <w:outlineLvl w:val="4"/>
    </w:pPr>
    <w:rPr>
      <w:rFonts w:eastAsia="Times New Roman"/>
      <w:bCs/>
      <w:iCs/>
      <w:szCs w:val="26"/>
    </w:rPr>
  </w:style>
  <w:style w:type="paragraph" w:styleId="Heading6">
    <w:name w:val="heading 6"/>
    <w:basedOn w:val="Normal"/>
    <w:next w:val="Normal"/>
    <w:link w:val="Heading6Char"/>
    <w:uiPriority w:val="9"/>
    <w:unhideWhenUsed/>
    <w:qFormat/>
    <w:rsid w:val="00A053E6"/>
    <w:pPr>
      <w:spacing w:before="240" w:after="60" w:line="276" w:lineRule="auto"/>
      <w:ind w:left="1152" w:hanging="1152"/>
      <w:jc w:val="left"/>
      <w:outlineLvl w:val="5"/>
    </w:pPr>
    <w:rPr>
      <w:rFonts w:ascii="Calibri" w:eastAsia="Times New Roman" w:hAnsi="Calibri"/>
      <w:b/>
      <w:bCs/>
      <w:sz w:val="22"/>
    </w:rPr>
  </w:style>
  <w:style w:type="paragraph" w:styleId="Heading7">
    <w:name w:val="heading 7"/>
    <w:basedOn w:val="Normal"/>
    <w:next w:val="Normal"/>
    <w:link w:val="Heading7Char"/>
    <w:uiPriority w:val="9"/>
    <w:unhideWhenUsed/>
    <w:qFormat/>
    <w:rsid w:val="00A053E6"/>
    <w:pPr>
      <w:spacing w:before="240" w:after="60" w:line="276" w:lineRule="auto"/>
      <w:ind w:left="1296" w:hanging="1296"/>
      <w:jc w:val="left"/>
      <w:outlineLvl w:val="6"/>
    </w:pPr>
    <w:rPr>
      <w:rFonts w:ascii="Calibri" w:eastAsia="Times New Roman" w:hAnsi="Calibri"/>
      <w:szCs w:val="24"/>
    </w:rPr>
  </w:style>
  <w:style w:type="paragraph" w:styleId="Heading8">
    <w:name w:val="heading 8"/>
    <w:basedOn w:val="Normal"/>
    <w:next w:val="Normal"/>
    <w:link w:val="Heading8Char"/>
    <w:uiPriority w:val="9"/>
    <w:unhideWhenUsed/>
    <w:qFormat/>
    <w:rsid w:val="00A053E6"/>
    <w:pPr>
      <w:spacing w:before="240" w:after="60" w:line="276" w:lineRule="auto"/>
      <w:ind w:left="1440" w:hanging="1440"/>
      <w:jc w:val="left"/>
      <w:outlineLvl w:val="7"/>
    </w:pPr>
    <w:rPr>
      <w:rFonts w:ascii="Calibri" w:eastAsia="Times New Roman" w:hAnsi="Calibri"/>
      <w:i/>
      <w:iCs/>
      <w:szCs w:val="24"/>
    </w:rPr>
  </w:style>
  <w:style w:type="paragraph" w:styleId="Heading9">
    <w:name w:val="heading 9"/>
    <w:basedOn w:val="Normal"/>
    <w:next w:val="Normal"/>
    <w:link w:val="Heading9Char"/>
    <w:uiPriority w:val="9"/>
    <w:unhideWhenUsed/>
    <w:qFormat/>
    <w:rsid w:val="00A053E6"/>
    <w:pPr>
      <w:spacing w:before="240" w:after="60" w:line="276" w:lineRule="auto"/>
      <w:ind w:left="1584" w:hanging="1584"/>
      <w:jc w:val="left"/>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E6"/>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sid w:val="00A053E6"/>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sid w:val="00A053E6"/>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sid w:val="00A053E6"/>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rsid w:val="00A053E6"/>
    <w:rPr>
      <w:rFonts w:ascii="Times New Roman" w:eastAsia="Times New Roman" w:hAnsi="Times New Roman" w:cs="Times New Roman"/>
      <w:bCs/>
      <w:iCs/>
      <w:sz w:val="24"/>
      <w:szCs w:val="26"/>
      <w:lang w:val="ro-RO" w:eastAsia="ro-RO"/>
    </w:rPr>
  </w:style>
  <w:style w:type="character" w:customStyle="1" w:styleId="Heading6Char">
    <w:name w:val="Heading 6 Char"/>
    <w:basedOn w:val="DefaultParagraphFont"/>
    <w:link w:val="Heading6"/>
    <w:uiPriority w:val="9"/>
    <w:rsid w:val="00A053E6"/>
    <w:rPr>
      <w:rFonts w:ascii="Calibri" w:eastAsia="Times New Roman" w:hAnsi="Calibri" w:cs="Times New Roman"/>
      <w:b/>
      <w:bCs/>
      <w:lang w:val="ro-RO"/>
    </w:rPr>
  </w:style>
  <w:style w:type="character" w:customStyle="1" w:styleId="Heading7Char">
    <w:name w:val="Heading 7 Char"/>
    <w:basedOn w:val="DefaultParagraphFont"/>
    <w:link w:val="Heading7"/>
    <w:uiPriority w:val="9"/>
    <w:rsid w:val="00A053E6"/>
    <w:rPr>
      <w:rFonts w:ascii="Calibri" w:eastAsia="Times New Roman" w:hAnsi="Calibri" w:cs="Times New Roman"/>
      <w:sz w:val="24"/>
      <w:szCs w:val="24"/>
      <w:lang w:val="ro-RO"/>
    </w:rPr>
  </w:style>
  <w:style w:type="character" w:customStyle="1" w:styleId="Heading8Char">
    <w:name w:val="Heading 8 Char"/>
    <w:basedOn w:val="DefaultParagraphFont"/>
    <w:link w:val="Heading8"/>
    <w:uiPriority w:val="9"/>
    <w:rsid w:val="00A053E6"/>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uiPriority w:val="9"/>
    <w:rsid w:val="00A053E6"/>
    <w:rPr>
      <w:rFonts w:ascii="Cambria" w:eastAsia="Times New Roman" w:hAnsi="Cambria" w:cs="Times New Roman"/>
      <w:lang w:val="ro-RO"/>
    </w:rPr>
  </w:style>
  <w:style w:type="paragraph" w:styleId="Revision">
    <w:name w:val="Revision"/>
    <w:hidden/>
    <w:uiPriority w:val="99"/>
    <w:semiHidden/>
    <w:rsid w:val="00A053E6"/>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053E6"/>
    <w:rPr>
      <w:shd w:val="clear" w:color="auto" w:fill="auto"/>
      <w:vertAlign w:val="superscript"/>
    </w:rPr>
  </w:style>
  <w:style w:type="paragraph" w:customStyle="1" w:styleId="Text1">
    <w:name w:val="Text 1"/>
    <w:basedOn w:val="Normal"/>
    <w:rsid w:val="00A053E6"/>
    <w:pPr>
      <w:ind w:left="850"/>
    </w:pPr>
  </w:style>
  <w:style w:type="paragraph" w:customStyle="1" w:styleId="Tiret0">
    <w:name w:val="Tiret 0"/>
    <w:basedOn w:val="Normal"/>
    <w:rsid w:val="00DA1750"/>
    <w:pPr>
      <w:numPr>
        <w:numId w:val="1"/>
      </w:numPr>
    </w:pPr>
  </w:style>
  <w:style w:type="paragraph" w:customStyle="1" w:styleId="Tiret1">
    <w:name w:val="Tiret 1"/>
    <w:basedOn w:val="Normal"/>
    <w:rsid w:val="00DA1750"/>
    <w:pPr>
      <w:numPr>
        <w:numId w:val="28"/>
      </w:numPr>
    </w:pPr>
  </w:style>
  <w:style w:type="paragraph" w:customStyle="1" w:styleId="NumPar1">
    <w:name w:val="NumPar 1"/>
    <w:basedOn w:val="Normal"/>
    <w:next w:val="Text1"/>
    <w:rsid w:val="00A053E6"/>
    <w:pPr>
      <w:numPr>
        <w:numId w:val="20"/>
      </w:numPr>
    </w:pPr>
  </w:style>
  <w:style w:type="paragraph" w:customStyle="1" w:styleId="NumPar2">
    <w:name w:val="NumPar 2"/>
    <w:basedOn w:val="Normal"/>
    <w:next w:val="Text1"/>
    <w:rsid w:val="00A053E6"/>
    <w:pPr>
      <w:numPr>
        <w:ilvl w:val="1"/>
        <w:numId w:val="20"/>
      </w:numPr>
    </w:pPr>
  </w:style>
  <w:style w:type="paragraph" w:customStyle="1" w:styleId="Point0number">
    <w:name w:val="Point 0 (number)"/>
    <w:basedOn w:val="Normal"/>
    <w:rsid w:val="00A053E6"/>
    <w:pPr>
      <w:numPr>
        <w:numId w:val="2"/>
      </w:numPr>
    </w:pPr>
  </w:style>
  <w:style w:type="paragraph" w:customStyle="1" w:styleId="Point1letter">
    <w:name w:val="Point 1 (letter)"/>
    <w:basedOn w:val="Normal"/>
    <w:rsid w:val="00A053E6"/>
    <w:pPr>
      <w:numPr>
        <w:ilvl w:val="3"/>
        <w:numId w:val="2"/>
      </w:numPr>
    </w:pPr>
  </w:style>
  <w:style w:type="paragraph" w:customStyle="1" w:styleId="Annexetitre">
    <w:name w:val="Annexe titre"/>
    <w:basedOn w:val="Normal"/>
    <w:next w:val="Normal"/>
    <w:rsid w:val="00A053E6"/>
    <w:pPr>
      <w:jc w:val="center"/>
    </w:pPr>
    <w:rPr>
      <w:b/>
      <w:u w:val="single"/>
    </w:rPr>
  </w:style>
  <w:style w:type="paragraph" w:styleId="Header">
    <w:name w:val="header"/>
    <w:basedOn w:val="Normal"/>
    <w:link w:val="HeaderChar"/>
    <w:uiPriority w:val="99"/>
    <w:unhideWhenUsed/>
    <w:rsid w:val="000F4888"/>
    <w:pPr>
      <w:tabs>
        <w:tab w:val="center" w:pos="4536"/>
        <w:tab w:val="right" w:pos="9072"/>
      </w:tabs>
      <w:spacing w:before="0" w:after="0"/>
    </w:pPr>
  </w:style>
  <w:style w:type="paragraph" w:styleId="FootnoteText">
    <w:name w:val="footnote text"/>
    <w:basedOn w:val="Normal"/>
    <w:link w:val="FootnoteTextChar"/>
    <w:uiPriority w:val="99"/>
    <w:unhideWhenUsed/>
    <w:rsid w:val="006D4B7C"/>
    <w:pPr>
      <w:spacing w:before="0" w:after="0"/>
    </w:pPr>
    <w:rPr>
      <w:sz w:val="20"/>
      <w:szCs w:val="20"/>
    </w:rPr>
  </w:style>
  <w:style w:type="character" w:customStyle="1" w:styleId="FootnoteTextChar">
    <w:name w:val="Footnote Text Char"/>
    <w:basedOn w:val="DefaultParagraphFont"/>
    <w:link w:val="FootnoteText"/>
    <w:uiPriority w:val="99"/>
    <w:rsid w:val="006D4B7C"/>
    <w:rPr>
      <w:rFonts w:ascii="Times New Roman" w:hAnsi="Times New Roman" w:cs="Times New Roman"/>
      <w:sz w:val="20"/>
      <w:szCs w:val="20"/>
      <w:lang w:val="ro-RO"/>
    </w:rPr>
  </w:style>
  <w:style w:type="character" w:customStyle="1" w:styleId="HeaderChar">
    <w:name w:val="Header Char"/>
    <w:basedOn w:val="DefaultParagraphFont"/>
    <w:link w:val="Header"/>
    <w:uiPriority w:val="99"/>
    <w:rsid w:val="000F4888"/>
    <w:rPr>
      <w:rFonts w:ascii="Times New Roman" w:hAnsi="Times New Roman" w:cs="Times New Roman"/>
      <w:sz w:val="24"/>
      <w:lang w:val="ro-RO"/>
    </w:rPr>
  </w:style>
  <w:style w:type="paragraph" w:styleId="Footer">
    <w:name w:val="footer"/>
    <w:basedOn w:val="Normal"/>
    <w:link w:val="FooterChar"/>
    <w:uiPriority w:val="99"/>
    <w:unhideWhenUsed/>
    <w:rsid w:val="000F4888"/>
    <w:pPr>
      <w:tabs>
        <w:tab w:val="center" w:pos="4536"/>
        <w:tab w:val="right" w:pos="9072"/>
      </w:tabs>
      <w:spacing w:before="0" w:after="0"/>
    </w:pPr>
  </w:style>
  <w:style w:type="character" w:customStyle="1" w:styleId="FooterChar">
    <w:name w:val="Footer Char"/>
    <w:basedOn w:val="DefaultParagraphFont"/>
    <w:link w:val="Footer"/>
    <w:uiPriority w:val="99"/>
    <w:rsid w:val="000F4888"/>
    <w:rPr>
      <w:rFonts w:ascii="Times New Roman" w:hAnsi="Times New Roman" w:cs="Times New Roman"/>
      <w:sz w:val="24"/>
      <w:lang w:val="ro-RO"/>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456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DCEE-900C-4B7B-A4F9-CCF6D717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13289</Words>
  <Characters>75749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MAMPAEY Marie-Paule (TAXUD)</dc:creator>
  <cp:lastModifiedBy>OANA-DIANA BORCEA</cp:lastModifiedBy>
  <cp:revision>2</cp:revision>
  <dcterms:created xsi:type="dcterms:W3CDTF">2019-10-03T10:36:00Z</dcterms:created>
  <dcterms:modified xsi:type="dcterms:W3CDTF">2019-10-03T10:36:00Z</dcterms:modified>
</cp:coreProperties>
</file>