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0E" w:rsidRPr="008454CF" w:rsidRDefault="00233E0E" w:rsidP="00BB286A">
      <w:pPr>
        <w:tabs>
          <w:tab w:val="left" w:pos="3960"/>
        </w:tabs>
        <w:spacing w:after="0" w:line="240" w:lineRule="auto"/>
        <w:jc w:val="center"/>
        <w:rPr>
          <w:rFonts w:ascii="Trebuchet MS" w:hAnsi="Trebuchet MS" w:cs="Arial"/>
          <w:b/>
          <w:bCs/>
          <w:u w:val="single"/>
        </w:rPr>
      </w:pPr>
    </w:p>
    <w:p w:rsidR="00B20384" w:rsidRPr="008454CF" w:rsidRDefault="00B20384" w:rsidP="00BB286A">
      <w:pPr>
        <w:tabs>
          <w:tab w:val="left" w:pos="3960"/>
        </w:tabs>
        <w:spacing w:after="0" w:line="240" w:lineRule="auto"/>
        <w:jc w:val="center"/>
        <w:rPr>
          <w:rFonts w:ascii="Trebuchet MS" w:hAnsi="Trebuchet MS" w:cs="Arial"/>
          <w:b/>
          <w:bCs/>
          <w:u w:val="single"/>
        </w:rPr>
      </w:pPr>
    </w:p>
    <w:p w:rsidR="00B20384" w:rsidRPr="008454CF" w:rsidRDefault="00B20384" w:rsidP="00BB286A">
      <w:pPr>
        <w:tabs>
          <w:tab w:val="left" w:pos="3960"/>
        </w:tabs>
        <w:spacing w:after="0" w:line="240" w:lineRule="auto"/>
        <w:jc w:val="center"/>
        <w:rPr>
          <w:rFonts w:ascii="Trebuchet MS" w:hAnsi="Trebuchet MS" w:cs="Arial"/>
          <w:b/>
          <w:bCs/>
          <w:u w:val="single"/>
        </w:rPr>
      </w:pPr>
    </w:p>
    <w:p w:rsidR="00B20384" w:rsidRPr="008454CF" w:rsidRDefault="00E91E95" w:rsidP="00E742DE">
      <w:pPr>
        <w:jc w:val="center"/>
        <w:rPr>
          <w:rFonts w:ascii="Trebuchet MS" w:hAnsi="Trebuchet MS" w:cs="Arial"/>
          <w:b/>
          <w:snapToGrid w:val="0"/>
          <w:u w:val="single"/>
        </w:rPr>
      </w:pPr>
      <w:r w:rsidRPr="008454CF">
        <w:rPr>
          <w:rFonts w:ascii="Trebuchet MS" w:hAnsi="Trebuchet MS" w:cs="Arial"/>
          <w:b/>
          <w:snapToGrid w:val="0"/>
          <w:u w:val="single"/>
        </w:rPr>
        <w:t>NOTĂ DE FUNDAMENTARE</w:t>
      </w:r>
    </w:p>
    <w:p w:rsidR="00731DC3" w:rsidRPr="008454CF" w:rsidRDefault="00731DC3" w:rsidP="000E74D6">
      <w:pPr>
        <w:tabs>
          <w:tab w:val="left" w:pos="3960"/>
        </w:tabs>
        <w:spacing w:after="0" w:line="240" w:lineRule="auto"/>
        <w:rPr>
          <w:rFonts w:ascii="Trebuchet MS" w:hAnsi="Trebuchet MS" w:cs="Arial"/>
          <w:b/>
          <w:bCs/>
          <w:u w:val="single"/>
        </w:rPr>
      </w:pPr>
    </w:p>
    <w:tbl>
      <w:tblPr>
        <w:tblW w:w="507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2"/>
      </w:tblGrid>
      <w:tr w:rsidR="00731DC3" w:rsidRPr="008454CF" w:rsidTr="00255922">
        <w:trPr>
          <w:trHeight w:val="635"/>
        </w:trPr>
        <w:tc>
          <w:tcPr>
            <w:tcW w:w="9712" w:type="dxa"/>
          </w:tcPr>
          <w:p w:rsidR="00731DC3" w:rsidRPr="008454CF" w:rsidRDefault="00731DC3" w:rsidP="00BB286A">
            <w:pPr>
              <w:tabs>
                <w:tab w:val="left" w:pos="3960"/>
              </w:tabs>
              <w:spacing w:after="0" w:line="240" w:lineRule="auto"/>
              <w:jc w:val="center"/>
              <w:rPr>
                <w:rFonts w:ascii="Trebuchet MS" w:hAnsi="Trebuchet MS" w:cs="Arial"/>
                <w:b/>
                <w:bCs/>
              </w:rPr>
            </w:pPr>
            <w:r w:rsidRPr="008454CF">
              <w:rPr>
                <w:rFonts w:ascii="Trebuchet MS" w:hAnsi="Trebuchet MS" w:cs="Arial"/>
                <w:b/>
                <w:bCs/>
              </w:rPr>
              <w:t>Secţiunea 1</w:t>
            </w:r>
          </w:p>
          <w:p w:rsidR="00942867" w:rsidRPr="008454CF" w:rsidRDefault="00731DC3" w:rsidP="00255922">
            <w:pPr>
              <w:tabs>
                <w:tab w:val="left" w:pos="3960"/>
              </w:tabs>
              <w:spacing w:after="0" w:line="240" w:lineRule="auto"/>
              <w:jc w:val="center"/>
              <w:rPr>
                <w:rFonts w:ascii="Trebuchet MS" w:hAnsi="Trebuchet MS" w:cs="Arial"/>
                <w:b/>
                <w:bCs/>
              </w:rPr>
            </w:pPr>
            <w:r w:rsidRPr="008454CF">
              <w:rPr>
                <w:rFonts w:ascii="Trebuchet MS" w:hAnsi="Trebuchet MS" w:cs="Arial"/>
                <w:b/>
                <w:bCs/>
              </w:rPr>
              <w:t xml:space="preserve">Titlul prezentului </w:t>
            </w:r>
            <w:r w:rsidR="001E11AA" w:rsidRPr="008454CF">
              <w:rPr>
                <w:rFonts w:ascii="Trebuchet MS" w:hAnsi="Trebuchet MS" w:cs="Arial"/>
                <w:b/>
                <w:bCs/>
              </w:rPr>
              <w:t xml:space="preserve">proiect de </w:t>
            </w:r>
            <w:r w:rsidRPr="008454CF">
              <w:rPr>
                <w:rFonts w:ascii="Trebuchet MS" w:hAnsi="Trebuchet MS" w:cs="Arial"/>
                <w:b/>
                <w:bCs/>
              </w:rPr>
              <w:t>act normativ</w:t>
            </w:r>
          </w:p>
          <w:p w:rsidR="00255922" w:rsidRPr="008454CF" w:rsidRDefault="00255922" w:rsidP="00255922">
            <w:pPr>
              <w:tabs>
                <w:tab w:val="left" w:pos="3960"/>
              </w:tabs>
              <w:spacing w:after="0" w:line="240" w:lineRule="auto"/>
              <w:jc w:val="center"/>
              <w:rPr>
                <w:rFonts w:ascii="Trebuchet MS" w:hAnsi="Trebuchet MS" w:cs="Arial"/>
                <w:b/>
                <w:bCs/>
              </w:rPr>
            </w:pPr>
          </w:p>
        </w:tc>
      </w:tr>
      <w:tr w:rsidR="00255922" w:rsidRPr="008454CF" w:rsidTr="00255922">
        <w:trPr>
          <w:trHeight w:val="506"/>
        </w:trPr>
        <w:tc>
          <w:tcPr>
            <w:tcW w:w="9712" w:type="dxa"/>
          </w:tcPr>
          <w:p w:rsidR="00255922" w:rsidRPr="008454CF" w:rsidRDefault="00255922" w:rsidP="00255922">
            <w:pPr>
              <w:autoSpaceDE w:val="0"/>
              <w:autoSpaceDN w:val="0"/>
              <w:adjustRightInd w:val="0"/>
              <w:jc w:val="center"/>
              <w:rPr>
                <w:rFonts w:ascii="Trebuchet MS" w:hAnsi="Trebuchet MS" w:cs="Arial"/>
              </w:rPr>
            </w:pPr>
            <w:r w:rsidRPr="008454CF">
              <w:rPr>
                <w:rFonts w:ascii="Trebuchet MS" w:hAnsi="Trebuchet MS" w:cs="Arial"/>
              </w:rPr>
              <w:t xml:space="preserve">Hotărârea Guvernului </w:t>
            </w:r>
          </w:p>
          <w:p w:rsidR="00255922" w:rsidRPr="008454CF" w:rsidRDefault="00282F6A" w:rsidP="008454CF">
            <w:pPr>
              <w:autoSpaceDE w:val="0"/>
              <w:autoSpaceDN w:val="0"/>
              <w:adjustRightInd w:val="0"/>
              <w:jc w:val="center"/>
              <w:rPr>
                <w:rFonts w:ascii="Trebuchet MS" w:hAnsi="Trebuchet MS" w:cs="Arial"/>
                <w:b/>
                <w:bCs/>
              </w:rPr>
            </w:pPr>
            <w:r w:rsidRPr="00282F6A">
              <w:rPr>
                <w:rFonts w:ascii="Trebuchet MS" w:hAnsi="Trebuchet MS" w:cs="Arial"/>
              </w:rPr>
              <w:t>privind transmiterea cu titlu gratuit din domeniul privat al statului în domeniul public al acestuia şi în administrarea Ministerului Justiției a unui imobil intrat în proprietatea privată a statului prin confiscare</w:t>
            </w:r>
          </w:p>
        </w:tc>
      </w:tr>
      <w:tr w:rsidR="00731DC3" w:rsidRPr="008454CF" w:rsidTr="00502637">
        <w:trPr>
          <w:trHeight w:val="566"/>
        </w:trPr>
        <w:tc>
          <w:tcPr>
            <w:tcW w:w="9712" w:type="dxa"/>
          </w:tcPr>
          <w:p w:rsidR="00B20384" w:rsidRPr="008454CF" w:rsidRDefault="00B20384" w:rsidP="00BB286A">
            <w:pPr>
              <w:tabs>
                <w:tab w:val="left" w:pos="3960"/>
              </w:tabs>
              <w:spacing w:after="0" w:line="240" w:lineRule="auto"/>
              <w:jc w:val="center"/>
              <w:rPr>
                <w:rFonts w:ascii="Trebuchet MS" w:hAnsi="Trebuchet MS" w:cs="Arial"/>
                <w:b/>
                <w:bCs/>
              </w:rPr>
            </w:pPr>
          </w:p>
          <w:p w:rsidR="00731DC3" w:rsidRPr="008454CF" w:rsidRDefault="00731DC3" w:rsidP="00BB286A">
            <w:pPr>
              <w:tabs>
                <w:tab w:val="left" w:pos="3960"/>
              </w:tabs>
              <w:spacing w:after="0" w:line="240" w:lineRule="auto"/>
              <w:jc w:val="center"/>
              <w:rPr>
                <w:rFonts w:ascii="Trebuchet MS" w:hAnsi="Trebuchet MS" w:cs="Arial"/>
                <w:b/>
                <w:bCs/>
              </w:rPr>
            </w:pPr>
            <w:r w:rsidRPr="008454CF">
              <w:rPr>
                <w:rFonts w:ascii="Trebuchet MS" w:hAnsi="Trebuchet MS" w:cs="Arial"/>
                <w:b/>
                <w:bCs/>
              </w:rPr>
              <w:t>Secţiunea a 2 – a</w:t>
            </w:r>
          </w:p>
          <w:p w:rsidR="007B09FA" w:rsidRPr="008454CF" w:rsidRDefault="00731DC3" w:rsidP="001C6F04">
            <w:pPr>
              <w:tabs>
                <w:tab w:val="left" w:pos="3960"/>
              </w:tabs>
              <w:spacing w:after="0" w:line="240" w:lineRule="auto"/>
              <w:jc w:val="center"/>
              <w:rPr>
                <w:rFonts w:ascii="Trebuchet MS" w:hAnsi="Trebuchet MS" w:cs="Arial"/>
                <w:b/>
                <w:bCs/>
              </w:rPr>
            </w:pPr>
            <w:r w:rsidRPr="008454CF">
              <w:rPr>
                <w:rFonts w:ascii="Trebuchet MS" w:hAnsi="Trebuchet MS" w:cs="Arial"/>
                <w:b/>
                <w:bCs/>
              </w:rPr>
              <w:t xml:space="preserve">Motivul emiterii </w:t>
            </w:r>
            <w:r w:rsidR="001E11AA" w:rsidRPr="008454CF">
              <w:rPr>
                <w:rFonts w:ascii="Trebuchet MS" w:hAnsi="Trebuchet MS" w:cs="Arial"/>
                <w:b/>
                <w:bCs/>
              </w:rPr>
              <w:t>act</w:t>
            </w:r>
            <w:r w:rsidR="001C6F04" w:rsidRPr="008454CF">
              <w:rPr>
                <w:rFonts w:ascii="Trebuchet MS" w:hAnsi="Trebuchet MS" w:cs="Arial"/>
                <w:b/>
                <w:bCs/>
              </w:rPr>
              <w:t>ului</w:t>
            </w:r>
            <w:r w:rsidRPr="008454CF">
              <w:rPr>
                <w:rFonts w:ascii="Trebuchet MS" w:hAnsi="Trebuchet MS" w:cs="Arial"/>
                <w:b/>
                <w:bCs/>
              </w:rPr>
              <w:t xml:space="preserve"> normativ</w:t>
            </w:r>
          </w:p>
          <w:p w:rsidR="00B20384" w:rsidRPr="008454CF" w:rsidRDefault="00B20384" w:rsidP="001C6F04">
            <w:pPr>
              <w:tabs>
                <w:tab w:val="left" w:pos="3960"/>
              </w:tabs>
              <w:spacing w:after="0" w:line="240" w:lineRule="auto"/>
              <w:jc w:val="center"/>
              <w:rPr>
                <w:rFonts w:ascii="Trebuchet MS" w:hAnsi="Trebuchet MS" w:cs="Arial"/>
                <w:b/>
                <w:bCs/>
              </w:rPr>
            </w:pPr>
          </w:p>
        </w:tc>
      </w:tr>
      <w:tr w:rsidR="00731DC3" w:rsidRPr="008454CF" w:rsidTr="00502637">
        <w:trPr>
          <w:trHeight w:val="620"/>
        </w:trPr>
        <w:tc>
          <w:tcPr>
            <w:tcW w:w="9712" w:type="dxa"/>
          </w:tcPr>
          <w:p w:rsidR="00255922" w:rsidRPr="008454CF" w:rsidRDefault="00255922" w:rsidP="006E67BC">
            <w:pPr>
              <w:autoSpaceDE w:val="0"/>
              <w:autoSpaceDN w:val="0"/>
              <w:adjustRightInd w:val="0"/>
              <w:ind w:left="28"/>
              <w:jc w:val="both"/>
              <w:rPr>
                <w:rFonts w:ascii="Trebuchet MS" w:hAnsi="Trebuchet MS" w:cs="Arial"/>
                <w:bCs/>
              </w:rPr>
            </w:pPr>
            <w:r w:rsidRPr="008454CF">
              <w:rPr>
                <w:rFonts w:ascii="Trebuchet MS" w:hAnsi="Trebuchet MS" w:cs="Arial"/>
                <w:b/>
                <w:bCs/>
              </w:rPr>
              <w:t xml:space="preserve">1. </w:t>
            </w:r>
            <w:r w:rsidR="00731DC3" w:rsidRPr="008454CF">
              <w:rPr>
                <w:rFonts w:ascii="Trebuchet MS" w:hAnsi="Trebuchet MS" w:cs="Arial"/>
                <w:b/>
                <w:bCs/>
              </w:rPr>
              <w:t>Descrierea situaţiei actuale</w:t>
            </w:r>
          </w:p>
          <w:p w:rsidR="00255922" w:rsidRPr="008454CF" w:rsidRDefault="00255922" w:rsidP="00255922">
            <w:pPr>
              <w:autoSpaceDE w:val="0"/>
              <w:autoSpaceDN w:val="0"/>
              <w:adjustRightInd w:val="0"/>
              <w:ind w:left="28"/>
              <w:jc w:val="both"/>
              <w:rPr>
                <w:rFonts w:ascii="Trebuchet MS" w:hAnsi="Trebuchet MS" w:cs="Arial"/>
                <w:bCs/>
              </w:rPr>
            </w:pPr>
            <w:r w:rsidRPr="008454CF">
              <w:rPr>
                <w:rFonts w:ascii="Trebuchet MS" w:hAnsi="Trebuchet MS" w:cs="Arial"/>
                <w:bCs/>
              </w:rPr>
              <w:t>Cadrul legal care reglementează transmiterea cu titlu gratuit în domeniul public al statului și darea în administrarea autorităților administrației publice centrale, altor instituții publice de interes național, după caz, sau regiilor autonome de interes național a bunurilor imobile confiscate în cursul procesului penal este următorul:</w:t>
            </w:r>
          </w:p>
          <w:p w:rsidR="00255922" w:rsidRPr="008454CF" w:rsidRDefault="00255922" w:rsidP="00255922">
            <w:pPr>
              <w:autoSpaceDE w:val="0"/>
              <w:autoSpaceDN w:val="0"/>
              <w:adjustRightInd w:val="0"/>
              <w:ind w:left="28"/>
              <w:jc w:val="both"/>
              <w:rPr>
                <w:rFonts w:ascii="Trebuchet MS" w:hAnsi="Trebuchet MS" w:cs="Arial"/>
                <w:bCs/>
              </w:rPr>
            </w:pPr>
            <w:r w:rsidRPr="008454CF">
              <w:rPr>
                <w:rFonts w:ascii="Trebuchet MS" w:hAnsi="Trebuchet MS" w:cs="Arial"/>
                <w:bCs/>
              </w:rPr>
              <w:t>- Legea nr. 216/2016 privind stabilirea destinației unor bunuri imobile confiscate</w:t>
            </w:r>
            <w:r w:rsidR="001C49B4">
              <w:rPr>
                <w:rFonts w:ascii="Trebuchet MS" w:hAnsi="Trebuchet MS" w:cs="Arial"/>
                <w:bCs/>
              </w:rPr>
              <w:t>;</w:t>
            </w:r>
          </w:p>
          <w:p w:rsidR="00255922" w:rsidRDefault="00255922" w:rsidP="00255922">
            <w:pPr>
              <w:autoSpaceDE w:val="0"/>
              <w:autoSpaceDN w:val="0"/>
              <w:adjustRightInd w:val="0"/>
              <w:ind w:left="28"/>
              <w:jc w:val="both"/>
              <w:rPr>
                <w:rFonts w:ascii="Trebuchet MS" w:hAnsi="Trebuchet MS" w:cs="Arial"/>
                <w:bCs/>
              </w:rPr>
            </w:pPr>
            <w:r w:rsidRPr="008454CF">
              <w:rPr>
                <w:rFonts w:ascii="Trebuchet MS" w:hAnsi="Trebuchet MS" w:cs="Arial"/>
                <w:bCs/>
              </w:rPr>
              <w:t>- Legea nr. 318/2015 privind pentru înființarea, organizarea și funcționarea Agenției Naționale de Administrare a Bunurilor Indisponibilizate și pentru modificarea și completarea unor acte normative, art. 34 și art. 35.</w:t>
            </w:r>
          </w:p>
          <w:p w:rsidR="001C49B4" w:rsidRPr="001C49B4" w:rsidRDefault="001C49B4" w:rsidP="001C49B4">
            <w:pPr>
              <w:autoSpaceDE w:val="0"/>
              <w:autoSpaceDN w:val="0"/>
              <w:adjustRightInd w:val="0"/>
              <w:ind w:left="28"/>
              <w:jc w:val="both"/>
              <w:rPr>
                <w:rFonts w:ascii="Trebuchet MS" w:hAnsi="Trebuchet MS" w:cs="Arial"/>
                <w:bCs/>
              </w:rPr>
            </w:pPr>
            <w:r w:rsidRPr="001C49B4">
              <w:rPr>
                <w:rFonts w:ascii="Trebuchet MS" w:hAnsi="Trebuchet MS" w:cs="Arial"/>
                <w:bCs/>
              </w:rPr>
              <w:t xml:space="preserve">Imobilul a intrat în proprietatea privată a statului prin confiscarea dispusă prin sentința penală nr. 53/F/26.08.2018, pronunțată de Curtea de Apel București – Secția a II-a Penală, în dosarul nr. 2185/2/2015*, definitivă prin decizia penală nr. 306/A/11.10.2019 a Înaltei Curți de Casație și Justiție. </w:t>
            </w:r>
          </w:p>
          <w:p w:rsidR="001C49B4" w:rsidRPr="001C49B4" w:rsidRDefault="001C49B4" w:rsidP="001C49B4">
            <w:pPr>
              <w:autoSpaceDE w:val="0"/>
              <w:autoSpaceDN w:val="0"/>
              <w:adjustRightInd w:val="0"/>
              <w:ind w:left="28"/>
              <w:jc w:val="both"/>
              <w:rPr>
                <w:rFonts w:ascii="Trebuchet MS" w:hAnsi="Trebuchet MS" w:cs="Arial"/>
                <w:bCs/>
              </w:rPr>
            </w:pPr>
            <w:r w:rsidRPr="001C49B4">
              <w:rPr>
                <w:rFonts w:ascii="Trebuchet MS" w:hAnsi="Trebuchet MS" w:cs="Arial"/>
                <w:bCs/>
              </w:rPr>
              <w:t>Imobilul este compus din teren (621 mp) și construcție cu o suprafață construită la sol de: 374 mp, situat în București, Calea Floreasca nr. 39, Sectorul 1.</w:t>
            </w:r>
          </w:p>
          <w:p w:rsidR="001C49B4" w:rsidRDefault="001C49B4" w:rsidP="001C49B4">
            <w:pPr>
              <w:autoSpaceDE w:val="0"/>
              <w:autoSpaceDN w:val="0"/>
              <w:adjustRightInd w:val="0"/>
              <w:ind w:left="28"/>
              <w:jc w:val="both"/>
              <w:rPr>
                <w:rFonts w:ascii="Trebuchet MS" w:hAnsi="Trebuchet MS" w:cs="Arial"/>
                <w:bCs/>
              </w:rPr>
            </w:pPr>
            <w:r w:rsidRPr="001C49B4">
              <w:rPr>
                <w:rFonts w:ascii="Trebuchet MS" w:hAnsi="Trebuchet MS" w:cs="Arial"/>
                <w:bCs/>
              </w:rPr>
              <w:t>Valoarea imobilului confiscat a fost stabilită de către comisia de evaluare la suma de 14.400.000 Lei, în temeiul prevederilor art. 6 din Ordonanța Guvernului nr. 14/2007 pentru reglementarea modului și condițiilor de valorificare a bunurilor intrate, potrivit legii, în proprietatea privată a statului, coroborate cu dispozițiile art. 1 alin. (2) din Legea nr. 216/2016 privind stabilirea destinației unor bunuri imobile confiscate, fiind încheiat procesul-verbal de evaluare nr. 659/18.12.20019.</w:t>
            </w:r>
          </w:p>
          <w:p w:rsidR="001C49B4" w:rsidRDefault="00E74FD1" w:rsidP="00255922">
            <w:pPr>
              <w:autoSpaceDE w:val="0"/>
              <w:autoSpaceDN w:val="0"/>
              <w:adjustRightInd w:val="0"/>
              <w:ind w:left="28"/>
              <w:jc w:val="both"/>
              <w:rPr>
                <w:rFonts w:ascii="Trebuchet MS" w:hAnsi="Trebuchet MS" w:cs="Arial"/>
                <w:bCs/>
              </w:rPr>
            </w:pPr>
            <w:r>
              <w:rPr>
                <w:rFonts w:ascii="Trebuchet MS" w:hAnsi="Trebuchet MS" w:cs="Arial"/>
                <w:bCs/>
              </w:rPr>
              <w:t>În temeiul</w:t>
            </w:r>
            <w:r w:rsidRPr="00E74FD1">
              <w:rPr>
                <w:rFonts w:ascii="Trebuchet MS" w:hAnsi="Trebuchet MS" w:cs="Arial"/>
                <w:bCs/>
              </w:rPr>
              <w:t xml:space="preserve"> prevederilor art. 1 din Legea nr. 216/2016,</w:t>
            </w:r>
            <w:r w:rsidR="001C49B4">
              <w:rPr>
                <w:rFonts w:ascii="Trebuchet MS" w:hAnsi="Trebuchet MS" w:cs="Arial"/>
                <w:bCs/>
              </w:rPr>
              <w:t xml:space="preserve"> Agenția Națională de Administrare a Bunurilor Indisponibilizate a propus </w:t>
            </w:r>
            <w:r w:rsidR="001C49B4" w:rsidRPr="001C49B4">
              <w:rPr>
                <w:rFonts w:ascii="Trebuchet MS" w:hAnsi="Trebuchet MS" w:cs="Arial"/>
                <w:bCs/>
              </w:rPr>
              <w:t>Ministerului Finanțelor Publice</w:t>
            </w:r>
            <w:r w:rsidRPr="00E74FD1">
              <w:rPr>
                <w:rFonts w:ascii="Trebuchet MS" w:hAnsi="Trebuchet MS" w:cs="Arial"/>
                <w:bCs/>
              </w:rPr>
              <w:t>iniți</w:t>
            </w:r>
            <w:r w:rsidR="001C49B4">
              <w:rPr>
                <w:rFonts w:ascii="Trebuchet MS" w:hAnsi="Trebuchet MS" w:cs="Arial"/>
                <w:bCs/>
              </w:rPr>
              <w:t xml:space="preserve">erea </w:t>
            </w:r>
            <w:r w:rsidRPr="00E74FD1">
              <w:rPr>
                <w:rFonts w:ascii="Trebuchet MS" w:hAnsi="Trebuchet MS" w:cs="Arial"/>
                <w:bCs/>
              </w:rPr>
              <w:t>demersurilor necesare pentru emiterea unei Hotărâri a Guvernului având ca obiect</w:t>
            </w:r>
            <w:r w:rsidR="00282F6A" w:rsidRPr="00282F6A">
              <w:rPr>
                <w:rFonts w:ascii="Trebuchet MS" w:hAnsi="Trebuchet MS" w:cs="Arial"/>
                <w:bCs/>
              </w:rPr>
              <w:t xml:space="preserve">transmiterea cu titlu gratuit din domeniul privat al statului în domeniul public al acestuia şi în administrarea Ministerului Justiției a </w:t>
            </w:r>
            <w:r w:rsidR="00282F6A" w:rsidRPr="00E74FD1">
              <w:rPr>
                <w:rFonts w:ascii="Trebuchet MS" w:hAnsi="Trebuchet MS" w:cs="Arial"/>
                <w:bCs/>
              </w:rPr>
              <w:t>imobilului situat în București, Calea Floreasca nr. 39, Sector 1</w:t>
            </w:r>
            <w:r w:rsidR="00282F6A">
              <w:rPr>
                <w:rFonts w:ascii="Trebuchet MS" w:hAnsi="Trebuchet MS" w:cs="Arial"/>
                <w:bCs/>
              </w:rPr>
              <w:t xml:space="preserve">, </w:t>
            </w:r>
            <w:r w:rsidR="00282F6A" w:rsidRPr="00282F6A">
              <w:rPr>
                <w:rFonts w:ascii="Trebuchet MS" w:hAnsi="Trebuchet MS" w:cs="Arial"/>
                <w:bCs/>
              </w:rPr>
              <w:t>intrat în proprietatea privată a statului prin confiscare</w:t>
            </w:r>
            <w:r w:rsidR="00282F6A">
              <w:rPr>
                <w:rFonts w:ascii="Trebuchet MS" w:hAnsi="Trebuchet MS" w:cs="Arial"/>
                <w:bCs/>
              </w:rPr>
              <w:t>.</w:t>
            </w:r>
          </w:p>
          <w:p w:rsidR="00E74FD1" w:rsidRPr="008454CF" w:rsidRDefault="00E74FD1" w:rsidP="00255922">
            <w:pPr>
              <w:autoSpaceDE w:val="0"/>
              <w:autoSpaceDN w:val="0"/>
              <w:adjustRightInd w:val="0"/>
              <w:ind w:left="28"/>
              <w:jc w:val="both"/>
              <w:rPr>
                <w:rFonts w:ascii="Trebuchet MS" w:hAnsi="Trebuchet MS" w:cs="Arial"/>
                <w:bCs/>
              </w:rPr>
            </w:pPr>
          </w:p>
          <w:p w:rsidR="00FF0BA5" w:rsidRPr="008454CF" w:rsidRDefault="00FF0BA5" w:rsidP="00255922">
            <w:pPr>
              <w:autoSpaceDE w:val="0"/>
              <w:autoSpaceDN w:val="0"/>
              <w:adjustRightInd w:val="0"/>
              <w:ind w:left="28"/>
              <w:jc w:val="both"/>
              <w:rPr>
                <w:rFonts w:ascii="Trebuchet MS" w:hAnsi="Trebuchet MS" w:cs="Arial"/>
                <w:bCs/>
              </w:rPr>
            </w:pPr>
            <w:r w:rsidRPr="008454CF">
              <w:rPr>
                <w:rFonts w:ascii="Trebuchet MS" w:hAnsi="Trebuchet MS" w:cs="Arial"/>
                <w:bCs/>
              </w:rPr>
              <w:t>În prezent, activitatea Ministerului Justiției se desfășoară cu dificultate, având în vedere următoarele aspecte:</w:t>
            </w:r>
          </w:p>
          <w:p w:rsidR="00255922" w:rsidRPr="008454CF" w:rsidRDefault="00255922" w:rsidP="00255922">
            <w:pPr>
              <w:autoSpaceDE w:val="0"/>
              <w:autoSpaceDN w:val="0"/>
              <w:adjustRightInd w:val="0"/>
              <w:ind w:left="28"/>
              <w:jc w:val="both"/>
              <w:rPr>
                <w:rFonts w:ascii="Trebuchet MS" w:hAnsi="Trebuchet MS" w:cs="Arial"/>
                <w:bCs/>
              </w:rPr>
            </w:pPr>
            <w:r w:rsidRPr="008454CF">
              <w:rPr>
                <w:rFonts w:ascii="Trebuchet MS" w:hAnsi="Trebuchet MS" w:cs="Arial"/>
                <w:bCs/>
              </w:rPr>
              <w:t xml:space="preserve">O serie de instituții pentru care Ministerul Justiției are calitatea de ordonator principal de credite își desfășoară activitatea în spații închiriate, improprii desfășurării în bune condiții a activității sub aspectul compartimentării, fluxurilor și al numărului de personal, precum și de specificul activităților instituțiilor, care presupune lucrul cu publicul. </w:t>
            </w:r>
          </w:p>
          <w:p w:rsidR="00255922" w:rsidRPr="008454CF" w:rsidRDefault="00255922" w:rsidP="00255922">
            <w:pPr>
              <w:autoSpaceDE w:val="0"/>
              <w:autoSpaceDN w:val="0"/>
              <w:adjustRightInd w:val="0"/>
              <w:ind w:left="28"/>
              <w:jc w:val="both"/>
              <w:rPr>
                <w:rFonts w:ascii="Trebuchet MS" w:hAnsi="Trebuchet MS" w:cs="Arial"/>
                <w:bCs/>
              </w:rPr>
            </w:pPr>
            <w:r w:rsidRPr="008454CF">
              <w:rPr>
                <w:rFonts w:ascii="Trebuchet MS" w:hAnsi="Trebuchet MS" w:cs="Arial"/>
                <w:bCs/>
              </w:rPr>
              <w:t xml:space="preserve">Bugetul de stat este grevat anual de sume importante pentru achitarea chiriilor, în anul 2019 plătindu-se 31.410.000 lei cu această destinație. </w:t>
            </w:r>
            <w:r w:rsidR="00406A97" w:rsidRPr="008454CF">
              <w:rPr>
                <w:rFonts w:ascii="Trebuchet MS" w:hAnsi="Trebuchet MS" w:cs="Arial"/>
                <w:bCs/>
              </w:rPr>
              <w:t>P</w:t>
            </w:r>
            <w:r w:rsidRPr="008454CF">
              <w:rPr>
                <w:rFonts w:ascii="Trebuchet MS" w:hAnsi="Trebuchet MS" w:cs="Arial"/>
                <w:bCs/>
              </w:rPr>
              <w:t xml:space="preserve">rin legea bugetului de stat pe anul 2020 au fost alocate fonduri în sumă totală de 27.025.000 lei pentru plata chiriilor, cu ocazia rectificărilor bugetare Ministerul Justiției găsindu-se </w:t>
            </w:r>
            <w:r w:rsidR="00406A97" w:rsidRPr="008454CF">
              <w:rPr>
                <w:rFonts w:ascii="Trebuchet MS" w:hAnsi="Trebuchet MS" w:cs="Arial"/>
                <w:bCs/>
              </w:rPr>
              <w:t>î</w:t>
            </w:r>
            <w:r w:rsidRPr="008454CF">
              <w:rPr>
                <w:rFonts w:ascii="Trebuchet MS" w:hAnsi="Trebuchet MS" w:cs="Arial"/>
                <w:bCs/>
              </w:rPr>
              <w:t>n situația de a solicita majorarea</w:t>
            </w:r>
            <w:r w:rsidR="001B35C9">
              <w:rPr>
                <w:rFonts w:ascii="Trebuchet MS" w:hAnsi="Trebuchet MS" w:cs="Arial"/>
                <w:bCs/>
              </w:rPr>
              <w:t xml:space="preserve"> bugetului</w:t>
            </w:r>
            <w:r w:rsidRPr="008454CF">
              <w:rPr>
                <w:rFonts w:ascii="Trebuchet MS" w:hAnsi="Trebuchet MS" w:cs="Arial"/>
                <w:bCs/>
              </w:rPr>
              <w:t xml:space="preserve"> alocat inițial. </w:t>
            </w:r>
          </w:p>
          <w:p w:rsidR="00935E3A" w:rsidRPr="008454CF" w:rsidRDefault="001B35C9" w:rsidP="00255922">
            <w:pPr>
              <w:autoSpaceDE w:val="0"/>
              <w:autoSpaceDN w:val="0"/>
              <w:adjustRightInd w:val="0"/>
              <w:ind w:left="28"/>
              <w:jc w:val="both"/>
              <w:rPr>
                <w:rFonts w:ascii="Trebuchet MS" w:hAnsi="Trebuchet MS" w:cs="Arial"/>
                <w:bCs/>
              </w:rPr>
            </w:pPr>
            <w:r>
              <w:rPr>
                <w:rFonts w:ascii="Trebuchet MS" w:hAnsi="Trebuchet MS" w:cs="Arial"/>
                <w:bCs/>
              </w:rPr>
              <w:t>U</w:t>
            </w:r>
            <w:r w:rsidRPr="008454CF">
              <w:rPr>
                <w:rFonts w:ascii="Trebuchet MS" w:hAnsi="Trebuchet MS" w:cs="Arial"/>
                <w:bCs/>
              </w:rPr>
              <w:t>nitate</w:t>
            </w:r>
            <w:r>
              <w:rPr>
                <w:rFonts w:ascii="Trebuchet MS" w:hAnsi="Trebuchet MS" w:cs="Arial"/>
                <w:bCs/>
              </w:rPr>
              <w:t>a</w:t>
            </w:r>
            <w:r w:rsidRPr="008454CF">
              <w:rPr>
                <w:rFonts w:ascii="Trebuchet MS" w:hAnsi="Trebuchet MS" w:cs="Arial"/>
                <w:bCs/>
              </w:rPr>
              <w:t xml:space="preserve"> subordonată Ministerului Justiției</w:t>
            </w:r>
            <w:r>
              <w:rPr>
                <w:rFonts w:ascii="Trebuchet MS" w:hAnsi="Trebuchet MS" w:cs="Arial"/>
                <w:bCs/>
              </w:rPr>
              <w:t>, respectiv</w:t>
            </w:r>
            <w:r w:rsidR="00935E3A" w:rsidRPr="008454CF">
              <w:rPr>
                <w:rFonts w:ascii="Trebuchet MS" w:hAnsi="Trebuchet MS" w:cs="Arial"/>
                <w:bCs/>
              </w:rPr>
              <w:t>Autoritatea Națională pentru Cetățenie</w:t>
            </w:r>
            <w:r>
              <w:rPr>
                <w:rFonts w:ascii="Trebuchet MS" w:hAnsi="Trebuchet MS" w:cs="Arial"/>
                <w:bCs/>
              </w:rPr>
              <w:t xml:space="preserve">, </w:t>
            </w:r>
            <w:r w:rsidR="00935E3A" w:rsidRPr="008454CF">
              <w:rPr>
                <w:rFonts w:ascii="Trebuchet MS" w:hAnsi="Trebuchet MS" w:cs="Arial"/>
                <w:bCs/>
              </w:rPr>
              <w:t xml:space="preserve"> își desfășoară activitatea într-o clădire aflată în stare avansată de degradare, de natură a pune în pericol deopotrivă angajații instituției, cât și publicul numeros care se adresează direct Autorității Naționale pentru Cetățenie. </w:t>
            </w:r>
          </w:p>
          <w:p w:rsidR="00935E3A" w:rsidRPr="008454CF" w:rsidRDefault="001B35C9" w:rsidP="00255922">
            <w:pPr>
              <w:autoSpaceDE w:val="0"/>
              <w:autoSpaceDN w:val="0"/>
              <w:adjustRightInd w:val="0"/>
              <w:ind w:left="28"/>
              <w:jc w:val="both"/>
              <w:rPr>
                <w:rFonts w:ascii="Trebuchet MS" w:hAnsi="Trebuchet MS" w:cs="Arial"/>
                <w:bCs/>
              </w:rPr>
            </w:pPr>
            <w:r>
              <w:rPr>
                <w:rFonts w:ascii="Trebuchet MS" w:hAnsi="Trebuchet MS" w:cs="Arial"/>
                <w:bCs/>
              </w:rPr>
              <w:t xml:space="preserve">Alte unități subordonate Ministerului Justiției, respectiv </w:t>
            </w:r>
            <w:r w:rsidR="00935E3A" w:rsidRPr="008454CF">
              <w:rPr>
                <w:rFonts w:ascii="Trebuchet MS" w:hAnsi="Trebuchet MS" w:cs="Arial"/>
                <w:bCs/>
              </w:rPr>
              <w:t>Serviciile de probațiune din București,</w:t>
            </w:r>
            <w:r>
              <w:rPr>
                <w:rFonts w:ascii="Trebuchet MS" w:hAnsi="Trebuchet MS" w:cs="Arial"/>
                <w:bCs/>
              </w:rPr>
              <w:t xml:space="preserve"> și </w:t>
            </w:r>
            <w:r w:rsidR="00935E3A" w:rsidRPr="008454CF">
              <w:rPr>
                <w:rFonts w:ascii="Trebuchet MS" w:hAnsi="Trebuchet MS" w:cs="Arial"/>
                <w:bCs/>
              </w:rPr>
              <w:t xml:space="preserve">Ilfov își desfășoară activitatea în cadrul unor imobile aflate în proprietatea R.A. Administrația Patrimoniului Protocolului de </w:t>
            </w:r>
            <w:r w:rsidR="00850B9E" w:rsidRPr="008454CF">
              <w:rPr>
                <w:rFonts w:ascii="Trebuchet MS" w:hAnsi="Trebuchet MS" w:cs="Arial"/>
                <w:bCs/>
              </w:rPr>
              <w:t>Stat</w:t>
            </w:r>
            <w:r w:rsidR="00935E3A" w:rsidRPr="008454CF">
              <w:rPr>
                <w:rFonts w:ascii="Trebuchet MS" w:hAnsi="Trebuchet MS" w:cs="Arial"/>
                <w:bCs/>
              </w:rPr>
              <w:t xml:space="preserve">, în temeiul unor contracte de locațiune și prestări servicii încheiate de către Direcția Națională de Probațiune cu RAAPS. </w:t>
            </w:r>
          </w:p>
          <w:p w:rsidR="00935E3A" w:rsidRPr="008454CF" w:rsidRDefault="00935E3A" w:rsidP="00255922">
            <w:pPr>
              <w:autoSpaceDE w:val="0"/>
              <w:autoSpaceDN w:val="0"/>
              <w:adjustRightInd w:val="0"/>
              <w:ind w:left="28"/>
              <w:jc w:val="both"/>
              <w:rPr>
                <w:rFonts w:ascii="Trebuchet MS" w:hAnsi="Trebuchet MS" w:cs="Arial"/>
                <w:bCs/>
              </w:rPr>
            </w:pPr>
            <w:r w:rsidRPr="008454CF">
              <w:rPr>
                <w:rFonts w:ascii="Trebuchet MS" w:hAnsi="Trebuchet MS" w:cs="Arial"/>
                <w:bCs/>
              </w:rPr>
              <w:t xml:space="preserve">Sediul Serviciului de Probațiune </w:t>
            </w:r>
            <w:r w:rsidR="00FF0BA5" w:rsidRPr="008454CF">
              <w:rPr>
                <w:rFonts w:ascii="Trebuchet MS" w:hAnsi="Trebuchet MS" w:cs="Arial"/>
                <w:bCs/>
              </w:rPr>
              <w:t>București</w:t>
            </w:r>
            <w:r w:rsidRPr="008454CF">
              <w:rPr>
                <w:rFonts w:ascii="Trebuchet MS" w:hAnsi="Trebuchet MS" w:cs="Arial"/>
                <w:bCs/>
              </w:rPr>
              <w:t xml:space="preserve"> este</w:t>
            </w:r>
            <w:r w:rsidR="00FF0BA5" w:rsidRPr="008454CF">
              <w:rPr>
                <w:rFonts w:ascii="Trebuchet MS" w:hAnsi="Trebuchet MS" w:cs="Arial"/>
                <w:bCs/>
              </w:rPr>
              <w:t xml:space="preserve"> localizatîntr-un imobil în B-dul</w:t>
            </w:r>
            <w:r w:rsidR="001C49B4">
              <w:rPr>
                <w:rFonts w:ascii="Trebuchet MS" w:hAnsi="Trebuchet MS" w:cs="Arial"/>
                <w:bCs/>
              </w:rPr>
              <w:t>.</w:t>
            </w:r>
            <w:r w:rsidR="00FF0BA5" w:rsidRPr="008454CF">
              <w:rPr>
                <w:rFonts w:ascii="Trebuchet MS" w:hAnsi="Trebuchet MS" w:cs="Arial"/>
                <w:bCs/>
              </w:rPr>
              <w:t xml:space="preserve"> Gheorghe Magheru </w:t>
            </w:r>
            <w:r w:rsidRPr="008454CF">
              <w:rPr>
                <w:rFonts w:ascii="Trebuchet MS" w:hAnsi="Trebuchet MS" w:cs="Arial"/>
                <w:bCs/>
              </w:rPr>
              <w:t xml:space="preserve">nr. 28-30 și cuprinde un spațiu cu destinație </w:t>
            </w:r>
            <w:r w:rsidR="00FF0BA5" w:rsidRPr="008454CF">
              <w:rPr>
                <w:rFonts w:ascii="Trebuchet MS" w:hAnsi="Trebuchet MS" w:cs="Arial"/>
                <w:bCs/>
              </w:rPr>
              <w:t xml:space="preserve">de birouri în suprafață de aproximativ 670 mp, unde își desfășoară activitatea 44 de consilieri de probațiune. </w:t>
            </w:r>
          </w:p>
          <w:p w:rsidR="00FF0BA5" w:rsidRPr="008454CF" w:rsidRDefault="00FF0BA5" w:rsidP="00FF0BA5">
            <w:pPr>
              <w:autoSpaceDE w:val="0"/>
              <w:autoSpaceDN w:val="0"/>
              <w:adjustRightInd w:val="0"/>
              <w:ind w:left="28"/>
              <w:jc w:val="both"/>
              <w:rPr>
                <w:rFonts w:ascii="Trebuchet MS" w:hAnsi="Trebuchet MS" w:cs="Arial"/>
                <w:bCs/>
              </w:rPr>
            </w:pPr>
            <w:r w:rsidRPr="008454CF">
              <w:rPr>
                <w:rFonts w:ascii="Trebuchet MS" w:hAnsi="Trebuchet MS" w:cs="Arial"/>
                <w:bCs/>
              </w:rPr>
              <w:t xml:space="preserve">Sediul Serviciului de Probațiune Ilfov este amplasat într-un imobil din Piața Walter Mărăcineanu nr. 1-3 având o suprafață de aproximativ 160 mp cu destinație de birouri, fiind utilizat de 14 consilieri de probațiune. </w:t>
            </w:r>
          </w:p>
          <w:p w:rsidR="00FF0BA5" w:rsidRPr="008454CF" w:rsidRDefault="00FF0BA5" w:rsidP="00FF0BA5">
            <w:pPr>
              <w:autoSpaceDE w:val="0"/>
              <w:autoSpaceDN w:val="0"/>
              <w:adjustRightInd w:val="0"/>
              <w:ind w:left="28"/>
              <w:jc w:val="both"/>
              <w:rPr>
                <w:rFonts w:ascii="Trebuchet MS" w:hAnsi="Trebuchet MS" w:cs="Arial"/>
                <w:bCs/>
              </w:rPr>
            </w:pPr>
            <w:r w:rsidRPr="008454CF">
              <w:rPr>
                <w:rFonts w:ascii="Trebuchet MS" w:hAnsi="Trebuchet MS" w:cs="Arial"/>
                <w:bCs/>
              </w:rPr>
              <w:t>În contextul suplimentării finanțării unor posturi vacante și organizării concursului de ocupare a acestor posturi în cursul anului 2020, Serviciul de Probațiune Ilfov va necesita suplimentarea spațiului deținut în prezent, pentru a acomoda persoanele ce vor fi nou angajate și pentru a răspunde cerințelor Inspectoratului Județean de Jandarmi Ilfov, în aceea ce privește spațiul necesar pentru instalarea pazei cu efective de jandarmi la sediul acestui serviciu de probațiune, în condițiile legii.</w:t>
            </w:r>
          </w:p>
          <w:p w:rsidR="00311F9D" w:rsidRPr="008454CF" w:rsidRDefault="00311F9D" w:rsidP="00311F9D">
            <w:pPr>
              <w:autoSpaceDE w:val="0"/>
              <w:autoSpaceDN w:val="0"/>
              <w:adjustRightInd w:val="0"/>
              <w:ind w:left="28"/>
              <w:jc w:val="both"/>
              <w:rPr>
                <w:rFonts w:ascii="Trebuchet MS" w:eastAsia="Times New Roman" w:hAnsi="Trebuchet MS" w:cs="Arial"/>
              </w:rPr>
            </w:pPr>
            <w:r w:rsidRPr="008454CF">
              <w:rPr>
                <w:rFonts w:ascii="Trebuchet MS" w:eastAsia="Times New Roman" w:hAnsi="Trebuchet MS" w:cs="Arial"/>
              </w:rPr>
              <w:t>În conformitate cu art. 2 alin. (1) din O</w:t>
            </w:r>
            <w:r w:rsidR="00354DF4">
              <w:rPr>
                <w:rFonts w:ascii="Trebuchet MS" w:eastAsia="Times New Roman" w:hAnsi="Trebuchet MS" w:cs="Arial"/>
              </w:rPr>
              <w:t>U</w:t>
            </w:r>
            <w:r w:rsidRPr="008454CF">
              <w:rPr>
                <w:rFonts w:ascii="Trebuchet MS" w:eastAsia="Times New Roman" w:hAnsi="Trebuchet MS" w:cs="Arial"/>
              </w:rPr>
              <w:t>G nr. 57/2019 privind Codul administrativ care prevăd că ”</w:t>
            </w:r>
            <w:r w:rsidRPr="008454CF">
              <w:rPr>
                <w:rFonts w:ascii="Trebuchet MS" w:eastAsia="Times New Roman" w:hAnsi="Trebuchet MS" w:cs="Arial"/>
                <w:i/>
              </w:rPr>
              <w:t>Autoritățile administrației publice centrale sunt: Guvernul, ministerele, alte organe centrale de specialitate subordonate Guvernului sau ministerelor, autoritățile administrative autonome</w:t>
            </w:r>
            <w:r w:rsidRPr="008454CF">
              <w:rPr>
                <w:rFonts w:ascii="Trebuchet MS" w:eastAsia="Times New Roman" w:hAnsi="Trebuchet MS" w:cs="Arial"/>
              </w:rPr>
              <w:t>”, raportat la art. 1 alin. (1) din HG nr. 652/2009 privind organizarea și funcționarea Ministerului Justiției care prevede că ”</w:t>
            </w:r>
            <w:r w:rsidRPr="008454CF">
              <w:rPr>
                <w:rFonts w:ascii="Trebuchet MS" w:eastAsia="Times New Roman" w:hAnsi="Trebuchet MS" w:cs="Arial"/>
                <w:i/>
              </w:rPr>
              <w:t>Ministerul Justiției, denumit în continuare Ministerul, este organ de specialitate al administrației publice centrale, cu personalitate juridică, în subordinea Guvernului</w:t>
            </w:r>
            <w:r w:rsidRPr="008454CF">
              <w:rPr>
                <w:rFonts w:ascii="Trebuchet MS" w:eastAsia="Times New Roman" w:hAnsi="Trebuchet MS" w:cs="Arial"/>
              </w:rPr>
              <w:t>”, se constată că Ministerul Justiției reprezintă un organ de specialitate al administrației publice centrale, entitate beneficiară prevăzută de dispozițiile art. 1 alin. (1) din Legea nr. 216/2016.</w:t>
            </w:r>
          </w:p>
          <w:p w:rsidR="00406A97" w:rsidRPr="008454CF" w:rsidRDefault="00311F9D" w:rsidP="00406A97">
            <w:pPr>
              <w:autoSpaceDE w:val="0"/>
              <w:autoSpaceDN w:val="0"/>
              <w:adjustRightInd w:val="0"/>
              <w:ind w:left="28"/>
              <w:jc w:val="both"/>
              <w:rPr>
                <w:rFonts w:ascii="Trebuchet MS" w:eastAsia="Times New Roman" w:hAnsi="Trebuchet MS" w:cs="Arial"/>
              </w:rPr>
            </w:pPr>
            <w:r w:rsidRPr="008454CF">
              <w:rPr>
                <w:rFonts w:ascii="Trebuchet MS" w:eastAsia="Times New Roman" w:hAnsi="Trebuchet MS" w:cs="Arial"/>
              </w:rPr>
              <w:t xml:space="preserve">Din analiza efectuată de către Agenția Națională de Administrare a Bunurilor Indisponibilizate, prin raportare la dispozițiile art. 1 alin. (4) din Legea nr. 216/2016, criteriile legale incidente </w:t>
            </w:r>
            <w:r w:rsidRPr="008454CF">
              <w:rPr>
                <w:rFonts w:ascii="Trebuchet MS" w:eastAsia="Times New Roman" w:hAnsi="Trebuchet MS" w:cs="Arial"/>
              </w:rPr>
              <w:lastRenderedPageBreak/>
              <w:t xml:space="preserve">sunt următoarele: </w:t>
            </w:r>
          </w:p>
          <w:p w:rsidR="00406A97" w:rsidRPr="008454CF" w:rsidRDefault="00406A97" w:rsidP="00406A97">
            <w:pPr>
              <w:pStyle w:val="ListParagraph"/>
              <w:numPr>
                <w:ilvl w:val="0"/>
                <w:numId w:val="16"/>
              </w:numPr>
              <w:autoSpaceDE w:val="0"/>
              <w:autoSpaceDN w:val="0"/>
              <w:adjustRightInd w:val="0"/>
              <w:jc w:val="both"/>
              <w:rPr>
                <w:rFonts w:ascii="Trebuchet MS" w:eastAsia="Times New Roman" w:hAnsi="Trebuchet MS" w:cs="Arial"/>
              </w:rPr>
            </w:pPr>
            <w:r w:rsidRPr="008454CF">
              <w:rPr>
                <w:rFonts w:ascii="Trebuchet MS" w:eastAsia="Times New Roman" w:hAnsi="Trebuchet MS" w:cs="Arial"/>
                <w:b/>
              </w:rPr>
              <w:t>Necesitatea extinderii sediului actual</w:t>
            </w:r>
            <w:r w:rsidR="008454CF" w:rsidRPr="008454CF">
              <w:rPr>
                <w:rFonts w:ascii="Trebuchet MS" w:eastAsia="Times New Roman" w:hAnsi="Trebuchet MS" w:cs="Arial"/>
                <w:b/>
              </w:rPr>
              <w:t>:</w:t>
            </w:r>
            <w:r w:rsidR="00850B9E" w:rsidRPr="00850B9E">
              <w:rPr>
                <w:rFonts w:ascii="Trebuchet MS" w:eastAsia="Times New Roman" w:hAnsi="Trebuchet MS" w:cs="Arial"/>
              </w:rPr>
              <w:t>Spațiile</w:t>
            </w:r>
            <w:r w:rsidRPr="008454CF">
              <w:rPr>
                <w:rFonts w:ascii="Trebuchet MS" w:eastAsia="Times New Roman" w:hAnsi="Trebuchet MS" w:cs="Arial"/>
              </w:rPr>
              <w:t xml:space="preserve">Ministerul </w:t>
            </w:r>
            <w:r w:rsidR="00850B9E">
              <w:rPr>
                <w:rFonts w:ascii="Trebuchet MS" w:eastAsia="Times New Roman" w:hAnsi="Trebuchet MS" w:cs="Arial"/>
              </w:rPr>
              <w:t>Justiției și unităților</w:t>
            </w:r>
            <w:r w:rsidRPr="008454CF">
              <w:rPr>
                <w:rFonts w:ascii="Trebuchet MS" w:eastAsia="Times New Roman" w:hAnsi="Trebuchet MS" w:cs="Arial"/>
              </w:rPr>
              <w:t xml:space="preserve"> sub</w:t>
            </w:r>
            <w:r w:rsidR="00850B9E">
              <w:rPr>
                <w:rFonts w:ascii="Trebuchet MS" w:eastAsia="Times New Roman" w:hAnsi="Trebuchet MS" w:cs="Arial"/>
              </w:rPr>
              <w:t>ordonate sunt insuficiente și</w:t>
            </w:r>
            <w:r w:rsidRPr="008454CF">
              <w:rPr>
                <w:rFonts w:ascii="Trebuchet MS" w:eastAsia="Times New Roman" w:hAnsi="Trebuchet MS" w:cs="Arial"/>
              </w:rPr>
              <w:t xml:space="preserve"> există necesitatea extinderii sediilor actuale; </w:t>
            </w:r>
          </w:p>
          <w:p w:rsidR="00406A97" w:rsidRPr="008454CF" w:rsidRDefault="008454CF" w:rsidP="00406A97">
            <w:pPr>
              <w:pStyle w:val="ListParagraph"/>
              <w:numPr>
                <w:ilvl w:val="0"/>
                <w:numId w:val="16"/>
              </w:numPr>
              <w:autoSpaceDE w:val="0"/>
              <w:autoSpaceDN w:val="0"/>
              <w:adjustRightInd w:val="0"/>
              <w:jc w:val="both"/>
              <w:rPr>
                <w:rFonts w:ascii="Trebuchet MS" w:eastAsia="Times New Roman" w:hAnsi="Trebuchet MS" w:cs="Arial"/>
              </w:rPr>
            </w:pPr>
            <w:r w:rsidRPr="008454CF">
              <w:rPr>
                <w:rFonts w:ascii="Trebuchet MS" w:eastAsia="Times New Roman" w:hAnsi="Trebuchet MS" w:cs="Arial"/>
                <w:b/>
              </w:rPr>
              <w:t>Amplasarea imobilului:</w:t>
            </w:r>
            <w:r w:rsidR="00850B9E" w:rsidRPr="00850B9E">
              <w:rPr>
                <w:rFonts w:ascii="Trebuchet MS" w:eastAsia="Times New Roman" w:hAnsi="Trebuchet MS" w:cs="Arial"/>
              </w:rPr>
              <w:t>I</w:t>
            </w:r>
            <w:r w:rsidR="00406A97" w:rsidRPr="008454CF">
              <w:rPr>
                <w:rFonts w:ascii="Trebuchet MS" w:eastAsia="Times New Roman" w:hAnsi="Trebuchet MS" w:cs="Arial"/>
              </w:rPr>
              <w:t xml:space="preserve">mobilul beneficiază de o localizare centrală în București; </w:t>
            </w:r>
          </w:p>
          <w:p w:rsidR="00406A97" w:rsidRPr="008454CF" w:rsidRDefault="00406A97" w:rsidP="00406A97">
            <w:pPr>
              <w:pStyle w:val="ListParagraph"/>
              <w:numPr>
                <w:ilvl w:val="0"/>
                <w:numId w:val="16"/>
              </w:numPr>
              <w:autoSpaceDE w:val="0"/>
              <w:autoSpaceDN w:val="0"/>
              <w:adjustRightInd w:val="0"/>
              <w:spacing w:before="120"/>
              <w:jc w:val="both"/>
              <w:rPr>
                <w:rFonts w:ascii="Trebuchet MS" w:eastAsia="Times New Roman" w:hAnsi="Trebuchet MS" w:cs="Arial"/>
              </w:rPr>
            </w:pPr>
            <w:r w:rsidRPr="008454CF">
              <w:rPr>
                <w:rFonts w:ascii="Trebuchet MS" w:eastAsia="Times New Roman" w:hAnsi="Trebuchet MS" w:cs="Arial"/>
                <w:b/>
              </w:rPr>
              <w:t>Suprafața</w:t>
            </w:r>
            <w:r w:rsidR="008454CF" w:rsidRPr="008454CF">
              <w:rPr>
                <w:rFonts w:ascii="Trebuchet MS" w:eastAsia="Times New Roman" w:hAnsi="Trebuchet MS" w:cs="Arial"/>
                <w:b/>
              </w:rPr>
              <w:t>:</w:t>
            </w:r>
            <w:r w:rsidRPr="008454CF">
              <w:rPr>
                <w:rFonts w:ascii="Trebuchet MS" w:eastAsia="Times New Roman" w:hAnsi="Trebuchet MS" w:cs="Arial"/>
              </w:rPr>
              <w:t xml:space="preserve">Suprafața locațiilor disponibile pentru Ministerul Justiției și unităților subordonate sunt insuficiente, iar suprafața imobilului solicitat satisface nevoile instituției sau unităților subordonate; </w:t>
            </w:r>
          </w:p>
          <w:p w:rsidR="00406A97" w:rsidRPr="008454CF" w:rsidRDefault="00406A97" w:rsidP="00406A97">
            <w:pPr>
              <w:pStyle w:val="ListParagraph"/>
              <w:numPr>
                <w:ilvl w:val="0"/>
                <w:numId w:val="16"/>
              </w:numPr>
              <w:autoSpaceDE w:val="0"/>
              <w:autoSpaceDN w:val="0"/>
              <w:adjustRightInd w:val="0"/>
              <w:spacing w:before="120"/>
              <w:jc w:val="both"/>
              <w:rPr>
                <w:rFonts w:ascii="Trebuchet MS" w:eastAsia="Times New Roman" w:hAnsi="Trebuchet MS" w:cs="Arial"/>
              </w:rPr>
            </w:pPr>
            <w:r w:rsidRPr="008454CF">
              <w:rPr>
                <w:rFonts w:ascii="Trebuchet MS" w:eastAsia="Times New Roman" w:hAnsi="Trebuchet MS" w:cs="Arial"/>
                <w:b/>
              </w:rPr>
              <w:t>Starea tehnică în care se găsește imobilul</w:t>
            </w:r>
            <w:r w:rsidR="008454CF" w:rsidRPr="008454CF">
              <w:rPr>
                <w:rFonts w:ascii="Trebuchet MS" w:eastAsia="Times New Roman" w:hAnsi="Trebuchet MS" w:cs="Arial"/>
                <w:b/>
              </w:rPr>
              <w:t>:</w:t>
            </w:r>
            <w:r w:rsidRPr="008454CF">
              <w:rPr>
                <w:rFonts w:ascii="Trebuchet MS" w:eastAsia="Times New Roman" w:hAnsi="Trebuchet MS" w:cs="Arial"/>
              </w:rPr>
              <w:t xml:space="preserve"> Starea generală a construcției este foarte bună; </w:t>
            </w:r>
          </w:p>
          <w:p w:rsidR="00406A97" w:rsidRPr="008454CF" w:rsidRDefault="00406A97" w:rsidP="00406A97">
            <w:pPr>
              <w:pStyle w:val="ListParagraph"/>
              <w:numPr>
                <w:ilvl w:val="0"/>
                <w:numId w:val="16"/>
              </w:numPr>
              <w:autoSpaceDE w:val="0"/>
              <w:autoSpaceDN w:val="0"/>
              <w:adjustRightInd w:val="0"/>
              <w:spacing w:before="120"/>
              <w:jc w:val="both"/>
              <w:rPr>
                <w:rFonts w:ascii="Trebuchet MS" w:eastAsia="Times New Roman" w:hAnsi="Trebuchet MS" w:cs="Arial"/>
              </w:rPr>
            </w:pPr>
            <w:r w:rsidRPr="008454CF">
              <w:rPr>
                <w:rFonts w:ascii="Trebuchet MS" w:eastAsia="Times New Roman" w:hAnsi="Trebuchet MS" w:cs="Arial"/>
                <w:b/>
              </w:rPr>
              <w:t>Destinația actuală a spațiului</w:t>
            </w:r>
            <w:r w:rsidRPr="008454CF">
              <w:rPr>
                <w:rFonts w:ascii="Trebuchet MS" w:eastAsia="Times New Roman" w:hAnsi="Trebuchet MS" w:cs="Arial"/>
              </w:rPr>
              <w:t xml:space="preserve"> este cea de birouri; </w:t>
            </w:r>
          </w:p>
          <w:p w:rsidR="00406A97" w:rsidRPr="008454CF" w:rsidRDefault="00406A97" w:rsidP="00406A97">
            <w:pPr>
              <w:pStyle w:val="ListParagraph"/>
              <w:numPr>
                <w:ilvl w:val="0"/>
                <w:numId w:val="16"/>
              </w:numPr>
              <w:autoSpaceDE w:val="0"/>
              <w:autoSpaceDN w:val="0"/>
              <w:adjustRightInd w:val="0"/>
              <w:spacing w:before="120"/>
              <w:jc w:val="both"/>
              <w:rPr>
                <w:rFonts w:ascii="Trebuchet MS" w:eastAsia="Times New Roman" w:hAnsi="Trebuchet MS" w:cs="Arial"/>
              </w:rPr>
            </w:pPr>
            <w:r w:rsidRPr="008454CF">
              <w:rPr>
                <w:rFonts w:ascii="Trebuchet MS" w:eastAsia="Times New Roman" w:hAnsi="Trebuchet MS" w:cs="Arial"/>
                <w:b/>
              </w:rPr>
              <w:t>Data primirii solicitării</w:t>
            </w:r>
            <w:r w:rsidR="008454CF" w:rsidRPr="008454CF">
              <w:rPr>
                <w:rFonts w:ascii="Trebuchet MS" w:eastAsia="Times New Roman" w:hAnsi="Trebuchet MS" w:cs="Arial"/>
                <w:b/>
              </w:rPr>
              <w:t>:</w:t>
            </w:r>
            <w:r w:rsidRPr="008454CF">
              <w:rPr>
                <w:rFonts w:ascii="Trebuchet MS" w:eastAsia="Times New Roman" w:hAnsi="Trebuchet MS" w:cs="Arial"/>
              </w:rPr>
              <w:t>Ministerul Justiției a formulat</w:t>
            </w:r>
            <w:r w:rsidR="008454CF" w:rsidRPr="008454CF">
              <w:rPr>
                <w:rFonts w:ascii="Trebuchet MS" w:eastAsia="Times New Roman" w:hAnsi="Trebuchet MS" w:cs="Arial"/>
              </w:rPr>
              <w:t>,</w:t>
            </w:r>
            <w:r w:rsidRPr="008454CF">
              <w:rPr>
                <w:rFonts w:ascii="Trebuchet MS" w:eastAsia="Times New Roman" w:hAnsi="Trebuchet MS" w:cs="Arial"/>
              </w:rPr>
              <w:t xml:space="preserve"> în termen</w:t>
            </w:r>
            <w:r w:rsidR="008454CF" w:rsidRPr="008454CF">
              <w:rPr>
                <w:rFonts w:ascii="Trebuchet MS" w:eastAsia="Times New Roman" w:hAnsi="Trebuchet MS" w:cs="Arial"/>
              </w:rPr>
              <w:t>,</w:t>
            </w:r>
            <w:r w:rsidRPr="008454CF">
              <w:rPr>
                <w:rFonts w:ascii="Trebuchet MS" w:eastAsia="Times New Roman" w:hAnsi="Trebuchet MS" w:cs="Arial"/>
              </w:rPr>
              <w:t xml:space="preserve"> solicitarea prevăzute de art. 1 din Legea nr. 216/2016; </w:t>
            </w:r>
          </w:p>
          <w:p w:rsidR="008454CF" w:rsidRPr="008454CF" w:rsidRDefault="00406A97" w:rsidP="00406A97">
            <w:pPr>
              <w:pStyle w:val="ListParagraph"/>
              <w:numPr>
                <w:ilvl w:val="0"/>
                <w:numId w:val="16"/>
              </w:numPr>
              <w:autoSpaceDE w:val="0"/>
              <w:autoSpaceDN w:val="0"/>
              <w:adjustRightInd w:val="0"/>
              <w:spacing w:before="120"/>
              <w:jc w:val="both"/>
              <w:rPr>
                <w:rFonts w:ascii="Trebuchet MS" w:eastAsia="Times New Roman" w:hAnsi="Trebuchet MS" w:cs="Arial"/>
              </w:rPr>
            </w:pPr>
            <w:r w:rsidRPr="008454CF">
              <w:rPr>
                <w:rFonts w:ascii="Trebuchet MS" w:eastAsia="Times New Roman" w:hAnsi="Trebuchet MS" w:cs="Arial"/>
                <w:b/>
              </w:rPr>
              <w:t>Situația financiară a solicitantului</w:t>
            </w:r>
            <w:r w:rsidR="008454CF" w:rsidRPr="008454CF">
              <w:rPr>
                <w:rFonts w:ascii="Trebuchet MS" w:eastAsia="Times New Roman" w:hAnsi="Trebuchet MS" w:cs="Arial"/>
                <w:b/>
              </w:rPr>
              <w:t>:</w:t>
            </w:r>
            <w:r w:rsidRPr="008454CF">
              <w:rPr>
                <w:rFonts w:ascii="Trebuchet MS" w:eastAsia="Times New Roman" w:hAnsi="Trebuchet MS" w:cs="Arial"/>
              </w:rPr>
              <w:t xml:space="preserve"> Ministerul Justiției, în calitate de ordonator principal de credite pentru unitățile subordonate funcționează în imobile închiriate din mediul privat sau din cadrul RAAPS, iar sumele alocate sunt insuficiente. Bugetul de stat este grevat anual de sume importante pentru achitarea chiriilor MJ sau unităților subordonate. În anul 2019, plătindu-se 31.410.000 lei cu această destinație. Prin legea bugetului de stat pe anul 2020 au fost alocate fonduri în sumă totală de 27.025.000 lei pentru plata chiriilor, cu ocazia rectificărilor bugetare Ministerul Justiției găsindu-se în situația de a solicita majorare</w:t>
            </w:r>
            <w:r w:rsidR="008454CF" w:rsidRPr="008454CF">
              <w:rPr>
                <w:rFonts w:ascii="Trebuchet MS" w:eastAsia="Times New Roman" w:hAnsi="Trebuchet MS" w:cs="Arial"/>
              </w:rPr>
              <w:t>a alocat inițial;</w:t>
            </w:r>
          </w:p>
          <w:p w:rsidR="00406A97" w:rsidRPr="008454CF" w:rsidRDefault="00406A97" w:rsidP="00406A97">
            <w:pPr>
              <w:pStyle w:val="ListParagraph"/>
              <w:numPr>
                <w:ilvl w:val="0"/>
                <w:numId w:val="16"/>
              </w:numPr>
              <w:autoSpaceDE w:val="0"/>
              <w:autoSpaceDN w:val="0"/>
              <w:adjustRightInd w:val="0"/>
              <w:spacing w:before="120"/>
              <w:jc w:val="both"/>
              <w:rPr>
                <w:rFonts w:ascii="Trebuchet MS" w:eastAsia="Times New Roman" w:hAnsi="Trebuchet MS" w:cs="Arial"/>
              </w:rPr>
            </w:pPr>
            <w:r w:rsidRPr="008454CF">
              <w:rPr>
                <w:rFonts w:ascii="Trebuchet MS" w:eastAsia="Times New Roman" w:hAnsi="Trebuchet MS" w:cs="Arial"/>
                <w:b/>
              </w:rPr>
              <w:t>Eventualul impact asupra bugetului de stat</w:t>
            </w:r>
            <w:r w:rsidR="008454CF" w:rsidRPr="008454CF">
              <w:rPr>
                <w:rFonts w:ascii="Trebuchet MS" w:eastAsia="Times New Roman" w:hAnsi="Trebuchet MS" w:cs="Arial"/>
                <w:b/>
              </w:rPr>
              <w:t>:</w:t>
            </w:r>
            <w:r w:rsidR="008454CF" w:rsidRPr="008454CF">
              <w:rPr>
                <w:rFonts w:ascii="Trebuchet MS" w:eastAsia="Times New Roman" w:hAnsi="Trebuchet MS" w:cs="Arial"/>
              </w:rPr>
              <w:t xml:space="preserve"> L</w:t>
            </w:r>
            <w:r w:rsidRPr="008454CF">
              <w:rPr>
                <w:rFonts w:ascii="Trebuchet MS" w:eastAsia="Times New Roman" w:hAnsi="Trebuchet MS" w:cs="Arial"/>
              </w:rPr>
              <w:t xml:space="preserve">a bugetul de stat s-ar realiza o economie considerabilă prin eliminarea unor cheltuieli cu chiriile achitate în prezent de către </w:t>
            </w:r>
            <w:r w:rsidR="008454CF" w:rsidRPr="008454CF">
              <w:rPr>
                <w:rFonts w:ascii="Trebuchet MS" w:eastAsia="Times New Roman" w:hAnsi="Trebuchet MS" w:cs="Arial"/>
              </w:rPr>
              <w:t>MJ sau unitățile subordonate</w:t>
            </w:r>
            <w:r w:rsidRPr="008454CF">
              <w:rPr>
                <w:rFonts w:ascii="Trebuchet MS" w:eastAsia="Times New Roman" w:hAnsi="Trebuchet MS" w:cs="Arial"/>
              </w:rPr>
              <w:t>.</w:t>
            </w:r>
          </w:p>
          <w:p w:rsidR="00D67A13" w:rsidRPr="008454CF" w:rsidRDefault="008454CF" w:rsidP="00850B9E">
            <w:pPr>
              <w:autoSpaceDE w:val="0"/>
              <w:autoSpaceDN w:val="0"/>
              <w:adjustRightInd w:val="0"/>
              <w:ind w:left="28"/>
              <w:jc w:val="both"/>
              <w:rPr>
                <w:rFonts w:ascii="Trebuchet MS" w:eastAsia="Times New Roman" w:hAnsi="Trebuchet MS" w:cs="Arial"/>
                <w:b/>
              </w:rPr>
            </w:pPr>
            <w:r w:rsidRPr="008454CF">
              <w:rPr>
                <w:rFonts w:ascii="Trebuchet MS" w:eastAsia="Times New Roman" w:hAnsi="Trebuchet MS" w:cs="Arial"/>
                <w:b/>
              </w:rPr>
              <w:t>Bunurile menționate nu sunt s</w:t>
            </w:r>
            <w:r w:rsidR="00850B9E">
              <w:rPr>
                <w:rFonts w:ascii="Trebuchet MS" w:eastAsia="Times New Roman" w:hAnsi="Trebuchet MS" w:cs="Arial"/>
                <w:b/>
              </w:rPr>
              <w:t>upuse cererilor de retrocedare</w:t>
            </w:r>
            <w:r w:rsidR="00067D4C">
              <w:rPr>
                <w:rFonts w:ascii="Trebuchet MS" w:eastAsia="Times New Roman" w:hAnsi="Trebuchet MS" w:cs="Arial"/>
                <w:b/>
              </w:rPr>
              <w:t>, nu sunt grevate de sarcini</w:t>
            </w:r>
            <w:r w:rsidRPr="008454CF">
              <w:rPr>
                <w:rFonts w:ascii="Trebuchet MS" w:eastAsia="Times New Roman" w:hAnsi="Trebuchet MS" w:cs="Arial"/>
                <w:b/>
              </w:rPr>
              <w:t xml:space="preserve">și nu fac obiectul unor litigii aflate pe rolul instanțelor </w:t>
            </w:r>
            <w:r w:rsidR="00850B9E">
              <w:rPr>
                <w:rFonts w:ascii="Trebuchet MS" w:eastAsia="Times New Roman" w:hAnsi="Trebuchet MS" w:cs="Arial"/>
                <w:b/>
              </w:rPr>
              <w:t>de judecată</w:t>
            </w:r>
            <w:r w:rsidRPr="008454CF">
              <w:rPr>
                <w:rFonts w:ascii="Trebuchet MS" w:eastAsia="Times New Roman" w:hAnsi="Trebuchet MS" w:cs="Arial"/>
                <w:b/>
              </w:rPr>
              <w:t>.</w:t>
            </w:r>
          </w:p>
        </w:tc>
      </w:tr>
      <w:tr w:rsidR="00731DC3" w:rsidRPr="008454CF" w:rsidTr="00502637">
        <w:tc>
          <w:tcPr>
            <w:tcW w:w="9712" w:type="dxa"/>
          </w:tcPr>
          <w:p w:rsidR="008454CF" w:rsidRPr="008454CF" w:rsidRDefault="008454CF" w:rsidP="00684FA3">
            <w:pPr>
              <w:tabs>
                <w:tab w:val="left" w:pos="3960"/>
              </w:tabs>
              <w:spacing w:after="0"/>
              <w:jc w:val="both"/>
              <w:rPr>
                <w:rFonts w:ascii="Trebuchet MS" w:hAnsi="Trebuchet MS" w:cs="Arial"/>
                <w:b/>
                <w:bCs/>
              </w:rPr>
            </w:pPr>
            <w:r w:rsidRPr="008454CF">
              <w:rPr>
                <w:rFonts w:ascii="Trebuchet MS" w:hAnsi="Trebuchet MS" w:cs="Arial"/>
                <w:b/>
                <w:bCs/>
              </w:rPr>
              <w:lastRenderedPageBreak/>
              <w:t>2. Schimbări preconizate</w:t>
            </w:r>
          </w:p>
          <w:p w:rsidR="00282F6A" w:rsidRDefault="008454CF" w:rsidP="00684FA3">
            <w:pPr>
              <w:tabs>
                <w:tab w:val="left" w:pos="3960"/>
              </w:tabs>
              <w:spacing w:after="0"/>
              <w:jc w:val="both"/>
              <w:rPr>
                <w:rFonts w:ascii="Trebuchet MS" w:hAnsi="Trebuchet MS" w:cs="Arial"/>
                <w:bCs/>
              </w:rPr>
            </w:pPr>
            <w:r w:rsidRPr="008454CF">
              <w:rPr>
                <w:rFonts w:ascii="Trebuchet MS" w:hAnsi="Trebuchet MS" w:cs="Arial"/>
                <w:bCs/>
              </w:rPr>
              <w:t>Prin adoptarea proiectului de act normativ se reglementează schimbarea regimului juridic al imobilului situat în Calea Floreasca nr. 39, Sectorul 1, București, compus din teren și clădire, prevăzut în anexa la prezenta hotărâre, și anume</w:t>
            </w:r>
            <w:r w:rsidR="00282F6A" w:rsidRPr="00282F6A">
              <w:rPr>
                <w:rFonts w:ascii="Trebuchet MS" w:hAnsi="Trebuchet MS" w:cs="Arial"/>
                <w:bCs/>
              </w:rPr>
              <w:t>transmiterea cu titlu gratuit din domeniul privat al statului în domeniul public al acestuia şi în administrarea Ministerului Justiției a imobilului.</w:t>
            </w:r>
          </w:p>
          <w:p w:rsidR="00684FA3" w:rsidRPr="008454CF" w:rsidRDefault="008454CF" w:rsidP="00282F6A">
            <w:pPr>
              <w:tabs>
                <w:tab w:val="left" w:pos="3960"/>
              </w:tabs>
              <w:spacing w:after="0"/>
              <w:jc w:val="both"/>
              <w:rPr>
                <w:rFonts w:ascii="Trebuchet MS" w:hAnsi="Trebuchet MS" w:cs="Arial"/>
                <w:bCs/>
              </w:rPr>
            </w:pPr>
            <w:r>
              <w:rPr>
                <w:rFonts w:ascii="Trebuchet MS" w:hAnsi="Trebuchet MS" w:cs="Arial"/>
                <w:bCs/>
              </w:rPr>
              <w:t xml:space="preserve">    Prin preluarea în administrare a imobilului evidențiat în anexă, situația anterior prezentat</w:t>
            </w:r>
            <w:r w:rsidR="00282F6A">
              <w:rPr>
                <w:rFonts w:ascii="Trebuchet MS" w:hAnsi="Trebuchet MS" w:cs="Arial"/>
                <w:bCs/>
              </w:rPr>
              <w:t>ă</w:t>
            </w:r>
            <w:r>
              <w:rPr>
                <w:rFonts w:ascii="Trebuchet MS" w:hAnsi="Trebuchet MS" w:cs="Arial"/>
                <w:bCs/>
              </w:rPr>
              <w:t xml:space="preserve"> se va îmbunătăți. </w:t>
            </w:r>
          </w:p>
        </w:tc>
      </w:tr>
      <w:tr w:rsidR="00731DC3" w:rsidRPr="008454CF" w:rsidTr="00502637">
        <w:tc>
          <w:tcPr>
            <w:tcW w:w="9712" w:type="dxa"/>
          </w:tcPr>
          <w:p w:rsidR="003778CC" w:rsidRPr="001B35C9" w:rsidRDefault="00731DC3" w:rsidP="003778CC">
            <w:pPr>
              <w:tabs>
                <w:tab w:val="left" w:pos="3960"/>
              </w:tabs>
              <w:spacing w:after="0" w:line="240" w:lineRule="auto"/>
              <w:jc w:val="both"/>
              <w:rPr>
                <w:rFonts w:ascii="Trebuchet MS" w:hAnsi="Trebuchet MS" w:cs="Arial"/>
                <w:b/>
                <w:bCs/>
              </w:rPr>
            </w:pPr>
            <w:r w:rsidRPr="008454CF">
              <w:rPr>
                <w:rFonts w:ascii="Trebuchet MS" w:hAnsi="Trebuchet MS" w:cs="Arial"/>
                <w:b/>
                <w:bCs/>
              </w:rPr>
              <w:t>3. Alte informaţii</w:t>
            </w:r>
            <w:r w:rsidR="00E742DE" w:rsidRPr="008454CF">
              <w:rPr>
                <w:rFonts w:ascii="Trebuchet MS" w:hAnsi="Trebuchet MS" w:cs="Arial"/>
                <w:b/>
                <w:bCs/>
              </w:rPr>
              <w:t xml:space="preserve">: </w:t>
            </w:r>
            <w:r w:rsidR="00E742DE" w:rsidRPr="008454CF">
              <w:rPr>
                <w:rFonts w:ascii="Trebuchet MS" w:hAnsi="Trebuchet MS" w:cs="Arial"/>
              </w:rPr>
              <w:t>Nu este cazul.</w:t>
            </w:r>
          </w:p>
        </w:tc>
      </w:tr>
      <w:tr w:rsidR="008A2269" w:rsidRPr="008454CF" w:rsidTr="00502637">
        <w:tc>
          <w:tcPr>
            <w:tcW w:w="9712" w:type="dxa"/>
          </w:tcPr>
          <w:p w:rsidR="008A2269" w:rsidRPr="008454CF" w:rsidRDefault="008A2269" w:rsidP="008A2269">
            <w:pPr>
              <w:tabs>
                <w:tab w:val="left" w:pos="3960"/>
              </w:tabs>
              <w:spacing w:after="0"/>
              <w:jc w:val="center"/>
              <w:rPr>
                <w:rFonts w:ascii="Trebuchet MS" w:hAnsi="Trebuchet MS" w:cs="Arial"/>
                <w:b/>
                <w:bCs/>
              </w:rPr>
            </w:pPr>
          </w:p>
          <w:p w:rsidR="008A2269" w:rsidRPr="008454CF" w:rsidRDefault="008A2269" w:rsidP="008A2269">
            <w:pPr>
              <w:tabs>
                <w:tab w:val="left" w:pos="3960"/>
              </w:tabs>
              <w:spacing w:after="0"/>
              <w:jc w:val="center"/>
              <w:rPr>
                <w:rFonts w:ascii="Trebuchet MS" w:hAnsi="Trebuchet MS" w:cs="Arial"/>
                <w:b/>
                <w:bCs/>
              </w:rPr>
            </w:pPr>
            <w:r w:rsidRPr="008454CF">
              <w:rPr>
                <w:rFonts w:ascii="Trebuchet MS" w:hAnsi="Trebuchet MS" w:cs="Arial"/>
                <w:b/>
                <w:bCs/>
              </w:rPr>
              <w:t xml:space="preserve">Secţiunea a </w:t>
            </w:r>
            <w:r w:rsidR="00282F6A">
              <w:rPr>
                <w:rFonts w:ascii="Trebuchet MS" w:hAnsi="Trebuchet MS" w:cs="Arial"/>
                <w:b/>
                <w:bCs/>
              </w:rPr>
              <w:t>3</w:t>
            </w:r>
            <w:r w:rsidRPr="008454CF">
              <w:rPr>
                <w:rFonts w:ascii="Trebuchet MS" w:hAnsi="Trebuchet MS" w:cs="Arial"/>
                <w:b/>
                <w:bCs/>
              </w:rPr>
              <w:t>-a</w:t>
            </w:r>
          </w:p>
          <w:p w:rsidR="008A2269" w:rsidRPr="008454CF" w:rsidRDefault="008A2269" w:rsidP="008A2269">
            <w:pPr>
              <w:tabs>
                <w:tab w:val="left" w:pos="3960"/>
              </w:tabs>
              <w:spacing w:after="0"/>
              <w:jc w:val="center"/>
              <w:rPr>
                <w:rFonts w:ascii="Trebuchet MS" w:hAnsi="Trebuchet MS" w:cs="Arial"/>
                <w:b/>
                <w:bCs/>
              </w:rPr>
            </w:pPr>
            <w:r w:rsidRPr="008454CF">
              <w:rPr>
                <w:rFonts w:ascii="Trebuchet MS" w:hAnsi="Trebuchet MS" w:cs="Arial"/>
                <w:b/>
                <w:bCs/>
              </w:rPr>
              <w:t xml:space="preserve">Activităţi de informare publică privind elaborarea </w:t>
            </w:r>
          </w:p>
          <w:p w:rsidR="008A2269" w:rsidRPr="008454CF" w:rsidRDefault="008A2269" w:rsidP="008A2269">
            <w:pPr>
              <w:tabs>
                <w:tab w:val="left" w:pos="3960"/>
              </w:tabs>
              <w:spacing w:after="0"/>
              <w:jc w:val="center"/>
              <w:rPr>
                <w:rFonts w:ascii="Trebuchet MS" w:hAnsi="Trebuchet MS" w:cs="Arial"/>
                <w:b/>
                <w:bCs/>
              </w:rPr>
            </w:pPr>
            <w:r w:rsidRPr="008454CF">
              <w:rPr>
                <w:rFonts w:ascii="Trebuchet MS" w:hAnsi="Trebuchet MS" w:cs="Arial"/>
                <w:b/>
                <w:bCs/>
              </w:rPr>
              <w:t>şi implementarea proiectului de act normativ</w:t>
            </w:r>
          </w:p>
          <w:p w:rsidR="008A2269" w:rsidRPr="008454CF" w:rsidRDefault="008A2269" w:rsidP="008A2269">
            <w:pPr>
              <w:tabs>
                <w:tab w:val="left" w:pos="3960"/>
              </w:tabs>
              <w:spacing w:after="0"/>
              <w:jc w:val="center"/>
              <w:rPr>
                <w:rFonts w:ascii="Trebuchet MS" w:hAnsi="Trebuchet MS" w:cs="Arial"/>
                <w:b/>
                <w:bCs/>
              </w:rPr>
            </w:pPr>
          </w:p>
        </w:tc>
      </w:tr>
      <w:tr w:rsidR="008A2269" w:rsidRPr="008454CF" w:rsidTr="00502637">
        <w:tc>
          <w:tcPr>
            <w:tcW w:w="9712" w:type="dxa"/>
          </w:tcPr>
          <w:p w:rsidR="00847B49" w:rsidRDefault="008A2269" w:rsidP="00C266CE">
            <w:pPr>
              <w:tabs>
                <w:tab w:val="left" w:pos="3960"/>
              </w:tabs>
              <w:spacing w:after="0"/>
              <w:jc w:val="both"/>
              <w:rPr>
                <w:rFonts w:ascii="Trebuchet MS" w:hAnsi="Trebuchet MS" w:cs="Arial"/>
                <w:b/>
                <w:bCs/>
              </w:rPr>
            </w:pPr>
            <w:r w:rsidRPr="008454CF">
              <w:rPr>
                <w:rFonts w:ascii="Trebuchet MS" w:hAnsi="Trebuchet MS" w:cs="Arial"/>
                <w:b/>
                <w:bCs/>
              </w:rPr>
              <w:t>1. Informarea societăţii civile cu privire la necesitatea elaborării proiectului de act normativ</w:t>
            </w:r>
          </w:p>
          <w:p w:rsidR="00847B49" w:rsidRDefault="00847B49" w:rsidP="00C266CE">
            <w:pPr>
              <w:tabs>
                <w:tab w:val="left" w:pos="3960"/>
              </w:tabs>
              <w:spacing w:after="0"/>
              <w:jc w:val="both"/>
              <w:rPr>
                <w:rFonts w:ascii="Trebuchet MS" w:hAnsi="Trebuchet MS" w:cs="Arial"/>
              </w:rPr>
            </w:pPr>
            <w:r>
              <w:rPr>
                <w:rFonts w:ascii="Trebuchet MS" w:hAnsi="Trebuchet MS" w:cs="Arial"/>
              </w:rPr>
              <w:t xml:space="preserve">Prezentul act normativ a fost elaborat cu aplicarea prevederilor Legii nr. 52/2003 privind transparența decizională în administrația publică, republicată. </w:t>
            </w:r>
          </w:p>
          <w:p w:rsidR="008A2269" w:rsidRPr="00847B49" w:rsidRDefault="00847B49" w:rsidP="00847B49">
            <w:pPr>
              <w:tabs>
                <w:tab w:val="left" w:pos="3960"/>
              </w:tabs>
              <w:spacing w:after="0"/>
              <w:jc w:val="both"/>
              <w:rPr>
                <w:rFonts w:ascii="Trebuchet MS" w:hAnsi="Trebuchet MS" w:cs="Arial"/>
                <w:b/>
                <w:bCs/>
              </w:rPr>
            </w:pPr>
            <w:r>
              <w:rPr>
                <w:rFonts w:ascii="Trebuchet MS" w:hAnsi="Trebuchet MS" w:cs="Arial"/>
              </w:rPr>
              <w:t xml:space="preserve">În vederea informării și aplicării dispozițiilor art. 1 alin. (1) din Legea nr. 216/2016 </w:t>
            </w:r>
            <w:r w:rsidRPr="005E1F35">
              <w:rPr>
                <w:rFonts w:ascii="Trebuchet MS" w:hAnsi="Trebuchet MS"/>
              </w:rPr>
              <w:t>privind stabilirea destinației unor bunuri imobile confiscate</w:t>
            </w:r>
            <w:r>
              <w:rPr>
                <w:rFonts w:ascii="Trebuchet MS" w:hAnsi="Trebuchet MS" w:cs="Arial"/>
              </w:rPr>
              <w:t>, datele de identificare ale imobilelor intrate, potrivit legii, în proprietatea privată a statului prin confiscare dispusă în materie penală, au fost publicate pe site-ul Agenției Naționale de Administrare a Bunurilor Indisponibilizate.</w:t>
            </w:r>
          </w:p>
        </w:tc>
      </w:tr>
      <w:tr w:rsidR="008A2269" w:rsidRPr="008454CF" w:rsidTr="00502637">
        <w:tc>
          <w:tcPr>
            <w:tcW w:w="9712" w:type="dxa"/>
          </w:tcPr>
          <w:p w:rsidR="008A2269" w:rsidRPr="008454CF" w:rsidRDefault="008A2269" w:rsidP="008A2269">
            <w:pPr>
              <w:tabs>
                <w:tab w:val="left" w:pos="3960"/>
              </w:tabs>
              <w:spacing w:after="0"/>
              <w:jc w:val="both"/>
              <w:rPr>
                <w:rFonts w:ascii="Trebuchet MS" w:hAnsi="Trebuchet MS" w:cs="Arial"/>
                <w:b/>
                <w:bCs/>
              </w:rPr>
            </w:pPr>
            <w:r w:rsidRPr="008454CF">
              <w:rPr>
                <w:rFonts w:ascii="Trebuchet MS" w:hAnsi="Trebuchet MS" w:cs="Arial"/>
                <w:b/>
                <w:bCs/>
              </w:rPr>
              <w:lastRenderedPageBreak/>
              <w:t xml:space="preserve">2. Informarea societăţii civile cu privire la eventualul impact asupra mediului în urma implementării proiectului de act normativ, precum şi efectele asupra sănătăţiişisecurităţiicetăţenilor sau diversităţii biologice </w:t>
            </w:r>
          </w:p>
          <w:p w:rsidR="008A2269" w:rsidRPr="008454CF" w:rsidRDefault="008A2269" w:rsidP="008A2269">
            <w:pPr>
              <w:tabs>
                <w:tab w:val="left" w:pos="3960"/>
              </w:tabs>
              <w:spacing w:after="0"/>
              <w:jc w:val="both"/>
              <w:rPr>
                <w:rFonts w:ascii="Trebuchet MS" w:hAnsi="Trebuchet MS" w:cs="Arial"/>
              </w:rPr>
            </w:pPr>
            <w:r w:rsidRPr="008454CF">
              <w:rPr>
                <w:rFonts w:ascii="Trebuchet MS" w:hAnsi="Trebuchet MS" w:cs="Arial"/>
              </w:rPr>
              <w:t>Proiectul de act normativ nu se referă la acest subiect.</w:t>
            </w:r>
          </w:p>
        </w:tc>
      </w:tr>
      <w:tr w:rsidR="008A2269" w:rsidRPr="008454CF" w:rsidTr="00502637">
        <w:tc>
          <w:tcPr>
            <w:tcW w:w="9712" w:type="dxa"/>
          </w:tcPr>
          <w:p w:rsidR="008A2269" w:rsidRPr="008454CF" w:rsidRDefault="008A2269" w:rsidP="008A2269">
            <w:pPr>
              <w:tabs>
                <w:tab w:val="left" w:pos="3960"/>
              </w:tabs>
              <w:spacing w:after="0"/>
              <w:jc w:val="both"/>
              <w:rPr>
                <w:rFonts w:ascii="Trebuchet MS" w:hAnsi="Trebuchet MS" w:cs="Arial"/>
                <w:b/>
                <w:bCs/>
              </w:rPr>
            </w:pPr>
            <w:r w:rsidRPr="008454CF">
              <w:rPr>
                <w:rFonts w:ascii="Trebuchet MS" w:hAnsi="Trebuchet MS" w:cs="Arial"/>
                <w:b/>
                <w:bCs/>
              </w:rPr>
              <w:t>3. Alte informații</w:t>
            </w:r>
          </w:p>
          <w:p w:rsidR="008A2269" w:rsidRPr="008454CF" w:rsidRDefault="008A2269" w:rsidP="008A2269">
            <w:pPr>
              <w:tabs>
                <w:tab w:val="left" w:pos="3960"/>
              </w:tabs>
              <w:spacing w:after="0"/>
              <w:jc w:val="both"/>
              <w:rPr>
                <w:rFonts w:ascii="Trebuchet MS" w:hAnsi="Trebuchet MS" w:cs="Arial"/>
                <w:bCs/>
              </w:rPr>
            </w:pPr>
            <w:r w:rsidRPr="008454CF">
              <w:rPr>
                <w:rFonts w:ascii="Trebuchet MS" w:hAnsi="Trebuchet MS" w:cs="Arial"/>
                <w:bCs/>
              </w:rPr>
              <w:t>Nu sunt</w:t>
            </w:r>
          </w:p>
        </w:tc>
      </w:tr>
    </w:tbl>
    <w:p w:rsidR="00B20384" w:rsidRPr="008454CF" w:rsidRDefault="00B20384" w:rsidP="00E742DE">
      <w:pPr>
        <w:autoSpaceDE w:val="0"/>
        <w:autoSpaceDN w:val="0"/>
        <w:adjustRightInd w:val="0"/>
        <w:spacing w:after="0" w:line="240" w:lineRule="auto"/>
        <w:jc w:val="both"/>
        <w:rPr>
          <w:rFonts w:ascii="Trebuchet MS" w:hAnsi="Trebuchet MS" w:cs="Arial"/>
          <w:lang w:eastAsia="ro-RO"/>
        </w:rPr>
      </w:pPr>
    </w:p>
    <w:p w:rsidR="00847B49" w:rsidRDefault="00E742DE" w:rsidP="00425D6A">
      <w:pPr>
        <w:ind w:left="-142"/>
        <w:jc w:val="both"/>
        <w:rPr>
          <w:rFonts w:ascii="Trebuchet MS" w:hAnsi="Trebuchet MS" w:cs="Arial"/>
          <w:snapToGrid w:val="0"/>
        </w:rPr>
      </w:pPr>
      <w:r w:rsidRPr="008454CF">
        <w:rPr>
          <w:rFonts w:ascii="Trebuchet MS" w:hAnsi="Trebuchet MS" w:cs="Arial"/>
          <w:snapToGrid w:val="0"/>
        </w:rPr>
        <w:t>Față de cele prezentate, a fost</w:t>
      </w:r>
      <w:r w:rsidR="00847B49">
        <w:rPr>
          <w:rFonts w:ascii="Trebuchet MS" w:hAnsi="Trebuchet MS" w:cs="Arial"/>
          <w:snapToGrid w:val="0"/>
        </w:rPr>
        <w:t xml:space="preserve"> promovat prezentul proiect de Hotărâre a Guvernului privind </w:t>
      </w:r>
      <w:r w:rsidR="00036F2D" w:rsidRPr="00282F6A">
        <w:rPr>
          <w:rFonts w:ascii="Trebuchet MS" w:hAnsi="Trebuchet MS" w:cs="Arial"/>
        </w:rPr>
        <w:t>transmiterea cu titlu gratuit din domeniul privat al statului în domeniul public al acestuia şi în administrarea Ministerului Justiției a unui imobil intrat în proprietatea privată a statului prin confiscare</w:t>
      </w:r>
      <w:r w:rsidR="00036F2D">
        <w:rPr>
          <w:rFonts w:ascii="Trebuchet MS" w:hAnsi="Trebuchet MS" w:cs="Arial"/>
        </w:rPr>
        <w:t>.</w:t>
      </w:r>
    </w:p>
    <w:p w:rsidR="00036F2D" w:rsidRDefault="00036F2D" w:rsidP="00425D6A">
      <w:pPr>
        <w:ind w:left="-142"/>
        <w:jc w:val="both"/>
        <w:rPr>
          <w:rFonts w:ascii="Trebuchet MS" w:hAnsi="Trebuchet MS" w:cs="Arial"/>
          <w:snapToGrid w:val="0"/>
        </w:rPr>
      </w:pPr>
    </w:p>
    <w:p w:rsidR="00036F2D" w:rsidRDefault="00036F2D" w:rsidP="00425D6A">
      <w:pPr>
        <w:ind w:left="-142"/>
        <w:jc w:val="both"/>
        <w:rPr>
          <w:rFonts w:ascii="Trebuchet MS" w:hAnsi="Trebuchet MS" w:cs="Arial"/>
          <w:snapToGrid w:val="0"/>
        </w:rPr>
      </w:pPr>
    </w:p>
    <w:tbl>
      <w:tblPr>
        <w:tblW w:w="9498" w:type="dxa"/>
        <w:tblInd w:w="108" w:type="dxa"/>
        <w:tblLook w:val="0000"/>
      </w:tblPr>
      <w:tblGrid>
        <w:gridCol w:w="4536"/>
        <w:gridCol w:w="4962"/>
      </w:tblGrid>
      <w:tr w:rsidR="00847B49" w:rsidRPr="00BF27F8" w:rsidTr="00A242C6">
        <w:trPr>
          <w:trHeight w:val="246"/>
        </w:trPr>
        <w:tc>
          <w:tcPr>
            <w:tcW w:w="4536" w:type="dxa"/>
          </w:tcPr>
          <w:p w:rsidR="00847B49" w:rsidRDefault="00847B49" w:rsidP="00847B49">
            <w:pPr>
              <w:ind w:right="-99"/>
              <w:jc w:val="center"/>
              <w:rPr>
                <w:rFonts w:ascii="Trebuchet MS" w:hAnsi="Trebuchet MS"/>
                <w:b/>
                <w:lang w:val="es-ES"/>
              </w:rPr>
            </w:pPr>
            <w:r>
              <w:rPr>
                <w:rFonts w:ascii="Trebuchet MS" w:hAnsi="Trebuchet MS"/>
                <w:b/>
                <w:lang w:val="es-ES"/>
              </w:rPr>
              <w:t>MINISTRUL JUSTIȚIEI</w:t>
            </w:r>
            <w:r w:rsidRPr="00BF27F8">
              <w:rPr>
                <w:rFonts w:ascii="Trebuchet MS" w:hAnsi="Trebuchet MS"/>
                <w:b/>
                <w:lang w:val="es-ES"/>
              </w:rPr>
              <w:t>,</w:t>
            </w:r>
          </w:p>
          <w:p w:rsidR="00847B49" w:rsidRPr="00BF27F8" w:rsidRDefault="00847B49" w:rsidP="00847B49">
            <w:pPr>
              <w:ind w:right="-198"/>
              <w:jc w:val="center"/>
              <w:rPr>
                <w:rFonts w:ascii="Trebuchet MS" w:hAnsi="Trebuchet MS"/>
                <w:bCs/>
                <w:snapToGrid w:val="0"/>
              </w:rPr>
            </w:pPr>
            <w:r w:rsidRPr="00847B49">
              <w:rPr>
                <w:rFonts w:ascii="Trebuchet MS" w:hAnsi="Trebuchet MS"/>
                <w:b/>
                <w:lang w:val="es-ES"/>
              </w:rPr>
              <w:t>Cătălin Marian PREDOIU</w:t>
            </w:r>
          </w:p>
        </w:tc>
        <w:tc>
          <w:tcPr>
            <w:tcW w:w="4962" w:type="dxa"/>
          </w:tcPr>
          <w:p w:rsidR="00847B49" w:rsidRDefault="00847B49" w:rsidP="00847B49">
            <w:pPr>
              <w:jc w:val="center"/>
              <w:rPr>
                <w:rFonts w:ascii="Trebuchet MS" w:hAnsi="Trebuchet MS"/>
                <w:b/>
                <w:bCs/>
                <w:snapToGrid w:val="0"/>
                <w:lang w:eastAsia="ro-RO"/>
              </w:rPr>
            </w:pPr>
            <w:r>
              <w:rPr>
                <w:rFonts w:ascii="Trebuchet MS" w:hAnsi="Trebuchet MS"/>
                <w:b/>
                <w:lang w:val="es-ES" w:eastAsia="ro-RO"/>
              </w:rPr>
              <w:t>MINISTRUL FINANȚELOR PUBLICE</w:t>
            </w:r>
            <w:r w:rsidRPr="00BF27F8">
              <w:rPr>
                <w:rFonts w:ascii="Trebuchet MS" w:hAnsi="Trebuchet MS"/>
                <w:b/>
                <w:bCs/>
                <w:snapToGrid w:val="0"/>
                <w:lang w:eastAsia="ro-RO"/>
              </w:rPr>
              <w:t>,</w:t>
            </w:r>
          </w:p>
          <w:p w:rsidR="00847B49" w:rsidRPr="00847B49" w:rsidRDefault="00847B49" w:rsidP="00847B49">
            <w:pPr>
              <w:ind w:right="-198"/>
              <w:jc w:val="center"/>
              <w:rPr>
                <w:rFonts w:ascii="Trebuchet MS" w:hAnsi="Trebuchet MS"/>
                <w:b/>
                <w:bCs/>
                <w:snapToGrid w:val="0"/>
              </w:rPr>
            </w:pPr>
            <w:r w:rsidRPr="00847B49">
              <w:rPr>
                <w:rFonts w:ascii="Trebuchet MS" w:hAnsi="Trebuchet MS"/>
                <w:b/>
                <w:bCs/>
                <w:snapToGrid w:val="0"/>
              </w:rPr>
              <w:t>Vasile-Florin CÎȚU</w:t>
            </w:r>
          </w:p>
        </w:tc>
      </w:tr>
    </w:tbl>
    <w:p w:rsidR="00E742DE" w:rsidRPr="00607C58" w:rsidRDefault="00E742DE" w:rsidP="00425D6A">
      <w:pPr>
        <w:ind w:left="-142"/>
        <w:jc w:val="both"/>
        <w:rPr>
          <w:rFonts w:ascii="Trebuchet MS" w:hAnsi="Trebuchet MS" w:cs="Arial"/>
          <w:b/>
          <w:color w:val="000000" w:themeColor="text1"/>
        </w:rPr>
      </w:pPr>
    </w:p>
    <w:p w:rsidR="00E742DE" w:rsidRPr="00607C58" w:rsidRDefault="00E742DE" w:rsidP="00847B49">
      <w:pPr>
        <w:spacing w:line="266" w:lineRule="atLeast"/>
        <w:ind w:right="-377"/>
        <w:outlineLvl w:val="0"/>
        <w:rPr>
          <w:rStyle w:val="child"/>
          <w:rFonts w:ascii="Trebuchet MS" w:hAnsi="Trebuchet MS" w:cs="Arial"/>
          <w:b/>
          <w:color w:val="000000" w:themeColor="text1"/>
        </w:rPr>
      </w:pPr>
    </w:p>
    <w:sectPr w:rsidR="00E742DE" w:rsidRPr="00607C58" w:rsidSect="000A57E2">
      <w:footerReference w:type="default" r:id="rId8"/>
      <w:pgSz w:w="11906" w:h="16838"/>
      <w:pgMar w:top="630"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8D1" w:rsidRDefault="004958D1">
      <w:pPr>
        <w:spacing w:after="0" w:line="240" w:lineRule="auto"/>
      </w:pPr>
      <w:r>
        <w:separator/>
      </w:r>
    </w:p>
  </w:endnote>
  <w:endnote w:type="continuationSeparator" w:id="1">
    <w:p w:rsidR="004958D1" w:rsidRDefault="00495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C3" w:rsidRDefault="00DF452C">
    <w:pPr>
      <w:pStyle w:val="Footer"/>
      <w:jc w:val="center"/>
    </w:pPr>
    <w:r>
      <w:fldChar w:fldCharType="begin"/>
    </w:r>
    <w:r w:rsidR="006D2B48">
      <w:instrText xml:space="preserve"> PAGE   \* MERGEFORMAT </w:instrText>
    </w:r>
    <w:r>
      <w:fldChar w:fldCharType="separate"/>
    </w:r>
    <w:r w:rsidR="003A1153">
      <w:rPr>
        <w:noProof/>
      </w:rPr>
      <w:t>4</w:t>
    </w:r>
    <w:r>
      <w:rPr>
        <w:noProof/>
      </w:rPr>
      <w:fldChar w:fldCharType="end"/>
    </w:r>
  </w:p>
  <w:p w:rsidR="00731DC3" w:rsidRDefault="00731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8D1" w:rsidRDefault="004958D1">
      <w:pPr>
        <w:spacing w:after="0" w:line="240" w:lineRule="auto"/>
      </w:pPr>
      <w:r>
        <w:separator/>
      </w:r>
    </w:p>
  </w:footnote>
  <w:footnote w:type="continuationSeparator" w:id="1">
    <w:p w:rsidR="004958D1" w:rsidRDefault="004958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B74"/>
    <w:multiLevelType w:val="hybridMultilevel"/>
    <w:tmpl w:val="E7ECE0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219A"/>
    <w:multiLevelType w:val="hybridMultilevel"/>
    <w:tmpl w:val="207ECF96"/>
    <w:lvl w:ilvl="0" w:tplc="E98681F6">
      <w:start w:val="1"/>
      <w:numFmt w:val="bullet"/>
      <w:lvlText w:val="-"/>
      <w:lvlJc w:val="left"/>
      <w:pPr>
        <w:ind w:left="388" w:hanging="360"/>
      </w:pPr>
      <w:rPr>
        <w:rFonts w:ascii="Trebuchet MS" w:eastAsia="Times New Roman" w:hAnsi="Trebuchet MS" w:cs="Arial" w:hint="default"/>
      </w:rPr>
    </w:lvl>
    <w:lvl w:ilvl="1" w:tplc="04180003" w:tentative="1">
      <w:start w:val="1"/>
      <w:numFmt w:val="bullet"/>
      <w:lvlText w:val="o"/>
      <w:lvlJc w:val="left"/>
      <w:pPr>
        <w:ind w:left="1108" w:hanging="360"/>
      </w:pPr>
      <w:rPr>
        <w:rFonts w:ascii="Courier New" w:hAnsi="Courier New" w:cs="Courier New" w:hint="default"/>
      </w:rPr>
    </w:lvl>
    <w:lvl w:ilvl="2" w:tplc="04180005" w:tentative="1">
      <w:start w:val="1"/>
      <w:numFmt w:val="bullet"/>
      <w:lvlText w:val=""/>
      <w:lvlJc w:val="left"/>
      <w:pPr>
        <w:ind w:left="1828" w:hanging="360"/>
      </w:pPr>
      <w:rPr>
        <w:rFonts w:ascii="Wingdings" w:hAnsi="Wingdings" w:hint="default"/>
      </w:rPr>
    </w:lvl>
    <w:lvl w:ilvl="3" w:tplc="04180001" w:tentative="1">
      <w:start w:val="1"/>
      <w:numFmt w:val="bullet"/>
      <w:lvlText w:val=""/>
      <w:lvlJc w:val="left"/>
      <w:pPr>
        <w:ind w:left="2548" w:hanging="360"/>
      </w:pPr>
      <w:rPr>
        <w:rFonts w:ascii="Symbol" w:hAnsi="Symbol" w:hint="default"/>
      </w:rPr>
    </w:lvl>
    <w:lvl w:ilvl="4" w:tplc="04180003" w:tentative="1">
      <w:start w:val="1"/>
      <w:numFmt w:val="bullet"/>
      <w:lvlText w:val="o"/>
      <w:lvlJc w:val="left"/>
      <w:pPr>
        <w:ind w:left="3268" w:hanging="360"/>
      </w:pPr>
      <w:rPr>
        <w:rFonts w:ascii="Courier New" w:hAnsi="Courier New" w:cs="Courier New" w:hint="default"/>
      </w:rPr>
    </w:lvl>
    <w:lvl w:ilvl="5" w:tplc="04180005" w:tentative="1">
      <w:start w:val="1"/>
      <w:numFmt w:val="bullet"/>
      <w:lvlText w:val=""/>
      <w:lvlJc w:val="left"/>
      <w:pPr>
        <w:ind w:left="3988" w:hanging="360"/>
      </w:pPr>
      <w:rPr>
        <w:rFonts w:ascii="Wingdings" w:hAnsi="Wingdings" w:hint="default"/>
      </w:rPr>
    </w:lvl>
    <w:lvl w:ilvl="6" w:tplc="04180001" w:tentative="1">
      <w:start w:val="1"/>
      <w:numFmt w:val="bullet"/>
      <w:lvlText w:val=""/>
      <w:lvlJc w:val="left"/>
      <w:pPr>
        <w:ind w:left="4708" w:hanging="360"/>
      </w:pPr>
      <w:rPr>
        <w:rFonts w:ascii="Symbol" w:hAnsi="Symbol" w:hint="default"/>
      </w:rPr>
    </w:lvl>
    <w:lvl w:ilvl="7" w:tplc="04180003" w:tentative="1">
      <w:start w:val="1"/>
      <w:numFmt w:val="bullet"/>
      <w:lvlText w:val="o"/>
      <w:lvlJc w:val="left"/>
      <w:pPr>
        <w:ind w:left="5428" w:hanging="360"/>
      </w:pPr>
      <w:rPr>
        <w:rFonts w:ascii="Courier New" w:hAnsi="Courier New" w:cs="Courier New" w:hint="default"/>
      </w:rPr>
    </w:lvl>
    <w:lvl w:ilvl="8" w:tplc="04180005" w:tentative="1">
      <w:start w:val="1"/>
      <w:numFmt w:val="bullet"/>
      <w:lvlText w:val=""/>
      <w:lvlJc w:val="left"/>
      <w:pPr>
        <w:ind w:left="6148" w:hanging="360"/>
      </w:pPr>
      <w:rPr>
        <w:rFonts w:ascii="Wingdings" w:hAnsi="Wingdings" w:hint="default"/>
      </w:rPr>
    </w:lvl>
  </w:abstractNum>
  <w:abstractNum w:abstractNumId="2">
    <w:nsid w:val="1ED57F9F"/>
    <w:multiLevelType w:val="hybridMultilevel"/>
    <w:tmpl w:val="BFFE0C1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5">
    <w:nsid w:val="3AAB6F87"/>
    <w:multiLevelType w:val="hybridMultilevel"/>
    <w:tmpl w:val="F650E97A"/>
    <w:lvl w:ilvl="0" w:tplc="86946E04">
      <w:start w:val="1"/>
      <w:numFmt w:val="bullet"/>
      <w:lvlText w:val="-"/>
      <w:lvlJc w:val="left"/>
      <w:pPr>
        <w:ind w:left="388" w:hanging="360"/>
      </w:pPr>
      <w:rPr>
        <w:rFonts w:ascii="Trebuchet MS" w:eastAsia="Times New Roman" w:hAnsi="Trebuchet MS" w:cs="Arial" w:hint="default"/>
      </w:rPr>
    </w:lvl>
    <w:lvl w:ilvl="1" w:tplc="04180003" w:tentative="1">
      <w:start w:val="1"/>
      <w:numFmt w:val="bullet"/>
      <w:lvlText w:val="o"/>
      <w:lvlJc w:val="left"/>
      <w:pPr>
        <w:ind w:left="1108" w:hanging="360"/>
      </w:pPr>
      <w:rPr>
        <w:rFonts w:ascii="Courier New" w:hAnsi="Courier New" w:cs="Courier New" w:hint="default"/>
      </w:rPr>
    </w:lvl>
    <w:lvl w:ilvl="2" w:tplc="04180005" w:tentative="1">
      <w:start w:val="1"/>
      <w:numFmt w:val="bullet"/>
      <w:lvlText w:val=""/>
      <w:lvlJc w:val="left"/>
      <w:pPr>
        <w:ind w:left="1828" w:hanging="360"/>
      </w:pPr>
      <w:rPr>
        <w:rFonts w:ascii="Wingdings" w:hAnsi="Wingdings" w:hint="default"/>
      </w:rPr>
    </w:lvl>
    <w:lvl w:ilvl="3" w:tplc="04180001" w:tentative="1">
      <w:start w:val="1"/>
      <w:numFmt w:val="bullet"/>
      <w:lvlText w:val=""/>
      <w:lvlJc w:val="left"/>
      <w:pPr>
        <w:ind w:left="2548" w:hanging="360"/>
      </w:pPr>
      <w:rPr>
        <w:rFonts w:ascii="Symbol" w:hAnsi="Symbol" w:hint="default"/>
      </w:rPr>
    </w:lvl>
    <w:lvl w:ilvl="4" w:tplc="04180003" w:tentative="1">
      <w:start w:val="1"/>
      <w:numFmt w:val="bullet"/>
      <w:lvlText w:val="o"/>
      <w:lvlJc w:val="left"/>
      <w:pPr>
        <w:ind w:left="3268" w:hanging="360"/>
      </w:pPr>
      <w:rPr>
        <w:rFonts w:ascii="Courier New" w:hAnsi="Courier New" w:cs="Courier New" w:hint="default"/>
      </w:rPr>
    </w:lvl>
    <w:lvl w:ilvl="5" w:tplc="04180005" w:tentative="1">
      <w:start w:val="1"/>
      <w:numFmt w:val="bullet"/>
      <w:lvlText w:val=""/>
      <w:lvlJc w:val="left"/>
      <w:pPr>
        <w:ind w:left="3988" w:hanging="360"/>
      </w:pPr>
      <w:rPr>
        <w:rFonts w:ascii="Wingdings" w:hAnsi="Wingdings" w:hint="default"/>
      </w:rPr>
    </w:lvl>
    <w:lvl w:ilvl="6" w:tplc="04180001" w:tentative="1">
      <w:start w:val="1"/>
      <w:numFmt w:val="bullet"/>
      <w:lvlText w:val=""/>
      <w:lvlJc w:val="left"/>
      <w:pPr>
        <w:ind w:left="4708" w:hanging="360"/>
      </w:pPr>
      <w:rPr>
        <w:rFonts w:ascii="Symbol" w:hAnsi="Symbol" w:hint="default"/>
      </w:rPr>
    </w:lvl>
    <w:lvl w:ilvl="7" w:tplc="04180003" w:tentative="1">
      <w:start w:val="1"/>
      <w:numFmt w:val="bullet"/>
      <w:lvlText w:val="o"/>
      <w:lvlJc w:val="left"/>
      <w:pPr>
        <w:ind w:left="5428" w:hanging="360"/>
      </w:pPr>
      <w:rPr>
        <w:rFonts w:ascii="Courier New" w:hAnsi="Courier New" w:cs="Courier New" w:hint="default"/>
      </w:rPr>
    </w:lvl>
    <w:lvl w:ilvl="8" w:tplc="04180005" w:tentative="1">
      <w:start w:val="1"/>
      <w:numFmt w:val="bullet"/>
      <w:lvlText w:val=""/>
      <w:lvlJc w:val="left"/>
      <w:pPr>
        <w:ind w:left="6148" w:hanging="360"/>
      </w:pPr>
      <w:rPr>
        <w:rFonts w:ascii="Wingdings" w:hAnsi="Wingdings" w:hint="default"/>
      </w:rPr>
    </w:lvl>
  </w:abstractNum>
  <w:abstractNum w:abstractNumId="6">
    <w:nsid w:val="3BA602CF"/>
    <w:multiLevelType w:val="hybridMultilevel"/>
    <w:tmpl w:val="6C020EAA"/>
    <w:lvl w:ilvl="0" w:tplc="77DA7C2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D9B1A11"/>
    <w:multiLevelType w:val="hybridMultilevel"/>
    <w:tmpl w:val="2152C582"/>
    <w:lvl w:ilvl="0" w:tplc="49581E1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F5E48F5"/>
    <w:multiLevelType w:val="hybridMultilevel"/>
    <w:tmpl w:val="48C8A96E"/>
    <w:lvl w:ilvl="0" w:tplc="C8E44C3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57448D0"/>
    <w:multiLevelType w:val="hybridMultilevel"/>
    <w:tmpl w:val="49A6DE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8064A1"/>
    <w:multiLevelType w:val="hybridMultilevel"/>
    <w:tmpl w:val="8B0CD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94D562D"/>
    <w:multiLevelType w:val="hybridMultilevel"/>
    <w:tmpl w:val="22C647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2"/>
  </w:num>
  <w:num w:numId="5">
    <w:abstractNumId w:val="14"/>
  </w:num>
  <w:num w:numId="6">
    <w:abstractNumId w:val="13"/>
  </w:num>
  <w:num w:numId="7">
    <w:abstractNumId w:val="4"/>
  </w:num>
  <w:num w:numId="8">
    <w:abstractNumId w:val="9"/>
  </w:num>
  <w:num w:numId="9">
    <w:abstractNumId w:val="11"/>
  </w:num>
  <w:num w:numId="10">
    <w:abstractNumId w:val="0"/>
  </w:num>
  <w:num w:numId="11">
    <w:abstractNumId w:val="15"/>
  </w:num>
  <w:num w:numId="12">
    <w:abstractNumId w:val="12"/>
  </w:num>
  <w:num w:numId="13">
    <w:abstractNumId w:val="6"/>
  </w:num>
  <w:num w:numId="14">
    <w:abstractNumId w:val="8"/>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8E1ACD"/>
    <w:rsid w:val="00000D47"/>
    <w:rsid w:val="0001135C"/>
    <w:rsid w:val="00011A4F"/>
    <w:rsid w:val="00012931"/>
    <w:rsid w:val="00015FD1"/>
    <w:rsid w:val="00024ABC"/>
    <w:rsid w:val="0003263E"/>
    <w:rsid w:val="00036F2D"/>
    <w:rsid w:val="00051308"/>
    <w:rsid w:val="0005407E"/>
    <w:rsid w:val="000548A2"/>
    <w:rsid w:val="00055832"/>
    <w:rsid w:val="0006455B"/>
    <w:rsid w:val="00067D4C"/>
    <w:rsid w:val="000759C6"/>
    <w:rsid w:val="00075C79"/>
    <w:rsid w:val="00080602"/>
    <w:rsid w:val="00085318"/>
    <w:rsid w:val="00090B77"/>
    <w:rsid w:val="00097A25"/>
    <w:rsid w:val="000A35C5"/>
    <w:rsid w:val="000A57E2"/>
    <w:rsid w:val="000A6EF8"/>
    <w:rsid w:val="000C1C29"/>
    <w:rsid w:val="000D54A5"/>
    <w:rsid w:val="000D5CDE"/>
    <w:rsid w:val="000D7478"/>
    <w:rsid w:val="000E3E62"/>
    <w:rsid w:val="000E74D6"/>
    <w:rsid w:val="000F638E"/>
    <w:rsid w:val="001024E8"/>
    <w:rsid w:val="0010416B"/>
    <w:rsid w:val="00122E26"/>
    <w:rsid w:val="00125048"/>
    <w:rsid w:val="00132EB8"/>
    <w:rsid w:val="00143342"/>
    <w:rsid w:val="00147B02"/>
    <w:rsid w:val="0015168C"/>
    <w:rsid w:val="00153B99"/>
    <w:rsid w:val="00162F86"/>
    <w:rsid w:val="001664A6"/>
    <w:rsid w:val="00170166"/>
    <w:rsid w:val="00174C22"/>
    <w:rsid w:val="00176AFF"/>
    <w:rsid w:val="00177FA1"/>
    <w:rsid w:val="0019203F"/>
    <w:rsid w:val="00197DBB"/>
    <w:rsid w:val="001A1E8C"/>
    <w:rsid w:val="001A1EB9"/>
    <w:rsid w:val="001A61D2"/>
    <w:rsid w:val="001B1CAE"/>
    <w:rsid w:val="001B35C9"/>
    <w:rsid w:val="001C1EC3"/>
    <w:rsid w:val="001C49B4"/>
    <w:rsid w:val="001C67F9"/>
    <w:rsid w:val="001C6F04"/>
    <w:rsid w:val="001D0194"/>
    <w:rsid w:val="001E11AA"/>
    <w:rsid w:val="001E2329"/>
    <w:rsid w:val="00210909"/>
    <w:rsid w:val="0021256A"/>
    <w:rsid w:val="00212BBF"/>
    <w:rsid w:val="00217689"/>
    <w:rsid w:val="002221DA"/>
    <w:rsid w:val="0022235F"/>
    <w:rsid w:val="00227B68"/>
    <w:rsid w:val="00233E0E"/>
    <w:rsid w:val="00237969"/>
    <w:rsid w:val="00237BC8"/>
    <w:rsid w:val="00246A4C"/>
    <w:rsid w:val="00250043"/>
    <w:rsid w:val="00254156"/>
    <w:rsid w:val="00255922"/>
    <w:rsid w:val="002705BC"/>
    <w:rsid w:val="00271231"/>
    <w:rsid w:val="00274AA5"/>
    <w:rsid w:val="00274DEE"/>
    <w:rsid w:val="00277DB2"/>
    <w:rsid w:val="00282F6A"/>
    <w:rsid w:val="00290BA4"/>
    <w:rsid w:val="002912B2"/>
    <w:rsid w:val="00292EC3"/>
    <w:rsid w:val="002A653B"/>
    <w:rsid w:val="002B22E3"/>
    <w:rsid w:val="002D2EF1"/>
    <w:rsid w:val="002D5EDC"/>
    <w:rsid w:val="002F2D66"/>
    <w:rsid w:val="002F2ED7"/>
    <w:rsid w:val="002F3B8B"/>
    <w:rsid w:val="002F79B5"/>
    <w:rsid w:val="00311F9D"/>
    <w:rsid w:val="00316A6E"/>
    <w:rsid w:val="00326F2A"/>
    <w:rsid w:val="003271EE"/>
    <w:rsid w:val="00327347"/>
    <w:rsid w:val="00341BA1"/>
    <w:rsid w:val="00341EF1"/>
    <w:rsid w:val="0034306F"/>
    <w:rsid w:val="00354DF4"/>
    <w:rsid w:val="0035650F"/>
    <w:rsid w:val="003628C8"/>
    <w:rsid w:val="00364C4D"/>
    <w:rsid w:val="0037262E"/>
    <w:rsid w:val="003778CC"/>
    <w:rsid w:val="00382CF8"/>
    <w:rsid w:val="003840C0"/>
    <w:rsid w:val="003A1153"/>
    <w:rsid w:val="003B1555"/>
    <w:rsid w:val="003B5162"/>
    <w:rsid w:val="003D40B0"/>
    <w:rsid w:val="003E648D"/>
    <w:rsid w:val="00403A14"/>
    <w:rsid w:val="00406152"/>
    <w:rsid w:val="00406A97"/>
    <w:rsid w:val="00413B68"/>
    <w:rsid w:val="0042485E"/>
    <w:rsid w:val="00425D6A"/>
    <w:rsid w:val="00440E17"/>
    <w:rsid w:val="00470A0A"/>
    <w:rsid w:val="004745A3"/>
    <w:rsid w:val="004751AC"/>
    <w:rsid w:val="00475299"/>
    <w:rsid w:val="00485BA2"/>
    <w:rsid w:val="00486D83"/>
    <w:rsid w:val="004958D1"/>
    <w:rsid w:val="00497023"/>
    <w:rsid w:val="004A055F"/>
    <w:rsid w:val="004A5498"/>
    <w:rsid w:val="004B2C8C"/>
    <w:rsid w:val="004B427D"/>
    <w:rsid w:val="004B6537"/>
    <w:rsid w:val="004C5047"/>
    <w:rsid w:val="004C69A9"/>
    <w:rsid w:val="004D14D5"/>
    <w:rsid w:val="004D378E"/>
    <w:rsid w:val="004F3EA3"/>
    <w:rsid w:val="00502637"/>
    <w:rsid w:val="00505790"/>
    <w:rsid w:val="0052757A"/>
    <w:rsid w:val="00535D68"/>
    <w:rsid w:val="00535E72"/>
    <w:rsid w:val="00537DEC"/>
    <w:rsid w:val="0057152F"/>
    <w:rsid w:val="005872B5"/>
    <w:rsid w:val="0059500F"/>
    <w:rsid w:val="005A563F"/>
    <w:rsid w:val="005B1A9E"/>
    <w:rsid w:val="005B1D8D"/>
    <w:rsid w:val="005C0025"/>
    <w:rsid w:val="005C1C61"/>
    <w:rsid w:val="005C65E6"/>
    <w:rsid w:val="005D115A"/>
    <w:rsid w:val="005D4369"/>
    <w:rsid w:val="005D4ED4"/>
    <w:rsid w:val="00607C58"/>
    <w:rsid w:val="00611359"/>
    <w:rsid w:val="00612132"/>
    <w:rsid w:val="00613121"/>
    <w:rsid w:val="00622A26"/>
    <w:rsid w:val="00635E75"/>
    <w:rsid w:val="00644359"/>
    <w:rsid w:val="00644F60"/>
    <w:rsid w:val="00647A2D"/>
    <w:rsid w:val="00653FD3"/>
    <w:rsid w:val="006577A5"/>
    <w:rsid w:val="00665BBE"/>
    <w:rsid w:val="00672070"/>
    <w:rsid w:val="0067669A"/>
    <w:rsid w:val="006775E8"/>
    <w:rsid w:val="00681603"/>
    <w:rsid w:val="00682D44"/>
    <w:rsid w:val="00684FA3"/>
    <w:rsid w:val="006958AA"/>
    <w:rsid w:val="006A111D"/>
    <w:rsid w:val="006B43F1"/>
    <w:rsid w:val="006B46D5"/>
    <w:rsid w:val="006B5BB2"/>
    <w:rsid w:val="006C25EC"/>
    <w:rsid w:val="006C3A54"/>
    <w:rsid w:val="006C6EAF"/>
    <w:rsid w:val="006D0B8C"/>
    <w:rsid w:val="006D1742"/>
    <w:rsid w:val="006D2B48"/>
    <w:rsid w:val="006D35A6"/>
    <w:rsid w:val="006D7A09"/>
    <w:rsid w:val="006E67BC"/>
    <w:rsid w:val="007074D9"/>
    <w:rsid w:val="00710D41"/>
    <w:rsid w:val="007133EC"/>
    <w:rsid w:val="00726039"/>
    <w:rsid w:val="00726B66"/>
    <w:rsid w:val="00731DC3"/>
    <w:rsid w:val="007377AC"/>
    <w:rsid w:val="0074055E"/>
    <w:rsid w:val="00751055"/>
    <w:rsid w:val="00752E0C"/>
    <w:rsid w:val="007530E9"/>
    <w:rsid w:val="00777902"/>
    <w:rsid w:val="007807AD"/>
    <w:rsid w:val="00795732"/>
    <w:rsid w:val="007B09FA"/>
    <w:rsid w:val="007B3EEB"/>
    <w:rsid w:val="007B44B0"/>
    <w:rsid w:val="007C542A"/>
    <w:rsid w:val="007C58BB"/>
    <w:rsid w:val="007C64A5"/>
    <w:rsid w:val="007D2CE4"/>
    <w:rsid w:val="007E49D4"/>
    <w:rsid w:val="007E7664"/>
    <w:rsid w:val="00802C0D"/>
    <w:rsid w:val="0080594B"/>
    <w:rsid w:val="00805CE8"/>
    <w:rsid w:val="0081006F"/>
    <w:rsid w:val="00831C96"/>
    <w:rsid w:val="00832EAD"/>
    <w:rsid w:val="00833673"/>
    <w:rsid w:val="00840095"/>
    <w:rsid w:val="008454CF"/>
    <w:rsid w:val="008456E6"/>
    <w:rsid w:val="00845714"/>
    <w:rsid w:val="00847B49"/>
    <w:rsid w:val="00850B9E"/>
    <w:rsid w:val="00852E8F"/>
    <w:rsid w:val="008567E7"/>
    <w:rsid w:val="00856E57"/>
    <w:rsid w:val="00866E3E"/>
    <w:rsid w:val="00867341"/>
    <w:rsid w:val="0088136F"/>
    <w:rsid w:val="00881D94"/>
    <w:rsid w:val="00882E3B"/>
    <w:rsid w:val="008868D6"/>
    <w:rsid w:val="00886D70"/>
    <w:rsid w:val="008A2269"/>
    <w:rsid w:val="008B287F"/>
    <w:rsid w:val="008B442D"/>
    <w:rsid w:val="008B5DFE"/>
    <w:rsid w:val="008C3E4C"/>
    <w:rsid w:val="008E1ACD"/>
    <w:rsid w:val="008E7F35"/>
    <w:rsid w:val="008F191D"/>
    <w:rsid w:val="00905C34"/>
    <w:rsid w:val="00911550"/>
    <w:rsid w:val="0091268B"/>
    <w:rsid w:val="00913BF5"/>
    <w:rsid w:val="0091476A"/>
    <w:rsid w:val="009204FF"/>
    <w:rsid w:val="009209EC"/>
    <w:rsid w:val="00924FE4"/>
    <w:rsid w:val="00926050"/>
    <w:rsid w:val="00935E3A"/>
    <w:rsid w:val="009371F9"/>
    <w:rsid w:val="00942867"/>
    <w:rsid w:val="009429B2"/>
    <w:rsid w:val="00942B4A"/>
    <w:rsid w:val="009526BA"/>
    <w:rsid w:val="00961BDF"/>
    <w:rsid w:val="00966329"/>
    <w:rsid w:val="009711B5"/>
    <w:rsid w:val="00972D09"/>
    <w:rsid w:val="0097719D"/>
    <w:rsid w:val="00991157"/>
    <w:rsid w:val="009A556E"/>
    <w:rsid w:val="009A69A1"/>
    <w:rsid w:val="009B241F"/>
    <w:rsid w:val="009C03FB"/>
    <w:rsid w:val="009C0BB2"/>
    <w:rsid w:val="009C4ACF"/>
    <w:rsid w:val="009C74B4"/>
    <w:rsid w:val="009D4C6D"/>
    <w:rsid w:val="009E1D13"/>
    <w:rsid w:val="009E46D7"/>
    <w:rsid w:val="009F711D"/>
    <w:rsid w:val="00A03155"/>
    <w:rsid w:val="00A11F8B"/>
    <w:rsid w:val="00A242C6"/>
    <w:rsid w:val="00A31622"/>
    <w:rsid w:val="00A35A7B"/>
    <w:rsid w:val="00A35C1E"/>
    <w:rsid w:val="00A42540"/>
    <w:rsid w:val="00A47B08"/>
    <w:rsid w:val="00A5604D"/>
    <w:rsid w:val="00A701A6"/>
    <w:rsid w:val="00A715A1"/>
    <w:rsid w:val="00A71D19"/>
    <w:rsid w:val="00A75A5D"/>
    <w:rsid w:val="00A81931"/>
    <w:rsid w:val="00A87583"/>
    <w:rsid w:val="00A90AF9"/>
    <w:rsid w:val="00A92A29"/>
    <w:rsid w:val="00A96893"/>
    <w:rsid w:val="00AA35A4"/>
    <w:rsid w:val="00AA4222"/>
    <w:rsid w:val="00AA5FD8"/>
    <w:rsid w:val="00AB3E6C"/>
    <w:rsid w:val="00AD3937"/>
    <w:rsid w:val="00AE42B1"/>
    <w:rsid w:val="00B02FB3"/>
    <w:rsid w:val="00B074E9"/>
    <w:rsid w:val="00B1246F"/>
    <w:rsid w:val="00B20384"/>
    <w:rsid w:val="00B20E67"/>
    <w:rsid w:val="00B23316"/>
    <w:rsid w:val="00B24074"/>
    <w:rsid w:val="00B300AD"/>
    <w:rsid w:val="00B3494E"/>
    <w:rsid w:val="00B415E7"/>
    <w:rsid w:val="00B4626A"/>
    <w:rsid w:val="00B4654F"/>
    <w:rsid w:val="00B46667"/>
    <w:rsid w:val="00B55F5C"/>
    <w:rsid w:val="00B561D0"/>
    <w:rsid w:val="00B64499"/>
    <w:rsid w:val="00B810A6"/>
    <w:rsid w:val="00B82D58"/>
    <w:rsid w:val="00B873F8"/>
    <w:rsid w:val="00B879F6"/>
    <w:rsid w:val="00BA595E"/>
    <w:rsid w:val="00BA5F0F"/>
    <w:rsid w:val="00BA6FFF"/>
    <w:rsid w:val="00BB286A"/>
    <w:rsid w:val="00BE0276"/>
    <w:rsid w:val="00BE0E0C"/>
    <w:rsid w:val="00BE1CCB"/>
    <w:rsid w:val="00BE2A5F"/>
    <w:rsid w:val="00BE2BB7"/>
    <w:rsid w:val="00BF2600"/>
    <w:rsid w:val="00BF5F0F"/>
    <w:rsid w:val="00C04722"/>
    <w:rsid w:val="00C12A02"/>
    <w:rsid w:val="00C26324"/>
    <w:rsid w:val="00C266CE"/>
    <w:rsid w:val="00C27892"/>
    <w:rsid w:val="00C332A4"/>
    <w:rsid w:val="00C33351"/>
    <w:rsid w:val="00C355B4"/>
    <w:rsid w:val="00C36F38"/>
    <w:rsid w:val="00C41333"/>
    <w:rsid w:val="00C42F81"/>
    <w:rsid w:val="00C53A78"/>
    <w:rsid w:val="00C56AA1"/>
    <w:rsid w:val="00C76AD7"/>
    <w:rsid w:val="00C778A8"/>
    <w:rsid w:val="00C87495"/>
    <w:rsid w:val="00CA5EA5"/>
    <w:rsid w:val="00CB0318"/>
    <w:rsid w:val="00CB15F6"/>
    <w:rsid w:val="00CB6262"/>
    <w:rsid w:val="00CB77F0"/>
    <w:rsid w:val="00CC12B8"/>
    <w:rsid w:val="00CD76AF"/>
    <w:rsid w:val="00CF0CFE"/>
    <w:rsid w:val="00D01B49"/>
    <w:rsid w:val="00D036D8"/>
    <w:rsid w:val="00D06B86"/>
    <w:rsid w:val="00D16A54"/>
    <w:rsid w:val="00D177DA"/>
    <w:rsid w:val="00D224FC"/>
    <w:rsid w:val="00D4429C"/>
    <w:rsid w:val="00D45E0C"/>
    <w:rsid w:val="00D5185F"/>
    <w:rsid w:val="00D57CB1"/>
    <w:rsid w:val="00D67A13"/>
    <w:rsid w:val="00D70E83"/>
    <w:rsid w:val="00D718B1"/>
    <w:rsid w:val="00D83A52"/>
    <w:rsid w:val="00D843E6"/>
    <w:rsid w:val="00D8501D"/>
    <w:rsid w:val="00D91C67"/>
    <w:rsid w:val="00DA1DBB"/>
    <w:rsid w:val="00DC3082"/>
    <w:rsid w:val="00DD4F9B"/>
    <w:rsid w:val="00DE1FA3"/>
    <w:rsid w:val="00DE369F"/>
    <w:rsid w:val="00DE3973"/>
    <w:rsid w:val="00DF2D5E"/>
    <w:rsid w:val="00DF3BB0"/>
    <w:rsid w:val="00DF452C"/>
    <w:rsid w:val="00DF5B09"/>
    <w:rsid w:val="00E06B09"/>
    <w:rsid w:val="00E1250C"/>
    <w:rsid w:val="00E1685F"/>
    <w:rsid w:val="00E249F2"/>
    <w:rsid w:val="00E30DDE"/>
    <w:rsid w:val="00E349C4"/>
    <w:rsid w:val="00E34D65"/>
    <w:rsid w:val="00E42D96"/>
    <w:rsid w:val="00E742DE"/>
    <w:rsid w:val="00E74FD1"/>
    <w:rsid w:val="00E91E95"/>
    <w:rsid w:val="00EA40C2"/>
    <w:rsid w:val="00EA480D"/>
    <w:rsid w:val="00EB1636"/>
    <w:rsid w:val="00EB348E"/>
    <w:rsid w:val="00EB5AC6"/>
    <w:rsid w:val="00EB6F14"/>
    <w:rsid w:val="00EC06C9"/>
    <w:rsid w:val="00EC22A9"/>
    <w:rsid w:val="00ED08ED"/>
    <w:rsid w:val="00ED59F4"/>
    <w:rsid w:val="00EF2046"/>
    <w:rsid w:val="00EF2074"/>
    <w:rsid w:val="00EF3C1D"/>
    <w:rsid w:val="00F0497F"/>
    <w:rsid w:val="00F30CB8"/>
    <w:rsid w:val="00F30F28"/>
    <w:rsid w:val="00F31DE5"/>
    <w:rsid w:val="00F425C1"/>
    <w:rsid w:val="00F454C5"/>
    <w:rsid w:val="00F52722"/>
    <w:rsid w:val="00F634AC"/>
    <w:rsid w:val="00F703FC"/>
    <w:rsid w:val="00F7217E"/>
    <w:rsid w:val="00F83FFA"/>
    <w:rsid w:val="00FB183D"/>
    <w:rsid w:val="00FB7C55"/>
    <w:rsid w:val="00FC1A6A"/>
    <w:rsid w:val="00FC2EFE"/>
    <w:rsid w:val="00FE1108"/>
    <w:rsid w:val="00FE299A"/>
    <w:rsid w:val="00FE5AAF"/>
    <w:rsid w:val="00FF0BA5"/>
    <w:rsid w:val="00FF2604"/>
    <w:rsid w:val="00FF2E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customStyle="1" w:styleId="CaracterCaracterCharCharCaracterCaracter">
    <w:name w:val="Caracter Caracter Char Char Caracter Caracter"/>
    <w:basedOn w:val="Normal"/>
    <w:rsid w:val="00E742DE"/>
    <w:pPr>
      <w:spacing w:after="0" w:line="240" w:lineRule="auto"/>
    </w:pPr>
    <w:rPr>
      <w:rFonts w:ascii="Times New Roman" w:eastAsia="Times New Roman" w:hAnsi="Times New Roman" w:cs="Times New Roman"/>
      <w:sz w:val="24"/>
      <w:szCs w:val="24"/>
      <w:lang w:val="pl-PL" w:eastAsia="pl-PL"/>
    </w:rPr>
  </w:style>
  <w:style w:type="character" w:styleId="Strong">
    <w:name w:val="Strong"/>
    <w:uiPriority w:val="22"/>
    <w:qFormat/>
    <w:locked/>
    <w:rsid w:val="00E742DE"/>
    <w:rPr>
      <w:b/>
      <w:bCs/>
    </w:rPr>
  </w:style>
  <w:style w:type="character" w:customStyle="1" w:styleId="child">
    <w:name w:val="child"/>
    <w:rsid w:val="00E742DE"/>
  </w:style>
  <w:style w:type="paragraph" w:styleId="CommentText">
    <w:name w:val="annotation text"/>
    <w:basedOn w:val="Normal"/>
    <w:link w:val="CommentTextChar"/>
    <w:uiPriority w:val="99"/>
    <w:semiHidden/>
    <w:unhideWhenUsed/>
    <w:rsid w:val="007B44B0"/>
    <w:pPr>
      <w:spacing w:line="240" w:lineRule="auto"/>
    </w:pPr>
    <w:rPr>
      <w:sz w:val="20"/>
      <w:szCs w:val="20"/>
    </w:rPr>
  </w:style>
  <w:style w:type="character" w:customStyle="1" w:styleId="CommentTextChar">
    <w:name w:val="Comment Text Char"/>
    <w:basedOn w:val="DefaultParagraphFont"/>
    <w:link w:val="CommentText"/>
    <w:uiPriority w:val="99"/>
    <w:semiHidden/>
    <w:rsid w:val="007B44B0"/>
    <w:rPr>
      <w:rFonts w:cs="Calibri"/>
      <w:lang w:eastAsia="en-US"/>
    </w:rPr>
  </w:style>
  <w:style w:type="character" w:styleId="CommentReference">
    <w:name w:val="annotation reference"/>
    <w:uiPriority w:val="99"/>
    <w:unhideWhenUsed/>
    <w:rsid w:val="007B44B0"/>
    <w:rPr>
      <w:sz w:val="16"/>
      <w:szCs w:val="16"/>
    </w:rPr>
  </w:style>
  <w:style w:type="paragraph" w:styleId="ListParagraph">
    <w:name w:val="List Paragraph"/>
    <w:basedOn w:val="Normal"/>
    <w:uiPriority w:val="34"/>
    <w:qFormat/>
    <w:rsid w:val="008A2269"/>
    <w:pPr>
      <w:ind w:left="720"/>
      <w:contextualSpacing/>
    </w:pPr>
  </w:style>
  <w:style w:type="paragraph" w:styleId="CommentSubject">
    <w:name w:val="annotation subject"/>
    <w:basedOn w:val="CommentText"/>
    <w:next w:val="CommentText"/>
    <w:link w:val="CommentSubjectChar"/>
    <w:uiPriority w:val="99"/>
    <w:semiHidden/>
    <w:unhideWhenUsed/>
    <w:rsid w:val="008B442D"/>
    <w:rPr>
      <w:b/>
      <w:bCs/>
    </w:rPr>
  </w:style>
  <w:style w:type="character" w:customStyle="1" w:styleId="CommentSubjectChar">
    <w:name w:val="Comment Subject Char"/>
    <w:basedOn w:val="CommentTextChar"/>
    <w:link w:val="CommentSubject"/>
    <w:uiPriority w:val="99"/>
    <w:semiHidden/>
    <w:rsid w:val="008B442D"/>
    <w:rPr>
      <w:rFonts w:cs="Calibri"/>
      <w:b/>
      <w:bCs/>
      <w:lang w:eastAsia="en-US"/>
    </w:rPr>
  </w:style>
  <w:style w:type="paragraph" w:customStyle="1" w:styleId="Style5">
    <w:name w:val="Style5"/>
    <w:basedOn w:val="Normal"/>
    <w:rsid w:val="00C04722"/>
    <w:pPr>
      <w:widowControl w:val="0"/>
      <w:autoSpaceDE w:val="0"/>
      <w:autoSpaceDN w:val="0"/>
      <w:adjustRightInd w:val="0"/>
      <w:spacing w:after="0" w:line="445" w:lineRule="exact"/>
      <w:ind w:firstLine="706"/>
      <w:jc w:val="both"/>
    </w:pPr>
    <w:rPr>
      <w:rFonts w:ascii="Times New Roman" w:eastAsia="Times New Roman" w:hAnsi="Times New Roman" w:cs="Times New Roman"/>
      <w:sz w:val="24"/>
      <w:szCs w:val="24"/>
      <w:lang w:eastAsia="ro-RO"/>
    </w:rPr>
  </w:style>
  <w:style w:type="character" w:customStyle="1" w:styleId="l5def2">
    <w:name w:val="l5def2"/>
    <w:basedOn w:val="DefaultParagraphFont"/>
    <w:rsid w:val="00684FA3"/>
    <w:rPr>
      <w:rFonts w:ascii="Arial" w:hAnsi="Arial" w:cs="Arial" w:hint="default"/>
      <w:color w:val="000000"/>
      <w:sz w:val="26"/>
      <w:szCs w:val="26"/>
    </w:rPr>
  </w:style>
  <w:style w:type="table" w:styleId="TableGrid">
    <w:name w:val="Table Grid"/>
    <w:basedOn w:val="TableNormal"/>
    <w:uiPriority w:val="59"/>
    <w:locked/>
    <w:rsid w:val="00406A97"/>
    <w:rPr>
      <w:rFonts w:ascii="Cambria" w:eastAsia="MS Mincho"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6A9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0485279">
      <w:bodyDiv w:val="1"/>
      <w:marLeft w:val="0"/>
      <w:marRight w:val="0"/>
      <w:marTop w:val="0"/>
      <w:marBottom w:val="0"/>
      <w:divBdr>
        <w:top w:val="none" w:sz="0" w:space="0" w:color="auto"/>
        <w:left w:val="none" w:sz="0" w:space="0" w:color="auto"/>
        <w:bottom w:val="none" w:sz="0" w:space="0" w:color="auto"/>
        <w:right w:val="none" w:sz="0" w:space="0" w:color="auto"/>
      </w:divBdr>
    </w:div>
    <w:div w:id="215623817">
      <w:bodyDiv w:val="1"/>
      <w:marLeft w:val="0"/>
      <w:marRight w:val="0"/>
      <w:marTop w:val="0"/>
      <w:marBottom w:val="0"/>
      <w:divBdr>
        <w:top w:val="none" w:sz="0" w:space="0" w:color="auto"/>
        <w:left w:val="none" w:sz="0" w:space="0" w:color="auto"/>
        <w:bottom w:val="none" w:sz="0" w:space="0" w:color="auto"/>
        <w:right w:val="none" w:sz="0" w:space="0" w:color="auto"/>
      </w:divBdr>
      <w:divsChild>
        <w:div w:id="1233811688">
          <w:marLeft w:val="0"/>
          <w:marRight w:val="0"/>
          <w:marTop w:val="0"/>
          <w:marBottom w:val="0"/>
          <w:divBdr>
            <w:top w:val="none" w:sz="0" w:space="0" w:color="auto"/>
            <w:left w:val="none" w:sz="0" w:space="0" w:color="auto"/>
            <w:bottom w:val="none" w:sz="0" w:space="0" w:color="auto"/>
            <w:right w:val="none" w:sz="0" w:space="0" w:color="auto"/>
          </w:divBdr>
        </w:div>
      </w:divsChild>
    </w:div>
    <w:div w:id="287585631">
      <w:bodyDiv w:val="1"/>
      <w:marLeft w:val="0"/>
      <w:marRight w:val="0"/>
      <w:marTop w:val="0"/>
      <w:marBottom w:val="0"/>
      <w:divBdr>
        <w:top w:val="none" w:sz="0" w:space="0" w:color="auto"/>
        <w:left w:val="none" w:sz="0" w:space="0" w:color="auto"/>
        <w:bottom w:val="none" w:sz="0" w:space="0" w:color="auto"/>
        <w:right w:val="none" w:sz="0" w:space="0" w:color="auto"/>
      </w:divBdr>
    </w:div>
    <w:div w:id="334454406">
      <w:bodyDiv w:val="1"/>
      <w:marLeft w:val="0"/>
      <w:marRight w:val="0"/>
      <w:marTop w:val="0"/>
      <w:marBottom w:val="0"/>
      <w:divBdr>
        <w:top w:val="none" w:sz="0" w:space="0" w:color="auto"/>
        <w:left w:val="none" w:sz="0" w:space="0" w:color="auto"/>
        <w:bottom w:val="none" w:sz="0" w:space="0" w:color="auto"/>
        <w:right w:val="none" w:sz="0" w:space="0" w:color="auto"/>
      </w:divBdr>
      <w:divsChild>
        <w:div w:id="970793707">
          <w:marLeft w:val="0"/>
          <w:marRight w:val="0"/>
          <w:marTop w:val="0"/>
          <w:marBottom w:val="0"/>
          <w:divBdr>
            <w:top w:val="none" w:sz="0" w:space="0" w:color="auto"/>
            <w:left w:val="none" w:sz="0" w:space="0" w:color="auto"/>
            <w:bottom w:val="none" w:sz="0" w:space="0" w:color="auto"/>
            <w:right w:val="none" w:sz="0" w:space="0" w:color="auto"/>
          </w:divBdr>
        </w:div>
        <w:div w:id="330107606">
          <w:marLeft w:val="0"/>
          <w:marRight w:val="0"/>
          <w:marTop w:val="0"/>
          <w:marBottom w:val="0"/>
          <w:divBdr>
            <w:top w:val="none" w:sz="0" w:space="0" w:color="auto"/>
            <w:left w:val="none" w:sz="0" w:space="0" w:color="auto"/>
            <w:bottom w:val="none" w:sz="0" w:space="0" w:color="auto"/>
            <w:right w:val="none" w:sz="0" w:space="0" w:color="auto"/>
          </w:divBdr>
        </w:div>
        <w:div w:id="862594848">
          <w:marLeft w:val="0"/>
          <w:marRight w:val="0"/>
          <w:marTop w:val="0"/>
          <w:marBottom w:val="0"/>
          <w:divBdr>
            <w:top w:val="none" w:sz="0" w:space="0" w:color="auto"/>
            <w:left w:val="none" w:sz="0" w:space="0" w:color="auto"/>
            <w:bottom w:val="none" w:sz="0" w:space="0" w:color="auto"/>
            <w:right w:val="none" w:sz="0" w:space="0" w:color="auto"/>
          </w:divBdr>
        </w:div>
      </w:divsChild>
    </w:div>
    <w:div w:id="1019506860">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292245991">
      <w:bodyDiv w:val="1"/>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703047736">
      <w:bodyDiv w:val="1"/>
      <w:marLeft w:val="0"/>
      <w:marRight w:val="0"/>
      <w:marTop w:val="0"/>
      <w:marBottom w:val="0"/>
      <w:divBdr>
        <w:top w:val="none" w:sz="0" w:space="0" w:color="auto"/>
        <w:left w:val="none" w:sz="0" w:space="0" w:color="auto"/>
        <w:bottom w:val="none" w:sz="0" w:space="0" w:color="auto"/>
        <w:right w:val="none" w:sz="0" w:space="0" w:color="auto"/>
      </w:divBdr>
    </w:div>
    <w:div w:id="17291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2105-CC00-4A29-9282-3326EAFC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1448</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74608387</cp:lastModifiedBy>
  <cp:revision>11</cp:revision>
  <cp:lastPrinted>2020-08-04T07:06:00Z</cp:lastPrinted>
  <dcterms:created xsi:type="dcterms:W3CDTF">2020-03-24T11:18:00Z</dcterms:created>
  <dcterms:modified xsi:type="dcterms:W3CDTF">2020-08-24T15:04:00Z</dcterms:modified>
</cp:coreProperties>
</file>