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C4" w:rsidRPr="00DE02C4" w:rsidRDefault="00DE02C4" w:rsidP="00DE02C4">
      <w:pPr>
        <w:keepNext/>
        <w:spacing w:after="0" w:line="240" w:lineRule="auto"/>
        <w:ind w:left="708" w:hanging="708"/>
        <w:jc w:val="both"/>
        <w:outlineLvl w:val="0"/>
        <w:rPr>
          <w:rFonts w:ascii="Arial" w:eastAsia="Times New Roman" w:hAnsi="Arial" w:cs="Arial"/>
          <w:b/>
          <w:bCs/>
          <w:noProof w:val="0"/>
          <w:color w:val="FF0000"/>
          <w:szCs w:val="24"/>
        </w:rPr>
      </w:pPr>
      <w:r w:rsidRPr="00DE02C4">
        <w:rPr>
          <w:rFonts w:ascii="Times New Roman" w:eastAsia="Times New Roman" w:hAnsi="Times New Roman"/>
          <w:b/>
          <w:bCs/>
          <w:sz w:val="24"/>
          <w:szCs w:val="24"/>
          <w:lang w:eastAsia="ro-RO"/>
        </w:rPr>
        <w:drawing>
          <wp:anchor distT="0" distB="0" distL="114300" distR="114300" simplePos="0" relativeHeight="251661312" behindDoc="0" locked="0" layoutInCell="1" allowOverlap="1" wp14:anchorId="29FB2C3A" wp14:editId="23DC7B13">
            <wp:simplePos x="0" y="0"/>
            <wp:positionH relativeFrom="leftMargin">
              <wp:posOffset>309245</wp:posOffset>
            </wp:positionH>
            <wp:positionV relativeFrom="paragraph">
              <wp:posOffset>0</wp:posOffset>
            </wp:positionV>
            <wp:extent cx="790575" cy="7715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90575" cy="771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Franklin Gothic Medium" w:eastAsia="Times New Roman" w:hAnsi="Franklin Gothic Medium"/>
          <w:b/>
          <w:noProof w:val="0"/>
          <w:spacing w:val="20"/>
          <w:sz w:val="32"/>
          <w:szCs w:val="32"/>
          <w:lang w:val="fr-FR" w:eastAsia="ro-RO"/>
        </w:rPr>
        <w:t>MINISTERUL FINANȚELOR PUBLICE</w:t>
      </w:r>
    </w:p>
    <w:p w:rsidR="00DE02C4" w:rsidRPr="00DE02C4" w:rsidRDefault="00DE02C4" w:rsidP="00DE02C4">
      <w:pPr>
        <w:spacing w:after="0" w:line="240" w:lineRule="auto"/>
        <w:ind w:left="708" w:hanging="708"/>
        <w:jc w:val="both"/>
        <w:rPr>
          <w:rFonts w:ascii="Arial" w:eastAsia="Times New Roman" w:hAnsi="Arial" w:cs="Arial"/>
          <w:bCs/>
          <w:noProof w:val="0"/>
          <w:color w:val="FF0000"/>
          <w:sz w:val="24"/>
          <w:szCs w:val="24"/>
        </w:rPr>
      </w:pPr>
      <w:r w:rsidRPr="00DE02C4">
        <w:rPr>
          <w:rFonts w:ascii="Arial" w:eastAsia="Times New Roman" w:hAnsi="Arial"/>
          <w:b/>
          <w:bCs/>
          <w:color w:val="FF0000"/>
          <w:szCs w:val="24"/>
          <w:u w:val="single"/>
          <w:lang w:eastAsia="ro-RO"/>
        </w:rPr>
        <mc:AlternateContent>
          <mc:Choice Requires="wps">
            <w:drawing>
              <wp:anchor distT="0" distB="0" distL="114300" distR="114300" simplePos="0" relativeHeight="251659264" behindDoc="0" locked="0" layoutInCell="1" allowOverlap="1" wp14:anchorId="5C6A3EC0" wp14:editId="72F62416">
                <wp:simplePos x="0" y="0"/>
                <wp:positionH relativeFrom="margin">
                  <wp:align>right</wp:align>
                </wp:positionH>
                <wp:positionV relativeFrom="paragraph">
                  <wp:posOffset>79376</wp:posOffset>
                </wp:positionV>
                <wp:extent cx="596265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2C4" w:rsidRPr="00A92DA1" w:rsidRDefault="00DE02C4" w:rsidP="00DE02C4">
                            <w:pPr>
                              <w:spacing w:line="240" w:lineRule="auto"/>
                              <w:rPr>
                                <w:rFonts w:ascii="Franklin Gothic Medium" w:hAnsi="Franklin Gothic Medium" w:cs="Arial"/>
                                <w:sz w:val="32"/>
                                <w:szCs w:val="32"/>
                                <w:lang w:val="fr-FR"/>
                              </w:rPr>
                            </w:pPr>
                            <w:r>
                              <w:rPr>
                                <w:rFonts w:ascii="Franklin Gothic Medium" w:hAnsi="Franklin Gothic Medium" w:cs="Arial"/>
                                <w:sz w:val="32"/>
                                <w:szCs w:val="32"/>
                                <w:lang w:val="fr-FR"/>
                              </w:rPr>
                              <w:t>Direcţia generală de sinteză a politicilor bugetare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6A3EC0" id="_x0000_t202" coordsize="21600,21600" o:spt="202" path="m,l,21600r21600,l21600,xe">
                <v:stroke joinstyle="miter"/>
                <v:path gradientshapeok="t" o:connecttype="rect"/>
              </v:shapetype>
              <v:shape id="Text Box 3" o:spid="_x0000_s1026" type="#_x0000_t202" style="position:absolute;left:0;text-align:left;margin-left:418.3pt;margin-top:6.25pt;width:469.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7sgQ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" stroked="f">
                <v:textbox>
                  <w:txbxContent>
                    <w:p w:rsidR="00DE02C4" w:rsidRPr="00A92DA1" w:rsidRDefault="00DE02C4" w:rsidP="00DE02C4">
                      <w:pPr>
                        <w:spacing w:line="240" w:lineRule="auto"/>
                        <w:rPr>
                          <w:rFonts w:ascii="Franklin Gothic Medium" w:hAnsi="Franklin Gothic Medium" w:cs="Arial"/>
                          <w:sz w:val="32"/>
                          <w:szCs w:val="32"/>
                          <w:lang w:val="fr-FR"/>
                        </w:rPr>
                      </w:pPr>
                      <w:r>
                        <w:rPr>
                          <w:rFonts w:ascii="Franklin Gothic Medium" w:hAnsi="Franklin Gothic Medium" w:cs="Arial"/>
                          <w:sz w:val="32"/>
                          <w:szCs w:val="32"/>
                          <w:lang w:val="fr-FR"/>
                        </w:rPr>
                        <w:t>Direcţia generală de sinteză a politicilor bugetare</w:t>
                      </w:r>
                    </w:p>
                  </w:txbxContent>
                </v:textbox>
                <w10:wrap anchorx="margin"/>
              </v:shape>
            </w:pict>
          </mc:Fallback>
        </mc:AlternateContent>
      </w:r>
    </w:p>
    <w:p w:rsidR="00DE02C4" w:rsidRPr="00DE02C4" w:rsidRDefault="00DE02C4" w:rsidP="00DE02C4">
      <w:pPr>
        <w:spacing w:after="0" w:line="240" w:lineRule="auto"/>
        <w:ind w:left="708" w:hanging="708"/>
        <w:jc w:val="both"/>
        <w:rPr>
          <w:rFonts w:ascii="Arial" w:eastAsia="Times New Roman" w:hAnsi="Arial" w:cs="Arial"/>
          <w:bCs/>
          <w:noProof w:val="0"/>
          <w:sz w:val="24"/>
          <w:szCs w:val="24"/>
        </w:rPr>
      </w:pPr>
    </w:p>
    <w:p w:rsidR="00DE02C4" w:rsidRDefault="00DE02C4" w:rsidP="00DE02C4">
      <w:pPr>
        <w:spacing w:after="0" w:line="240" w:lineRule="auto"/>
        <w:ind w:left="708" w:hanging="708"/>
        <w:jc w:val="both"/>
        <w:rPr>
          <w:rFonts w:ascii="Arial" w:eastAsia="Times New Roman" w:hAnsi="Arial" w:cs="Arial"/>
          <w:bCs/>
          <w:noProof w:val="0"/>
          <w:sz w:val="24"/>
          <w:szCs w:val="24"/>
        </w:rPr>
      </w:pPr>
    </w:p>
    <w:p w:rsidR="00DE02C4" w:rsidRDefault="00DE02C4" w:rsidP="00DE02C4">
      <w:pPr>
        <w:spacing w:after="0" w:line="240" w:lineRule="auto"/>
        <w:ind w:left="708" w:hanging="708"/>
        <w:jc w:val="both"/>
        <w:rPr>
          <w:rFonts w:ascii="Arial" w:eastAsia="Times New Roman" w:hAnsi="Arial" w:cs="Arial"/>
          <w:bCs/>
          <w:noProof w:val="0"/>
          <w:sz w:val="24"/>
          <w:szCs w:val="24"/>
        </w:rPr>
      </w:pPr>
    </w:p>
    <w:p w:rsidR="00114951" w:rsidRDefault="00114951" w:rsidP="00DE02C4">
      <w:pPr>
        <w:spacing w:after="0" w:line="240" w:lineRule="auto"/>
        <w:ind w:left="708" w:hanging="708"/>
        <w:jc w:val="both"/>
        <w:rPr>
          <w:rFonts w:ascii="Arial" w:eastAsia="Times New Roman" w:hAnsi="Arial" w:cs="Arial"/>
          <w:bCs/>
          <w:noProof w:val="0"/>
          <w:sz w:val="24"/>
          <w:szCs w:val="24"/>
        </w:rPr>
      </w:pPr>
    </w:p>
    <w:p w:rsidR="000638D8" w:rsidRDefault="000638D8" w:rsidP="00DE02C4">
      <w:pPr>
        <w:spacing w:after="0" w:line="240" w:lineRule="auto"/>
        <w:ind w:left="708" w:hanging="708"/>
        <w:jc w:val="both"/>
        <w:rPr>
          <w:rFonts w:ascii="Arial" w:eastAsia="Times New Roman" w:hAnsi="Arial" w:cs="Arial"/>
          <w:bCs/>
          <w:noProof w:val="0"/>
          <w:sz w:val="24"/>
          <w:szCs w:val="24"/>
        </w:rPr>
      </w:pPr>
      <w:bookmarkStart w:id="0" w:name="_GoBack"/>
      <w:bookmarkEnd w:id="0"/>
    </w:p>
    <w:p w:rsidR="000638D8" w:rsidRDefault="000638D8" w:rsidP="00DE02C4">
      <w:pPr>
        <w:spacing w:after="0" w:line="240" w:lineRule="auto"/>
        <w:ind w:left="708" w:hanging="708"/>
        <w:jc w:val="both"/>
        <w:rPr>
          <w:rFonts w:ascii="Arial" w:eastAsia="Times New Roman" w:hAnsi="Arial" w:cs="Arial"/>
          <w:bCs/>
          <w:noProof w:val="0"/>
          <w:sz w:val="24"/>
          <w:szCs w:val="24"/>
        </w:rPr>
      </w:pPr>
    </w:p>
    <w:p w:rsidR="00DE02C4" w:rsidRPr="00DE02C4" w:rsidRDefault="00DE02C4" w:rsidP="00DE02C4">
      <w:pPr>
        <w:autoSpaceDE w:val="0"/>
        <w:autoSpaceDN w:val="0"/>
        <w:adjustRightInd w:val="0"/>
        <w:spacing w:after="0"/>
        <w:jc w:val="center"/>
        <w:rPr>
          <w:rFonts w:ascii="Arial" w:eastAsia="Times New Roman" w:hAnsi="Arial" w:cs="Arial"/>
          <w:b/>
          <w:i/>
          <w:noProof w:val="0"/>
          <w:sz w:val="24"/>
          <w:szCs w:val="24"/>
          <w:lang w:eastAsia="zh-CN" w:bidi="hi-IN"/>
        </w:rPr>
      </w:pPr>
      <w:r w:rsidRPr="00DE02C4">
        <w:rPr>
          <w:rFonts w:ascii="Arial" w:eastAsia="Times New Roman" w:hAnsi="Arial" w:cs="Arial"/>
          <w:b/>
          <w:i/>
          <w:noProof w:val="0"/>
          <w:sz w:val="24"/>
          <w:szCs w:val="24"/>
          <w:lang w:eastAsia="zh-CN" w:bidi="hi-IN"/>
        </w:rPr>
        <w:t>REFERAT DE APROBARE</w:t>
      </w:r>
    </w:p>
    <w:p w:rsidR="00DE02C4" w:rsidRPr="00DE02C4" w:rsidRDefault="00DE02C4" w:rsidP="00DE02C4">
      <w:pPr>
        <w:autoSpaceDE w:val="0"/>
        <w:autoSpaceDN w:val="0"/>
        <w:adjustRightInd w:val="0"/>
        <w:spacing w:after="0"/>
        <w:jc w:val="center"/>
        <w:rPr>
          <w:rFonts w:ascii="Arial" w:eastAsia="Times New Roman" w:hAnsi="Arial" w:cs="Arial"/>
          <w:b/>
          <w:i/>
          <w:noProof w:val="0"/>
          <w:sz w:val="24"/>
          <w:szCs w:val="24"/>
          <w:lang w:eastAsia="zh-CN" w:bidi="hi-IN"/>
        </w:rPr>
      </w:pPr>
      <w:r w:rsidRPr="00DE02C4">
        <w:rPr>
          <w:rFonts w:ascii="Arial" w:eastAsia="Times New Roman" w:hAnsi="Arial" w:cs="Arial"/>
          <w:b/>
          <w:i/>
          <w:noProof w:val="0"/>
          <w:sz w:val="24"/>
          <w:szCs w:val="24"/>
          <w:lang w:eastAsia="zh-CN" w:bidi="hi-IN"/>
        </w:rPr>
        <w:t>a proiectului de</w:t>
      </w:r>
      <w:r w:rsidRPr="00DE02C4">
        <w:rPr>
          <w:rFonts w:ascii="Arial" w:eastAsia="Times New Roman" w:hAnsi="Arial" w:cs="Arial"/>
          <w:i/>
          <w:noProof w:val="0"/>
          <w:sz w:val="24"/>
          <w:szCs w:val="24"/>
          <w:lang w:eastAsia="zh-CN" w:bidi="hi-IN"/>
        </w:rPr>
        <w:t xml:space="preserve"> </w:t>
      </w:r>
      <w:r w:rsidRPr="00DE02C4">
        <w:rPr>
          <w:rFonts w:ascii="Arial" w:eastAsia="Times New Roman" w:hAnsi="Arial" w:cs="Arial"/>
          <w:b/>
          <w:i/>
          <w:noProof w:val="0"/>
          <w:sz w:val="24"/>
          <w:szCs w:val="24"/>
          <w:lang w:eastAsia="zh-CN" w:bidi="hi-IN"/>
        </w:rPr>
        <w:t xml:space="preserve">ordin pentru </w:t>
      </w:r>
      <w:r w:rsidR="00AD48F5">
        <w:rPr>
          <w:rFonts w:ascii="Arial" w:eastAsia="Times New Roman" w:hAnsi="Arial" w:cs="Arial"/>
          <w:b/>
          <w:i/>
          <w:noProof w:val="0"/>
          <w:sz w:val="24"/>
          <w:szCs w:val="24"/>
          <w:lang w:eastAsia="zh-CN" w:bidi="hi-IN"/>
        </w:rPr>
        <w:t xml:space="preserve">modificarea Ordinului nr.1488/3198/2017 pentru </w:t>
      </w:r>
      <w:r w:rsidRPr="00DE02C4">
        <w:rPr>
          <w:rFonts w:ascii="Arial" w:eastAsia="Times New Roman" w:hAnsi="Arial" w:cs="Arial"/>
          <w:b/>
          <w:i/>
          <w:noProof w:val="0"/>
          <w:sz w:val="24"/>
          <w:szCs w:val="24"/>
          <w:lang w:eastAsia="zh-CN" w:bidi="hi-IN"/>
        </w:rPr>
        <w:t>aprobarea Normelor metodologice de aplicare a Ordonanţei de urgenţă a Guvernului nr. 52/2017 privind restituirea sumelor reprezentând taxa</w:t>
      </w:r>
      <w:r w:rsidR="00AD48F5">
        <w:rPr>
          <w:rFonts w:ascii="Arial" w:eastAsia="Times New Roman" w:hAnsi="Arial" w:cs="Arial"/>
          <w:b/>
          <w:i/>
          <w:noProof w:val="0"/>
          <w:sz w:val="24"/>
          <w:szCs w:val="24"/>
          <w:lang w:eastAsia="zh-CN" w:bidi="hi-IN"/>
        </w:rPr>
        <w:t xml:space="preserve"> </w:t>
      </w:r>
      <w:r w:rsidRPr="00DE02C4">
        <w:rPr>
          <w:rFonts w:ascii="Arial" w:eastAsia="Times New Roman" w:hAnsi="Arial" w:cs="Arial"/>
          <w:b/>
          <w:i/>
          <w:noProof w:val="0"/>
          <w:sz w:val="24"/>
          <w:szCs w:val="24"/>
          <w:lang w:eastAsia="zh-CN" w:bidi="hi-IN"/>
        </w:rPr>
        <w:t>specială pentru autoturisme și autovehicule, taxa pe poluare pentru autovehicule, taxa pentru emisiile poluante provenite de la autovehicule și timbrul de mediu pentru autovehicule</w:t>
      </w:r>
    </w:p>
    <w:p w:rsidR="00DE02C4" w:rsidRPr="00DE02C4" w:rsidRDefault="00DE02C4" w:rsidP="00DE02C4">
      <w:pPr>
        <w:suppressAutoHyphens/>
        <w:spacing w:after="0" w:line="240" w:lineRule="auto"/>
        <w:rPr>
          <w:rFonts w:ascii="Arial" w:eastAsia="Times New Roman" w:hAnsi="Arial" w:cs="Arial"/>
          <w:noProof w:val="0"/>
          <w:sz w:val="24"/>
          <w:szCs w:val="24"/>
          <w:lang w:eastAsia="zh-CN" w:bidi="hi-IN"/>
        </w:rPr>
      </w:pPr>
    </w:p>
    <w:p w:rsidR="00DE02C4" w:rsidRDefault="00DE02C4" w:rsidP="00DE02C4">
      <w:pPr>
        <w:autoSpaceDE w:val="0"/>
        <w:autoSpaceDN w:val="0"/>
        <w:adjustRightInd w:val="0"/>
        <w:spacing w:after="0" w:line="240" w:lineRule="auto"/>
        <w:jc w:val="both"/>
        <w:rPr>
          <w:rFonts w:ascii="Arial" w:hAnsi="Arial" w:cs="Arial"/>
          <w:sz w:val="24"/>
          <w:szCs w:val="24"/>
        </w:rPr>
      </w:pPr>
    </w:p>
    <w:p w:rsidR="00CB6235" w:rsidRDefault="00CB6235" w:rsidP="00CB6235">
      <w:pPr>
        <w:autoSpaceDE w:val="0"/>
        <w:autoSpaceDN w:val="0"/>
        <w:adjustRightInd w:val="0"/>
        <w:spacing w:before="120" w:after="0" w:line="240" w:lineRule="auto"/>
        <w:jc w:val="both"/>
        <w:rPr>
          <w:rFonts w:ascii="Arial" w:eastAsiaTheme="minorHAnsi" w:hAnsi="Arial" w:cs="Arial"/>
          <w:b/>
          <w:bCs/>
          <w:i/>
          <w:iCs/>
          <w:noProof w:val="0"/>
          <w:sz w:val="24"/>
          <w:szCs w:val="24"/>
          <w:lang w:val="x-none"/>
        </w:rPr>
      </w:pPr>
      <w:r>
        <w:rPr>
          <w:rFonts w:ascii="Arial" w:eastAsiaTheme="minorHAnsi" w:hAnsi="Arial" w:cs="Arial"/>
          <w:noProof w:val="0"/>
          <w:sz w:val="24"/>
          <w:szCs w:val="24"/>
          <w:lang w:val="x-none"/>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 </w:t>
      </w:r>
      <w:r>
        <w:rPr>
          <w:rFonts w:ascii="Arial" w:eastAsiaTheme="minorHAnsi" w:hAnsi="Arial" w:cs="Arial"/>
          <w:b/>
          <w:bCs/>
          <w:i/>
          <w:iCs/>
          <w:noProof w:val="0"/>
          <w:sz w:val="24"/>
          <w:szCs w:val="24"/>
          <w:lang w:val="x-none"/>
        </w:rPr>
        <w:t>proiectului de ordin pentru modificarea Ordinului nr.1488/3198/2017 pentru aprobarea Normelor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Prin Ordinul comun al viceprim-ministrului, ministrul mediului și al ministrului finanțelor publice nr.1488/3198/2017, emis în baza prevederilor Ordonanței de urgență a Guvernului nr.52/2017 privind restituirea sumelor reprezentând taxa specială pentru autoturisme și autovehicule, taxa pe poluare pentru autovehicule, taxa pentru emisiile poluante provenite de la autovehicule și timbrul de mediu pentru autovehicule, au fost aprobate Normele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Ordonanţa de urgenţă a Guvernului nr. 52/2017 a fost modificată prin Ordonanţa de urgență a Guvernului nr.25/2018 privind modificarea şi completarea unor acte normative, precum şi pentru aprobarea unor măsuri fiscal-bugetare, publicată în Monitorul Oficial al României nr.291 din 30 martie 2018.</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 xml:space="preserve">Modificarea reglementată constă în eliminarea obligației de a anexa la cererea de restituire a documentului doveditor al plății taxelor auto/timbrului de mediu, precum și a copiilor cărții de identitate a autovehiculului și a certificatului de înmatriculare. </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Scopul măsurilor a fost simplificarea procedurilor administrative de restituire a sumelor reprezentând taxa specială pentru autoturisme și autovehicule, taxa pe poluare pentru autovehicule, taxa pentru emisiile poluante provenite de la autovehicule și timbrul de mediu pentru autovehicule.</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Modificarea reglementată impune și modificarea Ordinului nr.1488/3198/2017.</w:t>
      </w:r>
    </w:p>
    <w:p w:rsidR="00335783" w:rsidRPr="00DF0B3F" w:rsidRDefault="00335783" w:rsidP="00CB6235">
      <w:pPr>
        <w:autoSpaceDE w:val="0"/>
        <w:autoSpaceDN w:val="0"/>
        <w:adjustRightInd w:val="0"/>
        <w:spacing w:before="120" w:after="0" w:line="240" w:lineRule="auto"/>
        <w:jc w:val="both"/>
        <w:rPr>
          <w:rFonts w:ascii="Arial" w:eastAsiaTheme="minorHAnsi" w:hAnsi="Arial" w:cs="Arial"/>
          <w:noProof w:val="0"/>
          <w:sz w:val="24"/>
          <w:szCs w:val="24"/>
        </w:rPr>
      </w:pPr>
      <w:r w:rsidRPr="00DF0B3F">
        <w:rPr>
          <w:rFonts w:ascii="Arial" w:eastAsiaTheme="minorHAnsi" w:hAnsi="Arial" w:cs="Arial"/>
          <w:noProof w:val="0"/>
          <w:sz w:val="24"/>
          <w:szCs w:val="24"/>
        </w:rPr>
        <w:t xml:space="preserve">Pentru corelarea cu propunerea de modificare introdusă prin ordinul de modificare a modelului de cerere privind restituirea sumelor reprezentând taxa specială pentru autoturisme şi autovehicule, taxa pe poluare pentru autovehicule, taxa pentru emisiile </w:t>
      </w:r>
      <w:r w:rsidRPr="00DF0B3F">
        <w:rPr>
          <w:rFonts w:ascii="Arial" w:eastAsiaTheme="minorHAnsi" w:hAnsi="Arial" w:cs="Arial"/>
          <w:noProof w:val="0"/>
          <w:sz w:val="24"/>
          <w:szCs w:val="24"/>
        </w:rPr>
        <w:lastRenderedPageBreak/>
        <w:t>poluante provenite de la autovehicule şi timbrul de mediu pentru autovehicule, au fost modificate subpct.2.1, 2.7 și 2.10 din Anexa nr.1, prin înlocuirea referirilor la ”seria cărții de identitate” cu ”numărul de identificare”.</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 xml:space="preserve">În conformitate cu prevederile subpct. 3.4 din Anexa 1 Norme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 «restituirea sumelor prevăzute la pct. 1 subpct. 1.1 lit. b) - d) şi a dobânzilor aferente calculate până la data plăţii se fac din bugetul Fondului pentru mediu, din contul de venituri 20.I.16.09.00 "Timbrul de mediu pentru autovehicule", </w:t>
      </w:r>
      <w:r>
        <w:rPr>
          <w:rFonts w:ascii="Arial" w:eastAsiaTheme="minorHAnsi" w:hAnsi="Arial" w:cs="Arial"/>
          <w:b/>
          <w:bCs/>
          <w:noProof w:val="0"/>
          <w:sz w:val="24"/>
          <w:szCs w:val="24"/>
          <w:lang w:val="x-none"/>
        </w:rPr>
        <w:t>codificat cu codul de identificare fiscală al contribuabililor</w:t>
      </w:r>
      <w:r>
        <w:rPr>
          <w:rFonts w:ascii="Arial" w:eastAsiaTheme="minorHAnsi" w:hAnsi="Arial" w:cs="Arial"/>
          <w:noProof w:val="0"/>
          <w:sz w:val="24"/>
          <w:szCs w:val="24"/>
          <w:lang w:val="x-none"/>
        </w:rPr>
        <w:t>». Totodată, bugetul Fondului pentru mediu este gestionat de Administrația Fondului pentru Mediu prin conturi de venituri bugetare (20.I.clasificație bugetară) și respectiv cheltuieli bugetare (23.I. clasificație bugetară) deschise la Trezoreria statului sector 6. Față de acestea, se propune modificarea corespunzătoare a subpct. 3.4 în sensul înlocuirii în cuprinsul acestuia a sintagmei «</w:t>
      </w:r>
      <w:r>
        <w:rPr>
          <w:rFonts w:ascii="Arial" w:eastAsiaTheme="minorHAnsi" w:hAnsi="Arial" w:cs="Arial"/>
          <w:b/>
          <w:bCs/>
          <w:noProof w:val="0"/>
          <w:sz w:val="24"/>
          <w:szCs w:val="24"/>
          <w:lang w:val="x-none"/>
        </w:rPr>
        <w:t>codificat cu codul de identificare fiscală al contribuabililor</w:t>
      </w:r>
      <w:r>
        <w:rPr>
          <w:rFonts w:ascii="Arial" w:eastAsiaTheme="minorHAnsi" w:hAnsi="Arial" w:cs="Arial"/>
          <w:noProof w:val="0"/>
          <w:sz w:val="24"/>
          <w:szCs w:val="24"/>
          <w:lang w:val="x-none"/>
        </w:rPr>
        <w:t>» cu sintagma «</w:t>
      </w:r>
      <w:r>
        <w:rPr>
          <w:rFonts w:ascii="Arial" w:eastAsiaTheme="minorHAnsi" w:hAnsi="Arial" w:cs="Arial"/>
          <w:b/>
          <w:bCs/>
          <w:noProof w:val="0"/>
          <w:sz w:val="24"/>
          <w:szCs w:val="24"/>
          <w:lang w:val="x-none"/>
        </w:rPr>
        <w:t>codificat cu codul de identificare fiscală al Administrației Fondului pentru mediu</w:t>
      </w:r>
      <w:r>
        <w:rPr>
          <w:rFonts w:ascii="Arial" w:eastAsiaTheme="minorHAnsi" w:hAnsi="Arial" w:cs="Arial"/>
          <w:noProof w:val="0"/>
          <w:sz w:val="24"/>
          <w:szCs w:val="24"/>
          <w:lang w:val="x-none"/>
        </w:rPr>
        <w:t>».</w:t>
      </w:r>
    </w:p>
    <w:p w:rsidR="00CB6235" w:rsidRDefault="00CB6235" w:rsidP="00CB6235">
      <w:pPr>
        <w:autoSpaceDE w:val="0"/>
        <w:autoSpaceDN w:val="0"/>
        <w:adjustRightInd w:val="0"/>
        <w:spacing w:before="120" w:after="0" w:line="240" w:lineRule="auto"/>
        <w:jc w:val="both"/>
        <w:rPr>
          <w:rFonts w:ascii="Arial" w:eastAsiaTheme="minorHAnsi" w:hAnsi="Arial" w:cs="Arial"/>
          <w:noProof w:val="0"/>
          <w:sz w:val="24"/>
          <w:szCs w:val="24"/>
          <w:lang w:val="x-none"/>
        </w:rPr>
      </w:pPr>
      <w:r>
        <w:rPr>
          <w:rFonts w:ascii="Arial" w:eastAsiaTheme="minorHAnsi" w:hAnsi="Arial" w:cs="Arial"/>
          <w:noProof w:val="0"/>
          <w:sz w:val="24"/>
          <w:szCs w:val="24"/>
          <w:lang w:val="x-none"/>
        </w:rPr>
        <w:t xml:space="preserve">De asemenea, ținând cont de faptul că la subpct. 3.4 din Anexa 1 Norme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 se prevede faptul că Administrația Fondului pentru mediu dispune plățile respective din contul de venituri 20.I.16.09.00 ”Timbrul de mediu pentru autovehicule”, se propune </w:t>
      </w:r>
      <w:r>
        <w:rPr>
          <w:rFonts w:ascii="Arial" w:eastAsiaTheme="minorHAnsi" w:hAnsi="Arial" w:cs="Arial"/>
          <w:b/>
          <w:bCs/>
          <w:noProof w:val="0"/>
          <w:sz w:val="24"/>
          <w:szCs w:val="24"/>
          <w:lang w:val="x-none"/>
        </w:rPr>
        <w:t>abrogarea subpct. 3.6</w:t>
      </w:r>
      <w:r>
        <w:rPr>
          <w:rFonts w:ascii="Arial" w:eastAsiaTheme="minorHAnsi" w:hAnsi="Arial" w:cs="Arial"/>
          <w:noProof w:val="0"/>
          <w:sz w:val="24"/>
          <w:szCs w:val="24"/>
          <w:lang w:val="x-none"/>
        </w:rPr>
        <w:t>.</w:t>
      </w:r>
    </w:p>
    <w:p w:rsidR="00CB6235" w:rsidRDefault="00CB6235" w:rsidP="00CB6235">
      <w:pPr>
        <w:autoSpaceDE w:val="0"/>
        <w:autoSpaceDN w:val="0"/>
        <w:adjustRightInd w:val="0"/>
        <w:spacing w:before="120" w:after="0" w:line="240" w:lineRule="auto"/>
        <w:jc w:val="both"/>
        <w:rPr>
          <w:rFonts w:ascii="Arial" w:eastAsiaTheme="minorHAnsi" w:hAnsi="Arial" w:cs="Arial"/>
          <w:b/>
          <w:bCs/>
          <w:i/>
          <w:iCs/>
          <w:noProof w:val="0"/>
          <w:sz w:val="24"/>
          <w:szCs w:val="24"/>
          <w:lang w:val="x-none"/>
        </w:rPr>
      </w:pPr>
      <w:r>
        <w:rPr>
          <w:rFonts w:ascii="Arial" w:eastAsiaTheme="minorHAnsi" w:hAnsi="Arial" w:cs="Arial"/>
          <w:b/>
          <w:bCs/>
          <w:noProof w:val="0"/>
          <w:sz w:val="24"/>
          <w:szCs w:val="24"/>
          <w:lang w:val="x-none"/>
        </w:rPr>
        <w:t>Față de cele prezentate mai sus</w:t>
      </w:r>
      <w:bookmarkStart w:id="1" w:name="Se_recomandă_scoaterea_virgulei_înainte_"/>
      <w:bookmarkEnd w:id="1"/>
      <w:r>
        <w:rPr>
          <w:rFonts w:ascii="Arial" w:eastAsiaTheme="minorHAnsi" w:hAnsi="Arial" w:cs="Arial"/>
          <w:b/>
          <w:bCs/>
          <w:noProof w:val="0"/>
          <w:sz w:val="24"/>
          <w:szCs w:val="24"/>
          <w:lang w:val="x-none"/>
        </w:rPr>
        <w:t xml:space="preserve"> </w:t>
      </w:r>
      <w:r>
        <w:rPr>
          <w:rFonts w:ascii="Arial" w:eastAsiaTheme="minorHAnsi" w:hAnsi="Arial" w:cs="Arial"/>
          <w:b/>
          <w:bCs/>
          <w:i/>
          <w:iCs/>
          <w:noProof w:val="0"/>
          <w:sz w:val="24"/>
          <w:szCs w:val="24"/>
          <w:lang w:val="x-none"/>
        </w:rPr>
        <w:t>a fost elaborat proiectul de ordin pentru modificarea Ordinului nr.1488/3198/2017 aprobarea Normelor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 pe care îl supunem aprobării.</w:t>
      </w:r>
    </w:p>
    <w:p w:rsidR="00DE02C4" w:rsidRPr="006C77BC" w:rsidRDefault="00DE02C4" w:rsidP="00DE02C4">
      <w:pPr>
        <w:spacing w:after="0" w:line="240" w:lineRule="auto"/>
        <w:ind w:left="708" w:right="284" w:hanging="708"/>
        <w:jc w:val="both"/>
        <w:rPr>
          <w:rFonts w:ascii="Arial" w:eastAsia="Times New Roman" w:hAnsi="Arial" w:cs="Arial"/>
          <w:noProof w:val="0"/>
          <w:sz w:val="24"/>
          <w:szCs w:val="24"/>
        </w:rPr>
      </w:pPr>
    </w:p>
    <w:p w:rsidR="00F71EC6" w:rsidRDefault="00F71EC6" w:rsidP="00DE02C4">
      <w:pPr>
        <w:spacing w:after="0" w:line="240" w:lineRule="auto"/>
        <w:ind w:left="708" w:right="284" w:hanging="708"/>
        <w:jc w:val="both"/>
        <w:rPr>
          <w:rFonts w:ascii="Arial" w:eastAsia="Times New Roman" w:hAnsi="Arial" w:cs="Arial"/>
          <w:noProof w:val="0"/>
          <w:sz w:val="24"/>
          <w:szCs w:val="24"/>
        </w:rPr>
      </w:pPr>
    </w:p>
    <w:sectPr w:rsidR="00F71EC6" w:rsidSect="00E07A5C">
      <w:pgSz w:w="11906" w:h="16838"/>
      <w:pgMar w:top="567"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F4"/>
    <w:rsid w:val="000139F4"/>
    <w:rsid w:val="000638D8"/>
    <w:rsid w:val="00114951"/>
    <w:rsid w:val="0014042E"/>
    <w:rsid w:val="00327452"/>
    <w:rsid w:val="00335783"/>
    <w:rsid w:val="00435E4C"/>
    <w:rsid w:val="00446852"/>
    <w:rsid w:val="00507F9B"/>
    <w:rsid w:val="006C77BC"/>
    <w:rsid w:val="007A7AB3"/>
    <w:rsid w:val="008D1D60"/>
    <w:rsid w:val="009614F4"/>
    <w:rsid w:val="009E0615"/>
    <w:rsid w:val="00A35B92"/>
    <w:rsid w:val="00AD48F5"/>
    <w:rsid w:val="00BB39DF"/>
    <w:rsid w:val="00CB5D65"/>
    <w:rsid w:val="00CB6235"/>
    <w:rsid w:val="00D10021"/>
    <w:rsid w:val="00DE02C4"/>
    <w:rsid w:val="00DF0B3F"/>
    <w:rsid w:val="00E07A5C"/>
    <w:rsid w:val="00E517A6"/>
    <w:rsid w:val="00EF7372"/>
    <w:rsid w:val="00F40540"/>
    <w:rsid w:val="00F71E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2E96C-AB47-4119-B8E3-6CCE0EB2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F4"/>
    <w:pPr>
      <w:spacing w:after="200" w:line="276" w:lineRule="auto"/>
    </w:pPr>
    <w:rPr>
      <w:rFonts w:ascii="Calibri" w:eastAsia="Calibri" w:hAnsi="Calibri" w:cs="Times New Roman"/>
      <w:noProof/>
    </w:rPr>
  </w:style>
  <w:style w:type="paragraph" w:styleId="Heading1">
    <w:name w:val="heading 1"/>
    <w:next w:val="Normal"/>
    <w:link w:val="Heading1Char"/>
    <w:uiPriority w:val="9"/>
    <w:qFormat/>
    <w:rsid w:val="009614F4"/>
    <w:pPr>
      <w:keepNext/>
      <w:keepLines/>
      <w:spacing w:after="19" w:line="254" w:lineRule="auto"/>
      <w:ind w:left="705" w:hanging="10"/>
      <w:jc w:val="center"/>
      <w:outlineLvl w:val="0"/>
    </w:pPr>
    <w:rPr>
      <w:rFonts w:ascii="Times New Roman" w:eastAsia="Times New Roman" w:hAnsi="Times New Roman" w:cs="Times New Roman"/>
      <w:b/>
      <w:color w:val="000000"/>
      <w:sz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F4"/>
    <w:rPr>
      <w:rFonts w:ascii="Times New Roman" w:eastAsia="Times New Roman" w:hAnsi="Times New Roman" w:cs="Times New Roman"/>
      <w:b/>
      <w:color w:val="000000"/>
      <w:sz w:val="26"/>
      <w:lang w:eastAsia="ro-RO"/>
    </w:rPr>
  </w:style>
  <w:style w:type="paragraph" w:styleId="BalloonText">
    <w:name w:val="Balloon Text"/>
    <w:basedOn w:val="Normal"/>
    <w:link w:val="BalloonTextChar"/>
    <w:uiPriority w:val="99"/>
    <w:semiHidden/>
    <w:unhideWhenUsed/>
    <w:rsid w:val="00961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F4"/>
    <w:rPr>
      <w:rFonts w:ascii="Segoe UI" w:eastAsia="Calibri" w:hAnsi="Segoe UI" w:cs="Segoe UI"/>
      <w:noProof/>
      <w:sz w:val="18"/>
      <w:szCs w:val="18"/>
    </w:rPr>
  </w:style>
  <w:style w:type="paragraph" w:customStyle="1" w:styleId="CaracterCaracter1">
    <w:name w:val="Caracter Caracter1"/>
    <w:basedOn w:val="Normal"/>
    <w:rsid w:val="00E517A6"/>
    <w:pPr>
      <w:spacing w:after="0" w:line="240" w:lineRule="auto"/>
    </w:pPr>
    <w:rPr>
      <w:rFonts w:ascii="Times New Roman" w:eastAsia="Times New Roman" w:hAnsi="Times New Roman"/>
      <w:noProof w:val="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823</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CLAUDIA-MARIANA IACOB</dc:creator>
  <cp:keywords/>
  <dc:description/>
  <cp:lastModifiedBy>CRISTIAN-NICOLAE MARIN</cp:lastModifiedBy>
  <cp:revision>19</cp:revision>
  <cp:lastPrinted>2017-11-23T10:43:00Z</cp:lastPrinted>
  <dcterms:created xsi:type="dcterms:W3CDTF">2017-11-16T12:18:00Z</dcterms:created>
  <dcterms:modified xsi:type="dcterms:W3CDTF">2018-04-26T14:31:00Z</dcterms:modified>
</cp:coreProperties>
</file>