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1DCB8" w14:textId="0185CECE" w:rsidR="004667AC" w:rsidRPr="00F15754" w:rsidRDefault="00F15754" w:rsidP="00F15754">
      <w:pPr>
        <w:jc w:val="center"/>
        <w:rPr>
          <w:rFonts w:ascii="Trebuchet MS" w:hAnsi="Trebuchet MS"/>
          <w:b/>
          <w:sz w:val="24"/>
          <w:szCs w:val="24"/>
        </w:rPr>
      </w:pPr>
      <w:r w:rsidRPr="00F15754">
        <w:rPr>
          <w:rFonts w:ascii="Trebuchet MS" w:hAnsi="Trebuchet MS"/>
          <w:b/>
          <w:sz w:val="24"/>
          <w:szCs w:val="24"/>
        </w:rPr>
        <w:t>Factori de evaluare</w:t>
      </w:r>
      <w:r>
        <w:rPr>
          <w:rFonts w:ascii="Trebuchet MS" w:hAnsi="Trebuchet MS"/>
          <w:b/>
          <w:sz w:val="24"/>
          <w:szCs w:val="24"/>
        </w:rPr>
        <w:t xml:space="preserve"> </w:t>
      </w:r>
      <w:r w:rsidRPr="00F15754">
        <w:rPr>
          <w:rFonts w:ascii="Trebuchet MS" w:hAnsi="Trebuchet MS"/>
          <w:b/>
          <w:sz w:val="24"/>
          <w:szCs w:val="24"/>
        </w:rPr>
        <w:t>a calității (factori tehnici)</w:t>
      </w:r>
    </w:p>
    <w:bookmarkStart w:id="0" w:name="cod_lucrare" w:displacedByCustomXml="next"/>
    <w:sdt>
      <w:sdtPr>
        <w:rPr>
          <w:rFonts w:ascii="Trebuchet MS" w:hAnsi="Trebuchet MS"/>
          <w:b/>
          <w:sz w:val="24"/>
          <w:szCs w:val="24"/>
        </w:rPr>
        <w:alias w:val="cod lucrare CP"/>
        <w:tag w:val="cod_CP"/>
        <w:id w:val="63301373"/>
        <w:placeholder>
          <w:docPart w:val="C6AE1BFF29624A4585C9E664686ADF2B"/>
        </w:placeholder>
      </w:sdtPr>
      <w:sdtContent>
        <w:p w14:paraId="7EE15B86" w14:textId="71CFB3B4" w:rsidR="00F15754" w:rsidRPr="00F15754" w:rsidRDefault="00F15754" w:rsidP="00F15754">
          <w:pPr>
            <w:widowControl w:val="0"/>
            <w:autoSpaceDE w:val="0"/>
            <w:autoSpaceDN w:val="0"/>
            <w:adjustRightInd w:val="0"/>
            <w:spacing w:after="120" w:line="240" w:lineRule="auto"/>
            <w:jc w:val="center"/>
            <w:rPr>
              <w:rFonts w:ascii="Trebuchet MS" w:hAnsi="Trebuchet MS"/>
              <w:b/>
              <w:sz w:val="24"/>
              <w:szCs w:val="24"/>
            </w:rPr>
          </w:pPr>
          <w:r w:rsidRPr="00F15754">
            <w:rPr>
              <w:rFonts w:ascii="Trebuchet MS" w:hAnsi="Trebuchet MS"/>
              <w:b/>
              <w:sz w:val="24"/>
              <w:szCs w:val="24"/>
            </w:rPr>
            <w:t>2025_PAP_323610_004</w:t>
          </w:r>
          <w:r w:rsidRPr="00F15754">
            <w:rPr>
              <w:rFonts w:ascii="Trebuchet MS" w:hAnsi="Trebuchet MS"/>
              <w:b/>
              <w:sz w:val="24"/>
              <w:szCs w:val="24"/>
            </w:rPr>
            <w:t xml:space="preserve"> </w:t>
          </w:r>
        </w:p>
      </w:sdtContent>
    </w:sdt>
    <w:bookmarkEnd w:id="0" w:displacedByCustomXml="prev"/>
    <w:bookmarkStart w:id="1" w:name="obiect_achizitie"/>
    <w:p w14:paraId="3403B3CA" w14:textId="62C85C41" w:rsidR="00F15754" w:rsidRDefault="00F15754" w:rsidP="00F15754">
      <w:pPr>
        <w:jc w:val="center"/>
        <w:rPr>
          <w:rFonts w:ascii="Trebuchet MS" w:hAnsi="Trebuchet MS"/>
          <w:b/>
          <w:bCs/>
          <w:sz w:val="24"/>
          <w:szCs w:val="24"/>
        </w:rPr>
      </w:pPr>
      <w:sdt>
        <w:sdtPr>
          <w:rPr>
            <w:rFonts w:ascii="Trebuchet MS" w:hAnsi="Trebuchet MS"/>
            <w:b/>
            <w:bCs/>
            <w:sz w:val="24"/>
            <w:szCs w:val="24"/>
          </w:rPr>
          <w:alias w:val="Obiectul achizitiei"/>
          <w:tag w:val="obiectul_achizitiei"/>
          <w:id w:val="1205294118"/>
          <w:placeholder>
            <w:docPart w:val="3E4C8E87936548218807971FBA70CF4D"/>
          </w:placeholder>
        </w:sdtPr>
        <w:sdtContent>
          <w:r w:rsidRPr="00F15754">
            <w:rPr>
              <w:rFonts w:ascii="Trebuchet MS" w:hAnsi="Trebuchet MS"/>
              <w:b/>
              <w:bCs/>
              <w:sz w:val="24"/>
              <w:szCs w:val="24"/>
            </w:rPr>
            <w:t xml:space="preserve">Mobilier </w:t>
          </w:r>
          <w:r w:rsidRPr="00F15754">
            <w:rPr>
              <w:rFonts w:ascii="Trebuchet MS" w:hAnsi="Trebuchet MS" w:cs="Arial"/>
              <w:b/>
              <w:sz w:val="24"/>
              <w:szCs w:val="24"/>
            </w:rPr>
            <w:t>pentru birouri  în cadrul Serviciului de Inspecție Fonduri Europene (SIFE)</w:t>
          </w:r>
        </w:sdtContent>
      </w:sdt>
      <w:bookmarkEnd w:id="1"/>
    </w:p>
    <w:p w14:paraId="37F053FF" w14:textId="1BC275B1" w:rsidR="00F15754" w:rsidRDefault="00F15754" w:rsidP="00F15754">
      <w:pPr>
        <w:jc w:val="center"/>
        <w:rPr>
          <w:rFonts w:ascii="Trebuchet MS" w:hAnsi="Trebuchet MS"/>
          <w:b/>
          <w:sz w:val="24"/>
          <w:szCs w:val="24"/>
        </w:rPr>
      </w:pPr>
      <w:r w:rsidRPr="000F40F9">
        <w:rPr>
          <w:b/>
        </w:rPr>
        <w:t>Lot 1 – Mobilier birou</w:t>
      </w:r>
    </w:p>
    <w:tbl>
      <w:tblPr>
        <w:tblStyle w:val="TableGrid"/>
        <w:tblW w:w="0" w:type="auto"/>
        <w:tblLook w:val="04A0" w:firstRow="1" w:lastRow="0" w:firstColumn="1" w:lastColumn="0" w:noHBand="0" w:noVBand="1"/>
      </w:tblPr>
      <w:tblGrid>
        <w:gridCol w:w="3116"/>
        <w:gridCol w:w="3117"/>
        <w:gridCol w:w="3117"/>
      </w:tblGrid>
      <w:tr w:rsidR="00F15754" w14:paraId="31A95DCA" w14:textId="77777777" w:rsidTr="00F15754">
        <w:tc>
          <w:tcPr>
            <w:tcW w:w="3116" w:type="dxa"/>
          </w:tcPr>
          <w:p w14:paraId="6217AFA2" w14:textId="686F1CFF" w:rsidR="00F15754" w:rsidRPr="00F15754" w:rsidRDefault="00F15754" w:rsidP="00F15754">
            <w:pPr>
              <w:pStyle w:val="BodyText"/>
              <w:jc w:val="left"/>
              <w:rPr>
                <w:rFonts w:cs="Arial"/>
                <w:sz w:val="24"/>
              </w:rPr>
            </w:pPr>
            <w:r w:rsidRPr="00F15754">
              <w:rPr>
                <w:rFonts w:cs="Arial"/>
                <w:sz w:val="24"/>
              </w:rPr>
              <w:t>Factor de evaluare</w:t>
            </w:r>
          </w:p>
        </w:tc>
        <w:tc>
          <w:tcPr>
            <w:tcW w:w="3117" w:type="dxa"/>
          </w:tcPr>
          <w:p w14:paraId="41B9BA96" w14:textId="4AC7F245" w:rsidR="00F15754" w:rsidRPr="00BC045E" w:rsidRDefault="00F15754" w:rsidP="00F15754">
            <w:pPr>
              <w:pStyle w:val="BodyText"/>
              <w:rPr>
                <w:rFonts w:cs="Arial"/>
                <w:sz w:val="24"/>
              </w:rPr>
            </w:pPr>
            <w:r>
              <w:rPr>
                <w:rFonts w:cs="Arial"/>
                <w:sz w:val="24"/>
              </w:rPr>
              <w:t xml:space="preserve">Algoritm de calcul </w:t>
            </w:r>
          </w:p>
        </w:tc>
        <w:tc>
          <w:tcPr>
            <w:tcW w:w="3117" w:type="dxa"/>
          </w:tcPr>
          <w:p w14:paraId="0D37D314" w14:textId="649729FD" w:rsidR="00F15754" w:rsidRDefault="00F15754" w:rsidP="00F15754">
            <w:pPr>
              <w:jc w:val="center"/>
              <w:rPr>
                <w:rFonts w:ascii="Trebuchet MS" w:hAnsi="Trebuchet MS"/>
                <w:b/>
                <w:sz w:val="24"/>
                <w:szCs w:val="24"/>
              </w:rPr>
            </w:pPr>
            <w:r>
              <w:rPr>
                <w:rFonts w:ascii="Trebuchet MS" w:hAnsi="Trebuchet MS"/>
                <w:b/>
                <w:sz w:val="24"/>
                <w:szCs w:val="24"/>
              </w:rPr>
              <w:t>Referință din propunerea tehnică (pag., cap., document justificativ)</w:t>
            </w:r>
          </w:p>
        </w:tc>
      </w:tr>
      <w:tr w:rsidR="00F15754" w14:paraId="50C781DC" w14:textId="77777777" w:rsidTr="00F15754">
        <w:tc>
          <w:tcPr>
            <w:tcW w:w="3116" w:type="dxa"/>
            <w:vMerge w:val="restart"/>
          </w:tcPr>
          <w:p w14:paraId="708EE0B9" w14:textId="77777777" w:rsidR="00F15754" w:rsidRDefault="00F15754" w:rsidP="00F15754">
            <w:pPr>
              <w:pStyle w:val="BodyText"/>
              <w:jc w:val="left"/>
              <w:rPr>
                <w:rFonts w:cs="Arial"/>
                <w:sz w:val="24"/>
                <w:u w:val="single"/>
              </w:rPr>
            </w:pPr>
          </w:p>
          <w:p w14:paraId="7CAA0864" w14:textId="77777777" w:rsidR="00F15754" w:rsidRDefault="00F15754" w:rsidP="00F15754">
            <w:pPr>
              <w:pStyle w:val="BodyText"/>
              <w:jc w:val="left"/>
              <w:rPr>
                <w:rFonts w:cs="Arial"/>
                <w:sz w:val="24"/>
                <w:u w:val="single"/>
              </w:rPr>
            </w:pPr>
          </w:p>
          <w:p w14:paraId="7EF651BC" w14:textId="77777777" w:rsidR="00F15754" w:rsidRDefault="00F15754" w:rsidP="00F15754">
            <w:pPr>
              <w:pStyle w:val="BodyText"/>
              <w:jc w:val="left"/>
              <w:rPr>
                <w:rFonts w:cs="Arial"/>
                <w:sz w:val="24"/>
                <w:u w:val="single"/>
              </w:rPr>
            </w:pPr>
          </w:p>
          <w:p w14:paraId="0F53A3DE" w14:textId="77777777" w:rsidR="00F15754" w:rsidRDefault="00F15754" w:rsidP="00F15754">
            <w:pPr>
              <w:pStyle w:val="BodyText"/>
              <w:jc w:val="left"/>
              <w:rPr>
                <w:rFonts w:cs="Arial"/>
                <w:sz w:val="24"/>
                <w:u w:val="single"/>
              </w:rPr>
            </w:pPr>
          </w:p>
          <w:p w14:paraId="31B95A42" w14:textId="77777777" w:rsidR="00F15754" w:rsidRDefault="00F15754" w:rsidP="00F15754">
            <w:pPr>
              <w:pStyle w:val="BodyText"/>
              <w:jc w:val="left"/>
              <w:rPr>
                <w:rFonts w:cs="Arial"/>
                <w:sz w:val="24"/>
                <w:u w:val="single"/>
              </w:rPr>
            </w:pPr>
          </w:p>
          <w:p w14:paraId="5635079C" w14:textId="77777777" w:rsidR="00F15754" w:rsidRDefault="00F15754" w:rsidP="00F15754">
            <w:pPr>
              <w:pStyle w:val="BodyText"/>
              <w:jc w:val="left"/>
              <w:rPr>
                <w:rFonts w:cs="Arial"/>
                <w:sz w:val="24"/>
                <w:u w:val="single"/>
              </w:rPr>
            </w:pPr>
          </w:p>
          <w:p w14:paraId="6ABAF5D5" w14:textId="77777777" w:rsidR="00F15754" w:rsidRDefault="00F15754" w:rsidP="00F15754">
            <w:pPr>
              <w:pStyle w:val="BodyText"/>
              <w:jc w:val="left"/>
              <w:rPr>
                <w:rFonts w:cs="Arial"/>
                <w:sz w:val="24"/>
                <w:u w:val="single"/>
              </w:rPr>
            </w:pPr>
          </w:p>
          <w:p w14:paraId="40B1E7F4" w14:textId="77777777" w:rsidR="00F15754" w:rsidRDefault="00F15754" w:rsidP="00F15754">
            <w:pPr>
              <w:pStyle w:val="BodyText"/>
              <w:jc w:val="left"/>
              <w:rPr>
                <w:rFonts w:cs="Arial"/>
                <w:sz w:val="24"/>
                <w:u w:val="single"/>
              </w:rPr>
            </w:pPr>
          </w:p>
          <w:p w14:paraId="4C2DD6B2" w14:textId="77777777" w:rsidR="00F15754" w:rsidRDefault="00F15754" w:rsidP="00F15754">
            <w:pPr>
              <w:pStyle w:val="BodyText"/>
              <w:jc w:val="left"/>
              <w:rPr>
                <w:rFonts w:cs="Arial"/>
                <w:sz w:val="24"/>
                <w:u w:val="single"/>
              </w:rPr>
            </w:pPr>
          </w:p>
          <w:p w14:paraId="5ECE446E" w14:textId="041C491F" w:rsidR="00F15754" w:rsidRPr="00BC045E" w:rsidRDefault="00F15754" w:rsidP="00F15754">
            <w:pPr>
              <w:pStyle w:val="BodyText"/>
              <w:jc w:val="left"/>
              <w:rPr>
                <w:rFonts w:cs="Arial"/>
                <w:sz w:val="24"/>
                <w:u w:val="single"/>
              </w:rPr>
            </w:pPr>
            <w:r w:rsidRPr="00BC045E">
              <w:rPr>
                <w:rFonts w:cs="Arial"/>
                <w:sz w:val="24"/>
                <w:u w:val="single"/>
              </w:rPr>
              <w:t>P.1 Emisii de formaldehidă provenite de la panouri pe bază de lemn - maxim 5 puncte</w:t>
            </w:r>
          </w:p>
          <w:p w14:paraId="3E325AD8" w14:textId="77777777" w:rsidR="00F15754" w:rsidRDefault="00F15754" w:rsidP="00F15754">
            <w:pPr>
              <w:jc w:val="center"/>
              <w:rPr>
                <w:rFonts w:ascii="Trebuchet MS" w:hAnsi="Trebuchet MS"/>
                <w:b/>
                <w:sz w:val="24"/>
                <w:szCs w:val="24"/>
              </w:rPr>
            </w:pPr>
          </w:p>
        </w:tc>
        <w:tc>
          <w:tcPr>
            <w:tcW w:w="3117" w:type="dxa"/>
          </w:tcPr>
          <w:p w14:paraId="44FD3F1C" w14:textId="77777777" w:rsidR="00F15754" w:rsidRPr="00BC045E" w:rsidRDefault="00F15754" w:rsidP="00F15754">
            <w:pPr>
              <w:pStyle w:val="BodyText"/>
              <w:rPr>
                <w:rFonts w:cs="Arial"/>
                <w:sz w:val="24"/>
              </w:rPr>
            </w:pPr>
            <w:r w:rsidRPr="00BC045E">
              <w:rPr>
                <w:rFonts w:cs="Arial"/>
                <w:sz w:val="24"/>
              </w:rPr>
              <w:t>a) pentru ofertele în cadrul cărora toate panourile pe bază de lemn utilizate la mobilier se dovedesc a avea valori ale emisiilor de formaldehidă care respectă pragul-limită de 65% pentru emisiile de formaldehidă ce permit încadrarea în categoria E1, conform definiției din anexa B la standardul EN 13986, se acordă 5 puncte.</w:t>
            </w:r>
          </w:p>
          <w:p w14:paraId="2CD3D5C7" w14:textId="77777777" w:rsidR="00F15754" w:rsidRDefault="00F15754" w:rsidP="00F15754">
            <w:pPr>
              <w:jc w:val="center"/>
              <w:rPr>
                <w:rFonts w:ascii="Trebuchet MS" w:hAnsi="Trebuchet MS"/>
                <w:b/>
                <w:sz w:val="24"/>
                <w:szCs w:val="24"/>
              </w:rPr>
            </w:pPr>
          </w:p>
        </w:tc>
        <w:tc>
          <w:tcPr>
            <w:tcW w:w="3117" w:type="dxa"/>
          </w:tcPr>
          <w:p w14:paraId="55BD0DCE" w14:textId="77777777" w:rsidR="00F15754" w:rsidRDefault="00F15754" w:rsidP="00F15754">
            <w:pPr>
              <w:jc w:val="center"/>
              <w:rPr>
                <w:rFonts w:ascii="Trebuchet MS" w:hAnsi="Trebuchet MS"/>
                <w:b/>
                <w:sz w:val="24"/>
                <w:szCs w:val="24"/>
              </w:rPr>
            </w:pPr>
          </w:p>
        </w:tc>
      </w:tr>
      <w:tr w:rsidR="00F15754" w14:paraId="2DBA6FA4" w14:textId="77777777" w:rsidTr="00F15754">
        <w:tc>
          <w:tcPr>
            <w:tcW w:w="3116" w:type="dxa"/>
            <w:vMerge/>
          </w:tcPr>
          <w:p w14:paraId="10CDAF97" w14:textId="77777777" w:rsidR="00F15754" w:rsidRDefault="00F15754" w:rsidP="00F15754">
            <w:pPr>
              <w:jc w:val="center"/>
              <w:rPr>
                <w:rFonts w:ascii="Trebuchet MS" w:hAnsi="Trebuchet MS"/>
                <w:b/>
                <w:sz w:val="24"/>
                <w:szCs w:val="24"/>
              </w:rPr>
            </w:pPr>
          </w:p>
        </w:tc>
        <w:tc>
          <w:tcPr>
            <w:tcW w:w="3117" w:type="dxa"/>
          </w:tcPr>
          <w:p w14:paraId="19776DC0" w14:textId="77777777" w:rsidR="00F15754" w:rsidRPr="00BC045E" w:rsidRDefault="00F15754" w:rsidP="00F15754">
            <w:pPr>
              <w:pStyle w:val="BodyText"/>
              <w:rPr>
                <w:rFonts w:cs="Arial"/>
                <w:sz w:val="24"/>
              </w:rPr>
            </w:pPr>
            <w:r w:rsidRPr="00BC045E">
              <w:rPr>
                <w:rFonts w:cs="Arial"/>
                <w:sz w:val="24"/>
              </w:rPr>
              <w:t>b) pentru ofertele care nu prezintă dovada că toate panourile pe bază de lemn utilizate la mobilier au valori ale emisiilor de formaldehidă care respectă pragul-limită de 65% pentru emisiile de formaldehidă ce permit încadrarea în categoria E1, conform definiției din anexa B la standardul EN 13986, se acordă 0 puncte.</w:t>
            </w:r>
          </w:p>
          <w:p w14:paraId="3DD5DF17" w14:textId="77777777" w:rsidR="00F15754" w:rsidRDefault="00F15754" w:rsidP="00F15754">
            <w:pPr>
              <w:jc w:val="center"/>
              <w:rPr>
                <w:rFonts w:ascii="Trebuchet MS" w:hAnsi="Trebuchet MS"/>
                <w:b/>
                <w:sz w:val="24"/>
                <w:szCs w:val="24"/>
              </w:rPr>
            </w:pPr>
          </w:p>
        </w:tc>
        <w:tc>
          <w:tcPr>
            <w:tcW w:w="3117" w:type="dxa"/>
          </w:tcPr>
          <w:p w14:paraId="50DC47C7" w14:textId="77777777" w:rsidR="00F15754" w:rsidRDefault="00F15754" w:rsidP="00F15754">
            <w:pPr>
              <w:jc w:val="center"/>
              <w:rPr>
                <w:rFonts w:ascii="Trebuchet MS" w:hAnsi="Trebuchet MS"/>
                <w:b/>
                <w:sz w:val="24"/>
                <w:szCs w:val="24"/>
              </w:rPr>
            </w:pPr>
          </w:p>
        </w:tc>
      </w:tr>
      <w:tr w:rsidR="00F15754" w14:paraId="09EA1E8F" w14:textId="77777777" w:rsidTr="00F15754">
        <w:tc>
          <w:tcPr>
            <w:tcW w:w="3116" w:type="dxa"/>
            <w:vMerge w:val="restart"/>
          </w:tcPr>
          <w:p w14:paraId="1FE6F592" w14:textId="77777777" w:rsidR="00F15754" w:rsidRDefault="00F15754" w:rsidP="00F15754">
            <w:pPr>
              <w:pStyle w:val="BodyText"/>
              <w:spacing w:after="0"/>
              <w:contextualSpacing/>
              <w:rPr>
                <w:rFonts w:cs="Arial"/>
                <w:sz w:val="24"/>
                <w:u w:val="single"/>
              </w:rPr>
            </w:pPr>
          </w:p>
          <w:p w14:paraId="768E9034" w14:textId="77777777" w:rsidR="00F15754" w:rsidRDefault="00F15754" w:rsidP="00F15754">
            <w:pPr>
              <w:pStyle w:val="BodyText"/>
              <w:spacing w:after="0"/>
              <w:contextualSpacing/>
              <w:rPr>
                <w:rFonts w:cs="Arial"/>
                <w:sz w:val="24"/>
                <w:u w:val="single"/>
              </w:rPr>
            </w:pPr>
          </w:p>
          <w:p w14:paraId="4C9AC980" w14:textId="77777777" w:rsidR="00F15754" w:rsidRDefault="00F15754" w:rsidP="00F15754">
            <w:pPr>
              <w:pStyle w:val="BodyText"/>
              <w:spacing w:after="0"/>
              <w:contextualSpacing/>
              <w:rPr>
                <w:rFonts w:cs="Arial"/>
                <w:sz w:val="24"/>
                <w:u w:val="single"/>
              </w:rPr>
            </w:pPr>
          </w:p>
          <w:p w14:paraId="1CAB13D2" w14:textId="77777777" w:rsidR="00F15754" w:rsidRDefault="00F15754" w:rsidP="00F15754">
            <w:pPr>
              <w:pStyle w:val="BodyText"/>
              <w:spacing w:after="0"/>
              <w:contextualSpacing/>
              <w:rPr>
                <w:rFonts w:cs="Arial"/>
                <w:sz w:val="24"/>
                <w:u w:val="single"/>
              </w:rPr>
            </w:pPr>
          </w:p>
          <w:p w14:paraId="05161933" w14:textId="77777777" w:rsidR="00F15754" w:rsidRDefault="00F15754" w:rsidP="00F15754">
            <w:pPr>
              <w:pStyle w:val="BodyText"/>
              <w:spacing w:after="0"/>
              <w:contextualSpacing/>
              <w:rPr>
                <w:rFonts w:cs="Arial"/>
                <w:sz w:val="24"/>
                <w:u w:val="single"/>
              </w:rPr>
            </w:pPr>
          </w:p>
          <w:p w14:paraId="69F6CC10" w14:textId="77777777" w:rsidR="00F15754" w:rsidRDefault="00F15754" w:rsidP="00F15754">
            <w:pPr>
              <w:pStyle w:val="BodyText"/>
              <w:spacing w:after="0"/>
              <w:contextualSpacing/>
              <w:rPr>
                <w:rFonts w:cs="Arial"/>
                <w:sz w:val="24"/>
                <w:u w:val="single"/>
              </w:rPr>
            </w:pPr>
          </w:p>
          <w:p w14:paraId="50F2AA3E" w14:textId="77777777" w:rsidR="00F15754" w:rsidRDefault="00F15754" w:rsidP="00F15754">
            <w:pPr>
              <w:pStyle w:val="BodyText"/>
              <w:spacing w:after="0"/>
              <w:contextualSpacing/>
              <w:rPr>
                <w:rFonts w:cs="Arial"/>
                <w:sz w:val="24"/>
                <w:u w:val="single"/>
              </w:rPr>
            </w:pPr>
          </w:p>
          <w:p w14:paraId="467BFB7C" w14:textId="77777777" w:rsidR="00F15754" w:rsidRDefault="00F15754" w:rsidP="00F15754">
            <w:pPr>
              <w:pStyle w:val="BodyText"/>
              <w:spacing w:after="0"/>
              <w:contextualSpacing/>
              <w:rPr>
                <w:rFonts w:cs="Arial"/>
                <w:sz w:val="24"/>
                <w:u w:val="single"/>
              </w:rPr>
            </w:pPr>
          </w:p>
          <w:p w14:paraId="4475408F" w14:textId="77777777" w:rsidR="00F15754" w:rsidRDefault="00F15754" w:rsidP="00F15754">
            <w:pPr>
              <w:pStyle w:val="BodyText"/>
              <w:spacing w:after="0"/>
              <w:contextualSpacing/>
              <w:rPr>
                <w:rFonts w:cs="Arial"/>
                <w:sz w:val="24"/>
                <w:u w:val="single"/>
              </w:rPr>
            </w:pPr>
          </w:p>
          <w:p w14:paraId="1E7236CE" w14:textId="77777777" w:rsidR="00F15754" w:rsidRDefault="00F15754" w:rsidP="00F15754">
            <w:pPr>
              <w:pStyle w:val="BodyText"/>
              <w:spacing w:after="0"/>
              <w:contextualSpacing/>
              <w:rPr>
                <w:rFonts w:cs="Arial"/>
                <w:sz w:val="24"/>
                <w:u w:val="single"/>
              </w:rPr>
            </w:pPr>
          </w:p>
          <w:p w14:paraId="78D4F42F" w14:textId="77777777" w:rsidR="00F15754" w:rsidRDefault="00F15754" w:rsidP="00F15754">
            <w:pPr>
              <w:pStyle w:val="BodyText"/>
              <w:spacing w:after="0"/>
              <w:contextualSpacing/>
              <w:rPr>
                <w:rFonts w:cs="Arial"/>
                <w:sz w:val="24"/>
                <w:u w:val="single"/>
              </w:rPr>
            </w:pPr>
          </w:p>
          <w:p w14:paraId="0C50C007" w14:textId="77777777" w:rsidR="00F15754" w:rsidRDefault="00F15754" w:rsidP="00F15754">
            <w:pPr>
              <w:pStyle w:val="BodyText"/>
              <w:spacing w:after="0"/>
              <w:contextualSpacing/>
              <w:rPr>
                <w:rFonts w:cs="Arial"/>
                <w:sz w:val="24"/>
                <w:u w:val="single"/>
              </w:rPr>
            </w:pPr>
          </w:p>
          <w:p w14:paraId="01853F12" w14:textId="77777777" w:rsidR="00F15754" w:rsidRDefault="00F15754" w:rsidP="00F15754">
            <w:pPr>
              <w:pStyle w:val="BodyText"/>
              <w:spacing w:after="0"/>
              <w:contextualSpacing/>
              <w:rPr>
                <w:rFonts w:cs="Arial"/>
                <w:sz w:val="24"/>
                <w:u w:val="single"/>
              </w:rPr>
            </w:pPr>
          </w:p>
          <w:p w14:paraId="4C74BE68" w14:textId="77777777" w:rsidR="00F15754" w:rsidRDefault="00F15754" w:rsidP="00F15754">
            <w:pPr>
              <w:pStyle w:val="BodyText"/>
              <w:spacing w:after="0"/>
              <w:contextualSpacing/>
              <w:rPr>
                <w:rFonts w:cs="Arial"/>
                <w:sz w:val="24"/>
                <w:u w:val="single"/>
              </w:rPr>
            </w:pPr>
          </w:p>
          <w:p w14:paraId="44B444B0" w14:textId="6FD15347" w:rsidR="00F15754" w:rsidRPr="00BC045E" w:rsidRDefault="00F15754" w:rsidP="00F15754">
            <w:pPr>
              <w:pStyle w:val="BodyText"/>
              <w:spacing w:after="0"/>
              <w:contextualSpacing/>
              <w:rPr>
                <w:rFonts w:cs="Arial"/>
                <w:sz w:val="24"/>
                <w:u w:val="single"/>
              </w:rPr>
            </w:pPr>
            <w:r w:rsidRPr="00BC045E">
              <w:rPr>
                <w:rFonts w:cs="Arial"/>
                <w:sz w:val="24"/>
                <w:u w:val="single"/>
              </w:rPr>
              <w:t>P.2 Ambalaj din material reciclat - maxim 5 puncte</w:t>
            </w:r>
          </w:p>
          <w:p w14:paraId="6459B1F4" w14:textId="77777777" w:rsidR="00F15754" w:rsidRDefault="00F15754" w:rsidP="00F15754">
            <w:pPr>
              <w:jc w:val="center"/>
              <w:rPr>
                <w:rFonts w:ascii="Trebuchet MS" w:hAnsi="Trebuchet MS"/>
                <w:b/>
                <w:sz w:val="24"/>
                <w:szCs w:val="24"/>
              </w:rPr>
            </w:pPr>
          </w:p>
        </w:tc>
        <w:tc>
          <w:tcPr>
            <w:tcW w:w="3117" w:type="dxa"/>
          </w:tcPr>
          <w:p w14:paraId="0D90F906" w14:textId="77777777" w:rsidR="00F15754" w:rsidRPr="00BC045E" w:rsidRDefault="00F15754" w:rsidP="00F15754">
            <w:pPr>
              <w:pStyle w:val="BodyText"/>
              <w:spacing w:after="0"/>
              <w:contextualSpacing/>
              <w:rPr>
                <w:rFonts w:cs="Arial"/>
                <w:sz w:val="24"/>
              </w:rPr>
            </w:pPr>
            <w:r w:rsidRPr="00BC045E">
              <w:rPr>
                <w:rFonts w:cs="Arial"/>
                <w:sz w:val="24"/>
              </w:rPr>
              <w:lastRenderedPageBreak/>
              <w:t xml:space="preserve">a) pentru ofertele care prezintă ambalarea mobilierului livrat în ambalaje compuse din cel puțin 50% material reciclat sau care sunt biodegradabile sau compostabile (ex. cutii din </w:t>
            </w:r>
            <w:r w:rsidRPr="00BC045E">
              <w:rPr>
                <w:rFonts w:cs="Arial"/>
                <w:sz w:val="24"/>
              </w:rPr>
              <w:lastRenderedPageBreak/>
              <w:t>carton, pungi sau folii din plastic pentru ambalarea finală, etc), în conformitate cu definițiile prevăzute în EN 13432, se acordă 5 puncte.</w:t>
            </w:r>
          </w:p>
          <w:p w14:paraId="600CD380" w14:textId="77777777" w:rsidR="00F15754" w:rsidRDefault="00F15754" w:rsidP="00F15754">
            <w:pPr>
              <w:jc w:val="center"/>
              <w:rPr>
                <w:rFonts w:ascii="Trebuchet MS" w:hAnsi="Trebuchet MS"/>
                <w:b/>
                <w:sz w:val="24"/>
                <w:szCs w:val="24"/>
              </w:rPr>
            </w:pPr>
          </w:p>
        </w:tc>
        <w:tc>
          <w:tcPr>
            <w:tcW w:w="3117" w:type="dxa"/>
          </w:tcPr>
          <w:p w14:paraId="671ACAFC" w14:textId="77777777" w:rsidR="00F15754" w:rsidRDefault="00F15754" w:rsidP="00F15754">
            <w:pPr>
              <w:jc w:val="center"/>
              <w:rPr>
                <w:rFonts w:ascii="Trebuchet MS" w:hAnsi="Trebuchet MS"/>
                <w:b/>
                <w:sz w:val="24"/>
                <w:szCs w:val="24"/>
              </w:rPr>
            </w:pPr>
          </w:p>
        </w:tc>
      </w:tr>
      <w:tr w:rsidR="00F15754" w14:paraId="095F7CE6" w14:textId="77777777" w:rsidTr="00F15754">
        <w:tc>
          <w:tcPr>
            <w:tcW w:w="3116" w:type="dxa"/>
            <w:vMerge/>
          </w:tcPr>
          <w:p w14:paraId="75A314D6" w14:textId="77777777" w:rsidR="00F15754" w:rsidRDefault="00F15754" w:rsidP="00F15754">
            <w:pPr>
              <w:jc w:val="center"/>
              <w:rPr>
                <w:rFonts w:ascii="Trebuchet MS" w:hAnsi="Trebuchet MS"/>
                <w:b/>
                <w:sz w:val="24"/>
                <w:szCs w:val="24"/>
              </w:rPr>
            </w:pPr>
          </w:p>
        </w:tc>
        <w:tc>
          <w:tcPr>
            <w:tcW w:w="3117" w:type="dxa"/>
          </w:tcPr>
          <w:p w14:paraId="691ED895" w14:textId="77777777" w:rsidR="00F15754" w:rsidRPr="00BC045E" w:rsidRDefault="00F15754" w:rsidP="00F15754">
            <w:pPr>
              <w:pStyle w:val="BodyText"/>
              <w:spacing w:after="0"/>
              <w:contextualSpacing/>
              <w:rPr>
                <w:rFonts w:cs="Arial"/>
                <w:sz w:val="24"/>
              </w:rPr>
            </w:pPr>
            <w:r w:rsidRPr="00BC045E">
              <w:rPr>
                <w:rFonts w:cs="Arial"/>
                <w:sz w:val="24"/>
              </w:rPr>
              <w:t>b) pentru ofertele care prezintă ambalarea mobilierului livrat în ambalaje compuse din mai puțin 50% material reciclat sau care nu sunt biodegradabile sau compostabile (ex. cutii din carton, pungi sau folii din plastic pentru ambalarea finală, etc), în conformitate cu definițiile prevăzute în EN 13432, se acordă 0 puncte.</w:t>
            </w:r>
          </w:p>
          <w:p w14:paraId="0C633B20" w14:textId="77777777" w:rsidR="00F15754" w:rsidRDefault="00F15754" w:rsidP="00F15754">
            <w:pPr>
              <w:jc w:val="center"/>
              <w:rPr>
                <w:rFonts w:ascii="Trebuchet MS" w:hAnsi="Trebuchet MS"/>
                <w:b/>
                <w:sz w:val="24"/>
                <w:szCs w:val="24"/>
              </w:rPr>
            </w:pPr>
          </w:p>
        </w:tc>
        <w:tc>
          <w:tcPr>
            <w:tcW w:w="3117" w:type="dxa"/>
          </w:tcPr>
          <w:p w14:paraId="55DFE4F5" w14:textId="77777777" w:rsidR="00F15754" w:rsidRDefault="00F15754" w:rsidP="00F15754">
            <w:pPr>
              <w:jc w:val="center"/>
              <w:rPr>
                <w:rFonts w:ascii="Trebuchet MS" w:hAnsi="Trebuchet MS"/>
                <w:b/>
                <w:sz w:val="24"/>
                <w:szCs w:val="24"/>
              </w:rPr>
            </w:pPr>
          </w:p>
        </w:tc>
      </w:tr>
      <w:tr w:rsidR="00F15754" w14:paraId="208015D6" w14:textId="77777777" w:rsidTr="00F15754">
        <w:tc>
          <w:tcPr>
            <w:tcW w:w="3116" w:type="dxa"/>
            <w:vMerge w:val="restart"/>
          </w:tcPr>
          <w:p w14:paraId="6DE49CEC" w14:textId="77777777" w:rsidR="00F15754" w:rsidRDefault="00F15754" w:rsidP="00F15754">
            <w:pPr>
              <w:rPr>
                <w:rFonts w:cs="Arial"/>
                <w:sz w:val="24"/>
                <w:u w:val="single"/>
              </w:rPr>
            </w:pPr>
          </w:p>
          <w:p w14:paraId="1C18BB13" w14:textId="77777777" w:rsidR="00F15754" w:rsidRDefault="00F15754" w:rsidP="00F15754">
            <w:pPr>
              <w:rPr>
                <w:rFonts w:cs="Arial"/>
                <w:sz w:val="24"/>
                <w:u w:val="single"/>
              </w:rPr>
            </w:pPr>
          </w:p>
          <w:p w14:paraId="162DFC77" w14:textId="77777777" w:rsidR="00F15754" w:rsidRDefault="00F15754" w:rsidP="00F15754">
            <w:pPr>
              <w:rPr>
                <w:rFonts w:cs="Arial"/>
                <w:sz w:val="24"/>
                <w:u w:val="single"/>
              </w:rPr>
            </w:pPr>
          </w:p>
          <w:p w14:paraId="5D8DC152" w14:textId="77777777" w:rsidR="00F15754" w:rsidRDefault="00F15754" w:rsidP="00F15754">
            <w:pPr>
              <w:rPr>
                <w:rFonts w:cs="Arial"/>
                <w:sz w:val="24"/>
                <w:u w:val="single"/>
              </w:rPr>
            </w:pPr>
          </w:p>
          <w:p w14:paraId="4E49F839" w14:textId="77777777" w:rsidR="00F15754" w:rsidRDefault="00F15754" w:rsidP="00F15754">
            <w:pPr>
              <w:rPr>
                <w:rFonts w:cs="Arial"/>
                <w:sz w:val="24"/>
                <w:u w:val="single"/>
              </w:rPr>
            </w:pPr>
          </w:p>
          <w:p w14:paraId="3A21A196" w14:textId="77777777" w:rsidR="00F15754" w:rsidRDefault="00F15754" w:rsidP="00F15754">
            <w:pPr>
              <w:rPr>
                <w:rFonts w:cs="Arial"/>
                <w:sz w:val="24"/>
                <w:u w:val="single"/>
              </w:rPr>
            </w:pPr>
          </w:p>
          <w:p w14:paraId="49D71C24" w14:textId="77777777" w:rsidR="00F15754" w:rsidRDefault="00F15754" w:rsidP="00F15754">
            <w:pPr>
              <w:rPr>
                <w:rFonts w:cs="Arial"/>
                <w:sz w:val="24"/>
                <w:u w:val="single"/>
              </w:rPr>
            </w:pPr>
          </w:p>
          <w:p w14:paraId="53EBC72A" w14:textId="77777777" w:rsidR="00F15754" w:rsidRDefault="00F15754" w:rsidP="00F15754">
            <w:pPr>
              <w:rPr>
                <w:rFonts w:cs="Arial"/>
                <w:sz w:val="24"/>
                <w:u w:val="single"/>
              </w:rPr>
            </w:pPr>
          </w:p>
          <w:p w14:paraId="36345046" w14:textId="77777777" w:rsidR="00F15754" w:rsidRDefault="00F15754" w:rsidP="00F15754">
            <w:pPr>
              <w:rPr>
                <w:rFonts w:cs="Arial"/>
                <w:sz w:val="24"/>
                <w:u w:val="single"/>
              </w:rPr>
            </w:pPr>
          </w:p>
          <w:p w14:paraId="7661DB51" w14:textId="1744671C" w:rsidR="00F15754" w:rsidRDefault="00F15754" w:rsidP="00F15754">
            <w:pPr>
              <w:rPr>
                <w:rFonts w:ascii="Trebuchet MS" w:hAnsi="Trebuchet MS"/>
                <w:b/>
                <w:sz w:val="24"/>
                <w:szCs w:val="24"/>
              </w:rPr>
            </w:pPr>
            <w:r w:rsidRPr="00432C2A">
              <w:rPr>
                <w:rFonts w:cs="Arial"/>
                <w:sz w:val="24"/>
                <w:u w:val="single"/>
              </w:rPr>
              <w:t>P.3 Lanțul de aprovizionare - maxim 15 puncte</w:t>
            </w:r>
          </w:p>
        </w:tc>
        <w:tc>
          <w:tcPr>
            <w:tcW w:w="3117" w:type="dxa"/>
          </w:tcPr>
          <w:p w14:paraId="32D96C73" w14:textId="77777777" w:rsidR="00F15754" w:rsidRPr="00BC045E" w:rsidRDefault="00F15754" w:rsidP="00F15754">
            <w:pPr>
              <w:pStyle w:val="BodyText"/>
              <w:spacing w:after="0"/>
              <w:contextualSpacing/>
              <w:rPr>
                <w:rFonts w:cs="Arial"/>
                <w:sz w:val="24"/>
              </w:rPr>
            </w:pPr>
            <w:r w:rsidRPr="00BC045E">
              <w:rPr>
                <w:rFonts w:cs="Arial"/>
                <w:sz w:val="24"/>
              </w:rPr>
              <w:t>a) pentru ofertele care propun livrare directă (de la producător la consumatorul final) fără niciun intermediar, se acordă 15 puncte.</w:t>
            </w:r>
          </w:p>
          <w:p w14:paraId="2327A525" w14:textId="77777777" w:rsidR="00F15754" w:rsidRPr="00BC045E" w:rsidRDefault="00F15754" w:rsidP="00F15754">
            <w:pPr>
              <w:pStyle w:val="BodyText"/>
              <w:spacing w:after="0"/>
              <w:contextualSpacing/>
              <w:rPr>
                <w:rFonts w:cs="Arial"/>
                <w:sz w:val="24"/>
              </w:rPr>
            </w:pPr>
          </w:p>
        </w:tc>
        <w:tc>
          <w:tcPr>
            <w:tcW w:w="3117" w:type="dxa"/>
          </w:tcPr>
          <w:p w14:paraId="42F73384" w14:textId="77777777" w:rsidR="00F15754" w:rsidRDefault="00F15754" w:rsidP="00F15754">
            <w:pPr>
              <w:jc w:val="center"/>
              <w:rPr>
                <w:rFonts w:ascii="Trebuchet MS" w:hAnsi="Trebuchet MS"/>
                <w:b/>
                <w:sz w:val="24"/>
                <w:szCs w:val="24"/>
              </w:rPr>
            </w:pPr>
          </w:p>
        </w:tc>
      </w:tr>
      <w:tr w:rsidR="00F15754" w14:paraId="2799194C" w14:textId="77777777" w:rsidTr="00F15754">
        <w:tc>
          <w:tcPr>
            <w:tcW w:w="3116" w:type="dxa"/>
            <w:vMerge/>
          </w:tcPr>
          <w:p w14:paraId="334A7113" w14:textId="77777777" w:rsidR="00F15754" w:rsidRDefault="00F15754" w:rsidP="00F15754">
            <w:pPr>
              <w:jc w:val="center"/>
              <w:rPr>
                <w:rFonts w:ascii="Trebuchet MS" w:hAnsi="Trebuchet MS"/>
                <w:b/>
                <w:sz w:val="24"/>
                <w:szCs w:val="24"/>
              </w:rPr>
            </w:pPr>
          </w:p>
        </w:tc>
        <w:tc>
          <w:tcPr>
            <w:tcW w:w="3117" w:type="dxa"/>
          </w:tcPr>
          <w:p w14:paraId="70084E7F" w14:textId="77777777" w:rsidR="00F15754" w:rsidRPr="00BC045E" w:rsidRDefault="00F15754" w:rsidP="00F15754">
            <w:pPr>
              <w:pStyle w:val="BodyText"/>
              <w:spacing w:after="0"/>
              <w:contextualSpacing/>
              <w:rPr>
                <w:rFonts w:cs="Arial"/>
                <w:sz w:val="24"/>
              </w:rPr>
            </w:pPr>
            <w:r w:rsidRPr="00BC045E">
              <w:rPr>
                <w:rFonts w:cs="Arial"/>
                <w:sz w:val="24"/>
              </w:rPr>
              <w:t>b) pentru ofertele care propun în lanțul de livrare (de la producător la consumatorul final) un intermediar, se acordă 10 puncte.</w:t>
            </w:r>
          </w:p>
          <w:p w14:paraId="49E0ADC2" w14:textId="77777777" w:rsidR="00F15754" w:rsidRPr="00BC045E" w:rsidRDefault="00F15754" w:rsidP="00F15754">
            <w:pPr>
              <w:pStyle w:val="BodyText"/>
              <w:spacing w:after="0"/>
              <w:contextualSpacing/>
              <w:rPr>
                <w:rFonts w:cs="Arial"/>
                <w:sz w:val="24"/>
              </w:rPr>
            </w:pPr>
          </w:p>
        </w:tc>
        <w:tc>
          <w:tcPr>
            <w:tcW w:w="3117" w:type="dxa"/>
          </w:tcPr>
          <w:p w14:paraId="4B76CCBC" w14:textId="77777777" w:rsidR="00F15754" w:rsidRDefault="00F15754" w:rsidP="00F15754">
            <w:pPr>
              <w:jc w:val="center"/>
              <w:rPr>
                <w:rFonts w:ascii="Trebuchet MS" w:hAnsi="Trebuchet MS"/>
                <w:b/>
                <w:sz w:val="24"/>
                <w:szCs w:val="24"/>
              </w:rPr>
            </w:pPr>
          </w:p>
        </w:tc>
      </w:tr>
      <w:tr w:rsidR="00F15754" w14:paraId="4CD6AEA2" w14:textId="77777777" w:rsidTr="00F15754">
        <w:tc>
          <w:tcPr>
            <w:tcW w:w="3116" w:type="dxa"/>
            <w:vMerge/>
          </w:tcPr>
          <w:p w14:paraId="686FF9F0" w14:textId="77777777" w:rsidR="00F15754" w:rsidRDefault="00F15754" w:rsidP="00F15754">
            <w:pPr>
              <w:jc w:val="center"/>
              <w:rPr>
                <w:rFonts w:ascii="Trebuchet MS" w:hAnsi="Trebuchet MS"/>
                <w:b/>
                <w:sz w:val="24"/>
                <w:szCs w:val="24"/>
              </w:rPr>
            </w:pPr>
          </w:p>
        </w:tc>
        <w:tc>
          <w:tcPr>
            <w:tcW w:w="3117" w:type="dxa"/>
          </w:tcPr>
          <w:p w14:paraId="1F48F766" w14:textId="77777777" w:rsidR="00F15754" w:rsidRPr="00BC045E" w:rsidRDefault="00F15754" w:rsidP="00F15754">
            <w:pPr>
              <w:pStyle w:val="BodyText"/>
              <w:spacing w:after="0"/>
              <w:contextualSpacing/>
              <w:rPr>
                <w:rFonts w:cs="Arial"/>
                <w:sz w:val="24"/>
              </w:rPr>
            </w:pPr>
            <w:r w:rsidRPr="00BC045E">
              <w:rPr>
                <w:rFonts w:cs="Arial"/>
                <w:sz w:val="24"/>
              </w:rPr>
              <w:t>c) pentru ofertele care propun în lanțul de livrare (de la producător la consumatorul final) doi intermediari, se acordă 5 puncte.</w:t>
            </w:r>
          </w:p>
          <w:p w14:paraId="2AD45F34" w14:textId="4D47BE0C" w:rsidR="00F15754" w:rsidRPr="00BC045E" w:rsidRDefault="00F15754" w:rsidP="00F15754">
            <w:pPr>
              <w:pStyle w:val="BodyText"/>
              <w:spacing w:after="0"/>
              <w:contextualSpacing/>
              <w:rPr>
                <w:rFonts w:cs="Arial"/>
                <w:sz w:val="24"/>
              </w:rPr>
            </w:pPr>
          </w:p>
        </w:tc>
        <w:tc>
          <w:tcPr>
            <w:tcW w:w="3117" w:type="dxa"/>
          </w:tcPr>
          <w:p w14:paraId="305520C3" w14:textId="77777777" w:rsidR="00F15754" w:rsidRDefault="00F15754" w:rsidP="00F15754">
            <w:pPr>
              <w:jc w:val="center"/>
              <w:rPr>
                <w:rFonts w:ascii="Trebuchet MS" w:hAnsi="Trebuchet MS"/>
                <w:b/>
                <w:sz w:val="24"/>
                <w:szCs w:val="24"/>
              </w:rPr>
            </w:pPr>
          </w:p>
        </w:tc>
      </w:tr>
      <w:tr w:rsidR="00F15754" w14:paraId="18DA095F" w14:textId="77777777" w:rsidTr="00F15754">
        <w:tc>
          <w:tcPr>
            <w:tcW w:w="3116" w:type="dxa"/>
            <w:vMerge/>
          </w:tcPr>
          <w:p w14:paraId="74B97AC5" w14:textId="77777777" w:rsidR="00F15754" w:rsidRDefault="00F15754" w:rsidP="00F15754">
            <w:pPr>
              <w:jc w:val="center"/>
              <w:rPr>
                <w:rFonts w:ascii="Trebuchet MS" w:hAnsi="Trebuchet MS"/>
                <w:b/>
                <w:sz w:val="24"/>
                <w:szCs w:val="24"/>
              </w:rPr>
            </w:pPr>
          </w:p>
        </w:tc>
        <w:tc>
          <w:tcPr>
            <w:tcW w:w="3117" w:type="dxa"/>
          </w:tcPr>
          <w:p w14:paraId="2576E927" w14:textId="77777777" w:rsidR="00F15754" w:rsidRPr="00BC045E" w:rsidRDefault="00F15754" w:rsidP="00F15754">
            <w:pPr>
              <w:pStyle w:val="BodyText"/>
              <w:spacing w:after="0"/>
              <w:contextualSpacing/>
              <w:rPr>
                <w:rFonts w:cs="Arial"/>
                <w:sz w:val="24"/>
              </w:rPr>
            </w:pPr>
            <w:r w:rsidRPr="00BC045E">
              <w:rPr>
                <w:rFonts w:cs="Arial"/>
                <w:sz w:val="24"/>
              </w:rPr>
              <w:t xml:space="preserve">d) pentru ofertele care propun în lanțul de livrare mai mult de doi </w:t>
            </w:r>
            <w:r w:rsidRPr="00BC045E">
              <w:rPr>
                <w:rFonts w:cs="Arial"/>
                <w:sz w:val="24"/>
              </w:rPr>
              <w:lastRenderedPageBreak/>
              <w:t>intermediari implicați în lanțul de livrare, se acordă 0 puncte.</w:t>
            </w:r>
          </w:p>
          <w:p w14:paraId="0AA7C1F8" w14:textId="77777777" w:rsidR="00F15754" w:rsidRPr="00BC045E" w:rsidRDefault="00F15754" w:rsidP="00F15754">
            <w:pPr>
              <w:pStyle w:val="BodyText"/>
              <w:spacing w:after="0"/>
              <w:contextualSpacing/>
              <w:rPr>
                <w:rFonts w:cs="Arial"/>
                <w:sz w:val="24"/>
              </w:rPr>
            </w:pPr>
          </w:p>
        </w:tc>
        <w:tc>
          <w:tcPr>
            <w:tcW w:w="3117" w:type="dxa"/>
          </w:tcPr>
          <w:p w14:paraId="60C8F7DF" w14:textId="77777777" w:rsidR="00F15754" w:rsidRDefault="00F15754" w:rsidP="00F15754">
            <w:pPr>
              <w:jc w:val="center"/>
              <w:rPr>
                <w:rFonts w:ascii="Trebuchet MS" w:hAnsi="Trebuchet MS"/>
                <w:b/>
                <w:sz w:val="24"/>
                <w:szCs w:val="24"/>
              </w:rPr>
            </w:pPr>
          </w:p>
        </w:tc>
      </w:tr>
      <w:tr w:rsidR="00F15754" w14:paraId="3F5C7830" w14:textId="77777777" w:rsidTr="00F15754">
        <w:tc>
          <w:tcPr>
            <w:tcW w:w="3116" w:type="dxa"/>
            <w:vMerge w:val="restart"/>
          </w:tcPr>
          <w:p w14:paraId="75D4209D" w14:textId="77777777" w:rsidR="00F15754" w:rsidRDefault="00F15754" w:rsidP="00F15754">
            <w:pPr>
              <w:pStyle w:val="BodyText"/>
              <w:spacing w:after="0"/>
              <w:contextualSpacing/>
              <w:rPr>
                <w:rFonts w:cs="Arial"/>
                <w:sz w:val="24"/>
                <w:u w:val="single"/>
              </w:rPr>
            </w:pPr>
          </w:p>
          <w:p w14:paraId="6338D967" w14:textId="77777777" w:rsidR="00F15754" w:rsidRDefault="00F15754" w:rsidP="00F15754">
            <w:pPr>
              <w:pStyle w:val="BodyText"/>
              <w:spacing w:after="0"/>
              <w:contextualSpacing/>
              <w:rPr>
                <w:rFonts w:cs="Arial"/>
                <w:sz w:val="24"/>
                <w:u w:val="single"/>
              </w:rPr>
            </w:pPr>
          </w:p>
          <w:p w14:paraId="73713D71" w14:textId="77777777" w:rsidR="00F15754" w:rsidRDefault="00F15754" w:rsidP="00F15754">
            <w:pPr>
              <w:pStyle w:val="BodyText"/>
              <w:spacing w:after="0"/>
              <w:contextualSpacing/>
              <w:rPr>
                <w:rFonts w:cs="Arial"/>
                <w:sz w:val="24"/>
                <w:u w:val="single"/>
              </w:rPr>
            </w:pPr>
          </w:p>
          <w:p w14:paraId="7924F617" w14:textId="16F9424D" w:rsidR="00F15754" w:rsidRDefault="00F15754" w:rsidP="00F15754">
            <w:pPr>
              <w:pStyle w:val="BodyText"/>
              <w:spacing w:after="0"/>
              <w:contextualSpacing/>
              <w:rPr>
                <w:rFonts w:cs="Arial"/>
                <w:sz w:val="24"/>
                <w:u w:val="single"/>
              </w:rPr>
            </w:pPr>
            <w:r w:rsidRPr="00432C2A">
              <w:rPr>
                <w:rFonts w:cs="Arial"/>
                <w:sz w:val="24"/>
                <w:u w:val="single"/>
              </w:rPr>
              <w:t>P.4 Garanția extinsă a produsului - maxim 20 puncte</w:t>
            </w:r>
          </w:p>
          <w:p w14:paraId="6F9C834F" w14:textId="77777777" w:rsidR="00F15754" w:rsidRPr="00BC045E" w:rsidRDefault="00F15754" w:rsidP="00F15754">
            <w:pPr>
              <w:pStyle w:val="BodyText"/>
              <w:spacing w:after="0"/>
              <w:contextualSpacing/>
              <w:rPr>
                <w:rFonts w:cs="Arial"/>
                <w:sz w:val="24"/>
              </w:rPr>
            </w:pPr>
            <w:r w:rsidRPr="00BC045E">
              <w:rPr>
                <w:rFonts w:cs="Arial"/>
                <w:sz w:val="24"/>
              </w:rPr>
              <w:t>Furnizorul trebuie să ofere o garanție de minimum 36 de luni, garanția începând din momentul recepției cantitative și calitative.</w:t>
            </w:r>
          </w:p>
          <w:p w14:paraId="2F551F3F" w14:textId="77777777" w:rsidR="00F15754" w:rsidRPr="00432C2A" w:rsidRDefault="00F15754" w:rsidP="00F15754">
            <w:pPr>
              <w:pStyle w:val="BodyText"/>
              <w:spacing w:after="0"/>
              <w:contextualSpacing/>
              <w:rPr>
                <w:rFonts w:cs="Arial"/>
                <w:sz w:val="24"/>
                <w:u w:val="single"/>
              </w:rPr>
            </w:pPr>
          </w:p>
          <w:p w14:paraId="4418BB60" w14:textId="77777777" w:rsidR="00F15754" w:rsidRDefault="00F15754" w:rsidP="00F15754">
            <w:pPr>
              <w:jc w:val="center"/>
              <w:rPr>
                <w:rFonts w:ascii="Trebuchet MS" w:hAnsi="Trebuchet MS"/>
                <w:b/>
                <w:sz w:val="24"/>
                <w:szCs w:val="24"/>
              </w:rPr>
            </w:pPr>
          </w:p>
        </w:tc>
        <w:tc>
          <w:tcPr>
            <w:tcW w:w="3117" w:type="dxa"/>
          </w:tcPr>
          <w:p w14:paraId="0BECA730" w14:textId="77777777" w:rsidR="00F15754" w:rsidRPr="00BC045E" w:rsidRDefault="00F15754" w:rsidP="00F15754">
            <w:pPr>
              <w:pStyle w:val="BodyText"/>
              <w:spacing w:after="0"/>
              <w:contextualSpacing/>
              <w:rPr>
                <w:rFonts w:cs="Arial"/>
                <w:sz w:val="24"/>
              </w:rPr>
            </w:pPr>
            <w:r w:rsidRPr="00BC045E">
              <w:rPr>
                <w:rFonts w:cs="Arial"/>
                <w:sz w:val="24"/>
              </w:rPr>
              <w:t>a) pentru ofertele care propun o garanție a produselor ofertate de 36 de luni, se acordă 0 puncte</w:t>
            </w:r>
          </w:p>
          <w:p w14:paraId="03D9384E" w14:textId="77777777" w:rsidR="00F15754" w:rsidRPr="00BC045E" w:rsidRDefault="00F15754" w:rsidP="00F15754">
            <w:pPr>
              <w:pStyle w:val="BodyText"/>
              <w:spacing w:after="0"/>
              <w:contextualSpacing/>
              <w:rPr>
                <w:rFonts w:cs="Arial"/>
                <w:sz w:val="24"/>
              </w:rPr>
            </w:pPr>
          </w:p>
        </w:tc>
        <w:tc>
          <w:tcPr>
            <w:tcW w:w="3117" w:type="dxa"/>
          </w:tcPr>
          <w:p w14:paraId="3F51C76D" w14:textId="77777777" w:rsidR="00F15754" w:rsidRDefault="00F15754" w:rsidP="00F15754">
            <w:pPr>
              <w:jc w:val="center"/>
              <w:rPr>
                <w:rFonts w:ascii="Trebuchet MS" w:hAnsi="Trebuchet MS"/>
                <w:b/>
                <w:sz w:val="24"/>
                <w:szCs w:val="24"/>
              </w:rPr>
            </w:pPr>
          </w:p>
        </w:tc>
      </w:tr>
      <w:tr w:rsidR="00F15754" w14:paraId="6AD32CFD" w14:textId="77777777" w:rsidTr="00F15754">
        <w:tc>
          <w:tcPr>
            <w:tcW w:w="3116" w:type="dxa"/>
            <w:vMerge/>
          </w:tcPr>
          <w:p w14:paraId="4BA44C55" w14:textId="77777777" w:rsidR="00F15754" w:rsidRPr="00432C2A" w:rsidRDefault="00F15754" w:rsidP="00F15754">
            <w:pPr>
              <w:pStyle w:val="BodyText"/>
              <w:spacing w:after="0"/>
              <w:contextualSpacing/>
              <w:rPr>
                <w:rFonts w:cs="Arial"/>
                <w:sz w:val="24"/>
                <w:u w:val="single"/>
              </w:rPr>
            </w:pPr>
          </w:p>
        </w:tc>
        <w:tc>
          <w:tcPr>
            <w:tcW w:w="3117" w:type="dxa"/>
          </w:tcPr>
          <w:p w14:paraId="6B91BE68" w14:textId="4365B087" w:rsidR="00F15754" w:rsidRPr="00BC045E" w:rsidRDefault="00F15754" w:rsidP="00F15754">
            <w:pPr>
              <w:pStyle w:val="BodyText"/>
              <w:spacing w:after="0"/>
              <w:contextualSpacing/>
              <w:rPr>
                <w:rFonts w:cs="Arial"/>
                <w:sz w:val="24"/>
              </w:rPr>
            </w:pPr>
            <w:r w:rsidRPr="00BC045E">
              <w:rPr>
                <w:rFonts w:cs="Arial"/>
                <w:sz w:val="24"/>
              </w:rPr>
              <w:t>b) pentru ofertele care propun o garanție a produselor ofertate între 36 și 48 de luni, se acordă 10 puncte</w:t>
            </w:r>
          </w:p>
          <w:p w14:paraId="7911254D" w14:textId="155B5327" w:rsidR="00F15754" w:rsidRPr="00BC045E" w:rsidRDefault="00F15754" w:rsidP="00F15754">
            <w:pPr>
              <w:pStyle w:val="BodyText"/>
              <w:tabs>
                <w:tab w:val="left" w:pos="2193"/>
              </w:tabs>
              <w:spacing w:after="0"/>
              <w:contextualSpacing/>
              <w:rPr>
                <w:rFonts w:cs="Arial"/>
                <w:sz w:val="24"/>
              </w:rPr>
            </w:pPr>
          </w:p>
        </w:tc>
        <w:tc>
          <w:tcPr>
            <w:tcW w:w="3117" w:type="dxa"/>
          </w:tcPr>
          <w:p w14:paraId="21D105AB" w14:textId="77777777" w:rsidR="00F15754" w:rsidRDefault="00F15754" w:rsidP="00F15754">
            <w:pPr>
              <w:jc w:val="center"/>
              <w:rPr>
                <w:rFonts w:ascii="Trebuchet MS" w:hAnsi="Trebuchet MS"/>
                <w:b/>
                <w:sz w:val="24"/>
                <w:szCs w:val="24"/>
              </w:rPr>
            </w:pPr>
          </w:p>
        </w:tc>
      </w:tr>
      <w:tr w:rsidR="00F15754" w14:paraId="7AB59227" w14:textId="77777777" w:rsidTr="00F15754">
        <w:tc>
          <w:tcPr>
            <w:tcW w:w="3116" w:type="dxa"/>
            <w:vMerge/>
          </w:tcPr>
          <w:p w14:paraId="44F9CBB8" w14:textId="77777777" w:rsidR="00F15754" w:rsidRPr="00432C2A" w:rsidRDefault="00F15754" w:rsidP="00F15754">
            <w:pPr>
              <w:pStyle w:val="BodyText"/>
              <w:spacing w:after="0"/>
              <w:contextualSpacing/>
              <w:rPr>
                <w:rFonts w:cs="Arial"/>
                <w:sz w:val="24"/>
                <w:u w:val="single"/>
              </w:rPr>
            </w:pPr>
          </w:p>
        </w:tc>
        <w:tc>
          <w:tcPr>
            <w:tcW w:w="3117" w:type="dxa"/>
          </w:tcPr>
          <w:p w14:paraId="7F679255" w14:textId="77777777" w:rsidR="00F15754" w:rsidRPr="00BC045E" w:rsidRDefault="00F15754" w:rsidP="00F15754">
            <w:pPr>
              <w:pStyle w:val="BodyText"/>
              <w:spacing w:after="0"/>
              <w:contextualSpacing/>
              <w:rPr>
                <w:rFonts w:cs="Arial"/>
                <w:sz w:val="24"/>
              </w:rPr>
            </w:pPr>
            <w:r w:rsidRPr="00BC045E">
              <w:rPr>
                <w:rFonts w:cs="Arial"/>
                <w:sz w:val="24"/>
              </w:rPr>
              <w:t>c) pentru ofertele care propun o garanție a produselor ofertate de cel puțin 48 de luni, se acordă 20 puncte.</w:t>
            </w:r>
          </w:p>
          <w:p w14:paraId="3E091894" w14:textId="77777777" w:rsidR="00F15754" w:rsidRPr="00BC045E" w:rsidRDefault="00F15754" w:rsidP="00F15754">
            <w:pPr>
              <w:pStyle w:val="BodyText"/>
              <w:spacing w:after="0"/>
              <w:contextualSpacing/>
              <w:rPr>
                <w:rFonts w:cs="Arial"/>
                <w:sz w:val="24"/>
              </w:rPr>
            </w:pPr>
          </w:p>
        </w:tc>
        <w:tc>
          <w:tcPr>
            <w:tcW w:w="3117" w:type="dxa"/>
          </w:tcPr>
          <w:p w14:paraId="7E00AB38" w14:textId="77777777" w:rsidR="00F15754" w:rsidRDefault="00F15754" w:rsidP="00F15754">
            <w:pPr>
              <w:jc w:val="center"/>
              <w:rPr>
                <w:rFonts w:ascii="Trebuchet MS" w:hAnsi="Trebuchet MS"/>
                <w:b/>
                <w:sz w:val="24"/>
                <w:szCs w:val="24"/>
              </w:rPr>
            </w:pPr>
          </w:p>
        </w:tc>
      </w:tr>
    </w:tbl>
    <w:p w14:paraId="3271E90D" w14:textId="57065AB5" w:rsidR="00F15754" w:rsidRDefault="00F15754" w:rsidP="00F15754">
      <w:pPr>
        <w:jc w:val="center"/>
        <w:rPr>
          <w:rFonts w:ascii="Trebuchet MS" w:hAnsi="Trebuchet MS"/>
          <w:b/>
          <w:sz w:val="24"/>
          <w:szCs w:val="24"/>
        </w:rPr>
      </w:pPr>
    </w:p>
    <w:p w14:paraId="2A2248BD" w14:textId="7E2382B7" w:rsidR="00F15754" w:rsidRDefault="00F15754" w:rsidP="00F15754">
      <w:pPr>
        <w:jc w:val="center"/>
        <w:rPr>
          <w:rFonts w:ascii="Trebuchet MS" w:hAnsi="Trebuchet MS"/>
          <w:b/>
          <w:sz w:val="24"/>
          <w:szCs w:val="24"/>
        </w:rPr>
      </w:pPr>
      <w:r w:rsidRPr="00F15754">
        <w:rPr>
          <w:rFonts w:ascii="Trebuchet MS" w:hAnsi="Trebuchet MS"/>
          <w:b/>
          <w:sz w:val="24"/>
          <w:szCs w:val="24"/>
        </w:rPr>
        <w:t xml:space="preserve">Lot 2 </w:t>
      </w:r>
      <w:r>
        <w:rPr>
          <w:rFonts w:ascii="Trebuchet MS" w:hAnsi="Trebuchet MS"/>
          <w:b/>
          <w:sz w:val="24"/>
          <w:szCs w:val="24"/>
        </w:rPr>
        <w:t>–</w:t>
      </w:r>
      <w:r w:rsidRPr="00F15754">
        <w:rPr>
          <w:rFonts w:ascii="Trebuchet MS" w:hAnsi="Trebuchet MS"/>
          <w:b/>
          <w:sz w:val="24"/>
          <w:szCs w:val="24"/>
        </w:rPr>
        <w:t xml:space="preserve"> Scaune</w:t>
      </w:r>
    </w:p>
    <w:tbl>
      <w:tblPr>
        <w:tblStyle w:val="TableGrid"/>
        <w:tblW w:w="0" w:type="auto"/>
        <w:tblLook w:val="04A0" w:firstRow="1" w:lastRow="0" w:firstColumn="1" w:lastColumn="0" w:noHBand="0" w:noVBand="1"/>
      </w:tblPr>
      <w:tblGrid>
        <w:gridCol w:w="3116"/>
        <w:gridCol w:w="3117"/>
        <w:gridCol w:w="3117"/>
      </w:tblGrid>
      <w:tr w:rsidR="00F15754" w14:paraId="40BD19CE" w14:textId="77777777" w:rsidTr="009A362C">
        <w:tc>
          <w:tcPr>
            <w:tcW w:w="3116" w:type="dxa"/>
          </w:tcPr>
          <w:p w14:paraId="77965502" w14:textId="77777777" w:rsidR="00F15754" w:rsidRPr="00F15754" w:rsidRDefault="00F15754" w:rsidP="009A362C">
            <w:pPr>
              <w:pStyle w:val="BodyText"/>
              <w:jc w:val="left"/>
              <w:rPr>
                <w:rFonts w:cs="Arial"/>
                <w:sz w:val="24"/>
              </w:rPr>
            </w:pPr>
            <w:r w:rsidRPr="00F15754">
              <w:rPr>
                <w:rFonts w:cs="Arial"/>
                <w:sz w:val="24"/>
              </w:rPr>
              <w:t>Factor de evaluare</w:t>
            </w:r>
          </w:p>
        </w:tc>
        <w:tc>
          <w:tcPr>
            <w:tcW w:w="3117" w:type="dxa"/>
          </w:tcPr>
          <w:p w14:paraId="5D481487" w14:textId="77777777" w:rsidR="00F15754" w:rsidRPr="00BC045E" w:rsidRDefault="00F15754" w:rsidP="009A362C">
            <w:pPr>
              <w:pStyle w:val="BodyText"/>
              <w:rPr>
                <w:rFonts w:cs="Arial"/>
                <w:sz w:val="24"/>
              </w:rPr>
            </w:pPr>
            <w:r>
              <w:rPr>
                <w:rFonts w:cs="Arial"/>
                <w:sz w:val="24"/>
              </w:rPr>
              <w:t xml:space="preserve">Algoritm de calcul </w:t>
            </w:r>
          </w:p>
        </w:tc>
        <w:tc>
          <w:tcPr>
            <w:tcW w:w="3117" w:type="dxa"/>
          </w:tcPr>
          <w:p w14:paraId="314860FA" w14:textId="77777777" w:rsidR="00F15754" w:rsidRDefault="00F15754" w:rsidP="009A362C">
            <w:pPr>
              <w:jc w:val="center"/>
              <w:rPr>
                <w:rFonts w:ascii="Trebuchet MS" w:hAnsi="Trebuchet MS"/>
                <w:b/>
                <w:sz w:val="24"/>
                <w:szCs w:val="24"/>
              </w:rPr>
            </w:pPr>
            <w:r>
              <w:rPr>
                <w:rFonts w:ascii="Trebuchet MS" w:hAnsi="Trebuchet MS"/>
                <w:b/>
                <w:sz w:val="24"/>
                <w:szCs w:val="24"/>
              </w:rPr>
              <w:t>Referință din propunerea tehnică (pag., cap., document justificativ)</w:t>
            </w:r>
          </w:p>
        </w:tc>
      </w:tr>
      <w:tr w:rsidR="00F15754" w14:paraId="7235104B" w14:textId="77777777" w:rsidTr="009A362C">
        <w:tc>
          <w:tcPr>
            <w:tcW w:w="3116" w:type="dxa"/>
            <w:vMerge w:val="restart"/>
          </w:tcPr>
          <w:p w14:paraId="0198DC1E" w14:textId="77777777" w:rsidR="0085792D" w:rsidRDefault="0085792D" w:rsidP="00F15754">
            <w:pPr>
              <w:pStyle w:val="BodyText"/>
              <w:rPr>
                <w:rFonts w:cs="Arial"/>
                <w:sz w:val="24"/>
                <w:u w:val="single"/>
              </w:rPr>
            </w:pPr>
          </w:p>
          <w:p w14:paraId="3E620D19" w14:textId="77777777" w:rsidR="0085792D" w:rsidRDefault="0085792D" w:rsidP="00F15754">
            <w:pPr>
              <w:pStyle w:val="BodyText"/>
              <w:rPr>
                <w:rFonts w:cs="Arial"/>
                <w:sz w:val="24"/>
                <w:u w:val="single"/>
              </w:rPr>
            </w:pPr>
          </w:p>
          <w:p w14:paraId="790634C6" w14:textId="77777777" w:rsidR="0085792D" w:rsidRDefault="0085792D" w:rsidP="00F15754">
            <w:pPr>
              <w:pStyle w:val="BodyText"/>
              <w:rPr>
                <w:rFonts w:cs="Arial"/>
                <w:sz w:val="24"/>
                <w:u w:val="single"/>
              </w:rPr>
            </w:pPr>
          </w:p>
          <w:p w14:paraId="394BC737" w14:textId="77777777" w:rsidR="0085792D" w:rsidRDefault="0085792D" w:rsidP="00F15754">
            <w:pPr>
              <w:pStyle w:val="BodyText"/>
              <w:rPr>
                <w:rFonts w:cs="Arial"/>
                <w:sz w:val="24"/>
                <w:u w:val="single"/>
              </w:rPr>
            </w:pPr>
          </w:p>
          <w:p w14:paraId="7B6A7B4B" w14:textId="77777777" w:rsidR="0085792D" w:rsidRDefault="0085792D" w:rsidP="00F15754">
            <w:pPr>
              <w:pStyle w:val="BodyText"/>
              <w:rPr>
                <w:rFonts w:cs="Arial"/>
                <w:sz w:val="24"/>
                <w:u w:val="single"/>
              </w:rPr>
            </w:pPr>
          </w:p>
          <w:p w14:paraId="53303749" w14:textId="77777777" w:rsidR="0085792D" w:rsidRDefault="0085792D" w:rsidP="00F15754">
            <w:pPr>
              <w:pStyle w:val="BodyText"/>
              <w:rPr>
                <w:rFonts w:cs="Arial"/>
                <w:sz w:val="24"/>
                <w:u w:val="single"/>
              </w:rPr>
            </w:pPr>
          </w:p>
          <w:p w14:paraId="6FF72C26" w14:textId="77777777" w:rsidR="0085792D" w:rsidRDefault="0085792D" w:rsidP="00F15754">
            <w:pPr>
              <w:pStyle w:val="BodyText"/>
              <w:rPr>
                <w:rFonts w:cs="Arial"/>
                <w:sz w:val="24"/>
                <w:u w:val="single"/>
              </w:rPr>
            </w:pPr>
          </w:p>
          <w:p w14:paraId="6CB2386C" w14:textId="77777777" w:rsidR="0085792D" w:rsidRDefault="0085792D" w:rsidP="00F15754">
            <w:pPr>
              <w:pStyle w:val="BodyText"/>
              <w:rPr>
                <w:rFonts w:cs="Arial"/>
                <w:sz w:val="24"/>
                <w:u w:val="single"/>
              </w:rPr>
            </w:pPr>
          </w:p>
          <w:p w14:paraId="7D2B631A" w14:textId="77777777" w:rsidR="0085792D" w:rsidRDefault="0085792D" w:rsidP="00F15754">
            <w:pPr>
              <w:pStyle w:val="BodyText"/>
              <w:rPr>
                <w:rFonts w:cs="Arial"/>
                <w:sz w:val="24"/>
                <w:u w:val="single"/>
              </w:rPr>
            </w:pPr>
          </w:p>
          <w:p w14:paraId="1FCA6E55" w14:textId="77777777" w:rsidR="0085792D" w:rsidRDefault="0085792D" w:rsidP="00F15754">
            <w:pPr>
              <w:pStyle w:val="BodyText"/>
              <w:rPr>
                <w:rFonts w:cs="Arial"/>
                <w:sz w:val="24"/>
                <w:u w:val="single"/>
              </w:rPr>
            </w:pPr>
          </w:p>
          <w:p w14:paraId="59D302F8" w14:textId="0485E5B8" w:rsidR="00F15754" w:rsidRPr="00510984" w:rsidRDefault="00F15754" w:rsidP="00F15754">
            <w:pPr>
              <w:pStyle w:val="BodyText"/>
              <w:rPr>
                <w:rFonts w:cs="Arial"/>
                <w:sz w:val="24"/>
                <w:u w:val="single"/>
              </w:rPr>
            </w:pPr>
            <w:bookmarkStart w:id="2" w:name="_GoBack"/>
            <w:bookmarkEnd w:id="2"/>
            <w:r w:rsidRPr="00510984">
              <w:rPr>
                <w:rFonts w:cs="Arial"/>
                <w:sz w:val="24"/>
                <w:u w:val="single"/>
              </w:rPr>
              <w:t>P.1 Ambalaj din material reciclat - maxim 5 puncte</w:t>
            </w:r>
          </w:p>
          <w:p w14:paraId="76780EE0" w14:textId="77777777" w:rsidR="00F15754" w:rsidRDefault="00F15754" w:rsidP="009A362C">
            <w:pPr>
              <w:jc w:val="center"/>
              <w:rPr>
                <w:rFonts w:ascii="Trebuchet MS" w:hAnsi="Trebuchet MS"/>
                <w:b/>
                <w:sz w:val="24"/>
                <w:szCs w:val="24"/>
              </w:rPr>
            </w:pPr>
          </w:p>
        </w:tc>
        <w:tc>
          <w:tcPr>
            <w:tcW w:w="3117" w:type="dxa"/>
          </w:tcPr>
          <w:p w14:paraId="39FC3D12" w14:textId="77777777" w:rsidR="00F15754" w:rsidRPr="00510984" w:rsidRDefault="00F15754" w:rsidP="00F15754">
            <w:pPr>
              <w:pStyle w:val="BodyText"/>
              <w:rPr>
                <w:rFonts w:cs="Arial"/>
                <w:sz w:val="24"/>
              </w:rPr>
            </w:pPr>
            <w:r w:rsidRPr="00510984">
              <w:rPr>
                <w:rFonts w:cs="Arial"/>
                <w:sz w:val="24"/>
              </w:rPr>
              <w:t>a) pentru ofertele care prezintă ambalarea scaunelor livrate în ambalaje compuse din cel puțin 50% material reciclat sau care sunt biodegradabile sau compostabile (ex. cutii din carton, pungi sau folii din plastic pentru ambalarea finală, etc), în conformitate cu definițiile prevăzute în EN 13432, se acordă 5 puncte.</w:t>
            </w:r>
          </w:p>
          <w:p w14:paraId="7A3E6C57" w14:textId="77777777" w:rsidR="00F15754" w:rsidRDefault="00F15754" w:rsidP="009A362C">
            <w:pPr>
              <w:jc w:val="center"/>
              <w:rPr>
                <w:rFonts w:ascii="Trebuchet MS" w:hAnsi="Trebuchet MS"/>
                <w:b/>
                <w:sz w:val="24"/>
                <w:szCs w:val="24"/>
              </w:rPr>
            </w:pPr>
          </w:p>
        </w:tc>
        <w:tc>
          <w:tcPr>
            <w:tcW w:w="3117" w:type="dxa"/>
          </w:tcPr>
          <w:p w14:paraId="47CF2E6E" w14:textId="77777777" w:rsidR="00F15754" w:rsidRDefault="00F15754" w:rsidP="009A362C">
            <w:pPr>
              <w:jc w:val="center"/>
              <w:rPr>
                <w:rFonts w:ascii="Trebuchet MS" w:hAnsi="Trebuchet MS"/>
                <w:b/>
                <w:sz w:val="24"/>
                <w:szCs w:val="24"/>
              </w:rPr>
            </w:pPr>
          </w:p>
        </w:tc>
      </w:tr>
      <w:tr w:rsidR="00F15754" w14:paraId="0C4F267A" w14:textId="77777777" w:rsidTr="009A362C">
        <w:tc>
          <w:tcPr>
            <w:tcW w:w="3116" w:type="dxa"/>
            <w:vMerge/>
          </w:tcPr>
          <w:p w14:paraId="78BF0162" w14:textId="77777777" w:rsidR="00F15754" w:rsidRDefault="00F15754" w:rsidP="009A362C">
            <w:pPr>
              <w:jc w:val="center"/>
              <w:rPr>
                <w:rFonts w:ascii="Trebuchet MS" w:hAnsi="Trebuchet MS"/>
                <w:b/>
                <w:sz w:val="24"/>
                <w:szCs w:val="24"/>
              </w:rPr>
            </w:pPr>
          </w:p>
        </w:tc>
        <w:tc>
          <w:tcPr>
            <w:tcW w:w="3117" w:type="dxa"/>
          </w:tcPr>
          <w:p w14:paraId="7E4E220F" w14:textId="77777777" w:rsidR="00F15754" w:rsidRPr="00510984" w:rsidRDefault="00F15754" w:rsidP="00F15754">
            <w:pPr>
              <w:pStyle w:val="BodyText"/>
              <w:rPr>
                <w:rFonts w:cs="Arial"/>
                <w:sz w:val="24"/>
              </w:rPr>
            </w:pPr>
            <w:r w:rsidRPr="00510984">
              <w:rPr>
                <w:rFonts w:cs="Arial"/>
                <w:sz w:val="24"/>
              </w:rPr>
              <w:t xml:space="preserve">b) pentru ofertele care prezintă ambalarea scaunelor livrate în </w:t>
            </w:r>
            <w:r w:rsidRPr="00510984">
              <w:rPr>
                <w:rFonts w:cs="Arial"/>
                <w:sz w:val="24"/>
              </w:rPr>
              <w:lastRenderedPageBreak/>
              <w:t>ambalaje compuse din mai puțin de 50% material reciclat sau care nu sunt biodegradabile sau compostabile (ex. cutii din carton, pungi sau folii din plastic pentru ambalarea finală, etc), în conformitate cu definițiile prevăzute în EN 13432, se acordă 0 puncte.</w:t>
            </w:r>
          </w:p>
          <w:p w14:paraId="1E4E2A97" w14:textId="77777777" w:rsidR="00F15754" w:rsidRDefault="00F15754" w:rsidP="009A362C">
            <w:pPr>
              <w:jc w:val="center"/>
              <w:rPr>
                <w:rFonts w:ascii="Trebuchet MS" w:hAnsi="Trebuchet MS"/>
                <w:b/>
                <w:sz w:val="24"/>
                <w:szCs w:val="24"/>
              </w:rPr>
            </w:pPr>
          </w:p>
        </w:tc>
        <w:tc>
          <w:tcPr>
            <w:tcW w:w="3117" w:type="dxa"/>
          </w:tcPr>
          <w:p w14:paraId="37C499DB" w14:textId="77777777" w:rsidR="00F15754" w:rsidRDefault="00F15754" w:rsidP="009A362C">
            <w:pPr>
              <w:jc w:val="center"/>
              <w:rPr>
                <w:rFonts w:ascii="Trebuchet MS" w:hAnsi="Trebuchet MS"/>
                <w:b/>
                <w:sz w:val="24"/>
                <w:szCs w:val="24"/>
              </w:rPr>
            </w:pPr>
          </w:p>
        </w:tc>
      </w:tr>
      <w:tr w:rsidR="00F15754" w14:paraId="58864E61" w14:textId="77777777" w:rsidTr="009A362C">
        <w:tc>
          <w:tcPr>
            <w:tcW w:w="3116" w:type="dxa"/>
            <w:vMerge w:val="restart"/>
          </w:tcPr>
          <w:p w14:paraId="36F8A7CD" w14:textId="77777777" w:rsidR="0085792D" w:rsidRDefault="0085792D" w:rsidP="00F15754">
            <w:pPr>
              <w:pStyle w:val="BodyText"/>
              <w:rPr>
                <w:rFonts w:cs="Arial"/>
                <w:sz w:val="24"/>
                <w:u w:val="single"/>
              </w:rPr>
            </w:pPr>
          </w:p>
          <w:p w14:paraId="455E8BE9" w14:textId="77777777" w:rsidR="0085792D" w:rsidRDefault="0085792D" w:rsidP="00F15754">
            <w:pPr>
              <w:pStyle w:val="BodyText"/>
              <w:rPr>
                <w:rFonts w:cs="Arial"/>
                <w:sz w:val="24"/>
                <w:u w:val="single"/>
              </w:rPr>
            </w:pPr>
          </w:p>
          <w:p w14:paraId="09FBCE47" w14:textId="77777777" w:rsidR="0085792D" w:rsidRDefault="0085792D" w:rsidP="00F15754">
            <w:pPr>
              <w:pStyle w:val="BodyText"/>
              <w:rPr>
                <w:rFonts w:cs="Arial"/>
                <w:sz w:val="24"/>
                <w:u w:val="single"/>
              </w:rPr>
            </w:pPr>
          </w:p>
          <w:p w14:paraId="57C55311" w14:textId="77777777" w:rsidR="0085792D" w:rsidRDefault="0085792D" w:rsidP="00F15754">
            <w:pPr>
              <w:pStyle w:val="BodyText"/>
              <w:rPr>
                <w:rFonts w:cs="Arial"/>
                <w:sz w:val="24"/>
                <w:u w:val="single"/>
              </w:rPr>
            </w:pPr>
          </w:p>
          <w:p w14:paraId="40320AC7" w14:textId="77777777" w:rsidR="0085792D" w:rsidRDefault="0085792D" w:rsidP="00F15754">
            <w:pPr>
              <w:pStyle w:val="BodyText"/>
              <w:rPr>
                <w:rFonts w:cs="Arial"/>
                <w:sz w:val="24"/>
                <w:u w:val="single"/>
              </w:rPr>
            </w:pPr>
          </w:p>
          <w:p w14:paraId="0141F58D" w14:textId="0740AB60" w:rsidR="00F15754" w:rsidRDefault="00F15754" w:rsidP="00F15754">
            <w:pPr>
              <w:pStyle w:val="BodyText"/>
              <w:rPr>
                <w:rFonts w:cs="Arial"/>
                <w:sz w:val="24"/>
                <w:u w:val="single"/>
              </w:rPr>
            </w:pPr>
            <w:r w:rsidRPr="00510984">
              <w:rPr>
                <w:rFonts w:cs="Arial"/>
                <w:sz w:val="24"/>
                <w:u w:val="single"/>
              </w:rPr>
              <w:t>P.2 Garanția extinsă a produsului - maxim 10 puncte</w:t>
            </w:r>
          </w:p>
          <w:p w14:paraId="7CD05FA9" w14:textId="77777777" w:rsidR="0085792D" w:rsidRPr="00510984" w:rsidRDefault="0085792D" w:rsidP="0085792D">
            <w:pPr>
              <w:pStyle w:val="BodyText"/>
              <w:rPr>
                <w:rFonts w:cs="Arial"/>
                <w:sz w:val="24"/>
              </w:rPr>
            </w:pPr>
            <w:r w:rsidRPr="00510984">
              <w:rPr>
                <w:rFonts w:cs="Arial"/>
                <w:sz w:val="24"/>
              </w:rPr>
              <w:t>Furnizorul trebuie să ofere o garanție de minimum 36 de luni, garanția începând din momentul recepției cantitative și calitative.</w:t>
            </w:r>
          </w:p>
          <w:p w14:paraId="56FB2BE9" w14:textId="77777777" w:rsidR="0085792D" w:rsidRPr="00510984" w:rsidRDefault="0085792D" w:rsidP="00F15754">
            <w:pPr>
              <w:pStyle w:val="BodyText"/>
              <w:rPr>
                <w:rFonts w:cs="Arial"/>
                <w:sz w:val="24"/>
                <w:u w:val="single"/>
              </w:rPr>
            </w:pPr>
          </w:p>
          <w:p w14:paraId="22734594" w14:textId="0F1E65F6" w:rsidR="00F15754" w:rsidRDefault="00F15754" w:rsidP="009A362C">
            <w:pPr>
              <w:rPr>
                <w:rFonts w:ascii="Trebuchet MS" w:hAnsi="Trebuchet MS"/>
                <w:b/>
                <w:sz w:val="24"/>
                <w:szCs w:val="24"/>
              </w:rPr>
            </w:pPr>
          </w:p>
        </w:tc>
        <w:tc>
          <w:tcPr>
            <w:tcW w:w="3117" w:type="dxa"/>
          </w:tcPr>
          <w:p w14:paraId="7568E7A3" w14:textId="77777777" w:rsidR="00F15754" w:rsidRPr="00510984" w:rsidRDefault="00F15754" w:rsidP="00F15754">
            <w:pPr>
              <w:pStyle w:val="BodyText"/>
              <w:rPr>
                <w:rFonts w:cs="Arial"/>
                <w:sz w:val="24"/>
              </w:rPr>
            </w:pPr>
            <w:r w:rsidRPr="00510984">
              <w:rPr>
                <w:rFonts w:cs="Arial"/>
                <w:sz w:val="24"/>
              </w:rPr>
              <w:t>a) pentru ofertele care propun o garanție a produselor ofertate de 36 de luni, se acordă 0 puncte</w:t>
            </w:r>
          </w:p>
          <w:p w14:paraId="479C3312" w14:textId="77777777" w:rsidR="00F15754" w:rsidRPr="00BC045E" w:rsidRDefault="00F15754" w:rsidP="009A362C">
            <w:pPr>
              <w:pStyle w:val="BodyText"/>
              <w:spacing w:after="0"/>
              <w:contextualSpacing/>
              <w:rPr>
                <w:rFonts w:cs="Arial"/>
                <w:sz w:val="24"/>
              </w:rPr>
            </w:pPr>
          </w:p>
        </w:tc>
        <w:tc>
          <w:tcPr>
            <w:tcW w:w="3117" w:type="dxa"/>
          </w:tcPr>
          <w:p w14:paraId="4E601EB1" w14:textId="77777777" w:rsidR="00F15754" w:rsidRDefault="00F15754" w:rsidP="009A362C">
            <w:pPr>
              <w:jc w:val="center"/>
              <w:rPr>
                <w:rFonts w:ascii="Trebuchet MS" w:hAnsi="Trebuchet MS"/>
                <w:b/>
                <w:sz w:val="24"/>
                <w:szCs w:val="24"/>
              </w:rPr>
            </w:pPr>
          </w:p>
        </w:tc>
      </w:tr>
      <w:tr w:rsidR="00F15754" w14:paraId="5996140A" w14:textId="77777777" w:rsidTr="009A362C">
        <w:tc>
          <w:tcPr>
            <w:tcW w:w="3116" w:type="dxa"/>
            <w:vMerge/>
          </w:tcPr>
          <w:p w14:paraId="3379D686" w14:textId="77777777" w:rsidR="00F15754" w:rsidRDefault="00F15754" w:rsidP="009A362C">
            <w:pPr>
              <w:jc w:val="center"/>
              <w:rPr>
                <w:rFonts w:ascii="Trebuchet MS" w:hAnsi="Trebuchet MS"/>
                <w:b/>
                <w:sz w:val="24"/>
                <w:szCs w:val="24"/>
              </w:rPr>
            </w:pPr>
          </w:p>
        </w:tc>
        <w:tc>
          <w:tcPr>
            <w:tcW w:w="3117" w:type="dxa"/>
          </w:tcPr>
          <w:p w14:paraId="00365959" w14:textId="77777777" w:rsidR="00F15754" w:rsidRPr="00510984" w:rsidRDefault="00F15754" w:rsidP="00F15754">
            <w:pPr>
              <w:pStyle w:val="BodyText"/>
              <w:rPr>
                <w:rFonts w:cs="Arial"/>
                <w:sz w:val="24"/>
              </w:rPr>
            </w:pPr>
            <w:r w:rsidRPr="00510984">
              <w:rPr>
                <w:rFonts w:cs="Arial"/>
                <w:sz w:val="24"/>
              </w:rPr>
              <w:t>b) pentru ofertele care propun o garanție a produselor ofertate între 36 și 48 de luni, se acordă 5 puncte</w:t>
            </w:r>
          </w:p>
          <w:p w14:paraId="620F309B" w14:textId="77777777" w:rsidR="00F15754" w:rsidRPr="00BC045E" w:rsidRDefault="00F15754" w:rsidP="009A362C">
            <w:pPr>
              <w:pStyle w:val="BodyText"/>
              <w:spacing w:after="0"/>
              <w:contextualSpacing/>
              <w:rPr>
                <w:rFonts w:cs="Arial"/>
                <w:sz w:val="24"/>
              </w:rPr>
            </w:pPr>
          </w:p>
        </w:tc>
        <w:tc>
          <w:tcPr>
            <w:tcW w:w="3117" w:type="dxa"/>
          </w:tcPr>
          <w:p w14:paraId="7BC898AD" w14:textId="77777777" w:rsidR="00F15754" w:rsidRDefault="00F15754" w:rsidP="009A362C">
            <w:pPr>
              <w:jc w:val="center"/>
              <w:rPr>
                <w:rFonts w:ascii="Trebuchet MS" w:hAnsi="Trebuchet MS"/>
                <w:b/>
                <w:sz w:val="24"/>
                <w:szCs w:val="24"/>
              </w:rPr>
            </w:pPr>
          </w:p>
        </w:tc>
      </w:tr>
      <w:tr w:rsidR="00F15754" w14:paraId="36474E0F" w14:textId="77777777" w:rsidTr="009A362C">
        <w:tc>
          <w:tcPr>
            <w:tcW w:w="3116" w:type="dxa"/>
            <w:vMerge/>
          </w:tcPr>
          <w:p w14:paraId="6D8BB2C0" w14:textId="77777777" w:rsidR="00F15754" w:rsidRDefault="00F15754" w:rsidP="009A362C">
            <w:pPr>
              <w:jc w:val="center"/>
              <w:rPr>
                <w:rFonts w:ascii="Trebuchet MS" w:hAnsi="Trebuchet MS"/>
                <w:b/>
                <w:sz w:val="24"/>
                <w:szCs w:val="24"/>
              </w:rPr>
            </w:pPr>
          </w:p>
        </w:tc>
        <w:tc>
          <w:tcPr>
            <w:tcW w:w="3117" w:type="dxa"/>
          </w:tcPr>
          <w:p w14:paraId="00F0AD0B" w14:textId="77777777" w:rsidR="00F15754" w:rsidRPr="00510984" w:rsidRDefault="00F15754" w:rsidP="00F15754">
            <w:pPr>
              <w:pStyle w:val="BodyText"/>
              <w:rPr>
                <w:rFonts w:cs="Arial"/>
                <w:sz w:val="24"/>
              </w:rPr>
            </w:pPr>
            <w:r w:rsidRPr="00510984">
              <w:rPr>
                <w:rFonts w:cs="Arial"/>
                <w:sz w:val="24"/>
              </w:rPr>
              <w:t>c) pentru ofertele care propun o garanție a produselor ofertate de cel puțin 48 de luni, se acordă 10 puncte.</w:t>
            </w:r>
          </w:p>
          <w:p w14:paraId="1C19FEFA" w14:textId="77777777" w:rsidR="00F15754" w:rsidRPr="00BC045E" w:rsidRDefault="00F15754" w:rsidP="009A362C">
            <w:pPr>
              <w:pStyle w:val="BodyText"/>
              <w:spacing w:after="0"/>
              <w:contextualSpacing/>
              <w:rPr>
                <w:rFonts w:cs="Arial"/>
                <w:sz w:val="24"/>
              </w:rPr>
            </w:pPr>
          </w:p>
        </w:tc>
        <w:tc>
          <w:tcPr>
            <w:tcW w:w="3117" w:type="dxa"/>
          </w:tcPr>
          <w:p w14:paraId="2C57904B" w14:textId="77777777" w:rsidR="00F15754" w:rsidRDefault="00F15754" w:rsidP="009A362C">
            <w:pPr>
              <w:jc w:val="center"/>
              <w:rPr>
                <w:rFonts w:ascii="Trebuchet MS" w:hAnsi="Trebuchet MS"/>
                <w:b/>
                <w:sz w:val="24"/>
                <w:szCs w:val="24"/>
              </w:rPr>
            </w:pPr>
          </w:p>
        </w:tc>
      </w:tr>
      <w:tr w:rsidR="0085792D" w14:paraId="6BBF9A47" w14:textId="77777777" w:rsidTr="009A362C">
        <w:tc>
          <w:tcPr>
            <w:tcW w:w="3116" w:type="dxa"/>
            <w:vMerge w:val="restart"/>
          </w:tcPr>
          <w:p w14:paraId="7DE945CE" w14:textId="77777777" w:rsidR="0085792D" w:rsidRDefault="0085792D" w:rsidP="009A362C">
            <w:pPr>
              <w:pStyle w:val="BodyText"/>
              <w:spacing w:after="0"/>
              <w:contextualSpacing/>
              <w:rPr>
                <w:rFonts w:cs="Arial"/>
                <w:sz w:val="24"/>
                <w:u w:val="single"/>
              </w:rPr>
            </w:pPr>
          </w:p>
          <w:p w14:paraId="7927E6E5" w14:textId="77777777" w:rsidR="0085792D" w:rsidRDefault="0085792D" w:rsidP="009A362C">
            <w:pPr>
              <w:pStyle w:val="BodyText"/>
              <w:spacing w:after="0"/>
              <w:contextualSpacing/>
              <w:rPr>
                <w:rFonts w:cs="Arial"/>
                <w:sz w:val="24"/>
                <w:u w:val="single"/>
              </w:rPr>
            </w:pPr>
          </w:p>
          <w:p w14:paraId="0AD1D129" w14:textId="77777777" w:rsidR="0085792D" w:rsidRDefault="0085792D" w:rsidP="009A362C">
            <w:pPr>
              <w:pStyle w:val="BodyText"/>
              <w:spacing w:after="0"/>
              <w:contextualSpacing/>
              <w:rPr>
                <w:rFonts w:cs="Arial"/>
                <w:sz w:val="24"/>
                <w:u w:val="single"/>
              </w:rPr>
            </w:pPr>
          </w:p>
          <w:p w14:paraId="5E2DFA9E" w14:textId="77777777" w:rsidR="0085792D" w:rsidRDefault="0085792D" w:rsidP="0085792D">
            <w:pPr>
              <w:pStyle w:val="BodyText"/>
              <w:rPr>
                <w:rFonts w:cs="Arial"/>
                <w:sz w:val="24"/>
                <w:u w:val="single"/>
              </w:rPr>
            </w:pPr>
          </w:p>
          <w:p w14:paraId="4CBFCE74" w14:textId="77777777" w:rsidR="0085792D" w:rsidRDefault="0085792D" w:rsidP="0085792D">
            <w:pPr>
              <w:pStyle w:val="BodyText"/>
              <w:rPr>
                <w:rFonts w:cs="Arial"/>
                <w:sz w:val="24"/>
                <w:u w:val="single"/>
              </w:rPr>
            </w:pPr>
          </w:p>
          <w:p w14:paraId="1D64846C" w14:textId="24F45724" w:rsidR="0085792D" w:rsidRPr="00510984" w:rsidRDefault="0085792D" w:rsidP="0085792D">
            <w:pPr>
              <w:pStyle w:val="BodyText"/>
              <w:rPr>
                <w:rFonts w:cs="Arial"/>
                <w:sz w:val="24"/>
                <w:u w:val="single"/>
              </w:rPr>
            </w:pPr>
            <w:r w:rsidRPr="00510984">
              <w:rPr>
                <w:rFonts w:cs="Arial"/>
                <w:sz w:val="24"/>
                <w:u w:val="single"/>
              </w:rPr>
              <w:t>P.3 Lanțul de aprovizionare - scaune birou - maxim 15 puncte</w:t>
            </w:r>
          </w:p>
          <w:p w14:paraId="5AAF63F0" w14:textId="77777777" w:rsidR="0085792D" w:rsidRPr="00432C2A" w:rsidRDefault="0085792D" w:rsidP="009A362C">
            <w:pPr>
              <w:pStyle w:val="BodyText"/>
              <w:spacing w:after="0"/>
              <w:contextualSpacing/>
              <w:rPr>
                <w:rFonts w:cs="Arial"/>
                <w:sz w:val="24"/>
                <w:u w:val="single"/>
              </w:rPr>
            </w:pPr>
          </w:p>
          <w:p w14:paraId="1599CB40" w14:textId="77777777" w:rsidR="0085792D" w:rsidRDefault="0085792D" w:rsidP="009A362C">
            <w:pPr>
              <w:jc w:val="center"/>
              <w:rPr>
                <w:rFonts w:ascii="Trebuchet MS" w:hAnsi="Trebuchet MS"/>
                <w:b/>
                <w:sz w:val="24"/>
                <w:szCs w:val="24"/>
              </w:rPr>
            </w:pPr>
          </w:p>
        </w:tc>
        <w:tc>
          <w:tcPr>
            <w:tcW w:w="3117" w:type="dxa"/>
          </w:tcPr>
          <w:p w14:paraId="3AFAF28D" w14:textId="77777777" w:rsidR="0085792D" w:rsidRPr="00510984" w:rsidRDefault="0085792D" w:rsidP="0085792D">
            <w:pPr>
              <w:pStyle w:val="BodyText"/>
              <w:rPr>
                <w:rFonts w:cs="Arial"/>
                <w:sz w:val="24"/>
              </w:rPr>
            </w:pPr>
            <w:r w:rsidRPr="00510984">
              <w:rPr>
                <w:rFonts w:cs="Arial"/>
                <w:sz w:val="24"/>
              </w:rPr>
              <w:t>a) pentru ofertele care propun livrare directă (de la producător la consumatorul final) fără niciun intermediar, se acordă 15 puncte.</w:t>
            </w:r>
          </w:p>
          <w:p w14:paraId="3A4C8EAB" w14:textId="77777777" w:rsidR="0085792D" w:rsidRPr="00BC045E" w:rsidRDefault="0085792D" w:rsidP="009A362C">
            <w:pPr>
              <w:pStyle w:val="BodyText"/>
              <w:spacing w:after="0"/>
              <w:contextualSpacing/>
              <w:rPr>
                <w:rFonts w:cs="Arial"/>
                <w:sz w:val="24"/>
              </w:rPr>
            </w:pPr>
          </w:p>
        </w:tc>
        <w:tc>
          <w:tcPr>
            <w:tcW w:w="3117" w:type="dxa"/>
          </w:tcPr>
          <w:p w14:paraId="260A1475" w14:textId="77777777" w:rsidR="0085792D" w:rsidRDefault="0085792D" w:rsidP="009A362C">
            <w:pPr>
              <w:jc w:val="center"/>
              <w:rPr>
                <w:rFonts w:ascii="Trebuchet MS" w:hAnsi="Trebuchet MS"/>
                <w:b/>
                <w:sz w:val="24"/>
                <w:szCs w:val="24"/>
              </w:rPr>
            </w:pPr>
          </w:p>
        </w:tc>
      </w:tr>
      <w:tr w:rsidR="0085792D" w14:paraId="3EBDD0BD" w14:textId="77777777" w:rsidTr="009A362C">
        <w:tc>
          <w:tcPr>
            <w:tcW w:w="3116" w:type="dxa"/>
            <w:vMerge/>
          </w:tcPr>
          <w:p w14:paraId="308E8477" w14:textId="77777777" w:rsidR="0085792D" w:rsidRPr="00432C2A" w:rsidRDefault="0085792D" w:rsidP="009A362C">
            <w:pPr>
              <w:pStyle w:val="BodyText"/>
              <w:spacing w:after="0"/>
              <w:contextualSpacing/>
              <w:rPr>
                <w:rFonts w:cs="Arial"/>
                <w:sz w:val="24"/>
                <w:u w:val="single"/>
              </w:rPr>
            </w:pPr>
          </w:p>
        </w:tc>
        <w:tc>
          <w:tcPr>
            <w:tcW w:w="3117" w:type="dxa"/>
          </w:tcPr>
          <w:p w14:paraId="248C1AC7" w14:textId="77777777" w:rsidR="0085792D" w:rsidRPr="00510984" w:rsidRDefault="0085792D" w:rsidP="0085792D">
            <w:pPr>
              <w:pStyle w:val="BodyText"/>
              <w:rPr>
                <w:rFonts w:cs="Arial"/>
                <w:sz w:val="24"/>
              </w:rPr>
            </w:pPr>
            <w:r w:rsidRPr="00510984">
              <w:rPr>
                <w:rFonts w:cs="Arial"/>
                <w:sz w:val="24"/>
              </w:rPr>
              <w:t>b) pentru ofertele care propun în lanțul de livrare (de la producător la consumatorul final) un intermediar, se acordă 10 puncte.</w:t>
            </w:r>
          </w:p>
          <w:p w14:paraId="526CAA8B" w14:textId="77777777" w:rsidR="0085792D" w:rsidRPr="00BC045E" w:rsidRDefault="0085792D" w:rsidP="009A362C">
            <w:pPr>
              <w:pStyle w:val="BodyText"/>
              <w:tabs>
                <w:tab w:val="left" w:pos="2193"/>
              </w:tabs>
              <w:spacing w:after="0"/>
              <w:contextualSpacing/>
              <w:rPr>
                <w:rFonts w:cs="Arial"/>
                <w:sz w:val="24"/>
              </w:rPr>
            </w:pPr>
          </w:p>
        </w:tc>
        <w:tc>
          <w:tcPr>
            <w:tcW w:w="3117" w:type="dxa"/>
          </w:tcPr>
          <w:p w14:paraId="2DD77C06" w14:textId="77777777" w:rsidR="0085792D" w:rsidRDefault="0085792D" w:rsidP="009A362C">
            <w:pPr>
              <w:jc w:val="center"/>
              <w:rPr>
                <w:rFonts w:ascii="Trebuchet MS" w:hAnsi="Trebuchet MS"/>
                <w:b/>
                <w:sz w:val="24"/>
                <w:szCs w:val="24"/>
              </w:rPr>
            </w:pPr>
          </w:p>
        </w:tc>
      </w:tr>
      <w:tr w:rsidR="0085792D" w14:paraId="1675F8BE" w14:textId="77777777" w:rsidTr="009A362C">
        <w:tc>
          <w:tcPr>
            <w:tcW w:w="3116" w:type="dxa"/>
            <w:vMerge/>
          </w:tcPr>
          <w:p w14:paraId="12FDC558" w14:textId="77777777" w:rsidR="0085792D" w:rsidRPr="00432C2A" w:rsidRDefault="0085792D" w:rsidP="009A362C">
            <w:pPr>
              <w:pStyle w:val="BodyText"/>
              <w:spacing w:after="0"/>
              <w:contextualSpacing/>
              <w:rPr>
                <w:rFonts w:cs="Arial"/>
                <w:sz w:val="24"/>
                <w:u w:val="single"/>
              </w:rPr>
            </w:pPr>
          </w:p>
        </w:tc>
        <w:tc>
          <w:tcPr>
            <w:tcW w:w="3117" w:type="dxa"/>
          </w:tcPr>
          <w:p w14:paraId="54026A68" w14:textId="77777777" w:rsidR="0085792D" w:rsidRPr="00510984" w:rsidRDefault="0085792D" w:rsidP="0085792D">
            <w:pPr>
              <w:pStyle w:val="BodyText"/>
              <w:rPr>
                <w:rFonts w:cs="Arial"/>
                <w:sz w:val="24"/>
              </w:rPr>
            </w:pPr>
            <w:r w:rsidRPr="00510984">
              <w:rPr>
                <w:rFonts w:cs="Arial"/>
                <w:sz w:val="24"/>
              </w:rPr>
              <w:t>c) pentru ofertele care propun în lanțul de livrare (de la producător la consumatorul final) doi intermediari, se acordă 5 puncte.</w:t>
            </w:r>
          </w:p>
          <w:p w14:paraId="0B2CDC7A" w14:textId="77777777" w:rsidR="0085792D" w:rsidRPr="00BC045E" w:rsidRDefault="0085792D" w:rsidP="009A362C">
            <w:pPr>
              <w:pStyle w:val="BodyText"/>
              <w:spacing w:after="0"/>
              <w:contextualSpacing/>
              <w:rPr>
                <w:rFonts w:cs="Arial"/>
                <w:sz w:val="24"/>
              </w:rPr>
            </w:pPr>
          </w:p>
        </w:tc>
        <w:tc>
          <w:tcPr>
            <w:tcW w:w="3117" w:type="dxa"/>
          </w:tcPr>
          <w:p w14:paraId="5312E207" w14:textId="77777777" w:rsidR="0085792D" w:rsidRDefault="0085792D" w:rsidP="009A362C">
            <w:pPr>
              <w:jc w:val="center"/>
              <w:rPr>
                <w:rFonts w:ascii="Trebuchet MS" w:hAnsi="Trebuchet MS"/>
                <w:b/>
                <w:sz w:val="24"/>
                <w:szCs w:val="24"/>
              </w:rPr>
            </w:pPr>
          </w:p>
        </w:tc>
      </w:tr>
      <w:tr w:rsidR="0085792D" w14:paraId="1ED69253" w14:textId="77777777" w:rsidTr="009A362C">
        <w:tc>
          <w:tcPr>
            <w:tcW w:w="3116" w:type="dxa"/>
            <w:vMerge/>
          </w:tcPr>
          <w:p w14:paraId="32B38192" w14:textId="77777777" w:rsidR="0085792D" w:rsidRPr="00432C2A" w:rsidRDefault="0085792D" w:rsidP="009A362C">
            <w:pPr>
              <w:pStyle w:val="BodyText"/>
              <w:spacing w:after="0"/>
              <w:contextualSpacing/>
              <w:rPr>
                <w:rFonts w:cs="Arial"/>
                <w:sz w:val="24"/>
                <w:u w:val="single"/>
              </w:rPr>
            </w:pPr>
          </w:p>
        </w:tc>
        <w:tc>
          <w:tcPr>
            <w:tcW w:w="3117" w:type="dxa"/>
          </w:tcPr>
          <w:p w14:paraId="3E7BB6FC" w14:textId="77777777" w:rsidR="0085792D" w:rsidRPr="00510984" w:rsidRDefault="0085792D" w:rsidP="0085792D">
            <w:pPr>
              <w:pStyle w:val="BodyText"/>
              <w:rPr>
                <w:rFonts w:cs="Arial"/>
                <w:sz w:val="24"/>
              </w:rPr>
            </w:pPr>
            <w:r w:rsidRPr="00510984">
              <w:rPr>
                <w:rFonts w:cs="Arial"/>
                <w:sz w:val="24"/>
              </w:rPr>
              <w:t>d) pentru ofertele care propun în lanțul de livrare mai mult de doi intermediari implicați în lanțul de livrare, se acordă 0 puncte.</w:t>
            </w:r>
          </w:p>
          <w:p w14:paraId="2B7E8586" w14:textId="77777777" w:rsidR="0085792D" w:rsidRPr="00510984" w:rsidRDefault="0085792D" w:rsidP="0085792D">
            <w:pPr>
              <w:pStyle w:val="BodyText"/>
              <w:rPr>
                <w:rFonts w:cs="Arial"/>
                <w:sz w:val="24"/>
              </w:rPr>
            </w:pPr>
          </w:p>
        </w:tc>
        <w:tc>
          <w:tcPr>
            <w:tcW w:w="3117" w:type="dxa"/>
          </w:tcPr>
          <w:p w14:paraId="2FD52419" w14:textId="77777777" w:rsidR="0085792D" w:rsidRDefault="0085792D" w:rsidP="009A362C">
            <w:pPr>
              <w:jc w:val="center"/>
              <w:rPr>
                <w:rFonts w:ascii="Trebuchet MS" w:hAnsi="Trebuchet MS"/>
                <w:b/>
                <w:sz w:val="24"/>
                <w:szCs w:val="24"/>
              </w:rPr>
            </w:pPr>
          </w:p>
        </w:tc>
      </w:tr>
    </w:tbl>
    <w:p w14:paraId="2CB05DB9" w14:textId="77777777" w:rsidR="00F15754" w:rsidRPr="00F15754" w:rsidRDefault="00F15754" w:rsidP="00F15754">
      <w:pPr>
        <w:jc w:val="center"/>
        <w:rPr>
          <w:rFonts w:ascii="Trebuchet MS" w:hAnsi="Trebuchet MS"/>
          <w:b/>
          <w:sz w:val="24"/>
          <w:szCs w:val="24"/>
        </w:rPr>
      </w:pPr>
    </w:p>
    <w:sectPr w:rsidR="00F15754" w:rsidRPr="00F15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157"/>
    <w:rsid w:val="001C6157"/>
    <w:rsid w:val="004667AC"/>
    <w:rsid w:val="0085792D"/>
    <w:rsid w:val="00F15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CBDCD"/>
  <w15:chartTrackingRefBased/>
  <w15:docId w15:val="{91DA6BD9-33C7-4326-BE51-8DD58D4C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5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15754"/>
    <w:pPr>
      <w:widowControl w:val="0"/>
      <w:suppressAutoHyphens/>
      <w:spacing w:after="120" w:line="240" w:lineRule="auto"/>
      <w:jc w:val="both"/>
    </w:pPr>
    <w:rPr>
      <w:rFonts w:ascii="Trebuchet MS" w:eastAsia="Times New Roman" w:hAnsi="Trebuchet MS" w:cs="Times New Roman"/>
      <w:sz w:val="16"/>
      <w:szCs w:val="24"/>
      <w:lang w:eastAsia="zh-CN"/>
    </w:rPr>
  </w:style>
  <w:style w:type="character" w:customStyle="1" w:styleId="BodyTextChar">
    <w:name w:val="Body Text Char"/>
    <w:basedOn w:val="DefaultParagraphFont"/>
    <w:link w:val="BodyText"/>
    <w:rsid w:val="00F15754"/>
    <w:rPr>
      <w:rFonts w:ascii="Trebuchet MS" w:eastAsia="Times New Roman" w:hAnsi="Trebuchet MS" w:cs="Times New Roman"/>
      <w:sz w:val="16"/>
      <w:szCs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AE1BFF29624A4585C9E664686ADF2B"/>
        <w:category>
          <w:name w:val="General"/>
          <w:gallery w:val="placeholder"/>
        </w:category>
        <w:types>
          <w:type w:val="bbPlcHdr"/>
        </w:types>
        <w:behaviors>
          <w:behavior w:val="content"/>
        </w:behaviors>
        <w:guid w:val="{DEC75D3B-BEEE-4741-92DB-885F1316E319}"/>
      </w:docPartPr>
      <w:docPartBody>
        <w:p w:rsidR="00000000" w:rsidRDefault="00FD2920" w:rsidP="00FD2920">
          <w:pPr>
            <w:pStyle w:val="C6AE1BFF29624A4585C9E664686ADF2B"/>
          </w:pPr>
          <w:r w:rsidRPr="00AE2A19">
            <w:rPr>
              <w:rStyle w:val="PlaceholderText"/>
            </w:rPr>
            <w:t>Faceți clic sau atingeți aici pentru a introduce text.</w:t>
          </w:r>
        </w:p>
      </w:docPartBody>
    </w:docPart>
    <w:docPart>
      <w:docPartPr>
        <w:name w:val="3E4C8E87936548218807971FBA70CF4D"/>
        <w:category>
          <w:name w:val="General"/>
          <w:gallery w:val="placeholder"/>
        </w:category>
        <w:types>
          <w:type w:val="bbPlcHdr"/>
        </w:types>
        <w:behaviors>
          <w:behavior w:val="content"/>
        </w:behaviors>
        <w:guid w:val="{A572137D-4E7C-432F-8245-9EAB0626976F}"/>
      </w:docPartPr>
      <w:docPartBody>
        <w:p w:rsidR="00000000" w:rsidRDefault="00FD2920" w:rsidP="00FD2920">
          <w:pPr>
            <w:pStyle w:val="3E4C8E87936548218807971FBA70CF4D"/>
          </w:pPr>
          <w:r w:rsidRPr="0012386C">
            <w:rPr>
              <w:rStyle w:val="PlaceholderText"/>
              <w:color w:val="FF0000"/>
              <w:highlight w:val="yellow"/>
              <w:lang w:val="fr-FR"/>
            </w:rPr>
            <w:t>Introduceți obiectul achiziției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20"/>
    <w:rsid w:val="0029327C"/>
    <w:rsid w:val="00FD2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2920"/>
    <w:rPr>
      <w:color w:val="808080"/>
    </w:rPr>
  </w:style>
  <w:style w:type="paragraph" w:customStyle="1" w:styleId="C6AE1BFF29624A4585C9E664686ADF2B">
    <w:name w:val="C6AE1BFF29624A4585C9E664686ADF2B"/>
    <w:rsid w:val="00FD2920"/>
  </w:style>
  <w:style w:type="paragraph" w:customStyle="1" w:styleId="3E4C8E87936548218807971FBA70CF4D">
    <w:name w:val="3E4C8E87936548218807971FBA70CF4D"/>
    <w:rsid w:val="00FD29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ROMINA-MARIA RĂCESCU</dc:creator>
  <cp:keywords/>
  <dc:description/>
  <cp:lastModifiedBy>ROMINA-MARIA RĂCESCU</cp:lastModifiedBy>
  <cp:revision>2</cp:revision>
  <dcterms:created xsi:type="dcterms:W3CDTF">2025-09-02T12:20:00Z</dcterms:created>
  <dcterms:modified xsi:type="dcterms:W3CDTF">2025-09-02T12:33:00Z</dcterms:modified>
</cp:coreProperties>
</file>