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5F6D" w14:textId="3301FC80" w:rsidR="0053137C" w:rsidRPr="00AE5FF2" w:rsidRDefault="0053137C" w:rsidP="00A729C2">
      <w:pPr>
        <w:spacing w:after="0" w:line="240" w:lineRule="auto"/>
        <w:jc w:val="center"/>
        <w:rPr>
          <w:rFonts w:cs="Times New Roman"/>
          <w:b/>
          <w:sz w:val="24"/>
          <w:szCs w:val="24"/>
        </w:rPr>
      </w:pPr>
      <w:r w:rsidRPr="00AE5FF2">
        <w:rPr>
          <w:rFonts w:cs="Times New Roman"/>
          <w:b/>
          <w:sz w:val="24"/>
          <w:szCs w:val="24"/>
        </w:rPr>
        <w:t>SPECIFICA</w:t>
      </w:r>
      <w:r w:rsidR="00FA239F" w:rsidRPr="00AE5FF2">
        <w:rPr>
          <w:rFonts w:cs="Times New Roman"/>
          <w:b/>
          <w:sz w:val="24"/>
          <w:szCs w:val="24"/>
        </w:rPr>
        <w:t>Ț</w:t>
      </w:r>
      <w:r w:rsidRPr="00AE5FF2">
        <w:rPr>
          <w:rFonts w:cs="Times New Roman"/>
          <w:b/>
          <w:sz w:val="24"/>
          <w:szCs w:val="24"/>
        </w:rPr>
        <w:t>II TEHNICE</w:t>
      </w:r>
    </w:p>
    <w:p w14:paraId="2C937F93" w14:textId="77777777" w:rsidR="0053137C" w:rsidRPr="00AE5FF2" w:rsidRDefault="0053137C" w:rsidP="007E12A0">
      <w:pPr>
        <w:spacing w:after="0" w:line="240" w:lineRule="auto"/>
        <w:jc w:val="center"/>
        <w:rPr>
          <w:rFonts w:cs="Times New Roman"/>
          <w:b/>
          <w:sz w:val="24"/>
          <w:szCs w:val="24"/>
        </w:rPr>
      </w:pPr>
    </w:p>
    <w:p w14:paraId="4F2290DC" w14:textId="56E76433" w:rsidR="00991744" w:rsidRPr="00AE5FF2" w:rsidRDefault="0053137C" w:rsidP="007E12A0">
      <w:pPr>
        <w:spacing w:after="0" w:line="240" w:lineRule="auto"/>
        <w:jc w:val="center"/>
        <w:rPr>
          <w:rFonts w:cs="Times New Roman"/>
          <w:sz w:val="24"/>
          <w:szCs w:val="24"/>
        </w:rPr>
      </w:pPr>
      <w:r w:rsidRPr="00AE5FF2">
        <w:rPr>
          <w:rFonts w:cs="Times New Roman"/>
          <w:sz w:val="24"/>
          <w:szCs w:val="24"/>
        </w:rPr>
        <w:t xml:space="preserve">privind </w:t>
      </w:r>
      <w:r w:rsidR="00354073" w:rsidRPr="00AE5FF2">
        <w:rPr>
          <w:rFonts w:cs="Times New Roman"/>
          <w:bCs/>
          <w:sz w:val="24"/>
          <w:szCs w:val="24"/>
        </w:rPr>
        <w:t>achiziționarea de servicii de evaluare externă necesare implementării Cadrul</w:t>
      </w:r>
      <w:r w:rsidR="009C14D7">
        <w:rPr>
          <w:rFonts w:cs="Times New Roman"/>
          <w:bCs/>
          <w:sz w:val="24"/>
          <w:szCs w:val="24"/>
        </w:rPr>
        <w:t>ui</w:t>
      </w:r>
      <w:r w:rsidR="00354073" w:rsidRPr="00AE5FF2">
        <w:rPr>
          <w:rFonts w:cs="Times New Roman"/>
          <w:bCs/>
          <w:sz w:val="24"/>
          <w:szCs w:val="24"/>
        </w:rPr>
        <w:t xml:space="preserve"> general de obligațiuni </w:t>
      </w:r>
      <w:r w:rsidR="00354073" w:rsidRPr="00AE5FF2">
        <w:rPr>
          <w:rFonts w:cs="Times New Roman"/>
          <w:bCs/>
          <w:iCs/>
          <w:sz w:val="24"/>
          <w:szCs w:val="24"/>
        </w:rPr>
        <w:t>destinate protejării mediului înconjurător și combaterii schimbărilor climatice, precum și servicii de evaluare externă a rapoartelor de alocare aferente obligațiunilor verzi emise de România prin Ministerul Finanțelor</w:t>
      </w:r>
    </w:p>
    <w:p w14:paraId="6A1B98B6" w14:textId="1F2ECD50" w:rsidR="00BD2EC2" w:rsidRPr="00AE5FF2" w:rsidRDefault="00BD2EC2" w:rsidP="007E12A0">
      <w:pPr>
        <w:pStyle w:val="ListParagraph"/>
        <w:spacing w:after="0" w:line="240" w:lineRule="auto"/>
        <w:ind w:left="284"/>
        <w:jc w:val="both"/>
        <w:rPr>
          <w:rFonts w:cs="Times New Roman"/>
          <w:b/>
          <w:sz w:val="24"/>
          <w:szCs w:val="24"/>
          <w:u w:val="single"/>
        </w:rPr>
      </w:pPr>
    </w:p>
    <w:p w14:paraId="3FBE7122" w14:textId="77777777" w:rsidR="00BD2EC2" w:rsidRPr="00AE5FF2" w:rsidRDefault="00BD2EC2" w:rsidP="007E12A0">
      <w:pPr>
        <w:pStyle w:val="ListParagraph"/>
        <w:spacing w:after="0" w:line="240" w:lineRule="auto"/>
        <w:ind w:left="284"/>
        <w:jc w:val="both"/>
        <w:rPr>
          <w:rFonts w:cs="Times New Roman"/>
          <w:b/>
          <w:sz w:val="24"/>
          <w:szCs w:val="24"/>
          <w:u w:val="single"/>
        </w:rPr>
      </w:pPr>
    </w:p>
    <w:p w14:paraId="61B1E032" w14:textId="17108712" w:rsidR="00991744" w:rsidRPr="00AE5FF2" w:rsidRDefault="00485769" w:rsidP="000660C1">
      <w:pPr>
        <w:pStyle w:val="ListParagraph"/>
        <w:spacing w:after="0" w:line="240" w:lineRule="auto"/>
        <w:ind w:left="0"/>
        <w:jc w:val="both"/>
        <w:rPr>
          <w:rFonts w:cs="Times New Roman"/>
          <w:b/>
          <w:sz w:val="24"/>
          <w:szCs w:val="24"/>
          <w:u w:val="single"/>
        </w:rPr>
      </w:pPr>
      <w:r w:rsidRPr="00AE5FF2">
        <w:rPr>
          <w:rFonts w:cs="Times New Roman"/>
          <w:b/>
          <w:sz w:val="24"/>
          <w:szCs w:val="24"/>
          <w:u w:val="single"/>
        </w:rPr>
        <w:t>S</w:t>
      </w:r>
      <w:r w:rsidR="00D716E4" w:rsidRPr="00AE5FF2">
        <w:rPr>
          <w:rFonts w:cs="Times New Roman"/>
          <w:b/>
          <w:sz w:val="24"/>
          <w:szCs w:val="24"/>
          <w:u w:val="single"/>
        </w:rPr>
        <w:t xml:space="preserve">ervicii de </w:t>
      </w:r>
      <w:r w:rsidR="00B9779E" w:rsidRPr="00AE5FF2">
        <w:rPr>
          <w:rFonts w:cs="Times New Roman"/>
          <w:b/>
          <w:sz w:val="24"/>
          <w:szCs w:val="24"/>
          <w:u w:val="single"/>
        </w:rPr>
        <w:t>asistență</w:t>
      </w:r>
      <w:r w:rsidR="00D716E4" w:rsidRPr="00AE5FF2">
        <w:rPr>
          <w:rFonts w:cs="Times New Roman"/>
          <w:b/>
          <w:sz w:val="24"/>
          <w:szCs w:val="24"/>
          <w:u w:val="single"/>
        </w:rPr>
        <w:t xml:space="preserve"> </w:t>
      </w:r>
      <w:r w:rsidR="00987328" w:rsidRPr="00AE5FF2">
        <w:rPr>
          <w:rFonts w:cs="Times New Roman"/>
          <w:b/>
          <w:sz w:val="24"/>
          <w:szCs w:val="24"/>
          <w:u w:val="single"/>
        </w:rPr>
        <w:t>de evaluare externă</w:t>
      </w:r>
      <w:r w:rsidR="00B9779E" w:rsidRPr="00AE5FF2">
        <w:rPr>
          <w:rFonts w:cs="Times New Roman"/>
          <w:b/>
          <w:sz w:val="24"/>
          <w:szCs w:val="24"/>
          <w:u w:val="single"/>
        </w:rPr>
        <w:t xml:space="preserve"> solicitate</w:t>
      </w:r>
      <w:r w:rsidR="00D716E4" w:rsidRPr="00AE5FF2">
        <w:rPr>
          <w:rFonts w:cs="Times New Roman"/>
          <w:b/>
          <w:sz w:val="24"/>
          <w:szCs w:val="24"/>
          <w:u w:val="single"/>
        </w:rPr>
        <w:t>:</w:t>
      </w:r>
    </w:p>
    <w:p w14:paraId="67513CA6" w14:textId="77777777" w:rsidR="005C3664" w:rsidRPr="00AE5FF2" w:rsidRDefault="005C3664">
      <w:pPr>
        <w:spacing w:after="0" w:line="240" w:lineRule="auto"/>
        <w:jc w:val="both"/>
        <w:rPr>
          <w:rFonts w:cs="Times New Roman"/>
          <w:sz w:val="24"/>
          <w:szCs w:val="24"/>
        </w:rPr>
      </w:pPr>
    </w:p>
    <w:p w14:paraId="0B0147B5" w14:textId="72F73053" w:rsidR="007433E9" w:rsidRPr="00AE5FF2" w:rsidRDefault="007433E9">
      <w:pPr>
        <w:spacing w:after="0" w:line="240" w:lineRule="auto"/>
        <w:jc w:val="both"/>
        <w:rPr>
          <w:rFonts w:cs="Times New Roman"/>
          <w:b/>
          <w:sz w:val="24"/>
          <w:szCs w:val="24"/>
          <w:u w:val="single"/>
        </w:rPr>
      </w:pPr>
      <w:r w:rsidRPr="00AE5FF2">
        <w:rPr>
          <w:rFonts w:cs="Times New Roman"/>
          <w:b/>
          <w:sz w:val="24"/>
          <w:szCs w:val="24"/>
          <w:u w:val="single"/>
        </w:rPr>
        <w:t>Descriere generală:</w:t>
      </w:r>
    </w:p>
    <w:p w14:paraId="3173D549" w14:textId="77777777" w:rsidR="00687436" w:rsidRPr="00AE5FF2" w:rsidRDefault="00687436">
      <w:pPr>
        <w:spacing w:before="120" w:after="120" w:line="240" w:lineRule="auto"/>
        <w:jc w:val="both"/>
        <w:rPr>
          <w:rFonts w:cs="Times New Roman"/>
          <w:bCs/>
          <w:sz w:val="24"/>
          <w:szCs w:val="24"/>
        </w:rPr>
      </w:pPr>
      <w:r w:rsidRPr="00AE5FF2">
        <w:rPr>
          <w:rFonts w:cs="Times New Roman"/>
          <w:bCs/>
          <w:sz w:val="24"/>
          <w:szCs w:val="24"/>
        </w:rPr>
        <w:t xml:space="preserve">În conformitate cu prevederile legislației privind datoria publică (OUG nr. 64/2007 privind datoria publică și normele de aplicare aprobate prin HG nr. 1470/2007), MF este autorizat să emită titluri de stat, atât pe piața internă, cât și pe piața externă </w:t>
      </w:r>
      <w:r w:rsidRPr="00AE5FF2">
        <w:rPr>
          <w:rFonts w:cs="Times New Roman"/>
          <w:sz w:val="24"/>
          <w:szCs w:val="24"/>
        </w:rPr>
        <w:t>în scopul finanțării proiectelor/cheltuielilor care sunt destinate protejării mediului înconjurător și combaterii schimbărilor climatice, precum și a celor din domeniul social și de dezvoltare durabilă, în baza unui cadru special aprobat prin hotărâre a Guvernului</w:t>
      </w:r>
      <w:r w:rsidRPr="00AE5FF2">
        <w:rPr>
          <w:rFonts w:cs="Times New Roman"/>
          <w:bCs/>
          <w:sz w:val="24"/>
          <w:szCs w:val="24"/>
        </w:rPr>
        <w:t xml:space="preserve">. </w:t>
      </w:r>
    </w:p>
    <w:p w14:paraId="374E5CA2" w14:textId="5DE80C8D" w:rsidR="00F72FD7" w:rsidRPr="00AE5FF2" w:rsidRDefault="00687436">
      <w:pPr>
        <w:spacing w:before="120" w:after="120" w:line="240" w:lineRule="auto"/>
        <w:jc w:val="both"/>
        <w:rPr>
          <w:rFonts w:ascii="Calibri" w:hAnsi="Calibri" w:cs="Arial"/>
          <w:bCs/>
          <w:iCs/>
          <w:sz w:val="24"/>
          <w:szCs w:val="24"/>
        </w:rPr>
      </w:pPr>
      <w:r w:rsidRPr="00AE5FF2">
        <w:rPr>
          <w:rFonts w:cs="Times New Roman"/>
          <w:bCs/>
          <w:sz w:val="24"/>
          <w:szCs w:val="24"/>
        </w:rPr>
        <w:t>Potrivit Strategiei de administrare a datoriei publice guvernamentale 2022-2024, una dintre liniile directoare pe termen mediu este introducerea emisiunilor de obligațiuni verzi, prin crearea Cadrului general pentru obligațiuni verzi la nivel suveran</w:t>
      </w:r>
      <w:r w:rsidR="00DA147D">
        <w:rPr>
          <w:rFonts w:cs="Times New Roman"/>
          <w:bCs/>
          <w:sz w:val="24"/>
          <w:szCs w:val="24"/>
        </w:rPr>
        <w:t xml:space="preserve"> </w:t>
      </w:r>
      <w:r w:rsidR="00DA147D" w:rsidRPr="00DA147D">
        <w:rPr>
          <w:rFonts w:cs="Times New Roman"/>
          <w:bCs/>
          <w:sz w:val="24"/>
          <w:szCs w:val="24"/>
        </w:rPr>
        <w:t>(denumit în continuare Cadrul general)</w:t>
      </w:r>
      <w:r w:rsidRPr="00AE5FF2">
        <w:rPr>
          <w:rFonts w:cs="Times New Roman"/>
          <w:bCs/>
          <w:sz w:val="24"/>
          <w:szCs w:val="24"/>
        </w:rPr>
        <w:t xml:space="preserve">, prin eforturi coordonate la nivelul ministerelor de linie pentru identificarea cheltuielilor/proiectelor care vor face obiectul finanțării prin aceste obligațiuni. De asemenea, în conformitate cu Programul indicativ de emisiuni de titluri de stat aferent anului 2023, Ministerul Finanțelor are în vedere posibilitatea includerii în planul de finanțare și a emisiunilor de obligațiuni verzi, în funcție de finalizarea Cadrului general </w:t>
      </w:r>
      <w:r w:rsidR="00F72FD7" w:rsidRPr="00AE5FF2">
        <w:rPr>
          <w:rFonts w:cs="Times New Roman"/>
          <w:sz w:val="24"/>
          <w:szCs w:val="24"/>
        </w:rPr>
        <w:t xml:space="preserve">. </w:t>
      </w:r>
      <w:r w:rsidRPr="00AE5FF2">
        <w:rPr>
          <w:rFonts w:ascii="Calibri" w:hAnsi="Calibri" w:cs="Arial"/>
          <w:bCs/>
          <w:iCs/>
          <w:sz w:val="24"/>
          <w:szCs w:val="24"/>
        </w:rPr>
        <w:t>În procesul de creare și implementare a Cadrului</w:t>
      </w:r>
      <w:r w:rsidR="00B8504D">
        <w:rPr>
          <w:rFonts w:ascii="Calibri" w:hAnsi="Calibri" w:cs="Arial"/>
          <w:bCs/>
          <w:iCs/>
          <w:sz w:val="24"/>
          <w:szCs w:val="24"/>
        </w:rPr>
        <w:t xml:space="preserve"> general</w:t>
      </w:r>
      <w:r w:rsidRPr="00AE5FF2">
        <w:rPr>
          <w:rFonts w:ascii="Calibri" w:hAnsi="Calibri" w:cs="Arial"/>
          <w:bCs/>
          <w:iCs/>
          <w:sz w:val="24"/>
          <w:szCs w:val="24"/>
        </w:rPr>
        <w:t xml:space="preserve"> Ministerul Finanțelor beneficiază de asistență tehnică din partea Băncii Mondiale.</w:t>
      </w:r>
    </w:p>
    <w:p w14:paraId="09988747" w14:textId="4562072A" w:rsidR="00687436" w:rsidRPr="00AE5FF2" w:rsidRDefault="00687436">
      <w:pPr>
        <w:spacing w:before="120" w:after="120" w:line="240" w:lineRule="auto"/>
        <w:jc w:val="both"/>
        <w:rPr>
          <w:rFonts w:cs="Times New Roman"/>
          <w:sz w:val="24"/>
          <w:szCs w:val="24"/>
        </w:rPr>
      </w:pPr>
      <w:r w:rsidRPr="00AE5FF2">
        <w:rPr>
          <w:rFonts w:ascii="Calibri" w:hAnsi="Calibri" w:cs="Arial"/>
          <w:bCs/>
          <w:iCs/>
          <w:sz w:val="24"/>
          <w:szCs w:val="24"/>
        </w:rPr>
        <w:t xml:space="preserve">În vederea realizării emisiunii inaugurale de obligațiuni verzi Ministerul Finanțelor trebuie să contracteze servicii de evaluare externă pentru Cadrul </w:t>
      </w:r>
      <w:r w:rsidR="002B6FB5" w:rsidRPr="00AE5FF2">
        <w:rPr>
          <w:rFonts w:ascii="Calibri" w:hAnsi="Calibri" w:cs="Arial"/>
          <w:bCs/>
          <w:iCs/>
          <w:sz w:val="24"/>
          <w:szCs w:val="24"/>
        </w:rPr>
        <w:t xml:space="preserve">general </w:t>
      </w:r>
      <w:r w:rsidRPr="00AE5FF2">
        <w:rPr>
          <w:rFonts w:ascii="Calibri" w:hAnsi="Calibri" w:cs="Arial"/>
          <w:bCs/>
          <w:iCs/>
          <w:sz w:val="24"/>
          <w:szCs w:val="24"/>
        </w:rPr>
        <w:t>aferent acestor obligațiuni.</w:t>
      </w:r>
    </w:p>
    <w:p w14:paraId="6AD9F1B8" w14:textId="60C422E7" w:rsidR="00D45157" w:rsidRPr="00AE5FF2" w:rsidRDefault="00C8032E">
      <w:pPr>
        <w:spacing w:before="120" w:after="120" w:line="240" w:lineRule="auto"/>
        <w:jc w:val="both"/>
        <w:rPr>
          <w:rFonts w:cs="Times New Roman"/>
          <w:sz w:val="24"/>
          <w:szCs w:val="24"/>
        </w:rPr>
      </w:pPr>
      <w:r>
        <w:rPr>
          <w:rFonts w:cs="Times New Roman"/>
          <w:sz w:val="24"/>
          <w:szCs w:val="24"/>
        </w:rPr>
        <w:t>S</w:t>
      </w:r>
      <w:r w:rsidR="00D45157" w:rsidRPr="00AE5FF2">
        <w:rPr>
          <w:rFonts w:cs="Times New Roman"/>
          <w:sz w:val="24"/>
          <w:szCs w:val="24"/>
        </w:rPr>
        <w:t>erviciil</w:t>
      </w:r>
      <w:r>
        <w:rPr>
          <w:rFonts w:cs="Times New Roman"/>
          <w:sz w:val="24"/>
          <w:szCs w:val="24"/>
        </w:rPr>
        <w:t>e</w:t>
      </w:r>
      <w:r w:rsidR="00D45157" w:rsidRPr="00AE5FF2">
        <w:rPr>
          <w:rFonts w:cs="Times New Roman"/>
          <w:sz w:val="24"/>
          <w:szCs w:val="24"/>
        </w:rPr>
        <w:t xml:space="preserve"> de </w:t>
      </w:r>
      <w:r w:rsidR="00687436" w:rsidRPr="00AE5FF2">
        <w:rPr>
          <w:rFonts w:cs="Times New Roman"/>
          <w:sz w:val="24"/>
          <w:szCs w:val="24"/>
        </w:rPr>
        <w:t>evaluare externă</w:t>
      </w:r>
      <w:r w:rsidR="00354073" w:rsidRPr="00AE5FF2">
        <w:rPr>
          <w:rFonts w:cs="Times New Roman"/>
          <w:sz w:val="24"/>
          <w:szCs w:val="24"/>
        </w:rPr>
        <w:t xml:space="preserve"> </w:t>
      </w:r>
      <w:r w:rsidR="00AD7C52" w:rsidRPr="00AE5FF2">
        <w:rPr>
          <w:rFonts w:cs="Times New Roman"/>
          <w:sz w:val="24"/>
          <w:szCs w:val="24"/>
        </w:rPr>
        <w:t xml:space="preserve">a Cadrului </w:t>
      </w:r>
      <w:r w:rsidR="002B6FB5" w:rsidRPr="00AE5FF2">
        <w:rPr>
          <w:rFonts w:ascii="Calibri" w:hAnsi="Calibri" w:cs="Arial"/>
          <w:bCs/>
          <w:iCs/>
          <w:sz w:val="24"/>
          <w:szCs w:val="24"/>
        </w:rPr>
        <w:t>general</w:t>
      </w:r>
      <w:r w:rsidR="00F54550" w:rsidRPr="00AE5FF2">
        <w:rPr>
          <w:rFonts w:cs="Times New Roman"/>
          <w:sz w:val="24"/>
          <w:szCs w:val="24"/>
        </w:rPr>
        <w:t xml:space="preserve"> </w:t>
      </w:r>
      <w:r w:rsidR="00EF4CD6">
        <w:rPr>
          <w:rFonts w:cs="Times New Roman"/>
          <w:sz w:val="24"/>
          <w:szCs w:val="24"/>
        </w:rPr>
        <w:t>pot</w:t>
      </w:r>
      <w:r w:rsidR="00AD7C52" w:rsidRPr="00AE5FF2">
        <w:rPr>
          <w:rFonts w:cs="Times New Roman"/>
          <w:sz w:val="24"/>
          <w:szCs w:val="24"/>
        </w:rPr>
        <w:t xml:space="preserve"> fi prestate în cursul anului 2023</w:t>
      </w:r>
      <w:r w:rsidR="00350D3F">
        <w:rPr>
          <w:rFonts w:cs="Times New Roman"/>
          <w:sz w:val="24"/>
          <w:szCs w:val="24"/>
        </w:rPr>
        <w:t>,</w:t>
      </w:r>
      <w:r w:rsidR="00AD7C52" w:rsidRPr="00AE5FF2">
        <w:rPr>
          <w:rFonts w:cs="Times New Roman"/>
          <w:sz w:val="24"/>
          <w:szCs w:val="24"/>
        </w:rPr>
        <w:t xml:space="preserve"> iar</w:t>
      </w:r>
      <w:r w:rsidR="00E06D7F" w:rsidRPr="00AE5FF2">
        <w:rPr>
          <w:rFonts w:cs="Times New Roman"/>
          <w:sz w:val="24"/>
          <w:szCs w:val="24"/>
        </w:rPr>
        <w:t xml:space="preserve"> prestarea serviciilor</w:t>
      </w:r>
      <w:r w:rsidR="00AD7C52" w:rsidRPr="00AE5FF2">
        <w:rPr>
          <w:rFonts w:cs="Times New Roman"/>
          <w:sz w:val="24"/>
          <w:szCs w:val="24"/>
        </w:rPr>
        <w:t xml:space="preserve"> de evaluare externă a rapoartelor de alocare aferente obligațiunilor verzi emise de România prin Ministerul Finanțelor </w:t>
      </w:r>
      <w:r w:rsidR="00E06D7F" w:rsidRPr="00AE5FF2">
        <w:rPr>
          <w:rFonts w:cs="Times New Roman"/>
          <w:sz w:val="24"/>
          <w:szCs w:val="24"/>
        </w:rPr>
        <w:t>se v</w:t>
      </w:r>
      <w:r w:rsidR="00350D3F">
        <w:rPr>
          <w:rFonts w:cs="Times New Roman"/>
          <w:sz w:val="24"/>
          <w:szCs w:val="24"/>
        </w:rPr>
        <w:t>a</w:t>
      </w:r>
      <w:r w:rsidR="00E06D7F" w:rsidRPr="00AE5FF2">
        <w:rPr>
          <w:rFonts w:cs="Times New Roman"/>
          <w:sz w:val="24"/>
          <w:szCs w:val="24"/>
        </w:rPr>
        <w:t xml:space="preserve"> realiza </w:t>
      </w:r>
      <w:r w:rsidR="005664D8" w:rsidRPr="00AE5FF2">
        <w:rPr>
          <w:rFonts w:cs="Times New Roman"/>
          <w:sz w:val="24"/>
          <w:szCs w:val="24"/>
        </w:rPr>
        <w:t xml:space="preserve">estimativ </w:t>
      </w:r>
      <w:r w:rsidR="00AD7C52" w:rsidRPr="00105CE3">
        <w:rPr>
          <w:rFonts w:cs="Times New Roman"/>
          <w:sz w:val="24"/>
          <w:szCs w:val="24"/>
        </w:rPr>
        <w:t>în cursul anului 2024</w:t>
      </w:r>
      <w:r w:rsidR="00350D3F">
        <w:rPr>
          <w:rFonts w:cs="Times New Roman"/>
          <w:sz w:val="24"/>
          <w:szCs w:val="24"/>
        </w:rPr>
        <w:t>,</w:t>
      </w:r>
      <w:r w:rsidR="005664D8" w:rsidRPr="00AE5FF2">
        <w:rPr>
          <w:rFonts w:cs="Times New Roman"/>
          <w:sz w:val="24"/>
          <w:szCs w:val="24"/>
        </w:rPr>
        <w:t xml:space="preserve"> în funcție de utilizarea fondurilor încasate prin emisiunea de obligațiuni</w:t>
      </w:r>
      <w:r w:rsidR="00AD7C52" w:rsidRPr="00AE5FF2">
        <w:rPr>
          <w:rFonts w:cs="Times New Roman"/>
          <w:sz w:val="24"/>
          <w:szCs w:val="24"/>
        </w:rPr>
        <w:t>.</w:t>
      </w:r>
    </w:p>
    <w:p w14:paraId="6B86BB80" w14:textId="33FA5AEA" w:rsidR="00C14FE9" w:rsidRPr="00896FB8" w:rsidRDefault="00C14FE9">
      <w:pPr>
        <w:spacing w:after="0" w:line="240" w:lineRule="auto"/>
        <w:jc w:val="both"/>
        <w:rPr>
          <w:rFonts w:cs="Times New Roman"/>
          <w:sz w:val="24"/>
          <w:szCs w:val="24"/>
        </w:rPr>
      </w:pPr>
      <w:r w:rsidRPr="00AE5FF2">
        <w:rPr>
          <w:rFonts w:cs="Times New Roman"/>
          <w:sz w:val="24"/>
          <w:szCs w:val="24"/>
        </w:rPr>
        <w:t xml:space="preserve">Ministerul Finanțelor intenționează să implementeze un program suveran de obligațiuni verzi (tematice) și împrumuturi pentru a finanța cheltuielile esențiale pentru a facilita tranziția către o economie cu emisii scăzute de carbon, pentru a proteja mediul și pentru a promova prioritățile României din cadrul Obiectivelor de Dezvoltare Durabilă ale Națiunilor Unite. Direcția Generală a Trezoreriei și Datoriei Publice lucrează cu Banca Mondială pentru a stabili o structură de guvernanță robustă pentru debutul României pe piața obligațiunilor tematice, în conformitate cu Principiile Obligațiunilor Verzi ale Asociației Internaționale </w:t>
      </w:r>
      <w:r w:rsidR="008749E6" w:rsidRPr="00AE5FF2">
        <w:rPr>
          <w:rFonts w:cs="Times New Roman"/>
          <w:sz w:val="24"/>
          <w:szCs w:val="24"/>
        </w:rPr>
        <w:t xml:space="preserve">a Piețelor </w:t>
      </w:r>
      <w:r w:rsidRPr="00AE5FF2">
        <w:rPr>
          <w:rFonts w:cs="Times New Roman"/>
          <w:sz w:val="24"/>
          <w:szCs w:val="24"/>
        </w:rPr>
        <w:t>de Capital.</w:t>
      </w:r>
    </w:p>
    <w:p w14:paraId="38BF4BAE" w14:textId="6AE79D68" w:rsidR="000A22AB" w:rsidRPr="00AE5FF2" w:rsidRDefault="000A22AB">
      <w:pPr>
        <w:spacing w:after="0" w:line="240" w:lineRule="auto"/>
        <w:jc w:val="both"/>
        <w:rPr>
          <w:rFonts w:cs="Times New Roman"/>
          <w:sz w:val="24"/>
          <w:szCs w:val="24"/>
        </w:rPr>
      </w:pPr>
    </w:p>
    <w:p w14:paraId="2EBC5B5A" w14:textId="7905CE7E" w:rsidR="00C14FE9" w:rsidRPr="00AE5FF2" w:rsidRDefault="00C14FE9">
      <w:pPr>
        <w:spacing w:after="0" w:line="240" w:lineRule="auto"/>
        <w:jc w:val="both"/>
        <w:rPr>
          <w:rFonts w:cs="Times New Roman"/>
          <w:sz w:val="24"/>
          <w:szCs w:val="24"/>
        </w:rPr>
      </w:pPr>
      <w:r w:rsidRPr="00AE5FF2">
        <w:rPr>
          <w:rFonts w:cs="Times New Roman"/>
          <w:sz w:val="24"/>
          <w:szCs w:val="24"/>
        </w:rPr>
        <w:t xml:space="preserve">Direcția Generală de Trezorerie și Datorie Publică din cadrul Ministerului Finanțelor </w:t>
      </w:r>
      <w:r w:rsidR="00E06D7F" w:rsidRPr="00AE5FF2">
        <w:rPr>
          <w:rFonts w:cs="Times New Roman"/>
          <w:sz w:val="24"/>
          <w:szCs w:val="24"/>
        </w:rPr>
        <w:t>elaborează în prezent</w:t>
      </w:r>
      <w:r w:rsidRPr="00AE5FF2">
        <w:rPr>
          <w:rFonts w:cs="Times New Roman"/>
          <w:sz w:val="24"/>
          <w:szCs w:val="24"/>
        </w:rPr>
        <w:t xml:space="preserve"> un Cadru </w:t>
      </w:r>
      <w:r w:rsidR="00C3757C" w:rsidRPr="00AE5FF2">
        <w:rPr>
          <w:rFonts w:cs="Times New Roman"/>
          <w:sz w:val="24"/>
          <w:szCs w:val="24"/>
        </w:rPr>
        <w:t>general</w:t>
      </w:r>
      <w:r w:rsidRPr="00AE5FF2">
        <w:rPr>
          <w:rFonts w:cs="Times New Roman"/>
          <w:sz w:val="24"/>
          <w:szCs w:val="24"/>
        </w:rPr>
        <w:t xml:space="preserve"> în interesul transparenței, dezvăluirii, integrității și calității pentru a demonstra modul în care va emite obligațiuni tematice. DGTDP intenționează să obțină o evaluare externă pentru a verifica dacă Cadrul</w:t>
      </w:r>
      <w:r w:rsidR="00C3757C" w:rsidRPr="00AE5FF2">
        <w:rPr>
          <w:rFonts w:cs="Times New Roman"/>
          <w:sz w:val="24"/>
          <w:szCs w:val="24"/>
        </w:rPr>
        <w:t xml:space="preserve"> general</w:t>
      </w:r>
      <w:r w:rsidRPr="00AE5FF2">
        <w:rPr>
          <w:rFonts w:cs="Times New Roman"/>
          <w:sz w:val="24"/>
          <w:szCs w:val="24"/>
        </w:rPr>
        <w:t xml:space="preserve"> este în conformitate cu cele mai bune practici internaționale, astfel încât să ofere investitorilor o evaluare precisă a </w:t>
      </w:r>
      <w:r w:rsidRPr="00AE5FF2">
        <w:rPr>
          <w:rFonts w:cs="Times New Roman"/>
          <w:sz w:val="24"/>
          <w:szCs w:val="24"/>
        </w:rPr>
        <w:lastRenderedPageBreak/>
        <w:t>ambițiilor climatice</w:t>
      </w:r>
      <w:r w:rsidR="00257F66" w:rsidRPr="00AE5FF2">
        <w:rPr>
          <w:rFonts w:cs="Times New Roman"/>
          <w:sz w:val="24"/>
          <w:szCs w:val="24"/>
        </w:rPr>
        <w:t xml:space="preserve"> și</w:t>
      </w:r>
      <w:r w:rsidRPr="00AE5FF2">
        <w:rPr>
          <w:rFonts w:cs="Times New Roman"/>
          <w:sz w:val="24"/>
          <w:szCs w:val="24"/>
        </w:rPr>
        <w:t xml:space="preserve"> de mediu ale Cadrului </w:t>
      </w:r>
      <w:r w:rsidR="00C3757C" w:rsidRPr="00AE5FF2">
        <w:rPr>
          <w:rFonts w:cs="Times New Roman"/>
          <w:sz w:val="24"/>
          <w:szCs w:val="24"/>
        </w:rPr>
        <w:t>general</w:t>
      </w:r>
      <w:r w:rsidRPr="00AE5FF2">
        <w:rPr>
          <w:rFonts w:cs="Times New Roman"/>
          <w:sz w:val="24"/>
          <w:szCs w:val="24"/>
        </w:rPr>
        <w:t xml:space="preserve"> și robustețea structurii de guvernanță. </w:t>
      </w:r>
      <w:r w:rsidR="00C3757C" w:rsidRPr="00AE5FF2">
        <w:rPr>
          <w:rFonts w:cs="Times New Roman"/>
          <w:sz w:val="24"/>
          <w:szCs w:val="24"/>
        </w:rPr>
        <w:t>E</w:t>
      </w:r>
      <w:r w:rsidRPr="00AE5FF2">
        <w:rPr>
          <w:rFonts w:cs="Times New Roman"/>
          <w:sz w:val="24"/>
          <w:szCs w:val="24"/>
        </w:rPr>
        <w:t xml:space="preserve">valuarea </w:t>
      </w:r>
      <w:r w:rsidR="00C3757C" w:rsidRPr="00AE5FF2">
        <w:rPr>
          <w:rFonts w:cs="Times New Roman"/>
          <w:sz w:val="24"/>
          <w:szCs w:val="24"/>
        </w:rPr>
        <w:t>va</w:t>
      </w:r>
      <w:r w:rsidRPr="00AE5FF2">
        <w:rPr>
          <w:rFonts w:cs="Times New Roman"/>
          <w:sz w:val="24"/>
          <w:szCs w:val="24"/>
        </w:rPr>
        <w:t xml:space="preserve"> urm</w:t>
      </w:r>
      <w:r w:rsidR="00C3757C" w:rsidRPr="00AE5FF2">
        <w:rPr>
          <w:rFonts w:cs="Times New Roman"/>
          <w:sz w:val="24"/>
          <w:szCs w:val="24"/>
        </w:rPr>
        <w:t>a</w:t>
      </w:r>
      <w:r w:rsidRPr="00AE5FF2">
        <w:rPr>
          <w:rFonts w:cs="Times New Roman"/>
          <w:sz w:val="24"/>
          <w:szCs w:val="24"/>
        </w:rPr>
        <w:t xml:space="preserve"> liniile directoare pentru evaluările externe de obligațiuni verzi ale Asociației Intern</w:t>
      </w:r>
      <w:r w:rsidR="008749E6" w:rsidRPr="00AE5FF2">
        <w:rPr>
          <w:rFonts w:cs="Times New Roman"/>
          <w:sz w:val="24"/>
          <w:szCs w:val="24"/>
        </w:rPr>
        <w:t>aționale a Piețelor de Capital</w:t>
      </w:r>
      <w:r w:rsidRPr="00AE5FF2">
        <w:rPr>
          <w:rFonts w:cs="Times New Roman"/>
          <w:sz w:val="24"/>
          <w:szCs w:val="24"/>
        </w:rPr>
        <w:t>.</w:t>
      </w:r>
    </w:p>
    <w:p w14:paraId="0B094804" w14:textId="77777777" w:rsidR="00C14FE9" w:rsidRPr="00AE5FF2" w:rsidRDefault="00C14FE9">
      <w:pPr>
        <w:spacing w:after="0" w:line="240" w:lineRule="auto"/>
        <w:jc w:val="both"/>
        <w:rPr>
          <w:rFonts w:cs="Times New Roman"/>
          <w:sz w:val="24"/>
          <w:szCs w:val="24"/>
        </w:rPr>
      </w:pPr>
    </w:p>
    <w:p w14:paraId="7E1C88E5" w14:textId="45113485" w:rsidR="00C14FE9" w:rsidRPr="00896FB8" w:rsidRDefault="00C14FE9">
      <w:pPr>
        <w:spacing w:after="0" w:line="240" w:lineRule="auto"/>
        <w:jc w:val="both"/>
        <w:rPr>
          <w:rFonts w:cs="Times New Roman"/>
          <w:sz w:val="24"/>
          <w:szCs w:val="24"/>
        </w:rPr>
      </w:pPr>
      <w:r w:rsidRPr="00AE5FF2">
        <w:rPr>
          <w:rFonts w:cs="Times New Roman"/>
          <w:sz w:val="24"/>
          <w:szCs w:val="24"/>
        </w:rPr>
        <w:t>Având în vedere importanța tranzacției pentru a semnala angajamentul Guvernului României față de sustenabilitatea mediului, planurile de decarbonizare și obiectivele de dezvoltare durabilă, Ministerul Finanțelor va procura serviciile unui furnizor independent care să ofere o a doua opinie cu privire la Cadru</w:t>
      </w:r>
      <w:r w:rsidR="00C3757C" w:rsidRPr="00AE5FF2">
        <w:rPr>
          <w:rFonts w:cs="Times New Roman"/>
          <w:sz w:val="24"/>
          <w:szCs w:val="24"/>
        </w:rPr>
        <w:t>l general</w:t>
      </w:r>
      <w:r w:rsidRPr="00AE5FF2">
        <w:rPr>
          <w:rFonts w:cs="Times New Roman"/>
          <w:sz w:val="24"/>
          <w:szCs w:val="24"/>
        </w:rPr>
        <w:t xml:space="preserve"> și acreditările sale pozitive de mediu, asigurându-se că acesta este în conformitate cu cele mai bune practici internaționale și satisface așteptările investitorilor.</w:t>
      </w:r>
    </w:p>
    <w:p w14:paraId="528E867B" w14:textId="676574A8" w:rsidR="00C14FE9" w:rsidRDefault="00C14FE9">
      <w:pPr>
        <w:spacing w:after="0" w:line="240" w:lineRule="auto"/>
        <w:jc w:val="both"/>
        <w:rPr>
          <w:rFonts w:cs="Times New Roman"/>
          <w:sz w:val="24"/>
          <w:szCs w:val="24"/>
        </w:rPr>
      </w:pPr>
    </w:p>
    <w:p w14:paraId="3A392CF8" w14:textId="21126C9F" w:rsidR="006F2B5D" w:rsidRDefault="006F2B5D">
      <w:pPr>
        <w:spacing w:after="0" w:line="240" w:lineRule="auto"/>
        <w:jc w:val="both"/>
        <w:rPr>
          <w:rFonts w:cs="Times New Roman"/>
          <w:sz w:val="24"/>
          <w:szCs w:val="24"/>
        </w:rPr>
      </w:pPr>
    </w:p>
    <w:p w14:paraId="2D4AEDA0" w14:textId="1439F39C" w:rsidR="006F2B5D" w:rsidRPr="00896FB8" w:rsidRDefault="006F2B5D">
      <w:pPr>
        <w:spacing w:after="0" w:line="240" w:lineRule="auto"/>
        <w:jc w:val="both"/>
        <w:rPr>
          <w:rFonts w:cs="Times New Roman"/>
          <w:b/>
          <w:sz w:val="24"/>
          <w:szCs w:val="24"/>
        </w:rPr>
      </w:pPr>
      <w:r w:rsidRPr="009C7ADE">
        <w:rPr>
          <w:rFonts w:cs="Times New Roman"/>
          <w:b/>
          <w:sz w:val="24"/>
          <w:szCs w:val="24"/>
        </w:rPr>
        <w:t>I.</w:t>
      </w:r>
      <w:r w:rsidR="00C8032E">
        <w:rPr>
          <w:rFonts w:cs="Times New Roman"/>
          <w:b/>
          <w:sz w:val="24"/>
          <w:szCs w:val="24"/>
        </w:rPr>
        <w:t xml:space="preserve"> </w:t>
      </w:r>
      <w:r w:rsidRPr="00896FB8">
        <w:rPr>
          <w:rFonts w:cs="Times New Roman"/>
          <w:b/>
          <w:sz w:val="24"/>
          <w:szCs w:val="24"/>
        </w:rPr>
        <w:t xml:space="preserve">Cerințe specifice necesare încheierii contractului privind serviciile de evaluare externă  </w:t>
      </w:r>
    </w:p>
    <w:p w14:paraId="2E8AE806" w14:textId="77777777" w:rsidR="006F2B5D" w:rsidRPr="006F2B5D" w:rsidRDefault="006F2B5D">
      <w:pPr>
        <w:spacing w:after="0" w:line="240" w:lineRule="auto"/>
        <w:jc w:val="both"/>
        <w:rPr>
          <w:rFonts w:cs="Times New Roman"/>
          <w:sz w:val="24"/>
          <w:szCs w:val="24"/>
        </w:rPr>
      </w:pPr>
    </w:p>
    <w:p w14:paraId="21F3F0F1" w14:textId="77777777" w:rsidR="006F2B5D" w:rsidRPr="006F2B5D" w:rsidRDefault="006F2B5D">
      <w:pPr>
        <w:spacing w:after="0" w:line="240" w:lineRule="auto"/>
        <w:jc w:val="both"/>
        <w:rPr>
          <w:rFonts w:cs="Times New Roman"/>
          <w:sz w:val="24"/>
          <w:szCs w:val="24"/>
        </w:rPr>
      </w:pPr>
      <w:r w:rsidRPr="006F2B5D">
        <w:rPr>
          <w:rFonts w:cs="Times New Roman"/>
          <w:sz w:val="24"/>
          <w:szCs w:val="24"/>
        </w:rPr>
        <w:t>(1) Societatea de evaluare externă nu ar trebui să fie inclusă pe nicio listă neagră, respectiv să nu fie interzisă/descalificată de niciun organism de reglementare/statutar/sau altă organizație.</w:t>
      </w:r>
    </w:p>
    <w:p w14:paraId="266F2153" w14:textId="1067025B" w:rsidR="006F2B5D" w:rsidRPr="006F2B5D" w:rsidRDefault="009C7ADE">
      <w:pPr>
        <w:spacing w:after="0" w:line="240" w:lineRule="auto"/>
        <w:jc w:val="both"/>
        <w:rPr>
          <w:rFonts w:cs="Times New Roman"/>
          <w:sz w:val="24"/>
          <w:szCs w:val="24"/>
        </w:rPr>
      </w:pPr>
      <w:r>
        <w:rPr>
          <w:rFonts w:cs="Times New Roman"/>
          <w:sz w:val="24"/>
          <w:szCs w:val="24"/>
        </w:rPr>
        <w:t>(2</w:t>
      </w:r>
      <w:r w:rsidRPr="000660C1">
        <w:rPr>
          <w:rFonts w:cs="Times New Roman"/>
          <w:sz w:val="24"/>
          <w:szCs w:val="24"/>
        </w:rPr>
        <w:t xml:space="preserve">) Societatea </w:t>
      </w:r>
      <w:r w:rsidR="006F2B5D" w:rsidRPr="002E6955">
        <w:rPr>
          <w:rFonts w:cs="Times New Roman"/>
          <w:sz w:val="24"/>
          <w:szCs w:val="24"/>
        </w:rPr>
        <w:t>trebui</w:t>
      </w:r>
      <w:r w:rsidR="002E6955">
        <w:rPr>
          <w:rFonts w:cs="Times New Roman"/>
          <w:sz w:val="24"/>
          <w:szCs w:val="24"/>
        </w:rPr>
        <w:t>e</w:t>
      </w:r>
      <w:r w:rsidR="006F2B5D" w:rsidRPr="000660C1">
        <w:rPr>
          <w:rFonts w:cs="Times New Roman"/>
          <w:sz w:val="24"/>
          <w:szCs w:val="24"/>
        </w:rPr>
        <w:t xml:space="preserve"> să fie aliniată la Ghidul ICMA pentru evaluatorii externi</w:t>
      </w:r>
      <w:r w:rsidR="008A0F85" w:rsidRPr="00896FB8">
        <w:rPr>
          <w:rFonts w:cs="Times New Roman"/>
          <w:sz w:val="24"/>
          <w:szCs w:val="24"/>
        </w:rPr>
        <w:t xml:space="preserve">.  În acest sens ofertanții vor prezenta o declarație pe proprie răspundere prin care își asumă alinierea la Ghidul ICMA. </w:t>
      </w:r>
      <w:r w:rsidR="008A0F85" w:rsidRPr="000660C1">
        <w:rPr>
          <w:rFonts w:cs="Times New Roman"/>
          <w:sz w:val="24"/>
          <w:szCs w:val="24"/>
        </w:rPr>
        <w:t xml:space="preserve"> </w:t>
      </w:r>
    </w:p>
    <w:p w14:paraId="0965C022" w14:textId="6B2A2796" w:rsidR="006F2B5D" w:rsidRPr="006F2B5D" w:rsidRDefault="00BE49BE">
      <w:pPr>
        <w:spacing w:after="0" w:line="240" w:lineRule="auto"/>
        <w:jc w:val="both"/>
        <w:rPr>
          <w:rFonts w:cs="Times New Roman"/>
          <w:sz w:val="24"/>
          <w:szCs w:val="24"/>
        </w:rPr>
      </w:pPr>
      <w:r>
        <w:rPr>
          <w:rFonts w:cs="Times New Roman"/>
          <w:sz w:val="24"/>
          <w:szCs w:val="24"/>
        </w:rPr>
        <w:t>(3</w:t>
      </w:r>
      <w:r w:rsidR="006F2B5D" w:rsidRPr="006F2B5D">
        <w:rPr>
          <w:rFonts w:cs="Times New Roman"/>
          <w:sz w:val="24"/>
          <w:szCs w:val="24"/>
        </w:rPr>
        <w:t>) Societatea de evaluare va accepta ca lucrările să fie efectuate de la distanță, participând la întâlniri, după caz, prin intermediul facilităților de teleconferință. Orele de întâlnire vor fi coordonate pentru a asigura participarea Direcției Generale de Trezorerie și Datorie Publică, precum și a echipelor Băncii Mondiale din București și Washington DC.</w:t>
      </w:r>
    </w:p>
    <w:p w14:paraId="1F888E74" w14:textId="484204EC" w:rsidR="006F2B5D" w:rsidRPr="006F2B5D" w:rsidRDefault="00BE49BE">
      <w:pPr>
        <w:spacing w:after="0" w:line="240" w:lineRule="auto"/>
        <w:jc w:val="both"/>
        <w:rPr>
          <w:rFonts w:cs="Times New Roman"/>
          <w:sz w:val="24"/>
          <w:szCs w:val="24"/>
        </w:rPr>
      </w:pPr>
      <w:r>
        <w:rPr>
          <w:rFonts w:cs="Times New Roman"/>
          <w:sz w:val="24"/>
          <w:szCs w:val="24"/>
        </w:rPr>
        <w:t>(4</w:t>
      </w:r>
      <w:r w:rsidR="006F2B5D" w:rsidRPr="006F2B5D">
        <w:rPr>
          <w:rFonts w:cs="Times New Roman"/>
          <w:sz w:val="24"/>
          <w:szCs w:val="24"/>
        </w:rPr>
        <w:t>) Societatea de evaluare va adera la standarde stricte de confidențialitate în legătură cu informațiile puse la dispoziție de către beneficiar.</w:t>
      </w:r>
    </w:p>
    <w:p w14:paraId="54CDB129" w14:textId="25A913AA" w:rsidR="006F2B5D" w:rsidRPr="006F2B5D" w:rsidRDefault="00BE49BE">
      <w:pPr>
        <w:spacing w:after="0" w:line="240" w:lineRule="auto"/>
        <w:jc w:val="both"/>
        <w:rPr>
          <w:rFonts w:cs="Times New Roman"/>
          <w:sz w:val="24"/>
          <w:szCs w:val="24"/>
        </w:rPr>
      </w:pPr>
      <w:r>
        <w:rPr>
          <w:rFonts w:cs="Times New Roman"/>
          <w:sz w:val="24"/>
          <w:szCs w:val="24"/>
        </w:rPr>
        <w:t>(5</w:t>
      </w:r>
      <w:r w:rsidR="006F2B5D" w:rsidRPr="006F2B5D">
        <w:rPr>
          <w:rFonts w:cs="Times New Roman"/>
          <w:sz w:val="24"/>
          <w:szCs w:val="24"/>
        </w:rPr>
        <w:t xml:space="preserve">) Contractul privind serviciile de evaluare externă se încheie pe o perioadă de 1 an și 6 luni sau până la finalizarea prestării serviciilor și se semnează de către ministrul finanțelor, sau de o persoană delegată în acest sens, și de către reprezentantul mandatat al societății de evaluare externă câștigătoare a achiziției, pe baza documentelor depuse în vederea participării la atribuirea contractului de evaluare externă. </w:t>
      </w:r>
    </w:p>
    <w:p w14:paraId="664E2EEF" w14:textId="2A97EEF4" w:rsidR="006F2B5D" w:rsidRPr="00AE5FF2" w:rsidRDefault="006F2B5D">
      <w:pPr>
        <w:spacing w:after="0" w:line="240" w:lineRule="auto"/>
        <w:jc w:val="both"/>
        <w:rPr>
          <w:rFonts w:cs="Times New Roman"/>
          <w:sz w:val="24"/>
          <w:szCs w:val="24"/>
        </w:rPr>
      </w:pPr>
    </w:p>
    <w:p w14:paraId="67CF0C2A" w14:textId="633254A5" w:rsidR="007433E9" w:rsidRPr="00896FB8" w:rsidRDefault="006F2B5D" w:rsidP="00896FB8">
      <w:pPr>
        <w:spacing w:after="0" w:line="240" w:lineRule="auto"/>
        <w:jc w:val="both"/>
        <w:rPr>
          <w:rFonts w:cs="Times New Roman"/>
          <w:b/>
          <w:sz w:val="24"/>
          <w:szCs w:val="24"/>
          <w:u w:val="single"/>
        </w:rPr>
      </w:pPr>
      <w:r>
        <w:rPr>
          <w:rFonts w:cs="Times New Roman"/>
          <w:b/>
          <w:sz w:val="24"/>
          <w:szCs w:val="24"/>
          <w:u w:val="single"/>
        </w:rPr>
        <w:t>II.</w:t>
      </w:r>
      <w:r w:rsidR="00C8032E">
        <w:rPr>
          <w:rFonts w:cs="Times New Roman"/>
          <w:b/>
          <w:sz w:val="24"/>
          <w:szCs w:val="24"/>
          <w:u w:val="single"/>
        </w:rPr>
        <w:t xml:space="preserve"> </w:t>
      </w:r>
      <w:r w:rsidR="007433E9" w:rsidRPr="00896FB8">
        <w:rPr>
          <w:rFonts w:cs="Times New Roman"/>
          <w:b/>
          <w:sz w:val="24"/>
          <w:szCs w:val="24"/>
          <w:u w:val="single"/>
        </w:rPr>
        <w:t>Tipuri de servicii</w:t>
      </w:r>
      <w:r w:rsidR="008260C7" w:rsidRPr="00896FB8">
        <w:rPr>
          <w:rFonts w:cs="Times New Roman"/>
          <w:b/>
          <w:sz w:val="24"/>
          <w:szCs w:val="24"/>
          <w:u w:val="single"/>
        </w:rPr>
        <w:t xml:space="preserve"> solicitate</w:t>
      </w:r>
      <w:r w:rsidR="007433E9" w:rsidRPr="00896FB8">
        <w:rPr>
          <w:rFonts w:cs="Times New Roman"/>
          <w:b/>
          <w:sz w:val="24"/>
          <w:szCs w:val="24"/>
          <w:u w:val="single"/>
        </w:rPr>
        <w:t>:</w:t>
      </w:r>
    </w:p>
    <w:p w14:paraId="34246AE1" w14:textId="77777777" w:rsidR="005C3664" w:rsidRPr="00AE5FF2" w:rsidRDefault="005C3664" w:rsidP="000660C1">
      <w:pPr>
        <w:pStyle w:val="ListParagraph"/>
        <w:spacing w:after="0" w:line="240" w:lineRule="auto"/>
        <w:jc w:val="both"/>
        <w:rPr>
          <w:rFonts w:cs="Times New Roman"/>
          <w:sz w:val="24"/>
          <w:szCs w:val="24"/>
        </w:rPr>
      </w:pPr>
    </w:p>
    <w:p w14:paraId="096C6EF2" w14:textId="0C83185D" w:rsidR="003E2074" w:rsidRPr="00AE5FF2" w:rsidRDefault="00354073">
      <w:pPr>
        <w:pStyle w:val="ListParagraph"/>
        <w:numPr>
          <w:ilvl w:val="0"/>
          <w:numId w:val="1"/>
        </w:numPr>
        <w:spacing w:after="0" w:line="240" w:lineRule="auto"/>
        <w:jc w:val="both"/>
        <w:rPr>
          <w:rFonts w:cs="Times New Roman"/>
          <w:sz w:val="24"/>
          <w:szCs w:val="24"/>
        </w:rPr>
      </w:pPr>
      <w:r w:rsidRPr="00AE5FF2">
        <w:rPr>
          <w:rFonts w:cs="Times New Roman"/>
          <w:sz w:val="24"/>
          <w:szCs w:val="24"/>
        </w:rPr>
        <w:t xml:space="preserve">Evaluarea externă a </w:t>
      </w:r>
      <w:r w:rsidRPr="00AE5FF2">
        <w:rPr>
          <w:rFonts w:cs="Times New Roman"/>
          <w:bCs/>
          <w:sz w:val="24"/>
          <w:szCs w:val="24"/>
        </w:rPr>
        <w:t xml:space="preserve">Cadrului general </w:t>
      </w:r>
      <w:r w:rsidRPr="00AE5FF2">
        <w:rPr>
          <w:rFonts w:cs="Times New Roman"/>
          <w:sz w:val="24"/>
          <w:szCs w:val="24"/>
        </w:rPr>
        <w:t>în baza căreia Ministerul Finanțelor va realiza emisiunile de obligațiuni verzi;</w:t>
      </w:r>
    </w:p>
    <w:p w14:paraId="2FE6A431" w14:textId="3178A781" w:rsidR="008C488B" w:rsidRPr="00AE5FF2" w:rsidRDefault="00354073">
      <w:pPr>
        <w:pStyle w:val="ListParagraph"/>
        <w:numPr>
          <w:ilvl w:val="0"/>
          <w:numId w:val="1"/>
        </w:numPr>
        <w:spacing w:after="0" w:line="240" w:lineRule="auto"/>
        <w:jc w:val="both"/>
        <w:rPr>
          <w:rFonts w:cs="Times New Roman"/>
          <w:sz w:val="24"/>
          <w:szCs w:val="24"/>
        </w:rPr>
      </w:pPr>
      <w:r w:rsidRPr="00AE5FF2">
        <w:rPr>
          <w:rFonts w:cs="Times New Roman"/>
          <w:sz w:val="24"/>
          <w:szCs w:val="24"/>
        </w:rPr>
        <w:t>Evaluarea externă a rapoartelor de alocare aferente obligațiunilor verzi</w:t>
      </w:r>
      <w:r w:rsidR="00257F66" w:rsidRPr="00AE5FF2">
        <w:rPr>
          <w:rFonts w:cs="Times New Roman"/>
          <w:sz w:val="24"/>
          <w:szCs w:val="24"/>
        </w:rPr>
        <w:t xml:space="preserve"> </w:t>
      </w:r>
      <w:r w:rsidRPr="00AE5FF2">
        <w:rPr>
          <w:rFonts w:cs="Times New Roman"/>
          <w:sz w:val="24"/>
          <w:szCs w:val="24"/>
        </w:rPr>
        <w:t xml:space="preserve">emise de România prin Ministerul Finanțelor. </w:t>
      </w:r>
    </w:p>
    <w:p w14:paraId="214384B2" w14:textId="20AD72E2" w:rsidR="00A84259" w:rsidRDefault="005F669A" w:rsidP="00896FB8">
      <w:pPr>
        <w:shd w:val="clear" w:color="auto" w:fill="FFFFFF" w:themeFill="background1"/>
        <w:suppressAutoHyphens w:val="0"/>
        <w:autoSpaceDE w:val="0"/>
        <w:autoSpaceDN w:val="0"/>
        <w:adjustRightInd w:val="0"/>
        <w:spacing w:after="0" w:line="240" w:lineRule="auto"/>
        <w:jc w:val="both"/>
        <w:rPr>
          <w:rFonts w:cs="Times New Roman"/>
          <w:sz w:val="24"/>
          <w:szCs w:val="24"/>
          <w:u w:val="single"/>
        </w:rPr>
      </w:pPr>
      <w:r w:rsidRPr="00AE5FF2">
        <w:rPr>
          <w:rFonts w:cs="Times New Roman"/>
          <w:b/>
          <w:bCs/>
          <w:color w:val="000000"/>
          <w:sz w:val="24"/>
          <w:szCs w:val="24"/>
        </w:rPr>
        <w:br/>
      </w:r>
      <w:r w:rsidR="00B9779E" w:rsidRPr="00AE5FF2">
        <w:rPr>
          <w:rFonts w:cs="Times New Roman"/>
          <w:b/>
          <w:sz w:val="24"/>
          <w:szCs w:val="24"/>
          <w:u w:val="single"/>
        </w:rPr>
        <w:t>Cerințe</w:t>
      </w:r>
      <w:r w:rsidR="00A84259" w:rsidRPr="00AE5FF2">
        <w:rPr>
          <w:rFonts w:cs="Times New Roman"/>
          <w:b/>
          <w:sz w:val="24"/>
          <w:szCs w:val="24"/>
          <w:u w:val="single"/>
        </w:rPr>
        <w:t xml:space="preserve"> specifice</w:t>
      </w:r>
      <w:r w:rsidR="003D49A6" w:rsidRPr="00AE5FF2">
        <w:rPr>
          <w:rFonts w:cs="Times New Roman"/>
          <w:b/>
          <w:sz w:val="24"/>
          <w:szCs w:val="24"/>
          <w:u w:val="single"/>
        </w:rPr>
        <w:t xml:space="preserve"> </w:t>
      </w:r>
      <w:r w:rsidR="00C17A3E" w:rsidRPr="00AE5FF2">
        <w:rPr>
          <w:rFonts w:cs="Times New Roman"/>
          <w:b/>
          <w:sz w:val="24"/>
          <w:szCs w:val="24"/>
          <w:u w:val="single"/>
        </w:rPr>
        <w:t xml:space="preserve">pentru </w:t>
      </w:r>
      <w:r w:rsidR="007433E9" w:rsidRPr="00AE5FF2">
        <w:rPr>
          <w:rFonts w:cs="Times New Roman"/>
          <w:b/>
          <w:sz w:val="24"/>
          <w:szCs w:val="24"/>
          <w:u w:val="single"/>
        </w:rPr>
        <w:t>prezentarea ofertelor de servicii</w:t>
      </w:r>
      <w:r w:rsidR="00C17A3E" w:rsidRPr="00AE5FF2">
        <w:rPr>
          <w:rFonts w:cs="Times New Roman"/>
          <w:b/>
          <w:sz w:val="24"/>
          <w:szCs w:val="24"/>
          <w:u w:val="single"/>
        </w:rPr>
        <w:t xml:space="preserve"> </w:t>
      </w:r>
      <w:r w:rsidR="00354073" w:rsidRPr="00AE5FF2">
        <w:rPr>
          <w:rFonts w:cs="Times New Roman"/>
          <w:b/>
          <w:sz w:val="24"/>
          <w:szCs w:val="24"/>
          <w:u w:val="single"/>
        </w:rPr>
        <w:t>de evaluare externă</w:t>
      </w:r>
      <w:r w:rsidR="00A84259" w:rsidRPr="00AE5FF2">
        <w:rPr>
          <w:rFonts w:cs="Times New Roman"/>
          <w:sz w:val="24"/>
          <w:szCs w:val="24"/>
          <w:u w:val="single"/>
        </w:rPr>
        <w:t>:</w:t>
      </w:r>
    </w:p>
    <w:p w14:paraId="391CFD3A" w14:textId="77777777" w:rsidR="002E6955" w:rsidRPr="00AE5FF2" w:rsidRDefault="002E6955" w:rsidP="00896FB8">
      <w:pPr>
        <w:shd w:val="clear" w:color="auto" w:fill="FFFFFF" w:themeFill="background1"/>
        <w:suppressAutoHyphens w:val="0"/>
        <w:autoSpaceDE w:val="0"/>
        <w:autoSpaceDN w:val="0"/>
        <w:adjustRightInd w:val="0"/>
        <w:spacing w:after="0" w:line="240" w:lineRule="auto"/>
        <w:jc w:val="both"/>
        <w:rPr>
          <w:rFonts w:cs="Times New Roman"/>
          <w:b/>
          <w:sz w:val="24"/>
          <w:szCs w:val="24"/>
          <w:u w:val="single"/>
        </w:rPr>
      </w:pPr>
    </w:p>
    <w:p w14:paraId="79489C9E" w14:textId="06F69331" w:rsidR="003D49A6" w:rsidRPr="00AE5FF2" w:rsidRDefault="00D716E4" w:rsidP="000660C1">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 xml:space="preserve">În urma </w:t>
      </w:r>
      <w:r w:rsidR="00722E0B">
        <w:rPr>
          <w:rFonts w:cs="Times New Roman"/>
          <w:sz w:val="24"/>
          <w:szCs w:val="24"/>
        </w:rPr>
        <w:t>acestei achiziții,</w:t>
      </w:r>
      <w:r w:rsidRPr="00AE5FF2">
        <w:rPr>
          <w:rFonts w:cs="Times New Roman"/>
          <w:sz w:val="24"/>
          <w:szCs w:val="24"/>
        </w:rPr>
        <w:t xml:space="preserve"> </w:t>
      </w:r>
      <w:r w:rsidR="009F30FD" w:rsidRPr="00AE5FF2">
        <w:rPr>
          <w:rFonts w:cs="Times New Roman"/>
          <w:sz w:val="24"/>
          <w:szCs w:val="24"/>
        </w:rPr>
        <w:t xml:space="preserve">va </w:t>
      </w:r>
      <w:r w:rsidRPr="00AE5FF2">
        <w:rPr>
          <w:rFonts w:cs="Times New Roman"/>
          <w:sz w:val="24"/>
          <w:szCs w:val="24"/>
        </w:rPr>
        <w:t xml:space="preserve">fi </w:t>
      </w:r>
      <w:r w:rsidR="009F30FD" w:rsidRPr="00AE5FF2">
        <w:rPr>
          <w:rFonts w:cs="Times New Roman"/>
          <w:sz w:val="24"/>
          <w:szCs w:val="24"/>
        </w:rPr>
        <w:t>selectat</w:t>
      </w:r>
      <w:r w:rsidR="00F45569" w:rsidRPr="00AE5FF2">
        <w:rPr>
          <w:rFonts w:cs="Times New Roman"/>
          <w:sz w:val="24"/>
          <w:szCs w:val="24"/>
        </w:rPr>
        <w:t>ă</w:t>
      </w:r>
      <w:r w:rsidR="009F30FD" w:rsidRPr="00AE5FF2">
        <w:rPr>
          <w:rFonts w:cs="Times New Roman"/>
          <w:sz w:val="24"/>
          <w:szCs w:val="24"/>
        </w:rPr>
        <w:t xml:space="preserve"> o societate </w:t>
      </w:r>
      <w:r w:rsidRPr="00AE5FF2">
        <w:rPr>
          <w:rFonts w:cs="Times New Roman"/>
          <w:sz w:val="24"/>
          <w:szCs w:val="24"/>
        </w:rPr>
        <w:t xml:space="preserve">de </w:t>
      </w:r>
      <w:r w:rsidR="00354073" w:rsidRPr="00AE5FF2">
        <w:rPr>
          <w:rFonts w:cs="Times New Roman"/>
          <w:sz w:val="24"/>
          <w:szCs w:val="24"/>
        </w:rPr>
        <w:t>evaluare externă (Second Party Provider – SPO)</w:t>
      </w:r>
      <w:r w:rsidRPr="00AE5FF2">
        <w:rPr>
          <w:rFonts w:cs="Times New Roman"/>
          <w:sz w:val="24"/>
          <w:szCs w:val="24"/>
        </w:rPr>
        <w:t>, cu care MF va încheia</w:t>
      </w:r>
      <w:r w:rsidR="003D49A6" w:rsidRPr="00AE5FF2">
        <w:rPr>
          <w:rFonts w:cs="Times New Roman"/>
          <w:sz w:val="24"/>
          <w:szCs w:val="24"/>
        </w:rPr>
        <w:t xml:space="preserve"> </w:t>
      </w:r>
      <w:r w:rsidRPr="00AE5FF2">
        <w:rPr>
          <w:rFonts w:cs="Times New Roman"/>
          <w:sz w:val="24"/>
          <w:szCs w:val="24"/>
        </w:rPr>
        <w:t xml:space="preserve">un contract de prestări de </w:t>
      </w:r>
      <w:r w:rsidR="00C17A3E" w:rsidRPr="00AE5FF2">
        <w:rPr>
          <w:rFonts w:cs="Times New Roman"/>
          <w:sz w:val="24"/>
          <w:szCs w:val="24"/>
        </w:rPr>
        <w:t xml:space="preserve">servicii de </w:t>
      </w:r>
      <w:r w:rsidR="00354073" w:rsidRPr="00AE5FF2">
        <w:rPr>
          <w:rFonts w:cs="Times New Roman"/>
          <w:sz w:val="24"/>
          <w:szCs w:val="24"/>
        </w:rPr>
        <w:t>evaluare externă</w:t>
      </w:r>
      <w:r w:rsidR="00C17A3E" w:rsidRPr="00AE5FF2">
        <w:rPr>
          <w:rFonts w:cs="Times New Roman"/>
          <w:sz w:val="24"/>
          <w:szCs w:val="24"/>
        </w:rPr>
        <w:t>;</w:t>
      </w:r>
    </w:p>
    <w:p w14:paraId="5F406752" w14:textId="05C483CD" w:rsidR="009F30FD" w:rsidRPr="00AE5FF2" w:rsidRDefault="009F30FD">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 xml:space="preserve">Durata contractului: </w:t>
      </w:r>
      <w:r w:rsidR="00354073" w:rsidRPr="00105CE3">
        <w:rPr>
          <w:rFonts w:cs="Times New Roman"/>
          <w:sz w:val="24"/>
          <w:szCs w:val="24"/>
        </w:rPr>
        <w:t>1</w:t>
      </w:r>
      <w:r w:rsidRPr="00105CE3">
        <w:rPr>
          <w:rFonts w:cs="Times New Roman"/>
          <w:sz w:val="24"/>
          <w:szCs w:val="24"/>
        </w:rPr>
        <w:t xml:space="preserve"> an</w:t>
      </w:r>
      <w:r w:rsidR="00354073" w:rsidRPr="00105CE3">
        <w:rPr>
          <w:rFonts w:cs="Times New Roman"/>
          <w:sz w:val="24"/>
          <w:szCs w:val="24"/>
        </w:rPr>
        <w:t xml:space="preserve"> și 6 luni</w:t>
      </w:r>
      <w:r w:rsidRPr="00AE5FF2">
        <w:rPr>
          <w:rFonts w:cs="Times New Roman"/>
          <w:sz w:val="24"/>
          <w:szCs w:val="24"/>
        </w:rPr>
        <w:t xml:space="preserve"> de la data semnării</w:t>
      </w:r>
      <w:r w:rsidR="00EF4CD6">
        <w:rPr>
          <w:rFonts w:cs="Times New Roman"/>
          <w:sz w:val="24"/>
          <w:szCs w:val="24"/>
        </w:rPr>
        <w:t xml:space="preserve"> sau până la </w:t>
      </w:r>
      <w:r w:rsidR="00350D3F">
        <w:rPr>
          <w:rFonts w:cs="Times New Roman"/>
          <w:sz w:val="24"/>
          <w:szCs w:val="24"/>
        </w:rPr>
        <w:t xml:space="preserve">finalizarea </w:t>
      </w:r>
      <w:r w:rsidR="00EF4CD6">
        <w:rPr>
          <w:rFonts w:cs="Times New Roman"/>
          <w:sz w:val="24"/>
          <w:szCs w:val="24"/>
        </w:rPr>
        <w:t>prest</w:t>
      </w:r>
      <w:r w:rsidR="00350D3F">
        <w:rPr>
          <w:rFonts w:cs="Times New Roman"/>
          <w:sz w:val="24"/>
          <w:szCs w:val="24"/>
        </w:rPr>
        <w:t>ării</w:t>
      </w:r>
      <w:r w:rsidR="00EF4CD6">
        <w:rPr>
          <w:rFonts w:cs="Times New Roman"/>
          <w:sz w:val="24"/>
          <w:szCs w:val="24"/>
        </w:rPr>
        <w:t xml:space="preserve"> serviciilor</w:t>
      </w:r>
      <w:r w:rsidRPr="00AE5FF2">
        <w:rPr>
          <w:rFonts w:cs="Times New Roman"/>
          <w:sz w:val="24"/>
          <w:szCs w:val="24"/>
        </w:rPr>
        <w:t>;</w:t>
      </w:r>
    </w:p>
    <w:p w14:paraId="795E378D" w14:textId="4EAC9B9D" w:rsidR="00991744" w:rsidRDefault="00D716E4">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 xml:space="preserve">Pentru prestarea serviciilor de </w:t>
      </w:r>
      <w:r w:rsidR="00C847B9" w:rsidRPr="00AE5FF2">
        <w:rPr>
          <w:rFonts w:cs="Times New Roman"/>
          <w:sz w:val="24"/>
          <w:szCs w:val="24"/>
        </w:rPr>
        <w:t>evaluare externă</w:t>
      </w:r>
      <w:r w:rsidRPr="00AE5FF2">
        <w:rPr>
          <w:rFonts w:cs="Times New Roman"/>
          <w:sz w:val="24"/>
          <w:szCs w:val="24"/>
        </w:rPr>
        <w:t xml:space="preserve"> </w:t>
      </w:r>
      <w:r w:rsidR="00354073" w:rsidRPr="00AE5FF2">
        <w:rPr>
          <w:rFonts w:cs="Times New Roman"/>
          <w:sz w:val="24"/>
          <w:szCs w:val="24"/>
        </w:rPr>
        <w:t>menț</w:t>
      </w:r>
      <w:r w:rsidR="003D49A6" w:rsidRPr="00AE5FF2">
        <w:rPr>
          <w:rFonts w:cs="Times New Roman"/>
          <w:sz w:val="24"/>
          <w:szCs w:val="24"/>
        </w:rPr>
        <w:t>ionate</w:t>
      </w:r>
      <w:r w:rsidR="009F30FD" w:rsidRPr="00AE5FF2">
        <w:rPr>
          <w:rFonts w:cs="Times New Roman"/>
          <w:sz w:val="24"/>
          <w:szCs w:val="24"/>
        </w:rPr>
        <w:t xml:space="preserve"> în baza contractului</w:t>
      </w:r>
      <w:r w:rsidRPr="00AE5FF2">
        <w:rPr>
          <w:rFonts w:cs="Times New Roman"/>
          <w:sz w:val="24"/>
          <w:szCs w:val="24"/>
        </w:rPr>
        <w:t>, MF</w:t>
      </w:r>
      <w:r w:rsidR="00650EE0" w:rsidRPr="00AE5FF2">
        <w:rPr>
          <w:rFonts w:cs="Times New Roman"/>
          <w:sz w:val="24"/>
          <w:szCs w:val="24"/>
        </w:rPr>
        <w:t>, prin direcția de specialitate,</w:t>
      </w:r>
      <w:r w:rsidRPr="00AE5FF2">
        <w:rPr>
          <w:rFonts w:cs="Times New Roman"/>
          <w:sz w:val="24"/>
          <w:szCs w:val="24"/>
        </w:rPr>
        <w:t xml:space="preserve"> </w:t>
      </w:r>
      <w:r w:rsidR="009F30FD" w:rsidRPr="00AE5FF2">
        <w:rPr>
          <w:rFonts w:cs="Times New Roman"/>
          <w:sz w:val="24"/>
          <w:szCs w:val="24"/>
        </w:rPr>
        <w:t xml:space="preserve">va </w:t>
      </w:r>
      <w:r w:rsidR="007554C0" w:rsidRPr="00AE5FF2">
        <w:rPr>
          <w:rFonts w:cs="Times New Roman"/>
          <w:sz w:val="24"/>
          <w:szCs w:val="24"/>
        </w:rPr>
        <w:t xml:space="preserve">solicita societății de evaluare externă prestarea serviciilor în </w:t>
      </w:r>
      <w:r w:rsidR="007554C0" w:rsidRPr="00AE5FF2">
        <w:rPr>
          <w:rFonts w:cs="Times New Roman"/>
          <w:sz w:val="24"/>
          <w:szCs w:val="24"/>
        </w:rPr>
        <w:lastRenderedPageBreak/>
        <w:t xml:space="preserve">momentul în care Cadrul </w:t>
      </w:r>
      <w:r w:rsidR="002B6FB5" w:rsidRPr="00AE5FF2">
        <w:rPr>
          <w:rFonts w:cs="Times New Roman"/>
          <w:sz w:val="24"/>
          <w:szCs w:val="24"/>
        </w:rPr>
        <w:t xml:space="preserve">general </w:t>
      </w:r>
      <w:r w:rsidR="007554C0" w:rsidRPr="00AE5FF2">
        <w:rPr>
          <w:rFonts w:cs="Times New Roman"/>
          <w:sz w:val="24"/>
          <w:szCs w:val="24"/>
        </w:rPr>
        <w:t xml:space="preserve">aferent acestor obligațiuni va fi definitivat și </w:t>
      </w:r>
      <w:r w:rsidR="00CD0D95" w:rsidRPr="00AE5FF2">
        <w:rPr>
          <w:rFonts w:cs="Times New Roman"/>
          <w:sz w:val="24"/>
          <w:szCs w:val="24"/>
        </w:rPr>
        <w:t>respectiv când</w:t>
      </w:r>
      <w:r w:rsidR="007554C0" w:rsidRPr="00AE5FF2">
        <w:rPr>
          <w:rFonts w:cs="Times New Roman"/>
          <w:sz w:val="24"/>
          <w:szCs w:val="24"/>
        </w:rPr>
        <w:t xml:space="preserve"> rapoartele de alocare vor fi finalizate</w:t>
      </w:r>
      <w:r w:rsidR="00C847B9" w:rsidRPr="00AE5FF2">
        <w:rPr>
          <w:rFonts w:cs="Times New Roman"/>
          <w:sz w:val="24"/>
          <w:szCs w:val="24"/>
        </w:rPr>
        <w:t>.</w:t>
      </w:r>
    </w:p>
    <w:p w14:paraId="4EDAA5FC" w14:textId="77777777" w:rsidR="002E6955" w:rsidRPr="00AE5FF2" w:rsidRDefault="002E6955" w:rsidP="00896FB8">
      <w:pPr>
        <w:pStyle w:val="ListParagraph"/>
        <w:spacing w:after="0" w:line="240" w:lineRule="auto"/>
        <w:ind w:left="360"/>
        <w:jc w:val="both"/>
        <w:rPr>
          <w:rFonts w:cs="Times New Roman"/>
          <w:sz w:val="24"/>
          <w:szCs w:val="24"/>
        </w:rPr>
      </w:pPr>
    </w:p>
    <w:p w14:paraId="7D990B00" w14:textId="02AF38FB" w:rsidR="00991744" w:rsidRPr="00AE5FF2" w:rsidRDefault="008E2980" w:rsidP="000660C1">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 xml:space="preserve">În vederea participării la </w:t>
      </w:r>
      <w:r w:rsidR="00722E0B">
        <w:rPr>
          <w:rFonts w:cs="Times New Roman"/>
          <w:sz w:val="24"/>
          <w:szCs w:val="24"/>
        </w:rPr>
        <w:t>achiziția</w:t>
      </w:r>
      <w:r w:rsidRPr="00AE5FF2">
        <w:rPr>
          <w:rFonts w:cs="Times New Roman"/>
          <w:iCs/>
          <w:sz w:val="24"/>
          <w:szCs w:val="24"/>
        </w:rPr>
        <w:t xml:space="preserve"> de </w:t>
      </w:r>
      <w:r w:rsidR="00354073" w:rsidRPr="00AE5FF2">
        <w:rPr>
          <w:rFonts w:cs="Times New Roman"/>
          <w:iCs/>
          <w:sz w:val="24"/>
          <w:szCs w:val="24"/>
        </w:rPr>
        <w:t>servicii de evaluare externă</w:t>
      </w:r>
      <w:r w:rsidRPr="00AE5FF2">
        <w:rPr>
          <w:rFonts w:cs="Times New Roman"/>
          <w:sz w:val="24"/>
          <w:szCs w:val="24"/>
        </w:rPr>
        <w:t xml:space="preserve">, este necesar ca </w:t>
      </w:r>
      <w:r w:rsidR="001C47B2" w:rsidRPr="00AE5FF2">
        <w:rPr>
          <w:rFonts w:cs="Times New Roman"/>
          <w:sz w:val="24"/>
          <w:szCs w:val="24"/>
        </w:rPr>
        <w:t>ofertanții</w:t>
      </w:r>
      <w:r w:rsidRPr="00AE5FF2">
        <w:rPr>
          <w:rFonts w:cs="Times New Roman"/>
          <w:sz w:val="24"/>
          <w:szCs w:val="24"/>
        </w:rPr>
        <w:t xml:space="preserve"> să prezinte următoarele</w:t>
      </w:r>
      <w:r w:rsidR="00D853BA" w:rsidRPr="00AE5FF2">
        <w:rPr>
          <w:rFonts w:cs="Times New Roman"/>
          <w:sz w:val="24"/>
          <w:szCs w:val="24"/>
        </w:rPr>
        <w:t>:</w:t>
      </w:r>
    </w:p>
    <w:p w14:paraId="5F2F2E5A" w14:textId="571CF787" w:rsidR="00991744" w:rsidRPr="00AE5FF2" w:rsidRDefault="00D716E4">
      <w:pPr>
        <w:pStyle w:val="ListParagraph"/>
        <w:numPr>
          <w:ilvl w:val="0"/>
          <w:numId w:val="4"/>
        </w:numPr>
        <w:spacing w:after="0" w:line="240" w:lineRule="auto"/>
        <w:jc w:val="both"/>
        <w:rPr>
          <w:rFonts w:cs="Times New Roman"/>
          <w:sz w:val="24"/>
          <w:szCs w:val="24"/>
        </w:rPr>
      </w:pPr>
      <w:r w:rsidRPr="00AE5FF2">
        <w:rPr>
          <w:rFonts w:cs="Times New Roman"/>
          <w:sz w:val="24"/>
          <w:szCs w:val="24"/>
        </w:rPr>
        <w:t>oferta tehnică</w:t>
      </w:r>
      <w:r w:rsidR="00F45569" w:rsidRPr="00AE5FF2">
        <w:rPr>
          <w:rFonts w:cs="Times New Roman"/>
          <w:sz w:val="24"/>
          <w:szCs w:val="24"/>
        </w:rPr>
        <w:t>;</w:t>
      </w:r>
      <w:r w:rsidRPr="00AE5FF2">
        <w:rPr>
          <w:rFonts w:cs="Times New Roman"/>
          <w:sz w:val="24"/>
          <w:szCs w:val="24"/>
        </w:rPr>
        <w:t xml:space="preserve"> </w:t>
      </w:r>
    </w:p>
    <w:p w14:paraId="30122603" w14:textId="1729A5D1" w:rsidR="00991744" w:rsidRPr="00AE5FF2" w:rsidRDefault="008E2980">
      <w:pPr>
        <w:pStyle w:val="ListParagraph"/>
        <w:numPr>
          <w:ilvl w:val="0"/>
          <w:numId w:val="4"/>
        </w:numPr>
        <w:spacing w:after="0" w:line="240" w:lineRule="auto"/>
        <w:jc w:val="both"/>
        <w:rPr>
          <w:rFonts w:cs="Times New Roman"/>
          <w:sz w:val="24"/>
          <w:szCs w:val="24"/>
        </w:rPr>
      </w:pPr>
      <w:r w:rsidRPr="00AE5FF2">
        <w:rPr>
          <w:rFonts w:cs="Times New Roman"/>
          <w:sz w:val="24"/>
          <w:szCs w:val="24"/>
        </w:rPr>
        <w:t>oferta financiară</w:t>
      </w:r>
      <w:r w:rsidR="00722E0B">
        <w:rPr>
          <w:rFonts w:cs="Times New Roman"/>
          <w:sz w:val="24"/>
          <w:szCs w:val="24"/>
        </w:rPr>
        <w:t>.</w:t>
      </w:r>
    </w:p>
    <w:p w14:paraId="1D59B302" w14:textId="5D05C44A" w:rsidR="00991744" w:rsidRPr="00AE5FF2" w:rsidRDefault="00991744">
      <w:pPr>
        <w:pStyle w:val="ListParagraph"/>
        <w:spacing w:after="0" w:line="240" w:lineRule="auto"/>
        <w:jc w:val="both"/>
        <w:rPr>
          <w:rFonts w:cs="Times New Roman"/>
          <w:sz w:val="24"/>
          <w:szCs w:val="24"/>
        </w:rPr>
      </w:pPr>
    </w:p>
    <w:p w14:paraId="1F744F1B" w14:textId="55935295" w:rsidR="00991744" w:rsidRPr="00AE5FF2" w:rsidRDefault="00F45569">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O</w:t>
      </w:r>
      <w:r w:rsidR="00D716E4" w:rsidRPr="00AE5FF2">
        <w:rPr>
          <w:rFonts w:cs="Times New Roman"/>
          <w:sz w:val="24"/>
          <w:szCs w:val="24"/>
        </w:rPr>
        <w:t>fert</w:t>
      </w:r>
      <w:r w:rsidRPr="00AE5FF2">
        <w:rPr>
          <w:rFonts w:cs="Times New Roman"/>
          <w:sz w:val="24"/>
          <w:szCs w:val="24"/>
        </w:rPr>
        <w:t>a</w:t>
      </w:r>
      <w:r w:rsidR="00D716E4" w:rsidRPr="00AE5FF2">
        <w:rPr>
          <w:rFonts w:cs="Times New Roman"/>
          <w:sz w:val="24"/>
          <w:szCs w:val="24"/>
        </w:rPr>
        <w:t xml:space="preserve"> tehnic</w:t>
      </w:r>
      <w:r w:rsidRPr="00AE5FF2">
        <w:rPr>
          <w:rFonts w:cs="Times New Roman"/>
          <w:sz w:val="24"/>
          <w:szCs w:val="24"/>
        </w:rPr>
        <w:t>ă</w:t>
      </w:r>
    </w:p>
    <w:p w14:paraId="4C0B8444" w14:textId="0FD3EEC1" w:rsidR="00991744" w:rsidRPr="00AE5FF2" w:rsidRDefault="00D716E4">
      <w:pPr>
        <w:pStyle w:val="ListParagraph"/>
        <w:numPr>
          <w:ilvl w:val="0"/>
          <w:numId w:val="5"/>
        </w:numPr>
        <w:spacing w:after="0" w:line="240" w:lineRule="auto"/>
        <w:jc w:val="both"/>
        <w:rPr>
          <w:rFonts w:cs="Times New Roman"/>
          <w:sz w:val="24"/>
          <w:szCs w:val="24"/>
        </w:rPr>
      </w:pPr>
      <w:r w:rsidRPr="00AE5FF2">
        <w:rPr>
          <w:rFonts w:cs="Times New Roman"/>
          <w:sz w:val="24"/>
          <w:szCs w:val="24"/>
        </w:rPr>
        <w:t xml:space="preserve">criterii </w:t>
      </w:r>
      <w:r w:rsidR="00776A5B" w:rsidRPr="00AE5FF2">
        <w:rPr>
          <w:rFonts w:cs="Times New Roman"/>
          <w:sz w:val="24"/>
          <w:szCs w:val="24"/>
        </w:rPr>
        <w:t xml:space="preserve">tehnice </w:t>
      </w:r>
      <w:r w:rsidRPr="00AE5FF2">
        <w:rPr>
          <w:rFonts w:cs="Times New Roman"/>
          <w:sz w:val="24"/>
          <w:szCs w:val="24"/>
        </w:rPr>
        <w:t>și punctaje acordate</w:t>
      </w:r>
      <w:r w:rsidR="00F45569" w:rsidRPr="00AE5FF2">
        <w:rPr>
          <w:rFonts w:cs="Times New Roman"/>
          <w:sz w:val="24"/>
          <w:szCs w:val="24"/>
        </w:rPr>
        <w:t>:</w:t>
      </w:r>
    </w:p>
    <w:p w14:paraId="70DE0D27" w14:textId="4A20ACBE" w:rsidR="00991744" w:rsidRPr="00AE5FF2" w:rsidRDefault="00991744">
      <w:pPr>
        <w:spacing w:after="0" w:line="240" w:lineRule="auto"/>
        <w:jc w:val="both"/>
        <w:rPr>
          <w:rFonts w:cs="Times New Roman"/>
          <w:sz w:val="24"/>
          <w:szCs w:val="24"/>
        </w:rPr>
      </w:pPr>
    </w:p>
    <w:tbl>
      <w:tblPr>
        <w:tblStyle w:val="TableGrid"/>
        <w:tblW w:w="5000" w:type="pct"/>
        <w:tblLook w:val="04A0" w:firstRow="1" w:lastRow="0" w:firstColumn="1" w:lastColumn="0" w:noHBand="0" w:noVBand="1"/>
      </w:tblPr>
      <w:tblGrid>
        <w:gridCol w:w="4455"/>
        <w:gridCol w:w="2184"/>
        <w:gridCol w:w="2423"/>
      </w:tblGrid>
      <w:tr w:rsidR="00BD1D00" w:rsidRPr="00AE5FF2" w14:paraId="30A58206" w14:textId="77777777" w:rsidTr="00BD0410">
        <w:trPr>
          <w:trHeight w:val="452"/>
        </w:trPr>
        <w:tc>
          <w:tcPr>
            <w:tcW w:w="2458" w:type="pct"/>
            <w:shd w:val="clear" w:color="auto" w:fill="auto"/>
            <w:tcMar>
              <w:left w:w="108" w:type="dxa"/>
            </w:tcMar>
          </w:tcPr>
          <w:p w14:paraId="11AB72F4" w14:textId="79F68B61" w:rsidR="00BD1D00" w:rsidRPr="00BD0410" w:rsidRDefault="00BD1D00" w:rsidP="00BD0410">
            <w:pPr>
              <w:pStyle w:val="ListParagraph"/>
              <w:spacing w:after="0"/>
              <w:ind w:left="0"/>
              <w:jc w:val="center"/>
              <w:rPr>
                <w:rFonts w:cs="Times New Roman"/>
                <w:b/>
                <w:sz w:val="24"/>
                <w:szCs w:val="24"/>
              </w:rPr>
            </w:pPr>
            <w:r w:rsidRPr="00BD0410">
              <w:rPr>
                <w:rFonts w:cs="Times New Roman"/>
                <w:b/>
                <w:sz w:val="24"/>
                <w:szCs w:val="24"/>
              </w:rPr>
              <w:t>Criterii tehnice</w:t>
            </w:r>
          </w:p>
        </w:tc>
        <w:tc>
          <w:tcPr>
            <w:tcW w:w="1205" w:type="pct"/>
            <w:shd w:val="clear" w:color="auto" w:fill="auto"/>
            <w:tcMar>
              <w:left w:w="108" w:type="dxa"/>
            </w:tcMar>
          </w:tcPr>
          <w:p w14:paraId="4D0B60F3" w14:textId="5F010AF7" w:rsidR="00BD1D00" w:rsidRPr="00BD0410" w:rsidRDefault="00BD1D00" w:rsidP="00BD0410">
            <w:pPr>
              <w:spacing w:after="0"/>
              <w:jc w:val="center"/>
              <w:rPr>
                <w:rFonts w:cs="Times New Roman"/>
                <w:b/>
                <w:sz w:val="24"/>
                <w:szCs w:val="24"/>
              </w:rPr>
            </w:pPr>
            <w:r w:rsidRPr="00BD0410">
              <w:rPr>
                <w:rFonts w:cs="Times New Roman"/>
                <w:b/>
                <w:sz w:val="24"/>
                <w:szCs w:val="24"/>
              </w:rPr>
              <w:t>Cerință minimă</w:t>
            </w:r>
          </w:p>
        </w:tc>
        <w:tc>
          <w:tcPr>
            <w:tcW w:w="1337" w:type="pct"/>
            <w:shd w:val="clear" w:color="auto" w:fill="auto"/>
          </w:tcPr>
          <w:p w14:paraId="4D14C3BA" w14:textId="7AA2B6D2" w:rsidR="00BD1D00" w:rsidRPr="00BD0410" w:rsidRDefault="00BD1D00" w:rsidP="00BD0410">
            <w:pPr>
              <w:spacing w:after="0"/>
              <w:jc w:val="center"/>
              <w:rPr>
                <w:rFonts w:cs="Times New Roman"/>
                <w:b/>
                <w:sz w:val="24"/>
                <w:szCs w:val="24"/>
              </w:rPr>
            </w:pPr>
            <w:r w:rsidRPr="00BD0410">
              <w:rPr>
                <w:rFonts w:cs="Times New Roman"/>
                <w:b/>
                <w:sz w:val="24"/>
                <w:szCs w:val="24"/>
              </w:rPr>
              <w:t>Punctaj</w:t>
            </w:r>
          </w:p>
        </w:tc>
      </w:tr>
      <w:tr w:rsidR="009E75F1" w:rsidRPr="00AE5FF2" w14:paraId="545054D8" w14:textId="77777777" w:rsidTr="009E75F1">
        <w:tc>
          <w:tcPr>
            <w:tcW w:w="2458" w:type="pct"/>
            <w:shd w:val="clear" w:color="auto" w:fill="auto"/>
            <w:tcMar>
              <w:left w:w="108" w:type="dxa"/>
            </w:tcMar>
          </w:tcPr>
          <w:p w14:paraId="5879F6A5" w14:textId="48B59230" w:rsidR="009E75F1" w:rsidRPr="00AE5FF2" w:rsidRDefault="009E75F1" w:rsidP="000660C1">
            <w:pPr>
              <w:spacing w:after="0"/>
              <w:jc w:val="both"/>
              <w:rPr>
                <w:rFonts w:cs="Times New Roman"/>
                <w:sz w:val="24"/>
                <w:szCs w:val="24"/>
              </w:rPr>
            </w:pPr>
            <w:r w:rsidRPr="00AE5FF2">
              <w:rPr>
                <w:rFonts w:cs="Times New Roman"/>
                <w:sz w:val="24"/>
                <w:szCs w:val="24"/>
              </w:rPr>
              <w:t xml:space="preserve">i) </w:t>
            </w:r>
            <w:r w:rsidR="00354073" w:rsidRPr="00AE5FF2">
              <w:rPr>
                <w:rFonts w:cs="Times New Roman"/>
                <w:sz w:val="24"/>
                <w:szCs w:val="24"/>
              </w:rPr>
              <w:t xml:space="preserve">evaluarea externă a Cadrelor de obligațiuni </w:t>
            </w:r>
            <w:r w:rsidR="001807F5" w:rsidRPr="00AE5FF2">
              <w:rPr>
                <w:rFonts w:cs="Times New Roman"/>
                <w:sz w:val="24"/>
                <w:szCs w:val="24"/>
              </w:rPr>
              <w:t xml:space="preserve">verzi / sociale / </w:t>
            </w:r>
            <w:r w:rsidR="00C3757C" w:rsidRPr="00AE5FF2">
              <w:rPr>
                <w:rFonts w:cs="Times New Roman"/>
                <w:sz w:val="24"/>
                <w:szCs w:val="24"/>
              </w:rPr>
              <w:t>de sustenabilitate</w:t>
            </w:r>
            <w:r w:rsidR="00650EE0" w:rsidRPr="00AE5FF2">
              <w:rPr>
                <w:rFonts w:cs="Times New Roman"/>
                <w:sz w:val="24"/>
                <w:szCs w:val="24"/>
              </w:rPr>
              <w:t xml:space="preserve"> </w:t>
            </w:r>
            <w:r w:rsidR="001807F5" w:rsidRPr="00AE5FF2">
              <w:rPr>
                <w:rFonts w:cs="Times New Roman"/>
                <w:sz w:val="24"/>
                <w:szCs w:val="24"/>
              </w:rPr>
              <w:t>ale</w:t>
            </w:r>
            <w:r w:rsidR="00CB520D" w:rsidRPr="00AE5FF2">
              <w:rPr>
                <w:rFonts w:cs="Times New Roman"/>
                <w:sz w:val="24"/>
                <w:szCs w:val="24"/>
              </w:rPr>
              <w:t xml:space="preserve"> </w:t>
            </w:r>
            <w:r w:rsidR="001759CD" w:rsidRPr="00AE5FF2">
              <w:rPr>
                <w:rFonts w:cs="Times New Roman"/>
                <w:sz w:val="24"/>
                <w:szCs w:val="24"/>
              </w:rPr>
              <w:t>emitenților</w:t>
            </w:r>
            <w:r w:rsidR="00650EE0" w:rsidRPr="00AE5FF2">
              <w:rPr>
                <w:rFonts w:cs="Times New Roman"/>
                <w:sz w:val="24"/>
                <w:szCs w:val="24"/>
              </w:rPr>
              <w:t xml:space="preserve"> suverani</w:t>
            </w:r>
            <w:r w:rsidRPr="00AE5FF2">
              <w:rPr>
                <w:rFonts w:cs="Times New Roman"/>
                <w:sz w:val="24"/>
                <w:szCs w:val="24"/>
              </w:rPr>
              <w:t xml:space="preserve">, </w:t>
            </w:r>
            <w:r w:rsidR="001807F5" w:rsidRPr="00AE5FF2">
              <w:rPr>
                <w:rFonts w:cs="Times New Roman"/>
                <w:sz w:val="24"/>
                <w:szCs w:val="24"/>
              </w:rPr>
              <w:t>pentru care ofertantul a prestat astfel de servicii</w:t>
            </w:r>
            <w:r w:rsidR="006A3E79" w:rsidRPr="00AE5FF2">
              <w:rPr>
                <w:rFonts w:cs="Times New Roman"/>
                <w:sz w:val="24"/>
                <w:szCs w:val="24"/>
              </w:rPr>
              <w:t xml:space="preserve"> în perioada </w:t>
            </w:r>
            <w:r w:rsidR="00C8293C" w:rsidRPr="00AE5FF2">
              <w:rPr>
                <w:rFonts w:cs="Times New Roman"/>
                <w:sz w:val="24"/>
                <w:szCs w:val="24"/>
              </w:rPr>
              <w:t>1 ianuarie</w:t>
            </w:r>
            <w:r w:rsidR="0095176F" w:rsidRPr="00AE5FF2">
              <w:rPr>
                <w:rFonts w:cs="Times New Roman"/>
                <w:sz w:val="24"/>
                <w:szCs w:val="24"/>
              </w:rPr>
              <w:t xml:space="preserve"> 2020</w:t>
            </w:r>
            <w:r w:rsidR="00650EE0" w:rsidRPr="00AE5FF2">
              <w:rPr>
                <w:rFonts w:cs="Times New Roman"/>
                <w:sz w:val="24"/>
                <w:szCs w:val="24"/>
              </w:rPr>
              <w:t xml:space="preserve"> </w:t>
            </w:r>
            <w:r w:rsidR="00C8293C" w:rsidRPr="00AE5FF2">
              <w:rPr>
                <w:rFonts w:cs="Times New Roman"/>
                <w:sz w:val="24"/>
                <w:szCs w:val="24"/>
              </w:rPr>
              <w:t>– 3</w:t>
            </w:r>
            <w:r w:rsidR="00180909">
              <w:rPr>
                <w:rFonts w:cs="Times New Roman"/>
                <w:sz w:val="24"/>
                <w:szCs w:val="24"/>
              </w:rPr>
              <w:t>0</w:t>
            </w:r>
            <w:r w:rsidR="00C8293C" w:rsidRPr="00AE5FF2">
              <w:rPr>
                <w:rFonts w:cs="Times New Roman"/>
                <w:sz w:val="24"/>
                <w:szCs w:val="24"/>
              </w:rPr>
              <w:t xml:space="preserve"> </w:t>
            </w:r>
            <w:r w:rsidR="00180909">
              <w:rPr>
                <w:rFonts w:cs="Times New Roman"/>
                <w:sz w:val="24"/>
                <w:szCs w:val="24"/>
              </w:rPr>
              <w:t>iunie</w:t>
            </w:r>
            <w:r w:rsidR="00650EE0" w:rsidRPr="00AE5FF2">
              <w:rPr>
                <w:rFonts w:cs="Times New Roman"/>
                <w:sz w:val="24"/>
                <w:szCs w:val="24"/>
              </w:rPr>
              <w:t xml:space="preserve"> </w:t>
            </w:r>
            <w:r w:rsidR="006A3E79" w:rsidRPr="00AE5FF2">
              <w:rPr>
                <w:rFonts w:cs="Times New Roman"/>
                <w:sz w:val="24"/>
                <w:szCs w:val="24"/>
              </w:rPr>
              <w:t>20</w:t>
            </w:r>
            <w:r w:rsidR="0095176F" w:rsidRPr="00AE5FF2">
              <w:rPr>
                <w:rFonts w:cs="Times New Roman"/>
                <w:sz w:val="24"/>
                <w:szCs w:val="24"/>
              </w:rPr>
              <w:t>2</w:t>
            </w:r>
            <w:r w:rsidR="001807F5" w:rsidRPr="00AE5FF2">
              <w:rPr>
                <w:rFonts w:cs="Times New Roman"/>
                <w:sz w:val="24"/>
                <w:szCs w:val="24"/>
              </w:rPr>
              <w:t>3</w:t>
            </w:r>
            <w:r w:rsidR="00C1205E" w:rsidRPr="00AE5FF2">
              <w:rPr>
                <w:rFonts w:cs="Times New Roman"/>
                <w:sz w:val="24"/>
                <w:szCs w:val="24"/>
              </w:rPr>
              <w:t xml:space="preserve"> inclusiv</w:t>
            </w:r>
            <w:r w:rsidR="004B792A" w:rsidRPr="00AE5FF2">
              <w:rPr>
                <w:rFonts w:cs="Times New Roman"/>
                <w:sz w:val="24"/>
                <w:szCs w:val="24"/>
              </w:rPr>
              <w:t xml:space="preserve"> </w:t>
            </w:r>
          </w:p>
        </w:tc>
        <w:tc>
          <w:tcPr>
            <w:tcW w:w="1205" w:type="pct"/>
            <w:tcBorders>
              <w:right w:val="nil"/>
            </w:tcBorders>
            <w:shd w:val="clear" w:color="auto" w:fill="auto"/>
            <w:tcMar>
              <w:left w:w="108" w:type="dxa"/>
            </w:tcMar>
          </w:tcPr>
          <w:p w14:paraId="1597EC94" w14:textId="43A81A02" w:rsidR="009E75F1" w:rsidRPr="00AE5FF2" w:rsidRDefault="00BD1D00" w:rsidP="00896FB8">
            <w:pPr>
              <w:spacing w:after="0"/>
              <w:jc w:val="both"/>
              <w:rPr>
                <w:rFonts w:cs="Times New Roman"/>
                <w:sz w:val="24"/>
                <w:szCs w:val="24"/>
              </w:rPr>
            </w:pPr>
            <w:r>
              <w:rPr>
                <w:rFonts w:cs="Times New Roman"/>
                <w:sz w:val="24"/>
                <w:szCs w:val="24"/>
              </w:rPr>
              <w:t>minimum 1 cadru de obligațiuni verzi/sociale / de sustenabilitate ale emitenților suverani evaluat – 0 puncte</w:t>
            </w:r>
          </w:p>
        </w:tc>
        <w:tc>
          <w:tcPr>
            <w:tcW w:w="1337" w:type="pct"/>
            <w:shd w:val="clear" w:color="auto" w:fill="auto"/>
            <w:tcMar>
              <w:left w:w="108" w:type="dxa"/>
            </w:tcMar>
          </w:tcPr>
          <w:p w14:paraId="005B942E" w14:textId="5161FDA8" w:rsidR="009E75F1" w:rsidRPr="00AE5FF2" w:rsidRDefault="009E75F1" w:rsidP="000660C1">
            <w:pPr>
              <w:spacing w:after="0"/>
              <w:jc w:val="both"/>
              <w:rPr>
                <w:rFonts w:cs="Times New Roman"/>
                <w:sz w:val="24"/>
                <w:szCs w:val="24"/>
              </w:rPr>
            </w:pPr>
            <w:r w:rsidRPr="00AE5FF2">
              <w:rPr>
                <w:rFonts w:cs="Times New Roman"/>
                <w:sz w:val="24"/>
                <w:szCs w:val="24"/>
              </w:rPr>
              <w:t xml:space="preserve">maxim </w:t>
            </w:r>
            <w:r w:rsidR="00367FFE">
              <w:rPr>
                <w:rFonts w:cs="Times New Roman"/>
                <w:sz w:val="24"/>
                <w:szCs w:val="24"/>
              </w:rPr>
              <w:t>4</w:t>
            </w:r>
            <w:r w:rsidR="00405778">
              <w:rPr>
                <w:rFonts w:cs="Times New Roman"/>
                <w:sz w:val="24"/>
                <w:szCs w:val="24"/>
              </w:rPr>
              <w:t>5</w:t>
            </w:r>
            <w:r w:rsidR="00147997" w:rsidRPr="00AE5FF2">
              <w:rPr>
                <w:rFonts w:cs="Times New Roman"/>
                <w:sz w:val="24"/>
                <w:szCs w:val="24"/>
              </w:rPr>
              <w:t xml:space="preserve"> </w:t>
            </w:r>
            <w:r w:rsidRPr="00AE5FF2">
              <w:rPr>
                <w:rFonts w:cs="Times New Roman"/>
                <w:sz w:val="24"/>
                <w:szCs w:val="24"/>
              </w:rPr>
              <w:t>puncte</w:t>
            </w:r>
            <w:r w:rsidR="00581BBD">
              <w:rPr>
                <w:rFonts w:cs="Times New Roman"/>
                <w:sz w:val="24"/>
                <w:szCs w:val="24"/>
              </w:rPr>
              <w:t xml:space="preserve"> pentru cele mai multe Cadre</w:t>
            </w:r>
            <w:r w:rsidR="00BD1D00">
              <w:rPr>
                <w:rFonts w:cs="Times New Roman"/>
                <w:sz w:val="24"/>
                <w:szCs w:val="24"/>
              </w:rPr>
              <w:t xml:space="preserve"> de obligațiuni verzi/sociale / de sustenabilitate ale emitenților suveran</w:t>
            </w:r>
            <w:bookmarkStart w:id="0" w:name="_GoBack"/>
            <w:bookmarkEnd w:id="0"/>
            <w:r w:rsidR="00BD1D00">
              <w:rPr>
                <w:rFonts w:cs="Times New Roman"/>
                <w:sz w:val="24"/>
                <w:szCs w:val="24"/>
              </w:rPr>
              <w:t>i</w:t>
            </w:r>
            <w:r w:rsidR="00581BBD">
              <w:rPr>
                <w:rFonts w:cs="Times New Roman"/>
                <w:sz w:val="24"/>
                <w:szCs w:val="24"/>
              </w:rPr>
              <w:t xml:space="preserve"> evaluate, restul </w:t>
            </w:r>
            <w:r w:rsidR="00350D3F">
              <w:rPr>
                <w:rFonts w:cs="Times New Roman"/>
                <w:sz w:val="24"/>
                <w:szCs w:val="24"/>
              </w:rPr>
              <w:t>ofertanților</w:t>
            </w:r>
            <w:r w:rsidR="00581BBD">
              <w:rPr>
                <w:rFonts w:cs="Times New Roman"/>
                <w:sz w:val="24"/>
                <w:szCs w:val="24"/>
              </w:rPr>
              <w:t xml:space="preserve"> pro-rata</w:t>
            </w:r>
            <w:r w:rsidR="00767D68" w:rsidRPr="00AE5FF2">
              <w:rPr>
                <w:rFonts w:cs="Times New Roman"/>
                <w:sz w:val="24"/>
                <w:szCs w:val="24"/>
              </w:rPr>
              <w:t xml:space="preserve"> </w:t>
            </w:r>
          </w:p>
        </w:tc>
      </w:tr>
      <w:tr w:rsidR="009E75F1" w:rsidRPr="00AE5FF2" w14:paraId="0A2B178C" w14:textId="77777777" w:rsidTr="009E75F1">
        <w:tc>
          <w:tcPr>
            <w:tcW w:w="2458" w:type="pct"/>
            <w:shd w:val="clear" w:color="auto" w:fill="auto"/>
            <w:tcMar>
              <w:left w:w="108" w:type="dxa"/>
            </w:tcMar>
          </w:tcPr>
          <w:p w14:paraId="28D3BBC9" w14:textId="460E881C" w:rsidR="009E75F1" w:rsidRPr="00AE5FF2" w:rsidRDefault="009E75F1" w:rsidP="000660C1">
            <w:pPr>
              <w:spacing w:after="0"/>
              <w:jc w:val="both"/>
              <w:rPr>
                <w:rFonts w:cs="Times New Roman"/>
                <w:sz w:val="24"/>
                <w:szCs w:val="24"/>
              </w:rPr>
            </w:pPr>
            <w:r w:rsidRPr="00AE5FF2">
              <w:rPr>
                <w:rFonts w:cs="Times New Roman"/>
                <w:sz w:val="24"/>
                <w:szCs w:val="24"/>
              </w:rPr>
              <w:t xml:space="preserve">ii) </w:t>
            </w:r>
            <w:r w:rsidR="001807F5" w:rsidRPr="00AE5FF2">
              <w:rPr>
                <w:rFonts w:cs="Times New Roman"/>
                <w:sz w:val="24"/>
                <w:szCs w:val="24"/>
              </w:rPr>
              <w:t>evaluarea externă a rapoartelor de alocare aferente obligațiunilor verzi /</w:t>
            </w:r>
            <w:r w:rsidR="003D2EFF" w:rsidRPr="00AE5FF2">
              <w:rPr>
                <w:rFonts w:cs="Times New Roman"/>
                <w:sz w:val="24"/>
                <w:szCs w:val="24"/>
              </w:rPr>
              <w:t xml:space="preserve"> sociale /</w:t>
            </w:r>
            <w:r w:rsidR="001807F5" w:rsidRPr="00AE5FF2">
              <w:rPr>
                <w:rFonts w:cs="Times New Roman"/>
                <w:sz w:val="24"/>
                <w:szCs w:val="24"/>
              </w:rPr>
              <w:t xml:space="preserve"> </w:t>
            </w:r>
            <w:r w:rsidR="00C3757C" w:rsidRPr="00AE5FF2">
              <w:rPr>
                <w:rFonts w:cs="Times New Roman"/>
                <w:sz w:val="24"/>
                <w:szCs w:val="24"/>
              </w:rPr>
              <w:t>de sustenabilitate</w:t>
            </w:r>
            <w:r w:rsidR="00CB520D" w:rsidRPr="00AE5FF2">
              <w:rPr>
                <w:rFonts w:cs="Times New Roman"/>
                <w:sz w:val="24"/>
                <w:szCs w:val="24"/>
              </w:rPr>
              <w:t xml:space="preserve"> re</w:t>
            </w:r>
            <w:r w:rsidR="001807F5" w:rsidRPr="00AE5FF2">
              <w:rPr>
                <w:rFonts w:cs="Times New Roman"/>
                <w:sz w:val="24"/>
                <w:szCs w:val="24"/>
              </w:rPr>
              <w:t>alizate</w:t>
            </w:r>
            <w:r w:rsidR="00CB520D" w:rsidRPr="00AE5FF2">
              <w:rPr>
                <w:rFonts w:cs="Times New Roman"/>
                <w:sz w:val="24"/>
                <w:szCs w:val="24"/>
              </w:rPr>
              <w:t xml:space="preserve"> de</w:t>
            </w:r>
            <w:r w:rsidRPr="00AE5FF2">
              <w:rPr>
                <w:rFonts w:cs="Times New Roman"/>
                <w:sz w:val="24"/>
                <w:szCs w:val="24"/>
              </w:rPr>
              <w:t xml:space="preserve"> </w:t>
            </w:r>
            <w:r w:rsidR="001759CD" w:rsidRPr="00AE5FF2">
              <w:rPr>
                <w:rFonts w:cs="Times New Roman"/>
                <w:sz w:val="24"/>
                <w:szCs w:val="24"/>
              </w:rPr>
              <w:t>emitenți</w:t>
            </w:r>
            <w:r w:rsidRPr="00AE5FF2">
              <w:rPr>
                <w:rFonts w:cs="Times New Roman"/>
                <w:sz w:val="24"/>
                <w:szCs w:val="24"/>
              </w:rPr>
              <w:t xml:space="preserve"> suverani</w:t>
            </w:r>
            <w:r w:rsidR="001807F5" w:rsidRPr="00AE5FF2">
              <w:rPr>
                <w:rFonts w:cs="Times New Roman"/>
                <w:sz w:val="24"/>
                <w:szCs w:val="24"/>
              </w:rPr>
              <w:t>,</w:t>
            </w:r>
            <w:r w:rsidR="00641D02" w:rsidRPr="00AE5FF2">
              <w:rPr>
                <w:rFonts w:cs="Times New Roman"/>
                <w:sz w:val="24"/>
                <w:szCs w:val="24"/>
              </w:rPr>
              <w:t xml:space="preserve"> în perioada </w:t>
            </w:r>
            <w:r w:rsidR="00C8293C" w:rsidRPr="00AE5FF2">
              <w:rPr>
                <w:rFonts w:cs="Times New Roman"/>
                <w:sz w:val="24"/>
                <w:szCs w:val="24"/>
              </w:rPr>
              <w:t>1 ianuarie</w:t>
            </w:r>
            <w:r w:rsidR="0095176F" w:rsidRPr="00AE5FF2">
              <w:rPr>
                <w:rFonts w:cs="Times New Roman"/>
                <w:sz w:val="24"/>
                <w:szCs w:val="24"/>
              </w:rPr>
              <w:t xml:space="preserve"> </w:t>
            </w:r>
            <w:r w:rsidR="00650EE0" w:rsidRPr="00AE5FF2">
              <w:rPr>
                <w:rFonts w:cs="Times New Roman"/>
                <w:sz w:val="24"/>
                <w:szCs w:val="24"/>
              </w:rPr>
              <w:t>20</w:t>
            </w:r>
            <w:r w:rsidR="0095176F" w:rsidRPr="00AE5FF2">
              <w:rPr>
                <w:rFonts w:cs="Times New Roman"/>
                <w:sz w:val="24"/>
                <w:szCs w:val="24"/>
              </w:rPr>
              <w:t>20</w:t>
            </w:r>
            <w:r w:rsidR="001807F5" w:rsidRPr="00AE5FF2">
              <w:rPr>
                <w:rFonts w:cs="Times New Roman"/>
                <w:sz w:val="24"/>
                <w:szCs w:val="24"/>
              </w:rPr>
              <w:t xml:space="preserve"> –</w:t>
            </w:r>
            <w:r w:rsidR="00650EE0" w:rsidRPr="00AE5FF2">
              <w:rPr>
                <w:rFonts w:cs="Times New Roman"/>
                <w:sz w:val="24"/>
                <w:szCs w:val="24"/>
              </w:rPr>
              <w:t xml:space="preserve"> </w:t>
            </w:r>
            <w:r w:rsidR="00C8293C" w:rsidRPr="00AE5FF2">
              <w:rPr>
                <w:rFonts w:cs="Times New Roman"/>
                <w:sz w:val="24"/>
                <w:szCs w:val="24"/>
              </w:rPr>
              <w:t>3</w:t>
            </w:r>
            <w:r w:rsidR="003F7734">
              <w:rPr>
                <w:rFonts w:cs="Times New Roman"/>
                <w:sz w:val="24"/>
                <w:szCs w:val="24"/>
              </w:rPr>
              <w:t>0</w:t>
            </w:r>
            <w:r w:rsidR="00C8293C" w:rsidRPr="00AE5FF2">
              <w:rPr>
                <w:rFonts w:cs="Times New Roman"/>
                <w:sz w:val="24"/>
                <w:szCs w:val="24"/>
              </w:rPr>
              <w:t xml:space="preserve"> </w:t>
            </w:r>
            <w:r w:rsidR="00180909">
              <w:rPr>
                <w:rFonts w:cs="Times New Roman"/>
                <w:sz w:val="24"/>
                <w:szCs w:val="24"/>
              </w:rPr>
              <w:t>iunie</w:t>
            </w:r>
            <w:r w:rsidR="00C8293C" w:rsidRPr="00AE5FF2">
              <w:rPr>
                <w:rFonts w:cs="Times New Roman"/>
                <w:sz w:val="24"/>
                <w:szCs w:val="24"/>
              </w:rPr>
              <w:t xml:space="preserve"> </w:t>
            </w:r>
            <w:r w:rsidR="00650EE0" w:rsidRPr="00AE5FF2">
              <w:rPr>
                <w:rFonts w:cs="Times New Roman"/>
                <w:sz w:val="24"/>
                <w:szCs w:val="24"/>
              </w:rPr>
              <w:t>20</w:t>
            </w:r>
            <w:r w:rsidR="0095176F" w:rsidRPr="00AE5FF2">
              <w:rPr>
                <w:rFonts w:cs="Times New Roman"/>
                <w:sz w:val="24"/>
                <w:szCs w:val="24"/>
              </w:rPr>
              <w:t>2</w:t>
            </w:r>
            <w:r w:rsidR="001807F5" w:rsidRPr="00AE5FF2">
              <w:rPr>
                <w:rFonts w:cs="Times New Roman"/>
                <w:sz w:val="24"/>
                <w:szCs w:val="24"/>
              </w:rPr>
              <w:t>3</w:t>
            </w:r>
            <w:r w:rsidR="004B792A" w:rsidRPr="00AE5FF2">
              <w:rPr>
                <w:rFonts w:cs="Times New Roman"/>
                <w:sz w:val="24"/>
                <w:szCs w:val="24"/>
              </w:rPr>
              <w:t xml:space="preserve"> inclusiv</w:t>
            </w:r>
          </w:p>
        </w:tc>
        <w:tc>
          <w:tcPr>
            <w:tcW w:w="1205" w:type="pct"/>
            <w:tcBorders>
              <w:right w:val="nil"/>
            </w:tcBorders>
            <w:shd w:val="clear" w:color="auto" w:fill="auto"/>
            <w:tcMar>
              <w:left w:w="108" w:type="dxa"/>
            </w:tcMar>
          </w:tcPr>
          <w:p w14:paraId="3E45BBD6" w14:textId="75484530" w:rsidR="009E75F1" w:rsidRPr="00AE5FF2" w:rsidRDefault="00BD1D00" w:rsidP="00896FB8">
            <w:pPr>
              <w:spacing w:after="0"/>
              <w:jc w:val="both"/>
              <w:rPr>
                <w:rFonts w:cs="Times New Roman"/>
                <w:sz w:val="24"/>
                <w:szCs w:val="24"/>
              </w:rPr>
            </w:pPr>
            <w:r>
              <w:rPr>
                <w:rFonts w:cs="Times New Roman"/>
                <w:sz w:val="24"/>
                <w:szCs w:val="24"/>
              </w:rPr>
              <w:t xml:space="preserve">minimum 1 </w:t>
            </w:r>
            <w:r w:rsidRPr="00AE5FF2">
              <w:rPr>
                <w:rFonts w:cs="Times New Roman"/>
                <w:sz w:val="24"/>
                <w:szCs w:val="24"/>
              </w:rPr>
              <w:t>rapo</w:t>
            </w:r>
            <w:r>
              <w:rPr>
                <w:rFonts w:cs="Times New Roman"/>
                <w:sz w:val="24"/>
                <w:szCs w:val="24"/>
              </w:rPr>
              <w:t>rt</w:t>
            </w:r>
            <w:r w:rsidRPr="00AE5FF2">
              <w:rPr>
                <w:rFonts w:cs="Times New Roman"/>
                <w:sz w:val="24"/>
                <w:szCs w:val="24"/>
              </w:rPr>
              <w:t xml:space="preserve"> de alocare aferente obligațiunilor verzi / sociale / de sustenabilitate realizate de emitenți suverani</w:t>
            </w:r>
            <w:r>
              <w:rPr>
                <w:rFonts w:cs="Times New Roman"/>
                <w:sz w:val="24"/>
                <w:szCs w:val="24"/>
              </w:rPr>
              <w:t xml:space="preserve"> evaluat – 0 puncte</w:t>
            </w:r>
          </w:p>
        </w:tc>
        <w:tc>
          <w:tcPr>
            <w:tcW w:w="1337" w:type="pct"/>
            <w:shd w:val="clear" w:color="auto" w:fill="auto"/>
            <w:tcMar>
              <w:left w:w="108" w:type="dxa"/>
            </w:tcMar>
          </w:tcPr>
          <w:p w14:paraId="1443DABC" w14:textId="368886F8" w:rsidR="009E75F1" w:rsidRPr="00AE5FF2" w:rsidRDefault="009E75F1" w:rsidP="000660C1">
            <w:pPr>
              <w:spacing w:after="0"/>
              <w:jc w:val="both"/>
              <w:rPr>
                <w:rFonts w:cs="Times New Roman"/>
                <w:sz w:val="24"/>
                <w:szCs w:val="24"/>
              </w:rPr>
            </w:pPr>
            <w:r w:rsidRPr="00AE5FF2">
              <w:rPr>
                <w:rFonts w:cs="Times New Roman"/>
                <w:sz w:val="24"/>
                <w:szCs w:val="24"/>
              </w:rPr>
              <w:t xml:space="preserve">maxim </w:t>
            </w:r>
            <w:r w:rsidR="000337D2">
              <w:rPr>
                <w:rFonts w:cs="Times New Roman"/>
                <w:sz w:val="24"/>
                <w:szCs w:val="24"/>
              </w:rPr>
              <w:t>15</w:t>
            </w:r>
            <w:r w:rsidR="002B29B7" w:rsidRPr="00AE5FF2">
              <w:rPr>
                <w:rFonts w:cs="Times New Roman"/>
                <w:sz w:val="24"/>
                <w:szCs w:val="24"/>
              </w:rPr>
              <w:t xml:space="preserve"> </w:t>
            </w:r>
            <w:r w:rsidRPr="00AE5FF2">
              <w:rPr>
                <w:rFonts w:cs="Times New Roman"/>
                <w:sz w:val="24"/>
                <w:szCs w:val="24"/>
              </w:rPr>
              <w:t>puncte</w:t>
            </w:r>
            <w:r w:rsidR="00581BBD">
              <w:rPr>
                <w:rFonts w:cs="Times New Roman"/>
                <w:sz w:val="24"/>
                <w:szCs w:val="24"/>
              </w:rPr>
              <w:t xml:space="preserve"> pentru cele mai multe Rapoarte </w:t>
            </w:r>
            <w:r w:rsidR="00BD1D00" w:rsidRPr="00AE5FF2">
              <w:rPr>
                <w:rFonts w:cs="Times New Roman"/>
                <w:sz w:val="24"/>
                <w:szCs w:val="24"/>
              </w:rPr>
              <w:t>de alocare aferente obligațiunilor verzi / sociale / de sustenabilitate realizate de emitenți suverani</w:t>
            </w:r>
            <w:r w:rsidR="00BD1D00">
              <w:rPr>
                <w:rFonts w:cs="Times New Roman"/>
                <w:sz w:val="24"/>
                <w:szCs w:val="24"/>
              </w:rPr>
              <w:t xml:space="preserve"> </w:t>
            </w:r>
            <w:r w:rsidR="00581BBD">
              <w:rPr>
                <w:rFonts w:cs="Times New Roman"/>
                <w:sz w:val="24"/>
                <w:szCs w:val="24"/>
              </w:rPr>
              <w:t xml:space="preserve">evaluate, restul </w:t>
            </w:r>
            <w:r w:rsidR="00350D3F">
              <w:rPr>
                <w:rFonts w:cs="Times New Roman"/>
                <w:sz w:val="24"/>
                <w:szCs w:val="24"/>
              </w:rPr>
              <w:t>ofertanților</w:t>
            </w:r>
            <w:r w:rsidR="00581BBD">
              <w:rPr>
                <w:rFonts w:cs="Times New Roman"/>
                <w:sz w:val="24"/>
                <w:szCs w:val="24"/>
              </w:rPr>
              <w:t xml:space="preserve"> pro-rata</w:t>
            </w:r>
          </w:p>
        </w:tc>
      </w:tr>
      <w:tr w:rsidR="009E75F1" w:rsidRPr="00AE5FF2" w14:paraId="0C57B3A5" w14:textId="77777777" w:rsidTr="009E75F1">
        <w:tc>
          <w:tcPr>
            <w:tcW w:w="2458" w:type="pct"/>
            <w:shd w:val="clear" w:color="auto" w:fill="auto"/>
            <w:tcMar>
              <w:left w:w="108" w:type="dxa"/>
            </w:tcMar>
          </w:tcPr>
          <w:p w14:paraId="4B1622AF" w14:textId="6229D8AE" w:rsidR="009E75F1" w:rsidRPr="00AE5FF2" w:rsidRDefault="009E75F1" w:rsidP="00896FB8">
            <w:pPr>
              <w:spacing w:after="0"/>
              <w:jc w:val="both"/>
              <w:rPr>
                <w:rFonts w:cs="Times New Roman"/>
                <w:sz w:val="24"/>
                <w:szCs w:val="24"/>
              </w:rPr>
            </w:pPr>
            <w:r w:rsidRPr="00AE5FF2">
              <w:rPr>
                <w:rFonts w:cs="Times New Roman"/>
                <w:sz w:val="24"/>
                <w:szCs w:val="24"/>
              </w:rPr>
              <w:t>Total</w:t>
            </w:r>
          </w:p>
        </w:tc>
        <w:tc>
          <w:tcPr>
            <w:tcW w:w="1205" w:type="pct"/>
            <w:tcBorders>
              <w:right w:val="nil"/>
            </w:tcBorders>
            <w:shd w:val="clear" w:color="auto" w:fill="auto"/>
            <w:tcMar>
              <w:left w:w="108" w:type="dxa"/>
            </w:tcMar>
          </w:tcPr>
          <w:p w14:paraId="2B3D6373" w14:textId="77777777" w:rsidR="009E75F1" w:rsidRPr="00AE5FF2" w:rsidRDefault="009E75F1" w:rsidP="00896FB8">
            <w:pPr>
              <w:spacing w:after="0"/>
              <w:jc w:val="both"/>
              <w:rPr>
                <w:rFonts w:cs="Times New Roman"/>
                <w:sz w:val="24"/>
                <w:szCs w:val="24"/>
              </w:rPr>
            </w:pPr>
          </w:p>
        </w:tc>
        <w:tc>
          <w:tcPr>
            <w:tcW w:w="1337" w:type="pct"/>
            <w:shd w:val="clear" w:color="auto" w:fill="auto"/>
            <w:tcMar>
              <w:left w:w="108" w:type="dxa"/>
            </w:tcMar>
          </w:tcPr>
          <w:p w14:paraId="6D1CFE61" w14:textId="632806C5" w:rsidR="009E75F1" w:rsidRPr="00AE5FF2" w:rsidRDefault="000337D2" w:rsidP="00896FB8">
            <w:pPr>
              <w:spacing w:after="0"/>
              <w:jc w:val="both"/>
              <w:rPr>
                <w:rFonts w:cs="Times New Roman"/>
                <w:sz w:val="24"/>
                <w:szCs w:val="24"/>
              </w:rPr>
            </w:pPr>
            <w:r>
              <w:rPr>
                <w:rFonts w:cs="Times New Roman"/>
                <w:sz w:val="24"/>
                <w:szCs w:val="24"/>
              </w:rPr>
              <w:t>6</w:t>
            </w:r>
            <w:r w:rsidR="009E75F1" w:rsidRPr="00AE5FF2">
              <w:rPr>
                <w:rFonts w:cs="Times New Roman"/>
                <w:sz w:val="24"/>
                <w:szCs w:val="24"/>
              </w:rPr>
              <w:t>0 puncte</w:t>
            </w:r>
          </w:p>
        </w:tc>
      </w:tr>
    </w:tbl>
    <w:p w14:paraId="0E00CBE3" w14:textId="77777777" w:rsidR="009E75F1" w:rsidRPr="00AE5FF2" w:rsidRDefault="009E75F1" w:rsidP="000660C1">
      <w:pPr>
        <w:spacing w:after="0" w:line="240" w:lineRule="auto"/>
        <w:jc w:val="both"/>
        <w:rPr>
          <w:rFonts w:cs="Times New Roman"/>
          <w:i/>
          <w:iCs/>
          <w:sz w:val="12"/>
          <w:szCs w:val="12"/>
        </w:rPr>
      </w:pPr>
    </w:p>
    <w:p w14:paraId="28B2AC5C" w14:textId="77777777" w:rsidR="00991744" w:rsidRPr="00AE5FF2" w:rsidRDefault="00991744">
      <w:pPr>
        <w:spacing w:after="0" w:line="240" w:lineRule="auto"/>
        <w:jc w:val="both"/>
        <w:rPr>
          <w:rFonts w:cs="Times New Roman"/>
          <w:sz w:val="24"/>
          <w:szCs w:val="24"/>
        </w:rPr>
      </w:pPr>
    </w:p>
    <w:p w14:paraId="14587F6E" w14:textId="436A67E9" w:rsidR="00A41B43" w:rsidRPr="00AE5FF2" w:rsidRDefault="007253BB">
      <w:pPr>
        <w:spacing w:after="0" w:line="240" w:lineRule="auto"/>
        <w:ind w:left="360"/>
        <w:jc w:val="both"/>
        <w:rPr>
          <w:rFonts w:cs="Times New Roman"/>
          <w:sz w:val="24"/>
          <w:szCs w:val="24"/>
        </w:rPr>
      </w:pPr>
      <w:r w:rsidRPr="00AE5FF2">
        <w:rPr>
          <w:rFonts w:cs="Times New Roman"/>
          <w:sz w:val="24"/>
          <w:szCs w:val="24"/>
        </w:rPr>
        <w:t xml:space="preserve">b) </w:t>
      </w:r>
      <w:r w:rsidR="009A1E2E" w:rsidRPr="00AE5FF2">
        <w:rPr>
          <w:rFonts w:cs="Times New Roman"/>
          <w:sz w:val="24"/>
          <w:szCs w:val="24"/>
        </w:rPr>
        <w:t>o</w:t>
      </w:r>
      <w:r w:rsidR="00C36E6C" w:rsidRPr="00AE5FF2">
        <w:rPr>
          <w:rFonts w:cs="Times New Roman"/>
          <w:sz w:val="24"/>
          <w:szCs w:val="24"/>
        </w:rPr>
        <w:t>fertele teh</w:t>
      </w:r>
      <w:r w:rsidR="00DD6BC1" w:rsidRPr="00AE5FF2">
        <w:rPr>
          <w:rFonts w:cs="Times New Roman"/>
          <w:sz w:val="24"/>
          <w:szCs w:val="24"/>
        </w:rPr>
        <w:t xml:space="preserve">nice </w:t>
      </w:r>
      <w:r w:rsidR="00882D5F" w:rsidRPr="00AE5FF2">
        <w:rPr>
          <w:rFonts w:cs="Times New Roman"/>
          <w:sz w:val="24"/>
          <w:szCs w:val="24"/>
        </w:rPr>
        <w:t xml:space="preserve">se prezintă în forma tabelară conform Anexei nr. 1. Ofertele tehnice </w:t>
      </w:r>
      <w:r w:rsidR="00DD6BC1" w:rsidRPr="00AE5FF2">
        <w:rPr>
          <w:rFonts w:cs="Times New Roman"/>
          <w:sz w:val="24"/>
          <w:szCs w:val="24"/>
        </w:rPr>
        <w:t>trebuie însoțite de docum</w:t>
      </w:r>
      <w:r w:rsidR="006C6286" w:rsidRPr="00AE5FF2">
        <w:rPr>
          <w:rFonts w:cs="Times New Roman"/>
          <w:sz w:val="24"/>
          <w:szCs w:val="24"/>
        </w:rPr>
        <w:t>e</w:t>
      </w:r>
      <w:r w:rsidR="00DD6BC1" w:rsidRPr="00AE5FF2">
        <w:rPr>
          <w:rFonts w:cs="Times New Roman"/>
          <w:sz w:val="24"/>
          <w:szCs w:val="24"/>
        </w:rPr>
        <w:t>n</w:t>
      </w:r>
      <w:r w:rsidR="00C36E6C" w:rsidRPr="00AE5FF2">
        <w:rPr>
          <w:rFonts w:cs="Times New Roman"/>
          <w:sz w:val="24"/>
          <w:szCs w:val="24"/>
        </w:rPr>
        <w:t>tel</w:t>
      </w:r>
      <w:r w:rsidR="00DD6BC1" w:rsidRPr="00AE5FF2">
        <w:rPr>
          <w:rFonts w:cs="Times New Roman"/>
          <w:sz w:val="24"/>
          <w:szCs w:val="24"/>
        </w:rPr>
        <w:t>e suport ca</w:t>
      </w:r>
      <w:r w:rsidR="00C36E6C" w:rsidRPr="00AE5FF2">
        <w:rPr>
          <w:rFonts w:cs="Times New Roman"/>
          <w:sz w:val="24"/>
          <w:szCs w:val="24"/>
        </w:rPr>
        <w:t xml:space="preserve">re să ateste calitatea </w:t>
      </w:r>
      <w:r w:rsidR="00212634">
        <w:rPr>
          <w:rFonts w:cs="Times New Roman"/>
          <w:sz w:val="24"/>
          <w:szCs w:val="24"/>
        </w:rPr>
        <w:t>ofertantului</w:t>
      </w:r>
      <w:r w:rsidR="0061584F" w:rsidRPr="00AE5FF2">
        <w:rPr>
          <w:rFonts w:cs="Times New Roman"/>
          <w:sz w:val="24"/>
          <w:szCs w:val="24"/>
        </w:rPr>
        <w:t xml:space="preserve"> </w:t>
      </w:r>
      <w:r w:rsidR="00C36E6C" w:rsidRPr="00AE5FF2">
        <w:rPr>
          <w:rFonts w:cs="Times New Roman"/>
          <w:sz w:val="24"/>
          <w:szCs w:val="24"/>
        </w:rPr>
        <w:t>în activitățile prezentate în oferta tehnică</w:t>
      </w:r>
      <w:r w:rsidR="00323BFE" w:rsidRPr="00AE5FF2">
        <w:rPr>
          <w:rFonts w:cs="Times New Roman"/>
          <w:sz w:val="24"/>
          <w:szCs w:val="24"/>
        </w:rPr>
        <w:t xml:space="preserve">, și anume </w:t>
      </w:r>
      <w:r w:rsidR="00DD6BC1" w:rsidRPr="00AE5FF2">
        <w:rPr>
          <w:rFonts w:cs="Times New Roman"/>
          <w:sz w:val="24"/>
          <w:szCs w:val="24"/>
        </w:rPr>
        <w:t xml:space="preserve">pagini relevante din </w:t>
      </w:r>
      <w:r w:rsidR="00C847B9" w:rsidRPr="00AE5FF2">
        <w:rPr>
          <w:rFonts w:cs="Times New Roman"/>
          <w:sz w:val="24"/>
          <w:szCs w:val="24"/>
        </w:rPr>
        <w:t xml:space="preserve">Cadrele de obligațiuni verzi / sociale / </w:t>
      </w:r>
      <w:r w:rsidR="00C3757C" w:rsidRPr="00AE5FF2">
        <w:rPr>
          <w:rFonts w:cs="Times New Roman"/>
          <w:sz w:val="24"/>
          <w:szCs w:val="24"/>
        </w:rPr>
        <w:t>de sustenabilitate</w:t>
      </w:r>
      <w:r w:rsidR="00C847B9" w:rsidRPr="00AE5FF2">
        <w:rPr>
          <w:rFonts w:cs="Times New Roman"/>
          <w:sz w:val="24"/>
          <w:szCs w:val="24"/>
        </w:rPr>
        <w:t xml:space="preserve"> ale </w:t>
      </w:r>
      <w:r w:rsidR="001C47B2" w:rsidRPr="00AE5FF2">
        <w:rPr>
          <w:rFonts w:cs="Times New Roman"/>
          <w:sz w:val="24"/>
          <w:szCs w:val="24"/>
        </w:rPr>
        <w:t>emitenților</w:t>
      </w:r>
      <w:r w:rsidR="00C847B9" w:rsidRPr="00AE5FF2">
        <w:rPr>
          <w:rFonts w:cs="Times New Roman"/>
          <w:sz w:val="24"/>
          <w:szCs w:val="24"/>
        </w:rPr>
        <w:t xml:space="preserve"> suverani și din rapoartele de evaluare externă ale rapoartelor de alocare </w:t>
      </w:r>
      <w:r w:rsidR="00DD6BC1" w:rsidRPr="00AE5FF2">
        <w:rPr>
          <w:rFonts w:cs="Times New Roman"/>
          <w:sz w:val="24"/>
          <w:szCs w:val="24"/>
        </w:rPr>
        <w:t>(paginile pe care să apară numele emitentului</w:t>
      </w:r>
      <w:r w:rsidR="00C847B9" w:rsidRPr="00AE5FF2">
        <w:rPr>
          <w:rFonts w:cs="Times New Roman"/>
          <w:sz w:val="24"/>
          <w:szCs w:val="24"/>
        </w:rPr>
        <w:t xml:space="preserve"> suveran</w:t>
      </w:r>
      <w:r w:rsidR="00DD6BC1" w:rsidRPr="00AE5FF2">
        <w:rPr>
          <w:rFonts w:cs="Times New Roman"/>
          <w:sz w:val="24"/>
          <w:szCs w:val="24"/>
        </w:rPr>
        <w:t xml:space="preserve">, precum </w:t>
      </w:r>
      <w:r w:rsidR="001C47B2" w:rsidRPr="00AE5FF2">
        <w:rPr>
          <w:rFonts w:cs="Times New Roman"/>
          <w:sz w:val="24"/>
          <w:szCs w:val="24"/>
        </w:rPr>
        <w:t>și</w:t>
      </w:r>
      <w:r w:rsidR="00DD6BC1" w:rsidRPr="00AE5FF2">
        <w:rPr>
          <w:rFonts w:cs="Times New Roman"/>
          <w:sz w:val="24"/>
          <w:szCs w:val="24"/>
        </w:rPr>
        <w:t xml:space="preserve"> numele </w:t>
      </w:r>
      <w:r w:rsidR="00C847B9" w:rsidRPr="00AE5FF2">
        <w:rPr>
          <w:rFonts w:cs="Times New Roman"/>
          <w:sz w:val="24"/>
          <w:szCs w:val="24"/>
        </w:rPr>
        <w:t>societății care a prestat serviciile de evaluare externă</w:t>
      </w:r>
      <w:r w:rsidR="00491CD6" w:rsidRPr="00AE5FF2">
        <w:rPr>
          <w:rFonts w:cs="Times New Roman"/>
          <w:sz w:val="24"/>
          <w:szCs w:val="24"/>
        </w:rPr>
        <w:t>);</w:t>
      </w:r>
    </w:p>
    <w:p w14:paraId="7DA96F97" w14:textId="1A81C7C2" w:rsidR="009923C5" w:rsidRPr="00896FB8" w:rsidRDefault="0064049E" w:rsidP="00896FB8">
      <w:pPr>
        <w:spacing w:after="0" w:line="240" w:lineRule="auto"/>
        <w:ind w:left="360"/>
        <w:jc w:val="both"/>
        <w:rPr>
          <w:rFonts w:cs="Times New Roman"/>
          <w:sz w:val="24"/>
          <w:szCs w:val="24"/>
        </w:rPr>
      </w:pPr>
      <w:r>
        <w:rPr>
          <w:rFonts w:cs="Times New Roman"/>
          <w:sz w:val="24"/>
          <w:szCs w:val="24"/>
        </w:rPr>
        <w:t>c</w:t>
      </w:r>
      <w:r w:rsidR="008A0F85">
        <w:rPr>
          <w:rFonts w:cs="Times New Roman"/>
          <w:sz w:val="24"/>
          <w:szCs w:val="24"/>
        </w:rPr>
        <w:t xml:space="preserve">) </w:t>
      </w:r>
      <w:r w:rsidR="00A41B43" w:rsidRPr="00896FB8">
        <w:rPr>
          <w:rFonts w:cs="Times New Roman"/>
          <w:sz w:val="24"/>
          <w:szCs w:val="24"/>
        </w:rPr>
        <w:t>oferta tehnică va c</w:t>
      </w:r>
      <w:r w:rsidR="009923C5" w:rsidRPr="00896FB8">
        <w:rPr>
          <w:rFonts w:cs="Times New Roman"/>
          <w:sz w:val="24"/>
          <w:szCs w:val="24"/>
        </w:rPr>
        <w:t>onține obligatoriu și următoarele</w:t>
      </w:r>
      <w:r w:rsidR="009923C5" w:rsidRPr="00896FB8">
        <w:rPr>
          <w:rFonts w:cs="Times New Roman"/>
          <w:sz w:val="24"/>
          <w:szCs w:val="24"/>
          <w:lang w:val="en-US"/>
        </w:rPr>
        <w:t>:</w:t>
      </w:r>
    </w:p>
    <w:p w14:paraId="1CA3380F" w14:textId="0D4CC5A0" w:rsidR="00066571" w:rsidRDefault="00066571" w:rsidP="000660C1">
      <w:pPr>
        <w:pStyle w:val="ListParagraph"/>
        <w:numPr>
          <w:ilvl w:val="0"/>
          <w:numId w:val="25"/>
        </w:numPr>
        <w:spacing w:after="0" w:line="240" w:lineRule="auto"/>
        <w:jc w:val="both"/>
        <w:rPr>
          <w:rFonts w:cs="Times New Roman"/>
          <w:sz w:val="24"/>
          <w:szCs w:val="24"/>
        </w:rPr>
      </w:pPr>
      <w:r>
        <w:rPr>
          <w:rFonts w:cs="Times New Roman"/>
          <w:sz w:val="24"/>
          <w:szCs w:val="24"/>
        </w:rPr>
        <w:t>Formularul de ofertă tehnică</w:t>
      </w:r>
      <w:r w:rsidR="00550983">
        <w:rPr>
          <w:rFonts w:cs="Times New Roman"/>
          <w:sz w:val="24"/>
          <w:szCs w:val="24"/>
        </w:rPr>
        <w:t xml:space="preserve"> – Anexa nr. 3 la Specificațiile tehnice,</w:t>
      </w:r>
    </w:p>
    <w:p w14:paraId="12618CF5" w14:textId="6ECF2AA0" w:rsidR="0096792C" w:rsidRDefault="00A41B43" w:rsidP="000660C1">
      <w:pPr>
        <w:pStyle w:val="ListParagraph"/>
        <w:numPr>
          <w:ilvl w:val="0"/>
          <w:numId w:val="25"/>
        </w:numPr>
        <w:spacing w:after="0" w:line="240" w:lineRule="auto"/>
        <w:jc w:val="both"/>
        <w:rPr>
          <w:rFonts w:cs="Times New Roman"/>
          <w:sz w:val="24"/>
          <w:szCs w:val="24"/>
        </w:rPr>
      </w:pPr>
      <w:r w:rsidRPr="00AE5FF2">
        <w:rPr>
          <w:rFonts w:cs="Times New Roman"/>
          <w:sz w:val="24"/>
          <w:szCs w:val="24"/>
        </w:rPr>
        <w:t>prezentarea detaliată a membrilor echipei de proiect propuse sau CV-urile acestor persoane (cu precizarea expresă a faptului dacă există vorbitori de limbă română printre membrii echipei de proiect),</w:t>
      </w:r>
    </w:p>
    <w:p w14:paraId="1702963D" w14:textId="5BBD8B3E" w:rsidR="006F58B5" w:rsidRDefault="00A41B43">
      <w:pPr>
        <w:pStyle w:val="ListParagraph"/>
        <w:numPr>
          <w:ilvl w:val="0"/>
          <w:numId w:val="25"/>
        </w:numPr>
        <w:spacing w:after="0" w:line="240" w:lineRule="auto"/>
        <w:jc w:val="both"/>
        <w:rPr>
          <w:rFonts w:cs="Times New Roman"/>
          <w:sz w:val="24"/>
          <w:szCs w:val="24"/>
        </w:rPr>
      </w:pPr>
      <w:r w:rsidRPr="00AE5FF2">
        <w:rPr>
          <w:rFonts w:cs="Times New Roman"/>
          <w:sz w:val="24"/>
          <w:szCs w:val="24"/>
        </w:rPr>
        <w:t xml:space="preserve">confirmarea disponibilității ofertantului de a se angaja </w:t>
      </w:r>
      <w:r w:rsidR="00E85A22">
        <w:rPr>
          <w:rFonts w:cs="Times New Roman"/>
          <w:sz w:val="24"/>
          <w:szCs w:val="24"/>
        </w:rPr>
        <w:t>î</w:t>
      </w:r>
      <w:r w:rsidRPr="00AE5FF2">
        <w:rPr>
          <w:rFonts w:cs="Times New Roman"/>
          <w:sz w:val="24"/>
          <w:szCs w:val="24"/>
        </w:rPr>
        <w:t xml:space="preserve">n proiect imediat după </w:t>
      </w:r>
      <w:r w:rsidR="00E85A22">
        <w:rPr>
          <w:rFonts w:cs="Times New Roman"/>
          <w:sz w:val="24"/>
          <w:szCs w:val="24"/>
        </w:rPr>
        <w:t>semnarea contractului</w:t>
      </w:r>
      <w:r w:rsidR="006F58B5">
        <w:rPr>
          <w:rFonts w:cs="Times New Roman"/>
          <w:sz w:val="24"/>
          <w:szCs w:val="24"/>
        </w:rPr>
        <w:t>,</w:t>
      </w:r>
    </w:p>
    <w:p w14:paraId="3A379AFB" w14:textId="6C476668" w:rsidR="006F58B5" w:rsidRDefault="00A41B43">
      <w:pPr>
        <w:pStyle w:val="ListParagraph"/>
        <w:numPr>
          <w:ilvl w:val="0"/>
          <w:numId w:val="25"/>
        </w:numPr>
        <w:spacing w:after="0" w:line="240" w:lineRule="auto"/>
        <w:jc w:val="both"/>
        <w:rPr>
          <w:rFonts w:cs="Times New Roman"/>
          <w:sz w:val="24"/>
          <w:szCs w:val="24"/>
        </w:rPr>
      </w:pPr>
      <w:r w:rsidRPr="00AE5FF2">
        <w:rPr>
          <w:rFonts w:cs="Times New Roman"/>
          <w:sz w:val="24"/>
          <w:szCs w:val="24"/>
        </w:rPr>
        <w:t xml:space="preserve">durata estimativă a perioadei de evaluare și termenul </w:t>
      </w:r>
      <w:r w:rsidR="00AB5712">
        <w:rPr>
          <w:rFonts w:cs="Times New Roman"/>
          <w:sz w:val="24"/>
          <w:szCs w:val="24"/>
        </w:rPr>
        <w:t>ofertat</w:t>
      </w:r>
      <w:r w:rsidR="00AB5712" w:rsidRPr="00AE5FF2">
        <w:rPr>
          <w:rFonts w:cs="Times New Roman"/>
          <w:sz w:val="24"/>
          <w:szCs w:val="24"/>
        </w:rPr>
        <w:t xml:space="preserve"> </w:t>
      </w:r>
      <w:r w:rsidRPr="00AE5FF2">
        <w:rPr>
          <w:rFonts w:cs="Times New Roman"/>
          <w:sz w:val="24"/>
          <w:szCs w:val="24"/>
        </w:rPr>
        <w:t xml:space="preserve">pentru transmiterea raportului de evaluare a Cadrului </w:t>
      </w:r>
      <w:r w:rsidRPr="00AE5FF2">
        <w:rPr>
          <w:rFonts w:cs="Times New Roman"/>
          <w:bCs/>
          <w:sz w:val="24"/>
          <w:szCs w:val="24"/>
        </w:rPr>
        <w:t>general</w:t>
      </w:r>
      <w:r w:rsidR="00C56408">
        <w:rPr>
          <w:rFonts w:cs="Times New Roman"/>
          <w:bCs/>
          <w:sz w:val="24"/>
          <w:szCs w:val="24"/>
        </w:rPr>
        <w:t>,</w:t>
      </w:r>
    </w:p>
    <w:p w14:paraId="6C4B4D5A" w14:textId="03B452E4" w:rsidR="00323BFE" w:rsidRDefault="00A41B43">
      <w:pPr>
        <w:pStyle w:val="ListParagraph"/>
        <w:numPr>
          <w:ilvl w:val="0"/>
          <w:numId w:val="25"/>
        </w:numPr>
        <w:spacing w:after="0" w:line="240" w:lineRule="auto"/>
        <w:jc w:val="both"/>
        <w:rPr>
          <w:rFonts w:cs="Times New Roman"/>
          <w:sz w:val="24"/>
          <w:szCs w:val="24"/>
        </w:rPr>
      </w:pPr>
      <w:r w:rsidRPr="00AE5FF2">
        <w:rPr>
          <w:rFonts w:cs="Times New Roman"/>
          <w:sz w:val="24"/>
          <w:szCs w:val="24"/>
        </w:rPr>
        <w:lastRenderedPageBreak/>
        <w:t xml:space="preserve">planul de proiect cu precizarea momentelor exacte la care vor fi transmise beneficiarului prima formă </w:t>
      </w:r>
      <w:r w:rsidR="001560CA" w:rsidRPr="00AE5FF2">
        <w:rPr>
          <w:rFonts w:cs="Times New Roman"/>
          <w:sz w:val="24"/>
          <w:szCs w:val="24"/>
        </w:rPr>
        <w:t>de proiect</w:t>
      </w:r>
      <w:r w:rsidRPr="00AE5FF2">
        <w:rPr>
          <w:rFonts w:cs="Times New Roman"/>
          <w:sz w:val="24"/>
          <w:szCs w:val="24"/>
        </w:rPr>
        <w:t xml:space="preserve"> a raportului de evaluare, respectiv cea de-a doua formă </w:t>
      </w:r>
      <w:r w:rsidR="001560CA" w:rsidRPr="00AE5FF2">
        <w:rPr>
          <w:rFonts w:cs="Times New Roman"/>
          <w:sz w:val="24"/>
          <w:szCs w:val="24"/>
        </w:rPr>
        <w:t>de proiect</w:t>
      </w:r>
      <w:r w:rsidRPr="00AE5FF2">
        <w:rPr>
          <w:rFonts w:cs="Times New Roman"/>
          <w:sz w:val="24"/>
          <w:szCs w:val="24"/>
        </w:rPr>
        <w:t xml:space="preserve"> a acestui raport</w:t>
      </w:r>
      <w:r w:rsidR="00C56408">
        <w:rPr>
          <w:rFonts w:cs="Times New Roman"/>
          <w:sz w:val="24"/>
          <w:szCs w:val="24"/>
        </w:rPr>
        <w:t>.</w:t>
      </w:r>
    </w:p>
    <w:p w14:paraId="673B1887" w14:textId="1043C7D5" w:rsidR="00F1757E" w:rsidRPr="00350D3F" w:rsidRDefault="009408B3">
      <w:pPr>
        <w:spacing w:after="0" w:line="240" w:lineRule="auto"/>
        <w:ind w:left="360" w:firstLine="15"/>
        <w:jc w:val="both"/>
        <w:rPr>
          <w:rFonts w:cs="Times New Roman"/>
          <w:sz w:val="24"/>
          <w:szCs w:val="24"/>
        </w:rPr>
      </w:pPr>
      <w:r>
        <w:rPr>
          <w:rFonts w:cs="Times New Roman"/>
          <w:sz w:val="24"/>
          <w:szCs w:val="24"/>
        </w:rPr>
        <w:t>d</w:t>
      </w:r>
      <w:r w:rsidR="00F1757E">
        <w:rPr>
          <w:rFonts w:cs="Times New Roman"/>
          <w:sz w:val="24"/>
          <w:szCs w:val="24"/>
        </w:rPr>
        <w:t>) angajamentul ofertantului că va transmite raportul de evaluare a cadrului general în termen</w:t>
      </w:r>
      <w:r w:rsidR="00AB5712">
        <w:rPr>
          <w:rFonts w:cs="Times New Roman"/>
          <w:sz w:val="24"/>
          <w:szCs w:val="24"/>
        </w:rPr>
        <w:t>ul ofertat, care poate fi</w:t>
      </w:r>
      <w:r w:rsidR="00F1757E">
        <w:rPr>
          <w:rFonts w:cs="Times New Roman"/>
          <w:sz w:val="24"/>
          <w:szCs w:val="24"/>
        </w:rPr>
        <w:t xml:space="preserve"> de maxim</w:t>
      </w:r>
      <w:r w:rsidR="0061584F">
        <w:rPr>
          <w:rFonts w:cs="Times New Roman"/>
          <w:sz w:val="24"/>
          <w:szCs w:val="24"/>
        </w:rPr>
        <w:t>um</w:t>
      </w:r>
      <w:r w:rsidR="00F1757E">
        <w:rPr>
          <w:rFonts w:cs="Times New Roman"/>
          <w:sz w:val="24"/>
          <w:szCs w:val="24"/>
        </w:rPr>
        <w:t xml:space="preserve"> 45 de zile de la primirea proiectului de cadru menționat</w:t>
      </w:r>
      <w:r w:rsidR="00AB5712">
        <w:rPr>
          <w:rFonts w:cs="Times New Roman"/>
          <w:sz w:val="24"/>
          <w:szCs w:val="24"/>
        </w:rPr>
        <w:t>;</w:t>
      </w:r>
    </w:p>
    <w:p w14:paraId="3D475B85" w14:textId="66A8B046" w:rsidR="00991744" w:rsidRPr="00350D3F" w:rsidRDefault="00C56408">
      <w:pPr>
        <w:spacing w:after="0" w:line="240" w:lineRule="auto"/>
        <w:ind w:left="360"/>
        <w:jc w:val="both"/>
        <w:rPr>
          <w:rFonts w:cs="Times New Roman"/>
          <w:sz w:val="24"/>
          <w:szCs w:val="24"/>
        </w:rPr>
      </w:pPr>
      <w:r>
        <w:rPr>
          <w:rFonts w:cs="Times New Roman"/>
          <w:sz w:val="24"/>
          <w:szCs w:val="24"/>
        </w:rPr>
        <w:t>e</w:t>
      </w:r>
      <w:r w:rsidR="00F1757E">
        <w:rPr>
          <w:rFonts w:cs="Times New Roman"/>
          <w:sz w:val="24"/>
          <w:szCs w:val="24"/>
        </w:rPr>
        <w:t>)</w:t>
      </w:r>
      <w:r w:rsidR="00E85A22">
        <w:rPr>
          <w:rFonts w:cs="Times New Roman"/>
          <w:sz w:val="24"/>
          <w:szCs w:val="24"/>
        </w:rPr>
        <w:t xml:space="preserve"> </w:t>
      </w:r>
      <w:r w:rsidR="00D716E4" w:rsidRPr="00350D3F">
        <w:rPr>
          <w:rFonts w:cs="Times New Roman"/>
          <w:sz w:val="24"/>
          <w:szCs w:val="24"/>
        </w:rPr>
        <w:t xml:space="preserve">ofertele care nu primesc puncte la </w:t>
      </w:r>
      <w:r w:rsidR="00FA48B6" w:rsidRPr="00350D3F">
        <w:rPr>
          <w:rFonts w:cs="Times New Roman"/>
          <w:sz w:val="24"/>
          <w:szCs w:val="24"/>
        </w:rPr>
        <w:t>unul dintre criterii</w:t>
      </w:r>
      <w:r w:rsidR="001952DF" w:rsidRPr="00350D3F">
        <w:rPr>
          <w:rFonts w:cs="Times New Roman"/>
          <w:sz w:val="24"/>
          <w:szCs w:val="24"/>
        </w:rPr>
        <w:t xml:space="preserve">le </w:t>
      </w:r>
      <w:r w:rsidR="00E85A22">
        <w:rPr>
          <w:rFonts w:cs="Times New Roman"/>
          <w:sz w:val="24"/>
          <w:szCs w:val="24"/>
        </w:rPr>
        <w:t>tehnice</w:t>
      </w:r>
      <w:r w:rsidR="00D716E4" w:rsidRPr="00350D3F">
        <w:rPr>
          <w:rFonts w:cs="Times New Roman"/>
          <w:sz w:val="24"/>
          <w:szCs w:val="24"/>
        </w:rPr>
        <w:t xml:space="preserve"> prevăzute la </w:t>
      </w:r>
      <w:r w:rsidR="003E23EB" w:rsidRPr="00350D3F">
        <w:rPr>
          <w:rFonts w:cs="Times New Roman"/>
          <w:sz w:val="24"/>
          <w:szCs w:val="24"/>
        </w:rPr>
        <w:t>subpunctul</w:t>
      </w:r>
      <w:r w:rsidR="00D716E4" w:rsidRPr="00350D3F">
        <w:rPr>
          <w:rFonts w:cs="Times New Roman"/>
          <w:sz w:val="24"/>
          <w:szCs w:val="24"/>
        </w:rPr>
        <w:t xml:space="preserve"> a)</w:t>
      </w:r>
      <w:r w:rsidR="008E2A43" w:rsidRPr="00350D3F">
        <w:rPr>
          <w:rFonts w:cs="Times New Roman"/>
          <w:sz w:val="24"/>
          <w:szCs w:val="24"/>
        </w:rPr>
        <w:t xml:space="preserve">, </w:t>
      </w:r>
      <w:r w:rsidR="00D716E4" w:rsidRPr="00350D3F">
        <w:rPr>
          <w:rFonts w:cs="Times New Roman"/>
          <w:sz w:val="24"/>
          <w:szCs w:val="24"/>
        </w:rPr>
        <w:t xml:space="preserve">care obțin un scor tehnic mai mic de </w:t>
      </w:r>
      <w:r w:rsidR="00481286" w:rsidRPr="00350D3F">
        <w:rPr>
          <w:rFonts w:cs="Times New Roman"/>
          <w:sz w:val="24"/>
          <w:szCs w:val="24"/>
        </w:rPr>
        <w:t xml:space="preserve">30 </w:t>
      </w:r>
      <w:r w:rsidR="00D716E4" w:rsidRPr="00350D3F">
        <w:rPr>
          <w:rFonts w:cs="Times New Roman"/>
          <w:sz w:val="24"/>
          <w:szCs w:val="24"/>
        </w:rPr>
        <w:t>de puncte</w:t>
      </w:r>
      <w:r w:rsidR="008E2A43" w:rsidRPr="00350D3F">
        <w:rPr>
          <w:rFonts w:cs="Times New Roman"/>
          <w:sz w:val="24"/>
          <w:szCs w:val="24"/>
        </w:rPr>
        <w:t xml:space="preserve"> sau care nu conțin informațiile</w:t>
      </w:r>
      <w:r w:rsidR="00E85A22">
        <w:rPr>
          <w:rFonts w:cs="Times New Roman"/>
          <w:sz w:val="24"/>
          <w:szCs w:val="24"/>
        </w:rPr>
        <w:t>/documentele</w:t>
      </w:r>
      <w:r w:rsidR="008E2A43" w:rsidRPr="00350D3F">
        <w:rPr>
          <w:rFonts w:cs="Times New Roman"/>
          <w:sz w:val="24"/>
          <w:szCs w:val="24"/>
        </w:rPr>
        <w:t xml:space="preserve"> solicitate la subpunctul c)</w:t>
      </w:r>
      <w:r w:rsidR="00D716E4" w:rsidRPr="00350D3F">
        <w:rPr>
          <w:rFonts w:cs="Times New Roman"/>
          <w:sz w:val="24"/>
          <w:szCs w:val="24"/>
        </w:rPr>
        <w:t xml:space="preserve"> sunt descalificate.</w:t>
      </w:r>
    </w:p>
    <w:p w14:paraId="758EE0BE" w14:textId="0E5C0E85" w:rsidR="00991744" w:rsidRPr="00AE5FF2" w:rsidRDefault="00991744">
      <w:pPr>
        <w:spacing w:after="0" w:line="240" w:lineRule="auto"/>
        <w:jc w:val="both"/>
        <w:rPr>
          <w:rFonts w:cs="Times New Roman"/>
          <w:sz w:val="24"/>
          <w:szCs w:val="24"/>
        </w:rPr>
      </w:pPr>
    </w:p>
    <w:p w14:paraId="0550DAA7" w14:textId="0057771A" w:rsidR="00991744" w:rsidRPr="00AE5FF2" w:rsidRDefault="00D716E4">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Ofert</w:t>
      </w:r>
      <w:r w:rsidR="005C3664" w:rsidRPr="00AE5FF2">
        <w:rPr>
          <w:rFonts w:cs="Times New Roman"/>
          <w:sz w:val="24"/>
          <w:szCs w:val="24"/>
        </w:rPr>
        <w:t>a</w:t>
      </w:r>
      <w:r w:rsidRPr="00AE5FF2">
        <w:rPr>
          <w:rFonts w:cs="Times New Roman"/>
          <w:sz w:val="24"/>
          <w:szCs w:val="24"/>
        </w:rPr>
        <w:t xml:space="preserve"> financiar</w:t>
      </w:r>
      <w:r w:rsidR="005C3664" w:rsidRPr="00AE5FF2">
        <w:rPr>
          <w:rFonts w:cs="Times New Roman"/>
          <w:sz w:val="24"/>
          <w:szCs w:val="24"/>
        </w:rPr>
        <w:t>ă</w:t>
      </w:r>
    </w:p>
    <w:p w14:paraId="09E0F570" w14:textId="55F98F7C" w:rsidR="00991744" w:rsidRPr="002E2388" w:rsidRDefault="002E2388" w:rsidP="002E2388">
      <w:pPr>
        <w:spacing w:after="0" w:line="240" w:lineRule="auto"/>
        <w:ind w:left="426"/>
        <w:jc w:val="both"/>
        <w:rPr>
          <w:rFonts w:cs="Times New Roman"/>
          <w:sz w:val="24"/>
          <w:szCs w:val="24"/>
        </w:rPr>
      </w:pPr>
      <w:r>
        <w:rPr>
          <w:rFonts w:cs="Times New Roman"/>
          <w:sz w:val="24"/>
          <w:szCs w:val="24"/>
        </w:rPr>
        <w:t>O</w:t>
      </w:r>
      <w:r w:rsidR="00D716E4" w:rsidRPr="002E2388">
        <w:rPr>
          <w:rFonts w:cs="Times New Roman"/>
          <w:sz w:val="24"/>
          <w:szCs w:val="24"/>
        </w:rPr>
        <w:t xml:space="preserve">ferta financiară </w:t>
      </w:r>
      <w:r w:rsidR="008E310E" w:rsidRPr="002E2388">
        <w:rPr>
          <w:rFonts w:cs="Times New Roman"/>
          <w:sz w:val="24"/>
          <w:szCs w:val="24"/>
        </w:rPr>
        <w:t xml:space="preserve">se completează conform Anexei nr. </w:t>
      </w:r>
      <w:r w:rsidR="007160E5">
        <w:rPr>
          <w:rFonts w:cs="Times New Roman"/>
          <w:sz w:val="24"/>
          <w:szCs w:val="24"/>
        </w:rPr>
        <w:t>3</w:t>
      </w:r>
      <w:r w:rsidR="008E310E" w:rsidRPr="002E2388">
        <w:rPr>
          <w:rFonts w:cs="Times New Roman"/>
          <w:sz w:val="24"/>
          <w:szCs w:val="24"/>
        </w:rPr>
        <w:t xml:space="preserve">. Aceasta va include </w:t>
      </w:r>
      <w:r w:rsidR="00D716E4" w:rsidRPr="002E2388">
        <w:rPr>
          <w:rFonts w:cs="Times New Roman"/>
          <w:sz w:val="24"/>
          <w:szCs w:val="24"/>
        </w:rPr>
        <w:t>totalitatea cheltuielilor exprimate în euro, fără TVA</w:t>
      </w:r>
      <w:r w:rsidR="006957A4" w:rsidRPr="002E2388">
        <w:rPr>
          <w:rFonts w:cs="Times New Roman"/>
          <w:sz w:val="24"/>
          <w:szCs w:val="24"/>
        </w:rPr>
        <w:t xml:space="preserve">, </w:t>
      </w:r>
      <w:r w:rsidR="008221FD" w:rsidRPr="002E2388">
        <w:rPr>
          <w:rFonts w:cs="Times New Roman"/>
          <w:sz w:val="24"/>
          <w:szCs w:val="24"/>
        </w:rPr>
        <w:t xml:space="preserve">ce derivă </w:t>
      </w:r>
      <w:r w:rsidR="00AB78B3" w:rsidRPr="002E2388">
        <w:rPr>
          <w:rFonts w:cs="Times New Roman"/>
          <w:sz w:val="24"/>
          <w:szCs w:val="24"/>
        </w:rPr>
        <w:t xml:space="preserve">din aducerea la îndeplinire a obiectului achiziției, </w:t>
      </w:r>
      <w:r w:rsidR="006957A4" w:rsidRPr="002E2388">
        <w:rPr>
          <w:rFonts w:cs="Times New Roman"/>
          <w:sz w:val="24"/>
          <w:szCs w:val="24"/>
        </w:rPr>
        <w:t>ch</w:t>
      </w:r>
      <w:r w:rsidR="00C02408" w:rsidRPr="002E2388">
        <w:rPr>
          <w:rFonts w:cs="Times New Roman"/>
          <w:sz w:val="24"/>
          <w:szCs w:val="24"/>
        </w:rPr>
        <w:t>e</w:t>
      </w:r>
      <w:r w:rsidR="006957A4" w:rsidRPr="002E2388">
        <w:rPr>
          <w:rFonts w:cs="Times New Roman"/>
          <w:sz w:val="24"/>
          <w:szCs w:val="24"/>
        </w:rPr>
        <w:t xml:space="preserve">ltuieli </w:t>
      </w:r>
      <w:r w:rsidR="00C02408" w:rsidRPr="002E2388">
        <w:rPr>
          <w:rFonts w:cs="Times New Roman"/>
          <w:sz w:val="24"/>
          <w:szCs w:val="24"/>
        </w:rPr>
        <w:t>c</w:t>
      </w:r>
      <w:r w:rsidR="006957A4" w:rsidRPr="002E2388">
        <w:rPr>
          <w:rFonts w:cs="Times New Roman"/>
          <w:sz w:val="24"/>
          <w:szCs w:val="24"/>
        </w:rPr>
        <w:t>a</w:t>
      </w:r>
      <w:r w:rsidR="00C02408" w:rsidRPr="002E2388">
        <w:rPr>
          <w:rFonts w:cs="Times New Roman"/>
          <w:sz w:val="24"/>
          <w:szCs w:val="24"/>
        </w:rPr>
        <w:t xml:space="preserve">re includ, </w:t>
      </w:r>
      <w:r w:rsidR="00D716E4" w:rsidRPr="002E2388">
        <w:rPr>
          <w:rFonts w:cs="Times New Roman"/>
          <w:sz w:val="24"/>
          <w:szCs w:val="24"/>
        </w:rPr>
        <w:t>dar fără a se limita la</w:t>
      </w:r>
      <w:r w:rsidR="006957A4" w:rsidRPr="002E2388">
        <w:rPr>
          <w:rFonts w:cs="Times New Roman"/>
          <w:sz w:val="24"/>
          <w:szCs w:val="24"/>
        </w:rPr>
        <w:t>,</w:t>
      </w:r>
      <w:r w:rsidR="00D716E4" w:rsidRPr="002E2388">
        <w:rPr>
          <w:rFonts w:cs="Times New Roman"/>
          <w:sz w:val="24"/>
          <w:szCs w:val="24"/>
        </w:rPr>
        <w:t xml:space="preserve"> cheltuieli de transport, diurnă</w:t>
      </w:r>
      <w:r w:rsidR="007554C0" w:rsidRPr="002E2388">
        <w:rPr>
          <w:rFonts w:cs="Times New Roman"/>
          <w:sz w:val="24"/>
          <w:szCs w:val="24"/>
        </w:rPr>
        <w:t>,</w:t>
      </w:r>
      <w:r w:rsidR="00D716E4" w:rsidRPr="002E2388">
        <w:rPr>
          <w:rFonts w:cs="Times New Roman"/>
          <w:sz w:val="24"/>
          <w:szCs w:val="24"/>
        </w:rPr>
        <w:t xml:space="preserve"> cazare, fotocopiere etc.), </w:t>
      </w:r>
      <w:r w:rsidR="002B3D0B" w:rsidRPr="002E2388">
        <w:rPr>
          <w:rFonts w:cs="Times New Roman"/>
          <w:sz w:val="24"/>
          <w:szCs w:val="24"/>
        </w:rPr>
        <w:t xml:space="preserve">distribuite pe fiecare categorie de </w:t>
      </w:r>
      <w:r w:rsidR="00ED1505" w:rsidRPr="002E2388">
        <w:rPr>
          <w:rFonts w:cs="Times New Roman"/>
          <w:sz w:val="24"/>
          <w:szCs w:val="24"/>
        </w:rPr>
        <w:t xml:space="preserve">servicii de </w:t>
      </w:r>
      <w:r w:rsidR="001807F5" w:rsidRPr="002E2388">
        <w:rPr>
          <w:rFonts w:cs="Times New Roman"/>
          <w:sz w:val="24"/>
          <w:szCs w:val="24"/>
        </w:rPr>
        <w:t>evaluare externă</w:t>
      </w:r>
      <w:r w:rsidR="00D716E4" w:rsidRPr="002E2388">
        <w:rPr>
          <w:rFonts w:cs="Times New Roman"/>
          <w:sz w:val="24"/>
          <w:szCs w:val="24"/>
        </w:rPr>
        <w:t xml:space="preserve">, </w:t>
      </w:r>
      <w:r w:rsidR="00D5591E" w:rsidRPr="002E2388">
        <w:rPr>
          <w:rFonts w:cs="Times New Roman"/>
          <w:sz w:val="24"/>
          <w:szCs w:val="24"/>
        </w:rPr>
        <w:t>ș</w:t>
      </w:r>
      <w:r w:rsidR="002B3D0B" w:rsidRPr="002E2388">
        <w:rPr>
          <w:rFonts w:cs="Times New Roman"/>
          <w:sz w:val="24"/>
          <w:szCs w:val="24"/>
        </w:rPr>
        <w:t>i anume</w:t>
      </w:r>
      <w:r w:rsidR="00D716E4" w:rsidRPr="002E2388">
        <w:rPr>
          <w:rFonts w:cs="Times New Roman"/>
          <w:sz w:val="24"/>
          <w:szCs w:val="24"/>
        </w:rPr>
        <w:t xml:space="preserve">: </w:t>
      </w:r>
    </w:p>
    <w:p w14:paraId="66B8F912" w14:textId="77777777" w:rsidR="000C5DA0" w:rsidRPr="00AE5FF2" w:rsidRDefault="000C5DA0">
      <w:pPr>
        <w:spacing w:after="0" w:line="240" w:lineRule="auto"/>
        <w:jc w:val="both"/>
        <w:rPr>
          <w:rFonts w:cs="Times New Roman"/>
          <w:sz w:val="24"/>
          <w:szCs w:val="24"/>
        </w:rPr>
      </w:pPr>
    </w:p>
    <w:tbl>
      <w:tblPr>
        <w:tblStyle w:val="TableGrid2"/>
        <w:tblW w:w="9493" w:type="dxa"/>
        <w:jc w:val="center"/>
        <w:tblLook w:val="04A0" w:firstRow="1" w:lastRow="0" w:firstColumn="1" w:lastColumn="0" w:noHBand="0" w:noVBand="1"/>
      </w:tblPr>
      <w:tblGrid>
        <w:gridCol w:w="704"/>
        <w:gridCol w:w="4488"/>
        <w:gridCol w:w="4301"/>
      </w:tblGrid>
      <w:tr w:rsidR="00036EF6" w:rsidRPr="00AE5FF2" w14:paraId="3DBB76BF" w14:textId="77777777" w:rsidTr="009E1EC9">
        <w:trPr>
          <w:trHeight w:val="649"/>
          <w:jc w:val="center"/>
        </w:trPr>
        <w:tc>
          <w:tcPr>
            <w:tcW w:w="704" w:type="dxa"/>
            <w:tcBorders>
              <w:top w:val="single" w:sz="4" w:space="0" w:color="auto"/>
              <w:left w:val="single" w:sz="4" w:space="0" w:color="auto"/>
              <w:bottom w:val="single" w:sz="4" w:space="0" w:color="auto"/>
              <w:right w:val="single" w:sz="4" w:space="0" w:color="auto"/>
            </w:tcBorders>
            <w:hideMark/>
          </w:tcPr>
          <w:p w14:paraId="690BFAA9" w14:textId="77777777" w:rsidR="00036EF6" w:rsidRPr="00AE5FF2" w:rsidRDefault="00036EF6" w:rsidP="00BD0410">
            <w:pPr>
              <w:spacing w:after="0"/>
              <w:ind w:left="29"/>
              <w:jc w:val="center"/>
              <w:rPr>
                <w:rFonts w:cs="Times New Roman"/>
                <w:b/>
                <w:bCs/>
                <w:sz w:val="24"/>
                <w:szCs w:val="24"/>
              </w:rPr>
            </w:pPr>
            <w:r w:rsidRPr="00AE5FF2">
              <w:rPr>
                <w:rFonts w:cs="Times New Roman"/>
                <w:b/>
                <w:bCs/>
                <w:sz w:val="24"/>
                <w:szCs w:val="24"/>
              </w:rPr>
              <w:t>Nr. crt.</w:t>
            </w:r>
          </w:p>
        </w:tc>
        <w:tc>
          <w:tcPr>
            <w:tcW w:w="4488" w:type="dxa"/>
            <w:tcBorders>
              <w:top w:val="single" w:sz="4" w:space="0" w:color="auto"/>
              <w:left w:val="single" w:sz="4" w:space="0" w:color="auto"/>
              <w:bottom w:val="single" w:sz="4" w:space="0" w:color="auto"/>
              <w:right w:val="single" w:sz="4" w:space="0" w:color="auto"/>
            </w:tcBorders>
            <w:hideMark/>
          </w:tcPr>
          <w:p w14:paraId="0B9C1AD0" w14:textId="77777777" w:rsidR="00036EF6" w:rsidRPr="00AE5FF2" w:rsidRDefault="00036EF6" w:rsidP="00BD0410">
            <w:pPr>
              <w:spacing w:after="0"/>
              <w:ind w:left="-49"/>
              <w:jc w:val="center"/>
              <w:rPr>
                <w:rFonts w:cs="Times New Roman"/>
                <w:b/>
                <w:bCs/>
                <w:sz w:val="24"/>
                <w:szCs w:val="24"/>
              </w:rPr>
            </w:pPr>
            <w:r w:rsidRPr="00AE5FF2">
              <w:rPr>
                <w:rFonts w:cs="Times New Roman"/>
                <w:b/>
                <w:bCs/>
                <w:sz w:val="24"/>
                <w:szCs w:val="24"/>
              </w:rPr>
              <w:t>Tip Serviciu</w:t>
            </w:r>
          </w:p>
        </w:tc>
        <w:tc>
          <w:tcPr>
            <w:tcW w:w="4301" w:type="dxa"/>
            <w:tcBorders>
              <w:top w:val="single" w:sz="4" w:space="0" w:color="auto"/>
              <w:left w:val="single" w:sz="4" w:space="0" w:color="auto"/>
              <w:bottom w:val="single" w:sz="4" w:space="0" w:color="auto"/>
              <w:right w:val="single" w:sz="4" w:space="0" w:color="auto"/>
            </w:tcBorders>
            <w:hideMark/>
          </w:tcPr>
          <w:p w14:paraId="7EBD42E0" w14:textId="77777777" w:rsidR="00036EF6" w:rsidRPr="00AE5FF2" w:rsidRDefault="00036EF6" w:rsidP="00BD0410">
            <w:pPr>
              <w:spacing w:after="0"/>
              <w:ind w:left="-124"/>
              <w:jc w:val="center"/>
              <w:rPr>
                <w:rFonts w:cs="Times New Roman"/>
                <w:b/>
                <w:bCs/>
                <w:sz w:val="24"/>
                <w:szCs w:val="24"/>
              </w:rPr>
            </w:pPr>
            <w:r w:rsidRPr="00AE5FF2">
              <w:rPr>
                <w:rFonts w:cs="Times New Roman"/>
                <w:b/>
                <w:bCs/>
                <w:sz w:val="24"/>
                <w:szCs w:val="24"/>
              </w:rPr>
              <w:t>Punctaj</w:t>
            </w:r>
          </w:p>
        </w:tc>
      </w:tr>
      <w:tr w:rsidR="00233BAA" w:rsidRPr="00AE5FF2" w14:paraId="40744414" w14:textId="77777777" w:rsidTr="006412D3">
        <w:trPr>
          <w:trHeight w:val="1119"/>
          <w:jc w:val="center"/>
        </w:trPr>
        <w:tc>
          <w:tcPr>
            <w:tcW w:w="704" w:type="dxa"/>
            <w:tcBorders>
              <w:top w:val="single" w:sz="4" w:space="0" w:color="auto"/>
              <w:left w:val="single" w:sz="4" w:space="0" w:color="auto"/>
              <w:bottom w:val="single" w:sz="4" w:space="0" w:color="auto"/>
              <w:right w:val="single" w:sz="4" w:space="0" w:color="auto"/>
            </w:tcBorders>
            <w:hideMark/>
          </w:tcPr>
          <w:p w14:paraId="5BC76277" w14:textId="77777777" w:rsidR="00233BAA" w:rsidRPr="00AE5FF2" w:rsidRDefault="00233BAA" w:rsidP="00896FB8">
            <w:pPr>
              <w:spacing w:after="0"/>
              <w:jc w:val="both"/>
              <w:rPr>
                <w:rFonts w:cs="Times New Roman"/>
                <w:sz w:val="24"/>
                <w:szCs w:val="24"/>
              </w:rPr>
            </w:pPr>
            <w:r w:rsidRPr="00AE5FF2">
              <w:rPr>
                <w:rFonts w:cs="Times New Roman"/>
                <w:sz w:val="24"/>
                <w:szCs w:val="24"/>
              </w:rPr>
              <w:t>1</w:t>
            </w:r>
          </w:p>
        </w:tc>
        <w:tc>
          <w:tcPr>
            <w:tcW w:w="4488" w:type="dxa"/>
            <w:tcBorders>
              <w:top w:val="single" w:sz="4" w:space="0" w:color="auto"/>
              <w:left w:val="single" w:sz="4" w:space="0" w:color="auto"/>
              <w:bottom w:val="single" w:sz="4" w:space="0" w:color="auto"/>
              <w:right w:val="single" w:sz="4" w:space="0" w:color="auto"/>
            </w:tcBorders>
            <w:hideMark/>
          </w:tcPr>
          <w:p w14:paraId="0B194A59" w14:textId="79439B82" w:rsidR="006A0F30" w:rsidRPr="00AE5FF2" w:rsidRDefault="002A50AB" w:rsidP="000660C1">
            <w:pPr>
              <w:spacing w:after="0"/>
              <w:jc w:val="both"/>
              <w:rPr>
                <w:sz w:val="24"/>
                <w:szCs w:val="24"/>
              </w:rPr>
            </w:pPr>
            <w:r w:rsidRPr="00AE5FF2">
              <w:rPr>
                <w:rFonts w:cs="Times New Roman"/>
                <w:sz w:val="24"/>
                <w:szCs w:val="24"/>
              </w:rPr>
              <w:t xml:space="preserve">Evaluarea externă a </w:t>
            </w:r>
            <w:r w:rsidRPr="00AE5FF2">
              <w:rPr>
                <w:rFonts w:cs="Times New Roman"/>
                <w:bCs/>
                <w:sz w:val="24"/>
                <w:szCs w:val="24"/>
              </w:rPr>
              <w:t xml:space="preserve">Cadrului general </w:t>
            </w:r>
            <w:r w:rsidRPr="00AE5FF2">
              <w:rPr>
                <w:rFonts w:cs="Times New Roman"/>
                <w:sz w:val="24"/>
                <w:szCs w:val="24"/>
              </w:rPr>
              <w:t>în baza căreia Ministerul Finanțelor va realiza emisiunile de obligațiuni verzi</w:t>
            </w:r>
            <w:r w:rsidR="00552D83" w:rsidRPr="00AE5FF2">
              <w:rPr>
                <w:sz w:val="24"/>
                <w:szCs w:val="24"/>
              </w:rPr>
              <w:t xml:space="preserve">  </w:t>
            </w:r>
          </w:p>
        </w:tc>
        <w:tc>
          <w:tcPr>
            <w:tcW w:w="4301" w:type="dxa"/>
            <w:tcBorders>
              <w:top w:val="single" w:sz="4" w:space="0" w:color="auto"/>
              <w:left w:val="single" w:sz="4" w:space="0" w:color="auto"/>
              <w:bottom w:val="single" w:sz="4" w:space="0" w:color="auto"/>
              <w:right w:val="single" w:sz="4" w:space="0" w:color="auto"/>
            </w:tcBorders>
            <w:hideMark/>
          </w:tcPr>
          <w:p w14:paraId="487F7286" w14:textId="4B529E26" w:rsidR="006A0F30" w:rsidRPr="00AE5FF2" w:rsidRDefault="000337D2" w:rsidP="00BD0410">
            <w:pPr>
              <w:spacing w:after="0"/>
              <w:ind w:left="-108"/>
              <w:jc w:val="center"/>
              <w:rPr>
                <w:rFonts w:cs="Times New Roman"/>
                <w:sz w:val="24"/>
                <w:szCs w:val="24"/>
              </w:rPr>
            </w:pPr>
            <w:r>
              <w:rPr>
                <w:rFonts w:cs="Times New Roman"/>
                <w:sz w:val="24"/>
                <w:szCs w:val="24"/>
              </w:rPr>
              <w:t>30</w:t>
            </w:r>
            <w:r w:rsidR="006A0F30" w:rsidRPr="00AE5FF2">
              <w:rPr>
                <w:rFonts w:cs="Times New Roman"/>
                <w:sz w:val="24"/>
                <w:szCs w:val="24"/>
              </w:rPr>
              <w:t xml:space="preserve"> puncte</w:t>
            </w:r>
          </w:p>
          <w:p w14:paraId="284D81AB" w14:textId="54898310" w:rsidR="006A0F30" w:rsidRPr="00AE5FF2" w:rsidRDefault="006A0F30" w:rsidP="00BD0410">
            <w:pPr>
              <w:spacing w:after="0"/>
              <w:ind w:left="-108"/>
              <w:jc w:val="center"/>
              <w:rPr>
                <w:rFonts w:cs="Times New Roman"/>
                <w:sz w:val="24"/>
                <w:szCs w:val="24"/>
              </w:rPr>
            </w:pPr>
          </w:p>
        </w:tc>
      </w:tr>
      <w:tr w:rsidR="006A0F30" w:rsidRPr="00AE5FF2" w14:paraId="3BF2DE6B" w14:textId="77777777" w:rsidTr="00796C15">
        <w:trPr>
          <w:trHeight w:val="634"/>
          <w:jc w:val="center"/>
        </w:trPr>
        <w:tc>
          <w:tcPr>
            <w:tcW w:w="704" w:type="dxa"/>
            <w:tcBorders>
              <w:top w:val="single" w:sz="4" w:space="0" w:color="auto"/>
              <w:left w:val="single" w:sz="4" w:space="0" w:color="auto"/>
              <w:bottom w:val="single" w:sz="4" w:space="0" w:color="auto"/>
              <w:right w:val="single" w:sz="4" w:space="0" w:color="auto"/>
            </w:tcBorders>
          </w:tcPr>
          <w:p w14:paraId="12841CF5" w14:textId="7E39A620" w:rsidR="006A0F30" w:rsidRPr="00AE5FF2" w:rsidRDefault="006A0F30" w:rsidP="00896FB8">
            <w:pPr>
              <w:spacing w:after="0"/>
              <w:jc w:val="both"/>
              <w:rPr>
                <w:rFonts w:cs="Times New Roman"/>
                <w:sz w:val="24"/>
                <w:szCs w:val="24"/>
              </w:rPr>
            </w:pPr>
            <w:r w:rsidRPr="00AE5FF2">
              <w:rPr>
                <w:rFonts w:cs="Times New Roman"/>
                <w:sz w:val="24"/>
                <w:szCs w:val="24"/>
              </w:rPr>
              <w:t>2</w:t>
            </w:r>
          </w:p>
        </w:tc>
        <w:tc>
          <w:tcPr>
            <w:tcW w:w="4488" w:type="dxa"/>
            <w:tcBorders>
              <w:top w:val="single" w:sz="4" w:space="0" w:color="auto"/>
              <w:left w:val="single" w:sz="4" w:space="0" w:color="auto"/>
              <w:bottom w:val="single" w:sz="4" w:space="0" w:color="auto"/>
              <w:right w:val="single" w:sz="4" w:space="0" w:color="auto"/>
            </w:tcBorders>
          </w:tcPr>
          <w:p w14:paraId="7157A025" w14:textId="0C86BB80" w:rsidR="006A0F30" w:rsidRPr="00AE5FF2" w:rsidRDefault="002A50AB" w:rsidP="000660C1">
            <w:pPr>
              <w:spacing w:after="0"/>
              <w:ind w:left="-49"/>
              <w:jc w:val="both"/>
              <w:rPr>
                <w:rFonts w:cs="Times New Roman"/>
                <w:sz w:val="24"/>
                <w:szCs w:val="24"/>
              </w:rPr>
            </w:pPr>
            <w:r w:rsidRPr="00AE5FF2">
              <w:rPr>
                <w:rFonts w:cs="Times New Roman"/>
                <w:sz w:val="24"/>
                <w:szCs w:val="24"/>
              </w:rPr>
              <w:t>Evaluarea externă a rapoartelor de alocare aferente obligațiunilor verzi emise de România prin Ministerul Finanțelor</w:t>
            </w:r>
            <w:r w:rsidR="006A0F30" w:rsidRPr="00AE5FF2">
              <w:rPr>
                <w:rFonts w:cs="Times New Roman"/>
                <w:sz w:val="24"/>
                <w:szCs w:val="24"/>
              </w:rPr>
              <w:t xml:space="preserve"> </w:t>
            </w:r>
          </w:p>
        </w:tc>
        <w:tc>
          <w:tcPr>
            <w:tcW w:w="4301" w:type="dxa"/>
            <w:tcBorders>
              <w:top w:val="single" w:sz="4" w:space="0" w:color="auto"/>
              <w:left w:val="single" w:sz="4" w:space="0" w:color="auto"/>
              <w:bottom w:val="single" w:sz="4" w:space="0" w:color="auto"/>
              <w:right w:val="single" w:sz="4" w:space="0" w:color="auto"/>
            </w:tcBorders>
          </w:tcPr>
          <w:p w14:paraId="49A78DAC" w14:textId="3B89F192" w:rsidR="006A0F30" w:rsidRPr="00AE5FF2" w:rsidRDefault="000337D2" w:rsidP="00BD0410">
            <w:pPr>
              <w:spacing w:after="0"/>
              <w:ind w:left="-108"/>
              <w:jc w:val="center"/>
              <w:rPr>
                <w:rFonts w:cs="Times New Roman"/>
                <w:sz w:val="24"/>
                <w:szCs w:val="24"/>
              </w:rPr>
            </w:pPr>
            <w:r>
              <w:rPr>
                <w:rFonts w:cs="Times New Roman"/>
                <w:sz w:val="24"/>
                <w:szCs w:val="24"/>
              </w:rPr>
              <w:t>1</w:t>
            </w:r>
            <w:r w:rsidR="00B57FCC" w:rsidRPr="00AE5FF2">
              <w:rPr>
                <w:rFonts w:cs="Times New Roman"/>
                <w:sz w:val="24"/>
                <w:szCs w:val="24"/>
              </w:rPr>
              <w:t xml:space="preserve">0 </w:t>
            </w:r>
            <w:r w:rsidR="006A0F30" w:rsidRPr="00AE5FF2">
              <w:rPr>
                <w:rFonts w:cs="Times New Roman"/>
                <w:sz w:val="24"/>
                <w:szCs w:val="24"/>
              </w:rPr>
              <w:t>puncte</w:t>
            </w:r>
          </w:p>
        </w:tc>
      </w:tr>
      <w:tr w:rsidR="00BE3ACD" w:rsidRPr="00AE5FF2" w14:paraId="1A39A52D" w14:textId="77777777" w:rsidTr="007D1DC0">
        <w:trPr>
          <w:trHeight w:val="405"/>
          <w:jc w:val="center"/>
        </w:trPr>
        <w:tc>
          <w:tcPr>
            <w:tcW w:w="704" w:type="dxa"/>
            <w:tcBorders>
              <w:top w:val="single" w:sz="4" w:space="0" w:color="auto"/>
              <w:left w:val="single" w:sz="4" w:space="0" w:color="auto"/>
              <w:bottom w:val="single" w:sz="4" w:space="0" w:color="auto"/>
              <w:right w:val="single" w:sz="4" w:space="0" w:color="auto"/>
            </w:tcBorders>
          </w:tcPr>
          <w:p w14:paraId="3830B628" w14:textId="77777777" w:rsidR="00BE3ACD" w:rsidRPr="00AE5FF2" w:rsidRDefault="00BE3ACD" w:rsidP="00896FB8">
            <w:pPr>
              <w:spacing w:after="0"/>
              <w:ind w:left="360"/>
              <w:jc w:val="both"/>
              <w:rPr>
                <w:rFonts w:cs="Times New Roman"/>
                <w:sz w:val="24"/>
                <w:szCs w:val="24"/>
              </w:rPr>
            </w:pPr>
          </w:p>
        </w:tc>
        <w:tc>
          <w:tcPr>
            <w:tcW w:w="4488" w:type="dxa"/>
            <w:tcBorders>
              <w:top w:val="single" w:sz="4" w:space="0" w:color="auto"/>
              <w:left w:val="single" w:sz="4" w:space="0" w:color="auto"/>
              <w:bottom w:val="single" w:sz="4" w:space="0" w:color="auto"/>
              <w:right w:val="single" w:sz="4" w:space="0" w:color="auto"/>
            </w:tcBorders>
          </w:tcPr>
          <w:p w14:paraId="3FC8E570" w14:textId="308275A2" w:rsidR="00BE3ACD" w:rsidRPr="00AE5FF2" w:rsidRDefault="00BE3ACD" w:rsidP="00896FB8">
            <w:pPr>
              <w:spacing w:after="0"/>
              <w:ind w:left="-49"/>
              <w:jc w:val="both"/>
              <w:rPr>
                <w:rFonts w:cs="Times New Roman"/>
                <w:sz w:val="24"/>
                <w:szCs w:val="24"/>
              </w:rPr>
            </w:pPr>
            <w:r w:rsidRPr="00AE5FF2">
              <w:rPr>
                <w:rFonts w:cs="Times New Roman"/>
                <w:sz w:val="24"/>
                <w:szCs w:val="24"/>
              </w:rPr>
              <w:t>Total</w:t>
            </w:r>
          </w:p>
        </w:tc>
        <w:tc>
          <w:tcPr>
            <w:tcW w:w="4301" w:type="dxa"/>
            <w:tcBorders>
              <w:top w:val="single" w:sz="4" w:space="0" w:color="auto"/>
              <w:left w:val="single" w:sz="4" w:space="0" w:color="auto"/>
              <w:bottom w:val="single" w:sz="4" w:space="0" w:color="auto"/>
              <w:right w:val="single" w:sz="4" w:space="0" w:color="auto"/>
            </w:tcBorders>
          </w:tcPr>
          <w:p w14:paraId="1916C96A" w14:textId="360538BE" w:rsidR="00BE3ACD" w:rsidRPr="00AE5FF2" w:rsidRDefault="000337D2" w:rsidP="00BD0410">
            <w:pPr>
              <w:spacing w:after="0"/>
              <w:ind w:left="-108"/>
              <w:jc w:val="center"/>
              <w:rPr>
                <w:rFonts w:cs="Times New Roman"/>
                <w:sz w:val="24"/>
                <w:szCs w:val="24"/>
              </w:rPr>
            </w:pPr>
            <w:r>
              <w:rPr>
                <w:rFonts w:cs="Times New Roman"/>
                <w:sz w:val="24"/>
                <w:szCs w:val="24"/>
              </w:rPr>
              <w:t>4</w:t>
            </w:r>
            <w:r w:rsidR="00BE3ACD" w:rsidRPr="00AE5FF2">
              <w:rPr>
                <w:rFonts w:cs="Times New Roman"/>
                <w:sz w:val="24"/>
                <w:szCs w:val="24"/>
              </w:rPr>
              <w:t>0 puncte</w:t>
            </w:r>
          </w:p>
        </w:tc>
      </w:tr>
    </w:tbl>
    <w:p w14:paraId="18EE5C56" w14:textId="140719BF" w:rsidR="008E310E" w:rsidRPr="00AE5FF2" w:rsidRDefault="008E310E" w:rsidP="000660C1">
      <w:pPr>
        <w:spacing w:after="0" w:line="240" w:lineRule="auto"/>
        <w:jc w:val="both"/>
        <w:rPr>
          <w:rFonts w:cs="Times New Roman"/>
          <w:i/>
          <w:sz w:val="24"/>
          <w:szCs w:val="24"/>
        </w:rPr>
      </w:pPr>
    </w:p>
    <w:p w14:paraId="5DBA8B1F" w14:textId="77777777" w:rsidR="008E310E" w:rsidRPr="00AE5FF2" w:rsidRDefault="008E310E">
      <w:pPr>
        <w:spacing w:after="0" w:line="240" w:lineRule="auto"/>
        <w:ind w:left="360"/>
        <w:jc w:val="both"/>
        <w:rPr>
          <w:rFonts w:cs="Times New Roman"/>
          <w:i/>
          <w:sz w:val="24"/>
          <w:szCs w:val="24"/>
        </w:rPr>
      </w:pPr>
    </w:p>
    <w:p w14:paraId="0E83274D" w14:textId="1B9AB3BF" w:rsidR="006957A4" w:rsidRPr="00AE5FF2" w:rsidRDefault="00BE3ACD">
      <w:pPr>
        <w:spacing w:after="0" w:line="240" w:lineRule="auto"/>
        <w:ind w:left="360"/>
        <w:jc w:val="both"/>
        <w:rPr>
          <w:rFonts w:cs="Times New Roman"/>
          <w:sz w:val="24"/>
          <w:szCs w:val="24"/>
        </w:rPr>
      </w:pPr>
      <w:r w:rsidRPr="00AE5FF2">
        <w:rPr>
          <w:rFonts w:cs="Times New Roman"/>
          <w:sz w:val="24"/>
          <w:szCs w:val="24"/>
        </w:rPr>
        <w:t>Punctajul se acordă pentru fiecare tip de serviciu, astfel:</w:t>
      </w:r>
    </w:p>
    <w:p w14:paraId="23841896" w14:textId="21CF1EE7" w:rsidR="00BE3ACD" w:rsidRPr="00AE5FF2" w:rsidRDefault="00BE3ACD">
      <w:pPr>
        <w:pStyle w:val="ListParagraph"/>
        <w:numPr>
          <w:ilvl w:val="0"/>
          <w:numId w:val="12"/>
        </w:numPr>
        <w:spacing w:after="0" w:line="240" w:lineRule="auto"/>
        <w:jc w:val="both"/>
        <w:rPr>
          <w:rFonts w:cs="Times New Roman"/>
          <w:sz w:val="24"/>
          <w:szCs w:val="24"/>
        </w:rPr>
      </w:pPr>
      <w:r w:rsidRPr="00AE5FF2">
        <w:rPr>
          <w:rFonts w:cs="Times New Roman"/>
          <w:sz w:val="24"/>
          <w:szCs w:val="24"/>
        </w:rPr>
        <w:t>pentru valoarea minimă a fiecărui tip de serviciu se acordă punctajul maxim corespunzător, prezentat mai sus</w:t>
      </w:r>
      <w:r w:rsidR="00AE06E2" w:rsidRPr="00AE5FF2">
        <w:rPr>
          <w:rFonts w:cs="Times New Roman"/>
          <w:sz w:val="24"/>
          <w:szCs w:val="24"/>
        </w:rPr>
        <w:t>;</w:t>
      </w:r>
    </w:p>
    <w:p w14:paraId="62577E3B" w14:textId="71E6D326" w:rsidR="00BE3ACD" w:rsidRPr="00AE5FF2" w:rsidRDefault="00BE3ACD">
      <w:pPr>
        <w:pStyle w:val="ListParagraph"/>
        <w:numPr>
          <w:ilvl w:val="0"/>
          <w:numId w:val="12"/>
        </w:numPr>
        <w:spacing w:after="0" w:line="240" w:lineRule="auto"/>
        <w:jc w:val="both"/>
        <w:rPr>
          <w:rFonts w:cs="Times New Roman"/>
          <w:sz w:val="24"/>
          <w:szCs w:val="24"/>
        </w:rPr>
      </w:pPr>
      <w:r w:rsidRPr="00AE5FF2">
        <w:rPr>
          <w:rFonts w:cs="Times New Roman"/>
          <w:sz w:val="24"/>
          <w:szCs w:val="24"/>
        </w:rPr>
        <w:t>pentru altă valoare punctajul se acordă utilizând următoarea formulă de calcul:</w:t>
      </w:r>
    </w:p>
    <w:p w14:paraId="2905B35C" w14:textId="62EBE3DB" w:rsidR="00BE3ACD" w:rsidRPr="00AE5FF2" w:rsidRDefault="00BE3ACD">
      <w:pPr>
        <w:pStyle w:val="ListParagraph"/>
        <w:spacing w:after="0" w:line="240" w:lineRule="auto"/>
        <w:jc w:val="both"/>
        <w:rPr>
          <w:rFonts w:cs="Times New Roman"/>
          <w:sz w:val="24"/>
          <w:szCs w:val="24"/>
          <w:u w:val="single"/>
        </w:rPr>
      </w:pPr>
      <w:r w:rsidRPr="00AE5FF2">
        <w:rPr>
          <w:rFonts w:cs="Times New Roman"/>
          <w:sz w:val="24"/>
          <w:szCs w:val="24"/>
        </w:rPr>
        <w:t>P</w:t>
      </w:r>
      <w:r w:rsidRPr="00AE5FF2">
        <w:rPr>
          <w:rFonts w:cs="Times New Roman"/>
          <w:sz w:val="28"/>
          <w:szCs w:val="28"/>
          <w:vertAlign w:val="subscript"/>
        </w:rPr>
        <w:t xml:space="preserve">serviciu n </w:t>
      </w:r>
      <w:r w:rsidRPr="00AE5FF2">
        <w:rPr>
          <w:rFonts w:cs="Times New Roman"/>
          <w:sz w:val="24"/>
          <w:szCs w:val="24"/>
          <w:vertAlign w:val="subscript"/>
        </w:rPr>
        <w:tab/>
      </w:r>
      <w:r w:rsidRPr="00AE5FF2">
        <w:rPr>
          <w:rFonts w:cs="Times New Roman"/>
          <w:sz w:val="24"/>
          <w:szCs w:val="24"/>
        </w:rPr>
        <w:t xml:space="preserve">= </w:t>
      </w:r>
      <w:r w:rsidRPr="00AE5FF2">
        <w:rPr>
          <w:rFonts w:cs="Times New Roman"/>
          <w:sz w:val="24"/>
          <w:szCs w:val="24"/>
        </w:rPr>
        <w:tab/>
      </w:r>
      <w:r w:rsidRPr="00AE5FF2">
        <w:rPr>
          <w:rFonts w:cs="Times New Roman"/>
          <w:sz w:val="24"/>
          <w:szCs w:val="24"/>
          <w:u w:val="single"/>
        </w:rPr>
        <w:t xml:space="preserve">Valoarea minimă  </w:t>
      </w:r>
      <w:r w:rsidRPr="00AE5FF2">
        <w:rPr>
          <w:rFonts w:cs="Times New Roman"/>
          <w:sz w:val="24"/>
          <w:szCs w:val="24"/>
        </w:rPr>
        <w:t xml:space="preserve"> </w:t>
      </w:r>
      <w:r w:rsidR="009E75F1" w:rsidRPr="00AE5FF2">
        <w:rPr>
          <w:rFonts w:cs="Times New Roman"/>
          <w:b/>
          <w:sz w:val="24"/>
          <w:szCs w:val="24"/>
          <w:vertAlign w:val="subscript"/>
        </w:rPr>
        <w:t>X</w:t>
      </w:r>
      <w:r w:rsidR="009E75F1" w:rsidRPr="00AE5FF2">
        <w:rPr>
          <w:rFonts w:cs="Times New Roman"/>
          <w:sz w:val="24"/>
          <w:szCs w:val="24"/>
          <w:vertAlign w:val="subscript"/>
        </w:rPr>
        <w:t xml:space="preserve"> </w:t>
      </w:r>
      <w:r w:rsidRPr="00AE5FF2">
        <w:rPr>
          <w:rFonts w:cs="Times New Roman"/>
          <w:sz w:val="24"/>
          <w:szCs w:val="24"/>
        </w:rPr>
        <w:t xml:space="preserve">punctajul </w:t>
      </w:r>
      <w:r w:rsidR="009E75F1" w:rsidRPr="00AE5FF2">
        <w:rPr>
          <w:rFonts w:cs="Times New Roman"/>
          <w:sz w:val="24"/>
          <w:szCs w:val="24"/>
        </w:rPr>
        <w:t xml:space="preserve">maxim </w:t>
      </w:r>
      <w:r w:rsidRPr="00AE5FF2">
        <w:rPr>
          <w:rFonts w:cs="Times New Roman"/>
          <w:sz w:val="24"/>
          <w:szCs w:val="24"/>
        </w:rPr>
        <w:t>corespunzător</w:t>
      </w:r>
    </w:p>
    <w:p w14:paraId="6CD98FD5" w14:textId="0B8BE57F" w:rsidR="00BE3ACD" w:rsidRPr="00AE5FF2" w:rsidRDefault="00BE3ACD">
      <w:pPr>
        <w:pStyle w:val="ListParagraph"/>
        <w:spacing w:after="0" w:line="240" w:lineRule="auto"/>
        <w:jc w:val="both"/>
        <w:rPr>
          <w:rFonts w:cs="Times New Roman"/>
          <w:sz w:val="24"/>
          <w:szCs w:val="24"/>
        </w:rPr>
      </w:pPr>
      <w:r w:rsidRPr="00AE5FF2">
        <w:rPr>
          <w:rFonts w:cs="Times New Roman"/>
          <w:sz w:val="24"/>
          <w:szCs w:val="24"/>
        </w:rPr>
        <w:tab/>
        <w:t xml:space="preserve">  </w:t>
      </w:r>
      <w:r w:rsidRPr="00AE5FF2">
        <w:rPr>
          <w:rFonts w:cs="Times New Roman"/>
          <w:sz w:val="24"/>
          <w:szCs w:val="24"/>
        </w:rPr>
        <w:tab/>
      </w:r>
      <w:r w:rsidRPr="00AE5FF2">
        <w:rPr>
          <w:rFonts w:cs="Times New Roman"/>
          <w:sz w:val="24"/>
          <w:szCs w:val="24"/>
        </w:rPr>
        <w:tab/>
        <w:t xml:space="preserve">     Valoarea n</w:t>
      </w:r>
    </w:p>
    <w:p w14:paraId="7F69C483" w14:textId="77777777" w:rsidR="00BE3ACD" w:rsidRPr="00AE5FF2" w:rsidRDefault="00BE3ACD">
      <w:pPr>
        <w:spacing w:after="0" w:line="240" w:lineRule="auto"/>
        <w:ind w:left="360"/>
        <w:jc w:val="both"/>
        <w:rPr>
          <w:rFonts w:cs="Times New Roman"/>
          <w:sz w:val="24"/>
          <w:szCs w:val="24"/>
        </w:rPr>
      </w:pPr>
    </w:p>
    <w:p w14:paraId="4AA69B7B" w14:textId="6DD040F5" w:rsidR="00991744" w:rsidRPr="00AE5FF2" w:rsidRDefault="00D716E4">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Punctajul final</w:t>
      </w:r>
      <w:r w:rsidR="009D1EAF" w:rsidRPr="00AE5FF2">
        <w:rPr>
          <w:rFonts w:cs="Times New Roman"/>
          <w:sz w:val="24"/>
          <w:szCs w:val="24"/>
        </w:rPr>
        <w:t xml:space="preserve">. </w:t>
      </w:r>
      <w:r w:rsidRPr="00AE5FF2">
        <w:rPr>
          <w:rFonts w:cs="Times New Roman"/>
          <w:sz w:val="24"/>
          <w:szCs w:val="24"/>
        </w:rPr>
        <w:t>Pentru ierarhizarea ofertelor c</w:t>
      </w:r>
      <w:r w:rsidR="009D1EAF" w:rsidRPr="00AE5FF2">
        <w:rPr>
          <w:rFonts w:cs="Times New Roman"/>
          <w:sz w:val="24"/>
          <w:szCs w:val="24"/>
        </w:rPr>
        <w:t xml:space="preserve">alificate, la punctajul tehnic </w:t>
      </w:r>
      <w:r w:rsidRPr="00AE5FF2">
        <w:rPr>
          <w:rFonts w:cs="Times New Roman"/>
          <w:sz w:val="24"/>
          <w:szCs w:val="24"/>
        </w:rPr>
        <w:t xml:space="preserve">se adaugă punctajul </w:t>
      </w:r>
      <w:r w:rsidR="00F15A03" w:rsidRPr="00AE5FF2">
        <w:rPr>
          <w:rFonts w:cs="Times New Roman"/>
          <w:sz w:val="24"/>
          <w:szCs w:val="24"/>
        </w:rPr>
        <w:t>obținut</w:t>
      </w:r>
      <w:r w:rsidRPr="00AE5FF2">
        <w:rPr>
          <w:rFonts w:cs="Times New Roman"/>
          <w:sz w:val="24"/>
          <w:szCs w:val="24"/>
        </w:rPr>
        <w:t xml:space="preserve"> la oferta financiară. În caz de egalitate de puncte</w:t>
      </w:r>
      <w:r w:rsidR="00233BAA" w:rsidRPr="00AE5FF2">
        <w:rPr>
          <w:rFonts w:cs="Times New Roman"/>
          <w:sz w:val="24"/>
          <w:szCs w:val="24"/>
        </w:rPr>
        <w:t xml:space="preserve"> între ofertanți</w:t>
      </w:r>
      <w:r w:rsidRPr="00AE5FF2">
        <w:rPr>
          <w:rFonts w:cs="Times New Roman"/>
          <w:sz w:val="24"/>
          <w:szCs w:val="24"/>
        </w:rPr>
        <w:t>, primează</w:t>
      </w:r>
      <w:r w:rsidR="001736B0" w:rsidRPr="00AE5FF2">
        <w:rPr>
          <w:rFonts w:cs="Times New Roman"/>
          <w:sz w:val="24"/>
          <w:szCs w:val="24"/>
        </w:rPr>
        <w:t xml:space="preserve"> oferta care a obținut</w:t>
      </w:r>
      <w:r w:rsidRPr="00AE5FF2">
        <w:rPr>
          <w:rFonts w:cs="Times New Roman"/>
          <w:sz w:val="24"/>
          <w:szCs w:val="24"/>
        </w:rPr>
        <w:t xml:space="preserve"> </w:t>
      </w:r>
      <w:r w:rsidR="00233BAA" w:rsidRPr="00AE5FF2">
        <w:rPr>
          <w:rFonts w:cs="Times New Roman"/>
          <w:sz w:val="24"/>
          <w:szCs w:val="24"/>
        </w:rPr>
        <w:t xml:space="preserve">cel mai bun </w:t>
      </w:r>
      <w:r w:rsidR="001736B0" w:rsidRPr="00AE5FF2">
        <w:rPr>
          <w:rFonts w:cs="Times New Roman"/>
          <w:sz w:val="24"/>
          <w:szCs w:val="24"/>
        </w:rPr>
        <w:t>punctaj</w:t>
      </w:r>
      <w:r w:rsidRPr="00AE5FF2">
        <w:rPr>
          <w:rFonts w:cs="Times New Roman"/>
          <w:sz w:val="24"/>
          <w:szCs w:val="24"/>
        </w:rPr>
        <w:t xml:space="preserve"> la oferta tehnică.</w:t>
      </w:r>
    </w:p>
    <w:p w14:paraId="19BECCDF" w14:textId="577A7A07" w:rsidR="009A1D8A" w:rsidRPr="00AE5FF2" w:rsidRDefault="00F15A03">
      <w:pPr>
        <w:pStyle w:val="ListParagraph"/>
        <w:numPr>
          <w:ilvl w:val="0"/>
          <w:numId w:val="3"/>
        </w:numPr>
        <w:spacing w:after="0" w:line="240" w:lineRule="auto"/>
        <w:ind w:left="360"/>
        <w:jc w:val="both"/>
        <w:rPr>
          <w:rFonts w:cs="Times New Roman"/>
          <w:sz w:val="24"/>
          <w:szCs w:val="24"/>
        </w:rPr>
      </w:pPr>
      <w:r w:rsidRPr="00AE5FF2">
        <w:rPr>
          <w:rFonts w:cs="Times New Roman"/>
          <w:sz w:val="24"/>
          <w:szCs w:val="24"/>
        </w:rPr>
        <w:t>Prețul</w:t>
      </w:r>
      <w:r w:rsidR="00D716E4" w:rsidRPr="00AE5FF2">
        <w:rPr>
          <w:rFonts w:cs="Times New Roman"/>
          <w:sz w:val="24"/>
          <w:szCs w:val="24"/>
        </w:rPr>
        <w:t xml:space="preserve"> serviciilor </w:t>
      </w:r>
      <w:r w:rsidR="00914CC9">
        <w:rPr>
          <w:rFonts w:cs="Times New Roman"/>
          <w:sz w:val="24"/>
          <w:szCs w:val="24"/>
        </w:rPr>
        <w:t>prestate</w:t>
      </w:r>
      <w:r w:rsidR="00405778" w:rsidRPr="00AE5FF2">
        <w:rPr>
          <w:rFonts w:cs="Times New Roman"/>
          <w:sz w:val="24"/>
          <w:szCs w:val="24"/>
        </w:rPr>
        <w:t xml:space="preserve"> </w:t>
      </w:r>
      <w:r w:rsidR="006957A4" w:rsidRPr="00AE5FF2">
        <w:rPr>
          <w:rFonts w:cs="Times New Roman"/>
          <w:sz w:val="24"/>
          <w:szCs w:val="24"/>
        </w:rPr>
        <w:t xml:space="preserve">nu va depăși nivelul din oferta </w:t>
      </w:r>
      <w:r w:rsidR="003E23EB" w:rsidRPr="00AE5FF2">
        <w:rPr>
          <w:rFonts w:cs="Times New Roman"/>
          <w:sz w:val="24"/>
          <w:szCs w:val="24"/>
        </w:rPr>
        <w:t xml:space="preserve">financiară </w:t>
      </w:r>
      <w:r w:rsidR="006957A4" w:rsidRPr="00AE5FF2">
        <w:rPr>
          <w:rFonts w:cs="Times New Roman"/>
          <w:sz w:val="24"/>
          <w:szCs w:val="24"/>
        </w:rPr>
        <w:t>câștigătoare pe fiecare tip de serviciu solicitat de către Ministerul Finanțelor.</w:t>
      </w:r>
    </w:p>
    <w:p w14:paraId="36231242" w14:textId="5FA69602" w:rsidR="00D45157" w:rsidRPr="00AE5FF2" w:rsidRDefault="00D45157" w:rsidP="00E56FA6">
      <w:pPr>
        <w:pStyle w:val="ListParagraph"/>
        <w:numPr>
          <w:ilvl w:val="0"/>
          <w:numId w:val="3"/>
        </w:numPr>
        <w:spacing w:after="0" w:line="240" w:lineRule="auto"/>
        <w:ind w:left="426" w:hanging="426"/>
        <w:jc w:val="both"/>
        <w:rPr>
          <w:rFonts w:cs="Times New Roman"/>
          <w:sz w:val="24"/>
          <w:szCs w:val="24"/>
        </w:rPr>
      </w:pPr>
      <w:r w:rsidRPr="00AE5FF2">
        <w:rPr>
          <w:rFonts w:cs="Times New Roman"/>
          <w:sz w:val="24"/>
          <w:szCs w:val="24"/>
        </w:rPr>
        <w:t>În prezentarea ofertelor tehnice și financiare, ofertanții vor respecta structura pe categorii</w:t>
      </w:r>
      <w:r w:rsidR="006A0F30" w:rsidRPr="00AE5FF2">
        <w:rPr>
          <w:rFonts w:cs="Times New Roman"/>
          <w:sz w:val="24"/>
          <w:szCs w:val="24"/>
        </w:rPr>
        <w:t>le</w:t>
      </w:r>
      <w:r w:rsidRPr="00AE5FF2">
        <w:rPr>
          <w:rFonts w:cs="Times New Roman"/>
          <w:sz w:val="24"/>
          <w:szCs w:val="24"/>
        </w:rPr>
        <w:t xml:space="preserve"> de servicii.</w:t>
      </w:r>
    </w:p>
    <w:p w14:paraId="2E7E03AE" w14:textId="03B96D38" w:rsidR="009D1EAF" w:rsidRPr="00AE5FF2" w:rsidRDefault="009D1EAF">
      <w:pPr>
        <w:spacing w:after="0" w:line="240" w:lineRule="auto"/>
        <w:ind w:left="284"/>
        <w:jc w:val="both"/>
        <w:rPr>
          <w:rFonts w:cs="Times New Roman"/>
          <w:sz w:val="24"/>
          <w:szCs w:val="24"/>
        </w:rPr>
      </w:pPr>
    </w:p>
    <w:p w14:paraId="33AFE57F" w14:textId="48B2A8B0" w:rsidR="00635BB3" w:rsidRPr="00914CC9" w:rsidRDefault="00635BB3" w:rsidP="00896FB8">
      <w:pPr>
        <w:pStyle w:val="ListParagraph"/>
        <w:numPr>
          <w:ilvl w:val="0"/>
          <w:numId w:val="27"/>
        </w:numPr>
        <w:spacing w:after="0" w:line="240" w:lineRule="auto"/>
        <w:jc w:val="both"/>
        <w:rPr>
          <w:rFonts w:cs="Times New Roman"/>
          <w:b/>
          <w:sz w:val="24"/>
          <w:szCs w:val="24"/>
          <w:u w:val="single"/>
        </w:rPr>
      </w:pPr>
      <w:r w:rsidRPr="00914CC9">
        <w:rPr>
          <w:rFonts w:cs="Times New Roman"/>
          <w:b/>
          <w:sz w:val="24"/>
          <w:szCs w:val="24"/>
          <w:u w:val="single"/>
        </w:rPr>
        <w:t>Domeniul de activitate</w:t>
      </w:r>
    </w:p>
    <w:p w14:paraId="7E03F527" w14:textId="77777777" w:rsidR="00635BB3" w:rsidRPr="00AE5FF2" w:rsidRDefault="00635BB3" w:rsidP="000660C1">
      <w:pPr>
        <w:pStyle w:val="ListParagraph"/>
        <w:spacing w:line="240" w:lineRule="auto"/>
        <w:ind w:left="780"/>
        <w:jc w:val="both"/>
        <w:rPr>
          <w:rFonts w:cs="Times New Roman"/>
          <w:sz w:val="24"/>
          <w:szCs w:val="24"/>
          <w:u w:val="single"/>
        </w:rPr>
      </w:pPr>
    </w:p>
    <w:p w14:paraId="52F3E3E0" w14:textId="787C75CF" w:rsidR="00987328" w:rsidRPr="00914CC9" w:rsidRDefault="00012C7B" w:rsidP="000660C1">
      <w:pPr>
        <w:pStyle w:val="ListParagraph"/>
        <w:numPr>
          <w:ilvl w:val="0"/>
          <w:numId w:val="22"/>
        </w:numPr>
        <w:spacing w:line="276" w:lineRule="auto"/>
        <w:jc w:val="both"/>
        <w:rPr>
          <w:rFonts w:cs="Times New Roman"/>
          <w:sz w:val="24"/>
          <w:szCs w:val="24"/>
          <w:u w:val="single"/>
        </w:rPr>
      </w:pPr>
      <w:r w:rsidRPr="00914CC9">
        <w:rPr>
          <w:rFonts w:cs="Times New Roman"/>
          <w:sz w:val="24"/>
          <w:szCs w:val="24"/>
          <w:u w:val="single"/>
        </w:rPr>
        <w:t>Activitățile</w:t>
      </w:r>
      <w:r w:rsidR="00635BB3" w:rsidRPr="00914CC9">
        <w:rPr>
          <w:rFonts w:cs="Times New Roman"/>
          <w:sz w:val="24"/>
          <w:szCs w:val="24"/>
          <w:u w:val="single"/>
        </w:rPr>
        <w:t xml:space="preserve"> care urmează să fie</w:t>
      </w:r>
      <w:r w:rsidR="008749E6" w:rsidRPr="00914CC9">
        <w:rPr>
          <w:rFonts w:cs="Times New Roman"/>
          <w:sz w:val="24"/>
          <w:szCs w:val="24"/>
          <w:u w:val="single"/>
        </w:rPr>
        <w:t xml:space="preserve"> întreprinse de societatea de evaluare</w:t>
      </w:r>
      <w:r w:rsidR="00402D19" w:rsidRPr="00914CC9">
        <w:rPr>
          <w:rFonts w:cs="Times New Roman"/>
          <w:sz w:val="24"/>
          <w:szCs w:val="24"/>
          <w:u w:val="single"/>
        </w:rPr>
        <w:t>, după cum urmează</w:t>
      </w:r>
      <w:r w:rsidR="00402D19" w:rsidRPr="00914CC9">
        <w:rPr>
          <w:rFonts w:cs="Times New Roman"/>
          <w:sz w:val="24"/>
          <w:szCs w:val="24"/>
          <w:u w:val="single"/>
          <w:lang w:val="en-US"/>
        </w:rPr>
        <w:t xml:space="preserve">: </w:t>
      </w:r>
    </w:p>
    <w:p w14:paraId="081FA121" w14:textId="3330FB0D" w:rsidR="00402D19" w:rsidRPr="00896FB8" w:rsidRDefault="00402D19" w:rsidP="00896FB8">
      <w:pPr>
        <w:pStyle w:val="ListParagraph"/>
        <w:spacing w:line="276" w:lineRule="auto"/>
        <w:ind w:left="1140"/>
        <w:jc w:val="both"/>
        <w:rPr>
          <w:rFonts w:cs="Times New Roman"/>
          <w:b/>
          <w:sz w:val="24"/>
          <w:szCs w:val="24"/>
        </w:rPr>
      </w:pPr>
      <w:r w:rsidRPr="00896FB8">
        <w:rPr>
          <w:rFonts w:cs="Times New Roman"/>
          <w:b/>
          <w:sz w:val="24"/>
          <w:szCs w:val="24"/>
        </w:rPr>
        <w:lastRenderedPageBreak/>
        <w:t xml:space="preserve">A.1. În vederea </w:t>
      </w:r>
      <w:r w:rsidR="00666972">
        <w:rPr>
          <w:rFonts w:cs="Times New Roman"/>
          <w:b/>
          <w:sz w:val="24"/>
          <w:szCs w:val="24"/>
        </w:rPr>
        <w:t>evaluării</w:t>
      </w:r>
      <w:r w:rsidRPr="00896FB8">
        <w:rPr>
          <w:rFonts w:cs="Times New Roman"/>
          <w:b/>
          <w:sz w:val="24"/>
          <w:szCs w:val="24"/>
        </w:rPr>
        <w:t xml:space="preserve"> Cadrului General</w:t>
      </w:r>
    </w:p>
    <w:p w14:paraId="621764AD" w14:textId="7DAE3106" w:rsidR="00635BB3" w:rsidRPr="00AE5FF2" w:rsidRDefault="00635BB3" w:rsidP="000660C1">
      <w:pPr>
        <w:pStyle w:val="ListParagraph"/>
        <w:spacing w:line="276" w:lineRule="auto"/>
        <w:ind w:left="0" w:firstLine="780"/>
        <w:jc w:val="both"/>
        <w:rPr>
          <w:rFonts w:cs="Times New Roman"/>
          <w:sz w:val="24"/>
          <w:szCs w:val="24"/>
        </w:rPr>
      </w:pPr>
      <w:r w:rsidRPr="00AE5FF2">
        <w:rPr>
          <w:rFonts w:cs="Times New Roman"/>
          <w:sz w:val="24"/>
          <w:szCs w:val="24"/>
        </w:rPr>
        <w:t>i) Confirmă/revizuiește alinierea Cadrului</w:t>
      </w:r>
      <w:r w:rsidR="008749E6" w:rsidRPr="00AE5FF2">
        <w:rPr>
          <w:rFonts w:cs="Times New Roman"/>
          <w:sz w:val="24"/>
          <w:szCs w:val="24"/>
        </w:rPr>
        <w:t xml:space="preserve"> general</w:t>
      </w:r>
      <w:r w:rsidRPr="00AE5FF2">
        <w:rPr>
          <w:rFonts w:cs="Times New Roman"/>
          <w:sz w:val="24"/>
          <w:szCs w:val="24"/>
        </w:rPr>
        <w:t xml:space="preserve"> la cele patru componente de bază ale </w:t>
      </w:r>
      <w:r w:rsidR="008749E6" w:rsidRPr="00AE5FF2">
        <w:rPr>
          <w:rFonts w:cs="Times New Roman"/>
          <w:sz w:val="24"/>
          <w:szCs w:val="24"/>
        </w:rPr>
        <w:t>Principiilor Obligațiunilor Verzi;</w:t>
      </w:r>
    </w:p>
    <w:p w14:paraId="367E39DC" w14:textId="27D3E3DC" w:rsidR="00635BB3" w:rsidRPr="00AE5FF2" w:rsidRDefault="00635BB3">
      <w:pPr>
        <w:pStyle w:val="ListParagraph"/>
        <w:spacing w:line="276" w:lineRule="auto"/>
        <w:ind w:left="0" w:firstLine="780"/>
        <w:jc w:val="both"/>
        <w:rPr>
          <w:rFonts w:cs="Times New Roman"/>
          <w:sz w:val="24"/>
          <w:szCs w:val="24"/>
        </w:rPr>
      </w:pPr>
      <w:r w:rsidRPr="00AE5FF2">
        <w:rPr>
          <w:rFonts w:cs="Times New Roman"/>
          <w:sz w:val="24"/>
          <w:szCs w:val="24"/>
        </w:rPr>
        <w:t>ii) Evaluează core</w:t>
      </w:r>
      <w:r w:rsidR="00012C7B" w:rsidRPr="00AE5FF2">
        <w:rPr>
          <w:rFonts w:cs="Times New Roman"/>
          <w:sz w:val="24"/>
          <w:szCs w:val="24"/>
        </w:rPr>
        <w:t>larea</w:t>
      </w:r>
      <w:r w:rsidRPr="00AE5FF2">
        <w:rPr>
          <w:rFonts w:cs="Times New Roman"/>
          <w:sz w:val="24"/>
          <w:szCs w:val="24"/>
        </w:rPr>
        <w:t xml:space="preserve"> cu strategia și prioritățile de sustenabilitate ale emitentului și ale emitentului, așa cum sunt menționate în </w:t>
      </w:r>
      <w:r w:rsidR="008749E6" w:rsidRPr="00AE5FF2">
        <w:rPr>
          <w:rFonts w:cs="Times New Roman"/>
          <w:sz w:val="24"/>
          <w:szCs w:val="24"/>
        </w:rPr>
        <w:t>declarațiile oficiale relevante;</w:t>
      </w:r>
    </w:p>
    <w:p w14:paraId="237E6DD0" w14:textId="4DC09394" w:rsidR="00635BB3" w:rsidRPr="00AE5FF2" w:rsidRDefault="008749E6">
      <w:pPr>
        <w:pStyle w:val="ListParagraph"/>
        <w:spacing w:line="276" w:lineRule="auto"/>
        <w:ind w:left="0" w:firstLine="780"/>
        <w:jc w:val="both"/>
        <w:rPr>
          <w:rFonts w:cs="Times New Roman"/>
          <w:sz w:val="24"/>
          <w:szCs w:val="24"/>
        </w:rPr>
      </w:pPr>
      <w:r w:rsidRPr="00AE5FF2">
        <w:rPr>
          <w:rFonts w:cs="Times New Roman"/>
          <w:sz w:val="24"/>
          <w:szCs w:val="24"/>
        </w:rPr>
        <w:t>iii) Examinează</w:t>
      </w:r>
      <w:r w:rsidR="00635BB3" w:rsidRPr="00AE5FF2">
        <w:rPr>
          <w:rFonts w:cs="Times New Roman"/>
          <w:sz w:val="24"/>
          <w:szCs w:val="24"/>
        </w:rPr>
        <w:t xml:space="preserve"> lista proiectelor eligibile propuse pentru Obligațiuni</w:t>
      </w:r>
      <w:r w:rsidRPr="00AE5FF2">
        <w:rPr>
          <w:rFonts w:cs="Times New Roman"/>
          <w:sz w:val="24"/>
          <w:szCs w:val="24"/>
        </w:rPr>
        <w:t>le</w:t>
      </w:r>
      <w:r w:rsidR="00635BB3" w:rsidRPr="00AE5FF2">
        <w:rPr>
          <w:rFonts w:cs="Times New Roman"/>
          <w:sz w:val="24"/>
          <w:szCs w:val="24"/>
        </w:rPr>
        <w:t xml:space="preserve"> Verzi pentru a verifica </w:t>
      </w:r>
      <w:r w:rsidR="00257F66" w:rsidRPr="00AE5FF2">
        <w:rPr>
          <w:rFonts w:cs="Times New Roman"/>
          <w:sz w:val="24"/>
          <w:szCs w:val="24"/>
        </w:rPr>
        <w:t xml:space="preserve">corelarea </w:t>
      </w:r>
      <w:r w:rsidR="00635BB3" w:rsidRPr="00AE5FF2">
        <w:rPr>
          <w:rFonts w:cs="Times New Roman"/>
          <w:sz w:val="24"/>
          <w:szCs w:val="24"/>
        </w:rPr>
        <w:t>categoriilor eligibile din Cadru</w:t>
      </w:r>
      <w:r w:rsidRPr="00AE5FF2">
        <w:rPr>
          <w:rFonts w:cs="Times New Roman"/>
          <w:sz w:val="24"/>
          <w:szCs w:val="24"/>
        </w:rPr>
        <w:t>l general</w:t>
      </w:r>
      <w:r w:rsidR="00635BB3" w:rsidRPr="00AE5FF2">
        <w:rPr>
          <w:rFonts w:cs="Times New Roman"/>
          <w:sz w:val="24"/>
          <w:szCs w:val="24"/>
        </w:rPr>
        <w:t xml:space="preserve"> și </w:t>
      </w:r>
      <w:r w:rsidRPr="00AE5FF2">
        <w:rPr>
          <w:rFonts w:cs="Times New Roman"/>
          <w:sz w:val="24"/>
          <w:szCs w:val="24"/>
        </w:rPr>
        <w:t>Principiile Obligațiunilor Verzi</w:t>
      </w:r>
      <w:r w:rsidR="00635BB3" w:rsidRPr="00AE5FF2">
        <w:rPr>
          <w:rFonts w:cs="Times New Roman"/>
          <w:sz w:val="24"/>
          <w:szCs w:val="24"/>
        </w:rPr>
        <w:t xml:space="preserve"> (202</w:t>
      </w:r>
      <w:r w:rsidRPr="00AE5FF2">
        <w:rPr>
          <w:rFonts w:cs="Times New Roman"/>
          <w:sz w:val="24"/>
          <w:szCs w:val="24"/>
        </w:rPr>
        <w:t>1);</w:t>
      </w:r>
    </w:p>
    <w:p w14:paraId="44478394" w14:textId="3ED5B104" w:rsidR="00635BB3" w:rsidRPr="00AE5FF2" w:rsidRDefault="00635BB3">
      <w:pPr>
        <w:pStyle w:val="ListParagraph"/>
        <w:spacing w:line="276" w:lineRule="auto"/>
        <w:ind w:left="0" w:firstLine="780"/>
        <w:jc w:val="both"/>
        <w:rPr>
          <w:rFonts w:cs="Times New Roman"/>
          <w:sz w:val="24"/>
          <w:szCs w:val="24"/>
        </w:rPr>
      </w:pPr>
      <w:r w:rsidRPr="00AE5FF2">
        <w:rPr>
          <w:rFonts w:cs="Times New Roman"/>
          <w:sz w:val="24"/>
          <w:szCs w:val="24"/>
        </w:rPr>
        <w:t xml:space="preserve">iv) </w:t>
      </w:r>
      <w:r w:rsidR="008749E6" w:rsidRPr="00AE5FF2">
        <w:rPr>
          <w:rFonts w:cs="Times New Roman"/>
          <w:sz w:val="24"/>
          <w:szCs w:val="24"/>
        </w:rPr>
        <w:t xml:space="preserve">Oferă </w:t>
      </w:r>
      <w:r w:rsidR="00012C7B" w:rsidRPr="00AE5FF2">
        <w:rPr>
          <w:rFonts w:cs="Times New Roman"/>
          <w:sz w:val="24"/>
          <w:szCs w:val="24"/>
        </w:rPr>
        <w:t xml:space="preserve">opinii </w:t>
      </w:r>
      <w:r w:rsidR="008749E6" w:rsidRPr="00AE5FF2">
        <w:rPr>
          <w:rFonts w:cs="Times New Roman"/>
          <w:sz w:val="24"/>
          <w:szCs w:val="24"/>
        </w:rPr>
        <w:t>Ministerului Finanțelor</w:t>
      </w:r>
      <w:r w:rsidRPr="00AE5FF2">
        <w:rPr>
          <w:rFonts w:cs="Times New Roman"/>
          <w:sz w:val="24"/>
          <w:szCs w:val="24"/>
        </w:rPr>
        <w:t xml:space="preserve"> </w:t>
      </w:r>
      <w:r w:rsidR="008749E6" w:rsidRPr="00AE5FF2">
        <w:rPr>
          <w:rFonts w:cs="Times New Roman"/>
          <w:sz w:val="24"/>
          <w:szCs w:val="24"/>
        </w:rPr>
        <w:t>pentru</w:t>
      </w:r>
      <w:r w:rsidRPr="00AE5FF2">
        <w:rPr>
          <w:rFonts w:cs="Times New Roman"/>
          <w:sz w:val="24"/>
          <w:szCs w:val="24"/>
        </w:rPr>
        <w:t xml:space="preserve"> consolid</w:t>
      </w:r>
      <w:r w:rsidR="008749E6" w:rsidRPr="00AE5FF2">
        <w:rPr>
          <w:rFonts w:cs="Times New Roman"/>
          <w:sz w:val="24"/>
          <w:szCs w:val="24"/>
        </w:rPr>
        <w:t>area</w:t>
      </w:r>
      <w:r w:rsidRPr="00AE5FF2">
        <w:rPr>
          <w:rFonts w:cs="Times New Roman"/>
          <w:sz w:val="24"/>
          <w:szCs w:val="24"/>
        </w:rPr>
        <w:t xml:space="preserve"> Cadrul</w:t>
      </w:r>
      <w:r w:rsidR="008749E6" w:rsidRPr="00AE5FF2">
        <w:rPr>
          <w:rFonts w:cs="Times New Roman"/>
          <w:sz w:val="24"/>
          <w:szCs w:val="24"/>
        </w:rPr>
        <w:t>ui</w:t>
      </w:r>
      <w:r w:rsidRPr="00AE5FF2">
        <w:rPr>
          <w:rFonts w:cs="Times New Roman"/>
          <w:sz w:val="24"/>
          <w:szCs w:val="24"/>
        </w:rPr>
        <w:t xml:space="preserve"> conform celor mai bune practici internaționale și așteptărilor investitorilor</w:t>
      </w:r>
      <w:r w:rsidR="008749E6" w:rsidRPr="00AE5FF2">
        <w:rPr>
          <w:rFonts w:cs="Times New Roman"/>
          <w:sz w:val="24"/>
          <w:szCs w:val="24"/>
        </w:rPr>
        <w:t xml:space="preserve"> în intervalul de timp convenit;</w:t>
      </w:r>
    </w:p>
    <w:p w14:paraId="068F9564" w14:textId="6FEA81C9" w:rsidR="00635BB3" w:rsidRPr="00AE5FF2" w:rsidRDefault="00987328">
      <w:pPr>
        <w:pStyle w:val="ListParagraph"/>
        <w:spacing w:line="276" w:lineRule="auto"/>
        <w:ind w:left="0" w:firstLine="780"/>
        <w:jc w:val="both"/>
        <w:rPr>
          <w:rFonts w:cs="Times New Roman"/>
          <w:sz w:val="24"/>
          <w:szCs w:val="24"/>
        </w:rPr>
      </w:pPr>
      <w:r w:rsidRPr="00AE5FF2">
        <w:rPr>
          <w:rFonts w:cs="Times New Roman"/>
          <w:sz w:val="24"/>
          <w:szCs w:val="24"/>
        </w:rPr>
        <w:t>v) Redactează</w:t>
      </w:r>
      <w:r w:rsidR="00635BB3" w:rsidRPr="00AE5FF2">
        <w:rPr>
          <w:rFonts w:cs="Times New Roman"/>
          <w:sz w:val="24"/>
          <w:szCs w:val="24"/>
        </w:rPr>
        <w:t xml:space="preserve"> o opinie cu privire la Cadrul revizuit și confirm</w:t>
      </w:r>
      <w:r w:rsidRPr="00AE5FF2">
        <w:rPr>
          <w:rFonts w:cs="Times New Roman"/>
          <w:sz w:val="24"/>
          <w:szCs w:val="24"/>
        </w:rPr>
        <w:t>ă</w:t>
      </w:r>
      <w:r w:rsidR="00635BB3" w:rsidRPr="00AE5FF2">
        <w:rPr>
          <w:rFonts w:cs="Times New Roman"/>
          <w:sz w:val="24"/>
          <w:szCs w:val="24"/>
        </w:rPr>
        <w:t xml:space="preserve"> că proiectele selectate sunt de așteptat să aibă un impact net pozitiv asupra m</w:t>
      </w:r>
      <w:r w:rsidRPr="00AE5FF2">
        <w:rPr>
          <w:rFonts w:cs="Times New Roman"/>
          <w:sz w:val="24"/>
          <w:szCs w:val="24"/>
        </w:rPr>
        <w:t>ediului;</w:t>
      </w:r>
    </w:p>
    <w:p w14:paraId="4D62E1E3" w14:textId="4C8EB679" w:rsidR="00635BB3" w:rsidRPr="00AE5FF2" w:rsidRDefault="00635BB3">
      <w:pPr>
        <w:pStyle w:val="ListParagraph"/>
        <w:spacing w:line="276" w:lineRule="auto"/>
        <w:ind w:left="0" w:firstLine="780"/>
        <w:jc w:val="both"/>
        <w:rPr>
          <w:rFonts w:cs="Times New Roman"/>
          <w:sz w:val="24"/>
          <w:szCs w:val="24"/>
        </w:rPr>
      </w:pPr>
      <w:r w:rsidRPr="00AE5FF2">
        <w:rPr>
          <w:rFonts w:cs="Times New Roman"/>
          <w:sz w:val="24"/>
          <w:szCs w:val="24"/>
        </w:rPr>
        <w:t xml:space="preserve">vi) </w:t>
      </w:r>
      <w:r w:rsidR="008749E6" w:rsidRPr="00AE5FF2">
        <w:rPr>
          <w:rFonts w:cs="Times New Roman"/>
          <w:sz w:val="24"/>
          <w:szCs w:val="24"/>
        </w:rPr>
        <w:t>Publică</w:t>
      </w:r>
      <w:r w:rsidRPr="00AE5FF2">
        <w:rPr>
          <w:rFonts w:cs="Times New Roman"/>
          <w:sz w:val="24"/>
          <w:szCs w:val="24"/>
        </w:rPr>
        <w:t xml:space="preserve"> opinia</w:t>
      </w:r>
      <w:r w:rsidR="008749E6" w:rsidRPr="00AE5FF2">
        <w:rPr>
          <w:rFonts w:cs="Times New Roman"/>
          <w:sz w:val="24"/>
          <w:szCs w:val="24"/>
        </w:rPr>
        <w:t xml:space="preserve"> sa cu privire la Cadrul general</w:t>
      </w:r>
      <w:r w:rsidRPr="00AE5FF2">
        <w:rPr>
          <w:rFonts w:cs="Times New Roman"/>
          <w:sz w:val="24"/>
          <w:szCs w:val="24"/>
        </w:rPr>
        <w:t xml:space="preserve"> pe o platformă accesibilă publicului, conform acordului cu </w:t>
      </w:r>
      <w:r w:rsidR="008749E6" w:rsidRPr="00AE5FF2">
        <w:rPr>
          <w:rFonts w:cs="Times New Roman"/>
          <w:sz w:val="24"/>
          <w:szCs w:val="24"/>
        </w:rPr>
        <w:t>Ministerul Finanțelor, reprezentat de Direcția Generală de Trezorerie și Datoria Publică</w:t>
      </w:r>
      <w:r w:rsidR="00987328" w:rsidRPr="00AE5FF2">
        <w:rPr>
          <w:rFonts w:cs="Times New Roman"/>
          <w:sz w:val="24"/>
          <w:szCs w:val="24"/>
        </w:rPr>
        <w:t>;</w:t>
      </w:r>
    </w:p>
    <w:p w14:paraId="6580A305" w14:textId="59A95765" w:rsidR="00635BB3" w:rsidRDefault="00635BB3">
      <w:pPr>
        <w:pStyle w:val="ListParagraph"/>
        <w:spacing w:line="276" w:lineRule="auto"/>
        <w:ind w:left="0" w:firstLine="780"/>
        <w:jc w:val="both"/>
        <w:rPr>
          <w:rFonts w:cs="Times New Roman"/>
          <w:sz w:val="24"/>
          <w:szCs w:val="24"/>
        </w:rPr>
      </w:pPr>
      <w:r w:rsidRPr="00AE5FF2">
        <w:rPr>
          <w:rFonts w:cs="Times New Roman"/>
          <w:sz w:val="24"/>
          <w:szCs w:val="24"/>
        </w:rPr>
        <w:t>vii) Coordonează comunicarea media pre și post-emitere cu Banca Mondială și</w:t>
      </w:r>
      <w:r w:rsidR="008749E6" w:rsidRPr="00AE5FF2">
        <w:rPr>
          <w:rFonts w:cs="Times New Roman"/>
          <w:sz w:val="24"/>
          <w:szCs w:val="24"/>
        </w:rPr>
        <w:t xml:space="preserve"> Ministerul Finanțelor, prin</w:t>
      </w:r>
      <w:r w:rsidRPr="00AE5FF2">
        <w:rPr>
          <w:rFonts w:cs="Times New Roman"/>
          <w:sz w:val="24"/>
          <w:szCs w:val="24"/>
        </w:rPr>
        <w:t xml:space="preserve"> Direcția Generală de Trezorerie și Datoria Publică, conform str</w:t>
      </w:r>
      <w:r w:rsidR="00987328" w:rsidRPr="00AE5FF2">
        <w:rPr>
          <w:rFonts w:cs="Times New Roman"/>
          <w:sz w:val="24"/>
          <w:szCs w:val="24"/>
        </w:rPr>
        <w:t>ategiei de comunicare convenite;</w:t>
      </w:r>
    </w:p>
    <w:p w14:paraId="508AA35E" w14:textId="1E70EB89" w:rsidR="00402D19" w:rsidRPr="00896FB8" w:rsidRDefault="00402D19">
      <w:pPr>
        <w:pStyle w:val="ListParagraph"/>
        <w:spacing w:line="276" w:lineRule="auto"/>
        <w:ind w:left="0" w:firstLine="780"/>
        <w:jc w:val="both"/>
        <w:rPr>
          <w:rFonts w:cs="Times New Roman"/>
          <w:b/>
          <w:sz w:val="24"/>
          <w:szCs w:val="24"/>
        </w:rPr>
      </w:pPr>
      <w:r w:rsidRPr="00896FB8">
        <w:rPr>
          <w:rFonts w:cs="Times New Roman"/>
          <w:b/>
          <w:sz w:val="24"/>
          <w:szCs w:val="24"/>
        </w:rPr>
        <w:t>A.2.În vederea realizării rapoartelor de alocare</w:t>
      </w:r>
    </w:p>
    <w:p w14:paraId="723DC280" w14:textId="791BF68A" w:rsidR="00987328" w:rsidRPr="00AE5FF2" w:rsidRDefault="00987328">
      <w:pPr>
        <w:pStyle w:val="ListParagraph"/>
        <w:spacing w:line="276" w:lineRule="auto"/>
        <w:ind w:left="0" w:firstLine="780"/>
        <w:jc w:val="both"/>
        <w:rPr>
          <w:rFonts w:cs="Times New Roman"/>
          <w:sz w:val="24"/>
          <w:szCs w:val="24"/>
        </w:rPr>
      </w:pPr>
      <w:r w:rsidRPr="00AE5FF2">
        <w:rPr>
          <w:rFonts w:cs="Times New Roman"/>
          <w:sz w:val="24"/>
          <w:szCs w:val="24"/>
        </w:rPr>
        <w:t xml:space="preserve">i) </w:t>
      </w:r>
      <w:r w:rsidR="00A54E74" w:rsidRPr="00AE5FF2">
        <w:rPr>
          <w:rFonts w:cs="Times New Roman"/>
          <w:sz w:val="24"/>
          <w:szCs w:val="24"/>
        </w:rPr>
        <w:t xml:space="preserve">Furnizează evaluarea </w:t>
      </w:r>
      <w:r w:rsidRPr="00AE5FF2">
        <w:rPr>
          <w:rFonts w:cs="Times New Roman"/>
          <w:sz w:val="24"/>
          <w:szCs w:val="24"/>
        </w:rPr>
        <w:t>externă a rapoartelor de alocare aferente obligațiunilor verzi</w:t>
      </w:r>
      <w:r w:rsidR="00743544" w:rsidRPr="00AE5FF2">
        <w:rPr>
          <w:rFonts w:cs="Times New Roman"/>
          <w:sz w:val="24"/>
          <w:szCs w:val="24"/>
        </w:rPr>
        <w:t xml:space="preserve"> </w:t>
      </w:r>
      <w:r w:rsidRPr="00AE5FF2">
        <w:rPr>
          <w:rFonts w:cs="Times New Roman"/>
          <w:sz w:val="24"/>
          <w:szCs w:val="24"/>
        </w:rPr>
        <w:t>emise de România prin Ministerul Finanțelor;</w:t>
      </w:r>
    </w:p>
    <w:p w14:paraId="32247335" w14:textId="3988AA56" w:rsidR="00987328" w:rsidRPr="00AE5FF2" w:rsidRDefault="00987328">
      <w:pPr>
        <w:pStyle w:val="ListParagraph"/>
        <w:spacing w:line="276" w:lineRule="auto"/>
        <w:ind w:left="0" w:firstLine="780"/>
        <w:jc w:val="both"/>
        <w:rPr>
          <w:rFonts w:cs="Times New Roman"/>
          <w:sz w:val="24"/>
          <w:szCs w:val="24"/>
        </w:rPr>
      </w:pPr>
      <w:r w:rsidRPr="00AE5FF2">
        <w:rPr>
          <w:rFonts w:cs="Times New Roman"/>
          <w:sz w:val="24"/>
          <w:szCs w:val="24"/>
        </w:rPr>
        <w:t>i</w:t>
      </w:r>
      <w:r w:rsidR="00666972">
        <w:rPr>
          <w:rFonts w:cs="Times New Roman"/>
          <w:sz w:val="24"/>
          <w:szCs w:val="24"/>
        </w:rPr>
        <w:t>i</w:t>
      </w:r>
      <w:r w:rsidRPr="00AE5FF2">
        <w:rPr>
          <w:rFonts w:cs="Times New Roman"/>
          <w:sz w:val="24"/>
          <w:szCs w:val="24"/>
        </w:rPr>
        <w:t>) Publică opinia sa cu privire la rapoartelor de alocare aferente obligațiunilor verzi emise de România prin Ministerul Finanțelor pe o platformă accesibilă publicului.</w:t>
      </w:r>
    </w:p>
    <w:p w14:paraId="12FAE3B1" w14:textId="77777777" w:rsidR="00635BB3" w:rsidRPr="00AE5FF2" w:rsidRDefault="00635BB3">
      <w:pPr>
        <w:pStyle w:val="ListParagraph"/>
        <w:spacing w:line="240" w:lineRule="auto"/>
        <w:ind w:left="780"/>
        <w:jc w:val="both"/>
        <w:rPr>
          <w:rFonts w:cs="Times New Roman"/>
          <w:b/>
          <w:sz w:val="24"/>
          <w:szCs w:val="24"/>
          <w:u w:val="single"/>
        </w:rPr>
      </w:pPr>
    </w:p>
    <w:p w14:paraId="3DFDADDB" w14:textId="77777777" w:rsidR="00635BB3" w:rsidRPr="00AE5FF2" w:rsidRDefault="00635BB3">
      <w:pPr>
        <w:pStyle w:val="ListParagraph"/>
        <w:spacing w:line="240" w:lineRule="auto"/>
        <w:ind w:left="780"/>
        <w:jc w:val="both"/>
        <w:rPr>
          <w:rFonts w:cs="Times New Roman"/>
          <w:b/>
          <w:sz w:val="24"/>
          <w:szCs w:val="24"/>
          <w:u w:val="single"/>
        </w:rPr>
      </w:pPr>
    </w:p>
    <w:p w14:paraId="48037902" w14:textId="4AFB87B3" w:rsidR="00635BB3" w:rsidRPr="00914CC9" w:rsidRDefault="00987328">
      <w:pPr>
        <w:pStyle w:val="ListParagraph"/>
        <w:spacing w:line="240" w:lineRule="auto"/>
        <w:ind w:left="0" w:firstLine="780"/>
        <w:jc w:val="both"/>
        <w:rPr>
          <w:rFonts w:cs="Times New Roman"/>
          <w:sz w:val="24"/>
          <w:szCs w:val="24"/>
          <w:u w:val="single"/>
        </w:rPr>
      </w:pPr>
      <w:r w:rsidRPr="00914CC9">
        <w:rPr>
          <w:rFonts w:cs="Times New Roman"/>
          <w:sz w:val="24"/>
          <w:szCs w:val="24"/>
          <w:u w:val="single"/>
        </w:rPr>
        <w:t>B</w:t>
      </w:r>
      <w:r w:rsidR="00635BB3" w:rsidRPr="00914CC9">
        <w:rPr>
          <w:rFonts w:cs="Times New Roman"/>
          <w:sz w:val="24"/>
          <w:szCs w:val="24"/>
          <w:u w:val="single"/>
        </w:rPr>
        <w:t xml:space="preserve">. Rezultate specifice așteptate de la </w:t>
      </w:r>
      <w:r w:rsidRPr="00914CC9">
        <w:rPr>
          <w:rFonts w:cs="Times New Roman"/>
          <w:sz w:val="24"/>
          <w:szCs w:val="24"/>
          <w:u w:val="single"/>
        </w:rPr>
        <w:t>societatea de evaluare externă</w:t>
      </w:r>
    </w:p>
    <w:p w14:paraId="48462262" w14:textId="77777777" w:rsidR="00635BB3" w:rsidRPr="00AE5FF2" w:rsidRDefault="00635BB3">
      <w:pPr>
        <w:pStyle w:val="ListParagraph"/>
        <w:spacing w:line="240" w:lineRule="auto"/>
        <w:ind w:left="780"/>
        <w:jc w:val="both"/>
        <w:rPr>
          <w:rFonts w:cs="Times New Roman"/>
          <w:b/>
          <w:sz w:val="24"/>
          <w:szCs w:val="24"/>
        </w:rPr>
      </w:pPr>
    </w:p>
    <w:p w14:paraId="45A1EF94" w14:textId="18728C45" w:rsidR="00635BB3" w:rsidRPr="00AE5FF2" w:rsidRDefault="00987328">
      <w:pPr>
        <w:pStyle w:val="ListParagraph"/>
        <w:spacing w:line="240" w:lineRule="auto"/>
        <w:ind w:left="0"/>
        <w:jc w:val="both"/>
        <w:rPr>
          <w:rFonts w:cs="Times New Roman"/>
          <w:sz w:val="24"/>
          <w:szCs w:val="24"/>
        </w:rPr>
      </w:pPr>
      <w:r w:rsidRPr="00AE5FF2">
        <w:rPr>
          <w:rFonts w:cs="Times New Roman"/>
          <w:sz w:val="24"/>
          <w:szCs w:val="24"/>
        </w:rPr>
        <w:t>Societatea de evaluare externă</w:t>
      </w:r>
      <w:r w:rsidR="00635BB3" w:rsidRPr="00AE5FF2">
        <w:rPr>
          <w:rFonts w:cs="Times New Roman"/>
          <w:sz w:val="24"/>
          <w:szCs w:val="24"/>
        </w:rPr>
        <w:t xml:space="preserve"> va participa la întâlnire</w:t>
      </w:r>
      <w:r w:rsidR="00A54E74" w:rsidRPr="00AE5FF2">
        <w:rPr>
          <w:rFonts w:cs="Times New Roman"/>
          <w:sz w:val="24"/>
          <w:szCs w:val="24"/>
        </w:rPr>
        <w:t>a</w:t>
      </w:r>
      <w:r w:rsidR="00635BB3" w:rsidRPr="00AE5FF2">
        <w:rPr>
          <w:rFonts w:cs="Times New Roman"/>
          <w:sz w:val="24"/>
          <w:szCs w:val="24"/>
        </w:rPr>
        <w:t xml:space="preserve"> de </w:t>
      </w:r>
      <w:r w:rsidR="00A54E74" w:rsidRPr="00AE5FF2">
        <w:rPr>
          <w:rFonts w:cs="Times New Roman"/>
          <w:sz w:val="24"/>
          <w:szCs w:val="24"/>
        </w:rPr>
        <w:t xml:space="preserve">deschidere a colaborării </w:t>
      </w:r>
      <w:r w:rsidR="00635BB3" w:rsidRPr="00AE5FF2">
        <w:rPr>
          <w:rFonts w:cs="Times New Roman"/>
          <w:sz w:val="24"/>
          <w:szCs w:val="24"/>
        </w:rPr>
        <w:t>pentru a-și explica procesul</w:t>
      </w:r>
      <w:r w:rsidR="006F2B5D">
        <w:rPr>
          <w:rFonts w:cs="Times New Roman"/>
          <w:sz w:val="24"/>
          <w:szCs w:val="24"/>
        </w:rPr>
        <w:t xml:space="preserve"> în vederea furnizării </w:t>
      </w:r>
      <w:r w:rsidR="00635BB3" w:rsidRPr="00AE5FF2">
        <w:rPr>
          <w:rFonts w:cs="Times New Roman"/>
          <w:sz w:val="24"/>
          <w:szCs w:val="24"/>
        </w:rPr>
        <w:t>opinie</w:t>
      </w:r>
      <w:r w:rsidR="00A54E74" w:rsidRPr="00AE5FF2">
        <w:rPr>
          <w:rFonts w:cs="Times New Roman"/>
          <w:sz w:val="24"/>
          <w:szCs w:val="24"/>
        </w:rPr>
        <w:t>i externe</w:t>
      </w:r>
      <w:r w:rsidR="00635BB3" w:rsidRPr="00AE5FF2">
        <w:rPr>
          <w:rFonts w:cs="Times New Roman"/>
          <w:sz w:val="24"/>
          <w:szCs w:val="24"/>
        </w:rPr>
        <w:t xml:space="preserve">. </w:t>
      </w:r>
      <w:r w:rsidR="00A54E74" w:rsidRPr="00AE5FF2">
        <w:rPr>
          <w:rFonts w:cs="Times New Roman"/>
          <w:sz w:val="24"/>
          <w:szCs w:val="24"/>
        </w:rPr>
        <w:t xml:space="preserve">Societatea </w:t>
      </w:r>
      <w:r w:rsidR="00635BB3" w:rsidRPr="00AE5FF2">
        <w:rPr>
          <w:rFonts w:cs="Times New Roman"/>
          <w:sz w:val="24"/>
          <w:szCs w:val="24"/>
        </w:rPr>
        <w:t>va emite un aviz final, care confirmă acreditările de mediu ale proiectelor selectate și alinierea Cadrului</w:t>
      </w:r>
      <w:r w:rsidRPr="00AE5FF2">
        <w:rPr>
          <w:rFonts w:cs="Times New Roman"/>
          <w:sz w:val="24"/>
          <w:szCs w:val="24"/>
        </w:rPr>
        <w:t xml:space="preserve"> general</w:t>
      </w:r>
      <w:r w:rsidR="00635BB3" w:rsidRPr="00AE5FF2">
        <w:rPr>
          <w:rFonts w:cs="Times New Roman"/>
          <w:sz w:val="24"/>
          <w:szCs w:val="24"/>
        </w:rPr>
        <w:t xml:space="preserve"> la așteptările investitorilor și cele mai bune practici internaționale</w:t>
      </w:r>
      <w:r w:rsidRPr="00AE5FF2">
        <w:rPr>
          <w:rFonts w:cs="Times New Roman"/>
          <w:sz w:val="24"/>
          <w:szCs w:val="24"/>
        </w:rPr>
        <w:t>,</w:t>
      </w:r>
      <w:r w:rsidR="00635BB3" w:rsidRPr="00AE5FF2">
        <w:rPr>
          <w:rFonts w:cs="Times New Roman"/>
          <w:sz w:val="24"/>
          <w:szCs w:val="24"/>
        </w:rPr>
        <w:t xml:space="preserve"> în termenul convenit cu</w:t>
      </w:r>
      <w:r w:rsidRPr="00AE5FF2">
        <w:rPr>
          <w:rFonts w:cs="Times New Roman"/>
          <w:sz w:val="24"/>
          <w:szCs w:val="24"/>
        </w:rPr>
        <w:t xml:space="preserve"> Ministerul Finanțelor, reprezentat de</w:t>
      </w:r>
      <w:r w:rsidR="00635BB3" w:rsidRPr="00AE5FF2">
        <w:rPr>
          <w:rFonts w:cs="Times New Roman"/>
          <w:sz w:val="24"/>
          <w:szCs w:val="24"/>
        </w:rPr>
        <w:t xml:space="preserve"> Direcția Generală de Trezorerie și Datoria Publică. Produsele livrabile</w:t>
      </w:r>
      <w:r w:rsidR="00402D19">
        <w:rPr>
          <w:rFonts w:cs="Times New Roman"/>
          <w:sz w:val="24"/>
          <w:szCs w:val="24"/>
        </w:rPr>
        <w:t xml:space="preserve"> (raportul de evaluare a Cadrului general si </w:t>
      </w:r>
      <w:r w:rsidR="00666972">
        <w:rPr>
          <w:rFonts w:cs="Times New Roman"/>
          <w:sz w:val="24"/>
          <w:szCs w:val="24"/>
        </w:rPr>
        <w:t>rapoartele</w:t>
      </w:r>
      <w:r w:rsidR="00402D19">
        <w:rPr>
          <w:rFonts w:cs="Times New Roman"/>
          <w:sz w:val="24"/>
          <w:szCs w:val="24"/>
        </w:rPr>
        <w:t xml:space="preserve"> de alocare)</w:t>
      </w:r>
      <w:r w:rsidR="00635BB3" w:rsidRPr="00AE5FF2">
        <w:rPr>
          <w:rFonts w:cs="Times New Roman"/>
          <w:sz w:val="24"/>
          <w:szCs w:val="24"/>
        </w:rPr>
        <w:t xml:space="preserve"> și activitățile asociate nu vor fi considerate finalizate până la revizuire</w:t>
      </w:r>
      <w:r w:rsidRPr="00AE5FF2">
        <w:rPr>
          <w:rFonts w:cs="Times New Roman"/>
          <w:sz w:val="24"/>
          <w:szCs w:val="24"/>
        </w:rPr>
        <w:t>a</w:t>
      </w:r>
      <w:r w:rsidR="00635BB3" w:rsidRPr="00AE5FF2">
        <w:rPr>
          <w:rFonts w:cs="Times New Roman"/>
          <w:sz w:val="24"/>
          <w:szCs w:val="24"/>
        </w:rPr>
        <w:t xml:space="preserve"> și aprobare</w:t>
      </w:r>
      <w:r w:rsidRPr="00AE5FF2">
        <w:rPr>
          <w:rFonts w:cs="Times New Roman"/>
          <w:sz w:val="24"/>
          <w:szCs w:val="24"/>
        </w:rPr>
        <w:t>a</w:t>
      </w:r>
      <w:r w:rsidR="00635BB3" w:rsidRPr="00AE5FF2">
        <w:rPr>
          <w:rFonts w:cs="Times New Roman"/>
          <w:sz w:val="24"/>
          <w:szCs w:val="24"/>
        </w:rPr>
        <w:t xml:space="preserve"> de către</w:t>
      </w:r>
      <w:r w:rsidRPr="00AE5FF2">
        <w:rPr>
          <w:rFonts w:cs="Times New Roman"/>
          <w:sz w:val="24"/>
          <w:szCs w:val="24"/>
        </w:rPr>
        <w:t xml:space="preserve"> beneficiar.</w:t>
      </w:r>
      <w:r w:rsidR="00635BB3" w:rsidRPr="00AE5FF2">
        <w:rPr>
          <w:rFonts w:cs="Times New Roman"/>
          <w:sz w:val="24"/>
          <w:szCs w:val="24"/>
        </w:rPr>
        <w:t xml:space="preserve"> </w:t>
      </w:r>
      <w:r w:rsidRPr="00AE5FF2">
        <w:rPr>
          <w:rFonts w:cs="Times New Roman"/>
          <w:sz w:val="24"/>
          <w:szCs w:val="24"/>
        </w:rPr>
        <w:t>Societatea de evaluare externă</w:t>
      </w:r>
      <w:r w:rsidR="00635BB3" w:rsidRPr="00AE5FF2">
        <w:rPr>
          <w:rFonts w:cs="Times New Roman"/>
          <w:sz w:val="24"/>
          <w:szCs w:val="24"/>
        </w:rPr>
        <w:t xml:space="preserve"> va </w:t>
      </w:r>
      <w:r w:rsidR="00A54E74" w:rsidRPr="00AE5FF2">
        <w:rPr>
          <w:rFonts w:cs="Times New Roman"/>
          <w:sz w:val="24"/>
          <w:szCs w:val="24"/>
        </w:rPr>
        <w:t>colabora cu</w:t>
      </w:r>
      <w:r w:rsidRPr="00AE5FF2">
        <w:rPr>
          <w:rFonts w:cs="Times New Roman"/>
          <w:sz w:val="24"/>
          <w:szCs w:val="24"/>
        </w:rPr>
        <w:t xml:space="preserve"> experții tehnici ai Ministerului Finanțelor, reprezenta</w:t>
      </w:r>
      <w:r w:rsidR="00A54E74" w:rsidRPr="00AE5FF2">
        <w:rPr>
          <w:rFonts w:cs="Times New Roman"/>
          <w:sz w:val="24"/>
          <w:szCs w:val="24"/>
        </w:rPr>
        <w:t>ți</w:t>
      </w:r>
      <w:r w:rsidRPr="00AE5FF2">
        <w:rPr>
          <w:rFonts w:cs="Times New Roman"/>
          <w:sz w:val="24"/>
          <w:szCs w:val="24"/>
        </w:rPr>
        <w:t xml:space="preserve"> de</w:t>
      </w:r>
      <w:r w:rsidR="00635BB3" w:rsidRPr="00AE5FF2">
        <w:rPr>
          <w:rFonts w:cs="Times New Roman"/>
          <w:sz w:val="24"/>
          <w:szCs w:val="24"/>
        </w:rPr>
        <w:t xml:space="preserve"> Direcția Generală Trezorerie și Datoria Publică</w:t>
      </w:r>
      <w:r w:rsidRPr="00AE5FF2">
        <w:rPr>
          <w:rFonts w:cs="Times New Roman"/>
          <w:sz w:val="24"/>
          <w:szCs w:val="24"/>
        </w:rPr>
        <w:t>, precum</w:t>
      </w:r>
      <w:r w:rsidR="00635BB3" w:rsidRPr="00AE5FF2">
        <w:rPr>
          <w:rFonts w:cs="Times New Roman"/>
          <w:sz w:val="24"/>
          <w:szCs w:val="24"/>
        </w:rPr>
        <w:t xml:space="preserve"> și</w:t>
      </w:r>
      <w:r w:rsidRPr="00AE5FF2">
        <w:rPr>
          <w:rFonts w:cs="Times New Roman"/>
          <w:sz w:val="24"/>
          <w:szCs w:val="24"/>
        </w:rPr>
        <w:t xml:space="preserve"> </w:t>
      </w:r>
      <w:r w:rsidR="00A54E74" w:rsidRPr="00AE5FF2">
        <w:rPr>
          <w:rFonts w:cs="Times New Roman"/>
          <w:sz w:val="24"/>
          <w:szCs w:val="24"/>
        </w:rPr>
        <w:t xml:space="preserve">cu </w:t>
      </w:r>
      <w:r w:rsidR="00635BB3" w:rsidRPr="00AE5FF2">
        <w:rPr>
          <w:rFonts w:cs="Times New Roman"/>
          <w:sz w:val="24"/>
          <w:szCs w:val="24"/>
        </w:rPr>
        <w:t>experți tehnici din ministerele sectoriale pentru culegerea de informații.</w:t>
      </w:r>
    </w:p>
    <w:p w14:paraId="7070E2C5" w14:textId="77777777" w:rsidR="00635BB3" w:rsidRPr="00AE5FF2" w:rsidRDefault="00635BB3">
      <w:pPr>
        <w:pStyle w:val="ListParagraph"/>
        <w:spacing w:line="240" w:lineRule="auto"/>
        <w:ind w:left="780"/>
        <w:jc w:val="both"/>
        <w:rPr>
          <w:rFonts w:cs="Times New Roman"/>
          <w:b/>
          <w:sz w:val="24"/>
          <w:szCs w:val="24"/>
        </w:rPr>
      </w:pPr>
    </w:p>
    <w:p w14:paraId="0474B5BC" w14:textId="4415705E" w:rsidR="00635BB3" w:rsidRPr="00FA77F3" w:rsidRDefault="008749E6">
      <w:pPr>
        <w:pStyle w:val="ListParagraph"/>
        <w:spacing w:line="240" w:lineRule="auto"/>
        <w:ind w:left="90" w:firstLine="690"/>
        <w:jc w:val="both"/>
        <w:rPr>
          <w:rFonts w:cs="Times New Roman"/>
          <w:sz w:val="24"/>
          <w:szCs w:val="24"/>
          <w:u w:val="single"/>
        </w:rPr>
      </w:pPr>
      <w:r w:rsidRPr="00FA77F3">
        <w:rPr>
          <w:rFonts w:cs="Times New Roman"/>
          <w:sz w:val="24"/>
          <w:szCs w:val="24"/>
          <w:u w:val="single"/>
        </w:rPr>
        <w:t>C</w:t>
      </w:r>
      <w:r w:rsidR="00635BB3" w:rsidRPr="00FA77F3">
        <w:rPr>
          <w:rFonts w:cs="Times New Roman"/>
          <w:sz w:val="24"/>
          <w:szCs w:val="24"/>
          <w:u w:val="single"/>
        </w:rPr>
        <w:t xml:space="preserve">. </w:t>
      </w:r>
      <w:r w:rsidRPr="00FA77F3">
        <w:rPr>
          <w:rFonts w:cs="Times New Roman"/>
          <w:sz w:val="24"/>
          <w:szCs w:val="24"/>
          <w:u w:val="single"/>
        </w:rPr>
        <w:t>Documente</w:t>
      </w:r>
      <w:r w:rsidR="00635BB3" w:rsidRPr="00FA77F3">
        <w:rPr>
          <w:rFonts w:cs="Times New Roman"/>
          <w:sz w:val="24"/>
          <w:szCs w:val="24"/>
          <w:u w:val="single"/>
        </w:rPr>
        <w:t xml:space="preserve"> specifice care trebuie puse </w:t>
      </w:r>
      <w:r w:rsidR="00A54E74" w:rsidRPr="00FA77F3">
        <w:rPr>
          <w:rFonts w:cs="Times New Roman"/>
          <w:sz w:val="24"/>
          <w:szCs w:val="24"/>
          <w:u w:val="single"/>
        </w:rPr>
        <w:t xml:space="preserve">de către beneficiar </w:t>
      </w:r>
      <w:r w:rsidR="00635BB3" w:rsidRPr="00FA77F3">
        <w:rPr>
          <w:rFonts w:cs="Times New Roman"/>
          <w:sz w:val="24"/>
          <w:szCs w:val="24"/>
          <w:u w:val="single"/>
        </w:rPr>
        <w:t xml:space="preserve">la dispoziția </w:t>
      </w:r>
      <w:r w:rsidRPr="00FA77F3">
        <w:rPr>
          <w:rFonts w:cs="Times New Roman"/>
          <w:sz w:val="24"/>
          <w:szCs w:val="24"/>
          <w:u w:val="single"/>
        </w:rPr>
        <w:t>societății de evaluare externă</w:t>
      </w:r>
      <w:r w:rsidR="00635BB3" w:rsidRPr="00FA77F3">
        <w:rPr>
          <w:rFonts w:cs="Times New Roman"/>
          <w:sz w:val="24"/>
          <w:szCs w:val="24"/>
          <w:u w:val="single"/>
        </w:rPr>
        <w:t>:</w:t>
      </w:r>
    </w:p>
    <w:p w14:paraId="72A23C60" w14:textId="77777777" w:rsidR="00A54E74" w:rsidRPr="00AE5FF2" w:rsidRDefault="00A54E74">
      <w:pPr>
        <w:pStyle w:val="ListParagraph"/>
        <w:spacing w:line="240" w:lineRule="auto"/>
        <w:ind w:left="780"/>
        <w:jc w:val="both"/>
        <w:rPr>
          <w:rFonts w:cs="Times New Roman"/>
          <w:sz w:val="24"/>
          <w:szCs w:val="24"/>
        </w:rPr>
      </w:pPr>
    </w:p>
    <w:p w14:paraId="0C6C9E9A" w14:textId="46498CF8" w:rsidR="00635BB3" w:rsidRPr="00AE5FF2" w:rsidRDefault="008749E6">
      <w:pPr>
        <w:pStyle w:val="ListParagraph"/>
        <w:spacing w:line="240" w:lineRule="auto"/>
        <w:ind w:left="0"/>
        <w:jc w:val="both"/>
        <w:rPr>
          <w:rFonts w:cs="Times New Roman"/>
          <w:b/>
          <w:sz w:val="24"/>
          <w:szCs w:val="24"/>
        </w:rPr>
      </w:pPr>
      <w:r w:rsidRPr="00AE5FF2">
        <w:rPr>
          <w:rFonts w:cs="Times New Roman"/>
          <w:sz w:val="24"/>
          <w:szCs w:val="24"/>
        </w:rPr>
        <w:t>(i)</w:t>
      </w:r>
      <w:r w:rsidR="00066571">
        <w:rPr>
          <w:rFonts w:cs="Times New Roman"/>
          <w:sz w:val="24"/>
          <w:szCs w:val="24"/>
        </w:rPr>
        <w:t xml:space="preserve"> </w:t>
      </w:r>
      <w:r w:rsidR="00635BB3" w:rsidRPr="00AE5FF2">
        <w:rPr>
          <w:rFonts w:cs="Times New Roman"/>
          <w:sz w:val="24"/>
          <w:szCs w:val="24"/>
        </w:rPr>
        <w:t>Cadru</w:t>
      </w:r>
      <w:r w:rsidRPr="00AE5FF2">
        <w:rPr>
          <w:rFonts w:cs="Times New Roman"/>
          <w:sz w:val="24"/>
          <w:szCs w:val="24"/>
        </w:rPr>
        <w:t>l general;</w:t>
      </w:r>
    </w:p>
    <w:p w14:paraId="3E0D415A" w14:textId="05849EF1" w:rsidR="00635BB3" w:rsidRPr="00AE5FF2" w:rsidRDefault="008749E6">
      <w:pPr>
        <w:pStyle w:val="ListParagraph"/>
        <w:spacing w:line="240" w:lineRule="auto"/>
        <w:ind w:left="0"/>
        <w:jc w:val="both"/>
        <w:rPr>
          <w:rFonts w:cs="Times New Roman"/>
          <w:sz w:val="24"/>
          <w:szCs w:val="24"/>
        </w:rPr>
      </w:pPr>
      <w:r w:rsidRPr="00AE5FF2">
        <w:rPr>
          <w:rFonts w:cs="Times New Roman"/>
          <w:sz w:val="24"/>
          <w:szCs w:val="24"/>
        </w:rPr>
        <w:t>(ii)</w:t>
      </w:r>
      <w:r w:rsidR="00635BB3" w:rsidRPr="00AE5FF2">
        <w:rPr>
          <w:rFonts w:cs="Times New Roman"/>
          <w:sz w:val="24"/>
          <w:szCs w:val="24"/>
        </w:rPr>
        <w:t xml:space="preserve"> Lista proiectelor eligibile propuse </w:t>
      </w:r>
      <w:r w:rsidRPr="00AE5FF2">
        <w:rPr>
          <w:rFonts w:cs="Times New Roman"/>
          <w:sz w:val="24"/>
          <w:szCs w:val="24"/>
        </w:rPr>
        <w:t xml:space="preserve">pentru </w:t>
      </w:r>
      <w:r w:rsidR="00635BB3" w:rsidRPr="00AE5FF2">
        <w:rPr>
          <w:rFonts w:cs="Times New Roman"/>
          <w:sz w:val="24"/>
          <w:szCs w:val="24"/>
        </w:rPr>
        <w:t>aloca</w:t>
      </w:r>
      <w:r w:rsidRPr="00AE5FF2">
        <w:rPr>
          <w:rFonts w:cs="Times New Roman"/>
          <w:sz w:val="24"/>
          <w:szCs w:val="24"/>
        </w:rPr>
        <w:t>r</w:t>
      </w:r>
      <w:r w:rsidR="00635BB3" w:rsidRPr="00AE5FF2">
        <w:rPr>
          <w:rFonts w:cs="Times New Roman"/>
          <w:sz w:val="24"/>
          <w:szCs w:val="24"/>
        </w:rPr>
        <w:t>e</w:t>
      </w:r>
      <w:r w:rsidRPr="00AE5FF2">
        <w:rPr>
          <w:rFonts w:cs="Times New Roman"/>
          <w:sz w:val="24"/>
          <w:szCs w:val="24"/>
        </w:rPr>
        <w:t>a</w:t>
      </w:r>
      <w:r w:rsidR="00635BB3" w:rsidRPr="00AE5FF2">
        <w:rPr>
          <w:rFonts w:cs="Times New Roman"/>
          <w:sz w:val="24"/>
          <w:szCs w:val="24"/>
        </w:rPr>
        <w:t xml:space="preserve"> </w:t>
      </w:r>
      <w:r w:rsidRPr="00AE5FF2">
        <w:rPr>
          <w:rFonts w:cs="Times New Roman"/>
          <w:sz w:val="24"/>
          <w:szCs w:val="24"/>
        </w:rPr>
        <w:t>veniturilor care vor fi obținute din emisiunile de</w:t>
      </w:r>
      <w:r w:rsidR="00635BB3" w:rsidRPr="00AE5FF2">
        <w:rPr>
          <w:rFonts w:cs="Times New Roman"/>
          <w:sz w:val="24"/>
          <w:szCs w:val="24"/>
        </w:rPr>
        <w:t xml:space="preserve"> </w:t>
      </w:r>
      <w:r w:rsidRPr="00AE5FF2">
        <w:rPr>
          <w:rFonts w:cs="Times New Roman"/>
          <w:sz w:val="24"/>
          <w:szCs w:val="24"/>
        </w:rPr>
        <w:t>obligațiuni verzi;</w:t>
      </w:r>
    </w:p>
    <w:p w14:paraId="1D90F782" w14:textId="35C896D8" w:rsidR="00635BB3" w:rsidRPr="00C268FA" w:rsidRDefault="008749E6">
      <w:pPr>
        <w:pStyle w:val="ListParagraph"/>
        <w:spacing w:line="240" w:lineRule="auto"/>
        <w:ind w:left="0"/>
        <w:jc w:val="both"/>
        <w:rPr>
          <w:rFonts w:cs="Times New Roman"/>
          <w:sz w:val="24"/>
          <w:szCs w:val="24"/>
          <w:lang w:val="en-US"/>
        </w:rPr>
      </w:pPr>
      <w:r w:rsidRPr="00AE5FF2">
        <w:rPr>
          <w:rFonts w:cs="Times New Roman"/>
          <w:sz w:val="24"/>
          <w:szCs w:val="24"/>
        </w:rPr>
        <w:t>(iii)</w:t>
      </w:r>
      <w:r w:rsidR="00635BB3" w:rsidRPr="00AE5FF2">
        <w:rPr>
          <w:rFonts w:cs="Times New Roman"/>
          <w:sz w:val="24"/>
          <w:szCs w:val="24"/>
        </w:rPr>
        <w:t xml:space="preserve"> </w:t>
      </w:r>
      <w:r w:rsidRPr="00AE5FF2">
        <w:rPr>
          <w:rFonts w:cs="Times New Roman"/>
          <w:sz w:val="24"/>
          <w:szCs w:val="24"/>
        </w:rPr>
        <w:t>a</w:t>
      </w:r>
      <w:r w:rsidR="00635BB3" w:rsidRPr="00AE5FF2">
        <w:rPr>
          <w:rFonts w:cs="Times New Roman"/>
          <w:sz w:val="24"/>
          <w:szCs w:val="24"/>
        </w:rPr>
        <w:t>lte documente convenite cu Direcția Generală de Trezorerie și Datoria Publică, inclusiv politici și programe guvernamentale care abordează sustenabilitatea, după caz.</w:t>
      </w:r>
    </w:p>
    <w:p w14:paraId="34602763" w14:textId="77777777" w:rsidR="00635BB3" w:rsidRPr="00AE5FF2" w:rsidRDefault="00635BB3">
      <w:pPr>
        <w:pStyle w:val="ListParagraph"/>
        <w:spacing w:after="0" w:line="240" w:lineRule="auto"/>
        <w:ind w:left="780"/>
        <w:jc w:val="both"/>
        <w:rPr>
          <w:rFonts w:cs="Times New Roman"/>
          <w:b/>
          <w:sz w:val="24"/>
          <w:szCs w:val="24"/>
          <w:u w:val="single"/>
        </w:rPr>
      </w:pPr>
    </w:p>
    <w:p w14:paraId="49F1C9C1" w14:textId="7A4F9E70" w:rsidR="00FA75A7" w:rsidRPr="00896FB8" w:rsidRDefault="00FA75A7" w:rsidP="00896FB8">
      <w:pPr>
        <w:pStyle w:val="ListParagraph"/>
        <w:numPr>
          <w:ilvl w:val="0"/>
          <w:numId w:val="27"/>
        </w:numPr>
        <w:jc w:val="both"/>
        <w:rPr>
          <w:b/>
        </w:rPr>
      </w:pPr>
      <w:r w:rsidRPr="00896FB8">
        <w:rPr>
          <w:b/>
        </w:rPr>
        <w:t xml:space="preserve">Recepția serviciilor de evaluare externă </w:t>
      </w:r>
    </w:p>
    <w:p w14:paraId="1E1CF4A7" w14:textId="00B22A96" w:rsidR="00FA75A7" w:rsidRPr="00FA75A7" w:rsidRDefault="00FA75A7">
      <w:pPr>
        <w:suppressAutoHyphens w:val="0"/>
        <w:spacing w:after="0"/>
        <w:jc w:val="both"/>
        <w:rPr>
          <w:rFonts w:cs="Times New Roman"/>
          <w:sz w:val="24"/>
          <w:szCs w:val="24"/>
        </w:rPr>
      </w:pPr>
      <w:r w:rsidRPr="00FA75A7">
        <w:rPr>
          <w:rFonts w:cs="Times New Roman"/>
          <w:sz w:val="24"/>
          <w:szCs w:val="24"/>
        </w:rPr>
        <w:t>Rapoartele de evaluare</w:t>
      </w:r>
      <w:r w:rsidR="007E20A5">
        <w:rPr>
          <w:rFonts w:cs="Times New Roman"/>
          <w:sz w:val="24"/>
          <w:szCs w:val="24"/>
        </w:rPr>
        <w:t xml:space="preserve"> (Cadrul general și alocare)</w:t>
      </w:r>
      <w:r w:rsidRPr="00FA75A7">
        <w:rPr>
          <w:rFonts w:cs="Times New Roman"/>
          <w:sz w:val="24"/>
          <w:szCs w:val="24"/>
        </w:rPr>
        <w:t xml:space="preserve"> vor constitui livrabilele care v</w:t>
      </w:r>
      <w:r w:rsidR="008576B0">
        <w:rPr>
          <w:rFonts w:cs="Times New Roman"/>
          <w:sz w:val="24"/>
          <w:szCs w:val="24"/>
        </w:rPr>
        <w:t>or</w:t>
      </w:r>
      <w:r w:rsidRPr="00FA75A7">
        <w:rPr>
          <w:rFonts w:cs="Times New Roman"/>
          <w:sz w:val="24"/>
          <w:szCs w:val="24"/>
        </w:rPr>
        <w:t xml:space="preserve"> sta la baza recepției serviciilor prestate. Acestea urmează să fie depuse pe suport de hârtie la registratur</w:t>
      </w:r>
      <w:r w:rsidR="00666972">
        <w:rPr>
          <w:rFonts w:cs="Times New Roman"/>
          <w:sz w:val="24"/>
          <w:szCs w:val="24"/>
        </w:rPr>
        <w:t>a</w:t>
      </w:r>
      <w:r w:rsidRPr="00FA75A7">
        <w:rPr>
          <w:rFonts w:cs="Times New Roman"/>
          <w:sz w:val="24"/>
          <w:szCs w:val="24"/>
        </w:rPr>
        <w:t xml:space="preserve"> unică a Ministerului Finanțelor</w:t>
      </w:r>
      <w:r w:rsidR="00BE49BE">
        <w:rPr>
          <w:rFonts w:cs="Times New Roman"/>
          <w:sz w:val="24"/>
          <w:szCs w:val="24"/>
        </w:rPr>
        <w:t xml:space="preserve"> sau transmise prin mijloace de comunicare la distanță</w:t>
      </w:r>
      <w:r w:rsidRPr="00FA75A7">
        <w:rPr>
          <w:rFonts w:cs="Times New Roman"/>
          <w:sz w:val="24"/>
          <w:szCs w:val="24"/>
        </w:rPr>
        <w:t>.</w:t>
      </w:r>
    </w:p>
    <w:p w14:paraId="193B4C85" w14:textId="74EF046B" w:rsidR="00882D5F" w:rsidRPr="00CB1FAD" w:rsidRDefault="00FA75A7" w:rsidP="00CB1FAD">
      <w:pPr>
        <w:suppressAutoHyphens w:val="0"/>
        <w:spacing w:after="0"/>
        <w:jc w:val="both"/>
        <w:rPr>
          <w:rFonts w:cs="Times New Roman"/>
          <w:sz w:val="24"/>
          <w:szCs w:val="24"/>
          <w:lang w:val="en-US"/>
        </w:rPr>
      </w:pPr>
      <w:r w:rsidRPr="00FA75A7">
        <w:rPr>
          <w:rFonts w:cs="Times New Roman"/>
          <w:sz w:val="24"/>
          <w:szCs w:val="24"/>
        </w:rPr>
        <w:t>Recepția se efectuează</w:t>
      </w:r>
      <w:r w:rsidR="00BE49BE">
        <w:rPr>
          <w:rFonts w:cs="Times New Roman"/>
          <w:sz w:val="24"/>
          <w:szCs w:val="24"/>
        </w:rPr>
        <w:t xml:space="preserve"> în baza Raportului de activitate care însoțește livrabilele, transmis de prestator</w:t>
      </w:r>
      <w:r w:rsidR="007E20A5">
        <w:rPr>
          <w:rFonts w:cs="Times New Roman"/>
          <w:sz w:val="24"/>
          <w:szCs w:val="24"/>
        </w:rPr>
        <w:t xml:space="preserve"> pe suport de hârtie sau electronic și </w:t>
      </w:r>
      <w:r w:rsidR="00BE49BE">
        <w:rPr>
          <w:rFonts w:cs="Times New Roman"/>
          <w:sz w:val="24"/>
          <w:szCs w:val="24"/>
        </w:rPr>
        <w:t>asumat de beneficiar.</w:t>
      </w:r>
    </w:p>
    <w:sectPr w:rsidR="00882D5F" w:rsidRPr="00CB1FAD" w:rsidSect="00687436">
      <w:footerReference w:type="default" r:id="rId8"/>
      <w:pgSz w:w="11906" w:h="16838"/>
      <w:pgMar w:top="900"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40B6" w14:textId="77777777" w:rsidR="00B80F12" w:rsidRDefault="00B80F12">
      <w:pPr>
        <w:spacing w:after="0" w:line="240" w:lineRule="auto"/>
      </w:pPr>
      <w:r>
        <w:separator/>
      </w:r>
    </w:p>
  </w:endnote>
  <w:endnote w:type="continuationSeparator" w:id="0">
    <w:p w14:paraId="733A11C4" w14:textId="77777777" w:rsidR="00B80F12" w:rsidRDefault="00B8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32579"/>
      <w:docPartObj>
        <w:docPartGallery w:val="Page Numbers (Bottom of Page)"/>
        <w:docPartUnique/>
      </w:docPartObj>
    </w:sdtPr>
    <w:sdtEndPr/>
    <w:sdtContent>
      <w:p w14:paraId="60405936" w14:textId="769EEA21" w:rsidR="00F45569" w:rsidRDefault="00F45569">
        <w:pPr>
          <w:pStyle w:val="Footer"/>
          <w:jc w:val="right"/>
        </w:pPr>
        <w:r>
          <w:fldChar w:fldCharType="begin"/>
        </w:r>
        <w:r>
          <w:instrText>PAGE</w:instrText>
        </w:r>
        <w:r>
          <w:fldChar w:fldCharType="separate"/>
        </w:r>
        <w:r w:rsidR="00896FB8">
          <w:rPr>
            <w:noProof/>
          </w:rPr>
          <w:t>7</w:t>
        </w:r>
        <w:r>
          <w:fldChar w:fldCharType="end"/>
        </w:r>
      </w:p>
    </w:sdtContent>
  </w:sdt>
  <w:p w14:paraId="1FAB4CD4" w14:textId="77777777" w:rsidR="00F45569" w:rsidRDefault="00F4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77576" w14:textId="77777777" w:rsidR="00B80F12" w:rsidRDefault="00B80F12">
      <w:pPr>
        <w:spacing w:after="0" w:line="240" w:lineRule="auto"/>
      </w:pPr>
      <w:r>
        <w:separator/>
      </w:r>
    </w:p>
  </w:footnote>
  <w:footnote w:type="continuationSeparator" w:id="0">
    <w:p w14:paraId="1AFD6E69" w14:textId="77777777" w:rsidR="00B80F12" w:rsidRDefault="00B80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347"/>
    <w:multiLevelType w:val="multilevel"/>
    <w:tmpl w:val="4642AFF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5578F5"/>
    <w:multiLevelType w:val="hybridMultilevel"/>
    <w:tmpl w:val="917244E2"/>
    <w:lvl w:ilvl="0" w:tplc="5FC8DD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E1E0B"/>
    <w:multiLevelType w:val="hybridMultilevel"/>
    <w:tmpl w:val="CF72C69C"/>
    <w:lvl w:ilvl="0" w:tplc="0E3ED820">
      <w:start w:val="3"/>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0164124"/>
    <w:multiLevelType w:val="hybridMultilevel"/>
    <w:tmpl w:val="45C0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0C88"/>
    <w:multiLevelType w:val="hybridMultilevel"/>
    <w:tmpl w:val="813088FA"/>
    <w:lvl w:ilvl="0" w:tplc="314A70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01F6A"/>
    <w:multiLevelType w:val="hybridMultilevel"/>
    <w:tmpl w:val="B4722196"/>
    <w:lvl w:ilvl="0" w:tplc="A38E13C4">
      <w:start w:val="2"/>
      <w:numFmt w:val="lowerLetter"/>
      <w:lvlText w:val="%1."/>
      <w:lvlJc w:val="left"/>
      <w:pPr>
        <w:ind w:left="720" w:hanging="360"/>
      </w:pPr>
      <w:rPr>
        <w:rFonts w:ascii="Times New Roman" w:hAnsi="Times New Roman" w:cs="Times New Roman" w:hint="default"/>
        <w:sz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EF0608"/>
    <w:multiLevelType w:val="hybridMultilevel"/>
    <w:tmpl w:val="361E8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C9C4378"/>
    <w:multiLevelType w:val="hybridMultilevel"/>
    <w:tmpl w:val="9EEAFB26"/>
    <w:lvl w:ilvl="0" w:tplc="70F6F1E6">
      <w:start w:val="100"/>
      <w:numFmt w:val="bullet"/>
      <w:lvlText w:val="-"/>
      <w:lvlJc w:val="left"/>
      <w:pPr>
        <w:ind w:left="720" w:hanging="360"/>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7C1394"/>
    <w:multiLevelType w:val="hybridMultilevel"/>
    <w:tmpl w:val="9C6415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6E1839"/>
    <w:multiLevelType w:val="hybridMultilevel"/>
    <w:tmpl w:val="DF7C4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0608F"/>
    <w:multiLevelType w:val="hybridMultilevel"/>
    <w:tmpl w:val="44B4F912"/>
    <w:lvl w:ilvl="0" w:tplc="2B466E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D17E0"/>
    <w:multiLevelType w:val="hybridMultilevel"/>
    <w:tmpl w:val="B92A385C"/>
    <w:lvl w:ilvl="0" w:tplc="5F9EBD82">
      <w:start w:val="1"/>
      <w:numFmt w:val="upperRoman"/>
      <w:lvlText w:val="%1."/>
      <w:lvlJc w:val="left"/>
      <w:pPr>
        <w:ind w:left="780" w:hanging="72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2F45B6"/>
    <w:multiLevelType w:val="hybridMultilevel"/>
    <w:tmpl w:val="B92A385C"/>
    <w:lvl w:ilvl="0" w:tplc="5F9EBD82">
      <w:start w:val="1"/>
      <w:numFmt w:val="upperRoman"/>
      <w:lvlText w:val="%1."/>
      <w:lvlJc w:val="left"/>
      <w:pPr>
        <w:ind w:left="780" w:hanging="72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E4D5762"/>
    <w:multiLevelType w:val="hybridMultilevel"/>
    <w:tmpl w:val="708ADE5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032B1"/>
    <w:multiLevelType w:val="hybridMultilevel"/>
    <w:tmpl w:val="45E270D8"/>
    <w:lvl w:ilvl="0" w:tplc="D4CC387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0941FC2"/>
    <w:multiLevelType w:val="multilevel"/>
    <w:tmpl w:val="0BFC2290"/>
    <w:lvl w:ilvl="0">
      <w:start w:val="1"/>
      <w:numFmt w:val="lowerLetter"/>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F91389"/>
    <w:multiLevelType w:val="singleLevel"/>
    <w:tmpl w:val="B1CEE1D2"/>
    <w:lvl w:ilvl="0">
      <w:start w:val="1"/>
      <w:numFmt w:val="upperRoman"/>
      <w:lvlText w:val="%1."/>
      <w:lvlJc w:val="left"/>
      <w:pPr>
        <w:tabs>
          <w:tab w:val="num" w:pos="900"/>
        </w:tabs>
        <w:ind w:left="900" w:hanging="720"/>
      </w:pPr>
      <w:rPr>
        <w:b/>
        <w:i w:val="0"/>
      </w:rPr>
    </w:lvl>
  </w:abstractNum>
  <w:abstractNum w:abstractNumId="17" w15:restartNumberingAfterBreak="0">
    <w:nsid w:val="440B1B67"/>
    <w:multiLevelType w:val="multilevel"/>
    <w:tmpl w:val="B8C871E4"/>
    <w:lvl w:ilvl="0">
      <w:start w:val="1"/>
      <w:numFmt w:val="lowerLetter"/>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6D0A6E"/>
    <w:multiLevelType w:val="multilevel"/>
    <w:tmpl w:val="A524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845A90"/>
    <w:multiLevelType w:val="hybridMultilevel"/>
    <w:tmpl w:val="29EE140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C3784"/>
    <w:multiLevelType w:val="hybridMultilevel"/>
    <w:tmpl w:val="03EAA440"/>
    <w:lvl w:ilvl="0" w:tplc="4DEA72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22514"/>
    <w:multiLevelType w:val="hybridMultilevel"/>
    <w:tmpl w:val="1206EB50"/>
    <w:lvl w:ilvl="0" w:tplc="89A8697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68455AA"/>
    <w:multiLevelType w:val="hybridMultilevel"/>
    <w:tmpl w:val="2270914E"/>
    <w:lvl w:ilvl="0" w:tplc="2B466E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B0B03"/>
    <w:multiLevelType w:val="hybridMultilevel"/>
    <w:tmpl w:val="A87E5C2E"/>
    <w:lvl w:ilvl="0" w:tplc="A814A0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B09CF"/>
    <w:multiLevelType w:val="multilevel"/>
    <w:tmpl w:val="E6B08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7FB19F1"/>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5E7836"/>
    <w:multiLevelType w:val="hybridMultilevel"/>
    <w:tmpl w:val="605AB8B4"/>
    <w:lvl w:ilvl="0" w:tplc="ACCECA96">
      <w:start w:val="10"/>
      <w:numFmt w:val="bullet"/>
      <w:lvlText w:val="-"/>
      <w:lvlJc w:val="left"/>
      <w:pPr>
        <w:ind w:left="300" w:hanging="360"/>
      </w:pPr>
      <w:rPr>
        <w:rFonts w:ascii="Calibri" w:eastAsiaTheme="minorHAnsi" w:hAnsi="Calibri"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25"/>
  </w:num>
  <w:num w:numId="2">
    <w:abstractNumId w:val="24"/>
  </w:num>
  <w:num w:numId="3">
    <w:abstractNumId w:val="18"/>
  </w:num>
  <w:num w:numId="4">
    <w:abstractNumId w:val="0"/>
  </w:num>
  <w:num w:numId="5">
    <w:abstractNumId w:val="17"/>
  </w:num>
  <w:num w:numId="6">
    <w:abstractNumId w:val="15"/>
  </w:num>
  <w:num w:numId="7">
    <w:abstractNumId w:val="11"/>
  </w:num>
  <w:num w:numId="8">
    <w:abstractNumId w:val="5"/>
  </w:num>
  <w:num w:numId="9">
    <w:abstractNumId w:val="6"/>
  </w:num>
  <w:num w:numId="10">
    <w:abstractNumId w:val="21"/>
  </w:num>
  <w:num w:numId="11">
    <w:abstractNumId w:val="26"/>
  </w:num>
  <w:num w:numId="12">
    <w:abstractNumId w:val="7"/>
  </w:num>
  <w:num w:numId="13">
    <w:abstractNumId w:val="16"/>
    <w:lvlOverride w:ilvl="0">
      <w:startOverride w:val="1"/>
    </w:lvlOverride>
  </w:num>
  <w:num w:numId="14">
    <w:abstractNumId w:val="23"/>
  </w:num>
  <w:num w:numId="15">
    <w:abstractNumId w:val="1"/>
  </w:num>
  <w:num w:numId="16">
    <w:abstractNumId w:val="4"/>
  </w:num>
  <w:num w:numId="17">
    <w:abstractNumId w:val="10"/>
  </w:num>
  <w:num w:numId="18">
    <w:abstractNumId w:val="22"/>
  </w:num>
  <w:num w:numId="19">
    <w:abstractNumId w:val="20"/>
  </w:num>
  <w:num w:numId="20">
    <w:abstractNumId w:val="13"/>
  </w:num>
  <w:num w:numId="21">
    <w:abstractNumId w:val="19"/>
  </w:num>
  <w:num w:numId="22">
    <w:abstractNumId w:val="14"/>
  </w:num>
  <w:num w:numId="23">
    <w:abstractNumId w:val="9"/>
  </w:num>
  <w:num w:numId="24">
    <w:abstractNumId w:val="3"/>
  </w:num>
  <w:num w:numId="25">
    <w:abstractNumId w:val="8"/>
  </w:num>
  <w:num w:numId="26">
    <w:abstractNumId w:val="12"/>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44"/>
    <w:rsid w:val="00012C7B"/>
    <w:rsid w:val="000158A4"/>
    <w:rsid w:val="000337D2"/>
    <w:rsid w:val="00036EF6"/>
    <w:rsid w:val="00055947"/>
    <w:rsid w:val="000660C1"/>
    <w:rsid w:val="00066571"/>
    <w:rsid w:val="00071FC1"/>
    <w:rsid w:val="000728FE"/>
    <w:rsid w:val="00096288"/>
    <w:rsid w:val="000A22AB"/>
    <w:rsid w:val="000A38ED"/>
    <w:rsid w:val="000C1C5B"/>
    <w:rsid w:val="000C4CFE"/>
    <w:rsid w:val="000C5DA0"/>
    <w:rsid w:val="000D050A"/>
    <w:rsid w:val="000F38DA"/>
    <w:rsid w:val="000F6B26"/>
    <w:rsid w:val="0010497E"/>
    <w:rsid w:val="00105CE3"/>
    <w:rsid w:val="001143F4"/>
    <w:rsid w:val="001355B8"/>
    <w:rsid w:val="001378CF"/>
    <w:rsid w:val="00140B8B"/>
    <w:rsid w:val="00144E7B"/>
    <w:rsid w:val="00147997"/>
    <w:rsid w:val="00151F31"/>
    <w:rsid w:val="001553A0"/>
    <w:rsid w:val="001560CA"/>
    <w:rsid w:val="00156F85"/>
    <w:rsid w:val="001736B0"/>
    <w:rsid w:val="001739C0"/>
    <w:rsid w:val="001750B1"/>
    <w:rsid w:val="001759CD"/>
    <w:rsid w:val="001800AB"/>
    <w:rsid w:val="001807F5"/>
    <w:rsid w:val="00180909"/>
    <w:rsid w:val="001856D6"/>
    <w:rsid w:val="00190176"/>
    <w:rsid w:val="001952DF"/>
    <w:rsid w:val="00195343"/>
    <w:rsid w:val="001974EF"/>
    <w:rsid w:val="00197570"/>
    <w:rsid w:val="001A79DE"/>
    <w:rsid w:val="001B559A"/>
    <w:rsid w:val="001C47B2"/>
    <w:rsid w:val="001D298E"/>
    <w:rsid w:val="001E4CF1"/>
    <w:rsid w:val="001F5BC6"/>
    <w:rsid w:val="00206AD0"/>
    <w:rsid w:val="00212634"/>
    <w:rsid w:val="0021629D"/>
    <w:rsid w:val="002178FC"/>
    <w:rsid w:val="00230BBC"/>
    <w:rsid w:val="00233BAA"/>
    <w:rsid w:val="002405D8"/>
    <w:rsid w:val="002447D9"/>
    <w:rsid w:val="00257F66"/>
    <w:rsid w:val="00267166"/>
    <w:rsid w:val="0027548D"/>
    <w:rsid w:val="00277125"/>
    <w:rsid w:val="0028608A"/>
    <w:rsid w:val="00287AE2"/>
    <w:rsid w:val="00297EAA"/>
    <w:rsid w:val="002A2620"/>
    <w:rsid w:val="002A50AB"/>
    <w:rsid w:val="002A78C7"/>
    <w:rsid w:val="002B29B7"/>
    <w:rsid w:val="002B3D0B"/>
    <w:rsid w:val="002B6FB5"/>
    <w:rsid w:val="002C35ED"/>
    <w:rsid w:val="002C40D9"/>
    <w:rsid w:val="002E2388"/>
    <w:rsid w:val="002E2C91"/>
    <w:rsid w:val="002E3FB1"/>
    <w:rsid w:val="002E6955"/>
    <w:rsid w:val="00305E4A"/>
    <w:rsid w:val="00321A93"/>
    <w:rsid w:val="003225D5"/>
    <w:rsid w:val="00323BFE"/>
    <w:rsid w:val="00333DC0"/>
    <w:rsid w:val="00345917"/>
    <w:rsid w:val="003464E8"/>
    <w:rsid w:val="00350D3F"/>
    <w:rsid w:val="00353E10"/>
    <w:rsid w:val="00354073"/>
    <w:rsid w:val="0036520C"/>
    <w:rsid w:val="00367FFE"/>
    <w:rsid w:val="00377DE6"/>
    <w:rsid w:val="003936A6"/>
    <w:rsid w:val="00393916"/>
    <w:rsid w:val="003B1B11"/>
    <w:rsid w:val="003C0B9E"/>
    <w:rsid w:val="003C1CB3"/>
    <w:rsid w:val="003D2EFF"/>
    <w:rsid w:val="003D363C"/>
    <w:rsid w:val="003D49A6"/>
    <w:rsid w:val="003E2074"/>
    <w:rsid w:val="003E23EB"/>
    <w:rsid w:val="003F7734"/>
    <w:rsid w:val="00402B48"/>
    <w:rsid w:val="00402D19"/>
    <w:rsid w:val="0040403B"/>
    <w:rsid w:val="00405778"/>
    <w:rsid w:val="00412682"/>
    <w:rsid w:val="00413F8D"/>
    <w:rsid w:val="004367FA"/>
    <w:rsid w:val="004426A8"/>
    <w:rsid w:val="004543DD"/>
    <w:rsid w:val="00467EFF"/>
    <w:rsid w:val="00471338"/>
    <w:rsid w:val="0047436F"/>
    <w:rsid w:val="00481286"/>
    <w:rsid w:val="00485769"/>
    <w:rsid w:val="00491CD6"/>
    <w:rsid w:val="0049666D"/>
    <w:rsid w:val="004A7271"/>
    <w:rsid w:val="004B792A"/>
    <w:rsid w:val="004C048D"/>
    <w:rsid w:val="004C0F77"/>
    <w:rsid w:val="004D66A9"/>
    <w:rsid w:val="004F2B2C"/>
    <w:rsid w:val="004F4480"/>
    <w:rsid w:val="004F5767"/>
    <w:rsid w:val="00514913"/>
    <w:rsid w:val="00523EE4"/>
    <w:rsid w:val="00527CE6"/>
    <w:rsid w:val="00530642"/>
    <w:rsid w:val="0053137C"/>
    <w:rsid w:val="00537958"/>
    <w:rsid w:val="00547591"/>
    <w:rsid w:val="00550983"/>
    <w:rsid w:val="00552D83"/>
    <w:rsid w:val="005664D8"/>
    <w:rsid w:val="00567F40"/>
    <w:rsid w:val="005737C8"/>
    <w:rsid w:val="00581BBD"/>
    <w:rsid w:val="00590C67"/>
    <w:rsid w:val="005953A5"/>
    <w:rsid w:val="005C0B57"/>
    <w:rsid w:val="005C14C6"/>
    <w:rsid w:val="005C18F8"/>
    <w:rsid w:val="005C3664"/>
    <w:rsid w:val="005C554B"/>
    <w:rsid w:val="005E0BC6"/>
    <w:rsid w:val="005E2D72"/>
    <w:rsid w:val="005F5BCA"/>
    <w:rsid w:val="005F669A"/>
    <w:rsid w:val="0061584F"/>
    <w:rsid w:val="00621862"/>
    <w:rsid w:val="00632BF5"/>
    <w:rsid w:val="00635BB3"/>
    <w:rsid w:val="0064049E"/>
    <w:rsid w:val="00641D02"/>
    <w:rsid w:val="00642C1C"/>
    <w:rsid w:val="006454B7"/>
    <w:rsid w:val="00650EE0"/>
    <w:rsid w:val="00666972"/>
    <w:rsid w:val="00687436"/>
    <w:rsid w:val="0069259A"/>
    <w:rsid w:val="006931CB"/>
    <w:rsid w:val="006957A4"/>
    <w:rsid w:val="00697B86"/>
    <w:rsid w:val="006A0F30"/>
    <w:rsid w:val="006A3E79"/>
    <w:rsid w:val="006A5A1C"/>
    <w:rsid w:val="006B2551"/>
    <w:rsid w:val="006B6921"/>
    <w:rsid w:val="006C3EEA"/>
    <w:rsid w:val="006C6286"/>
    <w:rsid w:val="006D0DEA"/>
    <w:rsid w:val="006D5FDA"/>
    <w:rsid w:val="006D5FFB"/>
    <w:rsid w:val="006D6793"/>
    <w:rsid w:val="006E4570"/>
    <w:rsid w:val="006E5E90"/>
    <w:rsid w:val="006F1092"/>
    <w:rsid w:val="006F2B5D"/>
    <w:rsid w:val="006F58B5"/>
    <w:rsid w:val="00701753"/>
    <w:rsid w:val="007025B0"/>
    <w:rsid w:val="00705B2D"/>
    <w:rsid w:val="0071358D"/>
    <w:rsid w:val="007160E5"/>
    <w:rsid w:val="00722E0B"/>
    <w:rsid w:val="007253BB"/>
    <w:rsid w:val="007263E5"/>
    <w:rsid w:val="007433E9"/>
    <w:rsid w:val="00743544"/>
    <w:rsid w:val="00744616"/>
    <w:rsid w:val="00752ECB"/>
    <w:rsid w:val="007554C0"/>
    <w:rsid w:val="00756953"/>
    <w:rsid w:val="00757610"/>
    <w:rsid w:val="0076428D"/>
    <w:rsid w:val="00767D68"/>
    <w:rsid w:val="00776A5B"/>
    <w:rsid w:val="00780C8F"/>
    <w:rsid w:val="00783AE3"/>
    <w:rsid w:val="00792C97"/>
    <w:rsid w:val="00792DFC"/>
    <w:rsid w:val="007A3280"/>
    <w:rsid w:val="007A43DD"/>
    <w:rsid w:val="007C1C0F"/>
    <w:rsid w:val="007C2871"/>
    <w:rsid w:val="007D1DC0"/>
    <w:rsid w:val="007D5D22"/>
    <w:rsid w:val="007E12A0"/>
    <w:rsid w:val="007E15CF"/>
    <w:rsid w:val="007E20A5"/>
    <w:rsid w:val="007F7F28"/>
    <w:rsid w:val="008221FD"/>
    <w:rsid w:val="00822B08"/>
    <w:rsid w:val="008260C7"/>
    <w:rsid w:val="00830898"/>
    <w:rsid w:val="00846E99"/>
    <w:rsid w:val="008576B0"/>
    <w:rsid w:val="008731CC"/>
    <w:rsid w:val="008749E6"/>
    <w:rsid w:val="008772D8"/>
    <w:rsid w:val="00882D5F"/>
    <w:rsid w:val="00894F62"/>
    <w:rsid w:val="00896928"/>
    <w:rsid w:val="00896B0D"/>
    <w:rsid w:val="00896FB8"/>
    <w:rsid w:val="008971FA"/>
    <w:rsid w:val="008A0F85"/>
    <w:rsid w:val="008C31CA"/>
    <w:rsid w:val="008C3ED9"/>
    <w:rsid w:val="008C488B"/>
    <w:rsid w:val="008C675D"/>
    <w:rsid w:val="008D0B20"/>
    <w:rsid w:val="008E2980"/>
    <w:rsid w:val="008E2A43"/>
    <w:rsid w:val="008E310E"/>
    <w:rsid w:val="008E4EDF"/>
    <w:rsid w:val="00901642"/>
    <w:rsid w:val="00906A12"/>
    <w:rsid w:val="00914CC9"/>
    <w:rsid w:val="00933C2A"/>
    <w:rsid w:val="009408B3"/>
    <w:rsid w:val="009416A1"/>
    <w:rsid w:val="00942FB5"/>
    <w:rsid w:val="00943727"/>
    <w:rsid w:val="0094391F"/>
    <w:rsid w:val="0095176F"/>
    <w:rsid w:val="0096792C"/>
    <w:rsid w:val="009755F0"/>
    <w:rsid w:val="009764DA"/>
    <w:rsid w:val="00984EA0"/>
    <w:rsid w:val="00987328"/>
    <w:rsid w:val="00991744"/>
    <w:rsid w:val="009923C5"/>
    <w:rsid w:val="009A1D8A"/>
    <w:rsid w:val="009A1E2E"/>
    <w:rsid w:val="009C14D7"/>
    <w:rsid w:val="009C63FD"/>
    <w:rsid w:val="009C7ADE"/>
    <w:rsid w:val="009D1EAF"/>
    <w:rsid w:val="009D6C6E"/>
    <w:rsid w:val="009E3A63"/>
    <w:rsid w:val="009E7591"/>
    <w:rsid w:val="009E75F1"/>
    <w:rsid w:val="009F30FD"/>
    <w:rsid w:val="009F4B7F"/>
    <w:rsid w:val="00A027FE"/>
    <w:rsid w:val="00A04368"/>
    <w:rsid w:val="00A321E0"/>
    <w:rsid w:val="00A336D1"/>
    <w:rsid w:val="00A3594D"/>
    <w:rsid w:val="00A41B43"/>
    <w:rsid w:val="00A41C67"/>
    <w:rsid w:val="00A430D6"/>
    <w:rsid w:val="00A4488A"/>
    <w:rsid w:val="00A47292"/>
    <w:rsid w:val="00A54E74"/>
    <w:rsid w:val="00A64C95"/>
    <w:rsid w:val="00A71C04"/>
    <w:rsid w:val="00A729C2"/>
    <w:rsid w:val="00A75245"/>
    <w:rsid w:val="00A75664"/>
    <w:rsid w:val="00A756F9"/>
    <w:rsid w:val="00A82FB0"/>
    <w:rsid w:val="00A84259"/>
    <w:rsid w:val="00A933F0"/>
    <w:rsid w:val="00A938C6"/>
    <w:rsid w:val="00AA4C0D"/>
    <w:rsid w:val="00AA580F"/>
    <w:rsid w:val="00AB19FD"/>
    <w:rsid w:val="00AB3E5C"/>
    <w:rsid w:val="00AB5186"/>
    <w:rsid w:val="00AB5712"/>
    <w:rsid w:val="00AB78B3"/>
    <w:rsid w:val="00AC2135"/>
    <w:rsid w:val="00AD0BB2"/>
    <w:rsid w:val="00AD1BA9"/>
    <w:rsid w:val="00AD7C52"/>
    <w:rsid w:val="00AE06E2"/>
    <w:rsid w:val="00AE1065"/>
    <w:rsid w:val="00AE30ED"/>
    <w:rsid w:val="00AE3AC8"/>
    <w:rsid w:val="00AE5FF2"/>
    <w:rsid w:val="00B04C95"/>
    <w:rsid w:val="00B27096"/>
    <w:rsid w:val="00B27A69"/>
    <w:rsid w:val="00B334A0"/>
    <w:rsid w:val="00B46457"/>
    <w:rsid w:val="00B46FC1"/>
    <w:rsid w:val="00B57FCC"/>
    <w:rsid w:val="00B612DA"/>
    <w:rsid w:val="00B63EB8"/>
    <w:rsid w:val="00B729D5"/>
    <w:rsid w:val="00B7330E"/>
    <w:rsid w:val="00B80F12"/>
    <w:rsid w:val="00B814BA"/>
    <w:rsid w:val="00B827E7"/>
    <w:rsid w:val="00B840C9"/>
    <w:rsid w:val="00B8504D"/>
    <w:rsid w:val="00B9779E"/>
    <w:rsid w:val="00BA0123"/>
    <w:rsid w:val="00BA1B42"/>
    <w:rsid w:val="00BA1F00"/>
    <w:rsid w:val="00BB0217"/>
    <w:rsid w:val="00BC6A01"/>
    <w:rsid w:val="00BD0410"/>
    <w:rsid w:val="00BD1D00"/>
    <w:rsid w:val="00BD2EC2"/>
    <w:rsid w:val="00BE04FC"/>
    <w:rsid w:val="00BE2553"/>
    <w:rsid w:val="00BE3ACD"/>
    <w:rsid w:val="00BE49BE"/>
    <w:rsid w:val="00BE7C96"/>
    <w:rsid w:val="00BF282F"/>
    <w:rsid w:val="00BF5F9C"/>
    <w:rsid w:val="00C018FA"/>
    <w:rsid w:val="00C02408"/>
    <w:rsid w:val="00C05120"/>
    <w:rsid w:val="00C07985"/>
    <w:rsid w:val="00C10151"/>
    <w:rsid w:val="00C1022F"/>
    <w:rsid w:val="00C1205E"/>
    <w:rsid w:val="00C14691"/>
    <w:rsid w:val="00C14FE9"/>
    <w:rsid w:val="00C17A3E"/>
    <w:rsid w:val="00C23BD8"/>
    <w:rsid w:val="00C251C0"/>
    <w:rsid w:val="00C268FA"/>
    <w:rsid w:val="00C309AF"/>
    <w:rsid w:val="00C325A7"/>
    <w:rsid w:val="00C34F88"/>
    <w:rsid w:val="00C36E6C"/>
    <w:rsid w:val="00C3757C"/>
    <w:rsid w:val="00C3771E"/>
    <w:rsid w:val="00C43F32"/>
    <w:rsid w:val="00C462EE"/>
    <w:rsid w:val="00C56408"/>
    <w:rsid w:val="00C74657"/>
    <w:rsid w:val="00C8032E"/>
    <w:rsid w:val="00C8293C"/>
    <w:rsid w:val="00C83D14"/>
    <w:rsid w:val="00C847B9"/>
    <w:rsid w:val="00CA3383"/>
    <w:rsid w:val="00CA4E33"/>
    <w:rsid w:val="00CA72AF"/>
    <w:rsid w:val="00CB1FAD"/>
    <w:rsid w:val="00CB49B1"/>
    <w:rsid w:val="00CB520D"/>
    <w:rsid w:val="00CB6F26"/>
    <w:rsid w:val="00CC15CF"/>
    <w:rsid w:val="00CD0D95"/>
    <w:rsid w:val="00CD3CF4"/>
    <w:rsid w:val="00CD57E8"/>
    <w:rsid w:val="00CD796B"/>
    <w:rsid w:val="00CE56CC"/>
    <w:rsid w:val="00CF146C"/>
    <w:rsid w:val="00CF350F"/>
    <w:rsid w:val="00CF7A89"/>
    <w:rsid w:val="00D00D2E"/>
    <w:rsid w:val="00D0342E"/>
    <w:rsid w:val="00D15DD8"/>
    <w:rsid w:val="00D2516C"/>
    <w:rsid w:val="00D26ABA"/>
    <w:rsid w:val="00D35C8C"/>
    <w:rsid w:val="00D438BD"/>
    <w:rsid w:val="00D45157"/>
    <w:rsid w:val="00D5197B"/>
    <w:rsid w:val="00D5591E"/>
    <w:rsid w:val="00D674BE"/>
    <w:rsid w:val="00D71004"/>
    <w:rsid w:val="00D716E4"/>
    <w:rsid w:val="00D75AD2"/>
    <w:rsid w:val="00D827CA"/>
    <w:rsid w:val="00D82D5C"/>
    <w:rsid w:val="00D84BC5"/>
    <w:rsid w:val="00D853BA"/>
    <w:rsid w:val="00D8626F"/>
    <w:rsid w:val="00D90CE3"/>
    <w:rsid w:val="00D97B66"/>
    <w:rsid w:val="00D97D6A"/>
    <w:rsid w:val="00DA147D"/>
    <w:rsid w:val="00DA2810"/>
    <w:rsid w:val="00DB3D81"/>
    <w:rsid w:val="00DB496B"/>
    <w:rsid w:val="00DB797D"/>
    <w:rsid w:val="00DC1C3A"/>
    <w:rsid w:val="00DC574A"/>
    <w:rsid w:val="00DD1422"/>
    <w:rsid w:val="00DD6BC1"/>
    <w:rsid w:val="00DE4C2D"/>
    <w:rsid w:val="00DE64CB"/>
    <w:rsid w:val="00DF1C41"/>
    <w:rsid w:val="00DF318D"/>
    <w:rsid w:val="00DF50A5"/>
    <w:rsid w:val="00DF5D3A"/>
    <w:rsid w:val="00E02E40"/>
    <w:rsid w:val="00E06D7F"/>
    <w:rsid w:val="00E07611"/>
    <w:rsid w:val="00E23C3A"/>
    <w:rsid w:val="00E3554C"/>
    <w:rsid w:val="00E511B0"/>
    <w:rsid w:val="00E56FA6"/>
    <w:rsid w:val="00E60141"/>
    <w:rsid w:val="00E66E0A"/>
    <w:rsid w:val="00E7562A"/>
    <w:rsid w:val="00E80665"/>
    <w:rsid w:val="00E80CD4"/>
    <w:rsid w:val="00E85A22"/>
    <w:rsid w:val="00E861AE"/>
    <w:rsid w:val="00E86655"/>
    <w:rsid w:val="00EA48AA"/>
    <w:rsid w:val="00EC172D"/>
    <w:rsid w:val="00ED1505"/>
    <w:rsid w:val="00EF4CD6"/>
    <w:rsid w:val="00EF574B"/>
    <w:rsid w:val="00F108F7"/>
    <w:rsid w:val="00F10996"/>
    <w:rsid w:val="00F15A03"/>
    <w:rsid w:val="00F1757E"/>
    <w:rsid w:val="00F255AF"/>
    <w:rsid w:val="00F405F4"/>
    <w:rsid w:val="00F430E3"/>
    <w:rsid w:val="00F44518"/>
    <w:rsid w:val="00F45569"/>
    <w:rsid w:val="00F54550"/>
    <w:rsid w:val="00F63D66"/>
    <w:rsid w:val="00F72FD7"/>
    <w:rsid w:val="00F73721"/>
    <w:rsid w:val="00F74EE5"/>
    <w:rsid w:val="00F77F66"/>
    <w:rsid w:val="00F81B06"/>
    <w:rsid w:val="00F96FAA"/>
    <w:rsid w:val="00FA239F"/>
    <w:rsid w:val="00FA252C"/>
    <w:rsid w:val="00FA48B6"/>
    <w:rsid w:val="00FA6C5D"/>
    <w:rsid w:val="00FA75A7"/>
    <w:rsid w:val="00FA77F3"/>
    <w:rsid w:val="00FB0977"/>
    <w:rsid w:val="00FB40FC"/>
    <w:rsid w:val="00FD2732"/>
    <w:rsid w:val="00FE130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2F5B"/>
  <w15:docId w15:val="{37C51FAA-C249-48BD-B432-26456A4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721"/>
    <w:pPr>
      <w:suppressAutoHyphens/>
      <w:spacing w:after="160"/>
    </w:pPr>
  </w:style>
  <w:style w:type="paragraph" w:styleId="Heading2">
    <w:name w:val="heading 2"/>
    <w:basedOn w:val="Normal"/>
    <w:next w:val="Normal"/>
    <w:link w:val="Heading2Char"/>
    <w:qFormat/>
    <w:rsid w:val="00E95F39"/>
    <w:pPr>
      <w:keepNext/>
      <w:spacing w:after="0" w:line="240" w:lineRule="auto"/>
      <w:jc w:val="center"/>
      <w:outlineLvl w:val="1"/>
    </w:pPr>
    <w:rPr>
      <w:rFonts w:ascii="Times New Roman" w:eastAsia="Times New Roman" w:hAnsi="Times New Roman" w:cs="Times New Roman"/>
      <w:sz w:val="28"/>
      <w:szCs w:val="20"/>
      <w:lang w:val="en-AU"/>
    </w:rPr>
  </w:style>
  <w:style w:type="paragraph" w:styleId="Heading3">
    <w:name w:val="heading 3"/>
    <w:basedOn w:val="Normal"/>
    <w:next w:val="Normal"/>
    <w:link w:val="Heading3Char"/>
    <w:uiPriority w:val="9"/>
    <w:semiHidden/>
    <w:unhideWhenUsed/>
    <w:qFormat/>
    <w:rsid w:val="00AF2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D3484"/>
  </w:style>
  <w:style w:type="character" w:customStyle="1" w:styleId="FooterChar">
    <w:name w:val="Footer Char"/>
    <w:basedOn w:val="DefaultParagraphFont"/>
    <w:link w:val="Footer"/>
    <w:uiPriority w:val="99"/>
    <w:rsid w:val="006D3484"/>
  </w:style>
  <w:style w:type="character" w:customStyle="1" w:styleId="BalloonTextChar">
    <w:name w:val="Balloon Text Char"/>
    <w:basedOn w:val="DefaultParagraphFont"/>
    <w:link w:val="BalloonText"/>
    <w:uiPriority w:val="99"/>
    <w:semiHidden/>
    <w:rsid w:val="00611987"/>
    <w:rPr>
      <w:rFonts w:ascii="Calibri" w:hAnsi="Calibri"/>
      <w:sz w:val="18"/>
      <w:szCs w:val="18"/>
    </w:rPr>
  </w:style>
  <w:style w:type="character" w:customStyle="1" w:styleId="BodyTextChar">
    <w:name w:val="Body Text Char"/>
    <w:basedOn w:val="DefaultParagraphFont"/>
    <w:link w:val="TextBody"/>
    <w:rsid w:val="00FA5400"/>
    <w:rPr>
      <w:rFonts w:ascii="Times New Roman" w:eastAsia="Times New Roman" w:hAnsi="Times New Roman" w:cs="Times New Roman"/>
      <w:sz w:val="28"/>
      <w:szCs w:val="20"/>
      <w:lang w:val="en-GB"/>
    </w:rPr>
  </w:style>
  <w:style w:type="character" w:styleId="CommentReference">
    <w:name w:val="annotation reference"/>
    <w:basedOn w:val="DefaultParagraphFont"/>
    <w:uiPriority w:val="99"/>
    <w:semiHidden/>
    <w:unhideWhenUsed/>
    <w:rsid w:val="00C56AF4"/>
    <w:rPr>
      <w:sz w:val="16"/>
      <w:szCs w:val="16"/>
    </w:rPr>
  </w:style>
  <w:style w:type="character" w:customStyle="1" w:styleId="CommentTextChar">
    <w:name w:val="Comment Text Char"/>
    <w:basedOn w:val="DefaultParagraphFont"/>
    <w:link w:val="CommentText"/>
    <w:uiPriority w:val="99"/>
    <w:rsid w:val="00C56AF4"/>
    <w:rPr>
      <w:sz w:val="20"/>
      <w:szCs w:val="20"/>
    </w:rPr>
  </w:style>
  <w:style w:type="character" w:customStyle="1" w:styleId="CommentSubjectChar">
    <w:name w:val="Comment Subject Char"/>
    <w:basedOn w:val="CommentTextChar"/>
    <w:link w:val="CommentSubject"/>
    <w:uiPriority w:val="99"/>
    <w:semiHidden/>
    <w:rsid w:val="00C56AF4"/>
    <w:rPr>
      <w:b/>
      <w:bCs/>
      <w:sz w:val="20"/>
      <w:szCs w:val="20"/>
    </w:rPr>
  </w:style>
  <w:style w:type="character" w:customStyle="1" w:styleId="Heading2Char">
    <w:name w:val="Heading 2 Char"/>
    <w:basedOn w:val="DefaultParagraphFont"/>
    <w:link w:val="Heading2"/>
    <w:rsid w:val="00E95F39"/>
    <w:rPr>
      <w:rFonts w:ascii="Times New Roman" w:eastAsia="Times New Roman" w:hAnsi="Times New Roman" w:cs="Times New Roman"/>
      <w:sz w:val="28"/>
      <w:szCs w:val="20"/>
      <w:lang w:val="en-AU"/>
    </w:rPr>
  </w:style>
  <w:style w:type="character" w:customStyle="1" w:styleId="Heading3Char">
    <w:name w:val="Heading 3 Char"/>
    <w:basedOn w:val="DefaultParagraphFont"/>
    <w:link w:val="Heading3"/>
    <w:uiPriority w:val="9"/>
    <w:semiHidden/>
    <w:rsid w:val="00AF296C"/>
    <w:rPr>
      <w:rFonts w:asciiTheme="majorHAnsi" w:eastAsiaTheme="majorEastAsia" w:hAnsiTheme="majorHAnsi" w:cstheme="majorBidi"/>
      <w:color w:val="1F4D78" w:themeColor="accent1" w:themeShade="7F"/>
      <w:sz w:val="24"/>
      <w:szCs w:val="24"/>
    </w:rPr>
  </w:style>
  <w:style w:type="character" w:customStyle="1" w:styleId="InternetLink">
    <w:name w:val="Internet Link"/>
    <w:basedOn w:val="DefaultParagraphFont"/>
    <w:uiPriority w:val="99"/>
    <w:unhideWhenUsed/>
    <w:rsid w:val="00AF296C"/>
    <w:rPr>
      <w:color w:val="0563C1" w:themeColor="hyperlink"/>
      <w:u w:val="single"/>
    </w:rPr>
  </w:style>
  <w:style w:type="character" w:styleId="PlaceholderText">
    <w:name w:val="Placeholder Text"/>
    <w:basedOn w:val="DefaultParagraphFont"/>
    <w:uiPriority w:val="99"/>
    <w:semiHidden/>
    <w:rsid w:val="002C525D"/>
    <w:rPr>
      <w:color w:val="808080"/>
    </w:rPr>
  </w:style>
  <w:style w:type="character" w:customStyle="1" w:styleId="ListLabel1">
    <w:name w:val="ListLabel 1"/>
    <w:rPr>
      <w:rFonts w:cs="Times New Roman"/>
      <w:sz w:val="24"/>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rsid w:val="00FA5400"/>
    <w:pPr>
      <w:spacing w:after="0" w:line="240" w:lineRule="auto"/>
    </w:pPr>
    <w:rPr>
      <w:rFonts w:ascii="Times New Roman" w:eastAsia="Times New Roman" w:hAnsi="Times New Roman" w:cs="Times New Roman"/>
      <w:sz w:val="28"/>
      <w:szCs w:val="20"/>
      <w:lang w:val="en-GB"/>
    </w:r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link w:val="HeaderChar"/>
    <w:uiPriority w:val="99"/>
    <w:unhideWhenUsed/>
    <w:rsid w:val="006D3484"/>
    <w:pPr>
      <w:tabs>
        <w:tab w:val="center" w:pos="4536"/>
        <w:tab w:val="right" w:pos="9072"/>
      </w:tabs>
      <w:spacing w:after="0" w:line="240" w:lineRule="auto"/>
    </w:pPr>
  </w:style>
  <w:style w:type="paragraph" w:styleId="Footer">
    <w:name w:val="footer"/>
    <w:basedOn w:val="Normal"/>
    <w:link w:val="FooterChar"/>
    <w:uiPriority w:val="99"/>
    <w:unhideWhenUsed/>
    <w:rsid w:val="006D3484"/>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611987"/>
    <w:pPr>
      <w:spacing w:after="0" w:line="240" w:lineRule="auto"/>
    </w:pPr>
    <w:rPr>
      <w:rFonts w:ascii="Calibri" w:hAnsi="Calibri"/>
      <w:sz w:val="18"/>
      <w:szCs w:val="18"/>
    </w:rPr>
  </w:style>
  <w:style w:type="paragraph" w:customStyle="1" w:styleId="Default">
    <w:name w:val="Default"/>
    <w:rsid w:val="00C56AF4"/>
    <w:pPr>
      <w:suppressAutoHyphens/>
      <w:spacing w:line="240" w:lineRule="auto"/>
    </w:pPr>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unhideWhenUsed/>
    <w:rsid w:val="00C56AF4"/>
    <w:pPr>
      <w:spacing w:line="240" w:lineRule="auto"/>
    </w:pPr>
    <w:rPr>
      <w:sz w:val="20"/>
      <w:szCs w:val="20"/>
    </w:rPr>
  </w:style>
  <w:style w:type="paragraph" w:styleId="CommentSubject">
    <w:name w:val="annotation subject"/>
    <w:basedOn w:val="CommentText"/>
    <w:link w:val="CommentSubjectChar"/>
    <w:uiPriority w:val="99"/>
    <w:semiHidden/>
    <w:unhideWhenUsed/>
    <w:rsid w:val="00C56AF4"/>
    <w:rPr>
      <w:b/>
      <w:bCs/>
    </w:rPr>
  </w:style>
  <w:style w:type="paragraph" w:styleId="ListParagraph">
    <w:name w:val="List Paragraph"/>
    <w:basedOn w:val="Normal"/>
    <w:uiPriority w:val="34"/>
    <w:qFormat/>
    <w:rsid w:val="00C90850"/>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39"/>
    <w:rsid w:val="00365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58F1"/>
    <w:pPr>
      <w:spacing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PlainTable2">
    <w:name w:val="Plain Table 2"/>
    <w:basedOn w:val="TableNormal"/>
    <w:uiPriority w:val="42"/>
    <w:rsid w:val="003658F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43"/>
    <w:rsid w:val="003658F1"/>
    <w:pPr>
      <w:spacing w:line="240" w:lineRule="auto"/>
    </w:pPr>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3658F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leGrid1">
    <w:name w:val="Table Grid1"/>
    <w:basedOn w:val="TableNormal"/>
    <w:uiPriority w:val="39"/>
    <w:rsid w:val="00AF29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7CA"/>
    <w:pPr>
      <w:spacing w:line="240" w:lineRule="auto"/>
    </w:pPr>
  </w:style>
  <w:style w:type="paragraph" w:customStyle="1" w:styleId="Char2">
    <w:name w:val="Char2"/>
    <w:basedOn w:val="Normal"/>
    <w:rsid w:val="0053137C"/>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3CharCharCharCharCharCharCharCharCharChar">
    <w:name w:val="Char Char3 Char Char Char Char Char Char Char Char Char Char"/>
    <w:basedOn w:val="Normal"/>
    <w:rsid w:val="00E80665"/>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3CharCharCharCharCharCharCharCharCharCharCharCharCharChar">
    <w:name w:val="Char Char3 Char Char Char Char Char Char Char Char Char Char Char Char Char Char"/>
    <w:basedOn w:val="Normal"/>
    <w:rsid w:val="00CA4E33"/>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0">
    <w:name w:val="Char2"/>
    <w:basedOn w:val="Normal"/>
    <w:rsid w:val="00B840C9"/>
    <w:pPr>
      <w:suppressAutoHyphens w:val="0"/>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uiPriority w:val="39"/>
    <w:rsid w:val="00036E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45157"/>
    <w:pPr>
      <w:suppressAutoHyphens w:val="0"/>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D1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D8"/>
    <w:rPr>
      <w:sz w:val="20"/>
      <w:szCs w:val="20"/>
    </w:rPr>
  </w:style>
  <w:style w:type="character" w:styleId="FootnoteReference">
    <w:name w:val="footnote reference"/>
    <w:basedOn w:val="DefaultParagraphFont"/>
    <w:uiPriority w:val="99"/>
    <w:semiHidden/>
    <w:unhideWhenUsed/>
    <w:rsid w:val="00D15DD8"/>
    <w:rPr>
      <w:vertAlign w:val="superscript"/>
    </w:rPr>
  </w:style>
  <w:style w:type="paragraph" w:styleId="HTMLPreformatted">
    <w:name w:val="HTML Preformatted"/>
    <w:basedOn w:val="Normal"/>
    <w:link w:val="HTMLPreformattedChar"/>
    <w:uiPriority w:val="99"/>
    <w:semiHidden/>
    <w:unhideWhenUsed/>
    <w:rsid w:val="00402B4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2B4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9953">
      <w:bodyDiv w:val="1"/>
      <w:marLeft w:val="0"/>
      <w:marRight w:val="0"/>
      <w:marTop w:val="0"/>
      <w:marBottom w:val="0"/>
      <w:divBdr>
        <w:top w:val="none" w:sz="0" w:space="0" w:color="auto"/>
        <w:left w:val="none" w:sz="0" w:space="0" w:color="auto"/>
        <w:bottom w:val="none" w:sz="0" w:space="0" w:color="auto"/>
        <w:right w:val="none" w:sz="0" w:space="0" w:color="auto"/>
      </w:divBdr>
    </w:div>
    <w:div w:id="696660796">
      <w:bodyDiv w:val="1"/>
      <w:marLeft w:val="0"/>
      <w:marRight w:val="0"/>
      <w:marTop w:val="0"/>
      <w:marBottom w:val="0"/>
      <w:divBdr>
        <w:top w:val="none" w:sz="0" w:space="0" w:color="auto"/>
        <w:left w:val="none" w:sz="0" w:space="0" w:color="auto"/>
        <w:bottom w:val="none" w:sz="0" w:space="0" w:color="auto"/>
        <w:right w:val="none" w:sz="0" w:space="0" w:color="auto"/>
      </w:divBdr>
    </w:div>
    <w:div w:id="703403425">
      <w:bodyDiv w:val="1"/>
      <w:marLeft w:val="0"/>
      <w:marRight w:val="0"/>
      <w:marTop w:val="0"/>
      <w:marBottom w:val="0"/>
      <w:divBdr>
        <w:top w:val="none" w:sz="0" w:space="0" w:color="auto"/>
        <w:left w:val="none" w:sz="0" w:space="0" w:color="auto"/>
        <w:bottom w:val="none" w:sz="0" w:space="0" w:color="auto"/>
        <w:right w:val="none" w:sz="0" w:space="0" w:color="auto"/>
      </w:divBdr>
    </w:div>
    <w:div w:id="1085342380">
      <w:bodyDiv w:val="1"/>
      <w:marLeft w:val="0"/>
      <w:marRight w:val="0"/>
      <w:marTop w:val="0"/>
      <w:marBottom w:val="0"/>
      <w:divBdr>
        <w:top w:val="none" w:sz="0" w:space="0" w:color="auto"/>
        <w:left w:val="none" w:sz="0" w:space="0" w:color="auto"/>
        <w:bottom w:val="none" w:sz="0" w:space="0" w:color="auto"/>
        <w:right w:val="none" w:sz="0" w:space="0" w:color="auto"/>
      </w:divBdr>
    </w:div>
    <w:div w:id="1211772074">
      <w:bodyDiv w:val="1"/>
      <w:marLeft w:val="0"/>
      <w:marRight w:val="0"/>
      <w:marTop w:val="0"/>
      <w:marBottom w:val="0"/>
      <w:divBdr>
        <w:top w:val="none" w:sz="0" w:space="0" w:color="auto"/>
        <w:left w:val="none" w:sz="0" w:space="0" w:color="auto"/>
        <w:bottom w:val="none" w:sz="0" w:space="0" w:color="auto"/>
        <w:right w:val="none" w:sz="0" w:space="0" w:color="auto"/>
      </w:divBdr>
    </w:div>
    <w:div w:id="1301961231">
      <w:bodyDiv w:val="1"/>
      <w:marLeft w:val="0"/>
      <w:marRight w:val="0"/>
      <w:marTop w:val="0"/>
      <w:marBottom w:val="0"/>
      <w:divBdr>
        <w:top w:val="none" w:sz="0" w:space="0" w:color="auto"/>
        <w:left w:val="none" w:sz="0" w:space="0" w:color="auto"/>
        <w:bottom w:val="none" w:sz="0" w:space="0" w:color="auto"/>
        <w:right w:val="none" w:sz="0" w:space="0" w:color="auto"/>
      </w:divBdr>
    </w:div>
    <w:div w:id="1328829436">
      <w:bodyDiv w:val="1"/>
      <w:marLeft w:val="0"/>
      <w:marRight w:val="0"/>
      <w:marTop w:val="0"/>
      <w:marBottom w:val="0"/>
      <w:divBdr>
        <w:top w:val="none" w:sz="0" w:space="0" w:color="auto"/>
        <w:left w:val="none" w:sz="0" w:space="0" w:color="auto"/>
        <w:bottom w:val="none" w:sz="0" w:space="0" w:color="auto"/>
        <w:right w:val="none" w:sz="0" w:space="0" w:color="auto"/>
      </w:divBdr>
    </w:div>
    <w:div w:id="1490100870">
      <w:bodyDiv w:val="1"/>
      <w:marLeft w:val="0"/>
      <w:marRight w:val="0"/>
      <w:marTop w:val="0"/>
      <w:marBottom w:val="0"/>
      <w:divBdr>
        <w:top w:val="none" w:sz="0" w:space="0" w:color="auto"/>
        <w:left w:val="none" w:sz="0" w:space="0" w:color="auto"/>
        <w:bottom w:val="none" w:sz="0" w:space="0" w:color="auto"/>
        <w:right w:val="none" w:sz="0" w:space="0" w:color="auto"/>
      </w:divBdr>
    </w:div>
    <w:div w:id="1709917461">
      <w:bodyDiv w:val="1"/>
      <w:marLeft w:val="0"/>
      <w:marRight w:val="0"/>
      <w:marTop w:val="0"/>
      <w:marBottom w:val="0"/>
      <w:divBdr>
        <w:top w:val="none" w:sz="0" w:space="0" w:color="auto"/>
        <w:left w:val="none" w:sz="0" w:space="0" w:color="auto"/>
        <w:bottom w:val="none" w:sz="0" w:space="0" w:color="auto"/>
        <w:right w:val="none" w:sz="0" w:space="0" w:color="auto"/>
      </w:divBdr>
    </w:div>
    <w:div w:id="1861118724">
      <w:bodyDiv w:val="1"/>
      <w:marLeft w:val="0"/>
      <w:marRight w:val="0"/>
      <w:marTop w:val="0"/>
      <w:marBottom w:val="0"/>
      <w:divBdr>
        <w:top w:val="none" w:sz="0" w:space="0" w:color="auto"/>
        <w:left w:val="none" w:sz="0" w:space="0" w:color="auto"/>
        <w:bottom w:val="none" w:sz="0" w:space="0" w:color="auto"/>
        <w:right w:val="none" w:sz="0" w:space="0" w:color="auto"/>
      </w:divBdr>
    </w:div>
    <w:div w:id="1877155270">
      <w:bodyDiv w:val="1"/>
      <w:marLeft w:val="0"/>
      <w:marRight w:val="0"/>
      <w:marTop w:val="0"/>
      <w:marBottom w:val="0"/>
      <w:divBdr>
        <w:top w:val="none" w:sz="0" w:space="0" w:color="auto"/>
        <w:left w:val="none" w:sz="0" w:space="0" w:color="auto"/>
        <w:bottom w:val="none" w:sz="0" w:space="0" w:color="auto"/>
        <w:right w:val="none" w:sz="0" w:space="0" w:color="auto"/>
      </w:divBdr>
    </w:div>
    <w:div w:id="200554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53E74-9A12-4F9C-9E61-53ACCC4C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2206</Words>
  <Characters>12580</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TUDORAN</dc:creator>
  <cp:lastModifiedBy>Alina Horia</cp:lastModifiedBy>
  <cp:revision>32</cp:revision>
  <cp:lastPrinted>2023-07-10T12:08:00Z</cp:lastPrinted>
  <dcterms:created xsi:type="dcterms:W3CDTF">2023-07-07T07:04:00Z</dcterms:created>
  <dcterms:modified xsi:type="dcterms:W3CDTF">2023-07-10T12:11:00Z</dcterms:modified>
  <dc:language>ro-RO</dc:language>
</cp:coreProperties>
</file>