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669" w:rsidRDefault="006C6766">
      <w:pPr>
        <w:pStyle w:val="BodyText"/>
        <w:spacing w:after="240" w:line="240" w:lineRule="auto"/>
        <w:jc w:val="center"/>
      </w:pPr>
      <w:r>
        <w:rPr>
          <w:rStyle w:val="BodyTextChar"/>
        </w:rPr>
        <w:t>SPECIFICAȚII TEHNICE</w:t>
      </w:r>
    </w:p>
    <w:p w:rsidR="003C1669" w:rsidRDefault="006C6766">
      <w:pPr>
        <w:pStyle w:val="BodyText"/>
        <w:spacing w:after="1000" w:line="240" w:lineRule="auto"/>
        <w:jc w:val="center"/>
      </w:pPr>
      <w:r>
        <w:rPr>
          <w:rStyle w:val="BodyTextChar"/>
          <w:i/>
          <w:iCs/>
          <w:u w:val="single"/>
        </w:rPr>
        <w:t xml:space="preserve">Polițe </w:t>
      </w:r>
      <w:r>
        <w:rPr>
          <w:rStyle w:val="BodyTextChar"/>
          <w:i/>
          <w:iCs/>
          <w:u w:val="single"/>
          <w:lang w:val="en-US" w:eastAsia="en-US" w:bidi="en-US"/>
        </w:rPr>
        <w:t>full CASCO</w:t>
      </w:r>
    </w:p>
    <w:p w:rsidR="003C1669" w:rsidRDefault="006C6766">
      <w:pPr>
        <w:pStyle w:val="Heading10"/>
        <w:keepNext/>
        <w:keepLines/>
        <w:numPr>
          <w:ilvl w:val="0"/>
          <w:numId w:val="1"/>
        </w:numPr>
        <w:tabs>
          <w:tab w:val="left" w:pos="264"/>
        </w:tabs>
        <w:jc w:val="both"/>
      </w:pPr>
      <w:bookmarkStart w:id="0" w:name="bookmark0"/>
      <w:r>
        <w:rPr>
          <w:rStyle w:val="Heading1"/>
          <w:b/>
          <w:bCs/>
        </w:rPr>
        <w:t>Riscuri asigurate:</w:t>
      </w:r>
      <w:bookmarkEnd w:id="0"/>
    </w:p>
    <w:p w:rsidR="003C1669" w:rsidRDefault="006C6766">
      <w:pPr>
        <w:pStyle w:val="BodyText"/>
        <w:jc w:val="both"/>
      </w:pPr>
      <w:r>
        <w:rPr>
          <w:rStyle w:val="BodyTextChar"/>
        </w:rPr>
        <w:t xml:space="preserve">Asigurarea facultativă </w:t>
      </w:r>
      <w:r>
        <w:rPr>
          <w:rStyle w:val="BodyTextChar"/>
          <w:lang w:val="en-US" w:eastAsia="en-US" w:bidi="en-US"/>
        </w:rPr>
        <w:t xml:space="preserve">tip CASCO </w:t>
      </w:r>
      <w:r>
        <w:rPr>
          <w:rStyle w:val="BodyTextChar"/>
        </w:rPr>
        <w:t xml:space="preserve">fără franșiză, care se va încheia în baza contractului, va acoperi avariile și furtul, dotările, accidentele pentru persoanele aflate în autovehicul (inclusiv conducătorul auto), vandalismul </w:t>
      </w:r>
      <w:r>
        <w:rPr>
          <w:rStyle w:val="BodyTextChar"/>
          <w:lang w:val="en-US" w:eastAsia="en-US" w:bidi="en-US"/>
        </w:rPr>
        <w:t>etc. (Full CASCO).</w:t>
      </w:r>
    </w:p>
    <w:p w:rsidR="003C1669" w:rsidRDefault="006C6766">
      <w:pPr>
        <w:pStyle w:val="BodyText"/>
        <w:jc w:val="both"/>
      </w:pPr>
      <w:r>
        <w:rPr>
          <w:rStyle w:val="BodyTextChar"/>
        </w:rPr>
        <w:t>Se solicită despăgubiri pentru avarii sau dist</w:t>
      </w:r>
      <w:r>
        <w:rPr>
          <w:rStyle w:val="BodyTextChar"/>
        </w:rPr>
        <w:t>rugeri produse autovehiculului asigurat, aflat în mers sau în staționare, în următoarele cazuri:</w:t>
      </w:r>
    </w:p>
    <w:p w:rsidR="003C1669" w:rsidRDefault="006C6766">
      <w:pPr>
        <w:pStyle w:val="BodyText"/>
        <w:numPr>
          <w:ilvl w:val="0"/>
          <w:numId w:val="2"/>
        </w:numPr>
        <w:tabs>
          <w:tab w:val="left" w:pos="324"/>
        </w:tabs>
        <w:ind w:left="340" w:hanging="340"/>
        <w:jc w:val="both"/>
      </w:pPr>
      <w:r>
        <w:rPr>
          <w:rStyle w:val="BodyTextChar"/>
        </w:rPr>
        <w:t>ciocniri, loviri sau izbiri cu alte vehicule sau cu orice alte corpuri mobile sau imobile aflate în afara ori în interiorul autovehiculului asigurat, zgârietur</w:t>
      </w:r>
      <w:r>
        <w:rPr>
          <w:rStyle w:val="BodyTextChar"/>
        </w:rPr>
        <w:t>i, derapări, răsturnări, contacte cu animale sălbatice sau domestice ori cu oameni, care produc avarii autovehiculelor asigurate;</w:t>
      </w:r>
    </w:p>
    <w:p w:rsidR="003C1669" w:rsidRDefault="006C6766">
      <w:pPr>
        <w:pStyle w:val="BodyText"/>
        <w:numPr>
          <w:ilvl w:val="0"/>
          <w:numId w:val="2"/>
        </w:numPr>
        <w:tabs>
          <w:tab w:val="left" w:pos="309"/>
        </w:tabs>
        <w:ind w:left="340" w:hanging="340"/>
        <w:jc w:val="both"/>
      </w:pPr>
      <w:r>
        <w:rPr>
          <w:rStyle w:val="BodyTextChar"/>
        </w:rPr>
        <w:t>căderi (cădere in prăpastie, cădere în ape prin părăsirea carosabilului, cădere în apă cu prilejul transbordării, cădere din c</w:t>
      </w:r>
      <w:r>
        <w:rPr>
          <w:rStyle w:val="BodyTextChar"/>
        </w:rPr>
        <w:t>auza ruperii podului), cădere pe autovehicul a unor corpuri (bolovani, pietre, blocuri de gheață sau de zăpadă sau segmente din acestea, copaci, cărămizi, grinzi, betoane și altele asemenea);</w:t>
      </w:r>
    </w:p>
    <w:p w:rsidR="003C1669" w:rsidRDefault="006C6766">
      <w:pPr>
        <w:pStyle w:val="BodyText"/>
        <w:numPr>
          <w:ilvl w:val="0"/>
          <w:numId w:val="2"/>
        </w:numPr>
        <w:tabs>
          <w:tab w:val="left" w:pos="309"/>
        </w:tabs>
        <w:ind w:left="340" w:hanging="340"/>
        <w:jc w:val="both"/>
      </w:pPr>
      <w:r>
        <w:rPr>
          <w:rStyle w:val="BodyTextChar"/>
        </w:rPr>
        <w:t>incendiu - pentru pagubele produse prin afumare, pătare, carboni</w:t>
      </w:r>
      <w:r>
        <w:rPr>
          <w:rStyle w:val="BodyTextChar"/>
        </w:rPr>
        <w:t>zare sau alte diverse distrugeri precum și prin avarieri ca urmare a măsurilor luate în timpul producerii evenimentului asigurat pentru salvarea autovehiculului sau a construcției în care se afla acesta;</w:t>
      </w:r>
    </w:p>
    <w:p w:rsidR="003C1669" w:rsidRDefault="006C6766">
      <w:pPr>
        <w:pStyle w:val="BodyText"/>
        <w:numPr>
          <w:ilvl w:val="0"/>
          <w:numId w:val="2"/>
        </w:numPr>
        <w:tabs>
          <w:tab w:val="left" w:pos="316"/>
        </w:tabs>
        <w:ind w:left="340" w:hanging="340"/>
        <w:jc w:val="both"/>
      </w:pPr>
      <w:r>
        <w:rPr>
          <w:rStyle w:val="BodyTextChar"/>
        </w:rPr>
        <w:t xml:space="preserve">trăsnet și explozie (inclusiv explozia rezervorului </w:t>
      </w:r>
      <w:r>
        <w:rPr>
          <w:rStyle w:val="BodyTextChar"/>
        </w:rPr>
        <w:t>de carburant) chiar dacă trăsnetul sau explozia nu au fost urmate de incendiu, precum și atunci când acestea s-au produs la distanță de autovehiculul respectiv;</w:t>
      </w:r>
    </w:p>
    <w:p w:rsidR="003C1669" w:rsidRDefault="006C6766">
      <w:pPr>
        <w:pStyle w:val="BodyText"/>
        <w:numPr>
          <w:ilvl w:val="0"/>
          <w:numId w:val="2"/>
        </w:numPr>
        <w:tabs>
          <w:tab w:val="left" w:pos="324"/>
        </w:tabs>
        <w:ind w:left="340" w:hanging="340"/>
        <w:jc w:val="both"/>
      </w:pPr>
      <w:r>
        <w:rPr>
          <w:rStyle w:val="BodyTextChar"/>
        </w:rPr>
        <w:t>ploaie torențială, inclusiv efectele directe și indirecte ale acesteia, grindină, inundație, fu</w:t>
      </w:r>
      <w:r>
        <w:rPr>
          <w:rStyle w:val="BodyTextChar"/>
        </w:rPr>
        <w:t xml:space="preserve">rtună, uragan, cutremur de pământ, prăbușire sau alunecare de teren, greutatea stratului de zăpadă sau gheață, avalanșe de zăpadă, căderea unor corpuri de pe clădirea lângă care se afla autovehiculul; în caz de inundație, pentru pagubele produse ca urmare </w:t>
      </w:r>
      <w:r>
        <w:rPr>
          <w:rStyle w:val="BodyTextChar"/>
        </w:rPr>
        <w:t xml:space="preserve">a acoperirii locului unde se afla autovehiculul asigurat cu un strat de apă provenit din orice cauză precum și pentru pagubele produse de acțiunea mecanică a apelor curgătoare sau a obiectelor purtate de ape, în caz de inundația motorului prin pătrunderea </w:t>
      </w:r>
      <w:r>
        <w:rPr>
          <w:rStyle w:val="BodyTextChar"/>
        </w:rPr>
        <w:t>apei în interiorul motorului;</w:t>
      </w:r>
    </w:p>
    <w:p w:rsidR="003C1669" w:rsidRDefault="006C6766">
      <w:pPr>
        <w:pStyle w:val="BodyText"/>
        <w:numPr>
          <w:ilvl w:val="0"/>
          <w:numId w:val="2"/>
        </w:numPr>
        <w:tabs>
          <w:tab w:val="left" w:pos="264"/>
        </w:tabs>
        <w:ind w:left="340" w:hanging="340"/>
        <w:jc w:val="both"/>
      </w:pPr>
      <w:r>
        <w:rPr>
          <w:rStyle w:val="BodyTextChar"/>
        </w:rPr>
        <w:t>în cazurile de trăsnet, furtună, uragan, cutremur de pământ, prăbușire sau alunecare de teren, se acordă despăgubiri și pentru pagubele produse autovehiculului prin efectele indirecte ale acestor fenomene, ca de exemplu: prăbu</w:t>
      </w:r>
      <w:r>
        <w:rPr>
          <w:rStyle w:val="BodyTextChar"/>
        </w:rPr>
        <w:t>ș</w:t>
      </w:r>
      <w:r>
        <w:rPr>
          <w:rStyle w:val="BodyTextChar"/>
        </w:rPr>
        <w:t xml:space="preserve">irea unui copac lovit de trăsnet, acțiunea mecanică a obiectelor purtate de furtună sau uragan, dărâmarea acoperișurilor sau construcțiilor din cauza greutății stratului de zăpada sau de gheață, ori a avalanșelor de </w:t>
      </w:r>
      <w:proofErr w:type="spellStart"/>
      <w:r>
        <w:rPr>
          <w:rStyle w:val="BodyTextChar"/>
        </w:rPr>
        <w:t>zapadă</w:t>
      </w:r>
      <w:proofErr w:type="spellEnd"/>
      <w:r>
        <w:rPr>
          <w:rStyle w:val="BodyTextChar"/>
        </w:rPr>
        <w:t>, a cutremurelor de pământ, a pră</w:t>
      </w:r>
      <w:r>
        <w:rPr>
          <w:rStyle w:val="BodyTextChar"/>
        </w:rPr>
        <w:t>bușirilor sau alunecărilor de teren;</w:t>
      </w:r>
    </w:p>
    <w:p w:rsidR="003C1669" w:rsidRDefault="006C6766">
      <w:pPr>
        <w:pStyle w:val="BodyText"/>
        <w:numPr>
          <w:ilvl w:val="0"/>
          <w:numId w:val="2"/>
        </w:numPr>
        <w:tabs>
          <w:tab w:val="left" w:pos="331"/>
        </w:tabs>
        <w:ind w:left="340" w:hanging="340"/>
        <w:jc w:val="both"/>
      </w:pPr>
      <w:r>
        <w:rPr>
          <w:rStyle w:val="BodyTextChar"/>
        </w:rPr>
        <w:t>în caz de producere a unui eveniment rutier ca urmare a stării tehnice a drumului. Asiguratul are obligația ca în anumite perioade din an să doteze autovehiculele proprii cu anvelope speciale, specifice și conforme cu l</w:t>
      </w:r>
      <w:r>
        <w:rPr>
          <w:rStyle w:val="BodyTextChar"/>
        </w:rPr>
        <w:t>egislația în vigoare.</w:t>
      </w:r>
    </w:p>
    <w:p w:rsidR="003C1669" w:rsidRDefault="006C6766">
      <w:pPr>
        <w:pStyle w:val="BodyText"/>
        <w:numPr>
          <w:ilvl w:val="0"/>
          <w:numId w:val="2"/>
        </w:numPr>
        <w:tabs>
          <w:tab w:val="left" w:pos="316"/>
        </w:tabs>
        <w:spacing w:after="240"/>
        <w:ind w:left="340" w:hanging="340"/>
        <w:jc w:val="both"/>
      </w:pPr>
      <w:r>
        <w:rPr>
          <w:rStyle w:val="BodyTextChar"/>
        </w:rPr>
        <w:t>substanțe chimice sau corozive, pentru autovehicule aflate în staționare sau mers, implicate sau nu într-un eveniment rutier, sau ca urmare a unor acte de vandalism cu autori neidentificați.</w:t>
      </w:r>
    </w:p>
    <w:p w:rsidR="003C1669" w:rsidRDefault="006C6766">
      <w:pPr>
        <w:pStyle w:val="Heading10"/>
        <w:keepNext/>
        <w:keepLines/>
        <w:jc w:val="both"/>
      </w:pPr>
      <w:bookmarkStart w:id="1" w:name="bookmark2"/>
      <w:r>
        <w:rPr>
          <w:rStyle w:val="Heading1"/>
          <w:b/>
          <w:bCs/>
        </w:rPr>
        <w:t xml:space="preserve">Despăgubirile acordate vor acoperi și </w:t>
      </w:r>
      <w:r>
        <w:rPr>
          <w:rStyle w:val="Heading1"/>
          <w:b/>
          <w:bCs/>
        </w:rPr>
        <w:t>cheltuieli privind:</w:t>
      </w:r>
      <w:bookmarkEnd w:id="1"/>
    </w:p>
    <w:p w:rsidR="003C1669" w:rsidRDefault="006C6766">
      <w:pPr>
        <w:pStyle w:val="BodyText"/>
        <w:numPr>
          <w:ilvl w:val="0"/>
          <w:numId w:val="3"/>
        </w:numPr>
        <w:tabs>
          <w:tab w:val="left" w:pos="324"/>
        </w:tabs>
        <w:spacing w:line="262" w:lineRule="auto"/>
        <w:jc w:val="both"/>
      </w:pPr>
      <w:r>
        <w:rPr>
          <w:rStyle w:val="BodyTextChar"/>
        </w:rPr>
        <w:t>transportul autovehiculului avariat la atelierul de reparații;</w:t>
      </w:r>
    </w:p>
    <w:p w:rsidR="003C1669" w:rsidRDefault="006C6766">
      <w:pPr>
        <w:pStyle w:val="BodyText"/>
        <w:numPr>
          <w:ilvl w:val="0"/>
          <w:numId w:val="3"/>
        </w:numPr>
        <w:tabs>
          <w:tab w:val="left" w:pos="316"/>
        </w:tabs>
        <w:spacing w:line="262" w:lineRule="auto"/>
        <w:ind w:left="340" w:hanging="340"/>
        <w:jc w:val="both"/>
      </w:pPr>
      <w:r>
        <w:rPr>
          <w:rStyle w:val="BodyTextChar"/>
        </w:rPr>
        <w:t>pagubele produse autovehiculului asigurat de avarieri sau distrugeri prilejuite de măsurile luate în timpul producerii evenimentului asigurat, pentru salvarea autovehicululu</w:t>
      </w:r>
      <w:r>
        <w:rPr>
          <w:rStyle w:val="BodyTextChar"/>
        </w:rPr>
        <w:t>i sau a construcției în care se afla acesta;</w:t>
      </w:r>
    </w:p>
    <w:p w:rsidR="003C1669" w:rsidRDefault="006C6766">
      <w:pPr>
        <w:pStyle w:val="BodyText"/>
        <w:numPr>
          <w:ilvl w:val="0"/>
          <w:numId w:val="3"/>
        </w:numPr>
        <w:tabs>
          <w:tab w:val="left" w:pos="316"/>
        </w:tabs>
        <w:spacing w:line="262" w:lineRule="auto"/>
        <w:ind w:left="340" w:hanging="340"/>
        <w:jc w:val="both"/>
      </w:pPr>
      <w:r>
        <w:rPr>
          <w:rStyle w:val="BodyTextChar"/>
        </w:rPr>
        <w:t>limitarea pagubelor, dacă aceste cheltuieli sunt necesare în urma producerii unor pagube cauzate de riscuri cuprinse în asigurare;</w:t>
      </w:r>
    </w:p>
    <w:p w:rsidR="003C1669" w:rsidRDefault="006C6766">
      <w:pPr>
        <w:pStyle w:val="BodyText"/>
        <w:numPr>
          <w:ilvl w:val="0"/>
          <w:numId w:val="3"/>
        </w:numPr>
        <w:tabs>
          <w:tab w:val="left" w:pos="331"/>
        </w:tabs>
        <w:spacing w:after="240" w:line="262" w:lineRule="auto"/>
        <w:ind w:left="340" w:hanging="340"/>
        <w:jc w:val="both"/>
        <w:sectPr w:rsidR="003C1669">
          <w:headerReference w:type="default" r:id="rId7"/>
          <w:footerReference w:type="default" r:id="rId8"/>
          <w:pgSz w:w="11900" w:h="16840"/>
          <w:pgMar w:top="1371" w:right="1014" w:bottom="907" w:left="989" w:header="0" w:footer="3" w:gutter="0"/>
          <w:pgNumType w:start="1"/>
          <w:cols w:space="720"/>
          <w:noEndnote/>
          <w:docGrid w:linePitch="360"/>
        </w:sectPr>
      </w:pPr>
      <w:r>
        <w:rPr>
          <w:rStyle w:val="BodyTextChar"/>
        </w:rPr>
        <w:t xml:space="preserve">pagubele produse anvelopelor (inclusiv a celor de rezervă) ale autovehiculului, centurilor de siguranță, sistemului de alarmă, farurilor de ceață, </w:t>
      </w:r>
      <w:proofErr w:type="spellStart"/>
      <w:r>
        <w:rPr>
          <w:rStyle w:val="BodyTextChar"/>
        </w:rPr>
        <w:t>jenților</w:t>
      </w:r>
      <w:proofErr w:type="spellEnd"/>
      <w:r>
        <w:rPr>
          <w:rStyle w:val="BodyTextChar"/>
        </w:rPr>
        <w:t>, stingătorului, triunghiurilor reflectorizante și dacă avariile</w:t>
      </w:r>
      <w:r>
        <w:rPr>
          <w:rStyle w:val="BodyTextChar"/>
        </w:rPr>
        <w:t xml:space="preserve"> ori distrugerile s-au întâmplat </w:t>
      </w:r>
      <w:proofErr w:type="spellStart"/>
      <w:r>
        <w:rPr>
          <w:rStyle w:val="BodyTextChar"/>
        </w:rPr>
        <w:t>odata</w:t>
      </w:r>
      <w:proofErr w:type="spellEnd"/>
      <w:r>
        <w:rPr>
          <w:rStyle w:val="BodyTextChar"/>
        </w:rPr>
        <w:t xml:space="preserve"> cu cele produse din orice cauză cuprinsă în asigurare, la însuși corpului autovehiculului;</w:t>
      </w:r>
    </w:p>
    <w:p w:rsidR="003C1669" w:rsidRDefault="006C6766">
      <w:pPr>
        <w:pStyle w:val="BodyText"/>
        <w:numPr>
          <w:ilvl w:val="0"/>
          <w:numId w:val="3"/>
        </w:numPr>
        <w:tabs>
          <w:tab w:val="left" w:pos="327"/>
        </w:tabs>
        <w:spacing w:line="264" w:lineRule="auto"/>
        <w:ind w:left="300" w:hanging="300"/>
        <w:jc w:val="both"/>
      </w:pPr>
      <w:r>
        <w:rPr>
          <w:rStyle w:val="BodyTextChar"/>
        </w:rPr>
        <w:lastRenderedPageBreak/>
        <w:t>cheltuieli efectuate de către Asigurat în vederea înlocuirii setului de închidere și/sau contactului de pornire al autovehicu</w:t>
      </w:r>
      <w:r>
        <w:rPr>
          <w:rStyle w:val="BodyTextChar"/>
        </w:rPr>
        <w:t>lului asigurat, în cazul avarierii ca urmare a furtului sau tentativei de furt;</w:t>
      </w:r>
    </w:p>
    <w:p w:rsidR="003C1669" w:rsidRDefault="006C6766">
      <w:pPr>
        <w:pStyle w:val="BodyText"/>
        <w:numPr>
          <w:ilvl w:val="0"/>
          <w:numId w:val="3"/>
        </w:numPr>
        <w:tabs>
          <w:tab w:val="left" w:pos="288"/>
        </w:tabs>
        <w:spacing w:line="264" w:lineRule="auto"/>
        <w:ind w:left="300" w:hanging="300"/>
        <w:jc w:val="both"/>
      </w:pPr>
      <w:r>
        <w:rPr>
          <w:rStyle w:val="BodyTextChar"/>
        </w:rPr>
        <w:t>dotări standard + suplimentare ( ex. radio-</w:t>
      </w:r>
      <w:proofErr w:type="spellStart"/>
      <w:r>
        <w:rPr>
          <w:rStyle w:val="BodyTextChar"/>
        </w:rPr>
        <w:t>casetof</w:t>
      </w:r>
      <w:proofErr w:type="spellEnd"/>
      <w:r>
        <w:rPr>
          <w:rStyle w:val="BodyTextChar"/>
          <w:lang w:val="en-US" w:eastAsia="en-US" w:bidi="en-US"/>
        </w:rPr>
        <w:t xml:space="preserve">on, CD, GPS, etc.), </w:t>
      </w:r>
      <w:r>
        <w:rPr>
          <w:rStyle w:val="BodyTextChar"/>
        </w:rPr>
        <w:t xml:space="preserve">care sunt montate pe autoturism, dotări care sunt menționate la încheierea poliței de asigurare respectiv </w:t>
      </w:r>
      <w:r>
        <w:rPr>
          <w:rStyle w:val="BodyTextChar"/>
        </w:rPr>
        <w:t>întocmirea inspecției de risc;</w:t>
      </w:r>
    </w:p>
    <w:p w:rsidR="003C1669" w:rsidRDefault="006C6766">
      <w:pPr>
        <w:pStyle w:val="BodyText"/>
        <w:numPr>
          <w:ilvl w:val="0"/>
          <w:numId w:val="3"/>
        </w:numPr>
        <w:tabs>
          <w:tab w:val="left" w:pos="313"/>
        </w:tabs>
        <w:spacing w:line="264" w:lineRule="auto"/>
        <w:ind w:left="300" w:hanging="300"/>
        <w:jc w:val="both"/>
      </w:pPr>
      <w:r>
        <w:rPr>
          <w:rStyle w:val="BodyTextChar"/>
        </w:rPr>
        <w:t>furtul sau distrugerea ca urmare a tentativei de furt a dotărilor suplimentare, dacă acestea au fost cuprinse în asigurare pentru riscul de furt și dacă erau montate pe autovehicul; furtul total al autovehiculului;</w:t>
      </w:r>
    </w:p>
    <w:p w:rsidR="003C1669" w:rsidRDefault="006C6766">
      <w:pPr>
        <w:pStyle w:val="BodyText"/>
        <w:numPr>
          <w:ilvl w:val="0"/>
          <w:numId w:val="3"/>
        </w:numPr>
        <w:tabs>
          <w:tab w:val="left" w:pos="324"/>
        </w:tabs>
        <w:spacing w:line="264" w:lineRule="auto"/>
        <w:ind w:left="300" w:hanging="300"/>
        <w:jc w:val="both"/>
      </w:pPr>
      <w:r>
        <w:rPr>
          <w:rStyle w:val="BodyTextChar"/>
        </w:rPr>
        <w:t>în cazul a</w:t>
      </w:r>
      <w:r>
        <w:rPr>
          <w:rStyle w:val="BodyTextChar"/>
        </w:rPr>
        <w:t>variilor produse autovehiculelor în afara teritoriului României, pentru spațiul economic european;</w:t>
      </w:r>
    </w:p>
    <w:p w:rsidR="003C1669" w:rsidRDefault="006C6766">
      <w:pPr>
        <w:pStyle w:val="BodyText"/>
        <w:spacing w:after="240" w:line="264" w:lineRule="auto"/>
        <w:ind w:left="300" w:hanging="300"/>
        <w:jc w:val="both"/>
      </w:pPr>
      <w:r>
        <w:rPr>
          <w:rStyle w:val="BodyTextChar"/>
        </w:rPr>
        <w:t xml:space="preserve">k) despăgubirea persoanelor vătămate aflate în autovehiculul avariat, inclusiv conducătorul auto, în limita sumei asigurate, în caz de invaliditate sau </w:t>
      </w:r>
      <w:r>
        <w:rPr>
          <w:rStyle w:val="BodyTextChar"/>
        </w:rPr>
        <w:t>deces.</w:t>
      </w:r>
    </w:p>
    <w:p w:rsidR="003C1669" w:rsidRDefault="006C6766">
      <w:pPr>
        <w:pStyle w:val="BodyText"/>
        <w:numPr>
          <w:ilvl w:val="0"/>
          <w:numId w:val="4"/>
        </w:numPr>
        <w:tabs>
          <w:tab w:val="left" w:pos="316"/>
        </w:tabs>
        <w:spacing w:after="100"/>
        <w:jc w:val="both"/>
      </w:pPr>
      <w:r>
        <w:rPr>
          <w:rStyle w:val="BodyTextChar"/>
        </w:rPr>
        <w:t>Constatarea și evaluarea pagubelor:</w:t>
      </w:r>
    </w:p>
    <w:p w:rsidR="003C1669" w:rsidRDefault="006C6766">
      <w:pPr>
        <w:pStyle w:val="BodyText"/>
        <w:numPr>
          <w:ilvl w:val="0"/>
          <w:numId w:val="5"/>
        </w:numPr>
        <w:tabs>
          <w:tab w:val="left" w:pos="320"/>
        </w:tabs>
        <w:ind w:left="300" w:hanging="300"/>
        <w:jc w:val="both"/>
      </w:pPr>
      <w:r>
        <w:rPr>
          <w:rStyle w:val="BodyTextChar"/>
        </w:rPr>
        <w:t xml:space="preserve">Constatarea și evaluarea pagubelor se face de către asigurător, direct sau prin împuterniciți, împreuna cu autoritatea contractanta sau </w:t>
      </w:r>
      <w:proofErr w:type="spellStart"/>
      <w:r>
        <w:rPr>
          <w:rStyle w:val="BodyTextChar"/>
        </w:rPr>
        <w:t>imputerniciții</w:t>
      </w:r>
      <w:proofErr w:type="spellEnd"/>
      <w:r>
        <w:rPr>
          <w:rStyle w:val="BodyTextChar"/>
        </w:rPr>
        <w:t xml:space="preserve"> săi, inclusiv prin experți neutri.</w:t>
      </w:r>
    </w:p>
    <w:p w:rsidR="003C1669" w:rsidRDefault="006C6766">
      <w:pPr>
        <w:pStyle w:val="BodyText"/>
        <w:numPr>
          <w:ilvl w:val="0"/>
          <w:numId w:val="5"/>
        </w:numPr>
        <w:tabs>
          <w:tab w:val="left" w:pos="320"/>
        </w:tabs>
        <w:ind w:left="300" w:hanging="300"/>
        <w:jc w:val="both"/>
      </w:pPr>
      <w:r>
        <w:rPr>
          <w:rStyle w:val="BodyTextChar"/>
        </w:rPr>
        <w:t>Asigurătorul se va prezenta</w:t>
      </w:r>
      <w:r>
        <w:rPr>
          <w:rStyle w:val="BodyTextChar"/>
        </w:rPr>
        <w:t xml:space="preserve"> la constatare, direct sau prin împuterniciți, în termen de 24 ore de la anunțarea producerii evenimentului asigurat de către autoritatea contractantă, în cazul în care autovehiculul în cauză este nedeplasabil. Pentru restul cazurilor Asigurătorul trebuie </w:t>
      </w:r>
      <w:r>
        <w:rPr>
          <w:rStyle w:val="BodyTextChar"/>
        </w:rPr>
        <w:t>să prezinte lista service-urilor agreate și acceptate să execute constatare daune în numele său.</w:t>
      </w:r>
    </w:p>
    <w:p w:rsidR="003C1669" w:rsidRDefault="006C6766">
      <w:pPr>
        <w:pStyle w:val="BodyText"/>
        <w:numPr>
          <w:ilvl w:val="0"/>
          <w:numId w:val="5"/>
        </w:numPr>
        <w:tabs>
          <w:tab w:val="left" w:pos="316"/>
        </w:tabs>
        <w:ind w:left="300" w:hanging="300"/>
        <w:jc w:val="both"/>
      </w:pPr>
      <w:r>
        <w:rPr>
          <w:rStyle w:val="BodyTextChar"/>
        </w:rPr>
        <w:t xml:space="preserve">Termenul maxim de întocmire, aprobare a dosarului de daună și introducere în reparație, nu va fi în nici un caz mai mare de 3 zile. în caz că vor </w:t>
      </w:r>
      <w:proofErr w:type="spellStart"/>
      <w:r>
        <w:rPr>
          <w:rStyle w:val="BodyTextChar"/>
        </w:rPr>
        <w:t>aparea</w:t>
      </w:r>
      <w:proofErr w:type="spellEnd"/>
      <w:r>
        <w:rPr>
          <w:rStyle w:val="BodyTextChar"/>
        </w:rPr>
        <w:t xml:space="preserve"> lucrăr</w:t>
      </w:r>
      <w:r>
        <w:rPr>
          <w:rStyle w:val="BodyTextChar"/>
        </w:rPr>
        <w:t xml:space="preserve">i suplimentare față de cele consemnate la deschiderea dosarului de daună, se vor include în lista de reparații în maxim 3 (trei) zile </w:t>
      </w:r>
      <w:proofErr w:type="spellStart"/>
      <w:r>
        <w:rPr>
          <w:rStyle w:val="BodyTextChar"/>
        </w:rPr>
        <w:t>lucratoare</w:t>
      </w:r>
      <w:proofErr w:type="spellEnd"/>
      <w:r>
        <w:rPr>
          <w:rStyle w:val="BodyTextChar"/>
        </w:rPr>
        <w:t xml:space="preserve"> de la anunțarea unității service, de către asigurător. Cuantumul pagubei este egal cu costul reparației părțilo</w:t>
      </w:r>
      <w:r>
        <w:rPr>
          <w:rStyle w:val="BodyTextChar"/>
        </w:rPr>
        <w:t>r componente ori a pieselor avariate sau costul de înlocuire al acestora (inclusiv cheltuielile pentru materiale și pentru demonta re-montare, aferente reparațiilor și înlocuirilor necesare) ca urmare a pagubelor produse de riscuri asigurate, inclusiv TVA-</w:t>
      </w:r>
      <w:proofErr w:type="spellStart"/>
      <w:r>
        <w:rPr>
          <w:rStyle w:val="BodyTextChar"/>
        </w:rPr>
        <w:t>ul</w:t>
      </w:r>
      <w:proofErr w:type="spellEnd"/>
      <w:r>
        <w:rPr>
          <w:rStyle w:val="BodyTextChar"/>
        </w:rPr>
        <w:t>. Valoarea pagubei astfel stabilita nu poate depăși valoarea reală (suma asigurată) a autovehiculului asigurat din momentul producerii evenimentului asigurat.</w:t>
      </w:r>
    </w:p>
    <w:p w:rsidR="003C1669" w:rsidRDefault="006C6766">
      <w:pPr>
        <w:pStyle w:val="BodyText"/>
        <w:numPr>
          <w:ilvl w:val="0"/>
          <w:numId w:val="5"/>
        </w:numPr>
        <w:tabs>
          <w:tab w:val="left" w:pos="334"/>
        </w:tabs>
        <w:jc w:val="both"/>
      </w:pPr>
      <w:r>
        <w:rPr>
          <w:rStyle w:val="BodyTextChar"/>
        </w:rPr>
        <w:t>Asiguratul nu acceptă reparații în regie proprie.</w:t>
      </w:r>
    </w:p>
    <w:p w:rsidR="003C1669" w:rsidRDefault="006C6766">
      <w:pPr>
        <w:pStyle w:val="BodyText"/>
        <w:numPr>
          <w:ilvl w:val="0"/>
          <w:numId w:val="5"/>
        </w:numPr>
        <w:tabs>
          <w:tab w:val="left" w:pos="320"/>
        </w:tabs>
        <w:ind w:left="300" w:hanging="300"/>
        <w:jc w:val="both"/>
      </w:pPr>
      <w:r>
        <w:rPr>
          <w:rStyle w:val="BodyTextChar"/>
        </w:rPr>
        <w:t>în cadrul reparațiilor vor fi folosite în mod</w:t>
      </w:r>
      <w:r>
        <w:rPr>
          <w:rStyle w:val="BodyTextChar"/>
        </w:rPr>
        <w:t xml:space="preserve"> exclusiv piese de schimb originale și materiale agreate de producător. în situația neutilizării de piese de schimb originale, Asiguratul va returna autovehiculul în service pentru înlocuirea pieselor neconforme cu piese de schimb originale, cu suportarea </w:t>
      </w:r>
      <w:r>
        <w:rPr>
          <w:rStyle w:val="BodyTextChar"/>
        </w:rPr>
        <w:t>tuturor cheltuielilor de către Asigurător.</w:t>
      </w:r>
    </w:p>
    <w:p w:rsidR="003C1669" w:rsidRDefault="006C6766">
      <w:pPr>
        <w:pStyle w:val="BodyText"/>
        <w:numPr>
          <w:ilvl w:val="0"/>
          <w:numId w:val="5"/>
        </w:numPr>
        <w:tabs>
          <w:tab w:val="left" w:pos="291"/>
        </w:tabs>
        <w:ind w:left="300" w:hanging="300"/>
        <w:jc w:val="both"/>
      </w:pPr>
      <w:r>
        <w:rPr>
          <w:rStyle w:val="BodyTextChar"/>
        </w:rPr>
        <w:t>în caz de daună, Asiguratul va desemna o persoană care va participa la întocmirea dosarului de daună, fără a mai fi nevoie de prezența persoanei implicate în producerea daunei.</w:t>
      </w:r>
    </w:p>
    <w:p w:rsidR="003C1669" w:rsidRDefault="006C6766">
      <w:pPr>
        <w:pStyle w:val="BodyText"/>
        <w:numPr>
          <w:ilvl w:val="0"/>
          <w:numId w:val="5"/>
        </w:numPr>
        <w:tabs>
          <w:tab w:val="left" w:pos="306"/>
        </w:tabs>
        <w:ind w:left="300" w:hanging="300"/>
        <w:jc w:val="both"/>
      </w:pPr>
      <w:r>
        <w:rPr>
          <w:rStyle w:val="BodyTextChar"/>
        </w:rPr>
        <w:t>Asigurătorul este obligat să efectue</w:t>
      </w:r>
      <w:r>
        <w:rPr>
          <w:rStyle w:val="BodyTextChar"/>
        </w:rPr>
        <w:t>ze toate formalitățile astfel încât, după efectuarea reparației, Asiguratul (autoritatea contractantă) să poată prelua imediat autovehiculul din service.</w:t>
      </w:r>
    </w:p>
    <w:p w:rsidR="003C1669" w:rsidRDefault="006C6766">
      <w:pPr>
        <w:pStyle w:val="BodyText"/>
        <w:numPr>
          <w:ilvl w:val="0"/>
          <w:numId w:val="5"/>
        </w:numPr>
        <w:tabs>
          <w:tab w:val="left" w:pos="320"/>
        </w:tabs>
        <w:ind w:left="300" w:hanging="300"/>
        <w:jc w:val="both"/>
      </w:pPr>
      <w:r>
        <w:rPr>
          <w:rStyle w:val="BodyTextChar"/>
        </w:rPr>
        <w:t>Oferta nu va conține FRANȘIZE (furt total, furt parțial, daune parțiale sau totale, avarii de orice fe</w:t>
      </w:r>
      <w:r>
        <w:rPr>
          <w:rStyle w:val="BodyTextChar"/>
        </w:rPr>
        <w:t>l).</w:t>
      </w:r>
    </w:p>
    <w:p w:rsidR="003C1669" w:rsidRDefault="006C6766">
      <w:pPr>
        <w:pStyle w:val="BodyText"/>
        <w:numPr>
          <w:ilvl w:val="0"/>
          <w:numId w:val="5"/>
        </w:numPr>
        <w:tabs>
          <w:tab w:val="left" w:pos="277"/>
        </w:tabs>
        <w:ind w:left="300" w:hanging="300"/>
        <w:jc w:val="both"/>
      </w:pPr>
      <w:r>
        <w:rPr>
          <w:rStyle w:val="BodyTextChar"/>
        </w:rPr>
        <w:t>Asigurătorul va pune la dispoziția Asiguratului lista cu contractele încheiate cu societăți service auto autorizate RAR, inclusiv cu unitățile service din cadrul reprezentanțelor Dacia din România, unde achizitorul să poată efectua reparația pentru aut</w:t>
      </w:r>
      <w:r>
        <w:rPr>
          <w:rStyle w:val="BodyTextChar"/>
        </w:rPr>
        <w:t xml:space="preserve">ovehicul Dacia </w:t>
      </w:r>
      <w:r>
        <w:rPr>
          <w:rStyle w:val="BodyTextChar"/>
          <w:lang w:val="en-US" w:eastAsia="en-US" w:bidi="en-US"/>
        </w:rPr>
        <w:t xml:space="preserve">Duster Journey HEV </w:t>
      </w:r>
      <w:r>
        <w:rPr>
          <w:rStyle w:val="BodyTextChar"/>
        </w:rPr>
        <w:t xml:space="preserve">140, pentru care se încheie polița de asigurare </w:t>
      </w:r>
      <w:r>
        <w:rPr>
          <w:rStyle w:val="BodyTextChar"/>
          <w:lang w:val="en-US" w:eastAsia="en-US" w:bidi="en-US"/>
        </w:rPr>
        <w:t>CASCO.</w:t>
      </w:r>
    </w:p>
    <w:p w:rsidR="003C1669" w:rsidRDefault="006C6766">
      <w:pPr>
        <w:pStyle w:val="BodyText"/>
        <w:numPr>
          <w:ilvl w:val="0"/>
          <w:numId w:val="5"/>
        </w:numPr>
        <w:tabs>
          <w:tab w:val="left" w:pos="291"/>
        </w:tabs>
        <w:spacing w:after="240"/>
        <w:ind w:left="300" w:hanging="300"/>
        <w:jc w:val="both"/>
      </w:pPr>
      <w:r>
        <w:rPr>
          <w:rStyle w:val="BodyTextChar"/>
        </w:rPr>
        <w:t>In caz de daună totală termenul limită de despăgubire este de 30 zile de la depunerea ultimului document.</w:t>
      </w:r>
    </w:p>
    <w:p w:rsidR="003C1669" w:rsidRDefault="006C6766">
      <w:pPr>
        <w:pStyle w:val="BodyText"/>
        <w:numPr>
          <w:ilvl w:val="0"/>
          <w:numId w:val="4"/>
        </w:numPr>
        <w:tabs>
          <w:tab w:val="left" w:pos="370"/>
        </w:tabs>
        <w:spacing w:after="100"/>
        <w:jc w:val="both"/>
      </w:pPr>
      <w:r>
        <w:rPr>
          <w:rStyle w:val="BodyTextChar"/>
        </w:rPr>
        <w:t>Condiții de livrare:</w:t>
      </w:r>
    </w:p>
    <w:p w:rsidR="003C1669" w:rsidRDefault="006C6766">
      <w:pPr>
        <w:pStyle w:val="BodyText"/>
        <w:spacing w:after="240"/>
        <w:jc w:val="both"/>
      </w:pPr>
      <w:r>
        <w:rPr>
          <w:rStyle w:val="BodyTextChar"/>
        </w:rPr>
        <w:t>Asigurările se vor încheia începând cu u</w:t>
      </w:r>
      <w:r>
        <w:rPr>
          <w:rStyle w:val="BodyTextChar"/>
        </w:rPr>
        <w:t>rmătoarea zi de la transmiterea comenzii ferme.</w:t>
      </w:r>
    </w:p>
    <w:p w:rsidR="003C1669" w:rsidRDefault="006C6766">
      <w:pPr>
        <w:pStyle w:val="BodyText"/>
        <w:numPr>
          <w:ilvl w:val="0"/>
          <w:numId w:val="4"/>
        </w:numPr>
        <w:tabs>
          <w:tab w:val="left" w:pos="385"/>
        </w:tabs>
        <w:spacing w:after="100"/>
        <w:jc w:val="both"/>
      </w:pPr>
      <w:r>
        <w:rPr>
          <w:rStyle w:val="BodyTextChar"/>
        </w:rPr>
        <w:t>Condiții de plată:</w:t>
      </w:r>
    </w:p>
    <w:p w:rsidR="003C1669" w:rsidRDefault="006C6766">
      <w:pPr>
        <w:pStyle w:val="BodyText"/>
        <w:spacing w:after="180" w:line="264" w:lineRule="auto"/>
        <w:jc w:val="both"/>
      </w:pPr>
      <w:r>
        <w:rPr>
          <w:rStyle w:val="BodyTextChar"/>
        </w:rPr>
        <w:t>Plata se va efectua cu OP în termen de 30 de zile de la data primirii facturii în contul operatorului economic deschis la Trezoreria Statului.</w:t>
      </w:r>
      <w:bookmarkStart w:id="2" w:name="_GoBack"/>
      <w:bookmarkEnd w:id="2"/>
    </w:p>
    <w:sectPr w:rsidR="003C1669">
      <w:headerReference w:type="default" r:id="rId9"/>
      <w:footerReference w:type="default" r:id="rId10"/>
      <w:pgSz w:w="11900" w:h="16840"/>
      <w:pgMar w:top="559" w:right="1016" w:bottom="1351" w:left="988" w:header="13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766" w:rsidRDefault="006C6766">
      <w:r>
        <w:separator/>
      </w:r>
    </w:p>
  </w:endnote>
  <w:endnote w:type="continuationSeparator" w:id="0">
    <w:p w:rsidR="006C6766" w:rsidRDefault="006C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669" w:rsidRDefault="006C6766">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6551295</wp:posOffset>
              </wp:positionH>
              <wp:positionV relativeFrom="page">
                <wp:posOffset>10311765</wp:posOffset>
              </wp:positionV>
              <wp:extent cx="38735" cy="98425"/>
              <wp:effectExtent l="0" t="0" r="0" b="0"/>
              <wp:wrapNone/>
              <wp:docPr id="3" name="Shape 3"/>
              <wp:cNvGraphicFramePr/>
              <a:graphic xmlns:a="http://schemas.openxmlformats.org/drawingml/2006/main">
                <a:graphicData uri="http://schemas.microsoft.com/office/word/2010/wordprocessingShape">
                  <wps:wsp>
                    <wps:cNvSpPr txBox="1"/>
                    <wps:spPr>
                      <a:xfrm>
                        <a:off x="0" y="0"/>
                        <a:ext cx="38735" cy="98425"/>
                      </a:xfrm>
                      <a:prstGeom prst="rect">
                        <a:avLst/>
                      </a:prstGeom>
                      <a:noFill/>
                    </wps:spPr>
                    <wps:txbx>
                      <w:txbxContent>
                        <w:p w:rsidR="003C1669" w:rsidRDefault="006C6766">
                          <w:pPr>
                            <w:pStyle w:val="Headerorfooter20"/>
                            <w:rPr>
                              <w:sz w:val="18"/>
                              <w:szCs w:val="18"/>
                            </w:rPr>
                          </w:pPr>
                          <w:r>
                            <w:rPr>
                              <w:rStyle w:val="Headerorfooter2"/>
                              <w:rFonts w:ascii="Arial" w:eastAsia="Arial" w:hAnsi="Arial" w:cs="Arial"/>
                              <w:sz w:val="18"/>
                              <w:szCs w:val="18"/>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515.85pt;margin-top:811.95pt;width:3.05pt;height:7.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" filled="f" stroked="f">
              <v:textbox style="mso-fit-shape-to-text:t" inset="0,0,0,0">
                <w:txbxContent>
                  <w:p w:rsidR="003C1669" w:rsidRDefault="006C6766">
                    <w:pPr>
                      <w:pStyle w:val="Headerorfooter20"/>
                      <w:rPr>
                        <w:sz w:val="18"/>
                        <w:szCs w:val="18"/>
                      </w:rPr>
                    </w:pPr>
                    <w:r>
                      <w:rPr>
                        <w:rStyle w:val="Headerorfooter2"/>
                        <w:rFonts w:ascii="Arial" w:eastAsia="Arial" w:hAnsi="Arial" w:cs="Arial"/>
                        <w:sz w:val="18"/>
                        <w:szCs w:val="18"/>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669" w:rsidRDefault="006C6766">
    <w:pPr>
      <w:spacing w:line="1" w:lineRule="exact"/>
    </w:pPr>
    <w:r>
      <w:rPr>
        <w:noProof/>
      </w:rPr>
      <mc:AlternateContent>
        <mc:Choice Requires="wps">
          <w:drawing>
            <wp:anchor distT="0" distB="0" distL="0" distR="0" simplePos="0" relativeHeight="62914695" behindDoc="1" locked="0" layoutInCell="1" allowOverlap="1">
              <wp:simplePos x="0" y="0"/>
              <wp:positionH relativeFrom="page">
                <wp:posOffset>5295265</wp:posOffset>
              </wp:positionH>
              <wp:positionV relativeFrom="page">
                <wp:posOffset>9834880</wp:posOffset>
              </wp:positionV>
              <wp:extent cx="1554480" cy="121285"/>
              <wp:effectExtent l="0" t="0" r="0" b="0"/>
              <wp:wrapNone/>
              <wp:docPr id="7" name="Shape 7"/>
              <wp:cNvGraphicFramePr/>
              <a:graphic xmlns:a="http://schemas.openxmlformats.org/drawingml/2006/main">
                <a:graphicData uri="http://schemas.microsoft.com/office/word/2010/wordprocessingShape">
                  <wps:wsp>
                    <wps:cNvSpPr txBox="1"/>
                    <wps:spPr>
                      <a:xfrm>
                        <a:off x="0" y="0"/>
                        <a:ext cx="1554480" cy="121285"/>
                      </a:xfrm>
                      <a:prstGeom prst="rect">
                        <a:avLst/>
                      </a:prstGeom>
                      <a:noFill/>
                    </wps:spPr>
                    <wps:txbx>
                      <w:txbxContent>
                        <w:p w:rsidR="003C1669" w:rsidRDefault="003C1669">
                          <w:pPr>
                            <w:pStyle w:val="Headerorfooter20"/>
                            <w:rPr>
                              <w:sz w:val="18"/>
                              <w:szCs w:val="18"/>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416.95pt;margin-top:774.4pt;width:122.4pt;height:9.55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" filled="f" stroked="f">
              <v:textbox style="mso-fit-shape-to-text:t" inset="0,0,0,0">
                <w:txbxContent>
                  <w:p w:rsidR="003C1669" w:rsidRDefault="003C1669">
                    <w:pPr>
                      <w:pStyle w:val="Headerorfooter20"/>
                      <w:rPr>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766" w:rsidRDefault="006C6766"/>
  </w:footnote>
  <w:footnote w:type="continuationSeparator" w:id="0">
    <w:p w:rsidR="006C6766" w:rsidRDefault="006C6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669" w:rsidRDefault="006C6766">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6391275</wp:posOffset>
              </wp:positionH>
              <wp:positionV relativeFrom="page">
                <wp:posOffset>554990</wp:posOffset>
              </wp:positionV>
              <wp:extent cx="487045" cy="111760"/>
              <wp:effectExtent l="0" t="0" r="0" b="0"/>
              <wp:wrapNone/>
              <wp:docPr id="1" name="Shape 1"/>
              <wp:cNvGraphicFramePr/>
              <a:graphic xmlns:a="http://schemas.openxmlformats.org/drawingml/2006/main">
                <a:graphicData uri="http://schemas.microsoft.com/office/word/2010/wordprocessingShape">
                  <wps:wsp>
                    <wps:cNvSpPr txBox="1"/>
                    <wps:spPr>
                      <a:xfrm>
                        <a:off x="0" y="0"/>
                        <a:ext cx="487045" cy="111760"/>
                      </a:xfrm>
                      <a:prstGeom prst="rect">
                        <a:avLst/>
                      </a:prstGeom>
                      <a:noFill/>
                    </wps:spPr>
                    <wps:txbx>
                      <w:txbxContent>
                        <w:p w:rsidR="003C1669" w:rsidRDefault="006C6766">
                          <w:pPr>
                            <w:pStyle w:val="Headerorfooter20"/>
                          </w:pPr>
                          <w:r>
                            <w:rPr>
                              <w:rStyle w:val="Headerorfooter2"/>
                              <w:rFonts w:ascii="Trebuchet MS" w:eastAsia="Trebuchet MS" w:hAnsi="Trebuchet MS" w:cs="Trebuchet MS"/>
                            </w:rPr>
                            <w:t>Anexa 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03.25pt;margin-top:43.7pt;width:38.35pt;height:8.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" filled="f" stroked="f">
              <v:textbox style="mso-fit-shape-to-text:t" inset="0,0,0,0">
                <w:txbxContent>
                  <w:p w:rsidR="003C1669" w:rsidRDefault="006C6766">
                    <w:pPr>
                      <w:pStyle w:val="Headerorfooter20"/>
                    </w:pPr>
                    <w:r>
                      <w:rPr>
                        <w:rStyle w:val="Headerorfooter2"/>
                        <w:rFonts w:ascii="Trebuchet MS" w:eastAsia="Trebuchet MS" w:hAnsi="Trebuchet MS" w:cs="Trebuchet MS"/>
                      </w:rPr>
                      <w:t>Anexa 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669" w:rsidRDefault="003C16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C5D41"/>
    <w:multiLevelType w:val="multilevel"/>
    <w:tmpl w:val="8DE27B7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5729CF"/>
    <w:multiLevelType w:val="multilevel"/>
    <w:tmpl w:val="489272DA"/>
    <w:lvl w:ilvl="0">
      <w:start w:val="2"/>
      <w:numFmt w:val="upp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392E20"/>
    <w:multiLevelType w:val="multilevel"/>
    <w:tmpl w:val="79D09CF8"/>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C867F20"/>
    <w:multiLevelType w:val="multilevel"/>
    <w:tmpl w:val="646A981C"/>
    <w:lvl w:ilvl="0">
      <w:start w:val="1"/>
      <w:numFmt w:val="decimal"/>
      <w:lvlText w:val="%1."/>
      <w:lvlJc w:val="left"/>
      <w:rPr>
        <w:rFonts w:ascii="Trebuchet MS" w:eastAsia="Trebuchet MS" w:hAnsi="Trebuchet MS" w:cs="Trebuchet MS"/>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70574C"/>
    <w:multiLevelType w:val="multilevel"/>
    <w:tmpl w:val="7D6407D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669"/>
    <w:rsid w:val="00250F7B"/>
    <w:rsid w:val="003C1669"/>
    <w:rsid w:val="006C67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B8AD4D-A281-4539-8875-B77D34EF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rebuchet MS" w:eastAsia="Trebuchet MS" w:hAnsi="Trebuchet MS" w:cs="Trebuchet MS"/>
      <w:b w:val="0"/>
      <w:bCs w:val="0"/>
      <w:i w:val="0"/>
      <w:iCs w:val="0"/>
      <w:smallCaps w:val="0"/>
      <w:strike w:val="0"/>
      <w:sz w:val="20"/>
      <w:szCs w:val="2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rebuchet MS" w:eastAsia="Trebuchet MS" w:hAnsi="Trebuchet MS" w:cs="Trebuchet MS"/>
      <w:b/>
      <w:bCs/>
      <w:i w:val="0"/>
      <w:iCs w:val="0"/>
      <w:smallCaps w:val="0"/>
      <w:strike w:val="0"/>
      <w:sz w:val="22"/>
      <w:szCs w:val="22"/>
      <w:u w:val="none"/>
    </w:rPr>
  </w:style>
  <w:style w:type="paragraph" w:styleId="BodyText">
    <w:name w:val="Body Text"/>
    <w:basedOn w:val="Normal"/>
    <w:link w:val="BodyTextChar"/>
    <w:qFormat/>
    <w:pPr>
      <w:spacing w:line="266" w:lineRule="auto"/>
    </w:pPr>
    <w:rPr>
      <w:rFonts w:ascii="Trebuchet MS" w:eastAsia="Trebuchet MS" w:hAnsi="Trebuchet MS" w:cs="Trebuchet MS"/>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120"/>
      <w:outlineLvl w:val="0"/>
    </w:pPr>
    <w:rPr>
      <w:rFonts w:ascii="Trebuchet MS" w:eastAsia="Trebuchet MS" w:hAnsi="Trebuchet MS" w:cs="Trebuchet MS"/>
      <w:b/>
      <w:bCs/>
      <w:sz w:val="22"/>
      <w:szCs w:val="22"/>
    </w:rPr>
  </w:style>
  <w:style w:type="paragraph" w:styleId="Header">
    <w:name w:val="header"/>
    <w:basedOn w:val="Normal"/>
    <w:link w:val="HeaderChar"/>
    <w:uiPriority w:val="99"/>
    <w:unhideWhenUsed/>
    <w:rsid w:val="00250F7B"/>
    <w:pPr>
      <w:tabs>
        <w:tab w:val="center" w:pos="4513"/>
        <w:tab w:val="right" w:pos="9026"/>
      </w:tabs>
    </w:pPr>
  </w:style>
  <w:style w:type="character" w:customStyle="1" w:styleId="HeaderChar">
    <w:name w:val="Header Char"/>
    <w:basedOn w:val="DefaultParagraphFont"/>
    <w:link w:val="Header"/>
    <w:uiPriority w:val="99"/>
    <w:rsid w:val="00250F7B"/>
    <w:rPr>
      <w:color w:val="000000"/>
    </w:rPr>
  </w:style>
  <w:style w:type="paragraph" w:styleId="Footer">
    <w:name w:val="footer"/>
    <w:basedOn w:val="Normal"/>
    <w:link w:val="FooterChar"/>
    <w:uiPriority w:val="99"/>
    <w:unhideWhenUsed/>
    <w:rsid w:val="00250F7B"/>
    <w:pPr>
      <w:tabs>
        <w:tab w:val="center" w:pos="4513"/>
        <w:tab w:val="right" w:pos="9026"/>
      </w:tabs>
    </w:pPr>
  </w:style>
  <w:style w:type="character" w:customStyle="1" w:styleId="FooterChar">
    <w:name w:val="Footer Char"/>
    <w:basedOn w:val="DefaultParagraphFont"/>
    <w:link w:val="Footer"/>
    <w:uiPriority w:val="99"/>
    <w:rsid w:val="00250F7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1154</Words>
  <Characters>6699</Characters>
  <Application>Microsoft Office Word</Application>
  <DocSecurity>0</DocSecurity>
  <Lines>55</Lines>
  <Paragraphs>15</Paragraphs>
  <ScaleCrop>false</ScaleCrop>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MARGARETA TEODORESCU</cp:lastModifiedBy>
  <cp:revision>2</cp:revision>
  <dcterms:created xsi:type="dcterms:W3CDTF">2025-10-08T11:37:00Z</dcterms:created>
  <dcterms:modified xsi:type="dcterms:W3CDTF">2025-10-08T11:37:00Z</dcterms:modified>
</cp:coreProperties>
</file>