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EB48C" w14:textId="77777777" w:rsidR="003F4E84" w:rsidRPr="00614885" w:rsidRDefault="003F4E84" w:rsidP="003F4E84">
      <w:pPr>
        <w:pBdr>
          <w:top w:val="single" w:sz="4" w:space="1" w:color="auto"/>
          <w:bottom w:val="single" w:sz="4" w:space="1" w:color="auto"/>
        </w:pBdr>
        <w:spacing w:after="120" w:line="240" w:lineRule="auto"/>
        <w:jc w:val="right"/>
        <w:rPr>
          <w:rFonts w:ascii="Tahoma" w:hAnsi="Tahoma" w:cs="Tahoma"/>
          <w:b/>
          <w:caps/>
          <w:color w:val="0070C0"/>
          <w:sz w:val="24"/>
          <w:szCs w:val="24"/>
        </w:rPr>
      </w:pPr>
      <w:r w:rsidRPr="00614885">
        <w:rPr>
          <w:rFonts w:ascii="Tahoma" w:hAnsi="Tahoma" w:cs="Tahoma"/>
          <w:b/>
          <w:caps/>
          <w:color w:val="0070C0"/>
          <w:sz w:val="24"/>
          <w:szCs w:val="24"/>
        </w:rPr>
        <w:t>execuția bugetului general consolidat</w:t>
      </w:r>
    </w:p>
    <w:p w14:paraId="62F12FC8" w14:textId="53ED918E" w:rsidR="004B7A33" w:rsidRPr="00614885" w:rsidRDefault="00D602AF" w:rsidP="003F4E84">
      <w:pPr>
        <w:spacing w:after="120" w:line="240" w:lineRule="auto"/>
        <w:jc w:val="right"/>
        <w:rPr>
          <w:rFonts w:ascii="Tahoma" w:hAnsi="Tahoma" w:cs="Tahoma"/>
          <w:b/>
          <w:color w:val="0070C0"/>
          <w:sz w:val="24"/>
          <w:szCs w:val="24"/>
        </w:rPr>
      </w:pPr>
      <w:r>
        <w:rPr>
          <w:rFonts w:ascii="Tahoma" w:hAnsi="Tahoma" w:cs="Tahoma"/>
          <w:b/>
          <w:color w:val="0070C0"/>
          <w:sz w:val="24"/>
          <w:szCs w:val="24"/>
        </w:rPr>
        <w:t>31 MAI</w:t>
      </w:r>
      <w:r w:rsidR="00647575" w:rsidRPr="00614885">
        <w:rPr>
          <w:rFonts w:ascii="Tahoma" w:hAnsi="Tahoma" w:cs="Tahoma"/>
          <w:b/>
          <w:color w:val="0070C0"/>
          <w:sz w:val="24"/>
          <w:szCs w:val="24"/>
        </w:rPr>
        <w:t xml:space="preserve"> </w:t>
      </w:r>
      <w:r w:rsidR="009300C7" w:rsidRPr="00614885">
        <w:rPr>
          <w:rFonts w:ascii="Tahoma" w:hAnsi="Tahoma" w:cs="Tahoma"/>
          <w:b/>
          <w:color w:val="0070C0"/>
          <w:sz w:val="24"/>
          <w:szCs w:val="24"/>
        </w:rPr>
        <w:t>2020</w:t>
      </w:r>
      <w:r w:rsidR="00526E8B" w:rsidRPr="00614885">
        <w:rPr>
          <w:rFonts w:ascii="Tahoma" w:hAnsi="Tahoma" w:cs="Tahoma"/>
          <w:b/>
          <w:color w:val="0070C0"/>
          <w:sz w:val="24"/>
          <w:szCs w:val="24"/>
        </w:rPr>
        <w:br/>
      </w:r>
    </w:p>
    <w:p w14:paraId="59C2EC16" w14:textId="77777777" w:rsidR="003F4E84" w:rsidRPr="00614885" w:rsidRDefault="003F4E84" w:rsidP="003F4E84">
      <w:pPr>
        <w:spacing w:after="120" w:line="240" w:lineRule="auto"/>
        <w:jc w:val="right"/>
        <w:rPr>
          <w:rFonts w:ascii="Tahoma" w:hAnsi="Tahoma" w:cs="Tahoma"/>
          <w:b/>
          <w:color w:val="0070C0"/>
          <w:sz w:val="24"/>
          <w:szCs w:val="24"/>
        </w:rPr>
      </w:pPr>
    </w:p>
    <w:p w14:paraId="1A874942" w14:textId="43F4161B" w:rsidR="00F62A47" w:rsidRPr="00174922" w:rsidRDefault="00F62A47" w:rsidP="00F62A47">
      <w:pPr>
        <w:shd w:val="clear" w:color="auto" w:fill="DEEAF6"/>
        <w:spacing w:after="120" w:line="360" w:lineRule="auto"/>
        <w:jc w:val="both"/>
        <w:rPr>
          <w:rFonts w:ascii="Tahoma" w:hAnsi="Tahoma" w:cs="Tahoma"/>
          <w:color w:val="FF0000"/>
          <w:sz w:val="24"/>
          <w:szCs w:val="24"/>
        </w:rPr>
      </w:pPr>
      <w:r w:rsidRPr="00174922">
        <w:rPr>
          <w:rFonts w:ascii="Tahoma" w:hAnsi="Tahoma" w:cs="Tahoma"/>
          <w:sz w:val="24"/>
          <w:szCs w:val="24"/>
        </w:rPr>
        <w:t xml:space="preserve">Execuția bugetului general consolidat în primele cinci luni ale anului 2020 a înregistrat un </w:t>
      </w:r>
      <w:r w:rsidRPr="00174922">
        <w:rPr>
          <w:rFonts w:ascii="Tahoma" w:hAnsi="Tahoma" w:cs="Tahoma"/>
          <w:b/>
          <w:sz w:val="24"/>
          <w:szCs w:val="24"/>
        </w:rPr>
        <w:t>deficit de 38,84 miliarde lei (3,59% din PIB)</w:t>
      </w:r>
      <w:r w:rsidR="00687362">
        <w:rPr>
          <w:rFonts w:ascii="Tahoma" w:hAnsi="Tahoma" w:cs="Tahoma"/>
          <w:b/>
          <w:sz w:val="24"/>
          <w:szCs w:val="24"/>
        </w:rPr>
        <w:t>,</w:t>
      </w:r>
      <w:r w:rsidR="00687362" w:rsidRPr="00687362">
        <w:rPr>
          <w:rFonts w:ascii="Tahoma" w:hAnsi="Tahoma" w:cs="Tahoma"/>
          <w:sz w:val="24"/>
          <w:szCs w:val="24"/>
        </w:rPr>
        <w:t xml:space="preserve"> </w:t>
      </w:r>
      <w:r w:rsidR="00687362">
        <w:rPr>
          <w:rFonts w:ascii="Tahoma" w:hAnsi="Tahoma" w:cs="Tahoma"/>
          <w:sz w:val="24"/>
          <w:szCs w:val="24"/>
        </w:rPr>
        <w:t xml:space="preserve">din care </w:t>
      </w:r>
      <w:r w:rsidR="00687362">
        <w:rPr>
          <w:rFonts w:ascii="Tahoma" w:hAnsi="Tahoma" w:cs="Tahoma"/>
          <w:sz w:val="24"/>
          <w:szCs w:val="24"/>
        </w:rPr>
        <w:t>aproape</w:t>
      </w:r>
      <w:r w:rsidR="00687362">
        <w:rPr>
          <w:rFonts w:ascii="Tahoma" w:hAnsi="Tahoma" w:cs="Tahoma"/>
          <w:sz w:val="24"/>
          <w:szCs w:val="24"/>
        </w:rPr>
        <w:t xml:space="preserve"> jumătate este generat de sumele lăsate în mediul economic prin facilitățile fiscale și cheltuieli excepționale adoptate pentru combaterea efectelor epidemiei</w:t>
      </w:r>
      <w:r w:rsidR="00687362" w:rsidRPr="003D71FF">
        <w:rPr>
          <w:rFonts w:ascii="Tahoma" w:hAnsi="Tahoma" w:cs="Tahoma"/>
          <w:sz w:val="24"/>
          <w:szCs w:val="24"/>
        </w:rPr>
        <w:t xml:space="preserve"> de COVID-19</w:t>
      </w:r>
      <w:r w:rsidR="002904A5">
        <w:rPr>
          <w:rFonts w:ascii="Tahoma" w:hAnsi="Tahoma" w:cs="Tahoma"/>
          <w:sz w:val="24"/>
          <w:szCs w:val="24"/>
        </w:rPr>
        <w:t>.</w:t>
      </w:r>
      <w:r w:rsidR="008E521D" w:rsidRPr="008E521D">
        <w:rPr>
          <w:rFonts w:ascii="Tahoma" w:hAnsi="Tahoma" w:cs="Tahoma"/>
          <w:sz w:val="24"/>
          <w:szCs w:val="24"/>
        </w:rPr>
        <w:t xml:space="preserve"> </w:t>
      </w:r>
      <w:r w:rsidRPr="00174922">
        <w:rPr>
          <w:rFonts w:ascii="Tahoma" w:hAnsi="Tahoma" w:cs="Tahoma"/>
          <w:sz w:val="24"/>
          <w:szCs w:val="24"/>
        </w:rPr>
        <w:t>(Anexa nr. 1 și Anexa nr. 2).</w:t>
      </w:r>
    </w:p>
    <w:p w14:paraId="531239AC" w14:textId="71B1D7E9" w:rsidR="00F62A47" w:rsidRPr="008E521D" w:rsidRDefault="00F62A47" w:rsidP="00F62A47">
      <w:pPr>
        <w:shd w:val="clear" w:color="auto" w:fill="DEEAF6"/>
        <w:spacing w:after="120" w:line="360" w:lineRule="auto"/>
        <w:jc w:val="both"/>
        <w:rPr>
          <w:rFonts w:ascii="Tahoma" w:hAnsi="Tahoma" w:cs="Tahoma"/>
          <w:sz w:val="24"/>
          <w:szCs w:val="24"/>
        </w:rPr>
      </w:pPr>
      <w:r w:rsidRPr="00174922">
        <w:rPr>
          <w:rFonts w:ascii="Tahoma" w:hAnsi="Tahoma" w:cs="Tahoma"/>
          <w:sz w:val="24"/>
          <w:szCs w:val="24"/>
        </w:rPr>
        <w:t xml:space="preserve">Creșterea deficitul bugetar aferent primelor cinci luni ale anului curent, comparativ cu cel înregistrat în perioada similară a anului trecut, este explicată, pe partea venituri, (i) de evoluția nefavorabilă a încasărilor bugetare în perioada martie-mai, ca urmare a amânării plății unor obligații fiscale de către agenții economici </w:t>
      </w:r>
      <w:r w:rsidRPr="00420E61">
        <w:rPr>
          <w:rFonts w:ascii="Tahoma" w:hAnsi="Tahoma" w:cs="Tahoma"/>
          <w:b/>
          <w:sz w:val="24"/>
          <w:szCs w:val="24"/>
        </w:rPr>
        <w:t xml:space="preserve">pe perioada </w:t>
      </w:r>
      <w:r w:rsidR="00420E61" w:rsidRPr="00420E61">
        <w:rPr>
          <w:rFonts w:ascii="Tahoma" w:hAnsi="Tahoma" w:cs="Tahoma"/>
          <w:b/>
          <w:sz w:val="24"/>
          <w:szCs w:val="24"/>
        </w:rPr>
        <w:t>stării de urgență și de alertă</w:t>
      </w:r>
      <w:r w:rsidR="004645F7">
        <w:rPr>
          <w:rFonts w:ascii="Tahoma" w:hAnsi="Tahoma" w:cs="Tahoma"/>
          <w:b/>
          <w:sz w:val="24"/>
          <w:szCs w:val="24"/>
        </w:rPr>
        <w:t xml:space="preserve"> </w:t>
      </w:r>
      <w:r w:rsidR="004645F7" w:rsidRPr="004645F7">
        <w:rPr>
          <w:rFonts w:ascii="Tahoma" w:hAnsi="Tahoma" w:cs="Tahoma"/>
          <w:sz w:val="24"/>
          <w:szCs w:val="24"/>
        </w:rPr>
        <w:t>(</w:t>
      </w:r>
      <w:r w:rsidRPr="00420E61">
        <w:rPr>
          <w:rFonts w:ascii="Tahoma" w:hAnsi="Tahoma" w:cs="Tahoma"/>
          <w:sz w:val="24"/>
          <w:szCs w:val="24"/>
        </w:rPr>
        <w:t>1</w:t>
      </w:r>
      <w:r w:rsidR="00420E61" w:rsidRPr="00420E61">
        <w:rPr>
          <w:rFonts w:ascii="Tahoma" w:hAnsi="Tahoma" w:cs="Tahoma"/>
          <w:sz w:val="24"/>
          <w:szCs w:val="24"/>
        </w:rPr>
        <w:t>1</w:t>
      </w:r>
      <w:r w:rsidRPr="00420E61">
        <w:rPr>
          <w:rFonts w:ascii="Tahoma" w:hAnsi="Tahoma" w:cs="Tahoma"/>
          <w:sz w:val="24"/>
          <w:szCs w:val="24"/>
        </w:rPr>
        <w:t>,</w:t>
      </w:r>
      <w:r w:rsidR="00420E61" w:rsidRPr="00420E61">
        <w:rPr>
          <w:rFonts w:ascii="Tahoma" w:hAnsi="Tahoma" w:cs="Tahoma"/>
          <w:sz w:val="24"/>
          <w:szCs w:val="24"/>
        </w:rPr>
        <w:t>7</w:t>
      </w:r>
      <w:r w:rsidRPr="00420E61">
        <w:rPr>
          <w:rFonts w:ascii="Tahoma" w:hAnsi="Tahoma" w:cs="Tahoma"/>
          <w:sz w:val="24"/>
          <w:szCs w:val="24"/>
        </w:rPr>
        <w:t xml:space="preserve"> mld. lei)</w:t>
      </w:r>
      <w:r w:rsidRPr="00174922">
        <w:rPr>
          <w:rStyle w:val="FootnoteReference"/>
          <w:rFonts w:ascii="Tahoma" w:hAnsi="Tahoma" w:cs="Tahoma"/>
          <w:sz w:val="24"/>
          <w:szCs w:val="24"/>
        </w:rPr>
        <w:footnoteReference w:id="1"/>
      </w:r>
      <w:r w:rsidRPr="00174922">
        <w:rPr>
          <w:rFonts w:ascii="Tahoma" w:hAnsi="Tahoma" w:cs="Tahoma"/>
          <w:sz w:val="24"/>
          <w:szCs w:val="24"/>
        </w:rPr>
        <w:t xml:space="preserve">, (ii) de creșterea cu 2,26 mld lei a restituirilor de TVA, față de nivelul aferent perioadei ian-mai 2019, pentru susținerea lichidității în sectorul privat, (iii) precum și de bonificațiile acordate pentru plata la scadență a impozitului pe profit și a celui pe veniturile microîntreprinderilor, în valoare de 0,25 mld. lei . </w:t>
      </w:r>
      <w:r w:rsidRPr="008E521D">
        <w:rPr>
          <w:rFonts w:ascii="Tahoma" w:hAnsi="Tahoma" w:cs="Tahoma"/>
          <w:sz w:val="24"/>
          <w:szCs w:val="24"/>
        </w:rPr>
        <w:t>De asemenea, pe partea de cheltuieli, față de creșterea bugetară prin efectul legilor s-a înregistrat o creștere a cheltuielilor de investiții cu 3,</w:t>
      </w:r>
      <w:r w:rsidR="00F700C0" w:rsidRPr="008E521D">
        <w:rPr>
          <w:rFonts w:ascii="Tahoma" w:hAnsi="Tahoma" w:cs="Tahoma"/>
          <w:sz w:val="24"/>
          <w:szCs w:val="24"/>
        </w:rPr>
        <w:t>43</w:t>
      </w:r>
      <w:r w:rsidRPr="008E521D">
        <w:rPr>
          <w:rFonts w:ascii="Tahoma" w:hAnsi="Tahoma" w:cs="Tahoma"/>
          <w:sz w:val="24"/>
          <w:szCs w:val="24"/>
        </w:rPr>
        <w:t xml:space="preserve"> mld. lei față de aceeași perioadă a anului precedent, precum și plăți cu caracter excepțional generate de epidemia COVID-19 de aproximativ </w:t>
      </w:r>
      <w:r w:rsidR="00764D34" w:rsidRPr="008E521D">
        <w:rPr>
          <w:rFonts w:ascii="Tahoma" w:hAnsi="Tahoma" w:cs="Tahoma"/>
          <w:sz w:val="24"/>
          <w:szCs w:val="24"/>
        </w:rPr>
        <w:t>3</w:t>
      </w:r>
      <w:r w:rsidRPr="008E521D">
        <w:rPr>
          <w:rFonts w:ascii="Tahoma" w:hAnsi="Tahoma" w:cs="Tahoma"/>
          <w:sz w:val="24"/>
          <w:szCs w:val="24"/>
        </w:rPr>
        <w:t>,</w:t>
      </w:r>
      <w:r w:rsidR="00764D34" w:rsidRPr="008E521D">
        <w:rPr>
          <w:rFonts w:ascii="Tahoma" w:hAnsi="Tahoma" w:cs="Tahoma"/>
          <w:sz w:val="24"/>
          <w:szCs w:val="24"/>
        </w:rPr>
        <w:t>83</w:t>
      </w:r>
      <w:r w:rsidRPr="008E521D">
        <w:rPr>
          <w:rFonts w:ascii="Tahoma" w:hAnsi="Tahoma" w:cs="Tahoma"/>
          <w:sz w:val="24"/>
          <w:szCs w:val="24"/>
        </w:rPr>
        <w:t xml:space="preserve"> mld. lei. </w:t>
      </w:r>
    </w:p>
    <w:p w14:paraId="7D3B6D5F" w14:textId="77777777" w:rsidR="00F62A47" w:rsidRPr="00174922" w:rsidRDefault="00F62A47" w:rsidP="00F62A47">
      <w:pPr>
        <w:pStyle w:val="ListParagraph"/>
        <w:spacing w:line="360" w:lineRule="auto"/>
        <w:jc w:val="both"/>
        <w:rPr>
          <w:rFonts w:ascii="Tahoma" w:hAnsi="Tahoma" w:cs="Tahoma"/>
          <w:b/>
          <w:color w:val="FF0000"/>
          <w:sz w:val="24"/>
          <w:szCs w:val="24"/>
        </w:rPr>
      </w:pPr>
    </w:p>
    <w:p w14:paraId="6BDFD94F" w14:textId="77777777" w:rsidR="00F62A47" w:rsidRPr="00174922" w:rsidRDefault="00F62A47" w:rsidP="00F62A47">
      <w:pPr>
        <w:pStyle w:val="ListParagraph"/>
        <w:spacing w:line="360" w:lineRule="auto"/>
        <w:jc w:val="both"/>
        <w:rPr>
          <w:rFonts w:ascii="Tahoma" w:hAnsi="Tahoma" w:cs="Tahoma"/>
          <w:b/>
          <w:color w:val="FF0000"/>
          <w:sz w:val="24"/>
          <w:szCs w:val="24"/>
        </w:rPr>
      </w:pPr>
    </w:p>
    <w:p w14:paraId="05A09906" w14:textId="77777777" w:rsidR="00F62A47" w:rsidRPr="00174922" w:rsidRDefault="00F62A47" w:rsidP="00F62A47">
      <w:pPr>
        <w:pStyle w:val="ListParagraph"/>
        <w:numPr>
          <w:ilvl w:val="0"/>
          <w:numId w:val="2"/>
        </w:numPr>
        <w:shd w:val="clear" w:color="auto" w:fill="D9D9D9"/>
        <w:spacing w:after="120" w:line="360" w:lineRule="auto"/>
        <w:ind w:hanging="1080"/>
        <w:jc w:val="both"/>
        <w:rPr>
          <w:rFonts w:ascii="Tahoma" w:hAnsi="Tahoma" w:cs="Tahoma"/>
          <w:b/>
          <w:caps/>
          <w:color w:val="4472C4" w:themeColor="accent5"/>
          <w:sz w:val="24"/>
          <w:szCs w:val="24"/>
        </w:rPr>
      </w:pPr>
      <w:r w:rsidRPr="00174922">
        <w:rPr>
          <w:rFonts w:ascii="Tahoma" w:hAnsi="Tahoma" w:cs="Tahoma"/>
          <w:b/>
          <w:caps/>
          <w:color w:val="4472C4" w:themeColor="accent5"/>
          <w:sz w:val="24"/>
          <w:szCs w:val="24"/>
        </w:rPr>
        <w:t>veniturile bugetului general consolidat</w:t>
      </w:r>
    </w:p>
    <w:p w14:paraId="7D1B2F40" w14:textId="77777777" w:rsidR="00F62A47" w:rsidRPr="00174922" w:rsidRDefault="00F62A47" w:rsidP="00F62A47">
      <w:pPr>
        <w:spacing w:after="120" w:line="240" w:lineRule="auto"/>
        <w:rPr>
          <w:rFonts w:ascii="Tahoma" w:hAnsi="Tahoma" w:cs="Tahoma"/>
          <w:b/>
          <w:color w:val="FF0000"/>
          <w:sz w:val="24"/>
          <w:szCs w:val="24"/>
        </w:rPr>
      </w:pPr>
    </w:p>
    <w:p w14:paraId="16F0B3AC" w14:textId="77777777" w:rsidR="00F62A47" w:rsidRPr="00174922" w:rsidRDefault="00F62A47" w:rsidP="00F62A47">
      <w:pPr>
        <w:shd w:val="clear" w:color="auto" w:fill="D9D9D9"/>
        <w:spacing w:after="120" w:line="360" w:lineRule="auto"/>
        <w:jc w:val="both"/>
        <w:rPr>
          <w:rFonts w:ascii="Tahoma" w:hAnsi="Tahoma" w:cs="Tahoma"/>
          <w:color w:val="FF0000"/>
          <w:sz w:val="24"/>
          <w:szCs w:val="24"/>
        </w:rPr>
      </w:pPr>
      <w:r w:rsidRPr="00174922">
        <w:rPr>
          <w:rFonts w:ascii="Tahoma" w:hAnsi="Tahoma" w:cs="Tahoma"/>
          <w:sz w:val="24"/>
          <w:szCs w:val="24"/>
        </w:rPr>
        <w:t xml:space="preserve">Veniturile bugetului general consolidat au însumat 119,59 mld lei în primele cinci luni ale anului 2020, în scădere cu 3,4% față de nivelul încasat în perioada similară a anului trecut. </w:t>
      </w:r>
      <w:r w:rsidRPr="00174922">
        <w:rPr>
          <w:rFonts w:ascii="Tahoma" w:hAnsi="Tahoma" w:cs="Tahoma"/>
          <w:color w:val="FF0000"/>
          <w:sz w:val="24"/>
          <w:szCs w:val="24"/>
        </w:rPr>
        <w:t xml:space="preserve"> </w:t>
      </w:r>
      <w:r w:rsidRPr="00174922">
        <w:rPr>
          <w:rFonts w:ascii="Tahoma" w:hAnsi="Tahoma" w:cs="Tahoma"/>
          <w:sz w:val="24"/>
          <w:szCs w:val="24"/>
        </w:rPr>
        <w:t xml:space="preserve">Dinamica este explicată de facilitățile fiscale acordate pentru susținerea economiei în contextul crizei actuale - în principal amânarea plății unor obligații fiscale și bonificațiile acordate la plata </w:t>
      </w:r>
      <w:r w:rsidRPr="00174922">
        <w:rPr>
          <w:rFonts w:ascii="Tahoma" w:hAnsi="Tahoma" w:cs="Tahoma"/>
          <w:sz w:val="24"/>
          <w:szCs w:val="24"/>
        </w:rPr>
        <w:lastRenderedPageBreak/>
        <w:t xml:space="preserve">impozitului pe profit. Suplimentar, contracția încasărilor din luna mai, de 12%, a avut la bază evoluția nefavorabilă a activității economice din aprilie, fiind luna acoperită în totalitate de instituirea stării de urgență. </w:t>
      </w:r>
    </w:p>
    <w:p w14:paraId="2B29860F" w14:textId="77777777" w:rsidR="00F62A47" w:rsidRPr="00174922" w:rsidRDefault="00F62A47" w:rsidP="00F62A47">
      <w:pPr>
        <w:spacing w:after="120" w:line="360" w:lineRule="auto"/>
        <w:jc w:val="both"/>
        <w:rPr>
          <w:rFonts w:ascii="Tahoma" w:hAnsi="Tahoma" w:cs="Tahoma"/>
          <w:color w:val="FF0000"/>
          <w:sz w:val="24"/>
          <w:szCs w:val="24"/>
        </w:rPr>
      </w:pPr>
    </w:p>
    <w:p w14:paraId="7308A63E" w14:textId="77777777" w:rsidR="00F62A47" w:rsidRPr="00174922" w:rsidRDefault="00F62A47" w:rsidP="00F62A47">
      <w:pPr>
        <w:spacing w:after="120" w:line="360" w:lineRule="auto"/>
        <w:jc w:val="both"/>
        <w:rPr>
          <w:rFonts w:ascii="Tahoma" w:hAnsi="Tahoma" w:cs="Tahoma"/>
          <w:sz w:val="24"/>
          <w:szCs w:val="24"/>
        </w:rPr>
      </w:pPr>
      <w:r w:rsidRPr="00174922">
        <w:rPr>
          <w:rFonts w:ascii="Tahoma" w:hAnsi="Tahoma" w:cs="Tahoma"/>
          <w:sz w:val="24"/>
          <w:szCs w:val="24"/>
        </w:rPr>
        <w:t xml:space="preserve">Încasările din </w:t>
      </w:r>
      <w:r w:rsidRPr="00174922">
        <w:rPr>
          <w:rFonts w:ascii="Tahoma" w:hAnsi="Tahoma" w:cs="Tahoma"/>
          <w:b/>
          <w:i/>
          <w:sz w:val="24"/>
          <w:szCs w:val="24"/>
        </w:rPr>
        <w:t>impozitul pe salarii și venit</w:t>
      </w:r>
      <w:r w:rsidRPr="00174922">
        <w:rPr>
          <w:rFonts w:ascii="Tahoma" w:hAnsi="Tahoma" w:cs="Tahoma"/>
          <w:sz w:val="24"/>
          <w:szCs w:val="24"/>
        </w:rPr>
        <w:t xml:space="preserve"> au înregistrat 9,57 mld lei în primele cinci luni ale anului curent, consemnând o creștere de 4% (an/an).  Evoluția a fost susținută de avansul încasărilor din impozitul pe veniturile din pensii și dividende, de 40,8%, respectiv 23,4% (an/an).</w:t>
      </w:r>
    </w:p>
    <w:p w14:paraId="2DDE8C97" w14:textId="77777777" w:rsidR="00F62A47" w:rsidRPr="00174922" w:rsidRDefault="00F62A47" w:rsidP="00F62A47">
      <w:pPr>
        <w:spacing w:after="120" w:line="360" w:lineRule="auto"/>
        <w:jc w:val="both"/>
        <w:rPr>
          <w:rFonts w:ascii="Tahoma" w:hAnsi="Tahoma" w:cs="Tahoma"/>
          <w:sz w:val="24"/>
          <w:szCs w:val="24"/>
        </w:rPr>
      </w:pPr>
      <w:r w:rsidRPr="00174922">
        <w:rPr>
          <w:rFonts w:ascii="Tahoma" w:hAnsi="Tahoma" w:cs="Tahoma"/>
          <w:sz w:val="24"/>
          <w:szCs w:val="24"/>
        </w:rPr>
        <w:t xml:space="preserve">În condițiile unei dinamici pozitive a fondului de salarii din economie, de 7,3% în perioada dec19-apr20 (an/an), încasările din </w:t>
      </w:r>
      <w:r w:rsidRPr="00174922">
        <w:rPr>
          <w:rFonts w:ascii="Tahoma" w:hAnsi="Tahoma" w:cs="Tahoma"/>
          <w:i/>
          <w:sz w:val="24"/>
          <w:szCs w:val="24"/>
        </w:rPr>
        <w:t>impozitul pe salarii</w:t>
      </w:r>
      <w:r w:rsidRPr="00174922">
        <w:rPr>
          <w:rFonts w:ascii="Tahoma" w:hAnsi="Tahoma" w:cs="Tahoma"/>
          <w:sz w:val="24"/>
          <w:szCs w:val="24"/>
        </w:rPr>
        <w:t xml:space="preserve"> au scăzut cu 0,7% în primele cinci luni, ca urmare a prorogării termenului de plată a obligațiilor fiscale. </w:t>
      </w:r>
      <w:r w:rsidRPr="00174922">
        <w:rPr>
          <w:rFonts w:ascii="Tahoma" w:hAnsi="Tahoma" w:cs="Tahoma"/>
          <w:color w:val="FF0000"/>
          <w:sz w:val="24"/>
          <w:szCs w:val="24"/>
        </w:rPr>
        <w:t xml:space="preserve"> </w:t>
      </w:r>
    </w:p>
    <w:p w14:paraId="4DC43E44" w14:textId="77777777" w:rsidR="00F62A47" w:rsidRPr="00174922" w:rsidRDefault="00F62A47" w:rsidP="00F62A47">
      <w:pPr>
        <w:spacing w:after="0" w:line="240" w:lineRule="auto"/>
        <w:contextualSpacing/>
        <w:jc w:val="center"/>
        <w:rPr>
          <w:rFonts w:ascii="Tahoma" w:hAnsi="Tahoma" w:cs="Tahoma"/>
          <w:noProof/>
          <w:color w:val="FF0000"/>
          <w:sz w:val="24"/>
          <w:szCs w:val="24"/>
        </w:rPr>
      </w:pPr>
      <w:r w:rsidRPr="00174922">
        <w:rPr>
          <w:noProof/>
          <w:lang w:val="en-US"/>
        </w:rPr>
        <w:drawing>
          <wp:inline distT="0" distB="0" distL="0" distR="0" wp14:anchorId="0F4CEB4D" wp14:editId="14EB90B0">
            <wp:extent cx="6149427" cy="22377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6552" cy="2240333"/>
                    </a:xfrm>
                    <a:prstGeom prst="rect">
                      <a:avLst/>
                    </a:prstGeom>
                    <a:noFill/>
                  </pic:spPr>
                </pic:pic>
              </a:graphicData>
            </a:graphic>
          </wp:inline>
        </w:drawing>
      </w:r>
    </w:p>
    <w:p w14:paraId="7C95A67E" w14:textId="77777777" w:rsidR="00F62A47" w:rsidRPr="00174922" w:rsidRDefault="00F62A47" w:rsidP="00F62A47">
      <w:pPr>
        <w:spacing w:after="0" w:line="240" w:lineRule="auto"/>
        <w:contextualSpacing/>
        <w:jc w:val="center"/>
        <w:rPr>
          <w:rFonts w:ascii="Tahoma" w:hAnsi="Tahoma" w:cs="Tahoma"/>
          <w:color w:val="FF0000"/>
          <w:sz w:val="24"/>
          <w:szCs w:val="24"/>
        </w:rPr>
      </w:pPr>
    </w:p>
    <w:p w14:paraId="14213047" w14:textId="77777777" w:rsidR="00F62A47" w:rsidRPr="00174922" w:rsidRDefault="00F62A47" w:rsidP="00F62A47">
      <w:pPr>
        <w:pStyle w:val="ListParagraph"/>
        <w:spacing w:line="360" w:lineRule="auto"/>
        <w:jc w:val="both"/>
        <w:rPr>
          <w:rFonts w:ascii="Tahoma" w:hAnsi="Tahoma" w:cs="Tahoma"/>
          <w:szCs w:val="24"/>
        </w:rPr>
      </w:pPr>
      <w:r w:rsidRPr="00174922">
        <w:rPr>
          <w:rFonts w:ascii="Tahoma" w:hAnsi="Tahoma" w:cs="Tahoma"/>
          <w:szCs w:val="24"/>
        </w:rPr>
        <w:t xml:space="preserve">Sursa: MFP, INS, calcule proprii; </w:t>
      </w:r>
    </w:p>
    <w:p w14:paraId="5845DB0C" w14:textId="77777777" w:rsidR="00F62A47" w:rsidRPr="00174922" w:rsidRDefault="00F62A47" w:rsidP="00F62A47">
      <w:pPr>
        <w:pStyle w:val="ListParagraph"/>
        <w:spacing w:before="240" w:line="360" w:lineRule="auto"/>
        <w:jc w:val="center"/>
        <w:rPr>
          <w:rFonts w:ascii="Tahoma" w:hAnsi="Tahoma" w:cs="Tahoma"/>
          <w:b/>
          <w:sz w:val="24"/>
          <w:szCs w:val="24"/>
        </w:rPr>
      </w:pPr>
      <w:r w:rsidRPr="00174922">
        <w:rPr>
          <w:rFonts w:ascii="Tahoma" w:hAnsi="Tahoma" w:cs="Tahoma"/>
          <w:b/>
          <w:sz w:val="24"/>
          <w:szCs w:val="24"/>
        </w:rPr>
        <w:t xml:space="preserve">Fig.1 Impozitul pe venit </w:t>
      </w:r>
    </w:p>
    <w:p w14:paraId="0AF1519A" w14:textId="77777777" w:rsidR="00F62A47" w:rsidRPr="00174922" w:rsidRDefault="00F62A47" w:rsidP="00F62A47">
      <w:pPr>
        <w:spacing w:after="120" w:line="360" w:lineRule="auto"/>
        <w:jc w:val="both"/>
        <w:rPr>
          <w:rFonts w:ascii="Tahoma" w:hAnsi="Tahoma" w:cs="Tahoma"/>
          <w:color w:val="FF0000"/>
          <w:sz w:val="24"/>
          <w:szCs w:val="24"/>
        </w:rPr>
      </w:pPr>
      <w:r w:rsidRPr="00174922">
        <w:rPr>
          <w:rFonts w:ascii="Tahoma" w:hAnsi="Tahoma" w:cs="Tahoma"/>
          <w:b/>
          <w:i/>
          <w:sz w:val="24"/>
          <w:szCs w:val="24"/>
        </w:rPr>
        <w:t xml:space="preserve">Contribuțiile de asigurări  </w:t>
      </w:r>
      <w:r w:rsidRPr="00174922">
        <w:rPr>
          <w:rFonts w:ascii="Tahoma" w:hAnsi="Tahoma" w:cs="Tahoma"/>
          <w:sz w:val="24"/>
          <w:szCs w:val="24"/>
        </w:rPr>
        <w:t xml:space="preserve">au înregistrat 44,65 mld lei în primele cinci luni ale anului 2020 și prezintă o scădere de 2,1% față de nivelul înregistrat în perioada corespunzătoare a anului trecut. Dinamica încasărilor din contribuții sociale a fost afectată de (i) modificarea bazei de calcul a CAS și CASS datorată de salariații cu contract individual de muncă cu timp parțial și de prorogarea termenului de plată a declarației unice privind impozitul pe venit și contribuțiile sociale datorate de persoanele fizice de la 15 martie 2020 la data de 30 iunie 2020, (ii) scutirea </w:t>
      </w:r>
      <w:r w:rsidRPr="00174922">
        <w:rPr>
          <w:rFonts w:ascii="Tahoma" w:hAnsi="Tahoma" w:cs="Tahoma"/>
          <w:sz w:val="24"/>
          <w:szCs w:val="24"/>
        </w:rPr>
        <w:lastRenderedPageBreak/>
        <w:t>de la plata a contribuției asiguratorii în muncă</w:t>
      </w:r>
      <w:r w:rsidRPr="00174922">
        <w:rPr>
          <w:rStyle w:val="FootnoteReference"/>
          <w:rFonts w:ascii="Tahoma" w:hAnsi="Tahoma" w:cs="Tahoma"/>
          <w:sz w:val="24"/>
          <w:szCs w:val="24"/>
        </w:rPr>
        <w:footnoteReference w:id="2"/>
      </w:r>
      <w:r w:rsidRPr="00174922">
        <w:rPr>
          <w:rFonts w:ascii="Tahoma" w:hAnsi="Tahoma" w:cs="Tahoma"/>
          <w:sz w:val="24"/>
          <w:szCs w:val="24"/>
        </w:rPr>
        <w:t xml:space="preserve"> si (iii) prorogarea termenului de plată a obligațiilor fiscale declarate de către contribuabili. </w:t>
      </w:r>
    </w:p>
    <w:p w14:paraId="66D4262F" w14:textId="77777777" w:rsidR="00F62A47" w:rsidRPr="00174922" w:rsidRDefault="00F62A47" w:rsidP="00F62A47">
      <w:pPr>
        <w:spacing w:after="120" w:line="360" w:lineRule="auto"/>
        <w:jc w:val="both"/>
        <w:rPr>
          <w:rFonts w:ascii="Tahoma" w:hAnsi="Tahoma" w:cs="Tahoma"/>
          <w:color w:val="FF0000"/>
          <w:sz w:val="24"/>
          <w:szCs w:val="24"/>
        </w:rPr>
      </w:pPr>
    </w:p>
    <w:p w14:paraId="73C9BD7A" w14:textId="77777777" w:rsidR="00F62A47" w:rsidRPr="00174922" w:rsidRDefault="00F62A47" w:rsidP="00F62A47">
      <w:pPr>
        <w:spacing w:after="0" w:line="240" w:lineRule="auto"/>
        <w:jc w:val="center"/>
        <w:rPr>
          <w:rFonts w:ascii="Tahoma" w:hAnsi="Tahoma" w:cs="Tahoma"/>
          <w:color w:val="FF0000"/>
          <w:sz w:val="24"/>
          <w:szCs w:val="24"/>
        </w:rPr>
      </w:pPr>
      <w:r w:rsidRPr="00174922">
        <w:rPr>
          <w:rFonts w:ascii="Tahoma" w:hAnsi="Tahoma" w:cs="Tahoma"/>
          <w:noProof/>
          <w:color w:val="FF0000"/>
          <w:sz w:val="24"/>
          <w:szCs w:val="24"/>
          <w:lang w:val="en-US"/>
        </w:rPr>
        <w:drawing>
          <wp:inline distT="0" distB="0" distL="0" distR="0" wp14:anchorId="2C1A6DC1" wp14:editId="0CF15956">
            <wp:extent cx="6362700" cy="2754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64" cy="2757385"/>
                    </a:xfrm>
                    <a:prstGeom prst="rect">
                      <a:avLst/>
                    </a:prstGeom>
                    <a:noFill/>
                  </pic:spPr>
                </pic:pic>
              </a:graphicData>
            </a:graphic>
          </wp:inline>
        </w:drawing>
      </w:r>
    </w:p>
    <w:p w14:paraId="1D76DA72" w14:textId="77777777" w:rsidR="00F62A47" w:rsidRPr="00174922" w:rsidRDefault="00F62A47" w:rsidP="00F62A47">
      <w:pPr>
        <w:pStyle w:val="ListParagraph"/>
        <w:spacing w:line="360" w:lineRule="auto"/>
        <w:jc w:val="both"/>
        <w:rPr>
          <w:rFonts w:ascii="Tahoma" w:hAnsi="Tahoma" w:cs="Tahoma"/>
          <w:sz w:val="24"/>
          <w:szCs w:val="24"/>
        </w:rPr>
      </w:pPr>
      <w:r w:rsidRPr="00174922">
        <w:rPr>
          <w:rFonts w:ascii="Tahoma" w:hAnsi="Tahoma" w:cs="Tahoma"/>
          <w:sz w:val="24"/>
          <w:szCs w:val="24"/>
        </w:rPr>
        <w:t>Sursa: MFP, INS, calcule proprii</w:t>
      </w:r>
    </w:p>
    <w:p w14:paraId="73A71B42" w14:textId="77777777" w:rsidR="00F62A47" w:rsidRPr="00174922" w:rsidRDefault="00F62A47" w:rsidP="00F62A47">
      <w:pPr>
        <w:pStyle w:val="ListParagraph"/>
        <w:spacing w:line="360" w:lineRule="auto"/>
        <w:jc w:val="center"/>
        <w:rPr>
          <w:rFonts w:ascii="Tahoma" w:hAnsi="Tahoma" w:cs="Tahoma"/>
          <w:b/>
          <w:sz w:val="24"/>
          <w:szCs w:val="24"/>
        </w:rPr>
      </w:pPr>
      <w:r w:rsidRPr="00174922">
        <w:rPr>
          <w:rFonts w:ascii="Tahoma" w:hAnsi="Tahoma" w:cs="Tahoma"/>
          <w:b/>
          <w:sz w:val="24"/>
          <w:szCs w:val="24"/>
        </w:rPr>
        <w:t>Fig.2.Contribuții de asigurări</w:t>
      </w:r>
    </w:p>
    <w:p w14:paraId="6CCD96A1" w14:textId="77777777" w:rsidR="00F62A47" w:rsidRPr="00174922" w:rsidRDefault="00F62A47" w:rsidP="00F62A47">
      <w:pPr>
        <w:spacing w:before="240" w:after="120" w:line="360" w:lineRule="auto"/>
        <w:jc w:val="both"/>
        <w:rPr>
          <w:rFonts w:ascii="Tahoma" w:hAnsi="Tahoma" w:cs="Tahoma"/>
          <w:sz w:val="24"/>
          <w:szCs w:val="24"/>
        </w:rPr>
      </w:pPr>
      <w:r w:rsidRPr="00174922">
        <w:rPr>
          <w:rFonts w:ascii="Tahoma" w:hAnsi="Tahoma" w:cs="Tahoma"/>
          <w:sz w:val="24"/>
          <w:szCs w:val="24"/>
        </w:rPr>
        <w:t xml:space="preserve">Încasările din </w:t>
      </w:r>
      <w:r w:rsidRPr="00174922">
        <w:rPr>
          <w:rFonts w:ascii="Tahoma" w:hAnsi="Tahoma" w:cs="Tahoma"/>
          <w:b/>
          <w:i/>
          <w:sz w:val="24"/>
          <w:szCs w:val="24"/>
        </w:rPr>
        <w:t xml:space="preserve">impozitul pe profit </w:t>
      </w:r>
      <w:r w:rsidRPr="00174922">
        <w:rPr>
          <w:rFonts w:ascii="Tahoma" w:hAnsi="Tahoma" w:cs="Tahoma"/>
          <w:sz w:val="24"/>
          <w:szCs w:val="24"/>
        </w:rPr>
        <w:t>au însumat 6,9</w:t>
      </w:r>
      <w:r>
        <w:rPr>
          <w:rFonts w:ascii="Tahoma" w:hAnsi="Tahoma" w:cs="Tahoma"/>
          <w:sz w:val="24"/>
          <w:szCs w:val="24"/>
        </w:rPr>
        <w:t>0</w:t>
      </w:r>
      <w:r w:rsidRPr="00174922">
        <w:rPr>
          <w:rFonts w:ascii="Tahoma" w:hAnsi="Tahoma" w:cs="Tahoma"/>
          <w:sz w:val="24"/>
          <w:szCs w:val="24"/>
        </w:rPr>
        <w:t xml:space="preserve"> mld lei în primele cinci luni ale anului curent, în scădere cu 12,5% față de perioada corespunzătoare a anului trecut. Evoluția negativă este explicată de amânarea achitării obligațiilor fiscale de către contribuabilii plătitori de impozit pe profit (OUG nr. 29/2020), precum și de bonificațiile de 5% pentru marii contribuabili, respectiv 10% pentru contribuabilii mici și mijlocii, acordate pentru plata la scadență a impozitului pe profit (OUG 33/2020, bonificații acordate în sumă de 0,22 mld. lei). </w:t>
      </w:r>
    </w:p>
    <w:p w14:paraId="26188ECF" w14:textId="77777777" w:rsidR="00F62A47" w:rsidRPr="00174922" w:rsidRDefault="00F62A47" w:rsidP="00F62A47">
      <w:pPr>
        <w:spacing w:before="240" w:after="120" w:line="360" w:lineRule="auto"/>
        <w:jc w:val="both"/>
        <w:rPr>
          <w:rFonts w:ascii="Tahoma" w:hAnsi="Tahoma" w:cs="Tahoma"/>
          <w:sz w:val="24"/>
          <w:szCs w:val="24"/>
        </w:rPr>
      </w:pPr>
      <w:r w:rsidRPr="00174922">
        <w:rPr>
          <w:rFonts w:ascii="Tahoma" w:hAnsi="Tahoma" w:cs="Tahoma"/>
          <w:b/>
          <w:i/>
          <w:sz w:val="24"/>
          <w:szCs w:val="24"/>
        </w:rPr>
        <w:t>Alte impozite pe venit, profit și câștiguri din capital de la persoane juridice</w:t>
      </w:r>
      <w:r w:rsidRPr="00174922">
        <w:rPr>
          <w:rFonts w:ascii="Tahoma" w:hAnsi="Tahoma" w:cs="Tahoma"/>
          <w:sz w:val="24"/>
          <w:szCs w:val="24"/>
        </w:rPr>
        <w:t xml:space="preserve"> au înregistrat 1,49 mld lei în primele cinci luni ale anului, în scădere cu 3,4% (an/an).  Această evoluție este explicată de amânarea plății obligațiilor fiscale declarate de către contribuabilii plătitori de impozit pe veniturile microîntreprinderilor</w:t>
      </w:r>
      <w:r w:rsidRPr="00174922">
        <w:rPr>
          <w:rStyle w:val="FootnoteReference"/>
          <w:rFonts w:ascii="Tahoma" w:hAnsi="Tahoma" w:cs="Tahoma"/>
          <w:sz w:val="24"/>
          <w:szCs w:val="24"/>
        </w:rPr>
        <w:footnoteReference w:id="3"/>
      </w:r>
      <w:r w:rsidRPr="00174922">
        <w:rPr>
          <w:rFonts w:ascii="Tahoma" w:hAnsi="Tahoma" w:cs="Tahoma"/>
          <w:sz w:val="24"/>
          <w:szCs w:val="24"/>
        </w:rPr>
        <w:t xml:space="preserve"> (OUG nr. 29/2020) și de bonificațiile de </w:t>
      </w:r>
      <w:r w:rsidRPr="00174922">
        <w:rPr>
          <w:rFonts w:ascii="Tahoma" w:hAnsi="Tahoma" w:cs="Tahoma"/>
          <w:sz w:val="24"/>
          <w:szCs w:val="24"/>
        </w:rPr>
        <w:lastRenderedPageBreak/>
        <w:t>10% acordate acestora pentru plata impozitului la scadență (OUG 33/2020, bonificații acordate în sumă de 0,03 mld lei).</w:t>
      </w:r>
    </w:p>
    <w:p w14:paraId="172B5978" w14:textId="77777777" w:rsidR="00F62A47" w:rsidRPr="00174922" w:rsidRDefault="00F62A47" w:rsidP="00F62A47">
      <w:pPr>
        <w:spacing w:before="240" w:after="120" w:line="360" w:lineRule="auto"/>
        <w:jc w:val="both"/>
        <w:rPr>
          <w:rFonts w:ascii="Tahoma" w:hAnsi="Tahoma" w:cs="Tahoma"/>
          <w:sz w:val="24"/>
          <w:szCs w:val="24"/>
        </w:rPr>
      </w:pPr>
      <w:r w:rsidRPr="00174922">
        <w:rPr>
          <w:rFonts w:ascii="Tahoma" w:hAnsi="Tahoma" w:cs="Tahoma"/>
          <w:sz w:val="24"/>
          <w:szCs w:val="24"/>
        </w:rPr>
        <w:t xml:space="preserve">Încasările din </w:t>
      </w:r>
      <w:r w:rsidRPr="00174922">
        <w:rPr>
          <w:rFonts w:ascii="Tahoma" w:hAnsi="Tahoma" w:cs="Tahoma"/>
          <w:b/>
          <w:i/>
          <w:sz w:val="24"/>
          <w:szCs w:val="24"/>
        </w:rPr>
        <w:t>TVA</w:t>
      </w:r>
      <w:r w:rsidRPr="00174922">
        <w:rPr>
          <w:rFonts w:ascii="Tahoma" w:hAnsi="Tahoma" w:cs="Tahoma"/>
          <w:sz w:val="24"/>
          <w:szCs w:val="24"/>
        </w:rPr>
        <w:t xml:space="preserve"> au înregistrat 20,11 mld lei în primele cinci luni ale anului 2020, în scădere cu 18,9% față de nivelul înregistrat în perioada similară a anului trecut. </w:t>
      </w:r>
    </w:p>
    <w:p w14:paraId="751401E5" w14:textId="77777777" w:rsidR="00F62A47" w:rsidRPr="00174922" w:rsidRDefault="00F62A47" w:rsidP="00F62A47">
      <w:pPr>
        <w:spacing w:before="240" w:after="120" w:line="360" w:lineRule="auto"/>
        <w:jc w:val="both"/>
        <w:rPr>
          <w:rFonts w:ascii="Tahoma" w:hAnsi="Tahoma" w:cs="Tahoma"/>
          <w:color w:val="FF0000"/>
          <w:sz w:val="24"/>
          <w:szCs w:val="24"/>
        </w:rPr>
      </w:pPr>
      <w:r w:rsidRPr="00174922">
        <w:rPr>
          <w:rFonts w:ascii="Tahoma" w:hAnsi="Tahoma" w:cs="Tahoma"/>
          <w:sz w:val="24"/>
          <w:szCs w:val="24"/>
        </w:rPr>
        <w:t>Evoluția încasărilor nete de TVA în primele cinci luni ale anului a fost influențată negativ de: (i) creșterea rambursărilor de TVA cu 28,4% (an/an), cu scopul de a asigura companiilor un nivel de lichiditate suplimentar pe perioada crizei; (ii) prorogarea termenului de plată a obligațiilor fiscale declarate; (iii) evoluțiile economice nefavorabile din sectoarele economice, începând cu luna martie: în principal serviciile de piață prestate populației, industria și comerțul.</w:t>
      </w:r>
      <w:r w:rsidRPr="00174922">
        <w:rPr>
          <w:rFonts w:ascii="Tahoma" w:hAnsi="Tahoma" w:cs="Tahoma"/>
          <w:color w:val="FF0000"/>
          <w:sz w:val="24"/>
          <w:szCs w:val="24"/>
        </w:rPr>
        <w:t xml:space="preserve"> </w:t>
      </w:r>
    </w:p>
    <w:p w14:paraId="1B999BF7" w14:textId="77777777" w:rsidR="00F62A47" w:rsidRPr="00174922" w:rsidRDefault="00F62A47" w:rsidP="00F62A47">
      <w:pPr>
        <w:pStyle w:val="ListParagraph"/>
        <w:spacing w:line="360" w:lineRule="auto"/>
        <w:ind w:left="0"/>
        <w:rPr>
          <w:rFonts w:ascii="Tahoma" w:hAnsi="Tahoma" w:cs="Tahoma"/>
          <w:color w:val="FF0000"/>
          <w:sz w:val="24"/>
          <w:szCs w:val="24"/>
        </w:rPr>
      </w:pPr>
    </w:p>
    <w:p w14:paraId="6F010A40" w14:textId="77777777" w:rsidR="00F62A47" w:rsidRPr="00174922" w:rsidRDefault="00F62A47" w:rsidP="00F62A47">
      <w:pPr>
        <w:pStyle w:val="ListParagraph"/>
        <w:spacing w:line="360" w:lineRule="auto"/>
        <w:ind w:left="0"/>
        <w:jc w:val="center"/>
        <w:rPr>
          <w:rFonts w:ascii="Tahoma" w:hAnsi="Tahoma" w:cs="Tahoma"/>
          <w:color w:val="FF0000"/>
          <w:sz w:val="24"/>
          <w:szCs w:val="24"/>
        </w:rPr>
      </w:pPr>
      <w:r w:rsidRPr="00174922">
        <w:rPr>
          <w:rFonts w:ascii="Tahoma" w:hAnsi="Tahoma" w:cs="Tahoma"/>
          <w:noProof/>
          <w:color w:val="FF0000"/>
          <w:sz w:val="24"/>
          <w:szCs w:val="24"/>
          <w:lang w:val="en-US"/>
        </w:rPr>
        <w:drawing>
          <wp:inline distT="0" distB="0" distL="0" distR="0" wp14:anchorId="21FCF204" wp14:editId="7FDD38A6">
            <wp:extent cx="6391275" cy="26822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9334" cy="2685622"/>
                    </a:xfrm>
                    <a:prstGeom prst="rect">
                      <a:avLst/>
                    </a:prstGeom>
                    <a:noFill/>
                  </pic:spPr>
                </pic:pic>
              </a:graphicData>
            </a:graphic>
          </wp:inline>
        </w:drawing>
      </w:r>
    </w:p>
    <w:p w14:paraId="15F329F2" w14:textId="77777777" w:rsidR="00F62A47" w:rsidRPr="00174922" w:rsidRDefault="00F62A47" w:rsidP="00F62A47">
      <w:pPr>
        <w:pStyle w:val="ListParagraph"/>
        <w:spacing w:line="360" w:lineRule="auto"/>
        <w:jc w:val="both"/>
        <w:rPr>
          <w:rFonts w:ascii="Tahoma" w:hAnsi="Tahoma" w:cs="Tahoma"/>
          <w:sz w:val="24"/>
          <w:szCs w:val="24"/>
        </w:rPr>
      </w:pPr>
      <w:r w:rsidRPr="00174922">
        <w:rPr>
          <w:rFonts w:ascii="Tahoma" w:hAnsi="Tahoma" w:cs="Tahoma"/>
          <w:sz w:val="24"/>
          <w:szCs w:val="24"/>
        </w:rPr>
        <w:t>Sursa: MFP, INS, calcule proprii</w:t>
      </w:r>
    </w:p>
    <w:p w14:paraId="2C9CE396" w14:textId="77777777" w:rsidR="00F62A47" w:rsidRPr="00174922" w:rsidRDefault="00F62A47" w:rsidP="00F62A47">
      <w:pPr>
        <w:pStyle w:val="ListParagraph"/>
        <w:spacing w:before="240" w:line="360" w:lineRule="auto"/>
        <w:jc w:val="center"/>
        <w:rPr>
          <w:rFonts w:ascii="Tahoma" w:hAnsi="Tahoma" w:cs="Tahoma"/>
          <w:b/>
          <w:sz w:val="24"/>
          <w:szCs w:val="24"/>
        </w:rPr>
      </w:pPr>
      <w:r w:rsidRPr="00174922">
        <w:rPr>
          <w:rFonts w:ascii="Tahoma" w:hAnsi="Tahoma" w:cs="Tahoma"/>
          <w:b/>
          <w:sz w:val="24"/>
          <w:szCs w:val="24"/>
        </w:rPr>
        <w:t xml:space="preserve">Fig.3 Încasările din taxa pe valoarea adăugată </w:t>
      </w:r>
    </w:p>
    <w:p w14:paraId="19D3AD96" w14:textId="77777777" w:rsidR="00F62A47" w:rsidRPr="00174922" w:rsidRDefault="00F62A47" w:rsidP="00F62A47">
      <w:pPr>
        <w:spacing w:after="120" w:line="360" w:lineRule="auto"/>
        <w:jc w:val="both"/>
        <w:rPr>
          <w:rFonts w:ascii="Tahoma" w:hAnsi="Tahoma" w:cs="Tahoma"/>
          <w:sz w:val="24"/>
          <w:szCs w:val="24"/>
        </w:rPr>
      </w:pPr>
      <w:r w:rsidRPr="00174922">
        <w:rPr>
          <w:rFonts w:ascii="Tahoma" w:hAnsi="Tahoma" w:cs="Tahoma"/>
          <w:sz w:val="24"/>
          <w:szCs w:val="24"/>
        </w:rPr>
        <w:t xml:space="preserve">Veniturile din </w:t>
      </w:r>
      <w:r w:rsidRPr="00174922">
        <w:rPr>
          <w:rFonts w:ascii="Tahoma" w:hAnsi="Tahoma" w:cs="Tahoma"/>
          <w:b/>
          <w:i/>
          <w:sz w:val="24"/>
          <w:szCs w:val="24"/>
        </w:rPr>
        <w:t>accize</w:t>
      </w:r>
      <w:r w:rsidRPr="00174922">
        <w:rPr>
          <w:rFonts w:ascii="Tahoma" w:hAnsi="Tahoma" w:cs="Tahoma"/>
          <w:sz w:val="24"/>
          <w:szCs w:val="24"/>
        </w:rPr>
        <w:t xml:space="preserve"> au însumat 11,67 mld lei în primele cinci luni ale anului 2020, în scădere cu 0,1% față de nivelul înregistrat în perioada similară a anului trecut.</w:t>
      </w:r>
    </w:p>
    <w:p w14:paraId="68B720E4" w14:textId="77777777" w:rsidR="00F62A47" w:rsidRPr="00174922" w:rsidRDefault="00F62A47" w:rsidP="00F62A47">
      <w:pPr>
        <w:spacing w:after="120" w:line="360" w:lineRule="auto"/>
        <w:jc w:val="both"/>
        <w:rPr>
          <w:rFonts w:ascii="Tahoma" w:hAnsi="Tahoma" w:cs="Tahoma"/>
          <w:color w:val="FF0000"/>
          <w:sz w:val="24"/>
          <w:szCs w:val="24"/>
        </w:rPr>
      </w:pPr>
      <w:r w:rsidRPr="00174922">
        <w:rPr>
          <w:rFonts w:ascii="Tahoma" w:hAnsi="Tahoma" w:cs="Tahoma"/>
          <w:sz w:val="24"/>
          <w:szCs w:val="24"/>
        </w:rPr>
        <w:t xml:space="preserve">În structură, veniturile din accizele pentru produse energetice s-au contractat cu 15,4% (an/an) în perioada ian-mai, ca urmare a diminuării consumului de carburanți începând din luna martie, odată cu instituirea stării de urgență în contextul crizei </w:t>
      </w:r>
      <w:r>
        <w:rPr>
          <w:rFonts w:ascii="Tahoma" w:hAnsi="Tahoma" w:cs="Tahoma"/>
          <w:sz w:val="24"/>
          <w:szCs w:val="24"/>
        </w:rPr>
        <w:t>COVID-</w:t>
      </w:r>
      <w:r w:rsidRPr="00174922">
        <w:rPr>
          <w:rFonts w:ascii="Tahoma" w:hAnsi="Tahoma" w:cs="Tahoma"/>
          <w:sz w:val="24"/>
          <w:szCs w:val="24"/>
        </w:rPr>
        <w:t xml:space="preserve">19. În schimb, </w:t>
      </w:r>
      <w:r w:rsidRPr="00174922">
        <w:rPr>
          <w:rFonts w:ascii="Tahoma" w:hAnsi="Tahoma" w:cs="Tahoma"/>
          <w:sz w:val="24"/>
          <w:szCs w:val="24"/>
        </w:rPr>
        <w:lastRenderedPageBreak/>
        <w:t xml:space="preserve">veniturile din accizele pentru produsele din tutun au consemnat un avans de 18,6% (an/an), susținut și de majorarea nivelului accizei la țigarete cu 4,2%. </w:t>
      </w:r>
    </w:p>
    <w:p w14:paraId="5475BD05" w14:textId="77777777" w:rsidR="00F62A47" w:rsidRPr="00174922" w:rsidRDefault="00F62A47" w:rsidP="00F62A47">
      <w:pPr>
        <w:spacing w:after="0" w:line="240" w:lineRule="auto"/>
        <w:jc w:val="center"/>
        <w:rPr>
          <w:rFonts w:ascii="Tahoma" w:hAnsi="Tahoma" w:cs="Tahoma"/>
          <w:color w:val="FF0000"/>
          <w:sz w:val="24"/>
          <w:szCs w:val="24"/>
        </w:rPr>
      </w:pPr>
      <w:r w:rsidRPr="00174922">
        <w:rPr>
          <w:rFonts w:ascii="Tahoma" w:hAnsi="Tahoma" w:cs="Tahoma"/>
          <w:noProof/>
          <w:color w:val="FF0000"/>
          <w:sz w:val="24"/>
          <w:szCs w:val="24"/>
          <w:lang w:val="en-US"/>
        </w:rPr>
        <w:drawing>
          <wp:inline distT="0" distB="0" distL="0" distR="0" wp14:anchorId="64D33728" wp14:editId="15F7E74E">
            <wp:extent cx="6248400" cy="28740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455" cy="2879555"/>
                    </a:xfrm>
                    <a:prstGeom prst="rect">
                      <a:avLst/>
                    </a:prstGeom>
                    <a:noFill/>
                  </pic:spPr>
                </pic:pic>
              </a:graphicData>
            </a:graphic>
          </wp:inline>
        </w:drawing>
      </w:r>
    </w:p>
    <w:p w14:paraId="43E13BC3" w14:textId="77777777" w:rsidR="00F62A47" w:rsidRPr="00174922" w:rsidRDefault="00F62A47" w:rsidP="00F62A47">
      <w:pPr>
        <w:pStyle w:val="ListParagraph"/>
        <w:spacing w:line="360" w:lineRule="auto"/>
        <w:jc w:val="both"/>
        <w:rPr>
          <w:rFonts w:ascii="Tahoma" w:hAnsi="Tahoma" w:cs="Tahoma"/>
          <w:sz w:val="24"/>
          <w:szCs w:val="24"/>
        </w:rPr>
      </w:pPr>
      <w:r w:rsidRPr="00174922">
        <w:rPr>
          <w:rFonts w:ascii="Tahoma" w:hAnsi="Tahoma" w:cs="Tahoma"/>
          <w:sz w:val="24"/>
          <w:szCs w:val="24"/>
        </w:rPr>
        <w:t>Sursa: MFP, INS, calcule proprii</w:t>
      </w:r>
    </w:p>
    <w:p w14:paraId="32BE849A" w14:textId="77777777" w:rsidR="00F62A47" w:rsidRPr="00174922" w:rsidRDefault="00F62A47" w:rsidP="00F62A47">
      <w:pPr>
        <w:pStyle w:val="ListParagraph"/>
        <w:spacing w:line="360" w:lineRule="auto"/>
        <w:jc w:val="center"/>
        <w:rPr>
          <w:rFonts w:ascii="Tahoma" w:hAnsi="Tahoma" w:cs="Tahoma"/>
          <w:sz w:val="24"/>
          <w:szCs w:val="24"/>
        </w:rPr>
      </w:pPr>
      <w:r w:rsidRPr="00174922">
        <w:rPr>
          <w:rFonts w:ascii="Tahoma" w:hAnsi="Tahoma" w:cs="Tahoma"/>
          <w:b/>
          <w:sz w:val="24"/>
          <w:szCs w:val="24"/>
        </w:rPr>
        <w:t xml:space="preserve">Fig.4 Încasările din accize </w:t>
      </w:r>
    </w:p>
    <w:p w14:paraId="51F1DCD7" w14:textId="77777777" w:rsidR="00F62A47" w:rsidRPr="00174922" w:rsidRDefault="00F62A47" w:rsidP="00F62A47">
      <w:pPr>
        <w:spacing w:before="240" w:after="120" w:line="360" w:lineRule="auto"/>
        <w:jc w:val="both"/>
        <w:rPr>
          <w:rFonts w:ascii="Tahoma" w:hAnsi="Tahoma" w:cs="Tahoma"/>
          <w:b/>
          <w:color w:val="FF0000"/>
          <w:sz w:val="24"/>
          <w:szCs w:val="24"/>
        </w:rPr>
      </w:pPr>
      <w:r w:rsidRPr="00174922">
        <w:rPr>
          <w:rFonts w:ascii="Tahoma" w:hAnsi="Tahoma" w:cs="Tahoma"/>
          <w:sz w:val="24"/>
          <w:szCs w:val="24"/>
        </w:rPr>
        <w:t xml:space="preserve">Veniturile din </w:t>
      </w:r>
      <w:r w:rsidRPr="00174922">
        <w:rPr>
          <w:rFonts w:ascii="Tahoma" w:hAnsi="Tahoma" w:cs="Tahoma"/>
          <w:b/>
          <w:i/>
          <w:sz w:val="24"/>
          <w:szCs w:val="24"/>
        </w:rPr>
        <w:t>taxele pe utilizarea bunurilor</w:t>
      </w:r>
      <w:r w:rsidRPr="00174922">
        <w:rPr>
          <w:rFonts w:ascii="Tahoma" w:hAnsi="Tahoma" w:cs="Tahoma"/>
          <w:sz w:val="24"/>
          <w:szCs w:val="24"/>
        </w:rPr>
        <w:t xml:space="preserve"> au înregistrat 2,16 mld lei în primele cinci luni ale anului, în creștere cu 137,2% (an/an). Avansul se datorează încasărilor din taxele pentru prelungirea unor licențe a frecvențelor radio (HG nr. 226/2020). Pe de altă parte, taxele pentru jocurile de noroc încasate în perioada martie 2020 – mai 2020 s-au contractat cu 56,5% (an/an)</w:t>
      </w:r>
      <w:r w:rsidRPr="00174922">
        <w:t>,</w:t>
      </w:r>
      <w:r w:rsidRPr="00174922">
        <w:rPr>
          <w:rFonts w:ascii="Tahoma" w:hAnsi="Tahoma" w:cs="Tahoma"/>
          <w:sz w:val="24"/>
          <w:szCs w:val="24"/>
        </w:rPr>
        <w:t xml:space="preserve"> ca urmare a măsurilor legislative aprobate privind amânarea la plată a obligațiilor fiscale declarate (OUG nr. 29/2020), suspendarea obligațiilor de plată aferente autorizațiilor de exploatare a jocurilor de noroc tradiționale, respectiv scutirea operatorilor de jocuri de noroc de taxele aferente autorizațiilor de exploatare a jocurilor de noroc pentru întreaga perioadă a stării de urgență decretate (OUG nr. 48/2020).</w:t>
      </w:r>
      <w:r w:rsidRPr="00174922">
        <w:rPr>
          <w:rFonts w:ascii="Tahoma" w:hAnsi="Tahoma" w:cs="Tahoma"/>
          <w:b/>
          <w:sz w:val="24"/>
          <w:szCs w:val="24"/>
        </w:rPr>
        <w:t xml:space="preserve"> </w:t>
      </w:r>
    </w:p>
    <w:p w14:paraId="46B1F63A" w14:textId="77777777" w:rsidR="00F62A47" w:rsidRPr="00174922" w:rsidRDefault="00F62A47" w:rsidP="00F62A47">
      <w:pPr>
        <w:spacing w:before="240" w:after="120" w:line="360" w:lineRule="auto"/>
        <w:jc w:val="both"/>
        <w:rPr>
          <w:rFonts w:ascii="Tahoma" w:hAnsi="Tahoma" w:cs="Tahoma"/>
          <w:color w:val="FF0000"/>
          <w:sz w:val="24"/>
          <w:szCs w:val="24"/>
        </w:rPr>
      </w:pPr>
      <w:r w:rsidRPr="00174922">
        <w:rPr>
          <w:rFonts w:ascii="Tahoma" w:hAnsi="Tahoma" w:cs="Tahoma"/>
          <w:sz w:val="24"/>
          <w:szCs w:val="24"/>
        </w:rPr>
        <w:t xml:space="preserve">Veniturile </w:t>
      </w:r>
      <w:r w:rsidRPr="00174922">
        <w:rPr>
          <w:rFonts w:ascii="Tahoma" w:hAnsi="Tahoma" w:cs="Tahoma"/>
          <w:b/>
          <w:i/>
          <w:sz w:val="24"/>
          <w:szCs w:val="24"/>
        </w:rPr>
        <w:t>nefiscale</w:t>
      </w:r>
      <w:r w:rsidRPr="00174922">
        <w:rPr>
          <w:rFonts w:ascii="Tahoma" w:hAnsi="Tahoma" w:cs="Tahoma"/>
          <w:sz w:val="24"/>
          <w:szCs w:val="24"/>
        </w:rPr>
        <w:t xml:space="preserve"> au înregistrat 9,04 mld lei în primele cinci luni ale anului 2020, în creștere cu 3,1% față de încasările din aceeași perioadă a anului 2019. </w:t>
      </w:r>
    </w:p>
    <w:p w14:paraId="343FEBE8" w14:textId="77777777" w:rsidR="00F62A47" w:rsidRDefault="00F62A47" w:rsidP="00F62A47">
      <w:pPr>
        <w:spacing w:before="240" w:after="120" w:line="360" w:lineRule="auto"/>
        <w:jc w:val="both"/>
        <w:rPr>
          <w:rFonts w:ascii="Tahoma" w:hAnsi="Tahoma" w:cs="Tahoma"/>
          <w:sz w:val="24"/>
          <w:szCs w:val="24"/>
        </w:rPr>
      </w:pPr>
      <w:r w:rsidRPr="00174922">
        <w:rPr>
          <w:rFonts w:ascii="Tahoma" w:hAnsi="Tahoma" w:cs="Tahoma"/>
          <w:b/>
          <w:i/>
          <w:sz w:val="24"/>
          <w:szCs w:val="24"/>
        </w:rPr>
        <w:lastRenderedPageBreak/>
        <w:t>Sumele rambursate de Uniunea Europeană în contul plăților efectuate</w:t>
      </w:r>
      <w:r w:rsidRPr="00174922">
        <w:rPr>
          <w:rFonts w:ascii="Tahoma" w:hAnsi="Tahoma" w:cs="Tahoma"/>
          <w:sz w:val="24"/>
          <w:szCs w:val="24"/>
        </w:rPr>
        <w:t xml:space="preserve"> și donații au totalizat 7,58 mld lei în primele cinci luni ale anului 2020, în creștere cu 24,8% față de perioada similară a anului trecut.</w:t>
      </w:r>
    </w:p>
    <w:p w14:paraId="1349FF25" w14:textId="185F1533" w:rsidR="00F62A47" w:rsidRDefault="00F62A47" w:rsidP="00F62A47">
      <w:pPr>
        <w:rPr>
          <w:rFonts w:ascii="Tahoma" w:hAnsi="Tahoma" w:cs="Tahoma"/>
          <w:sz w:val="24"/>
          <w:szCs w:val="24"/>
        </w:rPr>
      </w:pPr>
    </w:p>
    <w:p w14:paraId="18CDFC72" w14:textId="77777777" w:rsidR="00F62A47" w:rsidRPr="00174922" w:rsidRDefault="00F62A47" w:rsidP="00F62A47">
      <w:pPr>
        <w:pStyle w:val="ListParagraph"/>
        <w:numPr>
          <w:ilvl w:val="0"/>
          <w:numId w:val="2"/>
        </w:numPr>
        <w:shd w:val="clear" w:color="auto" w:fill="D9D9D9" w:themeFill="background1" w:themeFillShade="D9"/>
        <w:spacing w:after="120" w:line="360" w:lineRule="auto"/>
        <w:ind w:hanging="1080"/>
        <w:jc w:val="both"/>
        <w:rPr>
          <w:rFonts w:ascii="Tahoma" w:hAnsi="Tahoma" w:cs="Tahoma"/>
          <w:color w:val="000000" w:themeColor="text1"/>
          <w:sz w:val="24"/>
          <w:szCs w:val="24"/>
        </w:rPr>
      </w:pPr>
      <w:r w:rsidRPr="00174922">
        <w:rPr>
          <w:rFonts w:ascii="Tahoma" w:hAnsi="Tahoma" w:cs="Tahoma"/>
          <w:b/>
          <w:caps/>
          <w:color w:val="0070C0"/>
          <w:sz w:val="24"/>
          <w:szCs w:val="24"/>
        </w:rPr>
        <w:t>CHELTUIELILE bugetului general consolidat</w:t>
      </w:r>
    </w:p>
    <w:p w14:paraId="315A5843" w14:textId="77777777" w:rsidR="00F62A47" w:rsidRPr="00174922" w:rsidRDefault="00F62A47" w:rsidP="00F62A47">
      <w:pPr>
        <w:spacing w:line="360" w:lineRule="auto"/>
        <w:ind w:right="-57"/>
        <w:jc w:val="both"/>
        <w:rPr>
          <w:rFonts w:ascii="Tahoma" w:hAnsi="Tahoma" w:cs="Tahoma"/>
          <w:b/>
          <w:i/>
          <w:sz w:val="24"/>
          <w:szCs w:val="24"/>
        </w:rPr>
      </w:pPr>
    </w:p>
    <w:p w14:paraId="71F8DAAD" w14:textId="77777777" w:rsidR="00F62A47" w:rsidRPr="00174922" w:rsidRDefault="00F62A47" w:rsidP="00F62A47">
      <w:pPr>
        <w:shd w:val="clear" w:color="auto" w:fill="D9D9D9" w:themeFill="background1" w:themeFillShade="D9"/>
        <w:spacing w:after="120" w:line="360" w:lineRule="auto"/>
        <w:jc w:val="both"/>
        <w:rPr>
          <w:rFonts w:ascii="Tahoma" w:hAnsi="Tahoma" w:cs="Tahoma"/>
          <w:sz w:val="24"/>
          <w:szCs w:val="24"/>
        </w:rPr>
      </w:pPr>
      <w:r w:rsidRPr="00174922">
        <w:rPr>
          <w:rFonts w:ascii="Tahoma" w:hAnsi="Tahoma" w:cs="Tahoma"/>
          <w:sz w:val="24"/>
          <w:szCs w:val="24"/>
        </w:rPr>
        <w:t xml:space="preserve">Cheltuielile bugetului general consolidat în sumă de 158,43 mld lei au crescut în termeni nominali cu 14,4% față de aceeași perioadă a anului precedent. Exprimate ca procent din Produsul Intern Brut, cheltuielile au înregistrat o creștere cu 1,57 puncte procentuale de la 13,07% din PIB 2019 la 14,64% din PIB în 2020. Majorarea cheltuielilor se datorează și măsurilor care au fost avute în vedere pentru combaterea epidemiei de COVID-19, respectiv a </w:t>
      </w:r>
      <w:r w:rsidRPr="00174922">
        <w:rPr>
          <w:rFonts w:ascii="Tahoma" w:eastAsia="Times New Roman" w:hAnsi="Tahoma" w:cs="Tahoma"/>
          <w:color w:val="000000"/>
          <w:sz w:val="24"/>
          <w:szCs w:val="24"/>
          <w:lang w:eastAsia="ro-RO"/>
        </w:rPr>
        <w:t xml:space="preserve">sumelor necesare finanțării în regim de urgență a cheltuielilor de gestionare a situației epidemiologice cauzate de răspândirea coronavirusului SARS-CoV-2, pe de o parte, precum și a măsurilor cu caracter excepțional, în domeniul social și economic, pentru diminuarea efectelor negative asupra economiei cauzate de măsurile adoptate pentru limitarea infectării în rândul populației. </w:t>
      </w:r>
      <w:r w:rsidRPr="00174922">
        <w:rPr>
          <w:rFonts w:ascii="Tahoma" w:hAnsi="Tahoma" w:cs="Tahoma"/>
          <w:sz w:val="24"/>
          <w:szCs w:val="24"/>
        </w:rPr>
        <w:t>Astfel, până la finele lunii mai s-au plătit 2</w:t>
      </w:r>
      <w:r>
        <w:rPr>
          <w:rFonts w:ascii="Tahoma" w:hAnsi="Tahoma" w:cs="Tahoma"/>
          <w:sz w:val="24"/>
          <w:szCs w:val="24"/>
        </w:rPr>
        <w:t>.</w:t>
      </w:r>
      <w:r w:rsidRPr="00174922">
        <w:rPr>
          <w:rFonts w:ascii="Tahoma" w:hAnsi="Tahoma" w:cs="Tahoma"/>
          <w:sz w:val="24"/>
          <w:szCs w:val="24"/>
        </w:rPr>
        <w:t>288,8 mil lei pentru indemnizații acordate pe perioada suspendării temporare a contractului individual de muncă din inițiativa angajatorului, 4</w:t>
      </w:r>
      <w:r>
        <w:rPr>
          <w:rFonts w:ascii="Tahoma" w:hAnsi="Tahoma" w:cs="Tahoma"/>
          <w:sz w:val="24"/>
          <w:szCs w:val="24"/>
        </w:rPr>
        <w:t>40</w:t>
      </w:r>
      <w:r w:rsidRPr="00174922">
        <w:rPr>
          <w:rFonts w:ascii="Tahoma" w:hAnsi="Tahoma" w:cs="Tahoma"/>
          <w:sz w:val="24"/>
          <w:szCs w:val="24"/>
        </w:rPr>
        <w:t>,</w:t>
      </w:r>
      <w:r>
        <w:rPr>
          <w:rFonts w:ascii="Tahoma" w:hAnsi="Tahoma" w:cs="Tahoma"/>
          <w:sz w:val="24"/>
          <w:szCs w:val="24"/>
        </w:rPr>
        <w:t>1</w:t>
      </w:r>
      <w:r w:rsidRPr="00174922">
        <w:rPr>
          <w:rFonts w:ascii="Tahoma" w:hAnsi="Tahoma" w:cs="Tahoma"/>
          <w:sz w:val="24"/>
          <w:szCs w:val="24"/>
        </w:rPr>
        <w:t xml:space="preserve"> mil lei pentru indemnizații acordate pentru alți profesioniștii, precum și pentru persoanele care au încheiate convenții individuale de muncă care întrerup activitatea ca u</w:t>
      </w:r>
      <w:r>
        <w:rPr>
          <w:rFonts w:ascii="Tahoma" w:hAnsi="Tahoma" w:cs="Tahoma"/>
          <w:sz w:val="24"/>
          <w:szCs w:val="24"/>
        </w:rPr>
        <w:t xml:space="preserve">rmare a efectelor SARS-CoV-2, </w:t>
      </w:r>
      <w:r w:rsidRPr="00174922">
        <w:rPr>
          <w:rFonts w:ascii="Tahoma" w:hAnsi="Tahoma" w:cs="Tahoma"/>
          <w:sz w:val="24"/>
          <w:szCs w:val="24"/>
        </w:rPr>
        <w:t>9</w:t>
      </w:r>
      <w:r>
        <w:rPr>
          <w:rFonts w:ascii="Tahoma" w:hAnsi="Tahoma" w:cs="Tahoma"/>
          <w:sz w:val="24"/>
          <w:szCs w:val="24"/>
        </w:rPr>
        <w:t>,0</w:t>
      </w:r>
      <w:r w:rsidRPr="00174922">
        <w:rPr>
          <w:rFonts w:ascii="Tahoma" w:hAnsi="Tahoma" w:cs="Tahoma"/>
          <w:sz w:val="24"/>
          <w:szCs w:val="24"/>
        </w:rPr>
        <w:t xml:space="preserve"> mil lei pentru indemnizații acordate părinților pentru supravegherea copiilor pe perioada închiderii temporare a unităților de învățământ.</w:t>
      </w:r>
    </w:p>
    <w:p w14:paraId="72EA24F7" w14:textId="77777777" w:rsidR="00F62A47" w:rsidRPr="00174922" w:rsidRDefault="00F62A47" w:rsidP="00F62A47">
      <w:pPr>
        <w:spacing w:line="360" w:lineRule="auto"/>
        <w:ind w:right="-57"/>
        <w:jc w:val="both"/>
        <w:rPr>
          <w:rFonts w:ascii="Tahoma" w:hAnsi="Tahoma" w:cs="Tahoma"/>
          <w:b/>
          <w:i/>
          <w:sz w:val="24"/>
          <w:szCs w:val="24"/>
        </w:rPr>
      </w:pPr>
    </w:p>
    <w:p w14:paraId="1B991D55" w14:textId="77777777" w:rsidR="00F62A47" w:rsidRPr="00174922" w:rsidRDefault="00F62A47" w:rsidP="00F62A47">
      <w:pPr>
        <w:spacing w:before="240" w:after="120" w:line="360" w:lineRule="auto"/>
        <w:ind w:right="-57"/>
        <w:jc w:val="both"/>
        <w:rPr>
          <w:rFonts w:ascii="Tahoma" w:hAnsi="Tahoma" w:cs="Tahoma"/>
          <w:sz w:val="24"/>
          <w:szCs w:val="24"/>
        </w:rPr>
      </w:pPr>
      <w:r w:rsidRPr="00174922">
        <w:rPr>
          <w:rFonts w:ascii="Tahoma" w:hAnsi="Tahoma" w:cs="Tahoma"/>
          <w:b/>
          <w:i/>
          <w:sz w:val="24"/>
          <w:szCs w:val="24"/>
        </w:rPr>
        <w:t>Cheltuielile de personal</w:t>
      </w:r>
      <w:r w:rsidRPr="00174922">
        <w:rPr>
          <w:rFonts w:ascii="Tahoma" w:hAnsi="Tahoma" w:cs="Tahoma"/>
          <w:sz w:val="24"/>
          <w:szCs w:val="24"/>
        </w:rPr>
        <w:t xml:space="preserve"> au însumat 43,99 mld lei, în creștere cu 5,2% comparativ cu aceeași perioadă a anului precedent, reflectându-se majorările salariale, îndemnizația de hrană, atât cele aplicate începând cu 1 ianuarie 2019, acordate în temeiul Legii cadru nr.153/2017 privind salarizarea personalului plătit din fonduri publice, cât și majorările salariale aplicate cu 1 ianuarie 2020. Exprimate ca pondere în PIB, cheltuielile de personal reprezintă </w:t>
      </w:r>
      <w:r w:rsidRPr="00174922">
        <w:rPr>
          <w:rFonts w:ascii="Tahoma" w:hAnsi="Tahoma" w:cs="Tahoma"/>
          <w:sz w:val="24"/>
          <w:szCs w:val="24"/>
        </w:rPr>
        <w:lastRenderedPageBreak/>
        <w:t>un nivel de 4,</w:t>
      </w:r>
      <w:r>
        <w:rPr>
          <w:rFonts w:ascii="Tahoma" w:hAnsi="Tahoma" w:cs="Tahoma"/>
          <w:sz w:val="24"/>
          <w:szCs w:val="24"/>
        </w:rPr>
        <w:t>1</w:t>
      </w:r>
      <w:r w:rsidRPr="00174922">
        <w:rPr>
          <w:rFonts w:ascii="Tahoma" w:hAnsi="Tahoma" w:cs="Tahoma"/>
          <w:sz w:val="24"/>
          <w:szCs w:val="24"/>
        </w:rPr>
        <w:t>% din PIB, cu 0,12  puncte procentuale peste nivelul din aceeași perioadă a anului anterior. Din total cheltuielilor de personal, în luna mai plățile reprezentând stimulentul de risc acordat pentru COVID 19 a fost de 74,2 mld lei.</w:t>
      </w:r>
    </w:p>
    <w:p w14:paraId="5C06F442" w14:textId="77777777" w:rsidR="00F62A47" w:rsidRPr="00174922" w:rsidRDefault="00F62A47" w:rsidP="00F62A47">
      <w:pPr>
        <w:spacing w:before="240" w:after="120" w:line="360" w:lineRule="auto"/>
        <w:ind w:right="-57"/>
        <w:jc w:val="both"/>
        <w:rPr>
          <w:rFonts w:ascii="Tahoma" w:hAnsi="Tahoma" w:cs="Tahoma"/>
          <w:sz w:val="24"/>
          <w:szCs w:val="24"/>
        </w:rPr>
      </w:pPr>
      <w:r w:rsidRPr="00174922">
        <w:rPr>
          <w:rFonts w:ascii="Tahoma" w:hAnsi="Tahoma" w:cs="Tahoma"/>
          <w:b/>
          <w:i/>
          <w:sz w:val="24"/>
          <w:szCs w:val="24"/>
        </w:rPr>
        <w:t>Cheltuielile cu bunuri și servicii</w:t>
      </w:r>
      <w:r w:rsidRPr="00174922">
        <w:rPr>
          <w:rFonts w:ascii="Tahoma" w:hAnsi="Tahoma" w:cs="Tahoma"/>
          <w:sz w:val="24"/>
          <w:szCs w:val="24"/>
        </w:rPr>
        <w:t xml:space="preserve">  au fost 21,10 mld lei, în creștere cu 16,2% față de anul precedent. În cadrul bugetului general consolidat, majorările față de medie se înregistrează la nivelul administrației locale (15,6%) și la instituțiile publice finanțate integral sau parțial din venituri proprii (15,7%), majorări determinate în special de plăți suplimentare pentru medicamente, materiale sanitare, reactivi și alte produse necesare diagnosticării și tratării pacienților infectați cu coronavirusul SARS-CoV-2. </w:t>
      </w:r>
    </w:p>
    <w:p w14:paraId="11D57287" w14:textId="77777777" w:rsidR="00F62A47" w:rsidRPr="00174922" w:rsidRDefault="00F62A47" w:rsidP="00F62A47">
      <w:pPr>
        <w:spacing w:before="240" w:after="120" w:line="360" w:lineRule="auto"/>
        <w:jc w:val="both"/>
        <w:rPr>
          <w:rFonts w:ascii="Tahoma" w:hAnsi="Tahoma" w:cs="Tahoma"/>
          <w:sz w:val="24"/>
          <w:szCs w:val="24"/>
        </w:rPr>
      </w:pPr>
      <w:r w:rsidRPr="00174922">
        <w:rPr>
          <w:rFonts w:ascii="Tahoma" w:hAnsi="Tahoma" w:cs="Tahoma"/>
          <w:sz w:val="24"/>
          <w:szCs w:val="24"/>
        </w:rPr>
        <w:t>De asemenea, o creștere se reflectă și la bugetul Fondului național unic de asigurări sociale de sănătate de 13,6% față de aceeași perioadă a anului anterior determinată de deconturile mai mari pentru plata medicamentelor care fac obiectul contractelor cost-volum rezultat și pentru decontarea serviciilor medicale în ambulatoriu.</w:t>
      </w:r>
    </w:p>
    <w:p w14:paraId="449763C2" w14:textId="77777777" w:rsidR="00F62A47" w:rsidRPr="00174922" w:rsidRDefault="00F62A47" w:rsidP="00F62A47">
      <w:pPr>
        <w:spacing w:before="240" w:after="120" w:line="360" w:lineRule="auto"/>
        <w:contextualSpacing/>
        <w:jc w:val="both"/>
        <w:rPr>
          <w:rFonts w:ascii="Tahoma" w:hAnsi="Tahoma" w:cs="Tahoma"/>
          <w:sz w:val="24"/>
          <w:szCs w:val="24"/>
        </w:rPr>
      </w:pPr>
      <w:r w:rsidRPr="00174922">
        <w:rPr>
          <w:rFonts w:ascii="Tahoma" w:hAnsi="Tahoma" w:cs="Tahoma"/>
          <w:b/>
          <w:i/>
          <w:sz w:val="24"/>
          <w:szCs w:val="24"/>
        </w:rPr>
        <w:t>Cheltuielile cu asistența socială</w:t>
      </w:r>
      <w:r w:rsidRPr="00174922">
        <w:rPr>
          <w:rFonts w:ascii="Tahoma" w:hAnsi="Tahoma" w:cs="Tahoma"/>
          <w:sz w:val="24"/>
          <w:szCs w:val="24"/>
        </w:rPr>
        <w:t xml:space="preserve"> au fost de 56,83 mld lei în creștere cu 21,9% comparativ cu aceeași perioadă a anului precedent. Evoluția cheltuielilor cu asistența socială a fost influențată, în principal, de majorarea punctului de pensie, începând cu 1 septembrie 2019, cu 15%, respectiv de la 1.100 lei la 1.265 lei, a îndemnizației sociale pentru pensionari garantată cu 10%, majorarea alocațiilor de stat pentru copii începând cu 1 mai 2019, precum și indexarea acestora cu rata inflației din anul 2019, începând cu 1 ianuarie 2020. Totodată, începând cu luna aprilie s-au realizat plăți determinate de măsurile care au fost luate cu caracter excepțional, în domeniul social și economic, pentru diminuarea efectelor negative generate de pandemia de COVID 19, cum ar fi plata pentru indemnizații acordate pe perioada suspendării temporare a contractului individual de muncă din inițiativa angajatorului în valoare de 2.29 miliarde lei și pentru indemnizații acordate pentru alți profesioniștii, precum și pentru persoanele care au încheiate convenții individuale de muncă care întrerup activitatea ca urmare a efectelor SARS-CoV-2 în valoare de  4</w:t>
      </w:r>
      <w:r>
        <w:rPr>
          <w:rFonts w:ascii="Tahoma" w:hAnsi="Tahoma" w:cs="Tahoma"/>
          <w:sz w:val="24"/>
          <w:szCs w:val="24"/>
        </w:rPr>
        <w:t>40</w:t>
      </w:r>
      <w:r w:rsidRPr="00174922">
        <w:rPr>
          <w:rFonts w:ascii="Tahoma" w:hAnsi="Tahoma" w:cs="Tahoma"/>
          <w:sz w:val="24"/>
          <w:szCs w:val="24"/>
        </w:rPr>
        <w:t>,</w:t>
      </w:r>
      <w:r>
        <w:rPr>
          <w:rFonts w:ascii="Tahoma" w:hAnsi="Tahoma" w:cs="Tahoma"/>
          <w:sz w:val="24"/>
          <w:szCs w:val="24"/>
        </w:rPr>
        <w:t>1</w:t>
      </w:r>
      <w:r w:rsidRPr="00174922">
        <w:rPr>
          <w:rFonts w:ascii="Tahoma" w:hAnsi="Tahoma" w:cs="Tahoma"/>
          <w:sz w:val="24"/>
          <w:szCs w:val="24"/>
        </w:rPr>
        <w:t xml:space="preserve"> mil lei. De asemenea, se continuă ritmul accelerat de decontări ale indemnizațiilor de asigurări sociale de sănătate pentru concedii </w:t>
      </w:r>
      <w:r w:rsidRPr="00174922">
        <w:rPr>
          <w:rFonts w:ascii="Tahoma" w:hAnsi="Tahoma" w:cs="Tahoma"/>
          <w:sz w:val="24"/>
          <w:szCs w:val="24"/>
        </w:rPr>
        <w:lastRenderedPageBreak/>
        <w:t>medicale în scopul diminuării stocului de plăți restante aferente acestora, astfel că în luna mai plățile au fost de 637,6 milioane lei.</w:t>
      </w:r>
    </w:p>
    <w:p w14:paraId="7EDAE496" w14:textId="77777777" w:rsidR="00F62A47" w:rsidRPr="00174922" w:rsidRDefault="00F62A47" w:rsidP="00F62A47">
      <w:pPr>
        <w:spacing w:before="240" w:after="120" w:line="360" w:lineRule="auto"/>
        <w:contextualSpacing/>
        <w:jc w:val="both"/>
        <w:rPr>
          <w:rFonts w:ascii="Tahoma" w:hAnsi="Tahoma" w:cs="Tahoma"/>
          <w:sz w:val="24"/>
          <w:szCs w:val="24"/>
        </w:rPr>
      </w:pPr>
      <w:r w:rsidRPr="00174922">
        <w:rPr>
          <w:rFonts w:ascii="Tahoma" w:hAnsi="Tahoma" w:cs="Tahoma"/>
          <w:sz w:val="24"/>
          <w:szCs w:val="24"/>
        </w:rPr>
        <w:t xml:space="preserve">Cheltuielile cu subvențiile  au fost de 3,55 mld. lei, cea mai mare parte dintre acestea fiind alocate către sectorul agricol, respectiv ajutoarele naționale tranzitorii în sectorul vegetal și zootehnic. </w:t>
      </w:r>
    </w:p>
    <w:p w14:paraId="2E8049E7" w14:textId="77777777" w:rsidR="00F62A47" w:rsidRPr="00174922" w:rsidRDefault="00F62A47" w:rsidP="00F62A47">
      <w:pPr>
        <w:spacing w:before="240" w:after="120" w:line="360" w:lineRule="auto"/>
        <w:jc w:val="both"/>
        <w:rPr>
          <w:rFonts w:ascii="Tahoma" w:hAnsi="Tahoma" w:cs="Tahoma"/>
          <w:bCs/>
          <w:sz w:val="24"/>
          <w:szCs w:val="24"/>
        </w:rPr>
      </w:pPr>
      <w:r w:rsidRPr="00174922">
        <w:rPr>
          <w:rFonts w:ascii="Tahoma" w:hAnsi="Tahoma" w:cs="Tahoma"/>
          <w:b/>
          <w:bCs/>
          <w:i/>
          <w:sz w:val="24"/>
          <w:szCs w:val="24"/>
        </w:rPr>
        <w:t>Alte cheltuieli</w:t>
      </w:r>
      <w:r w:rsidRPr="00174922">
        <w:rPr>
          <w:rFonts w:ascii="Tahoma" w:hAnsi="Tahoma" w:cs="Tahoma"/>
          <w:bCs/>
          <w:sz w:val="24"/>
          <w:szCs w:val="24"/>
        </w:rPr>
        <w:t xml:space="preserve">  au fost de 2,51 mld. lei, reprezentând, în principal, sume aferente titlurilor de plată emise de Autoritatea Națională pentru Restituirea Proprietăților, conform legislației în vigoare, burse pentru elevi și studenți, alte despăgubiri civile,</w:t>
      </w:r>
      <w:r w:rsidRPr="00174922">
        <w:rPr>
          <w:rFonts w:ascii="Tahoma" w:hAnsi="Tahoma" w:cs="Tahoma"/>
          <w:sz w:val="24"/>
          <w:szCs w:val="24"/>
        </w:rPr>
        <w:t xml:space="preserve"> precum și indemnizații acordate părinților pentru supravegherea copiilor pe perioada închiderii temporare a unităților de </w:t>
      </w:r>
      <w:r>
        <w:rPr>
          <w:rFonts w:ascii="Tahoma" w:hAnsi="Tahoma" w:cs="Tahoma"/>
          <w:sz w:val="24"/>
          <w:szCs w:val="24"/>
        </w:rPr>
        <w:t>învățământ (</w:t>
      </w:r>
      <w:r w:rsidRPr="00174922">
        <w:rPr>
          <w:rFonts w:ascii="Tahoma" w:hAnsi="Tahoma" w:cs="Tahoma"/>
          <w:sz w:val="24"/>
          <w:szCs w:val="24"/>
        </w:rPr>
        <w:t>9</w:t>
      </w:r>
      <w:r>
        <w:rPr>
          <w:rFonts w:ascii="Tahoma" w:hAnsi="Tahoma" w:cs="Tahoma"/>
          <w:sz w:val="24"/>
          <w:szCs w:val="24"/>
        </w:rPr>
        <w:t>,0</w:t>
      </w:r>
      <w:r w:rsidRPr="00174922">
        <w:rPr>
          <w:rFonts w:ascii="Tahoma" w:hAnsi="Tahoma" w:cs="Tahoma"/>
          <w:sz w:val="24"/>
          <w:szCs w:val="24"/>
        </w:rPr>
        <w:t xml:space="preserve"> milioane lei)</w:t>
      </w:r>
      <w:r w:rsidRPr="00174922">
        <w:rPr>
          <w:rFonts w:ascii="Tahoma" w:hAnsi="Tahoma" w:cs="Tahoma"/>
          <w:bCs/>
          <w:sz w:val="24"/>
          <w:szCs w:val="24"/>
        </w:rPr>
        <w:t xml:space="preserve">. </w:t>
      </w:r>
    </w:p>
    <w:p w14:paraId="0A9FDCB1" w14:textId="77777777" w:rsidR="00F62A47" w:rsidRPr="00174922" w:rsidRDefault="00F62A47" w:rsidP="00F62A47">
      <w:pPr>
        <w:spacing w:before="240" w:after="120" w:line="360" w:lineRule="auto"/>
        <w:jc w:val="both"/>
        <w:rPr>
          <w:rFonts w:ascii="Tahoma" w:hAnsi="Tahoma" w:cs="Tahoma"/>
          <w:bCs/>
          <w:sz w:val="24"/>
          <w:szCs w:val="24"/>
        </w:rPr>
      </w:pPr>
      <w:r w:rsidRPr="00174922">
        <w:rPr>
          <w:rFonts w:ascii="Tahoma" w:hAnsi="Tahoma" w:cs="Tahoma"/>
          <w:b/>
          <w:bCs/>
          <w:i/>
          <w:sz w:val="24"/>
          <w:szCs w:val="24"/>
        </w:rPr>
        <w:t>Cheltuielile privind proiectele finanțate din fonduri externe nerambursabile</w:t>
      </w:r>
      <w:r w:rsidRPr="00174922">
        <w:rPr>
          <w:rFonts w:ascii="Tahoma" w:hAnsi="Tahoma" w:cs="Tahoma"/>
          <w:bCs/>
          <w:sz w:val="24"/>
          <w:szCs w:val="24"/>
        </w:rPr>
        <w:t xml:space="preserve"> (inclusiv subvențiile de la Uniunea Europeană aferente agriculturii) au fost de 8,84 mld. lei, cu 27,9% mai mari comparativ cu aceeași perioadă a anului precedent.</w:t>
      </w:r>
    </w:p>
    <w:p w14:paraId="31E22780" w14:textId="02D39DBE" w:rsidR="00F62A47" w:rsidRPr="00174922" w:rsidRDefault="00F62A47" w:rsidP="00F62A47">
      <w:pPr>
        <w:spacing w:line="360" w:lineRule="auto"/>
        <w:jc w:val="both"/>
        <w:rPr>
          <w:rFonts w:ascii="Tahoma" w:hAnsi="Tahoma" w:cs="Tahoma"/>
          <w:bCs/>
          <w:sz w:val="24"/>
          <w:szCs w:val="24"/>
        </w:rPr>
      </w:pPr>
      <w:r w:rsidRPr="00174922">
        <w:rPr>
          <w:rFonts w:ascii="Tahoma" w:hAnsi="Tahoma" w:cs="Tahoma"/>
          <w:b/>
          <w:i/>
          <w:color w:val="000000" w:themeColor="text1"/>
          <w:sz w:val="24"/>
          <w:szCs w:val="24"/>
        </w:rPr>
        <w:t>Cheltuielile pentru investiții</w:t>
      </w:r>
      <w:r w:rsidRPr="00174922">
        <w:rPr>
          <w:rFonts w:ascii="Tahoma" w:hAnsi="Tahoma" w:cs="Tahoma"/>
          <w:color w:val="000000" w:themeColor="text1"/>
          <w:sz w:val="24"/>
          <w:szCs w:val="24"/>
        </w:rPr>
        <w:t xml:space="preserve">, </w:t>
      </w:r>
      <w:r w:rsidRPr="00174922">
        <w:rPr>
          <w:rFonts w:ascii="Tahoma" w:hAnsi="Tahoma" w:cs="Tahoma"/>
          <w:bCs/>
          <w:sz w:val="24"/>
          <w:szCs w:val="24"/>
        </w:rPr>
        <w:t>care includ cheltuielile de capital, precum și cele aferente programelor de dezvoltare finanțate din surse interne și externe, au fost în valoare de 13</w:t>
      </w:r>
      <w:r>
        <w:rPr>
          <w:rFonts w:ascii="Tahoma" w:hAnsi="Tahoma" w:cs="Tahoma"/>
          <w:bCs/>
          <w:sz w:val="24"/>
          <w:szCs w:val="24"/>
        </w:rPr>
        <w:t>,0</w:t>
      </w:r>
      <w:r w:rsidRPr="00174922">
        <w:rPr>
          <w:rFonts w:ascii="Tahoma" w:hAnsi="Tahoma" w:cs="Tahoma"/>
          <w:bCs/>
          <w:sz w:val="24"/>
          <w:szCs w:val="24"/>
        </w:rPr>
        <w:t xml:space="preserve"> mld. lei,</w:t>
      </w:r>
      <w:r w:rsidR="00655DC5">
        <w:rPr>
          <w:rFonts w:ascii="Tahoma" w:hAnsi="Tahoma" w:cs="Tahoma"/>
          <w:bCs/>
          <w:sz w:val="24"/>
          <w:szCs w:val="24"/>
        </w:rPr>
        <w:t xml:space="preserve"> </w:t>
      </w:r>
      <w:r w:rsidR="00655DC5">
        <w:rPr>
          <w:rFonts w:ascii="Tahoma" w:hAnsi="Tahoma" w:cs="Tahoma"/>
          <w:bCs/>
          <w:sz w:val="24"/>
          <w:szCs w:val="24"/>
        </w:rPr>
        <w:t xml:space="preserve">înregistrându-se cel mai înalt nivel </w:t>
      </w:r>
      <w:r w:rsidR="00655DC5">
        <w:rPr>
          <w:rFonts w:ascii="Tahoma" w:hAnsi="Tahoma" w:cs="Tahoma"/>
          <w:bCs/>
          <w:sz w:val="24"/>
          <w:szCs w:val="24"/>
        </w:rPr>
        <w:t>al cheltuielilor</w:t>
      </w:r>
      <w:r w:rsidR="00655DC5">
        <w:rPr>
          <w:rFonts w:ascii="Tahoma" w:hAnsi="Tahoma" w:cs="Tahoma"/>
          <w:bCs/>
          <w:sz w:val="24"/>
          <w:szCs w:val="24"/>
        </w:rPr>
        <w:t xml:space="preserve"> pentru investiții pe primele 5 luni</w:t>
      </w:r>
      <w:r w:rsidR="00655DC5">
        <w:rPr>
          <w:rFonts w:ascii="Tahoma" w:hAnsi="Tahoma" w:cs="Tahoma"/>
          <w:bCs/>
          <w:sz w:val="24"/>
          <w:szCs w:val="24"/>
        </w:rPr>
        <w:t xml:space="preserve"> </w:t>
      </w:r>
      <w:r w:rsidR="00655DC5">
        <w:rPr>
          <w:rFonts w:ascii="Tahoma" w:hAnsi="Tahoma" w:cs="Tahoma"/>
          <w:bCs/>
          <w:sz w:val="24"/>
          <w:szCs w:val="24"/>
        </w:rPr>
        <w:t>din ultimii 10 ani</w:t>
      </w:r>
      <w:r w:rsidR="00655DC5">
        <w:rPr>
          <w:rFonts w:ascii="Tahoma" w:hAnsi="Tahoma" w:cs="Tahoma"/>
          <w:bCs/>
          <w:sz w:val="24"/>
          <w:szCs w:val="24"/>
        </w:rPr>
        <w:t>. Acestea sunt</w:t>
      </w:r>
      <w:bookmarkStart w:id="0" w:name="_GoBack"/>
      <w:bookmarkEnd w:id="0"/>
      <w:r w:rsidRPr="00174922">
        <w:rPr>
          <w:rFonts w:ascii="Tahoma" w:hAnsi="Tahoma" w:cs="Tahoma"/>
          <w:bCs/>
          <w:sz w:val="24"/>
          <w:szCs w:val="24"/>
        </w:rPr>
        <w:t xml:space="preserve"> cu 35,8% mai mult decât aceeași perioadă a anului precedent. În cadrul bugetului general consolidat, majorările apar la bugetul de stat și la bugetele locale atât din fonduri naționale, cât și aferente proiectelor finanțate din fonduri externe nerambursabile.</w:t>
      </w:r>
    </w:p>
    <w:p w14:paraId="4C1231FD" w14:textId="77777777" w:rsidR="00F62A47" w:rsidRPr="00174922" w:rsidRDefault="00F62A47" w:rsidP="00F62A47">
      <w:pPr>
        <w:spacing w:line="360" w:lineRule="auto"/>
        <w:jc w:val="both"/>
        <w:rPr>
          <w:rFonts w:ascii="Tahoma" w:hAnsi="Tahoma" w:cs="Tahoma"/>
          <w:bCs/>
          <w:sz w:val="24"/>
          <w:szCs w:val="24"/>
        </w:rPr>
      </w:pPr>
      <w:r w:rsidRPr="00174922">
        <w:rPr>
          <w:rFonts w:ascii="Tahoma" w:hAnsi="Tahoma" w:cs="Tahoma"/>
          <w:bCs/>
          <w:sz w:val="24"/>
          <w:szCs w:val="24"/>
        </w:rPr>
        <w:t xml:space="preserve">De asemenea, din bugetul Ministerului Afacerilor Interne s-au plătit 235,0 milioane lei pentru achiziționarea de produse - stocuri de urgență medicală, inclusiv scannere termice pentru combaterea răspândirii infecției cu coronavirusul SARS-COV-2. </w:t>
      </w:r>
    </w:p>
    <w:p w14:paraId="7114A49A" w14:textId="77777777" w:rsidR="00F62A47" w:rsidRPr="00174922" w:rsidRDefault="00F62A47" w:rsidP="00F62A47">
      <w:pPr>
        <w:pStyle w:val="ListParagraph"/>
        <w:spacing w:line="360" w:lineRule="auto"/>
        <w:jc w:val="both"/>
        <w:rPr>
          <w:rFonts w:ascii="Tahoma" w:hAnsi="Tahoma" w:cs="Tahoma"/>
          <w:color w:val="FF0000"/>
          <w:sz w:val="24"/>
          <w:szCs w:val="24"/>
        </w:rPr>
      </w:pPr>
      <w:r w:rsidRPr="00174922">
        <w:rPr>
          <w:rFonts w:ascii="Tahoma" w:hAnsi="Tahoma" w:cs="Tahoma"/>
          <w:color w:val="FF0000"/>
          <w:sz w:val="24"/>
          <w:szCs w:val="24"/>
        </w:rPr>
        <w:t xml:space="preserve">         </w:t>
      </w:r>
    </w:p>
    <w:p w14:paraId="3FFBA527" w14:textId="77777777" w:rsidR="00F62A47" w:rsidRPr="00174922" w:rsidRDefault="00F62A47" w:rsidP="00F62A47">
      <w:pPr>
        <w:pStyle w:val="ListParagraph"/>
        <w:spacing w:line="360" w:lineRule="auto"/>
        <w:jc w:val="both"/>
        <w:rPr>
          <w:rFonts w:ascii="Tahoma" w:hAnsi="Tahoma" w:cs="Tahoma"/>
          <w:color w:val="767171" w:themeColor="background2" w:themeShade="80"/>
          <w:sz w:val="24"/>
          <w:szCs w:val="24"/>
        </w:rPr>
      </w:pPr>
    </w:p>
    <w:p w14:paraId="33FB90BA" w14:textId="77777777" w:rsidR="00F62A47" w:rsidRPr="00174922" w:rsidRDefault="00F62A47" w:rsidP="00F62A47">
      <w:pPr>
        <w:pStyle w:val="ListParagraph"/>
        <w:spacing w:line="360" w:lineRule="auto"/>
        <w:jc w:val="both"/>
        <w:rPr>
          <w:rFonts w:ascii="Tahoma" w:hAnsi="Tahoma" w:cs="Tahoma"/>
          <w:color w:val="767171" w:themeColor="background2" w:themeShade="80"/>
          <w:sz w:val="24"/>
          <w:szCs w:val="24"/>
        </w:rPr>
      </w:pPr>
      <w:r w:rsidRPr="00174922">
        <w:rPr>
          <w:noProof/>
          <w:lang w:val="en-US"/>
        </w:rPr>
        <w:lastRenderedPageBreak/>
        <w:drawing>
          <wp:inline distT="0" distB="0" distL="0" distR="0" wp14:anchorId="627152C8" wp14:editId="02C0DC04">
            <wp:extent cx="5516880" cy="3396343"/>
            <wp:effectExtent l="114300" t="114300" r="121920" b="1092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EBF4F4" w14:textId="77777777" w:rsidR="00F62A47" w:rsidRPr="00174922" w:rsidRDefault="00F62A47" w:rsidP="00F62A47">
      <w:pPr>
        <w:pStyle w:val="ListParagraph"/>
        <w:spacing w:line="360" w:lineRule="auto"/>
        <w:jc w:val="both"/>
        <w:rPr>
          <w:rFonts w:ascii="Tahoma" w:hAnsi="Tahoma" w:cs="Tahoma"/>
          <w:color w:val="767171" w:themeColor="background2" w:themeShade="80"/>
          <w:sz w:val="24"/>
          <w:szCs w:val="24"/>
        </w:rPr>
      </w:pPr>
      <w:r w:rsidRPr="00174922">
        <w:rPr>
          <w:rFonts w:ascii="Tahoma" w:hAnsi="Tahoma" w:cs="Tahoma"/>
          <w:color w:val="767171" w:themeColor="background2" w:themeShade="80"/>
          <w:sz w:val="24"/>
          <w:szCs w:val="24"/>
        </w:rPr>
        <w:t xml:space="preserve">  Sursa: MFP</w:t>
      </w:r>
    </w:p>
    <w:p w14:paraId="7B21161E" w14:textId="77777777" w:rsidR="00F62A47" w:rsidRPr="00174922" w:rsidRDefault="00F62A47" w:rsidP="00F62A47">
      <w:pPr>
        <w:pStyle w:val="ListParagraph"/>
        <w:spacing w:line="360" w:lineRule="auto"/>
        <w:ind w:left="0"/>
        <w:jc w:val="center"/>
        <w:rPr>
          <w:rFonts w:ascii="Tahoma" w:hAnsi="Tahoma" w:cs="Tahoma"/>
          <w:b/>
          <w:color w:val="767171" w:themeColor="background2" w:themeShade="80"/>
          <w:sz w:val="24"/>
          <w:szCs w:val="24"/>
        </w:rPr>
      </w:pPr>
      <w:r w:rsidRPr="00174922">
        <w:rPr>
          <w:rFonts w:ascii="Tahoma" w:hAnsi="Tahoma" w:cs="Tahoma"/>
          <w:b/>
          <w:color w:val="767171" w:themeColor="background2" w:themeShade="80"/>
          <w:sz w:val="24"/>
          <w:szCs w:val="24"/>
        </w:rPr>
        <w:t>Fig. 5 Structura cheltuielilor de investiții</w:t>
      </w:r>
    </w:p>
    <w:p w14:paraId="3F5A892A" w14:textId="77777777" w:rsidR="00F62A47" w:rsidRPr="00174922" w:rsidRDefault="00F62A47" w:rsidP="00F62A47">
      <w:pPr>
        <w:pStyle w:val="ListParagraph"/>
        <w:spacing w:line="360" w:lineRule="auto"/>
        <w:ind w:left="0"/>
        <w:rPr>
          <w:rFonts w:ascii="Tahoma" w:hAnsi="Tahoma" w:cs="Tahoma"/>
          <w:b/>
          <w:color w:val="767171" w:themeColor="background2" w:themeShade="80"/>
          <w:sz w:val="24"/>
          <w:szCs w:val="24"/>
        </w:rPr>
      </w:pPr>
    </w:p>
    <w:p w14:paraId="4C4271CB" w14:textId="77777777" w:rsidR="007545E5" w:rsidRPr="00614885" w:rsidRDefault="007545E5" w:rsidP="007545E5">
      <w:pPr>
        <w:rPr>
          <w:rFonts w:ascii="Tahoma" w:hAnsi="Tahoma" w:cs="Tahoma"/>
          <w:noProof/>
          <w:sz w:val="24"/>
          <w:szCs w:val="24"/>
        </w:rPr>
        <w:sectPr w:rsidR="007545E5" w:rsidRPr="00614885" w:rsidSect="00526E8B">
          <w:footerReference w:type="default" r:id="rId13"/>
          <w:pgSz w:w="12240" w:h="15840"/>
          <w:pgMar w:top="1170" w:right="1260" w:bottom="1440" w:left="1170" w:header="720" w:footer="720" w:gutter="0"/>
          <w:cols w:space="720"/>
          <w:docGrid w:linePitch="360"/>
        </w:sectPr>
      </w:pPr>
    </w:p>
    <w:p w14:paraId="2C1455CF" w14:textId="36546375" w:rsidR="007545E5" w:rsidRPr="00614885" w:rsidRDefault="007545E5" w:rsidP="007545E5">
      <w:pPr>
        <w:spacing w:before="240" w:after="120" w:line="360" w:lineRule="auto"/>
        <w:jc w:val="both"/>
        <w:rPr>
          <w:rFonts w:ascii="Tahoma" w:hAnsi="Tahoma" w:cs="Tahoma"/>
          <w:sz w:val="24"/>
          <w:szCs w:val="24"/>
        </w:rPr>
      </w:pPr>
      <w:r w:rsidRPr="00614885">
        <w:rPr>
          <w:rFonts w:ascii="Tahoma" w:hAnsi="Tahoma" w:cs="Tahoma"/>
          <w:sz w:val="24"/>
          <w:szCs w:val="24"/>
        </w:rPr>
        <w:lastRenderedPageBreak/>
        <w:t xml:space="preserve">  </w:t>
      </w:r>
      <w:r w:rsidR="00D602AF">
        <w:rPr>
          <w:rFonts w:ascii="Tahoma" w:hAnsi="Tahoma" w:cs="Tahoma"/>
          <w:noProof/>
          <w:sz w:val="24"/>
          <w:szCs w:val="24"/>
          <w:lang w:val="en-US"/>
        </w:rPr>
        <w:drawing>
          <wp:inline distT="0" distB="0" distL="0" distR="0" wp14:anchorId="5E7862B5" wp14:editId="4B6FA679">
            <wp:extent cx="8401050" cy="53480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1826" cy="5348582"/>
                    </a:xfrm>
                    <a:prstGeom prst="rect">
                      <a:avLst/>
                    </a:prstGeom>
                    <a:noFill/>
                  </pic:spPr>
                </pic:pic>
              </a:graphicData>
            </a:graphic>
          </wp:inline>
        </w:drawing>
      </w:r>
      <w:r w:rsidR="00D602AF">
        <w:rPr>
          <w:rFonts w:ascii="Tahoma" w:hAnsi="Tahoma" w:cs="Tahoma"/>
          <w:noProof/>
          <w:sz w:val="24"/>
          <w:szCs w:val="24"/>
          <w:lang w:val="en-US"/>
        </w:rPr>
        <w:lastRenderedPageBreak/>
        <w:drawing>
          <wp:inline distT="0" distB="0" distL="0" distR="0" wp14:anchorId="70953659" wp14:editId="5D232391">
            <wp:extent cx="8401050" cy="5755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0" cy="5755005"/>
                    </a:xfrm>
                    <a:prstGeom prst="rect">
                      <a:avLst/>
                    </a:prstGeom>
                    <a:noFill/>
                  </pic:spPr>
                </pic:pic>
              </a:graphicData>
            </a:graphic>
          </wp:inline>
        </w:drawing>
      </w:r>
    </w:p>
    <w:p w14:paraId="232CB09B" w14:textId="3C9059F6" w:rsidR="007545E5" w:rsidRPr="00614885" w:rsidRDefault="007545E5" w:rsidP="007545E5">
      <w:pPr>
        <w:spacing w:before="240" w:after="120" w:line="360" w:lineRule="auto"/>
        <w:jc w:val="both"/>
        <w:rPr>
          <w:rFonts w:ascii="Tahoma" w:hAnsi="Tahoma" w:cs="Tahoma"/>
          <w:sz w:val="24"/>
          <w:szCs w:val="24"/>
        </w:rPr>
        <w:sectPr w:rsidR="007545E5" w:rsidRPr="00614885" w:rsidSect="00C77514">
          <w:footerReference w:type="default" r:id="rId16"/>
          <w:pgSz w:w="15840" w:h="12240" w:orient="landscape"/>
          <w:pgMar w:top="1168" w:right="1168" w:bottom="1259" w:left="1440" w:header="720" w:footer="720" w:gutter="0"/>
          <w:cols w:space="720"/>
          <w:docGrid w:linePitch="360"/>
        </w:sectPr>
      </w:pPr>
    </w:p>
    <w:p w14:paraId="683A9A2F" w14:textId="21A81390" w:rsidR="007545E5" w:rsidRPr="00614885" w:rsidRDefault="00D602AF" w:rsidP="006E08AF">
      <w:pPr>
        <w:spacing w:before="240" w:after="120" w:line="360" w:lineRule="auto"/>
        <w:jc w:val="both"/>
        <w:rPr>
          <w:rFonts w:ascii="Tahoma" w:hAnsi="Tahoma" w:cs="Tahoma"/>
          <w:color w:val="000000" w:themeColor="text1"/>
          <w:sz w:val="24"/>
          <w:szCs w:val="24"/>
        </w:rPr>
      </w:pPr>
      <w:r>
        <w:rPr>
          <w:rFonts w:ascii="Tahoma" w:hAnsi="Tahoma" w:cs="Tahoma"/>
          <w:noProof/>
          <w:color w:val="000000" w:themeColor="text1"/>
          <w:sz w:val="24"/>
          <w:szCs w:val="24"/>
          <w:lang w:val="en-US"/>
        </w:rPr>
        <w:lastRenderedPageBreak/>
        <w:drawing>
          <wp:inline distT="0" distB="0" distL="0" distR="0" wp14:anchorId="58FC1770" wp14:editId="4F0C305C">
            <wp:extent cx="6230620" cy="8023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0620" cy="8023225"/>
                    </a:xfrm>
                    <a:prstGeom prst="rect">
                      <a:avLst/>
                    </a:prstGeom>
                    <a:noFill/>
                  </pic:spPr>
                </pic:pic>
              </a:graphicData>
            </a:graphic>
          </wp:inline>
        </w:drawing>
      </w:r>
    </w:p>
    <w:sectPr w:rsidR="007545E5" w:rsidRPr="00614885" w:rsidSect="006E08AF">
      <w:footerReference w:type="default" r:id="rId18"/>
      <w:pgSz w:w="12240" w:h="15840"/>
      <w:pgMar w:top="1166" w:right="1253" w:bottom="1844"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ED450" w14:textId="77777777" w:rsidR="00E01F79" w:rsidRDefault="00E01F79" w:rsidP="006704C5">
      <w:pPr>
        <w:spacing w:after="0" w:line="240" w:lineRule="auto"/>
      </w:pPr>
      <w:r>
        <w:separator/>
      </w:r>
    </w:p>
  </w:endnote>
  <w:endnote w:type="continuationSeparator" w:id="0">
    <w:p w14:paraId="2B5DE3EB" w14:textId="77777777" w:rsidR="00E01F79" w:rsidRDefault="00E01F79" w:rsidP="00670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529"/>
      <w:gridCol w:w="4281"/>
    </w:tblGrid>
    <w:tr w:rsidR="007545E5" w14:paraId="3DD37C71" w14:textId="77777777" w:rsidTr="00BA7156">
      <w:trPr>
        <w:trHeight w:hRule="exact" w:val="115"/>
        <w:jc w:val="center"/>
      </w:trPr>
      <w:tc>
        <w:tcPr>
          <w:tcW w:w="5529" w:type="dxa"/>
          <w:shd w:val="clear" w:color="auto" w:fill="5B9BD5" w:themeFill="accent1"/>
          <w:tcMar>
            <w:top w:w="0" w:type="dxa"/>
            <w:bottom w:w="0" w:type="dxa"/>
          </w:tcMar>
        </w:tcPr>
        <w:p w14:paraId="4ABD6DB4" w14:textId="77777777" w:rsidR="007545E5" w:rsidRDefault="007545E5" w:rsidP="00231361">
          <w:pPr>
            <w:pStyle w:val="Header"/>
            <w:tabs>
              <w:tab w:val="clear" w:pos="4680"/>
              <w:tab w:val="clear" w:pos="9360"/>
            </w:tabs>
            <w:rPr>
              <w:caps/>
              <w:sz w:val="18"/>
            </w:rPr>
          </w:pPr>
        </w:p>
      </w:tc>
      <w:tc>
        <w:tcPr>
          <w:tcW w:w="4281" w:type="dxa"/>
          <w:shd w:val="clear" w:color="auto" w:fill="5B9BD5" w:themeFill="accent1"/>
          <w:tcMar>
            <w:top w:w="0" w:type="dxa"/>
            <w:bottom w:w="0" w:type="dxa"/>
          </w:tcMar>
        </w:tcPr>
        <w:p w14:paraId="60267140" w14:textId="77777777" w:rsidR="007545E5" w:rsidRDefault="007545E5" w:rsidP="00231361">
          <w:pPr>
            <w:pStyle w:val="Header"/>
            <w:tabs>
              <w:tab w:val="clear" w:pos="4680"/>
              <w:tab w:val="clear" w:pos="9360"/>
            </w:tabs>
            <w:jc w:val="right"/>
            <w:rPr>
              <w:caps/>
              <w:sz w:val="18"/>
            </w:rPr>
          </w:pPr>
        </w:p>
      </w:tc>
    </w:tr>
    <w:tr w:rsidR="007545E5" w14:paraId="7E36C5A9" w14:textId="77777777" w:rsidTr="00BA7156">
      <w:trPr>
        <w:trHeight w:hRule="exact" w:val="115"/>
        <w:jc w:val="center"/>
      </w:trPr>
      <w:tc>
        <w:tcPr>
          <w:tcW w:w="5529" w:type="dxa"/>
          <w:shd w:val="clear" w:color="auto" w:fill="5B9BD5" w:themeFill="accent1"/>
          <w:tcMar>
            <w:top w:w="0" w:type="dxa"/>
            <w:bottom w:w="0" w:type="dxa"/>
          </w:tcMar>
        </w:tcPr>
        <w:p w14:paraId="7559CCDF" w14:textId="77777777" w:rsidR="007545E5" w:rsidRDefault="007545E5" w:rsidP="00231361">
          <w:pPr>
            <w:pStyle w:val="Header"/>
            <w:tabs>
              <w:tab w:val="clear" w:pos="4680"/>
              <w:tab w:val="clear" w:pos="9360"/>
            </w:tabs>
            <w:rPr>
              <w:caps/>
              <w:sz w:val="18"/>
            </w:rPr>
          </w:pPr>
        </w:p>
      </w:tc>
      <w:tc>
        <w:tcPr>
          <w:tcW w:w="4281" w:type="dxa"/>
          <w:shd w:val="clear" w:color="auto" w:fill="5B9BD5" w:themeFill="accent1"/>
          <w:tcMar>
            <w:top w:w="0" w:type="dxa"/>
            <w:bottom w:w="0" w:type="dxa"/>
          </w:tcMar>
        </w:tcPr>
        <w:p w14:paraId="11156E57" w14:textId="77777777" w:rsidR="007545E5" w:rsidRDefault="007545E5" w:rsidP="00231361">
          <w:pPr>
            <w:pStyle w:val="Header"/>
            <w:tabs>
              <w:tab w:val="clear" w:pos="4680"/>
              <w:tab w:val="clear" w:pos="9360"/>
            </w:tabs>
            <w:jc w:val="right"/>
            <w:rPr>
              <w:caps/>
              <w:sz w:val="18"/>
            </w:rPr>
          </w:pPr>
        </w:p>
      </w:tc>
    </w:tr>
    <w:tr w:rsidR="007545E5" w14:paraId="51699509" w14:textId="77777777" w:rsidTr="00BA7156">
      <w:trPr>
        <w:jc w:val="center"/>
      </w:trPr>
      <w:sdt>
        <w:sdtPr>
          <w:rPr>
            <w:rFonts w:ascii="Tahoma" w:hAnsi="Tahoma" w:cs="Tahoma"/>
            <w:caps/>
            <w:color w:val="808080" w:themeColor="background1" w:themeShade="80"/>
            <w:sz w:val="18"/>
            <w:szCs w:val="18"/>
          </w:rPr>
          <w:alias w:val="Author"/>
          <w:tag w:val=""/>
          <w:id w:val="652953093"/>
          <w:placeholder>
            <w:docPart w:val="F8C64A9800D0422085EDA2283C482DCF"/>
          </w:placeholder>
          <w:dataBinding w:prefixMappings="xmlns:ns0='http://purl.org/dc/elements/1.1/' xmlns:ns1='http://schemas.openxmlformats.org/package/2006/metadata/core-properties' " w:xpath="/ns1:coreProperties[1]/ns0:creator[1]" w:storeItemID="{6C3C8BC8-F283-45AE-878A-BAB7291924A1}"/>
          <w:text/>
        </w:sdtPr>
        <w:sdtEndPr/>
        <w:sdtContent>
          <w:tc>
            <w:tcPr>
              <w:tcW w:w="5529" w:type="dxa"/>
              <w:shd w:val="clear" w:color="auto" w:fill="auto"/>
              <w:vAlign w:val="center"/>
            </w:tcPr>
            <w:p w14:paraId="1649DE3B" w14:textId="6E241244" w:rsidR="007545E5" w:rsidRPr="00CA4A92" w:rsidRDefault="007545E5" w:rsidP="00D602AF">
              <w:pPr>
                <w:pStyle w:val="Footer"/>
                <w:tabs>
                  <w:tab w:val="clear" w:pos="4680"/>
                  <w:tab w:val="clear" w:pos="9360"/>
                </w:tabs>
                <w:rPr>
                  <w:rFonts w:ascii="Tahoma" w:hAnsi="Tahoma" w:cs="Tahoma"/>
                  <w:caps/>
                  <w:color w:val="808080" w:themeColor="background1" w:themeShade="80"/>
                  <w:sz w:val="18"/>
                  <w:szCs w:val="18"/>
                </w:rPr>
              </w:pPr>
              <w:r>
                <w:rPr>
                  <w:rFonts w:ascii="Tahoma" w:hAnsi="Tahoma" w:cs="Tahoma"/>
                  <w:caps/>
                  <w:color w:val="808080" w:themeColor="background1" w:themeShade="80"/>
                  <w:sz w:val="18"/>
                  <w:szCs w:val="18"/>
                </w:rPr>
                <w:t xml:space="preserve">ExecuȚie buget general consolidat | </w:t>
              </w:r>
              <w:r w:rsidR="00D602AF">
                <w:rPr>
                  <w:rFonts w:ascii="Tahoma" w:hAnsi="Tahoma" w:cs="Tahoma"/>
                  <w:caps/>
                  <w:color w:val="808080" w:themeColor="background1" w:themeShade="80"/>
                  <w:sz w:val="18"/>
                  <w:szCs w:val="18"/>
                </w:rPr>
                <w:t>31 mai</w:t>
              </w:r>
              <w:r>
                <w:rPr>
                  <w:rFonts w:ascii="Tahoma" w:hAnsi="Tahoma" w:cs="Tahoma"/>
                  <w:caps/>
                  <w:color w:val="808080" w:themeColor="background1" w:themeShade="80"/>
                  <w:sz w:val="18"/>
                  <w:szCs w:val="18"/>
                </w:rPr>
                <w:t xml:space="preserve"> 2020</w:t>
              </w:r>
            </w:p>
          </w:tc>
        </w:sdtContent>
      </w:sdt>
      <w:tc>
        <w:tcPr>
          <w:tcW w:w="4281" w:type="dxa"/>
          <w:shd w:val="clear" w:color="auto" w:fill="auto"/>
          <w:vAlign w:val="center"/>
        </w:tcPr>
        <w:p w14:paraId="2ADF3E66" w14:textId="4A1A048C" w:rsidR="007545E5" w:rsidRPr="00CA4A92" w:rsidRDefault="007545E5" w:rsidP="00231361">
          <w:pPr>
            <w:pStyle w:val="Footer"/>
            <w:tabs>
              <w:tab w:val="clear" w:pos="4680"/>
              <w:tab w:val="clear" w:pos="9360"/>
            </w:tabs>
            <w:jc w:val="right"/>
            <w:rPr>
              <w:rFonts w:ascii="Tahoma" w:hAnsi="Tahoma" w:cs="Tahoma"/>
              <w:caps/>
              <w:color w:val="808080" w:themeColor="background1" w:themeShade="80"/>
              <w:sz w:val="18"/>
              <w:szCs w:val="18"/>
            </w:rPr>
          </w:pPr>
          <w:r w:rsidRPr="00CA4A92">
            <w:rPr>
              <w:rFonts w:ascii="Tahoma" w:hAnsi="Tahoma" w:cs="Tahoma"/>
              <w:caps/>
              <w:color w:val="808080" w:themeColor="background1" w:themeShade="80"/>
              <w:sz w:val="18"/>
              <w:szCs w:val="18"/>
            </w:rPr>
            <w:fldChar w:fldCharType="begin"/>
          </w:r>
          <w:r w:rsidRPr="00CA4A92">
            <w:rPr>
              <w:rFonts w:ascii="Tahoma" w:hAnsi="Tahoma" w:cs="Tahoma"/>
              <w:caps/>
              <w:color w:val="808080" w:themeColor="background1" w:themeShade="80"/>
              <w:sz w:val="18"/>
              <w:szCs w:val="18"/>
            </w:rPr>
            <w:instrText xml:space="preserve"> PAGE   \* MERGEFORMAT </w:instrText>
          </w:r>
          <w:r w:rsidRPr="00CA4A92">
            <w:rPr>
              <w:rFonts w:ascii="Tahoma" w:hAnsi="Tahoma" w:cs="Tahoma"/>
              <w:caps/>
              <w:color w:val="808080" w:themeColor="background1" w:themeShade="80"/>
              <w:sz w:val="18"/>
              <w:szCs w:val="18"/>
            </w:rPr>
            <w:fldChar w:fldCharType="separate"/>
          </w:r>
          <w:r w:rsidR="00655DC5">
            <w:rPr>
              <w:rFonts w:ascii="Tahoma" w:hAnsi="Tahoma" w:cs="Tahoma"/>
              <w:caps/>
              <w:noProof/>
              <w:color w:val="808080" w:themeColor="background1" w:themeShade="80"/>
              <w:sz w:val="18"/>
              <w:szCs w:val="18"/>
            </w:rPr>
            <w:t>9</w:t>
          </w:r>
          <w:r w:rsidRPr="00CA4A92">
            <w:rPr>
              <w:rFonts w:ascii="Tahoma" w:hAnsi="Tahoma" w:cs="Tahoma"/>
              <w:caps/>
              <w:noProof/>
              <w:color w:val="808080" w:themeColor="background1" w:themeShade="80"/>
              <w:sz w:val="18"/>
              <w:szCs w:val="18"/>
            </w:rPr>
            <w:fldChar w:fldCharType="end"/>
          </w:r>
        </w:p>
      </w:tc>
    </w:tr>
  </w:tbl>
  <w:p w14:paraId="5A876D22" w14:textId="77777777" w:rsidR="007545E5" w:rsidRDefault="007545E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737" w:type="pct"/>
      <w:tblInd w:w="-1166" w:type="dxa"/>
      <w:tblCellMar>
        <w:top w:w="144" w:type="dxa"/>
        <w:left w:w="115" w:type="dxa"/>
        <w:bottom w:w="144" w:type="dxa"/>
        <w:right w:w="115" w:type="dxa"/>
      </w:tblCellMar>
      <w:tblLook w:val="04A0" w:firstRow="1" w:lastRow="0" w:firstColumn="1" w:lastColumn="0" w:noHBand="0" w:noVBand="1"/>
    </w:tblPr>
    <w:tblGrid>
      <w:gridCol w:w="10049"/>
      <w:gridCol w:w="7780"/>
    </w:tblGrid>
    <w:tr w:rsidR="007545E5" w14:paraId="53003AF3" w14:textId="77777777" w:rsidTr="00E0129F">
      <w:trPr>
        <w:trHeight w:hRule="exact" w:val="115"/>
      </w:trPr>
      <w:tc>
        <w:tcPr>
          <w:tcW w:w="7458" w:type="dxa"/>
          <w:shd w:val="clear" w:color="auto" w:fill="5B9BD5" w:themeFill="accent1"/>
          <w:tcMar>
            <w:top w:w="0" w:type="dxa"/>
            <w:bottom w:w="0" w:type="dxa"/>
          </w:tcMar>
        </w:tcPr>
        <w:p w14:paraId="7FF06A56" w14:textId="77777777" w:rsidR="007545E5" w:rsidRDefault="007545E5" w:rsidP="00E0129F">
          <w:pPr>
            <w:pStyle w:val="Header"/>
            <w:tabs>
              <w:tab w:val="clear" w:pos="4680"/>
              <w:tab w:val="clear" w:pos="9360"/>
            </w:tabs>
            <w:ind w:left="963"/>
            <w:rPr>
              <w:caps/>
              <w:sz w:val="18"/>
            </w:rPr>
          </w:pPr>
        </w:p>
      </w:tc>
      <w:tc>
        <w:tcPr>
          <w:tcW w:w="5774" w:type="dxa"/>
          <w:shd w:val="clear" w:color="auto" w:fill="5B9BD5" w:themeFill="accent1"/>
          <w:tcMar>
            <w:top w:w="0" w:type="dxa"/>
            <w:bottom w:w="0" w:type="dxa"/>
          </w:tcMar>
        </w:tcPr>
        <w:p w14:paraId="452C63DF" w14:textId="77777777" w:rsidR="007545E5" w:rsidRDefault="007545E5" w:rsidP="00231361">
          <w:pPr>
            <w:pStyle w:val="Header"/>
            <w:tabs>
              <w:tab w:val="clear" w:pos="4680"/>
              <w:tab w:val="clear" w:pos="9360"/>
            </w:tabs>
            <w:jc w:val="right"/>
            <w:rPr>
              <w:caps/>
              <w:sz w:val="18"/>
            </w:rPr>
          </w:pPr>
        </w:p>
      </w:tc>
    </w:tr>
    <w:tr w:rsidR="007545E5" w14:paraId="090AF46E" w14:textId="77777777" w:rsidTr="00E0129F">
      <w:trPr>
        <w:trHeight w:hRule="exact" w:val="115"/>
      </w:trPr>
      <w:tc>
        <w:tcPr>
          <w:tcW w:w="7458" w:type="dxa"/>
          <w:shd w:val="clear" w:color="auto" w:fill="5B9BD5" w:themeFill="accent1"/>
          <w:tcMar>
            <w:top w:w="0" w:type="dxa"/>
            <w:bottom w:w="0" w:type="dxa"/>
          </w:tcMar>
        </w:tcPr>
        <w:p w14:paraId="4AE26D6B" w14:textId="77777777" w:rsidR="007545E5" w:rsidRDefault="007545E5" w:rsidP="00231361">
          <w:pPr>
            <w:pStyle w:val="Header"/>
            <w:tabs>
              <w:tab w:val="clear" w:pos="4680"/>
              <w:tab w:val="clear" w:pos="9360"/>
            </w:tabs>
            <w:rPr>
              <w:caps/>
              <w:sz w:val="18"/>
            </w:rPr>
          </w:pPr>
        </w:p>
      </w:tc>
      <w:tc>
        <w:tcPr>
          <w:tcW w:w="5774" w:type="dxa"/>
          <w:shd w:val="clear" w:color="auto" w:fill="5B9BD5" w:themeFill="accent1"/>
          <w:tcMar>
            <w:top w:w="0" w:type="dxa"/>
            <w:bottom w:w="0" w:type="dxa"/>
          </w:tcMar>
        </w:tcPr>
        <w:p w14:paraId="6B8C8659" w14:textId="77777777" w:rsidR="007545E5" w:rsidRDefault="007545E5" w:rsidP="00231361">
          <w:pPr>
            <w:pStyle w:val="Header"/>
            <w:tabs>
              <w:tab w:val="clear" w:pos="4680"/>
              <w:tab w:val="clear" w:pos="9360"/>
            </w:tabs>
            <w:jc w:val="right"/>
            <w:rPr>
              <w:caps/>
              <w:sz w:val="18"/>
            </w:rPr>
          </w:pPr>
        </w:p>
      </w:tc>
    </w:tr>
    <w:tr w:rsidR="007545E5" w14:paraId="02C2FEAF" w14:textId="77777777" w:rsidTr="00E0129F">
      <w:sdt>
        <w:sdtPr>
          <w:rPr>
            <w:rFonts w:ascii="Tahoma" w:hAnsi="Tahoma" w:cs="Tahoma"/>
            <w:caps/>
            <w:color w:val="808080" w:themeColor="background1" w:themeShade="80"/>
            <w:sz w:val="18"/>
            <w:szCs w:val="18"/>
          </w:rPr>
          <w:alias w:val="Author"/>
          <w:tag w:val=""/>
          <w:id w:val="-440616597"/>
          <w:placeholder>
            <w:docPart w:val="84CE931F8A71412FA6125F328FFFE8CA"/>
          </w:placeholder>
          <w:dataBinding w:prefixMappings="xmlns:ns0='http://purl.org/dc/elements/1.1/' xmlns:ns1='http://schemas.openxmlformats.org/package/2006/metadata/core-properties' " w:xpath="/ns1:coreProperties[1]/ns0:creator[1]" w:storeItemID="{6C3C8BC8-F283-45AE-878A-BAB7291924A1}"/>
          <w:text/>
        </w:sdtPr>
        <w:sdtEndPr/>
        <w:sdtContent>
          <w:tc>
            <w:tcPr>
              <w:tcW w:w="7458" w:type="dxa"/>
              <w:shd w:val="clear" w:color="auto" w:fill="auto"/>
              <w:vAlign w:val="center"/>
            </w:tcPr>
            <w:p w14:paraId="044FC940" w14:textId="48F4527A" w:rsidR="007545E5" w:rsidRPr="00CA4A92" w:rsidRDefault="00D602AF" w:rsidP="00CC04B4">
              <w:pPr>
                <w:pStyle w:val="Footer"/>
                <w:tabs>
                  <w:tab w:val="clear" w:pos="4680"/>
                  <w:tab w:val="clear" w:pos="9360"/>
                </w:tabs>
                <w:rPr>
                  <w:rFonts w:ascii="Tahoma" w:hAnsi="Tahoma" w:cs="Tahoma"/>
                  <w:caps/>
                  <w:color w:val="808080" w:themeColor="background1" w:themeShade="80"/>
                  <w:sz w:val="18"/>
                  <w:szCs w:val="18"/>
                </w:rPr>
              </w:pPr>
              <w:r>
                <w:rPr>
                  <w:rFonts w:ascii="Tahoma" w:hAnsi="Tahoma" w:cs="Tahoma"/>
                  <w:caps/>
                  <w:color w:val="808080" w:themeColor="background1" w:themeShade="80"/>
                  <w:sz w:val="18"/>
                  <w:szCs w:val="18"/>
                </w:rPr>
                <w:t>ExecuȚie buget general consolidat | 31 mai 2020</w:t>
              </w:r>
            </w:p>
          </w:tc>
        </w:sdtContent>
      </w:sdt>
      <w:tc>
        <w:tcPr>
          <w:tcW w:w="5774" w:type="dxa"/>
          <w:shd w:val="clear" w:color="auto" w:fill="auto"/>
          <w:vAlign w:val="center"/>
        </w:tcPr>
        <w:p w14:paraId="03E852F4" w14:textId="661226BE" w:rsidR="007545E5" w:rsidRPr="00CA4A92" w:rsidRDefault="007545E5" w:rsidP="00231361">
          <w:pPr>
            <w:pStyle w:val="Footer"/>
            <w:tabs>
              <w:tab w:val="clear" w:pos="4680"/>
              <w:tab w:val="clear" w:pos="9360"/>
            </w:tabs>
            <w:jc w:val="right"/>
            <w:rPr>
              <w:rFonts w:ascii="Tahoma" w:hAnsi="Tahoma" w:cs="Tahoma"/>
              <w:caps/>
              <w:color w:val="808080" w:themeColor="background1" w:themeShade="80"/>
              <w:sz w:val="18"/>
              <w:szCs w:val="18"/>
            </w:rPr>
          </w:pPr>
          <w:r w:rsidRPr="00CA4A92">
            <w:rPr>
              <w:rFonts w:ascii="Tahoma" w:hAnsi="Tahoma" w:cs="Tahoma"/>
              <w:caps/>
              <w:color w:val="808080" w:themeColor="background1" w:themeShade="80"/>
              <w:sz w:val="18"/>
              <w:szCs w:val="18"/>
            </w:rPr>
            <w:fldChar w:fldCharType="begin"/>
          </w:r>
          <w:r w:rsidRPr="00CA4A92">
            <w:rPr>
              <w:rFonts w:ascii="Tahoma" w:hAnsi="Tahoma" w:cs="Tahoma"/>
              <w:caps/>
              <w:color w:val="808080" w:themeColor="background1" w:themeShade="80"/>
              <w:sz w:val="18"/>
              <w:szCs w:val="18"/>
            </w:rPr>
            <w:instrText xml:space="preserve"> PAGE   \* MERGEFORMAT </w:instrText>
          </w:r>
          <w:r w:rsidRPr="00CA4A92">
            <w:rPr>
              <w:rFonts w:ascii="Tahoma" w:hAnsi="Tahoma" w:cs="Tahoma"/>
              <w:caps/>
              <w:color w:val="808080" w:themeColor="background1" w:themeShade="80"/>
              <w:sz w:val="18"/>
              <w:szCs w:val="18"/>
            </w:rPr>
            <w:fldChar w:fldCharType="separate"/>
          </w:r>
          <w:r w:rsidR="00655DC5">
            <w:rPr>
              <w:rFonts w:ascii="Tahoma" w:hAnsi="Tahoma" w:cs="Tahoma"/>
              <w:caps/>
              <w:noProof/>
              <w:color w:val="808080" w:themeColor="background1" w:themeShade="80"/>
              <w:sz w:val="18"/>
              <w:szCs w:val="18"/>
            </w:rPr>
            <w:t>11</w:t>
          </w:r>
          <w:r w:rsidRPr="00CA4A92">
            <w:rPr>
              <w:rFonts w:ascii="Tahoma" w:hAnsi="Tahoma" w:cs="Tahoma"/>
              <w:caps/>
              <w:noProof/>
              <w:color w:val="808080" w:themeColor="background1" w:themeShade="80"/>
              <w:sz w:val="18"/>
              <w:szCs w:val="18"/>
            </w:rPr>
            <w:fldChar w:fldCharType="end"/>
          </w:r>
        </w:p>
      </w:tc>
    </w:tr>
  </w:tbl>
  <w:p w14:paraId="0DB14137" w14:textId="77777777" w:rsidR="007545E5" w:rsidRDefault="007545E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737" w:type="pct"/>
      <w:tblInd w:w="-1166" w:type="dxa"/>
      <w:tblCellMar>
        <w:top w:w="144" w:type="dxa"/>
        <w:left w:w="115" w:type="dxa"/>
        <w:bottom w:w="144" w:type="dxa"/>
        <w:right w:w="115" w:type="dxa"/>
      </w:tblCellMar>
      <w:tblLook w:val="04A0" w:firstRow="1" w:lastRow="0" w:firstColumn="1" w:lastColumn="0" w:noHBand="0" w:noVBand="1"/>
    </w:tblPr>
    <w:tblGrid>
      <w:gridCol w:w="7459"/>
      <w:gridCol w:w="5774"/>
    </w:tblGrid>
    <w:tr w:rsidR="00231361" w14:paraId="29B5977A" w14:textId="77777777" w:rsidTr="00E0129F">
      <w:trPr>
        <w:trHeight w:hRule="exact" w:val="115"/>
      </w:trPr>
      <w:tc>
        <w:tcPr>
          <w:tcW w:w="7458" w:type="dxa"/>
          <w:shd w:val="clear" w:color="auto" w:fill="5B9BD5" w:themeFill="accent1"/>
          <w:tcMar>
            <w:top w:w="0" w:type="dxa"/>
            <w:bottom w:w="0" w:type="dxa"/>
          </w:tcMar>
        </w:tcPr>
        <w:p w14:paraId="290EA161" w14:textId="77777777" w:rsidR="00231361" w:rsidRDefault="00231361" w:rsidP="00E0129F">
          <w:pPr>
            <w:pStyle w:val="Header"/>
            <w:tabs>
              <w:tab w:val="clear" w:pos="4680"/>
              <w:tab w:val="clear" w:pos="9360"/>
            </w:tabs>
            <w:ind w:left="963"/>
            <w:rPr>
              <w:caps/>
              <w:sz w:val="18"/>
            </w:rPr>
          </w:pPr>
        </w:p>
      </w:tc>
      <w:tc>
        <w:tcPr>
          <w:tcW w:w="5774" w:type="dxa"/>
          <w:shd w:val="clear" w:color="auto" w:fill="5B9BD5" w:themeFill="accent1"/>
          <w:tcMar>
            <w:top w:w="0" w:type="dxa"/>
            <w:bottom w:w="0" w:type="dxa"/>
          </w:tcMar>
        </w:tcPr>
        <w:p w14:paraId="3151C9C0" w14:textId="77777777" w:rsidR="00231361" w:rsidRDefault="00231361" w:rsidP="00231361">
          <w:pPr>
            <w:pStyle w:val="Header"/>
            <w:tabs>
              <w:tab w:val="clear" w:pos="4680"/>
              <w:tab w:val="clear" w:pos="9360"/>
            </w:tabs>
            <w:jc w:val="right"/>
            <w:rPr>
              <w:caps/>
              <w:sz w:val="18"/>
            </w:rPr>
          </w:pPr>
        </w:p>
      </w:tc>
    </w:tr>
    <w:tr w:rsidR="00231361" w14:paraId="0A999712" w14:textId="77777777" w:rsidTr="00E0129F">
      <w:trPr>
        <w:trHeight w:hRule="exact" w:val="115"/>
      </w:trPr>
      <w:tc>
        <w:tcPr>
          <w:tcW w:w="7458" w:type="dxa"/>
          <w:shd w:val="clear" w:color="auto" w:fill="5B9BD5" w:themeFill="accent1"/>
          <w:tcMar>
            <w:top w:w="0" w:type="dxa"/>
            <w:bottom w:w="0" w:type="dxa"/>
          </w:tcMar>
        </w:tcPr>
        <w:p w14:paraId="3680FD29" w14:textId="77777777" w:rsidR="00231361" w:rsidRDefault="00231361" w:rsidP="00231361">
          <w:pPr>
            <w:pStyle w:val="Header"/>
            <w:tabs>
              <w:tab w:val="clear" w:pos="4680"/>
              <w:tab w:val="clear" w:pos="9360"/>
            </w:tabs>
            <w:rPr>
              <w:caps/>
              <w:sz w:val="18"/>
            </w:rPr>
          </w:pPr>
        </w:p>
      </w:tc>
      <w:tc>
        <w:tcPr>
          <w:tcW w:w="5774" w:type="dxa"/>
          <w:shd w:val="clear" w:color="auto" w:fill="5B9BD5" w:themeFill="accent1"/>
          <w:tcMar>
            <w:top w:w="0" w:type="dxa"/>
            <w:bottom w:w="0" w:type="dxa"/>
          </w:tcMar>
        </w:tcPr>
        <w:p w14:paraId="0D7CDF92" w14:textId="77777777" w:rsidR="00231361" w:rsidRDefault="00231361" w:rsidP="00231361">
          <w:pPr>
            <w:pStyle w:val="Header"/>
            <w:tabs>
              <w:tab w:val="clear" w:pos="4680"/>
              <w:tab w:val="clear" w:pos="9360"/>
            </w:tabs>
            <w:jc w:val="right"/>
            <w:rPr>
              <w:caps/>
              <w:sz w:val="18"/>
            </w:rPr>
          </w:pPr>
        </w:p>
      </w:tc>
    </w:tr>
    <w:tr w:rsidR="00231361" w14:paraId="078E6FF7" w14:textId="77777777" w:rsidTr="00E0129F">
      <w:sdt>
        <w:sdtPr>
          <w:rPr>
            <w:rFonts w:ascii="Tahoma" w:hAnsi="Tahoma" w:cs="Tahoma"/>
            <w:caps/>
            <w:color w:val="808080" w:themeColor="background1" w:themeShade="80"/>
            <w:sz w:val="18"/>
            <w:szCs w:val="18"/>
          </w:rPr>
          <w:alias w:val="Author"/>
          <w:tag w:val=""/>
          <w:id w:val="745539962"/>
          <w:placeholder>
            <w:docPart w:val="84CE931F8A71412FA6125F328FFFE8CA"/>
          </w:placeholder>
          <w:dataBinding w:prefixMappings="xmlns:ns0='http://purl.org/dc/elements/1.1/' xmlns:ns1='http://schemas.openxmlformats.org/package/2006/metadata/core-properties' " w:xpath="/ns1:coreProperties[1]/ns0:creator[1]" w:storeItemID="{6C3C8BC8-F283-45AE-878A-BAB7291924A1}"/>
          <w:text/>
        </w:sdtPr>
        <w:sdtEndPr/>
        <w:sdtContent>
          <w:tc>
            <w:tcPr>
              <w:tcW w:w="7458" w:type="dxa"/>
              <w:shd w:val="clear" w:color="auto" w:fill="auto"/>
              <w:vAlign w:val="center"/>
            </w:tcPr>
            <w:p w14:paraId="41453567" w14:textId="68D88911" w:rsidR="00231361" w:rsidRPr="00CA4A92" w:rsidRDefault="00D602AF" w:rsidP="000E0456">
              <w:pPr>
                <w:pStyle w:val="Footer"/>
                <w:tabs>
                  <w:tab w:val="clear" w:pos="4680"/>
                  <w:tab w:val="clear" w:pos="9360"/>
                </w:tabs>
                <w:rPr>
                  <w:rFonts w:ascii="Tahoma" w:hAnsi="Tahoma" w:cs="Tahoma"/>
                  <w:caps/>
                  <w:color w:val="808080" w:themeColor="background1" w:themeShade="80"/>
                  <w:sz w:val="18"/>
                  <w:szCs w:val="18"/>
                </w:rPr>
              </w:pPr>
              <w:r>
                <w:rPr>
                  <w:rFonts w:ascii="Tahoma" w:hAnsi="Tahoma" w:cs="Tahoma"/>
                  <w:caps/>
                  <w:color w:val="808080" w:themeColor="background1" w:themeShade="80"/>
                  <w:sz w:val="18"/>
                  <w:szCs w:val="18"/>
                </w:rPr>
                <w:t>ExecuȚie buget general consolidat | 31 mai 2020</w:t>
              </w:r>
            </w:p>
          </w:tc>
        </w:sdtContent>
      </w:sdt>
      <w:tc>
        <w:tcPr>
          <w:tcW w:w="5774" w:type="dxa"/>
          <w:shd w:val="clear" w:color="auto" w:fill="auto"/>
          <w:vAlign w:val="center"/>
        </w:tcPr>
        <w:p w14:paraId="171E7C2C" w14:textId="1B23516D" w:rsidR="00231361" w:rsidRPr="00CA4A92" w:rsidRDefault="00515DA7" w:rsidP="00231361">
          <w:pPr>
            <w:pStyle w:val="Footer"/>
            <w:tabs>
              <w:tab w:val="clear" w:pos="4680"/>
              <w:tab w:val="clear" w:pos="9360"/>
            </w:tabs>
            <w:jc w:val="right"/>
            <w:rPr>
              <w:rFonts w:ascii="Tahoma" w:hAnsi="Tahoma" w:cs="Tahoma"/>
              <w:caps/>
              <w:color w:val="808080" w:themeColor="background1" w:themeShade="80"/>
              <w:sz w:val="18"/>
              <w:szCs w:val="18"/>
            </w:rPr>
          </w:pPr>
          <w:r w:rsidRPr="00CA4A92">
            <w:rPr>
              <w:rFonts w:ascii="Tahoma" w:hAnsi="Tahoma" w:cs="Tahoma"/>
              <w:caps/>
              <w:color w:val="808080" w:themeColor="background1" w:themeShade="80"/>
              <w:sz w:val="18"/>
              <w:szCs w:val="18"/>
            </w:rPr>
            <w:fldChar w:fldCharType="begin"/>
          </w:r>
          <w:r w:rsidR="00231361" w:rsidRPr="00CA4A92">
            <w:rPr>
              <w:rFonts w:ascii="Tahoma" w:hAnsi="Tahoma" w:cs="Tahoma"/>
              <w:caps/>
              <w:color w:val="808080" w:themeColor="background1" w:themeShade="80"/>
              <w:sz w:val="18"/>
              <w:szCs w:val="18"/>
            </w:rPr>
            <w:instrText xml:space="preserve"> PAGE   \* MERGEFORMAT </w:instrText>
          </w:r>
          <w:r w:rsidRPr="00CA4A92">
            <w:rPr>
              <w:rFonts w:ascii="Tahoma" w:hAnsi="Tahoma" w:cs="Tahoma"/>
              <w:caps/>
              <w:color w:val="808080" w:themeColor="background1" w:themeShade="80"/>
              <w:sz w:val="18"/>
              <w:szCs w:val="18"/>
            </w:rPr>
            <w:fldChar w:fldCharType="separate"/>
          </w:r>
          <w:r w:rsidR="00687362">
            <w:rPr>
              <w:rFonts w:ascii="Tahoma" w:hAnsi="Tahoma" w:cs="Tahoma"/>
              <w:caps/>
              <w:noProof/>
              <w:color w:val="808080" w:themeColor="background1" w:themeShade="80"/>
              <w:sz w:val="18"/>
              <w:szCs w:val="18"/>
            </w:rPr>
            <w:t>12</w:t>
          </w:r>
          <w:r w:rsidRPr="00CA4A92">
            <w:rPr>
              <w:rFonts w:ascii="Tahoma" w:hAnsi="Tahoma" w:cs="Tahoma"/>
              <w:caps/>
              <w:noProof/>
              <w:color w:val="808080" w:themeColor="background1" w:themeShade="80"/>
              <w:sz w:val="18"/>
              <w:szCs w:val="18"/>
            </w:rPr>
            <w:fldChar w:fldCharType="end"/>
          </w:r>
        </w:p>
      </w:tc>
    </w:tr>
  </w:tbl>
  <w:p w14:paraId="7E6A113F" w14:textId="77777777" w:rsidR="00231361" w:rsidRDefault="002313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5D509" w14:textId="77777777" w:rsidR="00E01F79" w:rsidRDefault="00E01F79" w:rsidP="006704C5">
      <w:pPr>
        <w:spacing w:after="0" w:line="240" w:lineRule="auto"/>
      </w:pPr>
      <w:r>
        <w:separator/>
      </w:r>
    </w:p>
  </w:footnote>
  <w:footnote w:type="continuationSeparator" w:id="0">
    <w:p w14:paraId="117DB837" w14:textId="77777777" w:rsidR="00E01F79" w:rsidRDefault="00E01F79" w:rsidP="006704C5">
      <w:pPr>
        <w:spacing w:after="0" w:line="240" w:lineRule="auto"/>
      </w:pPr>
      <w:r>
        <w:continuationSeparator/>
      </w:r>
    </w:p>
  </w:footnote>
  <w:footnote w:id="1">
    <w:p w14:paraId="79BEEA63" w14:textId="56825E90" w:rsidR="00F62A47" w:rsidRDefault="00F62A47" w:rsidP="00F62A47">
      <w:pPr>
        <w:pStyle w:val="FootnoteText"/>
        <w:jc w:val="both"/>
      </w:pPr>
      <w:r>
        <w:rPr>
          <w:rStyle w:val="FootnoteReference"/>
        </w:rPr>
        <w:footnoteRef/>
      </w:r>
      <w:r>
        <w:rPr>
          <w:rFonts w:ascii="Tahoma" w:hAnsi="Tahoma" w:cs="Tahoma"/>
        </w:rPr>
        <w:t>F</w:t>
      </w:r>
      <w:r w:rsidRPr="00BE0BF4">
        <w:rPr>
          <w:rFonts w:ascii="Tahoma" w:hAnsi="Tahoma" w:cs="Tahoma"/>
        </w:rPr>
        <w:t xml:space="preserve">acilitate acordată prin OUG nr.29/2020 </w:t>
      </w:r>
      <w:r w:rsidRPr="00BE0BF4">
        <w:rPr>
          <w:rFonts w:ascii="Tahoma" w:hAnsi="Tahoma" w:cs="Tahoma"/>
          <w:bCs/>
          <w:noProof/>
          <w:kern w:val="1"/>
          <w:lang w:eastAsia="ro-RO"/>
        </w:rPr>
        <w:t>privind unele măsuri economice și fiscal bugetare</w:t>
      </w:r>
      <w:r w:rsidR="00180BFF">
        <w:rPr>
          <w:rFonts w:ascii="Tahoma" w:hAnsi="Tahoma" w:cs="Tahoma"/>
          <w:bCs/>
          <w:noProof/>
          <w:lang w:eastAsia="ro-RO"/>
        </w:rPr>
        <w:t>,</w:t>
      </w:r>
      <w:r w:rsidRPr="00BE0BF4">
        <w:rPr>
          <w:rFonts w:ascii="Tahoma" w:hAnsi="Tahoma" w:cs="Tahoma"/>
          <w:bCs/>
          <w:noProof/>
          <w:lang w:eastAsia="ro-RO"/>
        </w:rPr>
        <w:t xml:space="preserve"> </w:t>
      </w:r>
      <w:r w:rsidR="00180BFF">
        <w:rPr>
          <w:rFonts w:ascii="Tahoma" w:hAnsi="Tahoma" w:cs="Tahoma"/>
          <w:bCs/>
          <w:noProof/>
          <w:lang w:eastAsia="ro-RO"/>
        </w:rPr>
        <w:t>cu modificarile și completările ulterioare</w:t>
      </w:r>
      <w:r>
        <w:rPr>
          <w:rFonts w:ascii="Tahoma" w:hAnsi="Tahoma" w:cs="Tahoma"/>
          <w:bCs/>
          <w:noProof/>
          <w:lang w:eastAsia="ro-RO"/>
        </w:rPr>
        <w:t>.</w:t>
      </w:r>
      <w:r w:rsidRPr="00BE0BF4">
        <w:rPr>
          <w:rFonts w:ascii="Tahoma" w:hAnsi="Tahoma" w:cs="Tahoma"/>
          <w:bCs/>
          <w:noProof/>
          <w:lang w:eastAsia="ro-RO"/>
        </w:rPr>
        <w:t xml:space="preserve"> </w:t>
      </w:r>
    </w:p>
  </w:footnote>
  <w:footnote w:id="2">
    <w:p w14:paraId="2C32E069" w14:textId="77777777" w:rsidR="00F62A47" w:rsidRDefault="00F62A47" w:rsidP="00F62A47">
      <w:pPr>
        <w:pStyle w:val="FootnoteText"/>
      </w:pPr>
      <w:r>
        <w:rPr>
          <w:rStyle w:val="FootnoteReference"/>
        </w:rPr>
        <w:footnoteRef/>
      </w:r>
      <w:r>
        <w:t xml:space="preserve"> OUG nr. 30/2020, modificată prin OUG nr. 32/2020</w:t>
      </w:r>
    </w:p>
  </w:footnote>
  <w:footnote w:id="3">
    <w:p w14:paraId="36D7ED25" w14:textId="77777777" w:rsidR="00F62A47" w:rsidRDefault="00F62A47" w:rsidP="00F62A47">
      <w:pPr>
        <w:pStyle w:val="FootnoteText"/>
      </w:pPr>
      <w:r>
        <w:rPr>
          <w:rStyle w:val="FootnoteReference"/>
        </w:rPr>
        <w:footnoteRef/>
      </w:r>
      <w:r>
        <w:t xml:space="preserve"> Impozitul pe veniturile microîntreprinderilor reprezenta 99,3% în total capitol bugetar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74559"/>
    <w:multiLevelType w:val="hybridMultilevel"/>
    <w:tmpl w:val="60F623AE"/>
    <w:lvl w:ilvl="0" w:tplc="A59CE0C4">
      <w:numFmt w:val="bullet"/>
      <w:lvlText w:val="-"/>
      <w:lvlJc w:val="left"/>
      <w:pPr>
        <w:ind w:left="10080" w:hanging="720"/>
      </w:pPr>
      <w:rPr>
        <w:rFonts w:ascii="Tahoma" w:eastAsiaTheme="minorHAnsi" w:hAnsi="Tahoma" w:cs="Tahoma" w:hint="default"/>
      </w:rPr>
    </w:lvl>
    <w:lvl w:ilvl="1" w:tplc="04090003" w:tentative="1">
      <w:start w:val="1"/>
      <w:numFmt w:val="bullet"/>
      <w:lvlText w:val="o"/>
      <w:lvlJc w:val="left"/>
      <w:pPr>
        <w:ind w:left="10440" w:hanging="360"/>
      </w:pPr>
      <w:rPr>
        <w:rFonts w:ascii="Courier New" w:hAnsi="Courier New" w:cs="Courier New" w:hint="default"/>
      </w:rPr>
    </w:lvl>
    <w:lvl w:ilvl="2" w:tplc="04090005" w:tentative="1">
      <w:start w:val="1"/>
      <w:numFmt w:val="bullet"/>
      <w:lvlText w:val=""/>
      <w:lvlJc w:val="left"/>
      <w:pPr>
        <w:ind w:left="11160" w:hanging="360"/>
      </w:pPr>
      <w:rPr>
        <w:rFonts w:ascii="Wingdings" w:hAnsi="Wingdings" w:hint="default"/>
      </w:rPr>
    </w:lvl>
    <w:lvl w:ilvl="3" w:tplc="04090001" w:tentative="1">
      <w:start w:val="1"/>
      <w:numFmt w:val="bullet"/>
      <w:lvlText w:val=""/>
      <w:lvlJc w:val="left"/>
      <w:pPr>
        <w:ind w:left="11880" w:hanging="360"/>
      </w:pPr>
      <w:rPr>
        <w:rFonts w:ascii="Symbol" w:hAnsi="Symbol" w:hint="default"/>
      </w:rPr>
    </w:lvl>
    <w:lvl w:ilvl="4" w:tplc="04090003" w:tentative="1">
      <w:start w:val="1"/>
      <w:numFmt w:val="bullet"/>
      <w:lvlText w:val="o"/>
      <w:lvlJc w:val="left"/>
      <w:pPr>
        <w:ind w:left="12600" w:hanging="360"/>
      </w:pPr>
      <w:rPr>
        <w:rFonts w:ascii="Courier New" w:hAnsi="Courier New" w:cs="Courier New" w:hint="default"/>
      </w:rPr>
    </w:lvl>
    <w:lvl w:ilvl="5" w:tplc="04090005" w:tentative="1">
      <w:start w:val="1"/>
      <w:numFmt w:val="bullet"/>
      <w:lvlText w:val=""/>
      <w:lvlJc w:val="left"/>
      <w:pPr>
        <w:ind w:left="13320" w:hanging="360"/>
      </w:pPr>
      <w:rPr>
        <w:rFonts w:ascii="Wingdings" w:hAnsi="Wingdings" w:hint="default"/>
      </w:rPr>
    </w:lvl>
    <w:lvl w:ilvl="6" w:tplc="04090001" w:tentative="1">
      <w:start w:val="1"/>
      <w:numFmt w:val="bullet"/>
      <w:lvlText w:val=""/>
      <w:lvlJc w:val="left"/>
      <w:pPr>
        <w:ind w:left="14040" w:hanging="360"/>
      </w:pPr>
      <w:rPr>
        <w:rFonts w:ascii="Symbol" w:hAnsi="Symbol" w:hint="default"/>
      </w:rPr>
    </w:lvl>
    <w:lvl w:ilvl="7" w:tplc="04090003" w:tentative="1">
      <w:start w:val="1"/>
      <w:numFmt w:val="bullet"/>
      <w:lvlText w:val="o"/>
      <w:lvlJc w:val="left"/>
      <w:pPr>
        <w:ind w:left="14760" w:hanging="360"/>
      </w:pPr>
      <w:rPr>
        <w:rFonts w:ascii="Courier New" w:hAnsi="Courier New" w:cs="Courier New" w:hint="default"/>
      </w:rPr>
    </w:lvl>
    <w:lvl w:ilvl="8" w:tplc="04090005" w:tentative="1">
      <w:start w:val="1"/>
      <w:numFmt w:val="bullet"/>
      <w:lvlText w:val=""/>
      <w:lvlJc w:val="left"/>
      <w:pPr>
        <w:ind w:left="15480" w:hanging="360"/>
      </w:pPr>
      <w:rPr>
        <w:rFonts w:ascii="Wingdings" w:hAnsi="Wingdings" w:hint="default"/>
      </w:rPr>
    </w:lvl>
  </w:abstractNum>
  <w:abstractNum w:abstractNumId="1" w15:restartNumberingAfterBreak="0">
    <w:nsid w:val="19AE6EB8"/>
    <w:multiLevelType w:val="hybridMultilevel"/>
    <w:tmpl w:val="A8B84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D316B"/>
    <w:multiLevelType w:val="hybridMultilevel"/>
    <w:tmpl w:val="AC76A1EE"/>
    <w:lvl w:ilvl="0" w:tplc="30126C2E">
      <w:numFmt w:val="bullet"/>
      <w:lvlText w:val="-"/>
      <w:lvlJc w:val="left"/>
      <w:pPr>
        <w:ind w:left="750" w:hanging="39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4B1D8C"/>
    <w:multiLevelType w:val="hybridMultilevel"/>
    <w:tmpl w:val="DEDAE322"/>
    <w:lvl w:ilvl="0" w:tplc="18F0F192">
      <w:start w:val="1"/>
      <w:numFmt w:val="upperRoman"/>
      <w:lvlText w:val="%1."/>
      <w:lvlJc w:val="left"/>
      <w:pPr>
        <w:ind w:left="1080" w:hanging="720"/>
      </w:pPr>
      <w:rPr>
        <w:rFonts w:hint="default"/>
        <w:b/>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6968D3"/>
    <w:multiLevelType w:val="hybridMultilevel"/>
    <w:tmpl w:val="B202A21C"/>
    <w:lvl w:ilvl="0" w:tplc="731EB554">
      <w:start w:val="1"/>
      <w:numFmt w:val="bullet"/>
      <w:lvlText w:val=""/>
      <w:lvlJc w:val="left"/>
      <w:pPr>
        <w:ind w:left="1080" w:hanging="72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73916"/>
    <w:multiLevelType w:val="hybridMultilevel"/>
    <w:tmpl w:val="7480F156"/>
    <w:lvl w:ilvl="0" w:tplc="30126C2E">
      <w:numFmt w:val="bullet"/>
      <w:lvlText w:val="-"/>
      <w:lvlJc w:val="left"/>
      <w:pPr>
        <w:ind w:left="750" w:hanging="39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897CC7"/>
    <w:multiLevelType w:val="hybridMultilevel"/>
    <w:tmpl w:val="C51EB1E6"/>
    <w:lvl w:ilvl="0" w:tplc="52C60E8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F23"/>
    <w:rsid w:val="00001E8C"/>
    <w:rsid w:val="00005729"/>
    <w:rsid w:val="00011138"/>
    <w:rsid w:val="0001133C"/>
    <w:rsid w:val="00012C3B"/>
    <w:rsid w:val="000141BF"/>
    <w:rsid w:val="00016F63"/>
    <w:rsid w:val="00017361"/>
    <w:rsid w:val="00020D5F"/>
    <w:rsid w:val="00021A38"/>
    <w:rsid w:val="000248D3"/>
    <w:rsid w:val="00026DEC"/>
    <w:rsid w:val="000272BD"/>
    <w:rsid w:val="000324A0"/>
    <w:rsid w:val="00032A05"/>
    <w:rsid w:val="00041D0D"/>
    <w:rsid w:val="000434BF"/>
    <w:rsid w:val="00052351"/>
    <w:rsid w:val="00054E9E"/>
    <w:rsid w:val="000557D4"/>
    <w:rsid w:val="00056BE3"/>
    <w:rsid w:val="000573AD"/>
    <w:rsid w:val="0005779D"/>
    <w:rsid w:val="00061787"/>
    <w:rsid w:val="00062A56"/>
    <w:rsid w:val="0007251C"/>
    <w:rsid w:val="00082576"/>
    <w:rsid w:val="0008264F"/>
    <w:rsid w:val="000842A5"/>
    <w:rsid w:val="0008642C"/>
    <w:rsid w:val="000916B5"/>
    <w:rsid w:val="000923D7"/>
    <w:rsid w:val="000942F8"/>
    <w:rsid w:val="000951A2"/>
    <w:rsid w:val="00095242"/>
    <w:rsid w:val="000A2574"/>
    <w:rsid w:val="000A25FA"/>
    <w:rsid w:val="000A3B0F"/>
    <w:rsid w:val="000A4203"/>
    <w:rsid w:val="000A62E1"/>
    <w:rsid w:val="000A7436"/>
    <w:rsid w:val="000B4031"/>
    <w:rsid w:val="000B579B"/>
    <w:rsid w:val="000B633B"/>
    <w:rsid w:val="000B6D8F"/>
    <w:rsid w:val="000C30DF"/>
    <w:rsid w:val="000C5478"/>
    <w:rsid w:val="000C5D9D"/>
    <w:rsid w:val="000C7AF8"/>
    <w:rsid w:val="000D2B64"/>
    <w:rsid w:val="000D5417"/>
    <w:rsid w:val="000D6179"/>
    <w:rsid w:val="000D653B"/>
    <w:rsid w:val="000D6F9B"/>
    <w:rsid w:val="000D7561"/>
    <w:rsid w:val="000E0456"/>
    <w:rsid w:val="000F0A63"/>
    <w:rsid w:val="000F10A9"/>
    <w:rsid w:val="000F1E3F"/>
    <w:rsid w:val="000F48B4"/>
    <w:rsid w:val="000F5F4E"/>
    <w:rsid w:val="000F62DB"/>
    <w:rsid w:val="001005D0"/>
    <w:rsid w:val="00103BDE"/>
    <w:rsid w:val="00104FEE"/>
    <w:rsid w:val="00106F7A"/>
    <w:rsid w:val="00107875"/>
    <w:rsid w:val="00110F44"/>
    <w:rsid w:val="00116648"/>
    <w:rsid w:val="00122DF5"/>
    <w:rsid w:val="001236DE"/>
    <w:rsid w:val="00125818"/>
    <w:rsid w:val="00141717"/>
    <w:rsid w:val="00142FC5"/>
    <w:rsid w:val="001506F4"/>
    <w:rsid w:val="00153418"/>
    <w:rsid w:val="001535C1"/>
    <w:rsid w:val="00155AFB"/>
    <w:rsid w:val="00156388"/>
    <w:rsid w:val="00161F59"/>
    <w:rsid w:val="00163874"/>
    <w:rsid w:val="001648BC"/>
    <w:rsid w:val="00170657"/>
    <w:rsid w:val="001707DC"/>
    <w:rsid w:val="00175AD6"/>
    <w:rsid w:val="0017667A"/>
    <w:rsid w:val="0018055E"/>
    <w:rsid w:val="00180AC2"/>
    <w:rsid w:val="00180BFF"/>
    <w:rsid w:val="00182B0D"/>
    <w:rsid w:val="001915F6"/>
    <w:rsid w:val="00191CC0"/>
    <w:rsid w:val="001A2254"/>
    <w:rsid w:val="001A784E"/>
    <w:rsid w:val="001B1E6F"/>
    <w:rsid w:val="001B20A6"/>
    <w:rsid w:val="001B60DA"/>
    <w:rsid w:val="001B70D2"/>
    <w:rsid w:val="001C52B3"/>
    <w:rsid w:val="001D03AF"/>
    <w:rsid w:val="001D06A7"/>
    <w:rsid w:val="001D1DC7"/>
    <w:rsid w:val="001D22B3"/>
    <w:rsid w:val="001D29DC"/>
    <w:rsid w:val="001D44C7"/>
    <w:rsid w:val="001D45FB"/>
    <w:rsid w:val="001D65FC"/>
    <w:rsid w:val="001D6927"/>
    <w:rsid w:val="001E043E"/>
    <w:rsid w:val="001E4EAE"/>
    <w:rsid w:val="001E5AB6"/>
    <w:rsid w:val="001E6762"/>
    <w:rsid w:val="001F14B9"/>
    <w:rsid w:val="001F1E8A"/>
    <w:rsid w:val="001F36DD"/>
    <w:rsid w:val="001F3D9F"/>
    <w:rsid w:val="001F6AFC"/>
    <w:rsid w:val="001F7BB5"/>
    <w:rsid w:val="00202269"/>
    <w:rsid w:val="00203FF7"/>
    <w:rsid w:val="0020593A"/>
    <w:rsid w:val="00206989"/>
    <w:rsid w:val="00207E04"/>
    <w:rsid w:val="00210FCE"/>
    <w:rsid w:val="00212F98"/>
    <w:rsid w:val="00214764"/>
    <w:rsid w:val="0021747D"/>
    <w:rsid w:val="00217F5C"/>
    <w:rsid w:val="002200B1"/>
    <w:rsid w:val="00220A5A"/>
    <w:rsid w:val="00223065"/>
    <w:rsid w:val="00225829"/>
    <w:rsid w:val="0022634D"/>
    <w:rsid w:val="00231361"/>
    <w:rsid w:val="00231AE5"/>
    <w:rsid w:val="00232E16"/>
    <w:rsid w:val="0023449A"/>
    <w:rsid w:val="002374EA"/>
    <w:rsid w:val="00237850"/>
    <w:rsid w:val="00241CAA"/>
    <w:rsid w:val="00244ACB"/>
    <w:rsid w:val="0025301D"/>
    <w:rsid w:val="00253FAE"/>
    <w:rsid w:val="00256949"/>
    <w:rsid w:val="002677EB"/>
    <w:rsid w:val="00267D26"/>
    <w:rsid w:val="00272B9B"/>
    <w:rsid w:val="00272FF7"/>
    <w:rsid w:val="00273697"/>
    <w:rsid w:val="002744A9"/>
    <w:rsid w:val="00274B69"/>
    <w:rsid w:val="00274F7D"/>
    <w:rsid w:val="0027740A"/>
    <w:rsid w:val="00277C9A"/>
    <w:rsid w:val="00283023"/>
    <w:rsid w:val="002904A5"/>
    <w:rsid w:val="002914A1"/>
    <w:rsid w:val="002915B1"/>
    <w:rsid w:val="0029776C"/>
    <w:rsid w:val="002A7F1B"/>
    <w:rsid w:val="002B01DC"/>
    <w:rsid w:val="002B0F64"/>
    <w:rsid w:val="002B3CC9"/>
    <w:rsid w:val="002B64BB"/>
    <w:rsid w:val="002C1755"/>
    <w:rsid w:val="002C17E1"/>
    <w:rsid w:val="002C4831"/>
    <w:rsid w:val="002C50FD"/>
    <w:rsid w:val="002C7C10"/>
    <w:rsid w:val="002D304B"/>
    <w:rsid w:val="002D4811"/>
    <w:rsid w:val="002D6FDE"/>
    <w:rsid w:val="002D7C69"/>
    <w:rsid w:val="002E36A6"/>
    <w:rsid w:val="002E593E"/>
    <w:rsid w:val="002E7628"/>
    <w:rsid w:val="002F44EA"/>
    <w:rsid w:val="002F4790"/>
    <w:rsid w:val="00301A1C"/>
    <w:rsid w:val="00302BA3"/>
    <w:rsid w:val="003108FF"/>
    <w:rsid w:val="00311431"/>
    <w:rsid w:val="00313230"/>
    <w:rsid w:val="003168A7"/>
    <w:rsid w:val="00322A56"/>
    <w:rsid w:val="00335354"/>
    <w:rsid w:val="0033573F"/>
    <w:rsid w:val="00340D1E"/>
    <w:rsid w:val="00344677"/>
    <w:rsid w:val="003477B4"/>
    <w:rsid w:val="00353276"/>
    <w:rsid w:val="003565E1"/>
    <w:rsid w:val="0035662D"/>
    <w:rsid w:val="00356F6A"/>
    <w:rsid w:val="00360906"/>
    <w:rsid w:val="003700C3"/>
    <w:rsid w:val="0037130B"/>
    <w:rsid w:val="00374899"/>
    <w:rsid w:val="00376CD7"/>
    <w:rsid w:val="003773F4"/>
    <w:rsid w:val="003836BC"/>
    <w:rsid w:val="003914AB"/>
    <w:rsid w:val="00391CC2"/>
    <w:rsid w:val="00392457"/>
    <w:rsid w:val="00392E3D"/>
    <w:rsid w:val="0039710E"/>
    <w:rsid w:val="003A18B2"/>
    <w:rsid w:val="003A5BF2"/>
    <w:rsid w:val="003A6D4C"/>
    <w:rsid w:val="003B44A7"/>
    <w:rsid w:val="003C13E0"/>
    <w:rsid w:val="003C25D1"/>
    <w:rsid w:val="003C28B1"/>
    <w:rsid w:val="003C373A"/>
    <w:rsid w:val="003C663D"/>
    <w:rsid w:val="003D0758"/>
    <w:rsid w:val="003D71FF"/>
    <w:rsid w:val="003E42FC"/>
    <w:rsid w:val="003E621C"/>
    <w:rsid w:val="003F0AE0"/>
    <w:rsid w:val="003F37F1"/>
    <w:rsid w:val="003F4337"/>
    <w:rsid w:val="003F4E84"/>
    <w:rsid w:val="003F7973"/>
    <w:rsid w:val="00400409"/>
    <w:rsid w:val="004071E1"/>
    <w:rsid w:val="00407EFE"/>
    <w:rsid w:val="00410E69"/>
    <w:rsid w:val="004119D0"/>
    <w:rsid w:val="00414D79"/>
    <w:rsid w:val="004159E1"/>
    <w:rsid w:val="00420E61"/>
    <w:rsid w:val="00423CAE"/>
    <w:rsid w:val="004246D1"/>
    <w:rsid w:val="00426972"/>
    <w:rsid w:val="0043013B"/>
    <w:rsid w:val="004320A1"/>
    <w:rsid w:val="00432FF1"/>
    <w:rsid w:val="00434C82"/>
    <w:rsid w:val="00434CBE"/>
    <w:rsid w:val="00435BF5"/>
    <w:rsid w:val="00446B46"/>
    <w:rsid w:val="00452843"/>
    <w:rsid w:val="00452ACC"/>
    <w:rsid w:val="004546CE"/>
    <w:rsid w:val="004645F7"/>
    <w:rsid w:val="00477AC8"/>
    <w:rsid w:val="00480868"/>
    <w:rsid w:val="0048352B"/>
    <w:rsid w:val="00484DB4"/>
    <w:rsid w:val="0048518E"/>
    <w:rsid w:val="004901E4"/>
    <w:rsid w:val="00493A79"/>
    <w:rsid w:val="004A1E84"/>
    <w:rsid w:val="004A277A"/>
    <w:rsid w:val="004A31C5"/>
    <w:rsid w:val="004B7A33"/>
    <w:rsid w:val="004C373B"/>
    <w:rsid w:val="004C3A0E"/>
    <w:rsid w:val="004C6D1D"/>
    <w:rsid w:val="004C6E65"/>
    <w:rsid w:val="004D1156"/>
    <w:rsid w:val="004D5422"/>
    <w:rsid w:val="004D5DCE"/>
    <w:rsid w:val="004D6936"/>
    <w:rsid w:val="004E0E38"/>
    <w:rsid w:val="004E0EDE"/>
    <w:rsid w:val="004E126B"/>
    <w:rsid w:val="004E13C1"/>
    <w:rsid w:val="004E2A7B"/>
    <w:rsid w:val="004E3BAE"/>
    <w:rsid w:val="004F073C"/>
    <w:rsid w:val="004F0A30"/>
    <w:rsid w:val="004F1EEB"/>
    <w:rsid w:val="004F2959"/>
    <w:rsid w:val="00503F46"/>
    <w:rsid w:val="0050613A"/>
    <w:rsid w:val="00506D31"/>
    <w:rsid w:val="00506ECF"/>
    <w:rsid w:val="005072F2"/>
    <w:rsid w:val="00510AE5"/>
    <w:rsid w:val="00511104"/>
    <w:rsid w:val="00515DA7"/>
    <w:rsid w:val="005233AC"/>
    <w:rsid w:val="0052373B"/>
    <w:rsid w:val="00526E8B"/>
    <w:rsid w:val="00527A5F"/>
    <w:rsid w:val="005316E8"/>
    <w:rsid w:val="00534C64"/>
    <w:rsid w:val="00537114"/>
    <w:rsid w:val="00540649"/>
    <w:rsid w:val="00540F67"/>
    <w:rsid w:val="00544EC1"/>
    <w:rsid w:val="00545771"/>
    <w:rsid w:val="005458DC"/>
    <w:rsid w:val="00547F5F"/>
    <w:rsid w:val="0055305D"/>
    <w:rsid w:val="005623F6"/>
    <w:rsid w:val="005656AD"/>
    <w:rsid w:val="00565CBB"/>
    <w:rsid w:val="00566CFB"/>
    <w:rsid w:val="00571D08"/>
    <w:rsid w:val="00573953"/>
    <w:rsid w:val="00580776"/>
    <w:rsid w:val="00581AF2"/>
    <w:rsid w:val="005842BD"/>
    <w:rsid w:val="0058551F"/>
    <w:rsid w:val="005879EE"/>
    <w:rsid w:val="005922C0"/>
    <w:rsid w:val="005927B9"/>
    <w:rsid w:val="005964AB"/>
    <w:rsid w:val="005A2C17"/>
    <w:rsid w:val="005A37CF"/>
    <w:rsid w:val="005A392C"/>
    <w:rsid w:val="005A3BD1"/>
    <w:rsid w:val="005A4448"/>
    <w:rsid w:val="005A6DC8"/>
    <w:rsid w:val="005B6691"/>
    <w:rsid w:val="005B6B8D"/>
    <w:rsid w:val="005C04F8"/>
    <w:rsid w:val="005C1DD0"/>
    <w:rsid w:val="005C32C7"/>
    <w:rsid w:val="005D07BD"/>
    <w:rsid w:val="005D2B8A"/>
    <w:rsid w:val="005D3A4C"/>
    <w:rsid w:val="005E4809"/>
    <w:rsid w:val="005E58C4"/>
    <w:rsid w:val="005E5AB8"/>
    <w:rsid w:val="005E6FD7"/>
    <w:rsid w:val="005F0D77"/>
    <w:rsid w:val="005F3004"/>
    <w:rsid w:val="005F6D93"/>
    <w:rsid w:val="00612CD7"/>
    <w:rsid w:val="00614885"/>
    <w:rsid w:val="006165B6"/>
    <w:rsid w:val="00622AC2"/>
    <w:rsid w:val="00622B86"/>
    <w:rsid w:val="00622EAC"/>
    <w:rsid w:val="00623A5E"/>
    <w:rsid w:val="00625493"/>
    <w:rsid w:val="006254C8"/>
    <w:rsid w:val="006306E1"/>
    <w:rsid w:val="006326E1"/>
    <w:rsid w:val="00633E45"/>
    <w:rsid w:val="0063498C"/>
    <w:rsid w:val="006356B6"/>
    <w:rsid w:val="006364DE"/>
    <w:rsid w:val="0063711C"/>
    <w:rsid w:val="00647575"/>
    <w:rsid w:val="006477A6"/>
    <w:rsid w:val="00647AE3"/>
    <w:rsid w:val="00655DC5"/>
    <w:rsid w:val="00656AC5"/>
    <w:rsid w:val="00660290"/>
    <w:rsid w:val="00661A38"/>
    <w:rsid w:val="00661C32"/>
    <w:rsid w:val="00663043"/>
    <w:rsid w:val="00663147"/>
    <w:rsid w:val="00666D81"/>
    <w:rsid w:val="00667C1C"/>
    <w:rsid w:val="006704C5"/>
    <w:rsid w:val="00671CB8"/>
    <w:rsid w:val="00672393"/>
    <w:rsid w:val="006730CA"/>
    <w:rsid w:val="00675166"/>
    <w:rsid w:val="00675E23"/>
    <w:rsid w:val="006815B0"/>
    <w:rsid w:val="00682712"/>
    <w:rsid w:val="00682DEE"/>
    <w:rsid w:val="00687362"/>
    <w:rsid w:val="0069273C"/>
    <w:rsid w:val="00692AF8"/>
    <w:rsid w:val="00692B95"/>
    <w:rsid w:val="00692CE7"/>
    <w:rsid w:val="00694A9A"/>
    <w:rsid w:val="00696A35"/>
    <w:rsid w:val="00696BE5"/>
    <w:rsid w:val="006A012D"/>
    <w:rsid w:val="006A0560"/>
    <w:rsid w:val="006A3329"/>
    <w:rsid w:val="006B3457"/>
    <w:rsid w:val="006B50AB"/>
    <w:rsid w:val="006C0750"/>
    <w:rsid w:val="006C31A6"/>
    <w:rsid w:val="006C4171"/>
    <w:rsid w:val="006C76FA"/>
    <w:rsid w:val="006C7DA9"/>
    <w:rsid w:val="006D09BB"/>
    <w:rsid w:val="006E08AF"/>
    <w:rsid w:val="006E2931"/>
    <w:rsid w:val="006E331D"/>
    <w:rsid w:val="006E734C"/>
    <w:rsid w:val="006F1EFD"/>
    <w:rsid w:val="006F25CC"/>
    <w:rsid w:val="006F3F63"/>
    <w:rsid w:val="006F6BF2"/>
    <w:rsid w:val="00703ACE"/>
    <w:rsid w:val="0070453D"/>
    <w:rsid w:val="007108BD"/>
    <w:rsid w:val="007121BE"/>
    <w:rsid w:val="00712417"/>
    <w:rsid w:val="00717788"/>
    <w:rsid w:val="00721CAF"/>
    <w:rsid w:val="0072241B"/>
    <w:rsid w:val="00730CF9"/>
    <w:rsid w:val="00731902"/>
    <w:rsid w:val="00734D13"/>
    <w:rsid w:val="0073637C"/>
    <w:rsid w:val="0073781B"/>
    <w:rsid w:val="00740BCB"/>
    <w:rsid w:val="00740FA8"/>
    <w:rsid w:val="00741961"/>
    <w:rsid w:val="00742502"/>
    <w:rsid w:val="00742F88"/>
    <w:rsid w:val="00744377"/>
    <w:rsid w:val="00744E04"/>
    <w:rsid w:val="00746D5E"/>
    <w:rsid w:val="007507EE"/>
    <w:rsid w:val="00751BF9"/>
    <w:rsid w:val="007536F7"/>
    <w:rsid w:val="007545E5"/>
    <w:rsid w:val="00754831"/>
    <w:rsid w:val="00757D22"/>
    <w:rsid w:val="00764D34"/>
    <w:rsid w:val="00771F9D"/>
    <w:rsid w:val="00775E52"/>
    <w:rsid w:val="00782EB2"/>
    <w:rsid w:val="00790ED9"/>
    <w:rsid w:val="00791FEB"/>
    <w:rsid w:val="007A0DDC"/>
    <w:rsid w:val="007A23F1"/>
    <w:rsid w:val="007B2789"/>
    <w:rsid w:val="007B3178"/>
    <w:rsid w:val="007B3B55"/>
    <w:rsid w:val="007B4E71"/>
    <w:rsid w:val="007B5527"/>
    <w:rsid w:val="007D0985"/>
    <w:rsid w:val="007D381A"/>
    <w:rsid w:val="007D7142"/>
    <w:rsid w:val="007D76CC"/>
    <w:rsid w:val="007D782E"/>
    <w:rsid w:val="007E2111"/>
    <w:rsid w:val="007E48B7"/>
    <w:rsid w:val="007E6BCA"/>
    <w:rsid w:val="007F440C"/>
    <w:rsid w:val="007F4FE7"/>
    <w:rsid w:val="00800AC8"/>
    <w:rsid w:val="00804263"/>
    <w:rsid w:val="008045BB"/>
    <w:rsid w:val="00807885"/>
    <w:rsid w:val="00811D17"/>
    <w:rsid w:val="00812166"/>
    <w:rsid w:val="008154B0"/>
    <w:rsid w:val="008160DE"/>
    <w:rsid w:val="0082174B"/>
    <w:rsid w:val="0082791D"/>
    <w:rsid w:val="0083203F"/>
    <w:rsid w:val="008332A4"/>
    <w:rsid w:val="008343FE"/>
    <w:rsid w:val="00834A48"/>
    <w:rsid w:val="0083506A"/>
    <w:rsid w:val="008365AB"/>
    <w:rsid w:val="00845E89"/>
    <w:rsid w:val="00854A05"/>
    <w:rsid w:val="00856530"/>
    <w:rsid w:val="0086613A"/>
    <w:rsid w:val="00877230"/>
    <w:rsid w:val="00883977"/>
    <w:rsid w:val="0088400F"/>
    <w:rsid w:val="008841E4"/>
    <w:rsid w:val="00886DFA"/>
    <w:rsid w:val="00896686"/>
    <w:rsid w:val="008A2ED1"/>
    <w:rsid w:val="008A34D2"/>
    <w:rsid w:val="008A3F97"/>
    <w:rsid w:val="008A6AFE"/>
    <w:rsid w:val="008B1FD4"/>
    <w:rsid w:val="008B44CC"/>
    <w:rsid w:val="008C41D7"/>
    <w:rsid w:val="008D4EFA"/>
    <w:rsid w:val="008D5E65"/>
    <w:rsid w:val="008E2FC1"/>
    <w:rsid w:val="008E39D6"/>
    <w:rsid w:val="008E521D"/>
    <w:rsid w:val="008F1328"/>
    <w:rsid w:val="008F6106"/>
    <w:rsid w:val="008F636D"/>
    <w:rsid w:val="008F735B"/>
    <w:rsid w:val="009008DE"/>
    <w:rsid w:val="00901CAE"/>
    <w:rsid w:val="0090243B"/>
    <w:rsid w:val="00902BC3"/>
    <w:rsid w:val="00907645"/>
    <w:rsid w:val="00910F23"/>
    <w:rsid w:val="00917E94"/>
    <w:rsid w:val="0092174A"/>
    <w:rsid w:val="00927836"/>
    <w:rsid w:val="009300C7"/>
    <w:rsid w:val="0093341F"/>
    <w:rsid w:val="00933946"/>
    <w:rsid w:val="00934745"/>
    <w:rsid w:val="00934D73"/>
    <w:rsid w:val="00935329"/>
    <w:rsid w:val="0093611B"/>
    <w:rsid w:val="00936318"/>
    <w:rsid w:val="009364B1"/>
    <w:rsid w:val="00936B61"/>
    <w:rsid w:val="00943365"/>
    <w:rsid w:val="00943E38"/>
    <w:rsid w:val="00944C2A"/>
    <w:rsid w:val="00951502"/>
    <w:rsid w:val="00964866"/>
    <w:rsid w:val="00964CBD"/>
    <w:rsid w:val="0096731C"/>
    <w:rsid w:val="009714B3"/>
    <w:rsid w:val="009723DE"/>
    <w:rsid w:val="00973651"/>
    <w:rsid w:val="009746E7"/>
    <w:rsid w:val="00974E99"/>
    <w:rsid w:val="00975E6F"/>
    <w:rsid w:val="00976DAE"/>
    <w:rsid w:val="009775C3"/>
    <w:rsid w:val="009775D6"/>
    <w:rsid w:val="00981F29"/>
    <w:rsid w:val="009833EE"/>
    <w:rsid w:val="00993264"/>
    <w:rsid w:val="009A09BB"/>
    <w:rsid w:val="009A25BD"/>
    <w:rsid w:val="009A2E62"/>
    <w:rsid w:val="009A3E60"/>
    <w:rsid w:val="009A4D06"/>
    <w:rsid w:val="009A52D1"/>
    <w:rsid w:val="009A5714"/>
    <w:rsid w:val="009A5F48"/>
    <w:rsid w:val="009A7463"/>
    <w:rsid w:val="009B5876"/>
    <w:rsid w:val="009B7E76"/>
    <w:rsid w:val="009C2214"/>
    <w:rsid w:val="009C3388"/>
    <w:rsid w:val="009C3BE1"/>
    <w:rsid w:val="009C614B"/>
    <w:rsid w:val="009C6F20"/>
    <w:rsid w:val="009C72B0"/>
    <w:rsid w:val="009D53A5"/>
    <w:rsid w:val="009D71C3"/>
    <w:rsid w:val="009D729F"/>
    <w:rsid w:val="009E35E8"/>
    <w:rsid w:val="009E4B9C"/>
    <w:rsid w:val="009E7AF7"/>
    <w:rsid w:val="009F19EE"/>
    <w:rsid w:val="00A02EF0"/>
    <w:rsid w:val="00A1290D"/>
    <w:rsid w:val="00A13FDB"/>
    <w:rsid w:val="00A14492"/>
    <w:rsid w:val="00A15402"/>
    <w:rsid w:val="00A20B4A"/>
    <w:rsid w:val="00A21C68"/>
    <w:rsid w:val="00A2387A"/>
    <w:rsid w:val="00A263BF"/>
    <w:rsid w:val="00A34071"/>
    <w:rsid w:val="00A36728"/>
    <w:rsid w:val="00A424CB"/>
    <w:rsid w:val="00A44D76"/>
    <w:rsid w:val="00A45580"/>
    <w:rsid w:val="00A45C4C"/>
    <w:rsid w:val="00A4677D"/>
    <w:rsid w:val="00A46A47"/>
    <w:rsid w:val="00A52C97"/>
    <w:rsid w:val="00A5347B"/>
    <w:rsid w:val="00A558B9"/>
    <w:rsid w:val="00A644B6"/>
    <w:rsid w:val="00A64A96"/>
    <w:rsid w:val="00A725CE"/>
    <w:rsid w:val="00A73F57"/>
    <w:rsid w:val="00A76BA7"/>
    <w:rsid w:val="00A811A1"/>
    <w:rsid w:val="00A819BB"/>
    <w:rsid w:val="00A86B38"/>
    <w:rsid w:val="00A93175"/>
    <w:rsid w:val="00A95C55"/>
    <w:rsid w:val="00AA5E00"/>
    <w:rsid w:val="00AA6EE5"/>
    <w:rsid w:val="00AB6440"/>
    <w:rsid w:val="00AB7B38"/>
    <w:rsid w:val="00AC33D2"/>
    <w:rsid w:val="00AC345C"/>
    <w:rsid w:val="00AC4064"/>
    <w:rsid w:val="00AC5273"/>
    <w:rsid w:val="00AC5FAC"/>
    <w:rsid w:val="00AD433F"/>
    <w:rsid w:val="00AD7197"/>
    <w:rsid w:val="00AD74AC"/>
    <w:rsid w:val="00AE5117"/>
    <w:rsid w:val="00AE54C4"/>
    <w:rsid w:val="00AE619D"/>
    <w:rsid w:val="00AF077A"/>
    <w:rsid w:val="00AF0F5C"/>
    <w:rsid w:val="00AF2145"/>
    <w:rsid w:val="00AF3117"/>
    <w:rsid w:val="00AF475F"/>
    <w:rsid w:val="00AF5A15"/>
    <w:rsid w:val="00AF7AEA"/>
    <w:rsid w:val="00B0181F"/>
    <w:rsid w:val="00B03261"/>
    <w:rsid w:val="00B06151"/>
    <w:rsid w:val="00B06A32"/>
    <w:rsid w:val="00B14A5D"/>
    <w:rsid w:val="00B16FC7"/>
    <w:rsid w:val="00B17760"/>
    <w:rsid w:val="00B25F58"/>
    <w:rsid w:val="00B339DC"/>
    <w:rsid w:val="00B35B95"/>
    <w:rsid w:val="00B42D64"/>
    <w:rsid w:val="00B42F67"/>
    <w:rsid w:val="00B43EF4"/>
    <w:rsid w:val="00B44140"/>
    <w:rsid w:val="00B4588B"/>
    <w:rsid w:val="00B50A7D"/>
    <w:rsid w:val="00B518AB"/>
    <w:rsid w:val="00B519D8"/>
    <w:rsid w:val="00B55707"/>
    <w:rsid w:val="00B561AA"/>
    <w:rsid w:val="00B60435"/>
    <w:rsid w:val="00B6727A"/>
    <w:rsid w:val="00B67AE1"/>
    <w:rsid w:val="00B67E3C"/>
    <w:rsid w:val="00B734CD"/>
    <w:rsid w:val="00B83481"/>
    <w:rsid w:val="00B87BDE"/>
    <w:rsid w:val="00B921B0"/>
    <w:rsid w:val="00B92EB8"/>
    <w:rsid w:val="00B933E7"/>
    <w:rsid w:val="00BA152F"/>
    <w:rsid w:val="00BA17B1"/>
    <w:rsid w:val="00BA47F5"/>
    <w:rsid w:val="00BA63CD"/>
    <w:rsid w:val="00BA66BF"/>
    <w:rsid w:val="00BA7231"/>
    <w:rsid w:val="00BB1057"/>
    <w:rsid w:val="00BC1737"/>
    <w:rsid w:val="00BC3EC0"/>
    <w:rsid w:val="00BD4CA5"/>
    <w:rsid w:val="00BE0BF4"/>
    <w:rsid w:val="00BE168E"/>
    <w:rsid w:val="00BE3856"/>
    <w:rsid w:val="00BE4BB6"/>
    <w:rsid w:val="00BE4FC7"/>
    <w:rsid w:val="00BE5D00"/>
    <w:rsid w:val="00BE6357"/>
    <w:rsid w:val="00BE7490"/>
    <w:rsid w:val="00BE7B9B"/>
    <w:rsid w:val="00BF0246"/>
    <w:rsid w:val="00C067B1"/>
    <w:rsid w:val="00C1370B"/>
    <w:rsid w:val="00C16D94"/>
    <w:rsid w:val="00C1718B"/>
    <w:rsid w:val="00C174FF"/>
    <w:rsid w:val="00C24803"/>
    <w:rsid w:val="00C2672F"/>
    <w:rsid w:val="00C267BD"/>
    <w:rsid w:val="00C361BA"/>
    <w:rsid w:val="00C4212A"/>
    <w:rsid w:val="00C447E9"/>
    <w:rsid w:val="00C50AC2"/>
    <w:rsid w:val="00C51147"/>
    <w:rsid w:val="00C56676"/>
    <w:rsid w:val="00C6120B"/>
    <w:rsid w:val="00C624BA"/>
    <w:rsid w:val="00C7035B"/>
    <w:rsid w:val="00C7250A"/>
    <w:rsid w:val="00C728CC"/>
    <w:rsid w:val="00C76BD6"/>
    <w:rsid w:val="00C76E83"/>
    <w:rsid w:val="00C77514"/>
    <w:rsid w:val="00C80231"/>
    <w:rsid w:val="00C8079C"/>
    <w:rsid w:val="00C83108"/>
    <w:rsid w:val="00C865DA"/>
    <w:rsid w:val="00C86C65"/>
    <w:rsid w:val="00C87154"/>
    <w:rsid w:val="00C8723C"/>
    <w:rsid w:val="00C87486"/>
    <w:rsid w:val="00C877EE"/>
    <w:rsid w:val="00C90455"/>
    <w:rsid w:val="00C92DEA"/>
    <w:rsid w:val="00C9325A"/>
    <w:rsid w:val="00C96474"/>
    <w:rsid w:val="00CA2A40"/>
    <w:rsid w:val="00CA3901"/>
    <w:rsid w:val="00CA4A92"/>
    <w:rsid w:val="00CA50CD"/>
    <w:rsid w:val="00CA52C0"/>
    <w:rsid w:val="00CA79E1"/>
    <w:rsid w:val="00CB5101"/>
    <w:rsid w:val="00CB72EB"/>
    <w:rsid w:val="00CC03AF"/>
    <w:rsid w:val="00CC04B4"/>
    <w:rsid w:val="00CC1F6A"/>
    <w:rsid w:val="00CC402A"/>
    <w:rsid w:val="00CC4F2C"/>
    <w:rsid w:val="00CD23B5"/>
    <w:rsid w:val="00CD2CB1"/>
    <w:rsid w:val="00CD33CA"/>
    <w:rsid w:val="00CD37CA"/>
    <w:rsid w:val="00CD3EBC"/>
    <w:rsid w:val="00CD578B"/>
    <w:rsid w:val="00CD7C03"/>
    <w:rsid w:val="00CE2B39"/>
    <w:rsid w:val="00CE54D7"/>
    <w:rsid w:val="00CE6770"/>
    <w:rsid w:val="00CE721E"/>
    <w:rsid w:val="00CF1ED7"/>
    <w:rsid w:val="00CF587D"/>
    <w:rsid w:val="00D05158"/>
    <w:rsid w:val="00D1037B"/>
    <w:rsid w:val="00D109D6"/>
    <w:rsid w:val="00D11216"/>
    <w:rsid w:val="00D13094"/>
    <w:rsid w:val="00D13D8F"/>
    <w:rsid w:val="00D17062"/>
    <w:rsid w:val="00D2421D"/>
    <w:rsid w:val="00D32099"/>
    <w:rsid w:val="00D342AA"/>
    <w:rsid w:val="00D35B55"/>
    <w:rsid w:val="00D36298"/>
    <w:rsid w:val="00D374AE"/>
    <w:rsid w:val="00D37654"/>
    <w:rsid w:val="00D40303"/>
    <w:rsid w:val="00D4362B"/>
    <w:rsid w:val="00D4391A"/>
    <w:rsid w:val="00D506AC"/>
    <w:rsid w:val="00D602AF"/>
    <w:rsid w:val="00D60BC0"/>
    <w:rsid w:val="00D61C8C"/>
    <w:rsid w:val="00D630AC"/>
    <w:rsid w:val="00D63847"/>
    <w:rsid w:val="00D716F8"/>
    <w:rsid w:val="00D82381"/>
    <w:rsid w:val="00D95A03"/>
    <w:rsid w:val="00D96816"/>
    <w:rsid w:val="00DA35E4"/>
    <w:rsid w:val="00DA4DCA"/>
    <w:rsid w:val="00DB67BD"/>
    <w:rsid w:val="00DC08A6"/>
    <w:rsid w:val="00DC09CB"/>
    <w:rsid w:val="00DC2FE5"/>
    <w:rsid w:val="00DD1C70"/>
    <w:rsid w:val="00DD3FBA"/>
    <w:rsid w:val="00DD5C43"/>
    <w:rsid w:val="00DE2EB1"/>
    <w:rsid w:val="00DE3D58"/>
    <w:rsid w:val="00DE4FAF"/>
    <w:rsid w:val="00DE5601"/>
    <w:rsid w:val="00DE75D8"/>
    <w:rsid w:val="00DF01F7"/>
    <w:rsid w:val="00DF0FAE"/>
    <w:rsid w:val="00DF4F15"/>
    <w:rsid w:val="00DF5205"/>
    <w:rsid w:val="00DF6426"/>
    <w:rsid w:val="00DF707F"/>
    <w:rsid w:val="00E004A7"/>
    <w:rsid w:val="00E0129F"/>
    <w:rsid w:val="00E01455"/>
    <w:rsid w:val="00E01F79"/>
    <w:rsid w:val="00E16164"/>
    <w:rsid w:val="00E21979"/>
    <w:rsid w:val="00E23B18"/>
    <w:rsid w:val="00E23BE8"/>
    <w:rsid w:val="00E25FC5"/>
    <w:rsid w:val="00E261B4"/>
    <w:rsid w:val="00E27A1E"/>
    <w:rsid w:val="00E33A8F"/>
    <w:rsid w:val="00E354B5"/>
    <w:rsid w:val="00E40C85"/>
    <w:rsid w:val="00E42080"/>
    <w:rsid w:val="00E427EF"/>
    <w:rsid w:val="00E4283A"/>
    <w:rsid w:val="00E42AAB"/>
    <w:rsid w:val="00E42BEC"/>
    <w:rsid w:val="00E508ED"/>
    <w:rsid w:val="00E511C3"/>
    <w:rsid w:val="00E56254"/>
    <w:rsid w:val="00E74759"/>
    <w:rsid w:val="00E74A8C"/>
    <w:rsid w:val="00E75196"/>
    <w:rsid w:val="00E762E4"/>
    <w:rsid w:val="00E800E4"/>
    <w:rsid w:val="00E812EF"/>
    <w:rsid w:val="00E81332"/>
    <w:rsid w:val="00E82CC6"/>
    <w:rsid w:val="00E87431"/>
    <w:rsid w:val="00E924FD"/>
    <w:rsid w:val="00E92C88"/>
    <w:rsid w:val="00E947F4"/>
    <w:rsid w:val="00E94D84"/>
    <w:rsid w:val="00E968DD"/>
    <w:rsid w:val="00EA3791"/>
    <w:rsid w:val="00EB0160"/>
    <w:rsid w:val="00EB0ECB"/>
    <w:rsid w:val="00EB6BD9"/>
    <w:rsid w:val="00EB7155"/>
    <w:rsid w:val="00EC0311"/>
    <w:rsid w:val="00EC0E42"/>
    <w:rsid w:val="00EC3F79"/>
    <w:rsid w:val="00EC7BB5"/>
    <w:rsid w:val="00ED10AC"/>
    <w:rsid w:val="00ED2E0A"/>
    <w:rsid w:val="00ED2E85"/>
    <w:rsid w:val="00ED3C31"/>
    <w:rsid w:val="00ED6201"/>
    <w:rsid w:val="00EE3559"/>
    <w:rsid w:val="00EE4334"/>
    <w:rsid w:val="00EE6B44"/>
    <w:rsid w:val="00EE7641"/>
    <w:rsid w:val="00EE76B5"/>
    <w:rsid w:val="00EF2503"/>
    <w:rsid w:val="00EF6134"/>
    <w:rsid w:val="00EF74C2"/>
    <w:rsid w:val="00F00279"/>
    <w:rsid w:val="00F0080E"/>
    <w:rsid w:val="00F072D2"/>
    <w:rsid w:val="00F07738"/>
    <w:rsid w:val="00F13C59"/>
    <w:rsid w:val="00F13D2C"/>
    <w:rsid w:val="00F14666"/>
    <w:rsid w:val="00F155D7"/>
    <w:rsid w:val="00F156D5"/>
    <w:rsid w:val="00F160D8"/>
    <w:rsid w:val="00F170F2"/>
    <w:rsid w:val="00F228D9"/>
    <w:rsid w:val="00F22F81"/>
    <w:rsid w:val="00F2551A"/>
    <w:rsid w:val="00F263F6"/>
    <w:rsid w:val="00F27AD3"/>
    <w:rsid w:val="00F30899"/>
    <w:rsid w:val="00F34109"/>
    <w:rsid w:val="00F34894"/>
    <w:rsid w:val="00F405DB"/>
    <w:rsid w:val="00F42E28"/>
    <w:rsid w:val="00F46295"/>
    <w:rsid w:val="00F46722"/>
    <w:rsid w:val="00F51834"/>
    <w:rsid w:val="00F53291"/>
    <w:rsid w:val="00F5546F"/>
    <w:rsid w:val="00F578E9"/>
    <w:rsid w:val="00F62A47"/>
    <w:rsid w:val="00F700C0"/>
    <w:rsid w:val="00F7321C"/>
    <w:rsid w:val="00F7443E"/>
    <w:rsid w:val="00F77430"/>
    <w:rsid w:val="00F8178B"/>
    <w:rsid w:val="00F83B9B"/>
    <w:rsid w:val="00F859E9"/>
    <w:rsid w:val="00F859F4"/>
    <w:rsid w:val="00F861C1"/>
    <w:rsid w:val="00F90F76"/>
    <w:rsid w:val="00F948EB"/>
    <w:rsid w:val="00F94BC8"/>
    <w:rsid w:val="00F94C90"/>
    <w:rsid w:val="00F96070"/>
    <w:rsid w:val="00F972DC"/>
    <w:rsid w:val="00FA10B7"/>
    <w:rsid w:val="00FA11D3"/>
    <w:rsid w:val="00FA1E35"/>
    <w:rsid w:val="00FA2524"/>
    <w:rsid w:val="00FA732C"/>
    <w:rsid w:val="00FB03C6"/>
    <w:rsid w:val="00FB4FDE"/>
    <w:rsid w:val="00FB6A82"/>
    <w:rsid w:val="00FC0E54"/>
    <w:rsid w:val="00FC1C56"/>
    <w:rsid w:val="00FD0269"/>
    <w:rsid w:val="00FD1E06"/>
    <w:rsid w:val="00FD1F6D"/>
    <w:rsid w:val="00FD2C77"/>
    <w:rsid w:val="00FD63AC"/>
    <w:rsid w:val="00FE00AD"/>
    <w:rsid w:val="00FE03E3"/>
    <w:rsid w:val="00FE1EA0"/>
    <w:rsid w:val="00FE573A"/>
    <w:rsid w:val="00FE57E7"/>
    <w:rsid w:val="00FF06B4"/>
    <w:rsid w:val="00FF15AC"/>
    <w:rsid w:val="00FF29DD"/>
    <w:rsid w:val="00FF3AB8"/>
    <w:rsid w:val="00FF60CF"/>
    <w:rsid w:val="00FF695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35ACD"/>
  <w15:docId w15:val="{FA0A6C0B-8450-8D48-BC19-F1531085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6DD"/>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22F81"/>
    <w:pPr>
      <w:ind w:left="720"/>
      <w:contextualSpacing/>
    </w:pPr>
  </w:style>
  <w:style w:type="paragraph" w:styleId="Header">
    <w:name w:val="header"/>
    <w:basedOn w:val="Normal"/>
    <w:link w:val="HeaderChar"/>
    <w:uiPriority w:val="99"/>
    <w:unhideWhenUsed/>
    <w:rsid w:val="00670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4C5"/>
    <w:rPr>
      <w:lang w:val="ro-RO"/>
    </w:rPr>
  </w:style>
  <w:style w:type="paragraph" w:styleId="Footer">
    <w:name w:val="footer"/>
    <w:basedOn w:val="Normal"/>
    <w:link w:val="FooterChar"/>
    <w:uiPriority w:val="99"/>
    <w:unhideWhenUsed/>
    <w:rsid w:val="00670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4C5"/>
    <w:rPr>
      <w:lang w:val="ro-RO"/>
    </w:rPr>
  </w:style>
  <w:style w:type="character" w:styleId="CommentReference">
    <w:name w:val="annotation reference"/>
    <w:basedOn w:val="DefaultParagraphFont"/>
    <w:uiPriority w:val="99"/>
    <w:semiHidden/>
    <w:unhideWhenUsed/>
    <w:rsid w:val="005879EE"/>
    <w:rPr>
      <w:sz w:val="16"/>
      <w:szCs w:val="16"/>
    </w:rPr>
  </w:style>
  <w:style w:type="paragraph" w:styleId="CommentText">
    <w:name w:val="annotation text"/>
    <w:basedOn w:val="Normal"/>
    <w:link w:val="CommentTextChar"/>
    <w:uiPriority w:val="99"/>
    <w:semiHidden/>
    <w:unhideWhenUsed/>
    <w:rsid w:val="005879EE"/>
    <w:pPr>
      <w:spacing w:line="240" w:lineRule="auto"/>
    </w:pPr>
    <w:rPr>
      <w:sz w:val="20"/>
      <w:szCs w:val="20"/>
    </w:rPr>
  </w:style>
  <w:style w:type="character" w:customStyle="1" w:styleId="CommentTextChar">
    <w:name w:val="Comment Text Char"/>
    <w:basedOn w:val="DefaultParagraphFont"/>
    <w:link w:val="CommentText"/>
    <w:uiPriority w:val="99"/>
    <w:semiHidden/>
    <w:rsid w:val="005879EE"/>
    <w:rPr>
      <w:sz w:val="20"/>
      <w:szCs w:val="20"/>
      <w:lang w:val="ro-RO"/>
    </w:rPr>
  </w:style>
  <w:style w:type="paragraph" w:styleId="CommentSubject">
    <w:name w:val="annotation subject"/>
    <w:basedOn w:val="CommentText"/>
    <w:next w:val="CommentText"/>
    <w:link w:val="CommentSubjectChar"/>
    <w:uiPriority w:val="99"/>
    <w:semiHidden/>
    <w:unhideWhenUsed/>
    <w:rsid w:val="005879EE"/>
    <w:rPr>
      <w:b/>
      <w:bCs/>
    </w:rPr>
  </w:style>
  <w:style w:type="character" w:customStyle="1" w:styleId="CommentSubjectChar">
    <w:name w:val="Comment Subject Char"/>
    <w:basedOn w:val="CommentTextChar"/>
    <w:link w:val="CommentSubject"/>
    <w:uiPriority w:val="99"/>
    <w:semiHidden/>
    <w:rsid w:val="005879EE"/>
    <w:rPr>
      <w:b/>
      <w:bCs/>
      <w:sz w:val="20"/>
      <w:szCs w:val="20"/>
      <w:lang w:val="ro-RO"/>
    </w:rPr>
  </w:style>
  <w:style w:type="paragraph" w:styleId="BalloonText">
    <w:name w:val="Balloon Text"/>
    <w:basedOn w:val="Normal"/>
    <w:link w:val="BalloonTextChar"/>
    <w:uiPriority w:val="99"/>
    <w:semiHidden/>
    <w:unhideWhenUsed/>
    <w:rsid w:val="00587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EE"/>
    <w:rPr>
      <w:rFonts w:ascii="Segoe UI" w:hAnsi="Segoe UI" w:cs="Segoe UI"/>
      <w:sz w:val="18"/>
      <w:szCs w:val="18"/>
      <w:lang w:val="ro-RO"/>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single space"/>
    <w:basedOn w:val="Normal"/>
    <w:link w:val="FootnoteTextChar"/>
    <w:unhideWhenUsed/>
    <w:rsid w:val="009746E7"/>
    <w:pPr>
      <w:spacing w:after="0" w:line="240" w:lineRule="auto"/>
    </w:pPr>
    <w:rPr>
      <w:sz w:val="20"/>
      <w:szCs w:val="20"/>
    </w:rPr>
  </w:style>
  <w:style w:type="character" w:customStyle="1" w:styleId="FootnoteTextChar">
    <w:name w:val="Footnote Text Char"/>
    <w:aliases w:val="Footnote Char,Fußnote Char,Tekst przypisu Char,Tekst przypisu Znak Znak Znak Znak Char,Tekst przypisu Znak Znak Znak Znak Znak Char,Tekst przypisu Znak Znak Znak Znak Znak Znak Znak Char,fn Char,single space Char"/>
    <w:basedOn w:val="DefaultParagraphFont"/>
    <w:link w:val="FootnoteText"/>
    <w:rsid w:val="009746E7"/>
    <w:rPr>
      <w:sz w:val="20"/>
      <w:szCs w:val="20"/>
      <w:lang w:val="ro-RO"/>
    </w:rPr>
  </w:style>
  <w:style w:type="character" w:styleId="FootnoteReference">
    <w:name w:val="footnote reference"/>
    <w:aliases w:val="BVI fnr Char1 Char Char Char Char Char Char1 Char Caracter Char Char Char Char Char Char,Footnote Reference Number Char Char Char Char Char Char Char1 Char Caracter Char Char Char Char Char Char Char Char Char Char Caracter,BVI,SUPERS"/>
    <w:basedOn w:val="DefaultParagraphFont"/>
    <w:link w:val="SUPERSChar1"/>
    <w:unhideWhenUsed/>
    <w:rsid w:val="009746E7"/>
    <w:rPr>
      <w:vertAlign w:val="superscript"/>
    </w:rPr>
  </w:style>
  <w:style w:type="character" w:customStyle="1" w:styleId="FootnoteTextChar1">
    <w:name w:val="Footnote Text Char1"/>
    <w:aliases w:val="Footnote Char1,Fußnote Char1,Tekst przypisu Char1,Tekst przypisu Znak Znak Znak Znak Char1,Tekst przypisu Znak Znak Znak Znak Znak Char1,Tekst przypisu Znak Znak Znak Znak Znak Znak Znak Char1,fn Char1,single space Char1"/>
    <w:locked/>
    <w:rsid w:val="00DB67BD"/>
    <w:rPr>
      <w:rFonts w:eastAsia="Calibri"/>
      <w:lang w:val="en-GB"/>
    </w:rPr>
  </w:style>
  <w:style w:type="character" w:customStyle="1" w:styleId="ListParagraphChar">
    <w:name w:val="List Paragraph Char"/>
    <w:link w:val="ListParagraph"/>
    <w:uiPriority w:val="99"/>
    <w:locked/>
    <w:rsid w:val="00DB67BD"/>
    <w:rPr>
      <w:lang w:val="ro-RO"/>
    </w:rPr>
  </w:style>
  <w:style w:type="paragraph" w:customStyle="1" w:styleId="SUPERSChar1">
    <w:name w:val="SUPERS Char1"/>
    <w:basedOn w:val="Normal"/>
    <w:next w:val="Normal"/>
    <w:link w:val="FootnoteReference"/>
    <w:rsid w:val="00DB67BD"/>
    <w:pPr>
      <w:suppressAutoHyphens/>
      <w:spacing w:line="240" w:lineRule="exact"/>
    </w:pPr>
    <w:rPr>
      <w:vertAlign w:val="superscript"/>
      <w:lang w:val="en-US"/>
    </w:rPr>
  </w:style>
  <w:style w:type="character" w:styleId="PlaceholderText">
    <w:name w:val="Placeholder Text"/>
    <w:basedOn w:val="DefaultParagraphFont"/>
    <w:uiPriority w:val="99"/>
    <w:semiHidden/>
    <w:rsid w:val="007545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98259">
      <w:bodyDiv w:val="1"/>
      <w:marLeft w:val="0"/>
      <w:marRight w:val="0"/>
      <w:marTop w:val="0"/>
      <w:marBottom w:val="0"/>
      <w:divBdr>
        <w:top w:val="none" w:sz="0" w:space="0" w:color="auto"/>
        <w:left w:val="none" w:sz="0" w:space="0" w:color="auto"/>
        <w:bottom w:val="none" w:sz="0" w:space="0" w:color="auto"/>
        <w:right w:val="none" w:sz="0" w:space="0" w:color="auto"/>
      </w:divBdr>
    </w:div>
    <w:div w:id="753472528">
      <w:bodyDiv w:val="1"/>
      <w:marLeft w:val="0"/>
      <w:marRight w:val="0"/>
      <w:marTop w:val="0"/>
      <w:marBottom w:val="0"/>
      <w:divBdr>
        <w:top w:val="none" w:sz="0" w:space="0" w:color="auto"/>
        <w:left w:val="none" w:sz="0" w:space="0" w:color="auto"/>
        <w:bottom w:val="none" w:sz="0" w:space="0" w:color="auto"/>
        <w:right w:val="none" w:sz="0" w:space="0" w:color="auto"/>
      </w:divBdr>
    </w:div>
    <w:div w:id="1019239907">
      <w:bodyDiv w:val="1"/>
      <w:marLeft w:val="0"/>
      <w:marRight w:val="0"/>
      <w:marTop w:val="0"/>
      <w:marBottom w:val="0"/>
      <w:divBdr>
        <w:top w:val="none" w:sz="0" w:space="0" w:color="auto"/>
        <w:left w:val="none" w:sz="0" w:space="0" w:color="auto"/>
        <w:bottom w:val="none" w:sz="0" w:space="0" w:color="auto"/>
        <w:right w:val="none" w:sz="0" w:space="0" w:color="auto"/>
      </w:divBdr>
    </w:div>
    <w:div w:id="1523009711">
      <w:bodyDiv w:val="1"/>
      <w:marLeft w:val="0"/>
      <w:marRight w:val="0"/>
      <w:marTop w:val="0"/>
      <w:marBottom w:val="0"/>
      <w:divBdr>
        <w:top w:val="none" w:sz="0" w:space="0" w:color="auto"/>
        <w:left w:val="none" w:sz="0" w:space="0" w:color="auto"/>
        <w:bottom w:val="none" w:sz="0" w:space="0" w:color="auto"/>
        <w:right w:val="none" w:sz="0" w:space="0" w:color="auto"/>
      </w:divBdr>
    </w:div>
    <w:div w:id="190514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solidFill>
                  <a:schemeClr val="tx1">
                    <a:lumMod val="75000"/>
                    <a:lumOff val="25000"/>
                  </a:schemeClr>
                </a:solidFill>
              </a:defRPr>
            </a:pPr>
            <a:r>
              <a:rPr lang="ro-RO" sz="1400" b="1">
                <a:solidFill>
                  <a:schemeClr val="tx1">
                    <a:lumMod val="75000"/>
                    <a:lumOff val="25000"/>
                  </a:schemeClr>
                </a:solidFill>
              </a:rPr>
              <a:t>STRUCTURA CHELTUIELILOR</a:t>
            </a:r>
            <a:r>
              <a:rPr lang="ro-RO" sz="1400" b="1" baseline="0">
                <a:solidFill>
                  <a:schemeClr val="tx1">
                    <a:lumMod val="75000"/>
                    <a:lumOff val="25000"/>
                  </a:schemeClr>
                </a:solidFill>
              </a:rPr>
              <a:t> DE INVESTIȚII</a:t>
            </a:r>
            <a:endParaRPr lang="en-US" sz="1400" b="1" baseline="0">
              <a:solidFill>
                <a:schemeClr val="tx1">
                  <a:lumMod val="75000"/>
                  <a:lumOff val="25000"/>
                </a:schemeClr>
              </a:solidFill>
            </a:endParaRPr>
          </a:p>
          <a:p>
            <a:pPr>
              <a:defRPr sz="1400" b="1">
                <a:solidFill>
                  <a:schemeClr val="tx1">
                    <a:lumMod val="75000"/>
                    <a:lumOff val="25000"/>
                  </a:schemeClr>
                </a:solidFill>
              </a:defRPr>
            </a:pPr>
            <a:r>
              <a:rPr lang="en-US" sz="1100" b="1" baseline="0">
                <a:solidFill>
                  <a:schemeClr val="tx1">
                    <a:lumMod val="75000"/>
                    <a:lumOff val="25000"/>
                  </a:schemeClr>
                </a:solidFill>
              </a:rPr>
              <a:t>-milioane lei-</a:t>
            </a:r>
            <a:endParaRPr lang="en-US" sz="1100" b="1">
              <a:solidFill>
                <a:schemeClr val="tx1">
                  <a:lumMod val="75000"/>
                  <a:lumOff val="25000"/>
                </a:schemeClr>
              </a:solidFill>
            </a:endParaRPr>
          </a:p>
        </c:rich>
      </c:tx>
      <c:layout>
        <c:manualLayout>
          <c:xMode val="edge"/>
          <c:yMode val="edge"/>
          <c:x val="0.13481225561090579"/>
          <c:y val="4.7352839029611536E-2"/>
        </c:manualLayout>
      </c:layout>
      <c:overlay val="0"/>
      <c:spPr>
        <a:solidFill>
          <a:schemeClr val="bg1">
            <a:lumMod val="85000"/>
          </a:schemeClr>
        </a:solidFill>
      </c:spPr>
    </c:title>
    <c:autoTitleDeleted val="0"/>
    <c:plotArea>
      <c:layout>
        <c:manualLayout>
          <c:layoutTarget val="inner"/>
          <c:xMode val="edge"/>
          <c:yMode val="edge"/>
          <c:x val="0.10114944166357975"/>
          <c:y val="0.17068879134142939"/>
          <c:w val="0.88918552431383902"/>
          <c:h val="0.6404848526255259"/>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00">
              <a:noFill/>
            </a:ln>
          </c:spPr>
          <c:invertIfNegative val="0"/>
          <c:dLbls>
            <c:spPr>
              <a:noFill/>
              <a:ln w="25400">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1.01.- 31.05.2019</c:v>
                </c:pt>
                <c:pt idx="1">
                  <c:v>Execuție investiții 1.01.31.05.2020</c:v>
                </c:pt>
              </c:strCache>
            </c:strRef>
          </c:cat>
          <c:val>
            <c:numRef>
              <c:f>'g7 investitii valori'!$E$4:$F$4</c:f>
              <c:numCache>
                <c:formatCode>#,##0.0_);\(#,##0.0\)</c:formatCode>
                <c:ptCount val="2"/>
                <c:pt idx="0">
                  <c:v>3078.0399539999999</c:v>
                </c:pt>
                <c:pt idx="1">
                  <c:v>4988.5776262800009</c:v>
                </c:pt>
              </c:numCache>
            </c:numRef>
          </c:val>
          <c:extLst>
            <c:ext xmlns:c16="http://schemas.microsoft.com/office/drawing/2014/chart" uri="{C3380CC4-5D6E-409C-BE32-E72D297353CC}">
              <c16:uniqueId val="{00000000-17AB-44B5-A666-F1A24C27BB5A}"/>
            </c:ext>
          </c:extLst>
        </c:ser>
        <c:ser>
          <c:idx val="2"/>
          <c:order val="1"/>
          <c:tx>
            <c:strRef>
              <c:f>'g7 investitii valori'!$D$5</c:f>
              <c:strCache>
                <c:ptCount val="1"/>
                <c:pt idx="0">
                  <c:v>Investiții finanțate din fonduri naționale</c:v>
                </c:pt>
              </c:strCache>
            </c:strRef>
          </c:tx>
          <c:spPr>
            <a:solidFill>
              <a:schemeClr val="bg1">
                <a:lumMod val="75000"/>
              </a:schemeClr>
            </a:solidFill>
            <a:ln w="25400">
              <a:noFill/>
            </a:ln>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1.01.- 31.05.2019</c:v>
                </c:pt>
                <c:pt idx="1">
                  <c:v>Execuție investiții 1.01.31.05.2020</c:v>
                </c:pt>
              </c:strCache>
            </c:strRef>
          </c:cat>
          <c:val>
            <c:numRef>
              <c:f>'g7 investitii valori'!$E$5:$F$5</c:f>
              <c:numCache>
                <c:formatCode>#,##0.0</c:formatCode>
                <c:ptCount val="2"/>
                <c:pt idx="0">
                  <c:v>6493.6170460000012</c:v>
                </c:pt>
                <c:pt idx="1">
                  <c:v>8010.0523737200001</c:v>
                </c:pt>
              </c:numCache>
            </c:numRef>
          </c:val>
          <c:extLst>
            <c:ext xmlns:c16="http://schemas.microsoft.com/office/drawing/2014/chart" uri="{C3380CC4-5D6E-409C-BE32-E72D297353CC}">
              <c16:uniqueId val="{00000001-17AB-44B5-A666-F1A24C27BB5A}"/>
            </c:ext>
          </c:extLst>
        </c:ser>
        <c:dLbls>
          <c:showLegendKey val="0"/>
          <c:showVal val="0"/>
          <c:showCatName val="0"/>
          <c:showSerName val="0"/>
          <c:showPercent val="0"/>
          <c:showBubbleSize val="0"/>
        </c:dLbls>
        <c:gapWidth val="150"/>
        <c:overlap val="100"/>
        <c:axId val="412604056"/>
        <c:axId val="412604840"/>
      </c:barChart>
      <c:catAx>
        <c:axId val="41260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412604840"/>
        <c:crosses val="autoZero"/>
        <c:auto val="1"/>
        <c:lblAlgn val="ctr"/>
        <c:lblOffset val="100"/>
        <c:noMultiLvlLbl val="0"/>
      </c:catAx>
      <c:valAx>
        <c:axId val="412604840"/>
        <c:scaling>
          <c:orientation val="minMax"/>
        </c:scaling>
        <c:delete val="0"/>
        <c:axPos val="l"/>
        <c:majorGridlines>
          <c:spPr>
            <a:ln w="9525" cap="flat" cmpd="sng" algn="ctr">
              <a:solidFill>
                <a:schemeClr val="bg1">
                  <a:lumMod val="85000"/>
                  <a:alpha val="27000"/>
                </a:schemeClr>
              </a:solidFill>
              <a:round/>
            </a:ln>
            <a:effectLst/>
          </c:spPr>
        </c:majorGridlines>
        <c:numFmt formatCode="#,##0_);\(#,##0\)" sourceLinked="0"/>
        <c:majorTickMark val="none"/>
        <c:minorTickMark val="none"/>
        <c:tickLblPos val="nextTo"/>
        <c:spPr>
          <a:ln w="6350">
            <a:noFill/>
          </a:ln>
        </c:spPr>
        <c:txPr>
          <a:bodyPr rot="0" vert="horz"/>
          <a:lstStyle/>
          <a:p>
            <a:pPr>
              <a:defRPr/>
            </a:pPr>
            <a:endParaRPr lang="en-US"/>
          </a:p>
        </c:txPr>
        <c:crossAx val="412604056"/>
        <c:crosses val="autoZero"/>
        <c:crossBetween val="between"/>
      </c:valAx>
      <c:spPr>
        <a:noFill/>
        <a:ln w="25400">
          <a:noFill/>
        </a:ln>
      </c:spPr>
    </c:plotArea>
    <c:legend>
      <c:legendPos val="b"/>
      <c:layout>
        <c:manualLayout>
          <c:xMode val="edge"/>
          <c:yMode val="edge"/>
          <c:x val="0"/>
          <c:y val="0.88503379645111913"/>
          <c:w val="0.98025579794328987"/>
          <c:h val="8.0753250438289792E-2"/>
        </c:manualLayout>
      </c:layout>
      <c:overlay val="0"/>
      <c:spPr>
        <a:noFill/>
        <a:ln w="25400">
          <a:noFill/>
        </a:ln>
      </c:spPr>
    </c:legend>
    <c:plotVisOnly val="1"/>
    <c:dispBlanksAs val="gap"/>
    <c:showDLblsOverMax val="0"/>
  </c:chart>
  <c:spPr>
    <a:solidFill>
      <a:schemeClr val="bg1"/>
    </a:solidFill>
    <a:ln w="9525" cap="flat" cmpd="sng" algn="ctr">
      <a:noFill/>
      <a:round/>
    </a:ln>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C64A9800D0422085EDA2283C482DCF"/>
        <w:category>
          <w:name w:val="General"/>
          <w:gallery w:val="placeholder"/>
        </w:category>
        <w:types>
          <w:type w:val="bbPlcHdr"/>
        </w:types>
        <w:behaviors>
          <w:behavior w:val="content"/>
        </w:behaviors>
        <w:guid w:val="{54C42E5A-7593-4588-9399-7632FED47B3E}"/>
      </w:docPartPr>
      <w:docPartBody>
        <w:p w:rsidR="00DF7914" w:rsidRDefault="00EC30AA" w:rsidP="00EC30AA">
          <w:pPr>
            <w:pStyle w:val="F8C64A9800D0422085EDA2283C482DCF"/>
          </w:pPr>
          <w:r>
            <w:rPr>
              <w:rStyle w:val="PlaceholderText"/>
            </w:rPr>
            <w:t>[Author]</w:t>
          </w:r>
        </w:p>
      </w:docPartBody>
    </w:docPart>
    <w:docPart>
      <w:docPartPr>
        <w:name w:val="84CE931F8A71412FA6125F328FFFE8CA"/>
        <w:category>
          <w:name w:val="General"/>
          <w:gallery w:val="placeholder"/>
        </w:category>
        <w:types>
          <w:type w:val="bbPlcHdr"/>
        </w:types>
        <w:behaviors>
          <w:behavior w:val="content"/>
        </w:behaviors>
        <w:guid w:val="{89F39889-5695-4B0E-BCAC-6D188B2FAAF5}"/>
      </w:docPartPr>
      <w:docPartBody>
        <w:p w:rsidR="00A530FE" w:rsidRDefault="00EF768B" w:rsidP="00EF768B">
          <w:pPr>
            <w:pStyle w:val="84CE931F8A71412FA6125F328FFFE8C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EC30AA"/>
    <w:rsid w:val="00100501"/>
    <w:rsid w:val="0011710A"/>
    <w:rsid w:val="001B6360"/>
    <w:rsid w:val="00220BAC"/>
    <w:rsid w:val="00240A39"/>
    <w:rsid w:val="00380767"/>
    <w:rsid w:val="003C565D"/>
    <w:rsid w:val="004C41A1"/>
    <w:rsid w:val="004D7935"/>
    <w:rsid w:val="00517729"/>
    <w:rsid w:val="00521A6A"/>
    <w:rsid w:val="00546571"/>
    <w:rsid w:val="005F5A98"/>
    <w:rsid w:val="006569BF"/>
    <w:rsid w:val="006B49B5"/>
    <w:rsid w:val="007260C7"/>
    <w:rsid w:val="007E2DAF"/>
    <w:rsid w:val="00A530FE"/>
    <w:rsid w:val="00AA72C7"/>
    <w:rsid w:val="00AC4D65"/>
    <w:rsid w:val="00C0248F"/>
    <w:rsid w:val="00DF7914"/>
    <w:rsid w:val="00EB20BD"/>
    <w:rsid w:val="00EC30AA"/>
    <w:rsid w:val="00EF768B"/>
    <w:rsid w:val="00F028EA"/>
    <w:rsid w:val="00F876A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768B"/>
    <w:rPr>
      <w:color w:val="808080"/>
    </w:rPr>
  </w:style>
  <w:style w:type="paragraph" w:customStyle="1" w:styleId="F8C64A9800D0422085EDA2283C482DCF">
    <w:name w:val="F8C64A9800D0422085EDA2283C482DCF"/>
    <w:rsid w:val="00EC30AA"/>
  </w:style>
  <w:style w:type="paragraph" w:customStyle="1" w:styleId="84CE931F8A71412FA6125F328FFFE8CA">
    <w:name w:val="84CE931F8A71412FA6125F328FFFE8CA"/>
    <w:rsid w:val="00EF7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BB0F1-A8E0-4AD6-9C6D-B6C4ED9A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12</Pages>
  <Words>1985</Words>
  <Characters>11318</Characters>
  <Application>Microsoft Office Word</Application>
  <DocSecurity>0</DocSecurity>
  <Lines>94</Lines>
  <Paragraphs>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Ministerul Finantelor Publice</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ExecuȚie buget general consolidat | 31 mai 2020</dc:creator>
  <cp:lastModifiedBy>IOANA-ALINA BURLA</cp:lastModifiedBy>
  <cp:revision>7</cp:revision>
  <cp:lastPrinted>2020-04-27T14:12:00Z</cp:lastPrinted>
  <dcterms:created xsi:type="dcterms:W3CDTF">2020-06-25T07:18:00Z</dcterms:created>
  <dcterms:modified xsi:type="dcterms:W3CDTF">2020-06-25T17:29:00Z</dcterms:modified>
</cp:coreProperties>
</file>