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DA" w:rsidRDefault="00534C6D">
      <w:r>
        <w:rPr>
          <w:noProof/>
          <w:lang w:eastAsia="ro-RO"/>
        </w:rPr>
        <w:drawing>
          <wp:inline distT="0" distB="0" distL="0" distR="0" wp14:anchorId="2BC42051" wp14:editId="1E18830B">
            <wp:extent cx="6422065" cy="4156710"/>
            <wp:effectExtent l="0" t="0" r="17145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4431" w:rsidRDefault="00534C6D">
      <w:r w:rsidRPr="00534C6D">
        <w:t>*) liquidity degree is calculated as ratio between the total volume of monthly transactions and the total volume of the government securities.</w:t>
      </w:r>
    </w:p>
    <w:p w:rsidR="00534C6D" w:rsidRDefault="005106DA">
      <w:bookmarkStart w:id="0" w:name="_GoBack"/>
      <w:r>
        <w:rPr>
          <w:noProof/>
          <w:lang w:eastAsia="ro-RO"/>
        </w:rPr>
        <w:drawing>
          <wp:inline distT="0" distB="0" distL="0" distR="0" wp14:anchorId="4751E63E" wp14:editId="1B0A32D4">
            <wp:extent cx="6507126" cy="4601210"/>
            <wp:effectExtent l="0" t="0" r="8255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34C6D" w:rsidSect="00510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48"/>
    <w:rsid w:val="00094431"/>
    <w:rsid w:val="002F6148"/>
    <w:rsid w:val="005106DA"/>
    <w:rsid w:val="00534C6D"/>
    <w:rsid w:val="00D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3DA6-58E9-4EEE-9285-C2ABC929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661091\AppData\Local\Temp\notes97E53A\Public%20debt%20report%20Septembrie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7661091\AppData\Local\Temp\notes97E53A\Public%20debt%20report%20Septembrie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Liquidity degree*) of the government securities issued on domestic market traded between September 2015 - September 2016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5"/>
          <c:y val="5.7697313500340408E-2"/>
        </c:manualLayout>
      </c:layout>
      <c:overlay val="0"/>
      <c:spPr>
        <a:solidFill>
          <a:sysClr val="window" lastClr="FFFFFF"/>
        </a:solidFill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906196971457828E-2"/>
          <c:y val="0.13849787085828894"/>
          <c:w val="0.81818271616621252"/>
          <c:h val="0.6795785358216041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'[Public debt report Septembrie 2016.xls]secondary market'!$B$39:$B$51</c:f>
              <c:numCache>
                <c:formatCode>mmm\-yy;@</c:formatCode>
                <c:ptCount val="13"/>
                <c:pt idx="0">
                  <c:v>42248</c:v>
                </c:pt>
                <c:pt idx="1">
                  <c:v>42278</c:v>
                </c:pt>
                <c:pt idx="2">
                  <c:v>42309</c:v>
                </c:pt>
                <c:pt idx="3">
                  <c:v>42339</c:v>
                </c:pt>
                <c:pt idx="4">
                  <c:v>42370</c:v>
                </c:pt>
                <c:pt idx="5">
                  <c:v>42401</c:v>
                </c:pt>
                <c:pt idx="6">
                  <c:v>42430</c:v>
                </c:pt>
                <c:pt idx="7">
                  <c:v>42461</c:v>
                </c:pt>
                <c:pt idx="8">
                  <c:v>42491</c:v>
                </c:pt>
                <c:pt idx="9">
                  <c:v>42522</c:v>
                </c:pt>
                <c:pt idx="10">
                  <c:v>42552</c:v>
                </c:pt>
                <c:pt idx="11">
                  <c:v>42583</c:v>
                </c:pt>
                <c:pt idx="12">
                  <c:v>42614</c:v>
                </c:pt>
              </c:numCache>
            </c:numRef>
          </c:cat>
          <c:val>
            <c:numRef>
              <c:f>'[Public debt report Septembrie 2016.xls]secondary market'!$C$39:$C$51</c:f>
              <c:numCache>
                <c:formatCode>0.00%</c:formatCode>
                <c:ptCount val="13"/>
                <c:pt idx="0">
                  <c:v>0.313</c:v>
                </c:pt>
                <c:pt idx="1">
                  <c:v>0.29599999999999999</c:v>
                </c:pt>
                <c:pt idx="2">
                  <c:v>0.221</c:v>
                </c:pt>
                <c:pt idx="3">
                  <c:v>0.25700000000000001</c:v>
                </c:pt>
                <c:pt idx="4">
                  <c:v>0.215</c:v>
                </c:pt>
                <c:pt idx="5">
                  <c:v>0.23699999999999999</c:v>
                </c:pt>
                <c:pt idx="6">
                  <c:v>0.223</c:v>
                </c:pt>
                <c:pt idx="7">
                  <c:v>0.20599999999999999</c:v>
                </c:pt>
                <c:pt idx="8">
                  <c:v>0.20100000000000001</c:v>
                </c:pt>
                <c:pt idx="9">
                  <c:v>0.25800000000000001</c:v>
                </c:pt>
                <c:pt idx="10">
                  <c:v>0.252</c:v>
                </c:pt>
                <c:pt idx="11">
                  <c:v>0.33900000000000002</c:v>
                </c:pt>
                <c:pt idx="12">
                  <c:v>0.248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122080"/>
        <c:axId val="195122640"/>
      </c:lineChart>
      <c:catAx>
        <c:axId val="195122080"/>
        <c:scaling>
          <c:orientation val="minMax"/>
        </c:scaling>
        <c:delete val="0"/>
        <c:axPos val="b"/>
        <c:numFmt formatCode="mmm\-yy;@" sourceLinked="1"/>
        <c:majorTickMark val="cross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46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51226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5122640"/>
        <c:scaling>
          <c:orientation val="minMax"/>
        </c:scaling>
        <c:delete val="0"/>
        <c:axPos val="l"/>
        <c:numFmt formatCode="0.0%" sourceLinked="0"/>
        <c:majorTickMark val="cross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5122080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The most  tradable government securities issued on domestic market in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September 2016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8795444572543699"/>
          <c:y val="5.9746056068899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814828442394856"/>
          <c:y val="0.24818422617268726"/>
          <c:w val="0.82658443116444302"/>
          <c:h val="0.50209177127619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'secondary market'!$C$54</c:f>
              <c:strCache>
                <c:ptCount val="1"/>
                <c:pt idx="0">
                  <c:v>Bonds denominated in RON 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'secondary market'!$B$55:$B$64</c:f>
              <c:strCache>
                <c:ptCount val="10"/>
                <c:pt idx="0">
                  <c:v>RO1425DBN029</c:v>
                </c:pt>
                <c:pt idx="1">
                  <c:v>RO1227DBN011</c:v>
                </c:pt>
                <c:pt idx="2">
                  <c:v>RO1323DBN018</c:v>
                </c:pt>
                <c:pt idx="3">
                  <c:v>RO1519DBN037</c:v>
                </c:pt>
                <c:pt idx="4">
                  <c:v>RO1318DBN034</c:v>
                </c:pt>
                <c:pt idx="5">
                  <c:v>RO1419DBN014</c:v>
                </c:pt>
                <c:pt idx="6">
                  <c:v>RO1418DBN040</c:v>
                </c:pt>
                <c:pt idx="7">
                  <c:v>RO1620DBN017</c:v>
                </c:pt>
                <c:pt idx="8">
                  <c:v>RO1521DBN041</c:v>
                </c:pt>
                <c:pt idx="9">
                  <c:v>RO1522DBN056</c:v>
                </c:pt>
              </c:strCache>
            </c:strRef>
          </c:cat>
          <c:val>
            <c:numRef>
              <c:f>'secondary market'!$C$55:$C$64</c:f>
              <c:numCache>
                <c:formatCode>#,##0.0</c:formatCode>
                <c:ptCount val="10"/>
                <c:pt idx="0">
                  <c:v>2505.0230000000001</c:v>
                </c:pt>
                <c:pt idx="1">
                  <c:v>2944.47</c:v>
                </c:pt>
                <c:pt idx="2">
                  <c:v>1997.76</c:v>
                </c:pt>
                <c:pt idx="3">
                  <c:v>2850.59</c:v>
                </c:pt>
                <c:pt idx="4">
                  <c:v>2643.5880000000002</c:v>
                </c:pt>
                <c:pt idx="5">
                  <c:v>2638.68</c:v>
                </c:pt>
                <c:pt idx="6">
                  <c:v>2463.1660000000002</c:v>
                </c:pt>
                <c:pt idx="7">
                  <c:v>1844.41</c:v>
                </c:pt>
                <c:pt idx="8">
                  <c:v>1606.165</c:v>
                </c:pt>
                <c:pt idx="9">
                  <c:v>1704.75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24880"/>
        <c:axId val="195125440"/>
      </c:barChart>
      <c:catAx>
        <c:axId val="19512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512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1254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mln of currency</a:t>
                </a:r>
              </a:p>
            </c:rich>
          </c:tx>
          <c:layout>
            <c:manualLayout>
              <c:xMode val="edge"/>
              <c:yMode val="edge"/>
              <c:x val="2.4555437514755099E-2"/>
              <c:y val="0.3789348888661895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5124880"/>
        <c:crossesAt val="1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6822950385140492"/>
          <c:y val="0.14861155702632514"/>
          <c:w val="0.2763770420415938"/>
          <c:h val="8.20459637749503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TEJU</dc:creator>
  <cp:keywords/>
  <dc:description/>
  <cp:lastModifiedBy>BOGDAN TEJU</cp:lastModifiedBy>
  <cp:revision>4</cp:revision>
  <dcterms:created xsi:type="dcterms:W3CDTF">2016-11-29T12:24:00Z</dcterms:created>
  <dcterms:modified xsi:type="dcterms:W3CDTF">2016-11-29T12:34:00Z</dcterms:modified>
</cp:coreProperties>
</file>