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eastAsiaTheme="minorHAnsi" w:hAnsi="Tahoma" w:cs="Tahoma"/>
          <w:b/>
          <w:noProof/>
          <w:color w:val="auto"/>
          <w:sz w:val="24"/>
          <w:szCs w:val="24"/>
          <w:lang w:val="ro-RO"/>
        </w:rPr>
        <w:id w:val="-413402210"/>
        <w:docPartObj>
          <w:docPartGallery w:val="Table of Contents"/>
          <w:docPartUnique/>
        </w:docPartObj>
      </w:sdtPr>
      <w:sdtEndPr/>
      <w:sdtContent>
        <w:p w:rsidR="00C43AD2" w:rsidRPr="00216E39" w:rsidRDefault="00C43AD2" w:rsidP="00A76956">
          <w:pPr>
            <w:pStyle w:val="TOCHeading"/>
            <w:shd w:val="clear" w:color="auto" w:fill="E2EFD9" w:themeFill="accent6" w:themeFillTint="33"/>
            <w:spacing w:before="1320" w:after="480" w:line="276" w:lineRule="auto"/>
            <w:ind w:firstLine="0"/>
            <w:rPr>
              <w:rFonts w:ascii="Tahoma" w:hAnsi="Tahoma" w:cs="Tahoma"/>
              <w:b/>
              <w:color w:val="auto"/>
              <w:sz w:val="28"/>
              <w:szCs w:val="28"/>
              <w:lang w:val="ro-RO"/>
            </w:rPr>
          </w:pPr>
          <w:r w:rsidRPr="00216E39">
            <w:rPr>
              <w:rFonts w:ascii="Tahoma" w:hAnsi="Tahoma" w:cs="Tahoma"/>
              <w:b/>
              <w:color w:val="auto"/>
              <w:sz w:val="28"/>
              <w:szCs w:val="28"/>
              <w:lang w:val="ro-RO"/>
            </w:rPr>
            <w:t>Cuprins</w:t>
          </w:r>
        </w:p>
        <w:p w:rsidR="00E314A6" w:rsidRPr="00216E39" w:rsidRDefault="001D24F5" w:rsidP="00A76956">
          <w:pPr>
            <w:pStyle w:val="TOC1"/>
            <w:shd w:val="clear" w:color="auto" w:fill="E2EFD9" w:themeFill="accent6" w:themeFillTint="33"/>
            <w:rPr>
              <w:rFonts w:asciiTheme="minorHAnsi" w:eastAsiaTheme="minorEastAsia" w:hAnsiTheme="minorHAnsi" w:cstheme="minorBidi"/>
              <w:b w:val="0"/>
              <w:sz w:val="22"/>
              <w:szCs w:val="22"/>
            </w:rPr>
          </w:pPr>
          <w:r w:rsidRPr="00216E39">
            <w:rPr>
              <w:sz w:val="28"/>
              <w:szCs w:val="28"/>
            </w:rPr>
            <w:fldChar w:fldCharType="begin"/>
          </w:r>
          <w:r w:rsidR="00C43AD2" w:rsidRPr="00216E39">
            <w:rPr>
              <w:sz w:val="28"/>
              <w:szCs w:val="28"/>
            </w:rPr>
            <w:instrText xml:space="preserve"> TOC \o "1-3" \h \z \u </w:instrText>
          </w:r>
          <w:r w:rsidRPr="00216E39">
            <w:rPr>
              <w:sz w:val="28"/>
              <w:szCs w:val="28"/>
            </w:rPr>
            <w:fldChar w:fldCharType="separate"/>
          </w:r>
          <w:hyperlink w:anchor="_Toc172205377" w:history="1">
            <w:r w:rsidR="00E314A6" w:rsidRPr="00216E39">
              <w:rPr>
                <w:rStyle w:val="Hyperlink"/>
              </w:rPr>
              <w:t>I.</w:t>
            </w:r>
            <w:r w:rsidR="00E314A6" w:rsidRPr="00216E39">
              <w:rPr>
                <w:rFonts w:asciiTheme="minorHAnsi" w:eastAsiaTheme="minorEastAsia" w:hAnsiTheme="minorHAnsi" w:cstheme="minorBidi"/>
                <w:b w:val="0"/>
                <w:sz w:val="22"/>
                <w:szCs w:val="22"/>
              </w:rPr>
              <w:tab/>
            </w:r>
            <w:r w:rsidR="00E314A6" w:rsidRPr="00216E39">
              <w:rPr>
                <w:rStyle w:val="Hyperlink"/>
              </w:rPr>
              <w:t>Evoluții macroeconomice recente ale economiei românești</w:t>
            </w:r>
            <w:r w:rsidR="00E314A6" w:rsidRPr="00216E39">
              <w:rPr>
                <w:webHidden/>
              </w:rPr>
              <w:tab/>
            </w:r>
            <w:r w:rsidR="00E314A6" w:rsidRPr="00216E39">
              <w:rPr>
                <w:webHidden/>
              </w:rPr>
              <w:fldChar w:fldCharType="begin"/>
            </w:r>
            <w:r w:rsidR="00E314A6" w:rsidRPr="00216E39">
              <w:rPr>
                <w:webHidden/>
              </w:rPr>
              <w:instrText xml:space="preserve"> PAGEREF _Toc172205377 \h </w:instrText>
            </w:r>
            <w:r w:rsidR="00E314A6" w:rsidRPr="00216E39">
              <w:rPr>
                <w:webHidden/>
              </w:rPr>
            </w:r>
            <w:r w:rsidR="00E314A6" w:rsidRPr="00216E39">
              <w:rPr>
                <w:webHidden/>
              </w:rPr>
              <w:fldChar w:fldCharType="separate"/>
            </w:r>
            <w:r w:rsidR="00B229E0" w:rsidRPr="00216E39">
              <w:rPr>
                <w:webHidden/>
              </w:rPr>
              <w:t>1</w:t>
            </w:r>
            <w:r w:rsidR="00E314A6" w:rsidRPr="00216E39">
              <w:rPr>
                <w:webHidden/>
              </w:rPr>
              <w:fldChar w:fldCharType="end"/>
            </w:r>
          </w:hyperlink>
        </w:p>
        <w:p w:rsidR="00E314A6" w:rsidRPr="00216E39" w:rsidRDefault="0010487F" w:rsidP="00A76956">
          <w:pPr>
            <w:pStyle w:val="TOC1"/>
            <w:shd w:val="clear" w:color="auto" w:fill="E2EFD9" w:themeFill="accent6" w:themeFillTint="33"/>
            <w:rPr>
              <w:rFonts w:asciiTheme="minorHAnsi" w:eastAsiaTheme="minorEastAsia" w:hAnsiTheme="minorHAnsi" w:cstheme="minorBidi"/>
              <w:b w:val="0"/>
              <w:sz w:val="22"/>
              <w:szCs w:val="22"/>
            </w:rPr>
          </w:pPr>
          <w:hyperlink w:anchor="_Toc172205378" w:history="1">
            <w:r w:rsidR="00E314A6" w:rsidRPr="00216E39">
              <w:rPr>
                <w:rStyle w:val="Hyperlink"/>
              </w:rPr>
              <w:t>II.</w:t>
            </w:r>
            <w:r w:rsidR="00E314A6" w:rsidRPr="00216E39">
              <w:rPr>
                <w:rFonts w:asciiTheme="minorHAnsi" w:eastAsiaTheme="minorEastAsia" w:hAnsiTheme="minorHAnsi" w:cstheme="minorBidi"/>
                <w:b w:val="0"/>
                <w:sz w:val="22"/>
                <w:szCs w:val="22"/>
              </w:rPr>
              <w:tab/>
            </w:r>
            <w:r w:rsidR="00E314A6" w:rsidRPr="00216E39">
              <w:rPr>
                <w:rStyle w:val="Hyperlink"/>
              </w:rPr>
              <w:t>Politica fiscal-bugetară aferentă anului 2024</w:t>
            </w:r>
            <w:r w:rsidR="00E314A6" w:rsidRPr="00216E39">
              <w:rPr>
                <w:webHidden/>
              </w:rPr>
              <w:tab/>
            </w:r>
            <w:r w:rsidR="00E314A6" w:rsidRPr="00216E39">
              <w:rPr>
                <w:webHidden/>
              </w:rPr>
              <w:fldChar w:fldCharType="begin"/>
            </w:r>
            <w:r w:rsidR="00E314A6" w:rsidRPr="00216E39">
              <w:rPr>
                <w:webHidden/>
              </w:rPr>
              <w:instrText xml:space="preserve"> PAGEREF _Toc172205378 \h </w:instrText>
            </w:r>
            <w:r w:rsidR="00E314A6" w:rsidRPr="00216E39">
              <w:rPr>
                <w:webHidden/>
              </w:rPr>
            </w:r>
            <w:r w:rsidR="00E314A6" w:rsidRPr="00216E39">
              <w:rPr>
                <w:webHidden/>
              </w:rPr>
              <w:fldChar w:fldCharType="separate"/>
            </w:r>
            <w:r w:rsidR="00B229E0" w:rsidRPr="00216E39">
              <w:rPr>
                <w:webHidden/>
              </w:rPr>
              <w:t>10</w:t>
            </w:r>
            <w:r w:rsidR="00E314A6" w:rsidRPr="00216E39">
              <w:rPr>
                <w:webHidden/>
              </w:rPr>
              <w:fldChar w:fldCharType="end"/>
            </w:r>
          </w:hyperlink>
        </w:p>
        <w:p w:rsidR="00E314A6" w:rsidRPr="00216E39" w:rsidRDefault="0010487F" w:rsidP="00A76956">
          <w:pPr>
            <w:pStyle w:val="TOC1"/>
            <w:shd w:val="clear" w:color="auto" w:fill="E2EFD9" w:themeFill="accent6" w:themeFillTint="33"/>
            <w:rPr>
              <w:rFonts w:asciiTheme="minorHAnsi" w:eastAsiaTheme="minorEastAsia" w:hAnsiTheme="minorHAnsi" w:cstheme="minorBidi"/>
              <w:b w:val="0"/>
              <w:sz w:val="22"/>
              <w:szCs w:val="22"/>
            </w:rPr>
          </w:pPr>
          <w:hyperlink w:anchor="_Toc172205379" w:history="1">
            <w:r w:rsidR="00E314A6" w:rsidRPr="00216E39">
              <w:rPr>
                <w:rStyle w:val="Hyperlink"/>
              </w:rPr>
              <w:t>III.</w:t>
            </w:r>
            <w:r w:rsidR="00E314A6" w:rsidRPr="00216E39">
              <w:rPr>
                <w:rFonts w:asciiTheme="minorHAnsi" w:eastAsiaTheme="minorEastAsia" w:hAnsiTheme="minorHAnsi" w:cstheme="minorBidi"/>
                <w:b w:val="0"/>
                <w:sz w:val="22"/>
                <w:szCs w:val="22"/>
              </w:rPr>
              <w:tab/>
            </w:r>
            <w:r w:rsidR="00E314A6" w:rsidRPr="00216E39">
              <w:rPr>
                <w:rStyle w:val="Hyperlink"/>
              </w:rPr>
              <w:t>Execuția bugetară pe primul semestru al anului 2024</w:t>
            </w:r>
            <w:r w:rsidR="00E314A6" w:rsidRPr="00216E39">
              <w:rPr>
                <w:webHidden/>
              </w:rPr>
              <w:tab/>
            </w:r>
            <w:r w:rsidR="00E314A6" w:rsidRPr="00216E39">
              <w:rPr>
                <w:webHidden/>
              </w:rPr>
              <w:fldChar w:fldCharType="begin"/>
            </w:r>
            <w:r w:rsidR="00E314A6" w:rsidRPr="00216E39">
              <w:rPr>
                <w:webHidden/>
              </w:rPr>
              <w:instrText xml:space="preserve"> PAGEREF _Toc172205379 \h </w:instrText>
            </w:r>
            <w:r w:rsidR="00E314A6" w:rsidRPr="00216E39">
              <w:rPr>
                <w:webHidden/>
              </w:rPr>
            </w:r>
            <w:r w:rsidR="00E314A6" w:rsidRPr="00216E39">
              <w:rPr>
                <w:webHidden/>
              </w:rPr>
              <w:fldChar w:fldCharType="separate"/>
            </w:r>
            <w:r w:rsidR="00B229E0" w:rsidRPr="00216E39">
              <w:rPr>
                <w:webHidden/>
              </w:rPr>
              <w:t>19</w:t>
            </w:r>
            <w:r w:rsidR="00E314A6" w:rsidRPr="00216E39">
              <w:rPr>
                <w:webHidden/>
              </w:rPr>
              <w:fldChar w:fldCharType="end"/>
            </w:r>
          </w:hyperlink>
        </w:p>
        <w:p w:rsidR="00E314A6" w:rsidRPr="00216E39" w:rsidRDefault="0010487F" w:rsidP="00A76956">
          <w:pPr>
            <w:pStyle w:val="TOC1"/>
            <w:shd w:val="clear" w:color="auto" w:fill="E2EFD9" w:themeFill="accent6" w:themeFillTint="33"/>
            <w:rPr>
              <w:rFonts w:asciiTheme="minorHAnsi" w:eastAsiaTheme="minorEastAsia" w:hAnsiTheme="minorHAnsi" w:cstheme="minorBidi"/>
              <w:b w:val="0"/>
              <w:sz w:val="22"/>
              <w:szCs w:val="22"/>
            </w:rPr>
          </w:pPr>
          <w:hyperlink w:anchor="_Toc172205380" w:history="1">
            <w:r w:rsidR="00E314A6" w:rsidRPr="00216E39">
              <w:rPr>
                <w:rStyle w:val="Hyperlink"/>
              </w:rPr>
              <w:t>IV. Finanțarea deficitului bugetar și datoria publică</w:t>
            </w:r>
            <w:r w:rsidR="00E314A6" w:rsidRPr="00216E39">
              <w:rPr>
                <w:webHidden/>
              </w:rPr>
              <w:tab/>
            </w:r>
            <w:r w:rsidR="00E314A6" w:rsidRPr="00216E39">
              <w:rPr>
                <w:webHidden/>
              </w:rPr>
              <w:fldChar w:fldCharType="begin"/>
            </w:r>
            <w:r w:rsidR="00E314A6" w:rsidRPr="00216E39">
              <w:rPr>
                <w:webHidden/>
              </w:rPr>
              <w:instrText xml:space="preserve"> PAGEREF _Toc172205380 \h </w:instrText>
            </w:r>
            <w:r w:rsidR="00E314A6" w:rsidRPr="00216E39">
              <w:rPr>
                <w:webHidden/>
              </w:rPr>
            </w:r>
            <w:r w:rsidR="00E314A6" w:rsidRPr="00216E39">
              <w:rPr>
                <w:webHidden/>
              </w:rPr>
              <w:fldChar w:fldCharType="separate"/>
            </w:r>
            <w:r w:rsidR="00B229E0" w:rsidRPr="00216E39">
              <w:rPr>
                <w:webHidden/>
              </w:rPr>
              <w:t>32</w:t>
            </w:r>
            <w:r w:rsidR="00E314A6" w:rsidRPr="00216E39">
              <w:rPr>
                <w:webHidden/>
              </w:rPr>
              <w:fldChar w:fldCharType="end"/>
            </w:r>
          </w:hyperlink>
        </w:p>
        <w:p w:rsidR="00E314A6" w:rsidRPr="00216E39" w:rsidRDefault="0010487F" w:rsidP="00A76956">
          <w:pPr>
            <w:pStyle w:val="TOC1"/>
            <w:shd w:val="clear" w:color="auto" w:fill="E2EFD9" w:themeFill="accent6" w:themeFillTint="33"/>
            <w:rPr>
              <w:rFonts w:asciiTheme="minorHAnsi" w:eastAsiaTheme="minorEastAsia" w:hAnsiTheme="minorHAnsi" w:cstheme="minorBidi"/>
              <w:b w:val="0"/>
              <w:sz w:val="22"/>
              <w:szCs w:val="22"/>
            </w:rPr>
          </w:pPr>
          <w:hyperlink w:anchor="_Toc172205381" w:history="1">
            <w:r w:rsidR="00E314A6" w:rsidRPr="00216E39">
              <w:rPr>
                <w:rStyle w:val="Hyperlink"/>
                <w:rFonts w:eastAsia="MS Mincho"/>
                <w:lang w:eastAsia="ja-JP"/>
              </w:rPr>
              <w:t>V. Absorbția fondurilor externe nerambursabile</w:t>
            </w:r>
            <w:r w:rsidR="00E314A6" w:rsidRPr="00216E39">
              <w:rPr>
                <w:webHidden/>
              </w:rPr>
              <w:tab/>
            </w:r>
            <w:r w:rsidR="00E314A6" w:rsidRPr="00216E39">
              <w:rPr>
                <w:webHidden/>
              </w:rPr>
              <w:fldChar w:fldCharType="begin"/>
            </w:r>
            <w:r w:rsidR="00E314A6" w:rsidRPr="00216E39">
              <w:rPr>
                <w:webHidden/>
              </w:rPr>
              <w:instrText xml:space="preserve"> PAGEREF _Toc172205381 \h </w:instrText>
            </w:r>
            <w:r w:rsidR="00E314A6" w:rsidRPr="00216E39">
              <w:rPr>
                <w:webHidden/>
              </w:rPr>
            </w:r>
            <w:r w:rsidR="00E314A6" w:rsidRPr="00216E39">
              <w:rPr>
                <w:webHidden/>
              </w:rPr>
              <w:fldChar w:fldCharType="separate"/>
            </w:r>
            <w:r w:rsidR="00B229E0" w:rsidRPr="00216E39">
              <w:rPr>
                <w:webHidden/>
              </w:rPr>
              <w:t>35</w:t>
            </w:r>
            <w:r w:rsidR="00E314A6" w:rsidRPr="00216E39">
              <w:rPr>
                <w:webHidden/>
              </w:rPr>
              <w:fldChar w:fldCharType="end"/>
            </w:r>
          </w:hyperlink>
        </w:p>
        <w:p w:rsidR="00E314A6" w:rsidRPr="00216E39" w:rsidRDefault="0010487F" w:rsidP="00A76956">
          <w:pPr>
            <w:pStyle w:val="TOC1"/>
            <w:shd w:val="clear" w:color="auto" w:fill="E2EFD9" w:themeFill="accent6" w:themeFillTint="33"/>
            <w:rPr>
              <w:rFonts w:asciiTheme="minorHAnsi" w:eastAsiaTheme="minorEastAsia" w:hAnsiTheme="minorHAnsi" w:cstheme="minorBidi"/>
              <w:b w:val="0"/>
              <w:sz w:val="22"/>
              <w:szCs w:val="22"/>
            </w:rPr>
          </w:pPr>
          <w:hyperlink w:anchor="_Toc172205382" w:history="1">
            <w:r w:rsidR="00E314A6" w:rsidRPr="00216E39">
              <w:rPr>
                <w:rStyle w:val="Hyperlink"/>
              </w:rPr>
              <w:t>Concluzii</w:t>
            </w:r>
            <w:r w:rsidR="00E314A6" w:rsidRPr="00216E39">
              <w:rPr>
                <w:webHidden/>
              </w:rPr>
              <w:tab/>
            </w:r>
            <w:r w:rsidR="00E314A6" w:rsidRPr="00216E39">
              <w:rPr>
                <w:webHidden/>
              </w:rPr>
              <w:fldChar w:fldCharType="begin"/>
            </w:r>
            <w:r w:rsidR="00E314A6" w:rsidRPr="00216E39">
              <w:rPr>
                <w:webHidden/>
              </w:rPr>
              <w:instrText xml:space="preserve"> PAGEREF _Toc172205382 \h </w:instrText>
            </w:r>
            <w:r w:rsidR="00E314A6" w:rsidRPr="00216E39">
              <w:rPr>
                <w:webHidden/>
              </w:rPr>
            </w:r>
            <w:r w:rsidR="00E314A6" w:rsidRPr="00216E39">
              <w:rPr>
                <w:webHidden/>
              </w:rPr>
              <w:fldChar w:fldCharType="separate"/>
            </w:r>
            <w:r w:rsidR="00B229E0" w:rsidRPr="00216E39">
              <w:rPr>
                <w:webHidden/>
              </w:rPr>
              <w:t>38</w:t>
            </w:r>
            <w:r w:rsidR="00E314A6" w:rsidRPr="00216E39">
              <w:rPr>
                <w:webHidden/>
              </w:rPr>
              <w:fldChar w:fldCharType="end"/>
            </w:r>
          </w:hyperlink>
        </w:p>
        <w:p w:rsidR="00C43AD2" w:rsidRPr="00216E39" w:rsidRDefault="001D24F5" w:rsidP="00A76956">
          <w:pPr>
            <w:pStyle w:val="TOC1"/>
            <w:shd w:val="clear" w:color="auto" w:fill="E2EFD9" w:themeFill="accent6" w:themeFillTint="33"/>
          </w:pPr>
          <w:r w:rsidRPr="00216E39">
            <w:rPr>
              <w:sz w:val="28"/>
              <w:szCs w:val="28"/>
            </w:rPr>
            <w:fldChar w:fldCharType="end"/>
          </w:r>
        </w:p>
      </w:sdtContent>
    </w:sdt>
    <w:p w:rsidR="001E5189" w:rsidRPr="00216E39" w:rsidRDefault="001E5189" w:rsidP="002A6579">
      <w:pPr>
        <w:spacing w:line="276" w:lineRule="auto"/>
        <w:rPr>
          <w:rFonts w:ascii="Tahoma" w:hAnsi="Tahoma" w:cs="Tahoma"/>
          <w:sz w:val="24"/>
          <w:szCs w:val="24"/>
        </w:rPr>
      </w:pPr>
    </w:p>
    <w:p w:rsidR="00FB0FC8" w:rsidRPr="00216E39" w:rsidRDefault="00FB0FC8" w:rsidP="002A6579">
      <w:pPr>
        <w:keepNext/>
        <w:keepLines/>
        <w:spacing w:line="276" w:lineRule="auto"/>
        <w:rPr>
          <w:rFonts w:ascii="Tahoma" w:hAnsi="Tahoma" w:cs="Tahoma"/>
          <w:b/>
          <w:sz w:val="24"/>
          <w:szCs w:val="24"/>
        </w:rPr>
      </w:pPr>
    </w:p>
    <w:p w:rsidR="00FB0FC8" w:rsidRPr="00216E39" w:rsidRDefault="00FB0FC8" w:rsidP="002A6579">
      <w:pPr>
        <w:keepNext/>
        <w:keepLines/>
        <w:spacing w:line="276" w:lineRule="auto"/>
        <w:rPr>
          <w:rFonts w:ascii="Tahoma" w:hAnsi="Tahoma" w:cs="Tahoma"/>
          <w:b/>
          <w:sz w:val="24"/>
          <w:szCs w:val="24"/>
        </w:rPr>
      </w:pPr>
    </w:p>
    <w:p w:rsidR="007C4F03" w:rsidRPr="00216E39" w:rsidRDefault="007C4F03" w:rsidP="002A6579">
      <w:pPr>
        <w:keepNext/>
        <w:keepLines/>
        <w:spacing w:line="276" w:lineRule="auto"/>
        <w:rPr>
          <w:rFonts w:ascii="Tahoma" w:hAnsi="Tahoma" w:cs="Tahoma"/>
          <w:sz w:val="24"/>
          <w:szCs w:val="24"/>
        </w:rPr>
      </w:pPr>
    </w:p>
    <w:p w:rsidR="007C4F03" w:rsidRPr="00216E39" w:rsidRDefault="007C4F03" w:rsidP="002A6579">
      <w:pPr>
        <w:keepNext/>
        <w:keepLines/>
        <w:spacing w:line="276" w:lineRule="auto"/>
        <w:rPr>
          <w:rFonts w:ascii="Tahoma" w:hAnsi="Tahoma" w:cs="Tahoma"/>
          <w:sz w:val="24"/>
          <w:szCs w:val="24"/>
        </w:rPr>
      </w:pPr>
    </w:p>
    <w:p w:rsidR="006407D7" w:rsidRPr="00216E39" w:rsidRDefault="006407D7" w:rsidP="002A6579">
      <w:pPr>
        <w:keepNext/>
        <w:keepLines/>
        <w:spacing w:line="276" w:lineRule="auto"/>
        <w:rPr>
          <w:rFonts w:ascii="Tahoma" w:hAnsi="Tahoma" w:cs="Tahoma"/>
          <w:sz w:val="24"/>
          <w:szCs w:val="24"/>
        </w:rPr>
      </w:pPr>
    </w:p>
    <w:p w:rsidR="007C4F03" w:rsidRPr="00216E39" w:rsidRDefault="007C4F03" w:rsidP="002A6579">
      <w:pPr>
        <w:keepNext/>
        <w:keepLines/>
        <w:spacing w:line="276" w:lineRule="auto"/>
        <w:rPr>
          <w:rFonts w:ascii="Tahoma" w:hAnsi="Tahoma" w:cs="Tahoma"/>
          <w:sz w:val="24"/>
          <w:szCs w:val="24"/>
        </w:rPr>
      </w:pPr>
    </w:p>
    <w:p w:rsidR="00F51EDE" w:rsidRPr="00216E39" w:rsidRDefault="00F51EDE" w:rsidP="002A6579">
      <w:pPr>
        <w:keepNext/>
        <w:keepLines/>
        <w:spacing w:line="276" w:lineRule="auto"/>
        <w:rPr>
          <w:rFonts w:ascii="Tahoma" w:hAnsi="Tahoma" w:cs="Tahoma"/>
          <w:sz w:val="24"/>
          <w:szCs w:val="24"/>
        </w:rPr>
      </w:pPr>
    </w:p>
    <w:p w:rsidR="00F51EDE" w:rsidRPr="00216E39" w:rsidRDefault="00F51EDE" w:rsidP="002A6579">
      <w:pPr>
        <w:keepNext/>
        <w:keepLines/>
        <w:spacing w:line="276" w:lineRule="auto"/>
        <w:rPr>
          <w:rFonts w:ascii="Tahoma" w:hAnsi="Tahoma" w:cs="Tahoma"/>
          <w:sz w:val="24"/>
          <w:szCs w:val="24"/>
        </w:rPr>
      </w:pPr>
    </w:p>
    <w:p w:rsidR="00F51EDE" w:rsidRPr="00216E39" w:rsidRDefault="00F51EDE" w:rsidP="002A6579">
      <w:pPr>
        <w:keepNext/>
        <w:keepLines/>
        <w:spacing w:line="276" w:lineRule="auto"/>
        <w:rPr>
          <w:rFonts w:ascii="Tahoma" w:hAnsi="Tahoma" w:cs="Tahoma"/>
          <w:sz w:val="24"/>
          <w:szCs w:val="24"/>
        </w:rPr>
      </w:pPr>
    </w:p>
    <w:p w:rsidR="00F51EDE" w:rsidRPr="00216E39" w:rsidRDefault="00F51EDE" w:rsidP="002A6579">
      <w:pPr>
        <w:keepNext/>
        <w:keepLines/>
        <w:spacing w:line="276" w:lineRule="auto"/>
        <w:rPr>
          <w:rFonts w:ascii="Tahoma" w:hAnsi="Tahoma" w:cs="Tahoma"/>
          <w:sz w:val="24"/>
          <w:szCs w:val="24"/>
        </w:rPr>
      </w:pPr>
    </w:p>
    <w:p w:rsidR="00F51EDE" w:rsidRPr="00216E39" w:rsidRDefault="00F51EDE" w:rsidP="002A6579">
      <w:pPr>
        <w:keepNext/>
        <w:keepLines/>
        <w:spacing w:line="276" w:lineRule="auto"/>
        <w:rPr>
          <w:rFonts w:ascii="Tahoma" w:hAnsi="Tahoma" w:cs="Tahoma"/>
          <w:sz w:val="24"/>
          <w:szCs w:val="24"/>
        </w:rPr>
      </w:pPr>
    </w:p>
    <w:p w:rsidR="00F96228" w:rsidRPr="00216E39" w:rsidRDefault="00F96228" w:rsidP="002A6579">
      <w:pPr>
        <w:keepNext/>
        <w:keepLines/>
        <w:spacing w:line="276" w:lineRule="auto"/>
        <w:rPr>
          <w:rFonts w:ascii="Tahoma" w:hAnsi="Tahoma" w:cs="Tahoma"/>
          <w:sz w:val="24"/>
          <w:szCs w:val="24"/>
        </w:rPr>
      </w:pPr>
      <w:r w:rsidRPr="00216E39">
        <w:rPr>
          <w:rFonts w:ascii="Tahoma" w:hAnsi="Tahoma" w:cs="Tahoma"/>
          <w:sz w:val="24"/>
          <w:szCs w:val="24"/>
        </w:rPr>
        <w:br w:type="page"/>
      </w:r>
    </w:p>
    <w:p w:rsidR="007C4F03" w:rsidRPr="00216E39" w:rsidRDefault="00EE2635" w:rsidP="00444C93">
      <w:pPr>
        <w:pStyle w:val="ListParagraph"/>
        <w:keepNext/>
        <w:keepLines/>
        <w:numPr>
          <w:ilvl w:val="0"/>
          <w:numId w:val="1"/>
        </w:numPr>
        <w:spacing w:after="240" w:line="276" w:lineRule="auto"/>
        <w:ind w:left="0" w:firstLine="629"/>
        <w:contextualSpacing w:val="0"/>
        <w:outlineLvl w:val="0"/>
        <w:rPr>
          <w:rFonts w:ascii="Tahoma" w:hAnsi="Tahoma" w:cs="Tahoma"/>
          <w:b/>
          <w:sz w:val="24"/>
          <w:szCs w:val="24"/>
        </w:rPr>
      </w:pPr>
      <w:bookmarkStart w:id="0" w:name="_Toc299543078"/>
      <w:bookmarkStart w:id="1" w:name="_Toc425320856"/>
      <w:bookmarkStart w:id="2" w:name="_Toc456256932"/>
      <w:bookmarkStart w:id="3" w:name="_Toc456257456"/>
      <w:bookmarkStart w:id="4" w:name="_Toc456258314"/>
      <w:bookmarkStart w:id="5" w:name="_Toc456258418"/>
      <w:bookmarkStart w:id="6" w:name="_Toc172205377"/>
      <w:r w:rsidRPr="00216E39">
        <w:rPr>
          <w:rFonts w:ascii="Tahoma" w:hAnsi="Tahoma" w:cs="Tahoma"/>
          <w:b/>
          <w:sz w:val="24"/>
          <w:szCs w:val="24"/>
        </w:rPr>
        <w:lastRenderedPageBreak/>
        <w:t>Evoluții</w:t>
      </w:r>
      <w:r w:rsidR="007C4F03" w:rsidRPr="00216E39">
        <w:rPr>
          <w:rFonts w:ascii="Tahoma" w:hAnsi="Tahoma" w:cs="Tahoma"/>
          <w:b/>
          <w:sz w:val="24"/>
          <w:szCs w:val="24"/>
        </w:rPr>
        <w:t xml:space="preserve"> macroeconomice recente ale economiei </w:t>
      </w:r>
      <w:bookmarkEnd w:id="0"/>
      <w:bookmarkEnd w:id="1"/>
      <w:bookmarkEnd w:id="2"/>
      <w:bookmarkEnd w:id="3"/>
      <w:bookmarkEnd w:id="4"/>
      <w:bookmarkEnd w:id="5"/>
      <w:r w:rsidRPr="00216E39">
        <w:rPr>
          <w:rFonts w:ascii="Tahoma" w:hAnsi="Tahoma" w:cs="Tahoma"/>
          <w:b/>
          <w:sz w:val="24"/>
          <w:szCs w:val="24"/>
        </w:rPr>
        <w:t>românești</w:t>
      </w:r>
      <w:bookmarkEnd w:id="6"/>
    </w:p>
    <w:p w:rsidR="0000138F" w:rsidRPr="00216E39" w:rsidRDefault="0000138F" w:rsidP="0049621F">
      <w:pPr>
        <w:keepLines/>
        <w:spacing w:after="120" w:line="276" w:lineRule="auto"/>
        <w:ind w:firstLine="0"/>
        <w:rPr>
          <w:rFonts w:ascii="Tahoma" w:hAnsi="Tahoma" w:cs="Tahoma"/>
          <w:b/>
          <w:sz w:val="24"/>
          <w:szCs w:val="24"/>
        </w:rPr>
      </w:pPr>
    </w:p>
    <w:p w:rsidR="0000138F" w:rsidRPr="00216E39" w:rsidRDefault="0000138F" w:rsidP="0000138F">
      <w:pPr>
        <w:keepNext/>
        <w:widowControl w:val="0"/>
        <w:spacing w:after="120" w:line="276" w:lineRule="auto"/>
        <w:ind w:firstLine="0"/>
        <w:rPr>
          <w:rFonts w:ascii="Tahoma" w:hAnsi="Tahoma" w:cs="Tahoma"/>
          <w:sz w:val="24"/>
          <w:szCs w:val="24"/>
        </w:rPr>
      </w:pPr>
      <w:r w:rsidRPr="00216E39">
        <w:rPr>
          <w:rFonts w:ascii="Tahoma" w:hAnsi="Tahoma" w:cs="Tahoma"/>
          <w:b/>
          <w:sz w:val="24"/>
          <w:szCs w:val="24"/>
        </w:rPr>
        <w:t xml:space="preserve">În primele </w:t>
      </w:r>
      <w:r w:rsidR="00216E39" w:rsidRPr="00216E39">
        <w:rPr>
          <w:rFonts w:ascii="Tahoma" w:hAnsi="Tahoma" w:cs="Tahoma"/>
          <w:b/>
          <w:sz w:val="24"/>
          <w:szCs w:val="24"/>
        </w:rPr>
        <w:t>șase</w:t>
      </w:r>
      <w:r w:rsidRPr="00216E39">
        <w:rPr>
          <w:rFonts w:ascii="Tahoma" w:hAnsi="Tahoma" w:cs="Tahoma"/>
          <w:b/>
          <w:sz w:val="24"/>
          <w:szCs w:val="24"/>
        </w:rPr>
        <w:t xml:space="preserve"> luni ale anului 2024</w:t>
      </w:r>
      <w:r w:rsidRPr="00216E39">
        <w:rPr>
          <w:rFonts w:ascii="Tahoma" w:hAnsi="Tahoma" w:cs="Tahoma"/>
          <w:sz w:val="24"/>
          <w:szCs w:val="24"/>
        </w:rPr>
        <w:t xml:space="preserve"> activitatea economică a continuat să fie </w:t>
      </w:r>
      <w:r w:rsidR="00216E39" w:rsidRPr="00216E39">
        <w:rPr>
          <w:rFonts w:ascii="Tahoma" w:hAnsi="Tahoma" w:cs="Tahoma"/>
          <w:sz w:val="24"/>
          <w:szCs w:val="24"/>
        </w:rPr>
        <w:t>influențată</w:t>
      </w:r>
      <w:r w:rsidRPr="00216E39">
        <w:rPr>
          <w:rFonts w:ascii="Tahoma" w:hAnsi="Tahoma" w:cs="Tahoma"/>
          <w:sz w:val="24"/>
          <w:szCs w:val="24"/>
        </w:rPr>
        <w:t xml:space="preserve"> de contextul extern nefavorabil determinat atât de conflictul de lângă </w:t>
      </w:r>
      <w:r w:rsidR="00216E39" w:rsidRPr="00216E39">
        <w:rPr>
          <w:rFonts w:ascii="Tahoma" w:hAnsi="Tahoma" w:cs="Tahoma"/>
          <w:sz w:val="24"/>
          <w:szCs w:val="24"/>
        </w:rPr>
        <w:t>graniță</w:t>
      </w:r>
      <w:r w:rsidRPr="00216E39">
        <w:rPr>
          <w:rFonts w:ascii="Tahoma" w:hAnsi="Tahoma" w:cs="Tahoma"/>
          <w:sz w:val="24"/>
          <w:szCs w:val="24"/>
        </w:rPr>
        <w:t xml:space="preserve">, cât şi de cel din Orientul Mijlociu, dar şi de </w:t>
      </w:r>
      <w:r w:rsidR="00216E39" w:rsidRPr="00216E39">
        <w:rPr>
          <w:rFonts w:ascii="Tahoma" w:hAnsi="Tahoma" w:cs="Tahoma"/>
          <w:sz w:val="24"/>
          <w:szCs w:val="24"/>
        </w:rPr>
        <w:t>performanțele</w:t>
      </w:r>
      <w:r w:rsidRPr="00216E39">
        <w:rPr>
          <w:rFonts w:ascii="Tahoma" w:hAnsi="Tahoma" w:cs="Tahoma"/>
          <w:sz w:val="24"/>
          <w:szCs w:val="24"/>
        </w:rPr>
        <w:t xml:space="preserve"> modeste ale principalilor parteneri comerciali. </w:t>
      </w:r>
    </w:p>
    <w:p w:rsidR="0000138F" w:rsidRPr="00216E39" w:rsidRDefault="0000138F" w:rsidP="0000138F">
      <w:pPr>
        <w:keepNext/>
        <w:widowControl w:val="0"/>
        <w:spacing w:after="120" w:line="276" w:lineRule="auto"/>
        <w:ind w:firstLine="0"/>
        <w:rPr>
          <w:rFonts w:ascii="Tahoma" w:hAnsi="Tahoma" w:cs="Tahoma"/>
          <w:sz w:val="24"/>
          <w:szCs w:val="24"/>
        </w:rPr>
      </w:pPr>
      <w:r w:rsidRPr="00216E39">
        <w:rPr>
          <w:rFonts w:ascii="Tahoma" w:hAnsi="Tahoma" w:cs="Tahoma"/>
          <w:sz w:val="24"/>
          <w:szCs w:val="24"/>
        </w:rPr>
        <w:t xml:space="preserve">Conform datelor INS publicate pe data de 6 septembrie 2024 (date provizoriu 1), </w:t>
      </w:r>
      <w:r w:rsidR="00216E39" w:rsidRPr="00216E39">
        <w:rPr>
          <w:rFonts w:ascii="Tahoma" w:hAnsi="Tahoma" w:cs="Tahoma"/>
          <w:sz w:val="24"/>
          <w:szCs w:val="24"/>
        </w:rPr>
        <w:t>creșterea</w:t>
      </w:r>
      <w:r w:rsidRPr="00216E39">
        <w:rPr>
          <w:rFonts w:ascii="Tahoma" w:hAnsi="Tahoma" w:cs="Tahoma"/>
          <w:sz w:val="24"/>
          <w:szCs w:val="24"/>
        </w:rPr>
        <w:t xml:space="preserve"> produsului intern brut în semestrul I comparativ cu perioada similară din anul anterior a fost de 0,7% pe serie brută şi de 1,5% pe serie ajustată sezonier. </w:t>
      </w:r>
    </w:p>
    <w:p w:rsidR="0000138F" w:rsidRPr="00216E39" w:rsidRDefault="0000138F" w:rsidP="0000138F">
      <w:pPr>
        <w:pStyle w:val="ListParagraph"/>
        <w:keepNext/>
        <w:widowControl w:val="0"/>
        <w:spacing w:after="120" w:line="276" w:lineRule="auto"/>
        <w:ind w:left="0" w:firstLine="0"/>
        <w:contextualSpacing w:val="0"/>
        <w:jc w:val="center"/>
        <w:rPr>
          <w:rFonts w:ascii="Arial" w:hAnsi="Arial" w:cs="Arial"/>
          <w:b/>
          <w:bCs/>
          <w:sz w:val="24"/>
          <w:szCs w:val="24"/>
        </w:rPr>
      </w:pPr>
      <w:r w:rsidRPr="00216E39">
        <w:rPr>
          <w:rFonts w:ascii="Tahoma" w:hAnsi="Tahoma" w:cs="Tahoma"/>
          <w:b/>
          <w:bCs/>
          <w:sz w:val="24"/>
          <w:szCs w:val="24"/>
        </w:rPr>
        <w:t>Contribuția la creșterea reală a PIB a elementelor de cheltuieli</w:t>
      </w:r>
      <w:r w:rsidRPr="00216E39">
        <w:rPr>
          <w:rFonts w:ascii="Arial" w:hAnsi="Arial" w:cs="Arial"/>
          <w:b/>
          <w:bCs/>
          <w:noProof/>
          <w:sz w:val="24"/>
          <w:szCs w:val="24"/>
          <w:lang w:val="en-US"/>
        </w:rPr>
        <w:drawing>
          <wp:inline distT="0" distB="0" distL="0" distR="0" wp14:anchorId="5D70E37E" wp14:editId="4ED4323D">
            <wp:extent cx="5791200" cy="2671445"/>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138F" w:rsidRPr="00216E39" w:rsidRDefault="0000138F" w:rsidP="0000138F">
      <w:pPr>
        <w:pStyle w:val="ListParagraph"/>
        <w:keepNext/>
        <w:widowControl w:val="0"/>
        <w:spacing w:after="120" w:line="276" w:lineRule="auto"/>
        <w:ind w:left="0" w:firstLine="0"/>
        <w:contextualSpacing w:val="0"/>
        <w:jc w:val="center"/>
        <w:rPr>
          <w:rFonts w:ascii="Arial" w:hAnsi="Arial" w:cs="Arial"/>
          <w:b/>
          <w:bCs/>
          <w:sz w:val="24"/>
          <w:szCs w:val="24"/>
        </w:rPr>
      </w:pPr>
    </w:p>
    <w:p w:rsidR="0000138F" w:rsidRPr="00216E39" w:rsidRDefault="0000138F" w:rsidP="0000138F">
      <w:pPr>
        <w:keepNext/>
        <w:spacing w:before="240" w:after="120" w:line="276" w:lineRule="auto"/>
        <w:ind w:firstLine="0"/>
        <w:rPr>
          <w:rFonts w:ascii="Tahoma" w:hAnsi="Tahoma" w:cs="Tahoma"/>
          <w:sz w:val="24"/>
          <w:szCs w:val="24"/>
        </w:rPr>
      </w:pPr>
      <w:r w:rsidRPr="00216E39">
        <w:rPr>
          <w:rFonts w:ascii="Tahoma" w:hAnsi="Tahoma" w:cs="Tahoma"/>
          <w:b/>
          <w:sz w:val="24"/>
          <w:szCs w:val="24"/>
        </w:rPr>
        <w:t>Din punct de vedere al elementelor de utilizare</w:t>
      </w:r>
      <w:r w:rsidRPr="00216E39">
        <w:rPr>
          <w:rFonts w:ascii="Tahoma" w:hAnsi="Tahoma" w:cs="Tahoma"/>
          <w:sz w:val="24"/>
          <w:szCs w:val="24"/>
        </w:rPr>
        <w:t xml:space="preserve">, în prima jumătate a anului curent se remarcă o accelerare a </w:t>
      </w:r>
      <w:r w:rsidR="00216E39" w:rsidRPr="00216E39">
        <w:rPr>
          <w:rFonts w:ascii="Tahoma" w:hAnsi="Tahoma" w:cs="Tahoma"/>
          <w:sz w:val="24"/>
          <w:szCs w:val="24"/>
        </w:rPr>
        <w:t>înclinației</w:t>
      </w:r>
      <w:r w:rsidRPr="00216E39">
        <w:rPr>
          <w:rFonts w:ascii="Tahoma" w:hAnsi="Tahoma" w:cs="Tahoma"/>
          <w:sz w:val="24"/>
          <w:szCs w:val="24"/>
        </w:rPr>
        <w:t xml:space="preserve"> </w:t>
      </w:r>
      <w:r w:rsidR="00216E39" w:rsidRPr="00216E39">
        <w:rPr>
          <w:rFonts w:ascii="Tahoma" w:hAnsi="Tahoma" w:cs="Tahoma"/>
          <w:sz w:val="24"/>
          <w:szCs w:val="24"/>
        </w:rPr>
        <w:t>populației</w:t>
      </w:r>
      <w:r w:rsidRPr="00216E39">
        <w:rPr>
          <w:rFonts w:ascii="Tahoma" w:hAnsi="Tahoma" w:cs="Tahoma"/>
          <w:sz w:val="24"/>
          <w:szCs w:val="24"/>
        </w:rPr>
        <w:t xml:space="preserve"> spre consum fiind impulsionată de majorarea veniturilor disponibile reale, rezultate din </w:t>
      </w:r>
      <w:r w:rsidR="00216E39" w:rsidRPr="00216E39">
        <w:rPr>
          <w:rFonts w:ascii="Tahoma" w:hAnsi="Tahoma" w:cs="Tahoma"/>
          <w:sz w:val="24"/>
          <w:szCs w:val="24"/>
        </w:rPr>
        <w:t>creșterile</w:t>
      </w:r>
      <w:r w:rsidRPr="00216E39">
        <w:rPr>
          <w:rFonts w:ascii="Tahoma" w:hAnsi="Tahoma" w:cs="Tahoma"/>
          <w:sz w:val="24"/>
          <w:szCs w:val="24"/>
        </w:rPr>
        <w:t xml:space="preserve"> salariale </w:t>
      </w:r>
      <w:r w:rsidR="00216E39" w:rsidRPr="00216E39">
        <w:rPr>
          <w:rFonts w:ascii="Tahoma" w:hAnsi="Tahoma" w:cs="Tahoma"/>
          <w:sz w:val="24"/>
          <w:szCs w:val="24"/>
        </w:rPr>
        <w:t>și</w:t>
      </w:r>
      <w:r w:rsidRPr="00216E39">
        <w:rPr>
          <w:rFonts w:ascii="Tahoma" w:hAnsi="Tahoma" w:cs="Tahoma"/>
          <w:sz w:val="24"/>
          <w:szCs w:val="24"/>
        </w:rPr>
        <w:t xml:space="preserve"> ale pensiilor </w:t>
      </w:r>
      <w:r w:rsidR="00216E39" w:rsidRPr="00216E39">
        <w:rPr>
          <w:rFonts w:ascii="Tahoma" w:hAnsi="Tahoma" w:cs="Tahoma"/>
          <w:sz w:val="24"/>
          <w:szCs w:val="24"/>
        </w:rPr>
        <w:t>și</w:t>
      </w:r>
      <w:r w:rsidRPr="00216E39">
        <w:rPr>
          <w:rFonts w:ascii="Tahoma" w:hAnsi="Tahoma" w:cs="Tahoma"/>
          <w:sz w:val="24"/>
          <w:szCs w:val="24"/>
        </w:rPr>
        <w:t xml:space="preserve"> o </w:t>
      </w:r>
      <w:r w:rsidR="00216E39" w:rsidRPr="00216E39">
        <w:rPr>
          <w:rFonts w:ascii="Tahoma" w:hAnsi="Tahoma" w:cs="Tahoma"/>
          <w:sz w:val="24"/>
          <w:szCs w:val="24"/>
        </w:rPr>
        <w:t>inflație</w:t>
      </w:r>
      <w:r w:rsidRPr="00216E39">
        <w:rPr>
          <w:rFonts w:ascii="Tahoma" w:hAnsi="Tahoma" w:cs="Tahoma"/>
          <w:sz w:val="24"/>
          <w:szCs w:val="24"/>
        </w:rPr>
        <w:t xml:space="preserve"> în scădere. Astfel, în trimestrul al doilea, comparativ cu trimestrul similar din anul anterior, consumul privat a avansat cu 7,6% (dublul </w:t>
      </w:r>
      <w:r w:rsidR="00216E39" w:rsidRPr="00216E39">
        <w:rPr>
          <w:rFonts w:ascii="Tahoma" w:hAnsi="Tahoma" w:cs="Tahoma"/>
          <w:sz w:val="24"/>
          <w:szCs w:val="24"/>
        </w:rPr>
        <w:t>creșterii</w:t>
      </w:r>
      <w:r w:rsidRPr="00216E39">
        <w:rPr>
          <w:rFonts w:ascii="Tahoma" w:hAnsi="Tahoma" w:cs="Tahoma"/>
          <w:sz w:val="24"/>
          <w:szCs w:val="24"/>
        </w:rPr>
        <w:t xml:space="preserve"> din primul trimestru al anului 2024). Pe ansamblul semestrului I 2024 </w:t>
      </w:r>
      <w:r w:rsidR="00216E39" w:rsidRPr="00216E39">
        <w:rPr>
          <w:rFonts w:ascii="Tahoma" w:hAnsi="Tahoma" w:cs="Tahoma"/>
          <w:sz w:val="24"/>
          <w:szCs w:val="24"/>
        </w:rPr>
        <w:t>creșterea</w:t>
      </w:r>
      <w:r w:rsidRPr="00216E39">
        <w:rPr>
          <w:rFonts w:ascii="Tahoma" w:hAnsi="Tahoma" w:cs="Tahoma"/>
          <w:sz w:val="24"/>
          <w:szCs w:val="24"/>
        </w:rPr>
        <w:t xml:space="preserve"> consumului privat a fost de 5,8%, având un aport de 3,7 puncte procentuale la dinamica produsului intern brut. Pe de altă parte, consumul guvernamental a consemnat o scădere de 1,4%, </w:t>
      </w:r>
      <w:r w:rsidR="00216E39" w:rsidRPr="00216E39">
        <w:rPr>
          <w:rFonts w:ascii="Tahoma" w:hAnsi="Tahoma" w:cs="Tahoma"/>
          <w:sz w:val="24"/>
          <w:szCs w:val="24"/>
        </w:rPr>
        <w:t>creșterea</w:t>
      </w:r>
      <w:r w:rsidRPr="00216E39">
        <w:rPr>
          <w:rFonts w:ascii="Tahoma" w:hAnsi="Tahoma" w:cs="Tahoma"/>
          <w:sz w:val="24"/>
          <w:szCs w:val="24"/>
        </w:rPr>
        <w:t xml:space="preserve"> economică totală fiind diminuată cu 0,3 puncte procentuale.</w:t>
      </w:r>
    </w:p>
    <w:p w:rsidR="0000138F" w:rsidRPr="00216E39" w:rsidRDefault="0000138F" w:rsidP="0000138F">
      <w:pPr>
        <w:keepNext/>
        <w:spacing w:after="120" w:line="276" w:lineRule="auto"/>
        <w:ind w:firstLine="0"/>
        <w:rPr>
          <w:rFonts w:ascii="Tahoma" w:hAnsi="Tahoma" w:cs="Tahoma"/>
          <w:sz w:val="24"/>
          <w:szCs w:val="24"/>
        </w:rPr>
      </w:pPr>
      <w:r w:rsidRPr="00216E39">
        <w:rPr>
          <w:rFonts w:ascii="Tahoma" w:hAnsi="Tahoma" w:cs="Tahoma"/>
          <w:sz w:val="24"/>
          <w:szCs w:val="24"/>
        </w:rPr>
        <w:t xml:space="preserve">Totodată, s-a remarcat </w:t>
      </w:r>
      <w:r w:rsidR="00216E39" w:rsidRPr="00216E39">
        <w:rPr>
          <w:rFonts w:ascii="Tahoma" w:hAnsi="Tahoma" w:cs="Tahoma"/>
          <w:sz w:val="24"/>
          <w:szCs w:val="24"/>
        </w:rPr>
        <w:t>evoluția</w:t>
      </w:r>
      <w:r w:rsidRPr="00216E39">
        <w:rPr>
          <w:rFonts w:ascii="Tahoma" w:hAnsi="Tahoma" w:cs="Tahoma"/>
          <w:sz w:val="24"/>
          <w:szCs w:val="24"/>
        </w:rPr>
        <w:t xml:space="preserve"> favorabilă a formării brute de capital fix care, cu un ritm de 6,0% a adus un aport de 1,4 puncte procentuale la </w:t>
      </w:r>
      <w:r w:rsidR="00216E39" w:rsidRPr="00216E39">
        <w:rPr>
          <w:rFonts w:ascii="Tahoma" w:hAnsi="Tahoma" w:cs="Tahoma"/>
          <w:sz w:val="24"/>
          <w:szCs w:val="24"/>
        </w:rPr>
        <w:t>creșterea</w:t>
      </w:r>
      <w:r w:rsidRPr="00216E39">
        <w:rPr>
          <w:rFonts w:ascii="Tahoma" w:hAnsi="Tahoma" w:cs="Tahoma"/>
          <w:sz w:val="24"/>
          <w:szCs w:val="24"/>
        </w:rPr>
        <w:t xml:space="preserve"> economică reală </w:t>
      </w:r>
      <w:r w:rsidRPr="00216E39">
        <w:rPr>
          <w:rFonts w:ascii="Tahoma" w:hAnsi="Tahoma" w:cs="Tahoma"/>
          <w:sz w:val="24"/>
          <w:szCs w:val="24"/>
        </w:rPr>
        <w:lastRenderedPageBreak/>
        <w:t xml:space="preserve">fiind </w:t>
      </w:r>
      <w:r w:rsidR="00216E39" w:rsidRPr="00216E39">
        <w:rPr>
          <w:rFonts w:ascii="Tahoma" w:hAnsi="Tahoma" w:cs="Tahoma"/>
          <w:sz w:val="24"/>
          <w:szCs w:val="24"/>
        </w:rPr>
        <w:t>susținută</w:t>
      </w:r>
      <w:r w:rsidRPr="00216E39">
        <w:rPr>
          <w:rFonts w:ascii="Tahoma" w:hAnsi="Tahoma" w:cs="Tahoma"/>
          <w:sz w:val="24"/>
          <w:szCs w:val="24"/>
        </w:rPr>
        <w:t xml:space="preserve">, în principal, de alocările </w:t>
      </w:r>
      <w:r w:rsidR="00216E39" w:rsidRPr="00216E39">
        <w:rPr>
          <w:rFonts w:ascii="Tahoma" w:hAnsi="Tahoma" w:cs="Tahoma"/>
          <w:sz w:val="24"/>
          <w:szCs w:val="24"/>
        </w:rPr>
        <w:t>substanțiale</w:t>
      </w:r>
      <w:r w:rsidRPr="00216E39">
        <w:rPr>
          <w:rFonts w:ascii="Tahoma" w:hAnsi="Tahoma" w:cs="Tahoma"/>
          <w:sz w:val="24"/>
          <w:szCs w:val="24"/>
        </w:rPr>
        <w:t xml:space="preserve"> de fonduri pentru deschiderea unor noi proiecte de </w:t>
      </w:r>
      <w:r w:rsidR="00216E39" w:rsidRPr="00216E39">
        <w:rPr>
          <w:rFonts w:ascii="Tahoma" w:hAnsi="Tahoma" w:cs="Tahoma"/>
          <w:sz w:val="24"/>
          <w:szCs w:val="24"/>
        </w:rPr>
        <w:t>investiții</w:t>
      </w:r>
      <w:r w:rsidRPr="00216E39">
        <w:rPr>
          <w:rFonts w:ascii="Tahoma" w:hAnsi="Tahoma" w:cs="Tahoma"/>
          <w:sz w:val="24"/>
          <w:szCs w:val="24"/>
        </w:rPr>
        <w:t xml:space="preserve"> în infrastructură.</w:t>
      </w:r>
    </w:p>
    <w:p w:rsidR="0000138F" w:rsidRPr="00216E39" w:rsidRDefault="0000138F" w:rsidP="0000138F">
      <w:pPr>
        <w:keepNext/>
        <w:spacing w:after="120" w:line="276" w:lineRule="auto"/>
        <w:ind w:firstLine="0"/>
        <w:rPr>
          <w:rFonts w:ascii="Tahoma" w:hAnsi="Tahoma" w:cs="Tahoma"/>
          <w:sz w:val="24"/>
          <w:szCs w:val="24"/>
        </w:rPr>
      </w:pPr>
      <w:r w:rsidRPr="00216E39">
        <w:rPr>
          <w:rFonts w:ascii="Tahoma" w:hAnsi="Tahoma" w:cs="Tahoma"/>
          <w:sz w:val="24"/>
          <w:szCs w:val="24"/>
        </w:rPr>
        <w:t xml:space="preserve">Pe partea externă, diminuarea în termeni reali a exportului de bunuri şi servicii cu 3,3% concomitent cu majorarea cu 4,0% a importului de bunuri şi servicii s-a concretizat într-o </w:t>
      </w:r>
      <w:r w:rsidR="00216E39" w:rsidRPr="00216E39">
        <w:rPr>
          <w:rFonts w:ascii="Tahoma" w:hAnsi="Tahoma" w:cs="Tahoma"/>
          <w:sz w:val="24"/>
          <w:szCs w:val="24"/>
        </w:rPr>
        <w:t>contribuție</w:t>
      </w:r>
      <w:r w:rsidRPr="00216E39">
        <w:rPr>
          <w:rFonts w:ascii="Tahoma" w:hAnsi="Tahoma" w:cs="Tahoma"/>
          <w:sz w:val="24"/>
          <w:szCs w:val="24"/>
        </w:rPr>
        <w:t xml:space="preserve"> negativă semnificativă a exportului net la dinamica PIB de 3,5 puncte procentuale. </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Pe componente de formare a produsului intern brut, </w:t>
      </w:r>
      <w:r w:rsidR="00216E39" w:rsidRPr="00216E39">
        <w:rPr>
          <w:rFonts w:ascii="Tahoma" w:hAnsi="Tahoma" w:cs="Tahoma"/>
          <w:sz w:val="24"/>
          <w:szCs w:val="24"/>
        </w:rPr>
        <w:t>creșterea</w:t>
      </w:r>
      <w:r w:rsidRPr="00216E39">
        <w:rPr>
          <w:rFonts w:ascii="Tahoma" w:hAnsi="Tahoma" w:cs="Tahoma"/>
          <w:sz w:val="24"/>
          <w:szCs w:val="24"/>
        </w:rPr>
        <w:t xml:space="preserve"> economică a fost </w:t>
      </w:r>
      <w:r w:rsidR="00216E39" w:rsidRPr="00216E39">
        <w:rPr>
          <w:rFonts w:ascii="Tahoma" w:hAnsi="Tahoma" w:cs="Tahoma"/>
          <w:sz w:val="24"/>
          <w:szCs w:val="24"/>
        </w:rPr>
        <w:t>susținută</w:t>
      </w:r>
      <w:r w:rsidRPr="00216E39">
        <w:rPr>
          <w:rFonts w:ascii="Tahoma" w:hAnsi="Tahoma" w:cs="Tahoma"/>
          <w:sz w:val="24"/>
          <w:szCs w:val="24"/>
        </w:rPr>
        <w:t xml:space="preserve"> în semestrul I de valoarea adăugată brută totală care, cu o dinamică de 0,2%, a avut o </w:t>
      </w:r>
      <w:r w:rsidR="00216E39" w:rsidRPr="00216E39">
        <w:rPr>
          <w:rFonts w:ascii="Tahoma" w:hAnsi="Tahoma" w:cs="Tahoma"/>
          <w:sz w:val="24"/>
          <w:szCs w:val="24"/>
        </w:rPr>
        <w:t>contribuție</w:t>
      </w:r>
      <w:r w:rsidRPr="00216E39">
        <w:rPr>
          <w:rFonts w:ascii="Tahoma" w:hAnsi="Tahoma" w:cs="Tahoma"/>
          <w:sz w:val="24"/>
          <w:szCs w:val="24"/>
        </w:rPr>
        <w:t xml:space="preserve"> de 0,2 puncte procentuale. La rândul lor, impozitele nete pe produs, cu o majorare de 5,4%, au avut un aport de 0,5 puncte procentuale.</w:t>
      </w:r>
    </w:p>
    <w:p w:rsidR="0000138F" w:rsidRPr="00216E39" w:rsidRDefault="0000138F" w:rsidP="0000138F">
      <w:pPr>
        <w:spacing w:after="120" w:line="276" w:lineRule="auto"/>
        <w:ind w:firstLine="0"/>
        <w:jc w:val="center"/>
        <w:rPr>
          <w:rFonts w:ascii="Tahoma" w:hAnsi="Tahoma" w:cs="Tahoma"/>
          <w:b/>
          <w:bCs/>
          <w:sz w:val="24"/>
          <w:szCs w:val="24"/>
        </w:rPr>
      </w:pPr>
      <w:r w:rsidRPr="00216E39">
        <w:rPr>
          <w:rFonts w:ascii="Tahoma" w:hAnsi="Tahoma" w:cs="Tahoma"/>
          <w:b/>
          <w:bCs/>
          <w:sz w:val="24"/>
          <w:szCs w:val="24"/>
        </w:rPr>
        <w:t>Contribuția la creșterea reală a PIB a elementelor de creare</w:t>
      </w:r>
    </w:p>
    <w:p w:rsidR="0000138F" w:rsidRPr="00216E39" w:rsidRDefault="0000138F" w:rsidP="0000138F">
      <w:pPr>
        <w:spacing w:after="120" w:line="276" w:lineRule="auto"/>
        <w:ind w:firstLine="0"/>
        <w:jc w:val="center"/>
        <w:rPr>
          <w:rFonts w:ascii="Tahoma" w:hAnsi="Tahoma" w:cs="Tahoma"/>
          <w:b/>
          <w:bCs/>
          <w:sz w:val="24"/>
          <w:szCs w:val="24"/>
        </w:rPr>
      </w:pPr>
      <w:r w:rsidRPr="00216E39">
        <w:rPr>
          <w:rFonts w:ascii="Tahoma" w:hAnsi="Tahoma" w:cs="Tahoma"/>
          <w:b/>
          <w:bCs/>
          <w:noProof/>
          <w:sz w:val="24"/>
          <w:szCs w:val="24"/>
          <w:lang w:val="en-US"/>
        </w:rPr>
        <w:drawing>
          <wp:inline distT="0" distB="0" distL="0" distR="0" wp14:anchorId="3D98235B" wp14:editId="109121B1">
            <wp:extent cx="5829300" cy="2520315"/>
            <wp:effectExtent l="0" t="0" r="0" b="1333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138F" w:rsidRPr="00216E39" w:rsidRDefault="0000138F" w:rsidP="0000138F">
      <w:pPr>
        <w:spacing w:after="120" w:line="276" w:lineRule="auto"/>
        <w:ind w:firstLine="0"/>
        <w:jc w:val="center"/>
        <w:rPr>
          <w:rFonts w:ascii="Tahoma" w:hAnsi="Tahoma" w:cs="Tahoma"/>
          <w:b/>
          <w:bCs/>
          <w:sz w:val="24"/>
          <w:szCs w:val="24"/>
        </w:rPr>
      </w:pP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Sectorul industrial a continuat </w:t>
      </w:r>
      <w:r w:rsidR="00216E39" w:rsidRPr="00216E39">
        <w:rPr>
          <w:rFonts w:ascii="Tahoma" w:hAnsi="Tahoma" w:cs="Tahoma"/>
          <w:sz w:val="24"/>
          <w:szCs w:val="24"/>
        </w:rPr>
        <w:t>evoluțiile</w:t>
      </w:r>
      <w:r w:rsidRPr="00216E39">
        <w:rPr>
          <w:rFonts w:ascii="Tahoma" w:hAnsi="Tahoma" w:cs="Tahoma"/>
          <w:sz w:val="24"/>
          <w:szCs w:val="24"/>
        </w:rPr>
        <w:t xml:space="preserve"> negative, conjunctura economică nefavorabilă afectând încă acest domeniu de activitate. Astfel, valoarea adăugată brută din industrie s-a diminuat pe primul semestru din 2024 comparativ cu perioada similară din anul precedent cu 0,6% ceea ce s-a concretizat într-o </w:t>
      </w:r>
      <w:r w:rsidR="00216E39" w:rsidRPr="00216E39">
        <w:rPr>
          <w:rFonts w:ascii="Tahoma" w:hAnsi="Tahoma" w:cs="Tahoma"/>
          <w:sz w:val="24"/>
          <w:szCs w:val="24"/>
        </w:rPr>
        <w:t>contribuție</w:t>
      </w:r>
      <w:r w:rsidRPr="00216E39">
        <w:rPr>
          <w:rFonts w:ascii="Tahoma" w:hAnsi="Tahoma" w:cs="Tahoma"/>
          <w:sz w:val="24"/>
          <w:szCs w:val="24"/>
        </w:rPr>
        <w:t xml:space="preserve"> la </w:t>
      </w:r>
      <w:r w:rsidR="00216E39" w:rsidRPr="00216E39">
        <w:rPr>
          <w:rFonts w:ascii="Tahoma" w:hAnsi="Tahoma" w:cs="Tahoma"/>
          <w:sz w:val="24"/>
          <w:szCs w:val="24"/>
        </w:rPr>
        <w:t>creșterea</w:t>
      </w:r>
      <w:r w:rsidRPr="00216E39">
        <w:rPr>
          <w:rFonts w:ascii="Tahoma" w:hAnsi="Tahoma" w:cs="Tahoma"/>
          <w:sz w:val="24"/>
          <w:szCs w:val="24"/>
        </w:rPr>
        <w:t xml:space="preserve"> economică de -0,1 puncte procentuale.</w:t>
      </w:r>
    </w:p>
    <w:p w:rsidR="0000138F" w:rsidRPr="00216E39" w:rsidRDefault="00216E39" w:rsidP="0000138F">
      <w:pPr>
        <w:spacing w:after="120" w:line="276" w:lineRule="auto"/>
        <w:ind w:firstLine="0"/>
        <w:rPr>
          <w:rFonts w:ascii="Tahoma" w:hAnsi="Tahoma" w:cs="Tahoma"/>
          <w:sz w:val="24"/>
          <w:szCs w:val="24"/>
        </w:rPr>
      </w:pPr>
      <w:r w:rsidRPr="00216E39">
        <w:rPr>
          <w:rFonts w:ascii="Tahoma" w:hAnsi="Tahoma" w:cs="Tahoma"/>
          <w:sz w:val="24"/>
          <w:szCs w:val="24"/>
        </w:rPr>
        <w:t>Construcțiile</w:t>
      </w:r>
      <w:r w:rsidR="0000138F" w:rsidRPr="00216E39">
        <w:rPr>
          <w:rFonts w:ascii="Tahoma" w:hAnsi="Tahoma" w:cs="Tahoma"/>
          <w:sz w:val="24"/>
          <w:szCs w:val="24"/>
        </w:rPr>
        <w:t xml:space="preserve">, după </w:t>
      </w:r>
      <w:r w:rsidRPr="00216E39">
        <w:rPr>
          <w:rFonts w:ascii="Tahoma" w:hAnsi="Tahoma" w:cs="Tahoma"/>
          <w:sz w:val="24"/>
          <w:szCs w:val="24"/>
        </w:rPr>
        <w:t>evoluția</w:t>
      </w:r>
      <w:r w:rsidR="0000138F" w:rsidRPr="00216E39">
        <w:rPr>
          <w:rFonts w:ascii="Tahoma" w:hAnsi="Tahoma" w:cs="Tahoma"/>
          <w:sz w:val="24"/>
          <w:szCs w:val="24"/>
        </w:rPr>
        <w:t xml:space="preserve"> </w:t>
      </w:r>
      <w:r w:rsidRPr="00216E39">
        <w:rPr>
          <w:rFonts w:ascii="Tahoma" w:hAnsi="Tahoma" w:cs="Tahoma"/>
          <w:sz w:val="24"/>
          <w:szCs w:val="24"/>
        </w:rPr>
        <w:t>susținută</w:t>
      </w:r>
      <w:r w:rsidR="0000138F" w:rsidRPr="00216E39">
        <w:rPr>
          <w:rFonts w:ascii="Tahoma" w:hAnsi="Tahoma" w:cs="Tahoma"/>
          <w:sz w:val="24"/>
          <w:szCs w:val="24"/>
        </w:rPr>
        <w:t xml:space="preserve"> din anul 2023, au înregistrat o </w:t>
      </w:r>
      <w:r w:rsidRPr="00216E39">
        <w:rPr>
          <w:rFonts w:ascii="Tahoma" w:hAnsi="Tahoma" w:cs="Tahoma"/>
          <w:sz w:val="24"/>
          <w:szCs w:val="24"/>
        </w:rPr>
        <w:t>evoluție</w:t>
      </w:r>
      <w:r w:rsidR="0000138F" w:rsidRPr="00216E39">
        <w:rPr>
          <w:rFonts w:ascii="Tahoma" w:hAnsi="Tahoma" w:cs="Tahoma"/>
          <w:sz w:val="24"/>
          <w:szCs w:val="24"/>
        </w:rPr>
        <w:t xml:space="preserve"> modestă, realizând un salt al valorii adăugate brute de 1%. </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În sectorul serviciilor se constată o </w:t>
      </w:r>
      <w:r w:rsidR="00216E39" w:rsidRPr="00216E39">
        <w:rPr>
          <w:rFonts w:ascii="Tahoma" w:hAnsi="Tahoma" w:cs="Tahoma"/>
          <w:sz w:val="24"/>
          <w:szCs w:val="24"/>
        </w:rPr>
        <w:t>tendință</w:t>
      </w:r>
      <w:r w:rsidRPr="00216E39">
        <w:rPr>
          <w:rFonts w:ascii="Tahoma" w:hAnsi="Tahoma" w:cs="Tahoma"/>
          <w:sz w:val="24"/>
          <w:szCs w:val="24"/>
        </w:rPr>
        <w:t xml:space="preserve"> de încetinire a </w:t>
      </w:r>
      <w:r w:rsidR="00216E39" w:rsidRPr="00216E39">
        <w:rPr>
          <w:rFonts w:ascii="Tahoma" w:hAnsi="Tahoma" w:cs="Tahoma"/>
          <w:sz w:val="24"/>
          <w:szCs w:val="24"/>
        </w:rPr>
        <w:t>activității</w:t>
      </w:r>
      <w:r w:rsidRPr="00216E39">
        <w:rPr>
          <w:rFonts w:ascii="Tahoma" w:hAnsi="Tahoma" w:cs="Tahoma"/>
          <w:sz w:val="24"/>
          <w:szCs w:val="24"/>
        </w:rPr>
        <w:t xml:space="preserve">, pe ansamblul semestrului I majorarea fiind marginală, de 0,1%. Cea mai importantă </w:t>
      </w:r>
      <w:r w:rsidR="00216E39" w:rsidRPr="00216E39">
        <w:rPr>
          <w:rFonts w:ascii="Tahoma" w:hAnsi="Tahoma" w:cs="Tahoma"/>
          <w:sz w:val="24"/>
          <w:szCs w:val="24"/>
        </w:rPr>
        <w:t>creștere</w:t>
      </w:r>
      <w:r w:rsidRPr="00216E39">
        <w:rPr>
          <w:rFonts w:ascii="Tahoma" w:hAnsi="Tahoma" w:cs="Tahoma"/>
          <w:sz w:val="24"/>
          <w:szCs w:val="24"/>
        </w:rPr>
        <w:t xml:space="preserve"> s-a înregistrat în ramura „</w:t>
      </w:r>
      <w:r w:rsidR="00216E39" w:rsidRPr="00216E39">
        <w:rPr>
          <w:rFonts w:ascii="Tahoma" w:hAnsi="Tahoma" w:cs="Tahoma"/>
          <w:sz w:val="24"/>
          <w:szCs w:val="24"/>
        </w:rPr>
        <w:t>activități</w:t>
      </w:r>
      <w:r w:rsidRPr="00216E39">
        <w:rPr>
          <w:rFonts w:ascii="Tahoma" w:hAnsi="Tahoma" w:cs="Tahoma"/>
          <w:sz w:val="24"/>
          <w:szCs w:val="24"/>
        </w:rPr>
        <w:t xml:space="preserve"> de spectacole, culturale </w:t>
      </w:r>
      <w:r w:rsidR="00216E39" w:rsidRPr="00216E39">
        <w:rPr>
          <w:rFonts w:ascii="Tahoma" w:hAnsi="Tahoma" w:cs="Tahoma"/>
          <w:sz w:val="24"/>
          <w:szCs w:val="24"/>
        </w:rPr>
        <w:t>și</w:t>
      </w:r>
      <w:r w:rsidRPr="00216E39">
        <w:rPr>
          <w:rFonts w:ascii="Tahoma" w:hAnsi="Tahoma" w:cs="Tahoma"/>
          <w:sz w:val="24"/>
          <w:szCs w:val="24"/>
        </w:rPr>
        <w:t xml:space="preserve"> recreative”, respectiv 6,6%, ceea ce a reprezentat o </w:t>
      </w:r>
      <w:r w:rsidR="00216E39" w:rsidRPr="00216E39">
        <w:rPr>
          <w:rFonts w:ascii="Tahoma" w:hAnsi="Tahoma" w:cs="Tahoma"/>
          <w:sz w:val="24"/>
          <w:szCs w:val="24"/>
        </w:rPr>
        <w:t>contribuție</w:t>
      </w:r>
      <w:r w:rsidRPr="00216E39">
        <w:rPr>
          <w:rFonts w:ascii="Tahoma" w:hAnsi="Tahoma" w:cs="Tahoma"/>
          <w:sz w:val="24"/>
          <w:szCs w:val="24"/>
        </w:rPr>
        <w:t xml:space="preserve"> de 0,2 puncte procentuale. Tot în teritoriul pozitiv s-au situat </w:t>
      </w:r>
      <w:r w:rsidR="00216E39" w:rsidRPr="00216E39">
        <w:rPr>
          <w:rFonts w:ascii="Tahoma" w:hAnsi="Tahoma" w:cs="Tahoma"/>
          <w:sz w:val="24"/>
          <w:szCs w:val="24"/>
        </w:rPr>
        <w:t>și</w:t>
      </w:r>
      <w:r w:rsidRPr="00216E39">
        <w:rPr>
          <w:rFonts w:ascii="Tahoma" w:hAnsi="Tahoma" w:cs="Tahoma"/>
          <w:sz w:val="24"/>
          <w:szCs w:val="24"/>
        </w:rPr>
        <w:t xml:space="preserve"> </w:t>
      </w:r>
      <w:r w:rsidR="00216E39" w:rsidRPr="00216E39">
        <w:rPr>
          <w:rFonts w:ascii="Tahoma" w:hAnsi="Tahoma" w:cs="Tahoma"/>
          <w:sz w:val="24"/>
          <w:szCs w:val="24"/>
        </w:rPr>
        <w:t>evoluțiile</w:t>
      </w:r>
      <w:r w:rsidRPr="00216E39">
        <w:rPr>
          <w:rFonts w:ascii="Tahoma" w:hAnsi="Tahoma" w:cs="Tahoma"/>
          <w:sz w:val="24"/>
          <w:szCs w:val="24"/>
        </w:rPr>
        <w:t xml:space="preserve"> din ramurile „</w:t>
      </w:r>
      <w:r w:rsidR="00216E39" w:rsidRPr="00216E39">
        <w:rPr>
          <w:rFonts w:ascii="Tahoma" w:hAnsi="Tahoma" w:cs="Tahoma"/>
          <w:sz w:val="24"/>
          <w:szCs w:val="24"/>
        </w:rPr>
        <w:t>comerț</w:t>
      </w:r>
      <w:r w:rsidRPr="00216E39">
        <w:rPr>
          <w:rFonts w:ascii="Tahoma" w:hAnsi="Tahoma" w:cs="Tahoma"/>
          <w:sz w:val="24"/>
          <w:szCs w:val="24"/>
        </w:rPr>
        <w:t>, transporturi, hoteluri şi restaurante” şi „</w:t>
      </w:r>
      <w:r w:rsidR="00216E39" w:rsidRPr="00216E39">
        <w:rPr>
          <w:rFonts w:ascii="Tahoma" w:hAnsi="Tahoma" w:cs="Tahoma"/>
          <w:sz w:val="24"/>
          <w:szCs w:val="24"/>
        </w:rPr>
        <w:t>administrație</w:t>
      </w:r>
      <w:r w:rsidRPr="00216E39">
        <w:rPr>
          <w:rFonts w:ascii="Tahoma" w:hAnsi="Tahoma" w:cs="Tahoma"/>
          <w:sz w:val="24"/>
          <w:szCs w:val="24"/>
        </w:rPr>
        <w:t xml:space="preserve"> publică” cu </w:t>
      </w:r>
      <w:r w:rsidR="00216E39" w:rsidRPr="00216E39">
        <w:rPr>
          <w:rFonts w:ascii="Tahoma" w:hAnsi="Tahoma" w:cs="Tahoma"/>
          <w:sz w:val="24"/>
          <w:szCs w:val="24"/>
        </w:rPr>
        <w:t>creșteri</w:t>
      </w:r>
      <w:r w:rsidRPr="00216E39">
        <w:rPr>
          <w:rFonts w:ascii="Tahoma" w:hAnsi="Tahoma" w:cs="Tahoma"/>
          <w:sz w:val="24"/>
          <w:szCs w:val="24"/>
        </w:rPr>
        <w:t xml:space="preserve"> modeste, de doar 0,2%.</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lastRenderedPageBreak/>
        <w:t xml:space="preserve">Este de remarcat </w:t>
      </w:r>
      <w:r w:rsidR="00216E39" w:rsidRPr="00216E39">
        <w:rPr>
          <w:rFonts w:ascii="Tahoma" w:hAnsi="Tahoma" w:cs="Tahoma"/>
          <w:sz w:val="24"/>
          <w:szCs w:val="24"/>
        </w:rPr>
        <w:t>evoluția</w:t>
      </w:r>
      <w:r w:rsidRPr="00216E39">
        <w:rPr>
          <w:rFonts w:ascii="Tahoma" w:hAnsi="Tahoma" w:cs="Tahoma"/>
          <w:sz w:val="24"/>
          <w:szCs w:val="24"/>
        </w:rPr>
        <w:t xml:space="preserve"> din sectorul agricol cu o </w:t>
      </w:r>
      <w:r w:rsidR="00216E39" w:rsidRPr="00216E39">
        <w:rPr>
          <w:rFonts w:ascii="Tahoma" w:hAnsi="Tahoma" w:cs="Tahoma"/>
          <w:sz w:val="24"/>
          <w:szCs w:val="24"/>
        </w:rPr>
        <w:t>creștere</w:t>
      </w:r>
      <w:r w:rsidRPr="00216E39">
        <w:rPr>
          <w:rFonts w:ascii="Tahoma" w:hAnsi="Tahoma" w:cs="Tahoma"/>
          <w:sz w:val="24"/>
          <w:szCs w:val="24"/>
        </w:rPr>
        <w:t xml:space="preserve"> pe ansamblul perioadei de 10,9%, având o </w:t>
      </w:r>
      <w:r w:rsidR="00216E39" w:rsidRPr="00216E39">
        <w:rPr>
          <w:rFonts w:ascii="Tahoma" w:hAnsi="Tahoma" w:cs="Tahoma"/>
          <w:sz w:val="24"/>
          <w:szCs w:val="24"/>
        </w:rPr>
        <w:t>contribuție</w:t>
      </w:r>
      <w:r w:rsidRPr="00216E39">
        <w:rPr>
          <w:rFonts w:ascii="Tahoma" w:hAnsi="Tahoma" w:cs="Tahoma"/>
          <w:sz w:val="24"/>
          <w:szCs w:val="24"/>
        </w:rPr>
        <w:t xml:space="preserve"> la PIB-ul real de 0,2 puncte procentuale. Această majorare se datorează rezultatelor bune </w:t>
      </w:r>
      <w:r w:rsidR="00216E39" w:rsidRPr="00216E39">
        <w:rPr>
          <w:rFonts w:ascii="Tahoma" w:hAnsi="Tahoma" w:cs="Tahoma"/>
          <w:sz w:val="24"/>
          <w:szCs w:val="24"/>
        </w:rPr>
        <w:t>obținute</w:t>
      </w:r>
      <w:r w:rsidRPr="00216E39">
        <w:rPr>
          <w:rFonts w:ascii="Tahoma" w:hAnsi="Tahoma" w:cs="Tahoma"/>
          <w:sz w:val="24"/>
          <w:szCs w:val="24"/>
        </w:rPr>
        <w:t xml:space="preserve"> în trimestrul II (17,3%) după ce în ultimii ani, în perioada similară, am asistat la </w:t>
      </w:r>
      <w:r w:rsidR="00216E39" w:rsidRPr="00216E39">
        <w:rPr>
          <w:rFonts w:ascii="Tahoma" w:hAnsi="Tahoma" w:cs="Tahoma"/>
          <w:sz w:val="24"/>
          <w:szCs w:val="24"/>
        </w:rPr>
        <w:t>contracția</w:t>
      </w:r>
      <w:r w:rsidRPr="00216E39">
        <w:rPr>
          <w:rFonts w:ascii="Tahoma" w:hAnsi="Tahoma" w:cs="Tahoma"/>
          <w:sz w:val="24"/>
          <w:szCs w:val="24"/>
        </w:rPr>
        <w:t xml:space="preserve"> </w:t>
      </w:r>
      <w:r w:rsidR="00216E39" w:rsidRPr="00216E39">
        <w:rPr>
          <w:rFonts w:ascii="Tahoma" w:hAnsi="Tahoma" w:cs="Tahoma"/>
          <w:sz w:val="24"/>
          <w:szCs w:val="24"/>
        </w:rPr>
        <w:t>activității</w:t>
      </w:r>
      <w:r w:rsidRPr="00216E39">
        <w:rPr>
          <w:rFonts w:ascii="Tahoma" w:hAnsi="Tahoma" w:cs="Tahoma"/>
          <w:sz w:val="24"/>
          <w:szCs w:val="24"/>
        </w:rPr>
        <w:t xml:space="preserve"> în acest sector.</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Valoarea nominală a produsului intern brut realizată în semestrul I 2024 de 756,9 miliarde lei a rezultat în </w:t>
      </w:r>
      <w:r w:rsidR="00216E39" w:rsidRPr="00216E39">
        <w:rPr>
          <w:rFonts w:ascii="Tahoma" w:hAnsi="Tahoma" w:cs="Tahoma"/>
          <w:sz w:val="24"/>
          <w:szCs w:val="24"/>
        </w:rPr>
        <w:t>condițiile</w:t>
      </w:r>
      <w:r w:rsidRPr="00216E39">
        <w:rPr>
          <w:rFonts w:ascii="Tahoma" w:hAnsi="Tahoma" w:cs="Tahoma"/>
          <w:sz w:val="24"/>
          <w:szCs w:val="24"/>
        </w:rPr>
        <w:t xml:space="preserve"> unui deflator care s-a situat cu 9,0% peste nivelul din semestrul I al anul precedent şi a unei </w:t>
      </w:r>
      <w:r w:rsidR="00216E39" w:rsidRPr="00216E39">
        <w:rPr>
          <w:rFonts w:ascii="Tahoma" w:hAnsi="Tahoma" w:cs="Tahoma"/>
          <w:sz w:val="24"/>
          <w:szCs w:val="24"/>
        </w:rPr>
        <w:t>creșteri</w:t>
      </w:r>
      <w:r w:rsidRPr="00216E39">
        <w:rPr>
          <w:rFonts w:ascii="Tahoma" w:hAnsi="Tahoma" w:cs="Tahoma"/>
          <w:sz w:val="24"/>
          <w:szCs w:val="24"/>
        </w:rPr>
        <w:t xml:space="preserve">, în termeni reali, de 0,7%. În termeni nominali, produsul intern brut s-a majorat </w:t>
      </w:r>
      <w:r w:rsidR="00216E39" w:rsidRPr="00216E39">
        <w:rPr>
          <w:rFonts w:ascii="Tahoma" w:hAnsi="Tahoma" w:cs="Tahoma"/>
          <w:sz w:val="24"/>
          <w:szCs w:val="24"/>
        </w:rPr>
        <w:t>față</w:t>
      </w:r>
      <w:r w:rsidRPr="00216E39">
        <w:rPr>
          <w:rFonts w:ascii="Tahoma" w:hAnsi="Tahoma" w:cs="Tahoma"/>
          <w:sz w:val="24"/>
          <w:szCs w:val="24"/>
        </w:rPr>
        <w:t xml:space="preserve"> de semestrul I 2023 cu 9,8%.</w:t>
      </w:r>
    </w:p>
    <w:p w:rsidR="0000138F" w:rsidRPr="00216E39" w:rsidRDefault="0000138F" w:rsidP="0000138F">
      <w:pPr>
        <w:pStyle w:val="ListParagraph"/>
        <w:keepNext/>
        <w:widowControl w:val="0"/>
        <w:spacing w:after="120" w:line="276" w:lineRule="auto"/>
        <w:ind w:left="0" w:firstLine="0"/>
        <w:contextualSpacing w:val="0"/>
        <w:rPr>
          <w:rFonts w:ascii="Tahoma" w:hAnsi="Tahoma" w:cs="Tahoma"/>
          <w:sz w:val="24"/>
          <w:szCs w:val="24"/>
        </w:rPr>
      </w:pPr>
      <w:r w:rsidRPr="00216E39">
        <w:rPr>
          <w:rFonts w:ascii="Tahoma" w:hAnsi="Tahoma" w:cs="Tahoma"/>
          <w:b/>
          <w:sz w:val="24"/>
          <w:szCs w:val="24"/>
        </w:rPr>
        <w:t xml:space="preserve">Sectorul industrial </w:t>
      </w:r>
      <w:r w:rsidRPr="00216E39">
        <w:rPr>
          <w:rFonts w:ascii="Tahoma" w:hAnsi="Tahoma" w:cs="Tahoma"/>
          <w:sz w:val="24"/>
          <w:szCs w:val="24"/>
        </w:rPr>
        <w:t>a</w:t>
      </w:r>
      <w:r w:rsidRPr="00216E39">
        <w:rPr>
          <w:rFonts w:ascii="Tahoma" w:hAnsi="Tahoma" w:cs="Tahoma"/>
          <w:b/>
          <w:sz w:val="24"/>
          <w:szCs w:val="24"/>
        </w:rPr>
        <w:t xml:space="preserve"> </w:t>
      </w:r>
      <w:r w:rsidRPr="00216E39">
        <w:rPr>
          <w:rFonts w:ascii="Tahoma" w:hAnsi="Tahoma" w:cs="Tahoma"/>
          <w:sz w:val="24"/>
          <w:szCs w:val="24"/>
        </w:rPr>
        <w:t xml:space="preserve">înregistrat o reducere de activitate la nivelul primului semestru cu 2,1% comparativ cu semestrul I 2023, toate cele trei componente situându-se în palier negativ (-6,4% </w:t>
      </w:r>
      <w:r w:rsidR="00216E39" w:rsidRPr="00216E39">
        <w:rPr>
          <w:rFonts w:ascii="Tahoma" w:hAnsi="Tahoma" w:cs="Tahoma"/>
          <w:sz w:val="24"/>
          <w:szCs w:val="24"/>
        </w:rPr>
        <w:t>producția</w:t>
      </w:r>
      <w:r w:rsidRPr="00216E39">
        <w:rPr>
          <w:rFonts w:ascii="Tahoma" w:hAnsi="Tahoma" w:cs="Tahoma"/>
          <w:sz w:val="24"/>
          <w:szCs w:val="24"/>
        </w:rPr>
        <w:t xml:space="preserve"> şi furnizarea de energie, -1,5% industria prelucrătoare şi -1,2% industria extractivă), fapt ce denotă că procesul de recuperare este mai dificil pentru sectorul industrial în contextul manifestării actualelor crize economice. </w:t>
      </w:r>
      <w:r w:rsidR="00216E39" w:rsidRPr="00216E39">
        <w:rPr>
          <w:rFonts w:ascii="Tahoma" w:hAnsi="Tahoma" w:cs="Tahoma"/>
          <w:sz w:val="24"/>
          <w:szCs w:val="24"/>
        </w:rPr>
        <w:t>Menținerea</w:t>
      </w:r>
      <w:r w:rsidRPr="00216E39">
        <w:rPr>
          <w:rFonts w:ascii="Tahoma" w:hAnsi="Tahoma" w:cs="Tahoma"/>
          <w:sz w:val="24"/>
          <w:szCs w:val="24"/>
        </w:rPr>
        <w:t xml:space="preserve"> declinului din sectorul industrial a fost cauzată de o cerere externă redusă, perspectivele de redresare fiind rezervate şi dependente de </w:t>
      </w:r>
      <w:r w:rsidR="00216E39" w:rsidRPr="00216E39">
        <w:rPr>
          <w:rFonts w:ascii="Tahoma" w:hAnsi="Tahoma" w:cs="Tahoma"/>
          <w:sz w:val="24"/>
          <w:szCs w:val="24"/>
        </w:rPr>
        <w:t>evoluțiile</w:t>
      </w:r>
      <w:r w:rsidRPr="00216E39">
        <w:rPr>
          <w:rFonts w:ascii="Tahoma" w:hAnsi="Tahoma" w:cs="Tahoma"/>
          <w:sz w:val="24"/>
          <w:szCs w:val="24"/>
        </w:rPr>
        <w:t xml:space="preserve"> economice viitoare ale principalilor parteneri externi.</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t xml:space="preserve">Cele mai mari </w:t>
      </w:r>
      <w:r w:rsidR="00216E39" w:rsidRPr="00216E39">
        <w:rPr>
          <w:rFonts w:ascii="Tahoma" w:hAnsi="Tahoma" w:cs="Tahoma"/>
          <w:b/>
          <w:sz w:val="24"/>
          <w:szCs w:val="24"/>
        </w:rPr>
        <w:t>dificultăți</w:t>
      </w:r>
      <w:r w:rsidRPr="00216E39">
        <w:rPr>
          <w:rFonts w:ascii="Tahoma" w:hAnsi="Tahoma" w:cs="Tahoma"/>
          <w:sz w:val="24"/>
          <w:szCs w:val="24"/>
        </w:rPr>
        <w:t xml:space="preserve"> continuă să se manifeste în industria </w:t>
      </w:r>
      <w:r w:rsidR="00216E39" w:rsidRPr="00216E39">
        <w:rPr>
          <w:rFonts w:ascii="Tahoma" w:hAnsi="Tahoma" w:cs="Tahoma"/>
          <w:sz w:val="24"/>
          <w:szCs w:val="24"/>
        </w:rPr>
        <w:t>ușoară</w:t>
      </w:r>
      <w:r w:rsidRPr="00216E39">
        <w:rPr>
          <w:rFonts w:ascii="Tahoma" w:hAnsi="Tahoma" w:cs="Tahoma"/>
          <w:sz w:val="24"/>
          <w:szCs w:val="24"/>
        </w:rPr>
        <w:t xml:space="preserve"> care a continuat parcursul negativ din anul anterior, înregistrând în primele </w:t>
      </w:r>
      <w:r w:rsidR="00216E39" w:rsidRPr="00216E39">
        <w:rPr>
          <w:rFonts w:ascii="Tahoma" w:hAnsi="Tahoma" w:cs="Tahoma"/>
          <w:sz w:val="24"/>
          <w:szCs w:val="24"/>
        </w:rPr>
        <w:t>șase</w:t>
      </w:r>
      <w:r w:rsidRPr="00216E39">
        <w:rPr>
          <w:rFonts w:ascii="Tahoma" w:hAnsi="Tahoma" w:cs="Tahoma"/>
          <w:sz w:val="24"/>
          <w:szCs w:val="24"/>
        </w:rPr>
        <w:t xml:space="preserve"> luni diminuări ale </w:t>
      </w:r>
      <w:r w:rsidR="00216E39" w:rsidRPr="00216E39">
        <w:rPr>
          <w:rFonts w:ascii="Tahoma" w:hAnsi="Tahoma" w:cs="Tahoma"/>
          <w:sz w:val="24"/>
          <w:szCs w:val="24"/>
        </w:rPr>
        <w:t>activității</w:t>
      </w:r>
      <w:r w:rsidRPr="00216E39">
        <w:rPr>
          <w:rFonts w:ascii="Tahoma" w:hAnsi="Tahoma" w:cs="Tahoma"/>
          <w:sz w:val="24"/>
          <w:szCs w:val="24"/>
        </w:rPr>
        <w:t xml:space="preserve"> după cum urmează: tăbăcirea şi finisarea pieilor: -22,8%, fabricarea articolelor de îmbrăcăminte: -19,7%, fabricarea produselor textile: -12,1%. Ajustarea negativă a </w:t>
      </w:r>
      <w:r w:rsidR="00216E39" w:rsidRPr="00216E39">
        <w:rPr>
          <w:rFonts w:ascii="Tahoma" w:hAnsi="Tahoma" w:cs="Tahoma"/>
          <w:sz w:val="24"/>
          <w:szCs w:val="24"/>
        </w:rPr>
        <w:t>producției</w:t>
      </w:r>
      <w:r w:rsidRPr="00216E39">
        <w:rPr>
          <w:rFonts w:ascii="Tahoma" w:hAnsi="Tahoma" w:cs="Tahoma"/>
          <w:sz w:val="24"/>
          <w:szCs w:val="24"/>
        </w:rPr>
        <w:t xml:space="preserve"> cu dinamici de două cifre pentru al doilea an consecutiv indică probleme structurale de pierdere a </w:t>
      </w:r>
      <w:r w:rsidR="00216E39" w:rsidRPr="00216E39">
        <w:rPr>
          <w:rFonts w:ascii="Tahoma" w:hAnsi="Tahoma" w:cs="Tahoma"/>
          <w:sz w:val="24"/>
          <w:szCs w:val="24"/>
        </w:rPr>
        <w:t>competitivității</w:t>
      </w:r>
      <w:r w:rsidRPr="00216E39">
        <w:rPr>
          <w:rFonts w:ascii="Tahoma" w:hAnsi="Tahoma" w:cs="Tahoma"/>
          <w:sz w:val="24"/>
          <w:szCs w:val="24"/>
        </w:rPr>
        <w:t xml:space="preserve"> generate în special de </w:t>
      </w:r>
      <w:r w:rsidR="00216E39" w:rsidRPr="00216E39">
        <w:rPr>
          <w:rFonts w:ascii="Tahoma" w:hAnsi="Tahoma" w:cs="Tahoma"/>
          <w:sz w:val="24"/>
          <w:szCs w:val="24"/>
        </w:rPr>
        <w:t>creșterile</w:t>
      </w:r>
      <w:r w:rsidRPr="00216E39">
        <w:rPr>
          <w:rFonts w:ascii="Tahoma" w:hAnsi="Tahoma" w:cs="Tahoma"/>
          <w:sz w:val="24"/>
          <w:szCs w:val="24"/>
        </w:rPr>
        <w:t xml:space="preserve"> costurilor cu </w:t>
      </w:r>
      <w:r w:rsidR="00216E39" w:rsidRPr="00216E39">
        <w:rPr>
          <w:rFonts w:ascii="Tahoma" w:hAnsi="Tahoma" w:cs="Tahoma"/>
          <w:sz w:val="24"/>
          <w:szCs w:val="24"/>
        </w:rPr>
        <w:t>forța</w:t>
      </w:r>
      <w:r w:rsidRPr="00216E39">
        <w:rPr>
          <w:rFonts w:ascii="Tahoma" w:hAnsi="Tahoma" w:cs="Tahoma"/>
          <w:sz w:val="24"/>
          <w:szCs w:val="24"/>
        </w:rPr>
        <w:t xml:space="preserve"> de muncă. </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În cazul </w:t>
      </w:r>
      <w:r w:rsidR="00216E39" w:rsidRPr="00216E39">
        <w:rPr>
          <w:rFonts w:ascii="Tahoma" w:hAnsi="Tahoma" w:cs="Tahoma"/>
          <w:sz w:val="24"/>
          <w:szCs w:val="24"/>
        </w:rPr>
        <w:t>producției</w:t>
      </w:r>
      <w:r w:rsidRPr="00216E39">
        <w:rPr>
          <w:rFonts w:ascii="Tahoma" w:hAnsi="Tahoma" w:cs="Tahoma"/>
          <w:sz w:val="24"/>
          <w:szCs w:val="24"/>
        </w:rPr>
        <w:t xml:space="preserve"> şi furnizării de energie electrică şi termică scăderea în primele </w:t>
      </w:r>
      <w:r w:rsidR="00216E39" w:rsidRPr="00216E39">
        <w:rPr>
          <w:rFonts w:ascii="Tahoma" w:hAnsi="Tahoma" w:cs="Tahoma"/>
          <w:sz w:val="24"/>
          <w:szCs w:val="24"/>
        </w:rPr>
        <w:t>șase</w:t>
      </w:r>
      <w:r w:rsidRPr="00216E39">
        <w:rPr>
          <w:rFonts w:ascii="Tahoma" w:hAnsi="Tahoma" w:cs="Tahoma"/>
          <w:sz w:val="24"/>
          <w:szCs w:val="24"/>
        </w:rPr>
        <w:t xml:space="preserve"> luni din 2024 a fost de 6,4%, în timp ce consumul de energie electrică al </w:t>
      </w:r>
      <w:r w:rsidR="00216E39" w:rsidRPr="00216E39">
        <w:rPr>
          <w:rFonts w:ascii="Tahoma" w:hAnsi="Tahoma" w:cs="Tahoma"/>
          <w:sz w:val="24"/>
          <w:szCs w:val="24"/>
        </w:rPr>
        <w:t>populației</w:t>
      </w:r>
      <w:r w:rsidRPr="00216E39">
        <w:rPr>
          <w:rFonts w:ascii="Tahoma" w:hAnsi="Tahoma" w:cs="Tahoma"/>
          <w:sz w:val="24"/>
          <w:szCs w:val="24"/>
        </w:rPr>
        <w:t xml:space="preserve"> a accelerat </w:t>
      </w:r>
      <w:r w:rsidR="00216E39" w:rsidRPr="00216E39">
        <w:rPr>
          <w:rFonts w:ascii="Tahoma" w:hAnsi="Tahoma" w:cs="Tahoma"/>
          <w:sz w:val="24"/>
          <w:szCs w:val="24"/>
        </w:rPr>
        <w:t>ușor</w:t>
      </w:r>
      <w:r w:rsidRPr="00216E39">
        <w:rPr>
          <w:rFonts w:ascii="Tahoma" w:hAnsi="Tahoma" w:cs="Tahoma"/>
          <w:sz w:val="24"/>
          <w:szCs w:val="24"/>
        </w:rPr>
        <w:t xml:space="preserve"> cu 0,7%, iar cel din economie cu 0,8%. </w:t>
      </w:r>
      <w:r w:rsidR="00216E39" w:rsidRPr="00216E39">
        <w:rPr>
          <w:rFonts w:ascii="Tahoma" w:hAnsi="Tahoma" w:cs="Tahoma"/>
          <w:sz w:val="24"/>
          <w:szCs w:val="24"/>
        </w:rPr>
        <w:t>Contracția</w:t>
      </w:r>
      <w:r w:rsidRPr="00216E39">
        <w:rPr>
          <w:rFonts w:ascii="Tahoma" w:hAnsi="Tahoma" w:cs="Tahoma"/>
          <w:sz w:val="24"/>
          <w:szCs w:val="24"/>
        </w:rPr>
        <w:t xml:space="preserve"> s-a datorat unei </w:t>
      </w:r>
      <w:r w:rsidR="00216E39" w:rsidRPr="00216E39">
        <w:rPr>
          <w:rFonts w:ascii="Tahoma" w:hAnsi="Tahoma" w:cs="Tahoma"/>
          <w:sz w:val="24"/>
          <w:szCs w:val="24"/>
        </w:rPr>
        <w:t>producții</w:t>
      </w:r>
      <w:r w:rsidRPr="00216E39">
        <w:rPr>
          <w:rFonts w:ascii="Tahoma" w:hAnsi="Tahoma" w:cs="Tahoma"/>
          <w:sz w:val="24"/>
          <w:szCs w:val="24"/>
        </w:rPr>
        <w:t xml:space="preserve"> în scădere din partea componentei hidro şi eoliană, în </w:t>
      </w:r>
      <w:r w:rsidR="00216E39" w:rsidRPr="00216E39">
        <w:rPr>
          <w:rFonts w:ascii="Tahoma" w:hAnsi="Tahoma" w:cs="Tahoma"/>
          <w:sz w:val="24"/>
          <w:szCs w:val="24"/>
        </w:rPr>
        <w:t>condiții</w:t>
      </w:r>
      <w:r w:rsidRPr="00216E39">
        <w:rPr>
          <w:rFonts w:ascii="Tahoma" w:hAnsi="Tahoma" w:cs="Tahoma"/>
          <w:sz w:val="24"/>
          <w:szCs w:val="24"/>
        </w:rPr>
        <w:t xml:space="preserve"> climaterice nefavorabile. Un declin important s-a înregistrat şi în industria auto (-6,7% în semestrul I), </w:t>
      </w:r>
      <w:r w:rsidR="00216E39" w:rsidRPr="00216E39">
        <w:rPr>
          <w:rFonts w:ascii="Tahoma" w:hAnsi="Tahoma" w:cs="Tahoma"/>
          <w:sz w:val="24"/>
          <w:szCs w:val="24"/>
        </w:rPr>
        <w:t>dinamicele</w:t>
      </w:r>
      <w:r w:rsidRPr="00216E39">
        <w:rPr>
          <w:rFonts w:ascii="Tahoma" w:hAnsi="Tahoma" w:cs="Tahoma"/>
          <w:sz w:val="24"/>
          <w:szCs w:val="24"/>
        </w:rPr>
        <w:t xml:space="preserve"> anuale înregistrând o volatilitate ridicată. Scăderi de activitate s-au manifestat în special pe partea de componente auto, induse de o </w:t>
      </w:r>
      <w:r w:rsidR="00216E39" w:rsidRPr="00216E39">
        <w:rPr>
          <w:rFonts w:ascii="Tahoma" w:hAnsi="Tahoma" w:cs="Tahoma"/>
          <w:sz w:val="24"/>
          <w:szCs w:val="24"/>
        </w:rPr>
        <w:t>piață</w:t>
      </w:r>
      <w:r w:rsidRPr="00216E39">
        <w:rPr>
          <w:rFonts w:ascii="Tahoma" w:hAnsi="Tahoma" w:cs="Tahoma"/>
          <w:sz w:val="24"/>
          <w:szCs w:val="24"/>
        </w:rPr>
        <w:t xml:space="preserve"> europeană în restructurare şi o cerere mai redusă pentru vehiculele electrice. </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Rezultate nefavorabile s-au înregistrat şi pentru prelucrarea</w:t>
      </w:r>
      <w:r w:rsidRPr="00216E39">
        <w:rPr>
          <w:rFonts w:ascii="Tahoma" w:hAnsi="Tahoma" w:cs="Tahoma"/>
          <w:b/>
          <w:sz w:val="24"/>
          <w:szCs w:val="24"/>
        </w:rPr>
        <w:t xml:space="preserve"> </w:t>
      </w:r>
      <w:r w:rsidR="00216E39" w:rsidRPr="00216E39">
        <w:rPr>
          <w:rFonts w:ascii="Tahoma" w:hAnsi="Tahoma" w:cs="Tahoma"/>
          <w:sz w:val="24"/>
          <w:szCs w:val="24"/>
        </w:rPr>
        <w:t>țițeiului</w:t>
      </w:r>
      <w:r w:rsidRPr="00216E39">
        <w:rPr>
          <w:rFonts w:ascii="Tahoma" w:hAnsi="Tahoma" w:cs="Tahoma"/>
          <w:sz w:val="24"/>
          <w:szCs w:val="24"/>
        </w:rPr>
        <w:t xml:space="preserve">, unde se constată o continuare a </w:t>
      </w:r>
      <w:r w:rsidR="00216E39" w:rsidRPr="00216E39">
        <w:rPr>
          <w:rFonts w:ascii="Tahoma" w:hAnsi="Tahoma" w:cs="Tahoma"/>
          <w:sz w:val="24"/>
          <w:szCs w:val="24"/>
        </w:rPr>
        <w:t>contracției</w:t>
      </w:r>
      <w:r w:rsidRPr="00216E39">
        <w:rPr>
          <w:rFonts w:ascii="Tahoma" w:hAnsi="Tahoma" w:cs="Tahoma"/>
          <w:sz w:val="24"/>
          <w:szCs w:val="24"/>
        </w:rPr>
        <w:t xml:space="preserve"> înregistrată în anul anterior, activitatea reducându-se în primele 6 luni cu 5,4%, ceea ce a condus la o diminuare a importurilor de </w:t>
      </w:r>
      <w:r w:rsidR="00216E39" w:rsidRPr="00216E39">
        <w:rPr>
          <w:rFonts w:ascii="Tahoma" w:hAnsi="Tahoma" w:cs="Tahoma"/>
          <w:sz w:val="24"/>
          <w:szCs w:val="24"/>
        </w:rPr>
        <w:t>țiței</w:t>
      </w:r>
      <w:r w:rsidRPr="00216E39">
        <w:rPr>
          <w:rFonts w:ascii="Tahoma" w:hAnsi="Tahoma" w:cs="Tahoma"/>
          <w:sz w:val="24"/>
          <w:szCs w:val="24"/>
        </w:rPr>
        <w:t xml:space="preserve"> cu 17,3%, ca urmare a unui calendar de revizii la nivelul rafinăriilor. Acest sector rămâne în continuare vulnerabil la perturbările </w:t>
      </w:r>
      <w:r w:rsidR="00216E39" w:rsidRPr="00216E39">
        <w:rPr>
          <w:rFonts w:ascii="Tahoma" w:hAnsi="Tahoma" w:cs="Tahoma"/>
          <w:sz w:val="24"/>
          <w:szCs w:val="24"/>
        </w:rPr>
        <w:t>lanțurilor</w:t>
      </w:r>
      <w:r w:rsidRPr="00216E39">
        <w:rPr>
          <w:rFonts w:ascii="Tahoma" w:hAnsi="Tahoma" w:cs="Tahoma"/>
          <w:sz w:val="24"/>
          <w:szCs w:val="24"/>
        </w:rPr>
        <w:t xml:space="preserve"> de aprovizionare, în contextul amplificării conflictului din Orientul Mijlociu şi al </w:t>
      </w:r>
      <w:r w:rsidR="00216E39" w:rsidRPr="00216E39">
        <w:rPr>
          <w:rFonts w:ascii="Tahoma" w:hAnsi="Tahoma" w:cs="Tahoma"/>
          <w:sz w:val="24"/>
          <w:szCs w:val="24"/>
        </w:rPr>
        <w:t>volatilității</w:t>
      </w:r>
      <w:r w:rsidRPr="00216E39">
        <w:rPr>
          <w:rFonts w:ascii="Tahoma" w:hAnsi="Tahoma" w:cs="Tahoma"/>
          <w:sz w:val="24"/>
          <w:szCs w:val="24"/>
        </w:rPr>
        <w:t xml:space="preserve"> </w:t>
      </w:r>
      <w:r w:rsidR="00216E39" w:rsidRPr="00216E39">
        <w:rPr>
          <w:rFonts w:ascii="Tahoma" w:hAnsi="Tahoma" w:cs="Tahoma"/>
          <w:sz w:val="24"/>
          <w:szCs w:val="24"/>
        </w:rPr>
        <w:t>cotațiilor</w:t>
      </w:r>
      <w:r w:rsidRPr="00216E39">
        <w:rPr>
          <w:rFonts w:ascii="Tahoma" w:hAnsi="Tahoma" w:cs="Tahoma"/>
          <w:sz w:val="24"/>
          <w:szCs w:val="24"/>
        </w:rPr>
        <w:t xml:space="preserve"> </w:t>
      </w:r>
      <w:r w:rsidR="00216E39" w:rsidRPr="00216E39">
        <w:rPr>
          <w:rFonts w:ascii="Tahoma" w:hAnsi="Tahoma" w:cs="Tahoma"/>
          <w:sz w:val="24"/>
          <w:szCs w:val="24"/>
        </w:rPr>
        <w:t>internaționale</w:t>
      </w:r>
      <w:r w:rsidRPr="00216E39">
        <w:rPr>
          <w:rFonts w:ascii="Tahoma" w:hAnsi="Tahoma" w:cs="Tahoma"/>
          <w:sz w:val="24"/>
          <w:szCs w:val="24"/>
        </w:rPr>
        <w:t>.</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Printre </w:t>
      </w:r>
      <w:r w:rsidRPr="00216E39">
        <w:rPr>
          <w:rFonts w:ascii="Tahoma" w:hAnsi="Tahoma" w:cs="Tahoma"/>
          <w:b/>
          <w:sz w:val="24"/>
          <w:szCs w:val="24"/>
        </w:rPr>
        <w:t>ramurile care au performat</w:t>
      </w:r>
      <w:r w:rsidRPr="00216E39">
        <w:rPr>
          <w:rFonts w:ascii="Tahoma" w:hAnsi="Tahoma" w:cs="Tahoma"/>
          <w:sz w:val="24"/>
          <w:szCs w:val="24"/>
        </w:rPr>
        <w:t xml:space="preserve"> se regăsesc industria alimentară, unde activitatea a accelerat cu 7,4% în primele 6 luni ale anului şi ramura chimiei, care a </w:t>
      </w:r>
      <w:r w:rsidRPr="00216E39">
        <w:rPr>
          <w:rFonts w:ascii="Tahoma" w:hAnsi="Tahoma" w:cs="Tahoma"/>
          <w:sz w:val="24"/>
          <w:szCs w:val="24"/>
        </w:rPr>
        <w:lastRenderedPageBreak/>
        <w:t xml:space="preserve">început anul 2024 într-o manieră pozitivă cu o majorare semestrială a </w:t>
      </w:r>
      <w:r w:rsidR="00216E39" w:rsidRPr="00216E39">
        <w:rPr>
          <w:rFonts w:ascii="Tahoma" w:hAnsi="Tahoma" w:cs="Tahoma"/>
          <w:sz w:val="24"/>
          <w:szCs w:val="24"/>
        </w:rPr>
        <w:t>producției</w:t>
      </w:r>
      <w:r w:rsidRPr="00216E39">
        <w:rPr>
          <w:rFonts w:ascii="Tahoma" w:hAnsi="Tahoma" w:cs="Tahoma"/>
          <w:sz w:val="24"/>
          <w:szCs w:val="24"/>
        </w:rPr>
        <w:t xml:space="preserve"> de 15,0%. În cazul industriei chimice rezultatele pozitive ale ramurii au început să apară încă din a doua parte a anului 2023, în special pe seama reluării </w:t>
      </w:r>
      <w:r w:rsidR="00216E39" w:rsidRPr="00216E39">
        <w:rPr>
          <w:rFonts w:ascii="Tahoma" w:hAnsi="Tahoma" w:cs="Tahoma"/>
          <w:sz w:val="24"/>
          <w:szCs w:val="24"/>
        </w:rPr>
        <w:t>producției</w:t>
      </w:r>
      <w:r w:rsidRPr="00216E39">
        <w:rPr>
          <w:rFonts w:ascii="Tahoma" w:hAnsi="Tahoma" w:cs="Tahoma"/>
          <w:sz w:val="24"/>
          <w:szCs w:val="24"/>
        </w:rPr>
        <w:t xml:space="preserve"> de </w:t>
      </w:r>
      <w:r w:rsidR="00216E39" w:rsidRPr="00216E39">
        <w:rPr>
          <w:rFonts w:ascii="Tahoma" w:hAnsi="Tahoma" w:cs="Tahoma"/>
          <w:sz w:val="24"/>
          <w:szCs w:val="24"/>
        </w:rPr>
        <w:t>îngrășăminte</w:t>
      </w:r>
      <w:r w:rsidRPr="00216E39">
        <w:rPr>
          <w:rFonts w:ascii="Tahoma" w:hAnsi="Tahoma" w:cs="Tahoma"/>
          <w:sz w:val="24"/>
          <w:szCs w:val="24"/>
        </w:rPr>
        <w:t xml:space="preserve"> la Azomureş. Efectele nefavorabile ale </w:t>
      </w:r>
      <w:r w:rsidR="00216E39" w:rsidRPr="00216E39">
        <w:rPr>
          <w:rFonts w:ascii="Tahoma" w:hAnsi="Tahoma" w:cs="Tahoma"/>
          <w:sz w:val="24"/>
          <w:szCs w:val="24"/>
        </w:rPr>
        <w:t>creșterii</w:t>
      </w:r>
      <w:r w:rsidRPr="00216E39">
        <w:rPr>
          <w:rFonts w:ascii="Tahoma" w:hAnsi="Tahoma" w:cs="Tahoma"/>
          <w:sz w:val="24"/>
          <w:szCs w:val="24"/>
        </w:rPr>
        <w:t xml:space="preserve"> </w:t>
      </w:r>
      <w:r w:rsidR="00216E39" w:rsidRPr="00216E39">
        <w:rPr>
          <w:rFonts w:ascii="Tahoma" w:hAnsi="Tahoma" w:cs="Tahoma"/>
          <w:sz w:val="24"/>
          <w:szCs w:val="24"/>
        </w:rPr>
        <w:t>prețurilor</w:t>
      </w:r>
      <w:r w:rsidRPr="00216E39">
        <w:rPr>
          <w:rFonts w:ascii="Tahoma" w:hAnsi="Tahoma" w:cs="Tahoma"/>
          <w:sz w:val="24"/>
          <w:szCs w:val="24"/>
        </w:rPr>
        <w:t xml:space="preserve"> la energie electrică şi gaze naturale au afectat sectorul metalurgic</w:t>
      </w:r>
      <w:r w:rsidRPr="00216E39">
        <w:rPr>
          <w:rFonts w:ascii="Tahoma" w:hAnsi="Tahoma" w:cs="Tahoma"/>
          <w:b/>
          <w:sz w:val="24"/>
          <w:szCs w:val="24"/>
        </w:rPr>
        <w:t xml:space="preserve"> </w:t>
      </w:r>
      <w:r w:rsidRPr="00216E39">
        <w:rPr>
          <w:rFonts w:ascii="Tahoma" w:hAnsi="Tahoma" w:cs="Tahoma"/>
          <w:sz w:val="24"/>
          <w:szCs w:val="24"/>
        </w:rPr>
        <w:t xml:space="preserve">în 2023, dar în prima parte a anului curent a înregistrat un reviriment, rezultând o majorare a </w:t>
      </w:r>
      <w:r w:rsidR="00216E39" w:rsidRPr="00216E39">
        <w:rPr>
          <w:rFonts w:ascii="Tahoma" w:hAnsi="Tahoma" w:cs="Tahoma"/>
          <w:sz w:val="24"/>
          <w:szCs w:val="24"/>
        </w:rPr>
        <w:t>producției</w:t>
      </w:r>
      <w:r w:rsidRPr="00216E39">
        <w:rPr>
          <w:rFonts w:ascii="Tahoma" w:hAnsi="Tahoma" w:cs="Tahoma"/>
          <w:sz w:val="24"/>
          <w:szCs w:val="24"/>
        </w:rPr>
        <w:t xml:space="preserve"> cu 4,5%. În cadrul industriei prelucrătoare, se mai pot </w:t>
      </w:r>
      <w:r w:rsidR="00216E39" w:rsidRPr="00216E39">
        <w:rPr>
          <w:rFonts w:ascii="Tahoma" w:hAnsi="Tahoma" w:cs="Tahoma"/>
          <w:sz w:val="24"/>
          <w:szCs w:val="24"/>
        </w:rPr>
        <w:t>menționa</w:t>
      </w:r>
      <w:r w:rsidRPr="00216E39">
        <w:rPr>
          <w:rFonts w:ascii="Tahoma" w:hAnsi="Tahoma" w:cs="Tahoma"/>
          <w:sz w:val="24"/>
          <w:szCs w:val="24"/>
        </w:rPr>
        <w:t xml:space="preserve"> ramuri cu rezultate pozitive precum prelucrarea lemnului (16,0%) sau fabricarea altor mijloace de transport (11,6%), cu </w:t>
      </w:r>
      <w:r w:rsidR="00216E39" w:rsidRPr="00216E39">
        <w:rPr>
          <w:rFonts w:ascii="Tahoma" w:hAnsi="Tahoma" w:cs="Tahoma"/>
          <w:sz w:val="24"/>
          <w:szCs w:val="24"/>
        </w:rPr>
        <w:t>creșteri</w:t>
      </w:r>
      <w:r w:rsidRPr="00216E39">
        <w:rPr>
          <w:rFonts w:ascii="Tahoma" w:hAnsi="Tahoma" w:cs="Tahoma"/>
          <w:sz w:val="24"/>
          <w:szCs w:val="24"/>
        </w:rPr>
        <w:t xml:space="preserve"> de două cifre ale volumului de </w:t>
      </w:r>
      <w:r w:rsidR="00216E39" w:rsidRPr="00216E39">
        <w:rPr>
          <w:rFonts w:ascii="Tahoma" w:hAnsi="Tahoma" w:cs="Tahoma"/>
          <w:sz w:val="24"/>
          <w:szCs w:val="24"/>
        </w:rPr>
        <w:t>producție</w:t>
      </w:r>
      <w:r w:rsidRPr="00216E39">
        <w:rPr>
          <w:rFonts w:ascii="Tahoma" w:hAnsi="Tahoma" w:cs="Tahoma"/>
          <w:sz w:val="24"/>
          <w:szCs w:val="24"/>
        </w:rPr>
        <w:t xml:space="preserve"> în această perioadă.</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În primul semestru din 2024 </w:t>
      </w:r>
      <w:r w:rsidRPr="00216E39">
        <w:rPr>
          <w:rFonts w:ascii="Tahoma" w:hAnsi="Tahoma" w:cs="Tahoma"/>
          <w:b/>
          <w:sz w:val="24"/>
          <w:szCs w:val="24"/>
        </w:rPr>
        <w:t>investițiile nete</w:t>
      </w:r>
      <w:r w:rsidRPr="00216E39">
        <w:rPr>
          <w:rFonts w:ascii="Tahoma" w:hAnsi="Tahoma" w:cs="Tahoma"/>
          <w:sz w:val="24"/>
          <w:szCs w:val="24"/>
        </w:rPr>
        <w:t xml:space="preserve"> au crescut în termeni reali cu 5,6% comparativ cu perioada corespunzătoare din 2023, fiind susținute de alte cheltuieli de </w:t>
      </w:r>
      <w:r w:rsidR="00216E39" w:rsidRPr="00216E39">
        <w:rPr>
          <w:rFonts w:ascii="Tahoma" w:hAnsi="Tahoma" w:cs="Tahoma"/>
          <w:sz w:val="24"/>
          <w:szCs w:val="24"/>
        </w:rPr>
        <w:t>investiții</w:t>
      </w:r>
      <w:r w:rsidRPr="00216E39">
        <w:rPr>
          <w:rFonts w:ascii="Tahoma" w:hAnsi="Tahoma" w:cs="Tahoma"/>
          <w:sz w:val="24"/>
          <w:szCs w:val="24"/>
        </w:rPr>
        <w:t xml:space="preserve"> (cheltuieli pentru lucrări geologice şi de foraj, </w:t>
      </w:r>
      <w:r w:rsidR="00216E39" w:rsidRPr="00216E39">
        <w:rPr>
          <w:rFonts w:ascii="Tahoma" w:hAnsi="Tahoma" w:cs="Tahoma"/>
          <w:sz w:val="24"/>
          <w:szCs w:val="24"/>
        </w:rPr>
        <w:t>plantații</w:t>
      </w:r>
      <w:r w:rsidRPr="00216E39">
        <w:rPr>
          <w:rFonts w:ascii="Tahoma" w:hAnsi="Tahoma" w:cs="Tahoma"/>
          <w:sz w:val="24"/>
          <w:szCs w:val="24"/>
        </w:rPr>
        <w:t xml:space="preserve"> de </w:t>
      </w:r>
      <w:r w:rsidR="00216E39" w:rsidRPr="00216E39">
        <w:rPr>
          <w:rFonts w:ascii="Tahoma" w:hAnsi="Tahoma" w:cs="Tahoma"/>
          <w:sz w:val="24"/>
          <w:szCs w:val="24"/>
        </w:rPr>
        <w:t>viță</w:t>
      </w:r>
      <w:r w:rsidRPr="00216E39">
        <w:rPr>
          <w:rFonts w:ascii="Tahoma" w:hAnsi="Tahoma" w:cs="Tahoma"/>
          <w:sz w:val="24"/>
          <w:szCs w:val="24"/>
        </w:rPr>
        <w:t xml:space="preserve"> de vie, pomi, împăduriri, cheltuieli pentru studiile de cercetare şi proiectare legate de obiectivele de </w:t>
      </w:r>
      <w:r w:rsidR="00216E39" w:rsidRPr="00216E39">
        <w:rPr>
          <w:rFonts w:ascii="Tahoma" w:hAnsi="Tahoma" w:cs="Tahoma"/>
          <w:sz w:val="24"/>
          <w:szCs w:val="24"/>
        </w:rPr>
        <w:t>investiții</w:t>
      </w:r>
      <w:r w:rsidRPr="00216E39">
        <w:rPr>
          <w:rFonts w:ascii="Tahoma" w:hAnsi="Tahoma" w:cs="Tahoma"/>
          <w:sz w:val="24"/>
          <w:szCs w:val="24"/>
        </w:rPr>
        <w:t xml:space="preserve"> </w:t>
      </w:r>
      <w:r w:rsidR="00216E39" w:rsidRPr="00216E39">
        <w:rPr>
          <w:rFonts w:ascii="Tahoma" w:hAnsi="Tahoma" w:cs="Tahoma"/>
          <w:sz w:val="24"/>
          <w:szCs w:val="24"/>
        </w:rPr>
        <w:t>și</w:t>
      </w:r>
      <w:r w:rsidRPr="00216E39">
        <w:rPr>
          <w:rFonts w:ascii="Tahoma" w:hAnsi="Tahoma" w:cs="Tahoma"/>
          <w:sz w:val="24"/>
          <w:szCs w:val="24"/>
        </w:rPr>
        <w:t xml:space="preserve"> pentru serviciile aferente transferului de proprietate, etc.) cu o majorare de 71,4%. Investițiile nete în celelalte componente s-au redus cu 2,5% în cazul lucrărilor de </w:t>
      </w:r>
      <w:r w:rsidR="00216E39" w:rsidRPr="00216E39">
        <w:rPr>
          <w:rFonts w:ascii="Tahoma" w:hAnsi="Tahoma" w:cs="Tahoma"/>
          <w:sz w:val="24"/>
          <w:szCs w:val="24"/>
        </w:rPr>
        <w:t>construcții</w:t>
      </w:r>
      <w:r w:rsidRPr="00216E39">
        <w:rPr>
          <w:rFonts w:ascii="Tahoma" w:hAnsi="Tahoma" w:cs="Tahoma"/>
          <w:sz w:val="24"/>
          <w:szCs w:val="24"/>
        </w:rPr>
        <w:t xml:space="preserve"> noi , dar s-au majorat cu 5,5% în cazul utilajelor şi a echipamentelor pentru transport. </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După performanța notabilă din 2023, cu creșteri de două cifre în </w:t>
      </w:r>
      <w:r w:rsidRPr="00216E39">
        <w:rPr>
          <w:rFonts w:ascii="Tahoma" w:hAnsi="Tahoma" w:cs="Tahoma"/>
          <w:b/>
          <w:sz w:val="24"/>
          <w:szCs w:val="24"/>
        </w:rPr>
        <w:t>volumul lucrărilor de construcții</w:t>
      </w:r>
      <w:r w:rsidRPr="00216E39">
        <w:rPr>
          <w:rFonts w:ascii="Tahoma" w:hAnsi="Tahoma" w:cs="Tahoma"/>
          <w:sz w:val="24"/>
          <w:szCs w:val="24"/>
        </w:rPr>
        <w:t xml:space="preserve">, activitatea din sector s-a contractat cu 2,5% în primele șase luni ale anului curent comparativ cu aceeași perioadă din 2023. Totuși, </w:t>
      </w:r>
      <w:r w:rsidRPr="00216E39">
        <w:rPr>
          <w:rFonts w:ascii="Tahoma" w:hAnsi="Tahoma" w:cs="Tahoma"/>
          <w:b/>
          <w:sz w:val="24"/>
          <w:szCs w:val="24"/>
        </w:rPr>
        <w:t>a avut loc o revigorare în al doilea trimestru, dinamica devenind pozitivă</w:t>
      </w:r>
      <w:r w:rsidRPr="00216E39">
        <w:rPr>
          <w:rFonts w:ascii="Tahoma" w:hAnsi="Tahoma" w:cs="Tahoma"/>
          <w:sz w:val="24"/>
          <w:szCs w:val="24"/>
        </w:rPr>
        <w:t xml:space="preserve"> (+0,6%), în contrast cu scăderea de 7,0% din primul trimestru, </w:t>
      </w:r>
      <w:r w:rsidR="00216E39" w:rsidRPr="00216E39">
        <w:rPr>
          <w:rFonts w:ascii="Tahoma" w:hAnsi="Tahoma" w:cs="Tahoma"/>
          <w:sz w:val="24"/>
          <w:szCs w:val="24"/>
        </w:rPr>
        <w:t>tendință</w:t>
      </w:r>
      <w:r w:rsidRPr="00216E39">
        <w:rPr>
          <w:rFonts w:ascii="Tahoma" w:hAnsi="Tahoma" w:cs="Tahoma"/>
          <w:sz w:val="24"/>
          <w:szCs w:val="24"/>
        </w:rPr>
        <w:t xml:space="preserve"> pozitivă </w:t>
      </w:r>
      <w:r w:rsidR="00216E39" w:rsidRPr="00216E39">
        <w:rPr>
          <w:rFonts w:ascii="Tahoma" w:hAnsi="Tahoma" w:cs="Tahoma"/>
          <w:sz w:val="24"/>
          <w:szCs w:val="24"/>
        </w:rPr>
        <w:t>așteptată</w:t>
      </w:r>
      <w:r w:rsidRPr="00216E39">
        <w:rPr>
          <w:rFonts w:ascii="Tahoma" w:hAnsi="Tahoma" w:cs="Tahoma"/>
          <w:sz w:val="24"/>
          <w:szCs w:val="24"/>
        </w:rPr>
        <w:t xml:space="preserve"> a se accentua pe parcursul următoarelor două trimestre. Rezultatele mai modeste au fost determinate de un început de an cu o </w:t>
      </w:r>
      <w:r w:rsidR="00216E39" w:rsidRPr="00216E39">
        <w:rPr>
          <w:rFonts w:ascii="Tahoma" w:hAnsi="Tahoma" w:cs="Tahoma"/>
          <w:sz w:val="24"/>
          <w:szCs w:val="24"/>
        </w:rPr>
        <w:t>contracție</w:t>
      </w:r>
      <w:r w:rsidRPr="00216E39">
        <w:rPr>
          <w:rFonts w:ascii="Tahoma" w:hAnsi="Tahoma" w:cs="Tahoma"/>
          <w:sz w:val="24"/>
          <w:szCs w:val="24"/>
        </w:rPr>
        <w:t xml:space="preserve"> mai accentuată, localizată primordial la nivelul clădirilor </w:t>
      </w:r>
      <w:r w:rsidR="00216E39" w:rsidRPr="00216E39">
        <w:rPr>
          <w:rFonts w:ascii="Tahoma" w:hAnsi="Tahoma" w:cs="Tahoma"/>
          <w:sz w:val="24"/>
          <w:szCs w:val="24"/>
        </w:rPr>
        <w:t>rezidențiale</w:t>
      </w:r>
      <w:r w:rsidRPr="00216E39">
        <w:rPr>
          <w:rFonts w:ascii="Tahoma" w:hAnsi="Tahoma" w:cs="Tahoma"/>
          <w:sz w:val="24"/>
          <w:szCs w:val="24"/>
        </w:rPr>
        <w:t xml:space="preserve">, urmată apoi de reveniri succesive. Analiza pe obiecte de </w:t>
      </w:r>
      <w:r w:rsidR="00216E39" w:rsidRPr="00216E39">
        <w:rPr>
          <w:rFonts w:ascii="Tahoma" w:hAnsi="Tahoma" w:cs="Tahoma"/>
          <w:sz w:val="24"/>
          <w:szCs w:val="24"/>
        </w:rPr>
        <w:t>construcții</w:t>
      </w:r>
      <w:r w:rsidRPr="00216E39">
        <w:rPr>
          <w:rFonts w:ascii="Tahoma" w:hAnsi="Tahoma" w:cs="Tahoma"/>
          <w:sz w:val="24"/>
          <w:szCs w:val="24"/>
        </w:rPr>
        <w:t xml:space="preserve"> relevă o activitate </w:t>
      </w:r>
      <w:r w:rsidR="00216E39" w:rsidRPr="00216E39">
        <w:rPr>
          <w:rFonts w:ascii="Tahoma" w:hAnsi="Tahoma" w:cs="Tahoma"/>
          <w:sz w:val="24"/>
          <w:szCs w:val="24"/>
        </w:rPr>
        <w:t>susținută</w:t>
      </w:r>
      <w:r w:rsidRPr="00216E39">
        <w:rPr>
          <w:rFonts w:ascii="Tahoma" w:hAnsi="Tahoma" w:cs="Tahoma"/>
          <w:sz w:val="24"/>
          <w:szCs w:val="24"/>
        </w:rPr>
        <w:t xml:space="preserve"> în cazul </w:t>
      </w:r>
      <w:r w:rsidR="00216E39" w:rsidRPr="00216E39">
        <w:rPr>
          <w:rFonts w:ascii="Tahoma" w:hAnsi="Tahoma" w:cs="Tahoma"/>
          <w:b/>
          <w:sz w:val="24"/>
          <w:szCs w:val="24"/>
        </w:rPr>
        <w:t>construcțiilor</w:t>
      </w:r>
      <w:r w:rsidRPr="00216E39">
        <w:rPr>
          <w:rFonts w:ascii="Tahoma" w:hAnsi="Tahoma" w:cs="Tahoma"/>
          <w:b/>
          <w:sz w:val="24"/>
          <w:szCs w:val="24"/>
        </w:rPr>
        <w:t xml:space="preserve"> </w:t>
      </w:r>
      <w:r w:rsidR="00216E39" w:rsidRPr="00216E39">
        <w:rPr>
          <w:rFonts w:ascii="Tahoma" w:hAnsi="Tahoma" w:cs="Tahoma"/>
          <w:b/>
          <w:sz w:val="24"/>
          <w:szCs w:val="24"/>
        </w:rPr>
        <w:t>inginerești</w:t>
      </w:r>
      <w:r w:rsidRPr="00216E39">
        <w:rPr>
          <w:rFonts w:ascii="Tahoma" w:hAnsi="Tahoma" w:cs="Tahoma"/>
          <w:sz w:val="24"/>
          <w:szCs w:val="24"/>
        </w:rPr>
        <w:t xml:space="preserve"> (+7,6%), continuând astfel parcursul de </w:t>
      </w:r>
      <w:r w:rsidR="00216E39" w:rsidRPr="00216E39">
        <w:rPr>
          <w:rFonts w:ascii="Tahoma" w:hAnsi="Tahoma" w:cs="Tahoma"/>
          <w:sz w:val="24"/>
          <w:szCs w:val="24"/>
        </w:rPr>
        <w:t>menținere</w:t>
      </w:r>
      <w:r w:rsidRPr="00216E39">
        <w:rPr>
          <w:rFonts w:ascii="Tahoma" w:hAnsi="Tahoma" w:cs="Tahoma"/>
          <w:sz w:val="24"/>
          <w:szCs w:val="24"/>
        </w:rPr>
        <w:t xml:space="preserve"> în palierul pozitiv. In cazul clădirilor </w:t>
      </w:r>
      <w:r w:rsidR="00216E39" w:rsidRPr="00216E39">
        <w:rPr>
          <w:rFonts w:ascii="Tahoma" w:hAnsi="Tahoma" w:cs="Tahoma"/>
          <w:sz w:val="24"/>
          <w:szCs w:val="24"/>
        </w:rPr>
        <w:t>rezidențiale</w:t>
      </w:r>
      <w:r w:rsidRPr="00216E39">
        <w:rPr>
          <w:rFonts w:ascii="Tahoma" w:hAnsi="Tahoma" w:cs="Tahoma"/>
          <w:sz w:val="24"/>
          <w:szCs w:val="24"/>
        </w:rPr>
        <w:t xml:space="preserve"> se constată o încetinire de ritm, ceea ce a condus la o scădere de 22,2% a </w:t>
      </w:r>
      <w:r w:rsidR="00216E39" w:rsidRPr="00216E39">
        <w:rPr>
          <w:rFonts w:ascii="Tahoma" w:hAnsi="Tahoma" w:cs="Tahoma"/>
          <w:sz w:val="24"/>
          <w:szCs w:val="24"/>
        </w:rPr>
        <w:t>activității</w:t>
      </w:r>
      <w:r w:rsidRPr="00216E39">
        <w:rPr>
          <w:rFonts w:ascii="Tahoma" w:hAnsi="Tahoma" w:cs="Tahoma"/>
          <w:sz w:val="24"/>
          <w:szCs w:val="24"/>
        </w:rPr>
        <w:t xml:space="preserve"> pe această componentă. În ceea ce </w:t>
      </w:r>
      <w:r w:rsidR="00216E39" w:rsidRPr="00216E39">
        <w:rPr>
          <w:rFonts w:ascii="Tahoma" w:hAnsi="Tahoma" w:cs="Tahoma"/>
          <w:sz w:val="24"/>
          <w:szCs w:val="24"/>
        </w:rPr>
        <w:t>privește</w:t>
      </w:r>
      <w:r w:rsidRPr="00216E39">
        <w:rPr>
          <w:rFonts w:ascii="Tahoma" w:hAnsi="Tahoma" w:cs="Tahoma"/>
          <w:sz w:val="24"/>
          <w:szCs w:val="24"/>
        </w:rPr>
        <w:t xml:space="preserve"> clădirile </w:t>
      </w:r>
      <w:r w:rsidR="00216E39" w:rsidRPr="00216E39">
        <w:rPr>
          <w:rFonts w:ascii="Tahoma" w:hAnsi="Tahoma" w:cs="Tahoma"/>
          <w:sz w:val="24"/>
          <w:szCs w:val="24"/>
        </w:rPr>
        <w:t>nerezidențiale</w:t>
      </w:r>
      <w:r w:rsidRPr="00216E39">
        <w:rPr>
          <w:rFonts w:ascii="Tahoma" w:hAnsi="Tahoma" w:cs="Tahoma"/>
          <w:sz w:val="24"/>
          <w:szCs w:val="24"/>
        </w:rPr>
        <w:t xml:space="preserve">, </w:t>
      </w:r>
      <w:r w:rsidR="00216E39" w:rsidRPr="00216E39">
        <w:rPr>
          <w:rFonts w:ascii="Tahoma" w:hAnsi="Tahoma" w:cs="Tahoma"/>
          <w:sz w:val="24"/>
          <w:szCs w:val="24"/>
        </w:rPr>
        <w:t>și</w:t>
      </w:r>
      <w:r w:rsidRPr="00216E39">
        <w:rPr>
          <w:rFonts w:ascii="Tahoma" w:hAnsi="Tahoma" w:cs="Tahoma"/>
          <w:sz w:val="24"/>
          <w:szCs w:val="24"/>
        </w:rPr>
        <w:t xml:space="preserve"> acestea au avut un parcurs nefavorabil, dar cu o diminuare mai redusă, respectiv de 2,0%.</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În primele </w:t>
      </w:r>
      <w:r w:rsidR="00216E39" w:rsidRPr="00216E39">
        <w:rPr>
          <w:rFonts w:ascii="Tahoma" w:hAnsi="Tahoma" w:cs="Tahoma"/>
          <w:sz w:val="24"/>
          <w:szCs w:val="24"/>
        </w:rPr>
        <w:t>șase</w:t>
      </w:r>
      <w:r w:rsidRPr="00216E39">
        <w:rPr>
          <w:rFonts w:ascii="Tahoma" w:hAnsi="Tahoma" w:cs="Tahoma"/>
          <w:sz w:val="24"/>
          <w:szCs w:val="24"/>
        </w:rPr>
        <w:t xml:space="preserve"> luni ale anului 2024 </w:t>
      </w:r>
      <w:r w:rsidRPr="00216E39">
        <w:rPr>
          <w:rFonts w:ascii="Tahoma" w:hAnsi="Tahoma" w:cs="Tahoma"/>
          <w:b/>
          <w:sz w:val="24"/>
          <w:szCs w:val="24"/>
        </w:rPr>
        <w:t xml:space="preserve">volumul total al cifrei de afaceri din </w:t>
      </w:r>
      <w:r w:rsidR="00216E39" w:rsidRPr="00216E39">
        <w:rPr>
          <w:rFonts w:ascii="Tahoma" w:hAnsi="Tahoma" w:cs="Tahoma"/>
          <w:b/>
          <w:sz w:val="24"/>
          <w:szCs w:val="24"/>
        </w:rPr>
        <w:t>comerțul</w:t>
      </w:r>
      <w:r w:rsidRPr="00216E39">
        <w:rPr>
          <w:rFonts w:ascii="Tahoma" w:hAnsi="Tahoma" w:cs="Tahoma"/>
          <w:b/>
          <w:sz w:val="24"/>
          <w:szCs w:val="24"/>
        </w:rPr>
        <w:t xml:space="preserve"> cu amănuntul</w:t>
      </w:r>
      <w:r w:rsidRPr="00216E39">
        <w:rPr>
          <w:rFonts w:ascii="Tahoma" w:hAnsi="Tahoma" w:cs="Tahoma"/>
          <w:sz w:val="24"/>
          <w:szCs w:val="24"/>
        </w:rPr>
        <w:t xml:space="preserve"> (cu excepția comerțului cu autovehicule şi motociclete) a avansat semnificativ, cu 8,2%, </w:t>
      </w:r>
      <w:r w:rsidR="00216E39" w:rsidRPr="00216E39">
        <w:rPr>
          <w:rFonts w:ascii="Tahoma" w:hAnsi="Tahoma" w:cs="Tahoma"/>
          <w:sz w:val="24"/>
          <w:szCs w:val="24"/>
        </w:rPr>
        <w:t>creșterea</w:t>
      </w:r>
      <w:r w:rsidRPr="00216E39">
        <w:rPr>
          <w:rFonts w:ascii="Tahoma" w:hAnsi="Tahoma" w:cs="Tahoma"/>
          <w:sz w:val="24"/>
          <w:szCs w:val="24"/>
        </w:rPr>
        <w:t xml:space="preserve"> fiind </w:t>
      </w:r>
      <w:r w:rsidR="00216E39" w:rsidRPr="00216E39">
        <w:rPr>
          <w:rFonts w:ascii="Tahoma" w:hAnsi="Tahoma" w:cs="Tahoma"/>
          <w:sz w:val="24"/>
          <w:szCs w:val="24"/>
        </w:rPr>
        <w:t>susținută</w:t>
      </w:r>
      <w:r w:rsidRPr="00216E39">
        <w:rPr>
          <w:rFonts w:ascii="Tahoma" w:hAnsi="Tahoma" w:cs="Tahoma"/>
          <w:sz w:val="24"/>
          <w:szCs w:val="24"/>
        </w:rPr>
        <w:t xml:space="preserve"> de majorarea puterii de cumpărare şi intensificarea creditării pentru consum. Vânzările de produse alimentare au continuat să înregistreze </w:t>
      </w:r>
      <w:r w:rsidR="00216E39" w:rsidRPr="00216E39">
        <w:rPr>
          <w:rFonts w:ascii="Tahoma" w:hAnsi="Tahoma" w:cs="Tahoma"/>
          <w:sz w:val="24"/>
          <w:szCs w:val="24"/>
        </w:rPr>
        <w:t>creșteri</w:t>
      </w:r>
      <w:r w:rsidRPr="00216E39">
        <w:rPr>
          <w:rFonts w:ascii="Tahoma" w:hAnsi="Tahoma" w:cs="Tahoma"/>
          <w:sz w:val="24"/>
          <w:szCs w:val="24"/>
        </w:rPr>
        <w:t xml:space="preserve"> în prima jumătate a anului (+4,0%), dar într-un ritm lent comparativ cu totalul </w:t>
      </w:r>
      <w:r w:rsidR="00216E39" w:rsidRPr="00216E39">
        <w:rPr>
          <w:rFonts w:ascii="Tahoma" w:hAnsi="Tahoma" w:cs="Tahoma"/>
          <w:sz w:val="24"/>
          <w:szCs w:val="24"/>
        </w:rPr>
        <w:t>activității</w:t>
      </w:r>
      <w:r w:rsidRPr="00216E39">
        <w:rPr>
          <w:rFonts w:ascii="Tahoma" w:hAnsi="Tahoma" w:cs="Tahoma"/>
          <w:sz w:val="24"/>
          <w:szCs w:val="24"/>
        </w:rPr>
        <w:t xml:space="preserve"> comerciale. </w:t>
      </w:r>
      <w:r w:rsidR="00216E39" w:rsidRPr="00216E39">
        <w:rPr>
          <w:rFonts w:ascii="Tahoma" w:hAnsi="Tahoma" w:cs="Tahoma"/>
          <w:sz w:val="24"/>
          <w:szCs w:val="24"/>
        </w:rPr>
        <w:t>Achizițiile</w:t>
      </w:r>
      <w:r w:rsidRPr="00216E39">
        <w:rPr>
          <w:rFonts w:ascii="Tahoma" w:hAnsi="Tahoma" w:cs="Tahoma"/>
          <w:sz w:val="24"/>
          <w:szCs w:val="24"/>
        </w:rPr>
        <w:t xml:space="preserve"> de produse nealimentare au reprezentat segmentul cu cea mai intensă activitate (+13,0%), în timp ce vânzările de </w:t>
      </w:r>
      <w:r w:rsidR="00216E39" w:rsidRPr="00216E39">
        <w:rPr>
          <w:rFonts w:ascii="Tahoma" w:hAnsi="Tahoma" w:cs="Tahoma"/>
          <w:sz w:val="24"/>
          <w:szCs w:val="24"/>
        </w:rPr>
        <w:t>carburanți</w:t>
      </w:r>
      <w:r w:rsidRPr="00216E39">
        <w:rPr>
          <w:rFonts w:ascii="Tahoma" w:hAnsi="Tahoma" w:cs="Tahoma"/>
          <w:sz w:val="24"/>
          <w:szCs w:val="24"/>
        </w:rPr>
        <w:t xml:space="preserve"> au revenit la </w:t>
      </w:r>
      <w:r w:rsidR="00216E39" w:rsidRPr="00216E39">
        <w:rPr>
          <w:rFonts w:ascii="Tahoma" w:hAnsi="Tahoma" w:cs="Tahoma"/>
          <w:sz w:val="24"/>
          <w:szCs w:val="24"/>
        </w:rPr>
        <w:t>evoluții</w:t>
      </w:r>
      <w:r w:rsidRPr="00216E39">
        <w:rPr>
          <w:rFonts w:ascii="Tahoma" w:hAnsi="Tahoma" w:cs="Tahoma"/>
          <w:sz w:val="24"/>
          <w:szCs w:val="24"/>
        </w:rPr>
        <w:t xml:space="preserve"> pozitive (+5,5%), după </w:t>
      </w:r>
      <w:r w:rsidR="00216E39" w:rsidRPr="00216E39">
        <w:rPr>
          <w:rFonts w:ascii="Tahoma" w:hAnsi="Tahoma" w:cs="Tahoma"/>
          <w:sz w:val="24"/>
          <w:szCs w:val="24"/>
        </w:rPr>
        <w:t>contracția</w:t>
      </w:r>
      <w:r w:rsidRPr="00216E39">
        <w:rPr>
          <w:rFonts w:ascii="Tahoma" w:hAnsi="Tahoma" w:cs="Tahoma"/>
          <w:sz w:val="24"/>
          <w:szCs w:val="24"/>
        </w:rPr>
        <w:t xml:space="preserve"> din anul anterior.</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lastRenderedPageBreak/>
        <w:t xml:space="preserve">Volumul total al cifrei de afaceri din serviciile prestate </w:t>
      </w:r>
      <w:r w:rsidR="00216E39" w:rsidRPr="00216E39">
        <w:rPr>
          <w:rFonts w:ascii="Tahoma" w:hAnsi="Tahoma" w:cs="Tahoma"/>
          <w:b/>
          <w:sz w:val="24"/>
          <w:szCs w:val="24"/>
        </w:rPr>
        <w:t>populației</w:t>
      </w:r>
      <w:r w:rsidRPr="00216E39">
        <w:rPr>
          <w:rFonts w:ascii="Tahoma" w:hAnsi="Tahoma" w:cs="Tahoma"/>
          <w:sz w:val="24"/>
          <w:szCs w:val="24"/>
        </w:rPr>
        <w:t xml:space="preserve"> s-a diminuat cu 1,5% la finalul primului semestru al anului, pe fondul unor rezultate modeste în sectorul de turism (reduceri de activitate cu 1,6% pentru hoteluri şi restaurante şi de 11,6% în cazul </w:t>
      </w:r>
      <w:r w:rsidR="00216E39" w:rsidRPr="00216E39">
        <w:rPr>
          <w:rFonts w:ascii="Tahoma" w:hAnsi="Tahoma" w:cs="Tahoma"/>
          <w:sz w:val="24"/>
          <w:szCs w:val="24"/>
        </w:rPr>
        <w:t>agențiilor</w:t>
      </w:r>
      <w:r w:rsidRPr="00216E39">
        <w:rPr>
          <w:rFonts w:ascii="Tahoma" w:hAnsi="Tahoma" w:cs="Tahoma"/>
          <w:sz w:val="24"/>
          <w:szCs w:val="24"/>
        </w:rPr>
        <w:t xml:space="preserve"> de turism), </w:t>
      </w:r>
      <w:r w:rsidR="00216E39" w:rsidRPr="00216E39">
        <w:rPr>
          <w:rFonts w:ascii="Tahoma" w:hAnsi="Tahoma" w:cs="Tahoma"/>
          <w:sz w:val="24"/>
          <w:szCs w:val="24"/>
        </w:rPr>
        <w:t>populația</w:t>
      </w:r>
      <w:r w:rsidRPr="00216E39">
        <w:rPr>
          <w:rFonts w:ascii="Tahoma" w:hAnsi="Tahoma" w:cs="Tahoma"/>
          <w:sz w:val="24"/>
          <w:szCs w:val="24"/>
        </w:rPr>
        <w:t xml:space="preserve"> optând pentru </w:t>
      </w:r>
      <w:r w:rsidR="00216E39" w:rsidRPr="00216E39">
        <w:rPr>
          <w:rFonts w:ascii="Tahoma" w:hAnsi="Tahoma" w:cs="Tahoma"/>
          <w:sz w:val="24"/>
          <w:szCs w:val="24"/>
        </w:rPr>
        <w:t>vacanțele</w:t>
      </w:r>
      <w:r w:rsidRPr="00216E39">
        <w:rPr>
          <w:rFonts w:ascii="Tahoma" w:hAnsi="Tahoma" w:cs="Tahoma"/>
          <w:sz w:val="24"/>
          <w:szCs w:val="24"/>
        </w:rPr>
        <w:t xml:space="preserve"> externe. O contracţie semnificativă s-a remarcat şi în cazul serviciilor de coafură şi înfrumuseţare, acestea diminuându-şi volumul de activitate cu 10,5% comparativ cu perioada similară a anului trecut. În schimb, serviciile de spălare a articolelor textile au continuat parcursul favorabil din 2023, volumul cifrei de afaceri majorându-se cu 9,6%. </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O evoluţie uşor negativă a fost înregistrată şi în cazul </w:t>
      </w:r>
      <w:r w:rsidRPr="00216E39">
        <w:rPr>
          <w:rFonts w:ascii="Tahoma" w:hAnsi="Tahoma" w:cs="Tahoma"/>
          <w:b/>
          <w:sz w:val="24"/>
          <w:szCs w:val="24"/>
        </w:rPr>
        <w:t xml:space="preserve">cifrei de afaceri din serviciile de piaţă prestate în principal întreprinderilor, </w:t>
      </w:r>
      <w:r w:rsidRPr="00216E39">
        <w:rPr>
          <w:rFonts w:ascii="Tahoma" w:hAnsi="Tahoma" w:cs="Tahoma"/>
          <w:sz w:val="24"/>
          <w:szCs w:val="24"/>
        </w:rPr>
        <w:t>aceasta reducându-se cu 0,1% în primul semestru al anului curent. Pierderea de dinamică a fost determinată de restrângerea activităţii din sectorul de transporturi cu 5,7%, cât şi a cifrei de afaceri din tranzacţii imobiliare (-5,2%), comunicaţii (-0,9%) şi alte servicii furnizate întreprinderilor (-0,4%). Un aport pozitiv l-au avut activităţile de producţie cinematografică (+12,7%) şi serviciile informatice şi în tehnologia informaţie (+4,5%), dar insuficient pentru a compensa contracţia celorlalte ramuri.</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t>Exporturile de bunuri</w:t>
      </w:r>
      <w:r w:rsidRPr="00216E39">
        <w:rPr>
          <w:rFonts w:ascii="Tahoma" w:hAnsi="Tahoma" w:cs="Tahoma"/>
          <w:sz w:val="24"/>
          <w:szCs w:val="24"/>
        </w:rPr>
        <w:t xml:space="preserve"> au totalizat, în prima jumătate a anului 2024, valoarea de 46,3 miliarde euro, înregistrând o dinamică negativă de 2,4% față de perioada similară a anului precedent (-1,2 miliarde euro), scăderile valorilor exprimate în euro având o componentă importantă de preţuri. Expedierile intra-comunitare au reprezentat 72,7% din total, iar exporturile destinate statelor extra UE au pierdut din dinamica anului precedent (-2,0% faţă +5,4% în ianuarie-iunie 2023), în principal, ca urmare a scăderii livrărilor de produse agroalimentare, cu peste 22%.</w:t>
      </w:r>
    </w:p>
    <w:p w:rsidR="0000138F" w:rsidRPr="00216E39" w:rsidRDefault="0000138F" w:rsidP="0000138F">
      <w:pPr>
        <w:widowControl w:val="0"/>
        <w:suppressAutoHyphens/>
        <w:spacing w:before="120" w:after="120" w:line="276" w:lineRule="auto"/>
        <w:ind w:firstLine="0"/>
        <w:jc w:val="center"/>
        <w:rPr>
          <w:rFonts w:ascii="Arial" w:eastAsia="Times New Roman" w:hAnsi="Arial" w:cs="Arial"/>
          <w:b/>
          <w:bCs/>
          <w:sz w:val="16"/>
          <w:szCs w:val="16"/>
        </w:rPr>
      </w:pPr>
    </w:p>
    <w:p w:rsidR="0000138F" w:rsidRPr="00216E39" w:rsidRDefault="0000138F" w:rsidP="0000138F">
      <w:pPr>
        <w:widowControl w:val="0"/>
        <w:suppressAutoHyphens/>
        <w:spacing w:before="120" w:after="120" w:line="276" w:lineRule="auto"/>
        <w:ind w:firstLine="0"/>
        <w:jc w:val="center"/>
        <w:rPr>
          <w:rFonts w:ascii="Arial" w:eastAsia="Times New Roman" w:hAnsi="Arial" w:cs="Arial"/>
          <w:b/>
          <w:bCs/>
          <w:sz w:val="24"/>
          <w:szCs w:val="24"/>
        </w:rPr>
      </w:pPr>
      <w:r w:rsidRPr="00216E39">
        <w:rPr>
          <w:rFonts w:ascii="Arial" w:eastAsia="Times New Roman" w:hAnsi="Arial" w:cs="Arial"/>
          <w:b/>
          <w:bCs/>
          <w:sz w:val="24"/>
          <w:szCs w:val="24"/>
        </w:rPr>
        <w:t>Evoluția Comerțului Exterior ianuarie - iunie 2024</w:t>
      </w:r>
    </w:p>
    <w:p w:rsidR="0000138F" w:rsidRPr="00216E39" w:rsidRDefault="0000138F" w:rsidP="0000138F">
      <w:pPr>
        <w:widowControl w:val="0"/>
        <w:suppressAutoHyphens/>
        <w:spacing w:before="120" w:after="120" w:line="276" w:lineRule="auto"/>
        <w:ind w:firstLine="0"/>
        <w:jc w:val="center"/>
        <w:rPr>
          <w:rFonts w:ascii="Arial" w:eastAsia="Times New Roman" w:hAnsi="Arial" w:cs="Arial"/>
          <w:b/>
          <w:bCs/>
          <w:sz w:val="24"/>
          <w:szCs w:val="24"/>
        </w:rPr>
      </w:pPr>
      <w:r w:rsidRPr="00216E39">
        <w:rPr>
          <w:rFonts w:ascii="Arial" w:eastAsia="Times New Roman" w:hAnsi="Arial" w:cs="Arial"/>
          <w:b/>
          <w:bCs/>
          <w:noProof/>
          <w:sz w:val="24"/>
          <w:szCs w:val="24"/>
          <w:lang w:val="en-US"/>
        </w:rPr>
        <w:drawing>
          <wp:inline distT="0" distB="0" distL="0" distR="0" wp14:anchorId="2AC64FA8" wp14:editId="14EA9708">
            <wp:extent cx="5667375" cy="2650490"/>
            <wp:effectExtent l="57150" t="0" r="47625" b="111760"/>
            <wp:docPr id="4" name="Chart 4">
              <a:extLst xmlns:a="http://schemas.openxmlformats.org/drawingml/2006/main">
                <a:ext uri="{FF2B5EF4-FFF2-40B4-BE49-F238E27FC236}">
                  <a16:creationId xmlns:a16="http://schemas.microsoft.com/office/drawing/2014/main" id="{EDF500F3-B1CC-4A38-9AC6-FA7FE8B8D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138F" w:rsidRPr="00216E39" w:rsidRDefault="0000138F" w:rsidP="0000138F">
      <w:pPr>
        <w:spacing w:after="120" w:line="276" w:lineRule="auto"/>
        <w:ind w:firstLine="0"/>
        <w:rPr>
          <w:rFonts w:ascii="Tahoma" w:hAnsi="Tahoma" w:cs="Tahoma"/>
          <w:b/>
          <w:color w:val="0000FF"/>
          <w:sz w:val="16"/>
          <w:szCs w:val="16"/>
        </w:rPr>
      </w:pP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lastRenderedPageBreak/>
        <w:t xml:space="preserve">Exporturile au fost </w:t>
      </w:r>
      <w:r w:rsidR="00216E39" w:rsidRPr="00216E39">
        <w:rPr>
          <w:rFonts w:ascii="Tahoma" w:hAnsi="Tahoma" w:cs="Tahoma"/>
          <w:sz w:val="24"/>
          <w:szCs w:val="24"/>
        </w:rPr>
        <w:t>susținute</w:t>
      </w:r>
      <w:r w:rsidRPr="00216E39">
        <w:rPr>
          <w:rFonts w:ascii="Tahoma" w:hAnsi="Tahoma" w:cs="Tahoma"/>
          <w:sz w:val="24"/>
          <w:szCs w:val="24"/>
        </w:rPr>
        <w:t xml:space="preserve"> în proporție de 47,4% de maşini şi echipamente pentru transport, care au înregistrat o creştere cu 2,8% faţă de primele 6 luni ale anului 2023 şi de industria manufacturieră (fier, oţel, cauciuc, metal, lemn-exclusiv mobilă, articole de îmbrăcăminte şi accesorii, încălţăminte, mobilă şi părțile ei, aparatură de măsură şi control etc.) care, cu o valoare de aproape 14 miliarde euro, a reprezentat 29,3% din total.</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t>Importurile de bunuri</w:t>
      </w:r>
      <w:r w:rsidRPr="00216E39">
        <w:rPr>
          <w:rFonts w:ascii="Tahoma" w:hAnsi="Tahoma" w:cs="Tahoma"/>
          <w:sz w:val="24"/>
          <w:szCs w:val="24"/>
        </w:rPr>
        <w:t xml:space="preserve"> s-au majorat în prima jumătate a anului 2024 cu 1,0%, până la 61,4 miliarde euro, achiziţiile externe de bunuri având o traiectorie fluctuantă de la o lună la alta. Pe zona intra UE de provenienţă, valoarea majorată cu 0,8% a introducerilor de bunuri a reprezentat 73,4% din totalul achiziţiilor. În acelaşi timp, importurile provenite din afara spaţiului UE au fost cu 1,4% mai mari decât în primul semestru al anului 2023, în condiţiile creşterii cu 24,5% a importurilor de produse chimice. Concomitent, a fost consemnată o reducere cu 5,2% a importurilor de combustibili minerali, lubrifianţi şi materiale conexe de pe pieţele terţe, acestea reprezentând 65,9% din totalul achiziţiilor de produse energetice.</w:t>
      </w:r>
    </w:p>
    <w:p w:rsidR="0000138F" w:rsidRPr="00216E39" w:rsidRDefault="0000138F" w:rsidP="0000138F">
      <w:pPr>
        <w:spacing w:before="120" w:after="120" w:line="276" w:lineRule="auto"/>
        <w:ind w:firstLine="0"/>
        <w:rPr>
          <w:rFonts w:ascii="Tahoma" w:eastAsia="Times New Roman" w:hAnsi="Tahoma" w:cs="Tahoma"/>
          <w:b/>
          <w:bCs/>
          <w:sz w:val="24"/>
          <w:szCs w:val="24"/>
        </w:rPr>
      </w:pPr>
      <w:r w:rsidRPr="00216E39">
        <w:rPr>
          <w:rFonts w:ascii="Tahoma" w:hAnsi="Tahoma" w:cs="Tahoma"/>
          <w:sz w:val="24"/>
          <w:szCs w:val="24"/>
        </w:rPr>
        <w:t>Structura importurilor de bunuri a fost dominată, ca şi în cazul exporturilor, de grupele de produse maşini şi echipamente pentru transport (36,6% din total şi o creştere cu 1,4%) şi mărfuri manufacturate, clasificate în principal după materia primă (17,2% din total şi o reducere cu 2,6%). De menționat faptul că în această perioadă grupa combustibililor minerali, lubrifianți şi materiale conexe, constituită din: petrol şi produse petroliere; gaz şi produse industriale din gaz; energie electrică şi cărbune, cocs şi brichete şi-a redus valoarea achizițiilor față de perioada similară a anului 2023 cu 3,7%.</w:t>
      </w:r>
    </w:p>
    <w:p w:rsidR="0000138F" w:rsidRPr="00216E39" w:rsidRDefault="0000138F" w:rsidP="0000138F">
      <w:pPr>
        <w:spacing w:before="120" w:after="120" w:line="276" w:lineRule="auto"/>
        <w:ind w:firstLine="0"/>
        <w:rPr>
          <w:rFonts w:ascii="Tahoma" w:hAnsi="Tahoma" w:cs="Tahoma"/>
          <w:sz w:val="24"/>
          <w:szCs w:val="24"/>
        </w:rPr>
      </w:pPr>
      <w:r w:rsidRPr="00216E39">
        <w:rPr>
          <w:rFonts w:ascii="Tahoma" w:hAnsi="Tahoma" w:cs="Tahoma"/>
          <w:b/>
          <w:sz w:val="24"/>
          <w:szCs w:val="24"/>
        </w:rPr>
        <w:t>Deficitul comercial FOB-CIF</w:t>
      </w:r>
      <w:r w:rsidRPr="00216E39">
        <w:rPr>
          <w:rFonts w:ascii="Tahoma" w:hAnsi="Tahoma" w:cs="Tahoma"/>
          <w:sz w:val="24"/>
          <w:szCs w:val="24"/>
        </w:rPr>
        <w:t>, în primul semestru al anului 2024, a atins o valoare de 15,1 miliarde euro, fiind cu 1,8 miliarde euro mai mare decât în semestrul similar din 2023, această adâncire fiind atribuită</w:t>
      </w:r>
      <w:r w:rsidR="00216E39">
        <w:rPr>
          <w:rFonts w:ascii="Tahoma" w:hAnsi="Tahoma" w:cs="Tahoma"/>
          <w:sz w:val="24"/>
          <w:szCs w:val="24"/>
        </w:rPr>
        <w:t xml:space="preserve"> schimburilor intra-comunitare î</w:t>
      </w:r>
      <w:r w:rsidRPr="00216E39">
        <w:rPr>
          <w:rFonts w:ascii="Tahoma" w:hAnsi="Tahoma" w:cs="Tahoma"/>
          <w:sz w:val="24"/>
          <w:szCs w:val="24"/>
        </w:rPr>
        <w:t xml:space="preserve">n </w:t>
      </w:r>
      <w:r w:rsidR="00216E39" w:rsidRPr="00216E39">
        <w:rPr>
          <w:rFonts w:ascii="Tahoma" w:hAnsi="Tahoma" w:cs="Tahoma"/>
          <w:sz w:val="24"/>
          <w:szCs w:val="24"/>
        </w:rPr>
        <w:t>proporție</w:t>
      </w:r>
      <w:r w:rsidRPr="00216E39">
        <w:rPr>
          <w:rFonts w:ascii="Tahoma" w:hAnsi="Tahoma" w:cs="Tahoma"/>
          <w:sz w:val="24"/>
          <w:szCs w:val="24"/>
        </w:rPr>
        <w:t xml:space="preserve"> de peste 72%.</w:t>
      </w:r>
    </w:p>
    <w:p w:rsidR="0000138F" w:rsidRPr="00216E39" w:rsidRDefault="0000138F" w:rsidP="0000138F">
      <w:pPr>
        <w:tabs>
          <w:tab w:val="left" w:pos="4820"/>
        </w:tabs>
        <w:spacing w:after="120" w:line="276" w:lineRule="auto"/>
        <w:ind w:firstLine="0"/>
        <w:rPr>
          <w:rFonts w:ascii="Tahoma" w:hAnsi="Tahoma" w:cs="Tahoma"/>
          <w:sz w:val="24"/>
          <w:szCs w:val="24"/>
        </w:rPr>
      </w:pPr>
      <w:r w:rsidRPr="00216E39">
        <w:rPr>
          <w:rFonts w:ascii="Tahoma" w:hAnsi="Tahoma" w:cs="Tahoma"/>
          <w:sz w:val="24"/>
          <w:szCs w:val="24"/>
        </w:rPr>
        <w:t xml:space="preserve">Zona de petrochimie (produse farmaceutice, </w:t>
      </w:r>
      <w:r w:rsidR="00216E39" w:rsidRPr="00216E39">
        <w:rPr>
          <w:rFonts w:ascii="Tahoma" w:hAnsi="Tahoma" w:cs="Tahoma"/>
          <w:sz w:val="24"/>
          <w:szCs w:val="24"/>
        </w:rPr>
        <w:t>îngrășăminte</w:t>
      </w:r>
      <w:r w:rsidRPr="00216E39">
        <w:rPr>
          <w:rFonts w:ascii="Tahoma" w:hAnsi="Tahoma" w:cs="Tahoma"/>
          <w:sz w:val="24"/>
          <w:szCs w:val="24"/>
        </w:rPr>
        <w:t>, materiale plastice etc.) a generat aproape 43% din nivelul deficitului extern, cu o pierdere de 6,4 miliarde euro, iar valoarea de -3,2 miliarde euro înregistrată la categoria mărfurilor manufacturate clasificate în principal după materia primă a reprezentat al doilea mare deficit comercial al primelor 6 luni ale anului 2024.</w:t>
      </w:r>
    </w:p>
    <w:p w:rsidR="0000138F" w:rsidRPr="00216E39" w:rsidRDefault="0000138F" w:rsidP="0000138F">
      <w:pPr>
        <w:tabs>
          <w:tab w:val="left" w:pos="4820"/>
        </w:tabs>
        <w:spacing w:after="120" w:line="276" w:lineRule="auto"/>
        <w:ind w:firstLine="0"/>
        <w:rPr>
          <w:rFonts w:ascii="Tahoma" w:hAnsi="Tahoma" w:cs="Tahoma"/>
          <w:sz w:val="24"/>
          <w:szCs w:val="24"/>
        </w:rPr>
      </w:pPr>
      <w:r w:rsidRPr="00216E39">
        <w:rPr>
          <w:rFonts w:ascii="Tahoma" w:hAnsi="Tahoma" w:cs="Tahoma"/>
          <w:sz w:val="24"/>
          <w:szCs w:val="24"/>
        </w:rPr>
        <w:t xml:space="preserve">Deficitul de alimente şi animale vii, înregistrat în ianuarie-iunie 2024, a fost de 2,4 miliarde euro, situându-se cu 540,7 miliarde euro peste nivelul perioadei similare a anului 2023 şi a rezultat în totalitate din schimburile intra-comunitare. </w:t>
      </w:r>
    </w:p>
    <w:p w:rsidR="0000138F" w:rsidRPr="00216E39" w:rsidRDefault="0000138F" w:rsidP="0000138F">
      <w:pPr>
        <w:tabs>
          <w:tab w:val="left" w:pos="4820"/>
        </w:tabs>
        <w:spacing w:after="120" w:line="276" w:lineRule="auto"/>
        <w:ind w:firstLine="0"/>
        <w:rPr>
          <w:rFonts w:ascii="Tahoma" w:hAnsi="Tahoma" w:cs="Tahoma"/>
          <w:sz w:val="24"/>
          <w:szCs w:val="24"/>
        </w:rPr>
      </w:pPr>
      <w:r w:rsidRPr="00216E39">
        <w:rPr>
          <w:rFonts w:ascii="Tahoma" w:hAnsi="Tahoma" w:cs="Tahoma"/>
          <w:sz w:val="24"/>
          <w:szCs w:val="24"/>
        </w:rPr>
        <w:t xml:space="preserve">Pierderea înregistrată în schimburile comerciale cu combustibili și lubrifianți a fost de aproape 2,6 miliarde euro şi a constituit 17,4% din nivelul total al deficitului. </w:t>
      </w:r>
      <w:r w:rsidR="00216E39" w:rsidRPr="00216E39">
        <w:rPr>
          <w:rFonts w:ascii="Tahoma" w:hAnsi="Tahoma" w:cs="Tahoma"/>
          <w:sz w:val="24"/>
          <w:szCs w:val="24"/>
        </w:rPr>
        <w:t>Deși</w:t>
      </w:r>
      <w:r w:rsidRPr="00216E39">
        <w:rPr>
          <w:rFonts w:ascii="Tahoma" w:hAnsi="Tahoma" w:cs="Tahoma"/>
          <w:sz w:val="24"/>
          <w:szCs w:val="24"/>
        </w:rPr>
        <w:t xml:space="preserve"> achiziţiile de astfel de bunuri au avut o dinamică negativă, fiind </w:t>
      </w:r>
      <w:r w:rsidR="00216E39" w:rsidRPr="00216E39">
        <w:rPr>
          <w:rFonts w:ascii="Tahoma" w:hAnsi="Tahoma" w:cs="Tahoma"/>
          <w:sz w:val="24"/>
          <w:szCs w:val="24"/>
        </w:rPr>
        <w:t>influențate</w:t>
      </w:r>
      <w:r w:rsidRPr="00216E39">
        <w:rPr>
          <w:rFonts w:ascii="Tahoma" w:hAnsi="Tahoma" w:cs="Tahoma"/>
          <w:sz w:val="24"/>
          <w:szCs w:val="24"/>
        </w:rPr>
        <w:t xml:space="preserve"> de </w:t>
      </w:r>
      <w:r w:rsidR="00216E39" w:rsidRPr="00216E39">
        <w:rPr>
          <w:rFonts w:ascii="Tahoma" w:hAnsi="Tahoma" w:cs="Tahoma"/>
          <w:sz w:val="24"/>
          <w:szCs w:val="24"/>
        </w:rPr>
        <w:t>cotațiile</w:t>
      </w:r>
      <w:r w:rsidRPr="00216E39">
        <w:rPr>
          <w:rFonts w:ascii="Tahoma" w:hAnsi="Tahoma" w:cs="Tahoma"/>
          <w:sz w:val="24"/>
          <w:szCs w:val="24"/>
        </w:rPr>
        <w:t xml:space="preserve"> de pe </w:t>
      </w:r>
      <w:r w:rsidR="00216E39" w:rsidRPr="00216E39">
        <w:rPr>
          <w:rFonts w:ascii="Tahoma" w:hAnsi="Tahoma" w:cs="Tahoma"/>
          <w:sz w:val="24"/>
          <w:szCs w:val="24"/>
        </w:rPr>
        <w:t>piețele</w:t>
      </w:r>
      <w:r w:rsidRPr="00216E39">
        <w:rPr>
          <w:rFonts w:ascii="Tahoma" w:hAnsi="Tahoma" w:cs="Tahoma"/>
          <w:sz w:val="24"/>
          <w:szCs w:val="24"/>
        </w:rPr>
        <w:t xml:space="preserve"> </w:t>
      </w:r>
      <w:r w:rsidR="00216E39" w:rsidRPr="00216E39">
        <w:rPr>
          <w:rFonts w:ascii="Tahoma" w:hAnsi="Tahoma" w:cs="Tahoma"/>
          <w:sz w:val="24"/>
          <w:szCs w:val="24"/>
        </w:rPr>
        <w:t>internaționale</w:t>
      </w:r>
      <w:r w:rsidRPr="00216E39">
        <w:rPr>
          <w:rFonts w:ascii="Tahoma" w:hAnsi="Tahoma" w:cs="Tahoma"/>
          <w:sz w:val="24"/>
          <w:szCs w:val="24"/>
        </w:rPr>
        <w:t xml:space="preserve">, ele continuă să fie deficitare şi să pună presiune pe soldul </w:t>
      </w:r>
      <w:r w:rsidR="00216E39" w:rsidRPr="00216E39">
        <w:rPr>
          <w:rFonts w:ascii="Tahoma" w:hAnsi="Tahoma" w:cs="Tahoma"/>
          <w:sz w:val="24"/>
          <w:szCs w:val="24"/>
        </w:rPr>
        <w:t>balanței</w:t>
      </w:r>
      <w:r w:rsidRPr="00216E39">
        <w:rPr>
          <w:rFonts w:ascii="Tahoma" w:hAnsi="Tahoma" w:cs="Tahoma"/>
          <w:sz w:val="24"/>
          <w:szCs w:val="24"/>
        </w:rPr>
        <w:t xml:space="preserve"> comerciale. </w:t>
      </w:r>
    </w:p>
    <w:p w:rsidR="0000138F" w:rsidRPr="00216E39" w:rsidRDefault="00216E39" w:rsidP="0000138F">
      <w:pPr>
        <w:tabs>
          <w:tab w:val="left" w:pos="4820"/>
        </w:tabs>
        <w:spacing w:after="120" w:line="276" w:lineRule="auto"/>
        <w:ind w:firstLine="0"/>
        <w:rPr>
          <w:rFonts w:ascii="Tahoma" w:hAnsi="Tahoma" w:cs="Tahoma"/>
          <w:sz w:val="24"/>
          <w:szCs w:val="24"/>
        </w:rPr>
      </w:pPr>
      <w:r w:rsidRPr="00216E39">
        <w:rPr>
          <w:rFonts w:ascii="Tahoma" w:hAnsi="Tahoma" w:cs="Tahoma"/>
          <w:sz w:val="24"/>
          <w:szCs w:val="24"/>
        </w:rPr>
        <w:lastRenderedPageBreak/>
        <w:t>Comerțul</w:t>
      </w:r>
      <w:r w:rsidR="0000138F" w:rsidRPr="00216E39">
        <w:rPr>
          <w:rFonts w:ascii="Tahoma" w:hAnsi="Tahoma" w:cs="Tahoma"/>
          <w:sz w:val="24"/>
          <w:szCs w:val="24"/>
        </w:rPr>
        <w:t xml:space="preserve"> cu mașini și echipamente pentru transport a realizat un parcurs favorabil, </w:t>
      </w:r>
      <w:r w:rsidRPr="00216E39">
        <w:rPr>
          <w:rFonts w:ascii="Tahoma" w:hAnsi="Tahoma" w:cs="Tahoma"/>
          <w:sz w:val="24"/>
          <w:szCs w:val="24"/>
        </w:rPr>
        <w:t>creșterea</w:t>
      </w:r>
      <w:r w:rsidR="0000138F" w:rsidRPr="00216E39">
        <w:rPr>
          <w:rFonts w:ascii="Tahoma" w:hAnsi="Tahoma" w:cs="Tahoma"/>
          <w:sz w:val="24"/>
          <w:szCs w:val="24"/>
        </w:rPr>
        <w:t xml:space="preserve"> exporturilor </w:t>
      </w:r>
      <w:r w:rsidRPr="00216E39">
        <w:rPr>
          <w:rFonts w:ascii="Tahoma" w:hAnsi="Tahoma" w:cs="Tahoma"/>
          <w:sz w:val="24"/>
          <w:szCs w:val="24"/>
        </w:rPr>
        <w:t>reușind</w:t>
      </w:r>
      <w:r w:rsidR="0000138F" w:rsidRPr="00216E39">
        <w:rPr>
          <w:rFonts w:ascii="Tahoma" w:hAnsi="Tahoma" w:cs="Tahoma"/>
          <w:sz w:val="24"/>
          <w:szCs w:val="24"/>
        </w:rPr>
        <w:t xml:space="preserve"> să se situeze peste cea a importurilor (+2,8% la exporturi şi +1,4% la importuri), astfel că deficitul a fost cu 295,2 milioane euro sub nivelul perioadei de </w:t>
      </w:r>
      <w:r w:rsidRPr="00216E39">
        <w:rPr>
          <w:rFonts w:ascii="Tahoma" w:hAnsi="Tahoma" w:cs="Tahoma"/>
          <w:sz w:val="24"/>
          <w:szCs w:val="24"/>
        </w:rPr>
        <w:t>comparație</w:t>
      </w:r>
      <w:r w:rsidR="0000138F" w:rsidRPr="00216E39">
        <w:rPr>
          <w:rFonts w:ascii="Tahoma" w:hAnsi="Tahoma" w:cs="Tahoma"/>
          <w:sz w:val="24"/>
          <w:szCs w:val="24"/>
        </w:rPr>
        <w:t xml:space="preserve"> din anul 2023 (-503,0 milioane euro </w:t>
      </w:r>
      <w:r w:rsidRPr="00216E39">
        <w:rPr>
          <w:rFonts w:ascii="Tahoma" w:hAnsi="Tahoma" w:cs="Tahoma"/>
          <w:sz w:val="24"/>
          <w:szCs w:val="24"/>
        </w:rPr>
        <w:t>față</w:t>
      </w:r>
      <w:r w:rsidR="0000138F" w:rsidRPr="00216E39">
        <w:rPr>
          <w:rFonts w:ascii="Tahoma" w:hAnsi="Tahoma" w:cs="Tahoma"/>
          <w:sz w:val="24"/>
          <w:szCs w:val="24"/>
        </w:rPr>
        <w:t xml:space="preserve"> de -798,2 milioane euro).</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b/>
          <w:sz w:val="24"/>
          <w:szCs w:val="24"/>
        </w:rPr>
        <w:t>Contul curent al balanței de plăți</w:t>
      </w:r>
      <w:r w:rsidRPr="00216E39">
        <w:rPr>
          <w:rFonts w:ascii="Tahoma" w:eastAsia="Times New Roman" w:hAnsi="Tahoma" w:cs="Tahoma"/>
          <w:sz w:val="24"/>
          <w:szCs w:val="24"/>
        </w:rPr>
        <w:t xml:space="preserve"> a înregistrat, în primul semestru al anului 2024, un deficit de 12,18 miliarde euro, </w:t>
      </w:r>
      <w:r w:rsidRPr="00216E39">
        <w:rPr>
          <w:rFonts w:ascii="Tahoma" w:hAnsi="Tahoma" w:cs="Tahoma"/>
          <w:sz w:val="24"/>
          <w:szCs w:val="24"/>
        </w:rPr>
        <w:t>cu 34% mai mult față de perioada similară a anului precedent, când valoarea deficitul contului curent a fost de 9,09 miliarde euro.</w:t>
      </w:r>
      <w:r w:rsidRPr="00216E39">
        <w:rPr>
          <w:rFonts w:ascii="Tahoma" w:eastAsia="Times New Roman" w:hAnsi="Tahoma" w:cs="Tahoma"/>
          <w:sz w:val="24"/>
          <w:szCs w:val="24"/>
        </w:rPr>
        <w:t xml:space="preserve"> Adâncirea înregistrată în această perioadă a avut loc pe fondul </w:t>
      </w:r>
      <w:r w:rsidR="00216E39" w:rsidRPr="00216E39">
        <w:rPr>
          <w:rFonts w:ascii="Tahoma" w:eastAsia="Times New Roman" w:hAnsi="Tahoma" w:cs="Tahoma"/>
          <w:sz w:val="24"/>
          <w:szCs w:val="24"/>
        </w:rPr>
        <w:t>creșterii</w:t>
      </w:r>
      <w:r w:rsidRPr="00216E39">
        <w:rPr>
          <w:rFonts w:ascii="Tahoma" w:eastAsia="Times New Roman" w:hAnsi="Tahoma" w:cs="Tahoma"/>
          <w:sz w:val="24"/>
          <w:szCs w:val="24"/>
        </w:rPr>
        <w:t xml:space="preserve"> deficitului comercial cu 14,2% (de la -13,15 miliarde euro, la -15,02 miliarde euro), concomitent cu reducerea cu 14,8% a excedentului înregistrat de </w:t>
      </w:r>
      <w:r w:rsidR="00216E39" w:rsidRPr="00216E39">
        <w:rPr>
          <w:rFonts w:ascii="Tahoma" w:eastAsia="Times New Roman" w:hAnsi="Tahoma" w:cs="Tahoma"/>
          <w:sz w:val="24"/>
          <w:szCs w:val="24"/>
        </w:rPr>
        <w:t>balanța</w:t>
      </w:r>
      <w:r w:rsidRPr="00216E39">
        <w:rPr>
          <w:rFonts w:ascii="Tahoma" w:eastAsia="Times New Roman" w:hAnsi="Tahoma" w:cs="Tahoma"/>
          <w:sz w:val="24"/>
          <w:szCs w:val="24"/>
        </w:rPr>
        <w:t xml:space="preserve"> serviciilor.</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t xml:space="preserve">Soldul negativ al </w:t>
      </w:r>
      <w:r w:rsidR="00216E39" w:rsidRPr="00216E39">
        <w:rPr>
          <w:rFonts w:ascii="Tahoma" w:eastAsia="Times New Roman" w:hAnsi="Tahoma" w:cs="Tahoma"/>
          <w:sz w:val="24"/>
          <w:szCs w:val="24"/>
        </w:rPr>
        <w:t>balanței</w:t>
      </w:r>
      <w:r w:rsidRPr="00216E39">
        <w:rPr>
          <w:rFonts w:ascii="Tahoma" w:eastAsia="Times New Roman" w:hAnsi="Tahoma" w:cs="Tahoma"/>
          <w:sz w:val="24"/>
          <w:szCs w:val="24"/>
        </w:rPr>
        <w:t xml:space="preserve"> comerciale a crescut cu 1,9 miliarde euro față de valoarea consemnată în primele șase luni din 2023, în condițiile în care exporturile de bunuri s-au diminuat cu 2,2%, iar importurile au avut o </w:t>
      </w:r>
      <w:r w:rsidR="00216E39" w:rsidRPr="00216E39">
        <w:rPr>
          <w:rFonts w:ascii="Tahoma" w:eastAsia="Times New Roman" w:hAnsi="Tahoma" w:cs="Tahoma"/>
          <w:sz w:val="24"/>
          <w:szCs w:val="24"/>
        </w:rPr>
        <w:t>creștere</w:t>
      </w:r>
      <w:r w:rsidRPr="00216E39">
        <w:rPr>
          <w:rFonts w:ascii="Tahoma" w:eastAsia="Times New Roman" w:hAnsi="Tahoma" w:cs="Tahoma"/>
          <w:sz w:val="24"/>
          <w:szCs w:val="24"/>
        </w:rPr>
        <w:t xml:space="preserve"> de 1,6%.</w:t>
      </w:r>
      <w:r w:rsidRPr="00216E39">
        <w:rPr>
          <w:rFonts w:cs="Calibri"/>
          <w:sz w:val="26"/>
          <w:szCs w:val="26"/>
        </w:rPr>
        <w:t xml:space="preserve"> </w:t>
      </w:r>
      <w:r w:rsidRPr="00216E39">
        <w:rPr>
          <w:rFonts w:ascii="Tahoma" w:eastAsia="Times New Roman" w:hAnsi="Tahoma" w:cs="Tahoma"/>
          <w:sz w:val="24"/>
          <w:szCs w:val="24"/>
        </w:rPr>
        <w:t>Reducerea intensității schimburilor comerciale reflectă comportamentul sectorului de export/import, influențat de atenuarea creșterii prețurilor pe piețele internaționale și de o dinamică moderată în activitatea economică a partenerilor comerciali.</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t xml:space="preserve">În pofida scăderii de 14,8% înregistrate în primul semestru al anului 2024, contribuția sectorului serviciilor la evoluția contului curent s-a </w:t>
      </w:r>
      <w:r w:rsidR="00216E39" w:rsidRPr="00216E39">
        <w:rPr>
          <w:rFonts w:ascii="Tahoma" w:eastAsia="Times New Roman" w:hAnsi="Tahoma" w:cs="Tahoma"/>
          <w:sz w:val="24"/>
          <w:szCs w:val="24"/>
        </w:rPr>
        <w:t>menținut</w:t>
      </w:r>
      <w:r w:rsidRPr="00216E39">
        <w:rPr>
          <w:rFonts w:ascii="Tahoma" w:eastAsia="Times New Roman" w:hAnsi="Tahoma" w:cs="Tahoma"/>
          <w:sz w:val="24"/>
          <w:szCs w:val="24"/>
        </w:rPr>
        <w:t xml:space="preserve"> pozitivă, acesta înregistrând un excedent de 6,15 miliarde euro, generat în </w:t>
      </w:r>
      <w:r w:rsidR="00216E39" w:rsidRPr="00216E39">
        <w:rPr>
          <w:rFonts w:ascii="Tahoma" w:eastAsia="Times New Roman" w:hAnsi="Tahoma" w:cs="Tahoma"/>
          <w:sz w:val="24"/>
          <w:szCs w:val="24"/>
        </w:rPr>
        <w:t>proporție</w:t>
      </w:r>
      <w:r w:rsidRPr="00216E39">
        <w:rPr>
          <w:rFonts w:ascii="Tahoma" w:eastAsia="Times New Roman" w:hAnsi="Tahoma" w:cs="Tahoma"/>
          <w:sz w:val="24"/>
          <w:szCs w:val="24"/>
        </w:rPr>
        <w:t xml:space="preserve"> de peste 92% de serviciile din sfera </w:t>
      </w:r>
      <w:r w:rsidR="00216E39" w:rsidRPr="00216E39">
        <w:rPr>
          <w:rFonts w:ascii="Tahoma" w:eastAsia="Times New Roman" w:hAnsi="Tahoma" w:cs="Tahoma"/>
          <w:sz w:val="24"/>
          <w:szCs w:val="24"/>
        </w:rPr>
        <w:t>comunicații</w:t>
      </w:r>
      <w:r w:rsidRPr="00216E39">
        <w:rPr>
          <w:rFonts w:ascii="Tahoma" w:eastAsia="Times New Roman" w:hAnsi="Tahoma" w:cs="Tahoma"/>
          <w:sz w:val="24"/>
          <w:szCs w:val="24"/>
        </w:rPr>
        <w:t xml:space="preserve">-IT şi cele de transport. Acestea au acumulat, împreună, 5,68 miliarde euro, cu 5,9% mai puțin față de </w:t>
      </w:r>
      <w:r w:rsidR="00216E39" w:rsidRPr="00216E39">
        <w:rPr>
          <w:rFonts w:ascii="Tahoma" w:eastAsia="Times New Roman" w:hAnsi="Tahoma" w:cs="Tahoma"/>
          <w:sz w:val="24"/>
          <w:szCs w:val="24"/>
        </w:rPr>
        <w:t>aceeași</w:t>
      </w:r>
      <w:r w:rsidRPr="00216E39">
        <w:rPr>
          <w:rFonts w:ascii="Tahoma" w:eastAsia="Times New Roman" w:hAnsi="Tahoma" w:cs="Tahoma"/>
          <w:sz w:val="24"/>
          <w:szCs w:val="24"/>
        </w:rPr>
        <w:t xml:space="preserve"> perioadă a anului 2023.</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t>A fost înregistrată o reducere de 8,4% și pe componenta de prelucrare a bunurilor aflate în proprietatea terților, unde excedentul s-a situat cu 135 milioane euro sub nivelul primelor 6 luni ale anului 2023. În sectorul de turism-călătorii a fost consemnat un deficit de 2,26 miliarde euro, cu 33,2% mai mare față de cel înregistrat în perioada ianuarie-iunie 2023. A fost acumulată, astfel, o pierdere suplimentară de 562 milioane euro, rezultată din reducerea cu 12,9% a încasărilor de la turiștii străini sosiți în România şi majorarea cu 7,3% a cheltuielilor efectuate de români în afara țării.</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t xml:space="preserve">Un alt factor care a influențat dinamica soldului de cont curent a fost deteriorarea </w:t>
      </w:r>
      <w:r w:rsidR="00216E39" w:rsidRPr="00216E39">
        <w:rPr>
          <w:rFonts w:ascii="Tahoma" w:eastAsia="Times New Roman" w:hAnsi="Tahoma" w:cs="Tahoma"/>
          <w:sz w:val="24"/>
          <w:szCs w:val="24"/>
        </w:rPr>
        <w:t>balanței</w:t>
      </w:r>
      <w:r w:rsidRPr="00216E39">
        <w:rPr>
          <w:rFonts w:ascii="Tahoma" w:eastAsia="Times New Roman" w:hAnsi="Tahoma" w:cs="Tahoma"/>
          <w:sz w:val="24"/>
          <w:szCs w:val="24"/>
        </w:rPr>
        <w:t xml:space="preserve"> veniturilor primare, care a înregistrat o adâncire semnificativă a deficitului   (-4,26 miliarde euro în primele 6 luni din 2024 față de -3,66 miliarde euro în aceeași perioadă din 2023). Această </w:t>
      </w:r>
      <w:r w:rsidR="00216E39" w:rsidRPr="00216E39">
        <w:rPr>
          <w:rFonts w:ascii="Tahoma" w:eastAsia="Times New Roman" w:hAnsi="Tahoma" w:cs="Tahoma"/>
          <w:sz w:val="24"/>
          <w:szCs w:val="24"/>
        </w:rPr>
        <w:t>evoluție</w:t>
      </w:r>
      <w:r w:rsidRPr="00216E39">
        <w:rPr>
          <w:rFonts w:ascii="Tahoma" w:eastAsia="Times New Roman" w:hAnsi="Tahoma" w:cs="Tahoma"/>
          <w:sz w:val="24"/>
          <w:szCs w:val="24"/>
        </w:rPr>
        <w:t xml:space="preserve"> a fost determinată de o creștere de 6,45% a plăților către investitorii străini, sub formă de dividende, profit reinvestit și dobânzi, precum și de o majorare cu peste 33,1% a dobânzilor pe termen lung plătite de administrația publică.</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t xml:space="preserve">În </w:t>
      </w:r>
      <w:r w:rsidR="00216E39" w:rsidRPr="00216E39">
        <w:rPr>
          <w:rFonts w:ascii="Tahoma" w:eastAsia="Times New Roman" w:hAnsi="Tahoma" w:cs="Tahoma"/>
          <w:sz w:val="24"/>
          <w:szCs w:val="24"/>
        </w:rPr>
        <w:t>același</w:t>
      </w:r>
      <w:r w:rsidRPr="00216E39">
        <w:rPr>
          <w:rFonts w:ascii="Tahoma" w:eastAsia="Times New Roman" w:hAnsi="Tahoma" w:cs="Tahoma"/>
          <w:sz w:val="24"/>
          <w:szCs w:val="24"/>
        </w:rPr>
        <w:t xml:space="preserve"> timp, </w:t>
      </w:r>
      <w:r w:rsidR="00216E39" w:rsidRPr="00216E39">
        <w:rPr>
          <w:rFonts w:ascii="Tahoma" w:eastAsia="Times New Roman" w:hAnsi="Tahoma" w:cs="Tahoma"/>
          <w:sz w:val="24"/>
          <w:szCs w:val="24"/>
        </w:rPr>
        <w:t>balanța</w:t>
      </w:r>
      <w:r w:rsidRPr="00216E39">
        <w:rPr>
          <w:rFonts w:ascii="Tahoma" w:eastAsia="Times New Roman" w:hAnsi="Tahoma" w:cs="Tahoma"/>
          <w:sz w:val="24"/>
          <w:szCs w:val="24"/>
        </w:rPr>
        <w:t xml:space="preserve"> veniturilor secundare s-a închis cu un excedent de 957 milioane euro, cu 1,9 ori mai mult față de cel înregistrat în aceeași perioadă a anului 2023. Parcursul favorabil pe această componentă a contului curent a fost susținut de </w:t>
      </w:r>
      <w:r w:rsidR="00216E39" w:rsidRPr="00216E39">
        <w:rPr>
          <w:rFonts w:ascii="Tahoma" w:eastAsia="Times New Roman" w:hAnsi="Tahoma" w:cs="Tahoma"/>
          <w:sz w:val="24"/>
          <w:szCs w:val="24"/>
        </w:rPr>
        <w:lastRenderedPageBreak/>
        <w:t>creșterea</w:t>
      </w:r>
      <w:r w:rsidRPr="00216E39">
        <w:rPr>
          <w:rFonts w:ascii="Tahoma" w:eastAsia="Times New Roman" w:hAnsi="Tahoma" w:cs="Tahoma"/>
          <w:sz w:val="24"/>
          <w:szCs w:val="24"/>
        </w:rPr>
        <w:t xml:space="preserve"> cu 590 milioane euro a încasărilor din cooperare internațională a administrației publice şi cu 403 milioane euro a sumelor remise din străinătate de către lucrătorii români.</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b/>
          <w:sz w:val="24"/>
          <w:szCs w:val="24"/>
        </w:rPr>
        <w:t>Investițiile străine directe</w:t>
      </w:r>
      <w:r w:rsidRPr="00216E39">
        <w:rPr>
          <w:rFonts w:ascii="Tahoma" w:eastAsia="Times New Roman" w:hAnsi="Tahoma" w:cs="Tahoma"/>
          <w:sz w:val="24"/>
          <w:szCs w:val="24"/>
        </w:rPr>
        <w:t xml:space="preserve"> au înregistrat, în perioada ianuarie-iunie 2024, o valoare de 3,22 miliarde euro, cu 14,9% peste nivelul perioadei similare a anului 2023 și au acoperit mai mult de 26% din deficitul de cont curent. Investițiile reale în economie (reprezentate de participațiile la capital şi profit reinvestit) au fost de 3,7 miliarde euro, în timp ce creditele intra-grup au înregistrat o valoare netă de 490 milioane euro. </w:t>
      </w:r>
    </w:p>
    <w:p w:rsidR="0000138F" w:rsidRPr="00216E39" w:rsidRDefault="00216E39"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b/>
          <w:sz w:val="24"/>
          <w:szCs w:val="24"/>
        </w:rPr>
        <w:t>Prețurile</w:t>
      </w:r>
      <w:r w:rsidR="0000138F" w:rsidRPr="00216E39">
        <w:rPr>
          <w:rFonts w:ascii="Tahoma" w:eastAsia="Times New Roman" w:hAnsi="Tahoma" w:cs="Tahoma"/>
          <w:b/>
          <w:sz w:val="24"/>
          <w:szCs w:val="24"/>
        </w:rPr>
        <w:t xml:space="preserve"> de consum</w:t>
      </w:r>
      <w:r w:rsidR="0000138F" w:rsidRPr="00216E39">
        <w:rPr>
          <w:rFonts w:ascii="Tahoma" w:eastAsia="Times New Roman" w:hAnsi="Tahoma" w:cs="Tahoma"/>
          <w:sz w:val="24"/>
          <w:szCs w:val="24"/>
        </w:rPr>
        <w:t xml:space="preserve"> s-au încadrat pe un trend descendent pe întregul lanţ între producători şi consumatori, </w:t>
      </w:r>
      <w:r w:rsidRPr="00216E39">
        <w:rPr>
          <w:rFonts w:ascii="Tahoma" w:eastAsia="Times New Roman" w:hAnsi="Tahoma" w:cs="Tahoma"/>
          <w:sz w:val="24"/>
          <w:szCs w:val="24"/>
        </w:rPr>
        <w:t>inflația</w:t>
      </w:r>
      <w:r w:rsidR="0000138F" w:rsidRPr="00216E39">
        <w:rPr>
          <w:rFonts w:ascii="Tahoma" w:eastAsia="Times New Roman" w:hAnsi="Tahoma" w:cs="Tahoma"/>
          <w:sz w:val="24"/>
          <w:szCs w:val="24"/>
        </w:rPr>
        <w:t xml:space="preserve"> înregistrând la nivelul primului semestru din anul 2024 o rată medie de 6,2%, cu 6,6 puncte procentuale mai </w:t>
      </w:r>
      <w:r w:rsidRPr="00216E39">
        <w:rPr>
          <w:rFonts w:ascii="Tahoma" w:eastAsia="Times New Roman" w:hAnsi="Tahoma" w:cs="Tahoma"/>
          <w:sz w:val="24"/>
          <w:szCs w:val="24"/>
        </w:rPr>
        <w:t>puțin</w:t>
      </w:r>
      <w:r w:rsidR="0000138F" w:rsidRPr="00216E39">
        <w:rPr>
          <w:rFonts w:ascii="Tahoma" w:eastAsia="Times New Roman" w:hAnsi="Tahoma" w:cs="Tahoma"/>
          <w:sz w:val="24"/>
          <w:szCs w:val="24"/>
        </w:rPr>
        <w:t xml:space="preserve"> decât în semestrul I al anului anterior. Procesul </w:t>
      </w:r>
      <w:r w:rsidRPr="00216E39">
        <w:rPr>
          <w:rFonts w:ascii="Tahoma" w:eastAsia="Times New Roman" w:hAnsi="Tahoma" w:cs="Tahoma"/>
          <w:sz w:val="24"/>
          <w:szCs w:val="24"/>
        </w:rPr>
        <w:t>dezinflaționist</w:t>
      </w:r>
      <w:r w:rsidR="0000138F" w:rsidRPr="00216E39">
        <w:rPr>
          <w:rFonts w:ascii="Tahoma" w:eastAsia="Times New Roman" w:hAnsi="Tahoma" w:cs="Tahoma"/>
          <w:sz w:val="24"/>
          <w:szCs w:val="24"/>
        </w:rPr>
        <w:t xml:space="preserve"> a fost posibil pe fondul măsurilor de plafonare a adaosurilor comerciale la produsele alimentare de bază şi a preţurilor la energie electrică şi gaze naturale. </w:t>
      </w:r>
      <w:r w:rsidRPr="00216E39">
        <w:rPr>
          <w:rFonts w:ascii="Tahoma" w:eastAsia="Times New Roman" w:hAnsi="Tahoma" w:cs="Tahoma"/>
          <w:sz w:val="24"/>
          <w:szCs w:val="24"/>
        </w:rPr>
        <w:t>Tendința</w:t>
      </w:r>
      <w:r w:rsidR="0000138F" w:rsidRPr="00216E39">
        <w:rPr>
          <w:rFonts w:ascii="Tahoma" w:eastAsia="Times New Roman" w:hAnsi="Tahoma" w:cs="Tahoma"/>
          <w:sz w:val="24"/>
          <w:szCs w:val="24"/>
        </w:rPr>
        <w:t xml:space="preserve"> s-a regăsit şi pe principalele componente ale </w:t>
      </w:r>
      <w:r w:rsidRPr="00216E39">
        <w:rPr>
          <w:rFonts w:ascii="Tahoma" w:eastAsia="Times New Roman" w:hAnsi="Tahoma" w:cs="Tahoma"/>
          <w:sz w:val="24"/>
          <w:szCs w:val="24"/>
        </w:rPr>
        <w:t>inflației</w:t>
      </w:r>
      <w:r w:rsidR="0000138F" w:rsidRPr="00216E39">
        <w:rPr>
          <w:rFonts w:ascii="Tahoma" w:eastAsia="Times New Roman" w:hAnsi="Tahoma" w:cs="Tahoma"/>
          <w:sz w:val="24"/>
          <w:szCs w:val="24"/>
        </w:rPr>
        <w:t xml:space="preserve">, preponderent la nivelul </w:t>
      </w:r>
      <w:r w:rsidRPr="00216E39">
        <w:rPr>
          <w:rFonts w:ascii="Tahoma" w:eastAsia="Times New Roman" w:hAnsi="Tahoma" w:cs="Tahoma"/>
          <w:sz w:val="24"/>
          <w:szCs w:val="24"/>
        </w:rPr>
        <w:t>prețurilor</w:t>
      </w:r>
      <w:r w:rsidR="0000138F" w:rsidRPr="00216E39">
        <w:rPr>
          <w:rFonts w:ascii="Tahoma" w:eastAsia="Times New Roman" w:hAnsi="Tahoma" w:cs="Tahoma"/>
          <w:sz w:val="24"/>
          <w:szCs w:val="24"/>
        </w:rPr>
        <w:t xml:space="preserve"> alimentelor care au decelerat până la 2,9%, preţurile produselor nealimentare care au ajuns la o </w:t>
      </w:r>
      <w:r w:rsidRPr="00216E39">
        <w:rPr>
          <w:rFonts w:ascii="Tahoma" w:eastAsia="Times New Roman" w:hAnsi="Tahoma" w:cs="Tahoma"/>
          <w:sz w:val="24"/>
          <w:szCs w:val="24"/>
        </w:rPr>
        <w:t>creștere</w:t>
      </w:r>
      <w:r w:rsidR="0000138F" w:rsidRPr="00216E39">
        <w:rPr>
          <w:rFonts w:ascii="Tahoma" w:eastAsia="Times New Roman" w:hAnsi="Tahoma" w:cs="Tahoma"/>
          <w:sz w:val="24"/>
          <w:szCs w:val="24"/>
        </w:rPr>
        <w:t xml:space="preserve"> de 7,2%, iar în sectorul serviciilor s-a înregistrat o încetinire mai moderată, respectiv de 10,0%, acestea fiind influențate semnificativ de costurile cu forța de muncă.</w:t>
      </w:r>
    </w:p>
    <w:p w:rsidR="0000138F" w:rsidRPr="00216E39" w:rsidRDefault="0000138F" w:rsidP="0000138F">
      <w:pPr>
        <w:widowControl w:val="0"/>
        <w:suppressAutoHyphens/>
        <w:spacing w:after="120" w:line="276" w:lineRule="auto"/>
        <w:ind w:hanging="360"/>
        <w:jc w:val="center"/>
        <w:rPr>
          <w:rFonts w:ascii="Arial" w:eastAsia="Times New Roman" w:hAnsi="Arial" w:cs="Arial"/>
          <w:b/>
          <w:bCs/>
          <w:sz w:val="24"/>
          <w:szCs w:val="24"/>
        </w:rPr>
      </w:pPr>
    </w:p>
    <w:p w:rsidR="0000138F" w:rsidRPr="00216E39" w:rsidRDefault="0000138F" w:rsidP="0000138F">
      <w:pPr>
        <w:widowControl w:val="0"/>
        <w:suppressAutoHyphens/>
        <w:spacing w:after="120" w:line="276" w:lineRule="auto"/>
        <w:ind w:hanging="360"/>
        <w:jc w:val="center"/>
        <w:rPr>
          <w:rFonts w:ascii="Arial" w:eastAsia="Times New Roman" w:hAnsi="Arial" w:cs="Arial"/>
          <w:b/>
          <w:bCs/>
          <w:sz w:val="24"/>
          <w:szCs w:val="24"/>
        </w:rPr>
      </w:pPr>
      <w:r w:rsidRPr="00216E39">
        <w:rPr>
          <w:rFonts w:ascii="Arial" w:eastAsia="Times New Roman" w:hAnsi="Arial" w:cs="Arial"/>
          <w:b/>
          <w:bCs/>
          <w:sz w:val="24"/>
          <w:szCs w:val="24"/>
        </w:rPr>
        <w:t>Contribuții la rata anuală a inflației (%)</w:t>
      </w:r>
    </w:p>
    <w:p w:rsidR="0000138F" w:rsidRPr="00216E39" w:rsidRDefault="0000138F" w:rsidP="0000138F">
      <w:pPr>
        <w:widowControl w:val="0"/>
        <w:suppressAutoHyphens/>
        <w:spacing w:after="120" w:line="276" w:lineRule="auto"/>
        <w:ind w:firstLine="0"/>
        <w:jc w:val="center"/>
        <w:rPr>
          <w:rFonts w:ascii="Arial" w:eastAsia="Times New Roman" w:hAnsi="Arial" w:cs="Arial"/>
          <w:b/>
          <w:bCs/>
          <w:sz w:val="24"/>
          <w:szCs w:val="24"/>
        </w:rPr>
      </w:pPr>
      <w:r w:rsidRPr="00216E39">
        <w:rPr>
          <w:rFonts w:ascii="Tahoma" w:hAnsi="Tahoma" w:cs="Tahoma"/>
          <w:noProof/>
          <w:sz w:val="24"/>
          <w:szCs w:val="24"/>
          <w:shd w:val="clear" w:color="auto" w:fill="E7E6E6" w:themeFill="background2"/>
          <w:lang w:val="en-US"/>
        </w:rPr>
        <w:drawing>
          <wp:inline distT="0" distB="0" distL="0" distR="0" wp14:anchorId="06B0CDD3" wp14:editId="47D4C8CE">
            <wp:extent cx="5695950" cy="2856865"/>
            <wp:effectExtent l="0" t="0" r="0" b="635"/>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t xml:space="preserve">Măsurile de combatere a inflației, precum și reducerea prețurilor globale pentru bunurile energetice, au contribuit semnificativ la temperarea creșterii prețurilor de consum, menținând inflația pe un trend descrescător. În luna iunie 2024 inflația anuală a ajuns la 4,94%, după vârful </w:t>
      </w:r>
      <w:r w:rsidR="00216E39" w:rsidRPr="00216E39">
        <w:rPr>
          <w:rFonts w:ascii="Tahoma" w:eastAsia="Times New Roman" w:hAnsi="Tahoma" w:cs="Tahoma"/>
          <w:sz w:val="24"/>
          <w:szCs w:val="24"/>
        </w:rPr>
        <w:t>inflaționist</w:t>
      </w:r>
      <w:r w:rsidRPr="00216E39">
        <w:rPr>
          <w:rFonts w:ascii="Tahoma" w:eastAsia="Times New Roman" w:hAnsi="Tahoma" w:cs="Tahoma"/>
          <w:sz w:val="24"/>
          <w:szCs w:val="24"/>
        </w:rPr>
        <w:t xml:space="preserve"> de 7,4% atins în ianuarie, ca urmare a măsurilor fiscale introduse la începutul anului pentru consolidarea bugetului de stat.</w:t>
      </w:r>
    </w:p>
    <w:p w:rsidR="0000138F" w:rsidRPr="00216E39" w:rsidRDefault="0000138F" w:rsidP="0000138F">
      <w:pPr>
        <w:spacing w:after="120" w:line="276" w:lineRule="auto"/>
        <w:ind w:firstLine="0"/>
        <w:rPr>
          <w:rFonts w:ascii="Tahoma" w:eastAsia="Times New Roman" w:hAnsi="Tahoma" w:cs="Tahoma"/>
          <w:sz w:val="24"/>
          <w:szCs w:val="24"/>
        </w:rPr>
      </w:pPr>
      <w:r w:rsidRPr="00216E39">
        <w:rPr>
          <w:rFonts w:ascii="Tahoma" w:eastAsia="Times New Roman" w:hAnsi="Tahoma" w:cs="Tahoma"/>
          <w:sz w:val="24"/>
          <w:szCs w:val="24"/>
        </w:rPr>
        <w:lastRenderedPageBreak/>
        <w:t>Este de remarcat că rata anuală înregistrată în luna iunie 2024 a ajuns la cel mai redus nivel din ultimii trei ani, tendința descrescătoare a prețurilor de consum menținându-se pe toate componentele inflației, fiind consemnate rate anuale de 1,1% pentru bunurile alimentare, 6,3% pentru bunurile nealimentare și 8,8% pentru servicii.</w:t>
      </w:r>
    </w:p>
    <w:p w:rsidR="0000138F" w:rsidRPr="00216E39" w:rsidRDefault="0000138F" w:rsidP="0000138F">
      <w:pPr>
        <w:spacing w:before="120" w:after="120" w:line="276" w:lineRule="auto"/>
        <w:ind w:firstLine="0"/>
        <w:rPr>
          <w:rFonts w:ascii="Tahoma" w:eastAsia="Times New Roman" w:hAnsi="Tahoma" w:cs="Tahoma"/>
          <w:sz w:val="24"/>
          <w:szCs w:val="24"/>
        </w:rPr>
      </w:pPr>
      <w:r w:rsidRPr="00216E39">
        <w:rPr>
          <w:rFonts w:ascii="Tahoma" w:eastAsia="Times New Roman" w:hAnsi="Tahoma" w:cs="Tahoma"/>
          <w:b/>
          <w:sz w:val="24"/>
          <w:szCs w:val="24"/>
        </w:rPr>
        <w:t>Cursul mediu de schimb leu/euro</w:t>
      </w:r>
      <w:r w:rsidRPr="00216E39">
        <w:rPr>
          <w:rFonts w:ascii="Tahoma" w:eastAsia="Times New Roman" w:hAnsi="Tahoma" w:cs="Tahoma"/>
          <w:sz w:val="24"/>
          <w:szCs w:val="24"/>
        </w:rPr>
        <w:t xml:space="preserve"> s-a situat, în primele 6 luni ale anului curent, la valoarea de 4,9743 lei/euro, moneda națională înregistrând o depreciere în termeni nominali de 0,82% şi o apreciere reală de 5,3% față de perioada corespunzătoare din 2023. În perioada ianuarie - iunie 2024 raportul euro/dolar a fost de 1,08, apropiat de cel înregistrat pe parcursul anului 2023.</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t>Efectivul salariaților</w:t>
      </w:r>
      <w:r w:rsidRPr="00216E39">
        <w:rPr>
          <w:rFonts w:ascii="Tahoma" w:hAnsi="Tahoma" w:cs="Tahoma"/>
          <w:sz w:val="24"/>
          <w:szCs w:val="24"/>
        </w:rPr>
        <w:t xml:space="preserve"> şi-a continuat </w:t>
      </w:r>
      <w:r w:rsidR="00216E39" w:rsidRPr="00216E39">
        <w:rPr>
          <w:rFonts w:ascii="Tahoma" w:hAnsi="Tahoma" w:cs="Tahoma"/>
          <w:sz w:val="24"/>
          <w:szCs w:val="24"/>
        </w:rPr>
        <w:t>tendința</w:t>
      </w:r>
      <w:r w:rsidRPr="00216E39">
        <w:rPr>
          <w:rFonts w:ascii="Tahoma" w:hAnsi="Tahoma" w:cs="Tahoma"/>
          <w:sz w:val="24"/>
          <w:szCs w:val="24"/>
        </w:rPr>
        <w:t xml:space="preserve"> </w:t>
      </w:r>
      <w:r w:rsidR="00216E39" w:rsidRPr="00216E39">
        <w:rPr>
          <w:rFonts w:ascii="Tahoma" w:hAnsi="Tahoma" w:cs="Tahoma"/>
          <w:sz w:val="24"/>
          <w:szCs w:val="24"/>
        </w:rPr>
        <w:t>reziliență</w:t>
      </w:r>
      <w:r w:rsidRPr="00216E39">
        <w:rPr>
          <w:rFonts w:ascii="Tahoma" w:hAnsi="Tahoma" w:cs="Tahoma"/>
          <w:sz w:val="24"/>
          <w:szCs w:val="24"/>
        </w:rPr>
        <w:t xml:space="preserve"> şi în anul 2024 urmând în linii mari </w:t>
      </w:r>
      <w:r w:rsidR="00216E39" w:rsidRPr="00216E39">
        <w:rPr>
          <w:rFonts w:ascii="Tahoma" w:hAnsi="Tahoma" w:cs="Tahoma"/>
          <w:sz w:val="24"/>
          <w:szCs w:val="24"/>
        </w:rPr>
        <w:t>evoluția</w:t>
      </w:r>
      <w:r w:rsidRPr="00216E39">
        <w:rPr>
          <w:rFonts w:ascii="Tahoma" w:hAnsi="Tahoma" w:cs="Tahoma"/>
          <w:sz w:val="24"/>
          <w:szCs w:val="24"/>
        </w:rPr>
        <w:t xml:space="preserve"> </w:t>
      </w:r>
      <w:r w:rsidR="00216E39" w:rsidRPr="00216E39">
        <w:rPr>
          <w:rFonts w:ascii="Tahoma" w:hAnsi="Tahoma" w:cs="Tahoma"/>
          <w:sz w:val="24"/>
          <w:szCs w:val="24"/>
        </w:rPr>
        <w:t>activității</w:t>
      </w:r>
      <w:r w:rsidRPr="00216E39">
        <w:rPr>
          <w:rFonts w:ascii="Tahoma" w:hAnsi="Tahoma" w:cs="Tahoma"/>
          <w:sz w:val="24"/>
          <w:szCs w:val="24"/>
        </w:rPr>
        <w:t xml:space="preserve"> economice. Astfel, la </w:t>
      </w:r>
      <w:r w:rsidR="00216E39" w:rsidRPr="00216E39">
        <w:rPr>
          <w:rFonts w:ascii="Tahoma" w:hAnsi="Tahoma" w:cs="Tahoma"/>
          <w:sz w:val="24"/>
          <w:szCs w:val="24"/>
        </w:rPr>
        <w:t>sfârșitul</w:t>
      </w:r>
      <w:r w:rsidRPr="00216E39">
        <w:rPr>
          <w:rFonts w:ascii="Tahoma" w:hAnsi="Tahoma" w:cs="Tahoma"/>
          <w:sz w:val="24"/>
          <w:szCs w:val="24"/>
        </w:rPr>
        <w:t xml:space="preserve"> lunii iunie, efectivul </w:t>
      </w:r>
      <w:r w:rsidR="00216E39" w:rsidRPr="00216E39">
        <w:rPr>
          <w:rFonts w:ascii="Tahoma" w:hAnsi="Tahoma" w:cs="Tahoma"/>
          <w:sz w:val="24"/>
          <w:szCs w:val="24"/>
        </w:rPr>
        <w:t>salariaților</w:t>
      </w:r>
      <w:r w:rsidRPr="00216E39">
        <w:rPr>
          <w:rFonts w:ascii="Tahoma" w:hAnsi="Tahoma" w:cs="Tahoma"/>
          <w:sz w:val="24"/>
          <w:szCs w:val="24"/>
        </w:rPr>
        <w:t xml:space="preserve"> a fost de 5152,6 mii persoane în </w:t>
      </w:r>
      <w:r w:rsidR="00216E39" w:rsidRPr="00216E39">
        <w:rPr>
          <w:rFonts w:ascii="Tahoma" w:hAnsi="Tahoma" w:cs="Tahoma"/>
          <w:sz w:val="24"/>
          <w:szCs w:val="24"/>
        </w:rPr>
        <w:t>creștere</w:t>
      </w:r>
      <w:r w:rsidRPr="00216E39">
        <w:rPr>
          <w:rFonts w:ascii="Tahoma" w:hAnsi="Tahoma" w:cs="Tahoma"/>
          <w:sz w:val="24"/>
          <w:szCs w:val="24"/>
        </w:rPr>
        <w:t xml:space="preserve"> cu 23,4 mii persoane, respectiv 0,5% comparativ cu luna corespunzătoare din anul 2023.</w:t>
      </w:r>
      <w:r w:rsidRPr="00216E39">
        <w:rPr>
          <w:rFonts w:ascii="Tahoma" w:eastAsia="Times New Roman" w:hAnsi="Tahoma" w:cs="Tahoma"/>
          <w:sz w:val="24"/>
          <w:szCs w:val="24"/>
        </w:rPr>
        <w:t xml:space="preserve">Ponderea cea mai mare în total economie o reprezintă numărul de </w:t>
      </w:r>
      <w:r w:rsidR="00216E39" w:rsidRPr="00216E39">
        <w:rPr>
          <w:rFonts w:ascii="Tahoma" w:eastAsia="Times New Roman" w:hAnsi="Tahoma" w:cs="Tahoma"/>
          <w:sz w:val="24"/>
          <w:szCs w:val="24"/>
        </w:rPr>
        <w:t>salariați</w:t>
      </w:r>
      <w:r w:rsidRPr="00216E39">
        <w:rPr>
          <w:rFonts w:ascii="Tahoma" w:eastAsia="Times New Roman" w:hAnsi="Tahoma" w:cs="Tahoma"/>
          <w:sz w:val="24"/>
          <w:szCs w:val="24"/>
        </w:rPr>
        <w:t xml:space="preserve"> din industrie care a ajuns la 25,0% (respectiv 1286,8 mii persoane).</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t>Numărul mediu al salariaților</w:t>
      </w:r>
      <w:r w:rsidRPr="00216E39">
        <w:rPr>
          <w:rFonts w:ascii="Tahoma" w:hAnsi="Tahoma" w:cs="Tahoma"/>
          <w:sz w:val="24"/>
          <w:szCs w:val="24"/>
        </w:rPr>
        <w:t xml:space="preserve"> (calculat ca medie aritmetică a efectivelor lunare) în primele 6 luni ale anului 2024 a fost de 5147,9 mii persoane, în </w:t>
      </w:r>
      <w:r w:rsidR="00216E39" w:rsidRPr="00216E39">
        <w:rPr>
          <w:rFonts w:ascii="Tahoma" w:hAnsi="Tahoma" w:cs="Tahoma"/>
          <w:sz w:val="24"/>
          <w:szCs w:val="24"/>
        </w:rPr>
        <w:t>creștere</w:t>
      </w:r>
      <w:r w:rsidRPr="00216E39">
        <w:rPr>
          <w:rFonts w:ascii="Tahoma" w:hAnsi="Tahoma" w:cs="Tahoma"/>
          <w:sz w:val="24"/>
          <w:szCs w:val="24"/>
        </w:rPr>
        <w:t xml:space="preserve"> </w:t>
      </w:r>
      <w:r w:rsidRPr="00216E39">
        <w:rPr>
          <w:rFonts w:ascii="Tahoma" w:eastAsia="Calibri" w:hAnsi="Tahoma" w:cs="Tahoma"/>
          <w:sz w:val="24"/>
          <w:szCs w:val="24"/>
        </w:rPr>
        <w:t xml:space="preserve">cu 38,0 mii persoane (respectiv cu 0,7%) </w:t>
      </w:r>
      <w:r w:rsidR="00216E39" w:rsidRPr="00216E39">
        <w:rPr>
          <w:rFonts w:ascii="Tahoma" w:eastAsia="Calibri" w:hAnsi="Tahoma" w:cs="Tahoma"/>
          <w:sz w:val="24"/>
          <w:szCs w:val="24"/>
        </w:rPr>
        <w:t>față</w:t>
      </w:r>
      <w:r w:rsidRPr="00216E39">
        <w:rPr>
          <w:rFonts w:ascii="Tahoma" w:eastAsia="Calibri" w:hAnsi="Tahoma" w:cs="Tahoma"/>
          <w:sz w:val="24"/>
          <w:szCs w:val="24"/>
        </w:rPr>
        <w:t xml:space="preserve"> de perioada corespunzătoare din anul 2023 (5109,9 mii persoane). </w:t>
      </w:r>
    </w:p>
    <w:p w:rsidR="0000138F" w:rsidRPr="00216E39" w:rsidRDefault="0000138F" w:rsidP="0000138F">
      <w:pPr>
        <w:spacing w:after="120" w:line="276" w:lineRule="auto"/>
        <w:ind w:firstLine="0"/>
        <w:rPr>
          <w:rFonts w:ascii="Tahoma" w:hAnsi="Tahoma" w:cs="Tahoma"/>
          <w:sz w:val="24"/>
          <w:szCs w:val="24"/>
        </w:rPr>
      </w:pPr>
      <w:r w:rsidRPr="00216E39">
        <w:rPr>
          <w:rFonts w:ascii="Tahoma" w:eastAsia="Calibri" w:hAnsi="Tahoma" w:cs="Tahoma"/>
          <w:sz w:val="24"/>
          <w:szCs w:val="24"/>
        </w:rPr>
        <w:t xml:space="preserve">Industria reprezintă 25,1% din numărul total de </w:t>
      </w:r>
      <w:r w:rsidR="00216E39" w:rsidRPr="00216E39">
        <w:rPr>
          <w:rFonts w:ascii="Tahoma" w:eastAsia="Calibri" w:hAnsi="Tahoma" w:cs="Tahoma"/>
          <w:sz w:val="24"/>
          <w:szCs w:val="24"/>
        </w:rPr>
        <w:t>salariați</w:t>
      </w:r>
      <w:r w:rsidRPr="00216E39">
        <w:rPr>
          <w:rFonts w:ascii="Tahoma" w:eastAsia="Calibri" w:hAnsi="Tahoma" w:cs="Tahoma"/>
          <w:sz w:val="24"/>
          <w:szCs w:val="24"/>
        </w:rPr>
        <w:t xml:space="preserve"> pe economie (respectiv 1292,5 mii persoane). Numărul mediu de </w:t>
      </w:r>
      <w:r w:rsidR="00216E39" w:rsidRPr="00216E39">
        <w:rPr>
          <w:rFonts w:ascii="Tahoma" w:eastAsia="Calibri" w:hAnsi="Tahoma" w:cs="Tahoma"/>
          <w:sz w:val="24"/>
          <w:szCs w:val="24"/>
        </w:rPr>
        <w:t>salariați</w:t>
      </w:r>
      <w:r w:rsidRPr="00216E39">
        <w:rPr>
          <w:rFonts w:ascii="Tahoma" w:eastAsia="Calibri" w:hAnsi="Tahoma" w:cs="Tahoma"/>
          <w:sz w:val="24"/>
          <w:szCs w:val="24"/>
        </w:rPr>
        <w:t xml:space="preserve"> din industrie a crescut marginal, cu 0,2 mii persoane (respectiv cu 0,01%) </w:t>
      </w:r>
      <w:r w:rsidR="00216E39" w:rsidRPr="00216E39">
        <w:rPr>
          <w:rFonts w:ascii="Tahoma" w:eastAsia="Calibri" w:hAnsi="Tahoma" w:cs="Tahoma"/>
          <w:sz w:val="24"/>
          <w:szCs w:val="24"/>
        </w:rPr>
        <w:t>față</w:t>
      </w:r>
      <w:r w:rsidRPr="00216E39">
        <w:rPr>
          <w:rFonts w:ascii="Tahoma" w:eastAsia="Calibri" w:hAnsi="Tahoma" w:cs="Tahoma"/>
          <w:sz w:val="24"/>
          <w:szCs w:val="24"/>
        </w:rPr>
        <w:t xml:space="preserve"> de perioada corespunzătoare din anul 2023.</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b/>
          <w:sz w:val="24"/>
          <w:szCs w:val="24"/>
        </w:rPr>
        <w:t xml:space="preserve">Rata </w:t>
      </w:r>
      <w:r w:rsidR="00216E39" w:rsidRPr="00216E39">
        <w:rPr>
          <w:rFonts w:ascii="Tahoma" w:hAnsi="Tahoma" w:cs="Tahoma"/>
          <w:b/>
          <w:sz w:val="24"/>
          <w:szCs w:val="24"/>
        </w:rPr>
        <w:t>șomajului</w:t>
      </w:r>
      <w:r w:rsidRPr="00216E39">
        <w:rPr>
          <w:rFonts w:ascii="Tahoma" w:hAnsi="Tahoma" w:cs="Tahoma"/>
          <w:b/>
          <w:sz w:val="24"/>
          <w:szCs w:val="24"/>
        </w:rPr>
        <w:t xml:space="preserve"> înregistrat la </w:t>
      </w:r>
      <w:r w:rsidR="00216E39" w:rsidRPr="00216E39">
        <w:rPr>
          <w:rFonts w:ascii="Tahoma" w:hAnsi="Tahoma" w:cs="Tahoma"/>
          <w:b/>
          <w:sz w:val="24"/>
          <w:szCs w:val="24"/>
        </w:rPr>
        <w:t>sfârșitul</w:t>
      </w:r>
      <w:r w:rsidRPr="00216E39">
        <w:rPr>
          <w:rFonts w:ascii="Tahoma" w:hAnsi="Tahoma" w:cs="Tahoma"/>
          <w:b/>
          <w:sz w:val="24"/>
          <w:szCs w:val="24"/>
        </w:rPr>
        <w:t xml:space="preserve"> lunii iunie 2024</w:t>
      </w:r>
      <w:r w:rsidRPr="00216E39">
        <w:rPr>
          <w:rFonts w:ascii="Tahoma" w:hAnsi="Tahoma" w:cs="Tahoma"/>
          <w:sz w:val="24"/>
          <w:szCs w:val="24"/>
        </w:rPr>
        <w:t xml:space="preserve"> a fost de 3,06 %, mai mare cu 0,23 % decât rata </w:t>
      </w:r>
      <w:r w:rsidR="00216E39" w:rsidRPr="00216E39">
        <w:rPr>
          <w:rFonts w:ascii="Tahoma" w:hAnsi="Tahoma" w:cs="Tahoma"/>
          <w:sz w:val="24"/>
          <w:szCs w:val="24"/>
        </w:rPr>
        <w:t>șomajului</w:t>
      </w:r>
      <w:r w:rsidRPr="00216E39">
        <w:rPr>
          <w:rFonts w:ascii="Tahoma" w:hAnsi="Tahoma" w:cs="Tahoma"/>
          <w:sz w:val="24"/>
          <w:szCs w:val="24"/>
        </w:rPr>
        <w:t xml:space="preserve"> înregistrat la </w:t>
      </w:r>
      <w:r w:rsidR="00216E39" w:rsidRPr="00216E39">
        <w:rPr>
          <w:rFonts w:ascii="Tahoma" w:hAnsi="Tahoma" w:cs="Tahoma"/>
          <w:sz w:val="24"/>
          <w:szCs w:val="24"/>
        </w:rPr>
        <w:t>sfârșitul</w:t>
      </w:r>
      <w:r w:rsidRPr="00216E39">
        <w:rPr>
          <w:rFonts w:ascii="Tahoma" w:hAnsi="Tahoma" w:cs="Tahoma"/>
          <w:sz w:val="24"/>
          <w:szCs w:val="24"/>
        </w:rPr>
        <w:t xml:space="preserve"> lunii iunie 2023 (2,83%).</w:t>
      </w:r>
    </w:p>
    <w:p w:rsidR="0000138F" w:rsidRPr="00216E39" w:rsidRDefault="0000138F" w:rsidP="0000138F">
      <w:pPr>
        <w:spacing w:after="120" w:line="276" w:lineRule="auto"/>
        <w:ind w:firstLine="0"/>
        <w:rPr>
          <w:rFonts w:ascii="Tahoma" w:hAnsi="Tahoma" w:cs="Tahoma"/>
          <w:sz w:val="24"/>
          <w:szCs w:val="24"/>
        </w:rPr>
      </w:pPr>
      <w:r w:rsidRPr="00216E39">
        <w:rPr>
          <w:rFonts w:ascii="Tahoma" w:hAnsi="Tahoma" w:cs="Tahoma"/>
          <w:sz w:val="24"/>
          <w:szCs w:val="24"/>
        </w:rPr>
        <w:t xml:space="preserve">În ceea ce privește </w:t>
      </w:r>
      <w:r w:rsidRPr="00216E39">
        <w:rPr>
          <w:rFonts w:ascii="Tahoma" w:hAnsi="Tahoma" w:cs="Tahoma"/>
          <w:b/>
          <w:sz w:val="24"/>
          <w:szCs w:val="24"/>
        </w:rPr>
        <w:t>șomajul de lungă durată</w:t>
      </w:r>
      <w:r w:rsidRPr="00216E39">
        <w:rPr>
          <w:rFonts w:ascii="Tahoma" w:hAnsi="Tahoma" w:cs="Tahoma"/>
          <w:sz w:val="24"/>
          <w:szCs w:val="24"/>
        </w:rPr>
        <w:t xml:space="preserve">, la sfârșitul lunii iunie 2024 se aflau înregistrați 76,1 mii persoane (32,0% din totalul șomerilor înregistrați), din care 6,4 mii persoane din rândul tinerilor cu vârsta sub 25 de ani aflați în șomaj de peste 6 luni (36,1% din totalul șomerilor sub 25 de ani) și 72,3 mii adulți aflați în șomaj de peste 12 luni (31,7% din rândul șomerilor </w:t>
      </w:r>
      <w:r w:rsidR="00216E39" w:rsidRPr="00216E39">
        <w:rPr>
          <w:rFonts w:ascii="Tahoma" w:hAnsi="Tahoma" w:cs="Tahoma"/>
          <w:sz w:val="24"/>
          <w:szCs w:val="24"/>
        </w:rPr>
        <w:t>adulți</w:t>
      </w:r>
      <w:r w:rsidRPr="00216E39">
        <w:rPr>
          <w:rFonts w:ascii="Tahoma" w:hAnsi="Tahoma" w:cs="Tahoma"/>
          <w:sz w:val="24"/>
          <w:szCs w:val="24"/>
        </w:rPr>
        <w:t>).</w:t>
      </w:r>
    </w:p>
    <w:p w:rsidR="0000138F" w:rsidRPr="00216E39" w:rsidRDefault="00216E39" w:rsidP="0000138F">
      <w:pPr>
        <w:spacing w:after="120" w:line="276" w:lineRule="auto"/>
        <w:ind w:firstLine="0"/>
        <w:rPr>
          <w:rFonts w:ascii="Tahoma" w:hAnsi="Tahoma" w:cs="Tahoma"/>
          <w:sz w:val="24"/>
          <w:szCs w:val="24"/>
        </w:rPr>
      </w:pPr>
      <w:r w:rsidRPr="00216E39">
        <w:rPr>
          <w:rFonts w:ascii="Tahoma" w:hAnsi="Tahoma" w:cs="Tahoma"/>
          <w:b/>
          <w:sz w:val="24"/>
          <w:szCs w:val="24"/>
        </w:rPr>
        <w:t>Câștigul</w:t>
      </w:r>
      <w:r w:rsidR="0000138F" w:rsidRPr="00216E39">
        <w:rPr>
          <w:rFonts w:ascii="Tahoma" w:hAnsi="Tahoma" w:cs="Tahoma"/>
          <w:b/>
          <w:sz w:val="24"/>
          <w:szCs w:val="24"/>
        </w:rPr>
        <w:t xml:space="preserve"> salarial mediu brut</w:t>
      </w:r>
      <w:r w:rsidR="0000138F" w:rsidRPr="00216E39">
        <w:rPr>
          <w:rFonts w:ascii="Tahoma" w:hAnsi="Tahoma" w:cs="Tahoma"/>
          <w:sz w:val="24"/>
          <w:szCs w:val="24"/>
        </w:rPr>
        <w:t xml:space="preserve"> pe total economie a fost în primele 6 luni ale anului 2024 de 8.306 lei, cu 16,2% mai mare decât cel înregistrat în perioada similară a anului 2023. Corespunzător, </w:t>
      </w:r>
      <w:r w:rsidRPr="00216E39">
        <w:rPr>
          <w:rFonts w:ascii="Tahoma" w:hAnsi="Tahoma" w:cs="Tahoma"/>
          <w:b/>
          <w:bCs/>
          <w:sz w:val="24"/>
          <w:szCs w:val="24"/>
        </w:rPr>
        <w:t>câștig</w:t>
      </w:r>
      <w:r w:rsidRPr="00216E39">
        <w:rPr>
          <w:rFonts w:ascii="Tahoma" w:hAnsi="Tahoma" w:cs="Tahoma"/>
          <w:b/>
          <w:sz w:val="24"/>
          <w:szCs w:val="24"/>
        </w:rPr>
        <w:t>ul</w:t>
      </w:r>
      <w:r w:rsidR="0000138F" w:rsidRPr="00216E39">
        <w:rPr>
          <w:rFonts w:ascii="Tahoma" w:hAnsi="Tahoma" w:cs="Tahoma"/>
          <w:b/>
          <w:sz w:val="24"/>
          <w:szCs w:val="24"/>
        </w:rPr>
        <w:t xml:space="preserve"> salarial mediu net</w:t>
      </w:r>
      <w:r w:rsidR="0000138F" w:rsidRPr="00216E39">
        <w:rPr>
          <w:rFonts w:ascii="Tahoma" w:hAnsi="Tahoma" w:cs="Tahoma"/>
          <w:sz w:val="24"/>
          <w:szCs w:val="24"/>
        </w:rPr>
        <w:t xml:space="preserve"> s-a majorat cu 13,6%, până la 5.072 lei, consemnând o </w:t>
      </w:r>
      <w:r w:rsidRPr="00216E39">
        <w:rPr>
          <w:rFonts w:ascii="Tahoma" w:hAnsi="Tahoma" w:cs="Tahoma"/>
          <w:sz w:val="24"/>
          <w:szCs w:val="24"/>
        </w:rPr>
        <w:t>creștere</w:t>
      </w:r>
      <w:r w:rsidR="0000138F" w:rsidRPr="00216E39">
        <w:rPr>
          <w:rFonts w:ascii="Tahoma" w:hAnsi="Tahoma" w:cs="Tahoma"/>
          <w:sz w:val="24"/>
          <w:szCs w:val="24"/>
        </w:rPr>
        <w:t xml:space="preserve"> în termeni reali cu 7,0%.</w:t>
      </w:r>
    </w:p>
    <w:p w:rsidR="0000138F" w:rsidRPr="00216E39" w:rsidRDefault="0000138F" w:rsidP="0049621F">
      <w:pPr>
        <w:keepLines/>
        <w:spacing w:after="120" w:line="276" w:lineRule="auto"/>
        <w:ind w:firstLine="0"/>
        <w:rPr>
          <w:rFonts w:ascii="Tahoma" w:hAnsi="Tahoma" w:cs="Tahoma"/>
          <w:b/>
          <w:sz w:val="24"/>
          <w:szCs w:val="24"/>
        </w:rPr>
      </w:pPr>
    </w:p>
    <w:p w:rsidR="0000138F" w:rsidRPr="00216E39" w:rsidRDefault="0000138F" w:rsidP="0049621F">
      <w:pPr>
        <w:keepLines/>
        <w:spacing w:after="120" w:line="276" w:lineRule="auto"/>
        <w:ind w:firstLine="0"/>
        <w:rPr>
          <w:rFonts w:ascii="Tahoma" w:hAnsi="Tahoma" w:cs="Tahoma"/>
          <w:b/>
          <w:sz w:val="24"/>
          <w:szCs w:val="24"/>
        </w:rPr>
      </w:pPr>
    </w:p>
    <w:p w:rsidR="00E80EAC" w:rsidRPr="00216E39" w:rsidRDefault="00E80EAC" w:rsidP="00E80EAC">
      <w:bookmarkStart w:id="7" w:name="_Toc456256933"/>
      <w:bookmarkStart w:id="8" w:name="_Toc456257457"/>
      <w:bookmarkStart w:id="9" w:name="_Toc456258315"/>
      <w:bookmarkStart w:id="10" w:name="_Toc456258420"/>
      <w:r w:rsidRPr="00216E39">
        <w:br w:type="page"/>
      </w:r>
    </w:p>
    <w:p w:rsidR="0056154D" w:rsidRPr="00216E39" w:rsidRDefault="002548C2" w:rsidP="00717011">
      <w:pPr>
        <w:pStyle w:val="Heading1"/>
        <w:numPr>
          <w:ilvl w:val="0"/>
          <w:numId w:val="1"/>
        </w:numPr>
        <w:rPr>
          <w:rFonts w:ascii="Tahoma" w:hAnsi="Tahoma" w:cs="Tahoma"/>
          <w:b/>
          <w:color w:val="auto"/>
          <w:sz w:val="24"/>
          <w:szCs w:val="24"/>
        </w:rPr>
      </w:pPr>
      <w:bookmarkStart w:id="11" w:name="_Toc172205378"/>
      <w:r w:rsidRPr="00216E39">
        <w:rPr>
          <w:rFonts w:ascii="Tahoma" w:hAnsi="Tahoma" w:cs="Tahoma"/>
          <w:b/>
          <w:color w:val="auto"/>
          <w:sz w:val="24"/>
          <w:szCs w:val="24"/>
        </w:rPr>
        <w:lastRenderedPageBreak/>
        <w:t>P</w:t>
      </w:r>
      <w:r w:rsidR="00E3087D" w:rsidRPr="00216E39">
        <w:rPr>
          <w:rFonts w:ascii="Tahoma" w:hAnsi="Tahoma" w:cs="Tahoma"/>
          <w:b/>
          <w:color w:val="auto"/>
          <w:sz w:val="24"/>
          <w:szCs w:val="24"/>
        </w:rPr>
        <w:t xml:space="preserve">olitica fiscal-bugetară </w:t>
      </w:r>
      <w:r w:rsidR="00191D8D" w:rsidRPr="00216E39">
        <w:rPr>
          <w:rFonts w:ascii="Tahoma" w:hAnsi="Tahoma" w:cs="Tahoma"/>
          <w:b/>
          <w:color w:val="auto"/>
          <w:sz w:val="24"/>
          <w:szCs w:val="24"/>
        </w:rPr>
        <w:t>aferentă</w:t>
      </w:r>
      <w:r w:rsidR="00E3087D" w:rsidRPr="00216E39">
        <w:rPr>
          <w:rFonts w:ascii="Tahoma" w:hAnsi="Tahoma" w:cs="Tahoma"/>
          <w:b/>
          <w:color w:val="auto"/>
          <w:sz w:val="24"/>
          <w:szCs w:val="24"/>
        </w:rPr>
        <w:t xml:space="preserve"> anul</w:t>
      </w:r>
      <w:r w:rsidR="00191D8D" w:rsidRPr="00216E39">
        <w:rPr>
          <w:rFonts w:ascii="Tahoma" w:hAnsi="Tahoma" w:cs="Tahoma"/>
          <w:b/>
          <w:color w:val="auto"/>
          <w:sz w:val="24"/>
          <w:szCs w:val="24"/>
        </w:rPr>
        <w:t>ui</w:t>
      </w:r>
      <w:bookmarkEnd w:id="7"/>
      <w:bookmarkEnd w:id="8"/>
      <w:bookmarkEnd w:id="9"/>
      <w:bookmarkEnd w:id="10"/>
      <w:r w:rsidR="00E95717" w:rsidRPr="00216E39">
        <w:rPr>
          <w:rFonts w:ascii="Tahoma" w:hAnsi="Tahoma" w:cs="Tahoma"/>
          <w:b/>
          <w:color w:val="auto"/>
          <w:sz w:val="24"/>
          <w:szCs w:val="24"/>
        </w:rPr>
        <w:t xml:space="preserve"> </w:t>
      </w:r>
      <w:r w:rsidR="00E3539E" w:rsidRPr="00216E39">
        <w:rPr>
          <w:rFonts w:ascii="Tahoma" w:hAnsi="Tahoma" w:cs="Tahoma"/>
          <w:b/>
          <w:color w:val="auto"/>
          <w:sz w:val="24"/>
          <w:szCs w:val="24"/>
        </w:rPr>
        <w:t>20</w:t>
      </w:r>
      <w:r w:rsidR="00C21D8D" w:rsidRPr="00216E39">
        <w:rPr>
          <w:rFonts w:ascii="Tahoma" w:hAnsi="Tahoma" w:cs="Tahoma"/>
          <w:b/>
          <w:color w:val="auto"/>
          <w:sz w:val="24"/>
          <w:szCs w:val="24"/>
        </w:rPr>
        <w:t>2</w:t>
      </w:r>
      <w:r w:rsidR="0083671E" w:rsidRPr="00216E39">
        <w:rPr>
          <w:rFonts w:ascii="Tahoma" w:hAnsi="Tahoma" w:cs="Tahoma"/>
          <w:b/>
          <w:color w:val="auto"/>
          <w:sz w:val="24"/>
          <w:szCs w:val="24"/>
        </w:rPr>
        <w:t>4</w:t>
      </w:r>
      <w:bookmarkEnd w:id="11"/>
    </w:p>
    <w:p w:rsidR="00D6065B" w:rsidRPr="00216E39" w:rsidRDefault="00D6065B" w:rsidP="002A6579">
      <w:pPr>
        <w:pStyle w:val="ListParagraph"/>
        <w:keepNext/>
        <w:keepLines/>
        <w:spacing w:line="276" w:lineRule="auto"/>
        <w:ind w:left="567"/>
        <w:outlineLvl w:val="0"/>
        <w:rPr>
          <w:rFonts w:ascii="Tahoma" w:hAnsi="Tahoma" w:cs="Tahoma"/>
          <w:b/>
          <w:sz w:val="24"/>
          <w:szCs w:val="24"/>
        </w:rPr>
      </w:pPr>
    </w:p>
    <w:p w:rsidR="00642BCD" w:rsidRPr="00216E39" w:rsidRDefault="00642BCD" w:rsidP="009F6DB5">
      <w:pPr>
        <w:keepNext/>
        <w:keepLines/>
        <w:shd w:val="clear" w:color="auto" w:fill="E2EFD9" w:themeFill="accent6" w:themeFillTint="33"/>
        <w:tabs>
          <w:tab w:val="left" w:pos="851"/>
        </w:tabs>
        <w:spacing w:after="120" w:line="276" w:lineRule="auto"/>
        <w:ind w:firstLine="0"/>
        <w:rPr>
          <w:rFonts w:ascii="Tahoma" w:hAnsi="Tahoma" w:cs="Tahoma"/>
          <w:sz w:val="24"/>
          <w:szCs w:val="24"/>
        </w:rPr>
      </w:pPr>
      <w:r w:rsidRPr="00216E39">
        <w:rPr>
          <w:rFonts w:ascii="Tahoma" w:hAnsi="Tahoma" w:cs="Tahoma"/>
          <w:sz w:val="24"/>
          <w:szCs w:val="24"/>
        </w:rPr>
        <w:t>Construcția bugetară pe anul 20</w:t>
      </w:r>
      <w:r w:rsidR="00C21D8D" w:rsidRPr="00216E39">
        <w:rPr>
          <w:rFonts w:ascii="Tahoma" w:hAnsi="Tahoma" w:cs="Tahoma"/>
          <w:sz w:val="24"/>
          <w:szCs w:val="24"/>
        </w:rPr>
        <w:t>2</w:t>
      </w:r>
      <w:r w:rsidR="0083671E" w:rsidRPr="00216E39">
        <w:rPr>
          <w:rFonts w:ascii="Tahoma" w:hAnsi="Tahoma" w:cs="Tahoma"/>
          <w:sz w:val="24"/>
          <w:szCs w:val="24"/>
        </w:rPr>
        <w:t>4</w:t>
      </w:r>
      <w:r w:rsidRPr="00216E39">
        <w:rPr>
          <w:rFonts w:ascii="Tahoma" w:hAnsi="Tahoma" w:cs="Tahoma"/>
          <w:sz w:val="24"/>
          <w:szCs w:val="24"/>
        </w:rPr>
        <w:t xml:space="preserve"> a avut la bază următoarele obiective:</w:t>
      </w:r>
    </w:p>
    <w:p w:rsidR="0083671E" w:rsidRPr="00216E39" w:rsidRDefault="0083671E" w:rsidP="009F6DB5">
      <w:pPr>
        <w:numPr>
          <w:ilvl w:val="0"/>
          <w:numId w:val="24"/>
        </w:numPr>
        <w:shd w:val="clear" w:color="auto" w:fill="E2EFD9" w:themeFill="accent6" w:themeFillTint="33"/>
        <w:spacing w:before="120" w:after="120" w:line="276" w:lineRule="auto"/>
        <w:ind w:left="142" w:hanging="284"/>
        <w:rPr>
          <w:rFonts w:ascii="Tahoma" w:eastAsia="+mn-ea" w:hAnsi="Tahoma" w:cs="Tahoma"/>
          <w:bCs/>
          <w:sz w:val="24"/>
          <w:szCs w:val="24"/>
        </w:rPr>
      </w:pPr>
      <w:r w:rsidRPr="00216E39">
        <w:rPr>
          <w:rFonts w:ascii="Tahoma" w:eastAsia="+mn-ea" w:hAnsi="Tahoma" w:cs="Tahoma"/>
          <w:b/>
          <w:bCs/>
          <w:sz w:val="24"/>
          <w:szCs w:val="24"/>
        </w:rPr>
        <w:t>Continuarea măsurilor pentru redresare economică</w:t>
      </w:r>
      <w:r w:rsidRPr="00216E39">
        <w:rPr>
          <w:rFonts w:ascii="Tahoma" w:eastAsia="+mn-ea" w:hAnsi="Tahoma" w:cs="Tahoma"/>
          <w:bCs/>
          <w:sz w:val="24"/>
          <w:szCs w:val="24"/>
        </w:rPr>
        <w:t>, accelerarea creșterii economice, menținerea și susținerea unui nou cadru de dezvoltare durabilă, justă și incluzivă care să asigure o tranziție eficientă economic, suportabilă social și axată pe competitivitate, inovație și decarbonizare care să conducă la eliminarea vulnerabilităților din economie și să asigure un nivel de trai decent;</w:t>
      </w:r>
    </w:p>
    <w:p w:rsidR="0083671E" w:rsidRPr="00216E39" w:rsidRDefault="0083671E" w:rsidP="009F6DB5">
      <w:pPr>
        <w:numPr>
          <w:ilvl w:val="0"/>
          <w:numId w:val="24"/>
        </w:numPr>
        <w:shd w:val="clear" w:color="auto" w:fill="E2EFD9" w:themeFill="accent6" w:themeFillTint="33"/>
        <w:spacing w:before="120" w:after="120" w:line="276" w:lineRule="auto"/>
        <w:ind w:left="142" w:hanging="284"/>
        <w:rPr>
          <w:rFonts w:ascii="Tahoma" w:eastAsia="+mn-ea" w:hAnsi="Tahoma" w:cs="Tahoma"/>
          <w:bCs/>
          <w:sz w:val="24"/>
          <w:szCs w:val="24"/>
          <w:u w:val="single"/>
        </w:rPr>
      </w:pPr>
      <w:r w:rsidRPr="00216E39">
        <w:rPr>
          <w:rFonts w:ascii="Tahoma" w:eastAsia="+mn-ea" w:hAnsi="Tahoma" w:cs="Tahoma"/>
          <w:b/>
          <w:bCs/>
          <w:sz w:val="24"/>
          <w:szCs w:val="24"/>
        </w:rPr>
        <w:t>Continuarea realizării graduale a consolidării fiscale</w:t>
      </w:r>
      <w:r w:rsidRPr="00216E39">
        <w:rPr>
          <w:rFonts w:ascii="Tahoma" w:eastAsia="+mn-ea" w:hAnsi="Tahoma" w:cs="Tahoma"/>
          <w:bCs/>
          <w:sz w:val="24"/>
          <w:szCs w:val="24"/>
        </w:rPr>
        <w:t xml:space="preserve"> contribuind, în acest fel la scăderea inflației, a ratelor dobânzilor, a deficitului comercial și de cont curent al balanței de plăți, precum şi la stabilitatea cursului valutar al leului, ținând seama de fragilitatea mediului intern și extern, de efortul bugetar ce trebuie alocat noii legi privind sistemul de pensii și implementarea reformelor din PNRR care trebuiesc finalizate până in anul 2026</w:t>
      </w:r>
      <w:r w:rsidR="00FF7FC7" w:rsidRPr="00216E39">
        <w:rPr>
          <w:rFonts w:ascii="Tahoma" w:eastAsia="+mn-ea" w:hAnsi="Tahoma" w:cs="Tahoma"/>
          <w:bCs/>
          <w:sz w:val="24"/>
          <w:szCs w:val="24"/>
        </w:rPr>
        <w:t>;</w:t>
      </w:r>
    </w:p>
    <w:p w:rsidR="0083671E" w:rsidRPr="00216E39" w:rsidRDefault="0083671E" w:rsidP="009F6DB5">
      <w:pPr>
        <w:numPr>
          <w:ilvl w:val="0"/>
          <w:numId w:val="24"/>
        </w:numPr>
        <w:shd w:val="clear" w:color="auto" w:fill="E2EFD9" w:themeFill="accent6" w:themeFillTint="33"/>
        <w:spacing w:before="120" w:after="120" w:line="276" w:lineRule="auto"/>
        <w:ind w:left="142" w:hanging="284"/>
        <w:rPr>
          <w:rFonts w:ascii="Tahoma" w:eastAsia="+mn-ea" w:hAnsi="Tahoma" w:cs="Tahoma"/>
          <w:bCs/>
          <w:sz w:val="24"/>
          <w:szCs w:val="24"/>
        </w:rPr>
      </w:pPr>
      <w:r w:rsidRPr="00216E39">
        <w:rPr>
          <w:rFonts w:ascii="Tahoma" w:eastAsia="+mn-ea" w:hAnsi="Tahoma" w:cs="Tahoma"/>
          <w:b/>
          <w:bCs/>
          <w:sz w:val="24"/>
          <w:szCs w:val="24"/>
        </w:rPr>
        <w:t>Reforma, prioritizarea și programarea multianuală a investițiilor publice</w:t>
      </w:r>
      <w:r w:rsidRPr="00216E39">
        <w:rPr>
          <w:rFonts w:ascii="Tahoma" w:eastAsia="+mn-ea" w:hAnsi="Tahoma" w:cs="Tahoma"/>
          <w:bCs/>
          <w:sz w:val="24"/>
          <w:szCs w:val="24"/>
        </w:rPr>
        <w:t xml:space="preserve"> într-o manieră eficientă, profesionistă și transparentă cu efect multiplicator şi aport direct la formarea brută de capital fix, prin creșterea aportului fondurilor europene aferente cadrului financiar 2021-2027 și cele aferente Mecanismului de Redresare și Reziliență ce finanțează reformele și investițiile stabilite prin Programul Național de Redresare și Reziliență, cel mai mare pachet de stimulare din resursele europene alocate României;</w:t>
      </w:r>
    </w:p>
    <w:p w:rsidR="0083671E" w:rsidRPr="00216E39" w:rsidRDefault="0083671E" w:rsidP="009F6DB5">
      <w:pPr>
        <w:numPr>
          <w:ilvl w:val="0"/>
          <w:numId w:val="24"/>
        </w:numPr>
        <w:shd w:val="clear" w:color="auto" w:fill="E2EFD9" w:themeFill="accent6" w:themeFillTint="33"/>
        <w:spacing w:before="120" w:after="120" w:line="276" w:lineRule="auto"/>
        <w:ind w:left="142" w:hanging="284"/>
        <w:rPr>
          <w:rFonts w:ascii="Tahoma" w:eastAsia="+mn-ea" w:hAnsi="Tahoma" w:cs="Tahoma"/>
          <w:bCs/>
          <w:sz w:val="24"/>
          <w:szCs w:val="24"/>
        </w:rPr>
      </w:pPr>
      <w:r w:rsidRPr="00216E39">
        <w:rPr>
          <w:rFonts w:ascii="Tahoma" w:eastAsia="+mn-ea" w:hAnsi="Tahoma" w:cs="Tahoma"/>
          <w:b/>
          <w:bCs/>
          <w:sz w:val="24"/>
          <w:szCs w:val="24"/>
        </w:rPr>
        <w:t>Consolidarea unei politici fiscale predictibile</w:t>
      </w:r>
      <w:r w:rsidRPr="00216E39">
        <w:rPr>
          <w:rFonts w:ascii="Tahoma" w:eastAsia="+mn-ea" w:hAnsi="Tahoma" w:cs="Tahoma"/>
          <w:bCs/>
          <w:sz w:val="24"/>
          <w:szCs w:val="24"/>
        </w:rPr>
        <w:t xml:space="preserve"> angajate pe panta de reducere a deficitului bugetar, pentru susținerea și adaptarea mediului de afaceri la provocările ridicate de suita de crize cu care se confruntă societatea, simplificarea fiscalității și perfecționarea legislației în funcție de fenomenele evazioniste, pentru a crea premisa unei creșteri economice sănătoase și durabile;</w:t>
      </w:r>
    </w:p>
    <w:p w:rsidR="0083671E" w:rsidRPr="00216E39" w:rsidRDefault="0083671E" w:rsidP="009F6DB5">
      <w:pPr>
        <w:numPr>
          <w:ilvl w:val="0"/>
          <w:numId w:val="24"/>
        </w:numPr>
        <w:shd w:val="clear" w:color="auto" w:fill="E2EFD9" w:themeFill="accent6" w:themeFillTint="33"/>
        <w:spacing w:before="120" w:after="120" w:line="276" w:lineRule="auto"/>
        <w:ind w:left="142" w:hanging="284"/>
        <w:rPr>
          <w:rFonts w:ascii="Tahoma" w:eastAsia="+mn-ea" w:hAnsi="Tahoma" w:cs="Tahoma"/>
          <w:bCs/>
          <w:sz w:val="24"/>
          <w:szCs w:val="24"/>
        </w:rPr>
      </w:pPr>
      <w:r w:rsidRPr="00216E39">
        <w:rPr>
          <w:rFonts w:ascii="Tahoma" w:eastAsia="+mn-ea" w:hAnsi="Tahoma" w:cs="Tahoma"/>
          <w:b/>
          <w:bCs/>
          <w:sz w:val="24"/>
          <w:szCs w:val="24"/>
        </w:rPr>
        <w:t>Dezvoltarea şi diversificarea instrumentelor de management ale datoriei publice</w:t>
      </w:r>
      <w:r w:rsidRPr="00216E39">
        <w:rPr>
          <w:rFonts w:ascii="Tahoma" w:eastAsia="+mn-ea" w:hAnsi="Tahoma" w:cs="Tahoma"/>
          <w:bCs/>
          <w:sz w:val="24"/>
          <w:szCs w:val="24"/>
        </w:rPr>
        <w:t xml:space="preserve"> pentru menținerea datoriei publice la un nivel sustenabil;</w:t>
      </w:r>
    </w:p>
    <w:p w:rsidR="0083671E" w:rsidRPr="00216E39" w:rsidRDefault="0083671E" w:rsidP="009F6DB5">
      <w:pPr>
        <w:numPr>
          <w:ilvl w:val="0"/>
          <w:numId w:val="24"/>
        </w:numPr>
        <w:shd w:val="clear" w:color="auto" w:fill="E2EFD9" w:themeFill="accent6" w:themeFillTint="33"/>
        <w:spacing w:before="120" w:after="120" w:line="276" w:lineRule="auto"/>
        <w:ind w:left="142" w:hanging="284"/>
        <w:rPr>
          <w:rFonts w:ascii="Tahoma" w:eastAsia="+mn-ea" w:hAnsi="Tahoma" w:cs="Tahoma"/>
          <w:bCs/>
          <w:sz w:val="24"/>
          <w:szCs w:val="24"/>
        </w:rPr>
      </w:pPr>
      <w:r w:rsidRPr="00216E39">
        <w:rPr>
          <w:rFonts w:ascii="Tahoma" w:eastAsia="+mn-ea" w:hAnsi="Tahoma" w:cs="Tahoma"/>
          <w:b/>
          <w:bCs/>
          <w:sz w:val="24"/>
          <w:szCs w:val="24"/>
        </w:rPr>
        <w:t>Măsuri pentru crearea și consolidarea unor finanțe publice sănătoase</w:t>
      </w:r>
      <w:r w:rsidRPr="00216E39">
        <w:rPr>
          <w:rFonts w:ascii="Tahoma" w:eastAsia="+mn-ea" w:hAnsi="Tahoma" w:cs="Tahoma"/>
          <w:bCs/>
          <w:sz w:val="24"/>
          <w:szCs w:val="24"/>
        </w:rPr>
        <w:t>, prin eficientizarea calitativă a cheltuielilor publice, cu focalizare pe:</w:t>
      </w:r>
    </w:p>
    <w:p w:rsidR="0083671E" w:rsidRPr="00216E39" w:rsidRDefault="0083671E" w:rsidP="009F6DB5">
      <w:pPr>
        <w:pStyle w:val="ListParagraph"/>
        <w:numPr>
          <w:ilvl w:val="0"/>
          <w:numId w:val="25"/>
        </w:numPr>
        <w:shd w:val="clear" w:color="auto" w:fill="E2EFD9" w:themeFill="accent6" w:themeFillTint="33"/>
        <w:spacing w:before="120" w:after="120" w:line="276" w:lineRule="auto"/>
        <w:ind w:left="709" w:hanging="425"/>
        <w:contextualSpacing w:val="0"/>
        <w:rPr>
          <w:rFonts w:ascii="Tahoma" w:eastAsia="+mn-ea" w:hAnsi="Tahoma" w:cs="Tahoma"/>
          <w:bCs/>
          <w:sz w:val="24"/>
          <w:szCs w:val="24"/>
        </w:rPr>
      </w:pPr>
      <w:r w:rsidRPr="00216E39">
        <w:rPr>
          <w:rFonts w:ascii="Tahoma" w:eastAsia="+mn-ea" w:hAnsi="Tahoma" w:cs="Tahoma"/>
          <w:bCs/>
          <w:sz w:val="24"/>
          <w:szCs w:val="24"/>
        </w:rPr>
        <w:t>Finanțarea unor măsuri active economice pentru sprijinirea grupurilor celor mai vulnerabile, reforme în domeniul muncii, al pensiilor, al sprijinirii IMM al căror lanț de aprovizionare a fost puternic afectat de războiul împotriva Ucrainei;</w:t>
      </w:r>
    </w:p>
    <w:p w:rsidR="0083671E" w:rsidRPr="00216E39" w:rsidRDefault="0083671E" w:rsidP="009F6DB5">
      <w:pPr>
        <w:pStyle w:val="ListParagraph"/>
        <w:numPr>
          <w:ilvl w:val="0"/>
          <w:numId w:val="25"/>
        </w:numPr>
        <w:shd w:val="clear" w:color="auto" w:fill="E2EFD9" w:themeFill="accent6" w:themeFillTint="33"/>
        <w:spacing w:after="120"/>
        <w:ind w:left="709" w:hanging="425"/>
        <w:contextualSpacing w:val="0"/>
        <w:rPr>
          <w:rFonts w:ascii="Tahoma" w:eastAsia="+mn-ea" w:hAnsi="Tahoma" w:cs="Tahoma"/>
          <w:bCs/>
          <w:sz w:val="24"/>
          <w:szCs w:val="24"/>
        </w:rPr>
      </w:pPr>
      <w:r w:rsidRPr="00216E39">
        <w:rPr>
          <w:rFonts w:ascii="Tahoma" w:eastAsia="+mn-ea" w:hAnsi="Tahoma" w:cs="Tahoma"/>
          <w:bCs/>
          <w:sz w:val="24"/>
          <w:szCs w:val="24"/>
        </w:rPr>
        <w:t>Îmbunătățirea programării bugetare prin consolidarea bugetării pe programe pe bază de indicatori de rezultat pentru o construcție bugetară credibilă și responsabilă, care să permită transparența deplină a cheltuielilor publice, îmbunătățirea clarității și coerenței procesului de bugetare, prioritizarea politicilor sectoriale și asigurarea unei competiții reale între proiectele propuse spre finanțare și susținerea performanței;</w:t>
      </w:r>
    </w:p>
    <w:p w:rsidR="006C7F83" w:rsidRPr="00216E39" w:rsidRDefault="006C7F83" w:rsidP="009F6DB5">
      <w:pPr>
        <w:pStyle w:val="ListParagraph"/>
        <w:numPr>
          <w:ilvl w:val="0"/>
          <w:numId w:val="25"/>
        </w:numPr>
        <w:shd w:val="clear" w:color="auto" w:fill="E2EFD9" w:themeFill="accent6" w:themeFillTint="33"/>
        <w:spacing w:after="120"/>
        <w:ind w:left="709" w:hanging="425"/>
        <w:contextualSpacing w:val="0"/>
        <w:rPr>
          <w:rFonts w:ascii="Tahoma" w:eastAsia="+mn-ea" w:hAnsi="Tahoma" w:cs="Tahoma"/>
          <w:bCs/>
          <w:sz w:val="24"/>
          <w:szCs w:val="24"/>
        </w:rPr>
      </w:pPr>
      <w:r w:rsidRPr="00216E39">
        <w:rPr>
          <w:rFonts w:ascii="Tahoma" w:eastAsia="+mn-ea" w:hAnsi="Tahoma" w:cs="Tahoma"/>
          <w:bCs/>
          <w:sz w:val="24"/>
          <w:szCs w:val="24"/>
        </w:rPr>
        <w:lastRenderedPageBreak/>
        <w:t>Alocarea dirijată către priorități bine definite și mai multă responsabilitate în utilizarea fondurilor publice, realizate prin implementarea măsurilor de eficientizare a cheltuielilor publice, evitarea risipei fondurilor publice;</w:t>
      </w:r>
    </w:p>
    <w:p w:rsidR="009950F5" w:rsidRPr="00216E39" w:rsidRDefault="009950F5" w:rsidP="00634A05">
      <w:pPr>
        <w:shd w:val="clear" w:color="auto" w:fill="FFFFFF" w:themeFill="background1"/>
        <w:spacing w:after="0" w:line="276" w:lineRule="auto"/>
        <w:ind w:left="701" w:firstLine="0"/>
        <w:contextualSpacing/>
        <w:rPr>
          <w:rFonts w:ascii="Trebuchet MS" w:eastAsia="Calibri" w:hAnsi="Trebuchet MS" w:cs="Calibri"/>
          <w:b/>
          <w:color w:val="000066"/>
        </w:rPr>
      </w:pPr>
    </w:p>
    <w:p w:rsidR="00E3539E" w:rsidRPr="00216E39" w:rsidRDefault="007C4F03" w:rsidP="001F3032">
      <w:pPr>
        <w:keepNext/>
        <w:keepLines/>
        <w:spacing w:after="240" w:line="276" w:lineRule="auto"/>
        <w:ind w:firstLine="0"/>
        <w:rPr>
          <w:rFonts w:ascii="Tahoma" w:hAnsi="Tahoma" w:cs="Tahoma"/>
          <w:b/>
          <w:bCs/>
          <w:sz w:val="24"/>
          <w:szCs w:val="24"/>
        </w:rPr>
      </w:pPr>
      <w:r w:rsidRPr="00216E39">
        <w:rPr>
          <w:rFonts w:ascii="Tahoma" w:hAnsi="Tahoma" w:cs="Tahoma"/>
          <w:b/>
          <w:bCs/>
          <w:sz w:val="24"/>
          <w:szCs w:val="24"/>
        </w:rPr>
        <w:t xml:space="preserve">Principalele măsuri </w:t>
      </w:r>
      <w:r w:rsidR="008A09B8" w:rsidRPr="00216E39">
        <w:rPr>
          <w:rFonts w:ascii="Tahoma" w:hAnsi="Tahoma" w:cs="Tahoma"/>
          <w:b/>
          <w:bCs/>
          <w:sz w:val="24"/>
          <w:szCs w:val="24"/>
        </w:rPr>
        <w:t>avute în vedere la elabora</w:t>
      </w:r>
      <w:r w:rsidR="001D00F4" w:rsidRPr="00216E39">
        <w:rPr>
          <w:rFonts w:ascii="Tahoma" w:hAnsi="Tahoma" w:cs="Tahoma"/>
          <w:b/>
          <w:bCs/>
          <w:sz w:val="24"/>
          <w:szCs w:val="24"/>
        </w:rPr>
        <w:t xml:space="preserve">rea </w:t>
      </w:r>
      <w:r w:rsidRPr="00216E39">
        <w:rPr>
          <w:rFonts w:ascii="Tahoma" w:hAnsi="Tahoma" w:cs="Tahoma"/>
          <w:b/>
          <w:bCs/>
          <w:sz w:val="24"/>
          <w:szCs w:val="24"/>
        </w:rPr>
        <w:t>bugetul</w:t>
      </w:r>
      <w:r w:rsidR="001D00F4" w:rsidRPr="00216E39">
        <w:rPr>
          <w:rFonts w:ascii="Tahoma" w:hAnsi="Tahoma" w:cs="Tahoma"/>
          <w:b/>
          <w:bCs/>
          <w:sz w:val="24"/>
          <w:szCs w:val="24"/>
        </w:rPr>
        <w:t>ui</w:t>
      </w:r>
      <w:r w:rsidRPr="00216E39">
        <w:rPr>
          <w:rFonts w:ascii="Tahoma" w:hAnsi="Tahoma" w:cs="Tahoma"/>
          <w:b/>
          <w:bCs/>
          <w:sz w:val="24"/>
          <w:szCs w:val="24"/>
        </w:rPr>
        <w:t xml:space="preserve"> pe anul </w:t>
      </w:r>
      <w:r w:rsidR="00DC7F79" w:rsidRPr="00216E39">
        <w:rPr>
          <w:rFonts w:ascii="Tahoma" w:hAnsi="Tahoma" w:cs="Tahoma"/>
          <w:b/>
          <w:bCs/>
          <w:sz w:val="24"/>
          <w:szCs w:val="24"/>
        </w:rPr>
        <w:t>20</w:t>
      </w:r>
      <w:r w:rsidR="00605688" w:rsidRPr="00216E39">
        <w:rPr>
          <w:rFonts w:ascii="Tahoma" w:hAnsi="Tahoma" w:cs="Tahoma"/>
          <w:b/>
          <w:bCs/>
          <w:sz w:val="24"/>
          <w:szCs w:val="24"/>
        </w:rPr>
        <w:t>2</w:t>
      </w:r>
      <w:r w:rsidR="00A4337D" w:rsidRPr="00216E39">
        <w:rPr>
          <w:rFonts w:ascii="Tahoma" w:hAnsi="Tahoma" w:cs="Tahoma"/>
          <w:b/>
          <w:bCs/>
          <w:sz w:val="24"/>
          <w:szCs w:val="24"/>
        </w:rPr>
        <w:t>4</w:t>
      </w:r>
      <w:r w:rsidRPr="00216E39">
        <w:rPr>
          <w:rFonts w:ascii="Tahoma" w:hAnsi="Tahoma" w:cs="Tahoma"/>
          <w:b/>
          <w:bCs/>
          <w:sz w:val="24"/>
          <w:szCs w:val="24"/>
        </w:rPr>
        <w:t>:</w:t>
      </w:r>
    </w:p>
    <w:p w:rsidR="00A4337D" w:rsidRPr="00216E39" w:rsidRDefault="00A4337D" w:rsidP="00115144">
      <w:pPr>
        <w:shd w:val="clear" w:color="auto" w:fill="E2EFD9" w:themeFill="accent6" w:themeFillTint="33"/>
        <w:autoSpaceDE w:val="0"/>
        <w:autoSpaceDN w:val="0"/>
        <w:adjustRightInd w:val="0"/>
        <w:spacing w:before="120" w:after="240"/>
        <w:ind w:left="697"/>
        <w:rPr>
          <w:rFonts w:ascii="Tahoma" w:hAnsi="Tahoma" w:cs="Tahoma"/>
          <w:b/>
          <w:sz w:val="24"/>
          <w:szCs w:val="24"/>
          <w:lang w:eastAsia="ro-RO"/>
        </w:rPr>
      </w:pPr>
      <w:r w:rsidRPr="00216E39">
        <w:rPr>
          <w:rFonts w:ascii="Tahoma" w:hAnsi="Tahoma" w:cs="Tahoma"/>
          <w:b/>
          <w:sz w:val="24"/>
          <w:szCs w:val="24"/>
          <w:lang w:eastAsia="ro-RO"/>
        </w:rPr>
        <w:t>Pe parte de venituri:</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impozit minim de 1% pe cifra de afaceri pentru companii care înregistrează în anul precedent o cifră de afaceri de peste 50 milioane euro, și care în anul de calcul determină un impozit pe profit mai mic decât impozitul minim pe cifra de afaceri</w:t>
      </w:r>
      <w:r w:rsidRPr="00216E39">
        <w:rPr>
          <w:rFonts w:ascii="Tahoma" w:hAnsi="Tahoma" w:cs="Tahoma"/>
          <w:sz w:val="24"/>
          <w:szCs w:val="24"/>
        </w:rPr>
        <w:t xml:space="preserve">; Impozitul se aplică veniturilor totale ajustate cu </w:t>
      </w:r>
      <w:r w:rsidRPr="00216E39">
        <w:rPr>
          <w:rFonts w:ascii="Tahoma" w:eastAsia="Calibri" w:hAnsi="Tahoma" w:cs="Tahoma"/>
          <w:sz w:val="24"/>
          <w:szCs w:val="24"/>
        </w:rPr>
        <w:t>venituri neimpozabile, investiții și amortizare;</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 xml:space="preserve">impozit suplimentar pentru instituțiile de credit calculat prin aplicarea asupra cifrei de afaceri a unei cote de impozitare astfel: 2% în perioada 1 ianuarie 2024 – 31 decembrie 2025, respectiv </w:t>
      </w:r>
      <w:r w:rsidRPr="00216E39">
        <w:rPr>
          <w:rFonts w:ascii="Tahoma" w:eastAsia="Verdana" w:hAnsi="Tahoma" w:cs="Tahoma"/>
          <w:bCs/>
          <w:iCs/>
          <w:sz w:val="24"/>
          <w:szCs w:val="24"/>
          <w:lang w:eastAsia="ro-RO"/>
        </w:rPr>
        <w:t>1% începând cu 1 ianuarie 2026. Cifra de afaceri cuprinde venituri din dobânzi, dividende, taxe și comisioane, respe</w:t>
      </w:r>
      <w:r w:rsidR="008E1E02" w:rsidRPr="00216E39">
        <w:rPr>
          <w:rFonts w:ascii="Tahoma" w:eastAsia="Verdana" w:hAnsi="Tahoma" w:cs="Tahoma"/>
          <w:bCs/>
          <w:iCs/>
          <w:sz w:val="24"/>
          <w:szCs w:val="24"/>
          <w:lang w:eastAsia="ro-RO"/>
        </w:rPr>
        <w:t>ctiv alte categorii de venituri;</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impozit suplimentar pentru operatorii din sectoarele petrol și gaze naturale, care înregistrează în anul precedent o cifră de afaceri de peste 50 milioane euro: se impune un impozit suplimentar de 0,5% din veniturile totale ajustate cu venituri neimpozabile, investiții și amortizări;</w:t>
      </w:r>
    </w:p>
    <w:p w:rsidR="003B02C3"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 xml:space="preserve">instituirea a două cote de impozitare pe veniturile microîntreprinderilor, astfel: </w:t>
      </w:r>
    </w:p>
    <w:p w:rsidR="003B02C3" w:rsidRPr="00216E39" w:rsidRDefault="00A4337D" w:rsidP="003B02C3">
      <w:pPr>
        <w:suppressAutoHyphens/>
        <w:spacing w:after="120" w:line="276" w:lineRule="auto"/>
        <w:ind w:left="1134" w:firstLine="57"/>
        <w:rPr>
          <w:rFonts w:ascii="Tahoma" w:eastAsia="Calibri" w:hAnsi="Tahoma" w:cs="Tahoma"/>
          <w:sz w:val="24"/>
          <w:szCs w:val="24"/>
        </w:rPr>
      </w:pPr>
      <w:r w:rsidRPr="00216E39">
        <w:rPr>
          <w:rFonts w:ascii="Tahoma" w:eastAsia="Calibri" w:hAnsi="Tahoma" w:cs="Tahoma"/>
          <w:sz w:val="24"/>
          <w:szCs w:val="24"/>
        </w:rPr>
        <w:t>a) 1% pentru microîntreprinderile care realizează venituri ce nu depășesc 60.000 euro;</w:t>
      </w:r>
    </w:p>
    <w:p w:rsidR="00A4337D" w:rsidRPr="00216E39" w:rsidRDefault="00A4337D" w:rsidP="003B02C3">
      <w:pPr>
        <w:suppressAutoHyphens/>
        <w:spacing w:after="120" w:line="276" w:lineRule="auto"/>
        <w:ind w:left="1134" w:firstLine="57"/>
        <w:rPr>
          <w:rFonts w:ascii="Tahoma" w:eastAsia="Calibri" w:hAnsi="Tahoma" w:cs="Tahoma"/>
          <w:sz w:val="24"/>
          <w:szCs w:val="24"/>
        </w:rPr>
      </w:pPr>
      <w:r w:rsidRPr="00216E39">
        <w:rPr>
          <w:rFonts w:ascii="Tahoma" w:eastAsia="Calibri" w:hAnsi="Tahoma" w:cs="Tahoma"/>
          <w:sz w:val="24"/>
          <w:szCs w:val="24"/>
        </w:rPr>
        <w:t>b) 3% pentru microîntreprinderile care (i) realizează venituri peste 60.000 euro sau (ii) desfășoară activități, principale sau secundare, în domeniile editare produse software, facilități de cazare, restaurante, catering pentru evenimente, baruri, activități juridice (societățile cu personalitate juridică care nu sunt entități transparente fiscal, constituite de avocați), activități de asistență medicală generală</w:t>
      </w:r>
      <w:r w:rsidR="008E1E02" w:rsidRPr="00216E39">
        <w:rPr>
          <w:rFonts w:ascii="Tahoma" w:eastAsia="Calibri" w:hAnsi="Tahoma" w:cs="Tahoma"/>
          <w:sz w:val="24"/>
          <w:szCs w:val="24"/>
        </w:rPr>
        <w:t xml:space="preserve"> sau specializată, stomatologie;</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revizuirea reglementării privind acordarea facilităților fiscale pentru persoanele fizice care obțin venituri din salarii și asimilate salariilor ca urmare a desfășurării activității de creare de programe pentru calculator: scutirea de la plata impozitului pe venit se aplică numai pentru veniturile realizate în baza unui singur contract individual de muncă și pentru veniturile brute lunare de până la 10.000 lei inclusiv. Suplimentar, persoanele fizice pot opta pentru plata contribuției datorată la fondul de pensii administrat privat. Aplicarea facilităților fiscale se limitează pâ</w:t>
      </w:r>
      <w:r w:rsidR="008E1E02" w:rsidRPr="00216E39">
        <w:rPr>
          <w:rFonts w:ascii="Tahoma" w:eastAsia="Calibri" w:hAnsi="Tahoma" w:cs="Tahoma"/>
          <w:sz w:val="24"/>
          <w:szCs w:val="24"/>
        </w:rPr>
        <w:t>nă la data de 31 decembrie 2028;</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lastRenderedPageBreak/>
        <w:t>revizuirea reglementărilor privind acordarea facilităților fiscale în sectorul construcții, precum și în sectorul agricol și în industria alimentară: i) scutirea de la plata impozitului pe venit se aplică numai pentru veniturile realizate în baza unui singur contract individual de muncă, cu normă întreagă sau cu timp parțial, și pentru veniturile brute lunare de până la 10.000 lei inclusiv; ii) eliminarea exceptării de la plata contribuției de asigurări sociale de sănătate; iii) scutirea de la plata contribuției de asigurări sociale datorată de angajatori pentru activitatea desfășurată în condiții deosebite, special</w:t>
      </w:r>
      <w:r w:rsidR="008E1E02" w:rsidRPr="00216E39">
        <w:rPr>
          <w:rFonts w:ascii="Tahoma" w:eastAsia="Calibri" w:hAnsi="Tahoma" w:cs="Tahoma"/>
          <w:sz w:val="24"/>
          <w:szCs w:val="24"/>
        </w:rPr>
        <w:t>e sau în alte condiții de muncă;</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includerea sumelor reprezentând valoarea nominală a tichetelor de masă și a voucherelor de vacanță acordate potrivit legii, în baza lunară de calcul al contribuției de asigurări sociale de sănătate pentru persoanele fizice care obțin venituri din salarii şi asimilate salariilor. Măsura intră în vigoare începând cu venituri</w:t>
      </w:r>
      <w:r w:rsidR="008E1E02" w:rsidRPr="00216E39">
        <w:rPr>
          <w:rFonts w:ascii="Tahoma" w:eastAsia="Calibri" w:hAnsi="Tahoma" w:cs="Tahoma"/>
          <w:sz w:val="24"/>
          <w:szCs w:val="24"/>
        </w:rPr>
        <w:t>le aferente lunii ianuarie 2024;</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modificarea regimului aplicabil din punct de vedere al contribuției de asigurări sociale de sănătate datorate în cazul persoanelor fizice care realizează venituri din activități independente. Persoanele fizice care realizează venituri din activități independente, din una sau mai multe surse, datorează contribuția de asigurări sociale de sănătate pe fiecare sursă de venit, la o bază anuală de calcul egală care nu poate fi mai mare decât cea corespunzătoare unei baze anuale de calcul egală cu nivelul de 60 salarii minime brute p</w:t>
      </w:r>
      <w:r w:rsidR="008E1E02" w:rsidRPr="00216E39">
        <w:rPr>
          <w:rFonts w:ascii="Tahoma" w:eastAsia="Calibri" w:hAnsi="Tahoma" w:cs="Tahoma"/>
          <w:sz w:val="24"/>
          <w:szCs w:val="24"/>
        </w:rPr>
        <w:t>e țară;</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creșterea cotei de TVA de 5% la 9% pentru livrarea de locuințe sociale (cu păstrarea plafonului de 600 000 Lei), livrarea alimentelor de înaltă valoare calitativă, livrarea şi instalarea de panouri fotovoltaice, panouri solare termice, pompe de căldură şi alte sisteme de încălzire de înaltă eficiență, pentru centre de fitness/baze sportive, activități recreative (parcuri  de distracții /recreative, bâlciuri)</w:t>
      </w:r>
      <w:r w:rsidR="008E1E02" w:rsidRPr="00216E39">
        <w:rPr>
          <w:rFonts w:ascii="Tahoma" w:eastAsia="Calibri" w:hAnsi="Tahoma" w:cs="Tahoma"/>
          <w:sz w:val="24"/>
          <w:szCs w:val="24"/>
        </w:rPr>
        <w:t xml:space="preserve"> și intrare evenimente sportive;</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 xml:space="preserve">trecerea de la aplicarea cotei reduse de TVA de 9% la aplicarea cotei standard de TVA pentru livrarea de bere fără alcool și de alimente cu zahăr adăugat, al căror conținut total de zahăr </w:t>
      </w:r>
      <w:r w:rsidR="008E1E02" w:rsidRPr="00216E39">
        <w:rPr>
          <w:rFonts w:ascii="Tahoma" w:eastAsia="Calibri" w:hAnsi="Tahoma" w:cs="Tahoma"/>
          <w:sz w:val="24"/>
          <w:szCs w:val="24"/>
        </w:rPr>
        <w:t>este de minimum 10g/100g produs;</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Modificarea cotei de TVA de la 5% la 19% pentru transportul de persoane în scop turistic sau d</w:t>
      </w:r>
      <w:r w:rsidR="008E1E02" w:rsidRPr="00216E39">
        <w:rPr>
          <w:rFonts w:ascii="Tahoma" w:eastAsia="Calibri" w:hAnsi="Tahoma" w:cs="Tahoma"/>
          <w:sz w:val="24"/>
          <w:szCs w:val="24"/>
        </w:rPr>
        <w:t>e agrement;</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Introducerea în sfera produselor supuse accizelor nearmonizate a băuturilor nealcoolice cu zahăr adăugat/conținut de zahar între 5-8 g/100 ml 0.4 lei/litru și peste 8g/100 ml 0.6 lei/litru;</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majorarea nivelului accizelor pentru produsele de tutun cu 7.5% de la 1 ian 2024;</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lastRenderedPageBreak/>
        <w:t>majorarea nivelului accizelor pentru produsele cu alcool cu 10% de la 1 ian 2024;</w:t>
      </w:r>
    </w:p>
    <w:p w:rsidR="00A4337D" w:rsidRPr="00216E39" w:rsidRDefault="00A4337D" w:rsidP="00115144">
      <w:pPr>
        <w:numPr>
          <w:ilvl w:val="0"/>
          <w:numId w:val="31"/>
        </w:numPr>
        <w:suppressAutoHyphens/>
        <w:spacing w:after="120" w:line="276" w:lineRule="auto"/>
        <w:ind w:left="992" w:hanging="425"/>
        <w:rPr>
          <w:rFonts w:ascii="Tahoma" w:eastAsia="Calibri" w:hAnsi="Tahoma" w:cs="Tahoma"/>
          <w:sz w:val="24"/>
          <w:szCs w:val="24"/>
        </w:rPr>
      </w:pPr>
      <w:r w:rsidRPr="00216E39">
        <w:rPr>
          <w:rFonts w:ascii="Tahoma" w:eastAsia="Calibri" w:hAnsi="Tahoma" w:cs="Tahoma"/>
          <w:sz w:val="24"/>
          <w:szCs w:val="24"/>
        </w:rPr>
        <w:t>impozitarea proprietăților imobiliare și mobiliare de valoare mare de 0,3% pentru proprietățile reprezentând clădiri rezidențiale, cota fiind aplicată asupra diferenței dintre valoarea impozabilă a clădirii comunicată de către organul fiscal local prin decizia de impunere și plafonul de 2.500.000 lei, respectiv în cazul autoturismelor, cota se aplică asupra diferenței dintre valoarea de achiziție și plafonul de 375.000 lei.</w:t>
      </w:r>
    </w:p>
    <w:p w:rsidR="00A4337D" w:rsidRPr="00216E39" w:rsidRDefault="00A4337D" w:rsidP="00A4337D">
      <w:pPr>
        <w:tabs>
          <w:tab w:val="num" w:pos="284"/>
        </w:tabs>
        <w:suppressAutoHyphens/>
        <w:spacing w:after="160" w:line="259" w:lineRule="auto"/>
        <w:ind w:left="284"/>
        <w:contextualSpacing/>
        <w:rPr>
          <w:rFonts w:ascii="Trebuchet MS" w:eastAsia="Calibri" w:hAnsi="Trebuchet MS" w:cs="Arial"/>
        </w:rPr>
      </w:pPr>
    </w:p>
    <w:p w:rsidR="00A4337D" w:rsidRPr="00216E39" w:rsidRDefault="00A4337D" w:rsidP="00115144">
      <w:pPr>
        <w:shd w:val="clear" w:color="auto" w:fill="E2EFD9" w:themeFill="accent6" w:themeFillTint="33"/>
        <w:spacing w:after="240"/>
        <w:ind w:left="811"/>
        <w:rPr>
          <w:rFonts w:ascii="Tahoma" w:hAnsi="Tahoma" w:cs="Tahoma"/>
          <w:b/>
          <w:bCs/>
          <w:iCs/>
          <w:sz w:val="24"/>
          <w:szCs w:val="24"/>
        </w:rPr>
      </w:pPr>
      <w:r w:rsidRPr="00216E39">
        <w:rPr>
          <w:rFonts w:ascii="Tahoma" w:hAnsi="Tahoma" w:cs="Tahoma"/>
          <w:b/>
          <w:bCs/>
          <w:iCs/>
          <w:sz w:val="24"/>
          <w:szCs w:val="24"/>
        </w:rPr>
        <w:t>Pe parte de cheltuieli:</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desființarea posturilor vacante;</w:t>
      </w:r>
    </w:p>
    <w:p w:rsidR="003B02C3"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 xml:space="preserve">majorarea normativelor pentru constituirea structurilor la nivel de serviciu/direcție/direcție generală: </w:t>
      </w:r>
    </w:p>
    <w:p w:rsidR="003B02C3" w:rsidRPr="00216E39" w:rsidRDefault="00A4337D" w:rsidP="003B02C3">
      <w:pPr>
        <w:suppressAutoHyphens/>
        <w:spacing w:after="120" w:line="276" w:lineRule="auto"/>
        <w:ind w:left="1134" w:firstLine="0"/>
        <w:rPr>
          <w:rFonts w:ascii="Tahoma" w:eastAsia="Calibri" w:hAnsi="Tahoma" w:cs="Tahoma"/>
          <w:sz w:val="24"/>
          <w:szCs w:val="24"/>
        </w:rPr>
      </w:pPr>
      <w:r w:rsidRPr="00216E39">
        <w:rPr>
          <w:rFonts w:ascii="Tahoma" w:eastAsia="Calibri" w:hAnsi="Tahoma" w:cs="Tahoma"/>
          <w:sz w:val="24"/>
          <w:szCs w:val="24"/>
        </w:rPr>
        <w:t>a) minimum 10 posturi de execuție pentru constituirea unui serviciu;</w:t>
      </w:r>
    </w:p>
    <w:p w:rsidR="003B02C3" w:rsidRPr="00216E39" w:rsidRDefault="00A4337D" w:rsidP="003B02C3">
      <w:pPr>
        <w:suppressAutoHyphens/>
        <w:spacing w:after="120" w:line="276" w:lineRule="auto"/>
        <w:ind w:left="1134" w:firstLine="0"/>
        <w:rPr>
          <w:rFonts w:ascii="Tahoma" w:eastAsia="Calibri" w:hAnsi="Tahoma" w:cs="Tahoma"/>
          <w:sz w:val="24"/>
          <w:szCs w:val="24"/>
        </w:rPr>
      </w:pPr>
      <w:r w:rsidRPr="00216E39">
        <w:rPr>
          <w:rFonts w:ascii="Tahoma" w:eastAsia="Calibri" w:hAnsi="Tahoma" w:cs="Tahoma"/>
          <w:sz w:val="24"/>
          <w:szCs w:val="24"/>
        </w:rPr>
        <w:t>b) minimum 20 posturi de execuție pentru constituirea unei direcții;</w:t>
      </w:r>
    </w:p>
    <w:p w:rsidR="00A4337D" w:rsidRPr="00216E39" w:rsidRDefault="00A4337D" w:rsidP="003B02C3">
      <w:pPr>
        <w:suppressAutoHyphens/>
        <w:spacing w:after="120" w:line="276" w:lineRule="auto"/>
        <w:ind w:left="1134" w:firstLine="0"/>
        <w:rPr>
          <w:rFonts w:ascii="Tahoma" w:eastAsia="Calibri" w:hAnsi="Tahoma" w:cs="Tahoma"/>
          <w:sz w:val="24"/>
          <w:szCs w:val="24"/>
        </w:rPr>
      </w:pPr>
      <w:r w:rsidRPr="00216E39">
        <w:rPr>
          <w:rFonts w:ascii="Tahoma" w:eastAsia="Calibri" w:hAnsi="Tahoma" w:cs="Tahoma"/>
          <w:sz w:val="24"/>
          <w:szCs w:val="24"/>
        </w:rPr>
        <w:t>c) minimum 35 de posturi de execuție pentru constituirea unei direcții generale;</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 xml:space="preserve">diminuarea ponderii funcțiilor publice de conducere în totalul funcțiilor la nivel ordonator principal de credite de la 12% la 8%; Limitarea funcțiilor de conducere la maxim 10% pentru celelalte categorii de personal bugetar; </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acordarea voucherelor de vacanță numai pentru funcționarii publici cu un venit sub nivelul unui plafon de 8.000 lei net/lunar. Valoarea voucherului de vacanță crește de la 1.450 lei/an la 1.600 lei/an pentru a nu fi afectați funcționarii de introducerea CASS de 10% la voucherele de vacanță;</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acordarea indemnizației de hrană numai pentru funcționarii publici cu venituri sub 8.000 lei net/lunar;</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plafonarea sporului de condiții vătămătoare (sporul de antenă) de 15% din salariul de bază dar nu mai mult de 1.500 lei brut/lună pentru toate domeniile de activitate din sectorul bugetar;</w:t>
      </w:r>
    </w:p>
    <w:p w:rsidR="008E1E02"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 xml:space="preserve">aprobarea/modificarea de normative de cheltuieli pentru instituțiile și autoritățile publice în ce privește dotarea cu autoturisme si consumul de carburanți; </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Limitarea cheltuielilor cu achiziția de aparate de telefonie mobilă și de abonamente lunare de telefonie mobilă;</w:t>
      </w:r>
    </w:p>
    <w:p w:rsidR="00A4337D" w:rsidRPr="00216E39" w:rsidRDefault="00A4337D" w:rsidP="00115144">
      <w:pPr>
        <w:numPr>
          <w:ilvl w:val="0"/>
          <w:numId w:val="32"/>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diminuarea cu cel puțin 25% a funcțiilor de demnitate publică de secretar de stat, consilier de stat/subsecretar de stat/vicepreședinte și a funcțiilor de demnitate publică asimilate acestora;</w:t>
      </w:r>
    </w:p>
    <w:p w:rsidR="00A4337D" w:rsidRPr="00216E39" w:rsidRDefault="00A4337D" w:rsidP="00115144">
      <w:pPr>
        <w:numPr>
          <w:ilvl w:val="0"/>
          <w:numId w:val="30"/>
        </w:numPr>
        <w:suppressAutoHyphens/>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lastRenderedPageBreak/>
        <w:t>majorarea pensiilor de asigurări sociale cu 13,8% începând cu luna ianuarie și acordarea pensiilor recalculate conform noi legi a pensiilor începând cu luna septembrie;</w:t>
      </w:r>
    </w:p>
    <w:p w:rsidR="00A4337D" w:rsidRPr="00216E39" w:rsidRDefault="00A4337D" w:rsidP="00115144">
      <w:pPr>
        <w:numPr>
          <w:ilvl w:val="0"/>
          <w:numId w:val="27"/>
        </w:numPr>
        <w:spacing w:after="120" w:line="276" w:lineRule="auto"/>
        <w:ind w:left="907" w:hanging="340"/>
        <w:rPr>
          <w:rFonts w:ascii="Tahoma" w:hAnsi="Tahoma" w:cs="Tahoma"/>
          <w:noProof/>
          <w:kern w:val="2"/>
          <w:sz w:val="24"/>
          <w:szCs w:val="24"/>
          <w:lang w:eastAsia="ar-SA"/>
        </w:rPr>
      </w:pPr>
      <w:r w:rsidRPr="00216E39">
        <w:rPr>
          <w:rFonts w:ascii="Tahoma" w:eastAsia="Calibri" w:hAnsi="Tahoma" w:cs="Tahoma"/>
          <w:sz w:val="24"/>
          <w:szCs w:val="24"/>
        </w:rPr>
        <w:t>majorarea cu 5% a salariilor de bază ale personalului plătit din fonduri publice cu excepția personalului din învățământ care va beneficia de o majorare de 20%, ce va fi acordată în două tranșe de la 1 ianuarie și 1 iunie 2024;</w:t>
      </w:r>
    </w:p>
    <w:p w:rsidR="00A4337D" w:rsidRPr="00216E39" w:rsidRDefault="00A4337D" w:rsidP="00115144">
      <w:pPr>
        <w:numPr>
          <w:ilvl w:val="0"/>
          <w:numId w:val="27"/>
        </w:numPr>
        <w:spacing w:after="120" w:line="276" w:lineRule="auto"/>
        <w:ind w:left="907" w:hanging="340"/>
        <w:rPr>
          <w:rFonts w:ascii="Tahoma" w:hAnsi="Tahoma" w:cs="Tahoma"/>
          <w:noProof/>
          <w:kern w:val="2"/>
          <w:sz w:val="24"/>
          <w:szCs w:val="24"/>
          <w:lang w:eastAsia="ar-SA"/>
        </w:rPr>
      </w:pPr>
      <w:r w:rsidRPr="00216E39">
        <w:rPr>
          <w:rFonts w:ascii="Tahoma" w:hAnsi="Tahoma" w:cs="Tahoma"/>
          <w:noProof/>
          <w:kern w:val="2"/>
          <w:sz w:val="24"/>
          <w:szCs w:val="24"/>
          <w:lang w:eastAsia="ar-SA"/>
        </w:rPr>
        <w:t>munca suplimentară efectuată peste durata normală a timpului de lucru de către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va compensa numai cu timp liber corespunzător, cu anumite exceptii prevăzute de lege;</w:t>
      </w:r>
    </w:p>
    <w:p w:rsidR="00A4337D" w:rsidRPr="00216E39" w:rsidRDefault="00574D26" w:rsidP="00115144">
      <w:pPr>
        <w:numPr>
          <w:ilvl w:val="0"/>
          <w:numId w:val="27"/>
        </w:numPr>
        <w:tabs>
          <w:tab w:val="num" w:pos="284"/>
        </w:tabs>
        <w:suppressAutoHyphens/>
        <w:spacing w:after="120" w:line="276" w:lineRule="auto"/>
        <w:ind w:left="907" w:hanging="340"/>
        <w:rPr>
          <w:rFonts w:ascii="Tahoma" w:hAnsi="Tahoma" w:cs="Tahoma"/>
          <w:noProof/>
          <w:kern w:val="2"/>
          <w:sz w:val="24"/>
          <w:szCs w:val="24"/>
          <w:lang w:eastAsia="ar-SA"/>
        </w:rPr>
      </w:pPr>
      <w:r w:rsidRPr="00216E39">
        <w:rPr>
          <w:rFonts w:ascii="Tahoma" w:eastAsia="Calibri" w:hAnsi="Tahoma" w:cs="Tahoma"/>
          <w:sz w:val="24"/>
          <w:szCs w:val="24"/>
        </w:rPr>
        <w:t>instituțiile</w:t>
      </w:r>
      <w:r w:rsidR="00A4337D" w:rsidRPr="00216E39">
        <w:rPr>
          <w:rFonts w:ascii="Tahoma" w:eastAsia="Calibri" w:hAnsi="Tahoma" w:cs="Tahoma"/>
          <w:sz w:val="24"/>
          <w:szCs w:val="24"/>
        </w:rPr>
        <w:t xml:space="preserve"> şi </w:t>
      </w:r>
      <w:r w:rsidRPr="00216E39">
        <w:rPr>
          <w:rFonts w:ascii="Tahoma" w:eastAsia="Calibri" w:hAnsi="Tahoma" w:cs="Tahoma"/>
          <w:sz w:val="24"/>
          <w:szCs w:val="24"/>
        </w:rPr>
        <w:t>autoritățile</w:t>
      </w:r>
      <w:r w:rsidR="00A4337D" w:rsidRPr="00216E39">
        <w:rPr>
          <w:rFonts w:ascii="Tahoma" w:eastAsia="Calibri" w:hAnsi="Tahoma" w:cs="Tahoma"/>
          <w:sz w:val="24"/>
          <w:szCs w:val="24"/>
        </w:rPr>
        <w:t xml:space="preserve"> publice nu acordă personalului din cadrul acestora bilete de valoare, cu </w:t>
      </w:r>
      <w:r w:rsidRPr="00216E39">
        <w:rPr>
          <w:rFonts w:ascii="Tahoma" w:eastAsia="Calibri" w:hAnsi="Tahoma" w:cs="Tahoma"/>
          <w:sz w:val="24"/>
          <w:szCs w:val="24"/>
        </w:rPr>
        <w:t>excepția</w:t>
      </w:r>
      <w:r w:rsidR="00A4337D" w:rsidRPr="00216E39">
        <w:rPr>
          <w:rFonts w:ascii="Tahoma" w:eastAsia="Calibri" w:hAnsi="Tahoma" w:cs="Tahoma"/>
          <w:sz w:val="24"/>
          <w:szCs w:val="24"/>
        </w:rPr>
        <w:t xml:space="preserve"> tichetelor de </w:t>
      </w:r>
      <w:r w:rsidRPr="00216E39">
        <w:rPr>
          <w:rFonts w:ascii="Tahoma" w:eastAsia="Calibri" w:hAnsi="Tahoma" w:cs="Tahoma"/>
          <w:sz w:val="24"/>
          <w:szCs w:val="24"/>
        </w:rPr>
        <w:t>creșă</w:t>
      </w:r>
      <w:r w:rsidR="00A4337D" w:rsidRPr="00216E39">
        <w:rPr>
          <w:rFonts w:ascii="Tahoma" w:eastAsia="Calibri" w:hAnsi="Tahoma" w:cs="Tahoma"/>
          <w:sz w:val="24"/>
          <w:szCs w:val="24"/>
        </w:rPr>
        <w:t>, reglementate de Legea nr. 165/2018 privind acordarea biletelor de valoare, cu modificările şi completările ulterioare;</w:t>
      </w:r>
    </w:p>
    <w:p w:rsidR="00A4337D" w:rsidRPr="00216E39" w:rsidRDefault="00574D26" w:rsidP="00115144">
      <w:pPr>
        <w:numPr>
          <w:ilvl w:val="0"/>
          <w:numId w:val="29"/>
        </w:numPr>
        <w:spacing w:after="120" w:line="276" w:lineRule="auto"/>
        <w:ind w:left="907" w:hanging="340"/>
        <w:rPr>
          <w:rFonts w:ascii="Tahoma" w:hAnsi="Tahoma" w:cs="Tahoma"/>
          <w:noProof/>
          <w:kern w:val="2"/>
          <w:sz w:val="24"/>
          <w:szCs w:val="24"/>
          <w:lang w:eastAsia="ar-SA"/>
        </w:rPr>
      </w:pPr>
      <w:r w:rsidRPr="00216E39">
        <w:rPr>
          <w:rFonts w:ascii="Tahoma" w:eastAsia="Calibri" w:hAnsi="Tahoma" w:cs="Tahoma"/>
          <w:sz w:val="24"/>
          <w:szCs w:val="24"/>
        </w:rPr>
        <w:t>instituțiile</w:t>
      </w:r>
      <w:r w:rsidR="00A4337D" w:rsidRPr="00216E39">
        <w:rPr>
          <w:rFonts w:ascii="Tahoma" w:eastAsia="Calibri" w:hAnsi="Tahoma" w:cs="Tahoma"/>
          <w:sz w:val="24"/>
          <w:szCs w:val="24"/>
        </w:rPr>
        <w:t xml:space="preserve"> şi </w:t>
      </w:r>
      <w:r w:rsidRPr="00216E39">
        <w:rPr>
          <w:rFonts w:ascii="Tahoma" w:eastAsia="Calibri" w:hAnsi="Tahoma" w:cs="Tahoma"/>
          <w:sz w:val="24"/>
          <w:szCs w:val="24"/>
        </w:rPr>
        <w:t>autoritățile</w:t>
      </w:r>
      <w:r w:rsidR="00A4337D" w:rsidRPr="00216E39">
        <w:rPr>
          <w:rFonts w:ascii="Tahoma" w:eastAsia="Calibri" w:hAnsi="Tahoma" w:cs="Tahoma"/>
          <w:sz w:val="24"/>
          <w:szCs w:val="24"/>
        </w:rPr>
        <w:t xml:space="preserve"> publice nu acordă personalului din cadrul acestora premii;</w:t>
      </w:r>
      <w:r w:rsidR="00A4337D" w:rsidRPr="00216E39" w:rsidDel="00CF7831">
        <w:rPr>
          <w:rFonts w:ascii="Tahoma" w:eastAsia="Calibri" w:hAnsi="Tahoma" w:cs="Tahoma"/>
          <w:sz w:val="24"/>
          <w:szCs w:val="24"/>
        </w:rPr>
        <w:t xml:space="preserve"> </w:t>
      </w:r>
      <w:r w:rsidR="00A4337D" w:rsidRPr="00216E39">
        <w:rPr>
          <w:rFonts w:ascii="Tahoma" w:eastAsia="Calibri" w:hAnsi="Tahoma" w:cs="Tahoma"/>
          <w:sz w:val="24"/>
          <w:szCs w:val="24"/>
        </w:rPr>
        <w:t xml:space="preserve">cuantumul </w:t>
      </w:r>
      <w:r w:rsidRPr="00216E39">
        <w:rPr>
          <w:rFonts w:ascii="Tahoma" w:eastAsia="Calibri" w:hAnsi="Tahoma" w:cs="Tahoma"/>
          <w:sz w:val="24"/>
          <w:szCs w:val="24"/>
        </w:rPr>
        <w:t>compensației</w:t>
      </w:r>
      <w:r w:rsidR="00A4337D" w:rsidRPr="00216E39">
        <w:rPr>
          <w:rFonts w:ascii="Tahoma" w:eastAsia="Calibri" w:hAnsi="Tahoma" w:cs="Tahoma"/>
          <w:sz w:val="24"/>
          <w:szCs w:val="24"/>
        </w:rPr>
        <w:t xml:space="preserve"> </w:t>
      </w:r>
      <w:r w:rsidRPr="00216E39">
        <w:rPr>
          <w:rFonts w:ascii="Tahoma" w:eastAsia="Calibri" w:hAnsi="Tahoma" w:cs="Tahoma"/>
          <w:sz w:val="24"/>
          <w:szCs w:val="24"/>
        </w:rPr>
        <w:t>bănești</w:t>
      </w:r>
      <w:r w:rsidR="00A4337D" w:rsidRPr="00216E39">
        <w:rPr>
          <w:rFonts w:ascii="Tahoma" w:eastAsia="Calibri" w:hAnsi="Tahoma" w:cs="Tahoma"/>
          <w:sz w:val="24"/>
          <w:szCs w:val="24"/>
        </w:rPr>
        <w:t xml:space="preserve">, respectiv al </w:t>
      </w:r>
      <w:r w:rsidRPr="00216E39">
        <w:rPr>
          <w:rFonts w:ascii="Tahoma" w:eastAsia="Calibri" w:hAnsi="Tahoma" w:cs="Tahoma"/>
          <w:sz w:val="24"/>
          <w:szCs w:val="24"/>
        </w:rPr>
        <w:t>alocației</w:t>
      </w:r>
      <w:r w:rsidR="00A4337D" w:rsidRPr="00216E39">
        <w:rPr>
          <w:rFonts w:ascii="Tahoma" w:eastAsia="Calibri" w:hAnsi="Tahoma" w:cs="Tahoma"/>
          <w:sz w:val="24"/>
          <w:szCs w:val="24"/>
        </w:rPr>
        <w:t xml:space="preserve"> valorice pentru drepturile de hrană, valoarea financiară anuală a normelor de echipare şi valoarea financiară a drepturilor de echipament se </w:t>
      </w:r>
      <w:r w:rsidRPr="00216E39">
        <w:rPr>
          <w:rFonts w:ascii="Tahoma" w:eastAsia="Calibri" w:hAnsi="Tahoma" w:cs="Tahoma"/>
          <w:sz w:val="24"/>
          <w:szCs w:val="24"/>
        </w:rPr>
        <w:t>mențin</w:t>
      </w:r>
      <w:r w:rsidR="00A4337D" w:rsidRPr="00216E39">
        <w:rPr>
          <w:rFonts w:ascii="Tahoma" w:eastAsia="Calibri" w:hAnsi="Tahoma" w:cs="Tahoma"/>
          <w:sz w:val="24"/>
          <w:szCs w:val="24"/>
        </w:rPr>
        <w:t xml:space="preserve"> în plată la nivelul acordat pentru luna decembrie 2023;</w:t>
      </w:r>
    </w:p>
    <w:p w:rsidR="00A4337D" w:rsidRPr="00216E39" w:rsidRDefault="00A4337D" w:rsidP="00115144">
      <w:pPr>
        <w:numPr>
          <w:ilvl w:val="0"/>
          <w:numId w:val="27"/>
        </w:numPr>
        <w:spacing w:after="120" w:line="276" w:lineRule="auto"/>
        <w:ind w:left="907" w:hanging="340"/>
        <w:rPr>
          <w:rFonts w:ascii="Tahoma" w:hAnsi="Tahoma" w:cs="Tahoma"/>
          <w:sz w:val="24"/>
          <w:szCs w:val="24"/>
        </w:rPr>
      </w:pPr>
      <w:r w:rsidRPr="00216E39">
        <w:rPr>
          <w:rFonts w:ascii="Tahoma" w:hAnsi="Tahoma" w:cs="Tahoma"/>
          <w:sz w:val="24"/>
          <w:szCs w:val="24"/>
        </w:rPr>
        <w:t>suspendarea ocupării prin concurs sau examen a posturilor vacante sau temporar vacante;</w:t>
      </w:r>
    </w:p>
    <w:p w:rsidR="00A4337D" w:rsidRPr="00216E39" w:rsidRDefault="00A4337D" w:rsidP="00115144">
      <w:pPr>
        <w:numPr>
          <w:ilvl w:val="0"/>
          <w:numId w:val="27"/>
        </w:numPr>
        <w:spacing w:after="120" w:line="276" w:lineRule="auto"/>
        <w:ind w:left="907" w:hanging="340"/>
        <w:rPr>
          <w:rFonts w:ascii="Tahoma" w:hAnsi="Tahoma" w:cs="Tahoma"/>
          <w:noProof/>
          <w:kern w:val="2"/>
          <w:sz w:val="24"/>
          <w:szCs w:val="24"/>
          <w:lang w:eastAsia="ar-SA"/>
        </w:rPr>
      </w:pPr>
      <w:r w:rsidRPr="00216E39">
        <w:rPr>
          <w:rFonts w:ascii="Tahoma" w:hAnsi="Tahoma" w:cs="Tahoma"/>
          <w:noProof/>
          <w:kern w:val="2"/>
          <w:sz w:val="24"/>
          <w:szCs w:val="24"/>
          <w:lang w:eastAsia="ar-SA"/>
        </w:rPr>
        <w:t>neacordarea de ajutoare, plăți compensatorii la pensionare;</w:t>
      </w:r>
    </w:p>
    <w:p w:rsidR="00A4337D" w:rsidRPr="00216E39" w:rsidRDefault="00A4337D" w:rsidP="00115144">
      <w:pPr>
        <w:numPr>
          <w:ilvl w:val="0"/>
          <w:numId w:val="28"/>
        </w:numPr>
        <w:spacing w:after="120" w:line="276" w:lineRule="auto"/>
        <w:ind w:left="907" w:hanging="340"/>
        <w:rPr>
          <w:rFonts w:ascii="Tahoma" w:hAnsi="Tahoma" w:cs="Tahoma"/>
          <w:noProof/>
          <w:kern w:val="2"/>
          <w:sz w:val="24"/>
          <w:szCs w:val="24"/>
          <w:lang w:eastAsia="ar-SA"/>
        </w:rPr>
      </w:pPr>
      <w:r w:rsidRPr="00216E39">
        <w:rPr>
          <w:rFonts w:ascii="Tahoma" w:hAnsi="Tahoma" w:cs="Tahoma"/>
          <w:noProof/>
          <w:kern w:val="2"/>
          <w:sz w:val="24"/>
          <w:szCs w:val="24"/>
          <w:lang w:eastAsia="ar-SA"/>
        </w:rPr>
        <w:t xml:space="preserve">menţinerea </w:t>
      </w:r>
      <w:r w:rsidRPr="00216E39">
        <w:rPr>
          <w:rFonts w:ascii="Tahoma" w:hAnsi="Tahoma" w:cs="Tahoma"/>
          <w:noProof/>
          <w:color w:val="000000"/>
          <w:kern w:val="2"/>
          <w:sz w:val="24"/>
          <w:szCs w:val="24"/>
          <w:lang w:eastAsia="ar-SA"/>
        </w:rPr>
        <w:t xml:space="preserve">în anul 2024 </w:t>
      </w:r>
      <w:r w:rsidRPr="00216E39">
        <w:rPr>
          <w:rFonts w:ascii="Tahoma" w:hAnsi="Tahoma" w:cs="Tahoma"/>
          <w:noProof/>
          <w:kern w:val="2"/>
          <w:sz w:val="24"/>
          <w:szCs w:val="24"/>
          <w:lang w:eastAsia="ar-SA"/>
        </w:rPr>
        <w:t>în plată la nivelul acordat/cuvenit pentru luna decembrie 2023 a unor drepturi (indemnizatia pentru activitatea de liber profesionist, cuantumul indemnizatiilor acordate membrilor Academiei Române, drepturi pentru recunoaşterea meritelor personalului participant la acţiuni militare, misiuni şi operaţii pe teritoriul sau în afara teritoriului statului român) etc;</w:t>
      </w:r>
    </w:p>
    <w:p w:rsidR="00A4337D" w:rsidRPr="00216E39" w:rsidRDefault="00A4337D" w:rsidP="00115144">
      <w:pPr>
        <w:numPr>
          <w:ilvl w:val="0"/>
          <w:numId w:val="28"/>
        </w:numPr>
        <w:spacing w:after="120" w:line="276" w:lineRule="auto"/>
        <w:ind w:left="907" w:hanging="340"/>
        <w:rPr>
          <w:rFonts w:ascii="Tahoma" w:hAnsi="Tahoma" w:cs="Tahoma"/>
          <w:noProof/>
          <w:kern w:val="2"/>
          <w:sz w:val="24"/>
          <w:szCs w:val="24"/>
          <w:lang w:eastAsia="ar-SA"/>
        </w:rPr>
      </w:pPr>
      <w:r w:rsidRPr="00216E39">
        <w:rPr>
          <w:rFonts w:ascii="Tahoma" w:eastAsia="Calibri" w:hAnsi="Tahoma" w:cs="Tahoma"/>
          <w:sz w:val="24"/>
          <w:szCs w:val="24"/>
        </w:rPr>
        <w:t xml:space="preserve">rentele viagere prevăzute la art. 64 din Legea </w:t>
      </w:r>
      <w:r w:rsidR="00574D26" w:rsidRPr="00216E39">
        <w:rPr>
          <w:rFonts w:ascii="Tahoma" w:eastAsia="Calibri" w:hAnsi="Tahoma" w:cs="Tahoma"/>
          <w:sz w:val="24"/>
          <w:szCs w:val="24"/>
        </w:rPr>
        <w:t>educației</w:t>
      </w:r>
      <w:r w:rsidRPr="00216E39">
        <w:rPr>
          <w:rFonts w:ascii="Tahoma" w:eastAsia="Calibri" w:hAnsi="Tahoma" w:cs="Tahoma"/>
          <w:sz w:val="24"/>
          <w:szCs w:val="24"/>
        </w:rPr>
        <w:t xml:space="preserve"> fizice şi sportului nr. 69/2000, cu modificările şi completările ulterioare, se acordă în cuantumul aflat în plată în luna decembrie 2023;</w:t>
      </w:r>
    </w:p>
    <w:p w:rsidR="00A4337D" w:rsidRPr="00216E39" w:rsidRDefault="00A4337D" w:rsidP="00115144">
      <w:pPr>
        <w:numPr>
          <w:ilvl w:val="0"/>
          <w:numId w:val="28"/>
        </w:numPr>
        <w:spacing w:after="120" w:line="276" w:lineRule="auto"/>
        <w:ind w:left="907" w:hanging="340"/>
        <w:rPr>
          <w:rFonts w:ascii="Tahoma" w:eastAsia="Calibri" w:hAnsi="Tahoma" w:cs="Tahoma"/>
          <w:sz w:val="24"/>
          <w:szCs w:val="24"/>
        </w:rPr>
      </w:pPr>
      <w:r w:rsidRPr="00216E39">
        <w:rPr>
          <w:rFonts w:ascii="Tahoma" w:eastAsia="Calibri" w:hAnsi="Tahoma" w:cs="Tahoma"/>
          <w:sz w:val="24"/>
          <w:szCs w:val="24"/>
        </w:rPr>
        <w:t xml:space="preserve">cuantumul lunar al </w:t>
      </w:r>
      <w:r w:rsidR="00574D26" w:rsidRPr="00216E39">
        <w:rPr>
          <w:rFonts w:ascii="Tahoma" w:eastAsia="Calibri" w:hAnsi="Tahoma" w:cs="Tahoma"/>
          <w:sz w:val="24"/>
          <w:szCs w:val="24"/>
        </w:rPr>
        <w:t>indemnizației</w:t>
      </w:r>
      <w:r w:rsidRPr="00216E39">
        <w:rPr>
          <w:rFonts w:ascii="Tahoma" w:eastAsia="Calibri" w:hAnsi="Tahoma" w:cs="Tahoma"/>
          <w:sz w:val="24"/>
          <w:szCs w:val="24"/>
        </w:rPr>
        <w:t xml:space="preserve"> de merit se </w:t>
      </w:r>
      <w:r w:rsidR="00574D26" w:rsidRPr="00216E39">
        <w:rPr>
          <w:rFonts w:ascii="Tahoma" w:eastAsia="Calibri" w:hAnsi="Tahoma" w:cs="Tahoma"/>
          <w:sz w:val="24"/>
          <w:szCs w:val="24"/>
        </w:rPr>
        <w:t>menține</w:t>
      </w:r>
      <w:r w:rsidRPr="00216E39">
        <w:rPr>
          <w:rFonts w:ascii="Tahoma" w:eastAsia="Calibri" w:hAnsi="Tahoma" w:cs="Tahoma"/>
          <w:sz w:val="24"/>
          <w:szCs w:val="24"/>
        </w:rPr>
        <w:t xml:space="preserve"> la nivelul din luna decembrie 2023, de 6.240 lei;</w:t>
      </w:r>
    </w:p>
    <w:p w:rsidR="00A4337D" w:rsidRPr="00216E39" w:rsidRDefault="00A4337D" w:rsidP="00115144">
      <w:pPr>
        <w:numPr>
          <w:ilvl w:val="0"/>
          <w:numId w:val="28"/>
        </w:numPr>
        <w:spacing w:after="360" w:line="276" w:lineRule="auto"/>
        <w:ind w:left="907" w:hanging="340"/>
        <w:rPr>
          <w:rFonts w:ascii="Tahoma" w:eastAsia="Calibri" w:hAnsi="Tahoma" w:cs="Tahoma"/>
          <w:sz w:val="24"/>
          <w:szCs w:val="24"/>
        </w:rPr>
      </w:pPr>
      <w:r w:rsidRPr="00216E39">
        <w:rPr>
          <w:rFonts w:ascii="Tahoma" w:eastAsia="Calibri" w:hAnsi="Tahoma" w:cs="Tahoma"/>
          <w:sz w:val="24"/>
          <w:szCs w:val="24"/>
        </w:rPr>
        <w:t xml:space="preserve">reduceri de tarife sau, după caz, </w:t>
      </w:r>
      <w:r w:rsidR="00574D26" w:rsidRPr="00216E39">
        <w:rPr>
          <w:rFonts w:ascii="Tahoma" w:eastAsia="Calibri" w:hAnsi="Tahoma" w:cs="Tahoma"/>
          <w:sz w:val="24"/>
          <w:szCs w:val="24"/>
        </w:rPr>
        <w:t>gratuități</w:t>
      </w:r>
      <w:r w:rsidRPr="00216E39">
        <w:rPr>
          <w:rFonts w:ascii="Tahoma" w:eastAsia="Calibri" w:hAnsi="Tahoma" w:cs="Tahoma"/>
          <w:sz w:val="24"/>
          <w:szCs w:val="24"/>
        </w:rPr>
        <w:t xml:space="preserve">, numai în limita a 3 călătorii dus-întors sau 6 călătorii simple, la </w:t>
      </w:r>
      <w:r w:rsidR="00574D26" w:rsidRPr="00216E39">
        <w:rPr>
          <w:rFonts w:ascii="Tahoma" w:eastAsia="Calibri" w:hAnsi="Tahoma" w:cs="Tahoma"/>
          <w:sz w:val="24"/>
          <w:szCs w:val="24"/>
        </w:rPr>
        <w:t>facilitățile</w:t>
      </w:r>
      <w:r w:rsidRPr="00216E39">
        <w:rPr>
          <w:rFonts w:ascii="Tahoma" w:eastAsia="Calibri" w:hAnsi="Tahoma" w:cs="Tahoma"/>
          <w:sz w:val="24"/>
          <w:szCs w:val="24"/>
        </w:rPr>
        <w:t xml:space="preserve"> de transport stabilite prin acte normative pen</w:t>
      </w:r>
      <w:r w:rsidR="008E1E02" w:rsidRPr="00216E39">
        <w:rPr>
          <w:rFonts w:ascii="Tahoma" w:eastAsia="Calibri" w:hAnsi="Tahoma" w:cs="Tahoma"/>
          <w:sz w:val="24"/>
          <w:szCs w:val="24"/>
        </w:rPr>
        <w:t>tru unele categorii de persoane.</w:t>
      </w:r>
    </w:p>
    <w:p w:rsidR="00593AD9" w:rsidRPr="00216E39" w:rsidRDefault="001069C2" w:rsidP="000C5203">
      <w:pPr>
        <w:keepNext/>
        <w:keepLines/>
        <w:spacing w:after="240" w:line="276" w:lineRule="auto"/>
        <w:ind w:firstLine="0"/>
        <w:jc w:val="center"/>
        <w:rPr>
          <w:rFonts w:ascii="Tahoma" w:hAnsi="Tahoma" w:cs="Tahoma"/>
          <w:b/>
          <w:bCs/>
          <w:sz w:val="24"/>
          <w:szCs w:val="24"/>
        </w:rPr>
      </w:pPr>
      <w:r w:rsidRPr="00216E39">
        <w:rPr>
          <w:rFonts w:ascii="Tahoma" w:hAnsi="Tahoma" w:cs="Tahoma"/>
          <w:b/>
          <w:bCs/>
          <w:sz w:val="24"/>
          <w:szCs w:val="24"/>
        </w:rPr>
        <w:lastRenderedPageBreak/>
        <w:t>Măsuri destinate îmbunătățirii nivelului de colectare a veniturilor bugetare avute în vedere de către Agenția Națională de Administrare Fiscală</w:t>
      </w:r>
    </w:p>
    <w:p w:rsidR="00BE53FF" w:rsidRPr="00216E39" w:rsidRDefault="00BE53FF" w:rsidP="0096190F">
      <w:pPr>
        <w:spacing w:before="120" w:after="120" w:line="276" w:lineRule="auto"/>
        <w:ind w:firstLine="0"/>
        <w:rPr>
          <w:rFonts w:ascii="Tahoma" w:eastAsia="Calibri" w:hAnsi="Tahoma" w:cs="Tahoma"/>
          <w:sz w:val="24"/>
          <w:szCs w:val="24"/>
        </w:rPr>
      </w:pPr>
      <w:bookmarkStart w:id="12" w:name="_Toc299543080"/>
      <w:bookmarkStart w:id="13" w:name="_Toc425320858"/>
      <w:bookmarkStart w:id="14" w:name="_Toc425428327"/>
      <w:bookmarkStart w:id="15" w:name="_Toc456256137"/>
      <w:bookmarkStart w:id="16" w:name="_Toc456256934"/>
      <w:bookmarkStart w:id="17" w:name="_Toc456257458"/>
      <w:bookmarkStart w:id="18" w:name="_Toc456258316"/>
      <w:bookmarkStart w:id="19" w:name="_Toc456258421"/>
      <w:r w:rsidRPr="00216E39">
        <w:rPr>
          <w:rFonts w:ascii="Tahoma" w:eastAsia="Calibri" w:hAnsi="Tahoma" w:cs="Tahoma"/>
          <w:sz w:val="24"/>
          <w:szCs w:val="24"/>
        </w:rPr>
        <w:t xml:space="preserve">Activitatea ANAF din primul semestru al anului 2024 a continuat pe linia reformelor menite să asigure creșterea capacității de colectare a veniturilor bugetare și reducerea decalajului fiscal, fiind în strânsă corelare cu obiectivele și țintele asumate prin Planul Național de Redresare și Reziliență. </w:t>
      </w:r>
    </w:p>
    <w:p w:rsidR="00BE53FF" w:rsidRPr="00216E39" w:rsidRDefault="00BE53FF" w:rsidP="0096190F">
      <w:pPr>
        <w:pStyle w:val="BodyText"/>
        <w:numPr>
          <w:ilvl w:val="0"/>
          <w:numId w:val="34"/>
        </w:numPr>
        <w:spacing w:before="120" w:after="120"/>
        <w:jc w:val="both"/>
        <w:rPr>
          <w:rFonts w:ascii="Tahoma" w:hAnsi="Tahoma" w:cs="Tahoma"/>
          <w:b/>
          <w:bCs/>
          <w:sz w:val="24"/>
          <w:szCs w:val="24"/>
          <w:lang w:val="ro-RO"/>
        </w:rPr>
      </w:pPr>
      <w:r w:rsidRPr="00216E39">
        <w:rPr>
          <w:rFonts w:ascii="Tahoma" w:hAnsi="Tahoma" w:cs="Tahoma"/>
          <w:b/>
          <w:bCs/>
          <w:sz w:val="24"/>
          <w:szCs w:val="24"/>
          <w:lang w:val="ro-RO"/>
        </w:rPr>
        <w:t xml:space="preserve">Principalele măsuri realizate în actualul orizont strategic: </w:t>
      </w:r>
    </w:p>
    <w:p w:rsidR="00BE53FF" w:rsidRPr="00216E39" w:rsidRDefault="00BE53FF" w:rsidP="0096190F">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Extinderea portalului on-line (SPV) pentru contribuabili, ceea ce a facilitat furnizarea îmbunătățită de servicii;</w:t>
      </w:r>
    </w:p>
    <w:p w:rsidR="00BE53FF" w:rsidRPr="00216E39" w:rsidRDefault="00BE53FF" w:rsidP="0096190F">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Implementarea protocolului standard al fișierului de audit (SAF-T) care asigură o coerență mult mai mare în colectarea datelor financiare de la contribuabili;</w:t>
      </w:r>
    </w:p>
    <w:p w:rsidR="00BE53FF" w:rsidRPr="00216E39" w:rsidRDefault="00BE53FF" w:rsidP="0096190F">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Implementarea monitorizării mărfurilor cu risc fiscal ridicat (RO-eTransport) care ajută la identificarea clusterelor de risc</w:t>
      </w:r>
      <w:r w:rsidRPr="00216E39">
        <w:rPr>
          <w:rFonts w:ascii="Tahoma" w:hAnsi="Tahoma" w:cs="Tahoma"/>
          <w:sz w:val="24"/>
          <w:szCs w:val="24"/>
          <w:lang w:val="ro-RO"/>
        </w:rPr>
        <w:t>, alături de sistemul e-sigiliu</w:t>
      </w:r>
      <w:r w:rsidRPr="00216E39">
        <w:rPr>
          <w:rFonts w:ascii="Tahoma" w:hAnsi="Tahoma" w:cs="Tahoma"/>
          <w:sz w:val="24"/>
          <w:szCs w:val="24"/>
          <w:lang w:val="ro-RO" w:bidi="hi-IN"/>
        </w:rPr>
        <w:t>;</w:t>
      </w:r>
    </w:p>
    <w:p w:rsidR="00BE53FF" w:rsidRPr="00216E39" w:rsidRDefault="00BE53FF" w:rsidP="0096190F">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Îmbunătățirea conformării în zona impozitului pe venit, inclusiv un accent sporit pe persoanele fizice cu averi mari;</w:t>
      </w:r>
    </w:p>
    <w:p w:rsidR="00BE53FF" w:rsidRPr="00216E39" w:rsidRDefault="00BE53FF" w:rsidP="008E1E02">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Utilizarea sporită a notificărilor de conformare care utilizează informații din zonele de risc specifice și permit auto-corecția declarațiilor fiscale de către contribuabili;</w:t>
      </w:r>
    </w:p>
    <w:p w:rsidR="00BE53FF" w:rsidRPr="00216E39" w:rsidRDefault="00BE53FF" w:rsidP="008E1E02">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rPr>
        <w:t>Utilizarea din ce în ce mai mult a v</w:t>
      </w:r>
      <w:r w:rsidRPr="00216E39">
        <w:rPr>
          <w:rFonts w:ascii="Tahoma" w:hAnsi="Tahoma" w:cs="Tahoma"/>
          <w:sz w:val="24"/>
          <w:szCs w:val="24"/>
          <w:lang w:val="ro-RO" w:bidi="hi-IN"/>
        </w:rPr>
        <w:t>erificăril</w:t>
      </w:r>
      <w:r w:rsidRPr="00216E39">
        <w:rPr>
          <w:rFonts w:ascii="Tahoma" w:hAnsi="Tahoma" w:cs="Tahoma"/>
          <w:sz w:val="24"/>
          <w:szCs w:val="24"/>
          <w:lang w:val="ro-RO"/>
        </w:rPr>
        <w:t>or</w:t>
      </w:r>
      <w:r w:rsidRPr="00216E39">
        <w:rPr>
          <w:rFonts w:ascii="Tahoma" w:hAnsi="Tahoma" w:cs="Tahoma"/>
          <w:sz w:val="24"/>
          <w:szCs w:val="24"/>
          <w:lang w:val="ro-RO" w:bidi="hi-IN"/>
        </w:rPr>
        <w:t xml:space="preserve"> documentare</w:t>
      </w:r>
      <w:r w:rsidRPr="00216E39">
        <w:rPr>
          <w:rFonts w:ascii="Tahoma" w:hAnsi="Tahoma" w:cs="Tahoma"/>
          <w:sz w:val="24"/>
          <w:szCs w:val="24"/>
          <w:lang w:val="ro-RO"/>
        </w:rPr>
        <w:t xml:space="preserve">, ca </w:t>
      </w:r>
      <w:r w:rsidRPr="00216E39">
        <w:rPr>
          <w:rFonts w:ascii="Tahoma" w:hAnsi="Tahoma" w:cs="Tahoma"/>
          <w:sz w:val="24"/>
          <w:szCs w:val="24"/>
          <w:lang w:val="ro-RO" w:bidi="hi-IN"/>
        </w:rPr>
        <w:t>instrumente digitale de control fiscal destinate prevenirii și combaterii fraudei și evaziunii fiscale, a căror utilizare va fi extinsă treptat ca parte a angajamentelor PNRR</w:t>
      </w:r>
      <w:r w:rsidR="008E1E02" w:rsidRPr="00216E39">
        <w:rPr>
          <w:rFonts w:ascii="Tahoma" w:hAnsi="Tahoma" w:cs="Tahoma"/>
          <w:sz w:val="24"/>
          <w:szCs w:val="24"/>
          <w:lang w:val="ro-RO" w:bidi="hi-IN"/>
        </w:rPr>
        <w:t>;</w:t>
      </w:r>
    </w:p>
    <w:p w:rsidR="00BE53FF" w:rsidRPr="00216E39" w:rsidRDefault="00BE53FF" w:rsidP="008E1E02">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 xml:space="preserve">Implementarea </w:t>
      </w:r>
      <w:r w:rsidRPr="00216E39">
        <w:rPr>
          <w:rFonts w:ascii="Tahoma" w:hAnsi="Tahoma" w:cs="Tahoma"/>
          <w:sz w:val="24"/>
          <w:szCs w:val="24"/>
          <w:lang w:val="ro-RO"/>
        </w:rPr>
        <w:t>sistemului caselor de marcat electronice și a s</w:t>
      </w:r>
      <w:r w:rsidRPr="00216E39">
        <w:rPr>
          <w:rFonts w:ascii="Tahoma" w:hAnsi="Tahoma" w:cs="Tahoma"/>
          <w:sz w:val="24"/>
          <w:szCs w:val="24"/>
          <w:lang w:val="ro-RO" w:bidi="hi-IN"/>
        </w:rPr>
        <w:t>istemului național de facturare electronică (RO e-Factura) în relațiile B2G și B2B, care vizează îmbunătățirea ratei de colectare a TVA și prevenirea fraudei și evaziunii fiscale;</w:t>
      </w:r>
    </w:p>
    <w:p w:rsidR="00BE53FF" w:rsidRPr="00216E39" w:rsidRDefault="00BE53FF" w:rsidP="0096190F">
      <w:pPr>
        <w:pStyle w:val="NormalWeb"/>
        <w:numPr>
          <w:ilvl w:val="0"/>
          <w:numId w:val="36"/>
        </w:numPr>
        <w:spacing w:before="120" w:after="120" w:line="276" w:lineRule="auto"/>
        <w:rPr>
          <w:rFonts w:ascii="Tahoma" w:hAnsi="Tahoma" w:cs="Tahoma"/>
          <w:iCs/>
          <w:lang w:bidi="hi-IN"/>
        </w:rPr>
      </w:pPr>
      <w:r w:rsidRPr="00216E39">
        <w:rPr>
          <w:rFonts w:ascii="Tahoma" w:hAnsi="Tahoma" w:cs="Tahoma"/>
          <w:iCs/>
        </w:rPr>
        <w:t>Implementarea schemei One Stop Shop (OSS) din pachetul privind comerțul electronic. Acest sistem este operațional începând cu data de 1 iulie 2021, în conformitate cu prevederile Directivei TVA, facilitând companiilor înregistrarea, declararea electronică şi plata taxei pe valoarea adăugată (TVA) aferentă anumitor categorii de bunuri și servicii B2C (Business-to-Consumer);</w:t>
      </w:r>
    </w:p>
    <w:p w:rsidR="00BE53FF" w:rsidRPr="00216E39" w:rsidRDefault="00BE53FF" w:rsidP="0096190F">
      <w:pPr>
        <w:pStyle w:val="BodyText"/>
        <w:numPr>
          <w:ilvl w:val="0"/>
          <w:numId w:val="35"/>
        </w:numPr>
        <w:spacing w:before="120" w:after="120"/>
        <w:jc w:val="both"/>
        <w:rPr>
          <w:rFonts w:ascii="Tahoma" w:hAnsi="Tahoma" w:cs="Tahoma"/>
          <w:sz w:val="24"/>
          <w:szCs w:val="24"/>
          <w:lang w:val="ro-RO"/>
        </w:rPr>
      </w:pPr>
      <w:r w:rsidRPr="00216E39">
        <w:rPr>
          <w:rFonts w:ascii="Tahoma" w:hAnsi="Tahoma" w:cs="Tahoma"/>
          <w:sz w:val="24"/>
          <w:szCs w:val="24"/>
          <w:lang w:val="ro-RO" w:bidi="hi-IN"/>
        </w:rPr>
        <w:t>Adoptarea unei noi legi de revizuire a competențelor organelor de inspecție fiscală, organelor de control antifraudă și organelor responsabile cu verificarea situației fiscale personale, cu scopul de a consolida capacitatea instituțională a structurilor de control fiscal;</w:t>
      </w:r>
    </w:p>
    <w:p w:rsidR="00BE53FF" w:rsidRPr="00216E39" w:rsidRDefault="00BE53FF" w:rsidP="0096190F">
      <w:pPr>
        <w:pStyle w:val="BodyText"/>
        <w:numPr>
          <w:ilvl w:val="0"/>
          <w:numId w:val="35"/>
        </w:numPr>
        <w:suppressAutoHyphens/>
        <w:spacing w:before="120" w:after="120"/>
        <w:jc w:val="both"/>
        <w:rPr>
          <w:rFonts w:ascii="Tahoma" w:hAnsi="Tahoma" w:cs="Tahoma"/>
          <w:sz w:val="24"/>
          <w:szCs w:val="24"/>
          <w:lang w:val="ro-RO" w:bidi="hi-IN"/>
        </w:rPr>
      </w:pPr>
      <w:r w:rsidRPr="00216E39">
        <w:rPr>
          <w:rFonts w:ascii="Tahoma" w:hAnsi="Tahoma" w:cs="Tahoma"/>
          <w:sz w:val="24"/>
          <w:szCs w:val="24"/>
          <w:lang w:val="ro-RO" w:bidi="hi-IN"/>
        </w:rPr>
        <w:t>Obținerea de date privind tranzacțiile de la platforma de comerț electronic și operatorii de servicii de livrare, ca parte a eforturilor generale de combatere a fraudei.</w:t>
      </w:r>
    </w:p>
    <w:p w:rsidR="00BE53FF" w:rsidRPr="00216E39" w:rsidRDefault="00BE53FF" w:rsidP="0096190F">
      <w:pPr>
        <w:pStyle w:val="BodyText"/>
        <w:numPr>
          <w:ilvl w:val="0"/>
          <w:numId w:val="34"/>
        </w:numPr>
        <w:spacing w:before="120" w:after="120"/>
        <w:jc w:val="both"/>
        <w:rPr>
          <w:rFonts w:ascii="Tahoma" w:hAnsi="Tahoma" w:cs="Tahoma"/>
          <w:b/>
          <w:bCs/>
          <w:sz w:val="24"/>
          <w:szCs w:val="24"/>
          <w:lang w:val="ro-RO"/>
        </w:rPr>
      </w:pPr>
      <w:r w:rsidRPr="00216E39">
        <w:rPr>
          <w:rFonts w:ascii="Tahoma" w:hAnsi="Tahoma" w:cs="Tahoma"/>
          <w:b/>
          <w:bCs/>
          <w:sz w:val="24"/>
          <w:szCs w:val="24"/>
          <w:lang w:val="ro-RO"/>
        </w:rPr>
        <w:lastRenderedPageBreak/>
        <w:t>Implementarea reformelor prevăzute în Planul Național de Redresare și Reziliență:</w:t>
      </w:r>
    </w:p>
    <w:p w:rsidR="00BE53FF" w:rsidRPr="00216E39" w:rsidRDefault="00BE53FF" w:rsidP="0096190F">
      <w:pPr>
        <w:pStyle w:val="BodyText"/>
        <w:spacing w:before="120" w:after="120"/>
        <w:jc w:val="both"/>
        <w:rPr>
          <w:rFonts w:ascii="Tahoma" w:hAnsi="Tahoma" w:cs="Tahoma"/>
          <w:sz w:val="24"/>
          <w:szCs w:val="24"/>
          <w:lang w:val="ro-RO"/>
        </w:rPr>
      </w:pPr>
      <w:r w:rsidRPr="00216E39">
        <w:rPr>
          <w:rFonts w:ascii="Tahoma" w:hAnsi="Tahoma" w:cs="Tahoma"/>
          <w:sz w:val="24"/>
          <w:szCs w:val="24"/>
          <w:lang w:val="ro-RO"/>
        </w:rPr>
        <w:t xml:space="preserve">În toată această perioadă, activitatea ANAF a continuat pe linia reformelor de substanță care sunt menite să asigure îmbunătățirea performanței sale prin creșterea capacității de colectare a veniturilor fiscale și de reducere a decalajelor fiscale, fiind în strânsă corelare cu obiectivele și țintele asumate prin </w:t>
      </w:r>
      <w:r w:rsidR="001343CF" w:rsidRPr="00216E39">
        <w:rPr>
          <w:rFonts w:ascii="Tahoma" w:hAnsi="Tahoma" w:cs="Tahoma"/>
          <w:sz w:val="24"/>
          <w:szCs w:val="24"/>
          <w:lang w:val="ro-RO"/>
        </w:rPr>
        <w:t>P</w:t>
      </w:r>
      <w:r w:rsidRPr="00216E39">
        <w:rPr>
          <w:rFonts w:ascii="Tahoma" w:hAnsi="Tahoma" w:cs="Tahoma"/>
          <w:sz w:val="24"/>
          <w:szCs w:val="24"/>
          <w:lang w:val="ro-RO"/>
        </w:rPr>
        <w:t>lanul Național de Redresare și Reziliență</w:t>
      </w:r>
      <w:r w:rsidRPr="00216E39">
        <w:rPr>
          <w:rFonts w:ascii="Tahoma" w:hAnsi="Tahoma" w:cs="Tahoma"/>
          <w:b/>
          <w:bCs/>
          <w:sz w:val="24"/>
          <w:szCs w:val="24"/>
          <w:lang w:val="ro-RO"/>
        </w:rPr>
        <w:t xml:space="preserve"> </w:t>
      </w:r>
      <w:r w:rsidRPr="00216E39">
        <w:rPr>
          <w:rFonts w:ascii="Tahoma" w:hAnsi="Tahoma" w:cs="Tahoma"/>
          <w:sz w:val="24"/>
          <w:szCs w:val="24"/>
          <w:lang w:val="ro-RO"/>
        </w:rPr>
        <w:t xml:space="preserve">(cel mai important plan de reforme din ultima perioadă și cea mai importantă sursă de finanțare la care administrația fiscală a avut parte în toată istoria sa). </w:t>
      </w:r>
    </w:p>
    <w:p w:rsidR="00BE53FF" w:rsidRPr="00216E39" w:rsidRDefault="00BE53FF" w:rsidP="0096190F">
      <w:pPr>
        <w:pStyle w:val="BodyText"/>
        <w:spacing w:before="120" w:after="120"/>
        <w:jc w:val="both"/>
        <w:rPr>
          <w:rFonts w:ascii="Tahoma" w:hAnsi="Tahoma" w:cs="Tahoma"/>
          <w:sz w:val="24"/>
          <w:szCs w:val="24"/>
          <w:lang w:val="ro-RO"/>
        </w:rPr>
      </w:pPr>
      <w:r w:rsidRPr="00216E39">
        <w:rPr>
          <w:rFonts w:ascii="Tahoma" w:hAnsi="Tahoma" w:cs="Tahoma"/>
          <w:sz w:val="24"/>
          <w:szCs w:val="24"/>
          <w:lang w:val="ro-RO"/>
        </w:rPr>
        <w:t>Principalele linii de acțiune din cadrul PNRR care sunt prevăzute a fi livrate până la finalul anului 2025 vizează implementarea unor reforme ireversibile și a proiectelor de digitalizare care sprijină implementarea acestora:</w:t>
      </w:r>
    </w:p>
    <w:p w:rsidR="00BE53FF" w:rsidRPr="00216E39" w:rsidRDefault="00BE53FF" w:rsidP="0096190F">
      <w:pPr>
        <w:spacing w:before="120" w:after="120" w:line="276" w:lineRule="auto"/>
        <w:ind w:left="641"/>
        <w:rPr>
          <w:rFonts w:ascii="Tahoma" w:hAnsi="Tahoma" w:cs="Tahoma"/>
          <w:sz w:val="24"/>
          <w:szCs w:val="24"/>
        </w:rPr>
      </w:pPr>
      <w:r w:rsidRPr="00216E39">
        <w:rPr>
          <w:rFonts w:ascii="Tahoma" w:hAnsi="Tahoma" w:cs="Tahoma"/>
          <w:sz w:val="24"/>
          <w:szCs w:val="24"/>
        </w:rPr>
        <w:t xml:space="preserve">1. Cea mai importantă linie de acțiune are în vedere implementarea deplină a unui sistem integrat de management al riscurilor fiscale. În continuarea măsurilor menționate în anul 2022 pe această linie, acești primi pași vor fi urmați de implementarea celor mai importante proiecte de digitalizare din zona de administrare fiscală, respectiv SFERA și Big Data.  </w:t>
      </w:r>
    </w:p>
    <w:p w:rsidR="00BE53FF" w:rsidRPr="00216E39" w:rsidRDefault="00BE53FF" w:rsidP="0096190F">
      <w:pPr>
        <w:numPr>
          <w:ilvl w:val="0"/>
          <w:numId w:val="37"/>
        </w:numPr>
        <w:tabs>
          <w:tab w:val="left" w:pos="142"/>
        </w:tabs>
        <w:spacing w:before="120" w:after="120" w:line="276" w:lineRule="auto"/>
        <w:ind w:left="1078" w:hanging="227"/>
        <w:rPr>
          <w:rFonts w:ascii="Tahoma" w:hAnsi="Tahoma" w:cs="Tahoma"/>
          <w:sz w:val="24"/>
          <w:szCs w:val="24"/>
        </w:rPr>
      </w:pPr>
      <w:r w:rsidRPr="00216E39">
        <w:rPr>
          <w:rFonts w:ascii="Tahoma" w:hAnsi="Tahoma" w:cs="Tahoma"/>
          <w:sz w:val="24"/>
          <w:szCs w:val="24"/>
        </w:rPr>
        <w:t>SFERA este sistemul informatic care va centraliza aplicațiile utilizate la nivelul a 252 de baze de date distribuite la nivelul organelor fiscale competente în administrarea contribuabililor gestionaţi de ANAF, astfel încât să permită ANAF să poată accesa, în orice moment, date fiabile, corecte și actualizate cu privire la persoanele juridice. Acest sistem va fi unul dintre principalele surse de date care va comunica cu platforma de Big Data.</w:t>
      </w:r>
    </w:p>
    <w:p w:rsidR="00BE53FF" w:rsidRPr="00216E39" w:rsidRDefault="00BE53FF" w:rsidP="0096190F">
      <w:pPr>
        <w:numPr>
          <w:ilvl w:val="0"/>
          <w:numId w:val="37"/>
        </w:numPr>
        <w:tabs>
          <w:tab w:val="left" w:pos="142"/>
        </w:tabs>
        <w:spacing w:before="120" w:after="120" w:line="276" w:lineRule="auto"/>
        <w:ind w:left="1078" w:hanging="227"/>
        <w:rPr>
          <w:rFonts w:ascii="Tahoma" w:hAnsi="Tahoma" w:cs="Tahoma"/>
          <w:sz w:val="24"/>
          <w:szCs w:val="24"/>
        </w:rPr>
      </w:pPr>
      <w:r w:rsidRPr="00216E39">
        <w:rPr>
          <w:rFonts w:ascii="Tahoma" w:hAnsi="Tahoma" w:cs="Tahoma"/>
          <w:sz w:val="24"/>
          <w:szCs w:val="24"/>
        </w:rPr>
        <w:t>Prin proiectul Big Data se va implementa o platformă complexă prin care vor fi integrate și valorificate în termeni operaționali și analitici volume mari de date, atât interne, cât și din surse terțe.</w:t>
      </w:r>
    </w:p>
    <w:p w:rsidR="00BE53FF" w:rsidRPr="00216E39" w:rsidRDefault="00BE53FF" w:rsidP="0096190F">
      <w:pPr>
        <w:spacing w:before="120" w:after="120" w:line="276" w:lineRule="auto"/>
        <w:ind w:firstLine="0"/>
        <w:rPr>
          <w:rFonts w:ascii="Tahoma" w:hAnsi="Tahoma" w:cs="Tahoma"/>
          <w:sz w:val="24"/>
          <w:szCs w:val="24"/>
        </w:rPr>
      </w:pPr>
      <w:r w:rsidRPr="00216E39">
        <w:rPr>
          <w:rFonts w:ascii="Tahoma" w:hAnsi="Tahoma" w:cs="Tahoma"/>
          <w:sz w:val="24"/>
          <w:szCs w:val="24"/>
        </w:rPr>
        <w:t>Proiectele amintite anterior, precum e-factura, SAF-T, casele de marcat electronice, e-transport vor face parte din sursele de date și informații ce vor alimenta cu informații proprii platforma de Big Data. Până la data finalizării acestei platforme, informațiile provenite din instrumentele digitale de control fiscal și colectare date vor fi valorificate pentru rafinarea analizei de risc existente și focusarea acțiunilor de control în consecință.</w:t>
      </w:r>
    </w:p>
    <w:p w:rsidR="00BE53FF" w:rsidRPr="00216E39" w:rsidRDefault="00BE53FF" w:rsidP="0096190F">
      <w:pPr>
        <w:spacing w:before="120" w:after="120" w:line="276" w:lineRule="auto"/>
        <w:ind w:firstLine="0"/>
        <w:rPr>
          <w:rFonts w:ascii="Tahoma" w:hAnsi="Tahoma" w:cs="Tahoma"/>
          <w:sz w:val="24"/>
          <w:szCs w:val="24"/>
        </w:rPr>
      </w:pPr>
      <w:r w:rsidRPr="00216E39">
        <w:rPr>
          <w:rFonts w:ascii="Tahoma" w:hAnsi="Tahoma" w:cs="Tahoma"/>
          <w:sz w:val="24"/>
          <w:szCs w:val="24"/>
        </w:rPr>
        <w:t>La finalul implementării proiectelor din această zonă, va fi disponibil registrul electronic al riscurilor fiscale, iar analiza de risc va fi realizată unitar, la nivel central, pentru toate structurile de control fiscal.</w:t>
      </w:r>
    </w:p>
    <w:p w:rsidR="00BE53FF" w:rsidRPr="00216E39" w:rsidRDefault="00BE53FF" w:rsidP="0096190F">
      <w:pPr>
        <w:spacing w:before="120" w:after="120" w:line="276" w:lineRule="auto"/>
        <w:ind w:left="641"/>
        <w:rPr>
          <w:rFonts w:ascii="Tahoma" w:hAnsi="Tahoma" w:cs="Tahoma"/>
          <w:sz w:val="24"/>
          <w:szCs w:val="24"/>
        </w:rPr>
      </w:pPr>
      <w:r w:rsidRPr="00216E39">
        <w:rPr>
          <w:rFonts w:ascii="Tahoma" w:hAnsi="Tahoma" w:cs="Tahoma"/>
          <w:sz w:val="24"/>
          <w:szCs w:val="24"/>
        </w:rPr>
        <w:t>2. A doua mare linie de acțiune are în vedere consolidarea serviciilor pentru contribuabili și, deci, creșterea conformării voluntare. Printre cele mai importante măsuri de acest tip, amintim doar:</w:t>
      </w:r>
    </w:p>
    <w:p w:rsidR="00BE53FF" w:rsidRPr="00216E39" w:rsidRDefault="00BE53FF" w:rsidP="0096190F">
      <w:pPr>
        <w:numPr>
          <w:ilvl w:val="0"/>
          <w:numId w:val="37"/>
        </w:numPr>
        <w:tabs>
          <w:tab w:val="left" w:pos="142"/>
        </w:tabs>
        <w:spacing w:before="120" w:after="120" w:line="276" w:lineRule="auto"/>
        <w:ind w:left="1078" w:hanging="227"/>
        <w:rPr>
          <w:rFonts w:ascii="Tahoma" w:hAnsi="Tahoma" w:cs="Tahoma"/>
          <w:sz w:val="24"/>
          <w:szCs w:val="24"/>
        </w:rPr>
      </w:pPr>
      <w:r w:rsidRPr="00216E39">
        <w:rPr>
          <w:rFonts w:ascii="Tahoma" w:hAnsi="Tahoma" w:cs="Tahoma"/>
          <w:sz w:val="24"/>
          <w:szCs w:val="24"/>
        </w:rPr>
        <w:lastRenderedPageBreak/>
        <w:t>Optimizarea și simplificarea serviciilor oferite în cadrul SPV (Spațiul Privat Virtual) prin portalul ANAF, portal care v</w:t>
      </w:r>
      <w:r w:rsidR="00514DE0" w:rsidRPr="00216E39">
        <w:rPr>
          <w:rFonts w:ascii="Tahoma" w:hAnsi="Tahoma" w:cs="Tahoma"/>
          <w:sz w:val="24"/>
          <w:szCs w:val="24"/>
        </w:rPr>
        <w:t>a fi reproiectat și dezvoltat;</w:t>
      </w:r>
    </w:p>
    <w:p w:rsidR="00BE53FF" w:rsidRPr="00216E39" w:rsidRDefault="00BE53FF" w:rsidP="0096190F">
      <w:pPr>
        <w:numPr>
          <w:ilvl w:val="0"/>
          <w:numId w:val="37"/>
        </w:numPr>
        <w:tabs>
          <w:tab w:val="left" w:pos="142"/>
        </w:tabs>
        <w:spacing w:before="120" w:after="120" w:line="276" w:lineRule="auto"/>
        <w:ind w:left="1078" w:hanging="227"/>
        <w:rPr>
          <w:rFonts w:ascii="Tahoma" w:hAnsi="Tahoma" w:cs="Tahoma"/>
          <w:sz w:val="24"/>
          <w:szCs w:val="24"/>
        </w:rPr>
      </w:pPr>
      <w:r w:rsidRPr="00216E39">
        <w:rPr>
          <w:rFonts w:ascii="Tahoma" w:hAnsi="Tahoma" w:cs="Tahoma"/>
          <w:sz w:val="24"/>
          <w:szCs w:val="24"/>
        </w:rPr>
        <w:t>Acest proiect va permite la rândul său extinderea gamei de servicii oferite în mediu digital contribuabililor (de ex., este vizată extinderea interacțiunii dintre ANAF și contribuabili în mediu digital pentru o serie de activități astăzi derulându-se doar față în față, respectiv prin achiziționarea, customizarea și implementarea unei platforme video care să permită organizarea în regim securizat de întâlniri între funcționarii fiscali și contribuabili);</w:t>
      </w:r>
    </w:p>
    <w:p w:rsidR="00BE53FF" w:rsidRPr="00216E39" w:rsidRDefault="00BE53FF" w:rsidP="0096190F">
      <w:pPr>
        <w:numPr>
          <w:ilvl w:val="0"/>
          <w:numId w:val="37"/>
        </w:numPr>
        <w:tabs>
          <w:tab w:val="left" w:pos="142"/>
        </w:tabs>
        <w:spacing w:before="120" w:after="120" w:line="276" w:lineRule="auto"/>
        <w:ind w:left="1078" w:hanging="227"/>
        <w:rPr>
          <w:rFonts w:ascii="Tahoma" w:hAnsi="Tahoma" w:cs="Tahoma"/>
          <w:sz w:val="24"/>
          <w:szCs w:val="24"/>
        </w:rPr>
      </w:pPr>
      <w:r w:rsidRPr="00216E39">
        <w:rPr>
          <w:rFonts w:ascii="Tahoma" w:hAnsi="Tahoma" w:cs="Tahoma"/>
          <w:sz w:val="24"/>
          <w:szCs w:val="24"/>
        </w:rPr>
        <w:t>Implementarea chatbot și integrarea acestuia cu portalul ANAF, aplicația de mobil și soluția de Call-Center a ANAF</w:t>
      </w:r>
      <w:r w:rsidR="00872C81" w:rsidRPr="00216E39">
        <w:rPr>
          <w:rFonts w:ascii="Tahoma" w:hAnsi="Tahoma" w:cs="Tahoma"/>
          <w:sz w:val="24"/>
          <w:szCs w:val="24"/>
        </w:rPr>
        <w:t>;</w:t>
      </w:r>
    </w:p>
    <w:p w:rsidR="00BE53FF" w:rsidRPr="00216E39" w:rsidRDefault="00BE53FF" w:rsidP="0096190F">
      <w:pPr>
        <w:numPr>
          <w:ilvl w:val="0"/>
          <w:numId w:val="37"/>
        </w:numPr>
        <w:tabs>
          <w:tab w:val="left" w:pos="142"/>
        </w:tabs>
        <w:spacing w:before="120" w:after="120" w:line="276" w:lineRule="auto"/>
        <w:ind w:left="1078" w:hanging="227"/>
        <w:rPr>
          <w:rFonts w:ascii="Tahoma" w:hAnsi="Tahoma" w:cs="Tahoma"/>
          <w:sz w:val="24"/>
          <w:szCs w:val="24"/>
        </w:rPr>
      </w:pPr>
      <w:r w:rsidRPr="00216E39">
        <w:rPr>
          <w:rFonts w:ascii="Tahoma" w:hAnsi="Tahoma" w:cs="Tahoma"/>
          <w:sz w:val="24"/>
          <w:szCs w:val="24"/>
        </w:rPr>
        <w:t>Crearea unei platforme on-line pentru valorificarea bunurilor imobile și a celor mobile de o valoare semnificativă.</w:t>
      </w:r>
    </w:p>
    <w:p w:rsidR="00BE53FF" w:rsidRPr="00216E39" w:rsidRDefault="00BE53FF" w:rsidP="00BE53FF">
      <w:pPr>
        <w:pStyle w:val="BodyText"/>
        <w:spacing w:afterLines="50" w:after="120" w:line="240" w:lineRule="auto"/>
        <w:jc w:val="both"/>
        <w:rPr>
          <w:rFonts w:ascii="Trebuchet MS" w:hAnsi="Trebuchet MS" w:cs="Trebuchet MS"/>
          <w:sz w:val="24"/>
          <w:szCs w:val="24"/>
          <w:lang w:val="ro-RO"/>
        </w:rPr>
      </w:pPr>
    </w:p>
    <w:p w:rsidR="00BE53FF" w:rsidRPr="00216E39" w:rsidRDefault="00BE53FF" w:rsidP="001343CF">
      <w:pPr>
        <w:spacing w:before="120" w:after="0" w:line="276" w:lineRule="auto"/>
        <w:ind w:left="357"/>
        <w:rPr>
          <w:rFonts w:ascii="Tahoma" w:hAnsi="Tahoma" w:cs="Tahoma"/>
          <w:b/>
          <w:bCs/>
          <w:sz w:val="24"/>
          <w:szCs w:val="24"/>
        </w:rPr>
      </w:pPr>
      <w:r w:rsidRPr="00216E39">
        <w:rPr>
          <w:rFonts w:ascii="Tahoma" w:hAnsi="Tahoma" w:cs="Tahoma"/>
          <w:b/>
          <w:bCs/>
          <w:sz w:val="24"/>
          <w:szCs w:val="24"/>
        </w:rPr>
        <w:t>C. Direcțiile strategice viitoare:</w:t>
      </w:r>
    </w:p>
    <w:p w:rsidR="00BE53FF" w:rsidRPr="00216E39" w:rsidRDefault="00BE53FF" w:rsidP="001343CF">
      <w:pPr>
        <w:numPr>
          <w:ilvl w:val="0"/>
          <w:numId w:val="38"/>
        </w:numPr>
        <w:spacing w:before="120" w:after="0" w:line="276" w:lineRule="auto"/>
        <w:ind w:left="624" w:hanging="340"/>
        <w:rPr>
          <w:rFonts w:ascii="Tahoma" w:hAnsi="Tahoma" w:cs="Tahoma"/>
          <w:sz w:val="24"/>
          <w:szCs w:val="24"/>
        </w:rPr>
      </w:pPr>
      <w:r w:rsidRPr="00216E39">
        <w:rPr>
          <w:rFonts w:ascii="Tahoma" w:hAnsi="Tahoma" w:cs="Tahoma"/>
          <w:sz w:val="24"/>
          <w:szCs w:val="24"/>
        </w:rPr>
        <w:t>Asigurarea de servicii moderne către comunitate și contribuabili, prin asigurarea unei interacțiunii digitale cu permanentă, facilă și adaptată nevoilor acestora, printr-o serie de măsuri precum:</w:t>
      </w:r>
    </w:p>
    <w:p w:rsidR="00BE53FF" w:rsidRPr="00216E39" w:rsidRDefault="00BE53FF" w:rsidP="001343CF">
      <w:pPr>
        <w:numPr>
          <w:ilvl w:val="0"/>
          <w:numId w:val="39"/>
        </w:numPr>
        <w:spacing w:before="120" w:after="0" w:line="276" w:lineRule="auto"/>
        <w:ind w:left="1078" w:hanging="227"/>
        <w:rPr>
          <w:rFonts w:ascii="Tahoma" w:hAnsi="Tahoma" w:cs="Tahoma"/>
          <w:sz w:val="24"/>
          <w:szCs w:val="24"/>
        </w:rPr>
      </w:pPr>
      <w:r w:rsidRPr="00216E39">
        <w:rPr>
          <w:rFonts w:ascii="Tahoma" w:eastAsia="SimSun" w:hAnsi="Tahoma" w:cs="Tahoma"/>
          <w:kern w:val="24"/>
          <w:sz w:val="24"/>
          <w:szCs w:val="24"/>
        </w:rPr>
        <w:t>Asigurarea interacțiunii digitale cu contribuabilii, disponibilă 24/7, ușor accesibilă, ada</w:t>
      </w:r>
      <w:r w:rsidR="00872C81" w:rsidRPr="00216E39">
        <w:rPr>
          <w:rFonts w:ascii="Tahoma" w:eastAsia="SimSun" w:hAnsi="Tahoma" w:cs="Tahoma"/>
          <w:kern w:val="24"/>
          <w:sz w:val="24"/>
          <w:szCs w:val="24"/>
        </w:rPr>
        <w:t>ptată nevoilor contribuabililor;</w:t>
      </w:r>
    </w:p>
    <w:p w:rsidR="00BE53FF" w:rsidRPr="00216E39" w:rsidRDefault="00BE53FF" w:rsidP="001343CF">
      <w:pPr>
        <w:numPr>
          <w:ilvl w:val="0"/>
          <w:numId w:val="39"/>
        </w:numPr>
        <w:spacing w:before="120" w:after="0" w:line="276" w:lineRule="auto"/>
        <w:ind w:left="1078" w:hanging="227"/>
        <w:rPr>
          <w:rFonts w:ascii="Tahoma" w:hAnsi="Tahoma" w:cs="Tahoma"/>
          <w:sz w:val="24"/>
          <w:szCs w:val="24"/>
        </w:rPr>
      </w:pPr>
      <w:r w:rsidRPr="00216E39">
        <w:rPr>
          <w:rFonts w:ascii="Tahoma" w:eastAsia="SimSun" w:hAnsi="Tahoma" w:cs="Tahoma"/>
          <w:kern w:val="24"/>
          <w:sz w:val="24"/>
          <w:szCs w:val="24"/>
        </w:rPr>
        <w:t>Simplificarea constantă a interacțiunii digitale cu contribuabilii</w:t>
      </w:r>
      <w:r w:rsidR="00872C81" w:rsidRPr="00216E39">
        <w:rPr>
          <w:rFonts w:ascii="Tahoma" w:eastAsia="SimSun" w:hAnsi="Tahoma" w:cs="Tahoma"/>
          <w:kern w:val="24"/>
          <w:sz w:val="24"/>
          <w:szCs w:val="24"/>
        </w:rPr>
        <w:t>;</w:t>
      </w:r>
    </w:p>
    <w:p w:rsidR="00BE53FF" w:rsidRPr="00216E39" w:rsidRDefault="00BE53FF" w:rsidP="001343CF">
      <w:pPr>
        <w:numPr>
          <w:ilvl w:val="0"/>
          <w:numId w:val="39"/>
        </w:numPr>
        <w:spacing w:before="120" w:after="0" w:line="276" w:lineRule="auto"/>
        <w:ind w:left="1078" w:hanging="227"/>
        <w:rPr>
          <w:rFonts w:ascii="Tahoma" w:hAnsi="Tahoma" w:cs="Tahoma"/>
          <w:sz w:val="24"/>
          <w:szCs w:val="24"/>
        </w:rPr>
      </w:pPr>
      <w:r w:rsidRPr="00216E39">
        <w:rPr>
          <w:rFonts w:ascii="Tahoma" w:eastAsia="SimSun" w:hAnsi="Tahoma" w:cs="Tahoma"/>
          <w:kern w:val="24"/>
          <w:sz w:val="24"/>
          <w:szCs w:val="24"/>
        </w:rPr>
        <w:t>Utilizarea feedback-ului de la contribuabili într-o manieră structurata, pentru realizarea design-ului serviciilor oferite de administrația fiscală sa</w:t>
      </w:r>
      <w:r w:rsidR="00872C81" w:rsidRPr="00216E39">
        <w:rPr>
          <w:rFonts w:ascii="Tahoma" w:eastAsia="SimSun" w:hAnsi="Tahoma" w:cs="Tahoma"/>
          <w:kern w:val="24"/>
          <w:sz w:val="24"/>
          <w:szCs w:val="24"/>
        </w:rPr>
        <w:t>u pentru îmbunătățirea acestora;</w:t>
      </w:r>
    </w:p>
    <w:p w:rsidR="00BE53FF" w:rsidRPr="00216E39" w:rsidRDefault="00BE53FF" w:rsidP="001343CF">
      <w:pPr>
        <w:numPr>
          <w:ilvl w:val="0"/>
          <w:numId w:val="39"/>
        </w:numPr>
        <w:spacing w:before="120" w:after="0" w:line="276" w:lineRule="auto"/>
        <w:ind w:left="1078" w:hanging="227"/>
        <w:rPr>
          <w:rFonts w:ascii="Tahoma" w:hAnsi="Tahoma" w:cs="Tahoma"/>
          <w:sz w:val="24"/>
          <w:szCs w:val="24"/>
        </w:rPr>
      </w:pPr>
      <w:r w:rsidRPr="00216E39">
        <w:rPr>
          <w:rFonts w:ascii="Tahoma" w:eastAsia="SimSun" w:hAnsi="Tahoma" w:cs="Tahoma"/>
          <w:kern w:val="24"/>
          <w:sz w:val="24"/>
          <w:szCs w:val="24"/>
        </w:rPr>
        <w:t>Adaptarea serviciilor și a comunicării pentru a răspunde nevoilor specifice anumitor segmente de contribuabili (de exemplu, mari contribuabili, mijlocii etc.).</w:t>
      </w:r>
    </w:p>
    <w:p w:rsidR="00BE53FF" w:rsidRPr="00216E39" w:rsidRDefault="00BE53FF" w:rsidP="001343CF">
      <w:pPr>
        <w:numPr>
          <w:ilvl w:val="0"/>
          <w:numId w:val="38"/>
        </w:numPr>
        <w:spacing w:before="120" w:after="0" w:line="276" w:lineRule="auto"/>
        <w:ind w:left="624" w:hanging="340"/>
        <w:rPr>
          <w:rFonts w:ascii="Tahoma" w:hAnsi="Tahoma" w:cs="Tahoma"/>
          <w:sz w:val="24"/>
          <w:szCs w:val="24"/>
        </w:rPr>
      </w:pPr>
      <w:r w:rsidRPr="00216E39">
        <w:rPr>
          <w:rFonts w:ascii="Tahoma" w:hAnsi="Tahoma" w:cs="Tahoma"/>
          <w:sz w:val="24"/>
          <w:szCs w:val="24"/>
        </w:rPr>
        <w:t>Optimizarea nivelului de conformare voluntară prin realizarea de programe și proiecte care să determine reducerea decalajului fiscal în zonele importante ale administrării fiscale, printr-o serie de măsuri precum:</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Stabilirea unui proces național centralizat pentru a evalua și prioritiza riscurile de conformare pentru principalele impozite și taxe și dezvoltarea unui registru al riscurilor de conformare, precum și un program național de îmbunătățire a conformării</w:t>
      </w:r>
      <w:r w:rsidR="00872C81" w:rsidRPr="00216E39">
        <w:rPr>
          <w:rFonts w:ascii="Tahoma" w:eastAsia="SimSun" w:hAnsi="Tahoma" w:cs="Tahoma"/>
          <w:kern w:val="24"/>
          <w:sz w:val="24"/>
          <w:szCs w:val="24"/>
        </w:rPr>
        <w:t>;</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Proiectarea de sisteme și procese care să faciliteze îndeplinirea obligaț</w:t>
      </w:r>
      <w:r w:rsidR="00872C81" w:rsidRPr="00216E39">
        <w:rPr>
          <w:rFonts w:ascii="Tahoma" w:eastAsia="SimSun" w:hAnsi="Tahoma" w:cs="Tahoma"/>
          <w:kern w:val="24"/>
          <w:sz w:val="24"/>
          <w:szCs w:val="24"/>
        </w:rPr>
        <w:t>iilor de plată ale contribuabi</w:t>
      </w:r>
      <w:r w:rsidRPr="00216E39">
        <w:rPr>
          <w:rFonts w:ascii="Tahoma" w:eastAsia="SimSun" w:hAnsi="Tahoma" w:cs="Tahoma"/>
          <w:kern w:val="24"/>
          <w:sz w:val="24"/>
          <w:szCs w:val="24"/>
        </w:rPr>
        <w:t>lilor și să optimizeze nivelul de conformare voluntară</w:t>
      </w:r>
      <w:r w:rsidR="00872C81" w:rsidRPr="00216E39">
        <w:rPr>
          <w:rFonts w:ascii="Tahoma" w:eastAsia="SimSun" w:hAnsi="Tahoma" w:cs="Tahoma"/>
          <w:kern w:val="24"/>
          <w:sz w:val="24"/>
          <w:szCs w:val="24"/>
        </w:rPr>
        <w:t>;</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 xml:space="preserve">Efectuarea de analize detaliate ale sistemului de TVA și valorificarea rezultatelor pentru a identifica potențialele consolidări ale procedurilor de </w:t>
      </w:r>
      <w:r w:rsidRPr="00216E39">
        <w:rPr>
          <w:rFonts w:ascii="Tahoma" w:eastAsia="SimSun" w:hAnsi="Tahoma" w:cs="Tahoma"/>
          <w:kern w:val="24"/>
          <w:sz w:val="24"/>
          <w:szCs w:val="24"/>
        </w:rPr>
        <w:lastRenderedPageBreak/>
        <w:t>administrare, dar și zonele ce generează pierderi semnificative de încasări și pentru a dezvolta strategii de răspuns cuprinzătoare, inclusiv planificarea acțiunilor antifraudă și folosirea optimă a instrumentelor de coopera</w:t>
      </w:r>
      <w:r w:rsidR="00872C81" w:rsidRPr="00216E39">
        <w:rPr>
          <w:rFonts w:ascii="Tahoma" w:eastAsia="SimSun" w:hAnsi="Tahoma" w:cs="Tahoma"/>
          <w:kern w:val="24"/>
          <w:sz w:val="24"/>
          <w:szCs w:val="24"/>
        </w:rPr>
        <w:t>re administrativă internațional;</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Efectuarea de analize pentru o înțelegere cuprinzătoare a factorilor care conduc la comportamentul neconform al contribuabililor și utilizarea constatărilor pentru</w:t>
      </w:r>
      <w:r w:rsidR="00872C81" w:rsidRPr="00216E39">
        <w:rPr>
          <w:rFonts w:ascii="Tahoma" w:eastAsia="SimSun" w:hAnsi="Tahoma" w:cs="Tahoma"/>
          <w:kern w:val="24"/>
          <w:sz w:val="24"/>
          <w:szCs w:val="24"/>
        </w:rPr>
        <w:t xml:space="preserve"> a concepe strategii de răspuns;</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Îmbunătățirea capacității funcției de control fiscal, incluzând un proces structurat de analiză a eficacității acestei funcții și utilizarea rezultatelor pentru a îmbunătăți evaluarea riscurilor și funcția de control fiscal</w:t>
      </w:r>
      <w:r w:rsidR="00872C81" w:rsidRPr="00216E39">
        <w:rPr>
          <w:rFonts w:ascii="Tahoma" w:eastAsia="SimSun" w:hAnsi="Tahoma" w:cs="Tahoma"/>
          <w:kern w:val="24"/>
          <w:sz w:val="24"/>
          <w:szCs w:val="24"/>
        </w:rPr>
        <w:t>;</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Accent sporit pe prevenirea acumulării de noi arierate fiscale.</w:t>
      </w:r>
    </w:p>
    <w:p w:rsidR="00BE53FF" w:rsidRPr="00216E39" w:rsidRDefault="00BE53FF" w:rsidP="001343CF">
      <w:pPr>
        <w:numPr>
          <w:ilvl w:val="0"/>
          <w:numId w:val="38"/>
        </w:numPr>
        <w:spacing w:before="120" w:after="0" w:line="276" w:lineRule="auto"/>
        <w:ind w:left="624" w:hanging="340"/>
        <w:rPr>
          <w:rFonts w:ascii="Tahoma" w:hAnsi="Tahoma" w:cs="Tahoma"/>
          <w:sz w:val="24"/>
          <w:szCs w:val="24"/>
        </w:rPr>
      </w:pPr>
      <w:r w:rsidRPr="00216E39">
        <w:rPr>
          <w:rFonts w:ascii="Tahoma" w:hAnsi="Tahoma" w:cs="Tahoma"/>
          <w:sz w:val="24"/>
          <w:szCs w:val="24"/>
        </w:rPr>
        <w:t>Dezvoltarea și implementarea unui design organizațional care să susțină</w:t>
      </w:r>
      <w:r w:rsidR="00425F2E" w:rsidRPr="00216E39">
        <w:rPr>
          <w:rFonts w:ascii="Tahoma" w:hAnsi="Tahoma" w:cs="Tahoma"/>
          <w:sz w:val="24"/>
          <w:szCs w:val="24"/>
        </w:rPr>
        <w:t xml:space="preserve"> și</w:t>
      </w:r>
      <w:r w:rsidRPr="00216E39">
        <w:rPr>
          <w:rFonts w:ascii="Tahoma" w:hAnsi="Tahoma" w:cs="Tahoma"/>
          <w:sz w:val="24"/>
          <w:szCs w:val="24"/>
        </w:rPr>
        <w:t xml:space="preserve"> </w:t>
      </w:r>
      <w:r w:rsidR="00425F2E" w:rsidRPr="00216E39">
        <w:rPr>
          <w:rFonts w:ascii="Tahoma" w:hAnsi="Tahoma" w:cs="Tahoma"/>
          <w:sz w:val="24"/>
          <w:szCs w:val="24"/>
        </w:rPr>
        <w:t xml:space="preserve">să </w:t>
      </w:r>
      <w:r w:rsidRPr="00216E39">
        <w:rPr>
          <w:rFonts w:ascii="Tahoma" w:hAnsi="Tahoma" w:cs="Tahoma"/>
          <w:sz w:val="24"/>
          <w:szCs w:val="24"/>
        </w:rPr>
        <w:t>sprijin</w:t>
      </w:r>
      <w:r w:rsidR="00425F2E" w:rsidRPr="00216E39">
        <w:rPr>
          <w:rFonts w:ascii="Tahoma" w:hAnsi="Tahoma" w:cs="Tahoma"/>
          <w:sz w:val="24"/>
          <w:szCs w:val="24"/>
        </w:rPr>
        <w:t>e</w:t>
      </w:r>
      <w:r w:rsidRPr="00216E39">
        <w:rPr>
          <w:rFonts w:ascii="Tahoma" w:hAnsi="Tahoma" w:cs="Tahoma"/>
          <w:sz w:val="24"/>
          <w:szCs w:val="24"/>
        </w:rPr>
        <w:t xml:space="preserve"> angajații, procesele și evoluția tehnologică într-un mediu în continuă schimbare printr-o serie de măsuri precum:</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Dezvoltarea și implementarea unui design organizațional modern care sprijină angajații, procesele și evoluția tehnologică într</w:t>
      </w:r>
      <w:r w:rsidR="00872C81" w:rsidRPr="00216E39">
        <w:rPr>
          <w:rFonts w:ascii="Tahoma" w:eastAsia="SimSun" w:hAnsi="Tahoma" w:cs="Tahoma"/>
          <w:kern w:val="24"/>
          <w:sz w:val="24"/>
          <w:szCs w:val="24"/>
        </w:rPr>
        <w:t>-un mediu în continuă schimbare;</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Încorporarea unei culturi bazată pe risc în cadrul tuturor proceselo</w:t>
      </w:r>
      <w:r w:rsidR="00872C81" w:rsidRPr="00216E39">
        <w:rPr>
          <w:rFonts w:ascii="Tahoma" w:eastAsia="SimSun" w:hAnsi="Tahoma" w:cs="Tahoma"/>
          <w:kern w:val="24"/>
          <w:sz w:val="24"/>
          <w:szCs w:val="24"/>
        </w:rPr>
        <w:t>r și a abordărilor operaționale;</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Efectuarea unei planificări detaliate a forței de muncă, inclusiv cu accent sporit pe specializarea, abilitățile și recrutarea forței de muncă și conceperea strategiilor și a planificării pentru a pregăti forța de muncă a viitorului.</w:t>
      </w:r>
    </w:p>
    <w:p w:rsidR="00BE53FF" w:rsidRPr="00216E39" w:rsidRDefault="00BE53FF" w:rsidP="001343CF">
      <w:pPr>
        <w:numPr>
          <w:ilvl w:val="0"/>
          <w:numId w:val="38"/>
        </w:numPr>
        <w:spacing w:before="120" w:after="0" w:line="276" w:lineRule="auto"/>
        <w:ind w:left="624" w:hanging="340"/>
        <w:rPr>
          <w:rFonts w:ascii="Tahoma" w:hAnsi="Tahoma" w:cs="Tahoma"/>
          <w:sz w:val="24"/>
          <w:szCs w:val="24"/>
        </w:rPr>
      </w:pPr>
      <w:r w:rsidRPr="00216E39">
        <w:rPr>
          <w:rFonts w:ascii="Tahoma" w:hAnsi="Tahoma" w:cs="Tahoma"/>
          <w:sz w:val="24"/>
          <w:szCs w:val="24"/>
        </w:rPr>
        <w:t>Utilizarea și valorificarea tehnologiei moderne pentru a sprijini luarea deciziilor bazate pe date și a oferi contribuabililor și comunității servicii de încredere, aliniate bunelor practici internaționale, printr-o serie de măsuri precum:</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 xml:space="preserve">Utilizarea tehnologiei pentru a oferi contribuabililor și comunității un serviciu de încredere, aliniat </w:t>
      </w:r>
      <w:r w:rsidR="00872C81" w:rsidRPr="00216E39">
        <w:rPr>
          <w:rFonts w:ascii="Tahoma" w:eastAsia="SimSun" w:hAnsi="Tahoma" w:cs="Tahoma"/>
          <w:kern w:val="24"/>
          <w:sz w:val="24"/>
          <w:szCs w:val="24"/>
        </w:rPr>
        <w:t>bunelor practici internaționale;</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Valorificarea tehnologiei moderne (inclusiv analiză și IA) în vederea maximizării utilizării informațiilor (interne și externe) pentru a sprijini luarea deciziilor bazate pe date și proi</w:t>
      </w:r>
      <w:r w:rsidR="00872C81" w:rsidRPr="00216E39">
        <w:rPr>
          <w:rFonts w:ascii="Tahoma" w:eastAsia="SimSun" w:hAnsi="Tahoma" w:cs="Tahoma"/>
          <w:kern w:val="24"/>
          <w:sz w:val="24"/>
          <w:szCs w:val="24"/>
        </w:rPr>
        <w:t>ectarea strategiilor de răspuns;</w:t>
      </w:r>
    </w:p>
    <w:p w:rsidR="00BE53FF" w:rsidRPr="00216E39" w:rsidRDefault="00BE53FF" w:rsidP="001343CF">
      <w:pPr>
        <w:numPr>
          <w:ilvl w:val="0"/>
          <w:numId w:val="39"/>
        </w:numPr>
        <w:spacing w:before="120" w:after="0" w:line="276" w:lineRule="auto"/>
        <w:ind w:left="1078" w:hanging="227"/>
        <w:rPr>
          <w:rFonts w:ascii="Tahoma" w:eastAsia="SimSun" w:hAnsi="Tahoma" w:cs="Tahoma"/>
          <w:kern w:val="24"/>
          <w:sz w:val="24"/>
          <w:szCs w:val="24"/>
        </w:rPr>
      </w:pPr>
      <w:r w:rsidRPr="00216E39">
        <w:rPr>
          <w:rFonts w:ascii="Tahoma" w:eastAsia="SimSun" w:hAnsi="Tahoma" w:cs="Tahoma"/>
          <w:kern w:val="24"/>
          <w:sz w:val="24"/>
          <w:szCs w:val="24"/>
        </w:rPr>
        <w:t>Folosirea de instrumente digitale adaptate și integrate (inclusiv sisteme avansate de gestionarea automată a cazurilor) care sprijină eficiența și eficacitatea resurselor existente</w:t>
      </w:r>
      <w:r w:rsidR="00872C81" w:rsidRPr="00216E39">
        <w:rPr>
          <w:rFonts w:ascii="Tahoma" w:eastAsia="SimSun" w:hAnsi="Tahoma" w:cs="Tahoma"/>
          <w:kern w:val="24"/>
          <w:sz w:val="24"/>
          <w:szCs w:val="24"/>
        </w:rPr>
        <w:t>.</w:t>
      </w:r>
    </w:p>
    <w:p w:rsidR="009D0987" w:rsidRPr="00216E39" w:rsidRDefault="00E3087D" w:rsidP="002A6579">
      <w:pPr>
        <w:pStyle w:val="ListParagraph"/>
        <w:pageBreakBefore/>
        <w:numPr>
          <w:ilvl w:val="0"/>
          <w:numId w:val="1"/>
        </w:numPr>
        <w:spacing w:after="240" w:line="276" w:lineRule="auto"/>
        <w:ind w:left="562" w:firstLine="0"/>
        <w:contextualSpacing w:val="0"/>
        <w:outlineLvl w:val="0"/>
        <w:rPr>
          <w:rFonts w:ascii="Tahoma" w:hAnsi="Tahoma" w:cs="Tahoma"/>
          <w:b/>
          <w:sz w:val="24"/>
          <w:szCs w:val="24"/>
        </w:rPr>
      </w:pPr>
      <w:bookmarkStart w:id="20" w:name="_Toc172205379"/>
      <w:r w:rsidRPr="00216E39">
        <w:rPr>
          <w:rFonts w:ascii="Tahoma" w:hAnsi="Tahoma" w:cs="Tahoma"/>
          <w:b/>
          <w:sz w:val="24"/>
          <w:szCs w:val="24"/>
        </w:rPr>
        <w:lastRenderedPageBreak/>
        <w:t xml:space="preserve">Execuția bugetară pe </w:t>
      </w:r>
      <w:r w:rsidR="00BD4E32" w:rsidRPr="00216E39">
        <w:rPr>
          <w:rFonts w:ascii="Tahoma" w:hAnsi="Tahoma" w:cs="Tahoma"/>
          <w:b/>
          <w:sz w:val="24"/>
          <w:szCs w:val="24"/>
        </w:rPr>
        <w:t xml:space="preserve">primul semestru al </w:t>
      </w:r>
      <w:r w:rsidRPr="00216E39">
        <w:rPr>
          <w:rFonts w:ascii="Tahoma" w:hAnsi="Tahoma" w:cs="Tahoma"/>
          <w:b/>
          <w:sz w:val="24"/>
          <w:szCs w:val="24"/>
        </w:rPr>
        <w:t>anului</w:t>
      </w:r>
      <w:bookmarkEnd w:id="12"/>
      <w:bookmarkEnd w:id="13"/>
      <w:bookmarkEnd w:id="14"/>
      <w:bookmarkEnd w:id="15"/>
      <w:bookmarkEnd w:id="16"/>
      <w:bookmarkEnd w:id="17"/>
      <w:bookmarkEnd w:id="18"/>
      <w:bookmarkEnd w:id="19"/>
      <w:r w:rsidR="00B009FE" w:rsidRPr="00216E39">
        <w:rPr>
          <w:rFonts w:ascii="Tahoma" w:hAnsi="Tahoma" w:cs="Tahoma"/>
          <w:b/>
          <w:sz w:val="24"/>
          <w:szCs w:val="24"/>
        </w:rPr>
        <w:t xml:space="preserve"> </w:t>
      </w:r>
      <w:r w:rsidR="00DD17E0" w:rsidRPr="00216E39">
        <w:rPr>
          <w:rFonts w:ascii="Tahoma" w:hAnsi="Tahoma" w:cs="Tahoma"/>
          <w:b/>
          <w:sz w:val="24"/>
          <w:szCs w:val="24"/>
        </w:rPr>
        <w:t>20</w:t>
      </w:r>
      <w:r w:rsidR="00E10878" w:rsidRPr="00216E39">
        <w:rPr>
          <w:rFonts w:ascii="Tahoma" w:hAnsi="Tahoma" w:cs="Tahoma"/>
          <w:b/>
          <w:sz w:val="24"/>
          <w:szCs w:val="24"/>
        </w:rPr>
        <w:t>2</w:t>
      </w:r>
      <w:r w:rsidR="00262533" w:rsidRPr="00216E39">
        <w:rPr>
          <w:rFonts w:ascii="Tahoma" w:hAnsi="Tahoma" w:cs="Tahoma"/>
          <w:b/>
          <w:sz w:val="24"/>
          <w:szCs w:val="24"/>
        </w:rPr>
        <w:t>4</w:t>
      </w:r>
      <w:bookmarkEnd w:id="20"/>
    </w:p>
    <w:p w:rsidR="002F1D42" w:rsidRPr="00216E39" w:rsidRDefault="004D6D76" w:rsidP="00501750">
      <w:pPr>
        <w:shd w:val="clear" w:color="auto" w:fill="E2EFD9" w:themeFill="accent6" w:themeFillTint="33"/>
        <w:spacing w:line="276" w:lineRule="auto"/>
        <w:ind w:firstLine="0"/>
        <w:rPr>
          <w:rFonts w:ascii="Tahoma" w:hAnsi="Tahoma" w:cs="Tahoma"/>
          <w:sz w:val="24"/>
          <w:szCs w:val="24"/>
        </w:rPr>
      </w:pPr>
      <w:r w:rsidRPr="00216E39">
        <w:rPr>
          <w:rFonts w:ascii="Tahoma" w:hAnsi="Tahoma" w:cs="Tahoma"/>
          <w:sz w:val="24"/>
          <w:szCs w:val="24"/>
        </w:rPr>
        <w:t>Conform datelor operative, execuția bugetului general consolidat pe primul semestru al anului 20</w:t>
      </w:r>
      <w:r w:rsidR="00E10878" w:rsidRPr="00216E39">
        <w:rPr>
          <w:rFonts w:ascii="Tahoma" w:hAnsi="Tahoma" w:cs="Tahoma"/>
          <w:sz w:val="24"/>
          <w:szCs w:val="24"/>
        </w:rPr>
        <w:t>2</w:t>
      </w:r>
      <w:r w:rsidR="00872C81" w:rsidRPr="00216E39">
        <w:rPr>
          <w:rFonts w:ascii="Tahoma" w:hAnsi="Tahoma" w:cs="Tahoma"/>
          <w:sz w:val="24"/>
          <w:szCs w:val="24"/>
        </w:rPr>
        <w:t>4</w:t>
      </w:r>
      <w:r w:rsidRPr="00216E39">
        <w:rPr>
          <w:rFonts w:ascii="Tahoma" w:hAnsi="Tahoma" w:cs="Tahoma"/>
          <w:sz w:val="24"/>
          <w:szCs w:val="24"/>
        </w:rPr>
        <w:t xml:space="preserve"> (Anexa nr. 1 </w:t>
      </w:r>
      <w:r w:rsidR="00C27F72" w:rsidRPr="00216E39">
        <w:rPr>
          <w:rFonts w:ascii="Tahoma" w:hAnsi="Tahoma" w:cs="Tahoma"/>
          <w:sz w:val="24"/>
          <w:szCs w:val="24"/>
        </w:rPr>
        <w:t>și</w:t>
      </w:r>
      <w:r w:rsidRPr="00216E39">
        <w:rPr>
          <w:rFonts w:ascii="Tahoma" w:hAnsi="Tahoma" w:cs="Tahoma"/>
          <w:sz w:val="24"/>
          <w:szCs w:val="24"/>
        </w:rPr>
        <w:t xml:space="preserve"> Anexa nr. 2) s-a încheiat cu un </w:t>
      </w:r>
      <w:r w:rsidRPr="00C80DC7">
        <w:rPr>
          <w:rFonts w:ascii="Tahoma" w:hAnsi="Tahoma" w:cs="Tahoma"/>
          <w:b/>
          <w:sz w:val="24"/>
          <w:szCs w:val="24"/>
        </w:rPr>
        <w:t xml:space="preserve">deficit de </w:t>
      </w:r>
      <w:r w:rsidR="00E314A6" w:rsidRPr="00C80DC7">
        <w:rPr>
          <w:rFonts w:ascii="Tahoma" w:hAnsi="Tahoma" w:cs="Tahoma"/>
          <w:b/>
          <w:sz w:val="24"/>
          <w:szCs w:val="24"/>
        </w:rPr>
        <w:t>63,</w:t>
      </w:r>
      <w:r w:rsidR="00416368" w:rsidRPr="00C80DC7">
        <w:rPr>
          <w:rFonts w:ascii="Tahoma" w:hAnsi="Tahoma" w:cs="Tahoma"/>
          <w:b/>
          <w:sz w:val="24"/>
          <w:szCs w:val="24"/>
        </w:rPr>
        <w:t>67</w:t>
      </w:r>
      <w:r w:rsidRPr="00C80DC7">
        <w:rPr>
          <w:rFonts w:ascii="Tahoma" w:hAnsi="Tahoma" w:cs="Tahoma"/>
          <w:b/>
          <w:sz w:val="24"/>
          <w:szCs w:val="24"/>
        </w:rPr>
        <w:t xml:space="preserve"> mili</w:t>
      </w:r>
      <w:r w:rsidR="00967266" w:rsidRPr="00C80DC7">
        <w:rPr>
          <w:rFonts w:ascii="Tahoma" w:hAnsi="Tahoma" w:cs="Tahoma"/>
          <w:b/>
          <w:sz w:val="24"/>
          <w:szCs w:val="24"/>
        </w:rPr>
        <w:t>arde</w:t>
      </w:r>
      <w:r w:rsidRPr="00C80DC7">
        <w:rPr>
          <w:rFonts w:ascii="Tahoma" w:hAnsi="Tahoma" w:cs="Tahoma"/>
          <w:b/>
          <w:sz w:val="24"/>
          <w:szCs w:val="24"/>
        </w:rPr>
        <w:t xml:space="preserve"> </w:t>
      </w:r>
      <w:r w:rsidR="003A634F" w:rsidRPr="00C80DC7">
        <w:rPr>
          <w:rFonts w:ascii="Tahoma" w:hAnsi="Tahoma" w:cs="Tahoma"/>
          <w:b/>
          <w:sz w:val="24"/>
          <w:szCs w:val="24"/>
        </w:rPr>
        <w:t>lei</w:t>
      </w:r>
      <w:r w:rsidRPr="00C80DC7">
        <w:rPr>
          <w:rFonts w:ascii="Tahoma" w:hAnsi="Tahoma" w:cs="Tahoma"/>
          <w:b/>
          <w:sz w:val="24"/>
          <w:szCs w:val="24"/>
        </w:rPr>
        <w:t xml:space="preserve"> (</w:t>
      </w:r>
      <w:r w:rsidR="00E314A6" w:rsidRPr="00C80DC7">
        <w:rPr>
          <w:rFonts w:ascii="Tahoma" w:hAnsi="Tahoma" w:cs="Tahoma"/>
          <w:b/>
          <w:sz w:val="24"/>
          <w:szCs w:val="24"/>
        </w:rPr>
        <w:t>3,6</w:t>
      </w:r>
      <w:r w:rsidR="00416368" w:rsidRPr="00C80DC7">
        <w:rPr>
          <w:rFonts w:ascii="Tahoma" w:hAnsi="Tahoma" w:cs="Tahoma"/>
          <w:b/>
          <w:sz w:val="24"/>
          <w:szCs w:val="24"/>
        </w:rPr>
        <w:t>0</w:t>
      </w:r>
      <w:r w:rsidRPr="00C80DC7">
        <w:rPr>
          <w:rFonts w:ascii="Tahoma" w:hAnsi="Tahoma" w:cs="Tahoma"/>
          <w:b/>
          <w:sz w:val="24"/>
          <w:szCs w:val="24"/>
        </w:rPr>
        <w:t>% din PIB)</w:t>
      </w:r>
      <w:r w:rsidR="00FF292C" w:rsidRPr="00216E39">
        <w:rPr>
          <w:rFonts w:ascii="Tahoma" w:hAnsi="Tahoma" w:cs="Tahoma"/>
          <w:sz w:val="24"/>
          <w:szCs w:val="24"/>
        </w:rPr>
        <w:t xml:space="preserve"> </w:t>
      </w:r>
      <w:r w:rsidR="002E0C30" w:rsidRPr="00216E39">
        <w:rPr>
          <w:rFonts w:ascii="Tahoma" w:hAnsi="Tahoma" w:cs="Tahoma"/>
          <w:sz w:val="24"/>
          <w:szCs w:val="24"/>
        </w:rPr>
        <w:t>sub ținta stabilit</w:t>
      </w:r>
      <w:r w:rsidR="00395E39" w:rsidRPr="00216E39">
        <w:rPr>
          <w:rFonts w:ascii="Tahoma" w:hAnsi="Tahoma" w:cs="Tahoma"/>
          <w:sz w:val="24"/>
          <w:szCs w:val="24"/>
        </w:rPr>
        <w:t>ă</w:t>
      </w:r>
      <w:r w:rsidR="002E0C30" w:rsidRPr="00216E39">
        <w:rPr>
          <w:rFonts w:ascii="Tahoma" w:hAnsi="Tahoma" w:cs="Tahoma"/>
          <w:sz w:val="24"/>
          <w:szCs w:val="24"/>
        </w:rPr>
        <w:t xml:space="preserve"> pe semestrul I</w:t>
      </w:r>
      <w:r w:rsidR="002F1D42" w:rsidRPr="00216E39">
        <w:rPr>
          <w:rFonts w:ascii="Tahoma" w:hAnsi="Tahoma" w:cs="Tahoma"/>
          <w:sz w:val="24"/>
          <w:szCs w:val="24"/>
        </w:rPr>
        <w:t>.</w:t>
      </w:r>
    </w:p>
    <w:p w:rsidR="00284A41" w:rsidRPr="00216E39" w:rsidRDefault="00284A41" w:rsidP="00501750">
      <w:pPr>
        <w:shd w:val="clear" w:color="auto" w:fill="E2EFD9" w:themeFill="accent6" w:themeFillTint="33"/>
        <w:spacing w:line="276" w:lineRule="auto"/>
        <w:ind w:firstLine="0"/>
        <w:rPr>
          <w:rFonts w:ascii="Tahoma" w:hAnsi="Tahoma" w:cs="Tahoma"/>
          <w:sz w:val="24"/>
          <w:szCs w:val="24"/>
        </w:rPr>
      </w:pPr>
      <w:r w:rsidRPr="00216E39">
        <w:rPr>
          <w:rFonts w:ascii="Tahoma" w:hAnsi="Tahoma" w:cs="Tahoma"/>
          <w:sz w:val="24"/>
          <w:szCs w:val="24"/>
        </w:rPr>
        <w:t xml:space="preserve">La sfârșitul primului semestru </w:t>
      </w:r>
      <w:r w:rsidR="00AF486B" w:rsidRPr="00216E39">
        <w:rPr>
          <w:rFonts w:ascii="Tahoma" w:hAnsi="Tahoma" w:cs="Tahoma"/>
          <w:sz w:val="24"/>
          <w:szCs w:val="24"/>
        </w:rPr>
        <w:t>al anului curent</w:t>
      </w:r>
      <w:r w:rsidRPr="00216E39">
        <w:rPr>
          <w:rFonts w:ascii="Tahoma" w:hAnsi="Tahoma" w:cs="Tahoma"/>
          <w:sz w:val="24"/>
          <w:szCs w:val="24"/>
        </w:rPr>
        <w:t xml:space="preserve"> se înregistrează un deficit primar (soldul bugetar exclusiv cheltuielile cu dobânzile) în valoare de </w:t>
      </w:r>
      <w:r w:rsidR="00E314A6" w:rsidRPr="00216E39">
        <w:rPr>
          <w:rFonts w:ascii="Tahoma" w:hAnsi="Tahoma" w:cs="Tahoma"/>
          <w:sz w:val="24"/>
          <w:szCs w:val="24"/>
        </w:rPr>
        <w:t>46,</w:t>
      </w:r>
      <w:r w:rsidR="00416368" w:rsidRPr="00216E39">
        <w:rPr>
          <w:rFonts w:ascii="Tahoma" w:hAnsi="Tahoma" w:cs="Tahoma"/>
          <w:sz w:val="24"/>
          <w:szCs w:val="24"/>
        </w:rPr>
        <w:t>06</w:t>
      </w:r>
      <w:r w:rsidRPr="00216E39">
        <w:rPr>
          <w:rFonts w:ascii="Tahoma" w:hAnsi="Tahoma" w:cs="Tahoma"/>
          <w:sz w:val="24"/>
          <w:szCs w:val="24"/>
        </w:rPr>
        <w:t xml:space="preserve"> miliarde lei (</w:t>
      </w:r>
      <w:r w:rsidR="00E314A6" w:rsidRPr="00216E39">
        <w:rPr>
          <w:rFonts w:ascii="Tahoma" w:hAnsi="Tahoma" w:cs="Tahoma"/>
          <w:sz w:val="24"/>
          <w:szCs w:val="24"/>
        </w:rPr>
        <w:t>2,6</w:t>
      </w:r>
      <w:r w:rsidRPr="00216E39">
        <w:rPr>
          <w:rFonts w:ascii="Tahoma" w:hAnsi="Tahoma" w:cs="Tahoma"/>
          <w:sz w:val="24"/>
          <w:szCs w:val="24"/>
        </w:rPr>
        <w:t>% din PIB).</w:t>
      </w:r>
    </w:p>
    <w:p w:rsidR="00487959" w:rsidRPr="00216E39" w:rsidRDefault="00487959" w:rsidP="00501750">
      <w:pPr>
        <w:shd w:val="clear" w:color="auto" w:fill="E2EFD9" w:themeFill="accent6" w:themeFillTint="33"/>
        <w:spacing w:line="276" w:lineRule="auto"/>
        <w:ind w:firstLine="0"/>
        <w:rPr>
          <w:rFonts w:ascii="Tahoma" w:hAnsi="Tahoma" w:cs="Tahoma"/>
          <w:sz w:val="24"/>
          <w:szCs w:val="24"/>
        </w:rPr>
      </w:pPr>
      <w:r w:rsidRPr="00216E39">
        <w:rPr>
          <w:rFonts w:ascii="Tahoma" w:hAnsi="Tahoma" w:cs="Tahoma"/>
          <w:sz w:val="24"/>
          <w:szCs w:val="24"/>
        </w:rPr>
        <w:t>Comparativ cu semestrul I 202</w:t>
      </w:r>
      <w:r w:rsidR="00E314A6" w:rsidRPr="00216E39">
        <w:rPr>
          <w:rFonts w:ascii="Tahoma" w:hAnsi="Tahoma" w:cs="Tahoma"/>
          <w:sz w:val="24"/>
          <w:szCs w:val="24"/>
        </w:rPr>
        <w:t>3</w:t>
      </w:r>
      <w:r w:rsidRPr="00216E39">
        <w:rPr>
          <w:rFonts w:ascii="Tahoma" w:hAnsi="Tahoma" w:cs="Tahoma"/>
          <w:sz w:val="24"/>
          <w:szCs w:val="24"/>
        </w:rPr>
        <w:t xml:space="preserve"> deficitul bugetar s-a </w:t>
      </w:r>
      <w:r w:rsidR="00F46375" w:rsidRPr="00216E39">
        <w:rPr>
          <w:rFonts w:ascii="Tahoma" w:hAnsi="Tahoma" w:cs="Tahoma"/>
          <w:sz w:val="24"/>
          <w:szCs w:val="24"/>
        </w:rPr>
        <w:t>accentuat</w:t>
      </w:r>
      <w:r w:rsidRPr="00216E39">
        <w:rPr>
          <w:rFonts w:ascii="Tahoma" w:hAnsi="Tahoma" w:cs="Tahoma"/>
          <w:sz w:val="24"/>
          <w:szCs w:val="24"/>
        </w:rPr>
        <w:t xml:space="preserve"> cu </w:t>
      </w:r>
      <w:r w:rsidR="00E314A6" w:rsidRPr="00216E39">
        <w:rPr>
          <w:rFonts w:ascii="Tahoma" w:hAnsi="Tahoma" w:cs="Tahoma"/>
          <w:sz w:val="24"/>
          <w:szCs w:val="24"/>
        </w:rPr>
        <w:t>26,</w:t>
      </w:r>
      <w:r w:rsidR="00416368" w:rsidRPr="00216E39">
        <w:rPr>
          <w:rFonts w:ascii="Tahoma" w:hAnsi="Tahoma" w:cs="Tahoma"/>
          <w:sz w:val="24"/>
          <w:szCs w:val="24"/>
        </w:rPr>
        <w:t>45</w:t>
      </w:r>
      <w:r w:rsidRPr="00216E39">
        <w:rPr>
          <w:rFonts w:ascii="Tahoma" w:hAnsi="Tahoma" w:cs="Tahoma"/>
          <w:sz w:val="24"/>
          <w:szCs w:val="24"/>
        </w:rPr>
        <w:t xml:space="preserve"> miliarde </w:t>
      </w:r>
      <w:r w:rsidR="003A634F" w:rsidRPr="00216E39">
        <w:rPr>
          <w:rFonts w:ascii="Tahoma" w:hAnsi="Tahoma" w:cs="Tahoma"/>
          <w:sz w:val="24"/>
          <w:szCs w:val="24"/>
        </w:rPr>
        <w:t>lei</w:t>
      </w:r>
      <w:r w:rsidR="006B5ADC" w:rsidRPr="00216E39">
        <w:rPr>
          <w:rFonts w:ascii="Tahoma" w:hAnsi="Tahoma" w:cs="Tahoma"/>
          <w:sz w:val="24"/>
          <w:szCs w:val="24"/>
        </w:rPr>
        <w:t>,</w:t>
      </w:r>
      <w:r w:rsidRPr="00216E39">
        <w:rPr>
          <w:rFonts w:ascii="Tahoma" w:hAnsi="Tahoma" w:cs="Tahoma"/>
          <w:sz w:val="24"/>
          <w:szCs w:val="24"/>
        </w:rPr>
        <w:t xml:space="preserve"> respectiv cu </w:t>
      </w:r>
      <w:r w:rsidR="00E314A6" w:rsidRPr="00216E39">
        <w:rPr>
          <w:rFonts w:ascii="Tahoma" w:hAnsi="Tahoma" w:cs="Tahoma"/>
          <w:sz w:val="24"/>
          <w:szCs w:val="24"/>
        </w:rPr>
        <w:t>1,2</w:t>
      </w:r>
      <w:r w:rsidR="00416368" w:rsidRPr="00216E39">
        <w:rPr>
          <w:rFonts w:ascii="Tahoma" w:hAnsi="Tahoma" w:cs="Tahoma"/>
          <w:sz w:val="24"/>
          <w:szCs w:val="24"/>
        </w:rPr>
        <w:t>8</w:t>
      </w:r>
      <w:r w:rsidRPr="00216E39">
        <w:rPr>
          <w:rFonts w:ascii="Tahoma" w:hAnsi="Tahoma" w:cs="Tahoma"/>
          <w:sz w:val="24"/>
          <w:szCs w:val="24"/>
        </w:rPr>
        <w:t xml:space="preserve"> puncte procentuale din PIB de la </w:t>
      </w:r>
      <w:r w:rsidR="00E314A6" w:rsidRPr="00216E39">
        <w:rPr>
          <w:rFonts w:ascii="Tahoma" w:hAnsi="Tahoma" w:cs="Tahoma"/>
          <w:sz w:val="24"/>
          <w:szCs w:val="24"/>
        </w:rPr>
        <w:t>2,32</w:t>
      </w:r>
      <w:r w:rsidRPr="00216E39">
        <w:rPr>
          <w:rFonts w:ascii="Tahoma" w:hAnsi="Tahoma" w:cs="Tahoma"/>
          <w:sz w:val="24"/>
          <w:szCs w:val="24"/>
        </w:rPr>
        <w:t xml:space="preserve"> % din PIB cât a fost în semestru</w:t>
      </w:r>
      <w:r w:rsidR="00B009FE" w:rsidRPr="00216E39">
        <w:rPr>
          <w:rFonts w:ascii="Tahoma" w:hAnsi="Tahoma" w:cs="Tahoma"/>
          <w:sz w:val="24"/>
          <w:szCs w:val="24"/>
        </w:rPr>
        <w:t>l</w:t>
      </w:r>
      <w:r w:rsidRPr="00216E39">
        <w:rPr>
          <w:rFonts w:ascii="Tahoma" w:hAnsi="Tahoma" w:cs="Tahoma"/>
          <w:sz w:val="24"/>
          <w:szCs w:val="24"/>
        </w:rPr>
        <w:t xml:space="preserve"> I 202</w:t>
      </w:r>
      <w:r w:rsidR="00E314A6" w:rsidRPr="00216E39">
        <w:rPr>
          <w:rFonts w:ascii="Tahoma" w:hAnsi="Tahoma" w:cs="Tahoma"/>
          <w:sz w:val="24"/>
          <w:szCs w:val="24"/>
        </w:rPr>
        <w:t>3</w:t>
      </w:r>
      <w:r w:rsidRPr="00216E39">
        <w:rPr>
          <w:rFonts w:ascii="Tahoma" w:hAnsi="Tahoma" w:cs="Tahoma"/>
          <w:sz w:val="24"/>
          <w:szCs w:val="24"/>
        </w:rPr>
        <w:t xml:space="preserve"> la </w:t>
      </w:r>
      <w:r w:rsidR="00E314A6" w:rsidRPr="00216E39">
        <w:rPr>
          <w:rFonts w:ascii="Tahoma" w:hAnsi="Tahoma" w:cs="Tahoma"/>
          <w:sz w:val="24"/>
          <w:szCs w:val="24"/>
        </w:rPr>
        <w:t>3,6</w:t>
      </w:r>
      <w:r w:rsidR="00416368" w:rsidRPr="00216E39">
        <w:rPr>
          <w:rFonts w:ascii="Tahoma" w:hAnsi="Tahoma" w:cs="Tahoma"/>
          <w:sz w:val="24"/>
          <w:szCs w:val="24"/>
        </w:rPr>
        <w:t>0</w:t>
      </w:r>
      <w:r w:rsidRPr="00216E39">
        <w:rPr>
          <w:rFonts w:ascii="Tahoma" w:hAnsi="Tahoma" w:cs="Tahoma"/>
          <w:sz w:val="24"/>
          <w:szCs w:val="24"/>
        </w:rPr>
        <w:t>% din PIB în semestrul I 202</w:t>
      </w:r>
      <w:r w:rsidR="00CD1927" w:rsidRPr="00216E39">
        <w:rPr>
          <w:rFonts w:ascii="Tahoma" w:hAnsi="Tahoma" w:cs="Tahoma"/>
          <w:sz w:val="24"/>
          <w:szCs w:val="24"/>
        </w:rPr>
        <w:t>4</w:t>
      </w:r>
      <w:r w:rsidRPr="00216E39">
        <w:rPr>
          <w:rFonts w:ascii="Tahoma" w:hAnsi="Tahoma" w:cs="Tahoma"/>
          <w:sz w:val="24"/>
          <w:szCs w:val="24"/>
        </w:rPr>
        <w:t>.</w:t>
      </w:r>
    </w:p>
    <w:p w:rsidR="004D6D76" w:rsidRPr="00216E39" w:rsidRDefault="004D6D76" w:rsidP="00501750">
      <w:pPr>
        <w:shd w:val="clear" w:color="auto" w:fill="E2EFD9" w:themeFill="accent6" w:themeFillTint="33"/>
        <w:spacing w:line="276" w:lineRule="auto"/>
        <w:ind w:firstLine="0"/>
        <w:rPr>
          <w:rFonts w:ascii="Tahoma" w:hAnsi="Tahoma" w:cs="Tahoma"/>
          <w:sz w:val="24"/>
          <w:szCs w:val="24"/>
        </w:rPr>
      </w:pPr>
      <w:r w:rsidRPr="00216E39">
        <w:rPr>
          <w:rFonts w:ascii="Tahoma" w:hAnsi="Tahoma" w:cs="Tahoma"/>
          <w:b/>
          <w:sz w:val="24"/>
          <w:szCs w:val="24"/>
          <w:u w:val="single"/>
        </w:rPr>
        <w:t>Veniturile bugetului general consolidat</w:t>
      </w:r>
      <w:r w:rsidRPr="00216E39">
        <w:rPr>
          <w:rFonts w:ascii="Tahoma" w:hAnsi="Tahoma" w:cs="Tahoma"/>
          <w:sz w:val="24"/>
          <w:szCs w:val="24"/>
        </w:rPr>
        <w:t xml:space="preserve"> au fost în sumă de </w:t>
      </w:r>
      <w:r w:rsidR="00E314A6" w:rsidRPr="00216E39">
        <w:rPr>
          <w:rFonts w:ascii="Tahoma" w:hAnsi="Tahoma" w:cs="Tahoma"/>
          <w:b/>
          <w:sz w:val="24"/>
          <w:szCs w:val="24"/>
        </w:rPr>
        <w:t>275,</w:t>
      </w:r>
      <w:r w:rsidR="00416368" w:rsidRPr="00216E39">
        <w:rPr>
          <w:rFonts w:ascii="Tahoma" w:hAnsi="Tahoma" w:cs="Tahoma"/>
          <w:b/>
          <w:sz w:val="24"/>
          <w:szCs w:val="24"/>
        </w:rPr>
        <w:t>50</w:t>
      </w:r>
      <w:r w:rsidR="00967266" w:rsidRPr="00216E39">
        <w:rPr>
          <w:rFonts w:ascii="Tahoma" w:hAnsi="Tahoma" w:cs="Tahoma"/>
          <w:b/>
          <w:sz w:val="24"/>
          <w:szCs w:val="24"/>
        </w:rPr>
        <w:t xml:space="preserve"> miliarde</w:t>
      </w:r>
      <w:r w:rsidRPr="00216E39">
        <w:rPr>
          <w:rFonts w:ascii="Tahoma" w:hAnsi="Tahoma" w:cs="Tahoma"/>
          <w:b/>
          <w:sz w:val="24"/>
          <w:szCs w:val="24"/>
        </w:rPr>
        <w:t xml:space="preserve"> </w:t>
      </w:r>
      <w:r w:rsidR="003A634F" w:rsidRPr="00216E39">
        <w:rPr>
          <w:rFonts w:ascii="Tahoma" w:hAnsi="Tahoma" w:cs="Tahoma"/>
          <w:b/>
          <w:sz w:val="24"/>
          <w:szCs w:val="24"/>
        </w:rPr>
        <w:t>lei</w:t>
      </w:r>
      <w:r w:rsidR="00967266" w:rsidRPr="00216E39">
        <w:rPr>
          <w:rFonts w:ascii="Tahoma" w:hAnsi="Tahoma" w:cs="Tahoma"/>
          <w:sz w:val="24"/>
          <w:szCs w:val="24"/>
        </w:rPr>
        <w:t xml:space="preserve">, cu </w:t>
      </w:r>
      <w:r w:rsidR="00E314A6" w:rsidRPr="00216E39">
        <w:rPr>
          <w:rFonts w:ascii="Tahoma" w:hAnsi="Tahoma" w:cs="Tahoma"/>
          <w:sz w:val="24"/>
          <w:szCs w:val="24"/>
        </w:rPr>
        <w:t>13,5</w:t>
      </w:r>
      <w:r w:rsidRPr="00216E39">
        <w:rPr>
          <w:rFonts w:ascii="Tahoma" w:hAnsi="Tahoma" w:cs="Tahoma"/>
          <w:sz w:val="24"/>
          <w:szCs w:val="24"/>
        </w:rPr>
        <w:t xml:space="preserve">% mai </w:t>
      </w:r>
      <w:r w:rsidR="00967266" w:rsidRPr="00216E39">
        <w:rPr>
          <w:rFonts w:ascii="Tahoma" w:hAnsi="Tahoma" w:cs="Tahoma"/>
          <w:sz w:val="24"/>
          <w:szCs w:val="24"/>
        </w:rPr>
        <w:t>mari</w:t>
      </w:r>
      <w:r w:rsidRPr="00216E39">
        <w:rPr>
          <w:rFonts w:ascii="Tahoma" w:hAnsi="Tahoma" w:cs="Tahoma"/>
          <w:sz w:val="24"/>
          <w:szCs w:val="24"/>
        </w:rPr>
        <w:t xml:space="preserve"> comparativ cu aceeași perioadă a anului precedent </w:t>
      </w:r>
      <w:r w:rsidR="00A40CBD" w:rsidRPr="00216E39">
        <w:rPr>
          <w:rFonts w:ascii="Tahoma" w:hAnsi="Tahoma" w:cs="Tahoma"/>
          <w:sz w:val="24"/>
          <w:szCs w:val="24"/>
        </w:rPr>
        <w:t>și</w:t>
      </w:r>
      <w:r w:rsidRPr="00216E39">
        <w:rPr>
          <w:rFonts w:ascii="Tahoma" w:hAnsi="Tahoma" w:cs="Tahoma"/>
          <w:sz w:val="24"/>
          <w:szCs w:val="24"/>
        </w:rPr>
        <w:t xml:space="preserve"> cu un grad de realizare al programului de încasări pe primul semestru de </w:t>
      </w:r>
      <w:r w:rsidR="00416368" w:rsidRPr="00216E39">
        <w:rPr>
          <w:rFonts w:ascii="Tahoma" w:hAnsi="Tahoma" w:cs="Tahoma"/>
          <w:b/>
          <w:sz w:val="24"/>
          <w:szCs w:val="24"/>
        </w:rPr>
        <w:t>94,0</w:t>
      </w:r>
      <w:r w:rsidR="00461A21" w:rsidRPr="00216E39">
        <w:rPr>
          <w:rFonts w:ascii="Tahoma" w:hAnsi="Tahoma" w:cs="Tahoma"/>
          <w:b/>
          <w:sz w:val="24"/>
          <w:szCs w:val="24"/>
        </w:rPr>
        <w:t>%</w:t>
      </w:r>
      <w:r w:rsidRPr="00216E39">
        <w:rPr>
          <w:rFonts w:ascii="Tahoma" w:hAnsi="Tahoma" w:cs="Tahoma"/>
          <w:sz w:val="24"/>
          <w:szCs w:val="24"/>
        </w:rPr>
        <w:t xml:space="preserve">. </w:t>
      </w:r>
    </w:p>
    <w:p w:rsidR="004D6D76" w:rsidRPr="00216E39" w:rsidRDefault="004D6D76" w:rsidP="00DB2872">
      <w:pPr>
        <w:spacing w:after="240" w:line="276" w:lineRule="auto"/>
        <w:ind w:firstLine="0"/>
        <w:rPr>
          <w:rFonts w:ascii="Tahoma" w:hAnsi="Tahoma" w:cs="Tahoma"/>
          <w:sz w:val="24"/>
          <w:szCs w:val="24"/>
        </w:rPr>
      </w:pPr>
      <w:r w:rsidRPr="00216E39">
        <w:rPr>
          <w:rFonts w:ascii="Tahoma" w:hAnsi="Tahoma" w:cs="Tahoma"/>
          <w:sz w:val="24"/>
          <w:szCs w:val="24"/>
        </w:rPr>
        <w:t xml:space="preserve">Veniturile bugetului general consolidat, ca procent în PIB, </w:t>
      </w:r>
      <w:r w:rsidR="00E314A6" w:rsidRPr="00216E39">
        <w:rPr>
          <w:rFonts w:ascii="Tahoma" w:hAnsi="Tahoma" w:cs="Tahoma"/>
          <w:sz w:val="24"/>
          <w:szCs w:val="24"/>
        </w:rPr>
        <w:t xml:space="preserve">au înregistrat </w:t>
      </w:r>
      <w:r w:rsidRPr="00216E39">
        <w:rPr>
          <w:rFonts w:ascii="Tahoma" w:hAnsi="Tahoma" w:cs="Tahoma"/>
          <w:sz w:val="24"/>
          <w:szCs w:val="24"/>
        </w:rPr>
        <w:t xml:space="preserve">în perioada analizată </w:t>
      </w:r>
      <w:r w:rsidR="00E314A6" w:rsidRPr="00216E39">
        <w:rPr>
          <w:rFonts w:ascii="Tahoma" w:hAnsi="Tahoma" w:cs="Tahoma"/>
          <w:sz w:val="24"/>
          <w:szCs w:val="24"/>
        </w:rPr>
        <w:t xml:space="preserve">o ușoară creștere </w:t>
      </w:r>
      <w:r w:rsidRPr="00216E39">
        <w:rPr>
          <w:rFonts w:ascii="Tahoma" w:hAnsi="Tahoma" w:cs="Tahoma"/>
          <w:sz w:val="24"/>
          <w:szCs w:val="24"/>
        </w:rPr>
        <w:t xml:space="preserve">cu </w:t>
      </w:r>
      <w:r w:rsidR="00BC6044" w:rsidRPr="00216E39">
        <w:rPr>
          <w:rFonts w:ascii="Tahoma" w:hAnsi="Tahoma" w:cs="Tahoma"/>
          <w:sz w:val="24"/>
          <w:szCs w:val="24"/>
        </w:rPr>
        <w:t>0,</w:t>
      </w:r>
      <w:r w:rsidR="00E314A6" w:rsidRPr="00216E39">
        <w:rPr>
          <w:rFonts w:ascii="Tahoma" w:hAnsi="Tahoma" w:cs="Tahoma"/>
          <w:sz w:val="24"/>
          <w:szCs w:val="24"/>
        </w:rPr>
        <w:t>5</w:t>
      </w:r>
      <w:r w:rsidRPr="00216E39">
        <w:rPr>
          <w:rFonts w:ascii="Tahoma" w:hAnsi="Tahoma" w:cs="Tahoma"/>
          <w:sz w:val="24"/>
          <w:szCs w:val="24"/>
        </w:rPr>
        <w:t xml:space="preserve"> puncte procentuale comparativ cu aceeași perioadă a anului anterior</w:t>
      </w:r>
      <w:r w:rsidR="00F53462" w:rsidRPr="00216E39">
        <w:rPr>
          <w:rFonts w:ascii="Tahoma" w:hAnsi="Tahoma" w:cs="Tahoma"/>
          <w:sz w:val="24"/>
          <w:szCs w:val="24"/>
        </w:rPr>
        <w:t>,</w:t>
      </w:r>
      <w:r w:rsidRPr="00216E39">
        <w:rPr>
          <w:rFonts w:ascii="Tahoma" w:hAnsi="Tahoma" w:cs="Tahoma"/>
          <w:sz w:val="24"/>
          <w:szCs w:val="24"/>
        </w:rPr>
        <w:t xml:space="preserve"> de la </w:t>
      </w:r>
      <w:r w:rsidR="00E314A6" w:rsidRPr="00216E39">
        <w:rPr>
          <w:rFonts w:ascii="Tahoma" w:hAnsi="Tahoma" w:cs="Tahoma"/>
          <w:sz w:val="24"/>
          <w:szCs w:val="24"/>
        </w:rPr>
        <w:t>15,1</w:t>
      </w:r>
      <w:r w:rsidRPr="00216E39">
        <w:rPr>
          <w:rFonts w:ascii="Tahoma" w:hAnsi="Tahoma" w:cs="Tahoma"/>
          <w:sz w:val="24"/>
          <w:szCs w:val="24"/>
        </w:rPr>
        <w:t>% în PIB în semestru</w:t>
      </w:r>
      <w:r w:rsidR="00487959" w:rsidRPr="00216E39">
        <w:rPr>
          <w:rFonts w:ascii="Tahoma" w:hAnsi="Tahoma" w:cs="Tahoma"/>
          <w:sz w:val="24"/>
          <w:szCs w:val="24"/>
        </w:rPr>
        <w:t>l</w:t>
      </w:r>
      <w:r w:rsidRPr="00216E39">
        <w:rPr>
          <w:rFonts w:ascii="Tahoma" w:hAnsi="Tahoma" w:cs="Tahoma"/>
          <w:sz w:val="24"/>
          <w:szCs w:val="24"/>
        </w:rPr>
        <w:t xml:space="preserve"> I 20</w:t>
      </w:r>
      <w:r w:rsidR="00E82DC4" w:rsidRPr="00216E39">
        <w:rPr>
          <w:rFonts w:ascii="Tahoma" w:hAnsi="Tahoma" w:cs="Tahoma"/>
          <w:sz w:val="24"/>
          <w:szCs w:val="24"/>
        </w:rPr>
        <w:t>2</w:t>
      </w:r>
      <w:r w:rsidR="00E314A6" w:rsidRPr="00216E39">
        <w:rPr>
          <w:rFonts w:ascii="Tahoma" w:hAnsi="Tahoma" w:cs="Tahoma"/>
          <w:sz w:val="24"/>
          <w:szCs w:val="24"/>
        </w:rPr>
        <w:t>3</w:t>
      </w:r>
      <w:r w:rsidRPr="00216E39">
        <w:rPr>
          <w:rFonts w:ascii="Tahoma" w:hAnsi="Tahoma" w:cs="Tahoma"/>
          <w:sz w:val="24"/>
          <w:szCs w:val="24"/>
        </w:rPr>
        <w:t xml:space="preserve"> la </w:t>
      </w:r>
      <w:r w:rsidR="00E82DC4" w:rsidRPr="00216E39">
        <w:rPr>
          <w:rFonts w:ascii="Tahoma" w:hAnsi="Tahoma" w:cs="Tahoma"/>
          <w:sz w:val="24"/>
          <w:szCs w:val="24"/>
        </w:rPr>
        <w:t>15,</w:t>
      </w:r>
      <w:r w:rsidR="00E314A6" w:rsidRPr="00216E39">
        <w:rPr>
          <w:rFonts w:ascii="Tahoma" w:hAnsi="Tahoma" w:cs="Tahoma"/>
          <w:sz w:val="24"/>
          <w:szCs w:val="24"/>
        </w:rPr>
        <w:t>6</w:t>
      </w:r>
      <w:r w:rsidRPr="00216E39">
        <w:rPr>
          <w:rFonts w:ascii="Tahoma" w:hAnsi="Tahoma" w:cs="Tahoma"/>
          <w:sz w:val="24"/>
          <w:szCs w:val="24"/>
        </w:rPr>
        <w:t>% din PIB în semestrul I 20</w:t>
      </w:r>
      <w:r w:rsidR="00461A21" w:rsidRPr="00216E39">
        <w:rPr>
          <w:rFonts w:ascii="Tahoma" w:hAnsi="Tahoma" w:cs="Tahoma"/>
          <w:sz w:val="24"/>
          <w:szCs w:val="24"/>
        </w:rPr>
        <w:t>2</w:t>
      </w:r>
      <w:r w:rsidR="00E314A6" w:rsidRPr="00216E39">
        <w:rPr>
          <w:rFonts w:ascii="Tahoma" w:hAnsi="Tahoma" w:cs="Tahoma"/>
          <w:sz w:val="24"/>
          <w:szCs w:val="24"/>
        </w:rPr>
        <w:t>4</w:t>
      </w:r>
      <w:r w:rsidRPr="00216E39">
        <w:rPr>
          <w:rFonts w:ascii="Tahoma" w:hAnsi="Tahoma" w:cs="Tahoma"/>
          <w:sz w:val="24"/>
          <w:szCs w:val="24"/>
        </w:rPr>
        <w:t>.</w:t>
      </w:r>
    </w:p>
    <w:p w:rsidR="001B5B69" w:rsidRPr="00216E39" w:rsidRDefault="00E17D67" w:rsidP="00B009FE">
      <w:pPr>
        <w:spacing w:after="240" w:line="276" w:lineRule="auto"/>
        <w:ind w:firstLine="0"/>
        <w:rPr>
          <w:rFonts w:ascii="Tahoma" w:hAnsi="Tahoma" w:cs="Tahoma"/>
          <w:b/>
          <w:sz w:val="24"/>
          <w:szCs w:val="24"/>
        </w:rPr>
      </w:pPr>
      <w:r>
        <w:rPr>
          <w:rFonts w:ascii="Tahoma" w:hAnsi="Tahoma" w:cs="Tahom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35pt;height:246.25pt">
            <v:imagedata r:id="rId12" o:title=""/>
          </v:shape>
        </w:pict>
      </w:r>
    </w:p>
    <w:p w:rsidR="004D6D76" w:rsidRPr="00216E39" w:rsidRDefault="004D6D76" w:rsidP="00DB2872">
      <w:pPr>
        <w:spacing w:line="276" w:lineRule="auto"/>
        <w:ind w:firstLine="0"/>
        <w:rPr>
          <w:rFonts w:ascii="Tahoma" w:hAnsi="Tahoma" w:cs="Tahoma"/>
          <w:sz w:val="24"/>
          <w:szCs w:val="24"/>
        </w:rPr>
      </w:pPr>
      <w:r w:rsidRPr="00216E39">
        <w:rPr>
          <w:rFonts w:ascii="Tahoma" w:hAnsi="Tahoma" w:cs="Tahoma"/>
          <w:b/>
          <w:sz w:val="24"/>
          <w:szCs w:val="24"/>
        </w:rPr>
        <w:t>Veniturile încasate din economia internă</w:t>
      </w:r>
      <w:r w:rsidRPr="00216E39">
        <w:rPr>
          <w:rFonts w:ascii="Tahoma" w:hAnsi="Tahoma" w:cs="Tahoma"/>
          <w:sz w:val="24"/>
          <w:szCs w:val="24"/>
        </w:rPr>
        <w:t xml:space="preserve"> (fără fonduri de la Uniunea Europeană pre și post-aderare) au fost în sumă de </w:t>
      </w:r>
      <w:r w:rsidR="00FC45EA" w:rsidRPr="00216E39">
        <w:rPr>
          <w:rFonts w:ascii="Tahoma" w:hAnsi="Tahoma" w:cs="Tahoma"/>
          <w:sz w:val="24"/>
          <w:szCs w:val="24"/>
        </w:rPr>
        <w:t>256,3</w:t>
      </w:r>
      <w:r w:rsidR="00416368" w:rsidRPr="00216E39">
        <w:rPr>
          <w:rFonts w:ascii="Tahoma" w:hAnsi="Tahoma" w:cs="Tahoma"/>
          <w:sz w:val="24"/>
          <w:szCs w:val="24"/>
        </w:rPr>
        <w:t>5</w:t>
      </w:r>
      <w:r w:rsidR="00FF292C" w:rsidRPr="00216E39">
        <w:rPr>
          <w:rFonts w:ascii="Tahoma" w:hAnsi="Tahoma" w:cs="Tahoma"/>
          <w:sz w:val="24"/>
          <w:szCs w:val="24"/>
        </w:rPr>
        <w:t xml:space="preserve"> </w:t>
      </w:r>
      <w:r w:rsidR="00E82DC4" w:rsidRPr="00216E39">
        <w:rPr>
          <w:rFonts w:ascii="Tahoma" w:hAnsi="Tahoma" w:cs="Tahoma"/>
          <w:sz w:val="24"/>
          <w:szCs w:val="24"/>
        </w:rPr>
        <w:t>miliarde</w:t>
      </w:r>
      <w:r w:rsidRPr="00216E39">
        <w:rPr>
          <w:rFonts w:ascii="Tahoma" w:hAnsi="Tahoma" w:cs="Tahoma"/>
          <w:sz w:val="24"/>
          <w:szCs w:val="24"/>
        </w:rPr>
        <w:t xml:space="preserve"> </w:t>
      </w:r>
      <w:r w:rsidR="003A634F" w:rsidRPr="00216E39">
        <w:rPr>
          <w:rFonts w:ascii="Tahoma" w:hAnsi="Tahoma" w:cs="Tahoma"/>
          <w:sz w:val="24"/>
          <w:szCs w:val="24"/>
        </w:rPr>
        <w:t>lei</w:t>
      </w:r>
      <w:r w:rsidRPr="00216E39">
        <w:rPr>
          <w:rFonts w:ascii="Tahoma" w:hAnsi="Tahoma" w:cs="Tahoma"/>
          <w:sz w:val="24"/>
          <w:szCs w:val="24"/>
        </w:rPr>
        <w:t xml:space="preserve"> (</w:t>
      </w:r>
      <w:r w:rsidR="00FC45EA" w:rsidRPr="00216E39">
        <w:rPr>
          <w:rFonts w:ascii="Tahoma" w:hAnsi="Tahoma" w:cs="Tahoma"/>
          <w:sz w:val="24"/>
          <w:szCs w:val="24"/>
        </w:rPr>
        <w:t>14,5</w:t>
      </w:r>
      <w:r w:rsidRPr="00216E39">
        <w:rPr>
          <w:rFonts w:ascii="Tahoma" w:hAnsi="Tahoma" w:cs="Tahoma"/>
          <w:sz w:val="24"/>
          <w:szCs w:val="24"/>
        </w:rPr>
        <w:t xml:space="preserve">% din PIB), cu </w:t>
      </w:r>
      <w:r w:rsidR="00FC45EA" w:rsidRPr="00216E39">
        <w:rPr>
          <w:rFonts w:ascii="Tahoma" w:hAnsi="Tahoma" w:cs="Tahoma"/>
          <w:b/>
          <w:sz w:val="24"/>
          <w:szCs w:val="24"/>
        </w:rPr>
        <w:t>15,6</w:t>
      </w:r>
      <w:r w:rsidRPr="00216E39">
        <w:rPr>
          <w:rFonts w:ascii="Tahoma" w:hAnsi="Tahoma" w:cs="Tahoma"/>
          <w:b/>
          <w:sz w:val="24"/>
          <w:szCs w:val="24"/>
        </w:rPr>
        <w:t xml:space="preserve">% mai </w:t>
      </w:r>
      <w:r w:rsidR="00E82DC4" w:rsidRPr="00216E39">
        <w:rPr>
          <w:rFonts w:ascii="Tahoma" w:hAnsi="Tahoma" w:cs="Tahoma"/>
          <w:b/>
          <w:sz w:val="24"/>
          <w:szCs w:val="24"/>
        </w:rPr>
        <w:t>mari</w:t>
      </w:r>
      <w:r w:rsidRPr="00216E39">
        <w:rPr>
          <w:rFonts w:ascii="Tahoma" w:hAnsi="Tahoma" w:cs="Tahoma"/>
          <w:sz w:val="24"/>
          <w:szCs w:val="24"/>
        </w:rPr>
        <w:t xml:space="preserve"> comparativ cu încasările semestrului I 20</w:t>
      </w:r>
      <w:r w:rsidR="00EC4B9E" w:rsidRPr="00216E39">
        <w:rPr>
          <w:rFonts w:ascii="Tahoma" w:hAnsi="Tahoma" w:cs="Tahoma"/>
          <w:sz w:val="24"/>
          <w:szCs w:val="24"/>
        </w:rPr>
        <w:t>2</w:t>
      </w:r>
      <w:r w:rsidR="00FC45EA" w:rsidRPr="00216E39">
        <w:rPr>
          <w:rFonts w:ascii="Tahoma" w:hAnsi="Tahoma" w:cs="Tahoma"/>
          <w:sz w:val="24"/>
          <w:szCs w:val="24"/>
        </w:rPr>
        <w:t>3</w:t>
      </w:r>
      <w:r w:rsidR="00FF292C" w:rsidRPr="00216E39">
        <w:rPr>
          <w:rFonts w:ascii="Tahoma" w:hAnsi="Tahoma" w:cs="Tahoma"/>
          <w:sz w:val="24"/>
          <w:szCs w:val="24"/>
        </w:rPr>
        <w:t xml:space="preserve"> </w:t>
      </w:r>
      <w:r w:rsidR="00A40CBD" w:rsidRPr="00216E39">
        <w:rPr>
          <w:rFonts w:ascii="Tahoma" w:hAnsi="Tahoma" w:cs="Tahoma"/>
          <w:sz w:val="24"/>
          <w:szCs w:val="24"/>
        </w:rPr>
        <w:t>și</w:t>
      </w:r>
      <w:r w:rsidRPr="00216E39">
        <w:rPr>
          <w:rFonts w:ascii="Tahoma" w:hAnsi="Tahoma" w:cs="Tahoma"/>
          <w:sz w:val="24"/>
          <w:szCs w:val="24"/>
        </w:rPr>
        <w:t xml:space="preserve"> un grad de realizare a programul</w:t>
      </w:r>
      <w:r w:rsidR="00C426B5" w:rsidRPr="00216E39">
        <w:rPr>
          <w:rFonts w:ascii="Tahoma" w:hAnsi="Tahoma" w:cs="Tahoma"/>
          <w:sz w:val="24"/>
          <w:szCs w:val="24"/>
        </w:rPr>
        <w:t>ui</w:t>
      </w:r>
      <w:r w:rsidRPr="00216E39">
        <w:rPr>
          <w:rFonts w:ascii="Tahoma" w:hAnsi="Tahoma" w:cs="Tahoma"/>
          <w:sz w:val="24"/>
          <w:szCs w:val="24"/>
        </w:rPr>
        <w:t xml:space="preserve"> semestrial de </w:t>
      </w:r>
      <w:r w:rsidR="00FC45EA" w:rsidRPr="00216E39">
        <w:rPr>
          <w:rFonts w:ascii="Tahoma" w:hAnsi="Tahoma" w:cs="Tahoma"/>
          <w:b/>
          <w:sz w:val="24"/>
          <w:szCs w:val="24"/>
        </w:rPr>
        <w:t>101,</w:t>
      </w:r>
      <w:r w:rsidR="00416368" w:rsidRPr="00216E39">
        <w:rPr>
          <w:rFonts w:ascii="Tahoma" w:hAnsi="Tahoma" w:cs="Tahoma"/>
          <w:b/>
          <w:sz w:val="24"/>
          <w:szCs w:val="24"/>
        </w:rPr>
        <w:t>2</w:t>
      </w:r>
      <w:r w:rsidRPr="00216E39">
        <w:rPr>
          <w:rFonts w:ascii="Tahoma" w:hAnsi="Tahoma" w:cs="Tahoma"/>
          <w:b/>
          <w:sz w:val="24"/>
          <w:szCs w:val="24"/>
        </w:rPr>
        <w:t>%</w:t>
      </w:r>
      <w:r w:rsidRPr="00216E39">
        <w:rPr>
          <w:rFonts w:ascii="Tahoma" w:hAnsi="Tahoma" w:cs="Tahoma"/>
          <w:sz w:val="24"/>
          <w:szCs w:val="24"/>
        </w:rPr>
        <w:t>.</w:t>
      </w:r>
    </w:p>
    <w:p w:rsidR="00A15043" w:rsidRPr="00216E39" w:rsidRDefault="00A15043" w:rsidP="00DB2872">
      <w:pPr>
        <w:spacing w:after="240" w:line="276" w:lineRule="auto"/>
        <w:ind w:firstLine="0"/>
        <w:rPr>
          <w:rFonts w:ascii="Tahoma" w:eastAsia="Tahoma" w:hAnsi="Tahoma" w:cs="Tahoma"/>
          <w:sz w:val="24"/>
          <w:szCs w:val="24"/>
        </w:rPr>
      </w:pPr>
      <w:r w:rsidRPr="00216E39">
        <w:rPr>
          <w:rFonts w:ascii="Tahoma" w:eastAsia="Tahoma" w:hAnsi="Tahoma" w:cs="Tahoma"/>
          <w:sz w:val="24"/>
          <w:szCs w:val="24"/>
        </w:rPr>
        <w:t xml:space="preserve">Evoluția acestora a fost susținută de avansul încasărilor din impozitul pe salarii și venit, contribuțiile de </w:t>
      </w:r>
      <w:r w:rsidR="003B3E53" w:rsidRPr="00216E39">
        <w:rPr>
          <w:rFonts w:ascii="Tahoma" w:eastAsia="Tahoma" w:hAnsi="Tahoma" w:cs="Tahoma"/>
          <w:sz w:val="24"/>
          <w:szCs w:val="24"/>
        </w:rPr>
        <w:t xml:space="preserve">asigurări, </w:t>
      </w:r>
      <w:r w:rsidR="00FC45EA" w:rsidRPr="00216E39">
        <w:rPr>
          <w:rFonts w:ascii="Tahoma" w:eastAsia="Tahoma" w:hAnsi="Tahoma" w:cs="Tahoma"/>
          <w:sz w:val="24"/>
          <w:szCs w:val="24"/>
        </w:rPr>
        <w:t xml:space="preserve">venituri nefiscale, </w:t>
      </w:r>
      <w:r w:rsidR="003B3E53" w:rsidRPr="00216E39">
        <w:rPr>
          <w:rFonts w:ascii="Tahoma" w:eastAsia="Tahoma" w:hAnsi="Tahoma" w:cs="Tahoma"/>
          <w:sz w:val="24"/>
          <w:szCs w:val="24"/>
        </w:rPr>
        <w:t xml:space="preserve">impozitul pe profit </w:t>
      </w:r>
      <w:r w:rsidRPr="00216E39">
        <w:rPr>
          <w:rFonts w:ascii="Tahoma" w:eastAsia="Tahoma" w:hAnsi="Tahoma" w:cs="Tahoma"/>
          <w:sz w:val="24"/>
          <w:szCs w:val="24"/>
        </w:rPr>
        <w:t xml:space="preserve">și TVA. </w:t>
      </w:r>
    </w:p>
    <w:p w:rsidR="002E7CD9" w:rsidRPr="00216E39" w:rsidRDefault="004D6D76" w:rsidP="00DB2872">
      <w:pPr>
        <w:spacing w:after="240" w:line="276" w:lineRule="auto"/>
        <w:ind w:firstLine="0"/>
        <w:rPr>
          <w:rFonts w:ascii="Tahoma" w:hAnsi="Tahoma" w:cs="Tahoma"/>
          <w:sz w:val="24"/>
          <w:szCs w:val="24"/>
        </w:rPr>
      </w:pPr>
      <w:r w:rsidRPr="00216E39">
        <w:rPr>
          <w:rFonts w:ascii="Tahoma" w:hAnsi="Tahoma" w:cs="Tahoma"/>
          <w:sz w:val="24"/>
          <w:szCs w:val="24"/>
        </w:rPr>
        <w:lastRenderedPageBreak/>
        <w:t>Veniturile încasate din economia</w:t>
      </w:r>
      <w:r w:rsidR="00563406" w:rsidRPr="00216E39">
        <w:rPr>
          <w:rFonts w:ascii="Tahoma" w:hAnsi="Tahoma" w:cs="Tahoma"/>
          <w:sz w:val="24"/>
          <w:szCs w:val="24"/>
        </w:rPr>
        <w:t xml:space="preserve"> internă, ca procent în PIB, </w:t>
      </w:r>
      <w:r w:rsidR="00EC4B9E" w:rsidRPr="00216E39">
        <w:rPr>
          <w:rFonts w:ascii="Tahoma" w:hAnsi="Tahoma" w:cs="Tahoma"/>
          <w:sz w:val="24"/>
          <w:szCs w:val="24"/>
        </w:rPr>
        <w:t xml:space="preserve">au </w:t>
      </w:r>
      <w:r w:rsidR="00FC45EA" w:rsidRPr="00216E39">
        <w:rPr>
          <w:rFonts w:ascii="Tahoma" w:hAnsi="Tahoma" w:cs="Tahoma"/>
          <w:sz w:val="24"/>
          <w:szCs w:val="24"/>
        </w:rPr>
        <w:t>crescut</w:t>
      </w:r>
      <w:r w:rsidR="00EC4B9E" w:rsidRPr="00216E39">
        <w:rPr>
          <w:rFonts w:ascii="Tahoma" w:hAnsi="Tahoma" w:cs="Tahoma"/>
          <w:sz w:val="24"/>
          <w:szCs w:val="24"/>
        </w:rPr>
        <w:t xml:space="preserve"> cu </w:t>
      </w:r>
      <w:r w:rsidR="00BC4A6F" w:rsidRPr="00216E39">
        <w:rPr>
          <w:rFonts w:ascii="Tahoma" w:hAnsi="Tahoma" w:cs="Tahoma"/>
          <w:sz w:val="24"/>
          <w:szCs w:val="24"/>
        </w:rPr>
        <w:t>0,</w:t>
      </w:r>
      <w:r w:rsidR="00416368" w:rsidRPr="00216E39">
        <w:rPr>
          <w:rFonts w:ascii="Tahoma" w:hAnsi="Tahoma" w:cs="Tahoma"/>
          <w:sz w:val="24"/>
          <w:szCs w:val="24"/>
        </w:rPr>
        <w:t>7</w:t>
      </w:r>
      <w:r w:rsidR="00BC4A6F" w:rsidRPr="00216E39">
        <w:rPr>
          <w:rFonts w:ascii="Tahoma" w:hAnsi="Tahoma" w:cs="Tahoma"/>
          <w:sz w:val="24"/>
          <w:szCs w:val="24"/>
        </w:rPr>
        <w:t xml:space="preserve"> </w:t>
      </w:r>
      <w:r w:rsidRPr="00216E39">
        <w:rPr>
          <w:rFonts w:ascii="Tahoma" w:hAnsi="Tahoma" w:cs="Tahoma"/>
          <w:sz w:val="24"/>
          <w:szCs w:val="24"/>
        </w:rPr>
        <w:t xml:space="preserve">puncte procentuale de la </w:t>
      </w:r>
      <w:r w:rsidR="00FC45EA" w:rsidRPr="00216E39">
        <w:rPr>
          <w:rFonts w:ascii="Tahoma" w:hAnsi="Tahoma" w:cs="Tahoma"/>
          <w:sz w:val="24"/>
          <w:szCs w:val="24"/>
        </w:rPr>
        <w:t>13,8</w:t>
      </w:r>
      <w:r w:rsidRPr="00216E39">
        <w:rPr>
          <w:rFonts w:ascii="Tahoma" w:hAnsi="Tahoma" w:cs="Tahoma"/>
          <w:sz w:val="24"/>
          <w:szCs w:val="24"/>
        </w:rPr>
        <w:t>% din PIB, cât au reprezentat în semestrul I 20</w:t>
      </w:r>
      <w:r w:rsidR="00EC4B9E" w:rsidRPr="00216E39">
        <w:rPr>
          <w:rFonts w:ascii="Tahoma" w:hAnsi="Tahoma" w:cs="Tahoma"/>
          <w:sz w:val="24"/>
          <w:szCs w:val="24"/>
        </w:rPr>
        <w:t>2</w:t>
      </w:r>
      <w:r w:rsidR="00FC45EA" w:rsidRPr="00216E39">
        <w:rPr>
          <w:rFonts w:ascii="Tahoma" w:hAnsi="Tahoma" w:cs="Tahoma"/>
          <w:sz w:val="24"/>
          <w:szCs w:val="24"/>
        </w:rPr>
        <w:t>3</w:t>
      </w:r>
      <w:r w:rsidR="00F53462" w:rsidRPr="00216E39">
        <w:rPr>
          <w:rFonts w:ascii="Tahoma" w:hAnsi="Tahoma" w:cs="Tahoma"/>
          <w:sz w:val="24"/>
          <w:szCs w:val="24"/>
        </w:rPr>
        <w:t>,</w:t>
      </w:r>
      <w:r w:rsidRPr="00216E39">
        <w:rPr>
          <w:rFonts w:ascii="Tahoma" w:hAnsi="Tahoma" w:cs="Tahoma"/>
          <w:sz w:val="24"/>
          <w:szCs w:val="24"/>
        </w:rPr>
        <w:t xml:space="preserve"> la </w:t>
      </w:r>
      <w:r w:rsidR="00FC45EA" w:rsidRPr="00216E39">
        <w:rPr>
          <w:rFonts w:ascii="Tahoma" w:hAnsi="Tahoma" w:cs="Tahoma"/>
          <w:sz w:val="24"/>
          <w:szCs w:val="24"/>
        </w:rPr>
        <w:t>14,</w:t>
      </w:r>
      <w:r w:rsidR="00416368" w:rsidRPr="00216E39">
        <w:rPr>
          <w:rFonts w:ascii="Tahoma" w:hAnsi="Tahoma" w:cs="Tahoma"/>
          <w:sz w:val="24"/>
          <w:szCs w:val="24"/>
        </w:rPr>
        <w:t>5</w:t>
      </w:r>
      <w:r w:rsidRPr="00216E39">
        <w:rPr>
          <w:rFonts w:ascii="Tahoma" w:hAnsi="Tahoma" w:cs="Tahoma"/>
          <w:sz w:val="24"/>
          <w:szCs w:val="24"/>
        </w:rPr>
        <w:t>% din PIB în semestrul I 20</w:t>
      </w:r>
      <w:r w:rsidR="00563406" w:rsidRPr="00216E39">
        <w:rPr>
          <w:rFonts w:ascii="Tahoma" w:hAnsi="Tahoma" w:cs="Tahoma"/>
          <w:sz w:val="24"/>
          <w:szCs w:val="24"/>
        </w:rPr>
        <w:t>2</w:t>
      </w:r>
      <w:r w:rsidR="00FC45EA" w:rsidRPr="00216E39">
        <w:rPr>
          <w:rFonts w:ascii="Tahoma" w:hAnsi="Tahoma" w:cs="Tahoma"/>
          <w:sz w:val="24"/>
          <w:szCs w:val="24"/>
        </w:rPr>
        <w:t>4</w:t>
      </w:r>
      <w:r w:rsidRPr="00216E39">
        <w:rPr>
          <w:rFonts w:ascii="Tahoma" w:hAnsi="Tahoma" w:cs="Tahoma"/>
          <w:sz w:val="24"/>
          <w:szCs w:val="24"/>
        </w:rPr>
        <w:t>.</w:t>
      </w:r>
    </w:p>
    <w:p w:rsidR="002F1D42" w:rsidRPr="00216E39" w:rsidRDefault="00E17D67" w:rsidP="002A6579">
      <w:pPr>
        <w:spacing w:line="276" w:lineRule="auto"/>
        <w:ind w:firstLine="0"/>
        <w:rPr>
          <w:rFonts w:ascii="Tahoma" w:hAnsi="Tahoma" w:cs="Tahoma"/>
          <w:sz w:val="24"/>
          <w:szCs w:val="24"/>
        </w:rPr>
      </w:pPr>
      <w:r>
        <w:rPr>
          <w:rFonts w:ascii="Tahoma" w:hAnsi="Tahoma" w:cs="Tahoma"/>
          <w:noProof/>
          <w:sz w:val="24"/>
          <w:szCs w:val="24"/>
        </w:rPr>
        <w:pict>
          <v:shape id="_x0000_i1026" type="#_x0000_t75" style="width:479.25pt;height:248.55pt">
            <v:imagedata r:id="rId13" o:title=""/>
          </v:shape>
        </w:pict>
      </w:r>
    </w:p>
    <w:p w:rsidR="004D6D76" w:rsidRPr="00216E39" w:rsidRDefault="004D6D76" w:rsidP="00B009FE">
      <w:pPr>
        <w:spacing w:before="240" w:line="276" w:lineRule="auto"/>
        <w:ind w:firstLine="0"/>
        <w:rPr>
          <w:rFonts w:ascii="Tahoma" w:hAnsi="Tahoma" w:cs="Tahoma"/>
          <w:sz w:val="24"/>
          <w:szCs w:val="24"/>
        </w:rPr>
      </w:pPr>
      <w:r w:rsidRPr="00216E39">
        <w:rPr>
          <w:rFonts w:ascii="Tahoma" w:hAnsi="Tahoma" w:cs="Tahoma"/>
          <w:b/>
          <w:bCs/>
          <w:sz w:val="24"/>
          <w:szCs w:val="24"/>
        </w:rPr>
        <w:t>Veniturile fiscale</w:t>
      </w:r>
      <w:r w:rsidRPr="00216E39">
        <w:rPr>
          <w:rFonts w:ascii="Tahoma" w:hAnsi="Tahoma" w:cs="Tahoma"/>
          <w:sz w:val="24"/>
          <w:szCs w:val="24"/>
        </w:rPr>
        <w:t xml:space="preserve"> au fost în sumă de </w:t>
      </w:r>
      <w:r w:rsidR="00FC45EA" w:rsidRPr="00216E39">
        <w:rPr>
          <w:rFonts w:ascii="Tahoma" w:hAnsi="Tahoma" w:cs="Tahoma"/>
          <w:b/>
          <w:sz w:val="24"/>
          <w:szCs w:val="24"/>
        </w:rPr>
        <w:t>136,32</w:t>
      </w:r>
      <w:r w:rsidR="00EC4B9E" w:rsidRPr="00216E39">
        <w:rPr>
          <w:rFonts w:ascii="Tahoma" w:hAnsi="Tahoma" w:cs="Tahoma"/>
          <w:b/>
          <w:sz w:val="24"/>
          <w:szCs w:val="24"/>
        </w:rPr>
        <w:t xml:space="preserve"> miliarde</w:t>
      </w:r>
      <w:r w:rsidRPr="00216E39">
        <w:rPr>
          <w:rFonts w:ascii="Tahoma" w:hAnsi="Tahoma" w:cs="Tahoma"/>
          <w:b/>
          <w:sz w:val="24"/>
          <w:szCs w:val="24"/>
        </w:rPr>
        <w:t xml:space="preserve"> </w:t>
      </w:r>
      <w:r w:rsidR="003A634F" w:rsidRPr="00216E39">
        <w:rPr>
          <w:rFonts w:ascii="Tahoma" w:hAnsi="Tahoma" w:cs="Tahoma"/>
          <w:b/>
          <w:sz w:val="24"/>
          <w:szCs w:val="24"/>
        </w:rPr>
        <w:t>lei</w:t>
      </w:r>
      <w:r w:rsidRPr="00216E39">
        <w:rPr>
          <w:rFonts w:ascii="Tahoma" w:hAnsi="Tahoma" w:cs="Tahoma"/>
          <w:sz w:val="24"/>
          <w:szCs w:val="24"/>
        </w:rPr>
        <w:t xml:space="preserve">, cu </w:t>
      </w:r>
      <w:r w:rsidR="00FC45EA" w:rsidRPr="00216E39">
        <w:rPr>
          <w:rFonts w:ascii="Tahoma" w:hAnsi="Tahoma" w:cs="Tahoma"/>
          <w:sz w:val="24"/>
          <w:szCs w:val="24"/>
        </w:rPr>
        <w:t>12,3</w:t>
      </w:r>
      <w:r w:rsidR="00563406" w:rsidRPr="00216E39">
        <w:rPr>
          <w:rFonts w:ascii="Tahoma" w:hAnsi="Tahoma" w:cs="Tahoma"/>
          <w:sz w:val="24"/>
          <w:szCs w:val="24"/>
        </w:rPr>
        <w:t>%</w:t>
      </w:r>
      <w:r w:rsidR="009B308F" w:rsidRPr="00216E39">
        <w:rPr>
          <w:rFonts w:ascii="Tahoma" w:hAnsi="Tahoma" w:cs="Tahoma"/>
          <w:sz w:val="24"/>
          <w:szCs w:val="24"/>
        </w:rPr>
        <w:t xml:space="preserve"> </w:t>
      </w:r>
      <w:r w:rsidRPr="00216E39">
        <w:rPr>
          <w:rFonts w:ascii="Tahoma" w:hAnsi="Tahoma" w:cs="Tahoma"/>
          <w:sz w:val="24"/>
          <w:szCs w:val="24"/>
        </w:rPr>
        <w:t xml:space="preserve">mai </w:t>
      </w:r>
      <w:r w:rsidR="00D22C24" w:rsidRPr="00216E39">
        <w:rPr>
          <w:rFonts w:ascii="Tahoma" w:hAnsi="Tahoma" w:cs="Tahoma"/>
          <w:sz w:val="24"/>
          <w:szCs w:val="24"/>
        </w:rPr>
        <w:t>mari</w:t>
      </w:r>
      <w:r w:rsidRPr="00216E39">
        <w:rPr>
          <w:rFonts w:ascii="Tahoma" w:hAnsi="Tahoma" w:cs="Tahoma"/>
          <w:sz w:val="24"/>
          <w:szCs w:val="24"/>
        </w:rPr>
        <w:t xml:space="preserve"> comparativ cu perioada similară din anul precedent și s-au realizat în proporție de </w:t>
      </w:r>
      <w:r w:rsidR="00FC45EA" w:rsidRPr="00216E39">
        <w:rPr>
          <w:rFonts w:ascii="Tahoma" w:hAnsi="Tahoma" w:cs="Tahoma"/>
          <w:sz w:val="24"/>
          <w:szCs w:val="24"/>
        </w:rPr>
        <w:t>100,2</w:t>
      </w:r>
      <w:r w:rsidRPr="00216E39">
        <w:rPr>
          <w:rFonts w:ascii="Tahoma" w:hAnsi="Tahoma" w:cs="Tahoma"/>
          <w:sz w:val="24"/>
          <w:szCs w:val="24"/>
        </w:rPr>
        <w:t>%.</w:t>
      </w:r>
    </w:p>
    <w:p w:rsidR="004D6D76" w:rsidRPr="00216E39" w:rsidRDefault="004D6D76" w:rsidP="00DB2872">
      <w:pPr>
        <w:spacing w:line="276" w:lineRule="auto"/>
        <w:ind w:firstLine="0"/>
        <w:rPr>
          <w:rFonts w:ascii="Tahoma" w:hAnsi="Tahoma" w:cs="Tahoma"/>
          <w:sz w:val="24"/>
          <w:szCs w:val="24"/>
        </w:rPr>
      </w:pPr>
      <w:r w:rsidRPr="00216E39">
        <w:rPr>
          <w:rFonts w:ascii="Tahoma" w:hAnsi="Tahoma" w:cs="Tahoma"/>
          <w:sz w:val="24"/>
          <w:szCs w:val="24"/>
        </w:rPr>
        <w:t>În structură</w:t>
      </w:r>
      <w:r w:rsidR="009904E3" w:rsidRPr="00216E39">
        <w:rPr>
          <w:rFonts w:ascii="Tahoma" w:hAnsi="Tahoma" w:cs="Tahoma"/>
          <w:sz w:val="24"/>
          <w:szCs w:val="24"/>
        </w:rPr>
        <w:t>,</w:t>
      </w:r>
      <w:r w:rsidRPr="00216E39">
        <w:rPr>
          <w:rFonts w:ascii="Tahoma" w:hAnsi="Tahoma" w:cs="Tahoma"/>
          <w:sz w:val="24"/>
          <w:szCs w:val="24"/>
        </w:rPr>
        <w:t xml:space="preserve"> veniturile fiscale au avut următoarea evoluție:</w:t>
      </w:r>
    </w:p>
    <w:p w:rsidR="00F11C29" w:rsidRPr="00216E39" w:rsidRDefault="00575968" w:rsidP="00F11C29">
      <w:pPr>
        <w:tabs>
          <w:tab w:val="left" w:pos="284"/>
        </w:tabs>
        <w:autoSpaceDE w:val="0"/>
        <w:autoSpaceDN w:val="0"/>
        <w:adjustRightInd w:val="0"/>
        <w:spacing w:line="276" w:lineRule="auto"/>
        <w:ind w:left="284" w:firstLine="0"/>
        <w:rPr>
          <w:rFonts w:ascii="Tahoma" w:eastAsia="SimSun" w:hAnsi="Tahoma" w:cs="Tahoma"/>
          <w:bCs/>
          <w:noProof/>
          <w:kern w:val="1"/>
          <w:sz w:val="24"/>
          <w:szCs w:val="24"/>
          <w:lang w:eastAsia="ro-RO"/>
        </w:rPr>
      </w:pPr>
      <w:r w:rsidRPr="00216E39">
        <w:rPr>
          <w:rFonts w:ascii="Tahoma" w:hAnsi="Tahoma" w:cs="Tahoma"/>
          <w:b/>
          <w:sz w:val="24"/>
          <w:szCs w:val="24"/>
        </w:rPr>
        <w:t>Încasările din impozitul pe profit</w:t>
      </w:r>
      <w:r w:rsidR="00FF292C" w:rsidRPr="00216E39">
        <w:rPr>
          <w:rFonts w:ascii="Tahoma" w:hAnsi="Tahoma" w:cs="Tahoma"/>
          <w:b/>
          <w:sz w:val="24"/>
          <w:szCs w:val="24"/>
        </w:rPr>
        <w:t xml:space="preserve"> </w:t>
      </w:r>
      <w:r w:rsidR="00D22C24" w:rsidRPr="00216E39">
        <w:rPr>
          <w:rFonts w:ascii="Tahoma" w:hAnsi="Tahoma" w:cs="Tahoma"/>
          <w:sz w:val="24"/>
          <w:szCs w:val="24"/>
        </w:rPr>
        <w:t>pentru semestrul I 202</w:t>
      </w:r>
      <w:r w:rsidR="00FC45EA" w:rsidRPr="00216E39">
        <w:rPr>
          <w:rFonts w:ascii="Tahoma" w:hAnsi="Tahoma" w:cs="Tahoma"/>
          <w:sz w:val="24"/>
          <w:szCs w:val="24"/>
        </w:rPr>
        <w:t>4</w:t>
      </w:r>
      <w:r w:rsidR="00D22C24" w:rsidRPr="00216E39">
        <w:rPr>
          <w:rFonts w:ascii="Tahoma" w:hAnsi="Tahoma" w:cs="Tahoma"/>
          <w:sz w:val="24"/>
          <w:szCs w:val="24"/>
        </w:rPr>
        <w:t xml:space="preserve"> au totalizat </w:t>
      </w:r>
      <w:r w:rsidR="00FC45EA" w:rsidRPr="00216E39">
        <w:rPr>
          <w:rFonts w:ascii="Tahoma" w:eastAsia="SimSun" w:hAnsi="Tahoma" w:cs="Tahoma"/>
          <w:bCs/>
          <w:noProof/>
          <w:kern w:val="1"/>
          <w:sz w:val="24"/>
          <w:szCs w:val="24"/>
          <w:lang w:eastAsia="ro-RO"/>
        </w:rPr>
        <w:t>15,54</w:t>
      </w:r>
      <w:r w:rsidR="008772EA" w:rsidRPr="00216E39">
        <w:rPr>
          <w:rFonts w:ascii="Tahoma" w:eastAsia="SimSun" w:hAnsi="Tahoma" w:cs="Tahoma"/>
          <w:bCs/>
          <w:noProof/>
          <w:kern w:val="1"/>
          <w:sz w:val="24"/>
          <w:szCs w:val="24"/>
          <w:lang w:eastAsia="ro-RO"/>
        </w:rPr>
        <w:t xml:space="preserve"> miliarde lei, înregistrează o evoluție pozitivă față de perioada similară a anului 202</w:t>
      </w:r>
      <w:r w:rsidR="00FC45EA" w:rsidRPr="00216E39">
        <w:rPr>
          <w:rFonts w:ascii="Tahoma" w:eastAsia="SimSun" w:hAnsi="Tahoma" w:cs="Tahoma"/>
          <w:bCs/>
          <w:noProof/>
          <w:kern w:val="1"/>
          <w:sz w:val="24"/>
          <w:szCs w:val="24"/>
          <w:lang w:eastAsia="ro-RO"/>
        </w:rPr>
        <w:t>3</w:t>
      </w:r>
      <w:r w:rsidR="008772EA" w:rsidRPr="00216E39">
        <w:rPr>
          <w:rFonts w:ascii="Tahoma" w:eastAsia="SimSun" w:hAnsi="Tahoma" w:cs="Tahoma"/>
          <w:bCs/>
          <w:noProof/>
          <w:kern w:val="1"/>
          <w:sz w:val="24"/>
          <w:szCs w:val="24"/>
          <w:lang w:eastAsia="ro-RO"/>
        </w:rPr>
        <w:t xml:space="preserve"> de </w:t>
      </w:r>
      <w:r w:rsidR="00FC45EA" w:rsidRPr="00216E39">
        <w:rPr>
          <w:rFonts w:ascii="Tahoma" w:eastAsia="SimSun" w:hAnsi="Tahoma" w:cs="Tahoma"/>
          <w:bCs/>
          <w:noProof/>
          <w:kern w:val="1"/>
          <w:sz w:val="24"/>
          <w:szCs w:val="24"/>
          <w:lang w:eastAsia="ro-RO"/>
        </w:rPr>
        <w:t>22,0</w:t>
      </w:r>
      <w:r w:rsidR="008772EA" w:rsidRPr="00216E39">
        <w:rPr>
          <w:rFonts w:ascii="Tahoma" w:eastAsia="SimSun" w:hAnsi="Tahoma" w:cs="Tahoma"/>
          <w:bCs/>
          <w:noProof/>
          <w:kern w:val="1"/>
          <w:sz w:val="24"/>
          <w:szCs w:val="24"/>
          <w:lang w:eastAsia="ro-RO"/>
        </w:rPr>
        <w:t>% (+2,</w:t>
      </w:r>
      <w:r w:rsidR="00FC45EA" w:rsidRPr="00216E39">
        <w:rPr>
          <w:rFonts w:ascii="Tahoma" w:eastAsia="SimSun" w:hAnsi="Tahoma" w:cs="Tahoma"/>
          <w:bCs/>
          <w:noProof/>
          <w:kern w:val="1"/>
          <w:sz w:val="24"/>
          <w:szCs w:val="24"/>
          <w:lang w:eastAsia="ro-RO"/>
        </w:rPr>
        <w:t>8</w:t>
      </w:r>
      <w:r w:rsidR="008772EA" w:rsidRPr="00216E39">
        <w:rPr>
          <w:rFonts w:ascii="Tahoma" w:eastAsia="SimSun" w:hAnsi="Tahoma" w:cs="Tahoma"/>
          <w:bCs/>
          <w:noProof/>
          <w:kern w:val="1"/>
          <w:sz w:val="24"/>
          <w:szCs w:val="24"/>
          <w:lang w:eastAsia="ro-RO"/>
        </w:rPr>
        <w:t xml:space="preserve"> miliarde lei), </w:t>
      </w:r>
      <w:r w:rsidR="00F11C29" w:rsidRPr="00216E39">
        <w:rPr>
          <w:rFonts w:ascii="Tahoma" w:eastAsia="SimSun" w:hAnsi="Tahoma" w:cs="Tahoma"/>
          <w:bCs/>
          <w:noProof/>
          <w:kern w:val="1"/>
          <w:sz w:val="24"/>
          <w:szCs w:val="24"/>
          <w:lang w:eastAsia="ro-RO"/>
        </w:rPr>
        <w:t>susținută de avansul încasărilor din impozitul pe profit, inclusiv impozitul minim pe cifra de afaceri de la agenți economici și impozitul pe profit de la bănci comerciale, atenuată însă ușor de redirecționarea din impozitul pe profit a sumei de -0,4 miliarde lei pentru efectuarea de sponsorizări și/sau acte de mecenat (Legea nr. 322/2021</w:t>
      </w:r>
      <w:r w:rsidR="00F11C29" w:rsidRPr="00216E39">
        <w:rPr>
          <w:rFonts w:ascii="Tahoma" w:eastAsia="SimSun" w:hAnsi="Tahoma" w:cs="Tahoma"/>
          <w:bCs/>
          <w:noProof/>
          <w:kern w:val="1"/>
          <w:sz w:val="24"/>
          <w:szCs w:val="24"/>
          <w:vertAlign w:val="superscript"/>
          <w:lang w:eastAsia="ro-RO"/>
        </w:rPr>
        <w:footnoteReference w:id="1"/>
      </w:r>
      <w:r w:rsidR="00F11C29" w:rsidRPr="00216E39">
        <w:rPr>
          <w:rFonts w:ascii="Tahoma" w:eastAsia="SimSun" w:hAnsi="Tahoma" w:cs="Tahoma"/>
          <w:bCs/>
          <w:noProof/>
          <w:kern w:val="1"/>
          <w:sz w:val="24"/>
          <w:szCs w:val="24"/>
          <w:lang w:eastAsia="ro-RO"/>
        </w:rPr>
        <w:t>). Gradul de realizare este de 100,4% față de programul stabilit.</w:t>
      </w:r>
    </w:p>
    <w:p w:rsidR="00542D30" w:rsidRPr="00216E39" w:rsidRDefault="00746146" w:rsidP="00F11C29">
      <w:pPr>
        <w:tabs>
          <w:tab w:val="left" w:pos="284"/>
        </w:tabs>
        <w:autoSpaceDE w:val="0"/>
        <w:autoSpaceDN w:val="0"/>
        <w:adjustRightInd w:val="0"/>
        <w:spacing w:line="276" w:lineRule="auto"/>
        <w:ind w:left="284" w:firstLine="0"/>
        <w:rPr>
          <w:rFonts w:ascii="Tahoma" w:hAnsi="Tahoma" w:cs="Tahoma"/>
          <w:sz w:val="24"/>
          <w:szCs w:val="24"/>
        </w:rPr>
      </w:pPr>
      <w:r w:rsidRPr="00216E39">
        <w:rPr>
          <w:rFonts w:ascii="Tahoma" w:hAnsi="Tahoma" w:cs="Tahoma"/>
          <w:b/>
          <w:sz w:val="24"/>
          <w:szCs w:val="24"/>
        </w:rPr>
        <w:t>Încasările din impozitul pe venit</w:t>
      </w:r>
      <w:r w:rsidR="009B308F" w:rsidRPr="00216E39">
        <w:rPr>
          <w:rFonts w:ascii="Tahoma" w:hAnsi="Tahoma" w:cs="Tahoma"/>
          <w:b/>
          <w:sz w:val="24"/>
          <w:szCs w:val="24"/>
        </w:rPr>
        <w:t xml:space="preserve"> </w:t>
      </w:r>
      <w:r w:rsidR="00D22C24" w:rsidRPr="00216E39">
        <w:rPr>
          <w:rFonts w:ascii="Tahoma" w:hAnsi="Tahoma" w:cs="Tahoma"/>
          <w:sz w:val="24"/>
          <w:szCs w:val="24"/>
        </w:rPr>
        <w:t>în primul semestru al anului 202</w:t>
      </w:r>
      <w:r w:rsidR="00FC45EA" w:rsidRPr="00216E39">
        <w:rPr>
          <w:rFonts w:ascii="Tahoma" w:hAnsi="Tahoma" w:cs="Tahoma"/>
          <w:sz w:val="24"/>
          <w:szCs w:val="24"/>
        </w:rPr>
        <w:t>4</w:t>
      </w:r>
      <w:r w:rsidR="00D22C24" w:rsidRPr="00216E39">
        <w:rPr>
          <w:rFonts w:ascii="Tahoma" w:hAnsi="Tahoma" w:cs="Tahoma"/>
          <w:sz w:val="24"/>
          <w:szCs w:val="24"/>
        </w:rPr>
        <w:t xml:space="preserve"> au totalizat </w:t>
      </w:r>
      <w:r w:rsidR="00EB62D3" w:rsidRPr="00216E39">
        <w:rPr>
          <w:rFonts w:ascii="Tahoma" w:hAnsi="Tahoma" w:cs="Tahoma"/>
          <w:sz w:val="24"/>
          <w:szCs w:val="24"/>
        </w:rPr>
        <w:t>24,92</w:t>
      </w:r>
      <w:r w:rsidR="00542D30" w:rsidRPr="00216E39">
        <w:rPr>
          <w:rFonts w:ascii="Tahoma" w:hAnsi="Tahoma" w:cs="Tahoma"/>
          <w:sz w:val="24"/>
          <w:szCs w:val="24"/>
        </w:rPr>
        <w:t xml:space="preserve"> miliarde lei, în creștere cu </w:t>
      </w:r>
      <w:r w:rsidR="00EB62D3" w:rsidRPr="00216E39">
        <w:rPr>
          <w:rFonts w:ascii="Tahoma" w:hAnsi="Tahoma" w:cs="Tahoma"/>
          <w:sz w:val="24"/>
          <w:szCs w:val="24"/>
        </w:rPr>
        <w:t>20,4</w:t>
      </w:r>
      <w:r w:rsidR="00542D30" w:rsidRPr="00216E39">
        <w:rPr>
          <w:rFonts w:ascii="Tahoma" w:hAnsi="Tahoma" w:cs="Tahoma"/>
          <w:sz w:val="24"/>
          <w:szCs w:val="24"/>
        </w:rPr>
        <w:t xml:space="preserve">% comparativ cu aceeași perioadă a anului precedent, cu un gradul de realizare de </w:t>
      </w:r>
      <w:r w:rsidR="00EB62D3" w:rsidRPr="00216E39">
        <w:rPr>
          <w:rFonts w:ascii="Tahoma" w:hAnsi="Tahoma" w:cs="Tahoma"/>
          <w:sz w:val="24"/>
          <w:szCs w:val="24"/>
        </w:rPr>
        <w:t>105,8</w:t>
      </w:r>
      <w:r w:rsidR="00542D30" w:rsidRPr="00216E39">
        <w:rPr>
          <w:rFonts w:ascii="Tahoma" w:hAnsi="Tahoma" w:cs="Tahoma"/>
          <w:sz w:val="24"/>
          <w:szCs w:val="24"/>
        </w:rPr>
        <w:t>% față de programul stabilit.</w:t>
      </w:r>
    </w:p>
    <w:p w:rsidR="00F11C29" w:rsidRPr="00216E39" w:rsidRDefault="00F11C29" w:rsidP="00F11C29">
      <w:pPr>
        <w:spacing w:after="120" w:line="276" w:lineRule="auto"/>
        <w:ind w:left="284" w:firstLine="0"/>
        <w:rPr>
          <w:rFonts w:ascii="Tahoma" w:hAnsi="Tahoma" w:cs="Tahoma"/>
          <w:sz w:val="24"/>
          <w:szCs w:val="24"/>
        </w:rPr>
      </w:pPr>
      <w:r w:rsidRPr="00216E39">
        <w:rPr>
          <w:rFonts w:ascii="Tahoma" w:hAnsi="Tahoma" w:cs="Tahoma"/>
          <w:bCs/>
          <w:sz w:val="24"/>
          <w:szCs w:val="24"/>
        </w:rPr>
        <w:t>În structură, încasările din impozitul pe venitul din salarii care dețin o pondere de aproximativ 59,8% din această categorie înregistrează față de aceeași perioadă a anului 2023 o dinamică de 20,3%</w:t>
      </w:r>
      <w:r w:rsidRPr="00216E39">
        <w:rPr>
          <w:rFonts w:ascii="Tahoma" w:hAnsi="Tahoma" w:cs="Tahoma"/>
          <w:sz w:val="24"/>
          <w:szCs w:val="24"/>
        </w:rPr>
        <w:t>, peste evoluția fondului brut de salarii de 17,5%</w:t>
      </w:r>
      <w:r w:rsidRPr="00216E39">
        <w:rPr>
          <w:rFonts w:ascii="Tahoma" w:hAnsi="Tahoma" w:cs="Tahoma"/>
          <w:sz w:val="24"/>
          <w:szCs w:val="24"/>
          <w:vertAlign w:val="superscript"/>
        </w:rPr>
        <w:footnoteReference w:id="2"/>
      </w:r>
      <w:r w:rsidRPr="00216E39">
        <w:rPr>
          <w:rFonts w:ascii="Tahoma" w:hAnsi="Tahoma" w:cs="Tahoma"/>
          <w:sz w:val="24"/>
          <w:szCs w:val="24"/>
        </w:rPr>
        <w:t>.</w:t>
      </w:r>
    </w:p>
    <w:p w:rsidR="00F11C29" w:rsidRPr="00216E39" w:rsidRDefault="00F11C29" w:rsidP="00F11C29">
      <w:pPr>
        <w:spacing w:after="120" w:line="276" w:lineRule="auto"/>
        <w:ind w:left="284" w:firstLine="0"/>
        <w:rPr>
          <w:rFonts w:ascii="Tahoma" w:hAnsi="Tahoma" w:cs="Tahoma"/>
          <w:sz w:val="24"/>
          <w:szCs w:val="24"/>
        </w:rPr>
      </w:pPr>
    </w:p>
    <w:p w:rsidR="00F11C29" w:rsidRPr="00216E39" w:rsidRDefault="00F11C29" w:rsidP="00F11C29">
      <w:pPr>
        <w:spacing w:after="120" w:line="276" w:lineRule="auto"/>
        <w:ind w:left="284" w:firstLine="0"/>
        <w:rPr>
          <w:rFonts w:ascii="Tahoma" w:hAnsi="Tahoma" w:cs="Tahoma"/>
          <w:bCs/>
          <w:sz w:val="24"/>
          <w:szCs w:val="24"/>
        </w:rPr>
      </w:pPr>
      <w:r w:rsidRPr="00216E39">
        <w:rPr>
          <w:rFonts w:ascii="Tahoma" w:hAnsi="Tahoma" w:cs="Tahoma"/>
          <w:sz w:val="24"/>
          <w:szCs w:val="24"/>
        </w:rPr>
        <w:t xml:space="preserve">Dinamica pozitivă a încasărilor din impozitul pe venitul din salarii a fost </w:t>
      </w:r>
      <w:r w:rsidRPr="00216E39">
        <w:rPr>
          <w:rFonts w:ascii="Tahoma" w:hAnsi="Tahoma" w:cs="Tahoma"/>
          <w:bCs/>
          <w:sz w:val="24"/>
          <w:szCs w:val="24"/>
        </w:rPr>
        <w:t xml:space="preserve">influențată de modificarea </w:t>
      </w:r>
      <w:r w:rsidRPr="00216E39">
        <w:rPr>
          <w:rFonts w:ascii="Tahoma" w:hAnsi="Tahoma" w:cs="Tahoma"/>
          <w:sz w:val="24"/>
          <w:szCs w:val="24"/>
        </w:rPr>
        <w:t>reglementărilor privind facilitățile fiscale acordate salariaților din sectorul construcții, agricol, industria alimentară și a activităților de creare de programe pentru calculator (O.U.G. nr. 93/2023</w:t>
      </w:r>
      <w:r w:rsidRPr="00216E39">
        <w:rPr>
          <w:rFonts w:ascii="Tahoma" w:hAnsi="Tahoma" w:cs="Tahoma"/>
          <w:sz w:val="24"/>
          <w:szCs w:val="24"/>
          <w:vertAlign w:val="superscript"/>
        </w:rPr>
        <w:footnoteReference w:id="3"/>
      </w:r>
      <w:r w:rsidRPr="00216E39">
        <w:rPr>
          <w:rFonts w:ascii="Tahoma" w:hAnsi="Tahoma" w:cs="Tahoma"/>
          <w:sz w:val="24"/>
          <w:szCs w:val="24"/>
        </w:rPr>
        <w:t xml:space="preserve">  și Legea nr. 296/2023</w:t>
      </w:r>
      <w:r w:rsidRPr="00216E39">
        <w:rPr>
          <w:rFonts w:ascii="Tahoma" w:hAnsi="Tahoma" w:cs="Tahoma"/>
          <w:sz w:val="24"/>
          <w:szCs w:val="24"/>
          <w:vertAlign w:val="superscript"/>
        </w:rPr>
        <w:footnoteReference w:id="4"/>
      </w:r>
      <w:r w:rsidRPr="00216E39">
        <w:rPr>
          <w:rFonts w:ascii="Tahoma" w:hAnsi="Tahoma" w:cs="Tahoma"/>
          <w:sz w:val="24"/>
          <w:szCs w:val="24"/>
        </w:rPr>
        <w:t xml:space="preserve"> )</w:t>
      </w:r>
      <w:r w:rsidRPr="00216E39">
        <w:rPr>
          <w:rFonts w:ascii="Tahoma" w:hAnsi="Tahoma" w:cs="Tahoma"/>
          <w:bCs/>
          <w:sz w:val="24"/>
          <w:szCs w:val="24"/>
        </w:rPr>
        <w:t xml:space="preserve"> precum și</w:t>
      </w:r>
      <w:r w:rsidRPr="00216E39">
        <w:rPr>
          <w:rFonts w:ascii="Tahoma" w:hAnsi="Tahoma" w:cs="Tahoma"/>
          <w:sz w:val="24"/>
          <w:szCs w:val="24"/>
        </w:rPr>
        <w:t xml:space="preserve"> de </w:t>
      </w:r>
      <w:r w:rsidR="00574D26" w:rsidRPr="00216E39">
        <w:rPr>
          <w:rFonts w:ascii="Tahoma" w:hAnsi="Tahoma" w:cs="Tahoma"/>
          <w:bCs/>
          <w:sz w:val="24"/>
          <w:szCs w:val="24"/>
        </w:rPr>
        <w:t>majorarea</w:t>
      </w:r>
      <w:r w:rsidRPr="00216E39">
        <w:rPr>
          <w:rFonts w:ascii="Tahoma" w:hAnsi="Tahoma" w:cs="Tahoma"/>
          <w:bCs/>
          <w:sz w:val="24"/>
          <w:szCs w:val="24"/>
        </w:rPr>
        <w:t xml:space="preserve"> salariului minim brut pe țară garantat în plată (H.G. nr. 900/2023</w:t>
      </w:r>
      <w:r w:rsidRPr="00216E39">
        <w:rPr>
          <w:rFonts w:ascii="Tahoma" w:hAnsi="Tahoma" w:cs="Tahoma"/>
          <w:sz w:val="24"/>
          <w:szCs w:val="24"/>
          <w:vertAlign w:val="superscript"/>
        </w:rPr>
        <w:footnoteReference w:id="5"/>
      </w:r>
      <w:r w:rsidRPr="00216E39">
        <w:rPr>
          <w:rFonts w:ascii="Tahoma" w:hAnsi="Tahoma" w:cs="Tahoma"/>
          <w:bCs/>
          <w:sz w:val="24"/>
          <w:szCs w:val="24"/>
        </w:rPr>
        <w:t xml:space="preserve">). </w:t>
      </w:r>
    </w:p>
    <w:p w:rsidR="00F11C29" w:rsidRPr="00216E39" w:rsidRDefault="00F11C29" w:rsidP="00F11C29">
      <w:pPr>
        <w:spacing w:after="120" w:line="276" w:lineRule="auto"/>
        <w:ind w:left="284" w:firstLine="0"/>
        <w:rPr>
          <w:rFonts w:ascii="Tahoma" w:hAnsi="Tahoma" w:cs="Tahoma"/>
          <w:sz w:val="24"/>
          <w:szCs w:val="24"/>
        </w:rPr>
      </w:pPr>
      <w:r w:rsidRPr="00216E39">
        <w:rPr>
          <w:rFonts w:ascii="Tahoma" w:hAnsi="Tahoma" w:cs="Tahoma"/>
          <w:bCs/>
          <w:sz w:val="24"/>
          <w:szCs w:val="24"/>
        </w:rPr>
        <w:t>O evoluție pozitivă a veniturilor din această sursă a fost susținută în special de sporul încasărilor din impozitul pe veniturile din pensii</w:t>
      </w:r>
      <w:r w:rsidRPr="00216E39">
        <w:rPr>
          <w:rFonts w:ascii="Tahoma" w:hAnsi="Tahoma" w:cs="Tahoma"/>
          <w:sz w:val="24"/>
          <w:szCs w:val="24"/>
        </w:rPr>
        <w:t xml:space="preserve"> </w:t>
      </w:r>
      <w:r w:rsidRPr="00216E39">
        <w:rPr>
          <w:rFonts w:ascii="Tahoma" w:hAnsi="Tahoma" w:cs="Tahoma"/>
          <w:bCs/>
          <w:sz w:val="24"/>
          <w:szCs w:val="24"/>
        </w:rPr>
        <w:t>(+58,2%, creștere în care este inclusă majorarea valorii punctului de pensie cu 13,8%</w:t>
      </w:r>
      <w:r w:rsidRPr="00216E39">
        <w:rPr>
          <w:rFonts w:ascii="Tahoma" w:hAnsi="Tahoma" w:cs="Tahoma"/>
          <w:sz w:val="24"/>
          <w:szCs w:val="24"/>
          <w:vertAlign w:val="superscript"/>
        </w:rPr>
        <w:footnoteReference w:id="6"/>
      </w:r>
      <w:r w:rsidRPr="00216E39">
        <w:rPr>
          <w:rFonts w:ascii="Tahoma" w:hAnsi="Tahoma" w:cs="Tahoma"/>
          <w:sz w:val="24"/>
          <w:szCs w:val="24"/>
        </w:rPr>
        <w:t>) și de sporul încasărilor din impozitul pe venit aferent declarației unice (+13,0% pe seama încasărilor din luna mai a anului curent</w:t>
      </w:r>
      <w:r w:rsidRPr="00216E39">
        <w:rPr>
          <w:rFonts w:ascii="Tahoma" w:hAnsi="Tahoma" w:cs="Tahoma"/>
          <w:sz w:val="24"/>
          <w:szCs w:val="24"/>
          <w:vertAlign w:val="superscript"/>
        </w:rPr>
        <w:footnoteReference w:id="7"/>
      </w:r>
      <w:r w:rsidRPr="00216E39">
        <w:rPr>
          <w:rFonts w:ascii="Tahoma" w:hAnsi="Tahoma" w:cs="Tahoma"/>
          <w:sz w:val="24"/>
          <w:szCs w:val="24"/>
        </w:rPr>
        <w:t>)</w:t>
      </w:r>
      <w:r w:rsidRPr="00216E39">
        <w:rPr>
          <w:rFonts w:ascii="Tahoma" w:hAnsi="Tahoma" w:cs="Tahoma"/>
          <w:bCs/>
          <w:sz w:val="24"/>
          <w:szCs w:val="24"/>
        </w:rPr>
        <w:t>.</w:t>
      </w:r>
      <w:r w:rsidRPr="00216E39">
        <w:rPr>
          <w:rFonts w:ascii="Tahoma" w:hAnsi="Tahoma" w:cs="Tahoma"/>
          <w:sz w:val="24"/>
          <w:szCs w:val="24"/>
        </w:rPr>
        <w:t xml:space="preserve"> Pe de altă parte, încasările din impozitul pe dividende au consemnat o contracție de 11,5%, pe fondul unui efect de bază ridicat (creșterea semnificativă a dividendelor din ianuarie 2023 distribuite în baza situațiilor financiare interimare întocmite în cursul anului 2022, cu reținerea cotei de impozit de 5%). </w:t>
      </w:r>
    </w:p>
    <w:p w:rsidR="00746146" w:rsidRPr="00216E39" w:rsidRDefault="004D6D76" w:rsidP="00542D30">
      <w:pPr>
        <w:spacing w:after="120" w:line="276" w:lineRule="auto"/>
        <w:ind w:left="284" w:firstLine="0"/>
        <w:rPr>
          <w:rFonts w:ascii="Tahoma" w:hAnsi="Tahoma" w:cs="Tahoma"/>
          <w:sz w:val="24"/>
          <w:szCs w:val="24"/>
        </w:rPr>
      </w:pPr>
      <w:r w:rsidRPr="00216E39">
        <w:rPr>
          <w:rFonts w:ascii="Tahoma" w:hAnsi="Tahoma" w:cs="Tahoma"/>
          <w:sz w:val="24"/>
          <w:szCs w:val="24"/>
        </w:rPr>
        <w:t xml:space="preserve">Încasările din </w:t>
      </w:r>
      <w:r w:rsidRPr="00216E39">
        <w:rPr>
          <w:rFonts w:ascii="Tahoma" w:hAnsi="Tahoma" w:cs="Tahoma"/>
          <w:b/>
          <w:sz w:val="24"/>
          <w:szCs w:val="24"/>
        </w:rPr>
        <w:t>impozitele</w:t>
      </w:r>
      <w:r w:rsidR="009B308F" w:rsidRPr="00216E39">
        <w:rPr>
          <w:rFonts w:ascii="Tahoma" w:hAnsi="Tahoma" w:cs="Tahoma"/>
          <w:b/>
          <w:sz w:val="24"/>
          <w:szCs w:val="24"/>
        </w:rPr>
        <w:t xml:space="preserve"> </w:t>
      </w:r>
      <w:r w:rsidRPr="00216E39">
        <w:rPr>
          <w:rFonts w:ascii="Tahoma" w:hAnsi="Tahoma" w:cs="Tahoma"/>
          <w:b/>
          <w:bCs/>
          <w:sz w:val="24"/>
          <w:szCs w:val="24"/>
        </w:rPr>
        <w:t xml:space="preserve">și taxele pe proprietate </w:t>
      </w:r>
      <w:r w:rsidRPr="00216E39">
        <w:rPr>
          <w:rFonts w:ascii="Tahoma" w:hAnsi="Tahoma" w:cs="Tahoma"/>
          <w:bCs/>
          <w:sz w:val="24"/>
          <w:szCs w:val="24"/>
        </w:rPr>
        <w:t xml:space="preserve">au totalizat </w:t>
      </w:r>
      <w:r w:rsidR="00EB62D3" w:rsidRPr="00216E39">
        <w:rPr>
          <w:rFonts w:ascii="Tahoma" w:hAnsi="Tahoma" w:cs="Tahoma"/>
          <w:bCs/>
          <w:sz w:val="24"/>
          <w:szCs w:val="24"/>
        </w:rPr>
        <w:t>6,48</w:t>
      </w:r>
      <w:r w:rsidRPr="00216E39">
        <w:rPr>
          <w:rFonts w:ascii="Tahoma" w:hAnsi="Tahoma" w:cs="Tahoma"/>
          <w:bCs/>
          <w:sz w:val="24"/>
          <w:szCs w:val="24"/>
        </w:rPr>
        <w:t xml:space="preserve"> mili</w:t>
      </w:r>
      <w:r w:rsidR="00D22C24" w:rsidRPr="00216E39">
        <w:rPr>
          <w:rFonts w:ascii="Tahoma" w:hAnsi="Tahoma" w:cs="Tahoma"/>
          <w:bCs/>
          <w:sz w:val="24"/>
          <w:szCs w:val="24"/>
        </w:rPr>
        <w:t>arde</w:t>
      </w:r>
      <w:r w:rsidRPr="00216E39">
        <w:rPr>
          <w:rFonts w:ascii="Tahoma" w:hAnsi="Tahoma" w:cs="Tahoma"/>
          <w:bCs/>
          <w:sz w:val="24"/>
          <w:szCs w:val="24"/>
        </w:rPr>
        <w:t xml:space="preserve"> </w:t>
      </w:r>
      <w:r w:rsidR="003A634F" w:rsidRPr="00216E39">
        <w:rPr>
          <w:rFonts w:ascii="Tahoma" w:hAnsi="Tahoma" w:cs="Tahoma"/>
          <w:bCs/>
          <w:sz w:val="24"/>
          <w:szCs w:val="24"/>
        </w:rPr>
        <w:t>lei</w:t>
      </w:r>
      <w:r w:rsidRPr="00216E39">
        <w:rPr>
          <w:rFonts w:ascii="Tahoma" w:hAnsi="Tahoma" w:cs="Tahoma"/>
          <w:bCs/>
          <w:sz w:val="24"/>
          <w:szCs w:val="24"/>
        </w:rPr>
        <w:t xml:space="preserve"> (0,4% din PIB) cu </w:t>
      </w:r>
      <w:r w:rsidR="00EB62D3" w:rsidRPr="00216E39">
        <w:rPr>
          <w:rFonts w:ascii="Tahoma" w:hAnsi="Tahoma" w:cs="Tahoma"/>
          <w:bCs/>
          <w:sz w:val="24"/>
          <w:szCs w:val="24"/>
        </w:rPr>
        <w:t>14,3</w:t>
      </w:r>
      <w:r w:rsidRPr="00216E39">
        <w:rPr>
          <w:rFonts w:ascii="Tahoma" w:hAnsi="Tahoma" w:cs="Tahoma"/>
          <w:bCs/>
          <w:sz w:val="24"/>
          <w:szCs w:val="24"/>
        </w:rPr>
        <w:t xml:space="preserve">% </w:t>
      </w:r>
      <w:r w:rsidR="00D22C24" w:rsidRPr="00216E39">
        <w:rPr>
          <w:rFonts w:ascii="Tahoma" w:hAnsi="Tahoma" w:cs="Tahoma"/>
          <w:bCs/>
          <w:sz w:val="24"/>
          <w:szCs w:val="24"/>
        </w:rPr>
        <w:t>peste</w:t>
      </w:r>
      <w:r w:rsidR="00746146" w:rsidRPr="00216E39">
        <w:rPr>
          <w:rFonts w:ascii="Tahoma" w:hAnsi="Tahoma" w:cs="Tahoma"/>
          <w:bCs/>
          <w:sz w:val="24"/>
          <w:szCs w:val="24"/>
        </w:rPr>
        <w:t xml:space="preserve"> încasările </w:t>
      </w:r>
      <w:r w:rsidRPr="00216E39">
        <w:rPr>
          <w:rFonts w:ascii="Tahoma" w:hAnsi="Tahoma" w:cs="Tahoma"/>
          <w:sz w:val="24"/>
          <w:szCs w:val="24"/>
        </w:rPr>
        <w:t>semestrul</w:t>
      </w:r>
      <w:r w:rsidR="00746146" w:rsidRPr="00216E39">
        <w:rPr>
          <w:rFonts w:ascii="Tahoma" w:hAnsi="Tahoma" w:cs="Tahoma"/>
          <w:sz w:val="24"/>
          <w:szCs w:val="24"/>
        </w:rPr>
        <w:t>ui</w:t>
      </w:r>
      <w:r w:rsidRPr="00216E39">
        <w:rPr>
          <w:rFonts w:ascii="Tahoma" w:hAnsi="Tahoma" w:cs="Tahoma"/>
          <w:sz w:val="24"/>
          <w:szCs w:val="24"/>
        </w:rPr>
        <w:t xml:space="preserve"> I </w:t>
      </w:r>
      <w:r w:rsidR="00746146" w:rsidRPr="00216E39">
        <w:rPr>
          <w:rFonts w:ascii="Tahoma" w:hAnsi="Tahoma" w:cs="Tahoma"/>
          <w:sz w:val="24"/>
          <w:szCs w:val="24"/>
        </w:rPr>
        <w:t>20</w:t>
      </w:r>
      <w:r w:rsidR="00D22C24" w:rsidRPr="00216E39">
        <w:rPr>
          <w:rFonts w:ascii="Tahoma" w:hAnsi="Tahoma" w:cs="Tahoma"/>
          <w:sz w:val="24"/>
          <w:szCs w:val="24"/>
        </w:rPr>
        <w:t>2</w:t>
      </w:r>
      <w:r w:rsidR="00EB62D3" w:rsidRPr="00216E39">
        <w:rPr>
          <w:rFonts w:ascii="Tahoma" w:hAnsi="Tahoma" w:cs="Tahoma"/>
          <w:sz w:val="24"/>
          <w:szCs w:val="24"/>
        </w:rPr>
        <w:t>3</w:t>
      </w:r>
      <w:r w:rsidRPr="00216E39">
        <w:rPr>
          <w:rFonts w:ascii="Tahoma" w:hAnsi="Tahoma" w:cs="Tahoma"/>
          <w:sz w:val="24"/>
          <w:szCs w:val="24"/>
        </w:rPr>
        <w:t xml:space="preserve">, gradul de realizare al programului de încasări fiind de </w:t>
      </w:r>
      <w:r w:rsidR="00EB62D3" w:rsidRPr="00216E39">
        <w:rPr>
          <w:rFonts w:ascii="Tahoma" w:hAnsi="Tahoma" w:cs="Tahoma"/>
          <w:sz w:val="24"/>
          <w:szCs w:val="24"/>
        </w:rPr>
        <w:t>99,9</w:t>
      </w:r>
      <w:r w:rsidRPr="00216E39">
        <w:rPr>
          <w:rFonts w:ascii="Tahoma" w:hAnsi="Tahoma" w:cs="Tahoma"/>
          <w:sz w:val="24"/>
          <w:szCs w:val="24"/>
        </w:rPr>
        <w:t xml:space="preserve">%. </w:t>
      </w:r>
    </w:p>
    <w:p w:rsidR="00F11C29" w:rsidRPr="00216E39" w:rsidRDefault="00BB23A6" w:rsidP="00F11C29">
      <w:pPr>
        <w:autoSpaceDE w:val="0"/>
        <w:autoSpaceDN w:val="0"/>
        <w:adjustRightInd w:val="0"/>
        <w:spacing w:after="120" w:line="276" w:lineRule="auto"/>
        <w:ind w:left="284" w:firstLine="0"/>
        <w:rPr>
          <w:rFonts w:ascii="Tahoma" w:eastAsia="SimSun" w:hAnsi="Tahoma" w:cs="Tahoma"/>
          <w:kern w:val="1"/>
          <w:sz w:val="24"/>
          <w:szCs w:val="24"/>
        </w:rPr>
      </w:pPr>
      <w:r w:rsidRPr="00216E39">
        <w:rPr>
          <w:rFonts w:ascii="Tahoma" w:hAnsi="Tahoma" w:cs="Tahoma"/>
          <w:b/>
          <w:sz w:val="24"/>
          <w:szCs w:val="24"/>
        </w:rPr>
        <w:t>Încasările din taxa pe valoarea adăugată</w:t>
      </w:r>
      <w:r w:rsidR="009B308F" w:rsidRPr="00216E39">
        <w:rPr>
          <w:rFonts w:ascii="Tahoma" w:hAnsi="Tahoma" w:cs="Tahoma"/>
          <w:b/>
          <w:sz w:val="24"/>
          <w:szCs w:val="24"/>
        </w:rPr>
        <w:t xml:space="preserve"> </w:t>
      </w:r>
      <w:r w:rsidR="008A3D57" w:rsidRPr="00216E39">
        <w:rPr>
          <w:rFonts w:ascii="Tahoma" w:hAnsi="Tahoma" w:cs="Tahoma"/>
          <w:sz w:val="24"/>
          <w:szCs w:val="24"/>
        </w:rPr>
        <w:t xml:space="preserve">au totalizat </w:t>
      </w:r>
      <w:r w:rsidR="00EB62D3" w:rsidRPr="00216E39">
        <w:rPr>
          <w:rFonts w:ascii="Tahoma" w:hAnsi="Tahoma" w:cs="Tahoma"/>
          <w:sz w:val="24"/>
          <w:szCs w:val="24"/>
        </w:rPr>
        <w:t>57,</w:t>
      </w:r>
      <w:r w:rsidR="00F11C29" w:rsidRPr="00216E39">
        <w:rPr>
          <w:rFonts w:ascii="Tahoma" w:hAnsi="Tahoma" w:cs="Tahoma"/>
          <w:sz w:val="24"/>
          <w:szCs w:val="24"/>
        </w:rPr>
        <w:t>10</w:t>
      </w:r>
      <w:r w:rsidR="008A3D57" w:rsidRPr="00216E39">
        <w:rPr>
          <w:rFonts w:ascii="Tahoma" w:hAnsi="Tahoma" w:cs="Tahoma"/>
          <w:sz w:val="24"/>
          <w:szCs w:val="24"/>
        </w:rPr>
        <w:t xml:space="preserve"> miliarde </w:t>
      </w:r>
      <w:r w:rsidR="003A634F" w:rsidRPr="00216E39">
        <w:rPr>
          <w:rFonts w:ascii="Tahoma" w:hAnsi="Tahoma" w:cs="Tahoma"/>
          <w:sz w:val="24"/>
          <w:szCs w:val="24"/>
        </w:rPr>
        <w:t>lei</w:t>
      </w:r>
      <w:r w:rsidR="008A3D57" w:rsidRPr="00216E39">
        <w:rPr>
          <w:rFonts w:ascii="Tahoma" w:hAnsi="Tahoma" w:cs="Tahoma"/>
          <w:sz w:val="24"/>
          <w:szCs w:val="24"/>
        </w:rPr>
        <w:t xml:space="preserve">, </w:t>
      </w:r>
      <w:r w:rsidR="008772EA" w:rsidRPr="00216E39">
        <w:rPr>
          <w:rFonts w:ascii="Tahoma" w:eastAsia="SimSun" w:hAnsi="Tahoma" w:cs="Tahoma"/>
          <w:color w:val="00000A"/>
          <w:kern w:val="1"/>
          <w:sz w:val="24"/>
          <w:szCs w:val="24"/>
        </w:rPr>
        <w:t xml:space="preserve">înregistrând o creștere a încasărilor din TVA cu </w:t>
      </w:r>
      <w:r w:rsidR="00EB62D3" w:rsidRPr="00216E39">
        <w:rPr>
          <w:rFonts w:ascii="Tahoma" w:eastAsia="SimSun" w:hAnsi="Tahoma" w:cs="Tahoma"/>
          <w:color w:val="00000A"/>
          <w:kern w:val="1"/>
          <w:sz w:val="24"/>
          <w:szCs w:val="24"/>
        </w:rPr>
        <w:t>17,3</w:t>
      </w:r>
      <w:r w:rsidR="008772EA" w:rsidRPr="00216E39">
        <w:rPr>
          <w:rFonts w:ascii="Tahoma" w:eastAsia="SimSun" w:hAnsi="Tahoma" w:cs="Tahoma"/>
          <w:color w:val="00000A"/>
          <w:kern w:val="1"/>
          <w:sz w:val="24"/>
          <w:szCs w:val="24"/>
        </w:rPr>
        <w:t>% (+</w:t>
      </w:r>
      <w:r w:rsidR="00EB62D3" w:rsidRPr="00216E39">
        <w:rPr>
          <w:rFonts w:ascii="Tahoma" w:eastAsia="SimSun" w:hAnsi="Tahoma" w:cs="Tahoma"/>
          <w:color w:val="00000A"/>
          <w:kern w:val="1"/>
          <w:sz w:val="24"/>
          <w:szCs w:val="24"/>
        </w:rPr>
        <w:t>8,41</w:t>
      </w:r>
      <w:r w:rsidR="008772EA" w:rsidRPr="00216E39">
        <w:rPr>
          <w:rFonts w:ascii="Tahoma" w:eastAsia="SimSun" w:hAnsi="Tahoma" w:cs="Tahoma"/>
          <w:color w:val="00000A"/>
          <w:kern w:val="1"/>
          <w:sz w:val="24"/>
          <w:szCs w:val="24"/>
        </w:rPr>
        <w:t xml:space="preserve"> miliarde lei), comparativ cu încasările aferente semestrului I 202</w:t>
      </w:r>
      <w:r w:rsidR="00EB62D3" w:rsidRPr="00216E39">
        <w:rPr>
          <w:rFonts w:ascii="Tahoma" w:eastAsia="SimSun" w:hAnsi="Tahoma" w:cs="Tahoma"/>
          <w:color w:val="00000A"/>
          <w:kern w:val="1"/>
          <w:sz w:val="24"/>
          <w:szCs w:val="24"/>
        </w:rPr>
        <w:t>3</w:t>
      </w:r>
      <w:r w:rsidR="008772EA" w:rsidRPr="00216E39">
        <w:rPr>
          <w:rFonts w:ascii="Tahoma" w:eastAsia="SimSun" w:hAnsi="Tahoma" w:cs="Tahoma"/>
          <w:color w:val="00000A"/>
          <w:kern w:val="1"/>
          <w:sz w:val="24"/>
          <w:szCs w:val="24"/>
        </w:rPr>
        <w:t xml:space="preserve">, iar gradul de realizare al programului semestrial este de </w:t>
      </w:r>
      <w:r w:rsidR="00EB62D3" w:rsidRPr="00216E39">
        <w:rPr>
          <w:rFonts w:ascii="Tahoma" w:eastAsia="SimSun" w:hAnsi="Tahoma" w:cs="Tahoma"/>
          <w:color w:val="00000A"/>
          <w:kern w:val="1"/>
          <w:sz w:val="24"/>
          <w:szCs w:val="24"/>
        </w:rPr>
        <w:t>100,8</w:t>
      </w:r>
      <w:r w:rsidR="008772EA" w:rsidRPr="00216E39">
        <w:rPr>
          <w:rFonts w:ascii="Tahoma" w:eastAsia="SimSun" w:hAnsi="Tahoma" w:cs="Tahoma"/>
          <w:color w:val="00000A"/>
          <w:kern w:val="1"/>
          <w:sz w:val="24"/>
          <w:szCs w:val="24"/>
        </w:rPr>
        <w:t xml:space="preserve">% </w:t>
      </w:r>
      <w:r w:rsidR="00EB62D3" w:rsidRPr="00216E39">
        <w:rPr>
          <w:rFonts w:ascii="Tahoma" w:eastAsia="SimSun" w:hAnsi="Tahoma" w:cs="Tahoma"/>
          <w:color w:val="00000A"/>
          <w:kern w:val="1"/>
          <w:sz w:val="24"/>
          <w:szCs w:val="24"/>
        </w:rPr>
        <w:t>(+0,47</w:t>
      </w:r>
      <w:r w:rsidR="008772EA" w:rsidRPr="00216E39">
        <w:rPr>
          <w:rFonts w:ascii="Tahoma" w:eastAsia="SimSun" w:hAnsi="Tahoma" w:cs="Tahoma"/>
          <w:color w:val="00000A"/>
          <w:kern w:val="1"/>
          <w:sz w:val="24"/>
          <w:szCs w:val="24"/>
        </w:rPr>
        <w:t xml:space="preserve"> miliarde lei).</w:t>
      </w:r>
      <w:r w:rsidR="00862C96" w:rsidRPr="00216E39">
        <w:rPr>
          <w:rFonts w:ascii="Tahoma" w:eastAsia="SimSun" w:hAnsi="Tahoma" w:cs="Tahoma"/>
          <w:color w:val="00000A"/>
          <w:kern w:val="1"/>
          <w:sz w:val="24"/>
          <w:szCs w:val="24"/>
        </w:rPr>
        <w:t xml:space="preserve"> </w:t>
      </w:r>
      <w:r w:rsidR="00F11C29" w:rsidRPr="00216E39">
        <w:rPr>
          <w:rFonts w:ascii="Tahoma" w:eastAsia="SimSun" w:hAnsi="Tahoma" w:cs="Tahoma"/>
          <w:kern w:val="1"/>
          <w:sz w:val="24"/>
          <w:szCs w:val="24"/>
        </w:rPr>
        <w:t>În structură, TVA încasată</w:t>
      </w:r>
      <w:r w:rsidR="00F11C29" w:rsidRPr="00216E39">
        <w:rPr>
          <w:rFonts w:ascii="Tahoma" w:eastAsia="SimSun" w:hAnsi="Tahoma" w:cs="Tahoma"/>
          <w:kern w:val="1"/>
          <w:sz w:val="24"/>
          <w:szCs w:val="24"/>
          <w:vertAlign w:val="superscript"/>
        </w:rPr>
        <w:footnoteReference w:id="8"/>
      </w:r>
      <w:r w:rsidR="00F11C29" w:rsidRPr="00216E39">
        <w:rPr>
          <w:rFonts w:ascii="Tahoma" w:eastAsia="SimSun" w:hAnsi="Tahoma" w:cs="Tahoma"/>
          <w:kern w:val="1"/>
          <w:sz w:val="24"/>
          <w:szCs w:val="24"/>
        </w:rPr>
        <w:t xml:space="preserve"> s-a majorat cu 14,4% (+9,1 miliarde lei) față de primele 6 luni ale anului 2023</w:t>
      </w:r>
      <w:r w:rsidR="00F11C29" w:rsidRPr="00216E39">
        <w:rPr>
          <w:rFonts w:ascii="Tahoma" w:eastAsia="SimSun" w:hAnsi="Tahoma" w:cs="Tahoma"/>
          <w:kern w:val="1"/>
          <w:sz w:val="24"/>
          <w:szCs w:val="24"/>
          <w:vertAlign w:val="superscript"/>
        </w:rPr>
        <w:footnoteReference w:id="9"/>
      </w:r>
      <w:r w:rsidR="00F11C29" w:rsidRPr="00216E39">
        <w:rPr>
          <w:rFonts w:ascii="Tahoma" w:eastAsia="SimSun" w:hAnsi="Tahoma" w:cs="Tahoma"/>
          <w:kern w:val="1"/>
          <w:sz w:val="24"/>
          <w:szCs w:val="24"/>
        </w:rPr>
        <w:t xml:space="preserve">, iar valoarea restituirilor de taxă pe valoare adăugată a crescut cu 3,9% (-0,6 miliarde lei). În perioada analizată media TVA restituită a fost de 2,5 miliarde lei, situându-se peste  media de 2,4 miliarde lei înregistrată în perioada similară a anului precedent. Evoluția încasărilor din taxa pe valoare adăugată a fost susținută și de modificările fiscale aduse prin Legea nr.296/2023, precum creșterea cotei de TVA pentru alimente cu zahăr adăugat (peste 10g/100g produs), pentru dreptul de utilizare a facilităților sportive, transportul de persoane în scop turistic, pentru livrarea locuințelor ca parte a politicii sociale, livrarea și instalarea de panouri </w:t>
      </w:r>
      <w:r w:rsidR="00F11C29" w:rsidRPr="00216E39">
        <w:rPr>
          <w:rFonts w:ascii="Tahoma" w:eastAsia="SimSun" w:hAnsi="Tahoma" w:cs="Tahoma"/>
          <w:kern w:val="1"/>
          <w:sz w:val="24"/>
          <w:szCs w:val="24"/>
        </w:rPr>
        <w:lastRenderedPageBreak/>
        <w:t>fotovoltaice, panouri solare termice, pompe de căldură și alte sisteme de încălzire de înaltă eficiență.</w:t>
      </w:r>
    </w:p>
    <w:p w:rsidR="00F11C29" w:rsidRPr="00216E39" w:rsidRDefault="00F11C29" w:rsidP="00F11C29">
      <w:pPr>
        <w:autoSpaceDE w:val="0"/>
        <w:autoSpaceDN w:val="0"/>
        <w:adjustRightInd w:val="0"/>
        <w:spacing w:after="120" w:line="276" w:lineRule="auto"/>
        <w:ind w:left="284" w:firstLine="0"/>
        <w:rPr>
          <w:rFonts w:ascii="Tahoma" w:eastAsia="SimSun" w:hAnsi="Tahoma" w:cs="Tahoma"/>
          <w:kern w:val="1"/>
          <w:sz w:val="24"/>
          <w:szCs w:val="24"/>
        </w:rPr>
      </w:pPr>
      <w:r w:rsidRPr="00216E39">
        <w:rPr>
          <w:rFonts w:ascii="Tahoma" w:eastAsia="SimSun" w:hAnsi="Tahoma" w:cs="Tahoma"/>
          <w:kern w:val="1"/>
          <w:sz w:val="24"/>
          <w:szCs w:val="24"/>
        </w:rPr>
        <w:t xml:space="preserve">Volumul cifrei de afaceri din </w:t>
      </w:r>
      <w:r w:rsidR="00C80DC7" w:rsidRPr="00216E39">
        <w:rPr>
          <w:rFonts w:ascii="Tahoma" w:eastAsia="SimSun" w:hAnsi="Tahoma" w:cs="Tahoma"/>
          <w:kern w:val="1"/>
          <w:sz w:val="24"/>
          <w:szCs w:val="24"/>
        </w:rPr>
        <w:t>comerțul</w:t>
      </w:r>
      <w:r w:rsidRPr="00216E39">
        <w:rPr>
          <w:rFonts w:ascii="Tahoma" w:eastAsia="SimSun" w:hAnsi="Tahoma" w:cs="Tahoma"/>
          <w:kern w:val="1"/>
          <w:sz w:val="24"/>
          <w:szCs w:val="24"/>
        </w:rPr>
        <w:t xml:space="preserve"> cu amănuntul</w:t>
      </w:r>
      <w:r w:rsidRPr="00216E39">
        <w:rPr>
          <w:rFonts w:ascii="Tahoma" w:eastAsia="SimSun" w:hAnsi="Tahoma" w:cs="Tahoma"/>
          <w:kern w:val="1"/>
          <w:sz w:val="24"/>
          <w:szCs w:val="24"/>
          <w:vertAlign w:val="superscript"/>
        </w:rPr>
        <w:footnoteReference w:id="10"/>
      </w:r>
      <w:r w:rsidRPr="00216E39">
        <w:rPr>
          <w:rFonts w:ascii="Tahoma" w:eastAsia="SimSun" w:hAnsi="Tahoma" w:cs="Tahoma"/>
          <w:kern w:val="1"/>
          <w:sz w:val="24"/>
          <w:szCs w:val="24"/>
        </w:rPr>
        <w:t xml:space="preserve"> (cu excepţia comerţului cu autovehicule şi motociclete), serie brută, în perioada 1.I-31.V.2024, comparativ cu perioada 1.I-31.IV.2023, a înregistrat o creştere, pe ansamblu, cu 8,0%, datorită creşterilor vânzărilor de produse alimentare, băuturi şi tutun (+3,5%) şi vânzărilor de produse nealimentare (+13,3%). Comerţul cu amănuntul al carburanţilor pentru autovehicule în magazine specializate a crescut cu 4,5%.</w:t>
      </w:r>
    </w:p>
    <w:p w:rsidR="000F06F3" w:rsidRPr="00216E39" w:rsidRDefault="008772EA" w:rsidP="000F06F3">
      <w:pPr>
        <w:autoSpaceDE w:val="0"/>
        <w:autoSpaceDN w:val="0"/>
        <w:adjustRightInd w:val="0"/>
        <w:spacing w:after="120" w:line="276" w:lineRule="auto"/>
        <w:ind w:left="284" w:firstLine="0"/>
        <w:rPr>
          <w:rFonts w:ascii="Tahoma" w:hAnsi="Tahoma" w:cs="Tahoma"/>
          <w:sz w:val="24"/>
          <w:szCs w:val="24"/>
        </w:rPr>
      </w:pPr>
      <w:r w:rsidRPr="00216E39">
        <w:rPr>
          <w:rFonts w:ascii="Tahoma" w:hAnsi="Tahoma" w:cs="Tahoma"/>
          <w:b/>
          <w:sz w:val="24"/>
          <w:szCs w:val="24"/>
        </w:rPr>
        <w:t>Veniturile din accize</w:t>
      </w:r>
      <w:r w:rsidRPr="00216E39">
        <w:rPr>
          <w:rFonts w:ascii="Tahoma" w:hAnsi="Tahoma" w:cs="Tahoma"/>
          <w:sz w:val="24"/>
          <w:szCs w:val="24"/>
        </w:rPr>
        <w:t xml:space="preserve"> au însumat </w:t>
      </w:r>
      <w:r w:rsidR="00EB62D3" w:rsidRPr="00216E39">
        <w:rPr>
          <w:rFonts w:ascii="Tahoma" w:hAnsi="Tahoma" w:cs="Tahoma"/>
          <w:sz w:val="24"/>
          <w:szCs w:val="24"/>
        </w:rPr>
        <w:t>19,63</w:t>
      </w:r>
      <w:r w:rsidRPr="00216E39">
        <w:rPr>
          <w:rFonts w:ascii="Tahoma" w:hAnsi="Tahoma" w:cs="Tahoma"/>
          <w:sz w:val="24"/>
          <w:szCs w:val="24"/>
        </w:rPr>
        <w:t xml:space="preserve"> miliarde lei, în creștere cu </w:t>
      </w:r>
      <w:r w:rsidR="00EB62D3" w:rsidRPr="00216E39">
        <w:rPr>
          <w:rFonts w:ascii="Tahoma" w:hAnsi="Tahoma" w:cs="Tahoma"/>
          <w:sz w:val="24"/>
          <w:szCs w:val="24"/>
        </w:rPr>
        <w:t>10,8</w:t>
      </w:r>
      <w:r w:rsidRPr="00216E39">
        <w:rPr>
          <w:rFonts w:ascii="Tahoma" w:hAnsi="Tahoma" w:cs="Tahoma"/>
          <w:sz w:val="24"/>
          <w:szCs w:val="24"/>
        </w:rPr>
        <w:t>% (+1,</w:t>
      </w:r>
      <w:r w:rsidR="00EB62D3" w:rsidRPr="00216E39">
        <w:rPr>
          <w:rFonts w:ascii="Tahoma" w:hAnsi="Tahoma" w:cs="Tahoma"/>
          <w:sz w:val="24"/>
          <w:szCs w:val="24"/>
        </w:rPr>
        <w:t>92</w:t>
      </w:r>
      <w:r w:rsidRPr="00216E39">
        <w:rPr>
          <w:rFonts w:ascii="Tahoma" w:hAnsi="Tahoma" w:cs="Tahoma"/>
          <w:sz w:val="24"/>
          <w:szCs w:val="24"/>
        </w:rPr>
        <w:t xml:space="preserve"> miliarde lei), comparativ cu aceeași perioadă a anului precedent, </w:t>
      </w:r>
      <w:r w:rsidR="00F11C29" w:rsidRPr="00216E39">
        <w:rPr>
          <w:rFonts w:ascii="Tahoma" w:hAnsi="Tahoma" w:cs="Tahoma"/>
          <w:sz w:val="24"/>
          <w:szCs w:val="24"/>
        </w:rPr>
        <w:t xml:space="preserve">influențată de creșterea încasărilor la accizele pentru produsele energetice de 20,2%, </w:t>
      </w:r>
      <w:r w:rsidR="000F06F3" w:rsidRPr="00216E39">
        <w:rPr>
          <w:rFonts w:ascii="Tahoma" w:hAnsi="Tahoma" w:cs="Tahoma"/>
          <w:sz w:val="24"/>
          <w:szCs w:val="24"/>
        </w:rPr>
        <w:t>în condițiile în care nivelul accizelor a crescut cu 13,6% comparativ cu luna decembrie 2023 conform prevederilor Legii nr.296/2023.</w:t>
      </w:r>
    </w:p>
    <w:p w:rsidR="000F06F3" w:rsidRPr="00216E39" w:rsidRDefault="000F06F3" w:rsidP="000F06F3">
      <w:pPr>
        <w:autoSpaceDE w:val="0"/>
        <w:autoSpaceDN w:val="0"/>
        <w:adjustRightInd w:val="0"/>
        <w:spacing w:after="120" w:line="276" w:lineRule="auto"/>
        <w:ind w:left="284" w:firstLine="0"/>
        <w:rPr>
          <w:rFonts w:ascii="Tahoma" w:hAnsi="Tahoma" w:cs="Tahoma"/>
          <w:sz w:val="24"/>
          <w:szCs w:val="24"/>
        </w:rPr>
      </w:pPr>
      <w:r w:rsidRPr="00216E39">
        <w:rPr>
          <w:rFonts w:ascii="Tahoma" w:hAnsi="Tahoma" w:cs="Tahoma"/>
          <w:sz w:val="24"/>
          <w:szCs w:val="24"/>
        </w:rPr>
        <w:t>Produsele din tutun au înregistrat o scădere cu 1,8% (-0,2 miliarde lei) a încasărilor la accize, în contextul în care nivelul accizelor a crescut cu 13,1% comparativ cu luna decembrie 2023. Încasările lunare prezintă în general o volatilitate mai ridicată, determinată de politica operatorilor economici de antrepozitare fiscală a produselor accizabile.</w:t>
      </w:r>
    </w:p>
    <w:p w:rsidR="00F11C29" w:rsidRPr="00216E39" w:rsidRDefault="008772EA" w:rsidP="000F06F3">
      <w:pPr>
        <w:autoSpaceDE w:val="0"/>
        <w:autoSpaceDN w:val="0"/>
        <w:adjustRightInd w:val="0"/>
        <w:spacing w:after="120" w:line="276" w:lineRule="auto"/>
        <w:ind w:left="284" w:firstLine="0"/>
        <w:rPr>
          <w:rFonts w:ascii="Tahoma" w:hAnsi="Tahoma" w:cs="Tahoma"/>
          <w:sz w:val="24"/>
          <w:szCs w:val="24"/>
        </w:rPr>
      </w:pPr>
      <w:r w:rsidRPr="00216E39">
        <w:rPr>
          <w:rFonts w:ascii="Tahoma" w:hAnsi="Tahoma" w:cs="Tahoma"/>
          <w:sz w:val="24"/>
          <w:szCs w:val="24"/>
        </w:rPr>
        <w:t xml:space="preserve">Gradul de realizare din accize față de programul stabilit pentru această perioadă este de </w:t>
      </w:r>
      <w:r w:rsidR="00EB62D3" w:rsidRPr="00216E39">
        <w:rPr>
          <w:rFonts w:ascii="Tahoma" w:hAnsi="Tahoma" w:cs="Tahoma"/>
          <w:sz w:val="24"/>
          <w:szCs w:val="24"/>
        </w:rPr>
        <w:t>98,4</w:t>
      </w:r>
      <w:r w:rsidRPr="00216E39">
        <w:rPr>
          <w:rFonts w:ascii="Tahoma" w:hAnsi="Tahoma" w:cs="Tahoma"/>
          <w:sz w:val="24"/>
          <w:szCs w:val="24"/>
        </w:rPr>
        <w:t>% (-0,</w:t>
      </w:r>
      <w:r w:rsidR="00EB62D3" w:rsidRPr="00216E39">
        <w:rPr>
          <w:rFonts w:ascii="Tahoma" w:hAnsi="Tahoma" w:cs="Tahoma"/>
          <w:sz w:val="24"/>
          <w:szCs w:val="24"/>
        </w:rPr>
        <w:t>31</w:t>
      </w:r>
      <w:r w:rsidRPr="00216E39">
        <w:rPr>
          <w:rFonts w:ascii="Tahoma" w:hAnsi="Tahoma" w:cs="Tahoma"/>
          <w:sz w:val="24"/>
          <w:szCs w:val="24"/>
        </w:rPr>
        <w:t xml:space="preserve"> miliarde lei)</w:t>
      </w:r>
      <w:r w:rsidR="00F11C29" w:rsidRPr="00216E39">
        <w:rPr>
          <w:rFonts w:eastAsia="SimSun" w:cs="Liberation Serif"/>
          <w:kern w:val="1"/>
          <w:sz w:val="24"/>
          <w:szCs w:val="24"/>
        </w:rPr>
        <w:t xml:space="preserve"> </w:t>
      </w:r>
      <w:r w:rsidR="00F11C29" w:rsidRPr="00216E39">
        <w:rPr>
          <w:rFonts w:ascii="Tahoma" w:hAnsi="Tahoma" w:cs="Tahoma"/>
          <w:sz w:val="24"/>
          <w:szCs w:val="24"/>
        </w:rPr>
        <w:t>nerealizarea datorându-se scăderii încasărilor la accizele din</w:t>
      </w:r>
      <w:r w:rsidR="000F06F3" w:rsidRPr="00216E39">
        <w:rPr>
          <w:rFonts w:ascii="Tahoma" w:hAnsi="Tahoma" w:cs="Tahoma"/>
          <w:sz w:val="24"/>
          <w:szCs w:val="24"/>
        </w:rPr>
        <w:t xml:space="preserve"> vânzarea produselor din tutun.</w:t>
      </w:r>
    </w:p>
    <w:p w:rsidR="00FE629C" w:rsidRPr="00216E39" w:rsidRDefault="004D6D76" w:rsidP="005B74EC">
      <w:pPr>
        <w:autoSpaceDE w:val="0"/>
        <w:autoSpaceDN w:val="0"/>
        <w:adjustRightInd w:val="0"/>
        <w:spacing w:line="276" w:lineRule="auto"/>
        <w:ind w:left="284" w:firstLine="0"/>
        <w:rPr>
          <w:rFonts w:ascii="Tahoma" w:hAnsi="Tahoma" w:cs="Tahoma"/>
          <w:bCs/>
          <w:sz w:val="24"/>
          <w:szCs w:val="24"/>
        </w:rPr>
      </w:pPr>
      <w:r w:rsidRPr="00216E39">
        <w:rPr>
          <w:rFonts w:ascii="Tahoma" w:hAnsi="Tahoma" w:cs="Tahoma"/>
          <w:b/>
          <w:sz w:val="24"/>
          <w:szCs w:val="24"/>
        </w:rPr>
        <w:t xml:space="preserve">Încasările din alte impozite și taxe pe bunuri și servicii </w:t>
      </w:r>
      <w:r w:rsidR="00B83B89" w:rsidRPr="00216E39">
        <w:rPr>
          <w:rFonts w:ascii="Tahoma" w:hAnsi="Tahoma" w:cs="Tahoma"/>
          <w:sz w:val="24"/>
          <w:szCs w:val="24"/>
        </w:rPr>
        <w:t xml:space="preserve">în valoare de </w:t>
      </w:r>
      <w:r w:rsidR="00EB62D3" w:rsidRPr="00216E39">
        <w:rPr>
          <w:rFonts w:ascii="Tahoma" w:hAnsi="Tahoma" w:cs="Tahoma"/>
          <w:sz w:val="24"/>
          <w:szCs w:val="24"/>
        </w:rPr>
        <w:t>4,57</w:t>
      </w:r>
      <w:r w:rsidR="00B83B89" w:rsidRPr="00216E39">
        <w:rPr>
          <w:rFonts w:ascii="Tahoma" w:hAnsi="Tahoma" w:cs="Tahoma"/>
          <w:sz w:val="24"/>
          <w:szCs w:val="24"/>
        </w:rPr>
        <w:t xml:space="preserve"> miliarde </w:t>
      </w:r>
      <w:r w:rsidR="003A634F" w:rsidRPr="00216E39">
        <w:rPr>
          <w:rFonts w:ascii="Tahoma" w:hAnsi="Tahoma" w:cs="Tahoma"/>
          <w:sz w:val="24"/>
          <w:szCs w:val="24"/>
        </w:rPr>
        <w:t>lei</w:t>
      </w:r>
      <w:r w:rsidR="00B83B89" w:rsidRPr="00216E39">
        <w:rPr>
          <w:rFonts w:ascii="Tahoma" w:hAnsi="Tahoma" w:cs="Tahoma"/>
          <w:sz w:val="24"/>
          <w:szCs w:val="24"/>
        </w:rPr>
        <w:t xml:space="preserve">, </w:t>
      </w:r>
      <w:r w:rsidR="00DC4955" w:rsidRPr="00216E39">
        <w:rPr>
          <w:rFonts w:ascii="Tahoma" w:hAnsi="Tahoma" w:cs="Tahoma"/>
          <w:bCs/>
          <w:sz w:val="24"/>
          <w:szCs w:val="24"/>
        </w:rPr>
        <w:t xml:space="preserve">au înregistrat o </w:t>
      </w:r>
      <w:r w:rsidR="00104C14" w:rsidRPr="00216E39">
        <w:rPr>
          <w:rFonts w:ascii="Tahoma" w:hAnsi="Tahoma" w:cs="Tahoma"/>
          <w:bCs/>
          <w:sz w:val="24"/>
          <w:szCs w:val="24"/>
        </w:rPr>
        <w:t xml:space="preserve">scădere comparativ cu anul precedent cu </w:t>
      </w:r>
      <w:r w:rsidR="00EB62D3" w:rsidRPr="00216E39">
        <w:rPr>
          <w:rFonts w:ascii="Tahoma" w:hAnsi="Tahoma" w:cs="Tahoma"/>
          <w:bCs/>
          <w:sz w:val="24"/>
          <w:szCs w:val="24"/>
        </w:rPr>
        <w:t>44,9</w:t>
      </w:r>
      <w:r w:rsidR="00104C14" w:rsidRPr="00216E39">
        <w:rPr>
          <w:rFonts w:ascii="Tahoma" w:hAnsi="Tahoma" w:cs="Tahoma"/>
          <w:bCs/>
          <w:sz w:val="24"/>
          <w:szCs w:val="24"/>
        </w:rPr>
        <w:t>%(-</w:t>
      </w:r>
      <w:r w:rsidR="00EB62D3" w:rsidRPr="00216E39">
        <w:rPr>
          <w:rFonts w:ascii="Tahoma" w:hAnsi="Tahoma" w:cs="Tahoma"/>
          <w:bCs/>
          <w:sz w:val="24"/>
          <w:szCs w:val="24"/>
        </w:rPr>
        <w:t>3,71</w:t>
      </w:r>
      <w:r w:rsidR="00104C14" w:rsidRPr="00216E39">
        <w:rPr>
          <w:rFonts w:ascii="Tahoma" w:hAnsi="Tahoma" w:cs="Tahoma"/>
          <w:bCs/>
          <w:sz w:val="24"/>
          <w:szCs w:val="24"/>
        </w:rPr>
        <w:t xml:space="preserve"> miliarde lei)</w:t>
      </w:r>
      <w:r w:rsidR="00DC4955" w:rsidRPr="00216E39">
        <w:rPr>
          <w:rFonts w:ascii="Tahoma" w:hAnsi="Tahoma" w:cs="Tahoma"/>
          <w:bCs/>
          <w:sz w:val="24"/>
          <w:szCs w:val="24"/>
        </w:rPr>
        <w:t xml:space="preserve">, pe seama evoluției încasărilor la bugetul de stat </w:t>
      </w:r>
      <w:r w:rsidR="005B74EC" w:rsidRPr="00216E39">
        <w:rPr>
          <w:rFonts w:ascii="Tahoma" w:hAnsi="Tahoma" w:cs="Tahoma"/>
          <w:bCs/>
          <w:sz w:val="24"/>
          <w:szCs w:val="24"/>
        </w:rPr>
        <w:t>(-</w:t>
      </w:r>
      <w:r w:rsidR="0064623C" w:rsidRPr="00216E39">
        <w:rPr>
          <w:rFonts w:ascii="Tahoma" w:hAnsi="Tahoma" w:cs="Tahoma"/>
          <w:bCs/>
          <w:sz w:val="24"/>
          <w:szCs w:val="24"/>
        </w:rPr>
        <w:t>66,6</w:t>
      </w:r>
      <w:r w:rsidR="005B74EC" w:rsidRPr="00216E39">
        <w:rPr>
          <w:rFonts w:ascii="Tahoma" w:hAnsi="Tahoma" w:cs="Tahoma"/>
          <w:bCs/>
          <w:sz w:val="24"/>
          <w:szCs w:val="24"/>
        </w:rPr>
        <w:t>%</w:t>
      </w:r>
      <w:r w:rsidR="00FE629C" w:rsidRPr="00216E39">
        <w:rPr>
          <w:rFonts w:ascii="Tahoma" w:hAnsi="Tahoma" w:cs="Tahoma"/>
          <w:bCs/>
          <w:sz w:val="24"/>
          <w:szCs w:val="24"/>
        </w:rPr>
        <w:t>).</w:t>
      </w:r>
    </w:p>
    <w:p w:rsidR="00FE629C" w:rsidRPr="00216E39" w:rsidRDefault="00FE629C" w:rsidP="00FE629C">
      <w:pPr>
        <w:autoSpaceDE w:val="0"/>
        <w:autoSpaceDN w:val="0"/>
        <w:adjustRightInd w:val="0"/>
        <w:spacing w:line="276" w:lineRule="auto"/>
        <w:ind w:left="284" w:firstLine="0"/>
        <w:rPr>
          <w:rFonts w:ascii="Tahoma" w:hAnsi="Tahoma" w:cs="Tahoma"/>
          <w:bCs/>
          <w:sz w:val="24"/>
          <w:szCs w:val="24"/>
        </w:rPr>
      </w:pPr>
      <w:r w:rsidRPr="00216E39">
        <w:rPr>
          <w:rFonts w:ascii="Tahoma" w:hAnsi="Tahoma" w:cs="Tahoma"/>
          <w:sz w:val="24"/>
          <w:szCs w:val="24"/>
        </w:rPr>
        <w:t xml:space="preserve">În structura bugetului de stat </w:t>
      </w:r>
      <w:r w:rsidRPr="00216E39">
        <w:rPr>
          <w:rFonts w:ascii="Tahoma" w:hAnsi="Tahoma" w:cs="Tahoma"/>
          <w:bCs/>
          <w:sz w:val="24"/>
          <w:szCs w:val="24"/>
        </w:rPr>
        <w:t>încasările din impozitul pe veniturile suplimentare obținute în sectorul gazelor naturale de către operatorii economici, inclusiv filialele acestora care desfăşoară efectiv atât activităţi de extracţie, cât şi activităţi de vânzare a gazelor naturale (reglementat prin O.G. nr. 7/2013</w:t>
      </w:r>
      <w:r w:rsidRPr="00216E39">
        <w:rPr>
          <w:rFonts w:ascii="Tahoma" w:hAnsi="Tahoma" w:cs="Tahoma"/>
          <w:bCs/>
          <w:sz w:val="24"/>
          <w:szCs w:val="24"/>
          <w:vertAlign w:val="superscript"/>
        </w:rPr>
        <w:footnoteReference w:id="11"/>
      </w:r>
      <w:r w:rsidRPr="00216E39">
        <w:rPr>
          <w:rFonts w:ascii="Tahoma" w:hAnsi="Tahoma" w:cs="Tahoma"/>
          <w:bCs/>
          <w:sz w:val="24"/>
          <w:szCs w:val="24"/>
        </w:rPr>
        <w:t>) se caracterizează printr-un trend descrescător (-55,0% în perioada analizată a anului curent față de perioada similară a anului 2023), ceea ce a condus la un grad de realizare al programului de 41,2%.</w:t>
      </w:r>
    </w:p>
    <w:p w:rsidR="00FE629C" w:rsidRPr="00216E39" w:rsidRDefault="00FE629C" w:rsidP="00FE629C">
      <w:pPr>
        <w:autoSpaceDE w:val="0"/>
        <w:autoSpaceDN w:val="0"/>
        <w:adjustRightInd w:val="0"/>
        <w:spacing w:line="276" w:lineRule="auto"/>
        <w:ind w:left="284" w:firstLine="0"/>
        <w:rPr>
          <w:rFonts w:ascii="Tahoma" w:hAnsi="Tahoma" w:cs="Tahoma"/>
          <w:bCs/>
          <w:sz w:val="24"/>
          <w:szCs w:val="24"/>
        </w:rPr>
      </w:pPr>
      <w:r w:rsidRPr="00216E39">
        <w:rPr>
          <w:rFonts w:ascii="Tahoma" w:hAnsi="Tahoma" w:cs="Tahoma"/>
          <w:bCs/>
          <w:sz w:val="24"/>
          <w:szCs w:val="24"/>
        </w:rPr>
        <w:t xml:space="preserve">Încasările aferente noilor impozite instituite prin Legea nr. 296/2023, impozitul specific pe cifra de afaceri datorat de operatorii economici care desfăşoară activităţi în sectoarele petrol şi gaze naturale și impozitul suplimentar pentru instituțiile de credit, se caracterizează printr-o evoluție pozitivă concretizată prin atingerea țintelor </w:t>
      </w:r>
      <w:r w:rsidRPr="00216E39">
        <w:rPr>
          <w:rFonts w:ascii="Tahoma" w:hAnsi="Tahoma" w:cs="Tahoma"/>
          <w:bCs/>
          <w:sz w:val="24"/>
          <w:szCs w:val="24"/>
        </w:rPr>
        <w:lastRenderedPageBreak/>
        <w:t xml:space="preserve">de program stabilite pentru perioada analizată de fiecare impozit, de 130,2%(+0,03 miliarde lei) și respectiv de 120,2% (+0,05 miliarde lei). </w:t>
      </w:r>
    </w:p>
    <w:p w:rsidR="00FE629C" w:rsidRPr="00216E39" w:rsidRDefault="00FE629C" w:rsidP="00FE629C">
      <w:pPr>
        <w:autoSpaceDE w:val="0"/>
        <w:autoSpaceDN w:val="0"/>
        <w:adjustRightInd w:val="0"/>
        <w:spacing w:line="276" w:lineRule="auto"/>
        <w:ind w:left="284" w:firstLine="0"/>
        <w:rPr>
          <w:rFonts w:ascii="Tahoma" w:hAnsi="Tahoma" w:cs="Tahoma"/>
          <w:bCs/>
          <w:sz w:val="24"/>
          <w:szCs w:val="24"/>
        </w:rPr>
      </w:pPr>
      <w:r w:rsidRPr="00216E39">
        <w:rPr>
          <w:rFonts w:ascii="Tahoma" w:hAnsi="Tahoma" w:cs="Tahoma"/>
          <w:bCs/>
          <w:sz w:val="24"/>
          <w:szCs w:val="24"/>
        </w:rPr>
        <w:t xml:space="preserve">Gradul de realizare a programului este de 93,4% (-0,32 miliarde lei). Nerealizarea se datorează exclusiv evoluției încasărilor la bugetul de stat (grad de realizare al programului 71,3%) </w:t>
      </w:r>
      <w:r w:rsidR="006E29DF" w:rsidRPr="00216E39">
        <w:rPr>
          <w:rFonts w:ascii="Tahoma" w:hAnsi="Tahoma" w:cs="Tahoma"/>
          <w:bCs/>
          <w:sz w:val="24"/>
          <w:szCs w:val="24"/>
        </w:rPr>
        <w:t xml:space="preserve">în structura căruia </w:t>
      </w:r>
      <w:r w:rsidRPr="00216E39">
        <w:rPr>
          <w:rFonts w:ascii="Tahoma" w:hAnsi="Tahoma" w:cs="Tahoma"/>
          <w:bCs/>
          <w:sz w:val="24"/>
          <w:szCs w:val="24"/>
        </w:rPr>
        <w:t xml:space="preserve">impozitul pe veniturile suplimentare obținute de operatorii economici din sectorul gazelor naturale (impozit reglementat prin O.G. nr. 7/2013), </w:t>
      </w:r>
      <w:r w:rsidR="006E29DF" w:rsidRPr="00216E39">
        <w:rPr>
          <w:rFonts w:ascii="Tahoma" w:hAnsi="Tahoma" w:cs="Tahoma"/>
          <w:bCs/>
          <w:sz w:val="24"/>
          <w:szCs w:val="24"/>
        </w:rPr>
        <w:t xml:space="preserve">este </w:t>
      </w:r>
      <w:r w:rsidRPr="00216E39">
        <w:rPr>
          <w:rFonts w:ascii="Tahoma" w:hAnsi="Tahoma" w:cs="Tahoma"/>
          <w:bCs/>
          <w:sz w:val="24"/>
          <w:szCs w:val="24"/>
        </w:rPr>
        <w:t>caracterizat printr-un trend descrescător al încasărilor ca urmare a modificărilor legislative din domeniul energiei și gazelor naturale (O.U.G. nr. 119/2022).</w:t>
      </w:r>
    </w:p>
    <w:p w:rsidR="00DC4955" w:rsidRPr="00216E39" w:rsidRDefault="00DC4955" w:rsidP="005B74EC">
      <w:pPr>
        <w:keepNext/>
        <w:keepLines/>
        <w:spacing w:after="120" w:line="276" w:lineRule="auto"/>
        <w:ind w:left="284" w:firstLine="0"/>
        <w:rPr>
          <w:rFonts w:ascii="Tahoma" w:hAnsi="Tahoma" w:cs="Tahoma"/>
          <w:sz w:val="24"/>
          <w:szCs w:val="24"/>
        </w:rPr>
      </w:pPr>
      <w:r w:rsidRPr="00216E39">
        <w:rPr>
          <w:rFonts w:ascii="Tahoma" w:hAnsi="Tahoma" w:cs="Tahoma"/>
          <w:b/>
          <w:sz w:val="24"/>
          <w:szCs w:val="24"/>
        </w:rPr>
        <w:t xml:space="preserve">Încasările din taxa pe utilizarea bunurilor, autorizarea utilizării bunurilor sau pe desfășurarea de activități </w:t>
      </w:r>
      <w:r w:rsidRPr="00216E39">
        <w:rPr>
          <w:rFonts w:ascii="Tahoma" w:hAnsi="Tahoma" w:cs="Tahoma"/>
          <w:sz w:val="24"/>
          <w:szCs w:val="24"/>
        </w:rPr>
        <w:t xml:space="preserve">au crescut comparativ cu încasările </w:t>
      </w:r>
      <w:r w:rsidR="00AA34D1" w:rsidRPr="00216E39">
        <w:rPr>
          <w:rFonts w:ascii="Tahoma" w:hAnsi="Tahoma" w:cs="Tahoma"/>
          <w:sz w:val="24"/>
          <w:szCs w:val="24"/>
        </w:rPr>
        <w:t xml:space="preserve">din </w:t>
      </w:r>
      <w:r w:rsidRPr="00216E39">
        <w:rPr>
          <w:rFonts w:ascii="Tahoma" w:hAnsi="Tahoma" w:cs="Tahoma"/>
          <w:sz w:val="24"/>
          <w:szCs w:val="24"/>
        </w:rPr>
        <w:t>semestrul I 202</w:t>
      </w:r>
      <w:r w:rsidR="00AA40BB" w:rsidRPr="00216E39">
        <w:rPr>
          <w:rFonts w:ascii="Tahoma" w:hAnsi="Tahoma" w:cs="Tahoma"/>
          <w:sz w:val="24"/>
          <w:szCs w:val="24"/>
        </w:rPr>
        <w:t>3</w:t>
      </w:r>
      <w:r w:rsidRPr="00216E39">
        <w:rPr>
          <w:rFonts w:ascii="Tahoma" w:hAnsi="Tahoma" w:cs="Tahoma"/>
          <w:sz w:val="24"/>
          <w:szCs w:val="24"/>
        </w:rPr>
        <w:t xml:space="preserve"> cu 0,</w:t>
      </w:r>
      <w:r w:rsidR="00AA40BB" w:rsidRPr="00216E39">
        <w:rPr>
          <w:rFonts w:ascii="Tahoma" w:hAnsi="Tahoma" w:cs="Tahoma"/>
          <w:sz w:val="24"/>
          <w:szCs w:val="24"/>
        </w:rPr>
        <w:t>49</w:t>
      </w:r>
      <w:r w:rsidRPr="00216E39">
        <w:rPr>
          <w:rFonts w:ascii="Tahoma" w:hAnsi="Tahoma" w:cs="Tahoma"/>
          <w:sz w:val="24"/>
          <w:szCs w:val="24"/>
        </w:rPr>
        <w:t xml:space="preserve"> miliarde </w:t>
      </w:r>
      <w:r w:rsidR="003A634F" w:rsidRPr="00216E39">
        <w:rPr>
          <w:rFonts w:ascii="Tahoma" w:hAnsi="Tahoma" w:cs="Tahoma"/>
          <w:sz w:val="24"/>
          <w:szCs w:val="24"/>
        </w:rPr>
        <w:t>lei</w:t>
      </w:r>
      <w:r w:rsidR="00FD1630" w:rsidRPr="00216E39">
        <w:rPr>
          <w:rFonts w:ascii="Tahoma" w:hAnsi="Tahoma" w:cs="Tahoma"/>
          <w:sz w:val="24"/>
          <w:szCs w:val="24"/>
        </w:rPr>
        <w:t xml:space="preserve"> </w:t>
      </w:r>
      <w:r w:rsidRPr="00216E39">
        <w:rPr>
          <w:rFonts w:ascii="Tahoma" w:hAnsi="Tahoma" w:cs="Tahoma"/>
          <w:sz w:val="24"/>
          <w:szCs w:val="24"/>
        </w:rPr>
        <w:t>(+</w:t>
      </w:r>
      <w:r w:rsidR="002550E8" w:rsidRPr="00216E39">
        <w:rPr>
          <w:rFonts w:ascii="Tahoma" w:hAnsi="Tahoma" w:cs="Tahoma"/>
          <w:sz w:val="24"/>
          <w:szCs w:val="24"/>
        </w:rPr>
        <w:t>12,3</w:t>
      </w:r>
      <w:r w:rsidRPr="00216E39">
        <w:rPr>
          <w:rFonts w:ascii="Tahoma" w:hAnsi="Tahoma" w:cs="Tahoma"/>
          <w:sz w:val="24"/>
          <w:szCs w:val="24"/>
        </w:rPr>
        <w:t xml:space="preserve">%), gradul de realizare al programului trimestrial fiind de </w:t>
      </w:r>
      <w:r w:rsidR="002550E8" w:rsidRPr="00216E39">
        <w:rPr>
          <w:rFonts w:ascii="Tahoma" w:hAnsi="Tahoma" w:cs="Tahoma"/>
          <w:sz w:val="24"/>
          <w:szCs w:val="24"/>
        </w:rPr>
        <w:t>99,6</w:t>
      </w:r>
      <w:r w:rsidRPr="00216E39">
        <w:rPr>
          <w:rFonts w:ascii="Tahoma" w:hAnsi="Tahoma" w:cs="Tahoma"/>
          <w:sz w:val="24"/>
          <w:szCs w:val="24"/>
        </w:rPr>
        <w:t>%.</w:t>
      </w:r>
    </w:p>
    <w:p w:rsidR="005B74EC" w:rsidRPr="00216E39" w:rsidRDefault="00DC4955" w:rsidP="005B74EC">
      <w:pPr>
        <w:autoSpaceDE w:val="0"/>
        <w:autoSpaceDN w:val="0"/>
        <w:adjustRightInd w:val="0"/>
        <w:spacing w:line="276" w:lineRule="auto"/>
        <w:ind w:left="284" w:firstLine="0"/>
        <w:rPr>
          <w:rFonts w:ascii="Tahoma" w:hAnsi="Tahoma" w:cs="Tahoma"/>
          <w:bCs/>
          <w:sz w:val="24"/>
          <w:szCs w:val="24"/>
        </w:rPr>
      </w:pPr>
      <w:r w:rsidRPr="00216E39">
        <w:rPr>
          <w:rFonts w:ascii="Tahoma" w:hAnsi="Tahoma" w:cs="Tahoma"/>
          <w:sz w:val="24"/>
          <w:szCs w:val="24"/>
        </w:rPr>
        <w:t xml:space="preserve">Evoluția încasărilor din </w:t>
      </w:r>
      <w:r w:rsidRPr="00216E39">
        <w:rPr>
          <w:rFonts w:ascii="Tahoma" w:eastAsia="Calibri" w:hAnsi="Tahoma" w:cs="Tahoma"/>
          <w:sz w:val="24"/>
          <w:szCs w:val="24"/>
        </w:rPr>
        <w:t>taxele pe utilizarea bunurilor, autorizarea utilizării bunurilor sau pe desfășurarea de activități</w:t>
      </w:r>
      <w:r w:rsidRPr="00216E39">
        <w:rPr>
          <w:rFonts w:ascii="Tahoma" w:hAnsi="Tahoma" w:cs="Tahoma"/>
          <w:sz w:val="24"/>
          <w:szCs w:val="24"/>
        </w:rPr>
        <w:t xml:space="preserve"> s-a datorat în principal creșterii înregistrate la bugetul de stat (+</w:t>
      </w:r>
      <w:r w:rsidR="006E29DF" w:rsidRPr="00216E39">
        <w:rPr>
          <w:rFonts w:ascii="Tahoma" w:hAnsi="Tahoma" w:cs="Tahoma"/>
          <w:sz w:val="24"/>
          <w:szCs w:val="24"/>
        </w:rPr>
        <w:t>11,5</w:t>
      </w:r>
      <w:r w:rsidRPr="00216E39">
        <w:rPr>
          <w:rFonts w:ascii="Tahoma" w:hAnsi="Tahoma" w:cs="Tahoma"/>
          <w:sz w:val="24"/>
          <w:szCs w:val="24"/>
        </w:rPr>
        <w:t xml:space="preserve">%) </w:t>
      </w:r>
      <w:r w:rsidR="00330AE1" w:rsidRPr="00216E39">
        <w:rPr>
          <w:rFonts w:ascii="Tahoma" w:eastAsia="Calibri" w:hAnsi="Tahoma" w:cs="Tahoma"/>
          <w:kern w:val="1"/>
          <w:sz w:val="24"/>
          <w:szCs w:val="24"/>
        </w:rPr>
        <w:t xml:space="preserve">pe seama majorării veniturilor din taxele pentru jocurile de </w:t>
      </w:r>
      <w:r w:rsidR="006E29DF" w:rsidRPr="00216E39">
        <w:rPr>
          <w:rFonts w:ascii="Tahoma" w:eastAsia="Calibri" w:hAnsi="Tahoma" w:cs="Tahoma"/>
          <w:bCs/>
          <w:kern w:val="1"/>
          <w:sz w:val="24"/>
          <w:szCs w:val="24"/>
        </w:rPr>
        <w:t>noroc</w:t>
      </w:r>
      <w:r w:rsidR="006E29DF" w:rsidRPr="00216E39">
        <w:rPr>
          <w:rFonts w:ascii="Tahoma" w:eastAsia="Calibri" w:hAnsi="Tahoma" w:cs="Tahoma"/>
          <w:bCs/>
          <w:kern w:val="1"/>
          <w:sz w:val="24"/>
          <w:szCs w:val="24"/>
          <w:vertAlign w:val="superscript"/>
        </w:rPr>
        <w:footnoteReference w:id="12"/>
      </w:r>
      <w:r w:rsidR="00330AE1" w:rsidRPr="00216E39">
        <w:rPr>
          <w:rFonts w:ascii="Tahoma" w:eastAsia="Calibri" w:hAnsi="Tahoma" w:cs="Tahoma"/>
          <w:kern w:val="1"/>
          <w:sz w:val="24"/>
          <w:szCs w:val="24"/>
        </w:rPr>
        <w:t xml:space="preserve"> (+0,</w:t>
      </w:r>
      <w:r w:rsidR="006E29DF" w:rsidRPr="00216E39">
        <w:rPr>
          <w:rFonts w:ascii="Tahoma" w:eastAsia="Calibri" w:hAnsi="Tahoma" w:cs="Tahoma"/>
          <w:kern w:val="1"/>
          <w:sz w:val="24"/>
          <w:szCs w:val="24"/>
        </w:rPr>
        <w:t>3</w:t>
      </w:r>
      <w:r w:rsidR="00330AE1" w:rsidRPr="00216E39">
        <w:rPr>
          <w:rFonts w:ascii="Tahoma" w:eastAsia="Calibri" w:hAnsi="Tahoma" w:cs="Tahoma"/>
          <w:kern w:val="1"/>
          <w:sz w:val="24"/>
          <w:szCs w:val="24"/>
        </w:rPr>
        <w:t xml:space="preserve"> miliarde </w:t>
      </w:r>
      <w:r w:rsidR="003A634F" w:rsidRPr="00216E39">
        <w:rPr>
          <w:rFonts w:ascii="Tahoma" w:eastAsia="Calibri" w:hAnsi="Tahoma" w:cs="Tahoma"/>
          <w:kern w:val="1"/>
          <w:sz w:val="24"/>
          <w:szCs w:val="24"/>
        </w:rPr>
        <w:t>lei</w:t>
      </w:r>
      <w:r w:rsidR="005B74EC" w:rsidRPr="00216E39">
        <w:rPr>
          <w:rFonts w:ascii="Tahoma" w:eastAsia="Calibri" w:hAnsi="Tahoma" w:cs="Tahoma"/>
          <w:kern w:val="1"/>
          <w:sz w:val="24"/>
          <w:szCs w:val="24"/>
        </w:rPr>
        <w:t>)</w:t>
      </w:r>
      <w:r w:rsidR="00330AE1" w:rsidRPr="00216E39">
        <w:rPr>
          <w:rFonts w:ascii="Tahoma" w:eastAsia="Calibri" w:hAnsi="Tahoma" w:cs="Tahoma"/>
          <w:kern w:val="1"/>
          <w:sz w:val="24"/>
          <w:szCs w:val="24"/>
        </w:rPr>
        <w:t xml:space="preserve">, </w:t>
      </w:r>
      <w:r w:rsidR="005B74EC" w:rsidRPr="00216E39">
        <w:rPr>
          <w:rFonts w:ascii="Tahoma" w:hAnsi="Tahoma" w:cs="Tahoma"/>
          <w:bCs/>
          <w:sz w:val="24"/>
          <w:szCs w:val="24"/>
        </w:rPr>
        <w:t xml:space="preserve">în condițiile unor majorări de taxe aprobate prin </w:t>
      </w:r>
      <w:r w:rsidR="006E29DF" w:rsidRPr="00216E39">
        <w:rPr>
          <w:rFonts w:ascii="Tahoma" w:hAnsi="Tahoma" w:cs="Tahoma"/>
          <w:bCs/>
          <w:sz w:val="24"/>
          <w:szCs w:val="24"/>
        </w:rPr>
        <w:t>O.U.G nr. 82/2023</w:t>
      </w:r>
      <w:r w:rsidR="006E29DF" w:rsidRPr="00216E39">
        <w:rPr>
          <w:rFonts w:ascii="Tahoma" w:hAnsi="Tahoma" w:cs="Tahoma"/>
          <w:bCs/>
          <w:sz w:val="24"/>
          <w:szCs w:val="24"/>
          <w:vertAlign w:val="superscript"/>
        </w:rPr>
        <w:footnoteReference w:id="13"/>
      </w:r>
      <w:r w:rsidR="004F622D" w:rsidRPr="00216E39">
        <w:rPr>
          <w:rFonts w:ascii="Tahoma" w:hAnsi="Tahoma" w:cs="Tahoma"/>
          <w:bCs/>
          <w:sz w:val="24"/>
          <w:szCs w:val="24"/>
        </w:rPr>
        <w:t xml:space="preserve"> dar și</w:t>
      </w:r>
      <w:r w:rsidR="006E29DF" w:rsidRPr="00216E39">
        <w:rPr>
          <w:rFonts w:ascii="Tahoma" w:hAnsi="Tahoma" w:cs="Tahoma"/>
          <w:bCs/>
          <w:sz w:val="24"/>
          <w:szCs w:val="24"/>
        </w:rPr>
        <w:t xml:space="preserve"> la bugetele locale</w:t>
      </w:r>
      <w:r w:rsidR="004F622D" w:rsidRPr="00216E39">
        <w:rPr>
          <w:rFonts w:ascii="Tahoma" w:hAnsi="Tahoma" w:cs="Tahoma"/>
          <w:bCs/>
          <w:sz w:val="24"/>
          <w:szCs w:val="24"/>
        </w:rPr>
        <w:t>,</w:t>
      </w:r>
      <w:r w:rsidR="006E29DF" w:rsidRPr="00216E39">
        <w:rPr>
          <w:rFonts w:ascii="Tahoma" w:hAnsi="Tahoma" w:cs="Tahoma"/>
          <w:bCs/>
          <w:sz w:val="24"/>
          <w:szCs w:val="24"/>
        </w:rPr>
        <w:t xml:space="preserve"> pe seama evoluției încasărilor din impozitele pe mijloacele de transport</w:t>
      </w:r>
      <w:r w:rsidR="005B74EC" w:rsidRPr="00216E39">
        <w:rPr>
          <w:rFonts w:ascii="Tahoma" w:hAnsi="Tahoma" w:cs="Tahoma"/>
          <w:bCs/>
          <w:sz w:val="24"/>
          <w:szCs w:val="24"/>
        </w:rPr>
        <w:t xml:space="preserve">. </w:t>
      </w:r>
    </w:p>
    <w:p w:rsidR="004D0ED6" w:rsidRPr="00216E39" w:rsidRDefault="004D6D76" w:rsidP="004D0ED6">
      <w:pPr>
        <w:autoSpaceDE w:val="0"/>
        <w:autoSpaceDN w:val="0"/>
        <w:adjustRightInd w:val="0"/>
        <w:spacing w:line="276" w:lineRule="auto"/>
        <w:ind w:left="284" w:firstLine="0"/>
        <w:rPr>
          <w:rFonts w:ascii="Tahoma" w:hAnsi="Tahoma" w:cs="Tahoma"/>
          <w:bCs/>
          <w:sz w:val="24"/>
          <w:szCs w:val="24"/>
        </w:rPr>
      </w:pPr>
      <w:r w:rsidRPr="00216E39">
        <w:rPr>
          <w:rFonts w:ascii="Tahoma" w:hAnsi="Tahoma" w:cs="Tahoma"/>
          <w:b/>
          <w:sz w:val="24"/>
          <w:szCs w:val="24"/>
        </w:rPr>
        <w:t>Încasările din</w:t>
      </w:r>
      <w:r w:rsidR="00182ADA" w:rsidRPr="00216E39">
        <w:rPr>
          <w:rFonts w:ascii="Tahoma" w:hAnsi="Tahoma" w:cs="Tahoma"/>
          <w:b/>
          <w:sz w:val="24"/>
          <w:szCs w:val="24"/>
        </w:rPr>
        <w:t xml:space="preserve"> </w:t>
      </w:r>
      <w:r w:rsidRPr="00216E39">
        <w:rPr>
          <w:rFonts w:ascii="Tahoma" w:hAnsi="Tahoma" w:cs="Tahoma"/>
          <w:b/>
          <w:sz w:val="24"/>
          <w:szCs w:val="24"/>
        </w:rPr>
        <w:t xml:space="preserve">impozitul pe comerțul exterior </w:t>
      </w:r>
      <w:r w:rsidR="006E1E76" w:rsidRPr="00216E39">
        <w:rPr>
          <w:rFonts w:ascii="Tahoma" w:hAnsi="Tahoma" w:cs="Tahoma"/>
          <w:b/>
          <w:sz w:val="24"/>
          <w:szCs w:val="24"/>
        </w:rPr>
        <w:t>și</w:t>
      </w:r>
      <w:r w:rsidRPr="00216E39">
        <w:rPr>
          <w:rFonts w:ascii="Tahoma" w:hAnsi="Tahoma" w:cs="Tahoma"/>
          <w:b/>
          <w:sz w:val="24"/>
          <w:szCs w:val="24"/>
        </w:rPr>
        <w:t xml:space="preserve"> tranzacțiile internaționale</w:t>
      </w:r>
      <w:r w:rsidR="00182ADA" w:rsidRPr="00216E39">
        <w:rPr>
          <w:rFonts w:ascii="Tahoma" w:hAnsi="Tahoma" w:cs="Tahoma"/>
          <w:b/>
          <w:sz w:val="24"/>
          <w:szCs w:val="24"/>
        </w:rPr>
        <w:t xml:space="preserve"> </w:t>
      </w:r>
      <w:r w:rsidR="004D0ED6" w:rsidRPr="00216E39">
        <w:rPr>
          <w:rFonts w:ascii="Tahoma" w:hAnsi="Tahoma" w:cs="Tahoma"/>
          <w:bCs/>
          <w:sz w:val="24"/>
          <w:szCs w:val="24"/>
        </w:rPr>
        <w:t>în valoare de 0,</w:t>
      </w:r>
      <w:r w:rsidR="002550E8" w:rsidRPr="00216E39">
        <w:rPr>
          <w:rFonts w:ascii="Tahoma" w:hAnsi="Tahoma" w:cs="Tahoma"/>
          <w:bCs/>
          <w:sz w:val="24"/>
          <w:szCs w:val="24"/>
        </w:rPr>
        <w:t>83</w:t>
      </w:r>
      <w:r w:rsidR="004D0ED6" w:rsidRPr="00216E39">
        <w:rPr>
          <w:rFonts w:ascii="Tahoma" w:hAnsi="Tahoma" w:cs="Tahoma"/>
          <w:bCs/>
          <w:sz w:val="24"/>
          <w:szCs w:val="24"/>
        </w:rPr>
        <w:t xml:space="preserve"> miliarde lei au înregistrat în perioada analizată o scădere cu </w:t>
      </w:r>
      <w:r w:rsidR="002550E8" w:rsidRPr="00216E39">
        <w:rPr>
          <w:rFonts w:ascii="Tahoma" w:hAnsi="Tahoma" w:cs="Tahoma"/>
          <w:bCs/>
          <w:sz w:val="24"/>
          <w:szCs w:val="24"/>
        </w:rPr>
        <w:t>4,5</w:t>
      </w:r>
      <w:r w:rsidR="004D0ED6" w:rsidRPr="00216E39">
        <w:rPr>
          <w:rFonts w:ascii="Tahoma" w:hAnsi="Tahoma" w:cs="Tahoma"/>
          <w:bCs/>
          <w:sz w:val="24"/>
          <w:szCs w:val="24"/>
        </w:rPr>
        <w:t>% (-0,</w:t>
      </w:r>
      <w:r w:rsidR="002550E8" w:rsidRPr="00216E39">
        <w:rPr>
          <w:rFonts w:ascii="Tahoma" w:hAnsi="Tahoma" w:cs="Tahoma"/>
          <w:bCs/>
          <w:sz w:val="24"/>
          <w:szCs w:val="24"/>
        </w:rPr>
        <w:t>04</w:t>
      </w:r>
      <w:r w:rsidR="004D0ED6" w:rsidRPr="00216E39">
        <w:rPr>
          <w:rFonts w:ascii="Tahoma" w:hAnsi="Tahoma" w:cs="Tahoma"/>
          <w:bCs/>
          <w:sz w:val="24"/>
          <w:szCs w:val="24"/>
        </w:rPr>
        <w:t xml:space="preserve"> miliarde lei), comparativ cu aceeași perioadă a anului 202</w:t>
      </w:r>
      <w:r w:rsidR="002550E8" w:rsidRPr="00216E39">
        <w:rPr>
          <w:rFonts w:ascii="Tahoma" w:hAnsi="Tahoma" w:cs="Tahoma"/>
          <w:bCs/>
          <w:sz w:val="24"/>
          <w:szCs w:val="24"/>
        </w:rPr>
        <w:t>3</w:t>
      </w:r>
      <w:r w:rsidR="004D0ED6" w:rsidRPr="00216E39">
        <w:rPr>
          <w:rFonts w:ascii="Tahoma" w:hAnsi="Tahoma" w:cs="Tahoma"/>
          <w:bCs/>
          <w:sz w:val="24"/>
          <w:szCs w:val="24"/>
        </w:rPr>
        <w:t>, în condițiile unei scăderi</w:t>
      </w:r>
      <w:r w:rsidR="004D0ED6" w:rsidRPr="00216E39">
        <w:rPr>
          <w:rFonts w:ascii="Tahoma" w:hAnsi="Tahoma" w:cs="Tahoma"/>
          <w:sz w:val="24"/>
          <w:szCs w:val="24"/>
        </w:rPr>
        <w:t xml:space="preserve"> a importurilor (Extra-UE27)</w:t>
      </w:r>
      <w:r w:rsidR="004D0ED6" w:rsidRPr="00216E39">
        <w:rPr>
          <w:rFonts w:ascii="Tahoma" w:hAnsi="Tahoma" w:cs="Tahoma"/>
          <w:bCs/>
          <w:sz w:val="24"/>
          <w:szCs w:val="24"/>
        </w:rPr>
        <w:t xml:space="preserve"> </w:t>
      </w:r>
      <w:r w:rsidR="003407EC" w:rsidRPr="00216E39">
        <w:rPr>
          <w:rFonts w:ascii="Tahoma" w:hAnsi="Tahoma" w:cs="Tahoma"/>
          <w:sz w:val="24"/>
          <w:szCs w:val="24"/>
        </w:rPr>
        <w:t>cu 1,2</w:t>
      </w:r>
      <w:r w:rsidR="004D0ED6" w:rsidRPr="00216E39">
        <w:rPr>
          <w:rFonts w:ascii="Tahoma" w:hAnsi="Tahoma" w:cs="Tahoma"/>
          <w:sz w:val="24"/>
          <w:szCs w:val="24"/>
        </w:rPr>
        <w:t>%</w:t>
      </w:r>
      <w:r w:rsidR="004D0ED6" w:rsidRPr="00216E39">
        <w:rPr>
          <w:rFonts w:ascii="Tahoma" w:hAnsi="Tahoma" w:cs="Tahoma"/>
          <w:sz w:val="24"/>
          <w:szCs w:val="24"/>
          <w:vertAlign w:val="superscript"/>
        </w:rPr>
        <w:footnoteReference w:id="14"/>
      </w:r>
      <w:r w:rsidR="004D0ED6" w:rsidRPr="00216E39">
        <w:rPr>
          <w:rFonts w:ascii="Tahoma" w:hAnsi="Tahoma" w:cs="Tahoma"/>
          <w:bCs/>
          <w:sz w:val="24"/>
          <w:szCs w:val="24"/>
        </w:rPr>
        <w:t xml:space="preserve">. Gradul de realizare al acestor venituri este de </w:t>
      </w:r>
      <w:r w:rsidR="002550E8" w:rsidRPr="00216E39">
        <w:rPr>
          <w:rFonts w:ascii="Tahoma" w:hAnsi="Tahoma" w:cs="Tahoma"/>
          <w:bCs/>
          <w:sz w:val="24"/>
          <w:szCs w:val="24"/>
        </w:rPr>
        <w:t>89,1</w:t>
      </w:r>
      <w:r w:rsidR="004D0ED6" w:rsidRPr="00216E39">
        <w:rPr>
          <w:rFonts w:ascii="Tahoma" w:hAnsi="Tahoma" w:cs="Tahoma"/>
          <w:bCs/>
          <w:sz w:val="24"/>
          <w:szCs w:val="24"/>
        </w:rPr>
        <w:t>% (-0,</w:t>
      </w:r>
      <w:r w:rsidR="002550E8" w:rsidRPr="00216E39">
        <w:rPr>
          <w:rFonts w:ascii="Tahoma" w:hAnsi="Tahoma" w:cs="Tahoma"/>
          <w:bCs/>
          <w:sz w:val="24"/>
          <w:szCs w:val="24"/>
        </w:rPr>
        <w:t>1</w:t>
      </w:r>
      <w:r w:rsidR="004D0ED6" w:rsidRPr="00216E39">
        <w:rPr>
          <w:rFonts w:ascii="Tahoma" w:hAnsi="Tahoma" w:cs="Tahoma"/>
          <w:bCs/>
          <w:sz w:val="24"/>
          <w:szCs w:val="24"/>
        </w:rPr>
        <w:t xml:space="preserve"> miliarde lei).</w:t>
      </w:r>
    </w:p>
    <w:p w:rsidR="003407EC" w:rsidRPr="00216E39" w:rsidRDefault="00B541BA" w:rsidP="003407EC">
      <w:pPr>
        <w:autoSpaceDE w:val="0"/>
        <w:autoSpaceDN w:val="0"/>
        <w:adjustRightInd w:val="0"/>
        <w:spacing w:after="120" w:line="276" w:lineRule="auto"/>
        <w:ind w:firstLine="0"/>
        <w:rPr>
          <w:rFonts w:ascii="Tahoma" w:eastAsia="Calibri" w:hAnsi="Tahoma" w:cs="Tahoma"/>
          <w:sz w:val="24"/>
          <w:szCs w:val="24"/>
        </w:rPr>
      </w:pPr>
      <w:r w:rsidRPr="00216E39">
        <w:rPr>
          <w:rFonts w:ascii="Tahoma" w:eastAsia="Calibri" w:hAnsi="Tahoma" w:cs="Tahoma"/>
          <w:b/>
          <w:sz w:val="24"/>
          <w:szCs w:val="24"/>
        </w:rPr>
        <w:t>Contribuțiile sociale</w:t>
      </w:r>
      <w:r w:rsidRPr="00216E39">
        <w:rPr>
          <w:rFonts w:ascii="Tahoma" w:eastAsia="Calibri" w:hAnsi="Tahoma" w:cs="Tahoma"/>
          <w:sz w:val="24"/>
          <w:szCs w:val="24"/>
        </w:rPr>
        <w:t xml:space="preserve"> realizate în semestrul I al anului 202</w:t>
      </w:r>
      <w:r w:rsidR="002550E8" w:rsidRPr="00216E39">
        <w:rPr>
          <w:rFonts w:ascii="Tahoma" w:eastAsia="Calibri" w:hAnsi="Tahoma" w:cs="Tahoma"/>
          <w:sz w:val="24"/>
          <w:szCs w:val="24"/>
        </w:rPr>
        <w:t>4</w:t>
      </w:r>
      <w:r w:rsidRPr="00216E39">
        <w:rPr>
          <w:rFonts w:ascii="Tahoma" w:eastAsia="Calibri" w:hAnsi="Tahoma" w:cs="Tahoma"/>
          <w:sz w:val="24"/>
          <w:szCs w:val="24"/>
        </w:rPr>
        <w:t xml:space="preserve"> în sumă de </w:t>
      </w:r>
      <w:r w:rsidR="002550E8" w:rsidRPr="00216E39">
        <w:rPr>
          <w:rFonts w:ascii="Tahoma" w:eastAsia="Calibri" w:hAnsi="Tahoma" w:cs="Tahoma"/>
          <w:sz w:val="24"/>
          <w:szCs w:val="24"/>
        </w:rPr>
        <w:t>92,75</w:t>
      </w:r>
      <w:r w:rsidR="00A7299C" w:rsidRPr="00216E39">
        <w:rPr>
          <w:rFonts w:ascii="Tahoma" w:eastAsia="Calibri" w:hAnsi="Tahoma" w:cs="Tahoma"/>
          <w:sz w:val="24"/>
          <w:szCs w:val="24"/>
        </w:rPr>
        <w:t xml:space="preserve"> miliarde </w:t>
      </w:r>
      <w:r w:rsidR="003A634F" w:rsidRPr="00216E39">
        <w:rPr>
          <w:rFonts w:ascii="Tahoma" w:eastAsia="Calibri" w:hAnsi="Tahoma" w:cs="Tahoma"/>
          <w:sz w:val="24"/>
          <w:szCs w:val="24"/>
        </w:rPr>
        <w:t>lei</w:t>
      </w:r>
      <w:r w:rsidR="00C77CAD" w:rsidRPr="00216E39">
        <w:rPr>
          <w:rFonts w:ascii="Tahoma" w:eastAsia="Calibri" w:hAnsi="Tahoma" w:cs="Tahoma"/>
          <w:sz w:val="24"/>
          <w:szCs w:val="24"/>
        </w:rPr>
        <w:t xml:space="preserve"> </w:t>
      </w:r>
      <w:r w:rsidR="004D0ED6" w:rsidRPr="00216E39">
        <w:rPr>
          <w:rFonts w:ascii="Tahoma" w:eastAsia="Calibri" w:hAnsi="Tahoma" w:cs="Tahoma"/>
          <w:sz w:val="24"/>
          <w:szCs w:val="24"/>
        </w:rPr>
        <w:t xml:space="preserve">înregistrează, comparativ cu aceeași perioadă a anului precedent, o creștere de </w:t>
      </w:r>
      <w:r w:rsidR="002550E8" w:rsidRPr="00216E39">
        <w:rPr>
          <w:rFonts w:ascii="Tahoma" w:eastAsia="Calibri" w:hAnsi="Tahoma" w:cs="Tahoma"/>
          <w:sz w:val="24"/>
          <w:szCs w:val="24"/>
        </w:rPr>
        <w:t>20,8</w:t>
      </w:r>
      <w:r w:rsidR="004D0ED6" w:rsidRPr="00216E39">
        <w:rPr>
          <w:rFonts w:ascii="Tahoma" w:eastAsia="Calibri" w:hAnsi="Tahoma" w:cs="Tahoma"/>
          <w:sz w:val="24"/>
          <w:szCs w:val="24"/>
        </w:rPr>
        <w:t>% (+</w:t>
      </w:r>
      <w:r w:rsidR="002550E8" w:rsidRPr="00216E39">
        <w:rPr>
          <w:rFonts w:ascii="Tahoma" w:eastAsia="Calibri" w:hAnsi="Tahoma" w:cs="Tahoma"/>
          <w:sz w:val="24"/>
          <w:szCs w:val="24"/>
        </w:rPr>
        <w:t>16,00</w:t>
      </w:r>
      <w:r w:rsidR="004D0ED6" w:rsidRPr="00216E39">
        <w:rPr>
          <w:rFonts w:ascii="Tahoma" w:eastAsia="Calibri" w:hAnsi="Tahoma" w:cs="Tahoma"/>
          <w:sz w:val="24"/>
          <w:szCs w:val="24"/>
        </w:rPr>
        <w:t xml:space="preserve"> miliarde lei),</w:t>
      </w:r>
      <w:r w:rsidR="004D0ED6" w:rsidRPr="00216E39">
        <w:rPr>
          <w:rFonts w:ascii="Tahoma" w:eastAsia="Calibri" w:hAnsi="Tahoma" w:cs="Tahoma"/>
          <w:color w:val="FF0000"/>
          <w:sz w:val="24"/>
          <w:szCs w:val="24"/>
        </w:rPr>
        <w:t xml:space="preserve"> </w:t>
      </w:r>
      <w:r w:rsidR="003407EC" w:rsidRPr="00216E39">
        <w:rPr>
          <w:rFonts w:ascii="Tahoma" w:eastAsia="Calibri" w:hAnsi="Tahoma" w:cs="Tahoma"/>
          <w:sz w:val="24"/>
          <w:szCs w:val="24"/>
        </w:rPr>
        <w:t>superioară evoluției fondului brut de salarii la nivel de economie de 17,5%</w:t>
      </w:r>
      <w:r w:rsidR="003407EC" w:rsidRPr="00216E39">
        <w:rPr>
          <w:rFonts w:ascii="Tahoma" w:eastAsia="Calibri" w:hAnsi="Tahoma" w:cs="Tahoma"/>
          <w:sz w:val="24"/>
          <w:szCs w:val="24"/>
          <w:vertAlign w:val="superscript"/>
        </w:rPr>
        <w:footnoteReference w:id="15"/>
      </w:r>
      <w:r w:rsidR="003407EC" w:rsidRPr="00216E39">
        <w:rPr>
          <w:rFonts w:ascii="Tahoma" w:eastAsia="Calibri" w:hAnsi="Tahoma" w:cs="Tahoma"/>
          <w:sz w:val="24"/>
          <w:szCs w:val="24"/>
        </w:rPr>
        <w:t>,</w:t>
      </w:r>
      <w:r w:rsidR="004D0ED6" w:rsidRPr="00216E39">
        <w:rPr>
          <w:rFonts w:ascii="Tahoma" w:eastAsia="Calibri" w:hAnsi="Tahoma" w:cs="Tahoma"/>
          <w:sz w:val="24"/>
          <w:szCs w:val="24"/>
        </w:rPr>
        <w:t xml:space="preserve"> gradul de realizare a programului fiind de </w:t>
      </w:r>
      <w:r w:rsidR="002550E8" w:rsidRPr="00216E39">
        <w:rPr>
          <w:rFonts w:ascii="Tahoma" w:eastAsia="Calibri" w:hAnsi="Tahoma" w:cs="Tahoma"/>
          <w:sz w:val="24"/>
          <w:szCs w:val="24"/>
        </w:rPr>
        <w:t xml:space="preserve">103,7% (+3,32 </w:t>
      </w:r>
      <w:r w:rsidR="004D0ED6" w:rsidRPr="00216E39">
        <w:rPr>
          <w:rFonts w:ascii="Tahoma" w:eastAsia="Calibri" w:hAnsi="Tahoma" w:cs="Tahoma"/>
          <w:sz w:val="24"/>
          <w:szCs w:val="24"/>
        </w:rPr>
        <w:t>miliarde lei).</w:t>
      </w:r>
    </w:p>
    <w:p w:rsidR="003407EC" w:rsidRPr="00216E39" w:rsidRDefault="003407EC" w:rsidP="003407EC">
      <w:pPr>
        <w:autoSpaceDE w:val="0"/>
        <w:autoSpaceDN w:val="0"/>
        <w:adjustRightInd w:val="0"/>
        <w:spacing w:after="120" w:line="276" w:lineRule="auto"/>
        <w:ind w:firstLine="0"/>
        <w:rPr>
          <w:rFonts w:ascii="Tahoma" w:eastAsia="Calibri" w:hAnsi="Tahoma" w:cs="Tahoma"/>
          <w:sz w:val="24"/>
          <w:szCs w:val="24"/>
        </w:rPr>
      </w:pPr>
      <w:r w:rsidRPr="00216E39">
        <w:rPr>
          <w:rFonts w:ascii="Tahoma" w:eastAsia="Calibri" w:hAnsi="Tahoma" w:cs="Tahoma"/>
          <w:sz w:val="24"/>
          <w:szCs w:val="24"/>
        </w:rPr>
        <w:t xml:space="preserve">Evoluția încasărilor din contribuții sociale în perioada analizată a fost influențată pozitiv de modificarea reglementărilor privind facilitățile fiscale acordate salariaților din sectorul construcții, agricol, industria alimentară și </w:t>
      </w:r>
      <w:r w:rsidRPr="00216E39">
        <w:rPr>
          <w:rFonts w:ascii="Tahoma" w:eastAsia="Calibri" w:hAnsi="Tahoma" w:cs="Tahoma"/>
          <w:bCs/>
          <w:sz w:val="24"/>
          <w:szCs w:val="24"/>
        </w:rPr>
        <w:t xml:space="preserve">plata CASS pentru tichete de masă și vouchere de vacanță </w:t>
      </w:r>
      <w:r w:rsidRPr="00216E39">
        <w:rPr>
          <w:rFonts w:ascii="Tahoma" w:eastAsia="Calibri" w:hAnsi="Tahoma" w:cs="Tahoma"/>
          <w:sz w:val="24"/>
          <w:szCs w:val="24"/>
        </w:rPr>
        <w:t xml:space="preserve">(Legea nr. 296/2023), </w:t>
      </w:r>
      <w:r w:rsidRPr="00216E39">
        <w:rPr>
          <w:rFonts w:ascii="Tahoma" w:eastAsia="Calibri" w:hAnsi="Tahoma" w:cs="Tahoma"/>
          <w:bCs/>
          <w:sz w:val="24"/>
          <w:szCs w:val="24"/>
        </w:rPr>
        <w:t>majo</w:t>
      </w:r>
      <w:r w:rsidR="00AA34D1" w:rsidRPr="00216E39">
        <w:rPr>
          <w:rFonts w:ascii="Tahoma" w:eastAsia="Calibri" w:hAnsi="Tahoma" w:cs="Tahoma"/>
          <w:bCs/>
          <w:sz w:val="24"/>
          <w:szCs w:val="24"/>
        </w:rPr>
        <w:t>r</w:t>
      </w:r>
      <w:r w:rsidRPr="00216E39">
        <w:rPr>
          <w:rFonts w:ascii="Tahoma" w:eastAsia="Calibri" w:hAnsi="Tahoma" w:cs="Tahoma"/>
          <w:bCs/>
          <w:sz w:val="24"/>
          <w:szCs w:val="24"/>
        </w:rPr>
        <w:t xml:space="preserve">area salariului minim brut pe țară garantat în plată (H.G. nr. 900/2023) </w:t>
      </w:r>
      <w:r w:rsidRPr="00216E39">
        <w:rPr>
          <w:rFonts w:ascii="Tahoma" w:eastAsia="Calibri" w:hAnsi="Tahoma" w:cs="Tahoma"/>
          <w:sz w:val="24"/>
          <w:szCs w:val="24"/>
        </w:rPr>
        <w:t>și</w:t>
      </w:r>
      <w:r w:rsidRPr="00216E39">
        <w:rPr>
          <w:rFonts w:ascii="Tahoma" w:eastAsia="Calibri" w:hAnsi="Tahoma" w:cs="Tahoma"/>
          <w:bCs/>
          <w:sz w:val="24"/>
          <w:szCs w:val="24"/>
        </w:rPr>
        <w:t xml:space="preserve"> majorarea salariului minim brut pe ţară </w:t>
      </w:r>
      <w:r w:rsidRPr="00216E39">
        <w:rPr>
          <w:rFonts w:ascii="Tahoma" w:eastAsia="Calibri" w:hAnsi="Tahoma" w:cs="Tahoma"/>
          <w:bCs/>
          <w:sz w:val="24"/>
          <w:szCs w:val="24"/>
        </w:rPr>
        <w:lastRenderedPageBreak/>
        <w:t xml:space="preserve">garantat în plată pentru sectoarele construcţii, agricol şi industria alimentară ( O.U.G. nr. 93/2023), iar negativ de restituirea </w:t>
      </w:r>
      <w:r w:rsidRPr="00216E39">
        <w:rPr>
          <w:rFonts w:ascii="Tahoma" w:eastAsia="Calibri" w:hAnsi="Tahoma" w:cs="Tahoma"/>
          <w:sz w:val="24"/>
          <w:szCs w:val="24"/>
        </w:rPr>
        <w:t>sumelor reținute cu titlul de CASS din veniturile din pensii (efect bugetar de -0,14 miliarde lei, O.U.G. nr.  4/2023</w:t>
      </w:r>
      <w:r w:rsidRPr="00216E39">
        <w:rPr>
          <w:rFonts w:ascii="Tahoma" w:eastAsia="Calibri" w:hAnsi="Tahoma" w:cs="Tahoma"/>
          <w:sz w:val="24"/>
          <w:szCs w:val="24"/>
          <w:vertAlign w:val="superscript"/>
        </w:rPr>
        <w:footnoteReference w:id="16"/>
      </w:r>
      <w:r w:rsidRPr="00216E39">
        <w:rPr>
          <w:rFonts w:ascii="Tahoma" w:eastAsia="Calibri" w:hAnsi="Tahoma" w:cs="Tahoma"/>
          <w:sz w:val="24"/>
          <w:szCs w:val="24"/>
        </w:rPr>
        <w:t xml:space="preserve"> ).</w:t>
      </w:r>
    </w:p>
    <w:p w:rsidR="003407EC" w:rsidRPr="00216E39" w:rsidRDefault="003407EC" w:rsidP="003407EC">
      <w:pPr>
        <w:autoSpaceDE w:val="0"/>
        <w:autoSpaceDN w:val="0"/>
        <w:adjustRightInd w:val="0"/>
        <w:spacing w:after="120" w:line="276" w:lineRule="auto"/>
        <w:ind w:firstLine="0"/>
        <w:rPr>
          <w:rFonts w:ascii="Tahoma" w:eastAsia="Calibri" w:hAnsi="Tahoma" w:cs="Tahoma"/>
          <w:sz w:val="24"/>
          <w:szCs w:val="24"/>
        </w:rPr>
      </w:pPr>
      <w:r w:rsidRPr="00216E39">
        <w:rPr>
          <w:rFonts w:ascii="Tahoma" w:eastAsia="Calibri" w:hAnsi="Tahoma" w:cs="Tahoma"/>
          <w:sz w:val="24"/>
          <w:szCs w:val="24"/>
        </w:rPr>
        <w:t xml:space="preserve">Pe bugete, gradul de realizare a programului de încasări, se prezintă astfel: bugetul fondului național unic de asigurări sociale de sănătate (107,6%), bugetul de stat (102,5%), bugetul asigurărilor sociale de stat (101,9%) și bugetul asigurărilor pentru șomaj (100,6%). </w:t>
      </w:r>
    </w:p>
    <w:p w:rsidR="003407EC" w:rsidRPr="00216E39" w:rsidRDefault="003407EC" w:rsidP="003407EC">
      <w:pPr>
        <w:autoSpaceDE w:val="0"/>
        <w:autoSpaceDN w:val="0"/>
        <w:adjustRightInd w:val="0"/>
        <w:spacing w:after="120" w:line="276" w:lineRule="auto"/>
        <w:ind w:firstLine="0"/>
        <w:rPr>
          <w:rFonts w:ascii="Tahoma" w:eastAsia="Calibri" w:hAnsi="Tahoma" w:cs="Tahoma"/>
          <w:sz w:val="24"/>
          <w:szCs w:val="24"/>
        </w:rPr>
      </w:pPr>
      <w:r w:rsidRPr="00216E39">
        <w:rPr>
          <w:rFonts w:ascii="Tahoma" w:eastAsia="Calibri" w:hAnsi="Tahoma" w:cs="Tahoma"/>
          <w:sz w:val="24"/>
          <w:szCs w:val="24"/>
        </w:rPr>
        <w:t>Comparativ cu aceeași perioadă a anului precedent, evoluția veniturilor din contribuții sociale, pe bugete componente, se prezintă astfel: bugetul Fondului național unic de asigurări sociale de sănătate (+38,4%), bugetul de stat (+24,7%), bugetul asigur</w:t>
      </w:r>
      <w:r w:rsidR="004F622D" w:rsidRPr="00216E39">
        <w:rPr>
          <w:rFonts w:ascii="Tahoma" w:eastAsia="Calibri" w:hAnsi="Tahoma" w:cs="Tahoma"/>
          <w:sz w:val="24"/>
          <w:szCs w:val="24"/>
        </w:rPr>
        <w:t>ărilor sociale de stat (+13,9%)</w:t>
      </w:r>
      <w:r w:rsidRPr="00216E39">
        <w:rPr>
          <w:rFonts w:ascii="Tahoma" w:eastAsia="Calibri" w:hAnsi="Tahoma" w:cs="Tahoma"/>
          <w:sz w:val="24"/>
          <w:szCs w:val="24"/>
        </w:rPr>
        <w:t xml:space="preserve"> și bugetul asigurărilor pentru șomaj (-27,8%).</w:t>
      </w:r>
    </w:p>
    <w:p w:rsidR="00962D51" w:rsidRPr="00216E39" w:rsidRDefault="004D6D76" w:rsidP="00962D51">
      <w:pPr>
        <w:autoSpaceDE w:val="0"/>
        <w:autoSpaceDN w:val="0"/>
        <w:adjustRightInd w:val="0"/>
        <w:spacing w:line="276" w:lineRule="auto"/>
        <w:ind w:firstLine="0"/>
        <w:rPr>
          <w:rFonts w:ascii="Tahoma" w:hAnsi="Tahoma" w:cs="Tahoma"/>
          <w:sz w:val="24"/>
          <w:szCs w:val="24"/>
        </w:rPr>
      </w:pPr>
      <w:r w:rsidRPr="00216E39">
        <w:rPr>
          <w:rFonts w:ascii="Tahoma" w:hAnsi="Tahoma" w:cs="Tahoma"/>
          <w:b/>
          <w:bCs/>
          <w:sz w:val="24"/>
          <w:szCs w:val="24"/>
        </w:rPr>
        <w:t xml:space="preserve">Veniturile nefiscale </w:t>
      </w:r>
      <w:r w:rsidRPr="00216E39">
        <w:rPr>
          <w:rFonts w:ascii="Tahoma" w:hAnsi="Tahoma" w:cs="Tahoma"/>
          <w:sz w:val="24"/>
          <w:szCs w:val="24"/>
        </w:rPr>
        <w:t>încasate în primul semestru al anului 20</w:t>
      </w:r>
      <w:r w:rsidR="00B623BF" w:rsidRPr="00216E39">
        <w:rPr>
          <w:rFonts w:ascii="Tahoma" w:hAnsi="Tahoma" w:cs="Tahoma"/>
          <w:sz w:val="24"/>
          <w:szCs w:val="24"/>
        </w:rPr>
        <w:t>2</w:t>
      </w:r>
      <w:r w:rsidR="002550E8" w:rsidRPr="00216E39">
        <w:rPr>
          <w:rFonts w:ascii="Tahoma" w:hAnsi="Tahoma" w:cs="Tahoma"/>
          <w:sz w:val="24"/>
          <w:szCs w:val="24"/>
        </w:rPr>
        <w:t>4</w:t>
      </w:r>
      <w:r w:rsidRPr="00216E39">
        <w:rPr>
          <w:rFonts w:ascii="Tahoma" w:hAnsi="Tahoma" w:cs="Tahoma"/>
          <w:sz w:val="24"/>
          <w:szCs w:val="24"/>
        </w:rPr>
        <w:t xml:space="preserve"> au totalizat </w:t>
      </w:r>
      <w:r w:rsidR="002550E8" w:rsidRPr="00216E39">
        <w:rPr>
          <w:rFonts w:ascii="Tahoma" w:hAnsi="Tahoma" w:cs="Tahoma"/>
          <w:sz w:val="24"/>
          <w:szCs w:val="24"/>
        </w:rPr>
        <w:t>26,6</w:t>
      </w:r>
      <w:r w:rsidR="006352C3" w:rsidRPr="00216E39">
        <w:rPr>
          <w:rFonts w:ascii="Tahoma" w:hAnsi="Tahoma" w:cs="Tahoma"/>
          <w:sz w:val="24"/>
          <w:szCs w:val="24"/>
        </w:rPr>
        <w:t>4</w:t>
      </w:r>
      <w:r w:rsidR="00A35B54" w:rsidRPr="00216E39">
        <w:rPr>
          <w:rFonts w:ascii="Tahoma" w:hAnsi="Tahoma" w:cs="Tahoma"/>
          <w:sz w:val="24"/>
          <w:szCs w:val="24"/>
        </w:rPr>
        <w:t xml:space="preserve"> miliarde</w:t>
      </w:r>
      <w:r w:rsidRPr="00216E39">
        <w:rPr>
          <w:rFonts w:ascii="Tahoma" w:hAnsi="Tahoma" w:cs="Tahoma"/>
          <w:sz w:val="24"/>
          <w:szCs w:val="24"/>
        </w:rPr>
        <w:t xml:space="preserve"> </w:t>
      </w:r>
      <w:r w:rsidR="003A634F" w:rsidRPr="00216E39">
        <w:rPr>
          <w:rFonts w:ascii="Tahoma" w:hAnsi="Tahoma" w:cs="Tahoma"/>
          <w:sz w:val="24"/>
          <w:szCs w:val="24"/>
        </w:rPr>
        <w:t>lei</w:t>
      </w:r>
      <w:r w:rsidRPr="00216E39">
        <w:rPr>
          <w:rFonts w:ascii="Tahoma" w:hAnsi="Tahoma" w:cs="Tahoma"/>
          <w:sz w:val="24"/>
          <w:szCs w:val="24"/>
        </w:rPr>
        <w:t xml:space="preserve"> (1,</w:t>
      </w:r>
      <w:r w:rsidR="002550E8" w:rsidRPr="00216E39">
        <w:rPr>
          <w:rFonts w:ascii="Tahoma" w:hAnsi="Tahoma" w:cs="Tahoma"/>
          <w:sz w:val="24"/>
          <w:szCs w:val="24"/>
        </w:rPr>
        <w:t>5</w:t>
      </w:r>
      <w:r w:rsidRPr="00216E39">
        <w:rPr>
          <w:rFonts w:ascii="Tahoma" w:hAnsi="Tahoma" w:cs="Tahoma"/>
          <w:sz w:val="24"/>
          <w:szCs w:val="24"/>
        </w:rPr>
        <w:t xml:space="preserve">% din PIB), </w:t>
      </w:r>
      <w:r w:rsidR="004D0ED6" w:rsidRPr="00216E39">
        <w:rPr>
          <w:rFonts w:ascii="Tahoma" w:hAnsi="Tahoma" w:cs="Tahoma"/>
          <w:sz w:val="24"/>
          <w:szCs w:val="24"/>
        </w:rPr>
        <w:t xml:space="preserve">cu </w:t>
      </w:r>
      <w:r w:rsidR="002550E8" w:rsidRPr="00216E39">
        <w:rPr>
          <w:rFonts w:ascii="Tahoma" w:hAnsi="Tahoma" w:cs="Tahoma"/>
          <w:sz w:val="24"/>
          <w:szCs w:val="24"/>
        </w:rPr>
        <w:t>19,</w:t>
      </w:r>
      <w:r w:rsidR="006352C3" w:rsidRPr="00216E39">
        <w:rPr>
          <w:rFonts w:ascii="Tahoma" w:hAnsi="Tahoma" w:cs="Tahoma"/>
          <w:sz w:val="24"/>
          <w:szCs w:val="24"/>
        </w:rPr>
        <w:t>5</w:t>
      </w:r>
      <w:r w:rsidR="004D0ED6" w:rsidRPr="00216E39">
        <w:rPr>
          <w:rFonts w:ascii="Tahoma" w:hAnsi="Tahoma" w:cs="Tahoma"/>
          <w:sz w:val="24"/>
          <w:szCs w:val="24"/>
        </w:rPr>
        <w:t>% mai mari comparativ cu încasările semestrul I 202</w:t>
      </w:r>
      <w:r w:rsidR="002550E8" w:rsidRPr="00216E39">
        <w:rPr>
          <w:rFonts w:ascii="Tahoma" w:hAnsi="Tahoma" w:cs="Tahoma"/>
          <w:sz w:val="24"/>
          <w:szCs w:val="24"/>
        </w:rPr>
        <w:t>3</w:t>
      </w:r>
      <w:r w:rsidR="004D0ED6" w:rsidRPr="00216E39">
        <w:rPr>
          <w:rFonts w:ascii="Tahoma" w:hAnsi="Tahoma" w:cs="Tahoma"/>
          <w:sz w:val="24"/>
          <w:szCs w:val="24"/>
        </w:rPr>
        <w:t xml:space="preserve">, gradul de realizare al programului fiind de </w:t>
      </w:r>
      <w:r w:rsidR="002550E8" w:rsidRPr="00216E39">
        <w:rPr>
          <w:rFonts w:ascii="Tahoma" w:hAnsi="Tahoma" w:cs="Tahoma"/>
          <w:sz w:val="24"/>
          <w:szCs w:val="24"/>
        </w:rPr>
        <w:t>108,</w:t>
      </w:r>
      <w:r w:rsidR="006352C3" w:rsidRPr="00216E39">
        <w:rPr>
          <w:rFonts w:ascii="Tahoma" w:hAnsi="Tahoma" w:cs="Tahoma"/>
          <w:sz w:val="24"/>
          <w:szCs w:val="24"/>
        </w:rPr>
        <w:t>8</w:t>
      </w:r>
      <w:r w:rsidR="004D0ED6" w:rsidRPr="00216E39">
        <w:rPr>
          <w:rFonts w:ascii="Tahoma" w:hAnsi="Tahoma" w:cs="Tahoma"/>
          <w:sz w:val="24"/>
          <w:szCs w:val="24"/>
        </w:rPr>
        <w:t>%.</w:t>
      </w:r>
    </w:p>
    <w:p w:rsidR="00223A3D" w:rsidRPr="00216E39" w:rsidRDefault="004912D2" w:rsidP="00962D51">
      <w:pPr>
        <w:autoSpaceDE w:val="0"/>
        <w:autoSpaceDN w:val="0"/>
        <w:adjustRightInd w:val="0"/>
        <w:spacing w:line="276" w:lineRule="auto"/>
        <w:ind w:firstLine="0"/>
        <w:rPr>
          <w:rFonts w:ascii="Tahoma" w:hAnsi="Tahoma" w:cs="Tahoma"/>
          <w:bCs/>
          <w:sz w:val="24"/>
          <w:szCs w:val="24"/>
        </w:rPr>
      </w:pPr>
      <w:r w:rsidRPr="00216E39">
        <w:rPr>
          <w:rFonts w:ascii="Tahoma" w:hAnsi="Tahoma" w:cs="Tahoma"/>
          <w:sz w:val="24"/>
          <w:szCs w:val="24"/>
        </w:rPr>
        <w:t xml:space="preserve">Sporul de încasări înregistrat s-a datorat în principal evoluției încasărilor la bugetul de stat care </w:t>
      </w:r>
      <w:r w:rsidRPr="00216E39">
        <w:rPr>
          <w:rFonts w:ascii="Tahoma" w:hAnsi="Tahoma" w:cs="Tahoma"/>
          <w:bCs/>
          <w:sz w:val="24"/>
          <w:szCs w:val="24"/>
        </w:rPr>
        <w:t>înregistrează o creștere semnificativă de +</w:t>
      </w:r>
      <w:r w:rsidR="009228A3" w:rsidRPr="00216E39">
        <w:rPr>
          <w:rFonts w:ascii="Tahoma" w:hAnsi="Tahoma" w:cs="Tahoma"/>
          <w:bCs/>
          <w:sz w:val="24"/>
          <w:szCs w:val="24"/>
        </w:rPr>
        <w:t>1</w:t>
      </w:r>
      <w:r w:rsidRPr="00216E39">
        <w:rPr>
          <w:rFonts w:ascii="Tahoma" w:hAnsi="Tahoma" w:cs="Tahoma"/>
          <w:bCs/>
          <w:sz w:val="24"/>
          <w:szCs w:val="24"/>
        </w:rPr>
        <w:t>,</w:t>
      </w:r>
      <w:r w:rsidR="00223A3D" w:rsidRPr="00216E39">
        <w:rPr>
          <w:rFonts w:ascii="Tahoma" w:hAnsi="Tahoma" w:cs="Tahoma"/>
          <w:bCs/>
          <w:sz w:val="24"/>
          <w:szCs w:val="24"/>
        </w:rPr>
        <w:t>17</w:t>
      </w:r>
      <w:r w:rsidRPr="00216E39">
        <w:rPr>
          <w:rFonts w:ascii="Tahoma" w:hAnsi="Tahoma" w:cs="Tahoma"/>
          <w:bCs/>
          <w:sz w:val="24"/>
          <w:szCs w:val="24"/>
        </w:rPr>
        <w:t xml:space="preserve"> miliarde </w:t>
      </w:r>
      <w:r w:rsidR="003A634F" w:rsidRPr="00216E39">
        <w:rPr>
          <w:rFonts w:ascii="Tahoma" w:hAnsi="Tahoma" w:cs="Tahoma"/>
          <w:bCs/>
          <w:sz w:val="24"/>
          <w:szCs w:val="24"/>
        </w:rPr>
        <w:t>lei</w:t>
      </w:r>
      <w:r w:rsidR="003333EE" w:rsidRPr="00216E39">
        <w:rPr>
          <w:rFonts w:ascii="Tahoma" w:hAnsi="Tahoma" w:cs="Tahoma"/>
          <w:bCs/>
          <w:sz w:val="24"/>
          <w:szCs w:val="24"/>
        </w:rPr>
        <w:t>(+</w:t>
      </w:r>
      <w:r w:rsidR="00223A3D" w:rsidRPr="00216E39">
        <w:rPr>
          <w:rFonts w:ascii="Tahoma" w:hAnsi="Tahoma" w:cs="Tahoma"/>
          <w:bCs/>
          <w:sz w:val="24"/>
          <w:szCs w:val="24"/>
        </w:rPr>
        <w:t>9,3</w:t>
      </w:r>
      <w:r w:rsidR="003333EE" w:rsidRPr="00216E39">
        <w:rPr>
          <w:rFonts w:ascii="Tahoma" w:hAnsi="Tahoma" w:cs="Tahoma"/>
          <w:bCs/>
          <w:sz w:val="24"/>
          <w:szCs w:val="24"/>
        </w:rPr>
        <w:t>%)</w:t>
      </w:r>
      <w:r w:rsidRPr="00216E39">
        <w:rPr>
          <w:rFonts w:ascii="Tahoma" w:hAnsi="Tahoma" w:cs="Tahoma"/>
          <w:bCs/>
          <w:sz w:val="24"/>
          <w:szCs w:val="24"/>
        </w:rPr>
        <w:t>, comparativ cu acee</w:t>
      </w:r>
      <w:r w:rsidR="003333EE" w:rsidRPr="00216E39">
        <w:rPr>
          <w:rFonts w:ascii="Tahoma" w:hAnsi="Tahoma" w:cs="Tahoma"/>
          <w:bCs/>
          <w:sz w:val="24"/>
          <w:szCs w:val="24"/>
        </w:rPr>
        <w:t>ași perioadă a anului precedent</w:t>
      </w:r>
      <w:r w:rsidR="00223A3D" w:rsidRPr="00216E39">
        <w:rPr>
          <w:rFonts w:ascii="Tahoma" w:hAnsi="Tahoma" w:cs="Tahoma"/>
          <w:bCs/>
          <w:sz w:val="24"/>
          <w:szCs w:val="24"/>
        </w:rPr>
        <w:t xml:space="preserve"> pe fondul evoluției veniturilor din dividende, la bugetele locale +1,32 miliarde lei (+11,</w:t>
      </w:r>
      <w:r w:rsidR="006352C3" w:rsidRPr="00216E39">
        <w:rPr>
          <w:rFonts w:ascii="Tahoma" w:hAnsi="Tahoma" w:cs="Tahoma"/>
          <w:bCs/>
          <w:sz w:val="24"/>
          <w:szCs w:val="24"/>
        </w:rPr>
        <w:t>8</w:t>
      </w:r>
      <w:r w:rsidR="00223A3D" w:rsidRPr="00216E39">
        <w:rPr>
          <w:rFonts w:ascii="Tahoma" w:hAnsi="Tahoma" w:cs="Tahoma"/>
          <w:bCs/>
          <w:sz w:val="24"/>
          <w:szCs w:val="24"/>
        </w:rPr>
        <w:t>) și la bugetul activităților și instituții</w:t>
      </w:r>
      <w:r w:rsidR="006352C3" w:rsidRPr="00216E39">
        <w:rPr>
          <w:rFonts w:ascii="Tahoma" w:hAnsi="Tahoma" w:cs="Tahoma"/>
          <w:bCs/>
          <w:sz w:val="24"/>
          <w:szCs w:val="24"/>
        </w:rPr>
        <w:t>l</w:t>
      </w:r>
      <w:r w:rsidR="00223A3D" w:rsidRPr="00216E39">
        <w:rPr>
          <w:rFonts w:ascii="Tahoma" w:hAnsi="Tahoma" w:cs="Tahoma"/>
          <w:bCs/>
          <w:sz w:val="24"/>
          <w:szCs w:val="24"/>
        </w:rPr>
        <w:t>or finanțate integral sau partial din venituri proprii unde creșterea a fost de 2,73 miliarde lei (+37%) în principal datorată sporului de încasări din</w:t>
      </w:r>
      <w:r w:rsidR="00223A3D" w:rsidRPr="00216E39">
        <w:rPr>
          <w:rFonts w:ascii="Tahoma" w:eastAsia="Tahoma" w:hAnsi="Tahoma" w:cs="Tahoma"/>
          <w:color w:val="FF0000"/>
          <w:sz w:val="24"/>
          <w:szCs w:val="24"/>
        </w:rPr>
        <w:t xml:space="preserve"> </w:t>
      </w:r>
      <w:r w:rsidR="00223A3D" w:rsidRPr="00216E39">
        <w:rPr>
          <w:rFonts w:ascii="Tahoma" w:hAnsi="Tahoma" w:cs="Tahoma"/>
          <w:bCs/>
          <w:sz w:val="24"/>
          <w:szCs w:val="24"/>
        </w:rPr>
        <w:t>vânzarea certificatelor de emisii de gaze cu efect de seră</w:t>
      </w:r>
      <w:r w:rsidR="003333EE" w:rsidRPr="00216E39">
        <w:rPr>
          <w:rFonts w:ascii="Tahoma" w:hAnsi="Tahoma" w:cs="Tahoma"/>
          <w:bCs/>
          <w:sz w:val="24"/>
          <w:szCs w:val="24"/>
        </w:rPr>
        <w:t>.</w:t>
      </w:r>
      <w:r w:rsidRPr="00216E39">
        <w:rPr>
          <w:rFonts w:ascii="Tahoma" w:hAnsi="Tahoma" w:cs="Tahoma"/>
          <w:bCs/>
          <w:sz w:val="24"/>
          <w:szCs w:val="24"/>
        </w:rPr>
        <w:t xml:space="preserve"> </w:t>
      </w:r>
    </w:p>
    <w:p w:rsidR="004D6D76" w:rsidRPr="00216E39" w:rsidRDefault="004D6D76" w:rsidP="006E1B94">
      <w:pPr>
        <w:suppressAutoHyphens/>
        <w:autoSpaceDE w:val="0"/>
        <w:autoSpaceDN w:val="0"/>
        <w:adjustRightInd w:val="0"/>
        <w:spacing w:after="120" w:line="276" w:lineRule="auto"/>
        <w:ind w:firstLine="0"/>
        <w:rPr>
          <w:rFonts w:ascii="Tahoma" w:hAnsi="Tahoma" w:cs="Tahoma"/>
          <w:sz w:val="24"/>
          <w:szCs w:val="24"/>
        </w:rPr>
      </w:pPr>
      <w:r w:rsidRPr="00216E39">
        <w:rPr>
          <w:rFonts w:ascii="Tahoma" w:hAnsi="Tahoma" w:cs="Tahoma"/>
          <w:b/>
          <w:sz w:val="24"/>
          <w:szCs w:val="24"/>
        </w:rPr>
        <w:t>Sumele rambursate de Uniunea Europeană în contul plăților efectuate</w:t>
      </w:r>
      <w:r w:rsidR="0063517C" w:rsidRPr="00216E39">
        <w:rPr>
          <w:rFonts w:ascii="Tahoma" w:hAnsi="Tahoma" w:cs="Tahoma"/>
          <w:b/>
          <w:sz w:val="24"/>
          <w:szCs w:val="24"/>
        </w:rPr>
        <w:t>,</w:t>
      </w:r>
      <w:r w:rsidRPr="00216E39">
        <w:rPr>
          <w:rFonts w:ascii="Tahoma" w:hAnsi="Tahoma" w:cs="Tahoma"/>
          <w:b/>
          <w:sz w:val="24"/>
          <w:szCs w:val="24"/>
        </w:rPr>
        <w:t xml:space="preserve"> donații </w:t>
      </w:r>
      <w:r w:rsidR="0063517C" w:rsidRPr="00216E39">
        <w:rPr>
          <w:rFonts w:ascii="Tahoma" w:hAnsi="Tahoma" w:cs="Tahoma"/>
          <w:b/>
          <w:sz w:val="24"/>
          <w:szCs w:val="24"/>
        </w:rPr>
        <w:t>și</w:t>
      </w:r>
      <w:r w:rsidR="0063517C" w:rsidRPr="00216E39">
        <w:rPr>
          <w:rFonts w:ascii="Tahoma" w:hAnsi="Tahoma" w:cs="Tahoma"/>
          <w:sz w:val="24"/>
          <w:szCs w:val="24"/>
        </w:rPr>
        <w:t xml:space="preserve"> </w:t>
      </w:r>
      <w:r w:rsidR="0063517C" w:rsidRPr="00216E39">
        <w:rPr>
          <w:rFonts w:ascii="Tahoma" w:eastAsia="Times New Roman" w:hAnsi="Tahoma" w:cs="Tahoma"/>
          <w:b/>
          <w:bCs/>
          <w:sz w:val="24"/>
          <w:szCs w:val="24"/>
        </w:rPr>
        <w:t>sume aferente asistentei financiare nerambursabile alocate pentru PNRR</w:t>
      </w:r>
      <w:r w:rsidR="0063517C" w:rsidRPr="00216E39">
        <w:rPr>
          <w:rFonts w:ascii="Tahoma" w:eastAsia="Times New Roman" w:hAnsi="Tahoma" w:cs="Tahoma"/>
          <w:bCs/>
          <w:sz w:val="24"/>
          <w:szCs w:val="24"/>
        </w:rPr>
        <w:t xml:space="preserve"> </w:t>
      </w:r>
      <w:r w:rsidRPr="00216E39">
        <w:rPr>
          <w:rFonts w:ascii="Tahoma" w:hAnsi="Tahoma" w:cs="Tahoma"/>
          <w:sz w:val="24"/>
          <w:szCs w:val="24"/>
        </w:rPr>
        <w:t xml:space="preserve">au totalizat </w:t>
      </w:r>
      <w:r w:rsidR="00223A3D" w:rsidRPr="00216E39">
        <w:rPr>
          <w:rFonts w:ascii="Tahoma" w:hAnsi="Tahoma" w:cs="Tahoma"/>
          <w:b/>
          <w:bCs/>
          <w:sz w:val="24"/>
          <w:szCs w:val="24"/>
        </w:rPr>
        <w:t>19,15</w:t>
      </w:r>
      <w:r w:rsidR="00364FD9" w:rsidRPr="00216E39">
        <w:rPr>
          <w:rFonts w:ascii="Tahoma" w:hAnsi="Tahoma" w:cs="Tahoma"/>
          <w:b/>
          <w:bCs/>
          <w:sz w:val="24"/>
          <w:szCs w:val="24"/>
        </w:rPr>
        <w:t xml:space="preserve"> miliarde</w:t>
      </w:r>
      <w:r w:rsidRPr="00216E39">
        <w:rPr>
          <w:rFonts w:ascii="Tahoma" w:hAnsi="Tahoma" w:cs="Tahoma"/>
          <w:sz w:val="24"/>
          <w:szCs w:val="24"/>
        </w:rPr>
        <w:t xml:space="preserve"> </w:t>
      </w:r>
      <w:r w:rsidR="003A634F" w:rsidRPr="00216E39">
        <w:rPr>
          <w:rFonts w:ascii="Tahoma" w:hAnsi="Tahoma" w:cs="Tahoma"/>
          <w:sz w:val="24"/>
          <w:szCs w:val="24"/>
        </w:rPr>
        <w:t>lei</w:t>
      </w:r>
      <w:r w:rsidRPr="00216E39">
        <w:rPr>
          <w:rFonts w:ascii="Tahoma" w:hAnsi="Tahoma" w:cs="Tahoma"/>
          <w:sz w:val="24"/>
          <w:szCs w:val="24"/>
        </w:rPr>
        <w:t xml:space="preserve"> (</w:t>
      </w:r>
      <w:r w:rsidR="00364FD9" w:rsidRPr="00216E39">
        <w:rPr>
          <w:rFonts w:ascii="Tahoma" w:hAnsi="Tahoma" w:cs="Tahoma"/>
          <w:sz w:val="24"/>
          <w:szCs w:val="24"/>
        </w:rPr>
        <w:t>1,</w:t>
      </w:r>
      <w:r w:rsidR="00223A3D" w:rsidRPr="00216E39">
        <w:rPr>
          <w:rFonts w:ascii="Tahoma" w:hAnsi="Tahoma" w:cs="Tahoma"/>
          <w:sz w:val="24"/>
          <w:szCs w:val="24"/>
        </w:rPr>
        <w:t>1</w:t>
      </w:r>
      <w:r w:rsidRPr="00216E39">
        <w:rPr>
          <w:rFonts w:ascii="Tahoma" w:hAnsi="Tahoma" w:cs="Tahoma"/>
          <w:sz w:val="24"/>
          <w:szCs w:val="24"/>
        </w:rPr>
        <w:t xml:space="preserve">% din PIB), cu </w:t>
      </w:r>
      <w:r w:rsidR="00D21E92" w:rsidRPr="00216E39">
        <w:rPr>
          <w:rFonts w:ascii="Tahoma" w:hAnsi="Tahoma" w:cs="Tahoma"/>
          <w:sz w:val="24"/>
          <w:szCs w:val="24"/>
        </w:rPr>
        <w:t>11</w:t>
      </w:r>
      <w:r w:rsidR="009228A3" w:rsidRPr="00216E39">
        <w:rPr>
          <w:rFonts w:ascii="Tahoma" w:hAnsi="Tahoma" w:cs="Tahoma"/>
          <w:sz w:val="24"/>
          <w:szCs w:val="24"/>
        </w:rPr>
        <w:t>,</w:t>
      </w:r>
      <w:r w:rsidR="00CA1E5F" w:rsidRPr="00216E39">
        <w:rPr>
          <w:rFonts w:ascii="Tahoma" w:hAnsi="Tahoma" w:cs="Tahoma"/>
          <w:sz w:val="24"/>
          <w:szCs w:val="24"/>
        </w:rPr>
        <w:t>7</w:t>
      </w:r>
      <w:r w:rsidRPr="00216E39">
        <w:rPr>
          <w:rFonts w:ascii="Tahoma" w:hAnsi="Tahoma" w:cs="Tahoma"/>
          <w:sz w:val="24"/>
          <w:szCs w:val="24"/>
        </w:rPr>
        <w:t xml:space="preserve">% mai </w:t>
      </w:r>
      <w:r w:rsidR="00D21E92" w:rsidRPr="00216E39">
        <w:rPr>
          <w:rFonts w:ascii="Tahoma" w:hAnsi="Tahoma" w:cs="Tahoma"/>
          <w:sz w:val="24"/>
          <w:szCs w:val="24"/>
        </w:rPr>
        <w:t xml:space="preserve">mici </w:t>
      </w:r>
      <w:r w:rsidRPr="00216E39">
        <w:rPr>
          <w:rFonts w:ascii="Tahoma" w:hAnsi="Tahoma" w:cs="Tahoma"/>
          <w:sz w:val="24"/>
          <w:szCs w:val="24"/>
        </w:rPr>
        <w:t>comparativ cu semestrul I 20</w:t>
      </w:r>
      <w:r w:rsidR="00364FD9" w:rsidRPr="00216E39">
        <w:rPr>
          <w:rFonts w:ascii="Tahoma" w:hAnsi="Tahoma" w:cs="Tahoma"/>
          <w:sz w:val="24"/>
          <w:szCs w:val="24"/>
        </w:rPr>
        <w:t>2</w:t>
      </w:r>
      <w:r w:rsidR="00D21E92" w:rsidRPr="00216E39">
        <w:rPr>
          <w:rFonts w:ascii="Tahoma" w:hAnsi="Tahoma" w:cs="Tahoma"/>
          <w:sz w:val="24"/>
          <w:szCs w:val="24"/>
        </w:rPr>
        <w:t>3</w:t>
      </w:r>
      <w:r w:rsidRPr="00216E39">
        <w:rPr>
          <w:rFonts w:ascii="Tahoma" w:hAnsi="Tahoma" w:cs="Tahoma"/>
          <w:sz w:val="24"/>
          <w:szCs w:val="24"/>
        </w:rPr>
        <w:t xml:space="preserve">. </w:t>
      </w:r>
    </w:p>
    <w:p w:rsidR="00262BE1" w:rsidRPr="00216E39" w:rsidRDefault="006F7F65" w:rsidP="006E1B94">
      <w:pPr>
        <w:spacing w:after="120" w:line="276" w:lineRule="auto"/>
        <w:ind w:right="-57" w:firstLine="0"/>
        <w:rPr>
          <w:rFonts w:ascii="Tahoma" w:hAnsi="Tahoma" w:cs="Tahoma"/>
          <w:sz w:val="24"/>
          <w:szCs w:val="24"/>
        </w:rPr>
      </w:pPr>
      <w:r w:rsidRPr="00216E39">
        <w:rPr>
          <w:rFonts w:ascii="Tahoma" w:hAnsi="Tahoma" w:cs="Tahoma"/>
          <w:bCs/>
          <w:sz w:val="24"/>
          <w:szCs w:val="24"/>
        </w:rPr>
        <w:t>Ca procent în PIB</w:t>
      </w:r>
      <w:r w:rsidR="00EB1916" w:rsidRPr="00216E39">
        <w:rPr>
          <w:rFonts w:ascii="Tahoma" w:hAnsi="Tahoma" w:cs="Tahoma"/>
          <w:bCs/>
          <w:sz w:val="24"/>
          <w:szCs w:val="24"/>
        </w:rPr>
        <w:t>,</w:t>
      </w:r>
      <w:r w:rsidRPr="00216E39">
        <w:rPr>
          <w:rFonts w:ascii="Tahoma" w:hAnsi="Tahoma" w:cs="Tahoma"/>
          <w:bCs/>
          <w:sz w:val="24"/>
          <w:szCs w:val="24"/>
        </w:rPr>
        <w:t xml:space="preserve"> </w:t>
      </w:r>
      <w:r w:rsidR="0063517C" w:rsidRPr="00216E39">
        <w:rPr>
          <w:rFonts w:ascii="Tahoma" w:hAnsi="Tahoma" w:cs="Tahoma"/>
          <w:sz w:val="24"/>
          <w:szCs w:val="24"/>
        </w:rPr>
        <w:t xml:space="preserve">sumele rambursate de Uniunea Europeană în contul plăților efectuate, donații și </w:t>
      </w:r>
      <w:r w:rsidR="0063517C" w:rsidRPr="00216E39">
        <w:rPr>
          <w:rFonts w:ascii="Tahoma" w:eastAsia="Times New Roman" w:hAnsi="Tahoma" w:cs="Tahoma"/>
          <w:bCs/>
          <w:sz w:val="24"/>
          <w:szCs w:val="24"/>
        </w:rPr>
        <w:t>sume aferente asistentei financiare nerambursabile alocate pentru PNRR</w:t>
      </w:r>
      <w:r w:rsidRPr="00216E39">
        <w:rPr>
          <w:rFonts w:ascii="Tahoma" w:hAnsi="Tahoma" w:cs="Tahoma"/>
          <w:sz w:val="24"/>
          <w:szCs w:val="24"/>
        </w:rPr>
        <w:t xml:space="preserve"> </w:t>
      </w:r>
      <w:r w:rsidR="00262BE1" w:rsidRPr="00216E39">
        <w:rPr>
          <w:rFonts w:ascii="Tahoma" w:hAnsi="Tahoma" w:cs="Tahoma"/>
          <w:sz w:val="24"/>
          <w:szCs w:val="24"/>
        </w:rPr>
        <w:t xml:space="preserve">au </w:t>
      </w:r>
      <w:r w:rsidR="00D21E92" w:rsidRPr="00216E39">
        <w:rPr>
          <w:rFonts w:ascii="Tahoma" w:hAnsi="Tahoma" w:cs="Tahoma"/>
          <w:sz w:val="24"/>
          <w:szCs w:val="24"/>
        </w:rPr>
        <w:t>scăzut</w:t>
      </w:r>
      <w:r w:rsidR="00262BE1" w:rsidRPr="00216E39">
        <w:rPr>
          <w:rFonts w:ascii="Tahoma" w:hAnsi="Tahoma" w:cs="Tahoma"/>
          <w:sz w:val="24"/>
          <w:szCs w:val="24"/>
        </w:rPr>
        <w:t xml:space="preserve"> cu 0,</w:t>
      </w:r>
      <w:r w:rsidR="00D21E92" w:rsidRPr="00216E39">
        <w:rPr>
          <w:rFonts w:ascii="Tahoma" w:hAnsi="Tahoma" w:cs="Tahoma"/>
          <w:sz w:val="24"/>
          <w:szCs w:val="24"/>
        </w:rPr>
        <w:t>2</w:t>
      </w:r>
      <w:r w:rsidR="00316C71" w:rsidRPr="00216E39">
        <w:rPr>
          <w:rFonts w:ascii="Tahoma" w:hAnsi="Tahoma" w:cs="Tahoma"/>
          <w:sz w:val="24"/>
          <w:szCs w:val="24"/>
        </w:rPr>
        <w:t>7</w:t>
      </w:r>
      <w:r w:rsidR="00262BE1" w:rsidRPr="00216E39">
        <w:rPr>
          <w:rFonts w:ascii="Tahoma" w:hAnsi="Tahoma" w:cs="Tahoma"/>
          <w:sz w:val="24"/>
          <w:szCs w:val="24"/>
        </w:rPr>
        <w:t xml:space="preserve"> puncte procentuale de la 1,</w:t>
      </w:r>
      <w:r w:rsidR="00D21E92" w:rsidRPr="00216E39">
        <w:rPr>
          <w:rFonts w:ascii="Tahoma" w:hAnsi="Tahoma" w:cs="Tahoma"/>
          <w:sz w:val="24"/>
          <w:szCs w:val="24"/>
        </w:rPr>
        <w:t>35</w:t>
      </w:r>
      <w:r w:rsidR="00262BE1" w:rsidRPr="00216E39">
        <w:rPr>
          <w:rFonts w:ascii="Tahoma" w:hAnsi="Tahoma" w:cs="Tahoma"/>
          <w:sz w:val="24"/>
          <w:szCs w:val="24"/>
        </w:rPr>
        <w:t xml:space="preserve"> di</w:t>
      </w:r>
      <w:r w:rsidR="00CA1E5F" w:rsidRPr="00216E39">
        <w:rPr>
          <w:rFonts w:ascii="Tahoma" w:hAnsi="Tahoma" w:cs="Tahoma"/>
          <w:sz w:val="24"/>
          <w:szCs w:val="24"/>
        </w:rPr>
        <w:t>n</w:t>
      </w:r>
      <w:r w:rsidR="00262BE1" w:rsidRPr="00216E39">
        <w:rPr>
          <w:rFonts w:ascii="Tahoma" w:hAnsi="Tahoma" w:cs="Tahoma"/>
          <w:sz w:val="24"/>
          <w:szCs w:val="24"/>
        </w:rPr>
        <w:t xml:space="preserve"> PIB în semestrul I 202</w:t>
      </w:r>
      <w:r w:rsidR="00D21E92" w:rsidRPr="00216E39">
        <w:rPr>
          <w:rFonts w:ascii="Tahoma" w:hAnsi="Tahoma" w:cs="Tahoma"/>
          <w:sz w:val="24"/>
          <w:szCs w:val="24"/>
        </w:rPr>
        <w:t>3</w:t>
      </w:r>
      <w:r w:rsidR="00262BE1" w:rsidRPr="00216E39">
        <w:rPr>
          <w:rFonts w:ascii="Tahoma" w:hAnsi="Tahoma" w:cs="Tahoma"/>
          <w:sz w:val="24"/>
          <w:szCs w:val="24"/>
        </w:rPr>
        <w:t xml:space="preserve"> la</w:t>
      </w:r>
      <w:r w:rsidR="00CA1E5F" w:rsidRPr="00216E39">
        <w:rPr>
          <w:rFonts w:ascii="Tahoma" w:hAnsi="Tahoma" w:cs="Tahoma"/>
          <w:sz w:val="24"/>
          <w:szCs w:val="24"/>
        </w:rPr>
        <w:t xml:space="preserve"> </w:t>
      </w:r>
      <w:r w:rsidR="00262BE1" w:rsidRPr="00216E39">
        <w:rPr>
          <w:rFonts w:ascii="Tahoma" w:hAnsi="Tahoma" w:cs="Tahoma"/>
          <w:sz w:val="24"/>
          <w:szCs w:val="24"/>
        </w:rPr>
        <w:t>1,</w:t>
      </w:r>
      <w:r w:rsidR="00316C71" w:rsidRPr="00216E39">
        <w:rPr>
          <w:rFonts w:ascii="Tahoma" w:hAnsi="Tahoma" w:cs="Tahoma"/>
          <w:sz w:val="24"/>
          <w:szCs w:val="24"/>
        </w:rPr>
        <w:t>08</w:t>
      </w:r>
      <w:r w:rsidR="00262BE1" w:rsidRPr="00216E39">
        <w:rPr>
          <w:rFonts w:ascii="Tahoma" w:hAnsi="Tahoma" w:cs="Tahoma"/>
          <w:sz w:val="24"/>
          <w:szCs w:val="24"/>
        </w:rPr>
        <w:t xml:space="preserve"> din PIB în semestrul I 202</w:t>
      </w:r>
      <w:r w:rsidR="00D21E92" w:rsidRPr="00216E39">
        <w:rPr>
          <w:rFonts w:ascii="Tahoma" w:hAnsi="Tahoma" w:cs="Tahoma"/>
          <w:sz w:val="24"/>
          <w:szCs w:val="24"/>
        </w:rPr>
        <w:t>4</w:t>
      </w:r>
      <w:r w:rsidR="00262BE1" w:rsidRPr="00216E39">
        <w:rPr>
          <w:rFonts w:ascii="Tahoma" w:hAnsi="Tahoma" w:cs="Tahoma"/>
          <w:sz w:val="24"/>
          <w:szCs w:val="24"/>
        </w:rPr>
        <w:t>.</w:t>
      </w:r>
    </w:p>
    <w:p w:rsidR="00E4028B" w:rsidRPr="00216E39" w:rsidRDefault="00E4028B" w:rsidP="006E1B94">
      <w:pPr>
        <w:spacing w:after="120" w:line="276" w:lineRule="auto"/>
        <w:ind w:right="-57" w:firstLine="0"/>
        <w:rPr>
          <w:rFonts w:ascii="Tahoma" w:hAnsi="Tahoma" w:cs="Tahoma"/>
          <w:sz w:val="24"/>
          <w:szCs w:val="24"/>
        </w:rPr>
      </w:pPr>
      <w:r w:rsidRPr="00216E39">
        <w:rPr>
          <w:rFonts w:ascii="Tahoma" w:hAnsi="Tahoma" w:cs="Tahoma"/>
          <w:sz w:val="24"/>
          <w:szCs w:val="24"/>
        </w:rPr>
        <w:t>Evoluția încasărilor comparativ cu semestrul I 2023 a fost determinată de diminuarea sumelor atrase aferente cadrului financiar 2014-2024, în timp ce sumele atrase aferente cadrului 2021-2027 și cele aferente asistenței financiare nerambursabile alocate pentru PNRR au înregistrat creșteri cu 7,52 miliarde lei și respectiv 1,59 miliarde lei.</w:t>
      </w:r>
    </w:p>
    <w:p w:rsidR="00262BE1" w:rsidRPr="00216E39" w:rsidRDefault="00CA1E5F" w:rsidP="006E1B94">
      <w:pPr>
        <w:spacing w:after="120" w:line="276" w:lineRule="auto"/>
        <w:ind w:right="-57" w:firstLine="0"/>
        <w:rPr>
          <w:rFonts w:ascii="Tahoma" w:hAnsi="Tahoma" w:cs="Tahoma"/>
          <w:sz w:val="24"/>
          <w:szCs w:val="24"/>
        </w:rPr>
      </w:pPr>
      <w:r w:rsidRPr="00216E39">
        <w:rPr>
          <w:rFonts w:ascii="Tahoma" w:hAnsi="Tahoma" w:cs="Tahoma"/>
          <w:sz w:val="24"/>
          <w:szCs w:val="24"/>
        </w:rPr>
        <w:t>În structură pondere</w:t>
      </w:r>
      <w:r w:rsidR="00262BE1" w:rsidRPr="00216E39">
        <w:rPr>
          <w:rFonts w:ascii="Tahoma" w:hAnsi="Tahoma" w:cs="Tahoma"/>
          <w:sz w:val="24"/>
          <w:szCs w:val="24"/>
        </w:rPr>
        <w:t xml:space="preserve">a ce a mai mare în totalul sumelor rambursate de Uniunea Europeană în contul plăților efectuate, donații și </w:t>
      </w:r>
      <w:r w:rsidR="00262BE1" w:rsidRPr="00216E39">
        <w:rPr>
          <w:rFonts w:ascii="Tahoma" w:hAnsi="Tahoma" w:cs="Tahoma"/>
          <w:bCs/>
          <w:sz w:val="24"/>
          <w:szCs w:val="24"/>
        </w:rPr>
        <w:t xml:space="preserve">sume aferente asistentei financiare nerambursabile alocate pentru PNRR </w:t>
      </w:r>
      <w:r w:rsidR="00262BE1" w:rsidRPr="00216E39">
        <w:rPr>
          <w:rFonts w:ascii="Tahoma" w:hAnsi="Tahoma" w:cs="Tahoma"/>
          <w:sz w:val="24"/>
          <w:szCs w:val="24"/>
        </w:rPr>
        <w:t xml:space="preserve">o reprezintă </w:t>
      </w:r>
      <w:r w:rsidRPr="00216E39">
        <w:rPr>
          <w:rFonts w:ascii="Tahoma" w:hAnsi="Tahoma" w:cs="Tahoma"/>
          <w:sz w:val="24"/>
          <w:szCs w:val="24"/>
        </w:rPr>
        <w:t>sumele</w:t>
      </w:r>
      <w:r w:rsidR="00262BE1" w:rsidRPr="00216E39">
        <w:rPr>
          <w:rFonts w:ascii="Tahoma" w:hAnsi="Tahoma" w:cs="Tahoma"/>
          <w:sz w:val="24"/>
          <w:szCs w:val="24"/>
        </w:rPr>
        <w:t xml:space="preserve"> aferente cadrului financiar </w:t>
      </w:r>
      <w:r w:rsidR="00D21E92" w:rsidRPr="00216E39">
        <w:rPr>
          <w:rFonts w:ascii="Tahoma" w:hAnsi="Tahoma" w:cs="Tahoma"/>
          <w:sz w:val="24"/>
          <w:szCs w:val="24"/>
        </w:rPr>
        <w:lastRenderedPageBreak/>
        <w:t>2021-2027</w:t>
      </w:r>
      <w:r w:rsidR="00262BE1" w:rsidRPr="00216E39">
        <w:rPr>
          <w:rFonts w:ascii="Tahoma" w:hAnsi="Tahoma" w:cs="Tahoma"/>
          <w:sz w:val="24"/>
          <w:szCs w:val="24"/>
        </w:rPr>
        <w:t xml:space="preserve"> cu o pondere de </w:t>
      </w:r>
      <w:r w:rsidR="00D21E92" w:rsidRPr="00216E39">
        <w:rPr>
          <w:rFonts w:ascii="Tahoma" w:hAnsi="Tahoma" w:cs="Tahoma"/>
          <w:sz w:val="24"/>
          <w:szCs w:val="24"/>
        </w:rPr>
        <w:t>45,1</w:t>
      </w:r>
      <w:r w:rsidR="00262BE1" w:rsidRPr="00216E39">
        <w:rPr>
          <w:rFonts w:ascii="Tahoma" w:hAnsi="Tahoma" w:cs="Tahoma"/>
          <w:sz w:val="24"/>
          <w:szCs w:val="24"/>
        </w:rPr>
        <w:t xml:space="preserve">%, urmate de sumele aferente cadrului financiar </w:t>
      </w:r>
      <w:r w:rsidR="00D21E92" w:rsidRPr="00216E39">
        <w:rPr>
          <w:rFonts w:ascii="Tahoma" w:hAnsi="Tahoma" w:cs="Tahoma"/>
          <w:sz w:val="24"/>
          <w:szCs w:val="24"/>
        </w:rPr>
        <w:t>2014-2020</w:t>
      </w:r>
      <w:r w:rsidR="00262BE1" w:rsidRPr="00216E39">
        <w:rPr>
          <w:rFonts w:ascii="Tahoma" w:hAnsi="Tahoma" w:cs="Tahoma"/>
          <w:sz w:val="24"/>
          <w:szCs w:val="24"/>
        </w:rPr>
        <w:t xml:space="preserve"> </w:t>
      </w:r>
      <w:r w:rsidRPr="00216E39">
        <w:rPr>
          <w:rFonts w:ascii="Tahoma" w:hAnsi="Tahoma" w:cs="Tahoma"/>
          <w:sz w:val="24"/>
          <w:szCs w:val="24"/>
        </w:rPr>
        <w:t xml:space="preserve">cu o pondere de </w:t>
      </w:r>
      <w:r w:rsidR="00D21E92" w:rsidRPr="00216E39">
        <w:rPr>
          <w:rFonts w:ascii="Tahoma" w:hAnsi="Tahoma" w:cs="Tahoma"/>
          <w:sz w:val="24"/>
          <w:szCs w:val="24"/>
        </w:rPr>
        <w:t>41,8</w:t>
      </w:r>
      <w:r w:rsidRPr="00216E39">
        <w:rPr>
          <w:rFonts w:ascii="Tahoma" w:hAnsi="Tahoma" w:cs="Tahoma"/>
          <w:sz w:val="24"/>
          <w:szCs w:val="24"/>
        </w:rPr>
        <w:t xml:space="preserve">% </w:t>
      </w:r>
      <w:r w:rsidR="00262BE1" w:rsidRPr="00216E39">
        <w:rPr>
          <w:rFonts w:ascii="Tahoma" w:hAnsi="Tahoma" w:cs="Tahoma"/>
          <w:sz w:val="24"/>
          <w:szCs w:val="24"/>
        </w:rPr>
        <w:t xml:space="preserve">și sumele aferente asistenței financiare nerambursabile a PNRR cu o pondere de </w:t>
      </w:r>
      <w:r w:rsidR="00D21E92" w:rsidRPr="00216E39">
        <w:rPr>
          <w:rFonts w:ascii="Tahoma" w:hAnsi="Tahoma" w:cs="Tahoma"/>
          <w:sz w:val="24"/>
          <w:szCs w:val="24"/>
        </w:rPr>
        <w:t>11,</w:t>
      </w:r>
      <w:r w:rsidR="00230108" w:rsidRPr="00216E39">
        <w:rPr>
          <w:rFonts w:ascii="Tahoma" w:hAnsi="Tahoma" w:cs="Tahoma"/>
          <w:sz w:val="24"/>
          <w:szCs w:val="24"/>
        </w:rPr>
        <w:t>6</w:t>
      </w:r>
      <w:r w:rsidR="00262BE1" w:rsidRPr="00216E39">
        <w:rPr>
          <w:rFonts w:ascii="Tahoma" w:hAnsi="Tahoma" w:cs="Tahoma"/>
          <w:sz w:val="24"/>
          <w:szCs w:val="24"/>
        </w:rPr>
        <w:t>%.</w:t>
      </w:r>
    </w:p>
    <w:p w:rsidR="00E4028B" w:rsidRPr="00216E39" w:rsidRDefault="00E4028B" w:rsidP="00E4028B">
      <w:pPr>
        <w:spacing w:after="120" w:line="276" w:lineRule="auto"/>
        <w:ind w:right="-57" w:firstLine="0"/>
        <w:rPr>
          <w:rFonts w:ascii="Tahoma" w:hAnsi="Tahoma" w:cs="Tahoma"/>
          <w:sz w:val="24"/>
          <w:szCs w:val="24"/>
        </w:rPr>
      </w:pPr>
      <w:r w:rsidRPr="00216E39">
        <w:rPr>
          <w:rFonts w:ascii="Tahoma" w:hAnsi="Tahoma" w:cs="Tahoma"/>
          <w:sz w:val="24"/>
          <w:szCs w:val="24"/>
        </w:rPr>
        <w:t xml:space="preserve">Gradul de realizare al programului semestrial a fost de 48,1% </w:t>
      </w:r>
      <w:r w:rsidR="004F622D" w:rsidRPr="00216E39">
        <w:rPr>
          <w:rFonts w:ascii="Tahoma" w:hAnsi="Tahoma" w:cs="Tahoma"/>
          <w:sz w:val="24"/>
          <w:szCs w:val="24"/>
        </w:rPr>
        <w:t>fiind</w:t>
      </w:r>
      <w:r w:rsidRPr="00216E39">
        <w:rPr>
          <w:rFonts w:ascii="Tahoma" w:hAnsi="Tahoma" w:cs="Tahoma"/>
          <w:sz w:val="24"/>
          <w:szCs w:val="24"/>
        </w:rPr>
        <w:t xml:space="preserve"> determinat de nerealizări semnificative în cazul sumele aferente cadrului financiar 2021-2027 și sumelor aferente asistenței financiare nerambursabile a PNRR unde gradul se realizare a fost de 53,6% și respectiv 14,9%. </w:t>
      </w:r>
    </w:p>
    <w:p w:rsidR="00E4028B" w:rsidRPr="00216E39" w:rsidRDefault="00E4028B" w:rsidP="006E1B94">
      <w:pPr>
        <w:spacing w:after="120" w:line="276" w:lineRule="auto"/>
        <w:ind w:right="-57" w:firstLine="0"/>
        <w:rPr>
          <w:rFonts w:ascii="Tahoma" w:hAnsi="Tahoma" w:cs="Tahoma"/>
          <w:sz w:val="24"/>
          <w:szCs w:val="24"/>
        </w:rPr>
      </w:pPr>
    </w:p>
    <w:p w:rsidR="004D6D76" w:rsidRPr="00216E39" w:rsidRDefault="004D6D76" w:rsidP="008431FA">
      <w:pPr>
        <w:pageBreakBefore/>
        <w:shd w:val="clear" w:color="auto" w:fill="D5DCE4" w:themeFill="text2" w:themeFillTint="33"/>
        <w:spacing w:before="240" w:after="360" w:line="276" w:lineRule="auto"/>
        <w:ind w:firstLine="0"/>
        <w:rPr>
          <w:rFonts w:ascii="Tahoma" w:hAnsi="Tahoma" w:cs="Tahoma"/>
          <w:sz w:val="24"/>
          <w:szCs w:val="24"/>
        </w:rPr>
      </w:pPr>
      <w:r w:rsidRPr="00216E39">
        <w:rPr>
          <w:rFonts w:ascii="Tahoma" w:hAnsi="Tahoma" w:cs="Tahoma"/>
          <w:b/>
          <w:bCs/>
          <w:sz w:val="24"/>
          <w:szCs w:val="24"/>
          <w:u w:val="single"/>
        </w:rPr>
        <w:lastRenderedPageBreak/>
        <w:t>Cheltuielile bugetului general consolidat</w:t>
      </w:r>
      <w:r w:rsidR="00CF2AF0" w:rsidRPr="00216E39">
        <w:rPr>
          <w:rFonts w:ascii="Tahoma" w:hAnsi="Tahoma" w:cs="Tahoma"/>
          <w:b/>
          <w:bCs/>
          <w:sz w:val="24"/>
          <w:szCs w:val="24"/>
          <w:u w:val="single"/>
        </w:rPr>
        <w:t xml:space="preserve"> </w:t>
      </w:r>
      <w:r w:rsidRPr="00216E39">
        <w:rPr>
          <w:rFonts w:ascii="Tahoma" w:hAnsi="Tahoma" w:cs="Tahoma"/>
          <w:sz w:val="24"/>
          <w:szCs w:val="24"/>
        </w:rPr>
        <w:t xml:space="preserve">în sumă de </w:t>
      </w:r>
      <w:r w:rsidR="0062504D" w:rsidRPr="00216E39">
        <w:rPr>
          <w:rFonts w:ascii="Tahoma" w:hAnsi="Tahoma" w:cs="Tahoma"/>
          <w:b/>
          <w:sz w:val="24"/>
          <w:szCs w:val="24"/>
        </w:rPr>
        <w:t>339,17</w:t>
      </w:r>
      <w:r w:rsidR="00364FD9" w:rsidRPr="00216E39">
        <w:rPr>
          <w:rFonts w:ascii="Tahoma" w:hAnsi="Tahoma" w:cs="Tahoma"/>
          <w:b/>
          <w:sz w:val="24"/>
          <w:szCs w:val="24"/>
        </w:rPr>
        <w:t xml:space="preserve"> miliarde</w:t>
      </w:r>
      <w:r w:rsidR="00CF2AF0" w:rsidRPr="00216E39">
        <w:rPr>
          <w:rFonts w:ascii="Tahoma" w:hAnsi="Tahoma" w:cs="Tahoma"/>
          <w:b/>
          <w:sz w:val="24"/>
          <w:szCs w:val="24"/>
        </w:rPr>
        <w:t xml:space="preserve"> </w:t>
      </w:r>
      <w:r w:rsidR="003A634F" w:rsidRPr="00216E39">
        <w:rPr>
          <w:rFonts w:ascii="Tahoma" w:hAnsi="Tahoma" w:cs="Tahoma"/>
          <w:b/>
          <w:sz w:val="24"/>
          <w:szCs w:val="24"/>
        </w:rPr>
        <w:t>lei</w:t>
      </w:r>
      <w:r w:rsidRPr="00216E39">
        <w:rPr>
          <w:rFonts w:ascii="Tahoma" w:hAnsi="Tahoma" w:cs="Tahoma"/>
          <w:b/>
          <w:sz w:val="24"/>
          <w:szCs w:val="24"/>
        </w:rPr>
        <w:t xml:space="preserve"> (</w:t>
      </w:r>
      <w:r w:rsidR="0062504D" w:rsidRPr="00216E39">
        <w:rPr>
          <w:rFonts w:ascii="Tahoma" w:hAnsi="Tahoma" w:cs="Tahoma"/>
          <w:b/>
          <w:sz w:val="24"/>
          <w:szCs w:val="24"/>
        </w:rPr>
        <w:t>19,2</w:t>
      </w:r>
      <w:r w:rsidRPr="00216E39">
        <w:rPr>
          <w:rFonts w:ascii="Tahoma" w:hAnsi="Tahoma" w:cs="Tahoma"/>
          <w:b/>
          <w:sz w:val="24"/>
          <w:szCs w:val="24"/>
        </w:rPr>
        <w:t>% din PIB)</w:t>
      </w:r>
      <w:r w:rsidRPr="00216E39">
        <w:rPr>
          <w:rFonts w:ascii="Tahoma" w:hAnsi="Tahoma" w:cs="Tahoma"/>
          <w:sz w:val="24"/>
          <w:szCs w:val="24"/>
        </w:rPr>
        <w:t xml:space="preserve">, au crescut în termeni nominali cu </w:t>
      </w:r>
      <w:r w:rsidR="0062504D" w:rsidRPr="00216E39">
        <w:rPr>
          <w:rFonts w:ascii="Tahoma" w:hAnsi="Tahoma" w:cs="Tahoma"/>
          <w:sz w:val="24"/>
          <w:szCs w:val="24"/>
        </w:rPr>
        <w:t>21,2</w:t>
      </w:r>
      <w:r w:rsidRPr="00216E39">
        <w:rPr>
          <w:rFonts w:ascii="Tahoma" w:hAnsi="Tahoma" w:cs="Tahoma"/>
          <w:sz w:val="24"/>
          <w:szCs w:val="24"/>
        </w:rPr>
        <w:t xml:space="preserve">% față de aceeași perioadă a anului precedent, gradul de realizare al acestora fiind de </w:t>
      </w:r>
      <w:r w:rsidR="0062504D" w:rsidRPr="00216E39">
        <w:rPr>
          <w:rFonts w:ascii="Tahoma" w:hAnsi="Tahoma" w:cs="Tahoma"/>
          <w:sz w:val="24"/>
          <w:szCs w:val="24"/>
        </w:rPr>
        <w:t>90,</w:t>
      </w:r>
      <w:r w:rsidR="00B935CA" w:rsidRPr="00216E39">
        <w:rPr>
          <w:rFonts w:ascii="Tahoma" w:hAnsi="Tahoma" w:cs="Tahoma"/>
          <w:sz w:val="24"/>
          <w:szCs w:val="24"/>
        </w:rPr>
        <w:t>8</w:t>
      </w:r>
      <w:r w:rsidRPr="00216E39">
        <w:rPr>
          <w:rFonts w:ascii="Tahoma" w:hAnsi="Tahoma" w:cs="Tahoma"/>
          <w:sz w:val="24"/>
          <w:szCs w:val="24"/>
        </w:rPr>
        <w:t>%.</w:t>
      </w:r>
    </w:p>
    <w:p w:rsidR="00C62BCE" w:rsidRPr="00216E39" w:rsidRDefault="00C62BCE" w:rsidP="00262BE1">
      <w:pPr>
        <w:spacing w:after="360" w:line="276" w:lineRule="auto"/>
        <w:ind w:firstLine="0"/>
        <w:rPr>
          <w:rFonts w:ascii="Tahoma" w:hAnsi="Tahoma" w:cs="Tahoma"/>
          <w:bCs/>
          <w:sz w:val="24"/>
          <w:szCs w:val="24"/>
        </w:rPr>
      </w:pPr>
      <w:r w:rsidRPr="00216E39">
        <w:rPr>
          <w:rFonts w:ascii="Tahoma" w:hAnsi="Tahoma" w:cs="Tahoma"/>
          <w:bCs/>
          <w:sz w:val="24"/>
          <w:szCs w:val="24"/>
        </w:rPr>
        <w:t xml:space="preserve">Acestea, ca pondere în PIB, </w:t>
      </w:r>
      <w:r w:rsidR="00262BE1" w:rsidRPr="00216E39">
        <w:rPr>
          <w:rFonts w:ascii="Tahoma" w:hAnsi="Tahoma" w:cs="Tahoma"/>
          <w:bCs/>
          <w:sz w:val="24"/>
          <w:szCs w:val="24"/>
        </w:rPr>
        <w:t xml:space="preserve">au crescut </w:t>
      </w:r>
      <w:r w:rsidRPr="00216E39">
        <w:rPr>
          <w:rFonts w:ascii="Tahoma" w:hAnsi="Tahoma" w:cs="Tahoma"/>
          <w:bCs/>
          <w:sz w:val="24"/>
          <w:szCs w:val="24"/>
        </w:rPr>
        <w:t xml:space="preserve">cu </w:t>
      </w:r>
      <w:r w:rsidR="002C39D8" w:rsidRPr="00216E39">
        <w:rPr>
          <w:rFonts w:ascii="Tahoma" w:hAnsi="Tahoma" w:cs="Tahoma"/>
          <w:bCs/>
          <w:sz w:val="24"/>
          <w:szCs w:val="24"/>
        </w:rPr>
        <w:t>1,76</w:t>
      </w:r>
      <w:r w:rsidRPr="00216E39">
        <w:rPr>
          <w:rFonts w:ascii="Tahoma" w:hAnsi="Tahoma" w:cs="Tahoma"/>
          <w:bCs/>
          <w:sz w:val="24"/>
          <w:szCs w:val="24"/>
        </w:rPr>
        <w:t xml:space="preserve"> puncte procentuale de la 17,</w:t>
      </w:r>
      <w:r w:rsidR="00545B13" w:rsidRPr="00216E39">
        <w:rPr>
          <w:rFonts w:ascii="Tahoma" w:hAnsi="Tahoma" w:cs="Tahoma"/>
          <w:bCs/>
          <w:sz w:val="24"/>
          <w:szCs w:val="24"/>
        </w:rPr>
        <w:t>4</w:t>
      </w:r>
      <w:r w:rsidRPr="00216E39">
        <w:rPr>
          <w:rFonts w:ascii="Tahoma" w:hAnsi="Tahoma" w:cs="Tahoma"/>
          <w:bCs/>
          <w:sz w:val="24"/>
          <w:szCs w:val="24"/>
        </w:rPr>
        <w:t>% din PIB în semestrul I 202</w:t>
      </w:r>
      <w:r w:rsidR="00545B13" w:rsidRPr="00216E39">
        <w:rPr>
          <w:rFonts w:ascii="Tahoma" w:hAnsi="Tahoma" w:cs="Tahoma"/>
          <w:bCs/>
          <w:sz w:val="24"/>
          <w:szCs w:val="24"/>
        </w:rPr>
        <w:t>3</w:t>
      </w:r>
      <w:r w:rsidRPr="00216E39">
        <w:rPr>
          <w:rFonts w:ascii="Tahoma" w:hAnsi="Tahoma" w:cs="Tahoma"/>
          <w:bCs/>
          <w:sz w:val="24"/>
          <w:szCs w:val="24"/>
        </w:rPr>
        <w:t xml:space="preserve"> la </w:t>
      </w:r>
      <w:r w:rsidR="00545B13" w:rsidRPr="00216E39">
        <w:rPr>
          <w:rFonts w:ascii="Tahoma" w:hAnsi="Tahoma" w:cs="Tahoma"/>
          <w:bCs/>
          <w:sz w:val="24"/>
          <w:szCs w:val="24"/>
        </w:rPr>
        <w:t>19,2</w:t>
      </w:r>
      <w:r w:rsidRPr="00216E39">
        <w:rPr>
          <w:rFonts w:ascii="Tahoma" w:hAnsi="Tahoma" w:cs="Tahoma"/>
          <w:bCs/>
          <w:sz w:val="24"/>
          <w:szCs w:val="24"/>
        </w:rPr>
        <w:t>% din PIB în semestrul I 202</w:t>
      </w:r>
      <w:r w:rsidR="00545B13" w:rsidRPr="00216E39">
        <w:rPr>
          <w:rFonts w:ascii="Tahoma" w:hAnsi="Tahoma" w:cs="Tahoma"/>
          <w:bCs/>
          <w:sz w:val="24"/>
          <w:szCs w:val="24"/>
        </w:rPr>
        <w:t>4</w:t>
      </w:r>
      <w:r w:rsidRPr="00216E39">
        <w:rPr>
          <w:rFonts w:ascii="Tahoma" w:hAnsi="Tahoma" w:cs="Tahoma"/>
          <w:bCs/>
          <w:sz w:val="24"/>
          <w:szCs w:val="24"/>
        </w:rPr>
        <w:t>.</w:t>
      </w:r>
    </w:p>
    <w:p w:rsidR="0044034D" w:rsidRPr="00216E39" w:rsidRDefault="00E17D67" w:rsidP="002A6579">
      <w:pPr>
        <w:spacing w:line="276" w:lineRule="auto"/>
        <w:ind w:right="-57" w:firstLine="0"/>
        <w:rPr>
          <w:rFonts w:ascii="Tahoma" w:hAnsi="Tahoma" w:cs="Tahoma"/>
          <w:bCs/>
          <w:sz w:val="24"/>
          <w:szCs w:val="24"/>
        </w:rPr>
      </w:pPr>
      <w:r>
        <w:rPr>
          <w:rFonts w:ascii="Tahoma" w:hAnsi="Tahoma" w:cs="Tahoma"/>
          <w:bCs/>
          <w:noProof/>
          <w:sz w:val="24"/>
          <w:szCs w:val="24"/>
        </w:rPr>
        <w:pict>
          <v:shape id="_x0000_i1027" type="#_x0000_t75" style="width:462.25pt;height:256.8pt">
            <v:imagedata r:id="rId14" o:title=""/>
          </v:shape>
        </w:pict>
      </w:r>
    </w:p>
    <w:p w:rsidR="004D6D76" w:rsidRPr="00216E39" w:rsidRDefault="004D6D76" w:rsidP="00C62BCE">
      <w:pPr>
        <w:spacing w:before="240" w:line="276" w:lineRule="auto"/>
        <w:ind w:firstLine="0"/>
        <w:rPr>
          <w:rFonts w:ascii="Tahoma" w:hAnsi="Tahoma" w:cs="Tahoma"/>
          <w:bCs/>
          <w:sz w:val="24"/>
          <w:szCs w:val="24"/>
        </w:rPr>
      </w:pPr>
      <w:r w:rsidRPr="00216E39">
        <w:rPr>
          <w:rFonts w:ascii="Tahoma" w:hAnsi="Tahoma" w:cs="Tahoma"/>
          <w:b/>
          <w:sz w:val="24"/>
          <w:szCs w:val="24"/>
        </w:rPr>
        <w:t>Cheltuielile de personal</w:t>
      </w:r>
      <w:r w:rsidRPr="00216E39">
        <w:rPr>
          <w:rFonts w:ascii="Tahoma" w:hAnsi="Tahoma" w:cs="Tahoma"/>
          <w:bCs/>
          <w:sz w:val="24"/>
          <w:szCs w:val="24"/>
        </w:rPr>
        <w:t xml:space="preserve"> au fost în sumă de </w:t>
      </w:r>
      <w:r w:rsidR="00906C17" w:rsidRPr="00216E39">
        <w:rPr>
          <w:rFonts w:ascii="Tahoma" w:hAnsi="Tahoma" w:cs="Tahoma"/>
          <w:bCs/>
          <w:sz w:val="24"/>
          <w:szCs w:val="24"/>
        </w:rPr>
        <w:t>77,6</w:t>
      </w:r>
      <w:r w:rsidR="007A755E" w:rsidRPr="00216E39">
        <w:rPr>
          <w:rFonts w:ascii="Tahoma" w:hAnsi="Tahoma" w:cs="Tahoma"/>
          <w:bCs/>
          <w:sz w:val="24"/>
          <w:szCs w:val="24"/>
        </w:rPr>
        <w:t>5</w:t>
      </w:r>
      <w:r w:rsidR="001C38E5" w:rsidRPr="00216E39">
        <w:rPr>
          <w:rFonts w:ascii="Tahoma" w:hAnsi="Tahoma" w:cs="Tahoma"/>
          <w:bCs/>
          <w:sz w:val="24"/>
          <w:szCs w:val="24"/>
        </w:rPr>
        <w:t xml:space="preserve"> miliarde </w:t>
      </w:r>
      <w:r w:rsidR="003A634F" w:rsidRPr="00216E39">
        <w:rPr>
          <w:rFonts w:ascii="Tahoma" w:hAnsi="Tahoma" w:cs="Tahoma"/>
          <w:bCs/>
          <w:sz w:val="24"/>
          <w:szCs w:val="24"/>
        </w:rPr>
        <w:t>lei</w:t>
      </w:r>
      <w:r w:rsidRPr="00216E39">
        <w:rPr>
          <w:rFonts w:ascii="Tahoma" w:hAnsi="Tahoma" w:cs="Tahoma"/>
          <w:bCs/>
          <w:sz w:val="24"/>
          <w:szCs w:val="24"/>
        </w:rPr>
        <w:t xml:space="preserve"> în creștere cu </w:t>
      </w:r>
      <w:r w:rsidR="00906C17" w:rsidRPr="00216E39">
        <w:rPr>
          <w:rFonts w:ascii="Tahoma" w:hAnsi="Tahoma" w:cs="Tahoma"/>
          <w:bCs/>
          <w:sz w:val="24"/>
          <w:szCs w:val="24"/>
        </w:rPr>
        <w:t>23,1</w:t>
      </w:r>
      <w:r w:rsidRPr="00216E39">
        <w:rPr>
          <w:rFonts w:ascii="Tahoma" w:hAnsi="Tahoma" w:cs="Tahoma"/>
          <w:bCs/>
          <w:sz w:val="24"/>
          <w:szCs w:val="24"/>
        </w:rPr>
        <w:t>% comparativ cu semestru I 20</w:t>
      </w:r>
      <w:r w:rsidR="001C38E5" w:rsidRPr="00216E39">
        <w:rPr>
          <w:rFonts w:ascii="Tahoma" w:hAnsi="Tahoma" w:cs="Tahoma"/>
          <w:bCs/>
          <w:sz w:val="24"/>
          <w:szCs w:val="24"/>
        </w:rPr>
        <w:t>2</w:t>
      </w:r>
      <w:r w:rsidR="00906C17" w:rsidRPr="00216E39">
        <w:rPr>
          <w:rFonts w:ascii="Tahoma" w:hAnsi="Tahoma" w:cs="Tahoma"/>
          <w:bCs/>
          <w:sz w:val="24"/>
          <w:szCs w:val="24"/>
        </w:rPr>
        <w:t>3</w:t>
      </w:r>
      <w:r w:rsidRPr="00216E39">
        <w:rPr>
          <w:rFonts w:ascii="Tahoma" w:hAnsi="Tahoma" w:cs="Tahoma"/>
          <w:bCs/>
          <w:sz w:val="24"/>
          <w:szCs w:val="24"/>
        </w:rPr>
        <w:t xml:space="preserve">, fiind realizate în proporție de </w:t>
      </w:r>
      <w:r w:rsidR="00906C17" w:rsidRPr="00216E39">
        <w:rPr>
          <w:rFonts w:ascii="Tahoma" w:hAnsi="Tahoma" w:cs="Tahoma"/>
          <w:bCs/>
          <w:sz w:val="24"/>
          <w:szCs w:val="24"/>
        </w:rPr>
        <w:t>99,4</w:t>
      </w:r>
      <w:r w:rsidRPr="00216E39">
        <w:rPr>
          <w:rFonts w:ascii="Tahoma" w:hAnsi="Tahoma" w:cs="Tahoma"/>
          <w:bCs/>
          <w:sz w:val="24"/>
          <w:szCs w:val="24"/>
        </w:rPr>
        <w:t xml:space="preserve">%. </w:t>
      </w:r>
    </w:p>
    <w:p w:rsidR="004D6D76" w:rsidRPr="00216E39" w:rsidRDefault="004D6D76" w:rsidP="00C62BCE">
      <w:pPr>
        <w:spacing w:line="276" w:lineRule="auto"/>
        <w:ind w:firstLine="0"/>
        <w:rPr>
          <w:rFonts w:ascii="Tahoma" w:hAnsi="Tahoma" w:cs="Tahoma"/>
          <w:bCs/>
          <w:sz w:val="24"/>
          <w:szCs w:val="24"/>
        </w:rPr>
      </w:pPr>
      <w:r w:rsidRPr="00216E39">
        <w:rPr>
          <w:rFonts w:ascii="Tahoma" w:hAnsi="Tahoma" w:cs="Tahoma"/>
          <w:bCs/>
          <w:sz w:val="24"/>
          <w:szCs w:val="24"/>
        </w:rPr>
        <w:t xml:space="preserve">Cheltuielile de personal, ca procent în PIB, </w:t>
      </w:r>
      <w:r w:rsidR="00906C17" w:rsidRPr="00216E39">
        <w:rPr>
          <w:rFonts w:ascii="Tahoma" w:hAnsi="Tahoma" w:cs="Tahoma"/>
          <w:bCs/>
          <w:sz w:val="24"/>
          <w:szCs w:val="24"/>
        </w:rPr>
        <w:t xml:space="preserve">au crescut </w:t>
      </w:r>
      <w:r w:rsidRPr="00216E39">
        <w:rPr>
          <w:rFonts w:ascii="Tahoma" w:hAnsi="Tahoma" w:cs="Tahoma"/>
          <w:bCs/>
          <w:sz w:val="24"/>
          <w:szCs w:val="24"/>
        </w:rPr>
        <w:t>cu 0,</w:t>
      </w:r>
      <w:r w:rsidR="00906C17" w:rsidRPr="00216E39">
        <w:rPr>
          <w:rFonts w:ascii="Tahoma" w:hAnsi="Tahoma" w:cs="Tahoma"/>
          <w:bCs/>
          <w:sz w:val="24"/>
          <w:szCs w:val="24"/>
        </w:rPr>
        <w:t>5</w:t>
      </w:r>
      <w:r w:rsidR="00B07E4B" w:rsidRPr="00216E39">
        <w:rPr>
          <w:rFonts w:ascii="Tahoma" w:hAnsi="Tahoma" w:cs="Tahoma"/>
          <w:bCs/>
          <w:sz w:val="24"/>
          <w:szCs w:val="24"/>
        </w:rPr>
        <w:t xml:space="preserve"> </w:t>
      </w:r>
      <w:r w:rsidRPr="00216E39">
        <w:rPr>
          <w:rFonts w:ascii="Tahoma" w:hAnsi="Tahoma" w:cs="Tahoma"/>
          <w:bCs/>
          <w:sz w:val="24"/>
          <w:szCs w:val="24"/>
        </w:rPr>
        <w:t xml:space="preserve">puncte procentuale de la </w:t>
      </w:r>
      <w:r w:rsidR="00906C17" w:rsidRPr="00216E39">
        <w:rPr>
          <w:rFonts w:ascii="Tahoma" w:hAnsi="Tahoma" w:cs="Tahoma"/>
          <w:bCs/>
          <w:sz w:val="24"/>
          <w:szCs w:val="24"/>
        </w:rPr>
        <w:t>3,9</w:t>
      </w:r>
      <w:r w:rsidRPr="00216E39">
        <w:rPr>
          <w:rFonts w:ascii="Tahoma" w:hAnsi="Tahoma" w:cs="Tahoma"/>
          <w:bCs/>
          <w:sz w:val="24"/>
          <w:szCs w:val="24"/>
        </w:rPr>
        <w:t>% din PIB cât au fost în semestrul I 20</w:t>
      </w:r>
      <w:r w:rsidR="00E401A6" w:rsidRPr="00216E39">
        <w:rPr>
          <w:rFonts w:ascii="Tahoma" w:hAnsi="Tahoma" w:cs="Tahoma"/>
          <w:bCs/>
          <w:sz w:val="24"/>
          <w:szCs w:val="24"/>
        </w:rPr>
        <w:t>2</w:t>
      </w:r>
      <w:r w:rsidR="00906C17" w:rsidRPr="00216E39">
        <w:rPr>
          <w:rFonts w:ascii="Tahoma" w:hAnsi="Tahoma" w:cs="Tahoma"/>
          <w:bCs/>
          <w:sz w:val="24"/>
          <w:szCs w:val="24"/>
        </w:rPr>
        <w:t>3</w:t>
      </w:r>
      <w:r w:rsidRPr="00216E39">
        <w:rPr>
          <w:rFonts w:ascii="Tahoma" w:hAnsi="Tahoma" w:cs="Tahoma"/>
          <w:bCs/>
          <w:sz w:val="24"/>
          <w:szCs w:val="24"/>
        </w:rPr>
        <w:t xml:space="preserve"> la 4,</w:t>
      </w:r>
      <w:r w:rsidR="00906C17" w:rsidRPr="00216E39">
        <w:rPr>
          <w:rFonts w:ascii="Tahoma" w:hAnsi="Tahoma" w:cs="Tahoma"/>
          <w:bCs/>
          <w:sz w:val="24"/>
          <w:szCs w:val="24"/>
        </w:rPr>
        <w:t>4</w:t>
      </w:r>
      <w:r w:rsidRPr="00216E39">
        <w:rPr>
          <w:rFonts w:ascii="Tahoma" w:hAnsi="Tahoma" w:cs="Tahoma"/>
          <w:bCs/>
          <w:sz w:val="24"/>
          <w:szCs w:val="24"/>
        </w:rPr>
        <w:t xml:space="preserve"> % din PIB în semestrul I 20</w:t>
      </w:r>
      <w:r w:rsidR="000C4F84" w:rsidRPr="00216E39">
        <w:rPr>
          <w:rFonts w:ascii="Tahoma" w:hAnsi="Tahoma" w:cs="Tahoma"/>
          <w:bCs/>
          <w:sz w:val="24"/>
          <w:szCs w:val="24"/>
        </w:rPr>
        <w:t>2</w:t>
      </w:r>
      <w:r w:rsidR="00906C17" w:rsidRPr="00216E39">
        <w:rPr>
          <w:rFonts w:ascii="Tahoma" w:hAnsi="Tahoma" w:cs="Tahoma"/>
          <w:bCs/>
          <w:sz w:val="24"/>
          <w:szCs w:val="24"/>
        </w:rPr>
        <w:t>4</w:t>
      </w:r>
      <w:r w:rsidRPr="00216E39">
        <w:rPr>
          <w:rFonts w:ascii="Tahoma" w:hAnsi="Tahoma" w:cs="Tahoma"/>
          <w:bCs/>
          <w:sz w:val="24"/>
          <w:szCs w:val="24"/>
        </w:rPr>
        <w:t>.</w:t>
      </w:r>
    </w:p>
    <w:p w:rsidR="00C62BCE" w:rsidRPr="00216E39" w:rsidRDefault="00EA36E7" w:rsidP="00C62BCE">
      <w:pPr>
        <w:spacing w:before="120" w:after="120" w:line="276" w:lineRule="auto"/>
        <w:ind w:firstLine="0"/>
        <w:rPr>
          <w:rFonts w:ascii="Tahoma" w:eastAsia="Calibri" w:hAnsi="Tahoma" w:cs="Tahoma"/>
          <w:bCs/>
          <w:sz w:val="24"/>
          <w:szCs w:val="24"/>
        </w:rPr>
      </w:pPr>
      <w:r w:rsidRPr="00216E39">
        <w:rPr>
          <w:rFonts w:ascii="Tahoma" w:eastAsia="Calibri" w:hAnsi="Tahoma" w:cs="Tahoma"/>
          <w:bCs/>
          <w:sz w:val="24"/>
          <w:szCs w:val="24"/>
        </w:rPr>
        <w:t>Creșterea</w:t>
      </w:r>
      <w:r w:rsidR="00C62BCE" w:rsidRPr="00216E39">
        <w:rPr>
          <w:rFonts w:ascii="Tahoma" w:eastAsia="Calibri" w:hAnsi="Tahoma" w:cs="Tahoma"/>
          <w:bCs/>
          <w:sz w:val="24"/>
          <w:szCs w:val="24"/>
        </w:rPr>
        <w:t>,</w:t>
      </w:r>
      <w:r w:rsidRPr="00216E39">
        <w:rPr>
          <w:rFonts w:ascii="Tahoma" w:eastAsia="Calibri" w:hAnsi="Tahoma" w:cs="Tahoma"/>
          <w:bCs/>
          <w:sz w:val="24"/>
          <w:szCs w:val="24"/>
        </w:rPr>
        <w:t xml:space="preserve"> în termen</w:t>
      </w:r>
      <w:r w:rsidR="004C2007" w:rsidRPr="00216E39">
        <w:rPr>
          <w:rFonts w:ascii="Tahoma" w:eastAsia="Calibri" w:hAnsi="Tahoma" w:cs="Tahoma"/>
          <w:bCs/>
          <w:sz w:val="24"/>
          <w:szCs w:val="24"/>
        </w:rPr>
        <w:t>i</w:t>
      </w:r>
      <w:r w:rsidRPr="00216E39">
        <w:rPr>
          <w:rFonts w:ascii="Tahoma" w:eastAsia="Calibri" w:hAnsi="Tahoma" w:cs="Tahoma"/>
          <w:bCs/>
          <w:sz w:val="24"/>
          <w:szCs w:val="24"/>
        </w:rPr>
        <w:t xml:space="preserve"> nominal</w:t>
      </w:r>
      <w:r w:rsidR="004C2007" w:rsidRPr="00216E39">
        <w:rPr>
          <w:rFonts w:ascii="Tahoma" w:eastAsia="Calibri" w:hAnsi="Tahoma" w:cs="Tahoma"/>
          <w:bCs/>
          <w:sz w:val="24"/>
          <w:szCs w:val="24"/>
        </w:rPr>
        <w:t>i</w:t>
      </w:r>
      <w:r w:rsidR="00C62BCE" w:rsidRPr="00216E39">
        <w:rPr>
          <w:rFonts w:ascii="Tahoma" w:eastAsia="Calibri" w:hAnsi="Tahoma" w:cs="Tahoma"/>
          <w:bCs/>
          <w:sz w:val="24"/>
          <w:szCs w:val="24"/>
        </w:rPr>
        <w:t>,</w:t>
      </w:r>
      <w:r w:rsidRPr="00216E39">
        <w:rPr>
          <w:rFonts w:ascii="Tahoma" w:eastAsia="Calibri" w:hAnsi="Tahoma" w:cs="Tahoma"/>
          <w:bCs/>
          <w:sz w:val="24"/>
          <w:szCs w:val="24"/>
        </w:rPr>
        <w:t xml:space="preserve"> a cheltuielilor de personal comparativ cu semestrul I 202</w:t>
      </w:r>
      <w:r w:rsidR="001C3C2B" w:rsidRPr="00216E39">
        <w:rPr>
          <w:rFonts w:ascii="Tahoma" w:eastAsia="Calibri" w:hAnsi="Tahoma" w:cs="Tahoma"/>
          <w:bCs/>
          <w:sz w:val="24"/>
          <w:szCs w:val="24"/>
        </w:rPr>
        <w:t>3</w:t>
      </w:r>
      <w:r w:rsidR="008131F9" w:rsidRPr="00216E39">
        <w:rPr>
          <w:rFonts w:ascii="Tahoma" w:eastAsia="Calibri" w:hAnsi="Tahoma" w:cs="Tahoma"/>
          <w:bCs/>
          <w:sz w:val="24"/>
          <w:szCs w:val="24"/>
        </w:rPr>
        <w:t xml:space="preserve"> a fost determinată de creșterile salariale din sectorul bugetar acordate </w:t>
      </w:r>
      <w:r w:rsidR="003E31C4" w:rsidRPr="00216E39">
        <w:rPr>
          <w:rFonts w:ascii="Tahoma" w:eastAsia="Calibri" w:hAnsi="Tahoma" w:cs="Tahoma"/>
          <w:bCs/>
          <w:sz w:val="24"/>
          <w:szCs w:val="24"/>
        </w:rPr>
        <w:t>în anul 2023 cât și începând cu anul 2024</w:t>
      </w:r>
      <w:r w:rsidR="008131F9" w:rsidRPr="00216E39">
        <w:rPr>
          <w:rFonts w:ascii="Tahoma" w:eastAsia="Calibri" w:hAnsi="Tahoma" w:cs="Tahoma"/>
          <w:bCs/>
          <w:sz w:val="24"/>
          <w:szCs w:val="24"/>
        </w:rPr>
        <w:t xml:space="preserve"> conform prevederilor Ordonanței de urgență a Guvernului nr.</w:t>
      </w:r>
      <w:r w:rsidR="003E31C4" w:rsidRPr="00216E39">
        <w:rPr>
          <w:rFonts w:ascii="Tahoma" w:eastAsia="Calibri" w:hAnsi="Tahoma" w:cs="Tahoma"/>
          <w:bCs/>
          <w:sz w:val="24"/>
          <w:szCs w:val="24"/>
        </w:rPr>
        <w:t>115</w:t>
      </w:r>
      <w:r w:rsidR="008131F9" w:rsidRPr="00216E39">
        <w:rPr>
          <w:rFonts w:ascii="Tahoma" w:eastAsia="Calibri" w:hAnsi="Tahoma" w:cs="Tahoma"/>
          <w:bCs/>
          <w:sz w:val="24"/>
          <w:szCs w:val="24"/>
        </w:rPr>
        <w:t>/202</w:t>
      </w:r>
      <w:r w:rsidR="003E31C4" w:rsidRPr="00216E39">
        <w:rPr>
          <w:rFonts w:ascii="Tahoma" w:eastAsia="Calibri" w:hAnsi="Tahoma" w:cs="Tahoma"/>
          <w:bCs/>
          <w:sz w:val="24"/>
          <w:szCs w:val="24"/>
        </w:rPr>
        <w:t>3</w:t>
      </w:r>
      <w:r w:rsidR="008131F9" w:rsidRPr="00216E39">
        <w:rPr>
          <w:rStyle w:val="FootnoteReference"/>
          <w:rFonts w:ascii="Tahoma" w:eastAsia="Calibri" w:hAnsi="Tahoma" w:cs="Tahoma"/>
          <w:bCs/>
          <w:sz w:val="24"/>
          <w:szCs w:val="24"/>
        </w:rPr>
        <w:footnoteReference w:id="17"/>
      </w:r>
      <w:r w:rsidR="008131F9" w:rsidRPr="00216E39">
        <w:rPr>
          <w:rFonts w:ascii="Tahoma" w:eastAsia="Calibri" w:hAnsi="Tahoma" w:cs="Tahoma"/>
          <w:bCs/>
          <w:sz w:val="24"/>
          <w:szCs w:val="24"/>
        </w:rPr>
        <w:t>.</w:t>
      </w:r>
    </w:p>
    <w:p w:rsidR="005641A3" w:rsidRPr="00216E39" w:rsidRDefault="004D6D76" w:rsidP="00A1506E">
      <w:pPr>
        <w:spacing w:after="120" w:line="276" w:lineRule="auto"/>
        <w:ind w:firstLine="0"/>
        <w:rPr>
          <w:rFonts w:ascii="Tahoma" w:hAnsi="Tahoma" w:cs="Tahoma"/>
          <w:bCs/>
          <w:sz w:val="24"/>
          <w:szCs w:val="24"/>
        </w:rPr>
      </w:pPr>
      <w:r w:rsidRPr="00216E39">
        <w:rPr>
          <w:rFonts w:ascii="Tahoma" w:hAnsi="Tahoma" w:cs="Tahoma"/>
          <w:b/>
          <w:bCs/>
          <w:sz w:val="24"/>
          <w:szCs w:val="24"/>
        </w:rPr>
        <w:t xml:space="preserve">Cheltuielile cu bunuri </w:t>
      </w:r>
      <w:r w:rsidR="00247A3D" w:rsidRPr="00216E39">
        <w:rPr>
          <w:rFonts w:ascii="Tahoma" w:hAnsi="Tahoma" w:cs="Tahoma"/>
          <w:b/>
          <w:bCs/>
          <w:sz w:val="24"/>
          <w:szCs w:val="24"/>
        </w:rPr>
        <w:t>și</w:t>
      </w:r>
      <w:r w:rsidRPr="00216E39">
        <w:rPr>
          <w:rFonts w:ascii="Tahoma" w:hAnsi="Tahoma" w:cs="Tahoma"/>
          <w:b/>
          <w:bCs/>
          <w:sz w:val="24"/>
          <w:szCs w:val="24"/>
        </w:rPr>
        <w:t xml:space="preserve"> servicii </w:t>
      </w:r>
      <w:r w:rsidRPr="00216E39">
        <w:rPr>
          <w:rFonts w:ascii="Tahoma" w:hAnsi="Tahoma" w:cs="Tahoma"/>
          <w:bCs/>
          <w:sz w:val="24"/>
          <w:szCs w:val="24"/>
        </w:rPr>
        <w:t xml:space="preserve">au totalizat </w:t>
      </w:r>
      <w:r w:rsidR="00906C17" w:rsidRPr="00216E39">
        <w:rPr>
          <w:rFonts w:ascii="Tahoma" w:hAnsi="Tahoma" w:cs="Tahoma"/>
          <w:bCs/>
          <w:sz w:val="24"/>
          <w:szCs w:val="24"/>
        </w:rPr>
        <w:t>45,0</w:t>
      </w:r>
      <w:r w:rsidR="007A755E" w:rsidRPr="00216E39">
        <w:rPr>
          <w:rFonts w:ascii="Tahoma" w:hAnsi="Tahoma" w:cs="Tahoma"/>
          <w:bCs/>
          <w:sz w:val="24"/>
          <w:szCs w:val="24"/>
        </w:rPr>
        <w:t>7</w:t>
      </w:r>
      <w:r w:rsidR="00E401A6" w:rsidRPr="00216E39">
        <w:rPr>
          <w:rFonts w:ascii="Tahoma" w:hAnsi="Tahoma" w:cs="Tahoma"/>
          <w:bCs/>
          <w:sz w:val="24"/>
          <w:szCs w:val="24"/>
        </w:rPr>
        <w:t xml:space="preserve"> miliarde </w:t>
      </w:r>
      <w:r w:rsidR="003A634F" w:rsidRPr="00216E39">
        <w:rPr>
          <w:rFonts w:ascii="Tahoma" w:hAnsi="Tahoma" w:cs="Tahoma"/>
          <w:bCs/>
          <w:sz w:val="24"/>
          <w:szCs w:val="24"/>
        </w:rPr>
        <w:t>lei</w:t>
      </w:r>
      <w:r w:rsidRPr="00216E39">
        <w:rPr>
          <w:rFonts w:ascii="Tahoma" w:hAnsi="Tahoma" w:cs="Tahoma"/>
          <w:bCs/>
          <w:sz w:val="24"/>
          <w:szCs w:val="24"/>
        </w:rPr>
        <w:t xml:space="preserve"> în creștere cu </w:t>
      </w:r>
      <w:r w:rsidR="00906C17" w:rsidRPr="00216E39">
        <w:rPr>
          <w:rFonts w:ascii="Tahoma" w:hAnsi="Tahoma" w:cs="Tahoma"/>
          <w:bCs/>
          <w:sz w:val="24"/>
          <w:szCs w:val="24"/>
        </w:rPr>
        <w:t>24,</w:t>
      </w:r>
      <w:r w:rsidR="007A755E" w:rsidRPr="00216E39">
        <w:rPr>
          <w:rFonts w:ascii="Tahoma" w:hAnsi="Tahoma" w:cs="Tahoma"/>
          <w:bCs/>
          <w:sz w:val="24"/>
          <w:szCs w:val="24"/>
        </w:rPr>
        <w:t>9</w:t>
      </w:r>
      <w:r w:rsidRPr="00216E39">
        <w:rPr>
          <w:rFonts w:ascii="Tahoma" w:hAnsi="Tahoma" w:cs="Tahoma"/>
          <w:bCs/>
          <w:sz w:val="24"/>
          <w:szCs w:val="24"/>
        </w:rPr>
        <w:t xml:space="preserve">% față de aceeași perioadă a anului precedent </w:t>
      </w:r>
      <w:r w:rsidR="00247A3D" w:rsidRPr="00216E39">
        <w:rPr>
          <w:rFonts w:ascii="Tahoma" w:hAnsi="Tahoma" w:cs="Tahoma"/>
          <w:bCs/>
          <w:sz w:val="24"/>
          <w:szCs w:val="24"/>
        </w:rPr>
        <w:t>și</w:t>
      </w:r>
      <w:r w:rsidRPr="00216E39">
        <w:rPr>
          <w:rFonts w:ascii="Tahoma" w:hAnsi="Tahoma" w:cs="Tahoma"/>
          <w:bCs/>
          <w:sz w:val="24"/>
          <w:szCs w:val="24"/>
        </w:rPr>
        <w:t xml:space="preserve"> s-au realizat în proporție de </w:t>
      </w:r>
      <w:r w:rsidR="007A755E" w:rsidRPr="00216E39">
        <w:rPr>
          <w:rFonts w:ascii="Tahoma" w:hAnsi="Tahoma" w:cs="Tahoma"/>
          <w:bCs/>
          <w:sz w:val="24"/>
          <w:szCs w:val="24"/>
        </w:rPr>
        <w:t>99,0</w:t>
      </w:r>
      <w:r w:rsidRPr="00216E39">
        <w:rPr>
          <w:rFonts w:ascii="Tahoma" w:hAnsi="Tahoma" w:cs="Tahoma"/>
          <w:bCs/>
          <w:sz w:val="24"/>
          <w:szCs w:val="24"/>
        </w:rPr>
        <w:t>%.</w:t>
      </w:r>
      <w:r w:rsidR="00CA1E5F" w:rsidRPr="00216E39">
        <w:rPr>
          <w:rFonts w:ascii="Tahoma" w:hAnsi="Tahoma" w:cs="Tahoma"/>
          <w:bCs/>
          <w:sz w:val="24"/>
          <w:szCs w:val="24"/>
        </w:rPr>
        <w:t xml:space="preserve"> </w:t>
      </w:r>
      <w:r w:rsidR="00C62BCE" w:rsidRPr="00216E39">
        <w:rPr>
          <w:rFonts w:ascii="Tahoma" w:hAnsi="Tahoma" w:cs="Tahoma"/>
          <w:bCs/>
          <w:sz w:val="24"/>
          <w:szCs w:val="24"/>
        </w:rPr>
        <w:t>Ca procent în PIB che</w:t>
      </w:r>
      <w:r w:rsidR="00906C17" w:rsidRPr="00216E39">
        <w:rPr>
          <w:rFonts w:ascii="Tahoma" w:hAnsi="Tahoma" w:cs="Tahoma"/>
          <w:bCs/>
          <w:sz w:val="24"/>
          <w:szCs w:val="24"/>
        </w:rPr>
        <w:t>ltuielile cu bunuri și servicii au crescut cu 0,</w:t>
      </w:r>
      <w:r w:rsidR="007A755E" w:rsidRPr="00216E39">
        <w:rPr>
          <w:rFonts w:ascii="Tahoma" w:hAnsi="Tahoma" w:cs="Tahoma"/>
          <w:bCs/>
          <w:sz w:val="24"/>
          <w:szCs w:val="24"/>
        </w:rPr>
        <w:t>4</w:t>
      </w:r>
      <w:r w:rsidR="00906C17" w:rsidRPr="00216E39">
        <w:rPr>
          <w:rFonts w:ascii="Tahoma" w:hAnsi="Tahoma" w:cs="Tahoma"/>
          <w:bCs/>
          <w:sz w:val="24"/>
          <w:szCs w:val="24"/>
        </w:rPr>
        <w:t xml:space="preserve"> puncte procentuale de la 2,2% din PIB cât au fost în semestrul I 2023 la 2,</w:t>
      </w:r>
      <w:r w:rsidR="007A755E" w:rsidRPr="00216E39">
        <w:rPr>
          <w:rFonts w:ascii="Tahoma" w:hAnsi="Tahoma" w:cs="Tahoma"/>
          <w:bCs/>
          <w:sz w:val="24"/>
          <w:szCs w:val="24"/>
        </w:rPr>
        <w:t>6</w:t>
      </w:r>
      <w:r w:rsidR="00906C17" w:rsidRPr="00216E39">
        <w:rPr>
          <w:rFonts w:ascii="Tahoma" w:hAnsi="Tahoma" w:cs="Tahoma"/>
          <w:bCs/>
          <w:sz w:val="24"/>
          <w:szCs w:val="24"/>
        </w:rPr>
        <w:t>% din PIB în semestrul I 2024.</w:t>
      </w:r>
      <w:r w:rsidR="005641A3" w:rsidRPr="00216E39">
        <w:rPr>
          <w:rFonts w:ascii="Tahoma" w:hAnsi="Tahoma" w:cs="Tahoma"/>
          <w:bCs/>
          <w:sz w:val="24"/>
          <w:szCs w:val="24"/>
        </w:rPr>
        <w:t xml:space="preserve"> </w:t>
      </w:r>
    </w:p>
    <w:p w:rsidR="003E31C4" w:rsidRPr="00216E39" w:rsidRDefault="00A1506E" w:rsidP="00A1506E">
      <w:pPr>
        <w:spacing w:after="120" w:line="276" w:lineRule="auto"/>
        <w:ind w:firstLine="0"/>
        <w:rPr>
          <w:rFonts w:ascii="Tahoma" w:hAnsi="Tahoma" w:cs="Tahoma"/>
          <w:bCs/>
          <w:sz w:val="24"/>
          <w:szCs w:val="24"/>
        </w:rPr>
      </w:pPr>
      <w:r w:rsidRPr="00216E39">
        <w:rPr>
          <w:rFonts w:ascii="Tahoma" w:hAnsi="Tahoma" w:cs="Tahoma"/>
          <w:bCs/>
          <w:sz w:val="24"/>
          <w:szCs w:val="24"/>
        </w:rPr>
        <w:lastRenderedPageBreak/>
        <w:t>Creșterea cheltuielilor cu bunuri și servicii s-a manifestat în cazul majorității bugetelor componente ale bugetului general consolidat pe fondul presiunilor inflaționiste înregistrate în anul 202</w:t>
      </w:r>
      <w:r w:rsidR="003E31C4" w:rsidRPr="00216E39">
        <w:rPr>
          <w:rFonts w:ascii="Tahoma" w:hAnsi="Tahoma" w:cs="Tahoma"/>
          <w:bCs/>
          <w:sz w:val="24"/>
          <w:szCs w:val="24"/>
        </w:rPr>
        <w:t>3</w:t>
      </w:r>
      <w:r w:rsidR="005641A3" w:rsidRPr="00216E39">
        <w:rPr>
          <w:rFonts w:ascii="Tahoma" w:hAnsi="Tahoma" w:cs="Tahoma"/>
          <w:bCs/>
          <w:sz w:val="24"/>
          <w:szCs w:val="24"/>
        </w:rPr>
        <w:t xml:space="preserve"> și 202</w:t>
      </w:r>
      <w:r w:rsidR="003E31C4" w:rsidRPr="00216E39">
        <w:rPr>
          <w:rFonts w:ascii="Tahoma" w:hAnsi="Tahoma" w:cs="Tahoma"/>
          <w:bCs/>
          <w:sz w:val="24"/>
          <w:szCs w:val="24"/>
        </w:rPr>
        <w:t>4.</w:t>
      </w:r>
    </w:p>
    <w:p w:rsidR="008131F9" w:rsidRPr="00216E39" w:rsidRDefault="004D6D76" w:rsidP="008131F9">
      <w:pPr>
        <w:spacing w:line="276" w:lineRule="auto"/>
        <w:ind w:firstLine="0"/>
        <w:rPr>
          <w:rFonts w:ascii="Tahoma" w:hAnsi="Tahoma" w:cs="Tahoma"/>
          <w:color w:val="000000"/>
          <w:sz w:val="24"/>
          <w:szCs w:val="24"/>
        </w:rPr>
      </w:pPr>
      <w:r w:rsidRPr="00216E39">
        <w:rPr>
          <w:rFonts w:ascii="Tahoma" w:hAnsi="Tahoma" w:cs="Tahoma"/>
          <w:b/>
          <w:sz w:val="24"/>
          <w:szCs w:val="24"/>
        </w:rPr>
        <w:t>Cheltui</w:t>
      </w:r>
      <w:r w:rsidRPr="00216E39">
        <w:rPr>
          <w:rFonts w:ascii="Tahoma" w:hAnsi="Tahoma" w:cs="Tahoma"/>
          <w:b/>
          <w:bCs/>
          <w:sz w:val="24"/>
          <w:szCs w:val="24"/>
        </w:rPr>
        <w:t xml:space="preserve">elile cu dobânzile </w:t>
      </w:r>
      <w:r w:rsidRPr="00216E39">
        <w:rPr>
          <w:rFonts w:ascii="Tahoma" w:hAnsi="Tahoma" w:cs="Tahoma"/>
          <w:sz w:val="24"/>
          <w:szCs w:val="24"/>
        </w:rPr>
        <w:t xml:space="preserve">au </w:t>
      </w:r>
      <w:r w:rsidR="00D26FEC" w:rsidRPr="00216E39">
        <w:rPr>
          <w:rFonts w:ascii="Tahoma" w:hAnsi="Tahoma" w:cs="Tahoma"/>
          <w:sz w:val="24"/>
          <w:szCs w:val="24"/>
        </w:rPr>
        <w:t xml:space="preserve">fost în sumă de </w:t>
      </w:r>
      <w:r w:rsidR="00906C17" w:rsidRPr="00216E39">
        <w:rPr>
          <w:rFonts w:ascii="Tahoma" w:hAnsi="Tahoma" w:cs="Tahoma"/>
          <w:sz w:val="24"/>
          <w:szCs w:val="24"/>
        </w:rPr>
        <w:t>17,61</w:t>
      </w:r>
      <w:r w:rsidR="00D26FEC" w:rsidRPr="00216E39">
        <w:rPr>
          <w:rFonts w:ascii="Tahoma" w:hAnsi="Tahoma" w:cs="Tahoma"/>
          <w:sz w:val="24"/>
          <w:szCs w:val="24"/>
        </w:rPr>
        <w:t xml:space="preserve"> miliarde </w:t>
      </w:r>
      <w:r w:rsidR="003A634F" w:rsidRPr="00216E39">
        <w:rPr>
          <w:rFonts w:ascii="Tahoma" w:hAnsi="Tahoma" w:cs="Tahoma"/>
          <w:sz w:val="24"/>
          <w:szCs w:val="24"/>
        </w:rPr>
        <w:t>lei</w:t>
      </w:r>
      <w:r w:rsidR="00B07E4B" w:rsidRPr="00216E39">
        <w:rPr>
          <w:rFonts w:ascii="Tahoma" w:hAnsi="Tahoma" w:cs="Tahoma"/>
          <w:sz w:val="24"/>
          <w:szCs w:val="24"/>
        </w:rPr>
        <w:t xml:space="preserve"> </w:t>
      </w:r>
      <w:r w:rsidR="00D26FEC" w:rsidRPr="00216E39">
        <w:rPr>
          <w:rFonts w:ascii="Tahoma" w:hAnsi="Tahoma" w:cs="Tahoma"/>
          <w:sz w:val="24"/>
          <w:szCs w:val="24"/>
        </w:rPr>
        <w:t>(</w:t>
      </w:r>
      <w:r w:rsidR="00A1506E" w:rsidRPr="00216E39">
        <w:rPr>
          <w:rFonts w:ascii="Tahoma" w:hAnsi="Tahoma" w:cs="Tahoma"/>
          <w:sz w:val="24"/>
          <w:szCs w:val="24"/>
        </w:rPr>
        <w:t>1,0</w:t>
      </w:r>
      <w:r w:rsidR="00D26FEC" w:rsidRPr="00216E39">
        <w:rPr>
          <w:rFonts w:ascii="Tahoma" w:hAnsi="Tahoma" w:cs="Tahoma"/>
          <w:sz w:val="24"/>
          <w:szCs w:val="24"/>
        </w:rPr>
        <w:t xml:space="preserve">% din PIB) </w:t>
      </w:r>
      <w:r w:rsidRPr="00216E39">
        <w:rPr>
          <w:rFonts w:ascii="Tahoma" w:hAnsi="Tahoma" w:cs="Tahoma"/>
          <w:bCs/>
          <w:sz w:val="24"/>
          <w:szCs w:val="24"/>
        </w:rPr>
        <w:t xml:space="preserve">cu </w:t>
      </w:r>
      <w:r w:rsidR="00906C17" w:rsidRPr="00216E39">
        <w:rPr>
          <w:rFonts w:ascii="Tahoma" w:hAnsi="Tahoma" w:cs="Tahoma"/>
          <w:bCs/>
          <w:sz w:val="24"/>
          <w:szCs w:val="24"/>
        </w:rPr>
        <w:t>10,4</w:t>
      </w:r>
      <w:r w:rsidRPr="00216E39">
        <w:rPr>
          <w:rFonts w:ascii="Tahoma" w:hAnsi="Tahoma" w:cs="Tahoma"/>
          <w:bCs/>
          <w:sz w:val="24"/>
          <w:szCs w:val="24"/>
        </w:rPr>
        <w:t xml:space="preserve">% </w:t>
      </w:r>
      <w:r w:rsidR="00AF6727" w:rsidRPr="00216E39">
        <w:rPr>
          <w:rFonts w:ascii="Tahoma" w:hAnsi="Tahoma" w:cs="Tahoma"/>
          <w:bCs/>
          <w:sz w:val="24"/>
          <w:szCs w:val="24"/>
        </w:rPr>
        <w:t xml:space="preserve">mai mari </w:t>
      </w:r>
      <w:r w:rsidRPr="00216E39">
        <w:rPr>
          <w:rFonts w:ascii="Tahoma" w:hAnsi="Tahoma" w:cs="Tahoma"/>
          <w:bCs/>
          <w:sz w:val="24"/>
          <w:szCs w:val="24"/>
        </w:rPr>
        <w:t>comparativ cu primul semestru al anului 20</w:t>
      </w:r>
      <w:r w:rsidR="00AF6727" w:rsidRPr="00216E39">
        <w:rPr>
          <w:rFonts w:ascii="Tahoma" w:hAnsi="Tahoma" w:cs="Tahoma"/>
          <w:bCs/>
          <w:sz w:val="24"/>
          <w:szCs w:val="24"/>
        </w:rPr>
        <w:t>2</w:t>
      </w:r>
      <w:r w:rsidR="00906C17" w:rsidRPr="00216E39">
        <w:rPr>
          <w:rFonts w:ascii="Tahoma" w:hAnsi="Tahoma" w:cs="Tahoma"/>
          <w:bCs/>
          <w:sz w:val="24"/>
          <w:szCs w:val="24"/>
        </w:rPr>
        <w:t>3</w:t>
      </w:r>
      <w:r w:rsidRPr="00216E39">
        <w:rPr>
          <w:rFonts w:ascii="Tahoma" w:hAnsi="Tahoma" w:cs="Tahoma"/>
          <w:bCs/>
          <w:sz w:val="24"/>
          <w:szCs w:val="24"/>
        </w:rPr>
        <w:t xml:space="preserve">, gradul de realizare </w:t>
      </w:r>
      <w:r w:rsidR="00AF6727" w:rsidRPr="00216E39">
        <w:rPr>
          <w:rFonts w:ascii="Tahoma" w:hAnsi="Tahoma" w:cs="Tahoma"/>
          <w:bCs/>
          <w:sz w:val="24"/>
          <w:szCs w:val="24"/>
        </w:rPr>
        <w:t xml:space="preserve">al cheltuielilor programate </w:t>
      </w:r>
      <w:r w:rsidRPr="00216E39">
        <w:rPr>
          <w:rFonts w:ascii="Tahoma" w:hAnsi="Tahoma" w:cs="Tahoma"/>
          <w:bCs/>
          <w:sz w:val="24"/>
          <w:szCs w:val="24"/>
        </w:rPr>
        <w:t>pe</w:t>
      </w:r>
      <w:r w:rsidR="00AF6727" w:rsidRPr="00216E39">
        <w:rPr>
          <w:rFonts w:ascii="Tahoma" w:hAnsi="Tahoma" w:cs="Tahoma"/>
          <w:bCs/>
          <w:sz w:val="24"/>
          <w:szCs w:val="24"/>
        </w:rPr>
        <w:t xml:space="preserve">ntru </w:t>
      </w:r>
      <w:r w:rsidR="00906C17" w:rsidRPr="00216E39">
        <w:rPr>
          <w:rFonts w:ascii="Tahoma" w:hAnsi="Tahoma" w:cs="Tahoma"/>
          <w:bCs/>
          <w:sz w:val="24"/>
          <w:szCs w:val="24"/>
        </w:rPr>
        <w:t>perioada analizată</w:t>
      </w:r>
      <w:r w:rsidRPr="00216E39">
        <w:rPr>
          <w:rFonts w:ascii="Tahoma" w:hAnsi="Tahoma" w:cs="Tahoma"/>
          <w:bCs/>
          <w:sz w:val="24"/>
          <w:szCs w:val="24"/>
        </w:rPr>
        <w:t xml:space="preserve"> fiind de </w:t>
      </w:r>
      <w:r w:rsidR="00906C17" w:rsidRPr="00216E39">
        <w:rPr>
          <w:rFonts w:ascii="Tahoma" w:hAnsi="Tahoma" w:cs="Tahoma"/>
          <w:bCs/>
          <w:sz w:val="24"/>
          <w:szCs w:val="24"/>
        </w:rPr>
        <w:t>89,0</w:t>
      </w:r>
      <w:r w:rsidRPr="00216E39">
        <w:rPr>
          <w:rFonts w:ascii="Tahoma" w:hAnsi="Tahoma" w:cs="Tahoma"/>
          <w:bCs/>
          <w:sz w:val="24"/>
          <w:szCs w:val="24"/>
        </w:rPr>
        <w:t>%.</w:t>
      </w:r>
      <w:r w:rsidR="00ED73F0" w:rsidRPr="00216E39">
        <w:rPr>
          <w:rFonts w:ascii="Tahoma" w:hAnsi="Tahoma" w:cs="Tahoma"/>
          <w:bCs/>
          <w:sz w:val="24"/>
          <w:szCs w:val="24"/>
        </w:rPr>
        <w:t xml:space="preserve"> </w:t>
      </w:r>
      <w:r w:rsidR="00A1506E" w:rsidRPr="00216E39">
        <w:rPr>
          <w:rFonts w:ascii="Tahoma" w:hAnsi="Tahoma" w:cs="Tahoma"/>
          <w:bCs/>
          <w:sz w:val="24"/>
          <w:szCs w:val="24"/>
        </w:rPr>
        <w:t xml:space="preserve">Cheltuielile cu dobânzile </w:t>
      </w:r>
      <w:r w:rsidR="00906C17" w:rsidRPr="00216E39">
        <w:rPr>
          <w:rFonts w:ascii="Tahoma" w:hAnsi="Tahoma" w:cs="Tahoma"/>
          <w:bCs/>
          <w:sz w:val="24"/>
          <w:szCs w:val="24"/>
        </w:rPr>
        <w:t>s-</w:t>
      </w:r>
      <w:r w:rsidR="00A1506E" w:rsidRPr="00216E39">
        <w:rPr>
          <w:rFonts w:ascii="Tahoma" w:hAnsi="Tahoma" w:cs="Tahoma"/>
          <w:bCs/>
          <w:sz w:val="24"/>
          <w:szCs w:val="24"/>
        </w:rPr>
        <w:t xml:space="preserve">au </w:t>
      </w:r>
      <w:r w:rsidR="00906C17" w:rsidRPr="00216E39">
        <w:rPr>
          <w:rFonts w:ascii="Tahoma" w:hAnsi="Tahoma" w:cs="Tahoma"/>
          <w:bCs/>
          <w:sz w:val="24"/>
          <w:szCs w:val="24"/>
        </w:rPr>
        <w:t xml:space="preserve">menținut la același nivel de 1,0% din PIB ca și în </w:t>
      </w:r>
      <w:r w:rsidR="00A1506E" w:rsidRPr="00216E39">
        <w:rPr>
          <w:rFonts w:ascii="Tahoma" w:hAnsi="Tahoma" w:cs="Tahoma"/>
          <w:bCs/>
          <w:sz w:val="24"/>
          <w:szCs w:val="24"/>
        </w:rPr>
        <w:t>semestrul I 202</w:t>
      </w:r>
      <w:r w:rsidR="00906C17" w:rsidRPr="00216E39">
        <w:rPr>
          <w:rFonts w:ascii="Tahoma" w:hAnsi="Tahoma" w:cs="Tahoma"/>
          <w:bCs/>
          <w:sz w:val="24"/>
          <w:szCs w:val="24"/>
        </w:rPr>
        <w:t>3.</w:t>
      </w:r>
    </w:p>
    <w:p w:rsidR="00204819" w:rsidRPr="00216E39" w:rsidRDefault="004D6D76" w:rsidP="00204819">
      <w:pPr>
        <w:spacing w:before="120" w:after="120" w:line="276" w:lineRule="auto"/>
        <w:ind w:firstLine="0"/>
        <w:rPr>
          <w:rFonts w:ascii="Tahoma" w:eastAsia="Calibri" w:hAnsi="Tahoma" w:cs="Tahoma"/>
          <w:sz w:val="24"/>
          <w:szCs w:val="24"/>
        </w:rPr>
      </w:pPr>
      <w:r w:rsidRPr="00216E39">
        <w:rPr>
          <w:rFonts w:ascii="Tahoma" w:hAnsi="Tahoma" w:cs="Tahoma"/>
          <w:b/>
          <w:bCs/>
          <w:sz w:val="24"/>
          <w:szCs w:val="24"/>
        </w:rPr>
        <w:t xml:space="preserve">Cheltuielile cu subvențiile </w:t>
      </w:r>
      <w:r w:rsidRPr="00216E39">
        <w:rPr>
          <w:rFonts w:ascii="Tahoma" w:hAnsi="Tahoma" w:cs="Tahoma"/>
          <w:bCs/>
          <w:sz w:val="24"/>
          <w:szCs w:val="24"/>
        </w:rPr>
        <w:t xml:space="preserve">au însumat </w:t>
      </w:r>
      <w:r w:rsidR="00DC6FB0" w:rsidRPr="00216E39">
        <w:rPr>
          <w:rFonts w:ascii="Tahoma" w:hAnsi="Tahoma" w:cs="Tahoma"/>
          <w:bCs/>
          <w:sz w:val="24"/>
          <w:szCs w:val="24"/>
        </w:rPr>
        <w:t>9,0</w:t>
      </w:r>
      <w:r w:rsidR="00BF4537" w:rsidRPr="00216E39">
        <w:rPr>
          <w:rFonts w:ascii="Tahoma" w:hAnsi="Tahoma" w:cs="Tahoma"/>
          <w:bCs/>
          <w:sz w:val="24"/>
          <w:szCs w:val="24"/>
        </w:rPr>
        <w:t>6</w:t>
      </w:r>
      <w:r w:rsidRPr="00216E39">
        <w:rPr>
          <w:rFonts w:ascii="Tahoma" w:hAnsi="Tahoma" w:cs="Tahoma"/>
          <w:bCs/>
          <w:sz w:val="24"/>
          <w:szCs w:val="24"/>
        </w:rPr>
        <w:t xml:space="preserve"> mili</w:t>
      </w:r>
      <w:r w:rsidR="00AF6727" w:rsidRPr="00216E39">
        <w:rPr>
          <w:rFonts w:ascii="Tahoma" w:hAnsi="Tahoma" w:cs="Tahoma"/>
          <w:bCs/>
          <w:sz w:val="24"/>
          <w:szCs w:val="24"/>
        </w:rPr>
        <w:t>arde</w:t>
      </w:r>
      <w:r w:rsidRPr="00216E39">
        <w:rPr>
          <w:rFonts w:ascii="Tahoma" w:hAnsi="Tahoma" w:cs="Tahoma"/>
          <w:bCs/>
          <w:sz w:val="24"/>
          <w:szCs w:val="24"/>
        </w:rPr>
        <w:t xml:space="preserve"> </w:t>
      </w:r>
      <w:r w:rsidR="003A634F" w:rsidRPr="00216E39">
        <w:rPr>
          <w:rFonts w:ascii="Tahoma" w:hAnsi="Tahoma" w:cs="Tahoma"/>
          <w:bCs/>
          <w:sz w:val="24"/>
          <w:szCs w:val="24"/>
        </w:rPr>
        <w:t>lei</w:t>
      </w:r>
      <w:r w:rsidRPr="00216E39">
        <w:rPr>
          <w:rFonts w:ascii="Tahoma" w:hAnsi="Tahoma" w:cs="Tahoma"/>
          <w:bCs/>
          <w:sz w:val="24"/>
          <w:szCs w:val="24"/>
        </w:rPr>
        <w:t xml:space="preserve"> (0,</w:t>
      </w:r>
      <w:r w:rsidR="00BF4537" w:rsidRPr="00216E39">
        <w:rPr>
          <w:rFonts w:ascii="Tahoma" w:hAnsi="Tahoma" w:cs="Tahoma"/>
          <w:bCs/>
          <w:sz w:val="24"/>
          <w:szCs w:val="24"/>
        </w:rPr>
        <w:t>5</w:t>
      </w:r>
      <w:r w:rsidRPr="00216E39">
        <w:rPr>
          <w:rFonts w:ascii="Tahoma" w:hAnsi="Tahoma" w:cs="Tahoma"/>
          <w:bCs/>
          <w:sz w:val="24"/>
          <w:szCs w:val="24"/>
        </w:rPr>
        <w:t xml:space="preserve">% din PIB) cu </w:t>
      </w:r>
      <w:r w:rsidR="00BF4537" w:rsidRPr="00216E39">
        <w:rPr>
          <w:rFonts w:ascii="Tahoma" w:hAnsi="Tahoma" w:cs="Tahoma"/>
          <w:bCs/>
          <w:sz w:val="24"/>
          <w:szCs w:val="24"/>
        </w:rPr>
        <w:t>1,3</w:t>
      </w:r>
      <w:r w:rsidRPr="00216E39">
        <w:rPr>
          <w:rFonts w:ascii="Tahoma" w:hAnsi="Tahoma" w:cs="Tahoma"/>
          <w:bCs/>
          <w:sz w:val="24"/>
          <w:szCs w:val="24"/>
        </w:rPr>
        <w:t xml:space="preserve">% mai </w:t>
      </w:r>
      <w:r w:rsidR="00742FB9" w:rsidRPr="00216E39">
        <w:rPr>
          <w:rFonts w:ascii="Tahoma" w:hAnsi="Tahoma" w:cs="Tahoma"/>
          <w:bCs/>
          <w:sz w:val="24"/>
          <w:szCs w:val="24"/>
        </w:rPr>
        <w:t>mari</w:t>
      </w:r>
      <w:r w:rsidRPr="00216E39">
        <w:rPr>
          <w:rFonts w:ascii="Tahoma" w:hAnsi="Tahoma" w:cs="Tahoma"/>
          <w:bCs/>
          <w:sz w:val="24"/>
          <w:szCs w:val="24"/>
        </w:rPr>
        <w:t xml:space="preserve"> comparativ cu aceeași perioadă a anului anterior, </w:t>
      </w:r>
      <w:r w:rsidR="00583D0F" w:rsidRPr="00216E39">
        <w:rPr>
          <w:rFonts w:ascii="Tahoma" w:hAnsi="Tahoma" w:cs="Tahoma"/>
          <w:bCs/>
          <w:sz w:val="24"/>
          <w:szCs w:val="24"/>
        </w:rPr>
        <w:t xml:space="preserve">gradul de realizare </w:t>
      </w:r>
      <w:r w:rsidR="00AF6727" w:rsidRPr="00216E39">
        <w:rPr>
          <w:rFonts w:ascii="Tahoma" w:hAnsi="Tahoma" w:cs="Tahoma"/>
          <w:bCs/>
          <w:sz w:val="24"/>
          <w:szCs w:val="24"/>
        </w:rPr>
        <w:t xml:space="preserve">al cheltuielilor programate pentru </w:t>
      </w:r>
      <w:r w:rsidR="00BF4537" w:rsidRPr="00216E39">
        <w:rPr>
          <w:rFonts w:ascii="Tahoma" w:hAnsi="Tahoma" w:cs="Tahoma"/>
          <w:bCs/>
          <w:sz w:val="24"/>
          <w:szCs w:val="24"/>
        </w:rPr>
        <w:t>perioada analizată</w:t>
      </w:r>
      <w:r w:rsidR="00AF6727" w:rsidRPr="00216E39">
        <w:rPr>
          <w:rFonts w:ascii="Tahoma" w:hAnsi="Tahoma" w:cs="Tahoma"/>
          <w:bCs/>
          <w:sz w:val="24"/>
          <w:szCs w:val="24"/>
        </w:rPr>
        <w:t xml:space="preserve"> fiind de </w:t>
      </w:r>
      <w:r w:rsidR="00BF4537" w:rsidRPr="00216E39">
        <w:rPr>
          <w:rFonts w:ascii="Tahoma" w:hAnsi="Tahoma" w:cs="Tahoma"/>
          <w:bCs/>
          <w:sz w:val="24"/>
          <w:szCs w:val="24"/>
        </w:rPr>
        <w:t>94,8</w:t>
      </w:r>
      <w:r w:rsidR="00AF6727" w:rsidRPr="00216E39">
        <w:rPr>
          <w:rFonts w:ascii="Tahoma" w:hAnsi="Tahoma" w:cs="Tahoma"/>
          <w:bCs/>
          <w:sz w:val="24"/>
          <w:szCs w:val="24"/>
        </w:rPr>
        <w:t>%</w:t>
      </w:r>
      <w:r w:rsidRPr="00216E39">
        <w:rPr>
          <w:rFonts w:ascii="Tahoma" w:hAnsi="Tahoma" w:cs="Tahoma"/>
          <w:bCs/>
          <w:sz w:val="24"/>
          <w:szCs w:val="24"/>
        </w:rPr>
        <w:t>.</w:t>
      </w:r>
      <w:r w:rsidR="001B5DB9" w:rsidRPr="00216E39">
        <w:rPr>
          <w:rFonts w:ascii="Tahoma" w:hAnsi="Tahoma" w:cs="Tahoma"/>
          <w:sz w:val="24"/>
          <w:szCs w:val="24"/>
        </w:rPr>
        <w:t xml:space="preserve"> C</w:t>
      </w:r>
      <w:r w:rsidR="001B5DB9" w:rsidRPr="00216E39">
        <w:rPr>
          <w:rFonts w:ascii="Tahoma" w:hAnsi="Tahoma" w:cs="Tahoma"/>
          <w:bCs/>
          <w:sz w:val="24"/>
          <w:szCs w:val="24"/>
        </w:rPr>
        <w:t>ea mai mare parte dintre aceste cheltuieli au reprezentat alocări către sectorul agrico</w:t>
      </w:r>
      <w:r w:rsidR="00EB1916" w:rsidRPr="00216E39">
        <w:rPr>
          <w:rFonts w:ascii="Tahoma" w:hAnsi="Tahoma" w:cs="Tahoma"/>
          <w:bCs/>
          <w:sz w:val="24"/>
          <w:szCs w:val="24"/>
        </w:rPr>
        <w:t>l și transporturi, respectiv subv</w:t>
      </w:r>
      <w:r w:rsidR="001B5DB9" w:rsidRPr="00216E39">
        <w:rPr>
          <w:rFonts w:ascii="Tahoma" w:hAnsi="Tahoma" w:cs="Tahoma"/>
          <w:bCs/>
          <w:sz w:val="24"/>
          <w:szCs w:val="24"/>
        </w:rPr>
        <w:t>enții pentru sprijinirea pro</w:t>
      </w:r>
      <w:r w:rsidR="00A35247" w:rsidRPr="00216E39">
        <w:rPr>
          <w:rFonts w:ascii="Tahoma" w:hAnsi="Tahoma" w:cs="Tahoma"/>
          <w:bCs/>
          <w:sz w:val="24"/>
          <w:szCs w:val="24"/>
        </w:rPr>
        <w:t>ducătorilor agricoli</w:t>
      </w:r>
      <w:r w:rsidR="00B07E4B" w:rsidRPr="00216E39">
        <w:rPr>
          <w:rFonts w:ascii="Tahoma" w:hAnsi="Tahoma" w:cs="Tahoma"/>
          <w:bCs/>
          <w:sz w:val="24"/>
          <w:szCs w:val="24"/>
        </w:rPr>
        <w:t xml:space="preserve"> </w:t>
      </w:r>
      <w:r w:rsidR="00A35247" w:rsidRPr="00216E39">
        <w:rPr>
          <w:rFonts w:ascii="Tahoma" w:hAnsi="Tahoma" w:cs="Tahoma"/>
          <w:bCs/>
          <w:sz w:val="24"/>
          <w:szCs w:val="24"/>
        </w:rPr>
        <w:t xml:space="preserve">și </w:t>
      </w:r>
      <w:r w:rsidR="001B5DB9" w:rsidRPr="00216E39">
        <w:rPr>
          <w:rFonts w:ascii="Tahoma" w:hAnsi="Tahoma" w:cs="Tahoma"/>
          <w:bCs/>
          <w:sz w:val="24"/>
          <w:szCs w:val="24"/>
        </w:rPr>
        <w:t>pentru transportul călătorilor</w:t>
      </w:r>
      <w:r w:rsidR="008A5E1F" w:rsidRPr="00216E39">
        <w:rPr>
          <w:rFonts w:ascii="Tahoma" w:hAnsi="Tahoma" w:cs="Tahoma"/>
          <w:bCs/>
          <w:sz w:val="24"/>
          <w:szCs w:val="24"/>
        </w:rPr>
        <w:t>,</w:t>
      </w:r>
      <w:r w:rsidR="008A5E1F" w:rsidRPr="00216E39">
        <w:rPr>
          <w:rFonts w:ascii="Tahoma" w:eastAsia="Calibri" w:hAnsi="Tahoma" w:cs="Tahoma"/>
          <w:sz w:val="24"/>
          <w:szCs w:val="24"/>
        </w:rPr>
        <w:t xml:space="preserve"> precum și pentru schema de compensare pentru consumul de energie electrica și gaze naturale al consumatorilor noncasnici </w:t>
      </w:r>
      <w:r w:rsidR="00204819" w:rsidRPr="00216E39">
        <w:rPr>
          <w:rFonts w:ascii="Tahoma" w:eastAsia="Calibri" w:hAnsi="Tahoma" w:cs="Tahoma"/>
          <w:sz w:val="24"/>
          <w:szCs w:val="24"/>
        </w:rPr>
        <w:t>(</w:t>
      </w:r>
      <w:r w:rsidR="003E31C4" w:rsidRPr="00216E39">
        <w:rPr>
          <w:rFonts w:ascii="Tahoma" w:eastAsia="Calibri" w:hAnsi="Tahoma" w:cs="Tahoma"/>
          <w:sz w:val="24"/>
          <w:szCs w:val="24"/>
        </w:rPr>
        <w:t>0,94</w:t>
      </w:r>
      <w:r w:rsidR="00204819" w:rsidRPr="00216E39">
        <w:rPr>
          <w:rFonts w:ascii="Tahoma" w:eastAsia="Calibri" w:hAnsi="Tahoma" w:cs="Tahoma"/>
          <w:sz w:val="24"/>
          <w:szCs w:val="24"/>
        </w:rPr>
        <w:t xml:space="preserve"> mld lei) care reprezintă </w:t>
      </w:r>
      <w:r w:rsidR="003E31C4" w:rsidRPr="00216E39">
        <w:rPr>
          <w:rFonts w:ascii="Tahoma" w:eastAsia="Calibri" w:hAnsi="Tahoma" w:cs="Tahoma"/>
          <w:sz w:val="24"/>
          <w:szCs w:val="24"/>
        </w:rPr>
        <w:t>10,32</w:t>
      </w:r>
      <w:r w:rsidR="00204819" w:rsidRPr="00216E39">
        <w:rPr>
          <w:rFonts w:ascii="Tahoma" w:eastAsia="Calibri" w:hAnsi="Tahoma" w:cs="Tahoma"/>
          <w:sz w:val="24"/>
          <w:szCs w:val="24"/>
        </w:rPr>
        <w:t xml:space="preserve">% din total subvenții. </w:t>
      </w:r>
    </w:p>
    <w:p w:rsidR="00EC61E9" w:rsidRPr="00216E39" w:rsidRDefault="001B5DB9" w:rsidP="00742FB9">
      <w:pPr>
        <w:spacing w:before="240" w:line="276" w:lineRule="auto"/>
        <w:ind w:firstLine="0"/>
        <w:contextualSpacing/>
        <w:rPr>
          <w:rFonts w:ascii="Tahoma" w:hAnsi="Tahoma" w:cs="Tahoma"/>
          <w:bCs/>
          <w:sz w:val="24"/>
          <w:szCs w:val="24"/>
        </w:rPr>
      </w:pPr>
      <w:r w:rsidRPr="00216E39">
        <w:rPr>
          <w:rFonts w:ascii="Tahoma" w:hAnsi="Tahoma" w:cs="Tahoma"/>
          <w:b/>
          <w:bCs/>
          <w:sz w:val="24"/>
          <w:szCs w:val="24"/>
        </w:rPr>
        <w:t>Cheltuielile cu asistența socială</w:t>
      </w:r>
      <w:r w:rsidRPr="00216E39">
        <w:rPr>
          <w:rFonts w:ascii="Tahoma" w:hAnsi="Tahoma" w:cs="Tahoma"/>
          <w:bCs/>
          <w:sz w:val="24"/>
          <w:szCs w:val="24"/>
        </w:rPr>
        <w:t xml:space="preserve"> au fost de </w:t>
      </w:r>
      <w:r w:rsidR="00BF4537" w:rsidRPr="00216E39">
        <w:rPr>
          <w:rFonts w:ascii="Tahoma" w:hAnsi="Tahoma" w:cs="Tahoma"/>
          <w:bCs/>
          <w:sz w:val="24"/>
          <w:szCs w:val="24"/>
        </w:rPr>
        <w:t>109,7</w:t>
      </w:r>
      <w:r w:rsidR="007A755E" w:rsidRPr="00216E39">
        <w:rPr>
          <w:rFonts w:ascii="Tahoma" w:hAnsi="Tahoma" w:cs="Tahoma"/>
          <w:bCs/>
          <w:sz w:val="24"/>
          <w:szCs w:val="24"/>
        </w:rPr>
        <w:t>6</w:t>
      </w:r>
      <w:r w:rsidR="00742FB9" w:rsidRPr="00216E39">
        <w:rPr>
          <w:rFonts w:ascii="Tahoma" w:hAnsi="Tahoma" w:cs="Tahoma"/>
          <w:bCs/>
          <w:sz w:val="24"/>
          <w:szCs w:val="24"/>
        </w:rPr>
        <w:t xml:space="preserve"> </w:t>
      </w:r>
      <w:r w:rsidR="00AF6727" w:rsidRPr="00216E39">
        <w:rPr>
          <w:rFonts w:ascii="Tahoma" w:hAnsi="Tahoma" w:cs="Tahoma"/>
          <w:bCs/>
          <w:sz w:val="24"/>
          <w:szCs w:val="24"/>
        </w:rPr>
        <w:t>miliarde</w:t>
      </w:r>
      <w:r w:rsidR="00742FB9" w:rsidRPr="00216E39">
        <w:rPr>
          <w:rFonts w:ascii="Tahoma" w:hAnsi="Tahoma" w:cs="Tahoma"/>
          <w:bCs/>
          <w:sz w:val="24"/>
          <w:szCs w:val="24"/>
        </w:rPr>
        <w:t xml:space="preserve"> </w:t>
      </w:r>
      <w:r w:rsidR="003A634F" w:rsidRPr="00216E39">
        <w:rPr>
          <w:rFonts w:ascii="Tahoma" w:hAnsi="Tahoma" w:cs="Tahoma"/>
          <w:bCs/>
          <w:sz w:val="24"/>
          <w:szCs w:val="24"/>
        </w:rPr>
        <w:t>lei</w:t>
      </w:r>
      <w:r w:rsidR="00AF6727" w:rsidRPr="00216E39">
        <w:rPr>
          <w:rFonts w:ascii="Tahoma" w:hAnsi="Tahoma" w:cs="Tahoma"/>
          <w:bCs/>
          <w:sz w:val="24"/>
          <w:szCs w:val="24"/>
        </w:rPr>
        <w:t xml:space="preserve"> (6</w:t>
      </w:r>
      <w:r w:rsidR="00742FB9" w:rsidRPr="00216E39">
        <w:rPr>
          <w:rFonts w:ascii="Tahoma" w:hAnsi="Tahoma" w:cs="Tahoma"/>
          <w:bCs/>
          <w:sz w:val="24"/>
          <w:szCs w:val="24"/>
        </w:rPr>
        <w:t>,</w:t>
      </w:r>
      <w:r w:rsidR="00BF4537" w:rsidRPr="00216E39">
        <w:rPr>
          <w:rFonts w:ascii="Tahoma" w:hAnsi="Tahoma" w:cs="Tahoma"/>
          <w:bCs/>
          <w:sz w:val="24"/>
          <w:szCs w:val="24"/>
        </w:rPr>
        <w:t>2</w:t>
      </w:r>
      <w:r w:rsidR="00AF6727" w:rsidRPr="00216E39">
        <w:rPr>
          <w:rFonts w:ascii="Tahoma" w:hAnsi="Tahoma" w:cs="Tahoma"/>
          <w:bCs/>
          <w:sz w:val="24"/>
          <w:szCs w:val="24"/>
        </w:rPr>
        <w:t>% din PIB)</w:t>
      </w:r>
      <w:r w:rsidRPr="00216E39">
        <w:rPr>
          <w:rFonts w:ascii="Tahoma" w:hAnsi="Tahoma" w:cs="Tahoma"/>
          <w:bCs/>
          <w:sz w:val="24"/>
          <w:szCs w:val="24"/>
        </w:rPr>
        <w:t xml:space="preserve"> în creștere cu </w:t>
      </w:r>
      <w:r w:rsidR="00BF4537" w:rsidRPr="00216E39">
        <w:rPr>
          <w:rFonts w:ascii="Tahoma" w:hAnsi="Tahoma" w:cs="Tahoma"/>
          <w:bCs/>
          <w:sz w:val="24"/>
          <w:szCs w:val="24"/>
        </w:rPr>
        <w:t>12</w:t>
      </w:r>
      <w:r w:rsidR="003A0A0C" w:rsidRPr="00216E39">
        <w:rPr>
          <w:rFonts w:ascii="Tahoma" w:hAnsi="Tahoma" w:cs="Tahoma"/>
          <w:bCs/>
          <w:sz w:val="24"/>
          <w:szCs w:val="24"/>
        </w:rPr>
        <w:t>,3</w:t>
      </w:r>
      <w:r w:rsidRPr="00216E39">
        <w:rPr>
          <w:rFonts w:ascii="Tahoma" w:hAnsi="Tahoma" w:cs="Tahoma"/>
          <w:bCs/>
          <w:sz w:val="24"/>
          <w:szCs w:val="24"/>
        </w:rPr>
        <w:t>% comparativ cu aceeași perioadă a anului precedent</w:t>
      </w:r>
      <w:r w:rsidR="00EC61E9" w:rsidRPr="00216E39">
        <w:rPr>
          <w:rFonts w:ascii="Tahoma" w:hAnsi="Tahoma" w:cs="Tahoma"/>
          <w:bCs/>
          <w:sz w:val="24"/>
          <w:szCs w:val="24"/>
        </w:rPr>
        <w:t xml:space="preserve"> și s-au efectuat în proporție de </w:t>
      </w:r>
      <w:r w:rsidR="00AF6727" w:rsidRPr="00216E39">
        <w:rPr>
          <w:rFonts w:ascii="Tahoma" w:hAnsi="Tahoma" w:cs="Tahoma"/>
          <w:bCs/>
          <w:sz w:val="24"/>
          <w:szCs w:val="24"/>
        </w:rPr>
        <w:t>9</w:t>
      </w:r>
      <w:r w:rsidR="003A0A0C" w:rsidRPr="00216E39">
        <w:rPr>
          <w:rFonts w:ascii="Tahoma" w:hAnsi="Tahoma" w:cs="Tahoma"/>
          <w:bCs/>
          <w:sz w:val="24"/>
          <w:szCs w:val="24"/>
        </w:rPr>
        <w:t>9</w:t>
      </w:r>
      <w:r w:rsidR="00AF6727" w:rsidRPr="00216E39">
        <w:rPr>
          <w:rFonts w:ascii="Tahoma" w:hAnsi="Tahoma" w:cs="Tahoma"/>
          <w:bCs/>
          <w:sz w:val="24"/>
          <w:szCs w:val="24"/>
        </w:rPr>
        <w:t>,</w:t>
      </w:r>
      <w:r w:rsidR="00BF4537" w:rsidRPr="00216E39">
        <w:rPr>
          <w:rFonts w:ascii="Tahoma" w:hAnsi="Tahoma" w:cs="Tahoma"/>
          <w:bCs/>
          <w:sz w:val="24"/>
          <w:szCs w:val="24"/>
        </w:rPr>
        <w:t>3</w:t>
      </w:r>
      <w:r w:rsidR="00EC61E9" w:rsidRPr="00216E39">
        <w:rPr>
          <w:rFonts w:ascii="Tahoma" w:hAnsi="Tahoma" w:cs="Tahoma"/>
          <w:bCs/>
          <w:sz w:val="24"/>
          <w:szCs w:val="24"/>
        </w:rPr>
        <w:t>% comparativ cu programul semestrial.</w:t>
      </w:r>
    </w:p>
    <w:p w:rsidR="003E31C4" w:rsidRPr="00216E39" w:rsidRDefault="00742FB9" w:rsidP="003E31C4">
      <w:pPr>
        <w:spacing w:line="276" w:lineRule="auto"/>
        <w:ind w:firstLine="0"/>
        <w:rPr>
          <w:rFonts w:ascii="Tahoma" w:hAnsi="Tahoma" w:cs="Tahoma"/>
          <w:bCs/>
          <w:sz w:val="24"/>
          <w:szCs w:val="24"/>
        </w:rPr>
      </w:pPr>
      <w:r w:rsidRPr="00216E39">
        <w:rPr>
          <w:rFonts w:ascii="Tahoma" w:hAnsi="Tahoma" w:cs="Tahoma"/>
          <w:sz w:val="24"/>
          <w:szCs w:val="24"/>
        </w:rPr>
        <w:t xml:space="preserve">Evoluția cheltuielilor cu asistența socială a fost influențată, în principal, </w:t>
      </w:r>
      <w:r w:rsidR="003E31C4" w:rsidRPr="00216E39">
        <w:rPr>
          <w:rFonts w:ascii="Tahoma" w:hAnsi="Tahoma" w:cs="Tahoma"/>
          <w:bCs/>
          <w:sz w:val="24"/>
          <w:szCs w:val="24"/>
        </w:rPr>
        <w:t>de majorarea de la 1 ianuarie 2024, cu 13,8% a punctului de pensie, respectiv de la 1.785 lei la 2.032 lei, a îndemnizației sociale pentru pensionari (pensia minimă) de la 1.125 lei la 1.281 lei, în conformitate cu prevederile Legii nr. 360/2023 din 29 noiembrie 2023 privind sistemul public de pensii.</w:t>
      </w:r>
    </w:p>
    <w:p w:rsidR="00742FB9" w:rsidRPr="00216E39" w:rsidRDefault="008A5E1F" w:rsidP="003A0A0C">
      <w:pPr>
        <w:spacing w:line="276" w:lineRule="auto"/>
        <w:ind w:firstLine="0"/>
        <w:rPr>
          <w:rFonts w:ascii="Tahoma" w:hAnsi="Tahoma" w:cs="Tahoma"/>
          <w:sz w:val="24"/>
          <w:szCs w:val="24"/>
        </w:rPr>
      </w:pPr>
      <w:r w:rsidRPr="00216E39">
        <w:rPr>
          <w:rFonts w:ascii="Tahoma" w:hAnsi="Tahoma" w:cs="Tahoma"/>
          <w:sz w:val="24"/>
          <w:szCs w:val="24"/>
        </w:rPr>
        <w:t xml:space="preserve">Cheltuielile cu asistența socială au fost influențate și de plățile suportate de la bugetul de stat pentru compensarea facturilor pentru energie electrică și gaze naturale, </w:t>
      </w:r>
      <w:r w:rsidR="00ED73F0" w:rsidRPr="00216E39">
        <w:rPr>
          <w:rFonts w:ascii="Tahoma" w:hAnsi="Tahoma" w:cs="Tahoma"/>
          <w:sz w:val="24"/>
          <w:szCs w:val="24"/>
        </w:rPr>
        <w:t>care</w:t>
      </w:r>
      <w:r w:rsidRPr="00216E39">
        <w:rPr>
          <w:rFonts w:ascii="Tahoma" w:hAnsi="Tahoma" w:cs="Tahoma"/>
          <w:sz w:val="24"/>
          <w:szCs w:val="24"/>
        </w:rPr>
        <w:t xml:space="preserve"> până la finele lunii iunie 202</w:t>
      </w:r>
      <w:r w:rsidR="003E31C4" w:rsidRPr="00216E39">
        <w:rPr>
          <w:rFonts w:ascii="Tahoma" w:hAnsi="Tahoma" w:cs="Tahoma"/>
          <w:sz w:val="24"/>
          <w:szCs w:val="24"/>
        </w:rPr>
        <w:t>4</w:t>
      </w:r>
      <w:r w:rsidRPr="00216E39">
        <w:rPr>
          <w:rFonts w:ascii="Tahoma" w:hAnsi="Tahoma" w:cs="Tahoma"/>
          <w:sz w:val="24"/>
          <w:szCs w:val="24"/>
        </w:rPr>
        <w:t xml:space="preserve">, au fost în sumă de </w:t>
      </w:r>
      <w:r w:rsidR="003E31C4" w:rsidRPr="00216E39">
        <w:rPr>
          <w:rFonts w:ascii="Tahoma" w:hAnsi="Tahoma" w:cs="Tahoma"/>
          <w:bCs/>
          <w:sz w:val="24"/>
          <w:szCs w:val="24"/>
        </w:rPr>
        <w:t>1,9</w:t>
      </w:r>
      <w:r w:rsidR="003A0A0C" w:rsidRPr="00216E39">
        <w:rPr>
          <w:rFonts w:ascii="Tahoma" w:hAnsi="Tahoma" w:cs="Tahoma"/>
          <w:bCs/>
          <w:sz w:val="24"/>
          <w:szCs w:val="24"/>
        </w:rPr>
        <w:t xml:space="preserve">3 </w:t>
      </w:r>
      <w:r w:rsidR="00487959" w:rsidRPr="00216E39">
        <w:rPr>
          <w:rFonts w:ascii="Tahoma" w:hAnsi="Tahoma" w:cs="Tahoma"/>
          <w:sz w:val="24"/>
          <w:szCs w:val="24"/>
        </w:rPr>
        <w:t xml:space="preserve">miliarde </w:t>
      </w:r>
      <w:r w:rsidR="003A634F" w:rsidRPr="00216E39">
        <w:rPr>
          <w:rFonts w:ascii="Tahoma" w:hAnsi="Tahoma" w:cs="Tahoma"/>
          <w:sz w:val="24"/>
          <w:szCs w:val="24"/>
        </w:rPr>
        <w:t>lei</w:t>
      </w:r>
      <w:r w:rsidRPr="00216E39">
        <w:rPr>
          <w:rFonts w:ascii="Tahoma" w:hAnsi="Tahoma" w:cs="Tahoma"/>
          <w:sz w:val="24"/>
          <w:szCs w:val="24"/>
        </w:rPr>
        <w:t>.</w:t>
      </w:r>
    </w:p>
    <w:p w:rsidR="00781BE6" w:rsidRPr="00216E39" w:rsidRDefault="004D6D76" w:rsidP="008A5E1F">
      <w:pPr>
        <w:spacing w:before="120" w:after="120" w:line="276" w:lineRule="auto"/>
        <w:ind w:firstLine="0"/>
        <w:rPr>
          <w:rFonts w:ascii="Tahoma" w:eastAsia="Times New Roman" w:hAnsi="Tahoma" w:cs="Tahoma"/>
          <w:bCs/>
          <w:sz w:val="24"/>
          <w:szCs w:val="24"/>
        </w:rPr>
      </w:pPr>
      <w:r w:rsidRPr="00216E39">
        <w:rPr>
          <w:rFonts w:ascii="Tahoma" w:eastAsia="Arial" w:hAnsi="Tahoma" w:cs="Tahoma"/>
          <w:b/>
          <w:sz w:val="24"/>
          <w:szCs w:val="24"/>
          <w:shd w:val="clear" w:color="auto" w:fill="FFFFFF"/>
        </w:rPr>
        <w:t>Cheltuielile cu alte transferuri</w:t>
      </w:r>
      <w:r w:rsidRPr="00216E39">
        <w:rPr>
          <w:rFonts w:ascii="Tahoma" w:eastAsia="Arial" w:hAnsi="Tahoma" w:cs="Tahoma"/>
          <w:sz w:val="24"/>
          <w:szCs w:val="24"/>
          <w:shd w:val="clear" w:color="auto" w:fill="FFFFFF"/>
        </w:rPr>
        <w:t xml:space="preserve"> au fost în sumă de </w:t>
      </w:r>
      <w:r w:rsidR="00BF4537" w:rsidRPr="00216E39">
        <w:rPr>
          <w:rFonts w:ascii="Tahoma" w:eastAsia="Arial" w:hAnsi="Tahoma" w:cs="Tahoma"/>
          <w:sz w:val="24"/>
          <w:szCs w:val="24"/>
          <w:shd w:val="clear" w:color="auto" w:fill="FFFFFF"/>
        </w:rPr>
        <w:t>15,75</w:t>
      </w:r>
      <w:r w:rsidR="00B07E4B" w:rsidRPr="00216E39">
        <w:rPr>
          <w:rFonts w:ascii="Tahoma" w:eastAsia="Arial" w:hAnsi="Tahoma" w:cs="Tahoma"/>
          <w:sz w:val="24"/>
          <w:szCs w:val="24"/>
          <w:shd w:val="clear" w:color="auto" w:fill="FFFFFF"/>
        </w:rPr>
        <w:t xml:space="preserve"> </w:t>
      </w:r>
      <w:r w:rsidR="009C7DAD" w:rsidRPr="00216E39">
        <w:rPr>
          <w:rFonts w:ascii="Tahoma" w:eastAsia="Arial" w:hAnsi="Tahoma" w:cs="Tahoma"/>
          <w:sz w:val="24"/>
          <w:szCs w:val="24"/>
          <w:shd w:val="clear" w:color="auto" w:fill="FFFFFF"/>
        </w:rPr>
        <w:t xml:space="preserve">miliarde </w:t>
      </w:r>
      <w:r w:rsidR="003A634F" w:rsidRPr="00216E39">
        <w:rPr>
          <w:rFonts w:ascii="Tahoma" w:eastAsia="Arial" w:hAnsi="Tahoma" w:cs="Tahoma"/>
          <w:sz w:val="24"/>
          <w:szCs w:val="24"/>
          <w:shd w:val="clear" w:color="auto" w:fill="FFFFFF"/>
        </w:rPr>
        <w:t>lei</w:t>
      </w:r>
      <w:r w:rsidRPr="00216E39">
        <w:rPr>
          <w:rFonts w:ascii="Tahoma" w:eastAsia="Arial" w:hAnsi="Tahoma" w:cs="Tahoma"/>
          <w:sz w:val="24"/>
          <w:szCs w:val="24"/>
          <w:shd w:val="clear" w:color="auto" w:fill="FFFFFF"/>
        </w:rPr>
        <w:t xml:space="preserve"> (</w:t>
      </w:r>
      <w:r w:rsidR="008A5E1F" w:rsidRPr="00216E39">
        <w:rPr>
          <w:rFonts w:ascii="Tahoma" w:eastAsia="Arial" w:hAnsi="Tahoma" w:cs="Tahoma"/>
          <w:sz w:val="24"/>
          <w:szCs w:val="24"/>
          <w:shd w:val="clear" w:color="auto" w:fill="FFFFFF"/>
        </w:rPr>
        <w:t>0,</w:t>
      </w:r>
      <w:r w:rsidR="00BF4537" w:rsidRPr="00216E39">
        <w:rPr>
          <w:rFonts w:ascii="Tahoma" w:eastAsia="Arial" w:hAnsi="Tahoma" w:cs="Tahoma"/>
          <w:sz w:val="24"/>
          <w:szCs w:val="24"/>
          <w:shd w:val="clear" w:color="auto" w:fill="FFFFFF"/>
        </w:rPr>
        <w:t>9</w:t>
      </w:r>
      <w:r w:rsidRPr="00216E39">
        <w:rPr>
          <w:rFonts w:ascii="Tahoma" w:eastAsia="Arial" w:hAnsi="Tahoma" w:cs="Tahoma"/>
          <w:sz w:val="24"/>
          <w:szCs w:val="24"/>
          <w:shd w:val="clear" w:color="auto" w:fill="FFFFFF"/>
        </w:rPr>
        <w:t>% din PIB</w:t>
      </w:r>
      <w:r w:rsidR="00781BE6" w:rsidRPr="00216E39">
        <w:rPr>
          <w:rFonts w:ascii="Tahoma" w:eastAsia="Arial" w:hAnsi="Tahoma" w:cs="Tahoma"/>
          <w:sz w:val="24"/>
          <w:szCs w:val="24"/>
          <w:shd w:val="clear" w:color="auto" w:fill="FFFFFF"/>
        </w:rPr>
        <w:t xml:space="preserve">) au fost cu </w:t>
      </w:r>
      <w:r w:rsidR="00BF4537" w:rsidRPr="00216E39">
        <w:rPr>
          <w:rFonts w:ascii="Tahoma" w:eastAsia="Arial" w:hAnsi="Tahoma" w:cs="Tahoma"/>
          <w:sz w:val="24"/>
          <w:szCs w:val="24"/>
          <w:shd w:val="clear" w:color="auto" w:fill="FFFFFF"/>
        </w:rPr>
        <w:t>17,6</w:t>
      </w:r>
      <w:r w:rsidRPr="00216E39">
        <w:rPr>
          <w:rFonts w:ascii="Tahoma" w:eastAsia="Arial" w:hAnsi="Tahoma" w:cs="Tahoma"/>
          <w:sz w:val="24"/>
          <w:szCs w:val="24"/>
          <w:shd w:val="clear" w:color="auto" w:fill="FFFFFF"/>
        </w:rPr>
        <w:t>% mai mari decât plățile efectuate în semestrul I 20</w:t>
      </w:r>
      <w:r w:rsidR="00D148DD" w:rsidRPr="00216E39">
        <w:rPr>
          <w:rFonts w:ascii="Tahoma" w:eastAsia="Arial" w:hAnsi="Tahoma" w:cs="Tahoma"/>
          <w:sz w:val="24"/>
          <w:szCs w:val="24"/>
          <w:shd w:val="clear" w:color="auto" w:fill="FFFFFF"/>
        </w:rPr>
        <w:t>2</w:t>
      </w:r>
      <w:r w:rsidR="00BF4537" w:rsidRPr="00216E39">
        <w:rPr>
          <w:rFonts w:ascii="Tahoma" w:eastAsia="Arial" w:hAnsi="Tahoma" w:cs="Tahoma"/>
          <w:sz w:val="24"/>
          <w:szCs w:val="24"/>
          <w:shd w:val="clear" w:color="auto" w:fill="FFFFFF"/>
        </w:rPr>
        <w:t>3</w:t>
      </w:r>
      <w:r w:rsidRPr="00216E39">
        <w:rPr>
          <w:rFonts w:ascii="Tahoma" w:eastAsia="Arial" w:hAnsi="Tahoma" w:cs="Tahoma"/>
          <w:sz w:val="24"/>
          <w:szCs w:val="24"/>
          <w:shd w:val="clear" w:color="auto" w:fill="FFFFFF"/>
        </w:rPr>
        <w:t>. Comparativ cu nivelul pr</w:t>
      </w:r>
      <w:r w:rsidR="00781BE6" w:rsidRPr="00216E39">
        <w:rPr>
          <w:rFonts w:ascii="Tahoma" w:eastAsia="Arial" w:hAnsi="Tahoma" w:cs="Tahoma"/>
          <w:sz w:val="24"/>
          <w:szCs w:val="24"/>
          <w:shd w:val="clear" w:color="auto" w:fill="FFFFFF"/>
        </w:rPr>
        <w:t>ogramat a se efectua pe primul semestru</w:t>
      </w:r>
      <w:r w:rsidRPr="00216E39">
        <w:rPr>
          <w:rFonts w:ascii="Tahoma" w:eastAsia="Arial" w:hAnsi="Tahoma" w:cs="Tahoma"/>
          <w:sz w:val="24"/>
          <w:szCs w:val="24"/>
          <w:shd w:val="clear" w:color="auto" w:fill="FFFFFF"/>
        </w:rPr>
        <w:t xml:space="preserve"> cheltuielile cu alte transferuri s-au efectuat în proporție de </w:t>
      </w:r>
      <w:r w:rsidR="00BF4537" w:rsidRPr="00216E39">
        <w:rPr>
          <w:rFonts w:ascii="Tahoma" w:eastAsia="Arial" w:hAnsi="Tahoma" w:cs="Tahoma"/>
          <w:sz w:val="24"/>
          <w:szCs w:val="24"/>
          <w:shd w:val="clear" w:color="auto" w:fill="FFFFFF"/>
        </w:rPr>
        <w:t>90</w:t>
      </w:r>
      <w:r w:rsidRPr="00216E39">
        <w:rPr>
          <w:rFonts w:ascii="Tahoma" w:eastAsia="Arial" w:hAnsi="Tahoma" w:cs="Tahoma"/>
          <w:sz w:val="24"/>
          <w:szCs w:val="24"/>
          <w:shd w:val="clear" w:color="auto" w:fill="FFFFFF"/>
        </w:rPr>
        <w:t>%.</w:t>
      </w:r>
    </w:p>
    <w:p w:rsidR="004B5482" w:rsidRPr="00216E39" w:rsidRDefault="000104AF" w:rsidP="008A5E1F">
      <w:pPr>
        <w:spacing w:before="120" w:after="120" w:line="276" w:lineRule="auto"/>
        <w:ind w:firstLine="0"/>
        <w:rPr>
          <w:rFonts w:ascii="Tahoma" w:eastAsia="Arial" w:hAnsi="Tahoma" w:cs="Tahoma"/>
          <w:sz w:val="24"/>
          <w:szCs w:val="24"/>
          <w:shd w:val="clear" w:color="auto" w:fill="FFFFFF"/>
        </w:rPr>
      </w:pPr>
      <w:r w:rsidRPr="00216E39">
        <w:rPr>
          <w:rFonts w:ascii="Tahoma" w:eastAsia="Arial" w:hAnsi="Tahoma" w:cs="Tahoma"/>
          <w:b/>
          <w:sz w:val="24"/>
          <w:szCs w:val="24"/>
          <w:shd w:val="clear" w:color="auto" w:fill="FFFFFF"/>
        </w:rPr>
        <w:t>Cheltuielile privind proiectele finanțate din fonduri externe nerambursabile</w:t>
      </w:r>
      <w:r w:rsidRPr="00216E39">
        <w:rPr>
          <w:rFonts w:ascii="Tahoma" w:eastAsia="Arial" w:hAnsi="Tahoma" w:cs="Tahoma"/>
          <w:sz w:val="24"/>
          <w:szCs w:val="24"/>
          <w:shd w:val="clear" w:color="auto" w:fill="FFFFFF"/>
        </w:rPr>
        <w:t xml:space="preserve"> (inclusiv subvențiile de la Uniunea Europeană aferente agriculturii</w:t>
      </w:r>
      <w:r w:rsidR="0063517C" w:rsidRPr="00216E39">
        <w:rPr>
          <w:rFonts w:ascii="Tahoma" w:eastAsia="Arial" w:hAnsi="Tahoma" w:cs="Tahoma"/>
          <w:sz w:val="24"/>
          <w:szCs w:val="24"/>
          <w:shd w:val="clear" w:color="auto" w:fill="FFFFFF"/>
        </w:rPr>
        <w:t xml:space="preserve"> și cheltuielile cu proiectele cu </w:t>
      </w:r>
      <w:r w:rsidR="003D5C26" w:rsidRPr="00216E39">
        <w:rPr>
          <w:rFonts w:ascii="Tahoma" w:eastAsia="Arial" w:hAnsi="Tahoma" w:cs="Tahoma"/>
          <w:sz w:val="24"/>
          <w:szCs w:val="24"/>
          <w:shd w:val="clear" w:color="auto" w:fill="FFFFFF"/>
        </w:rPr>
        <w:t>finanțare</w:t>
      </w:r>
      <w:r w:rsidR="0063517C" w:rsidRPr="00216E39">
        <w:rPr>
          <w:rFonts w:ascii="Tahoma" w:eastAsia="Arial" w:hAnsi="Tahoma" w:cs="Tahoma"/>
          <w:sz w:val="24"/>
          <w:szCs w:val="24"/>
          <w:shd w:val="clear" w:color="auto" w:fill="FFFFFF"/>
        </w:rPr>
        <w:t xml:space="preserve"> din sumele </w:t>
      </w:r>
      <w:r w:rsidR="003D5C26" w:rsidRPr="00216E39">
        <w:rPr>
          <w:rFonts w:ascii="Tahoma" w:eastAsia="Arial" w:hAnsi="Tahoma" w:cs="Tahoma"/>
          <w:sz w:val="24"/>
          <w:szCs w:val="24"/>
          <w:shd w:val="clear" w:color="auto" w:fill="FFFFFF"/>
        </w:rPr>
        <w:t>reprezentând</w:t>
      </w:r>
      <w:r w:rsidR="0063517C" w:rsidRPr="00216E39">
        <w:rPr>
          <w:rFonts w:ascii="Tahoma" w:eastAsia="Arial" w:hAnsi="Tahoma" w:cs="Tahoma"/>
          <w:sz w:val="24"/>
          <w:szCs w:val="24"/>
          <w:shd w:val="clear" w:color="auto" w:fill="FFFFFF"/>
        </w:rPr>
        <w:t xml:space="preserve"> asi</w:t>
      </w:r>
      <w:r w:rsidR="003D5C26" w:rsidRPr="00216E39">
        <w:rPr>
          <w:rFonts w:ascii="Tahoma" w:eastAsia="Arial" w:hAnsi="Tahoma" w:cs="Tahoma"/>
          <w:sz w:val="24"/>
          <w:szCs w:val="24"/>
          <w:shd w:val="clear" w:color="auto" w:fill="FFFFFF"/>
        </w:rPr>
        <w:t>stenta financiara nerambursabilă</w:t>
      </w:r>
      <w:r w:rsidR="0063517C" w:rsidRPr="00216E39">
        <w:rPr>
          <w:rFonts w:ascii="Tahoma" w:eastAsia="Arial" w:hAnsi="Tahoma" w:cs="Tahoma"/>
          <w:sz w:val="24"/>
          <w:szCs w:val="24"/>
          <w:shd w:val="clear" w:color="auto" w:fill="FFFFFF"/>
        </w:rPr>
        <w:t xml:space="preserve"> aferenta PNRR</w:t>
      </w:r>
      <w:r w:rsidRPr="00216E39">
        <w:rPr>
          <w:rFonts w:ascii="Tahoma" w:eastAsia="Arial" w:hAnsi="Tahoma" w:cs="Tahoma"/>
          <w:sz w:val="24"/>
          <w:szCs w:val="24"/>
          <w:shd w:val="clear" w:color="auto" w:fill="FFFFFF"/>
        </w:rPr>
        <w:t xml:space="preserve">) au fost de </w:t>
      </w:r>
      <w:r w:rsidR="003E31C4" w:rsidRPr="00216E39">
        <w:rPr>
          <w:rFonts w:ascii="Tahoma" w:eastAsia="Arial" w:hAnsi="Tahoma" w:cs="Tahoma"/>
          <w:sz w:val="24"/>
          <w:szCs w:val="24"/>
          <w:shd w:val="clear" w:color="auto" w:fill="FFFFFF"/>
        </w:rPr>
        <w:t>24,48</w:t>
      </w:r>
      <w:r w:rsidR="0063517C" w:rsidRPr="00216E39">
        <w:rPr>
          <w:rFonts w:ascii="Tahoma" w:eastAsia="Arial" w:hAnsi="Tahoma" w:cs="Tahoma"/>
          <w:sz w:val="24"/>
          <w:szCs w:val="24"/>
          <w:shd w:val="clear" w:color="auto" w:fill="FFFFFF"/>
        </w:rPr>
        <w:t xml:space="preserve"> </w:t>
      </w:r>
      <w:r w:rsidR="000C2870" w:rsidRPr="00216E39">
        <w:rPr>
          <w:rFonts w:ascii="Tahoma" w:eastAsia="Arial" w:hAnsi="Tahoma" w:cs="Tahoma"/>
          <w:sz w:val="24"/>
          <w:szCs w:val="24"/>
          <w:shd w:val="clear" w:color="auto" w:fill="FFFFFF"/>
        </w:rPr>
        <w:t>miliarde</w:t>
      </w:r>
      <w:r w:rsidRPr="00216E39">
        <w:rPr>
          <w:rFonts w:ascii="Tahoma" w:eastAsia="Arial" w:hAnsi="Tahoma" w:cs="Tahoma"/>
          <w:sz w:val="24"/>
          <w:szCs w:val="24"/>
          <w:shd w:val="clear" w:color="auto" w:fill="FFFFFF"/>
        </w:rPr>
        <w:t xml:space="preserve"> </w:t>
      </w:r>
      <w:r w:rsidR="003A634F" w:rsidRPr="00216E39">
        <w:rPr>
          <w:rFonts w:ascii="Tahoma" w:eastAsia="Arial" w:hAnsi="Tahoma" w:cs="Tahoma"/>
          <w:sz w:val="24"/>
          <w:szCs w:val="24"/>
          <w:shd w:val="clear" w:color="auto" w:fill="FFFFFF"/>
        </w:rPr>
        <w:t>lei</w:t>
      </w:r>
      <w:r w:rsidR="0063517C" w:rsidRPr="00216E39">
        <w:rPr>
          <w:rFonts w:ascii="Tahoma" w:eastAsia="Arial" w:hAnsi="Tahoma" w:cs="Tahoma"/>
          <w:sz w:val="24"/>
          <w:szCs w:val="24"/>
          <w:shd w:val="clear" w:color="auto" w:fill="FFFFFF"/>
        </w:rPr>
        <w:t xml:space="preserve"> </w:t>
      </w:r>
      <w:r w:rsidR="00D148DD" w:rsidRPr="00216E39">
        <w:rPr>
          <w:rFonts w:ascii="Tahoma" w:eastAsia="Arial" w:hAnsi="Tahoma" w:cs="Tahoma"/>
          <w:sz w:val="24"/>
          <w:szCs w:val="24"/>
          <w:shd w:val="clear" w:color="auto" w:fill="FFFFFF"/>
        </w:rPr>
        <w:t>(1,</w:t>
      </w:r>
      <w:r w:rsidR="004B5482" w:rsidRPr="00216E39">
        <w:rPr>
          <w:rFonts w:ascii="Tahoma" w:eastAsia="Arial" w:hAnsi="Tahoma" w:cs="Tahoma"/>
          <w:sz w:val="24"/>
          <w:szCs w:val="24"/>
          <w:shd w:val="clear" w:color="auto" w:fill="FFFFFF"/>
        </w:rPr>
        <w:t>4</w:t>
      </w:r>
      <w:r w:rsidR="00D148DD" w:rsidRPr="00216E39">
        <w:rPr>
          <w:rFonts w:ascii="Tahoma" w:eastAsia="Arial" w:hAnsi="Tahoma" w:cs="Tahoma"/>
          <w:sz w:val="24"/>
          <w:szCs w:val="24"/>
          <w:shd w:val="clear" w:color="auto" w:fill="FFFFFF"/>
        </w:rPr>
        <w:t>% din PIB)</w:t>
      </w:r>
      <w:r w:rsidRPr="00216E39">
        <w:rPr>
          <w:rFonts w:ascii="Tahoma" w:eastAsia="Arial" w:hAnsi="Tahoma" w:cs="Tahoma"/>
          <w:sz w:val="24"/>
          <w:szCs w:val="24"/>
          <w:shd w:val="clear" w:color="auto" w:fill="FFFFFF"/>
        </w:rPr>
        <w:t xml:space="preserve">, cu </w:t>
      </w:r>
      <w:r w:rsidR="004B5482" w:rsidRPr="00216E39">
        <w:rPr>
          <w:rFonts w:ascii="Tahoma" w:eastAsia="Arial" w:hAnsi="Tahoma" w:cs="Tahoma"/>
          <w:sz w:val="24"/>
          <w:szCs w:val="24"/>
          <w:shd w:val="clear" w:color="auto" w:fill="FFFFFF"/>
        </w:rPr>
        <w:t>2,0</w:t>
      </w:r>
      <w:r w:rsidRPr="00216E39">
        <w:rPr>
          <w:rFonts w:ascii="Tahoma" w:eastAsia="Arial" w:hAnsi="Tahoma" w:cs="Tahoma"/>
          <w:sz w:val="24"/>
          <w:szCs w:val="24"/>
          <w:shd w:val="clear" w:color="auto" w:fill="FFFFFF"/>
        </w:rPr>
        <w:t xml:space="preserve">% mai </w:t>
      </w:r>
      <w:r w:rsidR="004B5482" w:rsidRPr="00216E39">
        <w:rPr>
          <w:rFonts w:ascii="Tahoma" w:eastAsia="Arial" w:hAnsi="Tahoma" w:cs="Tahoma"/>
          <w:sz w:val="24"/>
          <w:szCs w:val="24"/>
          <w:shd w:val="clear" w:color="auto" w:fill="FFFFFF"/>
        </w:rPr>
        <w:t>mici</w:t>
      </w:r>
      <w:r w:rsidRPr="00216E39">
        <w:rPr>
          <w:rFonts w:ascii="Tahoma" w:eastAsia="Arial" w:hAnsi="Tahoma" w:cs="Tahoma"/>
          <w:sz w:val="24"/>
          <w:szCs w:val="24"/>
          <w:shd w:val="clear" w:color="auto" w:fill="FFFFFF"/>
        </w:rPr>
        <w:t xml:space="preserve"> comparativ cu aceeași perioadă a anului precedent.</w:t>
      </w:r>
      <w:r w:rsidR="0010647A" w:rsidRPr="00216E39">
        <w:rPr>
          <w:rFonts w:ascii="Tahoma" w:eastAsia="Arial" w:hAnsi="Tahoma" w:cs="Tahoma"/>
          <w:sz w:val="24"/>
          <w:szCs w:val="24"/>
          <w:shd w:val="clear" w:color="auto" w:fill="FFFFFF"/>
        </w:rPr>
        <w:t xml:space="preserve"> </w:t>
      </w:r>
    </w:p>
    <w:p w:rsidR="004B5482" w:rsidRPr="00216E39" w:rsidRDefault="004B5482" w:rsidP="004B5482">
      <w:pPr>
        <w:spacing w:before="120" w:after="120" w:line="276" w:lineRule="auto"/>
        <w:ind w:firstLine="0"/>
        <w:rPr>
          <w:rFonts w:ascii="Tahoma" w:eastAsia="Arial" w:hAnsi="Tahoma" w:cs="Tahoma"/>
          <w:sz w:val="24"/>
          <w:szCs w:val="24"/>
          <w:shd w:val="clear" w:color="auto" w:fill="FFFFFF"/>
        </w:rPr>
      </w:pPr>
      <w:r w:rsidRPr="00216E39">
        <w:rPr>
          <w:rFonts w:ascii="Tahoma" w:eastAsia="Arial" w:hAnsi="Tahoma" w:cs="Tahoma"/>
          <w:sz w:val="24"/>
          <w:szCs w:val="24"/>
          <w:shd w:val="clear" w:color="auto" w:fill="FFFFFF"/>
        </w:rPr>
        <w:t xml:space="preserve">Evoluția plăților comparativ cu semestrul I 2023 a fost determinată de diminuarea cheltuielilor pentru proiectele finanțate din cadrul financiar 2014-2024, în timp ce cheltuielile pentru proiectele finanțate din cadrului 2021-2027 și cele aferente </w:t>
      </w:r>
      <w:r w:rsidRPr="00216E39">
        <w:rPr>
          <w:rFonts w:ascii="Tahoma" w:eastAsia="Arial" w:hAnsi="Tahoma" w:cs="Tahoma"/>
          <w:sz w:val="24"/>
          <w:szCs w:val="24"/>
          <w:shd w:val="clear" w:color="auto" w:fill="FFFFFF"/>
        </w:rPr>
        <w:lastRenderedPageBreak/>
        <w:t>proiectelor finanțate din asistența financiară nerambursabilă alocată pentru PNRR au înregistrat creșteri cu 7,93 miliarde lei și respectiv 2,00 miliarde lei.</w:t>
      </w:r>
    </w:p>
    <w:p w:rsidR="004B5482" w:rsidRPr="00216E39" w:rsidRDefault="004B5482" w:rsidP="004B5482">
      <w:pPr>
        <w:spacing w:after="120" w:line="276" w:lineRule="auto"/>
        <w:ind w:firstLine="0"/>
        <w:rPr>
          <w:rFonts w:ascii="Tahoma" w:eastAsia="Arial" w:hAnsi="Tahoma" w:cs="Tahoma"/>
          <w:sz w:val="24"/>
          <w:szCs w:val="24"/>
          <w:shd w:val="clear" w:color="auto" w:fill="FFFFFF"/>
        </w:rPr>
      </w:pPr>
      <w:r w:rsidRPr="00216E39">
        <w:rPr>
          <w:rFonts w:ascii="Tahoma" w:eastAsia="Arial" w:hAnsi="Tahoma" w:cs="Tahoma"/>
          <w:sz w:val="24"/>
          <w:szCs w:val="24"/>
          <w:shd w:val="clear" w:color="auto" w:fill="FFFFFF"/>
        </w:rPr>
        <w:t xml:space="preserve">În totalul cheltuielilor cu proiectele finanțate din fonduri externe nerambursabile ponderea cea mai ridicată au avut-o cheltuielile cu proiectele finanțate din fondurile aferente perioadei de programare 2021-2027 cu o pondere de </w:t>
      </w:r>
      <w:r w:rsidR="007A755E" w:rsidRPr="00216E39">
        <w:rPr>
          <w:rFonts w:ascii="Tahoma" w:eastAsia="Arial" w:hAnsi="Tahoma" w:cs="Tahoma"/>
          <w:sz w:val="24"/>
          <w:szCs w:val="24"/>
          <w:shd w:val="clear" w:color="auto" w:fill="FFFFFF"/>
        </w:rPr>
        <w:t>40,1</w:t>
      </w:r>
      <w:r w:rsidRPr="00216E39">
        <w:rPr>
          <w:rFonts w:ascii="Tahoma" w:eastAsia="Arial" w:hAnsi="Tahoma" w:cs="Tahoma"/>
          <w:sz w:val="24"/>
          <w:szCs w:val="24"/>
          <w:shd w:val="clear" w:color="auto" w:fill="FFFFFF"/>
        </w:rPr>
        <w:t xml:space="preserve">%, cele alocate proiectelor finanțate din fonduri aferente perioadelor de programare 2014-2020 cu o pondere de </w:t>
      </w:r>
      <w:r w:rsidR="007A755E" w:rsidRPr="00216E39">
        <w:rPr>
          <w:rFonts w:ascii="Tahoma" w:eastAsia="Arial" w:hAnsi="Tahoma" w:cs="Tahoma"/>
          <w:sz w:val="24"/>
          <w:szCs w:val="24"/>
          <w:shd w:val="clear" w:color="auto" w:fill="FFFFFF"/>
        </w:rPr>
        <w:t>48,7%</w:t>
      </w:r>
      <w:r w:rsidRPr="00216E39">
        <w:rPr>
          <w:rFonts w:ascii="Tahoma" w:eastAsia="Arial" w:hAnsi="Tahoma" w:cs="Tahoma"/>
          <w:sz w:val="24"/>
          <w:szCs w:val="24"/>
          <w:shd w:val="clear" w:color="auto" w:fill="FFFFFF"/>
        </w:rPr>
        <w:t xml:space="preserve"> și respectiv cele alocate proiectelor finanțate din fonduri aferente asistenței financiare nerambursabile a PNRR cu o pondere de 11,2%.</w:t>
      </w:r>
    </w:p>
    <w:p w:rsidR="007A755E" w:rsidRPr="00216E39" w:rsidRDefault="0010647A" w:rsidP="007A755E">
      <w:pPr>
        <w:spacing w:before="120" w:after="120" w:line="276" w:lineRule="auto"/>
        <w:ind w:firstLine="0"/>
        <w:rPr>
          <w:rFonts w:ascii="Tahoma" w:eastAsia="Arial" w:hAnsi="Tahoma" w:cs="Tahoma"/>
          <w:sz w:val="24"/>
          <w:szCs w:val="24"/>
          <w:shd w:val="clear" w:color="auto" w:fill="FFFFFF"/>
        </w:rPr>
      </w:pPr>
      <w:r w:rsidRPr="00216E39">
        <w:rPr>
          <w:rFonts w:ascii="Tahoma" w:eastAsia="Arial" w:hAnsi="Tahoma" w:cs="Tahoma"/>
          <w:sz w:val="24"/>
          <w:szCs w:val="24"/>
          <w:shd w:val="clear" w:color="auto" w:fill="FFFFFF"/>
        </w:rPr>
        <w:t xml:space="preserve">Cheltuielile privind proiectele finanțate din fonduri externe nerambursabile s-au efectuat în proporție de </w:t>
      </w:r>
      <w:r w:rsidR="004B5482" w:rsidRPr="00216E39">
        <w:rPr>
          <w:rFonts w:ascii="Tahoma" w:eastAsia="Arial" w:hAnsi="Tahoma" w:cs="Tahoma"/>
          <w:sz w:val="24"/>
          <w:szCs w:val="24"/>
          <w:shd w:val="clear" w:color="auto" w:fill="FFFFFF"/>
        </w:rPr>
        <w:t>51,9</w:t>
      </w:r>
      <w:r w:rsidRPr="00216E39">
        <w:rPr>
          <w:rFonts w:ascii="Tahoma" w:eastAsia="Arial" w:hAnsi="Tahoma" w:cs="Tahoma"/>
          <w:sz w:val="24"/>
          <w:szCs w:val="24"/>
          <w:shd w:val="clear" w:color="auto" w:fill="FFFFFF"/>
        </w:rPr>
        <w:t>% din nivelul programat pentru perioada analizată.</w:t>
      </w:r>
    </w:p>
    <w:p w:rsidR="004B5482" w:rsidRPr="00216E39" w:rsidRDefault="004B5482" w:rsidP="007A755E">
      <w:pPr>
        <w:spacing w:before="120" w:after="120" w:line="276" w:lineRule="auto"/>
        <w:ind w:firstLine="0"/>
        <w:rPr>
          <w:rFonts w:ascii="Tahoma" w:eastAsia="Arial" w:hAnsi="Tahoma" w:cs="Tahoma"/>
          <w:sz w:val="24"/>
          <w:szCs w:val="24"/>
          <w:shd w:val="clear" w:color="auto" w:fill="FFFFFF"/>
        </w:rPr>
      </w:pPr>
      <w:r w:rsidRPr="00216E39">
        <w:rPr>
          <w:rFonts w:ascii="Tahoma" w:eastAsia="Arial" w:hAnsi="Tahoma" w:cs="Tahoma"/>
          <w:sz w:val="24"/>
          <w:szCs w:val="24"/>
          <w:shd w:val="clear" w:color="auto" w:fill="FFFFFF"/>
        </w:rPr>
        <w:t xml:space="preserve">Discrepanța majoră între nivelul programat și cel efectuat </w:t>
      </w:r>
      <w:r w:rsidR="00FF3F94" w:rsidRPr="00216E39">
        <w:rPr>
          <w:rFonts w:ascii="Tahoma" w:eastAsia="Arial" w:hAnsi="Tahoma" w:cs="Tahoma"/>
          <w:sz w:val="24"/>
          <w:szCs w:val="24"/>
          <w:shd w:val="clear" w:color="auto" w:fill="FFFFFF"/>
        </w:rPr>
        <w:t xml:space="preserve">al cheltuielilor cu proiectele finanțate din fonduri externe nerambursabile </w:t>
      </w:r>
      <w:r w:rsidRPr="00216E39">
        <w:rPr>
          <w:rFonts w:ascii="Tahoma" w:eastAsia="Arial" w:hAnsi="Tahoma" w:cs="Tahoma"/>
          <w:sz w:val="24"/>
          <w:szCs w:val="24"/>
          <w:shd w:val="clear" w:color="auto" w:fill="FFFFFF"/>
        </w:rPr>
        <w:t>a fost determinată în principal de evoluția cheltuielile cu proiectele finanțate din fondurile aferente perioadei de programare 2021-2027</w:t>
      </w:r>
      <w:r w:rsidR="00FF3F94" w:rsidRPr="00216E39">
        <w:rPr>
          <w:rFonts w:ascii="Tahoma" w:eastAsia="Arial" w:hAnsi="Tahoma" w:cs="Tahoma"/>
          <w:sz w:val="24"/>
          <w:szCs w:val="24"/>
          <w:shd w:val="clear" w:color="auto" w:fill="FFFFFF"/>
        </w:rPr>
        <w:t>,</w:t>
      </w:r>
      <w:r w:rsidRPr="00216E39">
        <w:rPr>
          <w:rFonts w:ascii="Tahoma" w:eastAsia="Arial" w:hAnsi="Tahoma" w:cs="Tahoma"/>
          <w:sz w:val="24"/>
          <w:szCs w:val="24"/>
          <w:shd w:val="clear" w:color="auto" w:fill="FFFFFF"/>
        </w:rPr>
        <w:t xml:space="preserve"> </w:t>
      </w:r>
      <w:r w:rsidR="00FF3F94" w:rsidRPr="00216E39">
        <w:rPr>
          <w:rFonts w:ascii="Tahoma" w:eastAsia="Arial" w:hAnsi="Tahoma" w:cs="Tahoma"/>
          <w:sz w:val="24"/>
          <w:szCs w:val="24"/>
          <w:shd w:val="clear" w:color="auto" w:fill="FFFFFF"/>
        </w:rPr>
        <w:t xml:space="preserve">grad de realizare 55,1% </w:t>
      </w:r>
      <w:r w:rsidRPr="00216E39">
        <w:rPr>
          <w:rFonts w:ascii="Tahoma" w:eastAsia="Arial" w:hAnsi="Tahoma" w:cs="Tahoma"/>
          <w:sz w:val="24"/>
          <w:szCs w:val="24"/>
          <w:shd w:val="clear" w:color="auto" w:fill="FFFFFF"/>
        </w:rPr>
        <w:t xml:space="preserve">și a celor aferente proiectelor finanțate din fonduri aferente asistenței financiare nerambursabile a PNRR </w:t>
      </w:r>
      <w:r w:rsidR="00FF3F94" w:rsidRPr="00216E39">
        <w:rPr>
          <w:rFonts w:ascii="Tahoma" w:eastAsia="Arial" w:hAnsi="Tahoma" w:cs="Tahoma"/>
          <w:sz w:val="24"/>
          <w:szCs w:val="24"/>
          <w:shd w:val="clear" w:color="auto" w:fill="FFFFFF"/>
        </w:rPr>
        <w:t>unde gradul de realizare al plăților programate a fost de 17,5%.</w:t>
      </w:r>
    </w:p>
    <w:p w:rsidR="007B08BF" w:rsidRPr="00216E39" w:rsidRDefault="004D6D76" w:rsidP="00231E72">
      <w:pPr>
        <w:spacing w:after="120" w:line="276" w:lineRule="auto"/>
        <w:ind w:firstLine="0"/>
        <w:rPr>
          <w:rFonts w:ascii="Tahoma" w:eastAsia="Arial" w:hAnsi="Tahoma" w:cs="Tahoma"/>
          <w:sz w:val="24"/>
          <w:szCs w:val="24"/>
          <w:shd w:val="clear" w:color="auto" w:fill="FFFFFF"/>
        </w:rPr>
      </w:pPr>
      <w:r w:rsidRPr="00216E39">
        <w:rPr>
          <w:rFonts w:ascii="Tahoma" w:eastAsia="Arial" w:hAnsi="Tahoma" w:cs="Tahoma"/>
          <w:b/>
          <w:sz w:val="24"/>
          <w:szCs w:val="24"/>
          <w:shd w:val="clear" w:color="auto" w:fill="FFFFFF"/>
        </w:rPr>
        <w:t>Cheltuielile pentru investiții</w:t>
      </w:r>
      <w:r w:rsidRPr="00216E39">
        <w:rPr>
          <w:rFonts w:ascii="Tahoma" w:eastAsia="Arial" w:hAnsi="Tahoma" w:cs="Tahoma"/>
          <w:sz w:val="24"/>
          <w:szCs w:val="24"/>
          <w:shd w:val="clear" w:color="auto" w:fill="FFFFFF"/>
        </w:rPr>
        <w:t xml:space="preserve">, care includ cheltuielile de capital, precum și cele aferente programelor de dezvoltare finanțate din surse interne și externe, au însumat </w:t>
      </w:r>
      <w:r w:rsidR="00FF3F94" w:rsidRPr="00216E39">
        <w:rPr>
          <w:rFonts w:ascii="Tahoma" w:eastAsia="Arial" w:hAnsi="Tahoma" w:cs="Tahoma"/>
          <w:sz w:val="24"/>
          <w:szCs w:val="24"/>
          <w:shd w:val="clear" w:color="auto" w:fill="FFFFFF"/>
        </w:rPr>
        <w:t>46,27</w:t>
      </w:r>
      <w:r w:rsidR="00F80F55" w:rsidRPr="00216E39">
        <w:rPr>
          <w:rFonts w:ascii="Tahoma" w:eastAsia="Arial" w:hAnsi="Tahoma" w:cs="Tahoma"/>
          <w:sz w:val="24"/>
          <w:szCs w:val="24"/>
          <w:shd w:val="clear" w:color="auto" w:fill="FFFFFF"/>
        </w:rPr>
        <w:t xml:space="preserve"> miliarde </w:t>
      </w:r>
      <w:r w:rsidR="003A634F" w:rsidRPr="00216E39">
        <w:rPr>
          <w:rFonts w:ascii="Tahoma" w:eastAsia="Arial" w:hAnsi="Tahoma" w:cs="Tahoma"/>
          <w:sz w:val="24"/>
          <w:szCs w:val="24"/>
          <w:shd w:val="clear" w:color="auto" w:fill="FFFFFF"/>
        </w:rPr>
        <w:t>lei</w:t>
      </w:r>
      <w:r w:rsidR="00F80F55" w:rsidRPr="00216E39">
        <w:rPr>
          <w:rFonts w:ascii="Tahoma" w:eastAsia="Arial" w:hAnsi="Tahoma" w:cs="Tahoma"/>
          <w:sz w:val="24"/>
          <w:szCs w:val="24"/>
          <w:shd w:val="clear" w:color="auto" w:fill="FFFFFF"/>
        </w:rPr>
        <w:t xml:space="preserve"> (</w:t>
      </w:r>
      <w:r w:rsidR="00C15AD8" w:rsidRPr="00216E39">
        <w:rPr>
          <w:rFonts w:ascii="Tahoma" w:eastAsia="Arial" w:hAnsi="Tahoma" w:cs="Tahoma"/>
          <w:sz w:val="24"/>
          <w:szCs w:val="24"/>
          <w:shd w:val="clear" w:color="auto" w:fill="FFFFFF"/>
        </w:rPr>
        <w:t>2,</w:t>
      </w:r>
      <w:r w:rsidR="00FF3F94" w:rsidRPr="00216E39">
        <w:rPr>
          <w:rFonts w:ascii="Tahoma" w:eastAsia="Arial" w:hAnsi="Tahoma" w:cs="Tahoma"/>
          <w:sz w:val="24"/>
          <w:szCs w:val="24"/>
          <w:shd w:val="clear" w:color="auto" w:fill="FFFFFF"/>
        </w:rPr>
        <w:t>62</w:t>
      </w:r>
      <w:r w:rsidR="00F80F55" w:rsidRPr="00216E39">
        <w:rPr>
          <w:rFonts w:ascii="Tahoma" w:eastAsia="Arial" w:hAnsi="Tahoma" w:cs="Tahoma"/>
          <w:sz w:val="24"/>
          <w:szCs w:val="24"/>
          <w:shd w:val="clear" w:color="auto" w:fill="FFFFFF"/>
        </w:rPr>
        <w:t>% din PIB</w:t>
      </w:r>
      <w:r w:rsidR="003D5C26" w:rsidRPr="00216E39">
        <w:rPr>
          <w:rFonts w:ascii="Tahoma" w:eastAsia="Arial" w:hAnsi="Tahoma" w:cs="Tahoma"/>
          <w:sz w:val="24"/>
          <w:szCs w:val="24"/>
          <w:shd w:val="clear" w:color="auto" w:fill="FFFFFF"/>
        </w:rPr>
        <w:t>).</w:t>
      </w:r>
      <w:r w:rsidR="00F80F55" w:rsidRPr="00216E39">
        <w:rPr>
          <w:rFonts w:ascii="Tahoma" w:eastAsia="Arial" w:hAnsi="Tahoma" w:cs="Tahoma"/>
          <w:sz w:val="24"/>
          <w:szCs w:val="24"/>
          <w:shd w:val="clear" w:color="auto" w:fill="FFFFFF"/>
        </w:rPr>
        <w:t xml:space="preserve"> </w:t>
      </w:r>
      <w:r w:rsidR="007B08BF" w:rsidRPr="00216E39">
        <w:rPr>
          <w:rFonts w:ascii="Tahoma" w:eastAsia="Arial" w:hAnsi="Tahoma" w:cs="Tahoma"/>
          <w:sz w:val="24"/>
          <w:szCs w:val="24"/>
          <w:shd w:val="clear" w:color="auto" w:fill="FFFFFF"/>
        </w:rPr>
        <w:t xml:space="preserve">De asemenea, se observă o creștere mai accentuată a </w:t>
      </w:r>
      <w:r w:rsidR="00231E72" w:rsidRPr="00216E39">
        <w:rPr>
          <w:rFonts w:ascii="Tahoma" w:eastAsia="Arial" w:hAnsi="Tahoma" w:cs="Tahoma"/>
          <w:sz w:val="24"/>
          <w:szCs w:val="24"/>
          <w:shd w:val="clear" w:color="auto" w:fill="FFFFFF"/>
        </w:rPr>
        <w:t>proiectelor de investiții</w:t>
      </w:r>
      <w:r w:rsidR="007B08BF" w:rsidRPr="00216E39">
        <w:rPr>
          <w:rFonts w:ascii="Tahoma" w:eastAsia="Arial" w:hAnsi="Tahoma" w:cs="Tahoma"/>
          <w:sz w:val="24"/>
          <w:szCs w:val="24"/>
          <w:shd w:val="clear" w:color="auto" w:fill="FFFFFF"/>
        </w:rPr>
        <w:t xml:space="preserve"> finanțate din </w:t>
      </w:r>
      <w:r w:rsidR="00FF3F94" w:rsidRPr="00216E39">
        <w:rPr>
          <w:rFonts w:ascii="Tahoma" w:eastAsia="Arial" w:hAnsi="Tahoma" w:cs="Tahoma"/>
          <w:sz w:val="24"/>
          <w:szCs w:val="24"/>
          <w:shd w:val="clear" w:color="auto" w:fill="FFFFFF"/>
        </w:rPr>
        <w:t>resurse interne</w:t>
      </w:r>
      <w:r w:rsidR="007B08BF" w:rsidRPr="00216E39">
        <w:rPr>
          <w:rFonts w:ascii="Tahoma" w:eastAsia="Arial" w:hAnsi="Tahoma" w:cs="Tahoma"/>
          <w:sz w:val="24"/>
          <w:szCs w:val="24"/>
          <w:shd w:val="clear" w:color="auto" w:fill="FFFFFF"/>
        </w:rPr>
        <w:t xml:space="preserve">, acestea reprezentând </w:t>
      </w:r>
      <w:r w:rsidR="00FF3F94" w:rsidRPr="00216E39">
        <w:rPr>
          <w:rFonts w:ascii="Tahoma" w:eastAsia="Arial" w:hAnsi="Tahoma" w:cs="Tahoma"/>
          <w:sz w:val="24"/>
          <w:szCs w:val="24"/>
          <w:shd w:val="clear" w:color="auto" w:fill="FFFFFF"/>
        </w:rPr>
        <w:t>52,84</w:t>
      </w:r>
      <w:r w:rsidR="007B08BF" w:rsidRPr="00216E39">
        <w:rPr>
          <w:rFonts w:ascii="Tahoma" w:eastAsia="Arial" w:hAnsi="Tahoma" w:cs="Tahoma"/>
          <w:sz w:val="24"/>
          <w:szCs w:val="24"/>
          <w:shd w:val="clear" w:color="auto" w:fill="FFFFFF"/>
        </w:rPr>
        <w:t>% din totalul cheltuielilor pentru investiții pe primele șase luni ale anului 202</w:t>
      </w:r>
      <w:r w:rsidR="004B067F" w:rsidRPr="00216E39">
        <w:rPr>
          <w:rFonts w:ascii="Tahoma" w:eastAsia="Arial" w:hAnsi="Tahoma" w:cs="Tahoma"/>
          <w:sz w:val="24"/>
          <w:szCs w:val="24"/>
          <w:shd w:val="clear" w:color="auto" w:fill="FFFFFF"/>
        </w:rPr>
        <w:t>4</w:t>
      </w:r>
      <w:r w:rsidR="00FF3F94" w:rsidRPr="00216E39">
        <w:rPr>
          <w:rFonts w:ascii="Tahoma" w:eastAsia="Arial" w:hAnsi="Tahoma" w:cs="Tahoma"/>
          <w:sz w:val="24"/>
          <w:szCs w:val="24"/>
          <w:shd w:val="clear" w:color="auto" w:fill="FFFFFF"/>
        </w:rPr>
        <w:t xml:space="preserve"> acestea fiind</w:t>
      </w:r>
      <w:r w:rsidR="00C80DC7">
        <w:rPr>
          <w:rFonts w:ascii="Tahoma" w:eastAsia="Arial" w:hAnsi="Tahoma" w:cs="Tahoma"/>
          <w:sz w:val="24"/>
          <w:szCs w:val="24"/>
          <w:shd w:val="clear" w:color="auto" w:fill="FFFFFF"/>
        </w:rPr>
        <w:t xml:space="preserve"> mai mari cu 12,33 miliarde lei.</w:t>
      </w:r>
    </w:p>
    <w:p w:rsidR="002355F0" w:rsidRPr="00216E39" w:rsidRDefault="002355F0" w:rsidP="008431FA">
      <w:pPr>
        <w:spacing w:after="120" w:line="276" w:lineRule="auto"/>
        <w:ind w:firstLine="0"/>
        <w:rPr>
          <w:rFonts w:ascii="Tahoma" w:hAnsi="Tahoma" w:cs="Tahoma"/>
          <w:sz w:val="24"/>
          <w:szCs w:val="24"/>
        </w:rPr>
      </w:pPr>
      <w:r w:rsidRPr="00216E39">
        <w:rPr>
          <w:rFonts w:ascii="Tahoma" w:hAnsi="Tahoma" w:cs="Tahoma"/>
          <w:sz w:val="24"/>
          <w:szCs w:val="24"/>
        </w:rPr>
        <w:t>Principalele obiective de investiții distincte pentru care s-au efectuat plăți în semestrul I al anului 202</w:t>
      </w:r>
      <w:r w:rsidR="00322343" w:rsidRPr="00216E39">
        <w:rPr>
          <w:rFonts w:ascii="Tahoma" w:hAnsi="Tahoma" w:cs="Tahoma"/>
          <w:sz w:val="24"/>
          <w:szCs w:val="24"/>
        </w:rPr>
        <w:t>4</w:t>
      </w:r>
      <w:r w:rsidRPr="00216E39">
        <w:rPr>
          <w:rFonts w:ascii="Tahoma" w:hAnsi="Tahoma" w:cs="Tahoma"/>
          <w:sz w:val="24"/>
          <w:szCs w:val="24"/>
        </w:rPr>
        <w:t xml:space="preserve"> sunt:</w:t>
      </w:r>
    </w:p>
    <w:p w:rsidR="00322343" w:rsidRPr="00216E39" w:rsidRDefault="00322343" w:rsidP="008431FA">
      <w:pPr>
        <w:pStyle w:val="ListParagraph"/>
        <w:numPr>
          <w:ilvl w:val="0"/>
          <w:numId w:val="43"/>
        </w:numPr>
        <w:spacing w:after="120" w:line="276" w:lineRule="auto"/>
        <w:ind w:left="1281" w:hanging="357"/>
        <w:contextualSpacing w:val="0"/>
        <w:rPr>
          <w:rFonts w:ascii="Tahoma" w:hAnsi="Tahoma" w:cs="Tahoma"/>
          <w:sz w:val="24"/>
          <w:szCs w:val="24"/>
        </w:rPr>
      </w:pPr>
      <w:r w:rsidRPr="00216E39">
        <w:rPr>
          <w:rFonts w:ascii="Tahoma" w:hAnsi="Tahoma" w:cs="Tahoma"/>
          <w:sz w:val="24"/>
          <w:szCs w:val="24"/>
        </w:rPr>
        <w:t>Autostrada Sibiu – Pitești – 1,1 miliarde lei;</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Ploiești - Buzău – 0,76 miliarde lei;</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Buzău - Focșani – 0,72 miliarde lei;</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de Centură București - Sector Centură Sud km.52+700 - km 100+900 –0,62 miliarde lei;</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Reabilitarea liniei de cale ferată Brașov-Simeria, componentã a Coridorului Rin-Dunare, pentru circulația trenurilor cu viteza maximă de 160 km/h, tronsonul Brașov-Sighișoara – 0,54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Tren metropolitan Gilau-Floresti-Cluj-Napoca-Baciu-Apahida-Jucu-Bontida - etapa I a sistemului de transport metropolitan rapid Cluj: Magistrala I de metrou si tren metropolitan, inclusiv legatura dintre acestea. Componenta 1. Magistrala I de metrou Cluj – 0,50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lastRenderedPageBreak/>
        <w:t>Drum expres Craiova Pitești și legăturile la drumurile existente – 0,46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Focșani - Bacău – 0,45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Reabilitarea liniei C.F. Frontiera - Curtici - Simeria, parte componenta a Coridorului IV Pan-European pentru circulatia trenurilor cu viteza maxima de 160 km/h; Tronsonul 2: km 614 - Gurasada si Tronsonul 3: Gurasada - Simeria – 0,39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Bacău - Pașcani – 0,35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Brașov – Târgu Mureș – Cluj - Oradea – 0,29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Reabilitarea liniei de c.f. Brasov - Simeria, componetă a Coridorului IV paneuropean, pentru circulația trenurilor cu viteza maxima de 160 km/h, secțiunea Coșlariu - Sighișoara– 0,27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Electrificarea și reabilitarea liniei de cale ferată Cluj-Napoca - Oradea - Episcopia Bihor – 0,24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Reducerea eroziunii costiere Faza II (2014-2020) – 0,24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Legatură Centura Oradea (Girație Calea Santandrei) - Autostrada A3 (Biharia), județul Bihor – 0,23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Pod suspendat peste Dunăre în zona Brăila – 0,20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Autostrada de Centură a municipiului București  - Sector Centură Nord km.0+000 - km 52+770 – 0,17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Varianta de ocolire Timișoara Sud –0,12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Drum expres Brăila - Galați – 0,11 miliarde lei</w:t>
      </w:r>
      <w:r w:rsidR="008431FA" w:rsidRPr="00216E39">
        <w:rPr>
          <w:rFonts w:ascii="Tahoma" w:hAnsi="Tahoma" w:cs="Tahoma"/>
          <w:sz w:val="24"/>
          <w:szCs w:val="24"/>
        </w:rPr>
        <w:t>;</w:t>
      </w:r>
    </w:p>
    <w:p w:rsidR="00322343" w:rsidRPr="00216E39" w:rsidRDefault="00322343" w:rsidP="008431FA">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Drum expres Arad - Oradea – 0,11 miliarde lei</w:t>
      </w:r>
      <w:r w:rsidR="008431FA" w:rsidRPr="00216E39">
        <w:rPr>
          <w:rFonts w:ascii="Tahoma" w:hAnsi="Tahoma" w:cs="Tahoma"/>
          <w:sz w:val="24"/>
          <w:szCs w:val="24"/>
        </w:rPr>
        <w:t>;</w:t>
      </w:r>
    </w:p>
    <w:p w:rsidR="00322343" w:rsidRPr="00216E39" w:rsidRDefault="00322343" w:rsidP="00277A81">
      <w:pPr>
        <w:pStyle w:val="ListParagraph"/>
        <w:numPr>
          <w:ilvl w:val="0"/>
          <w:numId w:val="43"/>
        </w:numPr>
        <w:spacing w:after="120" w:line="276" w:lineRule="auto"/>
        <w:contextualSpacing w:val="0"/>
        <w:rPr>
          <w:rFonts w:ascii="Tahoma" w:hAnsi="Tahoma" w:cs="Tahoma"/>
          <w:sz w:val="24"/>
          <w:szCs w:val="24"/>
        </w:rPr>
      </w:pPr>
      <w:r w:rsidRPr="00216E39">
        <w:rPr>
          <w:rFonts w:ascii="Tahoma" w:hAnsi="Tahoma" w:cs="Tahoma"/>
          <w:sz w:val="24"/>
          <w:szCs w:val="24"/>
        </w:rPr>
        <w:t>Modernizare DN 28B Târgu Frumos - Botosani km 0+000 - km 76+758 – 0,10 miliarde lei</w:t>
      </w:r>
      <w:r w:rsidR="008431FA" w:rsidRPr="00216E39">
        <w:rPr>
          <w:rFonts w:ascii="Tahoma" w:hAnsi="Tahoma" w:cs="Tahoma"/>
          <w:sz w:val="24"/>
          <w:szCs w:val="24"/>
        </w:rPr>
        <w:t>.</w:t>
      </w:r>
    </w:p>
    <w:p w:rsidR="009D56CD" w:rsidRPr="00216E39" w:rsidRDefault="009D56CD" w:rsidP="00610108">
      <w:pPr>
        <w:spacing w:after="120" w:line="276" w:lineRule="auto"/>
        <w:ind w:firstLine="0"/>
        <w:rPr>
          <w:noProof/>
        </w:rPr>
      </w:pPr>
    </w:p>
    <w:p w:rsidR="00610108" w:rsidRPr="00216E39" w:rsidRDefault="00E17D67" w:rsidP="00610108">
      <w:pPr>
        <w:spacing w:after="120" w:line="276" w:lineRule="auto"/>
        <w:ind w:firstLine="0"/>
        <w:rPr>
          <w:noProof/>
        </w:rPr>
      </w:pPr>
      <w:r>
        <w:rPr>
          <w:noProof/>
        </w:rPr>
        <w:lastRenderedPageBreak/>
        <w:pict>
          <v:shape id="_x0000_i1028" type="#_x0000_t75" style="width:470.05pt;height:358.6pt">
            <v:imagedata r:id="rId15" o:title=""/>
          </v:shape>
        </w:pict>
      </w:r>
    </w:p>
    <w:p w:rsidR="009D56CD" w:rsidRPr="00216E39" w:rsidRDefault="009D56CD" w:rsidP="00610108">
      <w:pPr>
        <w:spacing w:after="120" w:line="276" w:lineRule="auto"/>
        <w:ind w:firstLine="0"/>
        <w:rPr>
          <w:rFonts w:ascii="Tahoma" w:hAnsi="Tahoma" w:cs="Tahoma"/>
          <w:b/>
          <w:noProof/>
          <w:sz w:val="24"/>
          <w:szCs w:val="24"/>
        </w:rPr>
      </w:pPr>
    </w:p>
    <w:p w:rsidR="008431FA" w:rsidRPr="00216E39" w:rsidRDefault="008431FA" w:rsidP="00610108">
      <w:pPr>
        <w:spacing w:after="120" w:line="276" w:lineRule="auto"/>
        <w:ind w:firstLine="0"/>
        <w:rPr>
          <w:rFonts w:ascii="Tahoma" w:hAnsi="Tahoma" w:cs="Tahoma"/>
          <w:b/>
          <w:noProof/>
          <w:sz w:val="24"/>
          <w:szCs w:val="24"/>
        </w:rPr>
      </w:pPr>
    </w:p>
    <w:p w:rsidR="00610108" w:rsidRPr="00216E39" w:rsidRDefault="00610108" w:rsidP="00610108">
      <w:pPr>
        <w:spacing w:after="120" w:line="276" w:lineRule="auto"/>
        <w:ind w:firstLine="0"/>
        <w:rPr>
          <w:rFonts w:ascii="Tahoma" w:hAnsi="Tahoma" w:cs="Tahoma"/>
          <w:noProof/>
          <w:sz w:val="24"/>
          <w:szCs w:val="24"/>
        </w:rPr>
      </w:pPr>
      <w:r w:rsidRPr="00216E39">
        <w:rPr>
          <w:rFonts w:ascii="Tahoma" w:hAnsi="Tahoma" w:cs="Tahoma"/>
          <w:b/>
          <w:noProof/>
          <w:sz w:val="24"/>
          <w:szCs w:val="24"/>
        </w:rPr>
        <w:t>Stocul plăților restante</w:t>
      </w:r>
      <w:r w:rsidRPr="00216E39">
        <w:rPr>
          <w:rFonts w:ascii="Tahoma" w:hAnsi="Tahoma" w:cs="Tahoma"/>
          <w:noProof/>
          <w:sz w:val="24"/>
          <w:szCs w:val="24"/>
        </w:rPr>
        <w:t xml:space="preserve"> raportate la data de 30 iunie 2024 a fost în sumă totală de 2.7</w:t>
      </w:r>
      <w:r w:rsidR="00550BCB" w:rsidRPr="00216E39">
        <w:rPr>
          <w:rFonts w:ascii="Tahoma" w:hAnsi="Tahoma" w:cs="Tahoma"/>
          <w:noProof/>
          <w:sz w:val="24"/>
          <w:szCs w:val="24"/>
        </w:rPr>
        <w:t>27</w:t>
      </w:r>
      <w:r w:rsidRPr="00216E39">
        <w:rPr>
          <w:rFonts w:ascii="Tahoma" w:hAnsi="Tahoma" w:cs="Tahoma"/>
          <w:noProof/>
          <w:sz w:val="24"/>
          <w:szCs w:val="24"/>
        </w:rPr>
        <w:t>,</w:t>
      </w:r>
      <w:r w:rsidR="00550BCB" w:rsidRPr="00216E39">
        <w:rPr>
          <w:rFonts w:ascii="Tahoma" w:hAnsi="Tahoma" w:cs="Tahoma"/>
          <w:noProof/>
          <w:sz w:val="24"/>
          <w:szCs w:val="24"/>
        </w:rPr>
        <w:t>7</w:t>
      </w:r>
      <w:r w:rsidRPr="00216E39">
        <w:rPr>
          <w:rFonts w:ascii="Tahoma" w:hAnsi="Tahoma" w:cs="Tahoma"/>
          <w:noProof/>
          <w:sz w:val="24"/>
          <w:szCs w:val="24"/>
        </w:rPr>
        <w:t xml:space="preserve"> milioane lei, cu </w:t>
      </w:r>
      <w:r w:rsidR="00550BCB" w:rsidRPr="00216E39">
        <w:rPr>
          <w:rFonts w:ascii="Tahoma" w:hAnsi="Tahoma" w:cs="Tahoma"/>
          <w:noProof/>
          <w:sz w:val="24"/>
          <w:szCs w:val="24"/>
        </w:rPr>
        <w:t>42,4</w:t>
      </w:r>
      <w:r w:rsidRPr="00216E39">
        <w:rPr>
          <w:rFonts w:ascii="Tahoma" w:hAnsi="Tahoma" w:cs="Tahoma"/>
          <w:noProof/>
          <w:sz w:val="24"/>
          <w:szCs w:val="24"/>
        </w:rPr>
        <w:t xml:space="preserve">% peste nivelul înregistrat la data de 30 iunie 2023 pe fondul creșterii plăților restante în administrația locală cu </w:t>
      </w:r>
      <w:r w:rsidR="00550BCB" w:rsidRPr="00216E39">
        <w:rPr>
          <w:rFonts w:ascii="Tahoma" w:hAnsi="Tahoma" w:cs="Tahoma"/>
          <w:noProof/>
          <w:sz w:val="24"/>
          <w:szCs w:val="24"/>
        </w:rPr>
        <w:t>72,0</w:t>
      </w:r>
      <w:r w:rsidRPr="00216E39">
        <w:rPr>
          <w:rFonts w:ascii="Tahoma" w:hAnsi="Tahoma" w:cs="Tahoma"/>
          <w:noProof/>
          <w:sz w:val="24"/>
          <w:szCs w:val="24"/>
        </w:rPr>
        <w:t>%(+</w:t>
      </w:r>
      <w:r w:rsidR="00550BCB" w:rsidRPr="00216E39">
        <w:rPr>
          <w:rFonts w:ascii="Tahoma" w:hAnsi="Tahoma" w:cs="Tahoma"/>
          <w:noProof/>
          <w:sz w:val="24"/>
          <w:szCs w:val="24"/>
        </w:rPr>
        <w:t>1</w:t>
      </w:r>
      <w:r w:rsidR="00AA1BC5" w:rsidRPr="00216E39">
        <w:rPr>
          <w:rFonts w:ascii="Tahoma" w:hAnsi="Tahoma" w:cs="Tahoma"/>
          <w:noProof/>
          <w:sz w:val="24"/>
          <w:szCs w:val="24"/>
        </w:rPr>
        <w:t>.</w:t>
      </w:r>
      <w:r w:rsidR="00550BCB" w:rsidRPr="00216E39">
        <w:rPr>
          <w:rFonts w:ascii="Tahoma" w:hAnsi="Tahoma" w:cs="Tahoma"/>
          <w:noProof/>
          <w:sz w:val="24"/>
          <w:szCs w:val="24"/>
        </w:rPr>
        <w:t>015,3</w:t>
      </w:r>
      <w:r w:rsidRPr="00216E39">
        <w:rPr>
          <w:rFonts w:ascii="Tahoma" w:hAnsi="Tahoma" w:cs="Tahoma"/>
          <w:noProof/>
          <w:sz w:val="24"/>
          <w:szCs w:val="24"/>
        </w:rPr>
        <w:t xml:space="preserve"> milioane lei) </w:t>
      </w:r>
      <w:r w:rsidR="00550BCB" w:rsidRPr="00216E39">
        <w:rPr>
          <w:rFonts w:ascii="Tahoma" w:hAnsi="Tahoma" w:cs="Tahoma"/>
          <w:noProof/>
          <w:sz w:val="24"/>
          <w:szCs w:val="24"/>
        </w:rPr>
        <w:t xml:space="preserve">în timp ce </w:t>
      </w:r>
      <w:r w:rsidRPr="00216E39">
        <w:rPr>
          <w:rFonts w:ascii="Tahoma" w:hAnsi="Tahoma" w:cs="Tahoma"/>
          <w:noProof/>
          <w:sz w:val="24"/>
          <w:szCs w:val="24"/>
        </w:rPr>
        <w:t xml:space="preserve">la nivelul administrației centrale </w:t>
      </w:r>
      <w:r w:rsidR="00550BCB" w:rsidRPr="00216E39">
        <w:rPr>
          <w:rFonts w:ascii="Tahoma" w:hAnsi="Tahoma" w:cs="Tahoma"/>
          <w:noProof/>
          <w:sz w:val="24"/>
          <w:szCs w:val="24"/>
        </w:rPr>
        <w:t xml:space="preserve">și la nivelul bugetului asigurărilor sociale </w:t>
      </w:r>
      <w:r w:rsidRPr="00216E39">
        <w:rPr>
          <w:rFonts w:ascii="Tahoma" w:hAnsi="Tahoma" w:cs="Tahoma"/>
          <w:noProof/>
          <w:sz w:val="24"/>
          <w:szCs w:val="24"/>
        </w:rPr>
        <w:t xml:space="preserve">acestea s-au redus cu </w:t>
      </w:r>
      <w:r w:rsidR="00550BCB" w:rsidRPr="00216E39">
        <w:rPr>
          <w:rFonts w:ascii="Tahoma" w:hAnsi="Tahoma" w:cs="Tahoma"/>
          <w:noProof/>
          <w:sz w:val="24"/>
          <w:szCs w:val="24"/>
        </w:rPr>
        <w:t>19,1%(-69,2 milioane lei) și respectiv 93.6%(-133,55</w:t>
      </w:r>
      <w:r w:rsidRPr="00216E39">
        <w:rPr>
          <w:rFonts w:ascii="Tahoma" w:hAnsi="Tahoma" w:cs="Tahoma"/>
          <w:noProof/>
          <w:sz w:val="24"/>
          <w:szCs w:val="24"/>
        </w:rPr>
        <w:t xml:space="preserve"> milioane lei</w:t>
      </w:r>
      <w:r w:rsidR="00550BCB" w:rsidRPr="00216E39">
        <w:rPr>
          <w:rFonts w:ascii="Tahoma" w:hAnsi="Tahoma" w:cs="Tahoma"/>
          <w:noProof/>
          <w:sz w:val="24"/>
          <w:szCs w:val="24"/>
        </w:rPr>
        <w:t>)</w:t>
      </w:r>
      <w:r w:rsidRPr="00216E39">
        <w:rPr>
          <w:rFonts w:ascii="Tahoma" w:hAnsi="Tahoma" w:cs="Tahoma"/>
          <w:noProof/>
          <w:sz w:val="24"/>
          <w:szCs w:val="24"/>
        </w:rPr>
        <w:t xml:space="preserve">. Plățile restante din administrația locală au reprezentat </w:t>
      </w:r>
      <w:r w:rsidR="00AA1BC5" w:rsidRPr="00216E39">
        <w:rPr>
          <w:rFonts w:ascii="Tahoma" w:hAnsi="Tahoma" w:cs="Tahoma"/>
          <w:noProof/>
          <w:sz w:val="24"/>
          <w:szCs w:val="24"/>
        </w:rPr>
        <w:t>88,9</w:t>
      </w:r>
      <w:r w:rsidRPr="00216E39">
        <w:rPr>
          <w:rFonts w:ascii="Tahoma" w:hAnsi="Tahoma" w:cs="Tahoma"/>
          <w:noProof/>
          <w:sz w:val="24"/>
          <w:szCs w:val="24"/>
        </w:rPr>
        <w:t>% din totalul plăților restante înregistrate la 30 iunie 202</w:t>
      </w:r>
      <w:r w:rsidR="00550BCB" w:rsidRPr="00216E39">
        <w:rPr>
          <w:rFonts w:ascii="Tahoma" w:hAnsi="Tahoma" w:cs="Tahoma"/>
          <w:noProof/>
          <w:sz w:val="24"/>
          <w:szCs w:val="24"/>
        </w:rPr>
        <w:t>4</w:t>
      </w:r>
      <w:r w:rsidRPr="00216E39">
        <w:rPr>
          <w:rFonts w:ascii="Tahoma" w:hAnsi="Tahoma" w:cs="Tahoma"/>
          <w:noProof/>
          <w:sz w:val="24"/>
          <w:szCs w:val="24"/>
        </w:rPr>
        <w:t>.</w:t>
      </w:r>
    </w:p>
    <w:p w:rsidR="009A693D" w:rsidRPr="00216E39" w:rsidRDefault="00E17D67" w:rsidP="00610108">
      <w:pPr>
        <w:spacing w:after="120" w:line="276" w:lineRule="auto"/>
        <w:ind w:firstLine="0"/>
        <w:rPr>
          <w:noProof/>
        </w:rPr>
      </w:pPr>
      <w:r>
        <w:rPr>
          <w:noProof/>
          <w:color w:val="FF0000"/>
        </w:rPr>
        <w:lastRenderedPageBreak/>
        <w:pict>
          <v:shape id="_x0000_i1029" type="#_x0000_t75" style="width:457.2pt;height:174.25pt">
            <v:imagedata r:id="rId16" o:title=""/>
          </v:shape>
        </w:pict>
      </w:r>
    </w:p>
    <w:p w:rsidR="009A693D" w:rsidRPr="00216E39" w:rsidRDefault="004D6D76" w:rsidP="009A693D">
      <w:pPr>
        <w:spacing w:before="360" w:after="0" w:line="276" w:lineRule="auto"/>
        <w:ind w:firstLine="0"/>
        <w:rPr>
          <w:rFonts w:ascii="Tahoma" w:hAnsi="Tahoma" w:cs="Tahoma"/>
          <w:sz w:val="24"/>
          <w:szCs w:val="24"/>
        </w:rPr>
      </w:pPr>
      <w:r w:rsidRPr="00216E39">
        <w:rPr>
          <w:rFonts w:ascii="Tahoma" w:hAnsi="Tahoma" w:cs="Tahoma"/>
          <w:b/>
          <w:sz w:val="24"/>
          <w:szCs w:val="24"/>
        </w:rPr>
        <w:t>Arieratele</w:t>
      </w:r>
      <w:r w:rsidRPr="00216E39">
        <w:rPr>
          <w:rFonts w:ascii="Tahoma" w:hAnsi="Tahoma" w:cs="Tahoma"/>
          <w:sz w:val="24"/>
          <w:szCs w:val="24"/>
        </w:rPr>
        <w:t xml:space="preserve"> (plățile restante peste 90 de zile) înregistrate la data de 30 iunie 20</w:t>
      </w:r>
      <w:r w:rsidR="005F757C" w:rsidRPr="00216E39">
        <w:rPr>
          <w:rFonts w:ascii="Tahoma" w:hAnsi="Tahoma" w:cs="Tahoma"/>
          <w:sz w:val="24"/>
          <w:szCs w:val="24"/>
        </w:rPr>
        <w:t>2</w:t>
      </w:r>
      <w:r w:rsidR="00610108" w:rsidRPr="00216E39">
        <w:rPr>
          <w:rFonts w:ascii="Tahoma" w:hAnsi="Tahoma" w:cs="Tahoma"/>
          <w:sz w:val="24"/>
          <w:szCs w:val="24"/>
        </w:rPr>
        <w:t>4</w:t>
      </w:r>
      <w:r w:rsidRPr="00216E39">
        <w:rPr>
          <w:rFonts w:ascii="Tahoma" w:hAnsi="Tahoma" w:cs="Tahoma"/>
          <w:sz w:val="24"/>
          <w:szCs w:val="24"/>
        </w:rPr>
        <w:t xml:space="preserve"> au fost în sumă de </w:t>
      </w:r>
      <w:r w:rsidR="00610108" w:rsidRPr="00216E39">
        <w:rPr>
          <w:rFonts w:ascii="Tahoma" w:hAnsi="Tahoma" w:cs="Tahoma"/>
          <w:sz w:val="24"/>
          <w:szCs w:val="24"/>
        </w:rPr>
        <w:t>470,8</w:t>
      </w:r>
      <w:r w:rsidRPr="00216E39">
        <w:rPr>
          <w:rFonts w:ascii="Tahoma" w:hAnsi="Tahoma" w:cs="Tahoma"/>
          <w:sz w:val="24"/>
          <w:szCs w:val="24"/>
        </w:rPr>
        <w:t xml:space="preserve"> milioane </w:t>
      </w:r>
      <w:r w:rsidR="003A634F" w:rsidRPr="00216E39">
        <w:rPr>
          <w:rFonts w:ascii="Tahoma" w:hAnsi="Tahoma" w:cs="Tahoma"/>
          <w:sz w:val="24"/>
          <w:szCs w:val="24"/>
        </w:rPr>
        <w:t>lei</w:t>
      </w:r>
      <w:r w:rsidRPr="00216E39">
        <w:rPr>
          <w:rFonts w:ascii="Tahoma" w:hAnsi="Tahoma" w:cs="Tahoma"/>
          <w:sz w:val="24"/>
          <w:szCs w:val="24"/>
        </w:rPr>
        <w:t xml:space="preserve">, </w:t>
      </w:r>
      <w:r w:rsidR="003F3604" w:rsidRPr="00216E39">
        <w:rPr>
          <w:rFonts w:ascii="Tahoma" w:hAnsi="Tahoma" w:cs="Tahoma"/>
          <w:sz w:val="24"/>
          <w:szCs w:val="24"/>
        </w:rPr>
        <w:t xml:space="preserve">ceea ce reprezintă o </w:t>
      </w:r>
      <w:r w:rsidR="00926188" w:rsidRPr="00216E39">
        <w:rPr>
          <w:rFonts w:ascii="Tahoma" w:hAnsi="Tahoma" w:cs="Tahoma"/>
          <w:sz w:val="24"/>
          <w:szCs w:val="24"/>
        </w:rPr>
        <w:t>creștere</w:t>
      </w:r>
      <w:r w:rsidR="003F3604" w:rsidRPr="00216E39">
        <w:rPr>
          <w:rFonts w:ascii="Tahoma" w:hAnsi="Tahoma" w:cs="Tahoma"/>
          <w:sz w:val="24"/>
          <w:szCs w:val="24"/>
        </w:rPr>
        <w:t xml:space="preserve"> </w:t>
      </w:r>
      <w:r w:rsidRPr="00216E39">
        <w:rPr>
          <w:rFonts w:ascii="Tahoma" w:hAnsi="Tahoma" w:cs="Tahoma"/>
          <w:sz w:val="24"/>
          <w:szCs w:val="24"/>
        </w:rPr>
        <w:t xml:space="preserve">cu </w:t>
      </w:r>
      <w:r w:rsidR="00610108" w:rsidRPr="00216E39">
        <w:rPr>
          <w:rFonts w:ascii="Tahoma" w:hAnsi="Tahoma" w:cs="Tahoma"/>
          <w:sz w:val="24"/>
          <w:szCs w:val="24"/>
        </w:rPr>
        <w:t>38</w:t>
      </w:r>
      <w:r w:rsidR="00926188" w:rsidRPr="00216E39">
        <w:rPr>
          <w:rFonts w:ascii="Tahoma" w:hAnsi="Tahoma" w:cs="Tahoma"/>
          <w:sz w:val="24"/>
          <w:szCs w:val="24"/>
        </w:rPr>
        <w:t>,5</w:t>
      </w:r>
      <w:r w:rsidR="003F3604" w:rsidRPr="00216E39">
        <w:rPr>
          <w:rFonts w:ascii="Tahoma" w:hAnsi="Tahoma" w:cs="Tahoma"/>
          <w:sz w:val="24"/>
          <w:szCs w:val="24"/>
        </w:rPr>
        <w:t>%</w:t>
      </w:r>
      <w:r w:rsidRPr="00216E39">
        <w:rPr>
          <w:rFonts w:ascii="Tahoma" w:hAnsi="Tahoma" w:cs="Tahoma"/>
          <w:sz w:val="24"/>
          <w:szCs w:val="24"/>
        </w:rPr>
        <w:t xml:space="preserve"> comparativ cu cele înregistrate la data de 30 iunie 20</w:t>
      </w:r>
      <w:r w:rsidR="00FE2F7D" w:rsidRPr="00216E39">
        <w:rPr>
          <w:rFonts w:ascii="Tahoma" w:hAnsi="Tahoma" w:cs="Tahoma"/>
          <w:sz w:val="24"/>
          <w:szCs w:val="24"/>
        </w:rPr>
        <w:t>2</w:t>
      </w:r>
      <w:r w:rsidR="00610108" w:rsidRPr="00216E39">
        <w:rPr>
          <w:rFonts w:ascii="Tahoma" w:hAnsi="Tahoma" w:cs="Tahoma"/>
          <w:sz w:val="24"/>
          <w:szCs w:val="24"/>
        </w:rPr>
        <w:t>3</w:t>
      </w:r>
      <w:r w:rsidRPr="00216E39">
        <w:rPr>
          <w:rFonts w:ascii="Tahoma" w:hAnsi="Tahoma" w:cs="Tahoma"/>
          <w:sz w:val="24"/>
          <w:szCs w:val="24"/>
        </w:rPr>
        <w:t xml:space="preserve"> pe fondul </w:t>
      </w:r>
      <w:r w:rsidR="00926188" w:rsidRPr="00216E39">
        <w:rPr>
          <w:rFonts w:ascii="Tahoma" w:hAnsi="Tahoma" w:cs="Tahoma"/>
          <w:sz w:val="24"/>
          <w:szCs w:val="24"/>
        </w:rPr>
        <w:t xml:space="preserve">creșterii </w:t>
      </w:r>
      <w:r w:rsidRPr="00216E39">
        <w:rPr>
          <w:rFonts w:ascii="Tahoma" w:hAnsi="Tahoma" w:cs="Tahoma"/>
          <w:sz w:val="24"/>
          <w:szCs w:val="24"/>
        </w:rPr>
        <w:t xml:space="preserve">arieratelor </w:t>
      </w:r>
      <w:r w:rsidR="00AA1BC5" w:rsidRPr="00216E39">
        <w:rPr>
          <w:rFonts w:ascii="Tahoma" w:hAnsi="Tahoma" w:cs="Tahoma"/>
          <w:sz w:val="24"/>
          <w:szCs w:val="24"/>
        </w:rPr>
        <w:t xml:space="preserve">atât la nivelul </w:t>
      </w:r>
      <w:r w:rsidR="00FE2F7D" w:rsidRPr="00216E39">
        <w:rPr>
          <w:rFonts w:ascii="Tahoma" w:hAnsi="Tahoma" w:cs="Tahoma"/>
          <w:sz w:val="24"/>
          <w:szCs w:val="24"/>
        </w:rPr>
        <w:t>administrați</w:t>
      </w:r>
      <w:r w:rsidR="00AA1BC5" w:rsidRPr="00216E39">
        <w:rPr>
          <w:rFonts w:ascii="Tahoma" w:hAnsi="Tahoma" w:cs="Tahoma"/>
          <w:sz w:val="24"/>
          <w:szCs w:val="24"/>
        </w:rPr>
        <w:t>ei</w:t>
      </w:r>
      <w:r w:rsidR="00FE2F7D" w:rsidRPr="00216E39">
        <w:rPr>
          <w:rFonts w:ascii="Tahoma" w:hAnsi="Tahoma" w:cs="Tahoma"/>
          <w:sz w:val="24"/>
          <w:szCs w:val="24"/>
        </w:rPr>
        <w:t xml:space="preserve"> local</w:t>
      </w:r>
      <w:r w:rsidR="00AA1BC5" w:rsidRPr="00216E39">
        <w:rPr>
          <w:rFonts w:ascii="Tahoma" w:hAnsi="Tahoma" w:cs="Tahoma"/>
          <w:sz w:val="24"/>
          <w:szCs w:val="24"/>
        </w:rPr>
        <w:t>e</w:t>
      </w:r>
      <w:r w:rsidR="00FE2F7D" w:rsidRPr="00216E39">
        <w:rPr>
          <w:rFonts w:ascii="Tahoma" w:hAnsi="Tahoma" w:cs="Tahoma"/>
          <w:sz w:val="24"/>
          <w:szCs w:val="24"/>
        </w:rPr>
        <w:t xml:space="preserve"> cu </w:t>
      </w:r>
      <w:r w:rsidR="00610108" w:rsidRPr="00216E39">
        <w:rPr>
          <w:rFonts w:ascii="Tahoma" w:hAnsi="Tahoma" w:cs="Tahoma"/>
          <w:sz w:val="24"/>
          <w:szCs w:val="24"/>
        </w:rPr>
        <w:t>30,6</w:t>
      </w:r>
      <w:r w:rsidR="00FE2F7D" w:rsidRPr="00216E39">
        <w:rPr>
          <w:rFonts w:ascii="Tahoma" w:hAnsi="Tahoma" w:cs="Tahoma"/>
          <w:sz w:val="24"/>
          <w:szCs w:val="24"/>
        </w:rPr>
        <w:t>%</w:t>
      </w:r>
      <w:r w:rsidR="003F3604" w:rsidRPr="00216E39">
        <w:rPr>
          <w:rFonts w:ascii="Tahoma" w:hAnsi="Tahoma" w:cs="Tahoma"/>
          <w:sz w:val="24"/>
          <w:szCs w:val="24"/>
        </w:rPr>
        <w:t xml:space="preserve"> </w:t>
      </w:r>
      <w:r w:rsidR="00AA1BC5" w:rsidRPr="00216E39">
        <w:rPr>
          <w:rFonts w:ascii="Tahoma" w:hAnsi="Tahoma" w:cs="Tahoma"/>
          <w:sz w:val="24"/>
          <w:szCs w:val="24"/>
        </w:rPr>
        <w:t xml:space="preserve">cât și </w:t>
      </w:r>
      <w:r w:rsidRPr="00216E39">
        <w:rPr>
          <w:rFonts w:ascii="Tahoma" w:hAnsi="Tahoma" w:cs="Tahoma"/>
          <w:sz w:val="24"/>
          <w:szCs w:val="24"/>
        </w:rPr>
        <w:t>la nivelul administrației centrale</w:t>
      </w:r>
      <w:r w:rsidR="00FE2F7D" w:rsidRPr="00216E39">
        <w:rPr>
          <w:rFonts w:ascii="Tahoma" w:hAnsi="Tahoma" w:cs="Tahoma"/>
          <w:sz w:val="24"/>
          <w:szCs w:val="24"/>
        </w:rPr>
        <w:t xml:space="preserve"> cu </w:t>
      </w:r>
      <w:r w:rsidR="00610108" w:rsidRPr="00216E39">
        <w:rPr>
          <w:rFonts w:ascii="Tahoma" w:hAnsi="Tahoma" w:cs="Tahoma"/>
          <w:sz w:val="24"/>
          <w:szCs w:val="24"/>
        </w:rPr>
        <w:t>178,3%(+32,7 milioane lei)</w:t>
      </w:r>
      <w:r w:rsidRPr="00216E39">
        <w:rPr>
          <w:rFonts w:ascii="Tahoma" w:hAnsi="Tahoma" w:cs="Tahoma"/>
          <w:sz w:val="24"/>
          <w:szCs w:val="24"/>
        </w:rPr>
        <w:t xml:space="preserve">. Arieratele din administrația locală au reprezentat </w:t>
      </w:r>
      <w:r w:rsidR="00610108" w:rsidRPr="00216E39">
        <w:rPr>
          <w:rFonts w:ascii="Tahoma" w:hAnsi="Tahoma" w:cs="Tahoma"/>
          <w:sz w:val="24"/>
          <w:szCs w:val="24"/>
        </w:rPr>
        <w:t>89,1</w:t>
      </w:r>
      <w:r w:rsidR="00EC2F2D" w:rsidRPr="00216E39">
        <w:rPr>
          <w:rFonts w:ascii="Tahoma" w:hAnsi="Tahoma" w:cs="Tahoma"/>
          <w:sz w:val="24"/>
          <w:szCs w:val="24"/>
        </w:rPr>
        <w:t>4</w:t>
      </w:r>
      <w:r w:rsidRPr="00216E39">
        <w:rPr>
          <w:rFonts w:ascii="Tahoma" w:hAnsi="Tahoma" w:cs="Tahoma"/>
          <w:sz w:val="24"/>
          <w:szCs w:val="24"/>
        </w:rPr>
        <w:t>% din totalul arieratelor înregistrate la 30 iunie 20</w:t>
      </w:r>
      <w:r w:rsidR="005F757C" w:rsidRPr="00216E39">
        <w:rPr>
          <w:rFonts w:ascii="Tahoma" w:hAnsi="Tahoma" w:cs="Tahoma"/>
          <w:sz w:val="24"/>
          <w:szCs w:val="24"/>
        </w:rPr>
        <w:t>2</w:t>
      </w:r>
      <w:r w:rsidR="00610108" w:rsidRPr="00216E39">
        <w:rPr>
          <w:rFonts w:ascii="Tahoma" w:hAnsi="Tahoma" w:cs="Tahoma"/>
          <w:sz w:val="24"/>
          <w:szCs w:val="24"/>
        </w:rPr>
        <w:t>4</w:t>
      </w:r>
      <w:r w:rsidRPr="00216E39">
        <w:rPr>
          <w:rFonts w:ascii="Tahoma" w:hAnsi="Tahoma" w:cs="Tahoma"/>
          <w:sz w:val="24"/>
          <w:szCs w:val="24"/>
        </w:rPr>
        <w:t>.</w:t>
      </w:r>
    </w:p>
    <w:p w:rsidR="007C4F03" w:rsidRPr="00216E39" w:rsidRDefault="008A700D" w:rsidP="009A693D">
      <w:pPr>
        <w:spacing w:before="360" w:after="240" w:line="276" w:lineRule="auto"/>
        <w:ind w:firstLine="0"/>
        <w:rPr>
          <w:rFonts w:ascii="Tahoma" w:hAnsi="Tahoma" w:cs="Tahoma"/>
          <w:color w:val="FF0000"/>
          <w:sz w:val="24"/>
          <w:szCs w:val="24"/>
        </w:rPr>
      </w:pPr>
      <w:r w:rsidRPr="00216E39">
        <w:rPr>
          <w:rFonts w:ascii="Tahoma" w:hAnsi="Tahoma" w:cs="Tahoma"/>
          <w:color w:val="FF0000"/>
          <w:sz w:val="24"/>
          <w:szCs w:val="24"/>
        </w:rPr>
        <w:br w:type="page"/>
      </w:r>
    </w:p>
    <w:p w:rsidR="00155F43" w:rsidRPr="00216E39" w:rsidRDefault="00433503" w:rsidP="008431FA">
      <w:pPr>
        <w:pStyle w:val="ListParagraph"/>
        <w:keepNext/>
        <w:keepLines/>
        <w:spacing w:after="240" w:line="276" w:lineRule="auto"/>
        <w:ind w:left="567" w:hanging="567"/>
        <w:contextualSpacing w:val="0"/>
        <w:outlineLvl w:val="0"/>
        <w:rPr>
          <w:rFonts w:ascii="Tahoma" w:hAnsi="Tahoma" w:cs="Tahoma"/>
          <w:b/>
          <w:sz w:val="24"/>
          <w:szCs w:val="24"/>
        </w:rPr>
      </w:pPr>
      <w:bookmarkStart w:id="21" w:name="_Toc172205380"/>
      <w:r w:rsidRPr="00216E39">
        <w:rPr>
          <w:rFonts w:ascii="Tahoma" w:hAnsi="Tahoma" w:cs="Tahoma"/>
          <w:b/>
          <w:sz w:val="24"/>
          <w:szCs w:val="24"/>
        </w:rPr>
        <w:lastRenderedPageBreak/>
        <w:t>IV</w:t>
      </w:r>
      <w:r w:rsidR="00C43AD2" w:rsidRPr="00216E39">
        <w:rPr>
          <w:rFonts w:ascii="Tahoma" w:hAnsi="Tahoma" w:cs="Tahoma"/>
          <w:b/>
          <w:sz w:val="24"/>
          <w:szCs w:val="24"/>
        </w:rPr>
        <w:t xml:space="preserve">. Finanțarea deficitului bugetar </w:t>
      </w:r>
      <w:r w:rsidR="00E771E4" w:rsidRPr="00216E39">
        <w:rPr>
          <w:rFonts w:ascii="Tahoma" w:hAnsi="Tahoma" w:cs="Tahoma"/>
          <w:b/>
          <w:sz w:val="24"/>
          <w:szCs w:val="24"/>
        </w:rPr>
        <w:t>și</w:t>
      </w:r>
      <w:r w:rsidR="00C43AD2" w:rsidRPr="00216E39">
        <w:rPr>
          <w:rFonts w:ascii="Tahoma" w:hAnsi="Tahoma" w:cs="Tahoma"/>
          <w:b/>
          <w:sz w:val="24"/>
          <w:szCs w:val="24"/>
        </w:rPr>
        <w:t xml:space="preserve"> datoria publică</w:t>
      </w:r>
      <w:bookmarkEnd w:id="21"/>
    </w:p>
    <w:p w:rsidR="00D31CEE" w:rsidRPr="00216E39" w:rsidRDefault="00433503" w:rsidP="008431FA">
      <w:pPr>
        <w:widowControl w:val="0"/>
        <w:spacing w:after="120" w:line="276" w:lineRule="auto"/>
        <w:ind w:left="1418" w:hanging="1134"/>
        <w:rPr>
          <w:rFonts w:ascii="Tahoma" w:hAnsi="Tahoma" w:cs="Tahoma"/>
          <w:b/>
          <w:bCs/>
          <w:sz w:val="24"/>
          <w:szCs w:val="24"/>
        </w:rPr>
      </w:pPr>
      <w:bookmarkStart w:id="22" w:name="RANGE!B1:I9"/>
      <w:bookmarkEnd w:id="22"/>
      <w:r w:rsidRPr="00216E39">
        <w:rPr>
          <w:rFonts w:ascii="Tahoma" w:hAnsi="Tahoma" w:cs="Tahoma"/>
          <w:b/>
          <w:bCs/>
          <w:sz w:val="24"/>
          <w:szCs w:val="24"/>
        </w:rPr>
        <w:t>IV</w:t>
      </w:r>
      <w:r w:rsidR="00D31CEE" w:rsidRPr="00216E39">
        <w:rPr>
          <w:rFonts w:ascii="Tahoma" w:hAnsi="Tahoma" w:cs="Tahoma"/>
          <w:b/>
          <w:bCs/>
          <w:sz w:val="24"/>
          <w:szCs w:val="24"/>
        </w:rPr>
        <w:t>.1 Datoria publică</w:t>
      </w:r>
    </w:p>
    <w:p w:rsidR="00C26F54" w:rsidRPr="00216E39" w:rsidRDefault="00C26F54" w:rsidP="0045277E">
      <w:pPr>
        <w:widowControl w:val="0"/>
        <w:spacing w:before="120" w:after="120" w:line="276" w:lineRule="auto"/>
        <w:ind w:firstLine="0"/>
        <w:rPr>
          <w:rFonts w:ascii="Tahoma" w:eastAsia="Calibri" w:hAnsi="Tahoma" w:cs="Tahoma"/>
          <w:sz w:val="24"/>
          <w:szCs w:val="24"/>
        </w:rPr>
      </w:pPr>
      <w:r w:rsidRPr="00216E39">
        <w:rPr>
          <w:rFonts w:ascii="Tahoma" w:eastAsia="Calibri" w:hAnsi="Tahoma" w:cs="Tahoma"/>
          <w:sz w:val="24"/>
          <w:szCs w:val="24"/>
        </w:rPr>
        <w:t xml:space="preserve">Datoria guvernamentală conform metodologiei UE s-a situat la data de </w:t>
      </w:r>
      <w:r w:rsidR="008C521A" w:rsidRPr="00216E39">
        <w:rPr>
          <w:rFonts w:ascii="Tahoma" w:eastAsia="Calibri" w:hAnsi="Tahoma" w:cs="Tahoma"/>
          <w:sz w:val="24"/>
          <w:szCs w:val="24"/>
        </w:rPr>
        <w:t xml:space="preserve">30 iunie </w:t>
      </w:r>
      <w:r w:rsidRPr="00216E39">
        <w:rPr>
          <w:rFonts w:ascii="Tahoma" w:eastAsia="Calibri" w:hAnsi="Tahoma" w:cs="Tahoma"/>
          <w:sz w:val="24"/>
          <w:szCs w:val="24"/>
        </w:rPr>
        <w:t xml:space="preserve">2024 la un nivel de </w:t>
      </w:r>
      <w:r w:rsidR="008C521A" w:rsidRPr="00216E39">
        <w:rPr>
          <w:rFonts w:ascii="Tahoma" w:eastAsia="Calibri" w:hAnsi="Tahoma" w:cs="Tahoma"/>
          <w:sz w:val="24"/>
          <w:szCs w:val="24"/>
        </w:rPr>
        <w:t xml:space="preserve"> 51,4</w:t>
      </w:r>
      <w:r w:rsidRPr="00216E39">
        <w:rPr>
          <w:rFonts w:ascii="Tahoma" w:eastAsia="Calibri" w:hAnsi="Tahoma" w:cs="Tahoma"/>
          <w:sz w:val="24"/>
          <w:szCs w:val="24"/>
        </w:rPr>
        <w:t xml:space="preserve">% din PIB sub plafonul de 60% stabilit prin Tratatul de la Maastricht. Datoria internă a administrației publice a reprezentat </w:t>
      </w:r>
      <w:r w:rsidR="008C521A" w:rsidRPr="00216E39">
        <w:rPr>
          <w:rFonts w:ascii="Tahoma" w:eastAsia="Calibri" w:hAnsi="Tahoma" w:cs="Tahoma"/>
          <w:sz w:val="24"/>
          <w:szCs w:val="24"/>
        </w:rPr>
        <w:t xml:space="preserve"> 24,8</w:t>
      </w:r>
      <w:r w:rsidRPr="00216E39">
        <w:rPr>
          <w:rFonts w:ascii="Tahoma" w:eastAsia="Calibri" w:hAnsi="Tahoma" w:cs="Tahoma"/>
          <w:sz w:val="24"/>
          <w:szCs w:val="24"/>
        </w:rPr>
        <w:t>% din PIB, iar datoria externă 26,</w:t>
      </w:r>
      <w:r w:rsidR="008C521A" w:rsidRPr="00216E39">
        <w:rPr>
          <w:rFonts w:ascii="Tahoma" w:eastAsia="Calibri" w:hAnsi="Tahoma" w:cs="Tahoma"/>
          <w:sz w:val="24"/>
          <w:szCs w:val="24"/>
        </w:rPr>
        <w:t>6</w:t>
      </w:r>
      <w:r w:rsidRPr="00216E39">
        <w:rPr>
          <w:rFonts w:ascii="Tahoma" w:eastAsia="Calibri" w:hAnsi="Tahoma" w:cs="Tahoma"/>
          <w:sz w:val="24"/>
          <w:szCs w:val="24"/>
        </w:rPr>
        <w:t xml:space="preserve">% din PIB. </w:t>
      </w:r>
    </w:p>
    <w:p w:rsidR="00C26F54" w:rsidRPr="00216E39" w:rsidRDefault="00C26F54" w:rsidP="0045277E">
      <w:pPr>
        <w:widowControl w:val="0"/>
        <w:spacing w:before="120" w:after="120" w:line="276" w:lineRule="auto"/>
        <w:ind w:firstLine="0"/>
        <w:rPr>
          <w:rFonts w:ascii="Tahoma" w:eastAsia="Calibri" w:hAnsi="Tahoma" w:cs="Tahoma"/>
          <w:sz w:val="24"/>
          <w:szCs w:val="24"/>
        </w:rPr>
      </w:pPr>
      <w:r w:rsidRPr="00216E39">
        <w:rPr>
          <w:rFonts w:ascii="Tahoma" w:eastAsia="Calibri" w:hAnsi="Tahoma" w:cs="Tahoma"/>
          <w:sz w:val="24"/>
          <w:szCs w:val="24"/>
        </w:rPr>
        <w:t>Conform datelor publicate de EUROSTAT, la sfârșitul trimestrului I 2024, România s-a situat pe locul 15 între statele membre UE cu un nivel de îndatorare de 51,6% din PIB, media datoriei guvernamentale pentru zona euro (EA 20) fiind de 88,7% din PIB, iar cea pentru UE27 de 82,0% din PIB.</w:t>
      </w:r>
    </w:p>
    <w:p w:rsidR="00C26F54" w:rsidRPr="00216E39" w:rsidRDefault="00C26F54" w:rsidP="0045277E">
      <w:pPr>
        <w:widowControl w:val="0"/>
        <w:spacing w:before="120" w:after="120" w:line="276" w:lineRule="auto"/>
        <w:ind w:firstLine="0"/>
        <w:rPr>
          <w:rFonts w:ascii="Tahoma" w:eastAsia="Calibri" w:hAnsi="Tahoma" w:cs="Tahoma"/>
          <w:sz w:val="24"/>
          <w:szCs w:val="24"/>
        </w:rPr>
      </w:pPr>
      <w:r w:rsidRPr="00216E39">
        <w:rPr>
          <w:rFonts w:ascii="Tahoma" w:eastAsia="Calibri" w:hAnsi="Tahoma" w:cs="Tahoma"/>
          <w:sz w:val="24"/>
          <w:szCs w:val="24"/>
        </w:rPr>
        <w:t xml:space="preserve">Un număr de 14 state membre au înregistrat, la finele trimestrului I 2024, un nivel al datoriei publice guvernamentale PIB de peste 60% din PIB, cele mai ridicate niveluri înregistrându-se în Grecia (159,8%), Italia (137,7%), Franța (110,8%), Spania (108,9%), Belgia (108,2%) și Portugalia (100,4%). </w:t>
      </w:r>
    </w:p>
    <w:p w:rsidR="00D31CEE" w:rsidRPr="00216E39" w:rsidRDefault="00433503" w:rsidP="008431FA">
      <w:pPr>
        <w:widowControl w:val="0"/>
        <w:spacing w:before="240" w:after="240" w:line="276" w:lineRule="auto"/>
        <w:ind w:left="284" w:firstLine="0"/>
        <w:rPr>
          <w:rFonts w:ascii="Tahoma" w:eastAsia="MS Mincho" w:hAnsi="Tahoma" w:cs="Tahoma"/>
          <w:sz w:val="24"/>
          <w:szCs w:val="24"/>
          <w:lang w:eastAsia="ja-JP"/>
        </w:rPr>
      </w:pPr>
      <w:r w:rsidRPr="00216E39">
        <w:rPr>
          <w:rFonts w:ascii="Tahoma" w:hAnsi="Tahoma" w:cs="Tahoma"/>
          <w:b/>
          <w:bCs/>
          <w:sz w:val="24"/>
          <w:szCs w:val="24"/>
        </w:rPr>
        <w:t>IV</w:t>
      </w:r>
      <w:r w:rsidR="00D31CEE" w:rsidRPr="00216E39">
        <w:rPr>
          <w:rFonts w:ascii="Tahoma" w:hAnsi="Tahoma" w:cs="Tahoma"/>
          <w:b/>
          <w:bCs/>
          <w:sz w:val="24"/>
          <w:szCs w:val="24"/>
        </w:rPr>
        <w:t xml:space="preserve">.2 Finanțarea deficitului bugetar </w:t>
      </w:r>
    </w:p>
    <w:p w:rsidR="00C26F54" w:rsidRPr="00216E39" w:rsidRDefault="00C26F54" w:rsidP="00C26F54">
      <w:pPr>
        <w:spacing w:after="0" w:line="276" w:lineRule="auto"/>
        <w:ind w:firstLine="0"/>
        <w:rPr>
          <w:rFonts w:ascii="Tahoma" w:eastAsia="MS Mincho" w:hAnsi="Tahoma" w:cs="Tahoma"/>
          <w:sz w:val="24"/>
          <w:szCs w:val="24"/>
          <w:lang w:eastAsia="ja-JP"/>
        </w:rPr>
      </w:pPr>
      <w:r w:rsidRPr="00216E39">
        <w:rPr>
          <w:rFonts w:ascii="Tahoma" w:eastAsia="MS Mincho" w:hAnsi="Tahoma" w:cs="Tahoma"/>
          <w:sz w:val="24"/>
          <w:szCs w:val="24"/>
          <w:lang w:eastAsia="ja-JP"/>
        </w:rPr>
        <w:t>În semestrul I 2024 finanțarea deficitului bugetar s-a realizat în principal prin emisiuni de titluri de stat lansate pe piața internă și pe piețele financiare externe. Sursele necesare refinanțării datoriei publice guvernamentale s-au asigurat în principal de pe piețele pe care s-au emis aceste datorii şi din rezerva financiară în valută la dispoziția Trezoreriei Statului.</w:t>
      </w:r>
    </w:p>
    <w:p w:rsidR="00C26F54" w:rsidRPr="00216E39" w:rsidRDefault="00C26F54" w:rsidP="00C26F54">
      <w:pPr>
        <w:spacing w:after="0" w:line="276" w:lineRule="auto"/>
        <w:ind w:firstLine="0"/>
        <w:rPr>
          <w:rFonts w:ascii="Tahoma" w:eastAsia="MS Mincho" w:hAnsi="Tahoma" w:cs="Tahoma"/>
          <w:sz w:val="24"/>
          <w:szCs w:val="24"/>
          <w:lang w:eastAsia="ja-JP"/>
        </w:rPr>
      </w:pPr>
      <w:r w:rsidRPr="00216E39">
        <w:rPr>
          <w:rFonts w:ascii="Tahoma" w:eastAsia="MS Mincho" w:hAnsi="Tahoma" w:cs="Tahoma"/>
          <w:sz w:val="24"/>
          <w:szCs w:val="24"/>
          <w:lang w:eastAsia="ja-JP"/>
        </w:rPr>
        <w:t xml:space="preserve">Instrumentele de datorie utilizate pentru finanțarea deficitului bugetar şi refinanțarea datoriei publice au fost următoarele: </w:t>
      </w:r>
    </w:p>
    <w:p w:rsidR="00C26F54" w:rsidRPr="00216E39" w:rsidRDefault="00C26F54" w:rsidP="00C26F54">
      <w:pPr>
        <w:suppressAutoHyphens/>
        <w:spacing w:after="0" w:line="276" w:lineRule="auto"/>
        <w:ind w:firstLine="0"/>
        <w:rPr>
          <w:rFonts w:ascii="Trebuchet MS" w:eastAsia="SimSun" w:hAnsi="Trebuchet MS" w:cs="Arial"/>
          <w:color w:val="00000A"/>
          <w:kern w:val="1"/>
          <w:sz w:val="24"/>
          <w:szCs w:val="24"/>
          <w:lang w:eastAsia="zh-CN"/>
        </w:rPr>
      </w:pPr>
    </w:p>
    <w:p w:rsidR="00C26F54" w:rsidRPr="00216E39" w:rsidRDefault="00C26F54" w:rsidP="00C26F54">
      <w:pPr>
        <w:numPr>
          <w:ilvl w:val="0"/>
          <w:numId w:val="3"/>
        </w:numPr>
        <w:suppressAutoHyphens/>
        <w:spacing w:after="0" w:line="276" w:lineRule="auto"/>
        <w:ind w:left="643"/>
        <w:jc w:val="left"/>
        <w:rPr>
          <w:rFonts w:ascii="Tahoma" w:eastAsia="Times New Roman" w:hAnsi="Tahoma" w:cs="Tahoma"/>
          <w:sz w:val="24"/>
          <w:szCs w:val="24"/>
          <w:lang w:eastAsia="zh-CN"/>
        </w:rPr>
      </w:pPr>
      <w:r w:rsidRPr="00216E39">
        <w:rPr>
          <w:rFonts w:ascii="Tahoma" w:eastAsia="Times New Roman" w:hAnsi="Tahoma" w:cs="Tahoma"/>
          <w:sz w:val="24"/>
          <w:szCs w:val="24"/>
          <w:lang w:eastAsia="zh-CN"/>
        </w:rPr>
        <w:t xml:space="preserve">Piața internă: </w:t>
      </w:r>
    </w:p>
    <w:p w:rsidR="00C26F54" w:rsidRPr="00216E39" w:rsidRDefault="00C26F54" w:rsidP="00C26F54">
      <w:pPr>
        <w:suppressAutoHyphens/>
        <w:spacing w:after="0" w:line="276" w:lineRule="auto"/>
        <w:ind w:left="360" w:firstLine="0"/>
        <w:rPr>
          <w:rFonts w:ascii="Tahoma" w:eastAsia="Times New Roman" w:hAnsi="Tahoma" w:cs="Tahoma"/>
          <w:sz w:val="24"/>
          <w:szCs w:val="24"/>
          <w:u w:val="single"/>
          <w:lang w:eastAsia="zh-CN"/>
        </w:rPr>
      </w:pPr>
    </w:p>
    <w:p w:rsidR="00C26F54" w:rsidRPr="00216E39" w:rsidRDefault="00C26F54" w:rsidP="00C26F54">
      <w:pPr>
        <w:numPr>
          <w:ilvl w:val="1"/>
          <w:numId w:val="3"/>
        </w:numPr>
        <w:suppressAutoHyphens/>
        <w:spacing w:after="0" w:line="276" w:lineRule="auto"/>
        <w:ind w:left="1287"/>
        <w:jc w:val="left"/>
        <w:rPr>
          <w:rFonts w:ascii="Tahoma" w:eastAsia="Times New Roman" w:hAnsi="Tahoma" w:cs="Tahoma"/>
          <w:sz w:val="24"/>
          <w:szCs w:val="24"/>
          <w:lang w:eastAsia="zh-CN"/>
        </w:rPr>
      </w:pPr>
      <w:r w:rsidRPr="00216E39">
        <w:rPr>
          <w:rFonts w:ascii="Tahoma" w:eastAsia="Times New Roman" w:hAnsi="Tahoma" w:cs="Tahoma"/>
          <w:sz w:val="24"/>
          <w:szCs w:val="24"/>
          <w:lang w:eastAsia="zh-CN"/>
        </w:rPr>
        <w:t>Titluri de stat emise pe piața interbancară:</w:t>
      </w:r>
      <w:r w:rsidRPr="00216E39">
        <w:rPr>
          <w:rFonts w:ascii="Tahoma" w:eastAsia="Times New Roman" w:hAnsi="Tahoma" w:cs="Tahoma"/>
          <w:color w:val="FF0000"/>
          <w:sz w:val="24"/>
          <w:szCs w:val="24"/>
          <w:lang w:eastAsia="zh-CN"/>
        </w:rPr>
        <w:t xml:space="preserve"> </w:t>
      </w:r>
      <w:r w:rsidRPr="00216E39">
        <w:rPr>
          <w:rFonts w:ascii="Tahoma" w:eastAsia="Times New Roman" w:hAnsi="Tahoma" w:cs="Tahoma"/>
          <w:sz w:val="24"/>
          <w:szCs w:val="24"/>
          <w:lang w:eastAsia="zh-CN"/>
        </w:rPr>
        <w:t>a fost adjudecată suma de 72,3 mld. RON</w:t>
      </w:r>
      <w:r w:rsidRPr="00216E39">
        <w:rPr>
          <w:rFonts w:ascii="Tahoma" w:eastAsia="Times New Roman" w:hAnsi="Tahoma" w:cs="Tahoma"/>
          <w:sz w:val="24"/>
          <w:szCs w:val="24"/>
          <w:vertAlign w:val="superscript"/>
          <w:lang w:eastAsia="zh-CN"/>
        </w:rPr>
        <w:footnoteReference w:id="18"/>
      </w:r>
      <w:r w:rsidRPr="00216E39">
        <w:rPr>
          <w:rFonts w:ascii="Tahoma" w:eastAsia="Times New Roman" w:hAnsi="Tahoma" w:cs="Tahoma"/>
          <w:sz w:val="24"/>
          <w:szCs w:val="24"/>
          <w:lang w:eastAsia="zh-CN"/>
        </w:rPr>
        <w:t xml:space="preserve"> , din care:</w:t>
      </w:r>
    </w:p>
    <w:p w:rsidR="00C26F54" w:rsidRPr="00216E39" w:rsidRDefault="00C26F54" w:rsidP="00F32685">
      <w:pPr>
        <w:numPr>
          <w:ilvl w:val="1"/>
          <w:numId w:val="2"/>
        </w:numPr>
        <w:suppressAutoHyphens/>
        <w:spacing w:before="120" w:after="0" w:line="276" w:lineRule="auto"/>
        <w:ind w:left="1777"/>
        <w:jc w:val="left"/>
        <w:rPr>
          <w:rFonts w:ascii="Tahoma" w:eastAsia="Times New Roman" w:hAnsi="Tahoma" w:cs="Tahoma"/>
          <w:sz w:val="24"/>
          <w:szCs w:val="24"/>
          <w:lang w:eastAsia="zh-CN"/>
        </w:rPr>
      </w:pPr>
      <w:r w:rsidRPr="00216E39">
        <w:rPr>
          <w:rFonts w:ascii="Tahoma" w:eastAsia="Times New Roman" w:hAnsi="Tahoma" w:cs="Tahoma"/>
          <w:sz w:val="24"/>
          <w:szCs w:val="24"/>
          <w:lang w:eastAsia="zh-CN"/>
        </w:rPr>
        <w:t>16,8 % - emisiuni de certificate de trezorerie cu discont cu maturitate de până la 12 luni și emisiuni de obligațiuni de tip benchmark cu maturități reziduale până la 1 an;</w:t>
      </w:r>
    </w:p>
    <w:p w:rsidR="00C26F54" w:rsidRPr="00216E39" w:rsidRDefault="00C26F54" w:rsidP="00F32685">
      <w:pPr>
        <w:numPr>
          <w:ilvl w:val="1"/>
          <w:numId w:val="2"/>
        </w:numPr>
        <w:suppressAutoHyphens/>
        <w:spacing w:before="120" w:after="0" w:line="276" w:lineRule="auto"/>
        <w:ind w:left="1777"/>
        <w:jc w:val="left"/>
        <w:rPr>
          <w:rFonts w:ascii="Tahoma" w:eastAsia="Times New Roman" w:hAnsi="Tahoma" w:cs="Tahoma"/>
          <w:sz w:val="24"/>
          <w:szCs w:val="24"/>
          <w:lang w:eastAsia="zh-CN"/>
        </w:rPr>
      </w:pPr>
      <w:r w:rsidRPr="00216E39">
        <w:rPr>
          <w:rFonts w:ascii="Tahoma" w:eastAsia="Times New Roman" w:hAnsi="Tahoma" w:cs="Tahoma"/>
          <w:sz w:val="24"/>
          <w:szCs w:val="24"/>
          <w:lang w:eastAsia="zh-CN"/>
        </w:rPr>
        <w:t xml:space="preserve">42,7 % - emisiuni de obligațiuni de tip benchmark cu maturități reziduale între 1 și 5 ani; și </w:t>
      </w:r>
    </w:p>
    <w:p w:rsidR="00C26F54" w:rsidRPr="00216E39" w:rsidRDefault="00C26F54" w:rsidP="00F32685">
      <w:pPr>
        <w:numPr>
          <w:ilvl w:val="1"/>
          <w:numId w:val="2"/>
        </w:numPr>
        <w:suppressAutoHyphens/>
        <w:spacing w:before="120" w:after="0" w:line="276" w:lineRule="auto"/>
        <w:ind w:left="1777"/>
        <w:jc w:val="left"/>
        <w:rPr>
          <w:rFonts w:ascii="Tahoma" w:eastAsia="Times New Roman" w:hAnsi="Tahoma" w:cs="Tahoma"/>
          <w:sz w:val="24"/>
          <w:szCs w:val="24"/>
          <w:lang w:eastAsia="zh-CN"/>
        </w:rPr>
      </w:pPr>
      <w:r w:rsidRPr="00216E39">
        <w:rPr>
          <w:rFonts w:ascii="Tahoma" w:eastAsia="Times New Roman" w:hAnsi="Tahoma" w:cs="Tahoma"/>
          <w:sz w:val="24"/>
          <w:szCs w:val="24"/>
          <w:lang w:eastAsia="zh-CN"/>
        </w:rPr>
        <w:t>40,5 % - emisiuni de obligațiuni de tip benchmark cu maturități reziduale între 5 și 15 ani.</w:t>
      </w:r>
    </w:p>
    <w:p w:rsidR="00C26F54" w:rsidRPr="00216E39" w:rsidRDefault="00C26F54" w:rsidP="00C26F54">
      <w:pPr>
        <w:suppressAutoHyphens/>
        <w:spacing w:after="0" w:line="276" w:lineRule="auto"/>
        <w:ind w:left="1440" w:firstLine="0"/>
        <w:rPr>
          <w:rFonts w:ascii="Tahoma" w:eastAsia="Times New Roman" w:hAnsi="Tahoma" w:cs="Tahoma"/>
          <w:sz w:val="24"/>
          <w:szCs w:val="24"/>
          <w:lang w:eastAsia="zh-CN"/>
        </w:rPr>
      </w:pPr>
    </w:p>
    <w:p w:rsidR="00C26F54" w:rsidRPr="00216E39" w:rsidRDefault="00C26F54" w:rsidP="00F32685">
      <w:pPr>
        <w:numPr>
          <w:ilvl w:val="1"/>
          <w:numId w:val="3"/>
        </w:numPr>
        <w:suppressAutoHyphens/>
        <w:spacing w:after="0" w:line="276" w:lineRule="auto"/>
        <w:ind w:left="1287"/>
        <w:rPr>
          <w:rFonts w:ascii="Tahoma" w:eastAsia="Times New Roman" w:hAnsi="Tahoma" w:cs="Tahoma"/>
          <w:sz w:val="24"/>
          <w:szCs w:val="24"/>
          <w:lang w:eastAsia="zh-CN"/>
        </w:rPr>
      </w:pPr>
      <w:r w:rsidRPr="00216E39">
        <w:rPr>
          <w:rFonts w:ascii="Tahoma" w:eastAsia="Times New Roman" w:hAnsi="Tahoma" w:cs="Tahoma"/>
          <w:sz w:val="24"/>
          <w:szCs w:val="24"/>
          <w:lang w:eastAsia="zh-CN"/>
        </w:rPr>
        <w:lastRenderedPageBreak/>
        <w:t>Titluri de stat pentru populație lansate de titluri de stat destinate populației prin programele TEZAUR și FIDELIS în valoare totală de 12,2 mld. RON, din care: prin programul TEZAUR a fost atrasă suma de 7,2 mld. RON prin intermediul a 14 emisiuni cu maturități cuprinse între 1 si 3 ani, iar prin programul FIDELIS, suma de 2,1 mld. RON și respectiv 574 mil. EUR, prin intermediul a 10 emisiuni cu maturități de 1 și 3 ani (RON) și respectiv 1 și 5 ani (EUR).</w:t>
      </w:r>
    </w:p>
    <w:p w:rsidR="00C26F54" w:rsidRPr="00216E39" w:rsidRDefault="00C26F54" w:rsidP="00F32685">
      <w:pPr>
        <w:suppressAutoHyphens/>
        <w:spacing w:after="0"/>
        <w:ind w:firstLine="0"/>
        <w:rPr>
          <w:rFonts w:ascii="Trebuchet MS" w:eastAsia="Times New Roman" w:hAnsi="Trebuchet MS" w:cs="Arial"/>
          <w:sz w:val="24"/>
          <w:szCs w:val="24"/>
          <w:lang w:eastAsia="zh-CN"/>
        </w:rPr>
      </w:pPr>
    </w:p>
    <w:p w:rsidR="00C26F54" w:rsidRPr="00216E39" w:rsidRDefault="00C26F54" w:rsidP="00F32685">
      <w:pPr>
        <w:numPr>
          <w:ilvl w:val="0"/>
          <w:numId w:val="3"/>
        </w:numPr>
        <w:suppressAutoHyphens/>
        <w:spacing w:after="0" w:line="276" w:lineRule="auto"/>
        <w:ind w:left="643"/>
        <w:rPr>
          <w:rFonts w:ascii="Tahoma" w:eastAsia="Times New Roman" w:hAnsi="Tahoma" w:cs="Tahoma"/>
          <w:sz w:val="24"/>
          <w:szCs w:val="24"/>
          <w:lang w:eastAsia="zh-CN"/>
        </w:rPr>
      </w:pPr>
      <w:r w:rsidRPr="00216E39">
        <w:rPr>
          <w:rFonts w:ascii="Tahoma" w:eastAsia="Times New Roman" w:hAnsi="Tahoma" w:cs="Tahoma"/>
          <w:sz w:val="24"/>
          <w:szCs w:val="24"/>
          <w:lang w:eastAsia="zh-CN"/>
        </w:rPr>
        <w:t xml:space="preserve">Piața externă: a fost atrasă suma 12,2 mld. echivalent EUR, prin trei emisiuni de euroobligațiuni (prezentate in tabelul de mai jos) și două plasamente private in valoare de 0,3 mld. EUR, precum și prin trageri de la instituții financiare internaționale in valoare de 0,9 mld. EUR. </w:t>
      </w:r>
    </w:p>
    <w:p w:rsidR="00C26F54" w:rsidRPr="00216E39" w:rsidRDefault="00C26F54" w:rsidP="00C26F54">
      <w:pPr>
        <w:suppressAutoHyphens/>
        <w:spacing w:after="0" w:line="276" w:lineRule="auto"/>
        <w:ind w:left="360" w:firstLine="0"/>
        <w:rPr>
          <w:rFonts w:ascii="Tahoma" w:eastAsia="Times New Roman" w:hAnsi="Tahoma" w:cs="Tahoma"/>
          <w:sz w:val="24"/>
          <w:szCs w:val="24"/>
          <w:lang w:eastAsia="zh-CN"/>
        </w:rPr>
      </w:pP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703"/>
        <w:gridCol w:w="1841"/>
        <w:gridCol w:w="1842"/>
      </w:tblGrid>
      <w:tr w:rsidR="00C26F54" w:rsidRPr="00216E39" w:rsidTr="0045277E">
        <w:trPr>
          <w:trHeight w:val="440"/>
          <w:jc w:val="center"/>
        </w:trPr>
        <w:tc>
          <w:tcPr>
            <w:tcW w:w="667" w:type="pct"/>
            <w:shd w:val="clear" w:color="auto" w:fill="E2EFD9" w:themeFill="accent6" w:themeFillTint="33"/>
            <w:vAlign w:val="center"/>
          </w:tcPr>
          <w:p w:rsidR="00C26F54" w:rsidRPr="00216E39" w:rsidRDefault="00C26F54" w:rsidP="00F32685">
            <w:pPr>
              <w:spacing w:after="0"/>
              <w:ind w:left="170" w:firstLine="0"/>
              <w:rPr>
                <w:rFonts w:ascii="Tahoma" w:eastAsia="Calibri" w:hAnsi="Tahoma" w:cs="Tahoma"/>
                <w:b/>
                <w:color w:val="000000"/>
                <w:sz w:val="20"/>
                <w:szCs w:val="20"/>
              </w:rPr>
            </w:pPr>
            <w:r w:rsidRPr="00216E39">
              <w:rPr>
                <w:rFonts w:ascii="Tahoma" w:eastAsia="Calibri" w:hAnsi="Tahoma" w:cs="Tahoma"/>
                <w:b/>
                <w:color w:val="000000"/>
                <w:sz w:val="20"/>
                <w:szCs w:val="20"/>
              </w:rPr>
              <w:t>Luna</w:t>
            </w:r>
          </w:p>
        </w:tc>
        <w:tc>
          <w:tcPr>
            <w:tcW w:w="1167" w:type="pct"/>
            <w:shd w:val="clear" w:color="auto" w:fill="E2EFD9" w:themeFill="accent6" w:themeFillTint="33"/>
            <w:vAlign w:val="center"/>
          </w:tcPr>
          <w:p w:rsidR="00C26F54" w:rsidRPr="00216E39" w:rsidRDefault="00C26F54" w:rsidP="00F32685">
            <w:pPr>
              <w:spacing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Valoare totală emisiuni Euroobligatiuni</w:t>
            </w:r>
          </w:p>
        </w:tc>
        <w:tc>
          <w:tcPr>
            <w:tcW w:w="1001" w:type="pct"/>
            <w:shd w:val="clear" w:color="auto" w:fill="E2EFD9" w:themeFill="accent6" w:themeFillTint="33"/>
            <w:vAlign w:val="center"/>
          </w:tcPr>
          <w:p w:rsidR="00C26F54" w:rsidRPr="00216E39" w:rsidRDefault="00C26F54" w:rsidP="00F32685">
            <w:pPr>
              <w:spacing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Maturitate</w:t>
            </w:r>
          </w:p>
        </w:tc>
        <w:tc>
          <w:tcPr>
            <w:tcW w:w="1082" w:type="pct"/>
            <w:shd w:val="clear" w:color="auto" w:fill="E2EFD9" w:themeFill="accent6" w:themeFillTint="33"/>
            <w:vAlign w:val="center"/>
          </w:tcPr>
          <w:p w:rsidR="00C26F54" w:rsidRPr="00216E39" w:rsidRDefault="00C26F54" w:rsidP="00F32685">
            <w:pPr>
              <w:spacing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Valoare</w:t>
            </w:r>
          </w:p>
        </w:tc>
        <w:tc>
          <w:tcPr>
            <w:tcW w:w="1083" w:type="pct"/>
            <w:shd w:val="clear" w:color="auto" w:fill="E2EFD9" w:themeFill="accent6" w:themeFillTint="33"/>
            <w:vAlign w:val="center"/>
          </w:tcPr>
          <w:p w:rsidR="00C26F54" w:rsidRPr="00216E39" w:rsidRDefault="00C26F54" w:rsidP="00F32685">
            <w:pPr>
              <w:spacing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Cupon</w:t>
            </w:r>
          </w:p>
        </w:tc>
      </w:tr>
      <w:tr w:rsidR="00C26F54" w:rsidRPr="00216E39" w:rsidTr="0045277E">
        <w:trPr>
          <w:trHeight w:val="341"/>
          <w:jc w:val="center"/>
        </w:trPr>
        <w:tc>
          <w:tcPr>
            <w:tcW w:w="667" w:type="pct"/>
            <w:vMerge w:val="restart"/>
            <w:tcBorders>
              <w:top w:val="single" w:sz="4" w:space="0" w:color="auto"/>
              <w:left w:val="single" w:sz="4" w:space="0" w:color="auto"/>
              <w:right w:val="single" w:sz="4" w:space="0" w:color="auto"/>
            </w:tcBorders>
            <w:shd w:val="clear" w:color="auto" w:fill="auto"/>
          </w:tcPr>
          <w:p w:rsidR="00C26F54" w:rsidRPr="00216E39" w:rsidRDefault="00C26F54" w:rsidP="00F32685">
            <w:pPr>
              <w:spacing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Ianuarie 2024</w:t>
            </w:r>
          </w:p>
        </w:tc>
        <w:tc>
          <w:tcPr>
            <w:tcW w:w="1167" w:type="pct"/>
            <w:vMerge w:val="restart"/>
            <w:tcBorders>
              <w:top w:val="single" w:sz="4" w:space="0" w:color="auto"/>
              <w:left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4 mld. USD</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5 ani</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2 mld. USD</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5,875%</w:t>
            </w:r>
          </w:p>
        </w:tc>
      </w:tr>
      <w:tr w:rsidR="00C26F54" w:rsidRPr="00216E39" w:rsidTr="0045277E">
        <w:trPr>
          <w:trHeight w:val="287"/>
          <w:jc w:val="center"/>
        </w:trPr>
        <w:tc>
          <w:tcPr>
            <w:tcW w:w="667" w:type="pct"/>
            <w:vMerge/>
            <w:tcBorders>
              <w:left w:val="single" w:sz="4" w:space="0" w:color="auto"/>
              <w:bottom w:val="single" w:sz="4" w:space="0" w:color="auto"/>
              <w:right w:val="single" w:sz="4" w:space="0" w:color="auto"/>
            </w:tcBorders>
            <w:shd w:val="clear" w:color="auto" w:fill="auto"/>
          </w:tcPr>
          <w:p w:rsidR="00C26F54" w:rsidRPr="00216E39" w:rsidRDefault="00C26F54" w:rsidP="00F32685">
            <w:pPr>
              <w:spacing w:after="0"/>
              <w:ind w:firstLine="0"/>
              <w:jc w:val="center"/>
              <w:rPr>
                <w:rFonts w:ascii="Tahoma" w:eastAsia="Calibri" w:hAnsi="Tahoma" w:cs="Tahoma"/>
                <w:color w:val="000000"/>
                <w:sz w:val="20"/>
                <w:szCs w:val="20"/>
              </w:rPr>
            </w:pPr>
          </w:p>
        </w:tc>
        <w:tc>
          <w:tcPr>
            <w:tcW w:w="1167" w:type="pct"/>
            <w:vMerge/>
            <w:tcBorders>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b/>
                <w:color w:val="000000"/>
                <w:sz w:val="20"/>
                <w:szCs w:val="20"/>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10 ani</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2 mld. USD</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6,375%</w:t>
            </w:r>
          </w:p>
        </w:tc>
      </w:tr>
      <w:tr w:rsidR="00C26F54" w:rsidRPr="00216E39" w:rsidTr="0045277E">
        <w:trPr>
          <w:trHeight w:val="503"/>
          <w:jc w:val="center"/>
        </w:trPr>
        <w:tc>
          <w:tcPr>
            <w:tcW w:w="667" w:type="pct"/>
            <w:vMerge w:val="restart"/>
            <w:tcBorders>
              <w:top w:val="single" w:sz="4" w:space="0" w:color="auto"/>
              <w:left w:val="single" w:sz="4" w:space="0" w:color="auto"/>
              <w:right w:val="single" w:sz="4" w:space="0" w:color="auto"/>
            </w:tcBorders>
            <w:shd w:val="clear" w:color="auto" w:fill="auto"/>
          </w:tcPr>
          <w:p w:rsidR="00C26F54" w:rsidRPr="00216E39" w:rsidRDefault="00C26F54" w:rsidP="00F32685">
            <w:pPr>
              <w:spacing w:before="24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Februarie 2024</w:t>
            </w:r>
          </w:p>
        </w:tc>
        <w:tc>
          <w:tcPr>
            <w:tcW w:w="1167" w:type="pct"/>
            <w:vMerge w:val="restart"/>
            <w:tcBorders>
              <w:top w:val="single" w:sz="4" w:space="0" w:color="auto"/>
              <w:left w:val="single" w:sz="4" w:space="0" w:color="auto"/>
              <w:right w:val="single" w:sz="4" w:space="0" w:color="auto"/>
            </w:tcBorders>
            <w:shd w:val="clear" w:color="auto" w:fill="auto"/>
          </w:tcPr>
          <w:p w:rsidR="00C26F54" w:rsidRPr="00216E39" w:rsidRDefault="00C26F54" w:rsidP="00F32685">
            <w:pPr>
              <w:spacing w:before="360"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4 mld. EUR</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7 ani</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2 mld. EUR</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5,375%</w:t>
            </w:r>
          </w:p>
        </w:tc>
      </w:tr>
      <w:tr w:rsidR="00C26F54" w:rsidRPr="00216E39" w:rsidTr="0045277E">
        <w:trPr>
          <w:trHeight w:val="530"/>
          <w:jc w:val="center"/>
        </w:trPr>
        <w:tc>
          <w:tcPr>
            <w:tcW w:w="667" w:type="pct"/>
            <w:vMerge/>
            <w:tcBorders>
              <w:left w:val="single" w:sz="4" w:space="0" w:color="auto"/>
              <w:bottom w:val="single" w:sz="4" w:space="0" w:color="auto"/>
              <w:right w:val="single" w:sz="4" w:space="0" w:color="auto"/>
            </w:tcBorders>
            <w:shd w:val="clear" w:color="auto" w:fill="auto"/>
          </w:tcPr>
          <w:p w:rsidR="00C26F54" w:rsidRPr="00216E39" w:rsidRDefault="00C26F54" w:rsidP="00F32685">
            <w:pPr>
              <w:spacing w:after="0"/>
              <w:ind w:firstLine="0"/>
              <w:jc w:val="center"/>
              <w:rPr>
                <w:rFonts w:ascii="Tahoma" w:eastAsia="Calibri" w:hAnsi="Tahoma" w:cs="Tahoma"/>
                <w:color w:val="000000"/>
                <w:sz w:val="20"/>
                <w:szCs w:val="20"/>
              </w:rPr>
            </w:pPr>
          </w:p>
        </w:tc>
        <w:tc>
          <w:tcPr>
            <w:tcW w:w="1167" w:type="pct"/>
            <w:vMerge/>
            <w:tcBorders>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b/>
                <w:color w:val="000000"/>
                <w:sz w:val="20"/>
                <w:szCs w:val="20"/>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12 ani</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2 mld. EUR</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26F54" w:rsidRPr="00216E39"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5,625%</w:t>
            </w:r>
          </w:p>
        </w:tc>
      </w:tr>
      <w:tr w:rsidR="00C26F54" w:rsidRPr="00216E39" w:rsidTr="0045277E">
        <w:trPr>
          <w:trHeight w:val="530"/>
          <w:jc w:val="center"/>
        </w:trPr>
        <w:tc>
          <w:tcPr>
            <w:tcW w:w="667" w:type="pct"/>
            <w:vMerge w:val="restart"/>
            <w:tcBorders>
              <w:top w:val="single" w:sz="4" w:space="0" w:color="auto"/>
              <w:left w:val="single" w:sz="4" w:space="0" w:color="auto"/>
              <w:right w:val="single" w:sz="4" w:space="0" w:color="auto"/>
            </w:tcBorders>
            <w:shd w:val="clear" w:color="auto" w:fill="FFFFFF"/>
          </w:tcPr>
          <w:p w:rsidR="00C26F54" w:rsidRPr="00216E39" w:rsidRDefault="00C26F54" w:rsidP="00F32685">
            <w:pPr>
              <w:spacing w:before="24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Mai 2024</w:t>
            </w:r>
          </w:p>
        </w:tc>
        <w:tc>
          <w:tcPr>
            <w:tcW w:w="1167" w:type="pct"/>
            <w:vMerge w:val="restart"/>
            <w:tcBorders>
              <w:top w:val="single" w:sz="4" w:space="0" w:color="auto"/>
              <w:left w:val="single" w:sz="4" w:space="0" w:color="auto"/>
              <w:right w:val="single" w:sz="4" w:space="0" w:color="auto"/>
            </w:tcBorders>
            <w:shd w:val="clear" w:color="auto" w:fill="FFFFFF"/>
          </w:tcPr>
          <w:p w:rsidR="00C26F54" w:rsidRPr="00216E39" w:rsidRDefault="00C26F54" w:rsidP="00F32685">
            <w:pPr>
              <w:spacing w:before="240" w:after="0"/>
              <w:ind w:firstLine="0"/>
              <w:jc w:val="center"/>
              <w:rPr>
                <w:rFonts w:ascii="Tahoma" w:eastAsia="Calibri" w:hAnsi="Tahoma" w:cs="Tahoma"/>
                <w:b/>
                <w:color w:val="000000"/>
                <w:sz w:val="20"/>
                <w:szCs w:val="20"/>
              </w:rPr>
            </w:pPr>
            <w:r w:rsidRPr="00216E39">
              <w:rPr>
                <w:rFonts w:ascii="Tahoma" w:eastAsia="Calibri" w:hAnsi="Tahoma" w:cs="Tahoma"/>
                <w:b/>
                <w:color w:val="000000"/>
                <w:sz w:val="20"/>
                <w:szCs w:val="20"/>
              </w:rPr>
              <w:t>3,2 mld. EUR</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rsidR="00C26F54" w:rsidRPr="00216E39" w:rsidDel="00A8306A"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8 ani</w:t>
            </w:r>
          </w:p>
        </w:tc>
        <w:tc>
          <w:tcPr>
            <w:tcW w:w="1082" w:type="pct"/>
            <w:tcBorders>
              <w:top w:val="single" w:sz="4" w:space="0" w:color="auto"/>
              <w:left w:val="single" w:sz="4" w:space="0" w:color="auto"/>
              <w:bottom w:val="single" w:sz="4" w:space="0" w:color="auto"/>
              <w:right w:val="single" w:sz="4" w:space="0" w:color="auto"/>
            </w:tcBorders>
            <w:shd w:val="clear" w:color="auto" w:fill="FFFFFF"/>
          </w:tcPr>
          <w:p w:rsidR="00C26F54" w:rsidRPr="00216E39" w:rsidDel="00A8306A"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1,8 mld. EUR</w:t>
            </w:r>
          </w:p>
        </w:tc>
        <w:tc>
          <w:tcPr>
            <w:tcW w:w="1083" w:type="pct"/>
            <w:tcBorders>
              <w:top w:val="single" w:sz="4" w:space="0" w:color="auto"/>
              <w:left w:val="single" w:sz="4" w:space="0" w:color="auto"/>
              <w:bottom w:val="single" w:sz="4" w:space="0" w:color="auto"/>
              <w:right w:val="single" w:sz="4" w:space="0" w:color="auto"/>
            </w:tcBorders>
            <w:shd w:val="clear" w:color="auto" w:fill="FFFFFF"/>
          </w:tcPr>
          <w:p w:rsidR="00C26F54" w:rsidRPr="00216E39" w:rsidDel="00A8306A"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5,250%</w:t>
            </w:r>
          </w:p>
        </w:tc>
      </w:tr>
      <w:tr w:rsidR="00C26F54" w:rsidRPr="00216E39" w:rsidTr="0045277E">
        <w:trPr>
          <w:trHeight w:val="530"/>
          <w:jc w:val="center"/>
        </w:trPr>
        <w:tc>
          <w:tcPr>
            <w:tcW w:w="667" w:type="pct"/>
            <w:vMerge/>
            <w:tcBorders>
              <w:left w:val="single" w:sz="4" w:space="0" w:color="auto"/>
              <w:right w:val="single" w:sz="4" w:space="0" w:color="auto"/>
            </w:tcBorders>
            <w:shd w:val="clear" w:color="auto" w:fill="FFFFFF"/>
          </w:tcPr>
          <w:p w:rsidR="00C26F54" w:rsidRPr="00216E39" w:rsidRDefault="00C26F54" w:rsidP="00F32685">
            <w:pPr>
              <w:spacing w:after="0"/>
              <w:ind w:firstLine="0"/>
              <w:rPr>
                <w:rFonts w:ascii="Tahoma" w:eastAsia="Calibri" w:hAnsi="Tahoma" w:cs="Tahoma"/>
                <w:color w:val="000000"/>
                <w:sz w:val="20"/>
                <w:szCs w:val="20"/>
              </w:rPr>
            </w:pPr>
          </w:p>
        </w:tc>
        <w:tc>
          <w:tcPr>
            <w:tcW w:w="1167" w:type="pct"/>
            <w:vMerge/>
            <w:tcBorders>
              <w:left w:val="single" w:sz="4" w:space="0" w:color="auto"/>
              <w:right w:val="single" w:sz="4" w:space="0" w:color="auto"/>
            </w:tcBorders>
            <w:shd w:val="clear" w:color="auto" w:fill="FFFFFF"/>
          </w:tcPr>
          <w:p w:rsidR="00C26F54" w:rsidRPr="00216E39" w:rsidRDefault="00C26F54" w:rsidP="00F32685">
            <w:pPr>
              <w:spacing w:after="0"/>
              <w:ind w:firstLine="0"/>
              <w:jc w:val="center"/>
              <w:rPr>
                <w:rFonts w:ascii="Tahoma" w:eastAsia="Calibri" w:hAnsi="Tahoma" w:cs="Tahoma"/>
                <w:b/>
                <w:color w:val="000000"/>
                <w:sz w:val="20"/>
                <w:szCs w:val="20"/>
              </w:rPr>
            </w:pPr>
          </w:p>
        </w:tc>
        <w:tc>
          <w:tcPr>
            <w:tcW w:w="1001" w:type="pct"/>
            <w:tcBorders>
              <w:top w:val="single" w:sz="4" w:space="0" w:color="auto"/>
              <w:left w:val="single" w:sz="4" w:space="0" w:color="auto"/>
              <w:bottom w:val="single" w:sz="4" w:space="0" w:color="auto"/>
              <w:right w:val="single" w:sz="4" w:space="0" w:color="auto"/>
            </w:tcBorders>
            <w:shd w:val="clear" w:color="auto" w:fill="FFFFFF"/>
          </w:tcPr>
          <w:p w:rsidR="00C26F54" w:rsidRPr="00216E39" w:rsidDel="00A8306A"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13 ani</w:t>
            </w:r>
          </w:p>
        </w:tc>
        <w:tc>
          <w:tcPr>
            <w:tcW w:w="1082" w:type="pct"/>
            <w:tcBorders>
              <w:top w:val="single" w:sz="4" w:space="0" w:color="auto"/>
              <w:left w:val="single" w:sz="4" w:space="0" w:color="auto"/>
              <w:bottom w:val="single" w:sz="4" w:space="0" w:color="auto"/>
              <w:right w:val="single" w:sz="4" w:space="0" w:color="auto"/>
            </w:tcBorders>
            <w:shd w:val="clear" w:color="auto" w:fill="FFFFFF"/>
          </w:tcPr>
          <w:p w:rsidR="00C26F54" w:rsidRPr="00216E39" w:rsidDel="00A8306A"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1,4 mld. EUR</w:t>
            </w:r>
          </w:p>
        </w:tc>
        <w:tc>
          <w:tcPr>
            <w:tcW w:w="1083" w:type="pct"/>
            <w:tcBorders>
              <w:top w:val="single" w:sz="4" w:space="0" w:color="auto"/>
              <w:left w:val="single" w:sz="4" w:space="0" w:color="auto"/>
              <w:bottom w:val="single" w:sz="4" w:space="0" w:color="auto"/>
              <w:right w:val="single" w:sz="4" w:space="0" w:color="auto"/>
            </w:tcBorders>
            <w:shd w:val="clear" w:color="auto" w:fill="FFFFFF"/>
          </w:tcPr>
          <w:p w:rsidR="00C26F54" w:rsidRPr="00216E39" w:rsidDel="00A8306A" w:rsidRDefault="00C26F54" w:rsidP="00F32685">
            <w:pPr>
              <w:spacing w:before="120" w:after="0"/>
              <w:ind w:firstLine="0"/>
              <w:jc w:val="center"/>
              <w:rPr>
                <w:rFonts w:ascii="Tahoma" w:eastAsia="Calibri" w:hAnsi="Tahoma" w:cs="Tahoma"/>
                <w:color w:val="000000"/>
                <w:sz w:val="20"/>
                <w:szCs w:val="20"/>
              </w:rPr>
            </w:pPr>
            <w:r w:rsidRPr="00216E39">
              <w:rPr>
                <w:rFonts w:ascii="Tahoma" w:eastAsia="Calibri" w:hAnsi="Tahoma" w:cs="Tahoma"/>
                <w:color w:val="000000"/>
                <w:sz w:val="20"/>
                <w:szCs w:val="20"/>
              </w:rPr>
              <w:t>5,625%</w:t>
            </w:r>
          </w:p>
        </w:tc>
      </w:tr>
    </w:tbl>
    <w:p w:rsidR="00C26F54" w:rsidRPr="00216E39" w:rsidRDefault="00C26F54" w:rsidP="00C26F54">
      <w:pPr>
        <w:spacing w:after="0"/>
        <w:ind w:firstLine="0"/>
        <w:rPr>
          <w:rFonts w:ascii="Tahoma" w:eastAsia="Times New Roman" w:hAnsi="Tahoma" w:cs="Tahoma"/>
          <w:sz w:val="24"/>
          <w:szCs w:val="24"/>
          <w:lang w:eastAsia="zh-CN"/>
        </w:rPr>
      </w:pPr>
    </w:p>
    <w:p w:rsidR="00C26F54" w:rsidRPr="00216E39" w:rsidRDefault="00C26F54" w:rsidP="00F32685">
      <w:pPr>
        <w:suppressAutoHyphens/>
        <w:spacing w:after="0" w:line="276" w:lineRule="auto"/>
        <w:ind w:left="283" w:firstLine="0"/>
        <w:rPr>
          <w:rFonts w:ascii="Tahoma" w:eastAsia="Times New Roman" w:hAnsi="Tahoma" w:cs="Tahoma"/>
          <w:bCs/>
          <w:sz w:val="24"/>
          <w:szCs w:val="24"/>
        </w:rPr>
      </w:pPr>
      <w:r w:rsidRPr="00216E39">
        <w:rPr>
          <w:rFonts w:ascii="Tahoma" w:eastAsia="Times New Roman" w:hAnsi="Tahoma" w:cs="Tahoma"/>
          <w:bCs/>
          <w:sz w:val="24"/>
          <w:szCs w:val="24"/>
        </w:rPr>
        <w:t>Pentru îmbunătățirea managementului datoriei publice și evitarea presiunilor sezoniere în asigurarea surselor de finanțare a deficitului bugetar și de refinanțare a datoriei publice guvernamentale, în vederea reducerii riscului de refinanțare și de lichiditate, Ministerul Finanțelor a consolidat rezerva financiară (buffer) în valută la dispoziția Trezoreriei Statului, în valoare echivalentă acoperirii necesităților de finanțare a deficitului bugetar și refinanțării datoriei publice de până la 4 luni.</w:t>
      </w:r>
    </w:p>
    <w:p w:rsidR="00C26F54" w:rsidRPr="00216E39" w:rsidRDefault="00C26F54" w:rsidP="00C26F54">
      <w:pPr>
        <w:suppressAutoHyphens/>
        <w:spacing w:after="0" w:line="276" w:lineRule="auto"/>
        <w:ind w:firstLine="0"/>
        <w:rPr>
          <w:rFonts w:ascii="Tahoma" w:eastAsia="Times New Roman" w:hAnsi="Tahoma" w:cs="Tahoma"/>
          <w:bCs/>
          <w:sz w:val="24"/>
          <w:szCs w:val="24"/>
        </w:rPr>
      </w:pPr>
    </w:p>
    <w:p w:rsidR="00C26F54" w:rsidRPr="00216E39" w:rsidRDefault="00C26F54" w:rsidP="00C26F54">
      <w:pPr>
        <w:suppressAutoHyphens/>
        <w:spacing w:after="0" w:line="276" w:lineRule="auto"/>
        <w:ind w:firstLine="0"/>
        <w:rPr>
          <w:rFonts w:ascii="Tahoma" w:eastAsia="Times New Roman" w:hAnsi="Tahoma" w:cs="Tahoma"/>
          <w:bCs/>
          <w:sz w:val="24"/>
          <w:szCs w:val="24"/>
        </w:rPr>
      </w:pPr>
      <w:r w:rsidRPr="00216E39">
        <w:rPr>
          <w:rFonts w:ascii="Tahoma" w:eastAsia="Times New Roman" w:hAnsi="Tahoma" w:cs="Tahoma"/>
          <w:b/>
          <w:bCs/>
          <w:sz w:val="24"/>
          <w:szCs w:val="24"/>
        </w:rPr>
        <w:t xml:space="preserve">Garanțiile de stat acordate în cadrul programelor guvernamentale </w:t>
      </w:r>
      <w:r w:rsidRPr="00216E39">
        <w:rPr>
          <w:rFonts w:ascii="Tahoma" w:eastAsia="Times New Roman" w:hAnsi="Tahoma" w:cs="Tahoma"/>
          <w:bCs/>
          <w:sz w:val="24"/>
          <w:szCs w:val="24"/>
        </w:rPr>
        <w:t>IMM Invest Plus (OUG nr. 18/2024, cu modificările și completările ulterioare)</w:t>
      </w:r>
      <w:r w:rsidR="00284C6A" w:rsidRPr="00216E39">
        <w:rPr>
          <w:rFonts w:ascii="Tahoma" w:eastAsia="Times New Roman" w:hAnsi="Tahoma" w:cs="Tahoma"/>
          <w:bCs/>
          <w:sz w:val="24"/>
          <w:szCs w:val="24"/>
        </w:rPr>
        <w:t>, FamilyStart și</w:t>
      </w:r>
      <w:r w:rsidR="00246B53" w:rsidRPr="00216E39">
        <w:rPr>
          <w:rFonts w:ascii="Tahoma" w:eastAsia="Times New Roman" w:hAnsi="Tahoma" w:cs="Tahoma"/>
          <w:bCs/>
          <w:sz w:val="24"/>
          <w:szCs w:val="24"/>
        </w:rPr>
        <w:t xml:space="preserve"> Student Invest (OUG 95/2022, cu modificările și </w:t>
      </w:r>
      <w:r w:rsidR="00C80DC7" w:rsidRPr="00216E39">
        <w:rPr>
          <w:rFonts w:ascii="Tahoma" w:eastAsia="Times New Roman" w:hAnsi="Tahoma" w:cs="Tahoma"/>
          <w:bCs/>
          <w:sz w:val="24"/>
          <w:szCs w:val="24"/>
        </w:rPr>
        <w:t>completările</w:t>
      </w:r>
      <w:r w:rsidR="00246B53" w:rsidRPr="00216E39">
        <w:rPr>
          <w:rFonts w:ascii="Tahoma" w:eastAsia="Times New Roman" w:hAnsi="Tahoma" w:cs="Tahoma"/>
          <w:bCs/>
          <w:sz w:val="24"/>
          <w:szCs w:val="24"/>
        </w:rPr>
        <w:t xml:space="preserve"> ulterioare)</w:t>
      </w:r>
      <w:r w:rsidRPr="00216E39">
        <w:rPr>
          <w:rFonts w:ascii="Tahoma" w:eastAsia="Times New Roman" w:hAnsi="Tahoma" w:cs="Tahoma"/>
          <w:bCs/>
          <w:sz w:val="24"/>
          <w:szCs w:val="24"/>
        </w:rPr>
        <w:t xml:space="preserve"> și Noua casă (OUG nr. 60/2009, cu modificările si completările ulterioare), au fost în sumă de cca </w:t>
      </w:r>
      <w:r w:rsidR="00284C6A" w:rsidRPr="00C80DC7">
        <w:rPr>
          <w:rFonts w:ascii="Tahoma" w:eastAsia="Times New Roman" w:hAnsi="Tahoma" w:cs="Tahoma"/>
          <w:bCs/>
          <w:sz w:val="24"/>
          <w:szCs w:val="24"/>
        </w:rPr>
        <w:t>13</w:t>
      </w:r>
      <w:r w:rsidRPr="00C80DC7">
        <w:rPr>
          <w:rFonts w:ascii="Tahoma" w:eastAsia="Times New Roman" w:hAnsi="Tahoma" w:cs="Tahoma"/>
          <w:bCs/>
          <w:sz w:val="24"/>
          <w:szCs w:val="24"/>
        </w:rPr>
        <w:t>,0</w:t>
      </w:r>
      <w:r w:rsidR="00284C6A" w:rsidRPr="00C80DC7">
        <w:rPr>
          <w:rFonts w:ascii="Tahoma" w:eastAsia="Times New Roman" w:hAnsi="Tahoma" w:cs="Tahoma"/>
          <w:bCs/>
          <w:sz w:val="24"/>
          <w:szCs w:val="24"/>
        </w:rPr>
        <w:t>7</w:t>
      </w:r>
      <w:r w:rsidRPr="00216E39">
        <w:rPr>
          <w:rFonts w:ascii="Tahoma" w:eastAsia="Times New Roman" w:hAnsi="Tahoma" w:cs="Tahoma"/>
          <w:bCs/>
          <w:sz w:val="24"/>
          <w:szCs w:val="24"/>
        </w:rPr>
        <w:t xml:space="preserve"> mld. lei</w:t>
      </w:r>
      <w:r w:rsidRPr="00216E39">
        <w:rPr>
          <w:rFonts w:ascii="Tahoma" w:eastAsia="Times New Roman" w:hAnsi="Tahoma" w:cs="Tahoma"/>
          <w:bCs/>
          <w:sz w:val="24"/>
          <w:szCs w:val="24"/>
          <w:vertAlign w:val="superscript"/>
        </w:rPr>
        <w:footnoteReference w:id="19"/>
      </w:r>
      <w:r w:rsidRPr="00216E39">
        <w:rPr>
          <w:rFonts w:ascii="Tahoma" w:eastAsia="Times New Roman" w:hAnsi="Tahoma" w:cs="Tahoma"/>
          <w:bCs/>
          <w:sz w:val="24"/>
          <w:szCs w:val="24"/>
        </w:rPr>
        <w:t>, în limita plafonului de 40 mld. lei stabilit prin Legea nr. 417/2023 pentru aprobarea plafoanelor unor indicatori specificați în cadrul fiscal-bugetar pe anul 2024.</w:t>
      </w:r>
    </w:p>
    <w:p w:rsidR="00B10B85" w:rsidRPr="00216E39" w:rsidRDefault="00433503" w:rsidP="0045277E">
      <w:pPr>
        <w:suppressAutoHyphens/>
        <w:spacing w:before="120" w:after="120" w:line="276" w:lineRule="auto"/>
        <w:ind w:left="284" w:firstLine="0"/>
        <w:rPr>
          <w:rFonts w:ascii="Tahoma" w:eastAsia="Calibri" w:hAnsi="Tahoma" w:cs="Tahoma"/>
          <w:b/>
          <w:bCs/>
          <w:sz w:val="24"/>
          <w:szCs w:val="24"/>
        </w:rPr>
      </w:pPr>
      <w:r w:rsidRPr="00216E39">
        <w:rPr>
          <w:rFonts w:ascii="Tahoma" w:eastAsia="Calibri" w:hAnsi="Tahoma" w:cs="Tahoma"/>
          <w:b/>
          <w:bCs/>
          <w:sz w:val="24"/>
          <w:szCs w:val="24"/>
        </w:rPr>
        <w:t>IV</w:t>
      </w:r>
      <w:r w:rsidR="0057284B" w:rsidRPr="00216E39">
        <w:rPr>
          <w:rFonts w:ascii="Tahoma" w:eastAsia="Calibri" w:hAnsi="Tahoma" w:cs="Tahoma"/>
          <w:b/>
          <w:bCs/>
          <w:sz w:val="24"/>
          <w:szCs w:val="24"/>
        </w:rPr>
        <w:t>.3 Datoria publică locală</w:t>
      </w:r>
    </w:p>
    <w:p w:rsidR="00C26F54" w:rsidRPr="00216E39" w:rsidRDefault="00C26F54" w:rsidP="00C26F54">
      <w:pPr>
        <w:suppressAutoHyphens/>
        <w:spacing w:after="0" w:line="276" w:lineRule="auto"/>
        <w:ind w:firstLine="0"/>
        <w:rPr>
          <w:rFonts w:ascii="Tahoma" w:eastAsia="Times New Roman" w:hAnsi="Tahoma" w:cs="Tahoma"/>
          <w:bCs/>
          <w:sz w:val="24"/>
          <w:szCs w:val="24"/>
        </w:rPr>
      </w:pPr>
      <w:r w:rsidRPr="00216E39">
        <w:rPr>
          <w:rFonts w:ascii="Tahoma" w:eastAsia="Times New Roman" w:hAnsi="Tahoma" w:cs="Tahoma"/>
          <w:bCs/>
          <w:sz w:val="24"/>
          <w:szCs w:val="24"/>
        </w:rPr>
        <w:lastRenderedPageBreak/>
        <w:t>În primul semestru al anului 2024, tragerile autorizate din finanțările rambursabile contractate sau care urmau să fie contractate de către unitățile/subdiviziunile administrativ-teritoriale au fost în sumă de 3,8 mld. lei, iar finanțările rambursabile autorizate pentru a fi contractate de unitățile/subdiviziunile administrativ-teritoriale pentru realizarea de investiții publice de interes local au fost în valoare de cca. 2 mld. lei, în limita plafoanelor anuale aprobate prin Legea nr. 417/2023 pentru aprobarea plafoanelor unor indicatori specificați în cadrul fiscal-bugetar pe anul 2024.</w:t>
      </w:r>
    </w:p>
    <w:p w:rsidR="00C26F54" w:rsidRPr="00216E39" w:rsidRDefault="00C26F54" w:rsidP="00C26F54">
      <w:pPr>
        <w:spacing w:before="120" w:after="0" w:line="276" w:lineRule="auto"/>
        <w:ind w:firstLine="0"/>
        <w:rPr>
          <w:rFonts w:ascii="Tahoma" w:eastAsia="Times New Roman" w:hAnsi="Tahoma" w:cs="Tahoma"/>
          <w:bCs/>
          <w:sz w:val="24"/>
          <w:szCs w:val="24"/>
        </w:rPr>
      </w:pPr>
      <w:r w:rsidRPr="00216E39">
        <w:rPr>
          <w:rFonts w:ascii="Tahoma" w:eastAsia="Times New Roman" w:hAnsi="Tahoma" w:cs="Tahoma"/>
          <w:bCs/>
          <w:sz w:val="24"/>
          <w:szCs w:val="24"/>
        </w:rPr>
        <w:t>De asemenea, au fost autorizate finanțări rambursabile, în sumă totală de cca. 1 mld. lei, pentru a fi contractate de unitățile/subdiviziunile administrativ-teritoriale în vederea prefinanțării și/sau cofinanțării de proiecte care beneficiază de fonduri externe nerambursabile de la Uniunea Europeană, iar în baza art. 1 din Ordonanța de urgență a Guvernului nr. 35/2024 pentru asigurarea unor împrumuturi din Trezoreria Statului, precum și pentru modificarea și completarea unor acte normative aferente reprezentării statului în litigiile arbitrale și judiciare internaționale și concesionării proprietății publice a statului și pentru modificarea și completarea unor acte normative</w:t>
      </w:r>
      <w:r w:rsidRPr="00216E39">
        <w:rPr>
          <w:rFonts w:ascii="Tahoma" w:eastAsia="MS Mincho" w:hAnsi="Tahoma" w:cs="Tahoma"/>
          <w:noProof/>
          <w:sz w:val="24"/>
          <w:szCs w:val="24"/>
          <w:lang w:eastAsia="ro-RO"/>
        </w:rPr>
        <w:t>, au fost autorizate împrumuturi în sumă totală de cca. 43,6 mil. lei destinate cofinanțării proiectelor finanțate din fonduri externe nerambursabile de la Uniunea Europeană și de la donatori europeni în cadrul programelor interguvernamentale, inclusiv pentru cheltuielile neeligibile asociate proiectelor și asigurarea sumelor necesare implementării proiectelor finanțate prin PNRR, aflate în sarcina bugetului local, evidențiate distinct în fiecare contract.</w:t>
      </w:r>
    </w:p>
    <w:p w:rsidR="00C60107" w:rsidRPr="00216E39" w:rsidRDefault="00C60107" w:rsidP="002A6579">
      <w:pPr>
        <w:pStyle w:val="Heading1"/>
        <w:pageBreakBefore/>
        <w:spacing w:after="240" w:line="276" w:lineRule="auto"/>
        <w:ind w:hanging="360"/>
        <w:rPr>
          <w:rFonts w:ascii="Tahoma" w:eastAsia="MS Mincho" w:hAnsi="Tahoma" w:cs="Tahoma"/>
          <w:b/>
          <w:noProof/>
          <w:sz w:val="24"/>
          <w:szCs w:val="24"/>
          <w:lang w:eastAsia="ja-JP"/>
        </w:rPr>
      </w:pPr>
      <w:r w:rsidRPr="00216E39">
        <w:rPr>
          <w:rFonts w:ascii="Tahoma" w:eastAsia="MS Mincho" w:hAnsi="Tahoma" w:cs="Tahoma"/>
          <w:b/>
          <w:noProof/>
          <w:sz w:val="24"/>
          <w:szCs w:val="24"/>
          <w:lang w:eastAsia="ja-JP"/>
        </w:rPr>
        <w:lastRenderedPageBreak/>
        <w:tab/>
      </w:r>
      <w:bookmarkStart w:id="23" w:name="_Toc172205381"/>
      <w:r w:rsidR="007D49B8" w:rsidRPr="00216E39">
        <w:rPr>
          <w:rFonts w:ascii="Tahoma" w:eastAsia="MS Mincho" w:hAnsi="Tahoma" w:cs="Tahoma"/>
          <w:b/>
          <w:noProof/>
          <w:color w:val="auto"/>
          <w:sz w:val="24"/>
          <w:szCs w:val="24"/>
          <w:lang w:eastAsia="ja-JP"/>
        </w:rPr>
        <w:t xml:space="preserve">V. </w:t>
      </w:r>
      <w:r w:rsidRPr="00216E39">
        <w:rPr>
          <w:rFonts w:ascii="Tahoma" w:eastAsia="MS Mincho" w:hAnsi="Tahoma" w:cs="Tahoma"/>
          <w:b/>
          <w:noProof/>
          <w:color w:val="auto"/>
          <w:sz w:val="24"/>
          <w:szCs w:val="24"/>
          <w:lang w:eastAsia="ja-JP"/>
        </w:rPr>
        <w:t>Absorbția fondurilor externe nerambursabile</w:t>
      </w:r>
      <w:bookmarkEnd w:id="23"/>
    </w:p>
    <w:p w:rsidR="00BB313A" w:rsidRPr="00216E39" w:rsidRDefault="00BB313A" w:rsidP="00BB313A">
      <w:pPr>
        <w:spacing w:after="240" w:line="276" w:lineRule="auto"/>
        <w:ind w:firstLine="0"/>
        <w:rPr>
          <w:rFonts w:ascii="Tahoma" w:eastAsia="Calibri" w:hAnsi="Tahoma" w:cs="Tahoma"/>
          <w:sz w:val="24"/>
          <w:szCs w:val="24"/>
        </w:rPr>
      </w:pPr>
      <w:bookmarkStart w:id="24" w:name="_Toc425320862"/>
      <w:bookmarkStart w:id="25" w:name="_Toc456256938"/>
      <w:bookmarkStart w:id="26" w:name="_Toc456257462"/>
      <w:bookmarkStart w:id="27" w:name="_Toc456258320"/>
      <w:bookmarkStart w:id="28" w:name="_Toc456258425"/>
      <w:r w:rsidRPr="00216E39">
        <w:rPr>
          <w:rFonts w:ascii="Tahoma" w:eastAsia="Calibri" w:hAnsi="Tahoma" w:cs="Tahoma"/>
          <w:sz w:val="24"/>
          <w:szCs w:val="24"/>
        </w:rPr>
        <w:t xml:space="preserve">Pentru perioada de programare 2021-2027, România are o alocare totală, de cca. 80 mld. euro, din fonduri UE, împărțită astfel: </w:t>
      </w:r>
      <w:r w:rsidRPr="00216E39">
        <w:rPr>
          <w:rFonts w:ascii="Tahoma" w:eastAsia="Calibri" w:hAnsi="Tahoma" w:cs="Tahoma"/>
          <w:b/>
          <w:sz w:val="24"/>
          <w:szCs w:val="24"/>
        </w:rPr>
        <w:t xml:space="preserve">pentru CFM 2021-2027: </w:t>
      </w:r>
      <w:r w:rsidRPr="00216E39">
        <w:rPr>
          <w:rFonts w:ascii="Tahoma" w:eastAsia="Calibri" w:hAnsi="Tahoma" w:cs="Tahoma"/>
          <w:sz w:val="24"/>
          <w:szCs w:val="24"/>
        </w:rPr>
        <w:t xml:space="preserve">51,17 mld. euro (din care 30,6 mld. euro alocați pentru Politica de coeziune (PC) și 19,19 mld. euro, alocați pentru Politica agricola comuna (PAC)) și </w:t>
      </w:r>
      <w:r w:rsidRPr="00216E39">
        <w:rPr>
          <w:rFonts w:ascii="Tahoma" w:eastAsia="Calibri" w:hAnsi="Tahoma" w:cs="Tahoma"/>
          <w:b/>
          <w:sz w:val="24"/>
          <w:szCs w:val="24"/>
        </w:rPr>
        <w:t>pentru</w:t>
      </w:r>
      <w:r w:rsidRPr="00216E39">
        <w:rPr>
          <w:rFonts w:ascii="Tahoma" w:eastAsia="Calibri" w:hAnsi="Tahoma" w:cs="Tahoma"/>
          <w:sz w:val="24"/>
          <w:szCs w:val="24"/>
        </w:rPr>
        <w:t xml:space="preserve"> </w:t>
      </w:r>
      <w:r w:rsidRPr="00216E39">
        <w:rPr>
          <w:rFonts w:ascii="Tahoma" w:eastAsia="Calibri" w:hAnsi="Tahoma" w:cs="Tahoma"/>
          <w:b/>
          <w:sz w:val="24"/>
          <w:szCs w:val="24"/>
        </w:rPr>
        <w:t>Next Generation EU/NGUE</w:t>
      </w:r>
      <w:r w:rsidRPr="00216E39">
        <w:rPr>
          <w:rFonts w:ascii="Tahoma" w:eastAsia="Calibri" w:hAnsi="Tahoma" w:cs="Tahoma"/>
          <w:sz w:val="24"/>
          <w:szCs w:val="24"/>
        </w:rPr>
        <w:t xml:space="preserve"> (instrumentul de redresare economică) – 28</w:t>
      </w:r>
      <w:r w:rsidR="00FD3DE7" w:rsidRPr="00216E39">
        <w:rPr>
          <w:rFonts w:ascii="Tahoma" w:eastAsia="Calibri" w:hAnsi="Tahoma" w:cs="Tahoma"/>
          <w:sz w:val="24"/>
          <w:szCs w:val="24"/>
        </w:rPr>
        <w:t>,</w:t>
      </w:r>
      <w:r w:rsidRPr="00216E39">
        <w:rPr>
          <w:rFonts w:ascii="Tahoma" w:eastAsia="Calibri" w:hAnsi="Tahoma" w:cs="Tahoma"/>
          <w:sz w:val="24"/>
          <w:szCs w:val="24"/>
        </w:rPr>
        <w:t>5 mld. euro (din care asistență financiară nerambursabilă în valoare de 13</w:t>
      </w:r>
      <w:r w:rsidR="00FD3DE7" w:rsidRPr="00216E39">
        <w:rPr>
          <w:rFonts w:ascii="Tahoma" w:eastAsia="Calibri" w:hAnsi="Tahoma" w:cs="Tahoma"/>
          <w:sz w:val="24"/>
          <w:szCs w:val="24"/>
        </w:rPr>
        <w:t>,</w:t>
      </w:r>
      <w:r w:rsidRPr="00216E39">
        <w:rPr>
          <w:rFonts w:ascii="Tahoma" w:eastAsia="Calibri" w:hAnsi="Tahoma" w:cs="Tahoma"/>
          <w:sz w:val="24"/>
          <w:szCs w:val="24"/>
        </w:rPr>
        <w:t xml:space="preserve">6 mld. euro, alocați pentru Mecanismul de Recuperare și Reziliență (MRR) și 14,9 mld. euro din componenta împrumut aferentă MRR. </w:t>
      </w:r>
    </w:p>
    <w:p w:rsidR="00BB313A" w:rsidRPr="00216E39" w:rsidRDefault="00BB313A" w:rsidP="00FD3DE7">
      <w:pPr>
        <w:spacing w:after="120" w:line="276" w:lineRule="auto"/>
        <w:ind w:firstLine="0"/>
        <w:rPr>
          <w:rFonts w:ascii="Tahoma" w:eastAsia="Calibri" w:hAnsi="Tahoma" w:cs="Tahoma"/>
          <w:sz w:val="24"/>
          <w:szCs w:val="24"/>
        </w:rPr>
      </w:pPr>
      <w:r w:rsidRPr="00216E39">
        <w:rPr>
          <w:rFonts w:ascii="Tahoma" w:eastAsia="Calibri" w:hAnsi="Tahoma" w:cs="Tahoma"/>
          <w:sz w:val="24"/>
          <w:szCs w:val="24"/>
        </w:rPr>
        <w:t>În cadrul MRR România a primit de la Uniunea Europeană următoarele sume:</w:t>
      </w:r>
    </w:p>
    <w:p w:rsidR="00BB313A" w:rsidRPr="00216E39" w:rsidRDefault="00BB313A" w:rsidP="00FD3DE7">
      <w:pPr>
        <w:numPr>
          <w:ilvl w:val="0"/>
          <w:numId w:val="33"/>
        </w:numPr>
        <w:spacing w:after="120" w:line="276" w:lineRule="auto"/>
        <w:ind w:left="714" w:hanging="357"/>
        <w:jc w:val="left"/>
        <w:rPr>
          <w:rFonts w:ascii="Tahoma" w:eastAsia="Calibri" w:hAnsi="Tahoma" w:cs="Tahoma"/>
          <w:sz w:val="24"/>
          <w:szCs w:val="24"/>
        </w:rPr>
      </w:pPr>
      <w:r w:rsidRPr="00216E39">
        <w:rPr>
          <w:rFonts w:ascii="Tahoma" w:eastAsia="Calibri" w:hAnsi="Tahoma" w:cs="Tahoma"/>
          <w:sz w:val="24"/>
          <w:szCs w:val="24"/>
        </w:rPr>
        <w:t>5,78 mld euro din componenta de granturi, din care prefinanțare în valoare de 2,14 mld euro (0,29 mld. euro în 2024 pentru componenta REPowerEU) și rambursări de 3,64 mld.euro</w:t>
      </w:r>
      <w:r w:rsidR="003C7DBD" w:rsidRPr="00216E39">
        <w:rPr>
          <w:rFonts w:ascii="Tahoma" w:eastAsia="Calibri" w:hAnsi="Tahoma" w:cs="Tahoma"/>
          <w:sz w:val="24"/>
          <w:szCs w:val="24"/>
        </w:rPr>
        <w:t>;</w:t>
      </w:r>
    </w:p>
    <w:p w:rsidR="00BB313A" w:rsidRPr="00216E39" w:rsidRDefault="00BB313A" w:rsidP="00FD3DE7">
      <w:pPr>
        <w:numPr>
          <w:ilvl w:val="0"/>
          <w:numId w:val="33"/>
        </w:numPr>
        <w:spacing w:before="240" w:after="120" w:line="276" w:lineRule="auto"/>
        <w:ind w:left="714" w:hanging="357"/>
        <w:jc w:val="left"/>
        <w:rPr>
          <w:rFonts w:ascii="Tahoma" w:eastAsia="Calibri" w:hAnsi="Tahoma" w:cs="Tahoma"/>
          <w:sz w:val="24"/>
          <w:szCs w:val="24"/>
        </w:rPr>
      </w:pPr>
      <w:r w:rsidRPr="00216E39">
        <w:rPr>
          <w:rFonts w:ascii="Tahoma" w:eastAsia="Calibri" w:hAnsi="Tahoma" w:cs="Tahoma"/>
          <w:sz w:val="24"/>
          <w:szCs w:val="24"/>
        </w:rPr>
        <w:t xml:space="preserve">2,7 mld euro din componenta MRR de împrumut. </w:t>
      </w:r>
    </w:p>
    <w:p w:rsidR="00BB313A" w:rsidRPr="00216E39" w:rsidRDefault="00BB313A" w:rsidP="00BB313A">
      <w:pPr>
        <w:spacing w:before="240" w:after="160" w:line="276" w:lineRule="auto"/>
        <w:ind w:firstLine="0"/>
        <w:rPr>
          <w:rFonts w:ascii="Tahoma" w:eastAsia="Calibri" w:hAnsi="Tahoma" w:cs="Tahoma"/>
          <w:sz w:val="24"/>
          <w:szCs w:val="24"/>
        </w:rPr>
      </w:pPr>
      <w:r w:rsidRPr="00216E39">
        <w:rPr>
          <w:rFonts w:ascii="Tahoma" w:eastAsia="Calibri" w:hAnsi="Tahoma" w:cs="Tahoma"/>
          <w:sz w:val="24"/>
          <w:szCs w:val="24"/>
        </w:rPr>
        <w:t xml:space="preserve">În ceea ce privește </w:t>
      </w:r>
      <w:r w:rsidRPr="00216E39">
        <w:rPr>
          <w:rFonts w:ascii="Tahoma" w:eastAsia="Calibri" w:hAnsi="Tahoma" w:cs="Tahoma"/>
          <w:b/>
          <w:sz w:val="24"/>
          <w:szCs w:val="24"/>
        </w:rPr>
        <w:t>CFM 2021-2027</w:t>
      </w:r>
      <w:r w:rsidRPr="00216E39">
        <w:rPr>
          <w:rFonts w:ascii="Tahoma" w:eastAsia="Calibri" w:hAnsi="Tahoma" w:cs="Tahoma"/>
          <w:sz w:val="24"/>
          <w:szCs w:val="24"/>
        </w:rPr>
        <w:t xml:space="preserve">, în primul semestru al anului </w:t>
      </w:r>
      <w:r w:rsidRPr="00216E39">
        <w:rPr>
          <w:rFonts w:ascii="Tahoma" w:eastAsia="Calibri" w:hAnsi="Tahoma" w:cs="Tahoma"/>
          <w:b/>
          <w:sz w:val="24"/>
          <w:szCs w:val="24"/>
        </w:rPr>
        <w:t>2024</w:t>
      </w:r>
      <w:r w:rsidRPr="00216E39">
        <w:rPr>
          <w:rFonts w:ascii="Tahoma" w:eastAsia="Calibri" w:hAnsi="Tahoma" w:cs="Tahoma"/>
          <w:sz w:val="24"/>
          <w:szCs w:val="24"/>
        </w:rPr>
        <w:t xml:space="preserve"> România a primit de la bugetul UE suma de 2,63 mld. euro, din care 0,87 mld. euro reprezintă avansuri, iar 1.76 mld. euro rambursări. Se observă o evoluție accelerată a absorbției de fonduri față de prima jumătate a anului 2023 când România a atras 0,57 mld. euro. În această perioadă, cele mai bune rezultate în cadrul CFM 2021-2027 au fost înregistrate de Fondul European pentru Garantare Agricolă (FEGA) prin intermediul căruia s-au atras 1,74 mld. euro (81,70% din suma estimată de 2,13 mld. euro pentru anul curent).</w:t>
      </w:r>
    </w:p>
    <w:p w:rsidR="00BB313A" w:rsidRPr="00216E39" w:rsidRDefault="00BB313A" w:rsidP="00BB313A">
      <w:pPr>
        <w:spacing w:after="160" w:line="276" w:lineRule="auto"/>
        <w:ind w:firstLine="0"/>
        <w:rPr>
          <w:rFonts w:ascii="Tahoma" w:eastAsia="Calibri" w:hAnsi="Tahoma" w:cs="Tahoma"/>
          <w:sz w:val="24"/>
          <w:szCs w:val="24"/>
        </w:rPr>
      </w:pPr>
      <w:r w:rsidRPr="00216E39">
        <w:rPr>
          <w:rFonts w:ascii="Tahoma" w:eastAsia="Calibri" w:hAnsi="Tahoma" w:cs="Tahoma"/>
          <w:sz w:val="24"/>
          <w:szCs w:val="24"/>
        </w:rPr>
        <w:t xml:space="preserve">Sumele primite de România de la bugetul UE în primul semestru al anului 2024 în cadrul </w:t>
      </w:r>
      <w:r w:rsidRPr="00216E39">
        <w:rPr>
          <w:rFonts w:ascii="Tahoma" w:eastAsia="Calibri" w:hAnsi="Tahoma" w:cs="Tahoma"/>
          <w:b/>
          <w:sz w:val="24"/>
          <w:szCs w:val="24"/>
        </w:rPr>
        <w:t xml:space="preserve">CFM 2014-2020 </w:t>
      </w:r>
      <w:r w:rsidRPr="00216E39">
        <w:rPr>
          <w:rFonts w:ascii="Tahoma" w:eastAsia="Calibri" w:hAnsi="Tahoma" w:cs="Tahoma"/>
          <w:sz w:val="24"/>
          <w:szCs w:val="24"/>
        </w:rPr>
        <w:t>sunt în valoare de 1,70 mld. euro, reprezentând rambursări. Se observă o încetinire a absorbției pe finalul perioadei de programare.</w:t>
      </w:r>
      <w:r w:rsidRPr="00216E39" w:rsidDel="00F13C48">
        <w:rPr>
          <w:rFonts w:ascii="Tahoma" w:eastAsia="Calibri" w:hAnsi="Tahoma" w:cs="Tahoma"/>
          <w:sz w:val="24"/>
          <w:szCs w:val="24"/>
        </w:rPr>
        <w:t xml:space="preserve"> </w:t>
      </w:r>
      <w:r w:rsidRPr="00216E39">
        <w:rPr>
          <w:rFonts w:ascii="Tahoma" w:eastAsia="Calibri" w:hAnsi="Tahoma" w:cs="Tahoma"/>
          <w:sz w:val="24"/>
          <w:szCs w:val="24"/>
        </w:rPr>
        <w:t xml:space="preserve">Cele mai bune rezultate au fost înregistrate de Fondurile Structurale și de Coeziune prin intermediul cărora s-au atras 1,14 mld. euro. </w:t>
      </w:r>
    </w:p>
    <w:p w:rsidR="0015078D" w:rsidRPr="00216E39" w:rsidRDefault="0015078D" w:rsidP="002615A2">
      <w:pPr>
        <w:spacing w:after="160" w:line="276" w:lineRule="auto"/>
        <w:ind w:firstLine="0"/>
        <w:rPr>
          <w:rFonts w:ascii="Arial" w:eastAsia="Calibri" w:hAnsi="Arial" w:cs="Arial"/>
          <w:sz w:val="24"/>
          <w:szCs w:val="24"/>
        </w:rPr>
      </w:pPr>
    </w:p>
    <w:tbl>
      <w:tblPr>
        <w:tblW w:w="11374" w:type="dxa"/>
        <w:tblLook w:val="04A0" w:firstRow="1" w:lastRow="0" w:firstColumn="1" w:lastColumn="0" w:noHBand="0" w:noVBand="1"/>
      </w:tblPr>
      <w:tblGrid>
        <w:gridCol w:w="4383"/>
        <w:gridCol w:w="1553"/>
        <w:gridCol w:w="6"/>
        <w:gridCol w:w="1711"/>
        <w:gridCol w:w="6"/>
        <w:gridCol w:w="1553"/>
        <w:gridCol w:w="6"/>
        <w:gridCol w:w="217"/>
        <w:gridCol w:w="222"/>
        <w:gridCol w:w="1717"/>
      </w:tblGrid>
      <w:tr w:rsidR="00BB313A" w:rsidRPr="00216E39" w:rsidTr="00A82CC8">
        <w:trPr>
          <w:gridAfter w:val="3"/>
          <w:wAfter w:w="2156" w:type="dxa"/>
          <w:trHeight w:val="70"/>
        </w:trPr>
        <w:tc>
          <w:tcPr>
            <w:tcW w:w="4383" w:type="dxa"/>
            <w:tcBorders>
              <w:top w:val="nil"/>
              <w:left w:val="nil"/>
              <w:bottom w:val="single" w:sz="4" w:space="0" w:color="auto"/>
              <w:right w:val="nil"/>
            </w:tcBorders>
            <w:shd w:val="clear" w:color="auto" w:fill="auto"/>
            <w:vAlign w:val="bottom"/>
            <w:hideMark/>
          </w:tcPr>
          <w:p w:rsidR="00BB313A" w:rsidRPr="00216E39" w:rsidRDefault="00BB313A" w:rsidP="00BB313A">
            <w:pPr>
              <w:spacing w:after="0"/>
              <w:rPr>
                <w:rFonts w:ascii="Arial" w:eastAsia="Arial Unicode MS" w:hAnsi="Arial" w:cs="Arial"/>
                <w:b/>
                <w:bCs/>
                <w:sz w:val="16"/>
                <w:szCs w:val="16"/>
              </w:rPr>
            </w:pPr>
            <w:r w:rsidRPr="00216E39">
              <w:rPr>
                <w:rFonts w:ascii="Arial" w:eastAsia="Arial Unicode MS" w:hAnsi="Arial" w:cs="Arial"/>
                <w:b/>
                <w:bCs/>
                <w:sz w:val="16"/>
                <w:szCs w:val="16"/>
              </w:rPr>
              <w:t> </w:t>
            </w:r>
          </w:p>
        </w:tc>
        <w:tc>
          <w:tcPr>
            <w:tcW w:w="1559" w:type="dxa"/>
            <w:gridSpan w:val="2"/>
            <w:tcBorders>
              <w:top w:val="nil"/>
              <w:left w:val="nil"/>
              <w:bottom w:val="single" w:sz="4" w:space="0" w:color="auto"/>
              <w:right w:val="nil"/>
            </w:tcBorders>
            <w:shd w:val="clear" w:color="auto" w:fill="auto"/>
            <w:vAlign w:val="bottom"/>
            <w:hideMark/>
          </w:tcPr>
          <w:p w:rsidR="00BB313A" w:rsidRPr="00216E39" w:rsidRDefault="00BB313A" w:rsidP="00BB313A">
            <w:pPr>
              <w:spacing w:after="0"/>
              <w:rPr>
                <w:rFonts w:ascii="Arial" w:eastAsia="Arial Unicode MS" w:hAnsi="Arial" w:cs="Arial"/>
                <w:b/>
                <w:bCs/>
                <w:sz w:val="16"/>
                <w:szCs w:val="16"/>
              </w:rPr>
            </w:pPr>
            <w:r w:rsidRPr="00216E39">
              <w:rPr>
                <w:rFonts w:ascii="Arial" w:eastAsia="Arial Unicode MS" w:hAnsi="Arial" w:cs="Arial"/>
                <w:b/>
                <w:bCs/>
                <w:sz w:val="16"/>
                <w:szCs w:val="16"/>
              </w:rPr>
              <w:t> </w:t>
            </w:r>
          </w:p>
        </w:tc>
        <w:tc>
          <w:tcPr>
            <w:tcW w:w="1717" w:type="dxa"/>
            <w:gridSpan w:val="2"/>
            <w:tcBorders>
              <w:top w:val="nil"/>
              <w:left w:val="nil"/>
              <w:bottom w:val="single" w:sz="4" w:space="0" w:color="auto"/>
              <w:right w:val="nil"/>
            </w:tcBorders>
            <w:shd w:val="clear" w:color="auto" w:fill="auto"/>
            <w:vAlign w:val="bottom"/>
            <w:hideMark/>
          </w:tcPr>
          <w:p w:rsidR="00BB313A" w:rsidRPr="00216E39" w:rsidRDefault="00BB313A" w:rsidP="00BB313A">
            <w:pPr>
              <w:spacing w:after="0"/>
              <w:jc w:val="center"/>
              <w:rPr>
                <w:rFonts w:ascii="Arial" w:eastAsia="Arial Unicode MS" w:hAnsi="Arial" w:cs="Arial"/>
                <w:b/>
                <w:bCs/>
                <w:sz w:val="16"/>
                <w:szCs w:val="16"/>
              </w:rPr>
            </w:pPr>
          </w:p>
        </w:tc>
        <w:tc>
          <w:tcPr>
            <w:tcW w:w="1559" w:type="dxa"/>
            <w:gridSpan w:val="2"/>
            <w:tcBorders>
              <w:top w:val="nil"/>
              <w:left w:val="nil"/>
              <w:bottom w:val="single" w:sz="4" w:space="0" w:color="auto"/>
              <w:right w:val="nil"/>
            </w:tcBorders>
            <w:shd w:val="clear" w:color="auto" w:fill="auto"/>
            <w:noWrap/>
            <w:vAlign w:val="bottom"/>
            <w:hideMark/>
          </w:tcPr>
          <w:p w:rsidR="00BB313A" w:rsidRPr="00216E39" w:rsidRDefault="00BB313A" w:rsidP="00BB313A">
            <w:pPr>
              <w:spacing w:after="0"/>
              <w:jc w:val="center"/>
              <w:rPr>
                <w:rFonts w:ascii="Tahoma" w:eastAsia="Arial Unicode MS" w:hAnsi="Tahoma" w:cs="Tahoma"/>
                <w:b/>
                <w:bCs/>
                <w:sz w:val="16"/>
                <w:szCs w:val="16"/>
              </w:rPr>
            </w:pPr>
            <w:r w:rsidRPr="00216E39">
              <w:rPr>
                <w:rFonts w:ascii="Tahoma" w:eastAsia="Arial Unicode MS" w:hAnsi="Tahoma" w:cs="Tahoma"/>
                <w:b/>
                <w:bCs/>
                <w:sz w:val="16"/>
                <w:szCs w:val="16"/>
              </w:rPr>
              <w:t>mld EURO</w:t>
            </w:r>
          </w:p>
        </w:tc>
      </w:tr>
      <w:tr w:rsidR="00BB313A" w:rsidRPr="00216E39" w:rsidTr="00A82CC8">
        <w:trPr>
          <w:gridAfter w:val="3"/>
          <w:wAfter w:w="2156" w:type="dxa"/>
          <w:trHeight w:val="735"/>
        </w:trPr>
        <w:tc>
          <w:tcPr>
            <w:tcW w:w="4383" w:type="dxa"/>
            <w:vMerge w:val="restart"/>
            <w:tcBorders>
              <w:top w:val="single" w:sz="4"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Cadrul Financiar Multianual* 2014-2020</w:t>
            </w:r>
          </w:p>
        </w:tc>
        <w:tc>
          <w:tcPr>
            <w:tcW w:w="1559" w:type="dxa"/>
            <w:gridSpan w:val="2"/>
            <w:vMerge w:val="restart"/>
            <w:tcBorders>
              <w:top w:val="single" w:sz="4" w:space="0" w:color="auto"/>
            </w:tcBorders>
            <w:shd w:val="clear" w:color="auto" w:fill="E2EFD9" w:themeFill="accent6" w:themeFillTint="33"/>
            <w:vAlign w:val="center"/>
            <w:hideMark/>
          </w:tcPr>
          <w:p w:rsidR="009B31B5" w:rsidRPr="00216E39" w:rsidRDefault="00BB313A" w:rsidP="00A82CC8">
            <w:pPr>
              <w:spacing w:after="0" w:line="276" w:lineRule="auto"/>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 xml:space="preserve">Program </w:t>
            </w:r>
          </w:p>
          <w:p w:rsidR="00BB313A" w:rsidRPr="00216E39" w:rsidRDefault="00BB313A" w:rsidP="00A82CC8">
            <w:pPr>
              <w:spacing w:after="0" w:line="276" w:lineRule="auto"/>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2014-2020</w:t>
            </w:r>
          </w:p>
        </w:tc>
        <w:tc>
          <w:tcPr>
            <w:tcW w:w="1717" w:type="dxa"/>
            <w:gridSpan w:val="2"/>
            <w:tcBorders>
              <w:top w:val="single" w:sz="4" w:space="0" w:color="auto"/>
            </w:tcBorders>
            <w:shd w:val="clear" w:color="auto" w:fill="E2EFD9" w:themeFill="accent6" w:themeFillTint="33"/>
            <w:vAlign w:val="bottom"/>
            <w:hideMark/>
          </w:tcPr>
          <w:p w:rsidR="009B31B5" w:rsidRPr="00216E39" w:rsidRDefault="00BB313A" w:rsidP="00A82CC8">
            <w:pPr>
              <w:spacing w:after="0" w:line="276" w:lineRule="auto"/>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 xml:space="preserve">2024 </w:t>
            </w:r>
          </w:p>
          <w:p w:rsidR="00BB313A" w:rsidRPr="00216E39" w:rsidRDefault="00BB313A" w:rsidP="00A82CC8">
            <w:pPr>
              <w:spacing w:after="0" w:line="276" w:lineRule="auto"/>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c>
          <w:tcPr>
            <w:tcW w:w="1559" w:type="dxa"/>
            <w:gridSpan w:val="2"/>
            <w:tcBorders>
              <w:top w:val="single" w:sz="4" w:space="0" w:color="auto"/>
            </w:tcBorders>
            <w:shd w:val="clear" w:color="auto" w:fill="E2EFD9" w:themeFill="accent6" w:themeFillTint="33"/>
            <w:vAlign w:val="center"/>
            <w:hideMark/>
          </w:tcPr>
          <w:p w:rsidR="00FA6C23" w:rsidRPr="00216E39" w:rsidRDefault="00FA6C23" w:rsidP="009B31B5">
            <w:pPr>
              <w:spacing w:after="0" w:line="276" w:lineRule="auto"/>
              <w:jc w:val="center"/>
              <w:rPr>
                <w:rFonts w:ascii="Tahoma" w:eastAsia="Arial Unicode MS" w:hAnsi="Tahoma" w:cs="Tahoma"/>
                <w:b/>
                <w:bCs/>
                <w:sz w:val="20"/>
                <w:szCs w:val="20"/>
              </w:rPr>
            </w:pPr>
          </w:p>
          <w:p w:rsidR="009B31B5" w:rsidRPr="00216E39" w:rsidRDefault="00BB313A" w:rsidP="009B31B5">
            <w:pPr>
              <w:spacing w:after="0" w:line="276" w:lineRule="auto"/>
              <w:jc w:val="center"/>
              <w:rPr>
                <w:rFonts w:ascii="Tahoma" w:eastAsia="Arial Unicode MS" w:hAnsi="Tahoma" w:cs="Tahoma"/>
                <w:b/>
                <w:bCs/>
                <w:sz w:val="20"/>
                <w:szCs w:val="20"/>
              </w:rPr>
            </w:pPr>
            <w:r w:rsidRPr="00216E39">
              <w:rPr>
                <w:rFonts w:ascii="Tahoma" w:eastAsia="Arial Unicode MS" w:hAnsi="Tahoma" w:cs="Tahoma"/>
                <w:b/>
                <w:bCs/>
                <w:sz w:val="20"/>
                <w:szCs w:val="20"/>
              </w:rPr>
              <w:t>2014-2024</w:t>
            </w:r>
            <w:r w:rsidR="009B31B5" w:rsidRPr="00216E39">
              <w:rPr>
                <w:rFonts w:ascii="Tahoma" w:eastAsia="Arial Unicode MS" w:hAnsi="Tahoma" w:cs="Tahoma"/>
                <w:b/>
                <w:bCs/>
                <w:sz w:val="20"/>
                <w:szCs w:val="20"/>
              </w:rPr>
              <w:t xml:space="preserve"> </w:t>
            </w:r>
          </w:p>
          <w:p w:rsidR="00BB313A" w:rsidRPr="00216E39" w:rsidRDefault="00BB313A" w:rsidP="009B31B5">
            <w:pPr>
              <w:spacing w:after="0" w:line="276" w:lineRule="auto"/>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r>
      <w:tr w:rsidR="00BB313A" w:rsidRPr="00216E39" w:rsidTr="00A82CC8">
        <w:trPr>
          <w:gridAfter w:val="3"/>
          <w:wAfter w:w="2156" w:type="dxa"/>
          <w:trHeight w:val="50"/>
        </w:trPr>
        <w:tc>
          <w:tcPr>
            <w:tcW w:w="4383" w:type="dxa"/>
            <w:vMerge/>
            <w:tcBorders>
              <w:top w:val="nil"/>
              <w:bottom w:val="single" w:sz="4" w:space="0" w:color="auto"/>
            </w:tcBorders>
            <w:shd w:val="clear" w:color="auto" w:fill="E2EFD9" w:themeFill="accent6"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p>
        </w:tc>
        <w:tc>
          <w:tcPr>
            <w:tcW w:w="1559" w:type="dxa"/>
            <w:gridSpan w:val="2"/>
            <w:vMerge/>
            <w:tcBorders>
              <w:top w:val="nil"/>
              <w:bottom w:val="single" w:sz="4"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p>
        </w:tc>
        <w:tc>
          <w:tcPr>
            <w:tcW w:w="1717" w:type="dxa"/>
            <w:gridSpan w:val="2"/>
            <w:tcBorders>
              <w:top w:val="nil"/>
              <w:bottom w:val="single" w:sz="4" w:space="0" w:color="auto"/>
            </w:tcBorders>
            <w:shd w:val="clear" w:color="auto" w:fill="E2EFD9" w:themeFill="accent6" w:themeFillTint="33"/>
            <w:vAlign w:val="center"/>
            <w:hideMark/>
          </w:tcPr>
          <w:p w:rsidR="00BB313A" w:rsidRPr="00216E39" w:rsidRDefault="00BB313A" w:rsidP="00A82CC8">
            <w:pPr>
              <w:spacing w:after="0" w:line="276" w:lineRule="auto"/>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c>
          <w:tcPr>
            <w:tcW w:w="1559" w:type="dxa"/>
            <w:gridSpan w:val="2"/>
            <w:tcBorders>
              <w:top w:val="nil"/>
              <w:bottom w:val="single" w:sz="4" w:space="0" w:color="auto"/>
            </w:tcBorders>
            <w:shd w:val="clear" w:color="auto" w:fill="E2EFD9" w:themeFill="accent6" w:themeFillTint="33"/>
            <w:vAlign w:val="center"/>
            <w:hideMark/>
          </w:tcPr>
          <w:p w:rsidR="00BB313A" w:rsidRPr="00216E39" w:rsidRDefault="00BB313A" w:rsidP="009B31B5">
            <w:pPr>
              <w:spacing w:after="0" w:line="276" w:lineRule="auto"/>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r>
      <w:tr w:rsidR="00BB313A" w:rsidRPr="00216E39" w:rsidTr="00A82CC8">
        <w:trPr>
          <w:gridAfter w:val="3"/>
          <w:wAfter w:w="2156" w:type="dxa"/>
          <w:trHeight w:val="289"/>
        </w:trPr>
        <w:tc>
          <w:tcPr>
            <w:tcW w:w="4383" w:type="dxa"/>
            <w:tcBorders>
              <w:top w:val="single" w:sz="4" w:space="0" w:color="auto"/>
            </w:tcBorders>
            <w:shd w:val="clear" w:color="auto" w:fill="C5E0B3" w:themeFill="accent6" w:themeFillTint="66"/>
            <w:vAlign w:val="center"/>
            <w:hideMark/>
          </w:tcPr>
          <w:p w:rsidR="00BB313A" w:rsidRPr="00216E39" w:rsidRDefault="00BB313A" w:rsidP="00A82CC8">
            <w:pPr>
              <w:spacing w:after="0"/>
              <w:ind w:left="-105" w:firstLine="0"/>
              <w:jc w:val="left"/>
              <w:rPr>
                <w:rFonts w:ascii="Tahoma" w:eastAsia="Arial Unicode MS" w:hAnsi="Tahoma" w:cs="Tahoma"/>
                <w:b/>
                <w:bCs/>
                <w:sz w:val="20"/>
                <w:szCs w:val="20"/>
              </w:rPr>
            </w:pPr>
            <w:r w:rsidRPr="00216E39">
              <w:rPr>
                <w:rFonts w:ascii="Tahoma" w:eastAsia="Arial Unicode MS" w:hAnsi="Tahoma" w:cs="Tahoma"/>
                <w:b/>
                <w:bCs/>
                <w:sz w:val="20"/>
                <w:szCs w:val="20"/>
              </w:rPr>
              <w:t>SUME PRIMITE 2014 - 2020 DE LA BUGETUL UE</w:t>
            </w:r>
          </w:p>
        </w:tc>
        <w:tc>
          <w:tcPr>
            <w:tcW w:w="1559" w:type="dxa"/>
            <w:gridSpan w:val="2"/>
            <w:tcBorders>
              <w:top w:val="single" w:sz="4" w:space="0" w:color="auto"/>
            </w:tcBorders>
            <w:shd w:val="clear" w:color="auto" w:fill="C5E0B3" w:themeFill="accent6" w:themeFillTint="66"/>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52.75</w:t>
            </w:r>
          </w:p>
        </w:tc>
        <w:tc>
          <w:tcPr>
            <w:tcW w:w="1717" w:type="dxa"/>
            <w:gridSpan w:val="2"/>
            <w:tcBorders>
              <w:top w:val="single" w:sz="4" w:space="0" w:color="auto"/>
            </w:tcBorders>
            <w:shd w:val="clear" w:color="auto" w:fill="C5E0B3" w:themeFill="accent6" w:themeFillTint="66"/>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1.70</w:t>
            </w:r>
          </w:p>
        </w:tc>
        <w:tc>
          <w:tcPr>
            <w:tcW w:w="1559" w:type="dxa"/>
            <w:gridSpan w:val="2"/>
            <w:tcBorders>
              <w:top w:val="single" w:sz="4" w:space="0" w:color="auto"/>
            </w:tcBorders>
            <w:shd w:val="clear" w:color="auto" w:fill="C5E0B3" w:themeFill="accent6" w:themeFillTint="66"/>
            <w:noWrap/>
            <w:hideMark/>
          </w:tcPr>
          <w:p w:rsidR="00BB313A" w:rsidRPr="00216E39" w:rsidRDefault="00BB313A" w:rsidP="00BB313A">
            <w:pPr>
              <w:spacing w:after="0"/>
              <w:jc w:val="center"/>
              <w:rPr>
                <w:rFonts w:ascii="Tahoma" w:eastAsia="Arial Unicode MS" w:hAnsi="Tahoma" w:cs="Tahoma"/>
                <w:b/>
                <w:bCs/>
                <w:color w:val="000000"/>
                <w:sz w:val="20"/>
                <w:szCs w:val="20"/>
              </w:rPr>
            </w:pPr>
            <w:r w:rsidRPr="00216E39">
              <w:rPr>
                <w:rFonts w:ascii="Tahoma" w:hAnsi="Tahoma" w:cs="Tahoma"/>
                <w:b/>
                <w:sz w:val="20"/>
                <w:szCs w:val="20"/>
              </w:rPr>
              <w:t>49.97</w:t>
            </w:r>
          </w:p>
        </w:tc>
      </w:tr>
      <w:tr w:rsidR="00BB313A" w:rsidRPr="00216E39" w:rsidTr="00A82CC8">
        <w:trPr>
          <w:gridAfter w:val="3"/>
          <w:wAfter w:w="2156" w:type="dxa"/>
          <w:trHeight w:val="223"/>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i/>
                <w:iCs/>
                <w:sz w:val="20"/>
                <w:szCs w:val="20"/>
              </w:rPr>
            </w:pPr>
            <w:r w:rsidRPr="00216E39">
              <w:rPr>
                <w:rFonts w:ascii="Tahoma" w:eastAsia="Arial Unicode MS" w:hAnsi="Tahoma" w:cs="Tahoma"/>
                <w:b/>
                <w:bCs/>
                <w:i/>
                <w:iCs/>
                <w:sz w:val="20"/>
                <w:szCs w:val="20"/>
              </w:rPr>
              <w:t xml:space="preserve">i) </w:t>
            </w:r>
            <w:r w:rsidRPr="00216E39">
              <w:rPr>
                <w:rFonts w:ascii="Tahoma" w:eastAsia="Arial Unicode MS" w:hAnsi="Tahoma" w:cs="Tahoma"/>
                <w:sz w:val="20"/>
                <w:szCs w:val="20"/>
              </w:rPr>
              <w:t xml:space="preserve">Avansuri </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4.26</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0.00</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Tahoma" w:eastAsia="Arial Unicode MS" w:hAnsi="Tahoma" w:cs="Tahoma"/>
                <w:color w:val="000000"/>
                <w:sz w:val="20"/>
                <w:szCs w:val="20"/>
              </w:rPr>
            </w:pPr>
            <w:r w:rsidRPr="00216E39">
              <w:rPr>
                <w:rFonts w:ascii="Tahoma" w:hAnsi="Tahoma" w:cs="Tahoma"/>
                <w:sz w:val="20"/>
                <w:szCs w:val="20"/>
              </w:rPr>
              <w:t>4.23</w:t>
            </w:r>
          </w:p>
        </w:tc>
      </w:tr>
      <w:tr w:rsidR="00BB313A" w:rsidRPr="00216E39" w:rsidTr="00A82CC8">
        <w:trPr>
          <w:gridAfter w:val="3"/>
          <w:wAfter w:w="2156" w:type="dxa"/>
          <w:trHeight w:val="195"/>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i/>
                <w:iCs/>
                <w:sz w:val="20"/>
                <w:szCs w:val="20"/>
              </w:rPr>
            </w:pPr>
            <w:r w:rsidRPr="00216E39">
              <w:rPr>
                <w:rFonts w:ascii="Tahoma" w:eastAsia="Arial Unicode MS" w:hAnsi="Tahoma" w:cs="Tahoma"/>
                <w:b/>
                <w:bCs/>
                <w:i/>
                <w:iCs/>
                <w:sz w:val="20"/>
                <w:szCs w:val="20"/>
              </w:rPr>
              <w:t>ii)</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Rambursari (inclusiv FEGA)</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48.49</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1.70</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Tahoma" w:eastAsia="Arial Unicode MS" w:hAnsi="Tahoma" w:cs="Tahoma"/>
                <w:sz w:val="20"/>
                <w:szCs w:val="20"/>
              </w:rPr>
            </w:pPr>
            <w:r w:rsidRPr="00216E39">
              <w:rPr>
                <w:rFonts w:ascii="Tahoma" w:hAnsi="Tahoma" w:cs="Tahoma"/>
                <w:sz w:val="20"/>
                <w:szCs w:val="20"/>
              </w:rPr>
              <w:t>45.74</w:t>
            </w:r>
          </w:p>
        </w:tc>
      </w:tr>
      <w:tr w:rsidR="00BB313A" w:rsidRPr="00216E39" w:rsidTr="00A82CC8">
        <w:trPr>
          <w:gridAfter w:val="3"/>
          <w:wAfter w:w="2156" w:type="dxa"/>
          <w:trHeight w:val="156"/>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A. Fonduri structurale si de coeziune (FSC)</w:t>
            </w:r>
            <w:r w:rsidRPr="00216E39">
              <w:rPr>
                <w:rFonts w:ascii="Tahoma" w:eastAsia="Arial Unicode MS" w:hAnsi="Tahoma" w:cs="Tahoma"/>
                <w:sz w:val="20"/>
                <w:szCs w:val="20"/>
              </w:rPr>
              <w:t>,</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din care:</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25.62</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sz w:val="20"/>
                <w:szCs w:val="20"/>
              </w:rPr>
              <w:t>1.14</w:t>
            </w:r>
          </w:p>
        </w:tc>
        <w:tc>
          <w:tcPr>
            <w:tcW w:w="1559" w:type="dxa"/>
            <w:gridSpan w:val="2"/>
            <w:tcBorders>
              <w:top w:val="nil"/>
            </w:tcBorders>
            <w:shd w:val="clear" w:color="auto" w:fill="FFF2CC" w:themeFill="accent4" w:themeFillTint="33"/>
            <w:noWrap/>
            <w:hideMark/>
          </w:tcPr>
          <w:p w:rsidR="00BB313A" w:rsidRPr="00216E39" w:rsidRDefault="00BB313A" w:rsidP="00BB313A">
            <w:pPr>
              <w:spacing w:after="0"/>
              <w:jc w:val="center"/>
              <w:rPr>
                <w:rFonts w:ascii="Tahoma" w:eastAsia="Arial Unicode MS" w:hAnsi="Tahoma" w:cs="Tahoma"/>
                <w:b/>
                <w:bCs/>
                <w:sz w:val="20"/>
                <w:szCs w:val="20"/>
              </w:rPr>
            </w:pPr>
            <w:r w:rsidRPr="00216E39">
              <w:rPr>
                <w:rFonts w:ascii="Tahoma" w:hAnsi="Tahoma" w:cs="Tahoma"/>
                <w:b/>
                <w:sz w:val="20"/>
                <w:szCs w:val="20"/>
              </w:rPr>
              <w:t>24.48</w:t>
            </w:r>
          </w:p>
        </w:tc>
      </w:tr>
      <w:tr w:rsidR="00BB313A" w:rsidRPr="00216E39" w:rsidTr="00A82CC8">
        <w:trPr>
          <w:gridAfter w:val="3"/>
          <w:wAfter w:w="2156" w:type="dxa"/>
          <w:trHeight w:val="247"/>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a)</w:t>
            </w:r>
            <w:r w:rsidRPr="00216E39">
              <w:rPr>
                <w:rFonts w:ascii="Tahoma" w:eastAsia="Arial Unicode MS" w:hAnsi="Tahoma" w:cs="Tahoma"/>
                <w:sz w:val="20"/>
                <w:szCs w:val="20"/>
              </w:rPr>
              <w:t xml:space="preserve"> Avansuri din FSC</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3.65</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0.00</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Tahoma" w:eastAsia="Arial Unicode MS" w:hAnsi="Tahoma" w:cs="Tahoma"/>
                <w:sz w:val="20"/>
                <w:szCs w:val="20"/>
              </w:rPr>
            </w:pPr>
            <w:r w:rsidRPr="00216E39">
              <w:rPr>
                <w:rFonts w:ascii="Tahoma" w:hAnsi="Tahoma" w:cs="Tahoma"/>
                <w:sz w:val="20"/>
                <w:szCs w:val="20"/>
              </w:rPr>
              <w:t>3.65</w:t>
            </w:r>
          </w:p>
        </w:tc>
      </w:tr>
      <w:tr w:rsidR="00BB313A" w:rsidRPr="00216E39" w:rsidTr="00A82CC8">
        <w:trPr>
          <w:gridAfter w:val="3"/>
          <w:wAfter w:w="2156" w:type="dxa"/>
          <w:trHeight w:val="209"/>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b)</w:t>
            </w:r>
            <w:r w:rsidRPr="00216E39">
              <w:rPr>
                <w:rFonts w:ascii="Tahoma" w:eastAsia="Arial Unicode MS" w:hAnsi="Tahoma" w:cs="Tahoma"/>
                <w:sz w:val="20"/>
                <w:szCs w:val="20"/>
              </w:rPr>
              <w:t xml:space="preserve"> Rambursari din FSC</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21.97</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1.14</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Tahoma" w:eastAsia="Arial Unicode MS" w:hAnsi="Tahoma" w:cs="Tahoma"/>
                <w:sz w:val="20"/>
                <w:szCs w:val="20"/>
              </w:rPr>
            </w:pPr>
            <w:r w:rsidRPr="00216E39">
              <w:rPr>
                <w:rFonts w:ascii="Tahoma" w:hAnsi="Tahoma" w:cs="Tahoma"/>
                <w:sz w:val="20"/>
                <w:szCs w:val="20"/>
              </w:rPr>
              <w:t>20.84</w:t>
            </w:r>
          </w:p>
        </w:tc>
      </w:tr>
      <w:tr w:rsidR="00BB313A" w:rsidRPr="00216E39" w:rsidTr="00A82CC8">
        <w:trPr>
          <w:gridAfter w:val="3"/>
          <w:wAfter w:w="2156" w:type="dxa"/>
          <w:trHeight w:val="313"/>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right="-112" w:firstLine="0"/>
              <w:rPr>
                <w:rFonts w:ascii="Tahoma" w:eastAsia="Arial Unicode MS" w:hAnsi="Tahoma" w:cs="Tahoma"/>
                <w:b/>
                <w:bCs/>
                <w:sz w:val="20"/>
                <w:szCs w:val="20"/>
              </w:rPr>
            </w:pPr>
            <w:r w:rsidRPr="00216E39">
              <w:rPr>
                <w:rFonts w:ascii="Tahoma" w:eastAsia="Arial Unicode MS" w:hAnsi="Tahoma" w:cs="Tahoma"/>
                <w:b/>
                <w:bCs/>
                <w:sz w:val="20"/>
                <w:szCs w:val="20"/>
              </w:rPr>
              <w:lastRenderedPageBreak/>
              <w:t>B. Fonduri pentru dezvoltare rurala si pescuit (FEADR+FEPAM)</w:t>
            </w:r>
            <w:r w:rsidRPr="00216E39">
              <w:rPr>
                <w:rFonts w:ascii="Tahoma" w:eastAsia="Arial Unicode MS" w:hAnsi="Tahoma" w:cs="Tahoma"/>
                <w:sz w:val="20"/>
                <w:szCs w:val="20"/>
              </w:rPr>
              <w:t>,</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din care:</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hAnsi="Tahoma" w:cs="Tahoma"/>
                <w:b/>
                <w:sz w:val="20"/>
                <w:szCs w:val="20"/>
              </w:rPr>
            </w:pPr>
          </w:p>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11.12</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hAnsi="Tahoma" w:cs="Tahoma"/>
                <w:b/>
                <w:sz w:val="20"/>
                <w:szCs w:val="20"/>
              </w:rPr>
            </w:pPr>
          </w:p>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0.50</w:t>
            </w:r>
          </w:p>
        </w:tc>
        <w:tc>
          <w:tcPr>
            <w:tcW w:w="1559" w:type="dxa"/>
            <w:gridSpan w:val="2"/>
            <w:tcBorders>
              <w:top w:val="nil"/>
            </w:tcBorders>
            <w:shd w:val="clear" w:color="auto" w:fill="FFF2CC" w:themeFill="accent4" w:themeFillTint="33"/>
            <w:noWrap/>
            <w:hideMark/>
          </w:tcPr>
          <w:p w:rsidR="00BB313A" w:rsidRPr="00216E39" w:rsidRDefault="00BB313A" w:rsidP="00BB313A">
            <w:pPr>
              <w:spacing w:after="0"/>
              <w:jc w:val="center"/>
              <w:rPr>
                <w:rFonts w:ascii="Tahoma" w:hAnsi="Tahoma" w:cs="Tahoma"/>
                <w:b/>
                <w:sz w:val="20"/>
                <w:szCs w:val="20"/>
              </w:rPr>
            </w:pPr>
          </w:p>
          <w:p w:rsidR="00BB313A" w:rsidRPr="00216E39" w:rsidRDefault="00BB313A" w:rsidP="00BB313A">
            <w:pPr>
              <w:spacing w:after="0"/>
              <w:jc w:val="center"/>
              <w:rPr>
                <w:rFonts w:ascii="Tahoma" w:eastAsia="Arial Unicode MS" w:hAnsi="Tahoma" w:cs="Tahoma"/>
                <w:b/>
                <w:bCs/>
                <w:color w:val="000000"/>
                <w:sz w:val="20"/>
                <w:szCs w:val="20"/>
              </w:rPr>
            </w:pPr>
            <w:r w:rsidRPr="00216E39">
              <w:rPr>
                <w:rFonts w:ascii="Tahoma" w:hAnsi="Tahoma" w:cs="Tahoma"/>
                <w:b/>
                <w:sz w:val="20"/>
                <w:szCs w:val="20"/>
              </w:rPr>
              <w:t>9.57</w:t>
            </w:r>
          </w:p>
        </w:tc>
      </w:tr>
      <w:tr w:rsidR="00BB313A" w:rsidRPr="00216E39" w:rsidTr="00A82CC8">
        <w:trPr>
          <w:gridAfter w:val="3"/>
          <w:wAfter w:w="2156" w:type="dxa"/>
          <w:trHeight w:val="275"/>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a)</w:t>
            </w:r>
            <w:r w:rsidRPr="00216E39">
              <w:rPr>
                <w:rFonts w:ascii="Tahoma" w:eastAsia="Arial Unicode MS" w:hAnsi="Tahoma" w:cs="Tahoma"/>
                <w:sz w:val="20"/>
                <w:szCs w:val="20"/>
              </w:rPr>
              <w:t xml:space="preserve"> Avansuri (FEADR+FEPAM)</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0.35</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0.00</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Tahoma" w:eastAsia="Arial Unicode MS" w:hAnsi="Tahoma" w:cs="Tahoma"/>
                <w:sz w:val="20"/>
                <w:szCs w:val="20"/>
              </w:rPr>
            </w:pPr>
            <w:r w:rsidRPr="00216E39">
              <w:rPr>
                <w:rFonts w:ascii="Tahoma" w:hAnsi="Tahoma" w:cs="Tahoma"/>
                <w:sz w:val="20"/>
                <w:szCs w:val="20"/>
              </w:rPr>
              <w:t>0.35</w:t>
            </w:r>
          </w:p>
        </w:tc>
      </w:tr>
      <w:tr w:rsidR="00BB313A" w:rsidRPr="00216E39" w:rsidTr="00A82CC8">
        <w:trPr>
          <w:gridAfter w:val="3"/>
          <w:wAfter w:w="2156" w:type="dxa"/>
          <w:trHeight w:val="237"/>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b)</w:t>
            </w:r>
            <w:r w:rsidRPr="00216E39">
              <w:rPr>
                <w:rFonts w:ascii="Tahoma" w:eastAsia="Arial Unicode MS" w:hAnsi="Tahoma" w:cs="Tahoma"/>
                <w:sz w:val="20"/>
                <w:szCs w:val="20"/>
              </w:rPr>
              <w:t xml:space="preserve"> Rambursari  (FEADR+FEPAM)</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10.77</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0.50</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Tahoma" w:eastAsia="Arial Unicode MS" w:hAnsi="Tahoma" w:cs="Tahoma"/>
                <w:sz w:val="20"/>
                <w:szCs w:val="20"/>
              </w:rPr>
            </w:pPr>
            <w:r w:rsidRPr="00216E39">
              <w:rPr>
                <w:rFonts w:ascii="Tahoma" w:hAnsi="Tahoma" w:cs="Tahoma"/>
                <w:sz w:val="20"/>
                <w:szCs w:val="20"/>
              </w:rPr>
              <w:t>9.22</w:t>
            </w:r>
          </w:p>
        </w:tc>
      </w:tr>
      <w:tr w:rsidR="00BB313A" w:rsidRPr="00216E39" w:rsidTr="00A82CC8">
        <w:trPr>
          <w:gridAfter w:val="3"/>
          <w:wAfter w:w="2156" w:type="dxa"/>
          <w:trHeight w:val="185"/>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C. Fondul European pentru Garantare Agricola (FEGA)</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14.24</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0.00</w:t>
            </w:r>
          </w:p>
        </w:tc>
        <w:tc>
          <w:tcPr>
            <w:tcW w:w="1559" w:type="dxa"/>
            <w:gridSpan w:val="2"/>
            <w:tcBorders>
              <w:top w:val="nil"/>
            </w:tcBorders>
            <w:shd w:val="clear" w:color="auto" w:fill="FFF2CC" w:themeFill="accent4" w:themeFillTint="33"/>
            <w:noWrap/>
            <w:hideMark/>
          </w:tcPr>
          <w:p w:rsidR="00BB313A" w:rsidRPr="00216E39" w:rsidRDefault="00BB313A" w:rsidP="00BB313A">
            <w:pPr>
              <w:spacing w:after="0"/>
              <w:jc w:val="center"/>
              <w:rPr>
                <w:rFonts w:ascii="Tahoma" w:eastAsia="Arial Unicode MS" w:hAnsi="Tahoma" w:cs="Tahoma"/>
                <w:b/>
                <w:bCs/>
                <w:sz w:val="20"/>
                <w:szCs w:val="20"/>
              </w:rPr>
            </w:pPr>
            <w:r w:rsidRPr="00216E39">
              <w:rPr>
                <w:rFonts w:ascii="Tahoma" w:hAnsi="Tahoma" w:cs="Tahoma"/>
                <w:b/>
                <w:sz w:val="20"/>
                <w:szCs w:val="20"/>
              </w:rPr>
              <w:t>14.19</w:t>
            </w:r>
          </w:p>
        </w:tc>
      </w:tr>
      <w:tr w:rsidR="00BB313A" w:rsidRPr="00216E39" w:rsidTr="00A82CC8">
        <w:trPr>
          <w:gridAfter w:val="3"/>
          <w:wAfter w:w="2156" w:type="dxa"/>
          <w:trHeight w:val="161"/>
        </w:trPr>
        <w:tc>
          <w:tcPr>
            <w:tcW w:w="4383" w:type="dxa"/>
            <w:shd w:val="clear" w:color="auto" w:fill="FFF2CC" w:themeFill="accent4"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D. Altele (post-aderare)</w:t>
            </w:r>
            <w:r w:rsidRPr="00216E39">
              <w:rPr>
                <w:rFonts w:ascii="Tahoma" w:eastAsia="Arial Unicode MS" w:hAnsi="Tahoma" w:cs="Tahoma"/>
                <w:sz w:val="20"/>
                <w:szCs w:val="20"/>
              </w:rPr>
              <w:t>,</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din care:</w:t>
            </w:r>
            <w:r w:rsidRPr="00216E39">
              <w:rPr>
                <w:rFonts w:ascii="Tahoma" w:eastAsia="Arial Unicode MS" w:hAnsi="Tahoma" w:cs="Tahoma"/>
                <w:b/>
                <w:bCs/>
                <w:sz w:val="20"/>
                <w:szCs w:val="20"/>
              </w:rPr>
              <w:t xml:space="preserve"> </w:t>
            </w:r>
          </w:p>
        </w:tc>
        <w:tc>
          <w:tcPr>
            <w:tcW w:w="1559" w:type="dxa"/>
            <w:gridSpan w:val="2"/>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1.77</w:t>
            </w:r>
          </w:p>
        </w:tc>
        <w:tc>
          <w:tcPr>
            <w:tcW w:w="1717" w:type="dxa"/>
            <w:gridSpan w:val="2"/>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0.05</w:t>
            </w:r>
          </w:p>
        </w:tc>
        <w:tc>
          <w:tcPr>
            <w:tcW w:w="1559" w:type="dxa"/>
            <w:gridSpan w:val="2"/>
            <w:shd w:val="clear" w:color="auto" w:fill="FFF2CC" w:themeFill="accent4" w:themeFillTint="33"/>
            <w:noWrap/>
            <w:hideMark/>
          </w:tcPr>
          <w:p w:rsidR="00BB313A" w:rsidRPr="00216E39" w:rsidRDefault="00BB313A" w:rsidP="00BB313A">
            <w:pPr>
              <w:spacing w:after="0"/>
              <w:jc w:val="center"/>
              <w:rPr>
                <w:rFonts w:ascii="Tahoma" w:eastAsia="Arial Unicode MS" w:hAnsi="Tahoma" w:cs="Tahoma"/>
                <w:b/>
                <w:bCs/>
                <w:color w:val="000000"/>
                <w:sz w:val="20"/>
                <w:szCs w:val="20"/>
              </w:rPr>
            </w:pPr>
            <w:r w:rsidRPr="00216E39">
              <w:rPr>
                <w:rFonts w:ascii="Tahoma" w:hAnsi="Tahoma" w:cs="Tahoma"/>
                <w:b/>
                <w:sz w:val="20"/>
                <w:szCs w:val="20"/>
              </w:rPr>
              <w:t>1.73</w:t>
            </w:r>
          </w:p>
        </w:tc>
      </w:tr>
      <w:tr w:rsidR="009B31B5" w:rsidRPr="00216E39" w:rsidTr="00A82CC8">
        <w:trPr>
          <w:gridAfter w:val="3"/>
          <w:wAfter w:w="2156" w:type="dxa"/>
          <w:trHeight w:val="161"/>
        </w:trPr>
        <w:tc>
          <w:tcPr>
            <w:tcW w:w="4383" w:type="dxa"/>
            <w:shd w:val="clear" w:color="auto" w:fill="auto"/>
            <w:vAlign w:val="center"/>
          </w:tcPr>
          <w:p w:rsidR="009B31B5" w:rsidRPr="00216E39" w:rsidRDefault="009B31B5" w:rsidP="00A82CC8">
            <w:pPr>
              <w:spacing w:after="0"/>
              <w:ind w:firstLine="0"/>
              <w:rPr>
                <w:rFonts w:ascii="Arial" w:eastAsia="Arial Unicode MS" w:hAnsi="Arial" w:cs="Arial"/>
                <w:b/>
                <w:bCs/>
                <w:sz w:val="16"/>
                <w:szCs w:val="16"/>
              </w:rPr>
            </w:pPr>
          </w:p>
        </w:tc>
        <w:tc>
          <w:tcPr>
            <w:tcW w:w="1559" w:type="dxa"/>
            <w:gridSpan w:val="2"/>
            <w:shd w:val="clear" w:color="auto" w:fill="auto"/>
            <w:noWrap/>
          </w:tcPr>
          <w:p w:rsidR="009B31B5" w:rsidRPr="00216E39" w:rsidRDefault="009B31B5" w:rsidP="00A82CC8">
            <w:pPr>
              <w:spacing w:after="0"/>
              <w:ind w:firstLine="0"/>
              <w:jc w:val="center"/>
              <w:rPr>
                <w:rFonts w:ascii="Arial" w:hAnsi="Arial" w:cs="Arial"/>
                <w:b/>
                <w:sz w:val="16"/>
                <w:szCs w:val="16"/>
              </w:rPr>
            </w:pPr>
          </w:p>
        </w:tc>
        <w:tc>
          <w:tcPr>
            <w:tcW w:w="1717" w:type="dxa"/>
            <w:gridSpan w:val="2"/>
            <w:shd w:val="clear" w:color="000000" w:fill="FFFFFF"/>
            <w:noWrap/>
          </w:tcPr>
          <w:p w:rsidR="009B31B5" w:rsidRPr="00216E39" w:rsidRDefault="009B31B5" w:rsidP="00A82CC8">
            <w:pPr>
              <w:spacing w:after="0"/>
              <w:ind w:firstLine="0"/>
              <w:jc w:val="center"/>
              <w:rPr>
                <w:rFonts w:ascii="Arial" w:hAnsi="Arial" w:cs="Arial"/>
                <w:b/>
                <w:sz w:val="16"/>
                <w:szCs w:val="16"/>
              </w:rPr>
            </w:pPr>
          </w:p>
        </w:tc>
        <w:tc>
          <w:tcPr>
            <w:tcW w:w="1559" w:type="dxa"/>
            <w:gridSpan w:val="2"/>
            <w:shd w:val="clear" w:color="auto" w:fill="auto"/>
            <w:noWrap/>
          </w:tcPr>
          <w:p w:rsidR="009B31B5" w:rsidRPr="00216E39" w:rsidRDefault="009B31B5" w:rsidP="00BB313A">
            <w:pPr>
              <w:spacing w:after="0"/>
              <w:jc w:val="center"/>
              <w:rPr>
                <w:rFonts w:ascii="Arial" w:hAnsi="Arial" w:cs="Arial"/>
                <w:b/>
                <w:sz w:val="16"/>
                <w:szCs w:val="16"/>
              </w:rPr>
            </w:pPr>
          </w:p>
        </w:tc>
      </w:tr>
      <w:tr w:rsidR="00BB313A" w:rsidRPr="00216E39" w:rsidTr="00A82CC8">
        <w:trPr>
          <w:gridAfter w:val="3"/>
          <w:wAfter w:w="2156" w:type="dxa"/>
          <w:trHeight w:val="109"/>
        </w:trPr>
        <w:tc>
          <w:tcPr>
            <w:tcW w:w="4383" w:type="dxa"/>
            <w:tcBorders>
              <w:top w:val="nil"/>
            </w:tcBorders>
            <w:shd w:val="clear" w:color="auto" w:fill="auto"/>
            <w:vAlign w:val="center"/>
            <w:hideMark/>
          </w:tcPr>
          <w:p w:rsidR="00BB313A" w:rsidRPr="00216E39" w:rsidRDefault="00BB313A" w:rsidP="00A82CC8">
            <w:pPr>
              <w:spacing w:after="0"/>
              <w:ind w:firstLineChars="300" w:firstLine="480"/>
              <w:rPr>
                <w:rFonts w:ascii="Arial" w:eastAsia="Arial Unicode MS" w:hAnsi="Arial" w:cs="Arial"/>
                <w:b/>
                <w:bCs/>
                <w:i/>
                <w:iCs/>
                <w:sz w:val="16"/>
                <w:szCs w:val="16"/>
              </w:rPr>
            </w:pPr>
            <w:r w:rsidRPr="00216E39">
              <w:rPr>
                <w:rFonts w:ascii="Arial" w:eastAsia="Arial Unicode MS" w:hAnsi="Arial" w:cs="Arial"/>
                <w:b/>
                <w:bCs/>
                <w:sz w:val="16"/>
                <w:szCs w:val="16"/>
              </w:rPr>
              <w:t>a)</w:t>
            </w:r>
            <w:r w:rsidRPr="00216E39">
              <w:rPr>
                <w:rFonts w:ascii="Arial" w:eastAsia="Arial Unicode MS" w:hAnsi="Arial" w:cs="Arial"/>
                <w:b/>
                <w:bCs/>
                <w:i/>
                <w:iCs/>
                <w:sz w:val="16"/>
                <w:szCs w:val="16"/>
              </w:rPr>
              <w:t xml:space="preserve"> </w:t>
            </w:r>
            <w:r w:rsidRPr="00216E39">
              <w:rPr>
                <w:rFonts w:ascii="Arial" w:eastAsia="Arial Unicode MS" w:hAnsi="Arial" w:cs="Arial"/>
                <w:sz w:val="16"/>
                <w:szCs w:val="16"/>
              </w:rPr>
              <w:t xml:space="preserve">Avansuri </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Arial" w:eastAsia="Arial Unicode MS" w:hAnsi="Arial" w:cs="Arial"/>
                <w:sz w:val="16"/>
                <w:szCs w:val="16"/>
              </w:rPr>
            </w:pPr>
            <w:r w:rsidRPr="00216E39">
              <w:rPr>
                <w:rFonts w:ascii="Arial" w:hAnsi="Arial" w:cs="Arial"/>
                <w:sz w:val="16"/>
                <w:szCs w:val="16"/>
              </w:rPr>
              <w:t>0.27</w:t>
            </w:r>
          </w:p>
        </w:tc>
        <w:tc>
          <w:tcPr>
            <w:tcW w:w="1717" w:type="dxa"/>
            <w:gridSpan w:val="2"/>
            <w:tcBorders>
              <w:top w:val="nil"/>
            </w:tcBorders>
            <w:shd w:val="clear" w:color="000000" w:fill="FFFFFF"/>
            <w:noWrap/>
            <w:hideMark/>
          </w:tcPr>
          <w:p w:rsidR="00BB313A" w:rsidRPr="00216E39" w:rsidRDefault="00BB313A" w:rsidP="00A82CC8">
            <w:pPr>
              <w:spacing w:after="0"/>
              <w:ind w:firstLine="0"/>
              <w:jc w:val="center"/>
              <w:rPr>
                <w:rFonts w:ascii="Arial" w:eastAsia="Arial Unicode MS" w:hAnsi="Arial" w:cs="Arial"/>
                <w:color w:val="000000"/>
                <w:sz w:val="16"/>
                <w:szCs w:val="16"/>
              </w:rPr>
            </w:pPr>
            <w:r w:rsidRPr="00216E39">
              <w:rPr>
                <w:rFonts w:ascii="Arial" w:hAnsi="Arial" w:cs="Arial"/>
                <w:sz w:val="16"/>
                <w:szCs w:val="16"/>
              </w:rPr>
              <w:t>0.00</w:t>
            </w:r>
          </w:p>
        </w:tc>
        <w:tc>
          <w:tcPr>
            <w:tcW w:w="1559" w:type="dxa"/>
            <w:gridSpan w:val="2"/>
            <w:tcBorders>
              <w:top w:val="nil"/>
            </w:tcBorders>
            <w:shd w:val="clear" w:color="auto" w:fill="auto"/>
            <w:noWrap/>
            <w:hideMark/>
          </w:tcPr>
          <w:p w:rsidR="00BB313A" w:rsidRPr="00216E39" w:rsidRDefault="00BB313A" w:rsidP="00BB313A">
            <w:pPr>
              <w:spacing w:after="0"/>
              <w:jc w:val="center"/>
              <w:rPr>
                <w:rFonts w:ascii="Arial" w:eastAsia="Arial Unicode MS" w:hAnsi="Arial" w:cs="Arial"/>
                <w:sz w:val="16"/>
                <w:szCs w:val="16"/>
              </w:rPr>
            </w:pPr>
            <w:r w:rsidRPr="00216E39">
              <w:rPr>
                <w:rFonts w:ascii="Arial" w:hAnsi="Arial" w:cs="Arial"/>
                <w:sz w:val="16"/>
                <w:szCs w:val="16"/>
              </w:rPr>
              <w:t>0.23</w:t>
            </w:r>
          </w:p>
        </w:tc>
      </w:tr>
      <w:tr w:rsidR="00BB313A" w:rsidRPr="00216E39" w:rsidTr="00A82CC8">
        <w:trPr>
          <w:gridAfter w:val="3"/>
          <w:wAfter w:w="2156" w:type="dxa"/>
          <w:trHeight w:val="345"/>
        </w:trPr>
        <w:tc>
          <w:tcPr>
            <w:tcW w:w="4383" w:type="dxa"/>
            <w:tcBorders>
              <w:top w:val="nil"/>
              <w:bottom w:val="double" w:sz="4" w:space="0" w:color="auto"/>
            </w:tcBorders>
            <w:shd w:val="clear" w:color="auto" w:fill="auto"/>
            <w:vAlign w:val="center"/>
            <w:hideMark/>
          </w:tcPr>
          <w:p w:rsidR="00BB313A" w:rsidRPr="00216E39" w:rsidRDefault="00BB313A" w:rsidP="00A82CC8">
            <w:pPr>
              <w:spacing w:after="0"/>
              <w:ind w:firstLineChars="300" w:firstLine="480"/>
              <w:rPr>
                <w:rFonts w:ascii="Arial" w:eastAsia="Arial Unicode MS" w:hAnsi="Arial" w:cs="Arial"/>
                <w:b/>
                <w:bCs/>
                <w:i/>
                <w:iCs/>
                <w:sz w:val="16"/>
                <w:szCs w:val="16"/>
              </w:rPr>
            </w:pPr>
            <w:r w:rsidRPr="00216E39">
              <w:rPr>
                <w:rFonts w:ascii="Arial" w:eastAsia="Arial Unicode MS" w:hAnsi="Arial" w:cs="Arial"/>
                <w:b/>
                <w:bCs/>
                <w:sz w:val="16"/>
                <w:szCs w:val="16"/>
              </w:rPr>
              <w:t xml:space="preserve">b) </w:t>
            </w:r>
            <w:r w:rsidRPr="00216E39">
              <w:rPr>
                <w:rFonts w:ascii="Arial" w:eastAsia="Arial Unicode MS" w:hAnsi="Arial" w:cs="Arial"/>
                <w:sz w:val="16"/>
                <w:szCs w:val="16"/>
              </w:rPr>
              <w:t>Rambursari</w:t>
            </w:r>
          </w:p>
        </w:tc>
        <w:tc>
          <w:tcPr>
            <w:tcW w:w="1559" w:type="dxa"/>
            <w:gridSpan w:val="2"/>
            <w:tcBorders>
              <w:top w:val="nil"/>
              <w:bottom w:val="double" w:sz="4" w:space="0" w:color="auto"/>
            </w:tcBorders>
            <w:shd w:val="clear" w:color="auto" w:fill="auto"/>
            <w:noWrap/>
            <w:hideMark/>
          </w:tcPr>
          <w:p w:rsidR="00BB313A" w:rsidRPr="00216E39" w:rsidRDefault="00BB313A" w:rsidP="00A82CC8">
            <w:pPr>
              <w:spacing w:after="0"/>
              <w:ind w:firstLine="0"/>
              <w:jc w:val="center"/>
              <w:rPr>
                <w:rFonts w:ascii="Arial" w:eastAsia="Arial Unicode MS" w:hAnsi="Arial" w:cs="Arial"/>
                <w:sz w:val="16"/>
                <w:szCs w:val="16"/>
              </w:rPr>
            </w:pPr>
            <w:r w:rsidRPr="00216E39">
              <w:rPr>
                <w:rFonts w:ascii="Arial" w:hAnsi="Arial" w:cs="Arial"/>
                <w:sz w:val="16"/>
                <w:szCs w:val="16"/>
              </w:rPr>
              <w:t>1.51</w:t>
            </w:r>
          </w:p>
        </w:tc>
        <w:tc>
          <w:tcPr>
            <w:tcW w:w="1717" w:type="dxa"/>
            <w:gridSpan w:val="2"/>
            <w:tcBorders>
              <w:top w:val="nil"/>
              <w:bottom w:val="double" w:sz="4" w:space="0" w:color="auto"/>
            </w:tcBorders>
            <w:shd w:val="clear" w:color="000000" w:fill="FFFFFF"/>
            <w:noWrap/>
            <w:hideMark/>
          </w:tcPr>
          <w:p w:rsidR="00BB313A" w:rsidRPr="00216E39" w:rsidRDefault="00BB313A" w:rsidP="00A82CC8">
            <w:pPr>
              <w:spacing w:after="0"/>
              <w:ind w:firstLine="0"/>
              <w:jc w:val="center"/>
              <w:rPr>
                <w:rFonts w:ascii="Arial" w:eastAsia="Arial Unicode MS" w:hAnsi="Arial" w:cs="Arial"/>
                <w:color w:val="000000"/>
                <w:sz w:val="16"/>
                <w:szCs w:val="16"/>
              </w:rPr>
            </w:pPr>
            <w:r w:rsidRPr="00216E39">
              <w:rPr>
                <w:rFonts w:ascii="Arial" w:hAnsi="Arial" w:cs="Arial"/>
                <w:sz w:val="16"/>
                <w:szCs w:val="16"/>
              </w:rPr>
              <w:t>0.05</w:t>
            </w:r>
          </w:p>
        </w:tc>
        <w:tc>
          <w:tcPr>
            <w:tcW w:w="1559" w:type="dxa"/>
            <w:gridSpan w:val="2"/>
            <w:tcBorders>
              <w:top w:val="nil"/>
              <w:bottom w:val="double" w:sz="4" w:space="0" w:color="auto"/>
            </w:tcBorders>
            <w:shd w:val="clear" w:color="auto" w:fill="auto"/>
            <w:noWrap/>
            <w:hideMark/>
          </w:tcPr>
          <w:p w:rsidR="00BB313A" w:rsidRPr="00216E39" w:rsidRDefault="00BB313A" w:rsidP="00BB313A">
            <w:pPr>
              <w:spacing w:after="0"/>
              <w:jc w:val="center"/>
              <w:rPr>
                <w:rFonts w:ascii="Arial" w:eastAsia="Arial Unicode MS" w:hAnsi="Arial" w:cs="Arial"/>
                <w:sz w:val="16"/>
                <w:szCs w:val="16"/>
              </w:rPr>
            </w:pPr>
            <w:r w:rsidRPr="00216E39">
              <w:rPr>
                <w:rFonts w:ascii="Arial" w:hAnsi="Arial" w:cs="Arial"/>
                <w:sz w:val="16"/>
                <w:szCs w:val="16"/>
              </w:rPr>
              <w:t>1.49</w:t>
            </w:r>
          </w:p>
        </w:tc>
      </w:tr>
      <w:tr w:rsidR="00BB313A" w:rsidRPr="00216E39" w:rsidTr="00A82CC8">
        <w:trPr>
          <w:gridAfter w:val="4"/>
          <w:wAfter w:w="2162" w:type="dxa"/>
          <w:trHeight w:val="594"/>
        </w:trPr>
        <w:tc>
          <w:tcPr>
            <w:tcW w:w="5936" w:type="dxa"/>
            <w:gridSpan w:val="2"/>
            <w:tcBorders>
              <w:top w:val="double" w:sz="4" w:space="0" w:color="auto"/>
              <w:left w:val="nil"/>
              <w:bottom w:val="single" w:sz="12" w:space="0" w:color="auto"/>
              <w:right w:val="nil"/>
            </w:tcBorders>
            <w:shd w:val="clear" w:color="auto" w:fill="auto"/>
            <w:vAlign w:val="bottom"/>
            <w:hideMark/>
          </w:tcPr>
          <w:p w:rsidR="00BB313A" w:rsidRPr="00216E39" w:rsidRDefault="00BB313A" w:rsidP="00A82CC8">
            <w:pPr>
              <w:spacing w:after="0"/>
              <w:ind w:firstLine="0"/>
              <w:rPr>
                <w:rFonts w:ascii="Arial" w:eastAsia="Arial Unicode MS" w:hAnsi="Arial" w:cs="Arial"/>
                <w:b/>
                <w:bCs/>
                <w:sz w:val="16"/>
                <w:szCs w:val="16"/>
              </w:rPr>
            </w:pPr>
            <w:r w:rsidRPr="00216E39">
              <w:rPr>
                <w:rFonts w:ascii="Arial" w:eastAsia="Arial Unicode MS" w:hAnsi="Arial" w:cs="Arial"/>
                <w:b/>
                <w:bCs/>
                <w:sz w:val="16"/>
                <w:szCs w:val="16"/>
              </w:rPr>
              <w:t> </w:t>
            </w:r>
          </w:p>
        </w:tc>
        <w:tc>
          <w:tcPr>
            <w:tcW w:w="1717" w:type="dxa"/>
            <w:gridSpan w:val="2"/>
            <w:tcBorders>
              <w:top w:val="double" w:sz="4" w:space="0" w:color="auto"/>
              <w:left w:val="nil"/>
              <w:bottom w:val="single" w:sz="12" w:space="0" w:color="auto"/>
              <w:right w:val="nil"/>
            </w:tcBorders>
            <w:shd w:val="clear" w:color="auto" w:fill="auto"/>
            <w:vAlign w:val="bottom"/>
            <w:hideMark/>
          </w:tcPr>
          <w:p w:rsidR="00BB313A" w:rsidRPr="00216E39" w:rsidRDefault="00BB313A" w:rsidP="00A82CC8">
            <w:pPr>
              <w:spacing w:after="0"/>
              <w:ind w:firstLine="0"/>
              <w:jc w:val="center"/>
              <w:rPr>
                <w:rFonts w:ascii="Arial" w:eastAsia="Arial Unicode MS" w:hAnsi="Arial" w:cs="Arial"/>
                <w:b/>
                <w:bCs/>
                <w:sz w:val="16"/>
                <w:szCs w:val="16"/>
              </w:rPr>
            </w:pPr>
          </w:p>
        </w:tc>
        <w:tc>
          <w:tcPr>
            <w:tcW w:w="1559" w:type="dxa"/>
            <w:gridSpan w:val="2"/>
            <w:tcBorders>
              <w:top w:val="double" w:sz="4" w:space="0" w:color="auto"/>
              <w:left w:val="nil"/>
              <w:bottom w:val="single" w:sz="12" w:space="0" w:color="auto"/>
              <w:right w:val="nil"/>
            </w:tcBorders>
            <w:shd w:val="clear" w:color="auto" w:fill="auto"/>
            <w:noWrap/>
            <w:vAlign w:val="bottom"/>
            <w:hideMark/>
          </w:tcPr>
          <w:p w:rsidR="00BB313A" w:rsidRPr="00216E39" w:rsidRDefault="00BB313A" w:rsidP="00A82CC8">
            <w:pPr>
              <w:spacing w:after="0"/>
              <w:ind w:firstLine="0"/>
              <w:jc w:val="center"/>
              <w:rPr>
                <w:rFonts w:ascii="Arial" w:eastAsia="Arial Unicode MS" w:hAnsi="Arial" w:cs="Arial"/>
                <w:b/>
                <w:bCs/>
                <w:sz w:val="16"/>
                <w:szCs w:val="16"/>
              </w:rPr>
            </w:pPr>
            <w:r w:rsidRPr="00216E39">
              <w:rPr>
                <w:rFonts w:ascii="Arial" w:eastAsia="Arial Unicode MS" w:hAnsi="Arial" w:cs="Arial"/>
                <w:b/>
                <w:bCs/>
                <w:sz w:val="16"/>
                <w:szCs w:val="16"/>
              </w:rPr>
              <w:t>mld EURO</w:t>
            </w:r>
          </w:p>
        </w:tc>
      </w:tr>
      <w:tr w:rsidR="00BB313A" w:rsidRPr="00216E39" w:rsidTr="00A82CC8">
        <w:trPr>
          <w:gridAfter w:val="3"/>
          <w:wAfter w:w="2156" w:type="dxa"/>
          <w:trHeight w:val="769"/>
        </w:trPr>
        <w:tc>
          <w:tcPr>
            <w:tcW w:w="4383" w:type="dxa"/>
            <w:vMerge w:val="restart"/>
            <w:tcBorders>
              <w:top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Cadrul Financiar Multianual* 2021-2027</w:t>
            </w:r>
          </w:p>
        </w:tc>
        <w:tc>
          <w:tcPr>
            <w:tcW w:w="1559" w:type="dxa"/>
            <w:gridSpan w:val="2"/>
            <w:vMerge w:val="restart"/>
            <w:tcBorders>
              <w:top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 xml:space="preserve">Program </w:t>
            </w:r>
          </w:p>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2021-2027</w:t>
            </w:r>
          </w:p>
        </w:tc>
        <w:tc>
          <w:tcPr>
            <w:tcW w:w="1717" w:type="dxa"/>
            <w:gridSpan w:val="2"/>
            <w:tcBorders>
              <w:top w:val="single" w:sz="12" w:space="0" w:color="auto"/>
            </w:tcBorders>
            <w:shd w:val="clear" w:color="auto" w:fill="E2EFD9" w:themeFill="accent6" w:themeFillTint="33"/>
            <w:vAlign w:val="bottom"/>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 xml:space="preserve">2024 </w:t>
            </w:r>
          </w:p>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c>
          <w:tcPr>
            <w:tcW w:w="1559" w:type="dxa"/>
            <w:gridSpan w:val="2"/>
            <w:tcBorders>
              <w:top w:val="single" w:sz="12" w:space="0" w:color="auto"/>
            </w:tcBorders>
            <w:shd w:val="clear" w:color="auto" w:fill="E2EFD9" w:themeFill="accent6" w:themeFillTint="33"/>
            <w:vAlign w:val="center"/>
            <w:hideMark/>
          </w:tcPr>
          <w:p w:rsidR="00FA6C23" w:rsidRPr="00216E39" w:rsidRDefault="00FA6C23" w:rsidP="00FA6C23">
            <w:pPr>
              <w:spacing w:after="0"/>
              <w:ind w:hanging="105"/>
              <w:jc w:val="center"/>
              <w:rPr>
                <w:rFonts w:ascii="Tahoma" w:eastAsia="Arial Unicode MS" w:hAnsi="Tahoma" w:cs="Tahoma"/>
                <w:b/>
                <w:bCs/>
                <w:sz w:val="20"/>
                <w:szCs w:val="20"/>
              </w:rPr>
            </w:pPr>
          </w:p>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eastAsia="Arial Unicode MS" w:hAnsi="Tahoma" w:cs="Tahoma"/>
                <w:b/>
                <w:bCs/>
                <w:sz w:val="20"/>
                <w:szCs w:val="20"/>
              </w:rPr>
              <w:t xml:space="preserve">2021-2024 </w:t>
            </w:r>
          </w:p>
          <w:p w:rsidR="00FA6C23" w:rsidRPr="00216E39" w:rsidRDefault="00BB313A" w:rsidP="00FA6C23">
            <w:pPr>
              <w:spacing w:after="0"/>
              <w:ind w:hanging="105"/>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r>
      <w:tr w:rsidR="00BB313A" w:rsidRPr="00216E39" w:rsidTr="00A82CC8">
        <w:trPr>
          <w:gridAfter w:val="3"/>
          <w:wAfter w:w="2156" w:type="dxa"/>
          <w:trHeight w:val="37"/>
        </w:trPr>
        <w:tc>
          <w:tcPr>
            <w:tcW w:w="4383" w:type="dxa"/>
            <w:vMerge/>
            <w:tcBorders>
              <w:top w:val="nil"/>
              <w:bottom w:val="single" w:sz="12" w:space="0" w:color="auto"/>
            </w:tcBorders>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p>
        </w:tc>
        <w:tc>
          <w:tcPr>
            <w:tcW w:w="1559" w:type="dxa"/>
            <w:gridSpan w:val="2"/>
            <w:vMerge/>
            <w:tcBorders>
              <w:top w:val="nil"/>
              <w:bottom w:val="single" w:sz="12" w:space="0" w:color="auto"/>
            </w:tcBorders>
            <w:vAlign w:val="center"/>
            <w:hideMark/>
          </w:tcPr>
          <w:p w:rsidR="00BB313A" w:rsidRPr="00216E39" w:rsidRDefault="00BB313A" w:rsidP="00A82CC8">
            <w:pPr>
              <w:spacing w:after="0"/>
              <w:ind w:firstLine="0"/>
              <w:rPr>
                <w:rFonts w:ascii="Tahoma" w:eastAsia="Arial Unicode MS" w:hAnsi="Tahoma" w:cs="Tahoma"/>
                <w:b/>
                <w:bCs/>
                <w:sz w:val="20"/>
                <w:szCs w:val="20"/>
              </w:rPr>
            </w:pPr>
          </w:p>
        </w:tc>
        <w:tc>
          <w:tcPr>
            <w:tcW w:w="1717" w:type="dxa"/>
            <w:gridSpan w:val="2"/>
            <w:tcBorders>
              <w:top w:val="nil"/>
              <w:bottom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c>
          <w:tcPr>
            <w:tcW w:w="1559" w:type="dxa"/>
            <w:gridSpan w:val="2"/>
            <w:tcBorders>
              <w:top w:val="nil"/>
              <w:bottom w:val="single" w:sz="12" w:space="0" w:color="auto"/>
            </w:tcBorders>
            <w:shd w:val="clear" w:color="auto" w:fill="E2EFD9" w:themeFill="accent6" w:themeFillTint="33"/>
            <w:vAlign w:val="center"/>
            <w:hideMark/>
          </w:tcPr>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r>
      <w:tr w:rsidR="00BB313A" w:rsidRPr="00216E39" w:rsidTr="00A82CC8">
        <w:trPr>
          <w:gridAfter w:val="3"/>
          <w:wAfter w:w="2156" w:type="dxa"/>
          <w:trHeight w:val="253"/>
        </w:trPr>
        <w:tc>
          <w:tcPr>
            <w:tcW w:w="4383" w:type="dxa"/>
            <w:tcBorders>
              <w:top w:val="single" w:sz="12" w:space="0" w:color="auto"/>
            </w:tcBorders>
            <w:shd w:val="clear" w:color="auto" w:fill="C5E0B3" w:themeFill="accent6" w:themeFillTint="66"/>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SUME PRIMITE 2021 - 2027 DE LA BUGETUL UE</w:t>
            </w:r>
          </w:p>
        </w:tc>
        <w:tc>
          <w:tcPr>
            <w:tcW w:w="1559" w:type="dxa"/>
            <w:gridSpan w:val="2"/>
            <w:tcBorders>
              <w:top w:val="single" w:sz="12" w:space="0" w:color="auto"/>
            </w:tcBorders>
            <w:shd w:val="clear" w:color="auto" w:fill="C5E0B3" w:themeFill="accent6" w:themeFillTint="66"/>
            <w:noWrap/>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55.34</w:t>
            </w:r>
          </w:p>
        </w:tc>
        <w:tc>
          <w:tcPr>
            <w:tcW w:w="1717" w:type="dxa"/>
            <w:gridSpan w:val="2"/>
            <w:tcBorders>
              <w:top w:val="single" w:sz="12" w:space="0" w:color="auto"/>
            </w:tcBorders>
            <w:shd w:val="clear" w:color="auto" w:fill="C5E0B3" w:themeFill="accent6" w:themeFillTint="66"/>
            <w:noWrap/>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2.63</w:t>
            </w:r>
          </w:p>
        </w:tc>
        <w:tc>
          <w:tcPr>
            <w:tcW w:w="1559" w:type="dxa"/>
            <w:gridSpan w:val="2"/>
            <w:tcBorders>
              <w:top w:val="single" w:sz="12" w:space="0" w:color="auto"/>
            </w:tcBorders>
            <w:shd w:val="clear" w:color="auto" w:fill="C5E0B3" w:themeFill="accent6" w:themeFillTint="66"/>
            <w:noWrap/>
            <w:hideMark/>
          </w:tcPr>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hAnsi="Tahoma" w:cs="Tahoma"/>
                <w:b/>
                <w:sz w:val="20"/>
                <w:szCs w:val="20"/>
              </w:rPr>
              <w:t>4.16</w:t>
            </w:r>
          </w:p>
        </w:tc>
      </w:tr>
      <w:tr w:rsidR="00BB313A" w:rsidRPr="00216E39" w:rsidTr="00A82CC8">
        <w:trPr>
          <w:gridAfter w:val="3"/>
          <w:wAfter w:w="2156" w:type="dxa"/>
          <w:trHeight w:val="59"/>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i/>
                <w:iCs/>
                <w:sz w:val="20"/>
                <w:szCs w:val="20"/>
              </w:rPr>
            </w:pPr>
            <w:r w:rsidRPr="00216E39">
              <w:rPr>
                <w:rFonts w:ascii="Tahoma" w:eastAsia="Arial Unicode MS" w:hAnsi="Tahoma" w:cs="Tahoma"/>
                <w:b/>
                <w:bCs/>
                <w:i/>
                <w:iCs/>
                <w:sz w:val="20"/>
                <w:szCs w:val="20"/>
              </w:rPr>
              <w:t xml:space="preserve">i) </w:t>
            </w:r>
            <w:r w:rsidRPr="00216E39">
              <w:rPr>
                <w:rFonts w:ascii="Tahoma" w:eastAsia="Arial Unicode MS" w:hAnsi="Tahoma" w:cs="Tahoma"/>
                <w:sz w:val="20"/>
                <w:szCs w:val="20"/>
              </w:rPr>
              <w:t xml:space="preserve">Avansuri </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2.55</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0.87</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color w:val="000000"/>
                <w:sz w:val="20"/>
                <w:szCs w:val="20"/>
              </w:rPr>
            </w:pPr>
            <w:r w:rsidRPr="00216E39">
              <w:rPr>
                <w:rFonts w:ascii="Tahoma" w:hAnsi="Tahoma" w:cs="Tahoma"/>
                <w:sz w:val="20"/>
                <w:szCs w:val="20"/>
              </w:rPr>
              <w:t>2.20</w:t>
            </w:r>
          </w:p>
        </w:tc>
      </w:tr>
      <w:tr w:rsidR="00BB313A" w:rsidRPr="00216E39" w:rsidTr="00A82CC8">
        <w:trPr>
          <w:gridAfter w:val="3"/>
          <w:wAfter w:w="2156" w:type="dxa"/>
          <w:trHeight w:val="173"/>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i/>
                <w:iCs/>
                <w:sz w:val="20"/>
                <w:szCs w:val="20"/>
              </w:rPr>
            </w:pPr>
            <w:r w:rsidRPr="00216E39">
              <w:rPr>
                <w:rFonts w:ascii="Tahoma" w:eastAsia="Arial Unicode MS" w:hAnsi="Tahoma" w:cs="Tahoma"/>
                <w:b/>
                <w:bCs/>
                <w:i/>
                <w:iCs/>
                <w:sz w:val="20"/>
                <w:szCs w:val="20"/>
              </w:rPr>
              <w:t>ii)</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Rambursari (inclusiv FEGA)</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52.79</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1.76</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color w:val="000000"/>
                <w:sz w:val="20"/>
                <w:szCs w:val="20"/>
              </w:rPr>
            </w:pPr>
            <w:r w:rsidRPr="00216E39">
              <w:rPr>
                <w:rFonts w:ascii="Tahoma" w:hAnsi="Tahoma" w:cs="Tahoma"/>
                <w:sz w:val="20"/>
                <w:szCs w:val="20"/>
              </w:rPr>
              <w:t>1.97</w:t>
            </w:r>
          </w:p>
        </w:tc>
      </w:tr>
      <w:tr w:rsidR="00BB313A" w:rsidRPr="00216E39" w:rsidTr="00A82CC8">
        <w:trPr>
          <w:gridAfter w:val="3"/>
          <w:wAfter w:w="2156" w:type="dxa"/>
          <w:trHeight w:val="345"/>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A. Fonduri structurale si de coeziune (FSC)</w:t>
            </w:r>
            <w:r w:rsidRPr="00216E39">
              <w:rPr>
                <w:rFonts w:ascii="Tahoma" w:eastAsia="Arial Unicode MS" w:hAnsi="Tahoma" w:cs="Tahoma"/>
                <w:sz w:val="20"/>
                <w:szCs w:val="20"/>
              </w:rPr>
              <w:t>, din care:</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30.92</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0.64</w:t>
            </w:r>
          </w:p>
        </w:tc>
        <w:tc>
          <w:tcPr>
            <w:tcW w:w="1559" w:type="dxa"/>
            <w:gridSpan w:val="2"/>
            <w:tcBorders>
              <w:top w:val="nil"/>
            </w:tcBorders>
            <w:shd w:val="clear" w:color="auto" w:fill="FFF2CC" w:themeFill="accent4" w:themeFillTint="33"/>
            <w:noWrap/>
            <w:hideMark/>
          </w:tcPr>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hAnsi="Tahoma" w:cs="Tahoma"/>
                <w:b/>
                <w:sz w:val="20"/>
                <w:szCs w:val="20"/>
              </w:rPr>
              <w:t>1.41</w:t>
            </w:r>
          </w:p>
        </w:tc>
      </w:tr>
      <w:tr w:rsidR="00BB313A" w:rsidRPr="00216E39" w:rsidTr="00A82CC8">
        <w:trPr>
          <w:gridAfter w:val="3"/>
          <w:wAfter w:w="2156" w:type="dxa"/>
          <w:trHeight w:val="197"/>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a)</w:t>
            </w:r>
            <w:r w:rsidRPr="00216E39">
              <w:rPr>
                <w:rFonts w:ascii="Tahoma" w:eastAsia="Arial Unicode MS" w:hAnsi="Tahoma" w:cs="Tahoma"/>
                <w:sz w:val="20"/>
                <w:szCs w:val="20"/>
              </w:rPr>
              <w:t xml:space="preserve"> Avansuri din FSC</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1.41</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0.64</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color w:val="000000"/>
                <w:sz w:val="20"/>
                <w:szCs w:val="20"/>
              </w:rPr>
            </w:pPr>
            <w:r w:rsidRPr="00216E39">
              <w:rPr>
                <w:rFonts w:ascii="Tahoma" w:hAnsi="Tahoma" w:cs="Tahoma"/>
                <w:sz w:val="20"/>
                <w:szCs w:val="20"/>
              </w:rPr>
              <w:t>1.41</w:t>
            </w:r>
          </w:p>
        </w:tc>
      </w:tr>
      <w:tr w:rsidR="00BB313A" w:rsidRPr="00216E39" w:rsidTr="00A82CC8">
        <w:trPr>
          <w:gridAfter w:val="3"/>
          <w:wAfter w:w="2156" w:type="dxa"/>
          <w:trHeight w:val="159"/>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b)</w:t>
            </w:r>
            <w:r w:rsidRPr="00216E39">
              <w:rPr>
                <w:rFonts w:ascii="Tahoma" w:eastAsia="Arial Unicode MS" w:hAnsi="Tahoma" w:cs="Tahoma"/>
                <w:sz w:val="20"/>
                <w:szCs w:val="20"/>
              </w:rPr>
              <w:t xml:space="preserve"> Rambursari din FSC</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29.50</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0.00</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color w:val="000000"/>
                <w:sz w:val="20"/>
                <w:szCs w:val="20"/>
              </w:rPr>
            </w:pPr>
            <w:r w:rsidRPr="00216E39">
              <w:rPr>
                <w:rFonts w:ascii="Tahoma" w:hAnsi="Tahoma" w:cs="Tahoma"/>
                <w:sz w:val="20"/>
                <w:szCs w:val="20"/>
              </w:rPr>
              <w:t>0.00</w:t>
            </w:r>
          </w:p>
        </w:tc>
      </w:tr>
      <w:tr w:rsidR="00BB313A" w:rsidRPr="00216E39" w:rsidTr="00A82CC8">
        <w:trPr>
          <w:gridAfter w:val="3"/>
          <w:wAfter w:w="2156" w:type="dxa"/>
          <w:trHeight w:val="262"/>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right="-112" w:firstLine="0"/>
              <w:rPr>
                <w:rFonts w:ascii="Tahoma" w:eastAsia="Arial Unicode MS" w:hAnsi="Tahoma" w:cs="Tahoma"/>
                <w:b/>
                <w:bCs/>
                <w:sz w:val="20"/>
                <w:szCs w:val="20"/>
              </w:rPr>
            </w:pPr>
            <w:r w:rsidRPr="00216E39">
              <w:rPr>
                <w:rFonts w:ascii="Tahoma" w:eastAsia="Arial Unicode MS" w:hAnsi="Tahoma" w:cs="Tahoma"/>
                <w:b/>
                <w:bCs/>
                <w:sz w:val="20"/>
                <w:szCs w:val="20"/>
              </w:rPr>
              <w:t>B. Fonduri pentru dezvoltare rurala si pescuit (FEADR+FEAMPA)</w:t>
            </w:r>
            <w:r w:rsidRPr="00216E39">
              <w:rPr>
                <w:rFonts w:ascii="Tahoma" w:eastAsia="Arial Unicode MS" w:hAnsi="Tahoma" w:cs="Tahoma"/>
                <w:sz w:val="20"/>
                <w:szCs w:val="20"/>
              </w:rPr>
              <w:t>,</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din care:</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hAnsi="Tahoma" w:cs="Tahoma"/>
                <w:b/>
                <w:sz w:val="20"/>
                <w:szCs w:val="20"/>
              </w:rPr>
            </w:pPr>
          </w:p>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5.20</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hAnsi="Tahoma" w:cs="Tahoma"/>
                <w:b/>
                <w:sz w:val="20"/>
                <w:szCs w:val="20"/>
              </w:rPr>
            </w:pPr>
          </w:p>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0.05</w:t>
            </w:r>
          </w:p>
        </w:tc>
        <w:tc>
          <w:tcPr>
            <w:tcW w:w="1559" w:type="dxa"/>
            <w:gridSpan w:val="2"/>
            <w:tcBorders>
              <w:top w:val="nil"/>
            </w:tcBorders>
            <w:shd w:val="clear" w:color="auto" w:fill="FFF2CC" w:themeFill="accent4" w:themeFillTint="33"/>
            <w:noWrap/>
            <w:hideMark/>
          </w:tcPr>
          <w:p w:rsidR="00BB313A" w:rsidRPr="00216E39" w:rsidRDefault="00BB313A" w:rsidP="00FA6C23">
            <w:pPr>
              <w:spacing w:after="0"/>
              <w:ind w:hanging="105"/>
              <w:jc w:val="center"/>
              <w:rPr>
                <w:rFonts w:ascii="Tahoma" w:hAnsi="Tahoma" w:cs="Tahoma"/>
                <w:b/>
                <w:sz w:val="20"/>
                <w:szCs w:val="20"/>
              </w:rPr>
            </w:pPr>
          </w:p>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hAnsi="Tahoma" w:cs="Tahoma"/>
                <w:b/>
                <w:sz w:val="20"/>
                <w:szCs w:val="20"/>
              </w:rPr>
              <w:t>0.10</w:t>
            </w:r>
          </w:p>
        </w:tc>
      </w:tr>
      <w:tr w:rsidR="00BB313A" w:rsidRPr="00216E39" w:rsidTr="00A82CC8">
        <w:trPr>
          <w:gridAfter w:val="3"/>
          <w:wAfter w:w="2156" w:type="dxa"/>
          <w:trHeight w:val="211"/>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a)</w:t>
            </w:r>
            <w:r w:rsidRPr="00216E39">
              <w:rPr>
                <w:rFonts w:ascii="Tahoma" w:eastAsia="Arial Unicode MS" w:hAnsi="Tahoma" w:cs="Tahoma"/>
                <w:sz w:val="20"/>
                <w:szCs w:val="20"/>
              </w:rPr>
              <w:t xml:space="preserve"> Avansuri (FEADR+FEAMPA)</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0.31</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0.05</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sz w:val="20"/>
                <w:szCs w:val="20"/>
              </w:rPr>
            </w:pPr>
            <w:r w:rsidRPr="00216E39">
              <w:rPr>
                <w:rFonts w:ascii="Tahoma" w:hAnsi="Tahoma" w:cs="Tahoma"/>
                <w:sz w:val="20"/>
                <w:szCs w:val="20"/>
              </w:rPr>
              <w:t>0.10</w:t>
            </w:r>
          </w:p>
        </w:tc>
      </w:tr>
      <w:tr w:rsidR="00BB313A" w:rsidRPr="00216E39" w:rsidTr="00A82CC8">
        <w:trPr>
          <w:gridAfter w:val="3"/>
          <w:wAfter w:w="2156" w:type="dxa"/>
          <w:trHeight w:val="187"/>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sz w:val="20"/>
                <w:szCs w:val="20"/>
              </w:rPr>
            </w:pPr>
            <w:r w:rsidRPr="00216E39">
              <w:rPr>
                <w:rFonts w:ascii="Tahoma" w:eastAsia="Arial Unicode MS" w:hAnsi="Tahoma" w:cs="Tahoma"/>
                <w:b/>
                <w:bCs/>
                <w:sz w:val="20"/>
                <w:szCs w:val="20"/>
              </w:rPr>
              <w:t>b)</w:t>
            </w:r>
            <w:r w:rsidRPr="00216E39">
              <w:rPr>
                <w:rFonts w:ascii="Tahoma" w:eastAsia="Arial Unicode MS" w:hAnsi="Tahoma" w:cs="Tahoma"/>
                <w:sz w:val="20"/>
                <w:szCs w:val="20"/>
              </w:rPr>
              <w:t xml:space="preserve"> Rambursari  (FEADR+FEAMPA)</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4.88</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0.00</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sz w:val="20"/>
                <w:szCs w:val="20"/>
              </w:rPr>
            </w:pPr>
            <w:r w:rsidRPr="00216E39">
              <w:rPr>
                <w:rFonts w:ascii="Tahoma" w:hAnsi="Tahoma" w:cs="Tahoma"/>
                <w:sz w:val="20"/>
                <w:szCs w:val="20"/>
              </w:rPr>
              <w:t>0.00</w:t>
            </w:r>
          </w:p>
        </w:tc>
      </w:tr>
      <w:tr w:rsidR="00BB313A" w:rsidRPr="00216E39" w:rsidTr="00A82CC8">
        <w:trPr>
          <w:gridAfter w:val="3"/>
          <w:wAfter w:w="2156" w:type="dxa"/>
          <w:trHeight w:val="135"/>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C. Fondul European pentru Garantare Agricola (FEGA)</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13.99</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1.74</w:t>
            </w:r>
          </w:p>
        </w:tc>
        <w:tc>
          <w:tcPr>
            <w:tcW w:w="1559" w:type="dxa"/>
            <w:gridSpan w:val="2"/>
            <w:tcBorders>
              <w:top w:val="nil"/>
            </w:tcBorders>
            <w:shd w:val="clear" w:color="auto" w:fill="FFF2CC" w:themeFill="accent4" w:themeFillTint="33"/>
            <w:noWrap/>
            <w:hideMark/>
          </w:tcPr>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hAnsi="Tahoma" w:cs="Tahoma"/>
                <w:b/>
                <w:sz w:val="20"/>
                <w:szCs w:val="20"/>
              </w:rPr>
              <w:t>1.74</w:t>
            </w:r>
          </w:p>
        </w:tc>
      </w:tr>
      <w:tr w:rsidR="00BB313A" w:rsidRPr="00216E39" w:rsidTr="00A82CC8">
        <w:trPr>
          <w:gridAfter w:val="3"/>
          <w:wAfter w:w="2156" w:type="dxa"/>
          <w:trHeight w:val="239"/>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D. Altele (post-aderare)</w:t>
            </w:r>
            <w:r w:rsidRPr="00216E39">
              <w:rPr>
                <w:rFonts w:ascii="Tahoma" w:eastAsia="Arial Unicode MS" w:hAnsi="Tahoma" w:cs="Tahoma"/>
                <w:sz w:val="20"/>
                <w:szCs w:val="20"/>
              </w:rPr>
              <w:t>,</w:t>
            </w:r>
            <w:r w:rsidRPr="00216E39">
              <w:rPr>
                <w:rFonts w:ascii="Tahoma" w:eastAsia="Arial Unicode MS" w:hAnsi="Tahoma" w:cs="Tahoma"/>
                <w:b/>
                <w:bCs/>
                <w:sz w:val="20"/>
                <w:szCs w:val="20"/>
              </w:rPr>
              <w:t xml:space="preserve"> </w:t>
            </w:r>
            <w:r w:rsidRPr="00216E39">
              <w:rPr>
                <w:rFonts w:ascii="Tahoma" w:eastAsia="Arial Unicode MS" w:hAnsi="Tahoma" w:cs="Tahoma"/>
                <w:sz w:val="20"/>
                <w:szCs w:val="20"/>
              </w:rPr>
              <w:t>din care:</w:t>
            </w:r>
            <w:r w:rsidRPr="00216E39">
              <w:rPr>
                <w:rFonts w:ascii="Tahoma" w:eastAsia="Arial Unicode MS" w:hAnsi="Tahoma" w:cs="Tahoma"/>
                <w:b/>
                <w:bCs/>
                <w:sz w:val="20"/>
                <w:szCs w:val="20"/>
              </w:rPr>
              <w:t xml:space="preserve"> </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5.24</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firstLine="0"/>
              <w:jc w:val="center"/>
              <w:rPr>
                <w:rFonts w:ascii="Tahoma" w:eastAsia="Arial Unicode MS" w:hAnsi="Tahoma" w:cs="Tahoma"/>
                <w:b/>
                <w:bCs/>
                <w:color w:val="000000"/>
                <w:sz w:val="20"/>
                <w:szCs w:val="20"/>
              </w:rPr>
            </w:pPr>
            <w:r w:rsidRPr="00216E39">
              <w:rPr>
                <w:rFonts w:ascii="Tahoma" w:hAnsi="Tahoma" w:cs="Tahoma"/>
                <w:b/>
                <w:sz w:val="20"/>
                <w:szCs w:val="20"/>
              </w:rPr>
              <w:t>0.19</w:t>
            </w:r>
          </w:p>
        </w:tc>
        <w:tc>
          <w:tcPr>
            <w:tcW w:w="1559" w:type="dxa"/>
            <w:gridSpan w:val="2"/>
            <w:tcBorders>
              <w:top w:val="nil"/>
            </w:tcBorders>
            <w:shd w:val="clear" w:color="auto" w:fill="FFF2CC" w:themeFill="accent4" w:themeFillTint="33"/>
            <w:noWrap/>
            <w:hideMark/>
          </w:tcPr>
          <w:p w:rsidR="00BB313A" w:rsidRPr="00216E39" w:rsidRDefault="00BB313A" w:rsidP="00FA6C23">
            <w:pPr>
              <w:spacing w:after="0"/>
              <w:ind w:hanging="105"/>
              <w:jc w:val="center"/>
              <w:rPr>
                <w:rFonts w:ascii="Tahoma" w:eastAsia="Arial Unicode MS" w:hAnsi="Tahoma" w:cs="Tahoma"/>
                <w:b/>
                <w:bCs/>
                <w:sz w:val="20"/>
                <w:szCs w:val="20"/>
              </w:rPr>
            </w:pPr>
            <w:r w:rsidRPr="00216E39">
              <w:rPr>
                <w:rFonts w:ascii="Tahoma" w:hAnsi="Tahoma" w:cs="Tahoma"/>
                <w:b/>
                <w:sz w:val="20"/>
                <w:szCs w:val="20"/>
              </w:rPr>
              <w:t>0.90</w:t>
            </w:r>
          </w:p>
        </w:tc>
      </w:tr>
      <w:tr w:rsidR="00BB313A" w:rsidRPr="00216E39" w:rsidTr="00A82CC8">
        <w:trPr>
          <w:gridAfter w:val="3"/>
          <w:wAfter w:w="2156" w:type="dxa"/>
          <w:trHeight w:val="59"/>
        </w:trPr>
        <w:tc>
          <w:tcPr>
            <w:tcW w:w="4383" w:type="dxa"/>
            <w:tcBorders>
              <w:top w:val="nil"/>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i/>
                <w:iCs/>
                <w:sz w:val="20"/>
                <w:szCs w:val="20"/>
              </w:rPr>
            </w:pPr>
            <w:r w:rsidRPr="00216E39">
              <w:rPr>
                <w:rFonts w:ascii="Tahoma" w:eastAsia="Arial Unicode MS" w:hAnsi="Tahoma" w:cs="Tahoma"/>
                <w:b/>
                <w:bCs/>
                <w:sz w:val="20"/>
                <w:szCs w:val="20"/>
              </w:rPr>
              <w:t>a)</w:t>
            </w:r>
            <w:r w:rsidRPr="00216E39">
              <w:rPr>
                <w:rFonts w:ascii="Tahoma" w:eastAsia="Arial Unicode MS" w:hAnsi="Tahoma" w:cs="Tahoma"/>
                <w:b/>
                <w:bCs/>
                <w:i/>
                <w:iCs/>
                <w:sz w:val="20"/>
                <w:szCs w:val="20"/>
              </w:rPr>
              <w:t xml:space="preserve"> </w:t>
            </w:r>
            <w:r w:rsidRPr="00216E39">
              <w:rPr>
                <w:rFonts w:ascii="Tahoma" w:eastAsia="Arial Unicode MS" w:hAnsi="Tahoma" w:cs="Tahoma"/>
                <w:sz w:val="20"/>
                <w:szCs w:val="20"/>
              </w:rPr>
              <w:t xml:space="preserve">Avansuri </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0.83</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0.17</w:t>
            </w:r>
          </w:p>
        </w:tc>
        <w:tc>
          <w:tcPr>
            <w:tcW w:w="1559" w:type="dxa"/>
            <w:gridSpan w:val="2"/>
            <w:tcBorders>
              <w:top w:val="nil"/>
            </w:tcBorders>
            <w:shd w:val="clear" w:color="auto" w:fill="auto"/>
            <w:noWrap/>
            <w:hideMark/>
          </w:tcPr>
          <w:p w:rsidR="00BB313A" w:rsidRPr="00216E39" w:rsidRDefault="00BB313A" w:rsidP="00FA6C23">
            <w:pPr>
              <w:spacing w:after="0"/>
              <w:ind w:hanging="105"/>
              <w:jc w:val="center"/>
              <w:rPr>
                <w:rFonts w:ascii="Tahoma" w:eastAsia="Arial Unicode MS" w:hAnsi="Tahoma" w:cs="Tahoma"/>
                <w:sz w:val="20"/>
                <w:szCs w:val="20"/>
              </w:rPr>
            </w:pPr>
            <w:r w:rsidRPr="00216E39">
              <w:rPr>
                <w:rFonts w:ascii="Tahoma" w:hAnsi="Tahoma" w:cs="Tahoma"/>
                <w:sz w:val="20"/>
                <w:szCs w:val="20"/>
              </w:rPr>
              <w:t>0.71</w:t>
            </w:r>
          </w:p>
        </w:tc>
      </w:tr>
      <w:tr w:rsidR="00BB313A" w:rsidRPr="00216E39" w:rsidTr="00A82CC8">
        <w:trPr>
          <w:gridAfter w:val="3"/>
          <w:wAfter w:w="2156" w:type="dxa"/>
          <w:trHeight w:val="163"/>
        </w:trPr>
        <w:tc>
          <w:tcPr>
            <w:tcW w:w="4383" w:type="dxa"/>
            <w:tcBorders>
              <w:top w:val="nil"/>
              <w:bottom w:val="double" w:sz="4" w:space="0" w:color="auto"/>
            </w:tcBorders>
            <w:shd w:val="clear" w:color="auto" w:fill="auto"/>
            <w:vAlign w:val="center"/>
            <w:hideMark/>
          </w:tcPr>
          <w:p w:rsidR="00BB313A" w:rsidRPr="00216E39" w:rsidRDefault="00BB313A" w:rsidP="00A82CC8">
            <w:pPr>
              <w:spacing w:after="0"/>
              <w:ind w:firstLineChars="300" w:firstLine="600"/>
              <w:rPr>
                <w:rFonts w:ascii="Tahoma" w:eastAsia="Arial Unicode MS" w:hAnsi="Tahoma" w:cs="Tahoma"/>
                <w:b/>
                <w:bCs/>
                <w:i/>
                <w:iCs/>
                <w:sz w:val="20"/>
                <w:szCs w:val="20"/>
              </w:rPr>
            </w:pPr>
            <w:r w:rsidRPr="00216E39">
              <w:rPr>
                <w:rFonts w:ascii="Tahoma" w:eastAsia="Arial Unicode MS" w:hAnsi="Tahoma" w:cs="Tahoma"/>
                <w:b/>
                <w:bCs/>
                <w:sz w:val="20"/>
                <w:szCs w:val="20"/>
              </w:rPr>
              <w:t xml:space="preserve">b) </w:t>
            </w:r>
            <w:r w:rsidRPr="00216E39">
              <w:rPr>
                <w:rFonts w:ascii="Tahoma" w:eastAsia="Arial Unicode MS" w:hAnsi="Tahoma" w:cs="Tahoma"/>
                <w:sz w:val="20"/>
                <w:szCs w:val="20"/>
              </w:rPr>
              <w:t>Rambursari</w:t>
            </w:r>
          </w:p>
        </w:tc>
        <w:tc>
          <w:tcPr>
            <w:tcW w:w="1559" w:type="dxa"/>
            <w:gridSpan w:val="2"/>
            <w:tcBorders>
              <w:top w:val="nil"/>
              <w:bottom w:val="double" w:sz="4" w:space="0" w:color="auto"/>
            </w:tcBorders>
            <w:shd w:val="clear" w:color="auto" w:fill="auto"/>
            <w:noWrap/>
            <w:hideMark/>
          </w:tcPr>
          <w:p w:rsidR="00BB313A" w:rsidRPr="00216E39" w:rsidRDefault="00BB313A" w:rsidP="00A82CC8">
            <w:pPr>
              <w:spacing w:after="0"/>
              <w:ind w:firstLine="0"/>
              <w:jc w:val="center"/>
              <w:rPr>
                <w:rFonts w:ascii="Tahoma" w:eastAsia="Arial Unicode MS" w:hAnsi="Tahoma" w:cs="Tahoma"/>
                <w:color w:val="000000"/>
                <w:sz w:val="20"/>
                <w:szCs w:val="20"/>
              </w:rPr>
            </w:pPr>
            <w:r w:rsidRPr="00216E39">
              <w:rPr>
                <w:rFonts w:ascii="Tahoma" w:hAnsi="Tahoma" w:cs="Tahoma"/>
                <w:sz w:val="20"/>
                <w:szCs w:val="20"/>
              </w:rPr>
              <w:t>4.41</w:t>
            </w:r>
          </w:p>
        </w:tc>
        <w:tc>
          <w:tcPr>
            <w:tcW w:w="1717" w:type="dxa"/>
            <w:gridSpan w:val="2"/>
            <w:tcBorders>
              <w:top w:val="nil"/>
              <w:bottom w:val="double" w:sz="4" w:space="0" w:color="auto"/>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0.02</w:t>
            </w:r>
          </w:p>
        </w:tc>
        <w:tc>
          <w:tcPr>
            <w:tcW w:w="1559" w:type="dxa"/>
            <w:gridSpan w:val="2"/>
            <w:tcBorders>
              <w:top w:val="nil"/>
              <w:bottom w:val="double" w:sz="4" w:space="0" w:color="auto"/>
            </w:tcBorders>
            <w:shd w:val="clear" w:color="auto" w:fill="auto"/>
            <w:noWrap/>
            <w:hideMark/>
          </w:tcPr>
          <w:p w:rsidR="00BB313A" w:rsidRPr="00216E39" w:rsidRDefault="00BB313A" w:rsidP="00FA6C23">
            <w:pPr>
              <w:spacing w:after="0"/>
              <w:ind w:hanging="105"/>
              <w:jc w:val="center"/>
              <w:rPr>
                <w:rFonts w:ascii="Tahoma" w:eastAsia="Arial Unicode MS" w:hAnsi="Tahoma" w:cs="Tahoma"/>
                <w:sz w:val="20"/>
                <w:szCs w:val="20"/>
              </w:rPr>
            </w:pPr>
            <w:r w:rsidRPr="00216E39">
              <w:rPr>
                <w:rFonts w:ascii="Tahoma" w:hAnsi="Tahoma" w:cs="Tahoma"/>
                <w:sz w:val="20"/>
                <w:szCs w:val="20"/>
              </w:rPr>
              <w:t>0.19</w:t>
            </w:r>
          </w:p>
        </w:tc>
      </w:tr>
      <w:tr w:rsidR="00BB313A" w:rsidRPr="00216E39" w:rsidTr="00A82CC8">
        <w:trPr>
          <w:gridAfter w:val="3"/>
          <w:wAfter w:w="2156" w:type="dxa"/>
          <w:trHeight w:val="580"/>
        </w:trPr>
        <w:tc>
          <w:tcPr>
            <w:tcW w:w="4383" w:type="dxa"/>
            <w:tcBorders>
              <w:top w:val="double" w:sz="4" w:space="0" w:color="auto"/>
              <w:left w:val="nil"/>
              <w:bottom w:val="single" w:sz="12" w:space="0" w:color="auto"/>
              <w:right w:val="nil"/>
            </w:tcBorders>
            <w:shd w:val="clear" w:color="auto" w:fill="auto"/>
            <w:vAlign w:val="bottom"/>
            <w:hideMark/>
          </w:tcPr>
          <w:p w:rsidR="00BB313A" w:rsidRPr="00216E39" w:rsidRDefault="00BB313A" w:rsidP="00A82CC8">
            <w:pPr>
              <w:spacing w:after="0"/>
              <w:ind w:firstLine="0"/>
              <w:rPr>
                <w:rFonts w:ascii="Arial" w:eastAsia="Times New Roman" w:hAnsi="Arial" w:cs="Arial"/>
                <w:sz w:val="16"/>
                <w:szCs w:val="16"/>
              </w:rPr>
            </w:pPr>
          </w:p>
        </w:tc>
        <w:tc>
          <w:tcPr>
            <w:tcW w:w="1559" w:type="dxa"/>
            <w:gridSpan w:val="2"/>
            <w:tcBorders>
              <w:top w:val="double" w:sz="4" w:space="0" w:color="auto"/>
              <w:left w:val="nil"/>
              <w:bottom w:val="single" w:sz="12" w:space="0" w:color="auto"/>
              <w:right w:val="nil"/>
            </w:tcBorders>
            <w:shd w:val="clear" w:color="auto" w:fill="auto"/>
            <w:vAlign w:val="bottom"/>
            <w:hideMark/>
          </w:tcPr>
          <w:p w:rsidR="00BB313A" w:rsidRPr="00216E39" w:rsidRDefault="00BB313A" w:rsidP="00A82CC8">
            <w:pPr>
              <w:spacing w:after="0"/>
              <w:ind w:firstLine="0"/>
              <w:rPr>
                <w:rFonts w:ascii="Arial" w:eastAsia="Times New Roman" w:hAnsi="Arial" w:cs="Arial"/>
                <w:sz w:val="16"/>
                <w:szCs w:val="16"/>
              </w:rPr>
            </w:pPr>
          </w:p>
        </w:tc>
        <w:tc>
          <w:tcPr>
            <w:tcW w:w="1717" w:type="dxa"/>
            <w:gridSpan w:val="2"/>
            <w:tcBorders>
              <w:top w:val="double" w:sz="4" w:space="0" w:color="auto"/>
              <w:left w:val="nil"/>
              <w:bottom w:val="single" w:sz="12" w:space="0" w:color="auto"/>
              <w:right w:val="nil"/>
            </w:tcBorders>
            <w:shd w:val="clear" w:color="auto" w:fill="auto"/>
            <w:vAlign w:val="bottom"/>
            <w:hideMark/>
          </w:tcPr>
          <w:p w:rsidR="00BB313A" w:rsidRPr="00216E39" w:rsidRDefault="00BB313A" w:rsidP="00A82CC8">
            <w:pPr>
              <w:spacing w:after="0"/>
              <w:ind w:firstLine="0"/>
              <w:jc w:val="center"/>
              <w:rPr>
                <w:rFonts w:ascii="Arial" w:eastAsia="Times New Roman" w:hAnsi="Arial" w:cs="Arial"/>
                <w:sz w:val="16"/>
                <w:szCs w:val="16"/>
              </w:rPr>
            </w:pPr>
          </w:p>
        </w:tc>
        <w:tc>
          <w:tcPr>
            <w:tcW w:w="1559" w:type="dxa"/>
            <w:gridSpan w:val="2"/>
            <w:tcBorders>
              <w:top w:val="double" w:sz="4" w:space="0" w:color="auto"/>
              <w:left w:val="nil"/>
              <w:bottom w:val="single" w:sz="12" w:space="0" w:color="auto"/>
              <w:right w:val="nil"/>
            </w:tcBorders>
            <w:shd w:val="clear" w:color="auto" w:fill="auto"/>
            <w:noWrap/>
            <w:vAlign w:val="bottom"/>
            <w:hideMark/>
          </w:tcPr>
          <w:p w:rsidR="00BB313A" w:rsidRPr="00216E39" w:rsidRDefault="00BB313A" w:rsidP="00BB313A">
            <w:pPr>
              <w:spacing w:after="0"/>
              <w:jc w:val="center"/>
              <w:rPr>
                <w:rFonts w:ascii="Tahoma" w:eastAsia="Arial Unicode MS" w:hAnsi="Tahoma" w:cs="Tahoma"/>
                <w:b/>
                <w:bCs/>
                <w:sz w:val="16"/>
                <w:szCs w:val="16"/>
              </w:rPr>
            </w:pPr>
            <w:r w:rsidRPr="00216E39">
              <w:rPr>
                <w:rFonts w:ascii="Tahoma" w:eastAsia="Arial Unicode MS" w:hAnsi="Tahoma" w:cs="Tahoma"/>
                <w:b/>
                <w:bCs/>
                <w:sz w:val="16"/>
                <w:szCs w:val="16"/>
              </w:rPr>
              <w:t>mld EURO</w:t>
            </w:r>
          </w:p>
        </w:tc>
      </w:tr>
      <w:tr w:rsidR="00BB313A" w:rsidRPr="00216E39" w:rsidTr="00A82CC8">
        <w:trPr>
          <w:gridAfter w:val="3"/>
          <w:wAfter w:w="2156" w:type="dxa"/>
          <w:trHeight w:val="735"/>
        </w:trPr>
        <w:tc>
          <w:tcPr>
            <w:tcW w:w="4383" w:type="dxa"/>
            <w:vMerge w:val="restart"/>
            <w:tcBorders>
              <w:top w:val="single" w:sz="12" w:space="0" w:color="auto"/>
            </w:tcBorders>
            <w:shd w:val="clear" w:color="auto" w:fill="E2EFD9" w:themeFill="accent6" w:themeFillTint="33"/>
            <w:vAlign w:val="center"/>
            <w:hideMark/>
          </w:tcPr>
          <w:p w:rsidR="00BB313A" w:rsidRPr="00216E39" w:rsidRDefault="00BB313A" w:rsidP="00A82CC8">
            <w:pPr>
              <w:spacing w:after="0"/>
              <w:ind w:left="357" w:firstLine="0"/>
              <w:jc w:val="center"/>
              <w:rPr>
                <w:rFonts w:ascii="Tahoma" w:eastAsia="Arial Unicode MS" w:hAnsi="Tahoma" w:cs="Tahoma"/>
                <w:b/>
                <w:bCs/>
                <w:sz w:val="20"/>
                <w:szCs w:val="20"/>
              </w:rPr>
            </w:pPr>
            <w:r w:rsidRPr="00216E39">
              <w:rPr>
                <w:rFonts w:ascii="Tahoma" w:eastAsia="Arial Unicode MS" w:hAnsi="Tahoma" w:cs="Tahoma"/>
                <w:b/>
                <w:bCs/>
                <w:sz w:val="20"/>
                <w:szCs w:val="20"/>
              </w:rPr>
              <w:t>NextGenerationEU* - 2021-2023</w:t>
            </w:r>
          </w:p>
        </w:tc>
        <w:tc>
          <w:tcPr>
            <w:tcW w:w="1559" w:type="dxa"/>
            <w:gridSpan w:val="2"/>
            <w:vMerge w:val="restart"/>
            <w:tcBorders>
              <w:top w:val="single" w:sz="12" w:space="0" w:color="auto"/>
            </w:tcBorders>
            <w:shd w:val="clear" w:color="auto" w:fill="E2EFD9" w:themeFill="accent6" w:themeFillTint="33"/>
            <w:vAlign w:val="center"/>
            <w:hideMark/>
          </w:tcPr>
          <w:p w:rsidR="00FA6C23" w:rsidRPr="00216E39" w:rsidRDefault="00BB313A" w:rsidP="00A82CC8">
            <w:pPr>
              <w:spacing w:after="0"/>
              <w:ind w:left="357" w:firstLine="0"/>
              <w:jc w:val="center"/>
              <w:rPr>
                <w:rFonts w:ascii="Tahoma" w:eastAsia="Arial Unicode MS" w:hAnsi="Tahoma" w:cs="Tahoma"/>
                <w:b/>
                <w:bCs/>
                <w:sz w:val="20"/>
                <w:szCs w:val="20"/>
              </w:rPr>
            </w:pPr>
            <w:r w:rsidRPr="00216E39">
              <w:rPr>
                <w:rFonts w:ascii="Tahoma" w:eastAsia="Arial Unicode MS" w:hAnsi="Tahoma" w:cs="Tahoma"/>
                <w:b/>
                <w:bCs/>
                <w:sz w:val="20"/>
                <w:szCs w:val="20"/>
              </w:rPr>
              <w:t>Program</w:t>
            </w:r>
          </w:p>
          <w:p w:rsidR="00BB313A" w:rsidRPr="00216E39" w:rsidRDefault="00BB313A" w:rsidP="00A82CC8">
            <w:pPr>
              <w:spacing w:after="0"/>
              <w:ind w:left="357" w:firstLine="0"/>
              <w:jc w:val="center"/>
              <w:rPr>
                <w:rFonts w:ascii="Tahoma" w:eastAsia="Arial Unicode MS" w:hAnsi="Tahoma" w:cs="Tahoma"/>
                <w:b/>
                <w:bCs/>
                <w:sz w:val="20"/>
                <w:szCs w:val="20"/>
              </w:rPr>
            </w:pPr>
            <w:r w:rsidRPr="00216E39">
              <w:rPr>
                <w:rFonts w:ascii="Tahoma" w:eastAsia="Arial Unicode MS" w:hAnsi="Tahoma" w:cs="Tahoma"/>
                <w:b/>
                <w:bCs/>
                <w:sz w:val="20"/>
                <w:szCs w:val="20"/>
              </w:rPr>
              <w:t>2021-2023</w:t>
            </w:r>
          </w:p>
        </w:tc>
        <w:tc>
          <w:tcPr>
            <w:tcW w:w="1717" w:type="dxa"/>
            <w:gridSpan w:val="2"/>
            <w:tcBorders>
              <w:top w:val="single" w:sz="12" w:space="0" w:color="auto"/>
            </w:tcBorders>
            <w:shd w:val="clear" w:color="auto" w:fill="E2EFD9" w:themeFill="accent6" w:themeFillTint="33"/>
            <w:vAlign w:val="bottom"/>
            <w:hideMark/>
          </w:tcPr>
          <w:p w:rsidR="00FA6C23" w:rsidRPr="00216E39" w:rsidRDefault="00BB313A" w:rsidP="00A82CC8">
            <w:pPr>
              <w:spacing w:after="0"/>
              <w:ind w:left="357" w:firstLine="0"/>
              <w:jc w:val="center"/>
              <w:rPr>
                <w:rFonts w:ascii="Tahoma" w:eastAsia="Arial Unicode MS" w:hAnsi="Tahoma" w:cs="Tahoma"/>
                <w:b/>
                <w:bCs/>
                <w:sz w:val="20"/>
                <w:szCs w:val="20"/>
              </w:rPr>
            </w:pPr>
            <w:r w:rsidRPr="00216E39">
              <w:rPr>
                <w:rFonts w:ascii="Tahoma" w:eastAsia="Arial Unicode MS" w:hAnsi="Tahoma" w:cs="Tahoma"/>
                <w:b/>
                <w:bCs/>
                <w:sz w:val="20"/>
                <w:szCs w:val="20"/>
              </w:rPr>
              <w:t>2024</w:t>
            </w:r>
            <w:r w:rsidR="00FA6C23" w:rsidRPr="00216E39">
              <w:rPr>
                <w:rFonts w:ascii="Tahoma" w:eastAsia="Arial Unicode MS" w:hAnsi="Tahoma" w:cs="Tahoma"/>
                <w:b/>
                <w:bCs/>
                <w:sz w:val="20"/>
                <w:szCs w:val="20"/>
              </w:rPr>
              <w:t xml:space="preserve"> </w:t>
            </w:r>
          </w:p>
          <w:p w:rsidR="00BB313A" w:rsidRPr="00216E39" w:rsidRDefault="00BB313A" w:rsidP="00A82CC8">
            <w:pPr>
              <w:spacing w:after="0"/>
              <w:ind w:left="357" w:firstLine="0"/>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c>
          <w:tcPr>
            <w:tcW w:w="1559" w:type="dxa"/>
            <w:gridSpan w:val="2"/>
            <w:tcBorders>
              <w:top w:val="single" w:sz="12" w:space="0" w:color="auto"/>
            </w:tcBorders>
            <w:shd w:val="clear" w:color="auto" w:fill="E2EFD9" w:themeFill="accent6" w:themeFillTint="33"/>
            <w:vAlign w:val="bottom"/>
            <w:hideMark/>
          </w:tcPr>
          <w:p w:rsidR="00FA6C23" w:rsidRPr="00216E39" w:rsidRDefault="00BB313A" w:rsidP="00FA6C23">
            <w:pPr>
              <w:spacing w:after="0"/>
              <w:ind w:left="357"/>
              <w:jc w:val="center"/>
              <w:rPr>
                <w:rFonts w:ascii="Tahoma" w:eastAsia="Arial Unicode MS" w:hAnsi="Tahoma" w:cs="Tahoma"/>
                <w:b/>
                <w:bCs/>
                <w:sz w:val="20"/>
                <w:szCs w:val="20"/>
              </w:rPr>
            </w:pPr>
            <w:r w:rsidRPr="00216E39">
              <w:rPr>
                <w:rFonts w:ascii="Tahoma" w:eastAsia="Arial Unicode MS" w:hAnsi="Tahoma" w:cs="Tahoma"/>
                <w:b/>
                <w:bCs/>
                <w:sz w:val="20"/>
                <w:szCs w:val="20"/>
              </w:rPr>
              <w:t>2021-2024</w:t>
            </w:r>
            <w:r w:rsidR="00FA6C23" w:rsidRPr="00216E39">
              <w:rPr>
                <w:rFonts w:ascii="Tahoma" w:eastAsia="Arial Unicode MS" w:hAnsi="Tahoma" w:cs="Tahoma"/>
                <w:b/>
                <w:bCs/>
                <w:sz w:val="20"/>
                <w:szCs w:val="20"/>
              </w:rPr>
              <w:t xml:space="preserve"> </w:t>
            </w:r>
          </w:p>
          <w:p w:rsidR="00BB313A" w:rsidRPr="00216E39" w:rsidRDefault="00FA6C23" w:rsidP="00FA6C23">
            <w:pPr>
              <w:spacing w:after="0"/>
              <w:ind w:left="357"/>
              <w:jc w:val="center"/>
              <w:rPr>
                <w:rFonts w:ascii="Tahoma" w:eastAsia="Arial Unicode MS" w:hAnsi="Tahoma" w:cs="Tahoma"/>
                <w:b/>
                <w:bCs/>
                <w:sz w:val="20"/>
                <w:szCs w:val="20"/>
              </w:rPr>
            </w:pPr>
            <w:r w:rsidRPr="00216E39">
              <w:rPr>
                <w:rFonts w:ascii="Tahoma" w:eastAsia="Arial Unicode MS" w:hAnsi="Tahoma" w:cs="Tahoma"/>
                <w:b/>
                <w:bCs/>
                <w:sz w:val="20"/>
                <w:szCs w:val="20"/>
              </w:rPr>
              <w:t>e</w:t>
            </w:r>
            <w:r w:rsidR="00BB313A" w:rsidRPr="00216E39">
              <w:rPr>
                <w:rFonts w:ascii="Tahoma" w:eastAsia="Arial Unicode MS" w:hAnsi="Tahoma" w:cs="Tahoma"/>
                <w:b/>
                <w:bCs/>
                <w:sz w:val="20"/>
                <w:szCs w:val="20"/>
              </w:rPr>
              <w:t>xecuţia la</w:t>
            </w:r>
          </w:p>
        </w:tc>
      </w:tr>
      <w:tr w:rsidR="00BB313A" w:rsidRPr="00216E39" w:rsidTr="00A82CC8">
        <w:trPr>
          <w:gridAfter w:val="3"/>
          <w:wAfter w:w="2156" w:type="dxa"/>
          <w:trHeight w:val="59"/>
        </w:trPr>
        <w:tc>
          <w:tcPr>
            <w:tcW w:w="4383" w:type="dxa"/>
            <w:vMerge/>
            <w:tcBorders>
              <w:bottom w:val="single" w:sz="12" w:space="0" w:color="auto"/>
            </w:tcBorders>
            <w:vAlign w:val="center"/>
            <w:hideMark/>
          </w:tcPr>
          <w:p w:rsidR="00BB313A" w:rsidRPr="00216E39" w:rsidRDefault="00BB313A" w:rsidP="00A82CC8">
            <w:pPr>
              <w:spacing w:after="0"/>
              <w:ind w:left="357" w:firstLine="0"/>
              <w:rPr>
                <w:rFonts w:ascii="Tahoma" w:eastAsia="Arial Unicode MS" w:hAnsi="Tahoma" w:cs="Tahoma"/>
                <w:b/>
                <w:bCs/>
                <w:sz w:val="20"/>
                <w:szCs w:val="20"/>
              </w:rPr>
            </w:pPr>
          </w:p>
        </w:tc>
        <w:tc>
          <w:tcPr>
            <w:tcW w:w="1559" w:type="dxa"/>
            <w:gridSpan w:val="2"/>
            <w:vMerge/>
            <w:tcBorders>
              <w:bottom w:val="single" w:sz="12" w:space="0" w:color="auto"/>
            </w:tcBorders>
            <w:vAlign w:val="center"/>
            <w:hideMark/>
          </w:tcPr>
          <w:p w:rsidR="00BB313A" w:rsidRPr="00216E39" w:rsidRDefault="00BB313A" w:rsidP="00A82CC8">
            <w:pPr>
              <w:spacing w:after="0"/>
              <w:ind w:left="357" w:firstLine="0"/>
              <w:rPr>
                <w:rFonts w:ascii="Tahoma" w:eastAsia="Arial Unicode MS" w:hAnsi="Tahoma" w:cs="Tahoma"/>
                <w:b/>
                <w:bCs/>
                <w:sz w:val="20"/>
                <w:szCs w:val="20"/>
              </w:rPr>
            </w:pPr>
          </w:p>
        </w:tc>
        <w:tc>
          <w:tcPr>
            <w:tcW w:w="1717" w:type="dxa"/>
            <w:gridSpan w:val="2"/>
            <w:tcBorders>
              <w:bottom w:val="single" w:sz="12" w:space="0" w:color="auto"/>
            </w:tcBorders>
            <w:shd w:val="clear" w:color="auto" w:fill="E2EFD9" w:themeFill="accent6" w:themeFillTint="33"/>
            <w:vAlign w:val="center"/>
            <w:hideMark/>
          </w:tcPr>
          <w:p w:rsidR="00BB313A" w:rsidRPr="00216E39" w:rsidRDefault="00BB313A" w:rsidP="00A82CC8">
            <w:pPr>
              <w:spacing w:after="0"/>
              <w:ind w:left="357" w:firstLine="0"/>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c>
          <w:tcPr>
            <w:tcW w:w="1559" w:type="dxa"/>
            <w:gridSpan w:val="2"/>
            <w:tcBorders>
              <w:bottom w:val="single" w:sz="12" w:space="0" w:color="auto"/>
            </w:tcBorders>
            <w:shd w:val="clear" w:color="auto" w:fill="E2EFD9" w:themeFill="accent6" w:themeFillTint="33"/>
            <w:vAlign w:val="center"/>
            <w:hideMark/>
          </w:tcPr>
          <w:p w:rsidR="00BB313A" w:rsidRPr="00216E39" w:rsidRDefault="00BB313A" w:rsidP="00FA6C23">
            <w:pPr>
              <w:spacing w:after="0"/>
              <w:ind w:left="357"/>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r>
      <w:tr w:rsidR="00BB313A" w:rsidRPr="00216E39" w:rsidTr="00A82CC8">
        <w:trPr>
          <w:gridAfter w:val="3"/>
          <w:wAfter w:w="2156" w:type="dxa"/>
          <w:trHeight w:val="295"/>
        </w:trPr>
        <w:tc>
          <w:tcPr>
            <w:tcW w:w="4383" w:type="dxa"/>
            <w:tcBorders>
              <w:top w:val="single" w:sz="12" w:space="0" w:color="auto"/>
            </w:tcBorders>
            <w:shd w:val="clear" w:color="auto" w:fill="C5E0B3" w:themeFill="accent6" w:themeFillTint="66"/>
            <w:vAlign w:val="center"/>
            <w:hideMark/>
          </w:tcPr>
          <w:p w:rsidR="00BB313A" w:rsidRPr="00216E39" w:rsidRDefault="00BB313A" w:rsidP="00A82CC8">
            <w:pPr>
              <w:spacing w:after="0"/>
              <w:ind w:left="37" w:firstLine="0"/>
              <w:jc w:val="left"/>
              <w:rPr>
                <w:rFonts w:ascii="Tahoma" w:eastAsia="Arial Unicode MS" w:hAnsi="Tahoma" w:cs="Tahoma"/>
                <w:b/>
                <w:bCs/>
                <w:sz w:val="20"/>
                <w:szCs w:val="20"/>
              </w:rPr>
            </w:pPr>
            <w:r w:rsidRPr="00216E39">
              <w:rPr>
                <w:rFonts w:ascii="Tahoma" w:eastAsia="Arial Unicode MS" w:hAnsi="Tahoma" w:cs="Tahoma"/>
                <w:b/>
                <w:bCs/>
                <w:sz w:val="20"/>
                <w:szCs w:val="20"/>
              </w:rPr>
              <w:t>SUME PRIMITE 2021 - 2023 DE LA BUGETUL</w:t>
            </w:r>
            <w:r w:rsidR="00FA6C23" w:rsidRPr="00216E39">
              <w:rPr>
                <w:rFonts w:ascii="Tahoma" w:eastAsia="Arial Unicode MS" w:hAnsi="Tahoma" w:cs="Tahoma"/>
                <w:b/>
                <w:bCs/>
                <w:sz w:val="20"/>
                <w:szCs w:val="20"/>
              </w:rPr>
              <w:t xml:space="preserve"> </w:t>
            </w:r>
            <w:r w:rsidRPr="00216E39">
              <w:rPr>
                <w:rFonts w:ascii="Tahoma" w:eastAsia="Arial Unicode MS" w:hAnsi="Tahoma" w:cs="Tahoma"/>
                <w:b/>
                <w:bCs/>
                <w:sz w:val="20"/>
                <w:szCs w:val="20"/>
              </w:rPr>
              <w:t>UE</w:t>
            </w:r>
          </w:p>
        </w:tc>
        <w:tc>
          <w:tcPr>
            <w:tcW w:w="1559" w:type="dxa"/>
            <w:gridSpan w:val="2"/>
            <w:tcBorders>
              <w:top w:val="single" w:sz="12" w:space="0" w:color="auto"/>
            </w:tcBorders>
            <w:shd w:val="clear" w:color="auto" w:fill="C5E0B3" w:themeFill="accent6" w:themeFillTint="66"/>
            <w:noWrap/>
            <w:hideMark/>
          </w:tcPr>
          <w:p w:rsidR="00BB313A" w:rsidRPr="00216E39" w:rsidRDefault="00BB313A" w:rsidP="00A82CC8">
            <w:pPr>
              <w:spacing w:after="0"/>
              <w:ind w:left="357" w:firstLine="0"/>
              <w:jc w:val="center"/>
              <w:rPr>
                <w:rFonts w:ascii="Tahoma" w:eastAsia="Arial Unicode MS" w:hAnsi="Tahoma" w:cs="Tahoma"/>
                <w:b/>
                <w:bCs/>
                <w:color w:val="000000"/>
                <w:sz w:val="20"/>
                <w:szCs w:val="20"/>
              </w:rPr>
            </w:pPr>
            <w:r w:rsidRPr="00216E39">
              <w:rPr>
                <w:rFonts w:ascii="Tahoma" w:hAnsi="Tahoma" w:cs="Tahoma"/>
                <w:b/>
                <w:sz w:val="20"/>
                <w:szCs w:val="20"/>
              </w:rPr>
              <w:t>17.01</w:t>
            </w:r>
          </w:p>
        </w:tc>
        <w:tc>
          <w:tcPr>
            <w:tcW w:w="1717" w:type="dxa"/>
            <w:gridSpan w:val="2"/>
            <w:tcBorders>
              <w:top w:val="single" w:sz="12" w:space="0" w:color="auto"/>
            </w:tcBorders>
            <w:shd w:val="clear" w:color="auto" w:fill="C5E0B3" w:themeFill="accent6" w:themeFillTint="66"/>
            <w:noWrap/>
            <w:hideMark/>
          </w:tcPr>
          <w:p w:rsidR="00BB313A" w:rsidRPr="00216E39" w:rsidRDefault="00BB313A" w:rsidP="00A82CC8">
            <w:pPr>
              <w:spacing w:after="0"/>
              <w:ind w:left="357" w:firstLine="0"/>
              <w:jc w:val="center"/>
              <w:rPr>
                <w:rFonts w:ascii="Tahoma" w:eastAsia="Arial Unicode MS" w:hAnsi="Tahoma" w:cs="Tahoma"/>
                <w:b/>
                <w:bCs/>
                <w:color w:val="000000"/>
                <w:sz w:val="20"/>
                <w:szCs w:val="20"/>
              </w:rPr>
            </w:pPr>
            <w:r w:rsidRPr="00216E39">
              <w:rPr>
                <w:rFonts w:ascii="Tahoma" w:hAnsi="Tahoma" w:cs="Tahoma"/>
                <w:b/>
                <w:sz w:val="20"/>
                <w:szCs w:val="20"/>
              </w:rPr>
              <w:t>0.29</w:t>
            </w:r>
          </w:p>
        </w:tc>
        <w:tc>
          <w:tcPr>
            <w:tcW w:w="1559" w:type="dxa"/>
            <w:gridSpan w:val="2"/>
            <w:tcBorders>
              <w:top w:val="single" w:sz="12" w:space="0" w:color="auto"/>
            </w:tcBorders>
            <w:shd w:val="clear" w:color="auto" w:fill="C5E0B3" w:themeFill="accent6" w:themeFillTint="66"/>
            <w:noWrap/>
            <w:hideMark/>
          </w:tcPr>
          <w:p w:rsidR="00BB313A" w:rsidRPr="00216E39" w:rsidRDefault="00BB313A" w:rsidP="00FA6C23">
            <w:pPr>
              <w:spacing w:after="0"/>
              <w:ind w:left="357"/>
              <w:jc w:val="center"/>
              <w:rPr>
                <w:rFonts w:ascii="Tahoma" w:eastAsia="Arial Unicode MS" w:hAnsi="Tahoma" w:cs="Tahoma"/>
                <w:b/>
                <w:bCs/>
                <w:color w:val="000000"/>
                <w:sz w:val="20"/>
                <w:szCs w:val="20"/>
              </w:rPr>
            </w:pPr>
            <w:r w:rsidRPr="00216E39">
              <w:rPr>
                <w:rFonts w:ascii="Tahoma" w:hAnsi="Tahoma" w:cs="Tahoma"/>
                <w:b/>
                <w:sz w:val="20"/>
                <w:szCs w:val="20"/>
              </w:rPr>
              <w:t>5.90</w:t>
            </w:r>
          </w:p>
        </w:tc>
      </w:tr>
      <w:tr w:rsidR="00BB313A" w:rsidRPr="00216E39" w:rsidTr="00A82CC8">
        <w:trPr>
          <w:gridAfter w:val="3"/>
          <w:wAfter w:w="2156" w:type="dxa"/>
          <w:trHeight w:val="243"/>
        </w:trPr>
        <w:tc>
          <w:tcPr>
            <w:tcW w:w="4383" w:type="dxa"/>
            <w:tcBorders>
              <w:top w:val="nil"/>
              <w:bottom w:val="nil"/>
            </w:tcBorders>
            <w:shd w:val="clear" w:color="auto" w:fill="FFF2CC" w:themeFill="accent4" w:themeFillTint="33"/>
            <w:vAlign w:val="center"/>
            <w:hideMark/>
          </w:tcPr>
          <w:p w:rsidR="00BB313A" w:rsidRPr="00216E39" w:rsidRDefault="00BB313A" w:rsidP="00A82CC8">
            <w:pPr>
              <w:spacing w:after="0"/>
              <w:ind w:left="357" w:firstLine="0"/>
              <w:rPr>
                <w:rFonts w:ascii="Tahoma" w:eastAsia="Arial Unicode MS" w:hAnsi="Tahoma" w:cs="Tahoma"/>
                <w:sz w:val="20"/>
                <w:szCs w:val="20"/>
              </w:rPr>
            </w:pPr>
            <w:r w:rsidRPr="00216E39">
              <w:rPr>
                <w:rFonts w:ascii="Tahoma" w:eastAsia="Arial Unicode MS" w:hAnsi="Tahoma" w:cs="Tahoma"/>
                <w:sz w:val="20"/>
                <w:szCs w:val="20"/>
              </w:rPr>
              <w:t xml:space="preserve">A. Mecanismul de redresare și reziliență (RRF) – granturi </w:t>
            </w:r>
          </w:p>
        </w:tc>
        <w:tc>
          <w:tcPr>
            <w:tcW w:w="1559" w:type="dxa"/>
            <w:gridSpan w:val="2"/>
            <w:tcBorders>
              <w:top w:val="nil"/>
              <w:bottom w:val="nil"/>
            </w:tcBorders>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13.57</w:t>
            </w:r>
          </w:p>
        </w:tc>
        <w:tc>
          <w:tcPr>
            <w:tcW w:w="1717" w:type="dxa"/>
            <w:gridSpan w:val="2"/>
            <w:tcBorders>
              <w:top w:val="nil"/>
              <w:bottom w:val="nil"/>
            </w:tcBorders>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0.29</w:t>
            </w:r>
          </w:p>
        </w:tc>
        <w:tc>
          <w:tcPr>
            <w:tcW w:w="1559" w:type="dxa"/>
            <w:gridSpan w:val="2"/>
            <w:tcBorders>
              <w:top w:val="nil"/>
              <w:bottom w:val="nil"/>
            </w:tcBorders>
            <w:shd w:val="clear" w:color="auto" w:fill="FFF2CC" w:themeFill="accent4" w:themeFillTint="33"/>
            <w:noWrap/>
            <w:hideMark/>
          </w:tcPr>
          <w:p w:rsidR="00BB313A" w:rsidRPr="00216E39" w:rsidRDefault="00BB313A" w:rsidP="00FA6C23">
            <w:pPr>
              <w:spacing w:after="0"/>
              <w:ind w:left="357"/>
              <w:jc w:val="center"/>
              <w:rPr>
                <w:rFonts w:ascii="Tahoma" w:eastAsia="Arial Unicode MS" w:hAnsi="Tahoma" w:cs="Tahoma"/>
                <w:sz w:val="20"/>
                <w:szCs w:val="20"/>
              </w:rPr>
            </w:pPr>
            <w:r w:rsidRPr="00216E39">
              <w:rPr>
                <w:rFonts w:ascii="Tahoma" w:hAnsi="Tahoma" w:cs="Tahoma"/>
                <w:sz w:val="20"/>
                <w:szCs w:val="20"/>
              </w:rPr>
              <w:t>5.78</w:t>
            </w:r>
          </w:p>
        </w:tc>
      </w:tr>
      <w:tr w:rsidR="00BB313A" w:rsidRPr="00216E39" w:rsidTr="00A82CC8">
        <w:trPr>
          <w:gridAfter w:val="3"/>
          <w:wAfter w:w="2156" w:type="dxa"/>
          <w:trHeight w:val="200"/>
        </w:trPr>
        <w:tc>
          <w:tcPr>
            <w:tcW w:w="4383" w:type="dxa"/>
            <w:shd w:val="clear" w:color="auto" w:fill="FFF2CC" w:themeFill="accent4" w:themeFillTint="33"/>
            <w:vAlign w:val="center"/>
            <w:hideMark/>
          </w:tcPr>
          <w:p w:rsidR="00BB313A" w:rsidRPr="00216E39" w:rsidRDefault="00BB313A" w:rsidP="00A82CC8">
            <w:pPr>
              <w:spacing w:after="0"/>
              <w:ind w:left="357" w:firstLine="0"/>
              <w:rPr>
                <w:rFonts w:ascii="Tahoma" w:eastAsia="Arial Unicode MS" w:hAnsi="Tahoma" w:cs="Tahoma"/>
                <w:sz w:val="20"/>
                <w:szCs w:val="20"/>
              </w:rPr>
            </w:pPr>
            <w:r w:rsidRPr="00216E39">
              <w:rPr>
                <w:rFonts w:ascii="Tahoma" w:eastAsia="Arial Unicode MS" w:hAnsi="Tahoma" w:cs="Tahoma"/>
                <w:sz w:val="20"/>
                <w:szCs w:val="20"/>
              </w:rPr>
              <w:t xml:space="preserve">B. Asistență de redresare pentru coeziune și teritoriile Europei (ReactEU) </w:t>
            </w:r>
          </w:p>
        </w:tc>
        <w:tc>
          <w:tcPr>
            <w:tcW w:w="1559" w:type="dxa"/>
            <w:gridSpan w:val="2"/>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1.54</w:t>
            </w:r>
          </w:p>
        </w:tc>
        <w:tc>
          <w:tcPr>
            <w:tcW w:w="1717" w:type="dxa"/>
            <w:gridSpan w:val="2"/>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0.00</w:t>
            </w:r>
          </w:p>
        </w:tc>
        <w:tc>
          <w:tcPr>
            <w:tcW w:w="1559" w:type="dxa"/>
            <w:gridSpan w:val="2"/>
            <w:shd w:val="clear" w:color="auto" w:fill="FFF2CC" w:themeFill="accent4" w:themeFillTint="33"/>
            <w:noWrap/>
            <w:hideMark/>
          </w:tcPr>
          <w:p w:rsidR="00BB313A" w:rsidRPr="00216E39" w:rsidRDefault="00BB313A" w:rsidP="00FA6C23">
            <w:pPr>
              <w:spacing w:after="0"/>
              <w:ind w:left="357"/>
              <w:jc w:val="center"/>
              <w:rPr>
                <w:rFonts w:ascii="Tahoma" w:eastAsia="Arial Unicode MS" w:hAnsi="Tahoma" w:cs="Tahoma"/>
                <w:sz w:val="20"/>
                <w:szCs w:val="20"/>
              </w:rPr>
            </w:pPr>
            <w:r w:rsidRPr="00216E39">
              <w:rPr>
                <w:rFonts w:ascii="Tahoma" w:hAnsi="Tahoma" w:cs="Tahoma"/>
                <w:sz w:val="20"/>
                <w:szCs w:val="20"/>
              </w:rPr>
              <w:t>0.12</w:t>
            </w:r>
          </w:p>
        </w:tc>
      </w:tr>
      <w:tr w:rsidR="00BB313A" w:rsidRPr="00216E39" w:rsidTr="00A82CC8">
        <w:trPr>
          <w:gridAfter w:val="3"/>
          <w:wAfter w:w="2156" w:type="dxa"/>
          <w:trHeight w:val="305"/>
        </w:trPr>
        <w:tc>
          <w:tcPr>
            <w:tcW w:w="4383" w:type="dxa"/>
            <w:tcBorders>
              <w:top w:val="nil"/>
            </w:tcBorders>
            <w:shd w:val="clear" w:color="auto" w:fill="FFF2CC" w:themeFill="accent4" w:themeFillTint="33"/>
            <w:vAlign w:val="center"/>
            <w:hideMark/>
          </w:tcPr>
          <w:p w:rsidR="00BB313A" w:rsidRPr="00216E39" w:rsidRDefault="00BB313A" w:rsidP="00A82CC8">
            <w:pPr>
              <w:spacing w:after="0"/>
              <w:ind w:left="357" w:firstLine="0"/>
              <w:rPr>
                <w:rFonts w:ascii="Tahoma" w:eastAsia="Arial Unicode MS" w:hAnsi="Tahoma" w:cs="Tahoma"/>
                <w:sz w:val="20"/>
                <w:szCs w:val="20"/>
              </w:rPr>
            </w:pPr>
            <w:r w:rsidRPr="00216E39">
              <w:rPr>
                <w:rFonts w:ascii="Tahoma" w:eastAsia="Arial Unicode MS" w:hAnsi="Tahoma" w:cs="Tahoma"/>
                <w:sz w:val="20"/>
                <w:szCs w:val="20"/>
              </w:rPr>
              <w:t>C. Fondul european pentru dezvoltare rurală (FEADR)</w:t>
            </w:r>
          </w:p>
        </w:tc>
        <w:tc>
          <w:tcPr>
            <w:tcW w:w="1559" w:type="dxa"/>
            <w:gridSpan w:val="2"/>
            <w:tcBorders>
              <w:top w:val="nil"/>
            </w:tcBorders>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0.69</w:t>
            </w:r>
          </w:p>
        </w:tc>
        <w:tc>
          <w:tcPr>
            <w:tcW w:w="1717" w:type="dxa"/>
            <w:gridSpan w:val="2"/>
            <w:tcBorders>
              <w:top w:val="nil"/>
            </w:tcBorders>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0.00</w:t>
            </w:r>
          </w:p>
        </w:tc>
        <w:tc>
          <w:tcPr>
            <w:tcW w:w="1559" w:type="dxa"/>
            <w:gridSpan w:val="2"/>
            <w:tcBorders>
              <w:top w:val="nil"/>
            </w:tcBorders>
            <w:shd w:val="clear" w:color="auto" w:fill="FFF2CC" w:themeFill="accent4" w:themeFillTint="33"/>
            <w:noWrap/>
            <w:hideMark/>
          </w:tcPr>
          <w:p w:rsidR="00BB313A" w:rsidRPr="00216E39" w:rsidRDefault="00BB313A" w:rsidP="00FA6C23">
            <w:pPr>
              <w:spacing w:after="0"/>
              <w:ind w:left="357"/>
              <w:jc w:val="center"/>
              <w:rPr>
                <w:rFonts w:ascii="Tahoma" w:eastAsia="Arial Unicode MS" w:hAnsi="Tahoma" w:cs="Tahoma"/>
                <w:sz w:val="20"/>
                <w:szCs w:val="20"/>
              </w:rPr>
            </w:pPr>
            <w:r w:rsidRPr="00216E39">
              <w:rPr>
                <w:rFonts w:ascii="Tahoma" w:hAnsi="Tahoma" w:cs="Tahoma"/>
                <w:sz w:val="20"/>
                <w:szCs w:val="20"/>
              </w:rPr>
              <w:t>0.00</w:t>
            </w:r>
          </w:p>
        </w:tc>
      </w:tr>
      <w:tr w:rsidR="00BB313A" w:rsidRPr="00216E39" w:rsidTr="00A82CC8">
        <w:trPr>
          <w:gridAfter w:val="3"/>
          <w:wAfter w:w="2156" w:type="dxa"/>
          <w:trHeight w:val="125"/>
        </w:trPr>
        <w:tc>
          <w:tcPr>
            <w:tcW w:w="4383" w:type="dxa"/>
            <w:tcBorders>
              <w:top w:val="nil"/>
              <w:bottom w:val="double" w:sz="4" w:space="0" w:color="auto"/>
            </w:tcBorders>
            <w:shd w:val="clear" w:color="auto" w:fill="FFF2CC" w:themeFill="accent4" w:themeFillTint="33"/>
            <w:vAlign w:val="center"/>
            <w:hideMark/>
          </w:tcPr>
          <w:p w:rsidR="00BB313A" w:rsidRPr="00216E39" w:rsidRDefault="00BB313A" w:rsidP="00A82CC8">
            <w:pPr>
              <w:spacing w:after="0"/>
              <w:ind w:left="357" w:firstLine="0"/>
              <w:rPr>
                <w:rFonts w:ascii="Tahoma" w:eastAsia="Arial Unicode MS" w:hAnsi="Tahoma" w:cs="Tahoma"/>
                <w:sz w:val="20"/>
                <w:szCs w:val="20"/>
              </w:rPr>
            </w:pPr>
            <w:r w:rsidRPr="00216E39">
              <w:rPr>
                <w:rFonts w:ascii="Tahoma" w:eastAsia="Arial Unicode MS" w:hAnsi="Tahoma" w:cs="Tahoma"/>
                <w:sz w:val="20"/>
                <w:szCs w:val="20"/>
              </w:rPr>
              <w:t>D. Fondul pentru o tranziție justă (JTF)</w:t>
            </w:r>
          </w:p>
        </w:tc>
        <w:tc>
          <w:tcPr>
            <w:tcW w:w="1559" w:type="dxa"/>
            <w:gridSpan w:val="2"/>
            <w:tcBorders>
              <w:top w:val="nil"/>
              <w:bottom w:val="double" w:sz="4" w:space="0" w:color="auto"/>
            </w:tcBorders>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1.21</w:t>
            </w:r>
          </w:p>
        </w:tc>
        <w:tc>
          <w:tcPr>
            <w:tcW w:w="1717" w:type="dxa"/>
            <w:gridSpan w:val="2"/>
            <w:tcBorders>
              <w:top w:val="nil"/>
              <w:bottom w:val="double" w:sz="4" w:space="0" w:color="auto"/>
            </w:tcBorders>
            <w:shd w:val="clear" w:color="auto" w:fill="FFF2CC" w:themeFill="accent4" w:themeFillTint="33"/>
            <w:noWrap/>
            <w:hideMark/>
          </w:tcPr>
          <w:p w:rsidR="00BB313A" w:rsidRPr="00216E39" w:rsidRDefault="00BB313A" w:rsidP="00A82CC8">
            <w:pPr>
              <w:spacing w:after="0"/>
              <w:ind w:left="357" w:firstLine="0"/>
              <w:jc w:val="center"/>
              <w:rPr>
                <w:rFonts w:ascii="Tahoma" w:eastAsia="Arial Unicode MS" w:hAnsi="Tahoma" w:cs="Tahoma"/>
                <w:sz w:val="20"/>
                <w:szCs w:val="20"/>
              </w:rPr>
            </w:pPr>
            <w:r w:rsidRPr="00216E39">
              <w:rPr>
                <w:rFonts w:ascii="Tahoma" w:hAnsi="Tahoma" w:cs="Tahoma"/>
                <w:sz w:val="20"/>
                <w:szCs w:val="20"/>
              </w:rPr>
              <w:t>0.00</w:t>
            </w:r>
          </w:p>
        </w:tc>
        <w:tc>
          <w:tcPr>
            <w:tcW w:w="1559" w:type="dxa"/>
            <w:gridSpan w:val="2"/>
            <w:tcBorders>
              <w:top w:val="nil"/>
              <w:bottom w:val="double" w:sz="4" w:space="0" w:color="auto"/>
            </w:tcBorders>
            <w:shd w:val="clear" w:color="auto" w:fill="FFF2CC" w:themeFill="accent4" w:themeFillTint="33"/>
            <w:noWrap/>
            <w:hideMark/>
          </w:tcPr>
          <w:p w:rsidR="00BB313A" w:rsidRPr="00216E39" w:rsidRDefault="00BB313A" w:rsidP="00FA6C23">
            <w:pPr>
              <w:spacing w:after="0"/>
              <w:ind w:left="357"/>
              <w:jc w:val="center"/>
              <w:rPr>
                <w:rFonts w:ascii="Tahoma" w:eastAsia="Arial Unicode MS" w:hAnsi="Tahoma" w:cs="Tahoma"/>
                <w:sz w:val="20"/>
                <w:szCs w:val="20"/>
              </w:rPr>
            </w:pPr>
            <w:r w:rsidRPr="00216E39">
              <w:rPr>
                <w:rFonts w:ascii="Tahoma" w:hAnsi="Tahoma" w:cs="Tahoma"/>
                <w:sz w:val="20"/>
                <w:szCs w:val="20"/>
              </w:rPr>
              <w:t>0.00</w:t>
            </w:r>
          </w:p>
        </w:tc>
      </w:tr>
      <w:tr w:rsidR="00BB313A" w:rsidRPr="00216E39" w:rsidTr="00A82CC8">
        <w:trPr>
          <w:trHeight w:val="495"/>
        </w:trPr>
        <w:tc>
          <w:tcPr>
            <w:tcW w:w="9212" w:type="dxa"/>
            <w:gridSpan w:val="6"/>
            <w:tcBorders>
              <w:top w:val="nil"/>
              <w:left w:val="nil"/>
              <w:bottom w:val="single" w:sz="12" w:space="0" w:color="auto"/>
              <w:right w:val="nil"/>
            </w:tcBorders>
            <w:shd w:val="clear" w:color="auto" w:fill="auto"/>
            <w:vAlign w:val="bottom"/>
            <w:hideMark/>
          </w:tcPr>
          <w:p w:rsidR="00BB313A" w:rsidRPr="00216E39" w:rsidRDefault="00BB313A" w:rsidP="00A82CC8">
            <w:pPr>
              <w:spacing w:after="0"/>
              <w:ind w:firstLine="0"/>
              <w:jc w:val="right"/>
              <w:rPr>
                <w:rFonts w:ascii="Arial" w:eastAsia="Times New Roman" w:hAnsi="Arial" w:cs="Arial"/>
                <w:sz w:val="16"/>
                <w:szCs w:val="16"/>
              </w:rPr>
            </w:pPr>
            <w:r w:rsidRPr="00216E39">
              <w:rPr>
                <w:rFonts w:ascii="Arial" w:eastAsia="Arial Unicode MS" w:hAnsi="Arial" w:cs="Arial"/>
                <w:b/>
                <w:bCs/>
                <w:sz w:val="16"/>
                <w:szCs w:val="16"/>
              </w:rPr>
              <w:t>mld EURO</w:t>
            </w:r>
          </w:p>
        </w:tc>
        <w:tc>
          <w:tcPr>
            <w:tcW w:w="223" w:type="dxa"/>
            <w:gridSpan w:val="2"/>
            <w:tcBorders>
              <w:top w:val="nil"/>
              <w:left w:val="nil"/>
              <w:bottom w:val="nil"/>
              <w:right w:val="nil"/>
            </w:tcBorders>
            <w:shd w:val="clear" w:color="auto" w:fill="auto"/>
            <w:vAlign w:val="bottom"/>
            <w:hideMark/>
          </w:tcPr>
          <w:p w:rsidR="00BB313A" w:rsidRPr="00216E39" w:rsidRDefault="00BB313A" w:rsidP="00BB313A">
            <w:pPr>
              <w:spacing w:after="0"/>
              <w:rPr>
                <w:rFonts w:ascii="Arial" w:eastAsia="Times New Roman" w:hAnsi="Arial" w:cs="Arial"/>
                <w:sz w:val="18"/>
                <w:szCs w:val="18"/>
              </w:rPr>
            </w:pPr>
          </w:p>
        </w:tc>
        <w:tc>
          <w:tcPr>
            <w:tcW w:w="222" w:type="dxa"/>
            <w:tcBorders>
              <w:top w:val="nil"/>
              <w:left w:val="nil"/>
              <w:bottom w:val="nil"/>
              <w:right w:val="nil"/>
            </w:tcBorders>
            <w:shd w:val="clear" w:color="auto" w:fill="auto"/>
            <w:vAlign w:val="bottom"/>
            <w:hideMark/>
          </w:tcPr>
          <w:p w:rsidR="00BB313A" w:rsidRPr="00216E39" w:rsidRDefault="00BB313A" w:rsidP="00BB313A">
            <w:pPr>
              <w:spacing w:after="0"/>
              <w:rPr>
                <w:rFonts w:ascii="Arial" w:eastAsia="Times New Roman" w:hAnsi="Arial" w:cs="Arial"/>
                <w:sz w:val="18"/>
                <w:szCs w:val="18"/>
              </w:rPr>
            </w:pPr>
          </w:p>
        </w:tc>
        <w:tc>
          <w:tcPr>
            <w:tcW w:w="1717" w:type="dxa"/>
            <w:tcBorders>
              <w:top w:val="nil"/>
              <w:left w:val="nil"/>
              <w:bottom w:val="nil"/>
              <w:right w:val="nil"/>
            </w:tcBorders>
            <w:shd w:val="clear" w:color="auto" w:fill="auto"/>
            <w:noWrap/>
            <w:vAlign w:val="bottom"/>
          </w:tcPr>
          <w:p w:rsidR="00BB313A" w:rsidRPr="00216E39" w:rsidRDefault="00BB313A" w:rsidP="00BB313A">
            <w:pPr>
              <w:spacing w:after="0"/>
              <w:rPr>
                <w:rFonts w:ascii="Arial" w:eastAsia="Arial Unicode MS" w:hAnsi="Arial" w:cs="Arial"/>
                <w:b/>
                <w:bCs/>
                <w:sz w:val="18"/>
                <w:szCs w:val="18"/>
              </w:rPr>
            </w:pPr>
          </w:p>
        </w:tc>
      </w:tr>
      <w:tr w:rsidR="00BB313A" w:rsidRPr="00216E39" w:rsidTr="00A82CC8">
        <w:trPr>
          <w:gridAfter w:val="4"/>
          <w:wAfter w:w="2162" w:type="dxa"/>
          <w:trHeight w:val="596"/>
        </w:trPr>
        <w:tc>
          <w:tcPr>
            <w:tcW w:w="5936" w:type="dxa"/>
            <w:gridSpan w:val="2"/>
            <w:vMerge w:val="restart"/>
            <w:tcBorders>
              <w:top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SOLDUL FLUXURILOR*</w:t>
            </w:r>
          </w:p>
        </w:tc>
        <w:tc>
          <w:tcPr>
            <w:tcW w:w="1717" w:type="dxa"/>
            <w:gridSpan w:val="2"/>
            <w:tcBorders>
              <w:top w:val="single" w:sz="12" w:space="0" w:color="auto"/>
            </w:tcBorders>
            <w:shd w:val="clear" w:color="auto" w:fill="E2EFD9" w:themeFill="accent6" w:themeFillTint="33"/>
            <w:vAlign w:val="center"/>
            <w:hideMark/>
          </w:tcPr>
          <w:p w:rsidR="003421BD"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2024</w:t>
            </w:r>
          </w:p>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c>
          <w:tcPr>
            <w:tcW w:w="1559" w:type="dxa"/>
            <w:gridSpan w:val="2"/>
            <w:tcBorders>
              <w:top w:val="single" w:sz="12" w:space="0" w:color="auto"/>
            </w:tcBorders>
            <w:shd w:val="clear" w:color="auto" w:fill="E2EFD9" w:themeFill="accent6" w:themeFillTint="33"/>
            <w:vAlign w:val="center"/>
            <w:hideMark/>
          </w:tcPr>
          <w:p w:rsidR="003421BD"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2007-2024</w:t>
            </w:r>
          </w:p>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execuţia la</w:t>
            </w:r>
          </w:p>
        </w:tc>
      </w:tr>
      <w:tr w:rsidR="00BB313A" w:rsidRPr="00216E39" w:rsidTr="00A82CC8">
        <w:trPr>
          <w:gridAfter w:val="4"/>
          <w:wAfter w:w="2162" w:type="dxa"/>
          <w:trHeight w:val="173"/>
        </w:trPr>
        <w:tc>
          <w:tcPr>
            <w:tcW w:w="5936" w:type="dxa"/>
            <w:gridSpan w:val="2"/>
            <w:vMerge/>
            <w:tcBorders>
              <w:bottom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p>
        </w:tc>
        <w:tc>
          <w:tcPr>
            <w:tcW w:w="1717" w:type="dxa"/>
            <w:gridSpan w:val="2"/>
            <w:tcBorders>
              <w:bottom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c>
          <w:tcPr>
            <w:tcW w:w="1559" w:type="dxa"/>
            <w:gridSpan w:val="2"/>
            <w:tcBorders>
              <w:bottom w:val="single" w:sz="12" w:space="0" w:color="auto"/>
            </w:tcBorders>
            <w:shd w:val="clear" w:color="auto" w:fill="E2EFD9" w:themeFill="accent6" w:themeFillTint="33"/>
            <w:vAlign w:val="center"/>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eastAsia="Arial Unicode MS" w:hAnsi="Tahoma" w:cs="Tahoma"/>
                <w:b/>
                <w:bCs/>
                <w:sz w:val="20"/>
                <w:szCs w:val="20"/>
              </w:rPr>
              <w:t>30.06.2024</w:t>
            </w:r>
          </w:p>
        </w:tc>
      </w:tr>
      <w:tr w:rsidR="00BB313A" w:rsidRPr="00216E39" w:rsidTr="00A82CC8">
        <w:trPr>
          <w:gridAfter w:val="4"/>
          <w:wAfter w:w="2162" w:type="dxa"/>
          <w:trHeight w:val="331"/>
        </w:trPr>
        <w:tc>
          <w:tcPr>
            <w:tcW w:w="5936" w:type="dxa"/>
            <w:gridSpan w:val="2"/>
            <w:tcBorders>
              <w:top w:val="single" w:sz="12" w:space="0" w:color="auto"/>
            </w:tcBorders>
            <w:shd w:val="clear" w:color="auto" w:fill="C5E0B3" w:themeFill="accent6" w:themeFillTint="66"/>
            <w:vAlign w:val="center"/>
            <w:hideMark/>
          </w:tcPr>
          <w:p w:rsidR="00BB313A" w:rsidRPr="00216E39" w:rsidRDefault="00BB313A" w:rsidP="00A82CC8">
            <w:pPr>
              <w:spacing w:after="0"/>
              <w:ind w:firstLine="0"/>
              <w:jc w:val="left"/>
              <w:rPr>
                <w:rFonts w:ascii="Tahoma" w:eastAsia="Arial Unicode MS" w:hAnsi="Tahoma" w:cs="Tahoma"/>
                <w:b/>
                <w:bCs/>
                <w:sz w:val="20"/>
                <w:szCs w:val="20"/>
              </w:rPr>
            </w:pPr>
            <w:r w:rsidRPr="00216E39">
              <w:rPr>
                <w:rFonts w:ascii="Tahoma" w:eastAsia="Arial Unicode MS" w:hAnsi="Tahoma" w:cs="Tahoma"/>
                <w:b/>
                <w:bCs/>
                <w:sz w:val="20"/>
                <w:szCs w:val="20"/>
              </w:rPr>
              <w:t>I. SUME PRIMITE DE LA BUGETUL UE</w:t>
            </w:r>
          </w:p>
        </w:tc>
        <w:tc>
          <w:tcPr>
            <w:tcW w:w="1717" w:type="dxa"/>
            <w:gridSpan w:val="2"/>
            <w:tcBorders>
              <w:top w:val="single" w:sz="12" w:space="0" w:color="auto"/>
            </w:tcBorders>
            <w:shd w:val="clear" w:color="auto" w:fill="C5E0B3" w:themeFill="accent6" w:themeFillTint="66"/>
            <w:noWrap/>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4.61</w:t>
            </w:r>
          </w:p>
        </w:tc>
        <w:tc>
          <w:tcPr>
            <w:tcW w:w="1559" w:type="dxa"/>
            <w:gridSpan w:val="2"/>
            <w:tcBorders>
              <w:top w:val="single" w:sz="12" w:space="0" w:color="auto"/>
            </w:tcBorders>
            <w:shd w:val="clear" w:color="auto" w:fill="C5E0B3" w:themeFill="accent6" w:themeFillTint="66"/>
            <w:noWrap/>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96.72</w:t>
            </w:r>
          </w:p>
        </w:tc>
      </w:tr>
      <w:tr w:rsidR="00BB313A" w:rsidRPr="00216E39" w:rsidTr="00A82CC8">
        <w:trPr>
          <w:gridAfter w:val="4"/>
          <w:wAfter w:w="2162" w:type="dxa"/>
          <w:trHeight w:val="245"/>
        </w:trPr>
        <w:tc>
          <w:tcPr>
            <w:tcW w:w="5936" w:type="dxa"/>
            <w:gridSpan w:val="2"/>
            <w:tcBorders>
              <w:top w:val="nil"/>
            </w:tcBorders>
            <w:shd w:val="clear" w:color="auto" w:fill="auto"/>
            <w:vAlign w:val="center"/>
            <w:hideMark/>
          </w:tcPr>
          <w:p w:rsidR="00BB313A" w:rsidRPr="00216E39" w:rsidRDefault="00BB313A" w:rsidP="00A82CC8">
            <w:pPr>
              <w:spacing w:after="0"/>
              <w:ind w:firstLineChars="100" w:firstLine="200"/>
              <w:jc w:val="left"/>
              <w:rPr>
                <w:rFonts w:ascii="Tahoma" w:eastAsia="Arial Unicode MS" w:hAnsi="Tahoma" w:cs="Tahoma"/>
                <w:sz w:val="20"/>
                <w:szCs w:val="20"/>
              </w:rPr>
            </w:pPr>
            <w:r w:rsidRPr="00216E39">
              <w:rPr>
                <w:rFonts w:ascii="Tahoma" w:eastAsia="Arial Unicode MS" w:hAnsi="Tahoma" w:cs="Tahoma"/>
                <w:sz w:val="20"/>
                <w:szCs w:val="20"/>
              </w:rPr>
              <w:lastRenderedPageBreak/>
              <w:t>1. SUME PRIMITE DE LA BUGETUL UE din CFM 2007-2013</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X</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36.69</w:t>
            </w:r>
          </w:p>
        </w:tc>
      </w:tr>
      <w:tr w:rsidR="00BB313A" w:rsidRPr="00216E39" w:rsidTr="00A82CC8">
        <w:trPr>
          <w:gridAfter w:val="4"/>
          <w:wAfter w:w="2162" w:type="dxa"/>
          <w:trHeight w:val="326"/>
        </w:trPr>
        <w:tc>
          <w:tcPr>
            <w:tcW w:w="5936" w:type="dxa"/>
            <w:gridSpan w:val="2"/>
            <w:tcBorders>
              <w:top w:val="nil"/>
            </w:tcBorders>
            <w:shd w:val="clear" w:color="auto" w:fill="auto"/>
            <w:vAlign w:val="center"/>
            <w:hideMark/>
          </w:tcPr>
          <w:p w:rsidR="00BB313A" w:rsidRPr="00216E39" w:rsidRDefault="00BB313A" w:rsidP="00A82CC8">
            <w:pPr>
              <w:spacing w:after="0"/>
              <w:ind w:firstLineChars="100" w:firstLine="200"/>
              <w:jc w:val="left"/>
              <w:rPr>
                <w:rFonts w:ascii="Tahoma" w:eastAsia="Arial Unicode MS" w:hAnsi="Tahoma" w:cs="Tahoma"/>
                <w:sz w:val="20"/>
                <w:szCs w:val="20"/>
              </w:rPr>
            </w:pPr>
            <w:r w:rsidRPr="00216E39">
              <w:rPr>
                <w:rFonts w:ascii="Tahoma" w:eastAsia="Arial Unicode MS" w:hAnsi="Tahoma" w:cs="Tahoma"/>
                <w:sz w:val="20"/>
                <w:szCs w:val="20"/>
              </w:rPr>
              <w:t>2. SUME PRIMITE DE LA BUGETUL UE din CFM 2014-2020</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1.70</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49.97</w:t>
            </w:r>
          </w:p>
        </w:tc>
      </w:tr>
      <w:tr w:rsidR="00BB313A" w:rsidRPr="00216E39" w:rsidTr="00A82CC8">
        <w:trPr>
          <w:gridAfter w:val="4"/>
          <w:wAfter w:w="2162" w:type="dxa"/>
          <w:trHeight w:val="248"/>
        </w:trPr>
        <w:tc>
          <w:tcPr>
            <w:tcW w:w="5936" w:type="dxa"/>
            <w:gridSpan w:val="2"/>
            <w:tcBorders>
              <w:top w:val="nil"/>
            </w:tcBorders>
            <w:shd w:val="clear" w:color="auto" w:fill="auto"/>
            <w:vAlign w:val="center"/>
            <w:hideMark/>
          </w:tcPr>
          <w:p w:rsidR="00BB313A" w:rsidRPr="00216E39" w:rsidRDefault="00BB313A" w:rsidP="00A82CC8">
            <w:pPr>
              <w:spacing w:after="0"/>
              <w:ind w:firstLineChars="100" w:firstLine="200"/>
              <w:rPr>
                <w:rFonts w:ascii="Tahoma" w:eastAsia="Arial Unicode MS" w:hAnsi="Tahoma" w:cs="Tahoma"/>
                <w:sz w:val="20"/>
                <w:szCs w:val="20"/>
              </w:rPr>
            </w:pPr>
            <w:r w:rsidRPr="00216E39">
              <w:rPr>
                <w:rFonts w:ascii="Tahoma" w:eastAsia="Arial Unicode MS" w:hAnsi="Tahoma" w:cs="Tahoma"/>
                <w:sz w:val="20"/>
                <w:szCs w:val="20"/>
              </w:rPr>
              <w:t xml:space="preserve">3. SUME PRIMITE DE LA BUGETUL UE din CFM 2021-2027 </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2.63</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4.16</w:t>
            </w:r>
          </w:p>
        </w:tc>
      </w:tr>
      <w:tr w:rsidR="00BB313A" w:rsidRPr="00216E39" w:rsidTr="00A82CC8">
        <w:trPr>
          <w:gridAfter w:val="4"/>
          <w:wAfter w:w="2162" w:type="dxa"/>
          <w:trHeight w:val="283"/>
        </w:trPr>
        <w:tc>
          <w:tcPr>
            <w:tcW w:w="5936" w:type="dxa"/>
            <w:gridSpan w:val="2"/>
            <w:tcBorders>
              <w:top w:val="nil"/>
            </w:tcBorders>
            <w:shd w:val="clear" w:color="auto" w:fill="auto"/>
            <w:vAlign w:val="center"/>
            <w:hideMark/>
          </w:tcPr>
          <w:p w:rsidR="00BB313A" w:rsidRPr="00216E39" w:rsidRDefault="00BB313A" w:rsidP="00A82CC8">
            <w:pPr>
              <w:spacing w:after="0"/>
              <w:ind w:firstLineChars="100" w:firstLine="200"/>
              <w:rPr>
                <w:rFonts w:ascii="Tahoma" w:eastAsia="Arial Unicode MS" w:hAnsi="Tahoma" w:cs="Tahoma"/>
                <w:sz w:val="20"/>
                <w:szCs w:val="20"/>
              </w:rPr>
            </w:pPr>
            <w:r w:rsidRPr="00216E39">
              <w:rPr>
                <w:rFonts w:ascii="Tahoma" w:eastAsia="Arial Unicode MS" w:hAnsi="Tahoma" w:cs="Tahoma"/>
                <w:sz w:val="20"/>
                <w:szCs w:val="20"/>
              </w:rPr>
              <w:t>4. NextGenerationEU 2021-2023</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0.29</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5.90</w:t>
            </w:r>
          </w:p>
        </w:tc>
      </w:tr>
      <w:tr w:rsidR="00BB313A" w:rsidRPr="00216E39" w:rsidTr="00A82CC8">
        <w:trPr>
          <w:gridAfter w:val="4"/>
          <w:wAfter w:w="2162" w:type="dxa"/>
          <w:trHeight w:val="207"/>
        </w:trPr>
        <w:tc>
          <w:tcPr>
            <w:tcW w:w="5936" w:type="dxa"/>
            <w:gridSpan w:val="2"/>
            <w:shd w:val="clear" w:color="auto" w:fill="C5E0B3" w:themeFill="accent6" w:themeFillTint="66"/>
            <w:vAlign w:val="center"/>
            <w:hideMark/>
          </w:tcPr>
          <w:p w:rsidR="00BB313A" w:rsidRPr="00216E39" w:rsidRDefault="00BB313A" w:rsidP="00A82CC8">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II. SUME PLATITE CATRE BUGETUL UE</w:t>
            </w:r>
          </w:p>
        </w:tc>
        <w:tc>
          <w:tcPr>
            <w:tcW w:w="1717" w:type="dxa"/>
            <w:gridSpan w:val="2"/>
            <w:shd w:val="clear" w:color="auto" w:fill="C5E0B3" w:themeFill="accent6" w:themeFillTint="66"/>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1.48</w:t>
            </w:r>
          </w:p>
        </w:tc>
        <w:tc>
          <w:tcPr>
            <w:tcW w:w="1559" w:type="dxa"/>
            <w:gridSpan w:val="2"/>
            <w:shd w:val="clear" w:color="auto" w:fill="C5E0B3" w:themeFill="accent6" w:themeFillTint="66"/>
            <w:hideMark/>
          </w:tcPr>
          <w:p w:rsidR="00BB313A" w:rsidRPr="00216E39" w:rsidRDefault="00BB313A" w:rsidP="00A82CC8">
            <w:pPr>
              <w:spacing w:after="0"/>
              <w:ind w:firstLine="0"/>
              <w:jc w:val="center"/>
              <w:rPr>
                <w:rFonts w:ascii="Tahoma" w:eastAsia="Arial Unicode MS" w:hAnsi="Tahoma" w:cs="Tahoma"/>
                <w:b/>
                <w:bCs/>
                <w:sz w:val="20"/>
                <w:szCs w:val="20"/>
              </w:rPr>
            </w:pPr>
            <w:r w:rsidRPr="00216E39">
              <w:rPr>
                <w:rFonts w:ascii="Tahoma" w:hAnsi="Tahoma" w:cs="Tahoma"/>
                <w:b/>
                <w:sz w:val="20"/>
                <w:szCs w:val="20"/>
              </w:rPr>
              <w:t>31.07</w:t>
            </w:r>
          </w:p>
        </w:tc>
      </w:tr>
      <w:tr w:rsidR="00BB313A" w:rsidRPr="00216E39" w:rsidTr="00A82CC8">
        <w:trPr>
          <w:gridAfter w:val="4"/>
          <w:wAfter w:w="2162" w:type="dxa"/>
          <w:trHeight w:val="261"/>
        </w:trPr>
        <w:tc>
          <w:tcPr>
            <w:tcW w:w="5936" w:type="dxa"/>
            <w:gridSpan w:val="2"/>
            <w:tcBorders>
              <w:top w:val="nil"/>
            </w:tcBorders>
            <w:shd w:val="clear" w:color="auto" w:fill="auto"/>
            <w:vAlign w:val="center"/>
            <w:hideMark/>
          </w:tcPr>
          <w:p w:rsidR="00BB313A" w:rsidRPr="00216E39" w:rsidRDefault="00BB313A" w:rsidP="00A82CC8">
            <w:pPr>
              <w:spacing w:after="0"/>
              <w:ind w:firstLineChars="100" w:firstLine="200"/>
              <w:rPr>
                <w:rFonts w:ascii="Tahoma" w:eastAsia="Arial Unicode MS" w:hAnsi="Tahoma" w:cs="Tahoma"/>
                <w:sz w:val="20"/>
                <w:szCs w:val="20"/>
              </w:rPr>
            </w:pPr>
            <w:r w:rsidRPr="00216E39">
              <w:rPr>
                <w:rFonts w:ascii="Tahoma" w:eastAsia="Arial Unicode MS" w:hAnsi="Tahoma" w:cs="Tahoma"/>
                <w:sz w:val="20"/>
                <w:szCs w:val="20"/>
              </w:rPr>
              <w:t>1. Contributia României la bugetul UE</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1.47</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30.45</w:t>
            </w:r>
          </w:p>
        </w:tc>
      </w:tr>
      <w:tr w:rsidR="00BB313A" w:rsidRPr="00216E39" w:rsidTr="00A82CC8">
        <w:trPr>
          <w:gridAfter w:val="4"/>
          <w:wAfter w:w="2162" w:type="dxa"/>
          <w:trHeight w:val="77"/>
        </w:trPr>
        <w:tc>
          <w:tcPr>
            <w:tcW w:w="5936" w:type="dxa"/>
            <w:gridSpan w:val="2"/>
            <w:tcBorders>
              <w:top w:val="nil"/>
            </w:tcBorders>
            <w:shd w:val="clear" w:color="auto" w:fill="auto"/>
            <w:vAlign w:val="center"/>
            <w:hideMark/>
          </w:tcPr>
          <w:p w:rsidR="00BB313A" w:rsidRPr="00216E39" w:rsidRDefault="00BB313A" w:rsidP="00A82CC8">
            <w:pPr>
              <w:spacing w:after="0"/>
              <w:ind w:firstLineChars="100" w:firstLine="200"/>
              <w:rPr>
                <w:rFonts w:ascii="Tahoma" w:eastAsia="Arial Unicode MS" w:hAnsi="Tahoma" w:cs="Tahoma"/>
                <w:b/>
                <w:bCs/>
                <w:sz w:val="20"/>
                <w:szCs w:val="20"/>
              </w:rPr>
            </w:pPr>
            <w:r w:rsidRPr="00216E39">
              <w:rPr>
                <w:rFonts w:ascii="Tahoma" w:eastAsia="Arial Unicode MS" w:hAnsi="Tahoma" w:cs="Tahoma"/>
                <w:sz w:val="20"/>
                <w:szCs w:val="20"/>
              </w:rPr>
              <w:t>2. Alte contribuții</w:t>
            </w:r>
          </w:p>
        </w:tc>
        <w:tc>
          <w:tcPr>
            <w:tcW w:w="1717"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0.01</w:t>
            </w:r>
          </w:p>
        </w:tc>
        <w:tc>
          <w:tcPr>
            <w:tcW w:w="1559" w:type="dxa"/>
            <w:gridSpan w:val="2"/>
            <w:tcBorders>
              <w:top w:val="nil"/>
            </w:tcBorders>
            <w:shd w:val="clear" w:color="auto" w:fill="auto"/>
            <w:noWrap/>
            <w:hideMark/>
          </w:tcPr>
          <w:p w:rsidR="00BB313A" w:rsidRPr="00216E39" w:rsidRDefault="00BB313A" w:rsidP="00A82CC8">
            <w:pPr>
              <w:spacing w:after="0"/>
              <w:ind w:firstLine="0"/>
              <w:jc w:val="center"/>
              <w:rPr>
                <w:rFonts w:ascii="Tahoma" w:eastAsia="Arial Unicode MS" w:hAnsi="Tahoma" w:cs="Tahoma"/>
                <w:sz w:val="20"/>
                <w:szCs w:val="20"/>
              </w:rPr>
            </w:pPr>
            <w:r w:rsidRPr="00216E39">
              <w:rPr>
                <w:rFonts w:ascii="Tahoma" w:hAnsi="Tahoma" w:cs="Tahoma"/>
                <w:sz w:val="20"/>
                <w:szCs w:val="20"/>
              </w:rPr>
              <w:t>0.62</w:t>
            </w:r>
          </w:p>
        </w:tc>
      </w:tr>
      <w:tr w:rsidR="00BB313A" w:rsidRPr="00216E39" w:rsidTr="00A82CC8">
        <w:trPr>
          <w:gridAfter w:val="4"/>
          <w:wAfter w:w="2162" w:type="dxa"/>
          <w:trHeight w:val="259"/>
        </w:trPr>
        <w:tc>
          <w:tcPr>
            <w:tcW w:w="5936" w:type="dxa"/>
            <w:gridSpan w:val="2"/>
            <w:tcBorders>
              <w:bottom w:val="double" w:sz="4" w:space="0" w:color="auto"/>
            </w:tcBorders>
            <w:shd w:val="clear" w:color="auto" w:fill="C5E0B3" w:themeFill="accent6" w:themeFillTint="66"/>
            <w:vAlign w:val="center"/>
            <w:hideMark/>
          </w:tcPr>
          <w:p w:rsidR="00BB313A" w:rsidRPr="00216E39" w:rsidRDefault="00BB313A" w:rsidP="00FA6C23">
            <w:pPr>
              <w:spacing w:after="0"/>
              <w:ind w:firstLine="0"/>
              <w:rPr>
                <w:rFonts w:ascii="Tahoma" w:eastAsia="Arial Unicode MS" w:hAnsi="Tahoma" w:cs="Tahoma"/>
                <w:b/>
                <w:bCs/>
                <w:sz w:val="20"/>
                <w:szCs w:val="20"/>
              </w:rPr>
            </w:pPr>
            <w:r w:rsidRPr="00216E39">
              <w:rPr>
                <w:rFonts w:ascii="Tahoma" w:eastAsia="Arial Unicode MS" w:hAnsi="Tahoma" w:cs="Tahoma"/>
                <w:b/>
                <w:bCs/>
                <w:sz w:val="20"/>
                <w:szCs w:val="20"/>
              </w:rPr>
              <w:t>III. SOLDUL FLUXURILOR = I - II</w:t>
            </w:r>
          </w:p>
        </w:tc>
        <w:tc>
          <w:tcPr>
            <w:tcW w:w="1717" w:type="dxa"/>
            <w:gridSpan w:val="2"/>
            <w:tcBorders>
              <w:bottom w:val="double" w:sz="4" w:space="0" w:color="auto"/>
            </w:tcBorders>
            <w:shd w:val="clear" w:color="auto" w:fill="C5E0B3" w:themeFill="accent6" w:themeFillTint="66"/>
            <w:noWrap/>
            <w:hideMark/>
          </w:tcPr>
          <w:p w:rsidR="00BB313A" w:rsidRPr="00216E39" w:rsidRDefault="00BB313A" w:rsidP="00BB313A">
            <w:pPr>
              <w:spacing w:after="0"/>
              <w:jc w:val="center"/>
              <w:rPr>
                <w:rFonts w:ascii="Tahoma" w:eastAsia="Arial Unicode MS" w:hAnsi="Tahoma" w:cs="Tahoma"/>
                <w:b/>
                <w:bCs/>
                <w:sz w:val="20"/>
                <w:szCs w:val="20"/>
              </w:rPr>
            </w:pPr>
            <w:r w:rsidRPr="00216E39">
              <w:rPr>
                <w:rFonts w:ascii="Tahoma" w:hAnsi="Tahoma" w:cs="Tahoma"/>
                <w:b/>
                <w:sz w:val="20"/>
                <w:szCs w:val="20"/>
              </w:rPr>
              <w:t>3.14</w:t>
            </w:r>
          </w:p>
        </w:tc>
        <w:tc>
          <w:tcPr>
            <w:tcW w:w="1559" w:type="dxa"/>
            <w:gridSpan w:val="2"/>
            <w:tcBorders>
              <w:bottom w:val="double" w:sz="4" w:space="0" w:color="auto"/>
            </w:tcBorders>
            <w:shd w:val="clear" w:color="auto" w:fill="C5E0B3" w:themeFill="accent6" w:themeFillTint="66"/>
            <w:noWrap/>
            <w:hideMark/>
          </w:tcPr>
          <w:p w:rsidR="00BB313A" w:rsidRPr="00216E39" w:rsidRDefault="00BB313A" w:rsidP="00BB313A">
            <w:pPr>
              <w:spacing w:after="0"/>
              <w:jc w:val="center"/>
              <w:rPr>
                <w:rFonts w:ascii="Tahoma" w:eastAsia="Arial Unicode MS" w:hAnsi="Tahoma" w:cs="Tahoma"/>
                <w:b/>
                <w:bCs/>
                <w:sz w:val="20"/>
                <w:szCs w:val="20"/>
              </w:rPr>
            </w:pPr>
            <w:r w:rsidRPr="00216E39">
              <w:rPr>
                <w:rFonts w:ascii="Tahoma" w:hAnsi="Tahoma" w:cs="Tahoma"/>
                <w:b/>
                <w:sz w:val="20"/>
                <w:szCs w:val="20"/>
              </w:rPr>
              <w:t>65.65</w:t>
            </w:r>
          </w:p>
        </w:tc>
      </w:tr>
      <w:tr w:rsidR="00BB313A" w:rsidRPr="00216E39" w:rsidTr="00A82CC8">
        <w:trPr>
          <w:gridAfter w:val="4"/>
          <w:wAfter w:w="2162" w:type="dxa"/>
          <w:trHeight w:val="450"/>
        </w:trPr>
        <w:tc>
          <w:tcPr>
            <w:tcW w:w="9212" w:type="dxa"/>
            <w:gridSpan w:val="6"/>
            <w:tcBorders>
              <w:top w:val="double" w:sz="4" w:space="0" w:color="auto"/>
              <w:left w:val="nil"/>
              <w:bottom w:val="nil"/>
              <w:right w:val="nil"/>
            </w:tcBorders>
            <w:shd w:val="clear" w:color="auto" w:fill="auto"/>
            <w:noWrap/>
            <w:vAlign w:val="bottom"/>
            <w:hideMark/>
          </w:tcPr>
          <w:p w:rsidR="003421BD" w:rsidRPr="00216E39" w:rsidRDefault="003421BD" w:rsidP="003421BD">
            <w:pPr>
              <w:spacing w:after="0"/>
              <w:ind w:left="-109" w:firstLine="3"/>
              <w:jc w:val="left"/>
              <w:rPr>
                <w:rFonts w:ascii="Arial" w:eastAsia="Arial Unicode MS" w:hAnsi="Arial" w:cs="Arial"/>
                <w:sz w:val="16"/>
                <w:szCs w:val="16"/>
              </w:rPr>
            </w:pPr>
          </w:p>
          <w:p w:rsidR="00BB313A" w:rsidRPr="00216E39" w:rsidRDefault="00BB313A" w:rsidP="003421BD">
            <w:pPr>
              <w:spacing w:after="0"/>
              <w:ind w:left="-109" w:firstLine="3"/>
              <w:jc w:val="left"/>
              <w:rPr>
                <w:rFonts w:ascii="Arial" w:eastAsia="Arial Unicode MS" w:hAnsi="Arial" w:cs="Arial"/>
                <w:sz w:val="16"/>
                <w:szCs w:val="16"/>
              </w:rPr>
            </w:pPr>
            <w:r w:rsidRPr="00216E39">
              <w:rPr>
                <w:rFonts w:ascii="Arial" w:eastAsia="Arial Unicode MS" w:hAnsi="Arial" w:cs="Arial"/>
                <w:sz w:val="16"/>
                <w:szCs w:val="16"/>
              </w:rPr>
              <w:t>* Cifre rotunjite - sumele provin din sinteza „Evoluția fluxurilor financiare dintre România și Uniunea Europeană” - BFN la 30.06.2024 și pot fi ușor diferite ca urmare a rotunjirilor.</w:t>
            </w:r>
          </w:p>
          <w:p w:rsidR="00BB313A" w:rsidRPr="00216E39" w:rsidRDefault="00BB313A" w:rsidP="003421BD">
            <w:pPr>
              <w:spacing w:after="0"/>
              <w:ind w:hanging="106"/>
              <w:jc w:val="left"/>
              <w:rPr>
                <w:rFonts w:ascii="Arial" w:eastAsia="Arial Unicode MS" w:hAnsi="Arial" w:cs="Arial"/>
                <w:sz w:val="16"/>
                <w:szCs w:val="16"/>
              </w:rPr>
            </w:pPr>
            <w:r w:rsidRPr="00216E39">
              <w:rPr>
                <w:rFonts w:ascii="Arial" w:eastAsia="Arial Unicode MS" w:hAnsi="Arial" w:cs="Arial"/>
                <w:sz w:val="16"/>
                <w:szCs w:val="16"/>
              </w:rPr>
              <w:t>NOTĂ :  raportarea include si fonduri europene care nu fac parte din CFM, dar sunt aferente perioadei de programare respective.</w:t>
            </w:r>
          </w:p>
          <w:p w:rsidR="00BB313A" w:rsidRPr="00216E39" w:rsidRDefault="00BB313A" w:rsidP="00BB313A">
            <w:pPr>
              <w:spacing w:after="0"/>
              <w:jc w:val="center"/>
              <w:rPr>
                <w:rFonts w:ascii="Arial" w:eastAsia="Arial Unicode MS" w:hAnsi="Arial" w:cs="Arial"/>
                <w:sz w:val="16"/>
                <w:szCs w:val="16"/>
              </w:rPr>
            </w:pPr>
          </w:p>
        </w:tc>
      </w:tr>
      <w:tr w:rsidR="00BB313A" w:rsidRPr="00216E39" w:rsidTr="00A82CC8">
        <w:trPr>
          <w:gridAfter w:val="4"/>
          <w:wAfter w:w="2162" w:type="dxa"/>
          <w:trHeight w:val="450"/>
        </w:trPr>
        <w:tc>
          <w:tcPr>
            <w:tcW w:w="9212" w:type="dxa"/>
            <w:gridSpan w:val="6"/>
            <w:tcBorders>
              <w:top w:val="nil"/>
              <w:left w:val="nil"/>
              <w:bottom w:val="nil"/>
              <w:right w:val="nil"/>
            </w:tcBorders>
            <w:shd w:val="clear" w:color="auto" w:fill="auto"/>
            <w:noWrap/>
            <w:vAlign w:val="bottom"/>
          </w:tcPr>
          <w:p w:rsidR="00BB313A" w:rsidRPr="00216E39" w:rsidDel="00797F4B" w:rsidRDefault="00BB313A" w:rsidP="00BB313A">
            <w:pPr>
              <w:spacing w:after="0"/>
              <w:jc w:val="center"/>
              <w:rPr>
                <w:rFonts w:ascii="Arial" w:eastAsia="Arial Unicode MS" w:hAnsi="Arial" w:cs="Arial"/>
                <w:sz w:val="16"/>
                <w:szCs w:val="16"/>
              </w:rPr>
            </w:pPr>
          </w:p>
        </w:tc>
      </w:tr>
    </w:tbl>
    <w:p w:rsidR="005335C0" w:rsidRPr="00216E39" w:rsidRDefault="005335C0" w:rsidP="00A93ECA">
      <w:pPr>
        <w:spacing w:after="160" w:line="259" w:lineRule="auto"/>
        <w:ind w:firstLine="0"/>
        <w:rPr>
          <w:rFonts w:ascii="Tahoma" w:eastAsiaTheme="majorEastAsia" w:hAnsi="Tahoma" w:cs="Tahoma"/>
          <w:b/>
          <w:sz w:val="24"/>
          <w:szCs w:val="24"/>
        </w:rPr>
      </w:pPr>
      <w:r w:rsidRPr="00216E39">
        <w:rPr>
          <w:rFonts w:ascii="Tahoma" w:hAnsi="Tahoma" w:cs="Tahoma"/>
          <w:b/>
          <w:sz w:val="24"/>
          <w:szCs w:val="24"/>
        </w:rPr>
        <w:br w:type="page"/>
      </w:r>
    </w:p>
    <w:p w:rsidR="00C60107" w:rsidRPr="00216E39" w:rsidRDefault="00C60107" w:rsidP="002A6579">
      <w:pPr>
        <w:pStyle w:val="Heading1"/>
        <w:spacing w:after="360" w:line="276" w:lineRule="auto"/>
        <w:ind w:left="374" w:firstLine="706"/>
        <w:rPr>
          <w:rFonts w:ascii="Tahoma" w:hAnsi="Tahoma" w:cs="Tahoma"/>
          <w:b/>
          <w:color w:val="auto"/>
          <w:sz w:val="24"/>
          <w:szCs w:val="24"/>
        </w:rPr>
      </w:pPr>
      <w:bookmarkStart w:id="29" w:name="_Toc172205382"/>
      <w:r w:rsidRPr="00216E39">
        <w:rPr>
          <w:rFonts w:ascii="Tahoma" w:hAnsi="Tahoma" w:cs="Tahoma"/>
          <w:b/>
          <w:color w:val="auto"/>
          <w:sz w:val="24"/>
          <w:szCs w:val="24"/>
        </w:rPr>
        <w:lastRenderedPageBreak/>
        <w:t>Concluzii</w:t>
      </w:r>
      <w:bookmarkEnd w:id="29"/>
    </w:p>
    <w:p w:rsidR="00031C8B" w:rsidRPr="00031C8B" w:rsidRDefault="00C60107" w:rsidP="00C80DC7">
      <w:pPr>
        <w:pStyle w:val="ListParagraph"/>
        <w:numPr>
          <w:ilvl w:val="1"/>
          <w:numId w:val="12"/>
        </w:numPr>
        <w:spacing w:before="120" w:after="120" w:line="276" w:lineRule="auto"/>
        <w:ind w:left="641" w:hanging="357"/>
        <w:contextualSpacing w:val="0"/>
        <w:rPr>
          <w:rFonts w:ascii="Tahoma" w:eastAsia="Times New Roman" w:hAnsi="Tahoma" w:cs="Tahoma"/>
          <w:sz w:val="24"/>
          <w:szCs w:val="24"/>
        </w:rPr>
      </w:pPr>
      <w:r w:rsidRPr="00216E39">
        <w:rPr>
          <w:rFonts w:ascii="Tahoma" w:eastAsia="Times New Roman" w:hAnsi="Tahoma" w:cs="Tahoma"/>
          <w:sz w:val="24"/>
          <w:szCs w:val="24"/>
        </w:rPr>
        <w:t>Soldul bugetului general consolidat la semestrul I 20</w:t>
      </w:r>
      <w:r w:rsidR="000D44BC" w:rsidRPr="00216E39">
        <w:rPr>
          <w:rFonts w:ascii="Tahoma" w:eastAsia="Times New Roman" w:hAnsi="Tahoma" w:cs="Tahoma"/>
          <w:sz w:val="24"/>
          <w:szCs w:val="24"/>
        </w:rPr>
        <w:t>2</w:t>
      </w:r>
      <w:r w:rsidR="003C7388" w:rsidRPr="00216E39">
        <w:rPr>
          <w:rFonts w:ascii="Tahoma" w:eastAsia="Times New Roman" w:hAnsi="Tahoma" w:cs="Tahoma"/>
          <w:sz w:val="24"/>
          <w:szCs w:val="24"/>
        </w:rPr>
        <w:t>4</w:t>
      </w:r>
      <w:r w:rsidR="00C80DC7">
        <w:rPr>
          <w:rFonts w:ascii="Tahoma" w:eastAsia="Times New Roman" w:hAnsi="Tahoma" w:cs="Tahoma"/>
          <w:sz w:val="24"/>
          <w:szCs w:val="24"/>
        </w:rPr>
        <w:t xml:space="preserve"> a fost de </w:t>
      </w:r>
      <w:r w:rsidR="00C80DC7" w:rsidRPr="00C80DC7">
        <w:rPr>
          <w:rFonts w:ascii="Tahoma" w:hAnsi="Tahoma" w:cs="Tahoma"/>
          <w:sz w:val="24"/>
          <w:szCs w:val="24"/>
        </w:rPr>
        <w:t>63,67 miliarde lei (3,60% din PIB)</w:t>
      </w:r>
      <w:r w:rsidR="00C80DC7">
        <w:rPr>
          <w:rFonts w:ascii="Tahoma" w:hAnsi="Tahoma" w:cs="Tahoma"/>
          <w:sz w:val="24"/>
          <w:szCs w:val="24"/>
        </w:rPr>
        <w:t>, reprezentând 75</w:t>
      </w:r>
      <w:r w:rsidR="00140257">
        <w:rPr>
          <w:rFonts w:ascii="Tahoma" w:hAnsi="Tahoma" w:cs="Tahoma"/>
          <w:sz w:val="24"/>
          <w:szCs w:val="24"/>
        </w:rPr>
        <w:t>,3% din ținta de deficit stabilită pe anul 20</w:t>
      </w:r>
      <w:r w:rsidR="00E17D67">
        <w:rPr>
          <w:rFonts w:ascii="Tahoma" w:hAnsi="Tahoma" w:cs="Tahoma"/>
          <w:sz w:val="24"/>
          <w:szCs w:val="24"/>
        </w:rPr>
        <w:t>2</w:t>
      </w:r>
      <w:r w:rsidR="00140257">
        <w:rPr>
          <w:rFonts w:ascii="Tahoma" w:hAnsi="Tahoma" w:cs="Tahoma"/>
          <w:sz w:val="24"/>
          <w:szCs w:val="24"/>
        </w:rPr>
        <w:t xml:space="preserve">4 prin </w:t>
      </w:r>
      <w:r w:rsidR="00031C8B" w:rsidRPr="00216E39">
        <w:rPr>
          <w:rFonts w:ascii="Tahoma" w:eastAsia="Times New Roman" w:hAnsi="Tahoma" w:cs="Tahoma"/>
          <w:bCs/>
          <w:sz w:val="24"/>
          <w:szCs w:val="24"/>
        </w:rPr>
        <w:t>Legea nr.417/2023 pentru aprobarea plafoanelor unor indicatori specificați în cad</w:t>
      </w:r>
      <w:r w:rsidR="00031C8B">
        <w:rPr>
          <w:rFonts w:ascii="Tahoma" w:eastAsia="Times New Roman" w:hAnsi="Tahoma" w:cs="Tahoma"/>
          <w:bCs/>
          <w:sz w:val="24"/>
          <w:szCs w:val="24"/>
        </w:rPr>
        <w:t xml:space="preserve">rul fiscal-bugetar pe anul 2024, ceea ce indică un derapaj major de </w:t>
      </w:r>
      <w:r w:rsidR="00EC7A88">
        <w:rPr>
          <w:rFonts w:ascii="Tahoma" w:eastAsia="Times New Roman" w:hAnsi="Tahoma" w:cs="Tahoma"/>
          <w:bCs/>
          <w:sz w:val="24"/>
          <w:szCs w:val="24"/>
        </w:rPr>
        <w:t xml:space="preserve">la </w:t>
      </w:r>
      <w:r w:rsidR="00031C8B">
        <w:rPr>
          <w:rFonts w:ascii="Tahoma" w:eastAsia="Times New Roman" w:hAnsi="Tahoma" w:cs="Tahoma"/>
          <w:bCs/>
          <w:sz w:val="24"/>
          <w:szCs w:val="24"/>
        </w:rPr>
        <w:t>această țintă.</w:t>
      </w:r>
    </w:p>
    <w:p w:rsidR="00DB1C15" w:rsidRPr="00216E39" w:rsidRDefault="003C7388" w:rsidP="003C7388">
      <w:pPr>
        <w:pStyle w:val="ListParagraph"/>
        <w:widowControl w:val="0"/>
        <w:numPr>
          <w:ilvl w:val="0"/>
          <w:numId w:val="12"/>
        </w:numPr>
        <w:spacing w:before="240" w:after="240" w:line="276" w:lineRule="auto"/>
        <w:contextualSpacing w:val="0"/>
        <w:rPr>
          <w:rFonts w:ascii="Tahoma" w:eastAsia="Calibri" w:hAnsi="Tahoma" w:cs="Tahoma"/>
          <w:sz w:val="24"/>
          <w:szCs w:val="24"/>
        </w:rPr>
      </w:pPr>
      <w:r w:rsidRPr="00216E39">
        <w:rPr>
          <w:rFonts w:ascii="Tahoma" w:eastAsia="Calibri" w:hAnsi="Tahoma" w:cs="Tahoma"/>
          <w:sz w:val="24"/>
          <w:szCs w:val="24"/>
        </w:rPr>
        <w:t xml:space="preserve">Datoria guvernamentală conform metodologiei UE s-a situat la data de </w:t>
      </w:r>
      <w:r w:rsidR="00E84015" w:rsidRPr="00216E39">
        <w:rPr>
          <w:rFonts w:ascii="Tahoma" w:eastAsia="Calibri" w:hAnsi="Tahoma" w:cs="Tahoma"/>
          <w:sz w:val="24"/>
          <w:szCs w:val="24"/>
        </w:rPr>
        <w:t xml:space="preserve">30 iunie </w:t>
      </w:r>
      <w:r w:rsidRPr="00216E39">
        <w:rPr>
          <w:rFonts w:ascii="Tahoma" w:eastAsia="Calibri" w:hAnsi="Tahoma" w:cs="Tahoma"/>
          <w:sz w:val="24"/>
          <w:szCs w:val="24"/>
        </w:rPr>
        <w:t xml:space="preserve">2024 la un nivel de </w:t>
      </w:r>
      <w:r w:rsidR="00E84015" w:rsidRPr="00216E39">
        <w:rPr>
          <w:rFonts w:ascii="Tahoma" w:eastAsia="Calibri" w:hAnsi="Tahoma" w:cs="Tahoma"/>
          <w:sz w:val="24"/>
          <w:szCs w:val="24"/>
        </w:rPr>
        <w:t>51,4</w:t>
      </w:r>
      <w:r w:rsidRPr="00216E39">
        <w:rPr>
          <w:rFonts w:ascii="Tahoma" w:eastAsia="Calibri" w:hAnsi="Tahoma" w:cs="Tahoma"/>
          <w:sz w:val="24"/>
          <w:szCs w:val="24"/>
        </w:rPr>
        <w:t>% din PIB</w:t>
      </w:r>
      <w:r w:rsidR="00EC7A88">
        <w:rPr>
          <w:rFonts w:ascii="Tahoma" w:eastAsia="Calibri" w:hAnsi="Tahoma" w:cs="Tahoma"/>
          <w:sz w:val="24"/>
          <w:szCs w:val="24"/>
        </w:rPr>
        <w:t>,</w:t>
      </w:r>
      <w:r w:rsidRPr="00216E39">
        <w:rPr>
          <w:rFonts w:ascii="Tahoma" w:eastAsia="Calibri" w:hAnsi="Tahoma" w:cs="Tahoma"/>
          <w:sz w:val="24"/>
          <w:szCs w:val="24"/>
        </w:rPr>
        <w:t xml:space="preserve"> </w:t>
      </w:r>
      <w:r w:rsidR="00031C8B">
        <w:rPr>
          <w:rFonts w:ascii="Tahoma" w:eastAsia="Calibri" w:hAnsi="Tahoma" w:cs="Tahoma"/>
          <w:sz w:val="24"/>
          <w:szCs w:val="24"/>
        </w:rPr>
        <w:t xml:space="preserve">peste ținta stabilită în </w:t>
      </w:r>
      <w:r w:rsidR="00031C8B" w:rsidRPr="00216E39">
        <w:rPr>
          <w:rFonts w:ascii="Tahoma" w:eastAsia="Times New Roman" w:hAnsi="Tahoma" w:cs="Tahoma"/>
          <w:bCs/>
          <w:sz w:val="24"/>
          <w:szCs w:val="24"/>
        </w:rPr>
        <w:t>Legea nr.417/2023 pentru aprobarea plafoanelor unor indicatori specificați în cad</w:t>
      </w:r>
      <w:r w:rsidR="00031C8B">
        <w:rPr>
          <w:rFonts w:ascii="Tahoma" w:eastAsia="Times New Roman" w:hAnsi="Tahoma" w:cs="Tahoma"/>
          <w:bCs/>
          <w:sz w:val="24"/>
          <w:szCs w:val="24"/>
        </w:rPr>
        <w:t>rul fiscal-bugetar pe anul 2024</w:t>
      </w:r>
      <w:r w:rsidRPr="00216E39">
        <w:rPr>
          <w:rFonts w:ascii="Tahoma" w:eastAsia="Calibri" w:hAnsi="Tahoma" w:cs="Tahoma"/>
          <w:sz w:val="24"/>
          <w:szCs w:val="24"/>
        </w:rPr>
        <w:t>. Datoria internă a administrației publice a reprezentat</w:t>
      </w:r>
      <w:bookmarkStart w:id="30" w:name="_GoBack"/>
      <w:bookmarkEnd w:id="30"/>
      <w:r w:rsidR="00E84015" w:rsidRPr="00216E39">
        <w:rPr>
          <w:rFonts w:ascii="Tahoma" w:eastAsia="Calibri" w:hAnsi="Tahoma" w:cs="Tahoma"/>
          <w:sz w:val="24"/>
          <w:szCs w:val="24"/>
        </w:rPr>
        <w:t xml:space="preserve"> 24,8</w:t>
      </w:r>
      <w:r w:rsidRPr="00216E39">
        <w:rPr>
          <w:rFonts w:ascii="Tahoma" w:eastAsia="Calibri" w:hAnsi="Tahoma" w:cs="Tahoma"/>
          <w:sz w:val="24"/>
          <w:szCs w:val="24"/>
        </w:rPr>
        <w:t>% din PIB, iar datoria externă 26,</w:t>
      </w:r>
      <w:r w:rsidR="00E84015" w:rsidRPr="00216E39">
        <w:rPr>
          <w:rFonts w:ascii="Tahoma" w:eastAsia="Calibri" w:hAnsi="Tahoma" w:cs="Tahoma"/>
          <w:sz w:val="24"/>
          <w:szCs w:val="24"/>
        </w:rPr>
        <w:t>6</w:t>
      </w:r>
      <w:r w:rsidRPr="00216E39">
        <w:rPr>
          <w:rFonts w:ascii="Tahoma" w:eastAsia="Calibri" w:hAnsi="Tahoma" w:cs="Tahoma"/>
          <w:sz w:val="24"/>
          <w:szCs w:val="24"/>
        </w:rPr>
        <w:t xml:space="preserve">% din PIB. </w:t>
      </w:r>
    </w:p>
    <w:p w:rsidR="004B067F" w:rsidRPr="00031C8B" w:rsidRDefault="00C60107" w:rsidP="00031C8B">
      <w:pPr>
        <w:pStyle w:val="ListParagraph"/>
        <w:widowControl w:val="0"/>
        <w:numPr>
          <w:ilvl w:val="1"/>
          <w:numId w:val="12"/>
        </w:numPr>
        <w:spacing w:before="120" w:after="120" w:line="276" w:lineRule="auto"/>
        <w:ind w:left="641" w:hanging="357"/>
        <w:contextualSpacing w:val="0"/>
        <w:rPr>
          <w:rFonts w:ascii="Tahoma" w:hAnsi="Tahoma" w:cs="Tahoma"/>
          <w:sz w:val="24"/>
          <w:szCs w:val="24"/>
        </w:rPr>
      </w:pPr>
      <w:r w:rsidRPr="00216E39">
        <w:rPr>
          <w:rFonts w:ascii="Tahoma" w:hAnsi="Tahoma" w:cs="Tahoma"/>
          <w:sz w:val="24"/>
          <w:szCs w:val="24"/>
        </w:rPr>
        <w:t xml:space="preserve">Veniturile bugetului general consolidat au fost </w:t>
      </w:r>
      <w:r w:rsidR="002E13BC" w:rsidRPr="00216E39">
        <w:rPr>
          <w:rFonts w:ascii="Tahoma" w:hAnsi="Tahoma" w:cs="Tahoma"/>
          <w:sz w:val="24"/>
          <w:szCs w:val="24"/>
        </w:rPr>
        <w:t xml:space="preserve">superioare </w:t>
      </w:r>
      <w:r w:rsidRPr="00216E39">
        <w:rPr>
          <w:rFonts w:ascii="Tahoma" w:hAnsi="Tahoma" w:cs="Tahoma"/>
          <w:sz w:val="24"/>
          <w:szCs w:val="24"/>
        </w:rPr>
        <w:t>încasărilor din perioada similară a anului anterior, în termeni nominali</w:t>
      </w:r>
      <w:r w:rsidR="00B76831" w:rsidRPr="00216E39">
        <w:rPr>
          <w:rFonts w:ascii="Tahoma" w:hAnsi="Tahoma" w:cs="Tahoma"/>
          <w:sz w:val="24"/>
          <w:szCs w:val="24"/>
        </w:rPr>
        <w:t>,</w:t>
      </w:r>
      <w:r w:rsidR="00BA087F" w:rsidRPr="00216E39">
        <w:rPr>
          <w:rFonts w:ascii="Tahoma" w:hAnsi="Tahoma" w:cs="Tahoma"/>
          <w:sz w:val="24"/>
          <w:szCs w:val="24"/>
        </w:rPr>
        <w:t xml:space="preserve"> </w:t>
      </w:r>
      <w:r w:rsidR="003C7388" w:rsidRPr="00216E39">
        <w:rPr>
          <w:rFonts w:ascii="Tahoma" w:hAnsi="Tahoma" w:cs="Tahoma"/>
          <w:sz w:val="24"/>
          <w:szCs w:val="24"/>
        </w:rPr>
        <w:t>creșterea fiind de 13,5%</w:t>
      </w:r>
      <w:r w:rsidR="0068538D" w:rsidRPr="00216E39">
        <w:rPr>
          <w:rFonts w:ascii="Tahoma" w:hAnsi="Tahoma" w:cs="Tahoma"/>
          <w:sz w:val="24"/>
          <w:szCs w:val="24"/>
        </w:rPr>
        <w:t xml:space="preserve"> iar ca pondere în PIB au cresc</w:t>
      </w:r>
      <w:r w:rsidR="003C7388" w:rsidRPr="00216E39">
        <w:rPr>
          <w:rFonts w:ascii="Tahoma" w:hAnsi="Tahoma" w:cs="Tahoma"/>
          <w:sz w:val="24"/>
          <w:szCs w:val="24"/>
        </w:rPr>
        <w:t>ut cu 0,5 puncte procentuale de la 15,1% d</w:t>
      </w:r>
      <w:r w:rsidR="0068538D" w:rsidRPr="00216E39">
        <w:rPr>
          <w:rFonts w:ascii="Tahoma" w:hAnsi="Tahoma" w:cs="Tahoma"/>
          <w:sz w:val="24"/>
          <w:szCs w:val="24"/>
        </w:rPr>
        <w:t>in PI</w:t>
      </w:r>
      <w:r w:rsidR="003C7388" w:rsidRPr="00216E39">
        <w:rPr>
          <w:rFonts w:ascii="Tahoma" w:hAnsi="Tahoma" w:cs="Tahoma"/>
          <w:sz w:val="24"/>
          <w:szCs w:val="24"/>
        </w:rPr>
        <w:t>B în semestrul I 2023 la 15,6% din PIB în perioada analizată.</w:t>
      </w:r>
      <w:r w:rsidR="00031C8B">
        <w:rPr>
          <w:rFonts w:ascii="Tahoma" w:hAnsi="Tahoma" w:cs="Tahoma"/>
          <w:sz w:val="24"/>
          <w:szCs w:val="24"/>
        </w:rPr>
        <w:t xml:space="preserve"> </w:t>
      </w:r>
      <w:r w:rsidR="004B067F" w:rsidRPr="00031C8B">
        <w:rPr>
          <w:rFonts w:ascii="Tahoma" w:hAnsi="Tahoma" w:cs="Tahoma"/>
          <w:sz w:val="24"/>
          <w:szCs w:val="24"/>
        </w:rPr>
        <w:t>Veni</w:t>
      </w:r>
      <w:r w:rsidR="003C7388" w:rsidRPr="00031C8B">
        <w:rPr>
          <w:rFonts w:ascii="Tahoma" w:hAnsi="Tahoma" w:cs="Tahoma"/>
          <w:sz w:val="24"/>
          <w:szCs w:val="24"/>
        </w:rPr>
        <w:t xml:space="preserve">turile bugetului general consolidat nu au atins nivelul programat pentru semestrul I 2024 </w:t>
      </w:r>
      <w:r w:rsidR="004B067F" w:rsidRPr="00031C8B">
        <w:rPr>
          <w:rFonts w:ascii="Tahoma" w:hAnsi="Tahoma" w:cs="Tahoma"/>
          <w:sz w:val="24"/>
          <w:szCs w:val="24"/>
        </w:rPr>
        <w:t>pe fondul evoluției slabe a încasări</w:t>
      </w:r>
      <w:r w:rsidR="003C7388" w:rsidRPr="00031C8B">
        <w:rPr>
          <w:rFonts w:ascii="Tahoma" w:hAnsi="Tahoma" w:cs="Tahoma"/>
          <w:sz w:val="24"/>
          <w:szCs w:val="24"/>
        </w:rPr>
        <w:t>lor din fondurile externe nerambursabile inclusiv asistența financiară nerambursabilă aferentă PNRR</w:t>
      </w:r>
      <w:r w:rsidR="00031C8B">
        <w:rPr>
          <w:rFonts w:ascii="Tahoma" w:hAnsi="Tahoma" w:cs="Tahoma"/>
          <w:sz w:val="24"/>
          <w:szCs w:val="24"/>
        </w:rPr>
        <w:t>,</w:t>
      </w:r>
      <w:r w:rsidR="003C7388" w:rsidRPr="00031C8B">
        <w:rPr>
          <w:rFonts w:ascii="Tahoma" w:hAnsi="Tahoma" w:cs="Tahoma"/>
          <w:sz w:val="24"/>
          <w:szCs w:val="24"/>
        </w:rPr>
        <w:t xml:space="preserve"> în timp ce veniturile din economia internă au fost superioare nivelului progr</w:t>
      </w:r>
      <w:r w:rsidR="004B067F" w:rsidRPr="00031C8B">
        <w:rPr>
          <w:rFonts w:ascii="Tahoma" w:hAnsi="Tahoma" w:cs="Tahoma"/>
          <w:sz w:val="24"/>
          <w:szCs w:val="24"/>
        </w:rPr>
        <w:t>amat</w:t>
      </w:r>
      <w:r w:rsidR="00031C8B" w:rsidRPr="00031C8B">
        <w:rPr>
          <w:rFonts w:ascii="Tahoma" w:hAnsi="Tahoma" w:cs="Tahoma"/>
          <w:sz w:val="24"/>
          <w:szCs w:val="24"/>
        </w:rPr>
        <w:t xml:space="preserve"> </w:t>
      </w:r>
      <w:r w:rsidR="003C7388" w:rsidRPr="00031C8B">
        <w:rPr>
          <w:rFonts w:ascii="Tahoma" w:hAnsi="Tahoma" w:cs="Tahoma"/>
          <w:sz w:val="24"/>
          <w:szCs w:val="24"/>
        </w:rPr>
        <w:t>(</w:t>
      </w:r>
      <w:r w:rsidR="004B067F" w:rsidRPr="00031C8B">
        <w:rPr>
          <w:rFonts w:ascii="Tahoma" w:hAnsi="Tahoma" w:cs="Tahoma"/>
          <w:sz w:val="24"/>
          <w:szCs w:val="24"/>
        </w:rPr>
        <w:t>101,2% grad de realizare al programului semestrial).</w:t>
      </w:r>
    </w:p>
    <w:p w:rsidR="00C60107" w:rsidRPr="00216E39" w:rsidRDefault="00C60107" w:rsidP="004C0DCD">
      <w:pPr>
        <w:pStyle w:val="ListParagraph"/>
        <w:numPr>
          <w:ilvl w:val="0"/>
          <w:numId w:val="12"/>
        </w:numPr>
        <w:spacing w:before="120" w:after="120" w:line="276" w:lineRule="auto"/>
        <w:ind w:left="641" w:hanging="357"/>
        <w:contextualSpacing w:val="0"/>
        <w:rPr>
          <w:rFonts w:ascii="Tahoma" w:hAnsi="Tahoma" w:cs="Tahoma"/>
          <w:sz w:val="24"/>
          <w:szCs w:val="24"/>
        </w:rPr>
      </w:pPr>
      <w:r w:rsidRPr="00216E39">
        <w:rPr>
          <w:rFonts w:ascii="Tahoma" w:hAnsi="Tahoma" w:cs="Tahoma"/>
          <w:sz w:val="24"/>
          <w:szCs w:val="24"/>
        </w:rPr>
        <w:t xml:space="preserve">Cheltuielile bugetului general consolidat au fost cu </w:t>
      </w:r>
      <w:r w:rsidR="004B067F" w:rsidRPr="00216E39">
        <w:rPr>
          <w:rFonts w:ascii="Tahoma" w:hAnsi="Tahoma" w:cs="Tahoma"/>
          <w:sz w:val="24"/>
          <w:szCs w:val="24"/>
        </w:rPr>
        <w:t>21,2</w:t>
      </w:r>
      <w:r w:rsidRPr="00216E39">
        <w:rPr>
          <w:rFonts w:ascii="Tahoma" w:hAnsi="Tahoma" w:cs="Tahoma"/>
          <w:sz w:val="24"/>
          <w:szCs w:val="24"/>
        </w:rPr>
        <w:t>% mai mari comparativ cu ace</w:t>
      </w:r>
      <w:r w:rsidR="00031C8B">
        <w:rPr>
          <w:rFonts w:ascii="Tahoma" w:hAnsi="Tahoma" w:cs="Tahoma"/>
          <w:sz w:val="24"/>
          <w:szCs w:val="24"/>
        </w:rPr>
        <w:t>eași perioadă a anului anterior și reprezentând 50,4% din programul anual prognozat</w:t>
      </w:r>
      <w:r w:rsidR="004B067F" w:rsidRPr="00216E39">
        <w:rPr>
          <w:rFonts w:ascii="Tahoma" w:hAnsi="Tahoma" w:cs="Tahoma"/>
          <w:sz w:val="24"/>
          <w:szCs w:val="24"/>
        </w:rPr>
        <w:t xml:space="preserve">. </w:t>
      </w:r>
    </w:p>
    <w:p w:rsidR="00227F7D" w:rsidRPr="00216E39" w:rsidRDefault="00C60107" w:rsidP="0068538D">
      <w:pPr>
        <w:pStyle w:val="ListParagraph"/>
        <w:numPr>
          <w:ilvl w:val="0"/>
          <w:numId w:val="12"/>
        </w:numPr>
        <w:spacing w:before="120" w:after="120" w:line="276" w:lineRule="auto"/>
        <w:ind w:left="641" w:hanging="357"/>
        <w:contextualSpacing w:val="0"/>
        <w:rPr>
          <w:rFonts w:ascii="Tahoma" w:eastAsia="Arial" w:hAnsi="Tahoma" w:cs="Tahoma"/>
          <w:sz w:val="24"/>
          <w:szCs w:val="24"/>
          <w:shd w:val="clear" w:color="auto" w:fill="FFFFFF"/>
        </w:rPr>
      </w:pPr>
      <w:r w:rsidRPr="00216E39">
        <w:rPr>
          <w:rFonts w:ascii="Tahoma" w:hAnsi="Tahoma" w:cs="Tahoma"/>
          <w:sz w:val="24"/>
          <w:szCs w:val="24"/>
        </w:rPr>
        <w:t xml:space="preserve">Cheltuielile pentru investiții </w:t>
      </w:r>
      <w:bookmarkEnd w:id="24"/>
      <w:bookmarkEnd w:id="25"/>
      <w:bookmarkEnd w:id="26"/>
      <w:bookmarkEnd w:id="27"/>
      <w:bookmarkEnd w:id="28"/>
      <w:r w:rsidR="00154267" w:rsidRPr="00216E39">
        <w:rPr>
          <w:rFonts w:ascii="Tahoma" w:hAnsi="Tahoma" w:cs="Tahoma"/>
          <w:sz w:val="24"/>
          <w:szCs w:val="24"/>
        </w:rPr>
        <w:t>au înregistrat o creșt</w:t>
      </w:r>
      <w:r w:rsidR="00031C8B">
        <w:rPr>
          <w:rFonts w:ascii="Tahoma" w:hAnsi="Tahoma" w:cs="Tahoma"/>
          <w:sz w:val="24"/>
          <w:szCs w:val="24"/>
        </w:rPr>
        <w:t xml:space="preserve">ere accentuată comparativ cu </w:t>
      </w:r>
      <w:r w:rsidR="00154267" w:rsidRPr="00216E39">
        <w:rPr>
          <w:rFonts w:ascii="Tahoma" w:hAnsi="Tahoma" w:cs="Tahoma"/>
          <w:sz w:val="24"/>
          <w:szCs w:val="24"/>
        </w:rPr>
        <w:t>semestrul I 202</w:t>
      </w:r>
      <w:r w:rsidR="004B067F" w:rsidRPr="00216E39">
        <w:rPr>
          <w:rFonts w:ascii="Tahoma" w:hAnsi="Tahoma" w:cs="Tahoma"/>
          <w:sz w:val="24"/>
          <w:szCs w:val="24"/>
        </w:rPr>
        <w:t>3</w:t>
      </w:r>
      <w:r w:rsidR="00154267" w:rsidRPr="00216E39">
        <w:rPr>
          <w:rFonts w:ascii="Tahoma" w:hAnsi="Tahoma" w:cs="Tahoma"/>
          <w:sz w:val="24"/>
          <w:szCs w:val="24"/>
        </w:rPr>
        <w:t xml:space="preserve"> (+</w:t>
      </w:r>
      <w:r w:rsidR="00227F7D" w:rsidRPr="00216E39">
        <w:rPr>
          <w:rFonts w:ascii="Tahoma" w:hAnsi="Tahoma" w:cs="Tahoma"/>
          <w:sz w:val="24"/>
          <w:szCs w:val="24"/>
        </w:rPr>
        <w:t>41</w:t>
      </w:r>
      <w:r w:rsidR="00154267" w:rsidRPr="00216E39">
        <w:rPr>
          <w:rFonts w:ascii="Tahoma" w:hAnsi="Tahoma" w:cs="Tahoma"/>
          <w:sz w:val="24"/>
          <w:szCs w:val="24"/>
        </w:rPr>
        <w:t xml:space="preserve">%) alocările fiind efectuate </w:t>
      </w:r>
      <w:r w:rsidR="006E0ADC" w:rsidRPr="00216E39">
        <w:rPr>
          <w:rFonts w:ascii="Tahoma" w:hAnsi="Tahoma" w:cs="Tahoma"/>
          <w:sz w:val="24"/>
          <w:szCs w:val="24"/>
        </w:rPr>
        <w:t xml:space="preserve">în principal </w:t>
      </w:r>
      <w:r w:rsidR="00631554" w:rsidRPr="00216E39">
        <w:rPr>
          <w:rFonts w:ascii="Tahoma" w:eastAsia="Arial" w:hAnsi="Tahoma" w:cs="Tahoma"/>
          <w:sz w:val="24"/>
          <w:szCs w:val="24"/>
          <w:shd w:val="clear" w:color="auto" w:fill="FFFFFF"/>
        </w:rPr>
        <w:t>pentru</w:t>
      </w:r>
      <w:r w:rsidR="00E940C4" w:rsidRPr="00216E39">
        <w:rPr>
          <w:rFonts w:ascii="Tahoma" w:eastAsia="Arial" w:hAnsi="Tahoma" w:cs="Tahoma"/>
          <w:sz w:val="24"/>
          <w:szCs w:val="24"/>
          <w:shd w:val="clear" w:color="auto" w:fill="FFFFFF"/>
        </w:rPr>
        <w:t xml:space="preserve"> </w:t>
      </w:r>
      <w:r w:rsidR="006E0ADC" w:rsidRPr="00216E39">
        <w:rPr>
          <w:rFonts w:ascii="Tahoma" w:eastAsia="Arial" w:hAnsi="Tahoma" w:cs="Tahoma"/>
          <w:sz w:val="24"/>
          <w:szCs w:val="24"/>
          <w:shd w:val="clear" w:color="auto" w:fill="FFFFFF"/>
        </w:rPr>
        <w:t>proiectel</w:t>
      </w:r>
      <w:r w:rsidR="00E940C4" w:rsidRPr="00216E39">
        <w:rPr>
          <w:rFonts w:ascii="Tahoma" w:eastAsia="Arial" w:hAnsi="Tahoma" w:cs="Tahoma"/>
          <w:sz w:val="24"/>
          <w:szCs w:val="24"/>
          <w:shd w:val="clear" w:color="auto" w:fill="FFFFFF"/>
        </w:rPr>
        <w:t>e</w:t>
      </w:r>
      <w:r w:rsidR="006E0ADC" w:rsidRPr="00216E39">
        <w:rPr>
          <w:rFonts w:ascii="Tahoma" w:eastAsia="Arial" w:hAnsi="Tahoma" w:cs="Tahoma"/>
          <w:sz w:val="24"/>
          <w:szCs w:val="24"/>
          <w:shd w:val="clear" w:color="auto" w:fill="FFFFFF"/>
        </w:rPr>
        <w:t xml:space="preserve"> finanțate din </w:t>
      </w:r>
      <w:r w:rsidR="00227F7D" w:rsidRPr="00216E39">
        <w:rPr>
          <w:rFonts w:ascii="Tahoma" w:eastAsia="Arial" w:hAnsi="Tahoma" w:cs="Tahoma"/>
          <w:sz w:val="24"/>
          <w:szCs w:val="24"/>
          <w:shd w:val="clear" w:color="auto" w:fill="FFFFFF"/>
        </w:rPr>
        <w:t>resurse interne</w:t>
      </w:r>
      <w:r w:rsidR="006E0ADC" w:rsidRPr="00216E39">
        <w:rPr>
          <w:rFonts w:ascii="Tahoma" w:eastAsia="Arial" w:hAnsi="Tahoma" w:cs="Tahoma"/>
          <w:sz w:val="24"/>
          <w:szCs w:val="24"/>
          <w:shd w:val="clear" w:color="auto" w:fill="FFFFFF"/>
        </w:rPr>
        <w:t xml:space="preserve">, acestea reprezentând </w:t>
      </w:r>
      <w:r w:rsidR="00227F7D" w:rsidRPr="00216E39">
        <w:rPr>
          <w:rFonts w:ascii="Tahoma" w:eastAsia="Arial" w:hAnsi="Tahoma" w:cs="Tahoma"/>
          <w:sz w:val="24"/>
          <w:szCs w:val="24"/>
          <w:shd w:val="clear" w:color="auto" w:fill="FFFFFF"/>
        </w:rPr>
        <w:t xml:space="preserve">acestea reprezentând 52,84% din totalul cheltuielilor pentru investiții pe primele șase luni ale anului 2024. </w:t>
      </w:r>
    </w:p>
    <w:p w:rsidR="00227F7D" w:rsidRPr="00216E39" w:rsidRDefault="00227F7D" w:rsidP="0068538D">
      <w:pPr>
        <w:pStyle w:val="ListParagraph"/>
        <w:numPr>
          <w:ilvl w:val="1"/>
          <w:numId w:val="12"/>
        </w:numPr>
        <w:spacing w:line="276" w:lineRule="auto"/>
        <w:ind w:left="641" w:hanging="357"/>
        <w:rPr>
          <w:rFonts w:ascii="Tahoma" w:eastAsia="Times New Roman" w:hAnsi="Tahoma" w:cs="Tahoma"/>
          <w:sz w:val="24"/>
          <w:szCs w:val="24"/>
        </w:rPr>
      </w:pPr>
      <w:r w:rsidRPr="00216E39">
        <w:rPr>
          <w:rFonts w:ascii="Tahoma" w:eastAsia="Times New Roman" w:hAnsi="Tahoma" w:cs="Tahoma"/>
          <w:sz w:val="24"/>
          <w:szCs w:val="24"/>
        </w:rPr>
        <w:t>Cheltuielile privind proiectele finanțate din fonduri externe nerambursabile(inclusiv subvențiile de la Uniunea Europeană aferente agriculturii și cheltuielile cu proiectele cu finanțare din sumele reprezentând asistenta financiara nerambursabilă aferenta PNRR) au fost cu 2,0% mai mici comparativ cu aceeași perioadă a anului precedent pe fondul di</w:t>
      </w:r>
      <w:r w:rsidR="00031C8B">
        <w:rPr>
          <w:rFonts w:ascii="Tahoma" w:eastAsia="Times New Roman" w:hAnsi="Tahoma" w:cs="Tahoma"/>
          <w:sz w:val="24"/>
          <w:szCs w:val="24"/>
        </w:rPr>
        <w:t xml:space="preserve">minuării plăților pentru </w:t>
      </w:r>
      <w:r w:rsidRPr="00216E39">
        <w:rPr>
          <w:rFonts w:ascii="Tahoma" w:eastAsia="Times New Roman" w:hAnsi="Tahoma" w:cs="Tahoma"/>
          <w:sz w:val="24"/>
          <w:szCs w:val="24"/>
        </w:rPr>
        <w:t xml:space="preserve">proiectele finanțate din cadrul financiar 2014-2024 </w:t>
      </w:r>
      <w:r w:rsidR="00D5085B" w:rsidRPr="00216E39">
        <w:rPr>
          <w:rFonts w:ascii="Tahoma" w:eastAsia="Times New Roman" w:hAnsi="Tahoma" w:cs="Tahoma"/>
          <w:sz w:val="24"/>
          <w:szCs w:val="24"/>
        </w:rPr>
        <w:t>(</w:t>
      </w:r>
      <w:r w:rsidRPr="00216E39">
        <w:rPr>
          <w:rFonts w:ascii="Tahoma" w:eastAsia="Times New Roman" w:hAnsi="Tahoma" w:cs="Tahoma"/>
          <w:sz w:val="24"/>
          <w:szCs w:val="24"/>
        </w:rPr>
        <w:t xml:space="preserve">cadru financiar ce se </w:t>
      </w:r>
      <w:r w:rsidR="00D5085B" w:rsidRPr="00216E39">
        <w:rPr>
          <w:rFonts w:ascii="Tahoma" w:eastAsia="Times New Roman" w:hAnsi="Tahoma" w:cs="Tahoma"/>
          <w:sz w:val="24"/>
          <w:szCs w:val="24"/>
        </w:rPr>
        <w:t xml:space="preserve">află </w:t>
      </w:r>
      <w:r w:rsidR="0045277E" w:rsidRPr="00216E39">
        <w:rPr>
          <w:rFonts w:ascii="Tahoma" w:eastAsia="Times New Roman" w:hAnsi="Tahoma" w:cs="Tahoma"/>
          <w:sz w:val="24"/>
          <w:szCs w:val="24"/>
        </w:rPr>
        <w:t>la finalul perioadei de programare</w:t>
      </w:r>
      <w:r w:rsidR="00D5085B" w:rsidRPr="00216E39">
        <w:rPr>
          <w:rFonts w:ascii="Tahoma" w:eastAsia="Times New Roman" w:hAnsi="Tahoma" w:cs="Tahoma"/>
          <w:sz w:val="24"/>
          <w:szCs w:val="24"/>
        </w:rPr>
        <w:t>)</w:t>
      </w:r>
      <w:r w:rsidRPr="00216E39">
        <w:rPr>
          <w:rFonts w:ascii="Tahoma" w:eastAsia="Times New Roman" w:hAnsi="Tahoma" w:cs="Tahoma"/>
          <w:sz w:val="24"/>
          <w:szCs w:val="24"/>
        </w:rPr>
        <w:t>, în timp ce cheltuielile pentru proiectele finanțate din cadrului 2021-2027 și cele aferente proiectelor finanțate din asistența financiară nerambursabilă alocată pentru PNRR au înregistrat creșteri cu 7,93 miliarde lei și respectiv 2,00 miliarde lei.</w:t>
      </w:r>
    </w:p>
    <w:p w:rsidR="00332878" w:rsidRPr="00216E39" w:rsidRDefault="00332878" w:rsidP="0068538D">
      <w:pPr>
        <w:pStyle w:val="ListParagraph"/>
        <w:numPr>
          <w:ilvl w:val="1"/>
          <w:numId w:val="12"/>
        </w:numPr>
        <w:spacing w:before="120" w:after="120" w:line="276" w:lineRule="auto"/>
        <w:ind w:left="641" w:hanging="357"/>
        <w:contextualSpacing w:val="0"/>
        <w:rPr>
          <w:rFonts w:ascii="Tahoma" w:eastAsia="Times New Roman" w:hAnsi="Tahoma" w:cs="Tahoma"/>
          <w:sz w:val="24"/>
          <w:szCs w:val="24"/>
        </w:rPr>
      </w:pPr>
      <w:r w:rsidRPr="00216E39">
        <w:rPr>
          <w:rFonts w:ascii="Tahoma" w:eastAsia="Times New Roman" w:hAnsi="Tahoma" w:cs="Tahoma"/>
          <w:sz w:val="24"/>
          <w:szCs w:val="24"/>
        </w:rPr>
        <w:lastRenderedPageBreak/>
        <w:t xml:space="preserve">Absorbția fondurilor externe nerambursabile reprezintă o prioritate pentru România și </w:t>
      </w:r>
      <w:r w:rsidR="00D5085B" w:rsidRPr="00216E39">
        <w:rPr>
          <w:rFonts w:ascii="Tahoma" w:eastAsia="Times New Roman" w:hAnsi="Tahoma" w:cs="Tahoma"/>
          <w:sz w:val="24"/>
          <w:szCs w:val="24"/>
        </w:rPr>
        <w:t xml:space="preserve">ca urmare este imperios necesar ca în a doua jumătate anului curent ordonatorii principali de credite să accelereze implementarea proiectelor finanțate din fonduri externe nerambursabile </w:t>
      </w:r>
      <w:r w:rsidR="00FA12D6" w:rsidRPr="00216E39">
        <w:rPr>
          <w:rFonts w:ascii="Tahoma" w:eastAsia="Times New Roman" w:hAnsi="Tahoma" w:cs="Tahoma"/>
          <w:sz w:val="24"/>
          <w:szCs w:val="24"/>
        </w:rPr>
        <w:t xml:space="preserve">și </w:t>
      </w:r>
      <w:r w:rsidR="0045277E" w:rsidRPr="00216E39">
        <w:rPr>
          <w:rFonts w:ascii="Tahoma" w:eastAsia="Times New Roman" w:hAnsi="Tahoma" w:cs="Tahoma"/>
          <w:sz w:val="24"/>
          <w:szCs w:val="24"/>
        </w:rPr>
        <w:t>în special</w:t>
      </w:r>
      <w:r w:rsidR="00D5085B" w:rsidRPr="00216E39">
        <w:rPr>
          <w:rFonts w:ascii="Tahoma" w:eastAsia="Times New Roman" w:hAnsi="Tahoma" w:cs="Tahoma"/>
          <w:sz w:val="24"/>
          <w:szCs w:val="24"/>
        </w:rPr>
        <w:t xml:space="preserve"> </w:t>
      </w:r>
      <w:r w:rsidR="00FA12D6" w:rsidRPr="00216E39">
        <w:rPr>
          <w:rFonts w:ascii="Tahoma" w:eastAsia="Times New Roman" w:hAnsi="Tahoma" w:cs="Tahoma"/>
          <w:sz w:val="24"/>
          <w:szCs w:val="24"/>
        </w:rPr>
        <w:t xml:space="preserve">a celor din asistența financiară nerambursabilă a </w:t>
      </w:r>
      <w:r w:rsidR="00D5085B" w:rsidRPr="00216E39">
        <w:rPr>
          <w:rFonts w:ascii="Tahoma" w:eastAsia="Times New Roman" w:hAnsi="Tahoma" w:cs="Tahoma"/>
          <w:sz w:val="24"/>
          <w:szCs w:val="24"/>
        </w:rPr>
        <w:t xml:space="preserve">PNRR. </w:t>
      </w:r>
    </w:p>
    <w:p w:rsidR="008B5A4A" w:rsidRPr="00216E39" w:rsidRDefault="00D90007" w:rsidP="0049621F">
      <w:pPr>
        <w:pStyle w:val="ListParagraph"/>
        <w:numPr>
          <w:ilvl w:val="0"/>
          <w:numId w:val="12"/>
        </w:numPr>
        <w:spacing w:before="240" w:after="120" w:line="276" w:lineRule="auto"/>
        <w:ind w:left="641" w:hanging="357"/>
        <w:contextualSpacing w:val="0"/>
        <w:rPr>
          <w:rFonts w:ascii="Tahoma" w:hAnsi="Tahoma" w:cs="Tahoma"/>
          <w:sz w:val="24"/>
          <w:szCs w:val="24"/>
        </w:rPr>
      </w:pPr>
      <w:r w:rsidRPr="00216E39">
        <w:rPr>
          <w:rFonts w:ascii="Tahoma" w:hAnsi="Tahoma" w:cs="Tahoma"/>
          <w:bCs/>
          <w:sz w:val="24"/>
          <w:szCs w:val="24"/>
        </w:rPr>
        <w:t>Având în vedere execuția bugetară din primul semestru al anului 202</w:t>
      </w:r>
      <w:r w:rsidR="00D5085B" w:rsidRPr="00216E39">
        <w:rPr>
          <w:rFonts w:ascii="Tahoma" w:hAnsi="Tahoma" w:cs="Tahoma"/>
          <w:bCs/>
          <w:sz w:val="24"/>
          <w:szCs w:val="24"/>
        </w:rPr>
        <w:t>4</w:t>
      </w:r>
      <w:r w:rsidRPr="00216E39">
        <w:rPr>
          <w:rFonts w:ascii="Tahoma" w:hAnsi="Tahoma" w:cs="Tahoma"/>
          <w:bCs/>
          <w:sz w:val="24"/>
          <w:szCs w:val="24"/>
        </w:rPr>
        <w:t xml:space="preserve"> apreciem că </w:t>
      </w:r>
      <w:r w:rsidR="008B5A4A" w:rsidRPr="00216E39">
        <w:rPr>
          <w:rFonts w:ascii="Tahoma" w:hAnsi="Tahoma" w:cs="Tahoma"/>
          <w:bCs/>
          <w:sz w:val="24"/>
          <w:szCs w:val="24"/>
        </w:rPr>
        <w:t>pentru atingerea țintei de deficit stabilite pentru anul 202</w:t>
      </w:r>
      <w:r w:rsidR="00FA12D6" w:rsidRPr="00216E39">
        <w:rPr>
          <w:rFonts w:ascii="Tahoma" w:hAnsi="Tahoma" w:cs="Tahoma"/>
          <w:bCs/>
          <w:sz w:val="24"/>
          <w:szCs w:val="24"/>
        </w:rPr>
        <w:t>4</w:t>
      </w:r>
      <w:r w:rsidR="008B5A4A" w:rsidRPr="00216E39">
        <w:rPr>
          <w:rFonts w:ascii="Tahoma" w:hAnsi="Tahoma" w:cs="Tahoma"/>
          <w:bCs/>
          <w:sz w:val="24"/>
          <w:szCs w:val="24"/>
        </w:rPr>
        <w:t xml:space="preserve"> este necesar </w:t>
      </w:r>
      <w:r w:rsidR="00D5085B" w:rsidRPr="00216E39">
        <w:rPr>
          <w:rFonts w:ascii="Tahoma" w:hAnsi="Tahoma" w:cs="Tahoma"/>
          <w:bCs/>
          <w:sz w:val="24"/>
          <w:szCs w:val="24"/>
        </w:rPr>
        <w:t xml:space="preserve">să fie continuate și intensificate </w:t>
      </w:r>
      <w:r w:rsidR="008B5A4A" w:rsidRPr="00216E39">
        <w:rPr>
          <w:rFonts w:ascii="Tahoma" w:hAnsi="Tahoma" w:cs="Tahoma"/>
          <w:bCs/>
          <w:sz w:val="24"/>
          <w:szCs w:val="24"/>
        </w:rPr>
        <w:t>eforturil</w:t>
      </w:r>
      <w:r w:rsidR="00D5085B" w:rsidRPr="00216E39">
        <w:rPr>
          <w:rFonts w:ascii="Tahoma" w:hAnsi="Tahoma" w:cs="Tahoma"/>
          <w:bCs/>
          <w:sz w:val="24"/>
          <w:szCs w:val="24"/>
        </w:rPr>
        <w:t>e</w:t>
      </w:r>
      <w:r w:rsidR="008B5A4A" w:rsidRPr="00216E39">
        <w:rPr>
          <w:rFonts w:ascii="Tahoma" w:hAnsi="Tahoma" w:cs="Tahoma"/>
          <w:bCs/>
          <w:sz w:val="24"/>
          <w:szCs w:val="24"/>
        </w:rPr>
        <w:t xml:space="preserve"> pentru o colectare cât mai bună a veniturilor bugetare</w:t>
      </w:r>
      <w:r w:rsidR="00D5085B" w:rsidRPr="00216E39">
        <w:rPr>
          <w:rFonts w:ascii="Tahoma" w:hAnsi="Tahoma" w:cs="Tahoma"/>
          <w:bCs/>
          <w:sz w:val="24"/>
          <w:szCs w:val="24"/>
        </w:rPr>
        <w:t xml:space="preserve"> astfel încât nivelul programat să fie atins.</w:t>
      </w:r>
      <w:r w:rsidR="008B5A4A" w:rsidRPr="00216E39">
        <w:rPr>
          <w:rFonts w:ascii="Tahoma" w:hAnsi="Tahoma" w:cs="Tahoma"/>
          <w:bCs/>
          <w:sz w:val="24"/>
          <w:szCs w:val="24"/>
        </w:rPr>
        <w:t xml:space="preserve"> Totodată în cazul cheltuielilor bugetare se recomandă </w:t>
      </w:r>
      <w:r w:rsidR="00D5085B" w:rsidRPr="00216E39">
        <w:rPr>
          <w:rFonts w:ascii="Tahoma" w:hAnsi="Tahoma" w:cs="Tahoma"/>
          <w:bCs/>
          <w:sz w:val="24"/>
          <w:szCs w:val="24"/>
        </w:rPr>
        <w:t xml:space="preserve">o reducere a ritmului accelerat înregistrat în prima parte a anului curent și o atenție deosebită </w:t>
      </w:r>
      <w:r w:rsidR="008B5A4A" w:rsidRPr="00216E39">
        <w:rPr>
          <w:rFonts w:ascii="Tahoma" w:hAnsi="Tahoma" w:cs="Tahoma"/>
          <w:bCs/>
          <w:sz w:val="24"/>
          <w:szCs w:val="24"/>
        </w:rPr>
        <w:t>în angajarea de noi cheltuieli</w:t>
      </w:r>
      <w:r w:rsidR="00D41B5E" w:rsidRPr="00216E39">
        <w:rPr>
          <w:rFonts w:ascii="Tahoma" w:hAnsi="Tahoma" w:cs="Tahoma"/>
          <w:bCs/>
          <w:sz w:val="24"/>
          <w:szCs w:val="24"/>
        </w:rPr>
        <w:t xml:space="preserve"> </w:t>
      </w:r>
      <w:r w:rsidR="008B5A4A" w:rsidRPr="00216E39">
        <w:rPr>
          <w:rFonts w:ascii="Tahoma" w:hAnsi="Tahoma" w:cs="Tahoma"/>
          <w:bCs/>
          <w:sz w:val="24"/>
          <w:szCs w:val="24"/>
        </w:rPr>
        <w:t xml:space="preserve">precum și o analiză riguroasă a cheltuielilor programate </w:t>
      </w:r>
      <w:r w:rsidR="00EF30E0" w:rsidRPr="00216E39">
        <w:rPr>
          <w:rFonts w:ascii="Tahoma" w:hAnsi="Tahoma" w:cs="Tahoma"/>
          <w:bCs/>
          <w:sz w:val="24"/>
          <w:szCs w:val="24"/>
        </w:rPr>
        <w:t xml:space="preserve">în vederea </w:t>
      </w:r>
      <w:r w:rsidR="008B5A4A" w:rsidRPr="00216E39">
        <w:rPr>
          <w:rFonts w:ascii="Tahoma" w:hAnsi="Tahoma" w:cs="Tahoma"/>
          <w:bCs/>
          <w:sz w:val="24"/>
          <w:szCs w:val="24"/>
        </w:rPr>
        <w:t>identific</w:t>
      </w:r>
      <w:r w:rsidR="00EF30E0" w:rsidRPr="00216E39">
        <w:rPr>
          <w:rFonts w:ascii="Tahoma" w:hAnsi="Tahoma" w:cs="Tahoma"/>
          <w:bCs/>
          <w:sz w:val="24"/>
          <w:szCs w:val="24"/>
        </w:rPr>
        <w:t>ării</w:t>
      </w:r>
      <w:r w:rsidR="008B5A4A" w:rsidRPr="00216E39">
        <w:rPr>
          <w:rFonts w:ascii="Tahoma" w:hAnsi="Tahoma" w:cs="Tahoma"/>
          <w:bCs/>
          <w:sz w:val="24"/>
          <w:szCs w:val="24"/>
        </w:rPr>
        <w:t xml:space="preserve"> </w:t>
      </w:r>
      <w:r w:rsidR="00EF30E0" w:rsidRPr="00216E39">
        <w:rPr>
          <w:rFonts w:ascii="Tahoma" w:hAnsi="Tahoma" w:cs="Tahoma"/>
          <w:bCs/>
          <w:sz w:val="24"/>
          <w:szCs w:val="24"/>
        </w:rPr>
        <w:t xml:space="preserve">unor </w:t>
      </w:r>
      <w:r w:rsidR="008B5A4A" w:rsidRPr="00216E39">
        <w:rPr>
          <w:rFonts w:ascii="Tahoma" w:hAnsi="Tahoma" w:cs="Tahoma"/>
          <w:bCs/>
          <w:sz w:val="24"/>
          <w:szCs w:val="24"/>
        </w:rPr>
        <w:t>eventuale sume ce pot fi economisite</w:t>
      </w:r>
      <w:r w:rsidR="00F66D63" w:rsidRPr="00216E39">
        <w:rPr>
          <w:rFonts w:ascii="Tahoma" w:hAnsi="Tahoma" w:cs="Tahoma"/>
          <w:bCs/>
          <w:sz w:val="24"/>
          <w:szCs w:val="24"/>
        </w:rPr>
        <w:t xml:space="preserve"> astfel</w:t>
      </w:r>
      <w:r w:rsidR="002960BD" w:rsidRPr="00216E39">
        <w:rPr>
          <w:rFonts w:ascii="Tahoma" w:hAnsi="Tahoma" w:cs="Tahoma"/>
          <w:bCs/>
          <w:sz w:val="24"/>
          <w:szCs w:val="24"/>
        </w:rPr>
        <w:t xml:space="preserve"> încât </w:t>
      </w:r>
      <w:r w:rsidR="00EF30E0" w:rsidRPr="00216E39">
        <w:rPr>
          <w:rFonts w:ascii="Tahoma" w:hAnsi="Tahoma" w:cs="Tahoma"/>
          <w:bCs/>
          <w:sz w:val="24"/>
          <w:szCs w:val="24"/>
        </w:rPr>
        <w:t>acestea să nu afecteze negativ soldul bugetar stabilit pentru anul 2024</w:t>
      </w:r>
      <w:r w:rsidR="008B5A4A" w:rsidRPr="00216E39">
        <w:rPr>
          <w:rFonts w:ascii="Tahoma" w:hAnsi="Tahoma" w:cs="Tahoma"/>
          <w:bCs/>
          <w:sz w:val="24"/>
          <w:szCs w:val="24"/>
        </w:rPr>
        <w:t>.</w:t>
      </w:r>
    </w:p>
    <w:p w:rsidR="00332878" w:rsidRPr="00216E39" w:rsidRDefault="00332878" w:rsidP="0068538D">
      <w:pPr>
        <w:pStyle w:val="ListParagraph"/>
        <w:widowControl w:val="0"/>
        <w:numPr>
          <w:ilvl w:val="0"/>
          <w:numId w:val="12"/>
        </w:numPr>
        <w:suppressAutoHyphens/>
        <w:spacing w:line="276" w:lineRule="auto"/>
        <w:rPr>
          <w:rFonts w:ascii="Tahoma" w:hAnsi="Tahoma" w:cs="Tahoma"/>
          <w:bCs/>
          <w:sz w:val="24"/>
          <w:szCs w:val="24"/>
        </w:rPr>
      </w:pPr>
      <w:r w:rsidRPr="00216E39">
        <w:rPr>
          <w:rFonts w:ascii="Tahoma" w:hAnsi="Tahoma" w:cs="Tahoma"/>
          <w:bCs/>
          <w:sz w:val="24"/>
          <w:szCs w:val="24"/>
        </w:rPr>
        <w:t xml:space="preserve">În lipsa unor măsuri bugetare adoptate de urgență, care să conducă la limitarea și diminuarea cheltuielilor bugetare pe perioada rămasă până la sfârșitul acestui an, </w:t>
      </w:r>
      <w:r w:rsidR="00EF30E0" w:rsidRPr="00216E39">
        <w:rPr>
          <w:rFonts w:ascii="Tahoma" w:hAnsi="Tahoma" w:cs="Tahoma"/>
          <w:bCs/>
          <w:sz w:val="24"/>
          <w:szCs w:val="24"/>
        </w:rPr>
        <w:t xml:space="preserve">există riscul major ca </w:t>
      </w:r>
      <w:r w:rsidRPr="00216E39">
        <w:rPr>
          <w:rFonts w:ascii="Tahoma" w:hAnsi="Tahoma" w:cs="Tahoma"/>
          <w:bCs/>
          <w:sz w:val="24"/>
          <w:szCs w:val="24"/>
        </w:rPr>
        <w:t xml:space="preserve">ținta de deficit asumată </w:t>
      </w:r>
      <w:r w:rsidR="00EF30E0" w:rsidRPr="00216E39">
        <w:rPr>
          <w:rFonts w:ascii="Tahoma" w:hAnsi="Tahoma" w:cs="Tahoma"/>
          <w:bCs/>
          <w:sz w:val="24"/>
          <w:szCs w:val="24"/>
        </w:rPr>
        <w:t>să fie</w:t>
      </w:r>
      <w:r w:rsidRPr="00216E39">
        <w:rPr>
          <w:rFonts w:ascii="Tahoma" w:hAnsi="Tahoma" w:cs="Tahoma"/>
          <w:bCs/>
          <w:sz w:val="24"/>
          <w:szCs w:val="24"/>
        </w:rPr>
        <w:t xml:space="preserve"> depășită</w:t>
      </w:r>
      <w:r w:rsidR="00EC7A88">
        <w:rPr>
          <w:rFonts w:ascii="Tahoma" w:hAnsi="Tahoma" w:cs="Tahoma"/>
          <w:bCs/>
          <w:sz w:val="24"/>
          <w:szCs w:val="24"/>
        </w:rPr>
        <w:t xml:space="preserve"> și să ajungă la un deficit de peste 6,9% din PIB</w:t>
      </w:r>
      <w:r w:rsidRPr="00216E39">
        <w:rPr>
          <w:rFonts w:ascii="Tahoma" w:hAnsi="Tahoma" w:cs="Tahoma"/>
          <w:bCs/>
          <w:sz w:val="24"/>
          <w:szCs w:val="24"/>
        </w:rPr>
        <w:t>, cu consecințe imediate asupra creșterii costurilor finanțării deficitului bugetar dar și asupra fondurilor alocate pentru investiții în cadrul Politicii de Coeziune cât și asupra fondurilor alocate prin Planul Național de Redresare și Reziliență.</w:t>
      </w:r>
    </w:p>
    <w:p w:rsidR="00332878" w:rsidRPr="00216E39" w:rsidRDefault="00332878" w:rsidP="00332878">
      <w:pPr>
        <w:spacing w:before="240" w:after="120" w:line="276" w:lineRule="auto"/>
        <w:ind w:left="360" w:firstLine="0"/>
        <w:rPr>
          <w:rFonts w:ascii="Tahoma" w:hAnsi="Tahoma" w:cs="Tahoma"/>
          <w:sz w:val="24"/>
          <w:szCs w:val="24"/>
        </w:rPr>
      </w:pPr>
    </w:p>
    <w:p w:rsidR="00D41B5E" w:rsidRPr="00216E39" w:rsidRDefault="00D41B5E" w:rsidP="00A513B0">
      <w:pPr>
        <w:pStyle w:val="ListParagraph"/>
        <w:keepNext/>
        <w:keepLines/>
        <w:spacing w:after="120" w:line="276" w:lineRule="auto"/>
        <w:ind w:firstLine="0"/>
        <w:contextualSpacing w:val="0"/>
        <w:rPr>
          <w:rFonts w:ascii="Arial" w:hAnsi="Arial" w:cs="Arial"/>
          <w:sz w:val="24"/>
          <w:szCs w:val="24"/>
        </w:rPr>
      </w:pPr>
    </w:p>
    <w:p w:rsidR="00D41B5E" w:rsidRPr="00216E39" w:rsidRDefault="00D41B5E" w:rsidP="00D41B5E">
      <w:pPr>
        <w:pStyle w:val="ListParagraph"/>
        <w:spacing w:before="240" w:after="120" w:line="276" w:lineRule="auto"/>
        <w:ind w:left="641" w:firstLine="0"/>
        <w:contextualSpacing w:val="0"/>
        <w:rPr>
          <w:rFonts w:ascii="Tahoma" w:hAnsi="Tahoma" w:cs="Tahoma"/>
          <w:sz w:val="24"/>
          <w:szCs w:val="24"/>
        </w:rPr>
      </w:pPr>
    </w:p>
    <w:sectPr w:rsidR="00D41B5E" w:rsidRPr="00216E39" w:rsidSect="00B355D9">
      <w:headerReference w:type="even" r:id="rId17"/>
      <w:headerReference w:type="default" r:id="rId18"/>
      <w:footerReference w:type="even" r:id="rId19"/>
      <w:footerReference w:type="default" r:id="rId20"/>
      <w:headerReference w:type="first" r:id="rId21"/>
      <w:footerReference w:type="first" r:id="rId22"/>
      <w:pgSz w:w="11906" w:h="16838"/>
      <w:pgMar w:top="1418" w:right="1416"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7F" w:rsidRDefault="0010487F" w:rsidP="007C4F03">
      <w:pPr>
        <w:spacing w:after="0"/>
      </w:pPr>
      <w:r>
        <w:separator/>
      </w:r>
    </w:p>
  </w:endnote>
  <w:endnote w:type="continuationSeparator" w:id="0">
    <w:p w:rsidR="0010487F" w:rsidRDefault="0010487F"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26" w:rsidRDefault="00574D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26" w:rsidRDefault="00574D26">
    <w:pPr>
      <w:pStyle w:val="Foote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92075</wp:posOffset>
              </wp:positionH>
              <wp:positionV relativeFrom="paragraph">
                <wp:posOffset>-170815</wp:posOffset>
              </wp:positionV>
              <wp:extent cx="5943600" cy="27559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5590"/>
                      </a:xfrm>
                      <a:prstGeom prst="rect">
                        <a:avLst/>
                      </a:prstGeom>
                      <a:noFill/>
                      <a:ln w="6350">
                        <a:noFill/>
                      </a:ln>
                      <a:effectLst/>
                    </wps:spPr>
                    <wps:txbx>
                      <w:txbxContent>
                        <w:p w:rsidR="00574D26" w:rsidRPr="00CC1A7B" w:rsidRDefault="0010487F" w:rsidP="00A76956">
                          <w:pPr>
                            <w:pStyle w:val="Header"/>
                            <w:shd w:val="clear" w:color="auto" w:fill="E2EFD9" w:themeFill="accent6" w:themeFillTint="33"/>
                            <w:jc w:val="center"/>
                            <w:rPr>
                              <w:rFonts w:ascii="Tahoma" w:hAnsi="Tahoma" w:cs="Tahoma"/>
                              <w:sz w:val="24"/>
                              <w:szCs w:val="24"/>
                            </w:rPr>
                          </w:pPr>
                          <w:sdt>
                            <w:sdtPr>
                              <w:rPr>
                                <w:rStyle w:val="Emphasis"/>
                                <w:rFonts w:ascii="Tahoma" w:hAnsi="Tahoma" w:cs="Tahoma"/>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574D26" w:rsidRPr="00CC1A7B">
                                <w:rPr>
                                  <w:rStyle w:val="Emphasis"/>
                                  <w:rFonts w:ascii="Tahoma" w:hAnsi="Tahoma" w:cs="Tahoma"/>
                                  <w:sz w:val="24"/>
                                  <w:szCs w:val="24"/>
                                </w:rPr>
                                <w:t>Raport privind situația economică și bugetară</w:t>
                              </w:r>
                            </w:sdtContent>
                          </w:sdt>
                          <w:r w:rsidR="00574D26" w:rsidRPr="00CC1A7B">
                            <w:rPr>
                              <w:rStyle w:val="Emphasis"/>
                              <w:rFonts w:ascii="Tahoma" w:hAnsi="Tahoma" w:cs="Tahoma"/>
                              <w:sz w:val="24"/>
                              <w:szCs w:val="24"/>
                            </w:rPr>
                            <w:t xml:space="preserve"> pe primele șase luni ale anului 202</w:t>
                          </w:r>
                          <w:r w:rsidR="00574D26">
                            <w:rPr>
                              <w:rStyle w:val="Emphasis"/>
                              <w:rFonts w:ascii="Tahoma" w:hAnsi="Tahoma" w:cs="Tahoma"/>
                              <w:sz w:val="24"/>
                              <w:szCs w:val="24"/>
                            </w:rPr>
                            <w:t>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left:0;text-align:left;margin-left:7.25pt;margin-top:-13.45pt;width:468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" filled="f" stroked="f" strokeweight=".5pt">
              <v:path arrowok="t"/>
              <v:textbox style="mso-fit-shape-to-text:t" inset="0,,0">
                <w:txbxContent>
                  <w:p w:rsidR="00A6476C" w:rsidRPr="00CC1A7B" w:rsidRDefault="00A6476C" w:rsidP="00A76956">
                    <w:pPr>
                      <w:pStyle w:val="Header"/>
                      <w:shd w:val="clear" w:color="auto" w:fill="E2EFD9" w:themeFill="accent6" w:themeFillTint="33"/>
                      <w:jc w:val="center"/>
                      <w:rPr>
                        <w:rFonts w:ascii="Tahoma" w:hAnsi="Tahoma" w:cs="Tahoma"/>
                        <w:sz w:val="24"/>
                        <w:szCs w:val="24"/>
                      </w:rPr>
                    </w:pPr>
                    <w:sdt>
                      <w:sdtPr>
                        <w:rPr>
                          <w:rStyle w:val="Emphasis"/>
                          <w:rFonts w:ascii="Tahoma" w:hAnsi="Tahoma" w:cs="Tahoma"/>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Content>
                        <w:r w:rsidRPr="00CC1A7B">
                          <w:rPr>
                            <w:rStyle w:val="Emphasis"/>
                            <w:rFonts w:ascii="Tahoma" w:hAnsi="Tahoma" w:cs="Tahoma"/>
                            <w:sz w:val="24"/>
                            <w:szCs w:val="24"/>
                          </w:rPr>
                          <w:t>Raport privind situația economică și bugetară</w:t>
                        </w:r>
                      </w:sdtContent>
                    </w:sdt>
                    <w:r w:rsidRPr="00CC1A7B">
                      <w:rPr>
                        <w:rStyle w:val="Emphasis"/>
                        <w:rFonts w:ascii="Tahoma" w:hAnsi="Tahoma" w:cs="Tahoma"/>
                        <w:sz w:val="24"/>
                        <w:szCs w:val="24"/>
                      </w:rPr>
                      <w:t xml:space="preserve"> pe primele șase luni ale anului 202</w:t>
                    </w:r>
                    <w:r>
                      <w:rPr>
                        <w:rStyle w:val="Emphasis"/>
                        <w:rFonts w:ascii="Tahoma" w:hAnsi="Tahoma" w:cs="Tahoma"/>
                        <w:sz w:val="24"/>
                        <w:szCs w:val="24"/>
                      </w:rPr>
                      <w:t>4</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720725</wp:posOffset>
              </wp:positionH>
              <wp:positionV relativeFrom="paragraph">
                <wp:posOffset>29845</wp:posOffset>
              </wp:positionV>
              <wp:extent cx="5943600" cy="27432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CEC6B" id="Rectangle 165" o:spid="_x0000_s1026" style="position:absolute;margin-left:56.75pt;margin-top:2.35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" fillcolor="white [3212]" stroked="f" strokeweight="1pt">
              <v:fill opacity="0"/>
              <v:path arrowok="t"/>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26" w:rsidRDefault="00574D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7F" w:rsidRDefault="0010487F" w:rsidP="007C4F03">
      <w:pPr>
        <w:spacing w:after="0"/>
      </w:pPr>
      <w:r>
        <w:separator/>
      </w:r>
    </w:p>
  </w:footnote>
  <w:footnote w:type="continuationSeparator" w:id="0">
    <w:p w:rsidR="0010487F" w:rsidRDefault="0010487F" w:rsidP="007C4F03">
      <w:pPr>
        <w:spacing w:after="0"/>
      </w:pPr>
      <w:r>
        <w:continuationSeparator/>
      </w:r>
    </w:p>
  </w:footnote>
  <w:footnote w:id="1">
    <w:p w:rsidR="00574D26" w:rsidRDefault="00574D26" w:rsidP="00F11C29">
      <w:pPr>
        <w:autoSpaceDE w:val="0"/>
        <w:autoSpaceDN w:val="0"/>
        <w:adjustRightInd w:val="0"/>
        <w:rPr>
          <w:rFonts w:eastAsia="Calibri" w:cstheme="minorHAnsi"/>
          <w:sz w:val="20"/>
          <w:szCs w:val="20"/>
        </w:rPr>
      </w:pPr>
      <w:r w:rsidRPr="001D68EA">
        <w:rPr>
          <w:rStyle w:val="FootnoteReference"/>
          <w:rFonts w:eastAsia="Calibri" w:cstheme="minorHAnsi"/>
          <w:sz w:val="20"/>
          <w:szCs w:val="20"/>
          <w:lang w:val="en-GB"/>
        </w:rPr>
        <w:footnoteRef/>
      </w:r>
      <w:r>
        <w:t xml:space="preserve"> </w:t>
      </w:r>
      <w:r>
        <w:rPr>
          <w:rFonts w:eastAsia="Calibri" w:cstheme="minorHAnsi"/>
          <w:sz w:val="20"/>
          <w:szCs w:val="20"/>
        </w:rPr>
        <w:t>Legea nr. 322/2021 pentru completarea Legii nr. 227/2015 privind Codul fiscal</w:t>
      </w:r>
    </w:p>
  </w:footnote>
  <w:footnote w:id="2">
    <w:p w:rsidR="00574D26" w:rsidRPr="00776D3B" w:rsidRDefault="00574D26" w:rsidP="00F11C29">
      <w:pPr>
        <w:pStyle w:val="FootnoteText"/>
      </w:pPr>
      <w:r w:rsidRPr="001D68EA">
        <w:rPr>
          <w:rStyle w:val="FootnoteReference"/>
          <w:rFonts w:asciiTheme="minorHAnsi" w:hAnsiTheme="minorHAnsi" w:cstheme="minorHAnsi"/>
        </w:rPr>
        <w:footnoteRef/>
      </w:r>
      <w:r>
        <w:t xml:space="preserve"> </w:t>
      </w:r>
      <w:r w:rsidRPr="00776D3B">
        <w:rPr>
          <w:rFonts w:asciiTheme="minorHAnsi" w:hAnsiTheme="minorHAnsi" w:cstheme="minorHAnsi"/>
        </w:rPr>
        <w:t>decembrie 2023-</w:t>
      </w:r>
      <w:r>
        <w:rPr>
          <w:rFonts w:asciiTheme="minorHAnsi" w:hAnsiTheme="minorHAnsi" w:cstheme="minorHAnsi"/>
        </w:rPr>
        <w:t>mai 2024/decembrie 2022-mai</w:t>
      </w:r>
      <w:r w:rsidRPr="00776D3B">
        <w:rPr>
          <w:rFonts w:asciiTheme="minorHAnsi" w:hAnsiTheme="minorHAnsi" w:cstheme="minorHAnsi"/>
        </w:rPr>
        <w:t xml:space="preserve"> 2023</w:t>
      </w:r>
    </w:p>
  </w:footnote>
  <w:footnote w:id="3">
    <w:p w:rsidR="00574D26" w:rsidRPr="00B00FA0" w:rsidRDefault="00574D26" w:rsidP="006E29DF">
      <w:pPr>
        <w:autoSpaceDE w:val="0"/>
        <w:autoSpaceDN w:val="0"/>
        <w:adjustRightInd w:val="0"/>
        <w:spacing w:after="0"/>
      </w:pPr>
      <w:r w:rsidRPr="001D68EA">
        <w:rPr>
          <w:rStyle w:val="FootnoteReference"/>
          <w:rFonts w:eastAsia="Calibri" w:cstheme="minorHAnsi"/>
          <w:sz w:val="20"/>
          <w:szCs w:val="20"/>
          <w:lang w:val="en-GB"/>
        </w:rPr>
        <w:footnoteRef/>
      </w:r>
      <w:r w:rsidRPr="000E040D">
        <w:rPr>
          <w:rFonts w:cstheme="minorHAnsi"/>
        </w:rPr>
        <w:t xml:space="preserve"> </w:t>
      </w:r>
      <w:r w:rsidRPr="00B00FA0">
        <w:rPr>
          <w:rFonts w:eastAsia="Calibri" w:cstheme="minorHAnsi"/>
          <w:sz w:val="20"/>
          <w:szCs w:val="20"/>
        </w:rPr>
        <w:t>O.U.G. nr. 93/2023</w:t>
      </w:r>
      <w:r>
        <w:t xml:space="preserve"> </w:t>
      </w:r>
      <w:r w:rsidRPr="00B00FA0">
        <w:rPr>
          <w:rFonts w:eastAsia="Calibri" w:cstheme="minorHAnsi"/>
          <w:sz w:val="20"/>
          <w:szCs w:val="20"/>
        </w:rPr>
        <w:t xml:space="preserve">pentru stabilirea salariului de bază minim brut pe </w:t>
      </w:r>
      <w:r w:rsidR="00C80DC7" w:rsidRPr="00B00FA0">
        <w:rPr>
          <w:rFonts w:eastAsia="Calibri" w:cstheme="minorHAnsi"/>
          <w:sz w:val="20"/>
          <w:szCs w:val="20"/>
        </w:rPr>
        <w:t>țară</w:t>
      </w:r>
      <w:r w:rsidRPr="00B00FA0">
        <w:rPr>
          <w:rFonts w:eastAsia="Calibri" w:cstheme="minorHAnsi"/>
          <w:sz w:val="20"/>
          <w:szCs w:val="20"/>
        </w:rPr>
        <w:t xml:space="preserve"> garantat în plată pentru sectoarele </w:t>
      </w:r>
      <w:r w:rsidR="00C80DC7" w:rsidRPr="00B00FA0">
        <w:rPr>
          <w:rFonts w:eastAsia="Calibri" w:cstheme="minorHAnsi"/>
          <w:sz w:val="20"/>
          <w:szCs w:val="20"/>
        </w:rPr>
        <w:t>construcții</w:t>
      </w:r>
      <w:r w:rsidRPr="00B00FA0">
        <w:rPr>
          <w:rFonts w:eastAsia="Calibri" w:cstheme="minorHAnsi"/>
          <w:sz w:val="20"/>
          <w:szCs w:val="20"/>
        </w:rPr>
        <w:t>, agricol şi industria alimentară</w:t>
      </w:r>
    </w:p>
  </w:footnote>
  <w:footnote w:id="4">
    <w:p w:rsidR="00574D26" w:rsidRPr="00B00FA0" w:rsidRDefault="00574D26" w:rsidP="006E29DF">
      <w:pPr>
        <w:pStyle w:val="FootnoteText"/>
        <w:rPr>
          <w:rFonts w:asciiTheme="minorHAnsi" w:hAnsiTheme="minorHAnsi" w:cstheme="minorHAnsi"/>
        </w:rPr>
      </w:pPr>
      <w:r w:rsidRPr="001D68EA">
        <w:rPr>
          <w:rStyle w:val="FootnoteReference"/>
          <w:rFonts w:asciiTheme="minorHAnsi" w:hAnsiTheme="minorHAnsi" w:cstheme="minorHAnsi"/>
        </w:rPr>
        <w:footnoteRef/>
      </w:r>
      <w:r w:rsidRPr="000E040D">
        <w:rPr>
          <w:rFonts w:asciiTheme="minorHAnsi" w:hAnsiTheme="minorHAnsi" w:cstheme="minorHAnsi"/>
        </w:rPr>
        <w:t xml:space="preserve"> </w:t>
      </w:r>
      <w:r w:rsidRPr="0012758E">
        <w:rPr>
          <w:rFonts w:asciiTheme="minorHAnsi" w:hAnsiTheme="minorHAnsi" w:cstheme="minorHAnsi"/>
        </w:rPr>
        <w:t>Legea nr. 296</w:t>
      </w:r>
      <w:r w:rsidRPr="00B00FA0">
        <w:rPr>
          <w:rFonts w:asciiTheme="minorHAnsi" w:hAnsiTheme="minorHAnsi" w:cstheme="minorHAnsi"/>
        </w:rPr>
        <w:t xml:space="preserve"> </w:t>
      </w:r>
      <w:r w:rsidRPr="0012758E">
        <w:rPr>
          <w:rFonts w:asciiTheme="minorHAnsi" w:hAnsiTheme="minorHAnsi" w:cstheme="minorHAnsi"/>
        </w:rPr>
        <w:t xml:space="preserve">privind unele măsuri fiscal-bugetare pentru asigurarea </w:t>
      </w:r>
      <w:r w:rsidR="00C80DC7" w:rsidRPr="0012758E">
        <w:rPr>
          <w:rFonts w:asciiTheme="minorHAnsi" w:hAnsiTheme="minorHAnsi" w:cstheme="minorHAnsi"/>
        </w:rPr>
        <w:t>sustenabilității</w:t>
      </w:r>
      <w:r w:rsidRPr="0012758E">
        <w:rPr>
          <w:rFonts w:asciiTheme="minorHAnsi" w:hAnsiTheme="minorHAnsi" w:cstheme="minorHAnsi"/>
        </w:rPr>
        <w:t xml:space="preserve"> financiare a României pe termen lung</w:t>
      </w:r>
    </w:p>
  </w:footnote>
  <w:footnote w:id="5">
    <w:p w:rsidR="00574D26" w:rsidRPr="00387C67" w:rsidRDefault="00574D26" w:rsidP="006E29DF">
      <w:pPr>
        <w:autoSpaceDE w:val="0"/>
        <w:autoSpaceDN w:val="0"/>
        <w:adjustRightInd w:val="0"/>
        <w:spacing w:after="0"/>
      </w:pPr>
      <w:r w:rsidRPr="001D68EA">
        <w:rPr>
          <w:rStyle w:val="FootnoteReference"/>
          <w:rFonts w:eastAsia="Calibri" w:cstheme="minorHAnsi"/>
          <w:sz w:val="20"/>
          <w:szCs w:val="20"/>
          <w:lang w:val="en-GB"/>
        </w:rPr>
        <w:footnoteRef/>
      </w:r>
      <w:r w:rsidRPr="000E040D">
        <w:rPr>
          <w:rFonts w:cstheme="minorHAnsi"/>
        </w:rPr>
        <w:t xml:space="preserve"> </w:t>
      </w:r>
      <w:r>
        <w:rPr>
          <w:rFonts w:eastAsia="Calibri" w:cstheme="minorHAnsi"/>
          <w:sz w:val="20"/>
          <w:szCs w:val="20"/>
        </w:rPr>
        <w:t>Hotărârea n</w:t>
      </w:r>
      <w:r w:rsidRPr="00387C67">
        <w:rPr>
          <w:rFonts w:eastAsia="Calibri" w:cstheme="minorHAnsi"/>
          <w:sz w:val="20"/>
          <w:szCs w:val="20"/>
        </w:rPr>
        <w:t>r. 900/2023 din 28 septembrie 2023</w:t>
      </w:r>
      <w:r>
        <w:rPr>
          <w:rFonts w:eastAsia="Calibri" w:cstheme="minorHAnsi"/>
          <w:sz w:val="20"/>
          <w:szCs w:val="20"/>
        </w:rPr>
        <w:t xml:space="preserve"> </w:t>
      </w:r>
      <w:r w:rsidRPr="00387C67">
        <w:rPr>
          <w:rFonts w:eastAsia="Calibri" w:cstheme="minorHAnsi"/>
          <w:sz w:val="20"/>
          <w:szCs w:val="20"/>
        </w:rPr>
        <w:t xml:space="preserve">pentru stabilirea salariului de bază minim brut pe </w:t>
      </w:r>
      <w:r w:rsidR="00C80DC7" w:rsidRPr="00387C67">
        <w:rPr>
          <w:rFonts w:eastAsia="Calibri" w:cstheme="minorHAnsi"/>
          <w:sz w:val="20"/>
          <w:szCs w:val="20"/>
        </w:rPr>
        <w:t>țară</w:t>
      </w:r>
      <w:r w:rsidRPr="00387C67">
        <w:rPr>
          <w:rFonts w:eastAsia="Calibri" w:cstheme="minorHAnsi"/>
          <w:sz w:val="20"/>
          <w:szCs w:val="20"/>
        </w:rPr>
        <w:t xml:space="preserve"> garantat în plată</w:t>
      </w:r>
    </w:p>
  </w:footnote>
  <w:footnote w:id="6">
    <w:p w:rsidR="00574D26" w:rsidRPr="00E9242F" w:rsidRDefault="00574D26" w:rsidP="006E29DF">
      <w:pPr>
        <w:pStyle w:val="FootnoteText"/>
        <w:rPr>
          <w:rFonts w:asciiTheme="minorHAnsi" w:hAnsiTheme="minorHAnsi" w:cstheme="minorHAnsi"/>
        </w:rPr>
      </w:pPr>
      <w:r w:rsidRPr="005472A5">
        <w:rPr>
          <w:rStyle w:val="FootnoteReference"/>
          <w:rFonts w:asciiTheme="minorHAnsi" w:hAnsiTheme="minorHAnsi" w:cstheme="minorHAnsi"/>
        </w:rPr>
        <w:footnoteRef/>
      </w:r>
      <w:r w:rsidRPr="001D68EA">
        <w:rPr>
          <w:rStyle w:val="FootnoteReference"/>
        </w:rPr>
        <w:t xml:space="preserve"> </w:t>
      </w:r>
      <w:r w:rsidRPr="005472A5">
        <w:rPr>
          <w:rFonts w:asciiTheme="minorHAnsi" w:hAnsiTheme="minorHAnsi" w:cstheme="minorHAnsi"/>
        </w:rPr>
        <w:t>majorarea valorii punctului de pensie de la 1.785 lei</w:t>
      </w:r>
      <w:r>
        <w:rPr>
          <w:rFonts w:asciiTheme="minorHAnsi" w:hAnsiTheme="minorHAnsi" w:cstheme="minorHAnsi"/>
        </w:rPr>
        <w:t xml:space="preserve"> la 2.032 lei</w:t>
      </w:r>
      <w:r w:rsidRPr="005472A5">
        <w:rPr>
          <w:rFonts w:asciiTheme="minorHAnsi" w:hAnsiTheme="minorHAnsi" w:cstheme="minorHAnsi"/>
        </w:rPr>
        <w:t>, începând cu data de 1 ianuarie 202</w:t>
      </w:r>
      <w:r>
        <w:rPr>
          <w:rFonts w:asciiTheme="minorHAnsi" w:hAnsiTheme="minorHAnsi" w:cstheme="minorHAnsi"/>
        </w:rPr>
        <w:t>4</w:t>
      </w:r>
      <w:r w:rsidRPr="005472A5">
        <w:rPr>
          <w:rFonts w:asciiTheme="minorHAnsi" w:hAnsiTheme="minorHAnsi" w:cstheme="minorHAnsi"/>
        </w:rPr>
        <w:t xml:space="preserve">, conform </w:t>
      </w:r>
      <w:r>
        <w:rPr>
          <w:rFonts w:asciiTheme="minorHAnsi" w:hAnsiTheme="minorHAnsi" w:cstheme="minorHAnsi"/>
        </w:rPr>
        <w:t>Legii</w:t>
      </w:r>
      <w:r w:rsidRPr="00E9242F">
        <w:rPr>
          <w:rFonts w:asciiTheme="minorHAnsi" w:hAnsiTheme="minorHAnsi" w:cstheme="minorHAnsi"/>
        </w:rPr>
        <w:t xml:space="preserve"> nr. </w:t>
      </w:r>
      <w:r>
        <w:rPr>
          <w:rFonts w:asciiTheme="minorHAnsi" w:hAnsiTheme="minorHAnsi" w:cstheme="minorHAnsi"/>
        </w:rPr>
        <w:t>360</w:t>
      </w:r>
      <w:r w:rsidRPr="00E9242F">
        <w:rPr>
          <w:rFonts w:asciiTheme="minorHAnsi" w:hAnsiTheme="minorHAnsi" w:cstheme="minorHAnsi"/>
        </w:rPr>
        <w:t>/202</w:t>
      </w:r>
      <w:r>
        <w:rPr>
          <w:rFonts w:asciiTheme="minorHAnsi" w:hAnsiTheme="minorHAnsi" w:cstheme="minorHAnsi"/>
        </w:rPr>
        <w:t>3</w:t>
      </w:r>
      <w:r w:rsidRPr="00E9242F">
        <w:rPr>
          <w:rFonts w:asciiTheme="minorHAnsi" w:hAnsiTheme="minorHAnsi" w:cstheme="minorHAnsi"/>
        </w:rPr>
        <w:t xml:space="preserve"> </w:t>
      </w:r>
      <w:r w:rsidRPr="006D0EEE">
        <w:rPr>
          <w:rFonts w:asciiTheme="minorHAnsi" w:hAnsiTheme="minorHAnsi" w:cstheme="minorHAnsi"/>
        </w:rPr>
        <w:t xml:space="preserve">privind </w:t>
      </w:r>
      <w:r>
        <w:rPr>
          <w:rFonts w:asciiTheme="minorHAnsi" w:hAnsiTheme="minorHAnsi" w:cstheme="minorHAnsi"/>
        </w:rPr>
        <w:t>sistemul public de pensii</w:t>
      </w:r>
    </w:p>
  </w:footnote>
  <w:footnote w:id="7">
    <w:p w:rsidR="00574D26" w:rsidRPr="006809E9" w:rsidRDefault="00574D26" w:rsidP="006E29DF">
      <w:pPr>
        <w:pStyle w:val="FootnoteText"/>
        <w:rPr>
          <w:rFonts w:asciiTheme="minorHAnsi" w:hAnsiTheme="minorHAnsi" w:cstheme="minorHAnsi"/>
        </w:rPr>
      </w:pPr>
      <w:r w:rsidRPr="001D68EA">
        <w:rPr>
          <w:rStyle w:val="FootnoteReference"/>
          <w:rFonts w:asciiTheme="minorHAnsi" w:hAnsiTheme="minorHAnsi" w:cstheme="minorHAnsi"/>
        </w:rPr>
        <w:footnoteRef/>
      </w:r>
      <w:r w:rsidRPr="001D68EA">
        <w:rPr>
          <w:rStyle w:val="FootnoteReference"/>
          <w:rFonts w:asciiTheme="minorHAnsi" w:hAnsiTheme="minorHAnsi" w:cstheme="minorHAnsi"/>
        </w:rPr>
        <w:t xml:space="preserve"> </w:t>
      </w:r>
      <w:r w:rsidRPr="006809E9">
        <w:rPr>
          <w:rFonts w:asciiTheme="minorHAnsi" w:hAnsiTheme="minorHAnsi" w:cstheme="minorHAnsi"/>
        </w:rPr>
        <w:t>Declarația unică cu termen de depunere</w:t>
      </w:r>
      <w:r>
        <w:rPr>
          <w:rFonts w:asciiTheme="minorHAnsi" w:hAnsiTheme="minorHAnsi" w:cstheme="minorHAnsi"/>
        </w:rPr>
        <w:t xml:space="preserve"> și plată de până la 27 mai 2024, inclusiv</w:t>
      </w:r>
    </w:p>
  </w:footnote>
  <w:footnote w:id="8">
    <w:p w:rsidR="00574D26" w:rsidRPr="005D3DCD" w:rsidRDefault="00574D26" w:rsidP="006E29DF">
      <w:pPr>
        <w:pStyle w:val="FootnoteText"/>
        <w:rPr>
          <w:rFonts w:asciiTheme="minorHAnsi" w:hAnsiTheme="minorHAnsi" w:cstheme="minorHAnsi"/>
        </w:rPr>
      </w:pPr>
      <w:r w:rsidRPr="001D68EA">
        <w:rPr>
          <w:rStyle w:val="FootnoteReference"/>
          <w:rFonts w:asciiTheme="minorHAnsi" w:hAnsiTheme="minorHAnsi" w:cstheme="minorHAnsi"/>
        </w:rPr>
        <w:footnoteRef/>
      </w:r>
      <w:r w:rsidRPr="001D68EA">
        <w:rPr>
          <w:rStyle w:val="FootnoteReference"/>
          <w:rFonts w:asciiTheme="minorHAnsi" w:hAnsiTheme="minorHAnsi" w:cstheme="minorHAnsi"/>
        </w:rPr>
        <w:t xml:space="preserve"> </w:t>
      </w:r>
      <w:r w:rsidRPr="005D3DCD">
        <w:rPr>
          <w:rFonts w:asciiTheme="minorHAnsi" w:hAnsiTheme="minorHAnsi" w:cstheme="minorHAnsi"/>
        </w:rPr>
        <w:t>exclusiv restituiri și majorări de întârziere</w:t>
      </w:r>
    </w:p>
  </w:footnote>
  <w:footnote w:id="9">
    <w:p w:rsidR="00574D26" w:rsidRPr="005D3DCD" w:rsidRDefault="00574D26" w:rsidP="006E29DF">
      <w:pPr>
        <w:pStyle w:val="FootnoteText"/>
        <w:rPr>
          <w:rFonts w:asciiTheme="minorHAnsi" w:hAnsiTheme="minorHAnsi" w:cstheme="minorHAnsi"/>
        </w:rPr>
      </w:pPr>
      <w:r w:rsidRPr="001D68EA">
        <w:rPr>
          <w:rStyle w:val="FootnoteReference"/>
          <w:rFonts w:asciiTheme="minorHAnsi" w:hAnsiTheme="minorHAnsi" w:cstheme="minorHAnsi"/>
        </w:rPr>
        <w:footnoteRef/>
      </w:r>
      <w:r w:rsidRPr="009B13E2">
        <w:rPr>
          <w:rFonts w:cstheme="minorHAnsi"/>
        </w:rPr>
        <w:t xml:space="preserve"> </w:t>
      </w:r>
      <w:r w:rsidRPr="005D3DCD">
        <w:rPr>
          <w:rFonts w:asciiTheme="minorHAnsi" w:hAnsiTheme="minorHAnsi" w:cstheme="minorHAnsi"/>
        </w:rPr>
        <w:t xml:space="preserve">TVA din operațiuni interne au crescut cu </w:t>
      </w:r>
      <w:r>
        <w:rPr>
          <w:rFonts w:asciiTheme="minorHAnsi" w:hAnsiTheme="minorHAnsi" w:cstheme="minorHAnsi"/>
        </w:rPr>
        <w:t>12,3</w:t>
      </w:r>
      <w:r w:rsidRPr="005D3DCD">
        <w:rPr>
          <w:rFonts w:asciiTheme="minorHAnsi" w:hAnsiTheme="minorHAnsi" w:cstheme="minorHAnsi"/>
        </w:rPr>
        <w:t xml:space="preserve">%, iar TVA din importurile de bunuri au </w:t>
      </w:r>
      <w:r>
        <w:rPr>
          <w:rFonts w:asciiTheme="minorHAnsi" w:hAnsiTheme="minorHAnsi" w:cstheme="minorHAnsi"/>
        </w:rPr>
        <w:t>crescut</w:t>
      </w:r>
      <w:r w:rsidRPr="005D3DCD">
        <w:rPr>
          <w:rFonts w:asciiTheme="minorHAnsi" w:hAnsiTheme="minorHAnsi" w:cstheme="minorHAnsi"/>
        </w:rPr>
        <w:t xml:space="preserve"> cu </w:t>
      </w:r>
      <w:r>
        <w:rPr>
          <w:rFonts w:asciiTheme="minorHAnsi" w:hAnsiTheme="minorHAnsi" w:cstheme="minorHAnsi"/>
        </w:rPr>
        <w:t>28,3</w:t>
      </w:r>
      <w:r w:rsidRPr="005D3DCD">
        <w:rPr>
          <w:rFonts w:asciiTheme="minorHAnsi" w:hAnsiTheme="minorHAnsi" w:cstheme="minorHAnsi"/>
        </w:rPr>
        <w:t>%</w:t>
      </w:r>
    </w:p>
  </w:footnote>
  <w:footnote w:id="10">
    <w:p w:rsidR="00574D26" w:rsidRPr="00DD0CC3" w:rsidRDefault="00574D26" w:rsidP="00F11C29">
      <w:pPr>
        <w:pStyle w:val="FootnoteText"/>
        <w:rPr>
          <w:rFonts w:asciiTheme="minorHAnsi" w:hAnsiTheme="minorHAnsi" w:cstheme="minorHAnsi"/>
          <w:highlight w:val="yellow"/>
        </w:rPr>
      </w:pPr>
      <w:r w:rsidRPr="001D68EA">
        <w:rPr>
          <w:rStyle w:val="FootnoteReference"/>
          <w:rFonts w:asciiTheme="minorHAnsi" w:hAnsiTheme="minorHAnsi" w:cstheme="minorHAnsi"/>
        </w:rPr>
        <w:footnoteRef/>
      </w:r>
      <w:r w:rsidRPr="00BC3666">
        <w:rPr>
          <w:rStyle w:val="FootnoteReference"/>
          <w:rFonts w:cstheme="minorHAnsi"/>
        </w:rPr>
        <w:t xml:space="preserve"> </w:t>
      </w:r>
      <w:r w:rsidRPr="00BC3666">
        <w:rPr>
          <w:rFonts w:asciiTheme="minorHAnsi" w:hAnsiTheme="minorHAnsi" w:cstheme="minorHAnsi"/>
        </w:rPr>
        <w:t>comunicat de presă INS nr. 175/05 iulie 2024 -  Comerț și servicii</w:t>
      </w:r>
    </w:p>
  </w:footnote>
  <w:footnote w:id="11">
    <w:p w:rsidR="00574D26" w:rsidRPr="00440CBC" w:rsidRDefault="00574D26" w:rsidP="00FE629C">
      <w:pPr>
        <w:autoSpaceDE w:val="0"/>
        <w:autoSpaceDN w:val="0"/>
        <w:adjustRightInd w:val="0"/>
      </w:pPr>
      <w:r w:rsidRPr="00440CBC">
        <w:rPr>
          <w:rStyle w:val="FootnoteReference"/>
          <w:rFonts w:eastAsia="Calibri" w:cstheme="minorHAnsi"/>
          <w:sz w:val="20"/>
          <w:szCs w:val="20"/>
          <w:lang w:val="en-GB"/>
        </w:rPr>
        <w:footnoteRef/>
      </w:r>
      <w:r w:rsidRPr="00216E39">
        <w:rPr>
          <w:rStyle w:val="FootnoteReference"/>
          <w:rFonts w:eastAsia="Calibri" w:cstheme="minorHAnsi"/>
          <w:sz w:val="20"/>
          <w:szCs w:val="20"/>
          <w:lang w:val="es-ES"/>
        </w:rPr>
        <w:t xml:space="preserve"> </w:t>
      </w:r>
      <w:r w:rsidRPr="00440CBC">
        <w:rPr>
          <w:rFonts w:eastAsia="Calibri" w:cstheme="minorHAnsi"/>
          <w:sz w:val="20"/>
          <w:szCs w:val="20"/>
        </w:rPr>
        <w:t>Ordonanața Guvernului nr.</w:t>
      </w:r>
      <w:r>
        <w:rPr>
          <w:rFonts w:eastAsia="Calibri" w:cstheme="minorHAnsi"/>
          <w:sz w:val="20"/>
          <w:szCs w:val="20"/>
        </w:rPr>
        <w:t xml:space="preserve"> 7/2013 </w:t>
      </w:r>
      <w:r w:rsidRPr="00440CBC">
        <w:rPr>
          <w:rFonts w:eastAsia="Calibri" w:cstheme="minorHAnsi"/>
          <w:sz w:val="20"/>
          <w:szCs w:val="20"/>
        </w:rPr>
        <w:t>privind instituirea impozitului asupra veniturilor suplimentare obţinute ca urmare a dereglementării preţurilor din sectorul gazelor naturale</w:t>
      </w:r>
    </w:p>
  </w:footnote>
  <w:footnote w:id="12">
    <w:p w:rsidR="00574D26" w:rsidRPr="008647C7" w:rsidRDefault="00574D26" w:rsidP="006E29DF">
      <w:pPr>
        <w:pStyle w:val="FootnoteText"/>
      </w:pPr>
      <w:r w:rsidRPr="00440CBC">
        <w:rPr>
          <w:rStyle w:val="FootnoteReference"/>
          <w:rFonts w:asciiTheme="minorHAnsi" w:hAnsiTheme="minorHAnsi" w:cstheme="minorHAnsi"/>
        </w:rPr>
        <w:footnoteRef/>
      </w:r>
      <w:r w:rsidRPr="001D68EA">
        <w:rPr>
          <w:rStyle w:val="FootnoteReference"/>
          <w:rFonts w:asciiTheme="minorHAnsi" w:hAnsiTheme="minorHAnsi" w:cstheme="minorHAnsi"/>
        </w:rPr>
        <w:t xml:space="preserve"> </w:t>
      </w:r>
      <w:r w:rsidRPr="00E9242F">
        <w:rPr>
          <w:rFonts w:asciiTheme="minorHAnsi" w:hAnsiTheme="minorHAnsi" w:cstheme="minorHAnsi"/>
        </w:rPr>
        <w:t xml:space="preserve">dețin o pondere de aproximativ </w:t>
      </w:r>
      <w:r>
        <w:rPr>
          <w:rFonts w:asciiTheme="minorHAnsi" w:hAnsiTheme="minorHAnsi" w:cstheme="minorHAnsi"/>
        </w:rPr>
        <w:t>98,3</w:t>
      </w:r>
      <w:r w:rsidRPr="00E9242F">
        <w:rPr>
          <w:rFonts w:asciiTheme="minorHAnsi" w:hAnsiTheme="minorHAnsi" w:cstheme="minorHAnsi"/>
        </w:rPr>
        <w:t>% în această categorie</w:t>
      </w:r>
    </w:p>
  </w:footnote>
  <w:footnote w:id="13">
    <w:p w:rsidR="00574D26" w:rsidRPr="006B7DC2" w:rsidRDefault="00574D26" w:rsidP="006E29DF">
      <w:pPr>
        <w:autoSpaceDE w:val="0"/>
        <w:autoSpaceDN w:val="0"/>
        <w:adjustRightInd w:val="0"/>
        <w:rPr>
          <w:rFonts w:eastAsia="Calibri" w:cstheme="minorHAnsi"/>
          <w:sz w:val="20"/>
          <w:szCs w:val="20"/>
        </w:rPr>
      </w:pPr>
      <w:r w:rsidRPr="00B15858">
        <w:rPr>
          <w:rStyle w:val="FootnoteReference"/>
          <w:rFonts w:eastAsia="Calibri" w:cstheme="minorHAnsi"/>
          <w:sz w:val="20"/>
          <w:szCs w:val="20"/>
          <w:lang w:val="en-GB"/>
        </w:rPr>
        <w:footnoteRef/>
      </w:r>
      <w:r>
        <w:rPr>
          <w:rFonts w:eastAsia="Calibri" w:cstheme="minorHAnsi"/>
          <w:sz w:val="20"/>
          <w:szCs w:val="20"/>
        </w:rPr>
        <w:t xml:space="preserve"> </w:t>
      </w:r>
      <w:r w:rsidRPr="00E6721F">
        <w:rPr>
          <w:rFonts w:eastAsia="Calibri" w:cstheme="minorHAnsi"/>
          <w:sz w:val="20"/>
          <w:szCs w:val="20"/>
        </w:rPr>
        <w:t>O</w:t>
      </w:r>
      <w:r>
        <w:rPr>
          <w:rFonts w:eastAsia="Calibri" w:cstheme="minorHAnsi"/>
          <w:sz w:val="20"/>
          <w:szCs w:val="20"/>
        </w:rPr>
        <w:t>.</w:t>
      </w:r>
      <w:r w:rsidRPr="00E6721F">
        <w:rPr>
          <w:rFonts w:eastAsia="Calibri" w:cstheme="minorHAnsi"/>
          <w:sz w:val="20"/>
          <w:szCs w:val="20"/>
        </w:rPr>
        <w:t>U</w:t>
      </w:r>
      <w:r>
        <w:rPr>
          <w:rFonts w:eastAsia="Calibri" w:cstheme="minorHAnsi"/>
          <w:sz w:val="20"/>
          <w:szCs w:val="20"/>
        </w:rPr>
        <w:t>.</w:t>
      </w:r>
      <w:r w:rsidRPr="00E6721F">
        <w:rPr>
          <w:rFonts w:eastAsia="Calibri" w:cstheme="minorHAnsi"/>
          <w:sz w:val="20"/>
          <w:szCs w:val="20"/>
        </w:rPr>
        <w:t>G</w:t>
      </w:r>
      <w:r>
        <w:rPr>
          <w:rFonts w:eastAsia="Calibri" w:cstheme="minorHAnsi"/>
          <w:sz w:val="20"/>
          <w:szCs w:val="20"/>
        </w:rPr>
        <w:t>.</w:t>
      </w:r>
      <w:r w:rsidRPr="00E6721F">
        <w:rPr>
          <w:rFonts w:eastAsia="Calibri" w:cstheme="minorHAnsi"/>
          <w:sz w:val="20"/>
          <w:szCs w:val="20"/>
        </w:rPr>
        <w:t xml:space="preserve"> nr. 82</w:t>
      </w:r>
      <w:r>
        <w:rPr>
          <w:rFonts w:eastAsia="Calibri" w:cstheme="minorHAnsi"/>
          <w:sz w:val="20"/>
          <w:szCs w:val="20"/>
        </w:rPr>
        <w:t>/2023</w:t>
      </w:r>
      <w:r w:rsidRPr="00E6721F">
        <w:rPr>
          <w:rFonts w:eastAsia="Calibri" w:cstheme="minorHAnsi"/>
          <w:sz w:val="20"/>
          <w:szCs w:val="20"/>
        </w:rPr>
        <w:t xml:space="preserve"> pentru modificarea şi completarea Ordonanţei de urgenţă a Guvernului nr. 77/2009 privind organizarea şi exploatarea jocurilor de noroc, precum şi pentru modificarea Ordonanţei de urgenţă a Guvernului</w:t>
      </w:r>
      <w:r>
        <w:rPr>
          <w:rFonts w:eastAsia="Calibri" w:cstheme="minorHAnsi"/>
          <w:sz w:val="20"/>
          <w:szCs w:val="20"/>
        </w:rPr>
        <w:t xml:space="preserve">                </w:t>
      </w:r>
      <w:r w:rsidRPr="00E6721F">
        <w:rPr>
          <w:rFonts w:eastAsia="Calibri" w:cstheme="minorHAnsi"/>
          <w:sz w:val="20"/>
          <w:szCs w:val="20"/>
        </w:rPr>
        <w:t xml:space="preserve"> nr. 20/2013 privind înfiinţarea, organizarea şi funcţionarea Oficiului Naţional pentru Jocuri de Noroc şi pentru modificarea şi completarea Ordonanţei de urgenţă a Guvernului nr. 77/2009</w:t>
      </w:r>
    </w:p>
  </w:footnote>
  <w:footnote w:id="14">
    <w:p w:rsidR="00574D26" w:rsidRPr="005D3DCD" w:rsidRDefault="00574D26" w:rsidP="004D0ED6">
      <w:pPr>
        <w:pStyle w:val="FootnoteText"/>
        <w:rPr>
          <w:rFonts w:asciiTheme="minorHAnsi" w:hAnsiTheme="minorHAnsi" w:cstheme="minorHAnsi"/>
        </w:rPr>
      </w:pPr>
      <w:r w:rsidRPr="001D006E">
        <w:rPr>
          <w:rStyle w:val="FootnoteReference"/>
        </w:rPr>
        <w:footnoteRef/>
      </w:r>
      <w:r w:rsidRPr="00E41F50">
        <w:rPr>
          <w:rFonts w:asciiTheme="minorHAnsi" w:hAnsiTheme="minorHAnsi" w:cstheme="minorHAnsi"/>
        </w:rPr>
        <w:t>primele 5 luni ale anului 202</w:t>
      </w:r>
      <w:r>
        <w:rPr>
          <w:rFonts w:asciiTheme="minorHAnsi" w:hAnsiTheme="minorHAnsi" w:cstheme="minorHAnsi"/>
        </w:rPr>
        <w:t>4/primele 5 luni ale anului 2023</w:t>
      </w:r>
    </w:p>
  </w:footnote>
  <w:footnote w:id="15">
    <w:p w:rsidR="00574D26" w:rsidRPr="0000727D" w:rsidRDefault="00574D26" w:rsidP="003407EC">
      <w:pPr>
        <w:pStyle w:val="FootnoteText"/>
        <w:rPr>
          <w:rFonts w:asciiTheme="minorHAnsi" w:hAnsiTheme="minorHAnsi" w:cstheme="minorHAnsi"/>
        </w:rPr>
      </w:pPr>
      <w:r w:rsidRPr="0000727D">
        <w:rPr>
          <w:rStyle w:val="FootnoteReference"/>
          <w:rFonts w:asciiTheme="minorHAnsi" w:hAnsiTheme="minorHAnsi" w:cstheme="minorHAnsi"/>
        </w:rPr>
        <w:footnoteRef/>
      </w:r>
      <w:r w:rsidRPr="001D68EA">
        <w:rPr>
          <w:rStyle w:val="FootnoteReference"/>
        </w:rPr>
        <w:t xml:space="preserve"> </w:t>
      </w:r>
      <w:r w:rsidRPr="0000727D">
        <w:rPr>
          <w:rFonts w:asciiTheme="minorHAnsi" w:hAnsiTheme="minorHAnsi" w:cstheme="minorHAnsi"/>
        </w:rPr>
        <w:t>decembrie 2023-</w:t>
      </w:r>
      <w:r>
        <w:rPr>
          <w:rFonts w:asciiTheme="minorHAnsi" w:hAnsiTheme="minorHAnsi" w:cstheme="minorHAnsi"/>
        </w:rPr>
        <w:t>mai 2024/decembrie 2022-mai</w:t>
      </w:r>
      <w:r w:rsidRPr="0000727D">
        <w:rPr>
          <w:rFonts w:asciiTheme="minorHAnsi" w:hAnsiTheme="minorHAnsi" w:cstheme="minorHAnsi"/>
        </w:rPr>
        <w:t xml:space="preserve"> 2023</w:t>
      </w:r>
    </w:p>
  </w:footnote>
  <w:footnote w:id="16">
    <w:p w:rsidR="00574D26" w:rsidRPr="003A5B3F" w:rsidRDefault="00574D26" w:rsidP="003407EC">
      <w:pPr>
        <w:autoSpaceDE w:val="0"/>
        <w:autoSpaceDN w:val="0"/>
        <w:adjustRightInd w:val="0"/>
        <w:rPr>
          <w:rFonts w:eastAsia="Calibri" w:cstheme="minorHAnsi"/>
          <w:sz w:val="20"/>
          <w:szCs w:val="20"/>
        </w:rPr>
      </w:pPr>
      <w:r w:rsidRPr="001D68EA">
        <w:rPr>
          <w:rStyle w:val="FootnoteReference"/>
          <w:rFonts w:eastAsia="Calibri" w:cstheme="minorHAnsi"/>
          <w:sz w:val="20"/>
          <w:szCs w:val="20"/>
          <w:lang w:val="en-GB"/>
        </w:rPr>
        <w:footnoteRef/>
      </w:r>
      <w:r w:rsidRPr="0000727D">
        <w:rPr>
          <w:rFonts w:cstheme="minorHAnsi"/>
          <w:sz w:val="20"/>
          <w:szCs w:val="20"/>
        </w:rPr>
        <w:t xml:space="preserve"> </w:t>
      </w:r>
      <w:r w:rsidRPr="003A5B3F">
        <w:rPr>
          <w:rFonts w:eastAsia="Calibri" w:cstheme="minorHAnsi"/>
          <w:sz w:val="20"/>
          <w:szCs w:val="20"/>
        </w:rPr>
        <w:t xml:space="preserve">OUG nr. 4/2023 privind stabilirea unor măsuri de restituire a unor </w:t>
      </w:r>
      <w:r w:rsidR="00C80DC7" w:rsidRPr="003A5B3F">
        <w:rPr>
          <w:rFonts w:eastAsia="Calibri" w:cstheme="minorHAnsi"/>
          <w:sz w:val="20"/>
          <w:szCs w:val="20"/>
        </w:rPr>
        <w:t>contribuții</w:t>
      </w:r>
      <w:r w:rsidRPr="003A5B3F">
        <w:rPr>
          <w:rFonts w:eastAsia="Calibri" w:cstheme="minorHAnsi"/>
          <w:sz w:val="20"/>
          <w:szCs w:val="20"/>
        </w:rPr>
        <w:t xml:space="preserve"> de asigurări sociale de sănătate</w:t>
      </w:r>
    </w:p>
    <w:p w:rsidR="00574D26" w:rsidRPr="0000727D" w:rsidRDefault="00574D26" w:rsidP="003407EC">
      <w:pPr>
        <w:pStyle w:val="FootnoteText"/>
        <w:rPr>
          <w:rFonts w:asciiTheme="minorHAnsi" w:hAnsiTheme="minorHAnsi" w:cstheme="minorHAnsi"/>
        </w:rPr>
      </w:pPr>
    </w:p>
  </w:footnote>
  <w:footnote w:id="17">
    <w:p w:rsidR="00574D26" w:rsidRDefault="00574D26" w:rsidP="003E31C4">
      <w:pPr>
        <w:pStyle w:val="FootnoteText"/>
      </w:pPr>
      <w:r>
        <w:rPr>
          <w:rStyle w:val="FootnoteReference"/>
        </w:rPr>
        <w:footnoteRef/>
      </w:r>
      <w:r>
        <w:t xml:space="preserve"> </w:t>
      </w:r>
      <w:r w:rsidRPr="00216E39">
        <w:rPr>
          <w:lang w:val="es-ES"/>
        </w:rPr>
        <w:t>privind unele măsuri fiscal-bugetare în domeniul cheltuielilor publice, pentru consolidare fiscală, combaterea evaziunii fiscale, pentru modificarea şi completarea unor acte normative, precum şi pentru prorogarea unor termene</w:t>
      </w:r>
    </w:p>
  </w:footnote>
  <w:footnote w:id="18">
    <w:p w:rsidR="00574D26" w:rsidRPr="009B1530" w:rsidRDefault="00574D26" w:rsidP="00C26F54">
      <w:pPr>
        <w:pStyle w:val="FootnoteText"/>
      </w:pPr>
      <w:r>
        <w:rPr>
          <w:rStyle w:val="FootnoteReference"/>
        </w:rPr>
        <w:footnoteRef/>
      </w:r>
      <w:r>
        <w:t xml:space="preserve"> </w:t>
      </w:r>
      <w:r w:rsidRPr="009B1530">
        <w:rPr>
          <w:rFonts w:ascii="Trebuchet MS" w:hAnsi="Trebuchet MS"/>
        </w:rPr>
        <w:t>Nu include împrumuturile pe termen scurt utilizate pentru administrarea lichidităților</w:t>
      </w:r>
      <w:r>
        <w:t xml:space="preserve"> </w:t>
      </w:r>
    </w:p>
  </w:footnote>
  <w:footnote w:id="19">
    <w:p w:rsidR="00574D26" w:rsidRPr="00EB6809" w:rsidRDefault="00574D26" w:rsidP="00C26F54">
      <w:pPr>
        <w:pStyle w:val="FootnoteText"/>
      </w:pPr>
      <w:r>
        <w:rPr>
          <w:rStyle w:val="FootnoteReference"/>
        </w:rPr>
        <w:footnoteRef/>
      </w:r>
      <w:r>
        <w:t xml:space="preserve"> </w:t>
      </w:r>
      <w:r w:rsidRPr="006E066A">
        <w:rPr>
          <w:rFonts w:ascii="Trebuchet MS" w:hAnsi="Trebuchet MS" w:cs="Arial"/>
          <w:bCs/>
          <w:sz w:val="24"/>
          <w:szCs w:val="24"/>
        </w:rPr>
        <w:t>la data de 3</w:t>
      </w:r>
      <w:r>
        <w:rPr>
          <w:rFonts w:ascii="Trebuchet MS" w:hAnsi="Trebuchet MS" w:cs="Arial"/>
          <w:bCs/>
          <w:sz w:val="24"/>
          <w:szCs w:val="24"/>
        </w:rPr>
        <w:t>0</w:t>
      </w:r>
      <w:r w:rsidRPr="006E066A">
        <w:rPr>
          <w:rFonts w:ascii="Trebuchet MS" w:hAnsi="Trebuchet MS" w:cs="Arial"/>
          <w:bCs/>
          <w:sz w:val="24"/>
          <w:szCs w:val="24"/>
        </w:rPr>
        <w:t>.0</w:t>
      </w:r>
      <w:r>
        <w:rPr>
          <w:rFonts w:ascii="Trebuchet MS" w:hAnsi="Trebuchet MS" w:cs="Arial"/>
          <w:bCs/>
          <w:sz w:val="24"/>
          <w:szCs w:val="24"/>
        </w:rPr>
        <w:t>6</w:t>
      </w:r>
      <w:r w:rsidRPr="006E066A">
        <w:rPr>
          <w:rFonts w:ascii="Trebuchet MS" w:hAnsi="Trebuchet MS" w:cs="Arial"/>
          <w:bCs/>
          <w:sz w:val="24"/>
          <w:szCs w:val="24"/>
        </w:rPr>
        <w:t>.2024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26" w:rsidRDefault="00574D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2562821"/>
      <w:docPartObj>
        <w:docPartGallery w:val="Page Numbers (Top of Page)"/>
        <w:docPartUnique/>
      </w:docPartObj>
    </w:sdtPr>
    <w:sdtEndPr>
      <w:rPr>
        <w:b/>
        <w:bCs/>
        <w:noProof/>
        <w:color w:val="auto"/>
        <w:spacing w:val="0"/>
      </w:rPr>
    </w:sdtEndPr>
    <w:sdtContent>
      <w:p w:rsidR="00574D26" w:rsidRDefault="00574D2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7D67" w:rsidRPr="00E17D67">
          <w:rPr>
            <w:b/>
            <w:bCs/>
            <w:noProof/>
          </w:rPr>
          <w:t>39</w:t>
        </w:r>
        <w:r>
          <w:rPr>
            <w:b/>
            <w:bCs/>
            <w:noProof/>
          </w:rPr>
          <w:fldChar w:fldCharType="end"/>
        </w:r>
      </w:p>
    </w:sdtContent>
  </w:sdt>
  <w:p w:rsidR="00574D26" w:rsidRDefault="00574D26" w:rsidP="00A76956">
    <w:pPr>
      <w:pStyle w:val="Header"/>
      <w:shd w:val="clear" w:color="auto" w:fill="E2EFD9" w:themeFill="accent6" w:themeFillTint="3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26" w:rsidRDefault="00574D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OpenSymbol" w:hint="default"/>
        <w:color w:val="000000"/>
        <w:kern w:val="0"/>
        <w:position w:val="0"/>
        <w:sz w:val="20"/>
        <w:szCs w:val="20"/>
        <w:vertAlign w:val="baseline"/>
        <w:lang w:val="it-IT" w:eastAsia="zh-C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1440" w:hanging="360"/>
      </w:pPr>
      <w:rPr>
        <w:rFonts w:ascii="Wingdings" w:hAnsi="Wingdings" w:cs="Wingdings"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szCs w:val="22"/>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szCs w:val="22"/>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szCs w:val="22"/>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A"/>
    <w:multiLevelType w:val="multilevel"/>
    <w:tmpl w:val="0000000A"/>
    <w:name w:val="WW8Num10"/>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E"/>
    <w:multiLevelType w:val="multilevel"/>
    <w:tmpl w:val="0000000E"/>
    <w:name w:val="WW8Num14"/>
    <w:lvl w:ilvl="0">
      <w:start w:val="1"/>
      <w:numFmt w:val="decimal"/>
      <w:suff w:val="space"/>
      <w:lvlText w:val="%1."/>
      <w:lvlJc w:val="left"/>
      <w:pPr>
        <w:tabs>
          <w:tab w:val="num" w:pos="0"/>
        </w:tabs>
        <w:ind w:left="0" w:firstLine="0"/>
      </w:pPr>
      <w:rPr>
        <w:rFonts w:ascii="Calibri" w:eastAsia="Calibri" w:hAnsi="Calibri" w:cs="Calibri"/>
        <w:b/>
        <w:szCs w:val="22"/>
        <w:lang w:val="ro-RO"/>
      </w:rPr>
    </w:lvl>
    <w:lvl w:ilvl="1">
      <w:start w:val="6"/>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11" w15:restartNumberingAfterBreak="0">
    <w:nsid w:val="045030F9"/>
    <w:multiLevelType w:val="hybridMultilevel"/>
    <w:tmpl w:val="760415B0"/>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4887"/>
    <w:multiLevelType w:val="multilevel"/>
    <w:tmpl w:val="1396D25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133FCB"/>
    <w:multiLevelType w:val="multilevel"/>
    <w:tmpl w:val="09133FC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5" w15:restartNumberingAfterBreak="0">
    <w:nsid w:val="140077B5"/>
    <w:multiLevelType w:val="multilevel"/>
    <w:tmpl w:val="140077B5"/>
    <w:lvl w:ilvl="0">
      <w:start w:val="1"/>
      <w:numFmt w:val="bullet"/>
      <w:lvlText w:val=""/>
      <w:lvlJc w:val="left"/>
      <w:pPr>
        <w:ind w:left="619" w:hanging="360"/>
      </w:pPr>
      <w:rPr>
        <w:rFonts w:ascii="Symbol" w:hAnsi="Symbol"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16" w15:restartNumberingAfterBreak="0">
    <w:nsid w:val="187214EE"/>
    <w:multiLevelType w:val="multilevel"/>
    <w:tmpl w:val="187214EE"/>
    <w:lvl w:ilvl="0">
      <w:start w:val="3"/>
      <w:numFmt w:val="bullet"/>
      <w:lvlText w:val="-"/>
      <w:lvlJc w:val="left"/>
      <w:pPr>
        <w:tabs>
          <w:tab w:val="left" w:pos="644"/>
        </w:tabs>
        <w:ind w:left="644" w:hanging="360"/>
      </w:pPr>
      <w:rPr>
        <w:rFonts w:ascii="Arial" w:eastAsia="Times New Roman" w:hAnsi="Arial" w:cs="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7" w15:restartNumberingAfterBreak="0">
    <w:nsid w:val="18CF0133"/>
    <w:multiLevelType w:val="hybridMultilevel"/>
    <w:tmpl w:val="BC20AD5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763F17"/>
    <w:multiLevelType w:val="multilevel"/>
    <w:tmpl w:val="01A0D62A"/>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9" w15:restartNumberingAfterBreak="0">
    <w:nsid w:val="1E920286"/>
    <w:multiLevelType w:val="multilevel"/>
    <w:tmpl w:val="1E920286"/>
    <w:lvl w:ilvl="0">
      <w:start w:val="3"/>
      <w:numFmt w:val="bullet"/>
      <w:lvlText w:val="-"/>
      <w:lvlJc w:val="left"/>
      <w:pPr>
        <w:ind w:left="792" w:hanging="360"/>
      </w:pPr>
      <w:rPr>
        <w:rFonts w:ascii="Arial" w:eastAsia="Times New Roman" w:hAnsi="Arial" w:cs="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0" w15:restartNumberingAfterBreak="0">
    <w:nsid w:val="209D66B0"/>
    <w:multiLevelType w:val="multilevel"/>
    <w:tmpl w:val="209D66B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402830"/>
    <w:multiLevelType w:val="multilevel"/>
    <w:tmpl w:val="22402830"/>
    <w:lvl w:ilvl="0">
      <w:start w:val="1"/>
      <w:numFmt w:val="bullet"/>
      <w:lvlText w:val=""/>
      <w:lvlJc w:val="left"/>
      <w:pPr>
        <w:ind w:left="619" w:hanging="360"/>
      </w:pPr>
      <w:rPr>
        <w:rFonts w:ascii="Wingdings" w:hAnsi="Wingdings"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22" w15:restartNumberingAfterBreak="0">
    <w:nsid w:val="23344229"/>
    <w:multiLevelType w:val="multilevel"/>
    <w:tmpl w:val="23344229"/>
    <w:lvl w:ilvl="0">
      <w:start w:val="1"/>
      <w:numFmt w:val="bullet"/>
      <w:lvlText w:val=""/>
      <w:lvlJc w:val="left"/>
      <w:pPr>
        <w:ind w:left="636" w:hanging="360"/>
      </w:pPr>
      <w:rPr>
        <w:rFonts w:ascii="Wingdings" w:hAnsi="Wingdings" w:hint="default"/>
      </w:rPr>
    </w:lvl>
    <w:lvl w:ilvl="1">
      <w:start w:val="1"/>
      <w:numFmt w:val="bullet"/>
      <w:lvlText w:val="o"/>
      <w:lvlJc w:val="left"/>
      <w:pPr>
        <w:ind w:left="1356" w:hanging="360"/>
      </w:pPr>
      <w:rPr>
        <w:rFonts w:ascii="Courier New" w:hAnsi="Courier New" w:cs="Courier New" w:hint="default"/>
      </w:rPr>
    </w:lvl>
    <w:lvl w:ilvl="2">
      <w:start w:val="1"/>
      <w:numFmt w:val="bullet"/>
      <w:lvlText w:val=""/>
      <w:lvlJc w:val="left"/>
      <w:pPr>
        <w:ind w:left="2076" w:hanging="360"/>
      </w:pPr>
      <w:rPr>
        <w:rFonts w:ascii="Wingdings" w:hAnsi="Wingdings" w:hint="default"/>
      </w:rPr>
    </w:lvl>
    <w:lvl w:ilvl="3">
      <w:start w:val="1"/>
      <w:numFmt w:val="bullet"/>
      <w:lvlText w:val=""/>
      <w:lvlJc w:val="left"/>
      <w:pPr>
        <w:ind w:left="2796" w:hanging="360"/>
      </w:pPr>
      <w:rPr>
        <w:rFonts w:ascii="Symbol" w:hAnsi="Symbol" w:hint="default"/>
      </w:rPr>
    </w:lvl>
    <w:lvl w:ilvl="4">
      <w:start w:val="1"/>
      <w:numFmt w:val="bullet"/>
      <w:lvlText w:val="o"/>
      <w:lvlJc w:val="left"/>
      <w:pPr>
        <w:ind w:left="3516" w:hanging="360"/>
      </w:pPr>
      <w:rPr>
        <w:rFonts w:ascii="Courier New" w:hAnsi="Courier New" w:cs="Courier New" w:hint="default"/>
      </w:rPr>
    </w:lvl>
    <w:lvl w:ilvl="5">
      <w:start w:val="1"/>
      <w:numFmt w:val="bullet"/>
      <w:lvlText w:val=""/>
      <w:lvlJc w:val="left"/>
      <w:pPr>
        <w:ind w:left="4236" w:hanging="360"/>
      </w:pPr>
      <w:rPr>
        <w:rFonts w:ascii="Wingdings" w:hAnsi="Wingdings" w:hint="default"/>
      </w:rPr>
    </w:lvl>
    <w:lvl w:ilvl="6">
      <w:start w:val="1"/>
      <w:numFmt w:val="bullet"/>
      <w:lvlText w:val=""/>
      <w:lvlJc w:val="left"/>
      <w:pPr>
        <w:ind w:left="4956" w:hanging="360"/>
      </w:pPr>
      <w:rPr>
        <w:rFonts w:ascii="Symbol" w:hAnsi="Symbol" w:hint="default"/>
      </w:rPr>
    </w:lvl>
    <w:lvl w:ilvl="7">
      <w:start w:val="1"/>
      <w:numFmt w:val="bullet"/>
      <w:lvlText w:val="o"/>
      <w:lvlJc w:val="left"/>
      <w:pPr>
        <w:ind w:left="5676" w:hanging="360"/>
      </w:pPr>
      <w:rPr>
        <w:rFonts w:ascii="Courier New" w:hAnsi="Courier New" w:cs="Courier New" w:hint="default"/>
      </w:rPr>
    </w:lvl>
    <w:lvl w:ilvl="8">
      <w:start w:val="1"/>
      <w:numFmt w:val="bullet"/>
      <w:lvlText w:val=""/>
      <w:lvlJc w:val="left"/>
      <w:pPr>
        <w:ind w:left="6396" w:hanging="360"/>
      </w:pPr>
      <w:rPr>
        <w:rFonts w:ascii="Wingdings" w:hAnsi="Wingdings" w:hint="default"/>
      </w:rPr>
    </w:lvl>
  </w:abstractNum>
  <w:abstractNum w:abstractNumId="23" w15:restartNumberingAfterBreak="0">
    <w:nsid w:val="25543D1F"/>
    <w:multiLevelType w:val="multilevel"/>
    <w:tmpl w:val="FDCAC408"/>
    <w:lvl w:ilvl="0">
      <w:start w:val="1"/>
      <w:numFmt w:val="bullet"/>
      <w:lvlText w:val=""/>
      <w:lvlJc w:val="left"/>
      <w:pPr>
        <w:tabs>
          <w:tab w:val="num" w:pos="0"/>
        </w:tabs>
        <w:ind w:left="720" w:hanging="360"/>
      </w:pPr>
      <w:rPr>
        <w:rFonts w:ascii="Wingdings" w:hAnsi="Wingdings"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78C653F"/>
    <w:multiLevelType w:val="hybridMultilevel"/>
    <w:tmpl w:val="C9241C8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15:restartNumberingAfterBreak="0">
    <w:nsid w:val="27E663F4"/>
    <w:multiLevelType w:val="multilevel"/>
    <w:tmpl w:val="27E663F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2FA75A7E"/>
    <w:multiLevelType w:val="multilevel"/>
    <w:tmpl w:val="2FA75A7E"/>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7" w15:restartNumberingAfterBreak="0">
    <w:nsid w:val="361626C4"/>
    <w:multiLevelType w:val="hybridMultilevel"/>
    <w:tmpl w:val="10F61514"/>
    <w:lvl w:ilvl="0" w:tplc="0988FA8C">
      <w:start w:val="1"/>
      <w:numFmt w:val="decimal"/>
      <w:lvlText w:val="%1."/>
      <w:lvlJc w:val="left"/>
      <w:pPr>
        <w:ind w:left="360" w:hanging="360"/>
      </w:pPr>
      <w:rPr>
        <w:rFonts w:hint="default"/>
        <w:b w:val="0"/>
        <w:color w:val="auto"/>
        <w:sz w:val="24"/>
        <w:szCs w:val="24"/>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15:restartNumberingAfterBreak="0">
    <w:nsid w:val="391D4EDB"/>
    <w:multiLevelType w:val="hybridMultilevel"/>
    <w:tmpl w:val="D0C22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034794"/>
    <w:multiLevelType w:val="multilevel"/>
    <w:tmpl w:val="3A034794"/>
    <w:lvl w:ilvl="0">
      <w:start w:val="1"/>
      <w:numFmt w:val="bullet"/>
      <w:lvlText w:val=""/>
      <w:lvlJc w:val="left"/>
      <w:pPr>
        <w:ind w:left="692" w:hanging="360"/>
      </w:pPr>
      <w:rPr>
        <w:rFonts w:ascii="Symbol" w:hAnsi="Symbol" w:hint="default"/>
      </w:rPr>
    </w:lvl>
    <w:lvl w:ilvl="1">
      <w:start w:val="1"/>
      <w:numFmt w:val="bullet"/>
      <w:lvlText w:val="o"/>
      <w:lvlJc w:val="left"/>
      <w:pPr>
        <w:ind w:left="1412" w:hanging="360"/>
      </w:pPr>
      <w:rPr>
        <w:rFonts w:ascii="Courier New" w:hAnsi="Courier New" w:cs="Courier New" w:hint="default"/>
      </w:rPr>
    </w:lvl>
    <w:lvl w:ilvl="2">
      <w:start w:val="1"/>
      <w:numFmt w:val="bullet"/>
      <w:lvlText w:val=""/>
      <w:lvlJc w:val="left"/>
      <w:pPr>
        <w:ind w:left="2132" w:hanging="360"/>
      </w:pPr>
      <w:rPr>
        <w:rFonts w:ascii="Wingdings" w:hAnsi="Wingdings" w:hint="default"/>
      </w:rPr>
    </w:lvl>
    <w:lvl w:ilvl="3">
      <w:start w:val="1"/>
      <w:numFmt w:val="bullet"/>
      <w:lvlText w:val=""/>
      <w:lvlJc w:val="left"/>
      <w:pPr>
        <w:ind w:left="2852" w:hanging="360"/>
      </w:pPr>
      <w:rPr>
        <w:rFonts w:ascii="Symbol" w:hAnsi="Symbol" w:hint="default"/>
      </w:rPr>
    </w:lvl>
    <w:lvl w:ilvl="4">
      <w:start w:val="1"/>
      <w:numFmt w:val="bullet"/>
      <w:lvlText w:val="o"/>
      <w:lvlJc w:val="left"/>
      <w:pPr>
        <w:ind w:left="3572" w:hanging="360"/>
      </w:pPr>
      <w:rPr>
        <w:rFonts w:ascii="Courier New" w:hAnsi="Courier New" w:cs="Courier New" w:hint="default"/>
      </w:rPr>
    </w:lvl>
    <w:lvl w:ilvl="5">
      <w:start w:val="1"/>
      <w:numFmt w:val="bullet"/>
      <w:lvlText w:val=""/>
      <w:lvlJc w:val="left"/>
      <w:pPr>
        <w:ind w:left="4292" w:hanging="360"/>
      </w:pPr>
      <w:rPr>
        <w:rFonts w:ascii="Wingdings" w:hAnsi="Wingdings" w:hint="default"/>
      </w:rPr>
    </w:lvl>
    <w:lvl w:ilvl="6">
      <w:start w:val="1"/>
      <w:numFmt w:val="bullet"/>
      <w:lvlText w:val=""/>
      <w:lvlJc w:val="left"/>
      <w:pPr>
        <w:ind w:left="5012" w:hanging="360"/>
      </w:pPr>
      <w:rPr>
        <w:rFonts w:ascii="Symbol" w:hAnsi="Symbol" w:hint="default"/>
      </w:rPr>
    </w:lvl>
    <w:lvl w:ilvl="7">
      <w:start w:val="1"/>
      <w:numFmt w:val="bullet"/>
      <w:lvlText w:val="o"/>
      <w:lvlJc w:val="left"/>
      <w:pPr>
        <w:ind w:left="5732" w:hanging="360"/>
      </w:pPr>
      <w:rPr>
        <w:rFonts w:ascii="Courier New" w:hAnsi="Courier New" w:cs="Courier New" w:hint="default"/>
      </w:rPr>
    </w:lvl>
    <w:lvl w:ilvl="8">
      <w:start w:val="1"/>
      <w:numFmt w:val="bullet"/>
      <w:lvlText w:val=""/>
      <w:lvlJc w:val="left"/>
      <w:pPr>
        <w:ind w:left="6452" w:hanging="360"/>
      </w:pPr>
      <w:rPr>
        <w:rFonts w:ascii="Wingdings" w:hAnsi="Wingdings" w:hint="default"/>
      </w:rPr>
    </w:lvl>
  </w:abstractNum>
  <w:abstractNum w:abstractNumId="30" w15:restartNumberingAfterBreak="0">
    <w:nsid w:val="3CA13EA0"/>
    <w:multiLevelType w:val="multilevel"/>
    <w:tmpl w:val="5BFEB79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CFD7FAF"/>
    <w:multiLevelType w:val="multilevel"/>
    <w:tmpl w:val="3CFD7FAF"/>
    <w:lvl w:ilvl="0">
      <w:start w:val="1"/>
      <w:numFmt w:val="bullet"/>
      <w:lvlText w:val=""/>
      <w:lvlJc w:val="left"/>
      <w:pPr>
        <w:ind w:left="619" w:hanging="360"/>
      </w:pPr>
      <w:rPr>
        <w:rFonts w:ascii="Wingdings" w:hAnsi="Wingdings"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32" w15:restartNumberingAfterBreak="0">
    <w:nsid w:val="45BC7A83"/>
    <w:multiLevelType w:val="multilevel"/>
    <w:tmpl w:val="45BC7A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2D1203"/>
    <w:multiLevelType w:val="hybridMultilevel"/>
    <w:tmpl w:val="525A9B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BD2ED4"/>
    <w:multiLevelType w:val="hybridMultilevel"/>
    <w:tmpl w:val="F12CA610"/>
    <w:lvl w:ilvl="0" w:tplc="5FE09D84">
      <w:numFmt w:val="bullet"/>
      <w:lvlText w:val="•"/>
      <w:lvlJc w:val="left"/>
      <w:pPr>
        <w:ind w:left="1287" w:hanging="360"/>
      </w:pPr>
      <w:rPr>
        <w:rFonts w:ascii="Tahoma" w:eastAsiaTheme="minorHAnsi" w:hAnsi="Tahoma" w:cs="Tahoma"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4B250286"/>
    <w:multiLevelType w:val="multilevel"/>
    <w:tmpl w:val="4B2502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132D68"/>
    <w:multiLevelType w:val="hybridMultilevel"/>
    <w:tmpl w:val="2146CFE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527896"/>
    <w:multiLevelType w:val="multilevel"/>
    <w:tmpl w:val="4D527896"/>
    <w:lvl w:ilvl="0">
      <w:start w:val="1"/>
      <w:numFmt w:val="bullet"/>
      <w:lvlText w:val=""/>
      <w:lvlJc w:val="left"/>
      <w:pPr>
        <w:tabs>
          <w:tab w:val="left" w:pos="928"/>
        </w:tabs>
        <w:ind w:left="928" w:hanging="360"/>
      </w:pPr>
      <w:rPr>
        <w:rFonts w:ascii="Symbol" w:hAnsi="Symbol" w:hint="default"/>
      </w:rPr>
    </w:lvl>
    <w:lvl w:ilvl="1">
      <w:start w:val="1"/>
      <w:numFmt w:val="bullet"/>
      <w:lvlText w:val="◦"/>
      <w:lvlJc w:val="left"/>
      <w:pPr>
        <w:tabs>
          <w:tab w:val="left" w:pos="1288"/>
        </w:tabs>
        <w:ind w:left="1288" w:hanging="360"/>
      </w:pPr>
      <w:rPr>
        <w:rFonts w:ascii="OpenSymbol" w:hAnsi="OpenSymbol" w:cs="OpenSymbol"/>
      </w:rPr>
    </w:lvl>
    <w:lvl w:ilvl="2">
      <w:start w:val="1"/>
      <w:numFmt w:val="bullet"/>
      <w:lvlText w:val="▪"/>
      <w:lvlJc w:val="left"/>
      <w:pPr>
        <w:tabs>
          <w:tab w:val="left" w:pos="1648"/>
        </w:tabs>
        <w:ind w:left="1648" w:hanging="360"/>
      </w:pPr>
      <w:rPr>
        <w:rFonts w:ascii="OpenSymbol" w:hAnsi="OpenSymbol" w:cs="OpenSymbol"/>
      </w:rPr>
    </w:lvl>
    <w:lvl w:ilvl="3">
      <w:start w:val="1"/>
      <w:numFmt w:val="bullet"/>
      <w:lvlText w:val=""/>
      <w:lvlJc w:val="left"/>
      <w:pPr>
        <w:tabs>
          <w:tab w:val="left" w:pos="2008"/>
        </w:tabs>
        <w:ind w:left="2008" w:hanging="360"/>
      </w:pPr>
      <w:rPr>
        <w:rFonts w:ascii="Symbol" w:hAnsi="Symbol" w:cs="OpenSymbol"/>
      </w:rPr>
    </w:lvl>
    <w:lvl w:ilvl="4">
      <w:start w:val="1"/>
      <w:numFmt w:val="bullet"/>
      <w:lvlText w:val="◦"/>
      <w:lvlJc w:val="left"/>
      <w:pPr>
        <w:tabs>
          <w:tab w:val="left" w:pos="2368"/>
        </w:tabs>
        <w:ind w:left="2368" w:hanging="360"/>
      </w:pPr>
      <w:rPr>
        <w:rFonts w:ascii="OpenSymbol" w:hAnsi="OpenSymbol" w:cs="OpenSymbol"/>
      </w:rPr>
    </w:lvl>
    <w:lvl w:ilvl="5">
      <w:start w:val="1"/>
      <w:numFmt w:val="bullet"/>
      <w:lvlText w:val="▪"/>
      <w:lvlJc w:val="left"/>
      <w:pPr>
        <w:tabs>
          <w:tab w:val="left" w:pos="2728"/>
        </w:tabs>
        <w:ind w:left="2728" w:hanging="360"/>
      </w:pPr>
      <w:rPr>
        <w:rFonts w:ascii="OpenSymbol" w:hAnsi="OpenSymbol" w:cs="OpenSymbol"/>
      </w:rPr>
    </w:lvl>
    <w:lvl w:ilvl="6">
      <w:start w:val="1"/>
      <w:numFmt w:val="bullet"/>
      <w:lvlText w:val=""/>
      <w:lvlJc w:val="left"/>
      <w:pPr>
        <w:tabs>
          <w:tab w:val="left" w:pos="3088"/>
        </w:tabs>
        <w:ind w:left="3088" w:hanging="360"/>
      </w:pPr>
      <w:rPr>
        <w:rFonts w:ascii="Symbol" w:hAnsi="Symbol" w:cs="OpenSymbol"/>
      </w:rPr>
    </w:lvl>
    <w:lvl w:ilvl="7">
      <w:start w:val="1"/>
      <w:numFmt w:val="bullet"/>
      <w:lvlText w:val="◦"/>
      <w:lvlJc w:val="left"/>
      <w:pPr>
        <w:tabs>
          <w:tab w:val="left" w:pos="3448"/>
        </w:tabs>
        <w:ind w:left="3448" w:hanging="360"/>
      </w:pPr>
      <w:rPr>
        <w:rFonts w:ascii="OpenSymbol" w:hAnsi="OpenSymbol" w:cs="OpenSymbol"/>
      </w:rPr>
    </w:lvl>
    <w:lvl w:ilvl="8">
      <w:start w:val="1"/>
      <w:numFmt w:val="bullet"/>
      <w:lvlText w:val="▪"/>
      <w:lvlJc w:val="left"/>
      <w:pPr>
        <w:tabs>
          <w:tab w:val="left" w:pos="3808"/>
        </w:tabs>
        <w:ind w:left="3808" w:hanging="360"/>
      </w:pPr>
      <w:rPr>
        <w:rFonts w:ascii="OpenSymbol" w:hAnsi="OpenSymbol" w:cs="OpenSymbol"/>
      </w:rPr>
    </w:lvl>
  </w:abstractNum>
  <w:abstractNum w:abstractNumId="38" w15:restartNumberingAfterBreak="0">
    <w:nsid w:val="4DE22BA5"/>
    <w:multiLevelType w:val="multilevel"/>
    <w:tmpl w:val="4DE22BA5"/>
    <w:lvl w:ilvl="0">
      <w:start w:val="3"/>
      <w:numFmt w:val="bullet"/>
      <w:lvlText w:val="-"/>
      <w:lvlJc w:val="left"/>
      <w:pPr>
        <w:ind w:left="792" w:hanging="360"/>
      </w:pPr>
      <w:rPr>
        <w:rFonts w:ascii="Arial" w:eastAsia="Times New Roman" w:hAnsi="Arial" w:cs="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9" w15:restartNumberingAfterBreak="0">
    <w:nsid w:val="4F1B0BCE"/>
    <w:multiLevelType w:val="hybridMultilevel"/>
    <w:tmpl w:val="1020E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5B0460"/>
    <w:multiLevelType w:val="hybridMultilevel"/>
    <w:tmpl w:val="0A141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272FE7"/>
    <w:multiLevelType w:val="hybridMultilevel"/>
    <w:tmpl w:val="E26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DE46CD"/>
    <w:multiLevelType w:val="multilevel"/>
    <w:tmpl w:val="35C40A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1722C"/>
    <w:multiLevelType w:val="multilevel"/>
    <w:tmpl w:val="5E11722C"/>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EA16E5"/>
    <w:multiLevelType w:val="hybridMultilevel"/>
    <w:tmpl w:val="350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0B3D0F"/>
    <w:multiLevelType w:val="multilevel"/>
    <w:tmpl w:val="640B3D0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CA5F90"/>
    <w:multiLevelType w:val="multilevel"/>
    <w:tmpl w:val="64CA5F90"/>
    <w:lvl w:ilvl="0">
      <w:start w:val="1"/>
      <w:numFmt w:val="bullet"/>
      <w:lvlText w:val=""/>
      <w:lvlJc w:val="left"/>
      <w:pPr>
        <w:ind w:left="619" w:hanging="360"/>
      </w:pPr>
      <w:rPr>
        <w:rFonts w:ascii="Wingdings" w:hAnsi="Wingdings"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47" w15:restartNumberingAfterBreak="0">
    <w:nsid w:val="67823F58"/>
    <w:multiLevelType w:val="hybridMultilevel"/>
    <w:tmpl w:val="A63CE65C"/>
    <w:lvl w:ilvl="0" w:tplc="F814C90E">
      <w:numFmt w:val="bullet"/>
      <w:lvlText w:val="•"/>
      <w:lvlJc w:val="left"/>
      <w:pPr>
        <w:ind w:left="786" w:hanging="360"/>
      </w:pPr>
      <w:rPr>
        <w:rFonts w:ascii="Tahoma" w:eastAsiaTheme="minorHAns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8"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A354DC3"/>
    <w:multiLevelType w:val="multilevel"/>
    <w:tmpl w:val="6A354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990FBE"/>
    <w:multiLevelType w:val="hybridMultilevel"/>
    <w:tmpl w:val="64DEF5DA"/>
    <w:lvl w:ilvl="0" w:tplc="4F747F14">
      <w:start w:val="1"/>
      <w:numFmt w:val="upperRoman"/>
      <w:lvlText w:val="%1."/>
      <w:lvlJc w:val="right"/>
      <w:pPr>
        <w:ind w:left="720" w:hanging="360"/>
      </w:pPr>
      <w:rPr>
        <w:sz w:val="24"/>
        <w:szCs w:val="24"/>
      </w:rPr>
    </w:lvl>
    <w:lvl w:ilvl="1" w:tplc="2AA8CCE6">
      <w:start w:val="1"/>
      <w:numFmt w:val="decimal"/>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0E132FE"/>
    <w:multiLevelType w:val="multilevel"/>
    <w:tmpl w:val="1090C3B4"/>
    <w:lvl w:ilvl="0">
      <w:start w:val="1"/>
      <w:numFmt w:val="bullet"/>
      <w:lvlText w:val=""/>
      <w:lvlJc w:val="left"/>
      <w:pPr>
        <w:tabs>
          <w:tab w:val="num" w:pos="0"/>
        </w:tabs>
        <w:ind w:left="720" w:hanging="360"/>
      </w:pPr>
      <w:rPr>
        <w:rFonts w:ascii="Wingdings" w:hAnsi="Wingdings"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BC2163F"/>
    <w:multiLevelType w:val="hybridMultilevel"/>
    <w:tmpl w:val="5E7E7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50"/>
  </w:num>
  <w:num w:numId="2">
    <w:abstractNumId w:val="17"/>
  </w:num>
  <w:num w:numId="3">
    <w:abstractNumId w:val="18"/>
  </w:num>
  <w:num w:numId="4">
    <w:abstractNumId w:val="44"/>
  </w:num>
  <w:num w:numId="5">
    <w:abstractNumId w:val="40"/>
  </w:num>
  <w:num w:numId="6">
    <w:abstractNumId w:val="47"/>
  </w:num>
  <w:num w:numId="7">
    <w:abstractNumId w:val="45"/>
  </w:num>
  <w:num w:numId="8">
    <w:abstractNumId w:val="42"/>
  </w:num>
  <w:num w:numId="9">
    <w:abstractNumId w:val="35"/>
  </w:num>
  <w:num w:numId="10">
    <w:abstractNumId w:val="13"/>
  </w:num>
  <w:num w:numId="11">
    <w:abstractNumId w:val="32"/>
  </w:num>
  <w:num w:numId="12">
    <w:abstractNumId w:val="12"/>
  </w:num>
  <w:num w:numId="13">
    <w:abstractNumId w:val="27"/>
  </w:num>
  <w:num w:numId="14">
    <w:abstractNumId w:val="52"/>
  </w:num>
  <w:num w:numId="15">
    <w:abstractNumId w:val="14"/>
  </w:num>
  <w:num w:numId="16">
    <w:abstractNumId w:val="29"/>
  </w:num>
  <w:num w:numId="17">
    <w:abstractNumId w:val="21"/>
  </w:num>
  <w:num w:numId="18">
    <w:abstractNumId w:val="31"/>
  </w:num>
  <w:num w:numId="19">
    <w:abstractNumId w:val="15"/>
  </w:num>
  <w:num w:numId="20">
    <w:abstractNumId w:val="26"/>
  </w:num>
  <w:num w:numId="21">
    <w:abstractNumId w:val="22"/>
  </w:num>
  <w:num w:numId="22">
    <w:abstractNumId w:val="46"/>
  </w:num>
  <w:num w:numId="23">
    <w:abstractNumId w:val="48"/>
  </w:num>
  <w:num w:numId="24">
    <w:abstractNumId w:val="24"/>
  </w:num>
  <w:num w:numId="25">
    <w:abstractNumId w:val="11"/>
  </w:num>
  <w:num w:numId="26">
    <w:abstractNumId w:val="30"/>
  </w:num>
  <w:num w:numId="27">
    <w:abstractNumId w:val="33"/>
  </w:num>
  <w:num w:numId="28">
    <w:abstractNumId w:val="28"/>
  </w:num>
  <w:num w:numId="29">
    <w:abstractNumId w:val="36"/>
  </w:num>
  <w:num w:numId="30">
    <w:abstractNumId w:val="39"/>
  </w:num>
  <w:num w:numId="31">
    <w:abstractNumId w:val="51"/>
  </w:num>
  <w:num w:numId="32">
    <w:abstractNumId w:val="23"/>
  </w:num>
  <w:num w:numId="33">
    <w:abstractNumId w:val="41"/>
  </w:num>
  <w:num w:numId="34">
    <w:abstractNumId w:val="20"/>
  </w:num>
  <w:num w:numId="35">
    <w:abstractNumId w:val="25"/>
  </w:num>
  <w:num w:numId="36">
    <w:abstractNumId w:val="49"/>
  </w:num>
  <w:num w:numId="37">
    <w:abstractNumId w:val="37"/>
  </w:num>
  <w:num w:numId="38">
    <w:abstractNumId w:val="2"/>
  </w:num>
  <w:num w:numId="39">
    <w:abstractNumId w:val="16"/>
  </w:num>
  <w:num w:numId="40">
    <w:abstractNumId w:val="19"/>
  </w:num>
  <w:num w:numId="41">
    <w:abstractNumId w:val="38"/>
  </w:num>
  <w:num w:numId="42">
    <w:abstractNumId w:val="43"/>
  </w:num>
  <w:num w:numId="4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138F"/>
    <w:rsid w:val="00001BEE"/>
    <w:rsid w:val="0000372E"/>
    <w:rsid w:val="00004284"/>
    <w:rsid w:val="000051D6"/>
    <w:rsid w:val="00006DDD"/>
    <w:rsid w:val="00006FE6"/>
    <w:rsid w:val="000104AF"/>
    <w:rsid w:val="00010AF1"/>
    <w:rsid w:val="000143E5"/>
    <w:rsid w:val="0002178B"/>
    <w:rsid w:val="00022C4B"/>
    <w:rsid w:val="000237D2"/>
    <w:rsid w:val="0002588E"/>
    <w:rsid w:val="00027127"/>
    <w:rsid w:val="00031C8B"/>
    <w:rsid w:val="00035122"/>
    <w:rsid w:val="00041F1F"/>
    <w:rsid w:val="00041FC6"/>
    <w:rsid w:val="00044376"/>
    <w:rsid w:val="00045D55"/>
    <w:rsid w:val="00045FA5"/>
    <w:rsid w:val="00046193"/>
    <w:rsid w:val="0005391F"/>
    <w:rsid w:val="00060926"/>
    <w:rsid w:val="00060B8F"/>
    <w:rsid w:val="00062C05"/>
    <w:rsid w:val="00062FE4"/>
    <w:rsid w:val="000651AF"/>
    <w:rsid w:val="0006566D"/>
    <w:rsid w:val="00065E24"/>
    <w:rsid w:val="00065F94"/>
    <w:rsid w:val="00066A53"/>
    <w:rsid w:val="0007115C"/>
    <w:rsid w:val="00072D0B"/>
    <w:rsid w:val="00075D5D"/>
    <w:rsid w:val="000760EA"/>
    <w:rsid w:val="00080EDE"/>
    <w:rsid w:val="00082003"/>
    <w:rsid w:val="00082A16"/>
    <w:rsid w:val="00083123"/>
    <w:rsid w:val="000875A8"/>
    <w:rsid w:val="00095BDD"/>
    <w:rsid w:val="00095E25"/>
    <w:rsid w:val="0009615F"/>
    <w:rsid w:val="000A187F"/>
    <w:rsid w:val="000A40AD"/>
    <w:rsid w:val="000A42BE"/>
    <w:rsid w:val="000A45A8"/>
    <w:rsid w:val="000A467F"/>
    <w:rsid w:val="000A5141"/>
    <w:rsid w:val="000B0BE3"/>
    <w:rsid w:val="000B4020"/>
    <w:rsid w:val="000B4B07"/>
    <w:rsid w:val="000B58BC"/>
    <w:rsid w:val="000B62ED"/>
    <w:rsid w:val="000B6552"/>
    <w:rsid w:val="000C0D1E"/>
    <w:rsid w:val="000C2870"/>
    <w:rsid w:val="000C4F84"/>
    <w:rsid w:val="000C50E2"/>
    <w:rsid w:val="000C5203"/>
    <w:rsid w:val="000C527B"/>
    <w:rsid w:val="000D2C11"/>
    <w:rsid w:val="000D37E6"/>
    <w:rsid w:val="000D44BC"/>
    <w:rsid w:val="000D46FB"/>
    <w:rsid w:val="000D4824"/>
    <w:rsid w:val="000D62E8"/>
    <w:rsid w:val="000E2C3A"/>
    <w:rsid w:val="000E2E18"/>
    <w:rsid w:val="000E6911"/>
    <w:rsid w:val="000F06F3"/>
    <w:rsid w:val="000F1076"/>
    <w:rsid w:val="000F2751"/>
    <w:rsid w:val="000F490F"/>
    <w:rsid w:val="000F4C1E"/>
    <w:rsid w:val="00100F91"/>
    <w:rsid w:val="00101413"/>
    <w:rsid w:val="00103FD9"/>
    <w:rsid w:val="0010487F"/>
    <w:rsid w:val="00104C14"/>
    <w:rsid w:val="00105A75"/>
    <w:rsid w:val="0010647A"/>
    <w:rsid w:val="001069C2"/>
    <w:rsid w:val="00106EDC"/>
    <w:rsid w:val="00107683"/>
    <w:rsid w:val="00112846"/>
    <w:rsid w:val="001141A7"/>
    <w:rsid w:val="00114DB1"/>
    <w:rsid w:val="00115144"/>
    <w:rsid w:val="00125108"/>
    <w:rsid w:val="00125676"/>
    <w:rsid w:val="00126518"/>
    <w:rsid w:val="001273A7"/>
    <w:rsid w:val="0013047C"/>
    <w:rsid w:val="00130B57"/>
    <w:rsid w:val="001343CF"/>
    <w:rsid w:val="00135155"/>
    <w:rsid w:val="001353BC"/>
    <w:rsid w:val="00140257"/>
    <w:rsid w:val="0014197B"/>
    <w:rsid w:val="00142048"/>
    <w:rsid w:val="00144AEE"/>
    <w:rsid w:val="001465BE"/>
    <w:rsid w:val="00146B8D"/>
    <w:rsid w:val="00147BBC"/>
    <w:rsid w:val="0015078D"/>
    <w:rsid w:val="00152A7A"/>
    <w:rsid w:val="001539BB"/>
    <w:rsid w:val="00154267"/>
    <w:rsid w:val="00154D8A"/>
    <w:rsid w:val="00155877"/>
    <w:rsid w:val="00155F43"/>
    <w:rsid w:val="00161C34"/>
    <w:rsid w:val="0016355C"/>
    <w:rsid w:val="00164927"/>
    <w:rsid w:val="001678F2"/>
    <w:rsid w:val="00170CA1"/>
    <w:rsid w:val="00172482"/>
    <w:rsid w:val="00174F48"/>
    <w:rsid w:val="0017578C"/>
    <w:rsid w:val="00175817"/>
    <w:rsid w:val="00176922"/>
    <w:rsid w:val="00180D48"/>
    <w:rsid w:val="00182ADA"/>
    <w:rsid w:val="00183827"/>
    <w:rsid w:val="00183E8F"/>
    <w:rsid w:val="001854D7"/>
    <w:rsid w:val="00191D8D"/>
    <w:rsid w:val="001923CA"/>
    <w:rsid w:val="00196744"/>
    <w:rsid w:val="001975D6"/>
    <w:rsid w:val="00197AF4"/>
    <w:rsid w:val="001A1773"/>
    <w:rsid w:val="001A7A87"/>
    <w:rsid w:val="001B0710"/>
    <w:rsid w:val="001B347E"/>
    <w:rsid w:val="001B5B69"/>
    <w:rsid w:val="001B5DB9"/>
    <w:rsid w:val="001B5F05"/>
    <w:rsid w:val="001B7BED"/>
    <w:rsid w:val="001C38E5"/>
    <w:rsid w:val="001C3C2B"/>
    <w:rsid w:val="001C550F"/>
    <w:rsid w:val="001C7589"/>
    <w:rsid w:val="001D00F4"/>
    <w:rsid w:val="001D0E4D"/>
    <w:rsid w:val="001D1F40"/>
    <w:rsid w:val="001D24F5"/>
    <w:rsid w:val="001D50A8"/>
    <w:rsid w:val="001D6AFE"/>
    <w:rsid w:val="001D7612"/>
    <w:rsid w:val="001E06CD"/>
    <w:rsid w:val="001E0833"/>
    <w:rsid w:val="001E1FAC"/>
    <w:rsid w:val="001E2C30"/>
    <w:rsid w:val="001E319D"/>
    <w:rsid w:val="001E31E7"/>
    <w:rsid w:val="001E4881"/>
    <w:rsid w:val="001E5189"/>
    <w:rsid w:val="001E69E1"/>
    <w:rsid w:val="001F084B"/>
    <w:rsid w:val="001F1551"/>
    <w:rsid w:val="001F1E5D"/>
    <w:rsid w:val="001F2287"/>
    <w:rsid w:val="001F252C"/>
    <w:rsid w:val="001F3032"/>
    <w:rsid w:val="001F31C5"/>
    <w:rsid w:val="001F321D"/>
    <w:rsid w:val="001F32FE"/>
    <w:rsid w:val="001F3C47"/>
    <w:rsid w:val="001F43A9"/>
    <w:rsid w:val="001F48D1"/>
    <w:rsid w:val="001F4C0B"/>
    <w:rsid w:val="001F5A79"/>
    <w:rsid w:val="00203544"/>
    <w:rsid w:val="00203737"/>
    <w:rsid w:val="00204819"/>
    <w:rsid w:val="00207D12"/>
    <w:rsid w:val="00216E39"/>
    <w:rsid w:val="00220441"/>
    <w:rsid w:val="0022310F"/>
    <w:rsid w:val="00223A3D"/>
    <w:rsid w:val="00223FB5"/>
    <w:rsid w:val="0022607D"/>
    <w:rsid w:val="002272FA"/>
    <w:rsid w:val="0022798C"/>
    <w:rsid w:val="00227F7D"/>
    <w:rsid w:val="00230108"/>
    <w:rsid w:val="00231E72"/>
    <w:rsid w:val="00232B17"/>
    <w:rsid w:val="00232B3C"/>
    <w:rsid w:val="00233ECC"/>
    <w:rsid w:val="002345FB"/>
    <w:rsid w:val="002355F0"/>
    <w:rsid w:val="002370C1"/>
    <w:rsid w:val="00240A85"/>
    <w:rsid w:val="00241EAF"/>
    <w:rsid w:val="00243772"/>
    <w:rsid w:val="00243CA2"/>
    <w:rsid w:val="00243F7D"/>
    <w:rsid w:val="0024450C"/>
    <w:rsid w:val="00245C93"/>
    <w:rsid w:val="00246571"/>
    <w:rsid w:val="00246A95"/>
    <w:rsid w:val="00246B53"/>
    <w:rsid w:val="00247A3D"/>
    <w:rsid w:val="00247C20"/>
    <w:rsid w:val="0025224B"/>
    <w:rsid w:val="00252971"/>
    <w:rsid w:val="00252A5C"/>
    <w:rsid w:val="002548C2"/>
    <w:rsid w:val="00254FAB"/>
    <w:rsid w:val="002550E8"/>
    <w:rsid w:val="00255C16"/>
    <w:rsid w:val="00257DF0"/>
    <w:rsid w:val="002615A2"/>
    <w:rsid w:val="00261FFF"/>
    <w:rsid w:val="00262533"/>
    <w:rsid w:val="00262BE1"/>
    <w:rsid w:val="00262D00"/>
    <w:rsid w:val="00263CFA"/>
    <w:rsid w:val="00267B7C"/>
    <w:rsid w:val="002709B7"/>
    <w:rsid w:val="0027615E"/>
    <w:rsid w:val="00276A0D"/>
    <w:rsid w:val="00277A81"/>
    <w:rsid w:val="0028001B"/>
    <w:rsid w:val="00281576"/>
    <w:rsid w:val="0028202A"/>
    <w:rsid w:val="002833B0"/>
    <w:rsid w:val="00284A41"/>
    <w:rsid w:val="00284C6A"/>
    <w:rsid w:val="00287682"/>
    <w:rsid w:val="002906CC"/>
    <w:rsid w:val="0029235E"/>
    <w:rsid w:val="002960BD"/>
    <w:rsid w:val="0029705B"/>
    <w:rsid w:val="002A09CE"/>
    <w:rsid w:val="002A0B6B"/>
    <w:rsid w:val="002A2249"/>
    <w:rsid w:val="002A5037"/>
    <w:rsid w:val="002A6579"/>
    <w:rsid w:val="002B7453"/>
    <w:rsid w:val="002C20D1"/>
    <w:rsid w:val="002C2A7E"/>
    <w:rsid w:val="002C39D8"/>
    <w:rsid w:val="002C4907"/>
    <w:rsid w:val="002C4AF9"/>
    <w:rsid w:val="002C5421"/>
    <w:rsid w:val="002C5847"/>
    <w:rsid w:val="002C59D7"/>
    <w:rsid w:val="002C7092"/>
    <w:rsid w:val="002C735C"/>
    <w:rsid w:val="002D1855"/>
    <w:rsid w:val="002D2A0A"/>
    <w:rsid w:val="002E037D"/>
    <w:rsid w:val="002E0C30"/>
    <w:rsid w:val="002E13BC"/>
    <w:rsid w:val="002E6D30"/>
    <w:rsid w:val="002E7CD9"/>
    <w:rsid w:val="002F1039"/>
    <w:rsid w:val="002F1A71"/>
    <w:rsid w:val="002F1D42"/>
    <w:rsid w:val="002F2E52"/>
    <w:rsid w:val="002F6658"/>
    <w:rsid w:val="002F6A9D"/>
    <w:rsid w:val="003004BF"/>
    <w:rsid w:val="00305729"/>
    <w:rsid w:val="003058A8"/>
    <w:rsid w:val="00307398"/>
    <w:rsid w:val="00310CE6"/>
    <w:rsid w:val="00311D8B"/>
    <w:rsid w:val="00314A7F"/>
    <w:rsid w:val="00316C71"/>
    <w:rsid w:val="00317481"/>
    <w:rsid w:val="00321DAB"/>
    <w:rsid w:val="00322155"/>
    <w:rsid w:val="00322343"/>
    <w:rsid w:val="00322869"/>
    <w:rsid w:val="00325490"/>
    <w:rsid w:val="00330AE1"/>
    <w:rsid w:val="00332878"/>
    <w:rsid w:val="003333EE"/>
    <w:rsid w:val="003349C9"/>
    <w:rsid w:val="00335B91"/>
    <w:rsid w:val="00336A90"/>
    <w:rsid w:val="003377E8"/>
    <w:rsid w:val="003407EC"/>
    <w:rsid w:val="00342188"/>
    <w:rsid w:val="003421BD"/>
    <w:rsid w:val="00344442"/>
    <w:rsid w:val="00344701"/>
    <w:rsid w:val="00344803"/>
    <w:rsid w:val="0034492A"/>
    <w:rsid w:val="00346FFE"/>
    <w:rsid w:val="00352140"/>
    <w:rsid w:val="0035238C"/>
    <w:rsid w:val="00354017"/>
    <w:rsid w:val="0035563D"/>
    <w:rsid w:val="003559AB"/>
    <w:rsid w:val="00355DAA"/>
    <w:rsid w:val="00356BAF"/>
    <w:rsid w:val="0036088B"/>
    <w:rsid w:val="0036214C"/>
    <w:rsid w:val="00363BC9"/>
    <w:rsid w:val="00364FD9"/>
    <w:rsid w:val="0037198B"/>
    <w:rsid w:val="00374ADC"/>
    <w:rsid w:val="003756B8"/>
    <w:rsid w:val="00383DDA"/>
    <w:rsid w:val="0038426B"/>
    <w:rsid w:val="0038491E"/>
    <w:rsid w:val="00384D95"/>
    <w:rsid w:val="003862B4"/>
    <w:rsid w:val="00386E53"/>
    <w:rsid w:val="003939C7"/>
    <w:rsid w:val="00394116"/>
    <w:rsid w:val="0039516A"/>
    <w:rsid w:val="00395E39"/>
    <w:rsid w:val="00395F32"/>
    <w:rsid w:val="00396FCE"/>
    <w:rsid w:val="00397284"/>
    <w:rsid w:val="003A0173"/>
    <w:rsid w:val="003A073E"/>
    <w:rsid w:val="003A0A0C"/>
    <w:rsid w:val="003A2EA5"/>
    <w:rsid w:val="003A3260"/>
    <w:rsid w:val="003A4653"/>
    <w:rsid w:val="003A4DF3"/>
    <w:rsid w:val="003A60AB"/>
    <w:rsid w:val="003A634F"/>
    <w:rsid w:val="003B02C3"/>
    <w:rsid w:val="003B0A83"/>
    <w:rsid w:val="003B21F0"/>
    <w:rsid w:val="003B2CDF"/>
    <w:rsid w:val="003B3BFB"/>
    <w:rsid w:val="003B3E53"/>
    <w:rsid w:val="003B4BED"/>
    <w:rsid w:val="003B4EA0"/>
    <w:rsid w:val="003B531C"/>
    <w:rsid w:val="003B67BB"/>
    <w:rsid w:val="003C1783"/>
    <w:rsid w:val="003C2245"/>
    <w:rsid w:val="003C22B5"/>
    <w:rsid w:val="003C2741"/>
    <w:rsid w:val="003C3D89"/>
    <w:rsid w:val="003C6123"/>
    <w:rsid w:val="003C6EA0"/>
    <w:rsid w:val="003C7388"/>
    <w:rsid w:val="003C7DBD"/>
    <w:rsid w:val="003D0192"/>
    <w:rsid w:val="003D2F1D"/>
    <w:rsid w:val="003D3922"/>
    <w:rsid w:val="003D45EA"/>
    <w:rsid w:val="003D547F"/>
    <w:rsid w:val="003D5C26"/>
    <w:rsid w:val="003E2B48"/>
    <w:rsid w:val="003E31C4"/>
    <w:rsid w:val="003E4D3E"/>
    <w:rsid w:val="003E5124"/>
    <w:rsid w:val="003E54CD"/>
    <w:rsid w:val="003E578C"/>
    <w:rsid w:val="003E5810"/>
    <w:rsid w:val="003E5F89"/>
    <w:rsid w:val="003F3604"/>
    <w:rsid w:val="003F52E7"/>
    <w:rsid w:val="004012A8"/>
    <w:rsid w:val="00406434"/>
    <w:rsid w:val="00406F25"/>
    <w:rsid w:val="00410C9F"/>
    <w:rsid w:val="00414980"/>
    <w:rsid w:val="00416368"/>
    <w:rsid w:val="00417332"/>
    <w:rsid w:val="00420483"/>
    <w:rsid w:val="0042309C"/>
    <w:rsid w:val="00423241"/>
    <w:rsid w:val="00423A03"/>
    <w:rsid w:val="00423DE6"/>
    <w:rsid w:val="00424AFB"/>
    <w:rsid w:val="00425F2E"/>
    <w:rsid w:val="00427577"/>
    <w:rsid w:val="00427A26"/>
    <w:rsid w:val="00433503"/>
    <w:rsid w:val="004357CE"/>
    <w:rsid w:val="004371B3"/>
    <w:rsid w:val="0044034D"/>
    <w:rsid w:val="004403C4"/>
    <w:rsid w:val="00441064"/>
    <w:rsid w:val="00441939"/>
    <w:rsid w:val="004423E3"/>
    <w:rsid w:val="004438F1"/>
    <w:rsid w:val="00444C93"/>
    <w:rsid w:val="00446370"/>
    <w:rsid w:val="00446691"/>
    <w:rsid w:val="00446D9C"/>
    <w:rsid w:val="00450537"/>
    <w:rsid w:val="0045273D"/>
    <w:rsid w:val="0045277E"/>
    <w:rsid w:val="00452E2C"/>
    <w:rsid w:val="00454FF6"/>
    <w:rsid w:val="00460FE7"/>
    <w:rsid w:val="00461A21"/>
    <w:rsid w:val="00462BD1"/>
    <w:rsid w:val="0046391D"/>
    <w:rsid w:val="004643B9"/>
    <w:rsid w:val="00465569"/>
    <w:rsid w:val="00467C3F"/>
    <w:rsid w:val="004718ED"/>
    <w:rsid w:val="0047248B"/>
    <w:rsid w:val="004747C9"/>
    <w:rsid w:val="0047574B"/>
    <w:rsid w:val="0047638C"/>
    <w:rsid w:val="00483010"/>
    <w:rsid w:val="00487959"/>
    <w:rsid w:val="004912D2"/>
    <w:rsid w:val="0049243D"/>
    <w:rsid w:val="00493544"/>
    <w:rsid w:val="00493753"/>
    <w:rsid w:val="00493E89"/>
    <w:rsid w:val="004951E1"/>
    <w:rsid w:val="0049621F"/>
    <w:rsid w:val="004A08DA"/>
    <w:rsid w:val="004A0EFF"/>
    <w:rsid w:val="004A3C3B"/>
    <w:rsid w:val="004A771A"/>
    <w:rsid w:val="004B067F"/>
    <w:rsid w:val="004B06D1"/>
    <w:rsid w:val="004B1B43"/>
    <w:rsid w:val="004B1BA4"/>
    <w:rsid w:val="004B29EF"/>
    <w:rsid w:val="004B5482"/>
    <w:rsid w:val="004B7596"/>
    <w:rsid w:val="004C0DCD"/>
    <w:rsid w:val="004C2007"/>
    <w:rsid w:val="004C393E"/>
    <w:rsid w:val="004D011C"/>
    <w:rsid w:val="004D0ED6"/>
    <w:rsid w:val="004D3BAE"/>
    <w:rsid w:val="004D5C98"/>
    <w:rsid w:val="004D5CE1"/>
    <w:rsid w:val="004D6D76"/>
    <w:rsid w:val="004D7B48"/>
    <w:rsid w:val="004D7BBF"/>
    <w:rsid w:val="004E1AB4"/>
    <w:rsid w:val="004E2452"/>
    <w:rsid w:val="004E406D"/>
    <w:rsid w:val="004E4C99"/>
    <w:rsid w:val="004E6286"/>
    <w:rsid w:val="004E6491"/>
    <w:rsid w:val="004E72CB"/>
    <w:rsid w:val="004F494F"/>
    <w:rsid w:val="004F622D"/>
    <w:rsid w:val="004F7090"/>
    <w:rsid w:val="00500555"/>
    <w:rsid w:val="0050101A"/>
    <w:rsid w:val="00501750"/>
    <w:rsid w:val="00503B0B"/>
    <w:rsid w:val="005102E2"/>
    <w:rsid w:val="005124CD"/>
    <w:rsid w:val="005125A1"/>
    <w:rsid w:val="00514DE0"/>
    <w:rsid w:val="005214D1"/>
    <w:rsid w:val="005252CE"/>
    <w:rsid w:val="00525D24"/>
    <w:rsid w:val="005275F7"/>
    <w:rsid w:val="005310FA"/>
    <w:rsid w:val="00531D75"/>
    <w:rsid w:val="00531E2B"/>
    <w:rsid w:val="00532478"/>
    <w:rsid w:val="00532C95"/>
    <w:rsid w:val="00532D81"/>
    <w:rsid w:val="005335C0"/>
    <w:rsid w:val="005364D7"/>
    <w:rsid w:val="00540515"/>
    <w:rsid w:val="00540A55"/>
    <w:rsid w:val="00542B5F"/>
    <w:rsid w:val="00542CC9"/>
    <w:rsid w:val="00542D30"/>
    <w:rsid w:val="00545B13"/>
    <w:rsid w:val="005476C0"/>
    <w:rsid w:val="0055033A"/>
    <w:rsid w:val="00550BCB"/>
    <w:rsid w:val="0055194F"/>
    <w:rsid w:val="00552F13"/>
    <w:rsid w:val="00553F89"/>
    <w:rsid w:val="00553FEF"/>
    <w:rsid w:val="0056154D"/>
    <w:rsid w:val="00563406"/>
    <w:rsid w:val="0056394B"/>
    <w:rsid w:val="005641A3"/>
    <w:rsid w:val="0056581A"/>
    <w:rsid w:val="00565CBC"/>
    <w:rsid w:val="005663C4"/>
    <w:rsid w:val="00570371"/>
    <w:rsid w:val="00571230"/>
    <w:rsid w:val="00572238"/>
    <w:rsid w:val="0057284B"/>
    <w:rsid w:val="00574D26"/>
    <w:rsid w:val="00575968"/>
    <w:rsid w:val="0057610D"/>
    <w:rsid w:val="00580B8F"/>
    <w:rsid w:val="00583788"/>
    <w:rsid w:val="005838E1"/>
    <w:rsid w:val="00583D0F"/>
    <w:rsid w:val="00584125"/>
    <w:rsid w:val="00585151"/>
    <w:rsid w:val="00587842"/>
    <w:rsid w:val="00593732"/>
    <w:rsid w:val="0059391B"/>
    <w:rsid w:val="00593AD9"/>
    <w:rsid w:val="00593BF0"/>
    <w:rsid w:val="00593EBF"/>
    <w:rsid w:val="005A11EE"/>
    <w:rsid w:val="005A1564"/>
    <w:rsid w:val="005B6AC1"/>
    <w:rsid w:val="005B74EC"/>
    <w:rsid w:val="005C0BC2"/>
    <w:rsid w:val="005C110D"/>
    <w:rsid w:val="005C1C87"/>
    <w:rsid w:val="005C6217"/>
    <w:rsid w:val="005C6BB9"/>
    <w:rsid w:val="005D1DFE"/>
    <w:rsid w:val="005D4333"/>
    <w:rsid w:val="005D50AA"/>
    <w:rsid w:val="005D7882"/>
    <w:rsid w:val="005D7E97"/>
    <w:rsid w:val="005D7EDA"/>
    <w:rsid w:val="005E1CA4"/>
    <w:rsid w:val="005E75A2"/>
    <w:rsid w:val="005F3D5F"/>
    <w:rsid w:val="005F4FAC"/>
    <w:rsid w:val="005F757C"/>
    <w:rsid w:val="00601209"/>
    <w:rsid w:val="00601CFD"/>
    <w:rsid w:val="00602B0D"/>
    <w:rsid w:val="00603266"/>
    <w:rsid w:val="00605688"/>
    <w:rsid w:val="00610108"/>
    <w:rsid w:val="006105E6"/>
    <w:rsid w:val="006155BE"/>
    <w:rsid w:val="006201A9"/>
    <w:rsid w:val="0062504D"/>
    <w:rsid w:val="00625C55"/>
    <w:rsid w:val="006305B7"/>
    <w:rsid w:val="00631554"/>
    <w:rsid w:val="00634A05"/>
    <w:rsid w:val="0063517C"/>
    <w:rsid w:val="006352C3"/>
    <w:rsid w:val="00640213"/>
    <w:rsid w:val="006407D7"/>
    <w:rsid w:val="00641476"/>
    <w:rsid w:val="00641607"/>
    <w:rsid w:val="00642BCD"/>
    <w:rsid w:val="00642CE8"/>
    <w:rsid w:val="0064623C"/>
    <w:rsid w:val="00647A12"/>
    <w:rsid w:val="00652CF8"/>
    <w:rsid w:val="00655E38"/>
    <w:rsid w:val="0066026C"/>
    <w:rsid w:val="0066051B"/>
    <w:rsid w:val="0066166E"/>
    <w:rsid w:val="00666157"/>
    <w:rsid w:val="006662DC"/>
    <w:rsid w:val="00666AAF"/>
    <w:rsid w:val="006677C7"/>
    <w:rsid w:val="006719EC"/>
    <w:rsid w:val="0067249A"/>
    <w:rsid w:val="0067614C"/>
    <w:rsid w:val="00684CFD"/>
    <w:rsid w:val="0068538D"/>
    <w:rsid w:val="006877BA"/>
    <w:rsid w:val="00690D36"/>
    <w:rsid w:val="00691938"/>
    <w:rsid w:val="00692CF5"/>
    <w:rsid w:val="00697BF5"/>
    <w:rsid w:val="006A029E"/>
    <w:rsid w:val="006A0743"/>
    <w:rsid w:val="006A1B46"/>
    <w:rsid w:val="006A31C3"/>
    <w:rsid w:val="006A580B"/>
    <w:rsid w:val="006A7316"/>
    <w:rsid w:val="006B1124"/>
    <w:rsid w:val="006B3FB0"/>
    <w:rsid w:val="006B43C4"/>
    <w:rsid w:val="006B5ADC"/>
    <w:rsid w:val="006C1E1F"/>
    <w:rsid w:val="006C2F78"/>
    <w:rsid w:val="006C7F83"/>
    <w:rsid w:val="006D4230"/>
    <w:rsid w:val="006D599B"/>
    <w:rsid w:val="006D6E71"/>
    <w:rsid w:val="006E0ADC"/>
    <w:rsid w:val="006E1B94"/>
    <w:rsid w:val="006E1E76"/>
    <w:rsid w:val="006E29DF"/>
    <w:rsid w:val="006E4607"/>
    <w:rsid w:val="006E5C9D"/>
    <w:rsid w:val="006E60E3"/>
    <w:rsid w:val="006E6C8A"/>
    <w:rsid w:val="006F1516"/>
    <w:rsid w:val="006F3E60"/>
    <w:rsid w:val="006F4BE5"/>
    <w:rsid w:val="006F6943"/>
    <w:rsid w:val="006F7E8D"/>
    <w:rsid w:val="006F7F65"/>
    <w:rsid w:val="00704D34"/>
    <w:rsid w:val="007111AF"/>
    <w:rsid w:val="00711E39"/>
    <w:rsid w:val="007122F6"/>
    <w:rsid w:val="00713F0F"/>
    <w:rsid w:val="00714936"/>
    <w:rsid w:val="007167DE"/>
    <w:rsid w:val="00717011"/>
    <w:rsid w:val="007207DF"/>
    <w:rsid w:val="00724E48"/>
    <w:rsid w:val="00725544"/>
    <w:rsid w:val="00727287"/>
    <w:rsid w:val="007350FB"/>
    <w:rsid w:val="00736262"/>
    <w:rsid w:val="007403CD"/>
    <w:rsid w:val="0074137E"/>
    <w:rsid w:val="007414A5"/>
    <w:rsid w:val="00741CC2"/>
    <w:rsid w:val="00742FB9"/>
    <w:rsid w:val="00743B20"/>
    <w:rsid w:val="00746146"/>
    <w:rsid w:val="007476A4"/>
    <w:rsid w:val="00752570"/>
    <w:rsid w:val="007530B8"/>
    <w:rsid w:val="007577B2"/>
    <w:rsid w:val="007614E0"/>
    <w:rsid w:val="0076599F"/>
    <w:rsid w:val="007669DC"/>
    <w:rsid w:val="007679CE"/>
    <w:rsid w:val="00770409"/>
    <w:rsid w:val="007747E1"/>
    <w:rsid w:val="0077567F"/>
    <w:rsid w:val="007773AC"/>
    <w:rsid w:val="00781BE6"/>
    <w:rsid w:val="00782D90"/>
    <w:rsid w:val="007839F1"/>
    <w:rsid w:val="00786028"/>
    <w:rsid w:val="00786DA5"/>
    <w:rsid w:val="00790092"/>
    <w:rsid w:val="00791E81"/>
    <w:rsid w:val="00795E7B"/>
    <w:rsid w:val="00796829"/>
    <w:rsid w:val="007A127B"/>
    <w:rsid w:val="007A2B25"/>
    <w:rsid w:val="007A351E"/>
    <w:rsid w:val="007A43C7"/>
    <w:rsid w:val="007A755E"/>
    <w:rsid w:val="007B0021"/>
    <w:rsid w:val="007B08BF"/>
    <w:rsid w:val="007B17E9"/>
    <w:rsid w:val="007B1A18"/>
    <w:rsid w:val="007B4527"/>
    <w:rsid w:val="007B4E33"/>
    <w:rsid w:val="007B7DE2"/>
    <w:rsid w:val="007C0390"/>
    <w:rsid w:val="007C4F03"/>
    <w:rsid w:val="007C5D43"/>
    <w:rsid w:val="007C6588"/>
    <w:rsid w:val="007C683C"/>
    <w:rsid w:val="007D3B76"/>
    <w:rsid w:val="007D49B8"/>
    <w:rsid w:val="007D4F64"/>
    <w:rsid w:val="007D5A97"/>
    <w:rsid w:val="007D65E1"/>
    <w:rsid w:val="007E04FF"/>
    <w:rsid w:val="007E0FA3"/>
    <w:rsid w:val="007E3351"/>
    <w:rsid w:val="007E5C0F"/>
    <w:rsid w:val="007E60D5"/>
    <w:rsid w:val="007F4DCB"/>
    <w:rsid w:val="007F5818"/>
    <w:rsid w:val="007F7878"/>
    <w:rsid w:val="008036B9"/>
    <w:rsid w:val="00807335"/>
    <w:rsid w:val="00811F59"/>
    <w:rsid w:val="008131F9"/>
    <w:rsid w:val="00817B53"/>
    <w:rsid w:val="008202F3"/>
    <w:rsid w:val="0082412C"/>
    <w:rsid w:val="00824400"/>
    <w:rsid w:val="00827AEF"/>
    <w:rsid w:val="00830F0D"/>
    <w:rsid w:val="008341A9"/>
    <w:rsid w:val="0083671E"/>
    <w:rsid w:val="008412C1"/>
    <w:rsid w:val="008431FA"/>
    <w:rsid w:val="00847368"/>
    <w:rsid w:val="00851553"/>
    <w:rsid w:val="00857E54"/>
    <w:rsid w:val="00860E3D"/>
    <w:rsid w:val="00862C96"/>
    <w:rsid w:val="00862FCF"/>
    <w:rsid w:val="008643B0"/>
    <w:rsid w:val="0086691C"/>
    <w:rsid w:val="008671A9"/>
    <w:rsid w:val="008710E6"/>
    <w:rsid w:val="00872C81"/>
    <w:rsid w:val="008765E8"/>
    <w:rsid w:val="008772EA"/>
    <w:rsid w:val="008807C7"/>
    <w:rsid w:val="008850D6"/>
    <w:rsid w:val="0088572D"/>
    <w:rsid w:val="008863DB"/>
    <w:rsid w:val="0088641E"/>
    <w:rsid w:val="00891FD6"/>
    <w:rsid w:val="008924EB"/>
    <w:rsid w:val="00896646"/>
    <w:rsid w:val="008A09B8"/>
    <w:rsid w:val="008A303F"/>
    <w:rsid w:val="008A3A90"/>
    <w:rsid w:val="008A3D57"/>
    <w:rsid w:val="008A401A"/>
    <w:rsid w:val="008A5038"/>
    <w:rsid w:val="008A5E1F"/>
    <w:rsid w:val="008A65A5"/>
    <w:rsid w:val="008A700D"/>
    <w:rsid w:val="008A7F0F"/>
    <w:rsid w:val="008B3560"/>
    <w:rsid w:val="008B41F6"/>
    <w:rsid w:val="008B4FEA"/>
    <w:rsid w:val="008B509B"/>
    <w:rsid w:val="008B5A4A"/>
    <w:rsid w:val="008B5F61"/>
    <w:rsid w:val="008B66B3"/>
    <w:rsid w:val="008C3835"/>
    <w:rsid w:val="008C521A"/>
    <w:rsid w:val="008C70D1"/>
    <w:rsid w:val="008D051E"/>
    <w:rsid w:val="008D3109"/>
    <w:rsid w:val="008D4FE6"/>
    <w:rsid w:val="008D6F4B"/>
    <w:rsid w:val="008E1E02"/>
    <w:rsid w:val="008E3EC0"/>
    <w:rsid w:val="008E4B1D"/>
    <w:rsid w:val="008E79B3"/>
    <w:rsid w:val="008F3967"/>
    <w:rsid w:val="008F794B"/>
    <w:rsid w:val="008F7BBB"/>
    <w:rsid w:val="009015CD"/>
    <w:rsid w:val="009063D5"/>
    <w:rsid w:val="00906A7E"/>
    <w:rsid w:val="00906C17"/>
    <w:rsid w:val="00907066"/>
    <w:rsid w:val="00907B10"/>
    <w:rsid w:val="009124C0"/>
    <w:rsid w:val="009125DC"/>
    <w:rsid w:val="0091264D"/>
    <w:rsid w:val="009131FA"/>
    <w:rsid w:val="0091356D"/>
    <w:rsid w:val="009168ED"/>
    <w:rsid w:val="009228A3"/>
    <w:rsid w:val="00926188"/>
    <w:rsid w:val="00927413"/>
    <w:rsid w:val="009306A6"/>
    <w:rsid w:val="009306D3"/>
    <w:rsid w:val="009364F0"/>
    <w:rsid w:val="00937CD4"/>
    <w:rsid w:val="00940BDB"/>
    <w:rsid w:val="009414F6"/>
    <w:rsid w:val="00945CDE"/>
    <w:rsid w:val="00945E2D"/>
    <w:rsid w:val="009470EB"/>
    <w:rsid w:val="00950E71"/>
    <w:rsid w:val="0095144E"/>
    <w:rsid w:val="009528B3"/>
    <w:rsid w:val="00953D2F"/>
    <w:rsid w:val="0095421F"/>
    <w:rsid w:val="009550A2"/>
    <w:rsid w:val="009563D4"/>
    <w:rsid w:val="00956888"/>
    <w:rsid w:val="00956912"/>
    <w:rsid w:val="0096190F"/>
    <w:rsid w:val="00962D51"/>
    <w:rsid w:val="00962D99"/>
    <w:rsid w:val="00964748"/>
    <w:rsid w:val="0096611E"/>
    <w:rsid w:val="00966841"/>
    <w:rsid w:val="00966F56"/>
    <w:rsid w:val="00967266"/>
    <w:rsid w:val="00967BE6"/>
    <w:rsid w:val="00967C0E"/>
    <w:rsid w:val="00967D74"/>
    <w:rsid w:val="00967F17"/>
    <w:rsid w:val="00970F67"/>
    <w:rsid w:val="009727CF"/>
    <w:rsid w:val="0097351C"/>
    <w:rsid w:val="0097454A"/>
    <w:rsid w:val="00974E1A"/>
    <w:rsid w:val="009754AE"/>
    <w:rsid w:val="00976EAC"/>
    <w:rsid w:val="009774BD"/>
    <w:rsid w:val="009778A4"/>
    <w:rsid w:val="009815B7"/>
    <w:rsid w:val="00987A6E"/>
    <w:rsid w:val="009904E3"/>
    <w:rsid w:val="00992663"/>
    <w:rsid w:val="00992D80"/>
    <w:rsid w:val="00993C27"/>
    <w:rsid w:val="00994357"/>
    <w:rsid w:val="009950F5"/>
    <w:rsid w:val="009961AE"/>
    <w:rsid w:val="009A0BD2"/>
    <w:rsid w:val="009A25E5"/>
    <w:rsid w:val="009A58E7"/>
    <w:rsid w:val="009A5AAA"/>
    <w:rsid w:val="009A5B3C"/>
    <w:rsid w:val="009A693D"/>
    <w:rsid w:val="009B308F"/>
    <w:rsid w:val="009B31B5"/>
    <w:rsid w:val="009B41A3"/>
    <w:rsid w:val="009B633E"/>
    <w:rsid w:val="009C2A3D"/>
    <w:rsid w:val="009C6832"/>
    <w:rsid w:val="009C6F21"/>
    <w:rsid w:val="009C7DAD"/>
    <w:rsid w:val="009D0987"/>
    <w:rsid w:val="009D0A50"/>
    <w:rsid w:val="009D12F9"/>
    <w:rsid w:val="009D2DDA"/>
    <w:rsid w:val="009D56CD"/>
    <w:rsid w:val="009D6D45"/>
    <w:rsid w:val="009E25E4"/>
    <w:rsid w:val="009E28CB"/>
    <w:rsid w:val="009E3601"/>
    <w:rsid w:val="009E565A"/>
    <w:rsid w:val="009F4875"/>
    <w:rsid w:val="009F530E"/>
    <w:rsid w:val="009F540F"/>
    <w:rsid w:val="009F58DB"/>
    <w:rsid w:val="009F5991"/>
    <w:rsid w:val="009F6DB5"/>
    <w:rsid w:val="00A04D92"/>
    <w:rsid w:val="00A04E91"/>
    <w:rsid w:val="00A052E0"/>
    <w:rsid w:val="00A061AF"/>
    <w:rsid w:val="00A103CF"/>
    <w:rsid w:val="00A12797"/>
    <w:rsid w:val="00A139E7"/>
    <w:rsid w:val="00A13D67"/>
    <w:rsid w:val="00A15043"/>
    <w:rsid w:val="00A1506E"/>
    <w:rsid w:val="00A16A2C"/>
    <w:rsid w:val="00A17108"/>
    <w:rsid w:val="00A2154B"/>
    <w:rsid w:val="00A218DA"/>
    <w:rsid w:val="00A22653"/>
    <w:rsid w:val="00A249D5"/>
    <w:rsid w:val="00A26E1A"/>
    <w:rsid w:val="00A30F8C"/>
    <w:rsid w:val="00A33947"/>
    <w:rsid w:val="00A344D2"/>
    <w:rsid w:val="00A34C4D"/>
    <w:rsid w:val="00A35247"/>
    <w:rsid w:val="00A35B54"/>
    <w:rsid w:val="00A374E1"/>
    <w:rsid w:val="00A40CBD"/>
    <w:rsid w:val="00A41270"/>
    <w:rsid w:val="00A4337D"/>
    <w:rsid w:val="00A442C4"/>
    <w:rsid w:val="00A44484"/>
    <w:rsid w:val="00A47438"/>
    <w:rsid w:val="00A50268"/>
    <w:rsid w:val="00A504D3"/>
    <w:rsid w:val="00A513B0"/>
    <w:rsid w:val="00A5281E"/>
    <w:rsid w:val="00A575FB"/>
    <w:rsid w:val="00A627A5"/>
    <w:rsid w:val="00A627FC"/>
    <w:rsid w:val="00A62D1E"/>
    <w:rsid w:val="00A63A72"/>
    <w:rsid w:val="00A6476C"/>
    <w:rsid w:val="00A64C15"/>
    <w:rsid w:val="00A7299C"/>
    <w:rsid w:val="00A76956"/>
    <w:rsid w:val="00A819FF"/>
    <w:rsid w:val="00A82CC8"/>
    <w:rsid w:val="00A84AAE"/>
    <w:rsid w:val="00A86CA9"/>
    <w:rsid w:val="00A86D78"/>
    <w:rsid w:val="00A86FB2"/>
    <w:rsid w:val="00A90310"/>
    <w:rsid w:val="00A90B77"/>
    <w:rsid w:val="00A914EC"/>
    <w:rsid w:val="00A92000"/>
    <w:rsid w:val="00A9347D"/>
    <w:rsid w:val="00A9353E"/>
    <w:rsid w:val="00A93ECA"/>
    <w:rsid w:val="00A9590F"/>
    <w:rsid w:val="00A95C7E"/>
    <w:rsid w:val="00AA1BC5"/>
    <w:rsid w:val="00AA1EED"/>
    <w:rsid w:val="00AA3311"/>
    <w:rsid w:val="00AA34D1"/>
    <w:rsid w:val="00AA40BB"/>
    <w:rsid w:val="00AA478C"/>
    <w:rsid w:val="00AA4AEA"/>
    <w:rsid w:val="00AA6F58"/>
    <w:rsid w:val="00AB33F7"/>
    <w:rsid w:val="00AB37A9"/>
    <w:rsid w:val="00AB659D"/>
    <w:rsid w:val="00AC2F73"/>
    <w:rsid w:val="00AC49B5"/>
    <w:rsid w:val="00AC4B34"/>
    <w:rsid w:val="00AC4DFB"/>
    <w:rsid w:val="00AC5A02"/>
    <w:rsid w:val="00AC6679"/>
    <w:rsid w:val="00AC672E"/>
    <w:rsid w:val="00AC690D"/>
    <w:rsid w:val="00AC7789"/>
    <w:rsid w:val="00AD228D"/>
    <w:rsid w:val="00AD6713"/>
    <w:rsid w:val="00AD6AD0"/>
    <w:rsid w:val="00AD76A1"/>
    <w:rsid w:val="00AD795D"/>
    <w:rsid w:val="00AE1944"/>
    <w:rsid w:val="00AE3CDA"/>
    <w:rsid w:val="00AE4A80"/>
    <w:rsid w:val="00AE72B6"/>
    <w:rsid w:val="00AF2E60"/>
    <w:rsid w:val="00AF4190"/>
    <w:rsid w:val="00AF486B"/>
    <w:rsid w:val="00AF4AA5"/>
    <w:rsid w:val="00AF4F38"/>
    <w:rsid w:val="00AF5CFF"/>
    <w:rsid w:val="00AF6727"/>
    <w:rsid w:val="00AF7D33"/>
    <w:rsid w:val="00AF7FD0"/>
    <w:rsid w:val="00B008D3"/>
    <w:rsid w:val="00B009FE"/>
    <w:rsid w:val="00B04F04"/>
    <w:rsid w:val="00B07B31"/>
    <w:rsid w:val="00B07E4B"/>
    <w:rsid w:val="00B10B85"/>
    <w:rsid w:val="00B11A59"/>
    <w:rsid w:val="00B148E5"/>
    <w:rsid w:val="00B16822"/>
    <w:rsid w:val="00B16B4E"/>
    <w:rsid w:val="00B21A9C"/>
    <w:rsid w:val="00B229E0"/>
    <w:rsid w:val="00B2471C"/>
    <w:rsid w:val="00B34009"/>
    <w:rsid w:val="00B355D9"/>
    <w:rsid w:val="00B435CF"/>
    <w:rsid w:val="00B450D8"/>
    <w:rsid w:val="00B45E6F"/>
    <w:rsid w:val="00B5327A"/>
    <w:rsid w:val="00B53BB3"/>
    <w:rsid w:val="00B541BA"/>
    <w:rsid w:val="00B55097"/>
    <w:rsid w:val="00B56A27"/>
    <w:rsid w:val="00B57278"/>
    <w:rsid w:val="00B573EC"/>
    <w:rsid w:val="00B623BF"/>
    <w:rsid w:val="00B62407"/>
    <w:rsid w:val="00B625AC"/>
    <w:rsid w:val="00B6374D"/>
    <w:rsid w:val="00B647C8"/>
    <w:rsid w:val="00B64F48"/>
    <w:rsid w:val="00B65E35"/>
    <w:rsid w:val="00B74951"/>
    <w:rsid w:val="00B7596C"/>
    <w:rsid w:val="00B76831"/>
    <w:rsid w:val="00B76DC7"/>
    <w:rsid w:val="00B8349F"/>
    <w:rsid w:val="00B83B89"/>
    <w:rsid w:val="00B86007"/>
    <w:rsid w:val="00B8712E"/>
    <w:rsid w:val="00B935CA"/>
    <w:rsid w:val="00B945E2"/>
    <w:rsid w:val="00B959AD"/>
    <w:rsid w:val="00BA087F"/>
    <w:rsid w:val="00BA2D78"/>
    <w:rsid w:val="00BA444B"/>
    <w:rsid w:val="00BA56F1"/>
    <w:rsid w:val="00BA6E6C"/>
    <w:rsid w:val="00BA7EC0"/>
    <w:rsid w:val="00BB0851"/>
    <w:rsid w:val="00BB23A6"/>
    <w:rsid w:val="00BB313A"/>
    <w:rsid w:val="00BB6124"/>
    <w:rsid w:val="00BC1133"/>
    <w:rsid w:val="00BC12CB"/>
    <w:rsid w:val="00BC3785"/>
    <w:rsid w:val="00BC4A6F"/>
    <w:rsid w:val="00BC6044"/>
    <w:rsid w:val="00BC70E3"/>
    <w:rsid w:val="00BD4E32"/>
    <w:rsid w:val="00BD6D46"/>
    <w:rsid w:val="00BD7225"/>
    <w:rsid w:val="00BD7F81"/>
    <w:rsid w:val="00BE024F"/>
    <w:rsid w:val="00BE53FF"/>
    <w:rsid w:val="00BF4126"/>
    <w:rsid w:val="00BF4537"/>
    <w:rsid w:val="00BF53AD"/>
    <w:rsid w:val="00BF6126"/>
    <w:rsid w:val="00BF6441"/>
    <w:rsid w:val="00BF6828"/>
    <w:rsid w:val="00C00E3B"/>
    <w:rsid w:val="00C0259A"/>
    <w:rsid w:val="00C068A6"/>
    <w:rsid w:val="00C133ED"/>
    <w:rsid w:val="00C1502A"/>
    <w:rsid w:val="00C15AD8"/>
    <w:rsid w:val="00C177AA"/>
    <w:rsid w:val="00C17A77"/>
    <w:rsid w:val="00C21D8D"/>
    <w:rsid w:val="00C26256"/>
    <w:rsid w:val="00C265A3"/>
    <w:rsid w:val="00C26D04"/>
    <w:rsid w:val="00C26F54"/>
    <w:rsid w:val="00C26FE2"/>
    <w:rsid w:val="00C275C5"/>
    <w:rsid w:val="00C27619"/>
    <w:rsid w:val="00C27F72"/>
    <w:rsid w:val="00C3380F"/>
    <w:rsid w:val="00C351B9"/>
    <w:rsid w:val="00C3536F"/>
    <w:rsid w:val="00C36EA2"/>
    <w:rsid w:val="00C375A2"/>
    <w:rsid w:val="00C40A07"/>
    <w:rsid w:val="00C40D75"/>
    <w:rsid w:val="00C410EC"/>
    <w:rsid w:val="00C4132E"/>
    <w:rsid w:val="00C425E2"/>
    <w:rsid w:val="00C426B5"/>
    <w:rsid w:val="00C42E49"/>
    <w:rsid w:val="00C43AD2"/>
    <w:rsid w:val="00C45B65"/>
    <w:rsid w:val="00C52CA7"/>
    <w:rsid w:val="00C54A50"/>
    <w:rsid w:val="00C60107"/>
    <w:rsid w:val="00C62BCE"/>
    <w:rsid w:val="00C64251"/>
    <w:rsid w:val="00C66118"/>
    <w:rsid w:val="00C662AF"/>
    <w:rsid w:val="00C714D4"/>
    <w:rsid w:val="00C75356"/>
    <w:rsid w:val="00C76042"/>
    <w:rsid w:val="00C767FF"/>
    <w:rsid w:val="00C77CAD"/>
    <w:rsid w:val="00C80DC7"/>
    <w:rsid w:val="00C81BA1"/>
    <w:rsid w:val="00C82AAE"/>
    <w:rsid w:val="00C8367B"/>
    <w:rsid w:val="00C83A32"/>
    <w:rsid w:val="00C8524B"/>
    <w:rsid w:val="00C86610"/>
    <w:rsid w:val="00C90D1D"/>
    <w:rsid w:val="00C90ED7"/>
    <w:rsid w:val="00C9249F"/>
    <w:rsid w:val="00C94BB7"/>
    <w:rsid w:val="00CA1E5F"/>
    <w:rsid w:val="00CA2597"/>
    <w:rsid w:val="00CA3B04"/>
    <w:rsid w:val="00CA69E5"/>
    <w:rsid w:val="00CA6E98"/>
    <w:rsid w:val="00CB0DBE"/>
    <w:rsid w:val="00CB1A21"/>
    <w:rsid w:val="00CB22E1"/>
    <w:rsid w:val="00CB6389"/>
    <w:rsid w:val="00CB74F0"/>
    <w:rsid w:val="00CC0032"/>
    <w:rsid w:val="00CC1A7B"/>
    <w:rsid w:val="00CC4277"/>
    <w:rsid w:val="00CD0DA2"/>
    <w:rsid w:val="00CD1927"/>
    <w:rsid w:val="00CD629E"/>
    <w:rsid w:val="00CD7EDF"/>
    <w:rsid w:val="00CE0651"/>
    <w:rsid w:val="00CE109D"/>
    <w:rsid w:val="00CE1F98"/>
    <w:rsid w:val="00CE2273"/>
    <w:rsid w:val="00CE22AC"/>
    <w:rsid w:val="00CE2770"/>
    <w:rsid w:val="00CE40CA"/>
    <w:rsid w:val="00CE6475"/>
    <w:rsid w:val="00CF0E9F"/>
    <w:rsid w:val="00CF2AF0"/>
    <w:rsid w:val="00CF2CD8"/>
    <w:rsid w:val="00CF4AAA"/>
    <w:rsid w:val="00CF5A1F"/>
    <w:rsid w:val="00CF7F6B"/>
    <w:rsid w:val="00D04A87"/>
    <w:rsid w:val="00D062D1"/>
    <w:rsid w:val="00D10850"/>
    <w:rsid w:val="00D12BA2"/>
    <w:rsid w:val="00D133EF"/>
    <w:rsid w:val="00D14119"/>
    <w:rsid w:val="00D148DD"/>
    <w:rsid w:val="00D17AC1"/>
    <w:rsid w:val="00D21D50"/>
    <w:rsid w:val="00D21E92"/>
    <w:rsid w:val="00D22C24"/>
    <w:rsid w:val="00D23935"/>
    <w:rsid w:val="00D23A20"/>
    <w:rsid w:val="00D246D6"/>
    <w:rsid w:val="00D26276"/>
    <w:rsid w:val="00D26FEC"/>
    <w:rsid w:val="00D3028A"/>
    <w:rsid w:val="00D31CEE"/>
    <w:rsid w:val="00D3288F"/>
    <w:rsid w:val="00D33EB3"/>
    <w:rsid w:val="00D35F1F"/>
    <w:rsid w:val="00D404DE"/>
    <w:rsid w:val="00D41B5E"/>
    <w:rsid w:val="00D44756"/>
    <w:rsid w:val="00D45150"/>
    <w:rsid w:val="00D4626D"/>
    <w:rsid w:val="00D46822"/>
    <w:rsid w:val="00D47F4F"/>
    <w:rsid w:val="00D5085B"/>
    <w:rsid w:val="00D511A6"/>
    <w:rsid w:val="00D51B3E"/>
    <w:rsid w:val="00D523DD"/>
    <w:rsid w:val="00D5296E"/>
    <w:rsid w:val="00D53AF4"/>
    <w:rsid w:val="00D56048"/>
    <w:rsid w:val="00D57688"/>
    <w:rsid w:val="00D6065B"/>
    <w:rsid w:val="00D6572B"/>
    <w:rsid w:val="00D67DD0"/>
    <w:rsid w:val="00D75673"/>
    <w:rsid w:val="00D756C1"/>
    <w:rsid w:val="00D80060"/>
    <w:rsid w:val="00D853E1"/>
    <w:rsid w:val="00D90007"/>
    <w:rsid w:val="00D90243"/>
    <w:rsid w:val="00D908ED"/>
    <w:rsid w:val="00D90927"/>
    <w:rsid w:val="00D920EB"/>
    <w:rsid w:val="00D95A0A"/>
    <w:rsid w:val="00D97300"/>
    <w:rsid w:val="00DA0ACC"/>
    <w:rsid w:val="00DA17B7"/>
    <w:rsid w:val="00DA2DE0"/>
    <w:rsid w:val="00DA2ED4"/>
    <w:rsid w:val="00DA3E09"/>
    <w:rsid w:val="00DA3E29"/>
    <w:rsid w:val="00DA6A3F"/>
    <w:rsid w:val="00DB1400"/>
    <w:rsid w:val="00DB1C15"/>
    <w:rsid w:val="00DB1DB9"/>
    <w:rsid w:val="00DB2872"/>
    <w:rsid w:val="00DB3C9A"/>
    <w:rsid w:val="00DB6E88"/>
    <w:rsid w:val="00DB6F5A"/>
    <w:rsid w:val="00DB7D0C"/>
    <w:rsid w:val="00DC05C0"/>
    <w:rsid w:val="00DC0ECE"/>
    <w:rsid w:val="00DC146A"/>
    <w:rsid w:val="00DC191D"/>
    <w:rsid w:val="00DC28E4"/>
    <w:rsid w:val="00DC4955"/>
    <w:rsid w:val="00DC4AB9"/>
    <w:rsid w:val="00DC6FB0"/>
    <w:rsid w:val="00DC7F79"/>
    <w:rsid w:val="00DD17E0"/>
    <w:rsid w:val="00DD201B"/>
    <w:rsid w:val="00DD550F"/>
    <w:rsid w:val="00DD7EAE"/>
    <w:rsid w:val="00DE3381"/>
    <w:rsid w:val="00DE5842"/>
    <w:rsid w:val="00DF1038"/>
    <w:rsid w:val="00DF66E3"/>
    <w:rsid w:val="00DF6DC8"/>
    <w:rsid w:val="00DF7267"/>
    <w:rsid w:val="00E01344"/>
    <w:rsid w:val="00E0258E"/>
    <w:rsid w:val="00E040A3"/>
    <w:rsid w:val="00E042CB"/>
    <w:rsid w:val="00E04FC0"/>
    <w:rsid w:val="00E06387"/>
    <w:rsid w:val="00E06F2E"/>
    <w:rsid w:val="00E07AC2"/>
    <w:rsid w:val="00E10878"/>
    <w:rsid w:val="00E123A1"/>
    <w:rsid w:val="00E12457"/>
    <w:rsid w:val="00E17D67"/>
    <w:rsid w:val="00E20257"/>
    <w:rsid w:val="00E20C19"/>
    <w:rsid w:val="00E21431"/>
    <w:rsid w:val="00E22BD3"/>
    <w:rsid w:val="00E23916"/>
    <w:rsid w:val="00E23E51"/>
    <w:rsid w:val="00E244F3"/>
    <w:rsid w:val="00E25A9F"/>
    <w:rsid w:val="00E30356"/>
    <w:rsid w:val="00E3087D"/>
    <w:rsid w:val="00E314A6"/>
    <w:rsid w:val="00E31696"/>
    <w:rsid w:val="00E31C56"/>
    <w:rsid w:val="00E3539E"/>
    <w:rsid w:val="00E354B2"/>
    <w:rsid w:val="00E37BD3"/>
    <w:rsid w:val="00E401A6"/>
    <w:rsid w:val="00E4028B"/>
    <w:rsid w:val="00E44448"/>
    <w:rsid w:val="00E53CD8"/>
    <w:rsid w:val="00E564EA"/>
    <w:rsid w:val="00E62C1B"/>
    <w:rsid w:val="00E65423"/>
    <w:rsid w:val="00E67765"/>
    <w:rsid w:val="00E67938"/>
    <w:rsid w:val="00E67A5A"/>
    <w:rsid w:val="00E67CE1"/>
    <w:rsid w:val="00E706A0"/>
    <w:rsid w:val="00E707FE"/>
    <w:rsid w:val="00E70CFC"/>
    <w:rsid w:val="00E73EFB"/>
    <w:rsid w:val="00E771E4"/>
    <w:rsid w:val="00E77879"/>
    <w:rsid w:val="00E80EAC"/>
    <w:rsid w:val="00E81785"/>
    <w:rsid w:val="00E82DC4"/>
    <w:rsid w:val="00E834D0"/>
    <w:rsid w:val="00E84015"/>
    <w:rsid w:val="00E85279"/>
    <w:rsid w:val="00E8551C"/>
    <w:rsid w:val="00E869C0"/>
    <w:rsid w:val="00E90A6B"/>
    <w:rsid w:val="00E93F8A"/>
    <w:rsid w:val="00E940C4"/>
    <w:rsid w:val="00E95717"/>
    <w:rsid w:val="00E96905"/>
    <w:rsid w:val="00EA0607"/>
    <w:rsid w:val="00EA263E"/>
    <w:rsid w:val="00EA36E7"/>
    <w:rsid w:val="00EA3890"/>
    <w:rsid w:val="00EA4AB2"/>
    <w:rsid w:val="00EA4B52"/>
    <w:rsid w:val="00EA67C2"/>
    <w:rsid w:val="00EB000E"/>
    <w:rsid w:val="00EB02F2"/>
    <w:rsid w:val="00EB1916"/>
    <w:rsid w:val="00EB1E40"/>
    <w:rsid w:val="00EB45BC"/>
    <w:rsid w:val="00EB62D3"/>
    <w:rsid w:val="00EC2F2D"/>
    <w:rsid w:val="00EC3259"/>
    <w:rsid w:val="00EC3D46"/>
    <w:rsid w:val="00EC46DD"/>
    <w:rsid w:val="00EC4B9E"/>
    <w:rsid w:val="00EC4BC9"/>
    <w:rsid w:val="00EC61E9"/>
    <w:rsid w:val="00EC7A88"/>
    <w:rsid w:val="00EC7AA2"/>
    <w:rsid w:val="00ED0F2E"/>
    <w:rsid w:val="00ED17D7"/>
    <w:rsid w:val="00ED2A71"/>
    <w:rsid w:val="00ED5EC5"/>
    <w:rsid w:val="00ED6C33"/>
    <w:rsid w:val="00ED73F0"/>
    <w:rsid w:val="00EE2635"/>
    <w:rsid w:val="00EE2CFD"/>
    <w:rsid w:val="00EE3F8E"/>
    <w:rsid w:val="00EE569F"/>
    <w:rsid w:val="00EF0091"/>
    <w:rsid w:val="00EF08CA"/>
    <w:rsid w:val="00EF1FD7"/>
    <w:rsid w:val="00EF1FF8"/>
    <w:rsid w:val="00EF30E0"/>
    <w:rsid w:val="00EF4184"/>
    <w:rsid w:val="00EF53A7"/>
    <w:rsid w:val="00EF63CC"/>
    <w:rsid w:val="00F00EB5"/>
    <w:rsid w:val="00F02136"/>
    <w:rsid w:val="00F025AC"/>
    <w:rsid w:val="00F02AD1"/>
    <w:rsid w:val="00F03203"/>
    <w:rsid w:val="00F04FBB"/>
    <w:rsid w:val="00F05D25"/>
    <w:rsid w:val="00F065DE"/>
    <w:rsid w:val="00F06763"/>
    <w:rsid w:val="00F06BA0"/>
    <w:rsid w:val="00F11C29"/>
    <w:rsid w:val="00F13A40"/>
    <w:rsid w:val="00F1564F"/>
    <w:rsid w:val="00F204DD"/>
    <w:rsid w:val="00F2056F"/>
    <w:rsid w:val="00F213DC"/>
    <w:rsid w:val="00F22950"/>
    <w:rsid w:val="00F248EB"/>
    <w:rsid w:val="00F25BB4"/>
    <w:rsid w:val="00F260A2"/>
    <w:rsid w:val="00F27091"/>
    <w:rsid w:val="00F32685"/>
    <w:rsid w:val="00F326AB"/>
    <w:rsid w:val="00F362A1"/>
    <w:rsid w:val="00F362EC"/>
    <w:rsid w:val="00F3645F"/>
    <w:rsid w:val="00F41DA0"/>
    <w:rsid w:val="00F43428"/>
    <w:rsid w:val="00F4460B"/>
    <w:rsid w:val="00F46375"/>
    <w:rsid w:val="00F465D6"/>
    <w:rsid w:val="00F51EDE"/>
    <w:rsid w:val="00F53462"/>
    <w:rsid w:val="00F5526A"/>
    <w:rsid w:val="00F60C4C"/>
    <w:rsid w:val="00F612FE"/>
    <w:rsid w:val="00F63836"/>
    <w:rsid w:val="00F63CAF"/>
    <w:rsid w:val="00F6413D"/>
    <w:rsid w:val="00F645D4"/>
    <w:rsid w:val="00F64F4D"/>
    <w:rsid w:val="00F6547E"/>
    <w:rsid w:val="00F65599"/>
    <w:rsid w:val="00F66BFA"/>
    <w:rsid w:val="00F66D63"/>
    <w:rsid w:val="00F71299"/>
    <w:rsid w:val="00F7638E"/>
    <w:rsid w:val="00F77BD7"/>
    <w:rsid w:val="00F80F55"/>
    <w:rsid w:val="00F83D86"/>
    <w:rsid w:val="00F85CDF"/>
    <w:rsid w:val="00F86B91"/>
    <w:rsid w:val="00F8763B"/>
    <w:rsid w:val="00F91A24"/>
    <w:rsid w:val="00F932A3"/>
    <w:rsid w:val="00F93CAD"/>
    <w:rsid w:val="00F96228"/>
    <w:rsid w:val="00FA0452"/>
    <w:rsid w:val="00FA0A4C"/>
    <w:rsid w:val="00FA12D6"/>
    <w:rsid w:val="00FA372E"/>
    <w:rsid w:val="00FA554F"/>
    <w:rsid w:val="00FA6447"/>
    <w:rsid w:val="00FA64BD"/>
    <w:rsid w:val="00FA6625"/>
    <w:rsid w:val="00FA6C23"/>
    <w:rsid w:val="00FB0FC8"/>
    <w:rsid w:val="00FB4E54"/>
    <w:rsid w:val="00FB55E8"/>
    <w:rsid w:val="00FC1575"/>
    <w:rsid w:val="00FC45EA"/>
    <w:rsid w:val="00FC465F"/>
    <w:rsid w:val="00FD001E"/>
    <w:rsid w:val="00FD1630"/>
    <w:rsid w:val="00FD3DE7"/>
    <w:rsid w:val="00FD47E5"/>
    <w:rsid w:val="00FD5E5E"/>
    <w:rsid w:val="00FD6874"/>
    <w:rsid w:val="00FD6879"/>
    <w:rsid w:val="00FD7A40"/>
    <w:rsid w:val="00FD7CCF"/>
    <w:rsid w:val="00FE0BCB"/>
    <w:rsid w:val="00FE0C7D"/>
    <w:rsid w:val="00FE1664"/>
    <w:rsid w:val="00FE274F"/>
    <w:rsid w:val="00FE2F06"/>
    <w:rsid w:val="00FE2F7D"/>
    <w:rsid w:val="00FE629C"/>
    <w:rsid w:val="00FF13C9"/>
    <w:rsid w:val="00FF1D0A"/>
    <w:rsid w:val="00FF292C"/>
    <w:rsid w:val="00FF3F94"/>
    <w:rsid w:val="00FF5682"/>
    <w:rsid w:val="00FF6AFE"/>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F124"/>
  <w15:docId w15:val="{1D7FB8C4-2E74-425D-A3CE-C337054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F7D"/>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7C4F03"/>
    <w:pPr>
      <w:ind w:left="720"/>
      <w:contextualSpacing/>
    </w:pPr>
  </w:style>
  <w:style w:type="paragraph" w:styleId="TOC1">
    <w:name w:val="toc 1"/>
    <w:basedOn w:val="Normal"/>
    <w:next w:val="Normal"/>
    <w:autoRedefine/>
    <w:uiPriority w:val="39"/>
    <w:unhideWhenUsed/>
    <w:rsid w:val="00427A26"/>
    <w:pPr>
      <w:keepNext/>
      <w:keepLines/>
      <w:shd w:val="clear" w:color="auto" w:fill="D5DCE4" w:themeFill="text2" w:themeFillTint="33"/>
      <w:tabs>
        <w:tab w:val="left" w:pos="426"/>
        <w:tab w:val="right" w:leader="dot" w:pos="9062"/>
      </w:tabs>
      <w:spacing w:after="240"/>
      <w:ind w:left="340" w:hanging="340"/>
    </w:pPr>
    <w:rPr>
      <w:rFonts w:ascii="Tahoma" w:hAnsi="Tahoma" w:cs="Tahoma"/>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uiPriority w:val="99"/>
    <w:qFormat/>
    <w:rsid w:val="007C4F03"/>
    <w:rPr>
      <w:vertAlign w:val="superscript"/>
    </w:rPr>
  </w:style>
  <w:style w:type="paragraph" w:styleId="NoSpacing">
    <w:name w:val="No Spacing"/>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iPriority w:val="99"/>
    <w:unhideWhenUsed/>
    <w:qFormat/>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1">
    <w:name w:val="Caracter2 Char Char Caracter Char Char Caracter Char Char Caracter Char Char"/>
    <w:basedOn w:val="Normal"/>
    <w:rsid w:val="00791E81"/>
    <w:pPr>
      <w:spacing w:after="0"/>
      <w:ind w:firstLine="0"/>
      <w:jc w:val="left"/>
    </w:pPr>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BB23A6"/>
    <w:rPr>
      <w:rFonts w:eastAsia="Calibri"/>
      <w:lang w:val="en-GB"/>
    </w:rPr>
  </w:style>
  <w:style w:type="paragraph" w:customStyle="1" w:styleId="SUPERSChar1">
    <w:name w:val="SUPERS Char1"/>
    <w:basedOn w:val="Normal"/>
    <w:next w:val="Normal"/>
    <w:uiPriority w:val="99"/>
    <w:rsid w:val="00BB23A6"/>
    <w:pPr>
      <w:suppressAutoHyphens/>
      <w:spacing w:after="160" w:line="240" w:lineRule="exact"/>
      <w:ind w:firstLine="0"/>
      <w:jc w:val="left"/>
    </w:pPr>
    <w:rPr>
      <w:rFonts w:ascii="Times New Roman" w:hAnsi="Times New Roman" w:cs="Times New Roman"/>
      <w:sz w:val="20"/>
      <w:szCs w:val="20"/>
      <w:vertAlign w:val="superscript"/>
    </w:rPr>
  </w:style>
  <w:style w:type="paragraph" w:customStyle="1" w:styleId="Caracter2CharCharCaracterCharCharCaracterCharCharCaracterCharChar2">
    <w:name w:val="Caracter2 Char Char Caracter Char Char Caracter Char Char Caracter Char Char"/>
    <w:basedOn w:val="Normal"/>
    <w:rsid w:val="00724E48"/>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3">
    <w:name w:val="Caracter2 Char Char Caracter Char Char Caracter Char Char Caracter Char Char"/>
    <w:basedOn w:val="Normal"/>
    <w:rsid w:val="001F3032"/>
    <w:pPr>
      <w:spacing w:after="0"/>
      <w:ind w:firstLine="0"/>
      <w:jc w:val="left"/>
    </w:pPr>
    <w:rPr>
      <w:rFonts w:ascii="Times New Roman" w:eastAsia="Times New Roman" w:hAnsi="Times New Roman" w:cs="Times New Roman"/>
      <w:sz w:val="24"/>
      <w:szCs w:val="24"/>
      <w:lang w:val="pl-PL" w:eastAsia="pl-PL"/>
    </w:rPr>
  </w:style>
  <w:style w:type="character" w:customStyle="1" w:styleId="y2iqfc">
    <w:name w:val="y2iqfc"/>
    <w:basedOn w:val="DefaultParagraphFont"/>
    <w:rsid w:val="00444C93"/>
  </w:style>
  <w:style w:type="paragraph" w:styleId="BodyText">
    <w:name w:val="Body Text"/>
    <w:basedOn w:val="Normal"/>
    <w:link w:val="BodyTextChar"/>
    <w:qFormat/>
    <w:rsid w:val="00BE53FF"/>
    <w:pPr>
      <w:spacing w:after="140" w:line="276" w:lineRule="auto"/>
      <w:ind w:firstLine="0"/>
      <w:jc w:val="left"/>
    </w:pPr>
    <w:rPr>
      <w:lang w:val="en-US"/>
    </w:rPr>
  </w:style>
  <w:style w:type="character" w:customStyle="1" w:styleId="BodyTextChar">
    <w:name w:val="Body Text Char"/>
    <w:basedOn w:val="DefaultParagraphFont"/>
    <w:link w:val="BodyText"/>
    <w:rsid w:val="00BE53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55">
      <w:bodyDiv w:val="1"/>
      <w:marLeft w:val="0"/>
      <w:marRight w:val="0"/>
      <w:marTop w:val="0"/>
      <w:marBottom w:val="0"/>
      <w:divBdr>
        <w:top w:val="none" w:sz="0" w:space="0" w:color="auto"/>
        <w:left w:val="none" w:sz="0" w:space="0" w:color="auto"/>
        <w:bottom w:val="none" w:sz="0" w:space="0" w:color="auto"/>
        <w:right w:val="none" w:sz="0" w:space="0" w:color="auto"/>
      </w:divBdr>
    </w:div>
    <w:div w:id="115025011">
      <w:bodyDiv w:val="1"/>
      <w:marLeft w:val="0"/>
      <w:marRight w:val="0"/>
      <w:marTop w:val="0"/>
      <w:marBottom w:val="0"/>
      <w:divBdr>
        <w:top w:val="none" w:sz="0" w:space="0" w:color="auto"/>
        <w:left w:val="none" w:sz="0" w:space="0" w:color="auto"/>
        <w:bottom w:val="none" w:sz="0" w:space="0" w:color="auto"/>
        <w:right w:val="none" w:sz="0" w:space="0" w:color="auto"/>
      </w:divBdr>
      <w:divsChild>
        <w:div w:id="591552499">
          <w:marLeft w:val="547"/>
          <w:marRight w:val="0"/>
          <w:marTop w:val="0"/>
          <w:marBottom w:val="0"/>
          <w:divBdr>
            <w:top w:val="none" w:sz="0" w:space="0" w:color="auto"/>
            <w:left w:val="none" w:sz="0" w:space="0" w:color="auto"/>
            <w:bottom w:val="none" w:sz="0" w:space="0" w:color="auto"/>
            <w:right w:val="none" w:sz="0" w:space="0" w:color="auto"/>
          </w:divBdr>
        </w:div>
        <w:div w:id="1058211023">
          <w:marLeft w:val="547"/>
          <w:marRight w:val="0"/>
          <w:marTop w:val="200"/>
          <w:marBottom w:val="200"/>
          <w:divBdr>
            <w:top w:val="none" w:sz="0" w:space="0" w:color="auto"/>
            <w:left w:val="none" w:sz="0" w:space="0" w:color="auto"/>
            <w:bottom w:val="none" w:sz="0" w:space="0" w:color="auto"/>
            <w:right w:val="none" w:sz="0" w:space="0" w:color="auto"/>
          </w:divBdr>
        </w:div>
      </w:divsChild>
    </w:div>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224991803">
      <w:bodyDiv w:val="1"/>
      <w:marLeft w:val="0"/>
      <w:marRight w:val="0"/>
      <w:marTop w:val="0"/>
      <w:marBottom w:val="0"/>
      <w:divBdr>
        <w:top w:val="none" w:sz="0" w:space="0" w:color="auto"/>
        <w:left w:val="none" w:sz="0" w:space="0" w:color="auto"/>
        <w:bottom w:val="none" w:sz="0" w:space="0" w:color="auto"/>
        <w:right w:val="none" w:sz="0" w:space="0" w:color="auto"/>
      </w:divBdr>
    </w:div>
    <w:div w:id="296566051">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30062855">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367417453">
      <w:bodyDiv w:val="1"/>
      <w:marLeft w:val="0"/>
      <w:marRight w:val="0"/>
      <w:marTop w:val="0"/>
      <w:marBottom w:val="0"/>
      <w:divBdr>
        <w:top w:val="none" w:sz="0" w:space="0" w:color="auto"/>
        <w:left w:val="none" w:sz="0" w:space="0" w:color="auto"/>
        <w:bottom w:val="none" w:sz="0" w:space="0" w:color="auto"/>
        <w:right w:val="none" w:sz="0" w:space="0" w:color="auto"/>
      </w:divBdr>
    </w:div>
    <w:div w:id="37677832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sChild>
        <w:div w:id="272713846">
          <w:marLeft w:val="547"/>
          <w:marRight w:val="0"/>
          <w:marTop w:val="0"/>
          <w:marBottom w:val="200"/>
          <w:divBdr>
            <w:top w:val="none" w:sz="0" w:space="0" w:color="auto"/>
            <w:left w:val="none" w:sz="0" w:space="0" w:color="auto"/>
            <w:bottom w:val="none" w:sz="0" w:space="0" w:color="auto"/>
            <w:right w:val="none" w:sz="0" w:space="0" w:color="auto"/>
          </w:divBdr>
        </w:div>
        <w:div w:id="949050328">
          <w:marLeft w:val="547"/>
          <w:marRight w:val="0"/>
          <w:marTop w:val="0"/>
          <w:marBottom w:val="200"/>
          <w:divBdr>
            <w:top w:val="none" w:sz="0" w:space="0" w:color="auto"/>
            <w:left w:val="none" w:sz="0" w:space="0" w:color="auto"/>
            <w:bottom w:val="none" w:sz="0" w:space="0" w:color="auto"/>
            <w:right w:val="none" w:sz="0" w:space="0" w:color="auto"/>
          </w:divBdr>
        </w:div>
      </w:divsChild>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69796317">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16247170">
      <w:bodyDiv w:val="1"/>
      <w:marLeft w:val="0"/>
      <w:marRight w:val="0"/>
      <w:marTop w:val="0"/>
      <w:marBottom w:val="0"/>
      <w:divBdr>
        <w:top w:val="none" w:sz="0" w:space="0" w:color="auto"/>
        <w:left w:val="none" w:sz="0" w:space="0" w:color="auto"/>
        <w:bottom w:val="none" w:sz="0" w:space="0" w:color="auto"/>
        <w:right w:val="none" w:sz="0" w:space="0" w:color="auto"/>
      </w:divBdr>
    </w:div>
    <w:div w:id="765076565">
      <w:bodyDiv w:val="1"/>
      <w:marLeft w:val="0"/>
      <w:marRight w:val="0"/>
      <w:marTop w:val="0"/>
      <w:marBottom w:val="0"/>
      <w:divBdr>
        <w:top w:val="none" w:sz="0" w:space="0" w:color="auto"/>
        <w:left w:val="none" w:sz="0" w:space="0" w:color="auto"/>
        <w:bottom w:val="none" w:sz="0" w:space="0" w:color="auto"/>
        <w:right w:val="none" w:sz="0" w:space="0" w:color="auto"/>
      </w:divBdr>
      <w:divsChild>
        <w:div w:id="267737638">
          <w:marLeft w:val="446"/>
          <w:marRight w:val="346"/>
          <w:marTop w:val="120"/>
          <w:marBottom w:val="120"/>
          <w:divBdr>
            <w:top w:val="none" w:sz="0" w:space="0" w:color="auto"/>
            <w:left w:val="none" w:sz="0" w:space="0" w:color="auto"/>
            <w:bottom w:val="none" w:sz="0" w:space="0" w:color="auto"/>
            <w:right w:val="none" w:sz="0" w:space="0" w:color="auto"/>
          </w:divBdr>
        </w:div>
        <w:div w:id="1979189426">
          <w:marLeft w:val="446"/>
          <w:marRight w:val="0"/>
          <w:marTop w:val="0"/>
          <w:marBottom w:val="120"/>
          <w:divBdr>
            <w:top w:val="none" w:sz="0" w:space="0" w:color="auto"/>
            <w:left w:val="none" w:sz="0" w:space="0" w:color="auto"/>
            <w:bottom w:val="none" w:sz="0" w:space="0" w:color="auto"/>
            <w:right w:val="none" w:sz="0" w:space="0" w:color="auto"/>
          </w:divBdr>
        </w:div>
      </w:divsChild>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06051532">
      <w:bodyDiv w:val="1"/>
      <w:marLeft w:val="0"/>
      <w:marRight w:val="0"/>
      <w:marTop w:val="0"/>
      <w:marBottom w:val="0"/>
      <w:divBdr>
        <w:top w:val="none" w:sz="0" w:space="0" w:color="auto"/>
        <w:left w:val="none" w:sz="0" w:space="0" w:color="auto"/>
        <w:bottom w:val="none" w:sz="0" w:space="0" w:color="auto"/>
        <w:right w:val="none" w:sz="0" w:space="0" w:color="auto"/>
      </w:divBdr>
    </w:div>
    <w:div w:id="837500624">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8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07237063">
          <w:marLeft w:val="547"/>
          <w:marRight w:val="0"/>
          <w:marTop w:val="120"/>
          <w:marBottom w:val="120"/>
          <w:divBdr>
            <w:top w:val="none" w:sz="0" w:space="0" w:color="auto"/>
            <w:left w:val="none" w:sz="0" w:space="0" w:color="auto"/>
            <w:bottom w:val="none" w:sz="0" w:space="0" w:color="auto"/>
            <w:right w:val="none" w:sz="0" w:space="0" w:color="auto"/>
          </w:divBdr>
        </w:div>
        <w:div w:id="1663073507">
          <w:marLeft w:val="547"/>
          <w:marRight w:val="0"/>
          <w:marTop w:val="0"/>
          <w:marBottom w:val="200"/>
          <w:divBdr>
            <w:top w:val="none" w:sz="0" w:space="0" w:color="auto"/>
            <w:left w:val="none" w:sz="0" w:space="0" w:color="auto"/>
            <w:bottom w:val="none" w:sz="0" w:space="0" w:color="auto"/>
            <w:right w:val="none" w:sz="0" w:space="0" w:color="auto"/>
          </w:divBdr>
        </w:div>
      </w:divsChild>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23288468">
      <w:bodyDiv w:val="1"/>
      <w:marLeft w:val="0"/>
      <w:marRight w:val="0"/>
      <w:marTop w:val="0"/>
      <w:marBottom w:val="0"/>
      <w:divBdr>
        <w:top w:val="none" w:sz="0" w:space="0" w:color="auto"/>
        <w:left w:val="none" w:sz="0" w:space="0" w:color="auto"/>
        <w:bottom w:val="none" w:sz="0" w:space="0" w:color="auto"/>
        <w:right w:val="none" w:sz="0" w:space="0" w:color="auto"/>
      </w:divBdr>
    </w:div>
    <w:div w:id="10296018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208837640">
      <w:bodyDiv w:val="1"/>
      <w:marLeft w:val="0"/>
      <w:marRight w:val="0"/>
      <w:marTop w:val="0"/>
      <w:marBottom w:val="0"/>
      <w:divBdr>
        <w:top w:val="none" w:sz="0" w:space="0" w:color="auto"/>
        <w:left w:val="none" w:sz="0" w:space="0" w:color="auto"/>
        <w:bottom w:val="none" w:sz="0" w:space="0" w:color="auto"/>
        <w:right w:val="none" w:sz="0" w:space="0" w:color="auto"/>
      </w:divBdr>
    </w:div>
    <w:div w:id="1221481420">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44587766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520774390">
      <w:bodyDiv w:val="1"/>
      <w:marLeft w:val="0"/>
      <w:marRight w:val="0"/>
      <w:marTop w:val="0"/>
      <w:marBottom w:val="0"/>
      <w:divBdr>
        <w:top w:val="none" w:sz="0" w:space="0" w:color="auto"/>
        <w:left w:val="none" w:sz="0" w:space="0" w:color="auto"/>
        <w:bottom w:val="none" w:sz="0" w:space="0" w:color="auto"/>
        <w:right w:val="none" w:sz="0" w:space="0" w:color="auto"/>
      </w:divBdr>
    </w:div>
    <w:div w:id="1536582639">
      <w:bodyDiv w:val="1"/>
      <w:marLeft w:val="0"/>
      <w:marRight w:val="0"/>
      <w:marTop w:val="0"/>
      <w:marBottom w:val="0"/>
      <w:divBdr>
        <w:top w:val="none" w:sz="0" w:space="0" w:color="auto"/>
        <w:left w:val="none" w:sz="0" w:space="0" w:color="auto"/>
        <w:bottom w:val="none" w:sz="0" w:space="0" w:color="auto"/>
        <w:right w:val="none" w:sz="0" w:space="0" w:color="auto"/>
      </w:divBdr>
      <w:divsChild>
        <w:div w:id="2140680218">
          <w:marLeft w:val="547"/>
          <w:marRight w:val="0"/>
          <w:marTop w:val="120"/>
          <w:marBottom w:val="120"/>
          <w:divBdr>
            <w:top w:val="none" w:sz="0" w:space="0" w:color="auto"/>
            <w:left w:val="none" w:sz="0" w:space="0" w:color="auto"/>
            <w:bottom w:val="none" w:sz="0" w:space="0" w:color="auto"/>
            <w:right w:val="none" w:sz="0" w:space="0" w:color="auto"/>
          </w:divBdr>
        </w:div>
        <w:div w:id="831025650">
          <w:marLeft w:val="547"/>
          <w:marRight w:val="0"/>
          <w:marTop w:val="120"/>
          <w:marBottom w:val="120"/>
          <w:divBdr>
            <w:top w:val="none" w:sz="0" w:space="0" w:color="auto"/>
            <w:left w:val="none" w:sz="0" w:space="0" w:color="auto"/>
            <w:bottom w:val="none" w:sz="0" w:space="0" w:color="auto"/>
            <w:right w:val="none" w:sz="0" w:space="0" w:color="auto"/>
          </w:divBdr>
        </w:div>
        <w:div w:id="1416511021">
          <w:marLeft w:val="547"/>
          <w:marRight w:val="0"/>
          <w:marTop w:val="0"/>
          <w:marBottom w:val="0"/>
          <w:divBdr>
            <w:top w:val="none" w:sz="0" w:space="0" w:color="auto"/>
            <w:left w:val="none" w:sz="0" w:space="0" w:color="auto"/>
            <w:bottom w:val="none" w:sz="0" w:space="0" w:color="auto"/>
            <w:right w:val="none" w:sz="0" w:space="0" w:color="auto"/>
          </w:divBdr>
        </w:div>
        <w:div w:id="320699091">
          <w:marLeft w:val="547"/>
          <w:marRight w:val="0"/>
          <w:marTop w:val="0"/>
          <w:marBottom w:val="0"/>
          <w:divBdr>
            <w:top w:val="none" w:sz="0" w:space="0" w:color="auto"/>
            <w:left w:val="none" w:sz="0" w:space="0" w:color="auto"/>
            <w:bottom w:val="none" w:sz="0" w:space="0" w:color="auto"/>
            <w:right w:val="none" w:sz="0" w:space="0" w:color="auto"/>
          </w:divBdr>
        </w:div>
        <w:div w:id="18044032">
          <w:marLeft w:val="547"/>
          <w:marRight w:val="0"/>
          <w:marTop w:val="0"/>
          <w:marBottom w:val="200"/>
          <w:divBdr>
            <w:top w:val="none" w:sz="0" w:space="0" w:color="auto"/>
            <w:left w:val="none" w:sz="0" w:space="0" w:color="auto"/>
            <w:bottom w:val="none" w:sz="0" w:space="0" w:color="auto"/>
            <w:right w:val="none" w:sz="0" w:space="0" w:color="auto"/>
          </w:divBdr>
        </w:div>
      </w:divsChild>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006081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49690295">
      <w:bodyDiv w:val="1"/>
      <w:marLeft w:val="0"/>
      <w:marRight w:val="0"/>
      <w:marTop w:val="0"/>
      <w:marBottom w:val="0"/>
      <w:divBdr>
        <w:top w:val="none" w:sz="0" w:space="0" w:color="auto"/>
        <w:left w:val="none" w:sz="0" w:space="0" w:color="auto"/>
        <w:bottom w:val="none" w:sz="0" w:space="0" w:color="auto"/>
        <w:right w:val="none" w:sz="0" w:space="0" w:color="auto"/>
      </w:divBdr>
    </w:div>
    <w:div w:id="176773183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47280183">
      <w:bodyDiv w:val="1"/>
      <w:marLeft w:val="0"/>
      <w:marRight w:val="0"/>
      <w:marTop w:val="0"/>
      <w:marBottom w:val="0"/>
      <w:divBdr>
        <w:top w:val="none" w:sz="0" w:space="0" w:color="auto"/>
        <w:left w:val="none" w:sz="0" w:space="0" w:color="auto"/>
        <w:bottom w:val="none" w:sz="0" w:space="0" w:color="auto"/>
        <w:right w:val="none" w:sz="0" w:space="0" w:color="auto"/>
      </w:divBdr>
      <w:divsChild>
        <w:div w:id="4140132">
          <w:marLeft w:val="547"/>
          <w:marRight w:val="0"/>
          <w:marTop w:val="0"/>
          <w:marBottom w:val="0"/>
          <w:divBdr>
            <w:top w:val="none" w:sz="0" w:space="0" w:color="auto"/>
            <w:left w:val="none" w:sz="0" w:space="0" w:color="auto"/>
            <w:bottom w:val="none" w:sz="0" w:space="0" w:color="auto"/>
            <w:right w:val="none" w:sz="0" w:space="0" w:color="auto"/>
          </w:divBdr>
        </w:div>
        <w:div w:id="2004117303">
          <w:marLeft w:val="547"/>
          <w:marRight w:val="0"/>
          <w:marTop w:val="0"/>
          <w:marBottom w:val="0"/>
          <w:divBdr>
            <w:top w:val="none" w:sz="0" w:space="0" w:color="auto"/>
            <w:left w:val="none" w:sz="0" w:space="0" w:color="auto"/>
            <w:bottom w:val="none" w:sz="0" w:space="0" w:color="auto"/>
            <w:right w:val="none" w:sz="0" w:space="0" w:color="auto"/>
          </w:divBdr>
        </w:div>
        <w:div w:id="535704628">
          <w:marLeft w:val="547"/>
          <w:marRight w:val="0"/>
          <w:marTop w:val="0"/>
          <w:marBottom w:val="200"/>
          <w:divBdr>
            <w:top w:val="none" w:sz="0" w:space="0" w:color="auto"/>
            <w:left w:val="none" w:sz="0" w:space="0" w:color="auto"/>
            <w:bottom w:val="none" w:sz="0" w:space="0" w:color="auto"/>
            <w:right w:val="none" w:sz="0" w:space="0" w:color="auto"/>
          </w:divBdr>
        </w:div>
        <w:div w:id="212815043">
          <w:marLeft w:val="547"/>
          <w:marRight w:val="0"/>
          <w:marTop w:val="0"/>
          <w:marBottom w:val="200"/>
          <w:divBdr>
            <w:top w:val="none" w:sz="0" w:space="0" w:color="auto"/>
            <w:left w:val="none" w:sz="0" w:space="0" w:color="auto"/>
            <w:bottom w:val="none" w:sz="0" w:space="0" w:color="auto"/>
            <w:right w:val="none" w:sz="0" w:space="0" w:color="auto"/>
          </w:divBdr>
        </w:div>
      </w:divsChild>
    </w:div>
    <w:div w:id="1856963042">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15896803">
      <w:bodyDiv w:val="1"/>
      <w:marLeft w:val="0"/>
      <w:marRight w:val="0"/>
      <w:marTop w:val="0"/>
      <w:marBottom w:val="0"/>
      <w:divBdr>
        <w:top w:val="none" w:sz="0" w:space="0" w:color="auto"/>
        <w:left w:val="none" w:sz="0" w:space="0" w:color="auto"/>
        <w:bottom w:val="none" w:sz="0" w:space="0" w:color="auto"/>
        <w:right w:val="none" w:sz="0" w:space="0" w:color="auto"/>
      </w:divBdr>
    </w:div>
    <w:div w:id="1927834966">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1943875971">
      <w:bodyDiv w:val="1"/>
      <w:marLeft w:val="0"/>
      <w:marRight w:val="0"/>
      <w:marTop w:val="0"/>
      <w:marBottom w:val="0"/>
      <w:divBdr>
        <w:top w:val="none" w:sz="0" w:space="0" w:color="auto"/>
        <w:left w:val="none" w:sz="0" w:space="0" w:color="auto"/>
        <w:bottom w:val="none" w:sz="0" w:space="0" w:color="auto"/>
        <w:right w:val="none" w:sz="0" w:space="0" w:color="auto"/>
      </w:divBdr>
    </w:div>
    <w:div w:id="1952777883">
      <w:bodyDiv w:val="1"/>
      <w:marLeft w:val="0"/>
      <w:marRight w:val="0"/>
      <w:marTop w:val="0"/>
      <w:marBottom w:val="0"/>
      <w:divBdr>
        <w:top w:val="none" w:sz="0" w:space="0" w:color="auto"/>
        <w:left w:val="none" w:sz="0" w:space="0" w:color="auto"/>
        <w:bottom w:val="none" w:sz="0" w:space="0" w:color="auto"/>
        <w:right w:val="none" w:sz="0" w:space="0" w:color="auto"/>
      </w:divBdr>
    </w:div>
    <w:div w:id="1956937010">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3866809">
      <w:bodyDiv w:val="1"/>
      <w:marLeft w:val="0"/>
      <w:marRight w:val="0"/>
      <w:marTop w:val="0"/>
      <w:marBottom w:val="0"/>
      <w:divBdr>
        <w:top w:val="none" w:sz="0" w:space="0" w:color="auto"/>
        <w:left w:val="none" w:sz="0" w:space="0" w:color="auto"/>
        <w:bottom w:val="none" w:sz="0" w:space="0" w:color="auto"/>
        <w:right w:val="none" w:sz="0" w:space="0" w:color="auto"/>
      </w:divBdr>
    </w:div>
    <w:div w:id="2071228063">
      <w:bodyDiv w:val="1"/>
      <w:marLeft w:val="0"/>
      <w:marRight w:val="0"/>
      <w:marTop w:val="0"/>
      <w:marBottom w:val="0"/>
      <w:divBdr>
        <w:top w:val="none" w:sz="0" w:space="0" w:color="auto"/>
        <w:left w:val="none" w:sz="0" w:space="0" w:color="auto"/>
        <w:bottom w:val="none" w:sz="0" w:space="0" w:color="auto"/>
        <w:right w:val="none" w:sz="0" w:space="0" w:color="auto"/>
      </w:divBdr>
    </w:div>
    <w:div w:id="2133089104">
      <w:bodyDiv w:val="1"/>
      <w:marLeft w:val="0"/>
      <w:marRight w:val="0"/>
      <w:marTop w:val="0"/>
      <w:marBottom w:val="0"/>
      <w:divBdr>
        <w:top w:val="none" w:sz="0" w:space="0" w:color="auto"/>
        <w:left w:val="none" w:sz="0" w:space="0" w:color="auto"/>
        <w:bottom w:val="none" w:sz="0" w:space="0" w:color="auto"/>
        <w:right w:val="none" w:sz="0" w:space="0" w:color="auto"/>
      </w:divBdr>
    </w:div>
    <w:div w:id="2142377697">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 w:id="21461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D:\2024\Raport%20executie%20bugetara%206%20luni%202024\grafic%20PIB%20utilizar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024\Raport%20executie%20bugetara%206%20luni%202024\grafic%20formar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AppData\Local\Microsoft\Windows\INetCache\Content.Outlook\GRGIH2PI\Grafic%20LUNAR%20actualizat%20comert%20(ianuarie%20-decembrie%202024)-%20pentru%20Raport%20buge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53812741683772"/>
          <c:y val="7.9461564370201923E-2"/>
          <c:w val="0.87191005939832522"/>
          <c:h val="0.62608734106674657"/>
        </c:manualLayout>
      </c:layout>
      <c:barChart>
        <c:barDir val="col"/>
        <c:grouping val="stacked"/>
        <c:varyColors val="0"/>
        <c:ser>
          <c:idx val="1"/>
          <c:order val="1"/>
          <c:tx>
            <c:strRef>
              <c:f>Sheet1!$A$7</c:f>
              <c:strCache>
                <c:ptCount val="1"/>
                <c:pt idx="0">
                  <c:v>Consum final</c:v>
                </c:pt>
              </c:strCache>
            </c:strRef>
          </c:tx>
          <c:spPr>
            <a:solidFill>
              <a:schemeClr val="accent6">
                <a:lumMod val="60000"/>
                <a:lumOff val="40000"/>
              </a:schemeClr>
            </a:solidFill>
            <a:ln>
              <a:solidFill>
                <a:schemeClr val="accent6">
                  <a:lumMod val="75000"/>
                </a:schemeClr>
              </a:solidFill>
            </a:ln>
          </c:spPr>
          <c:invertIfNegative val="0"/>
          <c:cat>
            <c:strRef>
              <c:f>Sheet1!$B$5:$G$5</c:f>
              <c:strCache>
                <c:ptCount val="6"/>
                <c:pt idx="0">
                  <c:v>Trim I 2023</c:v>
                </c:pt>
                <c:pt idx="1">
                  <c:v>Trim II 2023</c:v>
                </c:pt>
                <c:pt idx="2">
                  <c:v>Trim III 2023</c:v>
                </c:pt>
                <c:pt idx="3">
                  <c:v>Trim IV 2023</c:v>
                </c:pt>
                <c:pt idx="4">
                  <c:v>Trim I 2024</c:v>
                </c:pt>
                <c:pt idx="5">
                  <c:v>Trim II 2024</c:v>
                </c:pt>
              </c:strCache>
            </c:strRef>
          </c:cat>
          <c:val>
            <c:numRef>
              <c:f>Sheet1!$B$7:$G$7</c:f>
              <c:numCache>
                <c:formatCode>0.0</c:formatCode>
                <c:ptCount val="6"/>
                <c:pt idx="0">
                  <c:v>5.2098488695736345</c:v>
                </c:pt>
                <c:pt idx="1">
                  <c:v>2.0353217023452492</c:v>
                </c:pt>
                <c:pt idx="2">
                  <c:v>1.2902353435240672</c:v>
                </c:pt>
                <c:pt idx="3">
                  <c:v>3.2011470811071248</c:v>
                </c:pt>
                <c:pt idx="4">
                  <c:v>1.6969625462916114</c:v>
                </c:pt>
                <c:pt idx="5">
                  <c:v>4.9672327040654958</c:v>
                </c:pt>
              </c:numCache>
            </c:numRef>
          </c:val>
          <c:extLst>
            <c:ext xmlns:c16="http://schemas.microsoft.com/office/drawing/2014/chart" uri="{C3380CC4-5D6E-409C-BE32-E72D297353CC}">
              <c16:uniqueId val="{00000000-2EB7-45BB-9EBB-F76B6C073DC6}"/>
            </c:ext>
          </c:extLst>
        </c:ser>
        <c:ser>
          <c:idx val="2"/>
          <c:order val="2"/>
          <c:tx>
            <c:strRef>
              <c:f>Sheet1!$A$8</c:f>
              <c:strCache>
                <c:ptCount val="1"/>
                <c:pt idx="0">
                  <c:v>Formarea bruta de capital fix</c:v>
                </c:pt>
              </c:strCache>
            </c:strRef>
          </c:tx>
          <c:spPr>
            <a:solidFill>
              <a:srgbClr val="FF9933"/>
            </a:solidFill>
            <a:ln>
              <a:solidFill>
                <a:schemeClr val="accent2">
                  <a:lumMod val="75000"/>
                </a:schemeClr>
              </a:solidFill>
            </a:ln>
          </c:spPr>
          <c:invertIfNegative val="0"/>
          <c:cat>
            <c:strRef>
              <c:f>Sheet1!$B$5:$G$5</c:f>
              <c:strCache>
                <c:ptCount val="6"/>
                <c:pt idx="0">
                  <c:v>Trim I 2023</c:v>
                </c:pt>
                <c:pt idx="1">
                  <c:v>Trim II 2023</c:v>
                </c:pt>
                <c:pt idx="2">
                  <c:v>Trim III 2023</c:v>
                </c:pt>
                <c:pt idx="3">
                  <c:v>Trim IV 2023</c:v>
                </c:pt>
                <c:pt idx="4">
                  <c:v>Trim I 2024</c:v>
                </c:pt>
                <c:pt idx="5">
                  <c:v>Trim II 2024</c:v>
                </c:pt>
              </c:strCache>
            </c:strRef>
          </c:cat>
          <c:val>
            <c:numRef>
              <c:f>Sheet1!$B$8:$G$8</c:f>
              <c:numCache>
                <c:formatCode>0.0</c:formatCode>
                <c:ptCount val="6"/>
                <c:pt idx="0">
                  <c:v>2.127162871902224</c:v>
                </c:pt>
                <c:pt idx="1">
                  <c:v>2.7728908788705602</c:v>
                </c:pt>
                <c:pt idx="2">
                  <c:v>3.7296117306414676</c:v>
                </c:pt>
                <c:pt idx="3">
                  <c:v>4.9777631726237965</c:v>
                </c:pt>
                <c:pt idx="4">
                  <c:v>1.3586880934619621</c:v>
                </c:pt>
                <c:pt idx="5">
                  <c:v>1.3922483777107364</c:v>
                </c:pt>
              </c:numCache>
            </c:numRef>
          </c:val>
          <c:extLst>
            <c:ext xmlns:c16="http://schemas.microsoft.com/office/drawing/2014/chart" uri="{C3380CC4-5D6E-409C-BE32-E72D297353CC}">
              <c16:uniqueId val="{00000001-2EB7-45BB-9EBB-F76B6C073DC6}"/>
            </c:ext>
          </c:extLst>
        </c:ser>
        <c:ser>
          <c:idx val="3"/>
          <c:order val="3"/>
          <c:tx>
            <c:strRef>
              <c:f>Sheet1!$A$9</c:f>
              <c:strCache>
                <c:ptCount val="1"/>
                <c:pt idx="0">
                  <c:v>Variatia stocurilor</c:v>
                </c:pt>
              </c:strCache>
            </c:strRef>
          </c:tx>
          <c:spPr>
            <a:solidFill>
              <a:schemeClr val="accent4">
                <a:lumMod val="60000"/>
                <a:lumOff val="40000"/>
              </a:schemeClr>
            </a:solidFill>
            <a:ln>
              <a:solidFill>
                <a:schemeClr val="accent2">
                  <a:lumMod val="75000"/>
                </a:schemeClr>
              </a:solidFill>
            </a:ln>
          </c:spPr>
          <c:invertIfNegative val="0"/>
          <c:cat>
            <c:strRef>
              <c:f>Sheet1!$B$5:$G$5</c:f>
              <c:strCache>
                <c:ptCount val="6"/>
                <c:pt idx="0">
                  <c:v>Trim I 2023</c:v>
                </c:pt>
                <c:pt idx="1">
                  <c:v>Trim II 2023</c:v>
                </c:pt>
                <c:pt idx="2">
                  <c:v>Trim III 2023</c:v>
                </c:pt>
                <c:pt idx="3">
                  <c:v>Trim IV 2023</c:v>
                </c:pt>
                <c:pt idx="4">
                  <c:v>Trim I 2024</c:v>
                </c:pt>
                <c:pt idx="5">
                  <c:v>Trim II 2024</c:v>
                </c:pt>
              </c:strCache>
            </c:strRef>
          </c:cat>
          <c:val>
            <c:numRef>
              <c:f>Sheet1!$B$9:$G$9</c:f>
              <c:numCache>
                <c:formatCode>0.0</c:formatCode>
                <c:ptCount val="6"/>
                <c:pt idx="0">
                  <c:v>-5.1435755646599839</c:v>
                </c:pt>
                <c:pt idx="1">
                  <c:v>-4.6454925113545764</c:v>
                </c:pt>
                <c:pt idx="2">
                  <c:v>-4.2930528089493203</c:v>
                </c:pt>
                <c:pt idx="3">
                  <c:v>-3.4035533763128432</c:v>
                </c:pt>
                <c:pt idx="4">
                  <c:v>3.1988468978771341E-2</c:v>
                </c:pt>
                <c:pt idx="5">
                  <c:v>-1.2108359813309471</c:v>
                </c:pt>
              </c:numCache>
            </c:numRef>
          </c:val>
          <c:extLst>
            <c:ext xmlns:c16="http://schemas.microsoft.com/office/drawing/2014/chart" uri="{C3380CC4-5D6E-409C-BE32-E72D297353CC}">
              <c16:uniqueId val="{00000002-2EB7-45BB-9EBB-F76B6C073DC6}"/>
            </c:ext>
          </c:extLst>
        </c:ser>
        <c:ser>
          <c:idx val="4"/>
          <c:order val="4"/>
          <c:tx>
            <c:strRef>
              <c:f>Sheet1!$A$10</c:f>
              <c:strCache>
                <c:ptCount val="1"/>
                <c:pt idx="0">
                  <c:v>Export net</c:v>
                </c:pt>
              </c:strCache>
            </c:strRef>
          </c:tx>
          <c:spPr>
            <a:solidFill>
              <a:schemeClr val="accent5">
                <a:lumMod val="60000"/>
                <a:lumOff val="40000"/>
              </a:schemeClr>
            </a:solidFill>
            <a:ln>
              <a:solidFill>
                <a:srgbClr val="4472C4">
                  <a:lumMod val="75000"/>
                </a:srgbClr>
              </a:solidFill>
            </a:ln>
          </c:spPr>
          <c:invertIfNegative val="0"/>
          <c:cat>
            <c:strRef>
              <c:f>Sheet1!$B$5:$G$5</c:f>
              <c:strCache>
                <c:ptCount val="6"/>
                <c:pt idx="0">
                  <c:v>Trim I 2023</c:v>
                </c:pt>
                <c:pt idx="1">
                  <c:v>Trim II 2023</c:v>
                </c:pt>
                <c:pt idx="2">
                  <c:v>Trim III 2023</c:v>
                </c:pt>
                <c:pt idx="3">
                  <c:v>Trim IV 2023</c:v>
                </c:pt>
                <c:pt idx="4">
                  <c:v>Trim I 2024</c:v>
                </c:pt>
                <c:pt idx="5">
                  <c:v>Trim II 2024</c:v>
                </c:pt>
              </c:strCache>
            </c:strRef>
          </c:cat>
          <c:val>
            <c:numRef>
              <c:f>Sheet1!$B$10:$G$10</c:f>
              <c:numCache>
                <c:formatCode>0.0</c:formatCode>
                <c:ptCount val="6"/>
                <c:pt idx="0">
                  <c:v>0.23271260656928144</c:v>
                </c:pt>
                <c:pt idx="1">
                  <c:v>0.93712064118812377</c:v>
                </c:pt>
                <c:pt idx="2">
                  <c:v>1.1810731851921195</c:v>
                </c:pt>
                <c:pt idx="3">
                  <c:v>-1.7558854206452443</c:v>
                </c:pt>
                <c:pt idx="4">
                  <c:v>-2.5468131645825824</c:v>
                </c:pt>
                <c:pt idx="5">
                  <c:v>-4.38698631972093</c:v>
                </c:pt>
              </c:numCache>
            </c:numRef>
          </c:val>
          <c:extLst>
            <c:ext xmlns:c16="http://schemas.microsoft.com/office/drawing/2014/chart" uri="{C3380CC4-5D6E-409C-BE32-E72D297353CC}">
              <c16:uniqueId val="{00000003-2EB7-45BB-9EBB-F76B6C073DC6}"/>
            </c:ext>
          </c:extLst>
        </c:ser>
        <c:dLbls>
          <c:showLegendKey val="0"/>
          <c:showVal val="0"/>
          <c:showCatName val="0"/>
          <c:showSerName val="0"/>
          <c:showPercent val="0"/>
          <c:showBubbleSize val="0"/>
        </c:dLbls>
        <c:gapWidth val="150"/>
        <c:overlap val="100"/>
        <c:axId val="325085056"/>
        <c:axId val="354945280"/>
      </c:barChart>
      <c:lineChart>
        <c:grouping val="standard"/>
        <c:varyColors val="0"/>
        <c:ser>
          <c:idx val="0"/>
          <c:order val="0"/>
          <c:tx>
            <c:strRef>
              <c:f>Sheet1!$A$6</c:f>
              <c:strCache>
                <c:ptCount val="1"/>
                <c:pt idx="0">
                  <c:v>PIB</c:v>
                </c:pt>
              </c:strCache>
            </c:strRef>
          </c:tx>
          <c:spPr>
            <a:ln w="25400">
              <a:solidFill>
                <a:srgbClr val="002060"/>
              </a:solidFill>
              <a:prstDash val="sysDash"/>
            </a:ln>
          </c:spPr>
          <c:marker>
            <c:symbol val="none"/>
          </c:marker>
          <c:dLbls>
            <c:dLbl>
              <c:idx val="0"/>
              <c:layout>
                <c:manualLayout>
                  <c:x val="-3.7906331856353892E-2"/>
                  <c:y val="-4.03704962969918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B7-45BB-9EBB-F76B6C073DC6}"/>
                </c:ext>
              </c:extLst>
            </c:dLbl>
            <c:dLbl>
              <c:idx val="1"/>
              <c:layout>
                <c:manualLayout>
                  <c:x val="-3.7906132874029309E-2"/>
                  <c:y val="-6.8952124466964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B7-45BB-9EBB-F76B6C073DC6}"/>
                </c:ext>
              </c:extLst>
            </c:dLbl>
            <c:dLbl>
              <c:idx val="2"/>
              <c:layout>
                <c:manualLayout>
                  <c:x val="-3.6009440562128618E-2"/>
                  <c:y val="-3.5731007832967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B7-45BB-9EBB-F76B6C073DC6}"/>
                </c:ext>
              </c:extLst>
            </c:dLbl>
            <c:dLbl>
              <c:idx val="3"/>
              <c:layout>
                <c:manualLayout>
                  <c:x val="-3.8622700400531992E-2"/>
                  <c:y val="-5.2256063871619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B7-45BB-9EBB-F76B6C073DC6}"/>
                </c:ext>
              </c:extLst>
            </c:dLbl>
            <c:dLbl>
              <c:idx val="4"/>
              <c:layout>
                <c:manualLayout>
                  <c:x val="-2.6418390645540739E-2"/>
                  <c:y val="-4.9330273813731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B7-45BB-9EBB-F76B6C073DC6}"/>
                </c:ext>
              </c:extLst>
            </c:dLbl>
            <c:dLbl>
              <c:idx val="5"/>
              <c:layout>
                <c:manualLayout>
                  <c:x val="-2.6849481460980804E-2"/>
                  <c:y val="-5.9000280400657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B7-45BB-9EBB-F76B6C073DC6}"/>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Sheet1!$B$5:$G$5</c:f>
              <c:strCache>
                <c:ptCount val="6"/>
                <c:pt idx="0">
                  <c:v>Trim I 2023</c:v>
                </c:pt>
                <c:pt idx="1">
                  <c:v>Trim II 2023</c:v>
                </c:pt>
                <c:pt idx="2">
                  <c:v>Trim III 2023</c:v>
                </c:pt>
                <c:pt idx="3">
                  <c:v>Trim IV 2023</c:v>
                </c:pt>
                <c:pt idx="4">
                  <c:v>Trim I 2024</c:v>
                </c:pt>
                <c:pt idx="5">
                  <c:v>Trim II 2024</c:v>
                </c:pt>
              </c:strCache>
            </c:strRef>
          </c:cat>
          <c:val>
            <c:numRef>
              <c:f>Sheet1!$B$6:$G$6</c:f>
              <c:numCache>
                <c:formatCode>0.0</c:formatCode>
                <c:ptCount val="6"/>
                <c:pt idx="0">
                  <c:v>2.4261487833851283</c:v>
                </c:pt>
                <c:pt idx="1">
                  <c:v>1.0998407110493436</c:v>
                </c:pt>
                <c:pt idx="2">
                  <c:v>1.9078674504083333</c:v>
                </c:pt>
                <c:pt idx="3">
                  <c:v>3.0194714567728247</c:v>
                </c:pt>
                <c:pt idx="4">
                  <c:v>0.5408259441497536</c:v>
                </c:pt>
                <c:pt idx="5">
                  <c:v>0.76165878072434534</c:v>
                </c:pt>
              </c:numCache>
            </c:numRef>
          </c:val>
          <c:smooth val="1"/>
          <c:extLst>
            <c:ext xmlns:c16="http://schemas.microsoft.com/office/drawing/2014/chart" uri="{C3380CC4-5D6E-409C-BE32-E72D297353CC}">
              <c16:uniqueId val="{0000000A-2EB7-45BB-9EBB-F76B6C073DC6}"/>
            </c:ext>
          </c:extLst>
        </c:ser>
        <c:dLbls>
          <c:showLegendKey val="0"/>
          <c:showVal val="0"/>
          <c:showCatName val="0"/>
          <c:showSerName val="0"/>
          <c:showPercent val="0"/>
          <c:showBubbleSize val="0"/>
        </c:dLbls>
        <c:marker val="1"/>
        <c:smooth val="0"/>
        <c:axId val="325085056"/>
        <c:axId val="354945280"/>
      </c:lineChart>
      <c:catAx>
        <c:axId val="325085056"/>
        <c:scaling>
          <c:orientation val="minMax"/>
        </c:scaling>
        <c:delete val="0"/>
        <c:axPos val="b"/>
        <c:numFmt formatCode="General" sourceLinked="0"/>
        <c:majorTickMark val="out"/>
        <c:minorTickMark val="none"/>
        <c:tickLblPos val="low"/>
        <c:txPr>
          <a:bodyPr/>
          <a:lstStyle/>
          <a:p>
            <a:pPr>
              <a:defRPr b="1"/>
            </a:pPr>
            <a:endParaRPr lang="en-US"/>
          </a:p>
        </c:txPr>
        <c:crossAx val="354945280"/>
        <c:crosses val="autoZero"/>
        <c:auto val="1"/>
        <c:lblAlgn val="ctr"/>
        <c:lblOffset val="100"/>
        <c:noMultiLvlLbl val="0"/>
      </c:catAx>
      <c:valAx>
        <c:axId val="354945280"/>
        <c:scaling>
          <c:orientation val="minMax"/>
          <c:max val="9"/>
          <c:min val="-6"/>
        </c:scaling>
        <c:delete val="0"/>
        <c:axPos val="l"/>
        <c:majorGridlines>
          <c:spPr>
            <a:ln>
              <a:solidFill>
                <a:schemeClr val="bg1">
                  <a:lumMod val="95000"/>
                </a:schemeClr>
              </a:solidFill>
            </a:ln>
          </c:spPr>
        </c:majorGridlines>
        <c:numFmt formatCode="0.0" sourceLinked="1"/>
        <c:majorTickMark val="out"/>
        <c:minorTickMark val="none"/>
        <c:tickLblPos val="nextTo"/>
        <c:txPr>
          <a:bodyPr/>
          <a:lstStyle/>
          <a:p>
            <a:pPr>
              <a:defRPr b="1"/>
            </a:pPr>
            <a:endParaRPr lang="en-US"/>
          </a:p>
        </c:txPr>
        <c:crossAx val="325085056"/>
        <c:crosses val="autoZero"/>
        <c:crossBetween val="between"/>
        <c:majorUnit val="3"/>
      </c:valAx>
      <c:spPr>
        <a:solidFill>
          <a:schemeClr val="bg1">
            <a:lumMod val="95000"/>
          </a:schemeClr>
        </a:solidFill>
      </c:spPr>
    </c:plotArea>
    <c:legend>
      <c:legendPos val="b"/>
      <c:layout>
        <c:manualLayout>
          <c:xMode val="edge"/>
          <c:yMode val="edge"/>
          <c:x val="4.2493100240626823E-2"/>
          <c:y val="0.82098248340531166"/>
          <c:w val="0.9271820129666053"/>
          <c:h val="0.17480961118235333"/>
        </c:manualLayout>
      </c:layout>
      <c:overlay val="0"/>
    </c:legend>
    <c:plotVisOnly val="1"/>
    <c:dispBlanksAs val="gap"/>
    <c:showDLblsOverMax val="0"/>
  </c:chart>
  <c:spPr>
    <a:solidFill>
      <a:schemeClr val="bg1">
        <a:lumMod val="95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13491655586879E-2"/>
          <c:y val="5.5940676745631836E-2"/>
          <c:w val="0.89681478098636125"/>
          <c:h val="0.65324651675042456"/>
        </c:manualLayout>
      </c:layout>
      <c:barChart>
        <c:barDir val="col"/>
        <c:grouping val="stacked"/>
        <c:varyColors val="0"/>
        <c:ser>
          <c:idx val="0"/>
          <c:order val="0"/>
          <c:tx>
            <c:strRef>
              <c:f>Sheet1!$A$8</c:f>
              <c:strCache>
                <c:ptCount val="1"/>
                <c:pt idx="0">
                  <c:v>Industrie</c:v>
                </c:pt>
              </c:strCache>
            </c:strRef>
          </c:tx>
          <c:spPr>
            <a:solidFill>
              <a:schemeClr val="accent6">
                <a:lumMod val="60000"/>
                <a:lumOff val="40000"/>
              </a:schemeClr>
            </a:solidFill>
            <a:ln>
              <a:solidFill>
                <a:schemeClr val="accent6">
                  <a:lumMod val="75000"/>
                </a:schemeClr>
              </a:solidFill>
            </a:ln>
          </c:spPr>
          <c:invertIfNegative val="0"/>
          <c:cat>
            <c:strRef>
              <c:f>Sheet1!$B$7:$G$7</c:f>
              <c:strCache>
                <c:ptCount val="6"/>
                <c:pt idx="0">
                  <c:v>Trim I 2023</c:v>
                </c:pt>
                <c:pt idx="1">
                  <c:v>Trim II 2023</c:v>
                </c:pt>
                <c:pt idx="2">
                  <c:v>Trim III 2023</c:v>
                </c:pt>
                <c:pt idx="3">
                  <c:v>Trim IV 2023</c:v>
                </c:pt>
                <c:pt idx="4">
                  <c:v>Trim I 2024</c:v>
                </c:pt>
                <c:pt idx="5">
                  <c:v>Trim II 2024</c:v>
                </c:pt>
              </c:strCache>
            </c:strRef>
          </c:cat>
          <c:val>
            <c:numRef>
              <c:f>Sheet1!$B$8:$G$8</c:f>
              <c:numCache>
                <c:formatCode>0.0</c:formatCode>
                <c:ptCount val="6"/>
                <c:pt idx="0">
                  <c:v>-0.4877375945925167</c:v>
                </c:pt>
                <c:pt idx="1">
                  <c:v>-0.77734586835554931</c:v>
                </c:pt>
                <c:pt idx="2">
                  <c:v>-0.22841362524719314</c:v>
                </c:pt>
                <c:pt idx="3">
                  <c:v>-0.4584769226556154</c:v>
                </c:pt>
                <c:pt idx="4">
                  <c:v>-0.16635900418504895</c:v>
                </c:pt>
                <c:pt idx="5">
                  <c:v>-8.3539189471601896E-2</c:v>
                </c:pt>
              </c:numCache>
            </c:numRef>
          </c:val>
          <c:extLst>
            <c:ext xmlns:c16="http://schemas.microsoft.com/office/drawing/2014/chart" uri="{C3380CC4-5D6E-409C-BE32-E72D297353CC}">
              <c16:uniqueId val="{00000000-F67D-478A-9B4C-2D7A8E493381}"/>
            </c:ext>
          </c:extLst>
        </c:ser>
        <c:ser>
          <c:idx val="1"/>
          <c:order val="1"/>
          <c:tx>
            <c:strRef>
              <c:f>Sheet1!$A$9</c:f>
              <c:strCache>
                <c:ptCount val="1"/>
                <c:pt idx="0">
                  <c:v>Agricultura</c:v>
                </c:pt>
              </c:strCache>
            </c:strRef>
          </c:tx>
          <c:spPr>
            <a:solidFill>
              <a:srgbClr val="B2B2B2"/>
            </a:solidFill>
            <a:ln>
              <a:solidFill>
                <a:schemeClr val="tx1"/>
              </a:solidFill>
            </a:ln>
          </c:spPr>
          <c:invertIfNegative val="0"/>
          <c:cat>
            <c:strRef>
              <c:f>Sheet1!$B$7:$G$7</c:f>
              <c:strCache>
                <c:ptCount val="6"/>
                <c:pt idx="0">
                  <c:v>Trim I 2023</c:v>
                </c:pt>
                <c:pt idx="1">
                  <c:v>Trim II 2023</c:v>
                </c:pt>
                <c:pt idx="2">
                  <c:v>Trim III 2023</c:v>
                </c:pt>
                <c:pt idx="3">
                  <c:v>Trim IV 2023</c:v>
                </c:pt>
                <c:pt idx="4">
                  <c:v>Trim I 2024</c:v>
                </c:pt>
                <c:pt idx="5">
                  <c:v>Trim II 2024</c:v>
                </c:pt>
              </c:strCache>
            </c:strRef>
          </c:cat>
          <c:val>
            <c:numRef>
              <c:f>Sheet1!$B$9:$G$9</c:f>
              <c:numCache>
                <c:formatCode>0.0</c:formatCode>
                <c:ptCount val="6"/>
                <c:pt idx="0">
                  <c:v>-1.394062841254941E-2</c:v>
                </c:pt>
                <c:pt idx="1">
                  <c:v>-3.1821353464185853E-2</c:v>
                </c:pt>
                <c:pt idx="2">
                  <c:v>1.2104309928997754</c:v>
                </c:pt>
                <c:pt idx="3">
                  <c:v>0.22246436030146313</c:v>
                </c:pt>
                <c:pt idx="4">
                  <c:v>3.3347662818778649E-2</c:v>
                </c:pt>
                <c:pt idx="5">
                  <c:v>0.34465943982123926</c:v>
                </c:pt>
              </c:numCache>
            </c:numRef>
          </c:val>
          <c:extLst>
            <c:ext xmlns:c16="http://schemas.microsoft.com/office/drawing/2014/chart" uri="{C3380CC4-5D6E-409C-BE32-E72D297353CC}">
              <c16:uniqueId val="{00000001-F67D-478A-9B4C-2D7A8E493381}"/>
            </c:ext>
          </c:extLst>
        </c:ser>
        <c:ser>
          <c:idx val="2"/>
          <c:order val="2"/>
          <c:tx>
            <c:strRef>
              <c:f>Sheet1!$A$10</c:f>
              <c:strCache>
                <c:ptCount val="1"/>
                <c:pt idx="0">
                  <c:v>Constructii</c:v>
                </c:pt>
              </c:strCache>
            </c:strRef>
          </c:tx>
          <c:spPr>
            <a:solidFill>
              <a:srgbClr val="FFCC00"/>
            </a:solidFill>
            <a:ln>
              <a:solidFill>
                <a:srgbClr val="ED7D31">
                  <a:lumMod val="75000"/>
                </a:srgbClr>
              </a:solidFill>
            </a:ln>
          </c:spPr>
          <c:invertIfNegative val="0"/>
          <c:cat>
            <c:strRef>
              <c:f>Sheet1!$B$7:$G$7</c:f>
              <c:strCache>
                <c:ptCount val="6"/>
                <c:pt idx="0">
                  <c:v>Trim I 2023</c:v>
                </c:pt>
                <c:pt idx="1">
                  <c:v>Trim II 2023</c:v>
                </c:pt>
                <c:pt idx="2">
                  <c:v>Trim III 2023</c:v>
                </c:pt>
                <c:pt idx="3">
                  <c:v>Trim IV 2023</c:v>
                </c:pt>
                <c:pt idx="4">
                  <c:v>Trim I 2024</c:v>
                </c:pt>
                <c:pt idx="5">
                  <c:v>Trim II 2024</c:v>
                </c:pt>
              </c:strCache>
            </c:strRef>
          </c:cat>
          <c:val>
            <c:numRef>
              <c:f>Sheet1!$B$10:$G$10</c:f>
              <c:numCache>
                <c:formatCode>0.0</c:formatCode>
                <c:ptCount val="6"/>
                <c:pt idx="0">
                  <c:v>0.34858947025243298</c:v>
                </c:pt>
                <c:pt idx="1">
                  <c:v>0.26361926600768848</c:v>
                </c:pt>
                <c:pt idx="2">
                  <c:v>0.45160057259426495</c:v>
                </c:pt>
                <c:pt idx="3">
                  <c:v>1.8354931185222618</c:v>
                </c:pt>
                <c:pt idx="4">
                  <c:v>-0.10105448154657208</c:v>
                </c:pt>
                <c:pt idx="5">
                  <c:v>0.17875993334012028</c:v>
                </c:pt>
              </c:numCache>
            </c:numRef>
          </c:val>
          <c:extLst>
            <c:ext xmlns:c16="http://schemas.microsoft.com/office/drawing/2014/chart" uri="{C3380CC4-5D6E-409C-BE32-E72D297353CC}">
              <c16:uniqueId val="{00000002-F67D-478A-9B4C-2D7A8E493381}"/>
            </c:ext>
          </c:extLst>
        </c:ser>
        <c:ser>
          <c:idx val="3"/>
          <c:order val="3"/>
          <c:tx>
            <c:strRef>
              <c:f>Sheet1!$A$11</c:f>
              <c:strCache>
                <c:ptCount val="1"/>
                <c:pt idx="0">
                  <c:v>Servicii</c:v>
                </c:pt>
              </c:strCache>
            </c:strRef>
          </c:tx>
          <c:spPr>
            <a:solidFill>
              <a:srgbClr val="FF6600"/>
            </a:solidFill>
            <a:ln>
              <a:solidFill>
                <a:schemeClr val="accent2">
                  <a:lumMod val="75000"/>
                </a:schemeClr>
              </a:solidFill>
            </a:ln>
          </c:spPr>
          <c:invertIfNegative val="0"/>
          <c:cat>
            <c:strRef>
              <c:f>Sheet1!$B$7:$G$7</c:f>
              <c:strCache>
                <c:ptCount val="6"/>
                <c:pt idx="0">
                  <c:v>Trim I 2023</c:v>
                </c:pt>
                <c:pt idx="1">
                  <c:v>Trim II 2023</c:v>
                </c:pt>
                <c:pt idx="2">
                  <c:v>Trim III 2023</c:v>
                </c:pt>
                <c:pt idx="3">
                  <c:v>Trim IV 2023</c:v>
                </c:pt>
                <c:pt idx="4">
                  <c:v>Trim I 2024</c:v>
                </c:pt>
                <c:pt idx="5">
                  <c:v>Trim II 2024</c:v>
                </c:pt>
              </c:strCache>
            </c:strRef>
          </c:cat>
          <c:val>
            <c:numRef>
              <c:f>Sheet1!$B$11:$G$11</c:f>
              <c:numCache>
                <c:formatCode>0.0</c:formatCode>
                <c:ptCount val="6"/>
                <c:pt idx="0">
                  <c:v>2.2245997509127027</c:v>
                </c:pt>
                <c:pt idx="1">
                  <c:v>1.4266472256820184</c:v>
                </c:pt>
                <c:pt idx="2">
                  <c:v>0.25584718337967566</c:v>
                </c:pt>
                <c:pt idx="3">
                  <c:v>0.97996259351024007</c:v>
                </c:pt>
                <c:pt idx="4">
                  <c:v>0.19170954975912896</c:v>
                </c:pt>
                <c:pt idx="5">
                  <c:v>-4.9057169955901085E-2</c:v>
                </c:pt>
              </c:numCache>
            </c:numRef>
          </c:val>
          <c:extLst>
            <c:ext xmlns:c16="http://schemas.microsoft.com/office/drawing/2014/chart" uri="{C3380CC4-5D6E-409C-BE32-E72D297353CC}">
              <c16:uniqueId val="{00000003-F67D-478A-9B4C-2D7A8E493381}"/>
            </c:ext>
          </c:extLst>
        </c:ser>
        <c:ser>
          <c:idx val="4"/>
          <c:order val="4"/>
          <c:tx>
            <c:strRef>
              <c:f>Sheet1!$A$12</c:f>
              <c:strCache>
                <c:ptCount val="1"/>
                <c:pt idx="0">
                  <c:v>Impozite nete</c:v>
                </c:pt>
              </c:strCache>
            </c:strRef>
          </c:tx>
          <c:spPr>
            <a:solidFill>
              <a:schemeClr val="accent5">
                <a:lumMod val="60000"/>
                <a:lumOff val="40000"/>
              </a:schemeClr>
            </a:solidFill>
            <a:ln>
              <a:solidFill>
                <a:schemeClr val="accent5">
                  <a:lumMod val="75000"/>
                </a:schemeClr>
              </a:solidFill>
            </a:ln>
          </c:spPr>
          <c:invertIfNegative val="0"/>
          <c:cat>
            <c:strRef>
              <c:f>Sheet1!$B$7:$G$7</c:f>
              <c:strCache>
                <c:ptCount val="6"/>
                <c:pt idx="0">
                  <c:v>Trim I 2023</c:v>
                </c:pt>
                <c:pt idx="1">
                  <c:v>Trim II 2023</c:v>
                </c:pt>
                <c:pt idx="2">
                  <c:v>Trim III 2023</c:v>
                </c:pt>
                <c:pt idx="3">
                  <c:v>Trim IV 2023</c:v>
                </c:pt>
                <c:pt idx="4">
                  <c:v>Trim I 2024</c:v>
                </c:pt>
                <c:pt idx="5">
                  <c:v>Trim II 2024</c:v>
                </c:pt>
              </c:strCache>
            </c:strRef>
          </c:cat>
          <c:val>
            <c:numRef>
              <c:f>Sheet1!$B$12:$G$12</c:f>
              <c:numCache>
                <c:formatCode>0.0</c:formatCode>
                <c:ptCount val="6"/>
                <c:pt idx="0">
                  <c:v>0.35463778522507666</c:v>
                </c:pt>
                <c:pt idx="1">
                  <c:v>0.21874144117938277</c:v>
                </c:pt>
                <c:pt idx="2">
                  <c:v>0.218402326781786</c:v>
                </c:pt>
                <c:pt idx="3">
                  <c:v>0.44002830709449914</c:v>
                </c:pt>
                <c:pt idx="4">
                  <c:v>0.58318898484024484</c:v>
                </c:pt>
                <c:pt idx="5">
                  <c:v>0.37083576699050136</c:v>
                </c:pt>
              </c:numCache>
            </c:numRef>
          </c:val>
          <c:extLst>
            <c:ext xmlns:c16="http://schemas.microsoft.com/office/drawing/2014/chart" uri="{C3380CC4-5D6E-409C-BE32-E72D297353CC}">
              <c16:uniqueId val="{00000004-F67D-478A-9B4C-2D7A8E493381}"/>
            </c:ext>
          </c:extLst>
        </c:ser>
        <c:dLbls>
          <c:showLegendKey val="0"/>
          <c:showVal val="0"/>
          <c:showCatName val="0"/>
          <c:showSerName val="0"/>
          <c:showPercent val="0"/>
          <c:showBubbleSize val="0"/>
        </c:dLbls>
        <c:gapWidth val="150"/>
        <c:overlap val="100"/>
        <c:axId val="355685888"/>
        <c:axId val="355687808"/>
      </c:barChart>
      <c:lineChart>
        <c:grouping val="standard"/>
        <c:varyColors val="0"/>
        <c:ser>
          <c:idx val="5"/>
          <c:order val="5"/>
          <c:tx>
            <c:strRef>
              <c:f>Sheet1!$A$13</c:f>
              <c:strCache>
                <c:ptCount val="1"/>
                <c:pt idx="0">
                  <c:v>PIB</c:v>
                </c:pt>
              </c:strCache>
            </c:strRef>
          </c:tx>
          <c:spPr>
            <a:ln w="25400">
              <a:solidFill>
                <a:schemeClr val="accent1">
                  <a:lumMod val="50000"/>
                </a:schemeClr>
              </a:solidFill>
              <a:prstDash val="sysDash"/>
            </a:ln>
          </c:spPr>
          <c:marker>
            <c:symbol val="none"/>
          </c:marker>
          <c:dLbls>
            <c:dLbl>
              <c:idx val="0"/>
              <c:layout>
                <c:manualLayout>
                  <c:x val="-7.4587113343634777E-3"/>
                  <c:y val="-8.79629629629632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7D-478A-9B4C-2D7A8E493381}"/>
                </c:ext>
              </c:extLst>
            </c:dLbl>
            <c:dLbl>
              <c:idx val="1"/>
              <c:layout>
                <c:manualLayout>
                  <c:x val="-3.3436794829376097E-4"/>
                  <c:y val="-0.1342592592592592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7D-478A-9B4C-2D7A8E493381}"/>
                </c:ext>
              </c:extLst>
            </c:dLbl>
            <c:dLbl>
              <c:idx val="2"/>
              <c:layout>
                <c:manualLayout>
                  <c:x val="-2.7269130751804717E-3"/>
                  <c:y val="-6.48146757222524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7D-478A-9B4C-2D7A8E493381}"/>
                </c:ext>
              </c:extLst>
            </c:dLbl>
            <c:dLbl>
              <c:idx val="3"/>
              <c:layout>
                <c:manualLayout>
                  <c:x val="-9.1160974320644423E-17"/>
                  <c:y val="-7.4074074074074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7D-478A-9B4C-2D7A8E493381}"/>
                </c:ext>
              </c:extLst>
            </c:dLbl>
            <c:dLbl>
              <c:idx val="4"/>
              <c:layout>
                <c:manualLayout>
                  <c:x val="7.4587226094913871E-3"/>
                  <c:y val="-7.4074074074074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7D-478A-9B4C-2D7A8E493381}"/>
                </c:ext>
              </c:extLst>
            </c:dLbl>
            <c:dLbl>
              <c:idx val="5"/>
              <c:layout>
                <c:manualLayout>
                  <c:x val="-2.5105557006318544E-3"/>
                  <c:y val="-6.01851851851851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7D-478A-9B4C-2D7A8E493381}"/>
                </c:ext>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Sheet1!$B$7:$G$7</c:f>
              <c:strCache>
                <c:ptCount val="6"/>
                <c:pt idx="0">
                  <c:v>Trim I 2023</c:v>
                </c:pt>
                <c:pt idx="1">
                  <c:v>Trim II 2023</c:v>
                </c:pt>
                <c:pt idx="2">
                  <c:v>Trim III 2023</c:v>
                </c:pt>
                <c:pt idx="3">
                  <c:v>Trim IV 2023</c:v>
                </c:pt>
                <c:pt idx="4">
                  <c:v>Trim I 2024</c:v>
                </c:pt>
                <c:pt idx="5">
                  <c:v>Trim II 2024</c:v>
                </c:pt>
              </c:strCache>
            </c:strRef>
          </c:cat>
          <c:val>
            <c:numRef>
              <c:f>Sheet1!$B$13:$G$13</c:f>
              <c:numCache>
                <c:formatCode>0.0</c:formatCode>
                <c:ptCount val="6"/>
                <c:pt idx="0">
                  <c:v>2.4261487833851283</c:v>
                </c:pt>
                <c:pt idx="1">
                  <c:v>1.0998407110493422</c:v>
                </c:pt>
                <c:pt idx="2">
                  <c:v>1.9078674504083026</c:v>
                </c:pt>
                <c:pt idx="3">
                  <c:v>3.0194714567728393</c:v>
                </c:pt>
                <c:pt idx="4">
                  <c:v>0.5408327116865016</c:v>
                </c:pt>
                <c:pt idx="5">
                  <c:v>0.76165878072436044</c:v>
                </c:pt>
              </c:numCache>
            </c:numRef>
          </c:val>
          <c:smooth val="1"/>
          <c:extLst>
            <c:ext xmlns:c16="http://schemas.microsoft.com/office/drawing/2014/chart" uri="{C3380CC4-5D6E-409C-BE32-E72D297353CC}">
              <c16:uniqueId val="{0000000B-F67D-478A-9B4C-2D7A8E493381}"/>
            </c:ext>
          </c:extLst>
        </c:ser>
        <c:dLbls>
          <c:showLegendKey val="0"/>
          <c:showVal val="0"/>
          <c:showCatName val="0"/>
          <c:showSerName val="0"/>
          <c:showPercent val="0"/>
          <c:showBubbleSize val="0"/>
        </c:dLbls>
        <c:marker val="1"/>
        <c:smooth val="0"/>
        <c:axId val="355685888"/>
        <c:axId val="355687808"/>
      </c:lineChart>
      <c:catAx>
        <c:axId val="355685888"/>
        <c:scaling>
          <c:orientation val="minMax"/>
        </c:scaling>
        <c:delete val="0"/>
        <c:axPos val="b"/>
        <c:numFmt formatCode="General" sourceLinked="0"/>
        <c:majorTickMark val="out"/>
        <c:minorTickMark val="none"/>
        <c:tickLblPos val="low"/>
        <c:txPr>
          <a:bodyPr/>
          <a:lstStyle/>
          <a:p>
            <a:pPr>
              <a:defRPr b="1"/>
            </a:pPr>
            <a:endParaRPr lang="en-US"/>
          </a:p>
        </c:txPr>
        <c:crossAx val="355687808"/>
        <c:crosses val="autoZero"/>
        <c:auto val="1"/>
        <c:lblAlgn val="ctr"/>
        <c:lblOffset val="100"/>
        <c:noMultiLvlLbl val="0"/>
      </c:catAx>
      <c:valAx>
        <c:axId val="355687808"/>
        <c:scaling>
          <c:orientation val="minMax"/>
          <c:max val="5"/>
          <c:min val="-1"/>
        </c:scaling>
        <c:delete val="0"/>
        <c:axPos val="l"/>
        <c:numFmt formatCode="0.0" sourceLinked="1"/>
        <c:majorTickMark val="out"/>
        <c:minorTickMark val="none"/>
        <c:tickLblPos val="nextTo"/>
        <c:txPr>
          <a:bodyPr/>
          <a:lstStyle/>
          <a:p>
            <a:pPr>
              <a:defRPr b="1"/>
            </a:pPr>
            <a:endParaRPr lang="en-US"/>
          </a:p>
        </c:txPr>
        <c:crossAx val="355685888"/>
        <c:crosses val="autoZero"/>
        <c:crossBetween val="between"/>
      </c:valAx>
      <c:spPr>
        <a:solidFill>
          <a:schemeClr val="bg1">
            <a:lumMod val="95000"/>
          </a:schemeClr>
        </a:solidFill>
      </c:spPr>
    </c:plotArea>
    <c:legend>
      <c:legendPos val="b"/>
      <c:layout>
        <c:manualLayout>
          <c:xMode val="edge"/>
          <c:yMode val="edge"/>
          <c:x val="5.1466768901078423E-2"/>
          <c:y val="0.8441396908719746"/>
          <c:w val="0.90206022000058983"/>
          <c:h val="0.12808253135024789"/>
        </c:manualLayout>
      </c:layout>
      <c:overlay val="0"/>
    </c:legend>
    <c:plotVisOnly val="1"/>
    <c:dispBlanksAs val="gap"/>
    <c:showDLblsOverMax val="0"/>
  </c:chart>
  <c:spPr>
    <a:solidFill>
      <a:schemeClr val="bg1">
        <a:lumMod val="95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view3D>
      <c:rotX val="0"/>
      <c:rotY val="20"/>
      <c:depthPercent val="90"/>
      <c:rAngAx val="0"/>
      <c:perspective val="0"/>
    </c:view3D>
    <c:floor>
      <c:thickness val="0"/>
      <c:spPr>
        <a:noFill/>
        <a:ln w="15875">
          <a:solidFill>
            <a:schemeClr val="bg1">
              <a:lumMod val="75000"/>
            </a:schemeClr>
          </a:solidFill>
        </a:ln>
        <a:scene3d>
          <a:camera prst="orthographicFront"/>
          <a:lightRig rig="threePt" dir="t"/>
        </a:scene3d>
        <a:sp3d>
          <a:contourClr>
            <a:srgbClr val="000000"/>
          </a:contourClr>
        </a:sp3d>
      </c:spPr>
    </c:floor>
    <c:sideWall>
      <c:thickness val="0"/>
      <c:spPr>
        <a:noFill/>
        <a:ln w="25400">
          <a:noFill/>
        </a:ln>
      </c:spPr>
    </c:sideWall>
    <c:backWall>
      <c:thickness val="0"/>
      <c:spPr>
        <a:noFill/>
        <a:ln w="25400">
          <a:noFill/>
        </a:ln>
        <a:effectLst>
          <a:outerShdw blurRad="1270000" dist="50800" dir="21540000" sx="200000" sy="200000" algn="ctr" rotWithShape="0">
            <a:srgbClr val="000000">
              <a:alpha val="0"/>
            </a:srgbClr>
          </a:outerShdw>
        </a:effectLst>
      </c:spPr>
    </c:backWall>
    <c:plotArea>
      <c:layout>
        <c:manualLayout>
          <c:layoutTarget val="inner"/>
          <c:xMode val="edge"/>
          <c:yMode val="edge"/>
          <c:x val="0.11473868939120566"/>
          <c:y val="0.16448314345764498"/>
          <c:w val="0.88526127113550801"/>
          <c:h val="0.60925490551536476"/>
        </c:manualLayout>
      </c:layout>
      <c:bar3DChart>
        <c:barDir val="col"/>
        <c:grouping val="clustered"/>
        <c:varyColors val="0"/>
        <c:ser>
          <c:idx val="1"/>
          <c:order val="0"/>
          <c:tx>
            <c:strRef>
              <c:f>'Grafic lunar comert'!$B$9</c:f>
              <c:strCache>
                <c:ptCount val="1"/>
                <c:pt idx="0">
                  <c:v>Export FOB</c:v>
                </c:pt>
              </c:strCache>
            </c:strRef>
          </c:tx>
          <c:spPr>
            <a:solidFill>
              <a:srgbClr val="008000"/>
            </a:solidFill>
            <a:ln>
              <a:solidFill>
                <a:srgbClr val="008000"/>
              </a:solidFill>
            </a:ln>
            <a:effectLst>
              <a:innerShdw blurRad="63500" dist="50800" dir="5400000">
                <a:prstClr val="black">
                  <a:alpha val="50000"/>
                </a:prstClr>
              </a:innerShdw>
            </a:effectLst>
          </c:spPr>
          <c:invertIfNegative val="0"/>
          <c:dLbls>
            <c:delete val="1"/>
          </c:dLbls>
          <c:cat>
            <c:strRef>
              <c:f>'Grafic lunar comert'!$C$8:$H$8</c:f>
              <c:strCache>
                <c:ptCount val="6"/>
                <c:pt idx="0">
                  <c:v>ian</c:v>
                </c:pt>
                <c:pt idx="1">
                  <c:v>feb</c:v>
                </c:pt>
                <c:pt idx="2">
                  <c:v>mart</c:v>
                </c:pt>
                <c:pt idx="3">
                  <c:v>apr</c:v>
                </c:pt>
                <c:pt idx="4">
                  <c:v>mai</c:v>
                </c:pt>
                <c:pt idx="5">
                  <c:v>iun.</c:v>
                </c:pt>
              </c:strCache>
            </c:strRef>
          </c:cat>
          <c:val>
            <c:numRef>
              <c:f>'Grafic lunar comert'!$C$9:$H$9</c:f>
              <c:numCache>
                <c:formatCode>0.0</c:formatCode>
                <c:ptCount val="6"/>
                <c:pt idx="0">
                  <c:v>7082.4</c:v>
                </c:pt>
                <c:pt idx="1">
                  <c:v>7955.4</c:v>
                </c:pt>
                <c:pt idx="2">
                  <c:v>7952.1</c:v>
                </c:pt>
                <c:pt idx="3">
                  <c:v>8301.9</c:v>
                </c:pt>
                <c:pt idx="4">
                  <c:v>7238.2</c:v>
                </c:pt>
                <c:pt idx="5">
                  <c:v>7738.2</c:v>
                </c:pt>
              </c:numCache>
            </c:numRef>
          </c:val>
          <c:extLst>
            <c:ext xmlns:c16="http://schemas.microsoft.com/office/drawing/2014/chart" uri="{C3380CC4-5D6E-409C-BE32-E72D297353CC}">
              <c16:uniqueId val="{00000000-C358-4B56-918A-4BE8413B59DE}"/>
            </c:ext>
          </c:extLst>
        </c:ser>
        <c:ser>
          <c:idx val="2"/>
          <c:order val="1"/>
          <c:tx>
            <c:strRef>
              <c:f>'Grafic lunar comert'!$B$10</c:f>
              <c:strCache>
                <c:ptCount val="1"/>
                <c:pt idx="0">
                  <c:v>Import CIF</c:v>
                </c:pt>
              </c:strCache>
            </c:strRef>
          </c:tx>
          <c:spPr>
            <a:solidFill>
              <a:srgbClr val="28C646"/>
            </a:solidFill>
            <a:ln w="0">
              <a:solidFill>
                <a:srgbClr val="28C646"/>
              </a:solidFill>
            </a:ln>
            <a:effectLst>
              <a:innerShdw blurRad="63500" dist="50800" dir="5400000">
                <a:prstClr val="black">
                  <a:alpha val="50000"/>
                </a:prstClr>
              </a:innerShdw>
            </a:effectLst>
          </c:spPr>
          <c:invertIfNegative val="0"/>
          <c:dPt>
            <c:idx val="0"/>
            <c:invertIfNegative val="0"/>
            <c:bubble3D val="0"/>
            <c:spPr>
              <a:solidFill>
                <a:srgbClr val="00CC66"/>
              </a:solidFill>
              <a:ln w="0">
                <a:solidFill>
                  <a:srgbClr val="28C646"/>
                </a:solidFill>
              </a:ln>
              <a:effectLst>
                <a:innerShdw blurRad="63500" dist="50800" dir="5400000">
                  <a:prstClr val="black">
                    <a:alpha val="50000"/>
                  </a:prstClr>
                </a:innerShdw>
              </a:effectLst>
            </c:spPr>
            <c:extLst>
              <c:ext xmlns:c16="http://schemas.microsoft.com/office/drawing/2014/chart" uri="{C3380CC4-5D6E-409C-BE32-E72D297353CC}">
                <c16:uniqueId val="{00000002-C358-4B56-918A-4BE8413B59DE}"/>
              </c:ext>
            </c:extLst>
          </c:dPt>
          <c:dLbls>
            <c:delete val="1"/>
          </c:dLbls>
          <c:cat>
            <c:strRef>
              <c:f>'Grafic lunar comert'!$C$8:$H$8</c:f>
              <c:strCache>
                <c:ptCount val="6"/>
                <c:pt idx="0">
                  <c:v>ian</c:v>
                </c:pt>
                <c:pt idx="1">
                  <c:v>feb</c:v>
                </c:pt>
                <c:pt idx="2">
                  <c:v>mart</c:v>
                </c:pt>
                <c:pt idx="3">
                  <c:v>apr</c:v>
                </c:pt>
                <c:pt idx="4">
                  <c:v>mai</c:v>
                </c:pt>
                <c:pt idx="5">
                  <c:v>iun.</c:v>
                </c:pt>
              </c:strCache>
            </c:strRef>
          </c:cat>
          <c:val>
            <c:numRef>
              <c:f>'Grafic lunar comert'!$C$10:$H$10</c:f>
              <c:numCache>
                <c:formatCode>0.0</c:formatCode>
                <c:ptCount val="6"/>
                <c:pt idx="0">
                  <c:v>9061.2000000000007</c:v>
                </c:pt>
                <c:pt idx="1">
                  <c:v>10133.4</c:v>
                </c:pt>
                <c:pt idx="2">
                  <c:v>10457.5</c:v>
                </c:pt>
                <c:pt idx="3">
                  <c:v>10962.5</c:v>
                </c:pt>
                <c:pt idx="4">
                  <c:v>10214.299999999987</c:v>
                </c:pt>
                <c:pt idx="5">
                  <c:v>10529.5</c:v>
                </c:pt>
              </c:numCache>
            </c:numRef>
          </c:val>
          <c:extLst>
            <c:ext xmlns:c16="http://schemas.microsoft.com/office/drawing/2014/chart" uri="{C3380CC4-5D6E-409C-BE32-E72D297353CC}">
              <c16:uniqueId val="{00000003-C358-4B56-918A-4BE8413B59DE}"/>
            </c:ext>
          </c:extLst>
        </c:ser>
        <c:ser>
          <c:idx val="3"/>
          <c:order val="2"/>
          <c:tx>
            <c:strRef>
              <c:f>'Grafic lunar comert'!$B$11</c:f>
              <c:strCache>
                <c:ptCount val="1"/>
                <c:pt idx="0">
                  <c:v>Sold</c:v>
                </c:pt>
              </c:strCache>
            </c:strRef>
          </c:tx>
          <c:spPr>
            <a:solidFill>
              <a:srgbClr val="66FFFF">
                <a:alpha val="92549"/>
              </a:srgbClr>
            </a:solidFill>
            <a:ln>
              <a:solidFill>
                <a:srgbClr val="66FFFF"/>
              </a:solidFill>
            </a:ln>
            <a:effectLst>
              <a:innerShdw blurRad="63500" dist="50800" dir="5400000">
                <a:schemeClr val="bg1">
                  <a:lumMod val="95000"/>
                  <a:alpha val="50000"/>
                </a:schemeClr>
              </a:innerShdw>
            </a:effectLst>
          </c:spPr>
          <c:invertIfNegative val="0"/>
          <c:dLbls>
            <c:dLbl>
              <c:idx val="0"/>
              <c:layout>
                <c:manualLayout>
                  <c:x val="2.8242997403102443E-3"/>
                  <c:y val="-5.59724340538091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58-4B56-918A-4BE8413B59DE}"/>
                </c:ext>
              </c:extLst>
            </c:dLbl>
            <c:dLbl>
              <c:idx val="1"/>
              <c:layout>
                <c:manualLayout>
                  <c:x val="6.8364718299101573E-3"/>
                  <c:y val="5.25884351154023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58-4B56-918A-4BE8413B59DE}"/>
                </c:ext>
              </c:extLst>
            </c:dLbl>
            <c:dLbl>
              <c:idx val="2"/>
              <c:layout>
                <c:manualLayout>
                  <c:x val="3.1336360732686212E-3"/>
                  <c:y val="1.1156962628985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58-4B56-918A-4BE8413B59DE}"/>
                </c:ext>
              </c:extLst>
            </c:dLbl>
            <c:dLbl>
              <c:idx val="3"/>
              <c:layout>
                <c:manualLayout>
                  <c:x val="6.2367204099487688E-3"/>
                  <c:y val="2.03674436105358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58-4B56-918A-4BE8413B59DE}"/>
                </c:ext>
              </c:extLst>
            </c:dLbl>
            <c:dLbl>
              <c:idx val="4"/>
              <c:layout>
                <c:manualLayout>
                  <c:x val="1.1000881834215204E-2"/>
                  <c:y val="2.2355542986849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58-4B56-918A-4BE8413B59DE}"/>
                </c:ext>
              </c:extLst>
            </c:dLbl>
            <c:dLbl>
              <c:idx val="5"/>
              <c:layout>
                <c:manualLayout>
                  <c:x val="7.0607448511299555E-3"/>
                  <c:y val="2.4823390116644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58-4B56-918A-4BE8413B59DE}"/>
                </c:ext>
              </c:extLst>
            </c:dLbl>
            <c:dLbl>
              <c:idx val="6"/>
              <c:layout>
                <c:manualLayout>
                  <c:x val="-2.1831896795183364E-3"/>
                  <c:y val="-6.85851385003361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58-4B56-918A-4BE8413B59DE}"/>
                </c:ext>
              </c:extLst>
            </c:dLbl>
            <c:dLbl>
              <c:idx val="7"/>
              <c:layout>
                <c:manualLayout>
                  <c:x val="3.5758173945496402E-3"/>
                  <c:y val="6.93650709569405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58-4B56-918A-4BE8413B59DE}"/>
                </c:ext>
              </c:extLst>
            </c:dLbl>
            <c:dLbl>
              <c:idx val="8"/>
              <c:layout>
                <c:manualLayout>
                  <c:x val="0"/>
                  <c:y val="-1.035024181831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58-4B56-918A-4BE8413B59DE}"/>
                </c:ext>
              </c:extLst>
            </c:dLbl>
            <c:dLbl>
              <c:idx val="9"/>
              <c:layout>
                <c:manualLayout>
                  <c:x val="0"/>
                  <c:y val="1.02893911516097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58-4B56-918A-4BE8413B59DE}"/>
                </c:ext>
              </c:extLst>
            </c:dLbl>
            <c:dLbl>
              <c:idx val="11"/>
              <c:layout>
                <c:manualLayout>
                  <c:x val="1.48193843771014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358-4B56-918A-4BE8413B59DE}"/>
                </c:ext>
              </c:extLst>
            </c:dLbl>
            <c:spPr>
              <a:noFill/>
            </c:spPr>
            <c:txPr>
              <a:bodyPr/>
              <a:lstStyle/>
              <a:p>
                <a:pPr>
                  <a:defRPr lang="en-US" sz="800">
                    <a:latin typeface="Tahoma" pitchFamily="34" charset="0"/>
                    <a:ea typeface="Tahoma" pitchFamily="34" charset="0"/>
                    <a:cs typeface="Tahoma"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 lunar comert'!$C$8:$H$8</c:f>
              <c:strCache>
                <c:ptCount val="6"/>
                <c:pt idx="0">
                  <c:v>ian</c:v>
                </c:pt>
                <c:pt idx="1">
                  <c:v>feb</c:v>
                </c:pt>
                <c:pt idx="2">
                  <c:v>mart</c:v>
                </c:pt>
                <c:pt idx="3">
                  <c:v>apr</c:v>
                </c:pt>
                <c:pt idx="4">
                  <c:v>mai</c:v>
                </c:pt>
                <c:pt idx="5">
                  <c:v>iun.</c:v>
                </c:pt>
              </c:strCache>
            </c:strRef>
          </c:cat>
          <c:val>
            <c:numRef>
              <c:f>'Grafic lunar comert'!$C$11:$H$11</c:f>
              <c:numCache>
                <c:formatCode>0.0</c:formatCode>
                <c:ptCount val="6"/>
                <c:pt idx="0">
                  <c:v>-1978.8000000000009</c:v>
                </c:pt>
                <c:pt idx="1">
                  <c:v>-2178</c:v>
                </c:pt>
                <c:pt idx="2">
                  <c:v>-2505.3999999999996</c:v>
                </c:pt>
                <c:pt idx="3">
                  <c:v>-2660.6000000000004</c:v>
                </c:pt>
                <c:pt idx="4">
                  <c:v>-2976.0999999999995</c:v>
                </c:pt>
                <c:pt idx="5">
                  <c:v>-2791.3</c:v>
                </c:pt>
              </c:numCache>
            </c:numRef>
          </c:val>
          <c:extLst>
            <c:ext xmlns:c16="http://schemas.microsoft.com/office/drawing/2014/chart" uri="{C3380CC4-5D6E-409C-BE32-E72D297353CC}">
              <c16:uniqueId val="{0000000F-C358-4B56-918A-4BE8413B59DE}"/>
            </c:ext>
          </c:extLst>
        </c:ser>
        <c:dLbls>
          <c:showLegendKey val="0"/>
          <c:showVal val="1"/>
          <c:showCatName val="0"/>
          <c:showSerName val="0"/>
          <c:showPercent val="0"/>
          <c:showBubbleSize val="0"/>
        </c:dLbls>
        <c:gapWidth val="33"/>
        <c:gapDepth val="143"/>
        <c:shape val="box"/>
        <c:axId val="396587392"/>
        <c:axId val="396589696"/>
        <c:axId val="0"/>
      </c:bar3DChart>
      <c:dateAx>
        <c:axId val="396587392"/>
        <c:scaling>
          <c:orientation val="minMax"/>
        </c:scaling>
        <c:delete val="0"/>
        <c:axPos val="b"/>
        <c:numFmt formatCode="General" sourceLinked="1"/>
        <c:majorTickMark val="none"/>
        <c:minorTickMark val="none"/>
        <c:tickLblPos val="low"/>
        <c:spPr>
          <a:noFill/>
          <a:ln w="0">
            <a:solidFill>
              <a:schemeClr val="bg1">
                <a:lumMod val="65000"/>
              </a:schemeClr>
            </a:solidFill>
          </a:ln>
        </c:spPr>
        <c:txPr>
          <a:bodyPr/>
          <a:lstStyle/>
          <a:p>
            <a:pPr>
              <a:defRPr lang="en-US" sz="900" b="0" baseline="0">
                <a:latin typeface="Tahoma" pitchFamily="34" charset="0"/>
                <a:ea typeface="Tahoma" pitchFamily="34" charset="0"/>
                <a:cs typeface="Tahoma" pitchFamily="34" charset="0"/>
              </a:defRPr>
            </a:pPr>
            <a:endParaRPr lang="en-US"/>
          </a:p>
        </c:txPr>
        <c:crossAx val="396589696"/>
        <c:crosses val="autoZero"/>
        <c:auto val="0"/>
        <c:lblOffset val="100"/>
        <c:baseTimeUnit val="days"/>
      </c:dateAx>
      <c:valAx>
        <c:axId val="396589696"/>
        <c:scaling>
          <c:orientation val="minMax"/>
        </c:scaling>
        <c:delete val="0"/>
        <c:axPos val="l"/>
        <c:majorGridlines>
          <c:spPr>
            <a:ln>
              <a:solidFill>
                <a:schemeClr val="bg1">
                  <a:lumMod val="85000"/>
                </a:schemeClr>
              </a:solidFill>
            </a:ln>
            <a:effectLst>
              <a:outerShdw sx="1000" sy="1000" algn="ctr" rotWithShape="0">
                <a:sysClr val="window" lastClr="FFFFFF"/>
              </a:outerShdw>
            </a:effectLst>
          </c:spPr>
        </c:majorGridlines>
        <c:title>
          <c:tx>
            <c:rich>
              <a:bodyPr rot="0" vert="horz"/>
              <a:lstStyle/>
              <a:p>
                <a:pPr>
                  <a:defRPr lang="en-US" sz="900">
                    <a:latin typeface="Tahoma" pitchFamily="34" charset="0"/>
                    <a:ea typeface="Tahoma" pitchFamily="34" charset="0"/>
                    <a:cs typeface="Tahoma" pitchFamily="34" charset="0"/>
                  </a:defRPr>
                </a:pPr>
                <a:r>
                  <a:rPr lang="en-US" sz="900">
                    <a:latin typeface="Tahoma" pitchFamily="34" charset="0"/>
                    <a:ea typeface="Tahoma" pitchFamily="34" charset="0"/>
                    <a:cs typeface="Tahoma" pitchFamily="34" charset="0"/>
                  </a:rPr>
                  <a:t> - mil. euro -</a:t>
                </a:r>
              </a:p>
            </c:rich>
          </c:tx>
          <c:layout>
            <c:manualLayout>
              <c:xMode val="edge"/>
              <c:yMode val="edge"/>
              <c:x val="0.8097975171629006"/>
              <c:y val="9.68401890636892E-2"/>
            </c:manualLayout>
          </c:layout>
          <c:overlay val="0"/>
        </c:title>
        <c:numFmt formatCode="0" sourceLinked="0"/>
        <c:majorTickMark val="out"/>
        <c:minorTickMark val="none"/>
        <c:tickLblPos val="nextTo"/>
        <c:spPr>
          <a:noFill/>
          <a:ln>
            <a:solidFill>
              <a:schemeClr val="bg1">
                <a:lumMod val="75000"/>
                <a:alpha val="99000"/>
              </a:schemeClr>
            </a:solidFill>
          </a:ln>
          <a:effectLst>
            <a:outerShdw blurRad="50800" dist="50800" dir="5400000" algn="ctr" rotWithShape="0">
              <a:schemeClr val="bg1"/>
            </a:outerShdw>
          </a:effectLst>
        </c:spPr>
        <c:txPr>
          <a:bodyPr rot="0"/>
          <a:lstStyle/>
          <a:p>
            <a:pPr algn="ctr">
              <a:defRPr lang="en-US" sz="900">
                <a:latin typeface="Tahoma" pitchFamily="34" charset="0"/>
                <a:ea typeface="Tahoma" pitchFamily="34" charset="0"/>
                <a:cs typeface="Tahoma" pitchFamily="34" charset="0"/>
              </a:defRPr>
            </a:pPr>
            <a:endParaRPr lang="en-US"/>
          </a:p>
        </c:txPr>
        <c:crossAx val="396587392"/>
        <c:crosses val="autoZero"/>
        <c:crossBetween val="between"/>
      </c:valAx>
      <c:spPr>
        <a:ln w="25400">
          <a:noFill/>
        </a:ln>
      </c:spPr>
    </c:plotArea>
    <c:legend>
      <c:legendPos val="b"/>
      <c:layout>
        <c:manualLayout>
          <c:xMode val="edge"/>
          <c:yMode val="edge"/>
          <c:x val="0.14838251567546154"/>
          <c:y val="0.90310013841758363"/>
          <c:w val="0.76575102923122262"/>
          <c:h val="7.7256832215396989E-2"/>
        </c:manualLayout>
      </c:layout>
      <c:overlay val="0"/>
      <c:spPr>
        <a:solidFill>
          <a:schemeClr val="bg1">
            <a:lumMod val="95000"/>
            <a:alpha val="1000"/>
          </a:schemeClr>
        </a:solidFill>
        <a:ln>
          <a:noFill/>
        </a:ln>
      </c:spPr>
      <c:txPr>
        <a:bodyPr/>
        <a:lstStyle/>
        <a:p>
          <a:pPr>
            <a:defRPr lang="en-US" sz="900" b="1">
              <a:latin typeface="Tahoma" pitchFamily="34" charset="0"/>
              <a:ea typeface="Tahoma" pitchFamily="34" charset="0"/>
              <a:cs typeface="Tahoma" pitchFamily="34" charset="0"/>
            </a:defRPr>
          </a:pPr>
          <a:endParaRPr lang="en-US"/>
        </a:p>
      </c:txPr>
    </c:legend>
    <c:plotVisOnly val="1"/>
    <c:dispBlanksAs val="gap"/>
    <c:showDLblsOverMax val="0"/>
  </c:chart>
  <c:spPr>
    <a:solidFill>
      <a:schemeClr val="bg1">
        <a:lumMod val="95000"/>
      </a:schemeClr>
    </a:solidFill>
    <a:ln w="12700">
      <a:solidFill>
        <a:schemeClr val="bg1">
          <a:lumMod val="75000"/>
        </a:schemeClr>
      </a:solidFill>
    </a:ln>
    <a:effectLst>
      <a:outerShdw blurRad="50800" dist="50800" dir="5400000" algn="ctr" rotWithShape="0">
        <a:schemeClr val="bg1"/>
      </a:outerShdw>
    </a:effectLst>
  </c:spPr>
  <c:txPr>
    <a:bodyPr/>
    <a:lstStyle/>
    <a:p>
      <a:pPr>
        <a:defRPr sz="1100">
          <a:latin typeface="+mn-lt"/>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0"/>
      <c:rAngAx val="0"/>
      <c:perspective val="0"/>
    </c:view3D>
    <c:floor>
      <c:thickness val="0"/>
    </c:floor>
    <c:sideWall>
      <c:thickness val="0"/>
      <c:spPr>
        <a:solidFill>
          <a:schemeClr val="bg1">
            <a:lumMod val="95000"/>
          </a:schemeClr>
        </a:solidFill>
      </c:spPr>
    </c:sideWall>
    <c:backWall>
      <c:thickness val="0"/>
      <c:spPr>
        <a:solidFill>
          <a:schemeClr val="bg1">
            <a:lumMod val="95000"/>
          </a:schemeClr>
        </a:solidFill>
      </c:spPr>
    </c:backWall>
    <c:plotArea>
      <c:layout>
        <c:manualLayout>
          <c:layoutTarget val="inner"/>
          <c:xMode val="edge"/>
          <c:yMode val="edge"/>
          <c:x val="5.9130976683470116E-2"/>
          <c:y val="8.0657549385274488E-2"/>
          <c:w val="0.92792448413890005"/>
          <c:h val="0.64168401550425491"/>
        </c:manualLayout>
      </c:layout>
      <c:bar3DChart>
        <c:barDir val="col"/>
        <c:grouping val="stacked"/>
        <c:varyColors val="0"/>
        <c:ser>
          <c:idx val="0"/>
          <c:order val="0"/>
          <c:tx>
            <c:strRef>
              <c:f>'grafic contributii 2019-2024'!$D$3</c:f>
              <c:strCache>
                <c:ptCount val="1"/>
                <c:pt idx="0">
                  <c:v>Bunuri alimentare</c:v>
                </c:pt>
              </c:strCache>
            </c:strRef>
          </c:tx>
          <c:spPr>
            <a:solidFill>
              <a:srgbClr val="33CCCC"/>
            </a:solidFill>
          </c:spPr>
          <c:invertIfNegative val="0"/>
          <c:cat>
            <c:strRef>
              <c:f>'grafic contributii 2019-2024'!$C$28:$C$69</c:f>
              <c:strCache>
                <c:ptCount val="42"/>
                <c:pt idx="0">
                  <c:v>ian.21</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ian.22</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ian.23</c:v>
                </c:pt>
                <c:pt idx="25">
                  <c:v>februarie</c:v>
                </c:pt>
                <c:pt idx="26">
                  <c:v>martie</c:v>
                </c:pt>
                <c:pt idx="27">
                  <c:v>aprilie</c:v>
                </c:pt>
                <c:pt idx="28">
                  <c:v>mai</c:v>
                </c:pt>
                <c:pt idx="29">
                  <c:v>iunie</c:v>
                </c:pt>
                <c:pt idx="30">
                  <c:v>iulie</c:v>
                </c:pt>
                <c:pt idx="31">
                  <c:v>august</c:v>
                </c:pt>
                <c:pt idx="32">
                  <c:v>septembrie</c:v>
                </c:pt>
                <c:pt idx="33">
                  <c:v>octombrie</c:v>
                </c:pt>
                <c:pt idx="34">
                  <c:v>noiembrie</c:v>
                </c:pt>
                <c:pt idx="35">
                  <c:v>decembrie</c:v>
                </c:pt>
                <c:pt idx="36">
                  <c:v>ian.24</c:v>
                </c:pt>
                <c:pt idx="37">
                  <c:v>februarie</c:v>
                </c:pt>
                <c:pt idx="38">
                  <c:v>martie</c:v>
                </c:pt>
                <c:pt idx="39">
                  <c:v>aprilie</c:v>
                </c:pt>
                <c:pt idx="40">
                  <c:v>mai</c:v>
                </c:pt>
                <c:pt idx="41">
                  <c:v>iunie</c:v>
                </c:pt>
              </c:strCache>
            </c:strRef>
          </c:cat>
          <c:val>
            <c:numRef>
              <c:f>'grafic contributii 2019-2024'!$D$28:$D$69</c:f>
              <c:numCache>
                <c:formatCode>0.00</c:formatCode>
                <c:ptCount val="42"/>
                <c:pt idx="0">
                  <c:v>0.88299387831909049</c:v>
                </c:pt>
                <c:pt idx="1">
                  <c:v>0.82744227372370671</c:v>
                </c:pt>
                <c:pt idx="2">
                  <c:v>0.48789190889348288</c:v>
                </c:pt>
                <c:pt idx="3">
                  <c:v>0.23380440605372541</c:v>
                </c:pt>
                <c:pt idx="4">
                  <c:v>0.46779286540396431</c:v>
                </c:pt>
                <c:pt idx="5">
                  <c:v>0.66472244086185595</c:v>
                </c:pt>
                <c:pt idx="6">
                  <c:v>0.71654982397630962</c:v>
                </c:pt>
                <c:pt idx="7">
                  <c:v>0.83003610336796285</c:v>
                </c:pt>
                <c:pt idx="8">
                  <c:v>1.3068663952228683</c:v>
                </c:pt>
                <c:pt idx="9">
                  <c:v>1.6104070907169241</c:v>
                </c:pt>
                <c:pt idx="10">
                  <c:v>1.8730128084118731</c:v>
                </c:pt>
                <c:pt idx="11">
                  <c:v>2.0530199510603202</c:v>
                </c:pt>
                <c:pt idx="12">
                  <c:v>2.3919413224313244</c:v>
                </c:pt>
                <c:pt idx="13">
                  <c:v>2.9204563412927151</c:v>
                </c:pt>
                <c:pt idx="14">
                  <c:v>3.6993325234864112</c:v>
                </c:pt>
                <c:pt idx="15">
                  <c:v>4.4705548184072876</c:v>
                </c:pt>
                <c:pt idx="16">
                  <c:v>4.7062184940608196</c:v>
                </c:pt>
                <c:pt idx="17">
                  <c:v>4.8443160715525675</c:v>
                </c:pt>
                <c:pt idx="18">
                  <c:v>5.3008033935544736</c:v>
                </c:pt>
                <c:pt idx="19">
                  <c:v>6.0178184336266698</c:v>
                </c:pt>
                <c:pt idx="20">
                  <c:v>6.3135335979025768</c:v>
                </c:pt>
                <c:pt idx="21">
                  <c:v>6.7946756727945585</c:v>
                </c:pt>
                <c:pt idx="22">
                  <c:v>7.1152163235229455</c:v>
                </c:pt>
                <c:pt idx="23">
                  <c:v>7.2811152375376382</c:v>
                </c:pt>
                <c:pt idx="24">
                  <c:v>7.250115538695737</c:v>
                </c:pt>
                <c:pt idx="25">
                  <c:v>7.2089706888772556</c:v>
                </c:pt>
                <c:pt idx="26">
                  <c:v>6.9564367125075552</c:v>
                </c:pt>
                <c:pt idx="27">
                  <c:v>6.3999225562862962</c:v>
                </c:pt>
                <c:pt idx="28">
                  <c:v>6.0431280421219604</c:v>
                </c:pt>
                <c:pt idx="29">
                  <c:v>5.7674923375117908</c:v>
                </c:pt>
                <c:pt idx="30">
                  <c:v>5.2374701797551495</c:v>
                </c:pt>
                <c:pt idx="31">
                  <c:v>3.8339380373226795</c:v>
                </c:pt>
                <c:pt idx="32">
                  <c:v>3.3431525909468376</c:v>
                </c:pt>
                <c:pt idx="33">
                  <c:v>2.7937794226333352</c:v>
                </c:pt>
                <c:pt idx="34">
                  <c:v>2.2071654816141182</c:v>
                </c:pt>
                <c:pt idx="35">
                  <c:v>1.8761893485018022</c:v>
                </c:pt>
                <c:pt idx="36">
                  <c:v>1.8575050325544018</c:v>
                </c:pt>
                <c:pt idx="37">
                  <c:v>1.4741660261016551</c:v>
                </c:pt>
                <c:pt idx="38">
                  <c:v>0.92379935681196912</c:v>
                </c:pt>
                <c:pt idx="39">
                  <c:v>0.67996141173134983</c:v>
                </c:pt>
                <c:pt idx="40">
                  <c:v>0.40866181045295741</c:v>
                </c:pt>
                <c:pt idx="41">
                  <c:v>0.36177281632470065</c:v>
                </c:pt>
              </c:numCache>
            </c:numRef>
          </c:val>
          <c:extLst>
            <c:ext xmlns:c16="http://schemas.microsoft.com/office/drawing/2014/chart" uri="{C3380CC4-5D6E-409C-BE32-E72D297353CC}">
              <c16:uniqueId val="{00000000-6069-4968-80D6-20343DA8DF0C}"/>
            </c:ext>
          </c:extLst>
        </c:ser>
        <c:ser>
          <c:idx val="1"/>
          <c:order val="1"/>
          <c:tx>
            <c:strRef>
              <c:f>'grafic contributii 2019-2024'!$E$3</c:f>
              <c:strCache>
                <c:ptCount val="1"/>
                <c:pt idx="0">
                  <c:v>Bunuri nealimentare</c:v>
                </c:pt>
              </c:strCache>
            </c:strRef>
          </c:tx>
          <c:spPr>
            <a:solidFill>
              <a:srgbClr val="CCFFCC"/>
            </a:solidFill>
          </c:spPr>
          <c:invertIfNegative val="0"/>
          <c:cat>
            <c:strRef>
              <c:f>'grafic contributii 2019-2024'!$C$28:$C$69</c:f>
              <c:strCache>
                <c:ptCount val="42"/>
                <c:pt idx="0">
                  <c:v>ian.21</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ian.22</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ian.23</c:v>
                </c:pt>
                <c:pt idx="25">
                  <c:v>februarie</c:v>
                </c:pt>
                <c:pt idx="26">
                  <c:v>martie</c:v>
                </c:pt>
                <c:pt idx="27">
                  <c:v>aprilie</c:v>
                </c:pt>
                <c:pt idx="28">
                  <c:v>mai</c:v>
                </c:pt>
                <c:pt idx="29">
                  <c:v>iunie</c:v>
                </c:pt>
                <c:pt idx="30">
                  <c:v>iulie</c:v>
                </c:pt>
                <c:pt idx="31">
                  <c:v>august</c:v>
                </c:pt>
                <c:pt idx="32">
                  <c:v>septembrie</c:v>
                </c:pt>
                <c:pt idx="33">
                  <c:v>octombrie</c:v>
                </c:pt>
                <c:pt idx="34">
                  <c:v>noiembrie</c:v>
                </c:pt>
                <c:pt idx="35">
                  <c:v>decembrie</c:v>
                </c:pt>
                <c:pt idx="36">
                  <c:v>ian.24</c:v>
                </c:pt>
                <c:pt idx="37">
                  <c:v>februarie</c:v>
                </c:pt>
                <c:pt idx="38">
                  <c:v>martie</c:v>
                </c:pt>
                <c:pt idx="39">
                  <c:v>aprilie</c:v>
                </c:pt>
                <c:pt idx="40">
                  <c:v>mai</c:v>
                </c:pt>
                <c:pt idx="41">
                  <c:v>iunie</c:v>
                </c:pt>
              </c:strCache>
            </c:strRef>
          </c:cat>
          <c:val>
            <c:numRef>
              <c:f>'grafic contributii 2019-2024'!$E$28:$E$69</c:f>
              <c:numCache>
                <c:formatCode>0.00</c:formatCode>
                <c:ptCount val="42"/>
                <c:pt idx="0">
                  <c:v>1.5870689936964488</c:v>
                </c:pt>
                <c:pt idx="1">
                  <c:v>1.8555283867069639</c:v>
                </c:pt>
                <c:pt idx="2">
                  <c:v>2.1322982708023832</c:v>
                </c:pt>
                <c:pt idx="3">
                  <c:v>2.5408936470933394</c:v>
                </c:pt>
                <c:pt idx="4">
                  <c:v>2.7815766173624703</c:v>
                </c:pt>
                <c:pt idx="5">
                  <c:v>2.7845696332675494</c:v>
                </c:pt>
                <c:pt idx="6">
                  <c:v>3.7295435604936382</c:v>
                </c:pt>
                <c:pt idx="7">
                  <c:v>3.8633617245689296</c:v>
                </c:pt>
                <c:pt idx="8">
                  <c:v>4.2517090800294692</c:v>
                </c:pt>
                <c:pt idx="9">
                  <c:v>5.5594783622343824</c:v>
                </c:pt>
                <c:pt idx="10">
                  <c:v>5.1160142557522885</c:v>
                </c:pt>
                <c:pt idx="11">
                  <c:v>5.2354007608061703</c:v>
                </c:pt>
                <c:pt idx="12">
                  <c:v>5.0260125347680775</c:v>
                </c:pt>
                <c:pt idx="13">
                  <c:v>4.6063137334017474</c:v>
                </c:pt>
                <c:pt idx="14">
                  <c:v>5.3629510934664939</c:v>
                </c:pt>
                <c:pt idx="15">
                  <c:v>8.0730205860391688</c:v>
                </c:pt>
                <c:pt idx="16">
                  <c:v>8.4856175219471268</c:v>
                </c:pt>
                <c:pt idx="17">
                  <c:v>8.8465258208741915</c:v>
                </c:pt>
                <c:pt idx="18">
                  <c:v>8.1904905769971528</c:v>
                </c:pt>
                <c:pt idx="19">
                  <c:v>7.8902028965905053</c:v>
                </c:pt>
                <c:pt idx="20">
                  <c:v>8.2022824455134931</c:v>
                </c:pt>
                <c:pt idx="21">
                  <c:v>7.0961057923981103</c:v>
                </c:pt>
                <c:pt idx="22">
                  <c:v>7.9840930088737707</c:v>
                </c:pt>
                <c:pt idx="23">
                  <c:v>7.384374448265298</c:v>
                </c:pt>
                <c:pt idx="24">
                  <c:v>5.835447239341284</c:v>
                </c:pt>
                <c:pt idx="25">
                  <c:v>6.253446139646119</c:v>
                </c:pt>
                <c:pt idx="26">
                  <c:v>5.4322470179404414</c:v>
                </c:pt>
                <c:pt idx="27">
                  <c:v>2.862555415484815</c:v>
                </c:pt>
                <c:pt idx="28">
                  <c:v>2.5320322437306007</c:v>
                </c:pt>
                <c:pt idx="29">
                  <c:v>2.3789539689959032</c:v>
                </c:pt>
                <c:pt idx="30">
                  <c:v>2.0863744594260449</c:v>
                </c:pt>
                <c:pt idx="31">
                  <c:v>3.4288627893337589</c:v>
                </c:pt>
                <c:pt idx="32">
                  <c:v>3.2827459986308578</c:v>
                </c:pt>
                <c:pt idx="33">
                  <c:v>3.0660850688393242</c:v>
                </c:pt>
                <c:pt idx="34">
                  <c:v>2.4972083844751976</c:v>
                </c:pt>
                <c:pt idx="35">
                  <c:v>2.7063812366532751</c:v>
                </c:pt>
                <c:pt idx="36">
                  <c:v>3.5740820297324638</c:v>
                </c:pt>
                <c:pt idx="37">
                  <c:v>3.8007176292773392</c:v>
                </c:pt>
                <c:pt idx="38">
                  <c:v>3.9153728708998856</c:v>
                </c:pt>
                <c:pt idx="39">
                  <c:v>3.4813374972592332</c:v>
                </c:pt>
                <c:pt idx="40">
                  <c:v>3.0997514315030674</c:v>
                </c:pt>
                <c:pt idx="41">
                  <c:v>3.0493218915859632</c:v>
                </c:pt>
              </c:numCache>
            </c:numRef>
          </c:val>
          <c:extLst>
            <c:ext xmlns:c16="http://schemas.microsoft.com/office/drawing/2014/chart" uri="{C3380CC4-5D6E-409C-BE32-E72D297353CC}">
              <c16:uniqueId val="{00000001-6069-4968-80D6-20343DA8DF0C}"/>
            </c:ext>
          </c:extLst>
        </c:ser>
        <c:ser>
          <c:idx val="2"/>
          <c:order val="2"/>
          <c:tx>
            <c:strRef>
              <c:f>'grafic contributii 2019-2024'!$F$3</c:f>
              <c:strCache>
                <c:ptCount val="1"/>
                <c:pt idx="0">
                  <c:v>Servicii</c:v>
                </c:pt>
              </c:strCache>
            </c:strRef>
          </c:tx>
          <c:spPr>
            <a:solidFill>
              <a:srgbClr val="1A961D"/>
            </a:solidFill>
          </c:spPr>
          <c:invertIfNegative val="0"/>
          <c:cat>
            <c:strRef>
              <c:f>'grafic contributii 2019-2024'!$C$28:$C$69</c:f>
              <c:strCache>
                <c:ptCount val="42"/>
                <c:pt idx="0">
                  <c:v>ian.21</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ian.22</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ian.23</c:v>
                </c:pt>
                <c:pt idx="25">
                  <c:v>februarie</c:v>
                </c:pt>
                <c:pt idx="26">
                  <c:v>martie</c:v>
                </c:pt>
                <c:pt idx="27">
                  <c:v>aprilie</c:v>
                </c:pt>
                <c:pt idx="28">
                  <c:v>mai</c:v>
                </c:pt>
                <c:pt idx="29">
                  <c:v>iunie</c:v>
                </c:pt>
                <c:pt idx="30">
                  <c:v>iulie</c:v>
                </c:pt>
                <c:pt idx="31">
                  <c:v>august</c:v>
                </c:pt>
                <c:pt idx="32">
                  <c:v>septembrie</c:v>
                </c:pt>
                <c:pt idx="33">
                  <c:v>octombrie</c:v>
                </c:pt>
                <c:pt idx="34">
                  <c:v>noiembrie</c:v>
                </c:pt>
                <c:pt idx="35">
                  <c:v>decembrie</c:v>
                </c:pt>
                <c:pt idx="36">
                  <c:v>ian.24</c:v>
                </c:pt>
                <c:pt idx="37">
                  <c:v>februarie</c:v>
                </c:pt>
                <c:pt idx="38">
                  <c:v>martie</c:v>
                </c:pt>
                <c:pt idx="39">
                  <c:v>aprilie</c:v>
                </c:pt>
                <c:pt idx="40">
                  <c:v>mai</c:v>
                </c:pt>
                <c:pt idx="41">
                  <c:v>iunie</c:v>
                </c:pt>
              </c:strCache>
            </c:strRef>
          </c:cat>
          <c:val>
            <c:numRef>
              <c:f>'grafic contributii 2019-2024'!$F$28:$F$69</c:f>
              <c:numCache>
                <c:formatCode>0.00</c:formatCode>
                <c:ptCount val="42"/>
                <c:pt idx="0">
                  <c:v>0.5141961579389035</c:v>
                </c:pt>
                <c:pt idx="1">
                  <c:v>0.47618826291291944</c:v>
                </c:pt>
                <c:pt idx="2">
                  <c:v>0.45309475898863699</c:v>
                </c:pt>
                <c:pt idx="3">
                  <c:v>0.53625470157578714</c:v>
                </c:pt>
                <c:pt idx="4">
                  <c:v>0.57018886448902462</c:v>
                </c:pt>
                <c:pt idx="5">
                  <c:v>0.54610536372925755</c:v>
                </c:pt>
                <c:pt idx="6">
                  <c:v>0.5621165492740352</c:v>
                </c:pt>
                <c:pt idx="7">
                  <c:v>0.60862401332302696</c:v>
                </c:pt>
                <c:pt idx="8">
                  <c:v>0.76964719038408635</c:v>
                </c:pt>
                <c:pt idx="9">
                  <c:v>0.81297303821538625</c:v>
                </c:pt>
                <c:pt idx="10">
                  <c:v>0.8402298776267173</c:v>
                </c:pt>
                <c:pt idx="11">
                  <c:v>0.92087734774591457</c:v>
                </c:pt>
                <c:pt idx="12">
                  <c:v>0.99549189402335869</c:v>
                </c:pt>
                <c:pt idx="13">
                  <c:v>1.069489998240009</c:v>
                </c:pt>
                <c:pt idx="14">
                  <c:v>1.1490736328074778</c:v>
                </c:pt>
                <c:pt idx="15">
                  <c:v>1.2512684718171618</c:v>
                </c:pt>
                <c:pt idx="16">
                  <c:v>1.3152554893809385</c:v>
                </c:pt>
                <c:pt idx="17">
                  <c:v>1.3740547314436791</c:v>
                </c:pt>
                <c:pt idx="18">
                  <c:v>1.4661948394326578</c:v>
                </c:pt>
                <c:pt idx="19">
                  <c:v>1.454303793006188</c:v>
                </c:pt>
                <c:pt idx="20">
                  <c:v>1.4086108918809719</c:v>
                </c:pt>
                <c:pt idx="21">
                  <c:v>1.4621331177060588</c:v>
                </c:pt>
                <c:pt idx="22">
                  <c:v>1.6732703225712615</c:v>
                </c:pt>
                <c:pt idx="23">
                  <c:v>1.7218786399787946</c:v>
                </c:pt>
                <c:pt idx="24">
                  <c:v>1.9127802552134328</c:v>
                </c:pt>
                <c:pt idx="25">
                  <c:v>1.9325539101124762</c:v>
                </c:pt>
                <c:pt idx="26">
                  <c:v>2.0162525056491161</c:v>
                </c:pt>
                <c:pt idx="27">
                  <c:v>1.9810215301260721</c:v>
                </c:pt>
                <c:pt idx="28">
                  <c:v>2.077887675323872</c:v>
                </c:pt>
                <c:pt idx="29">
                  <c:v>2.1409998975775824</c:v>
                </c:pt>
                <c:pt idx="30">
                  <c:v>2.1690411436794621</c:v>
                </c:pt>
                <c:pt idx="31">
                  <c:v>2.1831126912773726</c:v>
                </c:pt>
                <c:pt idx="32">
                  <c:v>2.2534581536870997</c:v>
                </c:pt>
                <c:pt idx="33">
                  <c:v>2.272161573160004</c:v>
                </c:pt>
                <c:pt idx="34">
                  <c:v>2.0820651386759961</c:v>
                </c:pt>
                <c:pt idx="35">
                  <c:v>2.0873275382962864</c:v>
                </c:pt>
                <c:pt idx="36">
                  <c:v>2.0201962508750091</c:v>
                </c:pt>
                <c:pt idx="37">
                  <c:v>2.0361080941025875</c:v>
                </c:pt>
                <c:pt idx="38">
                  <c:v>1.8882058533549766</c:v>
                </c:pt>
                <c:pt idx="39">
                  <c:v>1.8599963126004257</c:v>
                </c:pt>
                <c:pt idx="40">
                  <c:v>1.7196162122257435</c:v>
                </c:pt>
                <c:pt idx="41">
                  <c:v>1.6309967097858555</c:v>
                </c:pt>
              </c:numCache>
            </c:numRef>
          </c:val>
          <c:extLst>
            <c:ext xmlns:c16="http://schemas.microsoft.com/office/drawing/2014/chart" uri="{C3380CC4-5D6E-409C-BE32-E72D297353CC}">
              <c16:uniqueId val="{00000002-6069-4968-80D6-20343DA8DF0C}"/>
            </c:ext>
          </c:extLst>
        </c:ser>
        <c:dLbls>
          <c:showLegendKey val="0"/>
          <c:showVal val="0"/>
          <c:showCatName val="0"/>
          <c:showSerName val="0"/>
          <c:showPercent val="0"/>
          <c:showBubbleSize val="0"/>
        </c:dLbls>
        <c:gapWidth val="150"/>
        <c:shape val="cylinder"/>
        <c:axId val="254436096"/>
        <c:axId val="254437632"/>
        <c:axId val="0"/>
      </c:bar3DChart>
      <c:catAx>
        <c:axId val="254436096"/>
        <c:scaling>
          <c:orientation val="minMax"/>
        </c:scaling>
        <c:delete val="0"/>
        <c:axPos val="b"/>
        <c:numFmt formatCode="General" sourceLinked="1"/>
        <c:majorTickMark val="out"/>
        <c:minorTickMark val="none"/>
        <c:tickLblPos val="nextTo"/>
        <c:txPr>
          <a:bodyPr rot="-3600000"/>
          <a:lstStyle/>
          <a:p>
            <a:pPr>
              <a:defRPr sz="800"/>
            </a:pPr>
            <a:endParaRPr lang="en-US"/>
          </a:p>
        </c:txPr>
        <c:crossAx val="254437632"/>
        <c:crosses val="autoZero"/>
        <c:auto val="1"/>
        <c:lblAlgn val="ctr"/>
        <c:lblOffset val="100"/>
        <c:noMultiLvlLbl val="0"/>
      </c:catAx>
      <c:valAx>
        <c:axId val="254437632"/>
        <c:scaling>
          <c:orientation val="minMax"/>
          <c:max val="17"/>
          <c:min val="0"/>
        </c:scaling>
        <c:delete val="0"/>
        <c:axPos val="l"/>
        <c:majorGridlines>
          <c:spPr>
            <a:ln>
              <a:solidFill>
                <a:schemeClr val="bg1">
                  <a:lumMod val="75000"/>
                </a:schemeClr>
              </a:solidFill>
            </a:ln>
          </c:spPr>
        </c:majorGridlines>
        <c:numFmt formatCode="0" sourceLinked="0"/>
        <c:majorTickMark val="out"/>
        <c:minorTickMark val="none"/>
        <c:tickLblPos val="nextTo"/>
        <c:crossAx val="254436096"/>
        <c:crosses val="autoZero"/>
        <c:crossBetween val="between"/>
      </c:valAx>
      <c:spPr>
        <a:noFill/>
      </c:spPr>
    </c:plotArea>
    <c:legend>
      <c:legendPos val="b"/>
      <c:layout>
        <c:manualLayout>
          <c:xMode val="edge"/>
          <c:yMode val="edge"/>
          <c:x val="4.9202356649863214E-2"/>
          <c:y val="0.89011579434923549"/>
          <c:w val="0.91542376647363521"/>
          <c:h val="0.10899791206948492"/>
        </c:manualLayout>
      </c:layout>
      <c:overlay val="0"/>
    </c:legend>
    <c:plotVisOnly val="1"/>
    <c:dispBlanksAs val="gap"/>
    <c:showDLblsOverMax val="0"/>
  </c:chart>
  <c:spPr>
    <a:noFill/>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0.91931</cdr:x>
      <cdr:y>0</cdr:y>
    </cdr:from>
    <cdr:to>
      <cdr:x>0.99198</cdr:x>
      <cdr:y>0.10915</cdr:y>
    </cdr:to>
    <cdr:sp macro="" textlink="">
      <cdr:nvSpPr>
        <cdr:cNvPr id="2" name="TextBox 1"/>
        <cdr:cNvSpPr txBox="1"/>
      </cdr:nvSpPr>
      <cdr:spPr>
        <a:xfrm xmlns:a="http://schemas.openxmlformats.org/drawingml/2006/main">
          <a:off x="5295900" y="0"/>
          <a:ext cx="418619" cy="32601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 </a:t>
          </a:r>
          <a:r>
            <a:rPr lang="en-US" sz="1000" b="1"/>
            <a:t>%</a:t>
          </a:r>
        </a:p>
        <a:p xmlns:a="http://schemas.openxmlformats.org/drawingml/2006/main">
          <a:endParaRPr lang="en-US" sz="1100"/>
        </a:p>
      </cdr:txBody>
    </cdr:sp>
  </cdr:relSizeAnchor>
  <cdr:relSizeAnchor xmlns:cdr="http://schemas.openxmlformats.org/drawingml/2006/chartDrawing">
    <cdr:from>
      <cdr:x>0.05417</cdr:x>
      <cdr:y>0</cdr:y>
    </cdr:from>
    <cdr:to>
      <cdr:x>0.125</cdr:x>
      <cdr:y>0.09288</cdr:y>
    </cdr:to>
    <cdr:sp macro="" textlink="">
      <cdr:nvSpPr>
        <cdr:cNvPr id="3" name="TextBox 1"/>
        <cdr:cNvSpPr txBox="1"/>
      </cdr:nvSpPr>
      <cdr:spPr>
        <a:xfrm xmlns:a="http://schemas.openxmlformats.org/drawingml/2006/main">
          <a:off x="247650" y="0"/>
          <a:ext cx="32385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B0DE-35E1-49D7-A7C9-3C0AC584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12488</Words>
  <Characters>71186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Office07</Company>
  <LinksUpToDate>false</LinksUpToDate>
  <CharactersWithSpaces>83507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creator>FLORIN-ANDREI DAIA</dc:creator>
  <cp:lastModifiedBy>ROXANA-DESPINA MADIRJAC</cp:lastModifiedBy>
  <cp:revision>2</cp:revision>
  <cp:lastPrinted>2024-09-18T08:41:00Z</cp:lastPrinted>
  <dcterms:created xsi:type="dcterms:W3CDTF">2024-09-26T09:19:00Z</dcterms:created>
  <dcterms:modified xsi:type="dcterms:W3CDTF">2024-09-26T09:19:00Z</dcterms:modified>
</cp:coreProperties>
</file>